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4A47DE62"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162A42">
        <w:rPr>
          <w:rFonts w:ascii="Palatino Linotype" w:hAnsi="Palatino Linotype"/>
          <w:color w:val="C00000"/>
        </w:rPr>
        <w:t>nueve de enero</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Pr="0040233B">
        <w:rPr>
          <w:rFonts w:ascii="Palatino Linotype" w:hAnsi="Palatino Linotype"/>
        </w:rPr>
        <w:t xml:space="preserve"> dos mil dieci</w:t>
      </w:r>
      <w:r w:rsidR="00162A42">
        <w:rPr>
          <w:rFonts w:ascii="Palatino Linotype" w:hAnsi="Palatino Linotype"/>
        </w:rPr>
        <w:t>nueve</w:t>
      </w:r>
      <w:r w:rsidRPr="0040233B">
        <w:rPr>
          <w:rFonts w:ascii="Palatino Linotype" w:hAnsi="Palatino Linotype"/>
        </w:rPr>
        <w:t>.</w:t>
      </w:r>
    </w:p>
    <w:p w14:paraId="7D53FE2D" w14:textId="25A80714"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DF04BA">
        <w:rPr>
          <w:rFonts w:ascii="Palatino Linotype" w:eastAsiaTheme="minorEastAsia" w:hAnsi="Palatino Linotype" w:cs="Arial"/>
          <w:b/>
          <w:bCs/>
          <w:color w:val="C00000"/>
          <w:sz w:val="22"/>
          <w:szCs w:val="22"/>
          <w:lang w:val="es-MX"/>
        </w:rPr>
        <w:t>03919/INFOEM</w:t>
      </w:r>
      <w:r w:rsidR="004440AC" w:rsidRPr="0040233B">
        <w:rPr>
          <w:rFonts w:ascii="Palatino Linotype" w:eastAsiaTheme="minorEastAsia" w:hAnsi="Palatino Linotype" w:cs="Arial"/>
          <w:b/>
          <w:bCs/>
          <w:sz w:val="22"/>
          <w:szCs w:val="22"/>
          <w:lang w:val="es-MX"/>
        </w:rPr>
        <w:t>/IP/RR/201</w:t>
      </w:r>
      <w:r w:rsidR="00672EA1">
        <w:rPr>
          <w:rFonts w:ascii="Palatino Linotype" w:eastAsiaTheme="minorEastAsia" w:hAnsi="Palatino Linotype" w:cs="Arial"/>
          <w:b/>
          <w:bCs/>
          <w:sz w:val="22"/>
          <w:szCs w:val="22"/>
          <w:lang w:val="es-MX"/>
        </w:rPr>
        <w:t>8</w:t>
      </w:r>
      <w:r w:rsidR="00945D23">
        <w:rPr>
          <w:rFonts w:ascii="Palatino Linotype" w:hAnsi="Palatino Linotype" w:cs="Arial"/>
        </w:rPr>
        <w:t xml:space="preserve">, interpuesto por </w:t>
      </w:r>
      <w:r w:rsidR="00333999" w:rsidRPr="00333999">
        <w:rPr>
          <w:rFonts w:ascii="Palatino Linotype" w:hAnsi="Palatino Linotype"/>
          <w:b/>
          <w:lang w:val="es-ES_tradnl"/>
        </w:rPr>
        <w:t>Xxxxx Xxxxxxxx Xxxxxxxx</w:t>
      </w:r>
      <w:r w:rsidRPr="0040233B">
        <w:rPr>
          <w:rFonts w:ascii="Palatino Linotype" w:hAnsi="Palatino Linotype" w:cs="Arial"/>
        </w:rPr>
        <w:t>,</w:t>
      </w:r>
      <w:r w:rsidR="00D66A2A">
        <w:rPr>
          <w:rFonts w:ascii="Palatino Linotype" w:hAnsi="Palatino Linotype" w:cs="Arial"/>
        </w:rPr>
        <w:t xml:space="preserve"> a </w:t>
      </w:r>
      <w:r w:rsidR="004440AC" w:rsidRPr="0040233B">
        <w:rPr>
          <w:rFonts w:ascii="Palatino Linotype" w:hAnsi="Palatino Linotype" w:cs="Arial"/>
        </w:rPr>
        <w:t>quien</w:t>
      </w:r>
      <w:r w:rsidRPr="0040233B">
        <w:rPr>
          <w:rFonts w:ascii="Palatino Linotype" w:hAnsi="Palatino Linotype" w:cs="Arial"/>
        </w:rPr>
        <w:t xml:space="preserve"> en lo sucesivo se le denominará </w:t>
      </w:r>
      <w:r w:rsidR="00672EA1">
        <w:rPr>
          <w:rFonts w:ascii="Palatino Linotype" w:hAnsi="Palatino Linotype" w:cs="Arial"/>
        </w:rPr>
        <w:t>el</w:t>
      </w:r>
      <w:r w:rsidR="00523451">
        <w:rPr>
          <w:rFonts w:ascii="Palatino Linotype" w:hAnsi="Palatino Linotype" w:cs="Arial"/>
        </w:rPr>
        <w:t xml:space="preserve"> </w:t>
      </w:r>
      <w:r w:rsidR="00523451" w:rsidRPr="00523451">
        <w:rPr>
          <w:rFonts w:ascii="Palatino Linotype" w:hAnsi="Palatino Linotype" w:cs="Arial"/>
          <w:b/>
          <w:i/>
        </w:rPr>
        <w:t>Recurrente</w:t>
      </w:r>
      <w:r w:rsidR="00523451">
        <w:rPr>
          <w:rFonts w:ascii="Palatino Linotype" w:hAnsi="Palatino Linotype" w:cs="Arial"/>
        </w:rPr>
        <w:t xml:space="preserve"> </w:t>
      </w:r>
      <w:r w:rsidRPr="0040233B">
        <w:rPr>
          <w:rFonts w:ascii="Palatino Linotype" w:hAnsi="Palatino Linotype" w:cs="Arial"/>
        </w:rPr>
        <w:t xml:space="preserve">en contra de la </w:t>
      </w:r>
      <w:r w:rsidR="0004214C">
        <w:rPr>
          <w:rFonts w:ascii="Palatino Linotype" w:hAnsi="Palatino Linotype" w:cs="Arial"/>
        </w:rPr>
        <w:t>respuesta</w:t>
      </w:r>
      <w:r w:rsidR="00E66AC9" w:rsidRPr="0040233B">
        <w:rPr>
          <w:rFonts w:ascii="Palatino Linotype" w:hAnsi="Palatino Linotype" w:cs="Arial"/>
        </w:rPr>
        <w:t xml:space="preserve"> a</w:t>
      </w:r>
      <w:r w:rsidRPr="0040233B">
        <w:rPr>
          <w:rFonts w:ascii="Palatino Linotype" w:hAnsi="Palatino Linotype" w:cs="Arial"/>
        </w:rPr>
        <w:t xml:space="preserve"> </w:t>
      </w:r>
      <w:r w:rsidR="00095E37">
        <w:rPr>
          <w:rFonts w:ascii="Palatino Linotype" w:hAnsi="Palatino Linotype" w:cs="Arial"/>
        </w:rPr>
        <w:t>la</w:t>
      </w:r>
      <w:r w:rsidRPr="0040233B">
        <w:rPr>
          <w:rFonts w:ascii="Palatino Linotype" w:hAnsi="Palatino Linotype" w:cs="Arial"/>
        </w:rPr>
        <w:t xml:space="preserve"> solicitud de in</w:t>
      </w:r>
      <w:r w:rsidR="004440AC" w:rsidRPr="0040233B">
        <w:rPr>
          <w:rFonts w:ascii="Palatino Linotype" w:hAnsi="Palatino Linotype" w:cs="Arial"/>
        </w:rPr>
        <w:t xml:space="preserve">formación con número de folio </w:t>
      </w:r>
      <w:r w:rsidR="00DF04BA">
        <w:rPr>
          <w:rFonts w:ascii="Palatino Linotype" w:eastAsiaTheme="minorEastAsia" w:hAnsi="Palatino Linotype" w:cs="Arial"/>
          <w:b/>
          <w:color w:val="C00000"/>
          <w:sz w:val="22"/>
          <w:szCs w:val="22"/>
          <w:lang w:val="es-MX"/>
        </w:rPr>
        <w:t>00350/HUIXQUIL</w:t>
      </w:r>
      <w:r w:rsidR="00672EA1">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C20143">
        <w:rPr>
          <w:rFonts w:ascii="Palatino Linotype" w:hAnsi="Palatino Linotype" w:cs="Arial"/>
        </w:rPr>
        <w:t xml:space="preserve">del </w:t>
      </w:r>
      <w:r w:rsidR="00DF04BA">
        <w:rPr>
          <w:rFonts w:ascii="Palatino Linotype" w:hAnsi="Palatino Linotype" w:cs="Arial"/>
          <w:b/>
        </w:rPr>
        <w:t>Ayuntamiento de Huixquilucan</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w:t>
      </w:r>
      <w:bookmarkStart w:id="0" w:name="_GoBack"/>
      <w:bookmarkEnd w:id="0"/>
      <w:r w:rsidRPr="0040233B">
        <w:rPr>
          <w:rFonts w:ascii="Palatino Linotype" w:hAnsi="Palatino Linotype" w:cs="Arial"/>
        </w:rPr>
        <w:t>sente resolución, con base en lo</w:t>
      </w:r>
      <w:r w:rsidR="009A1584">
        <w:rPr>
          <w:rFonts w:ascii="Palatino Linotype" w:hAnsi="Palatino Linotype" w:cs="Arial"/>
        </w:rPr>
        <w:t>s</w:t>
      </w:r>
      <w:r w:rsidRPr="0040233B">
        <w:rPr>
          <w:rFonts w:ascii="Palatino Linotype" w:hAnsi="Palatino Linotype" w:cs="Arial"/>
        </w:rPr>
        <w:t xml:space="preserve"> siguiente</w:t>
      </w:r>
      <w:r w:rsidR="009A1584">
        <w:rPr>
          <w:rFonts w:ascii="Palatino Linotype" w:hAnsi="Palatino Linotype" w:cs="Arial"/>
        </w:rPr>
        <w:t>s</w:t>
      </w:r>
      <w:r w:rsidRPr="0040233B">
        <w:rPr>
          <w:rFonts w:ascii="Palatino Linotype" w:hAnsi="Palatino Linotype" w:cs="Arial"/>
        </w:rPr>
        <w:t>.</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16378D85"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8E18F3">
        <w:rPr>
          <w:rFonts w:ascii="Palatino Linotype" w:hAnsi="Palatino Linotype" w:cs="Arial"/>
          <w:color w:val="C00000"/>
        </w:rPr>
        <w:t>diecisiete de septiembre</w:t>
      </w:r>
      <w:r w:rsidR="004267B7">
        <w:rPr>
          <w:rFonts w:ascii="Palatino Linotype" w:hAnsi="Palatino Linotype" w:cs="Arial"/>
          <w:color w:val="C00000"/>
        </w:rPr>
        <w:t xml:space="preserve"> </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951462">
        <w:rPr>
          <w:rFonts w:ascii="Palatino Linotype" w:hAnsi="Palatino Linotype" w:cs="Arial"/>
        </w:rPr>
        <w:t>ocho</w:t>
      </w:r>
      <w:r w:rsidR="00682656" w:rsidRPr="0040233B">
        <w:rPr>
          <w:rFonts w:ascii="Palatino Linotype" w:hAnsi="Palatino Linotype" w:cs="Arial"/>
        </w:rPr>
        <w:t xml:space="preserve">, </w:t>
      </w:r>
      <w:r w:rsidR="00917023">
        <w:rPr>
          <w:rFonts w:ascii="Palatino Linotype" w:hAnsi="Palatino Linotype" w:cs="Arial"/>
        </w:rPr>
        <w:t>el</w:t>
      </w:r>
      <w:r w:rsidR="00523451">
        <w:rPr>
          <w:rFonts w:ascii="Palatino Linotype" w:hAnsi="Palatino Linotype" w:cs="Arial"/>
        </w:rPr>
        <w:t xml:space="preserve"> ahora </w:t>
      </w:r>
      <w:r w:rsidR="00523451" w:rsidRPr="00523451">
        <w:rPr>
          <w:rFonts w:ascii="Palatino Linotype" w:hAnsi="Palatino Linotype" w:cs="Arial"/>
          <w:b/>
          <w:i/>
        </w:rPr>
        <w:t>Recurrente</w:t>
      </w:r>
      <w:r w:rsidR="00523451">
        <w:rPr>
          <w:rFonts w:ascii="Palatino Linotype" w:hAnsi="Palatino Linotype" w:cs="Arial"/>
        </w:rPr>
        <w:t xml:space="preserve"> </w:t>
      </w:r>
      <w:r w:rsidRPr="0040233B">
        <w:rPr>
          <w:rFonts w:ascii="Palatino Linotype" w:hAnsi="Palatino Linotype" w:cs="Arial"/>
        </w:rPr>
        <w:t xml:space="preserve">formuló solicitud de acceso a 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917023" w:rsidRPr="0040233B">
        <w:rPr>
          <w:rFonts w:ascii="Palatino Linotype" w:hAnsi="Palatino Linotype" w:cs="Arial"/>
        </w:rPr>
        <w:t>requiriendo</w:t>
      </w:r>
      <w:r w:rsidRPr="0040233B">
        <w:rPr>
          <w:rFonts w:ascii="Palatino Linotype" w:hAnsi="Palatino Linotype" w:cs="Arial"/>
        </w:rPr>
        <w:t xml:space="preserve"> lo siguiente:</w:t>
      </w:r>
    </w:p>
    <w:p w14:paraId="3F4E6C5F" w14:textId="6F18F4D5" w:rsidR="00293DE5" w:rsidRPr="0041342A" w:rsidRDefault="00293DE5" w:rsidP="005128BF">
      <w:pPr>
        <w:pStyle w:val="Cuerpo"/>
        <w:spacing w:before="240" w:after="360" w:line="360" w:lineRule="auto"/>
        <w:ind w:left="851" w:right="902"/>
        <w:jc w:val="both"/>
        <w:rPr>
          <w:rFonts w:ascii="Verdana" w:hAnsi="Verdana"/>
        </w:rPr>
      </w:pPr>
      <w:r w:rsidRPr="004267B7">
        <w:rPr>
          <w:rFonts w:ascii="Palatino Linotype" w:eastAsiaTheme="minorEastAsia" w:hAnsi="Palatino Linotype" w:cs="Arial"/>
          <w:i/>
          <w:sz w:val="24"/>
          <w:szCs w:val="24"/>
          <w:lang w:val="es-MX"/>
        </w:rPr>
        <w:t>“</w:t>
      </w:r>
      <w:r w:rsidR="008E18F3" w:rsidRPr="008E18F3">
        <w:rPr>
          <w:rFonts w:ascii="Palatino Linotype" w:hAnsi="Palatino Linotype"/>
          <w:i/>
          <w:sz w:val="24"/>
          <w:szCs w:val="24"/>
        </w:rPr>
        <w:t xml:space="preserve">1 ¿Cual es precio de construcción del edificio donde hoy se encuentra la dirección de administración? 2 quiero las facturas que comprueben el precio de construccion del edificio donde hoy se encuentra la dirección de administración. 3 ¿de cual partida o rubro se utilizo el dinero para comprar el mobiliario de oficina del edificio donde hoy se encuentra la dirección de administración? 4 ¿Cual es precio del mobiliario de oficina que compro el ayuntamiento para el edificio donde hoy se encuentra la dirección de administración? 5 quiero las facturas que comprueben el precio del </w:t>
      </w:r>
      <w:r w:rsidR="008E18F3" w:rsidRPr="008E18F3">
        <w:rPr>
          <w:rFonts w:ascii="Palatino Linotype" w:hAnsi="Palatino Linotype"/>
          <w:i/>
          <w:sz w:val="24"/>
          <w:szCs w:val="24"/>
        </w:rPr>
        <w:lastRenderedPageBreak/>
        <w:t>mobiliario de oficina del edificio donde hoy se encuentra la dirección de administración</w:t>
      </w:r>
      <w:r w:rsidR="008E18F3" w:rsidRPr="008E18F3">
        <w:rPr>
          <w:rFonts w:ascii="Palatino Linotype" w:hAnsi="Palatino Linotype" w:cs="Arial"/>
          <w:i/>
          <w:sz w:val="24"/>
          <w:szCs w:val="24"/>
        </w:rPr>
        <w:t xml:space="preserve"> </w:t>
      </w:r>
      <w:r w:rsidR="004F5243" w:rsidRPr="004267B7">
        <w:rPr>
          <w:rFonts w:ascii="Palatino Linotype" w:hAnsi="Palatino Linotype" w:cs="Arial"/>
          <w:i/>
          <w:sz w:val="24"/>
          <w:szCs w:val="24"/>
        </w:rPr>
        <w:t>”</w:t>
      </w:r>
      <w:r w:rsidR="00C673D1" w:rsidRPr="0041342A">
        <w:rPr>
          <w:rFonts w:ascii="Palatino Linotype" w:hAnsi="Palatino Linotype" w:cs="Arial"/>
          <w:i/>
        </w:rPr>
        <w:t>(</w:t>
      </w:r>
      <w:r w:rsidR="00C673D1" w:rsidRPr="0041342A">
        <w:rPr>
          <w:rFonts w:ascii="Palatino Linotype" w:hAnsi="Palatino Linotype" w:cs="Arial"/>
          <w:i/>
          <w:sz w:val="16"/>
        </w:rPr>
        <w:t>sic)</w:t>
      </w:r>
    </w:p>
    <w:p w14:paraId="649BFEDD" w14:textId="0FA9FA03" w:rsidR="00293DE5" w:rsidRPr="0040233B" w:rsidRDefault="008E18F3" w:rsidP="008E7698">
      <w:pPr>
        <w:spacing w:before="240" w:after="240" w:line="360" w:lineRule="auto"/>
        <w:jc w:val="both"/>
        <w:rPr>
          <w:rFonts w:ascii="Palatino Linotype" w:hAnsi="Palatino Linotype" w:cs="Arial"/>
          <w:b/>
        </w:rPr>
      </w:pPr>
      <w:r>
        <w:rPr>
          <w:rFonts w:ascii="Palatino Linotype" w:hAnsi="Palatino Linotype" w:cs="Arial"/>
        </w:rPr>
        <w:t>El</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SAIMEX</w:t>
      </w:r>
      <w:r w:rsidR="00451F5B" w:rsidRPr="0040233B">
        <w:rPr>
          <w:rFonts w:ascii="Palatino Linotype" w:hAnsi="Palatino Linotype" w:cs="Arial"/>
          <w:b/>
        </w:rPr>
        <w:t>.</w:t>
      </w:r>
    </w:p>
    <w:p w14:paraId="4B8D3575" w14:textId="5D63B474" w:rsidR="0004214C" w:rsidRDefault="00C20143" w:rsidP="0004214C">
      <w:pPr>
        <w:spacing w:before="240" w:after="240" w:line="360" w:lineRule="auto"/>
        <w:jc w:val="both"/>
        <w:rPr>
          <w:rFonts w:ascii="Palatino Linotype" w:hAnsi="Palatino Linotype" w:cs="Arial"/>
        </w:rPr>
      </w:pPr>
      <w:r>
        <w:rPr>
          <w:rFonts w:ascii="Palatino Linotype" w:hAnsi="Palatino Linotype" w:cs="Arial"/>
          <w:b/>
          <w:sz w:val="28"/>
          <w:szCs w:val="28"/>
        </w:rPr>
        <w:t xml:space="preserve">2. </w:t>
      </w:r>
      <w:r w:rsidR="008E7698" w:rsidRPr="0040233B">
        <w:rPr>
          <w:rFonts w:ascii="Palatino Linotype" w:hAnsi="Palatino Linotype" w:cs="Arial"/>
          <w:b/>
          <w:sz w:val="28"/>
          <w:szCs w:val="28"/>
        </w:rPr>
        <w:t>Respuesta.</w:t>
      </w:r>
      <w:r w:rsidR="009A1584">
        <w:rPr>
          <w:rFonts w:ascii="Palatino Linotype" w:hAnsi="Palatino Linotype" w:cs="Arial"/>
          <w:b/>
          <w:sz w:val="28"/>
          <w:szCs w:val="28"/>
        </w:rPr>
        <w:t xml:space="preserve"> </w:t>
      </w:r>
      <w:r w:rsidR="0004214C" w:rsidRPr="0040233B">
        <w:rPr>
          <w:rFonts w:ascii="Palatino Linotype" w:hAnsi="Palatino Linotype" w:cs="Arial"/>
        </w:rPr>
        <w:t xml:space="preserve">Con fecha </w:t>
      </w:r>
      <w:r w:rsidR="001D1A83">
        <w:rPr>
          <w:rFonts w:ascii="Palatino Linotype" w:hAnsi="Palatino Linotype" w:cs="Arial"/>
          <w:color w:val="C00000"/>
        </w:rPr>
        <w:t>ocho de octubre</w:t>
      </w:r>
      <w:r w:rsidR="0004214C" w:rsidRPr="00DD4EA2">
        <w:rPr>
          <w:rFonts w:ascii="Palatino Linotype" w:hAnsi="Palatino Linotype" w:cs="Arial"/>
          <w:color w:val="C00000"/>
        </w:rPr>
        <w:t xml:space="preserve"> </w:t>
      </w:r>
      <w:r w:rsidR="00951462">
        <w:rPr>
          <w:rFonts w:ascii="Palatino Linotype" w:hAnsi="Palatino Linotype" w:cs="Arial"/>
        </w:rPr>
        <w:t xml:space="preserve">del año </w:t>
      </w:r>
      <w:r w:rsidR="001D1328">
        <w:rPr>
          <w:rFonts w:ascii="Palatino Linotype" w:hAnsi="Palatino Linotype" w:cs="Arial"/>
        </w:rPr>
        <w:t>dos mil dieciocho</w:t>
      </w:r>
      <w:r w:rsidR="00951462">
        <w:rPr>
          <w:rFonts w:ascii="Palatino Linotype" w:hAnsi="Palatino Linotype" w:cs="Arial"/>
        </w:rPr>
        <w:t xml:space="preserve">, </w:t>
      </w:r>
      <w:r w:rsidR="0004214C" w:rsidRPr="0040233B">
        <w:rPr>
          <w:rFonts w:ascii="Palatino Linotype" w:hAnsi="Palatino Linotype" w:cs="Arial"/>
        </w:rPr>
        <w:t xml:space="preserve">el </w:t>
      </w:r>
      <w:r w:rsidR="0004214C" w:rsidRPr="0040233B">
        <w:rPr>
          <w:rFonts w:ascii="Palatino Linotype" w:hAnsi="Palatino Linotype" w:cs="Arial"/>
          <w:b/>
        </w:rPr>
        <w:t>Sujeto Obligado</w:t>
      </w:r>
      <w:r w:rsidR="0004214C" w:rsidRPr="0040233B">
        <w:rPr>
          <w:rFonts w:ascii="Palatino Linotype" w:hAnsi="Palatino Linotype" w:cs="Arial"/>
        </w:rPr>
        <w:t xml:space="preserve">, a través del SAIMEX, </w:t>
      </w:r>
      <w:r w:rsidR="0004214C">
        <w:rPr>
          <w:rFonts w:ascii="Palatino Linotype" w:hAnsi="Palatino Linotype" w:cs="Arial"/>
        </w:rPr>
        <w:t>notificó la siguiente respuesta al particular:</w:t>
      </w:r>
    </w:p>
    <w:p w14:paraId="44AF1157" w14:textId="77777777" w:rsidR="00AA5F80" w:rsidRDefault="00AA5F80" w:rsidP="00AA5F80">
      <w:pPr>
        <w:spacing w:before="240" w:after="240" w:line="360" w:lineRule="auto"/>
        <w:ind w:left="851" w:right="745"/>
        <w:jc w:val="both"/>
        <w:rPr>
          <w:rFonts w:ascii="Palatino Linotype" w:hAnsi="Palatino Linotype"/>
          <w:sz w:val="16"/>
          <w:lang w:val="es-MX" w:eastAsia="es-MX"/>
        </w:rPr>
      </w:pPr>
      <w:r w:rsidRPr="004267B7">
        <w:rPr>
          <w:rFonts w:ascii="Palatino Linotype" w:hAnsi="Palatino Linotype"/>
          <w:i/>
          <w:lang w:val="es-MX" w:eastAsia="es-MX"/>
        </w:rPr>
        <w:t>“…</w:t>
      </w:r>
      <w:r w:rsidRPr="001D1A83">
        <w:rPr>
          <w:rFonts w:ascii="Palatino Linotype" w:hAnsi="Palatino Linotype"/>
          <w:i/>
          <w:color w:val="000000"/>
        </w:rPr>
        <w:t xml:space="preserve"> esta Unidad de Transparencia en ejercicio de las atribuciones que la Ley le confiere, turnó su solicitud de información a las siguientes áreas administrativas: Dirección General de Administración, Dirección General de Infraestructura y Edificación, Secretaría del H. Ayuntamiento y a la Tesorería Municipal que, conforme al Reglamento Orgánico de la Administración Pública Municipal de Huixquilucan, Estado de México 2016, son competentes para dar contestación a su requerimiento, por lo que manifestaron lo siguiente: Dirección General de Administración: “Se adjunta respuesta.” (SIC). Se anexan archivos PDF. Dirección General de Infraestructura y Edificación: “En atención a su solicitud mediante el Sistema de Acceso a la Información Mexiquense SAIMEX, de fecha 17 de septiembre del año 2018 que fue registrada con el folio número 00350/HUIXQUIL/IP/2018, en la cual solicita: “1 ¿Cual es precio de construcción del edificio donde hoy se encuentra la dirección de administración? 2 quiero las facturas que comprueben el precio de construccion del edificio donde hoy se encuentra la dirección de administración. 3 ¿de cual partida o rubro se utilizo el dinero para comprar el mobiliario de oficina del edificio donde hoy se encuentra la dirección de </w:t>
      </w:r>
      <w:r w:rsidRPr="001D1A83">
        <w:rPr>
          <w:rFonts w:ascii="Palatino Linotype" w:hAnsi="Palatino Linotype"/>
          <w:i/>
          <w:color w:val="000000"/>
        </w:rPr>
        <w:lastRenderedPageBreak/>
        <w:t xml:space="preserve">administración? 4 ¿Cual es precio del mobiliario de oficina que compro el ayuntamiento para el edificio donde hoy se encuentra la dirección de administración? 5 quiero las facturas que comprueben el precio del mobiliario de oficina del edificio donde hoy se encuentra la dirección de administración” (SIC). Al respecto me permito informar a usted, que en esta Dirección General de Infraestructura y Edificaciòn no se celebró ningún contrato de obra pública respecto de la construcción del edificio administrativo que refiere en su solicitud, por lo que esta Dirección General no cuenta con información al respecto. En cuanto a la solicitud de costos y facturas de pago sobre la adquisición del mobiliario del edificio administrativo, informo que de conformidad con lo establecido en el artículo 164 fracción XI del Reglamento Orgánico de la Administración Pública Municipal de Huixquilucan, Estado de México, esta Dirección General de Infraestructura y Edificaciòn no es competente para realizar ese tipo de adquisiciones, por lo que no se cuenta con información al respecto..” (SIC). Secretaría del H. Ayuntamiento: “En atención a la solicitud de información recibida por la Unidad de Transparencia en fecha 17 de septiembre de 2018; registrada vía Internet, mediante el Sistema de Acceso a la Información Mexiquense (SAIMEX), bajo el folio 00350/HUIXQUIL/IP/2018, que a la letra señala: “1 ¿Cual es precio de construcción del edificio donde hoy se encuentra la dirección de administración? 2 quiero las facturas que comprueben el precio de construccion del edificio donde hoy se encuentra la dirección de administración. 3 ¿de cual partida o rubro se utilizo el dinero para comprar el mobiliario de oficina del edificio donde hoy se encuentra la dirección de administración? 4 ¿Cual es precio del mobiliario de oficina que </w:t>
      </w:r>
      <w:r w:rsidRPr="001D1A83">
        <w:rPr>
          <w:rFonts w:ascii="Palatino Linotype" w:hAnsi="Palatino Linotype"/>
          <w:i/>
          <w:color w:val="000000"/>
        </w:rPr>
        <w:lastRenderedPageBreak/>
        <w:t xml:space="preserve">compro el ayuntamiento para el edificio donde hoy se encuentra la dirección de administración? 5 quiero las facturas que comprueben el precio del mobiliario de oficina del edificio donde hoy se encuentra la dirección de administración” (SIC). Atento a lo anterior informo a usted que esta Secretaria del H. Ayuntamiento no cuenta con facultades para atender la solicitud de información en comento, en virtud que las áreas competentes en términos de los artículos 83 y 109 del Reglamento Orgánico de la Administración Publica Municipal de Huixquilucan son la Tesorería Municipal y a la Dirección General de Administración. Sin otro particular le reitero mi más atenta consideración.”(SIC). Tesorería Municipal: “En seguimiento a la solicitud registrada con el número de folio 00350/HUIXQUIL/IP/2018; misma que a la letra dice: “1 ¿Cual es precio de construcción del edificio donde hoy se encuentra la dirección de administración? 2 quiero las facturas que comprueben el precio de construccion del edificio donde hoy se encuentra la dirección de administración. 3 ¿de cual partida o rubro se utilizo el dinero para comprar el mobiliario de oficina del edificio donde hoy se encuentra la dirección de administración? 4 ¿Cual es precio del mobiliario de oficina que compro el ayuntamiento para el edificio donde hoy se encuentra la dirección de administración? 5 quiero las facturas que comprueben el precio del mobiliario de oficina del edificio donde hoy se encuentra la dirección de administración” (SIC); En relación a su solicitud; La Tesorería Municipal señala que la partida presupuestal para la cual se asigno techo financiero corresponde al capitulo 5000 tal y como lo establece el Manual Único de contabilidad gubernamental para las entidades públicas del Gobierno y </w:t>
      </w:r>
      <w:r w:rsidRPr="001D1A83">
        <w:rPr>
          <w:rFonts w:ascii="Palatino Linotype" w:hAnsi="Palatino Linotype"/>
          <w:i/>
          <w:color w:val="000000"/>
        </w:rPr>
        <w:lastRenderedPageBreak/>
        <w:t>Municipios del Estado de México; asimismo es preciso mencionar que el precio del mobiliario descrito en su solicitud se encuentra plasmado en la factura que se adjunta al presente, en el cual podrá apreciar con claridad el detalle y desglose del costo y cantidad de bienes adquiridos.” (SIC). Se anexan archivos PDF.</w:t>
      </w:r>
      <w:r>
        <w:rPr>
          <w:rFonts w:ascii="Palatino Linotype" w:hAnsi="Palatino Linotype"/>
          <w:i/>
          <w:color w:val="000000"/>
        </w:rPr>
        <w:t>.</w:t>
      </w:r>
      <w:r w:rsidRPr="001D1A83">
        <w:rPr>
          <w:rFonts w:ascii="Palatino Linotype" w:hAnsi="Palatino Linotype"/>
          <w:i/>
          <w:color w:val="000000"/>
        </w:rPr>
        <w:t>.</w:t>
      </w:r>
      <w:r w:rsidRPr="001D1A83">
        <w:rPr>
          <w:rFonts w:ascii="Palatino Linotype" w:hAnsi="Palatino Linotype"/>
          <w:i/>
          <w:lang w:val="es-MX" w:eastAsia="es-MX"/>
        </w:rPr>
        <w:t>“(</w:t>
      </w:r>
      <w:r>
        <w:rPr>
          <w:rFonts w:ascii="Palatino Linotype" w:hAnsi="Palatino Linotype"/>
          <w:sz w:val="16"/>
          <w:lang w:val="es-MX" w:eastAsia="es-MX"/>
        </w:rPr>
        <w:t>sic)</w:t>
      </w:r>
    </w:p>
    <w:p w14:paraId="5F0AA9A3" w14:textId="60186511" w:rsidR="00AA5F80" w:rsidRDefault="00AA5F80" w:rsidP="00AF4595">
      <w:pPr>
        <w:spacing w:before="240" w:after="240" w:line="360" w:lineRule="auto"/>
        <w:ind w:right="49"/>
        <w:jc w:val="both"/>
        <w:rPr>
          <w:rFonts w:ascii="Palatino Linotype" w:hAnsi="Palatino Linotype"/>
          <w:sz w:val="16"/>
          <w:lang w:val="es-MX" w:eastAsia="es-MX"/>
        </w:rPr>
      </w:pPr>
      <w:r>
        <w:rPr>
          <w:rFonts w:ascii="Palatino Linotype" w:hAnsi="Palatino Linotype" w:cs="Arial"/>
          <w:lang w:eastAsia="es-MX"/>
        </w:rPr>
        <w:t xml:space="preserve">Asimismo, adjuntó los archivos denominados </w:t>
      </w:r>
      <w:hyperlink r:id="rId8" w:tgtFrame="_blank" w:history="1">
        <w:r w:rsidR="00E638FD" w:rsidRPr="00E638FD">
          <w:rPr>
            <w:rStyle w:val="Hipervnculo"/>
            <w:rFonts w:ascii="Palatino Linotype" w:hAnsi="Palatino Linotype" w:cs="Arial"/>
            <w:b/>
            <w:bCs/>
            <w:color w:val="auto"/>
            <w:u w:val="none"/>
          </w:rPr>
          <w:t>350.pdf</w:t>
        </w:r>
      </w:hyperlink>
      <w:r w:rsidR="00E638FD" w:rsidRPr="00E638FD">
        <w:rPr>
          <w:rFonts w:ascii="Palatino Linotype" w:hAnsi="Palatino Linotype" w:cs="Arial"/>
          <w:b/>
          <w:bCs/>
        </w:rPr>
        <w:t> </w:t>
      </w:r>
      <w:r w:rsidR="00E638FD">
        <w:rPr>
          <w:rFonts w:ascii="Palatino Linotype" w:hAnsi="Palatino Linotype" w:cs="Arial"/>
          <w:bCs/>
        </w:rPr>
        <w:t>y</w:t>
      </w:r>
      <w:r w:rsidR="00E638FD" w:rsidRPr="00E638FD">
        <w:rPr>
          <w:rFonts w:ascii="Palatino Linotype" w:hAnsi="Palatino Linotype" w:cs="Arial"/>
          <w:b/>
          <w:bCs/>
        </w:rPr>
        <w:br/>
      </w:r>
      <w:hyperlink r:id="rId9" w:tgtFrame="_blank" w:history="1">
        <w:r w:rsidR="00E638FD" w:rsidRPr="00E638FD">
          <w:rPr>
            <w:rStyle w:val="Hipervnculo"/>
            <w:rFonts w:ascii="Palatino Linotype" w:hAnsi="Palatino Linotype" w:cs="Arial"/>
            <w:b/>
            <w:bCs/>
            <w:color w:val="auto"/>
            <w:u w:val="none"/>
          </w:rPr>
          <w:t>fACTURA DE bienes muebles del Ayto.pdf</w:t>
        </w:r>
      </w:hyperlink>
      <w:r>
        <w:rPr>
          <w:rFonts w:ascii="Palatino Linotype" w:hAnsi="Palatino Linotype" w:cs="Arial"/>
          <w:b/>
          <w:lang w:eastAsia="es-MX"/>
        </w:rPr>
        <w:t xml:space="preserve">, </w:t>
      </w:r>
      <w:r>
        <w:rPr>
          <w:rFonts w:ascii="Palatino Linotype" w:hAnsi="Palatino Linotype" w:cs="Arial"/>
          <w:lang w:eastAsia="es-MX"/>
        </w:rPr>
        <w:t>que no se insertan por economía procesal, no obstante que serán materia de análisis de la presente resolución.</w:t>
      </w:r>
    </w:p>
    <w:p w14:paraId="10057A83" w14:textId="0FD3DAD1" w:rsidR="00DB331E" w:rsidRDefault="009F33B4" w:rsidP="00DB331E">
      <w:pPr>
        <w:spacing w:before="360" w:after="240" w:line="360" w:lineRule="auto"/>
        <w:jc w:val="both"/>
        <w:rPr>
          <w:rFonts w:ascii="Palatino Linotype" w:hAnsi="Palatino Linotype" w:cs="Arial"/>
        </w:rPr>
      </w:pPr>
      <w:r>
        <w:rPr>
          <w:rFonts w:ascii="Palatino Linotype" w:hAnsi="Palatino Linotype" w:cs="Arial"/>
          <w:b/>
          <w:sz w:val="28"/>
          <w:szCs w:val="28"/>
        </w:rPr>
        <w:t>3</w:t>
      </w:r>
      <w:r w:rsidR="00DB331E" w:rsidRPr="0040233B">
        <w:rPr>
          <w:rFonts w:ascii="Palatino Linotype" w:hAnsi="Palatino Linotype" w:cs="Arial"/>
          <w:b/>
          <w:sz w:val="28"/>
          <w:szCs w:val="28"/>
        </w:rPr>
        <w:t>. Recurso de revisión.</w:t>
      </w:r>
      <w:r w:rsidR="00DB331E" w:rsidRPr="0040233B">
        <w:rPr>
          <w:rFonts w:ascii="Palatino Linotype" w:hAnsi="Palatino Linotype" w:cs="Arial"/>
          <w:b/>
        </w:rPr>
        <w:t xml:space="preserve"> </w:t>
      </w:r>
      <w:r w:rsidR="00DB331E" w:rsidRPr="0040233B">
        <w:rPr>
          <w:rFonts w:ascii="Palatino Linotype" w:hAnsi="Palatino Linotype" w:cs="Arial"/>
        </w:rPr>
        <w:t xml:space="preserve">El recurso de revisión se interpuso a través del SAIMEX con fecha </w:t>
      </w:r>
      <w:r w:rsidR="00E638FD">
        <w:rPr>
          <w:rFonts w:ascii="Palatino Linotype" w:hAnsi="Palatino Linotype" w:cs="Arial"/>
          <w:color w:val="C00000"/>
        </w:rPr>
        <w:t>quince de octubre</w:t>
      </w:r>
      <w:r w:rsidR="00DB331E">
        <w:rPr>
          <w:rFonts w:ascii="Palatino Linotype" w:hAnsi="Palatino Linotype" w:cs="Arial"/>
          <w:color w:val="C00000"/>
        </w:rPr>
        <w:t xml:space="preserve"> </w:t>
      </w:r>
      <w:r w:rsidR="00DB331E">
        <w:rPr>
          <w:rFonts w:ascii="Palatino Linotype" w:hAnsi="Palatino Linotype" w:cs="Arial"/>
        </w:rPr>
        <w:t xml:space="preserve">de </w:t>
      </w:r>
      <w:r w:rsidR="001D1328">
        <w:rPr>
          <w:rFonts w:ascii="Palatino Linotype" w:hAnsi="Palatino Linotype" w:cs="Arial"/>
        </w:rPr>
        <w:t>dos mil dieciocho</w:t>
      </w:r>
      <w:r w:rsidR="00DB331E" w:rsidRPr="0040233B">
        <w:rPr>
          <w:rFonts w:ascii="Palatino Linotype" w:hAnsi="Palatino Linotype" w:cs="Arial"/>
        </w:rPr>
        <w:t xml:space="preserve"> por parte del solicitante de información, quien expresó las siguientes manifestaciones:</w:t>
      </w:r>
    </w:p>
    <w:p w14:paraId="3D39AF15" w14:textId="77777777" w:rsidR="00DB331E" w:rsidRPr="0040233B" w:rsidRDefault="00DB331E" w:rsidP="00DB331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68FE9B02" w14:textId="45D05CFA" w:rsidR="00DB331E" w:rsidRDefault="00DB331E" w:rsidP="00DB331E">
      <w:pPr>
        <w:spacing w:before="240" w:after="240" w:line="360" w:lineRule="auto"/>
        <w:ind w:left="851" w:right="902"/>
        <w:jc w:val="both"/>
        <w:rPr>
          <w:rFonts w:ascii="Palatino Linotype" w:hAnsi="Palatino Linotype" w:cs="Arial"/>
          <w:sz w:val="16"/>
          <w:szCs w:val="16"/>
        </w:rPr>
      </w:pPr>
      <w:r w:rsidRPr="004267B7">
        <w:rPr>
          <w:rFonts w:ascii="Palatino Linotype" w:eastAsiaTheme="minorEastAsia" w:hAnsi="Palatino Linotype" w:cs="Arial"/>
          <w:i/>
          <w:lang w:val="es-MX"/>
        </w:rPr>
        <w:t>“</w:t>
      </w:r>
      <w:r w:rsidR="00E638FD" w:rsidRPr="00E638FD">
        <w:rPr>
          <w:rFonts w:ascii="Palatino Linotype" w:hAnsi="Palatino Linotype"/>
          <w:i/>
          <w:color w:val="000000"/>
        </w:rPr>
        <w:t>por este medio quiero impugnar la respuesta que me fue entregada</w:t>
      </w:r>
      <w:r w:rsidR="00951462">
        <w:rPr>
          <w:rFonts w:ascii="Palatino Linotype" w:hAnsi="Palatino Linotype"/>
          <w:i/>
          <w:lang w:val="es-MX" w:eastAsia="es-MX"/>
        </w:rPr>
        <w:t xml:space="preserve">” </w:t>
      </w:r>
      <w:r w:rsidRPr="00C20143">
        <w:rPr>
          <w:rFonts w:ascii="Palatino Linotype" w:hAnsi="Palatino Linotype" w:cs="Arial"/>
          <w:i/>
        </w:rPr>
        <w:t>(</w:t>
      </w:r>
      <w:r w:rsidRPr="00945D23">
        <w:rPr>
          <w:rFonts w:ascii="Palatino Linotype" w:hAnsi="Palatino Linotype" w:cs="Arial"/>
          <w:sz w:val="16"/>
          <w:szCs w:val="16"/>
        </w:rPr>
        <w:t>sic)</w:t>
      </w:r>
    </w:p>
    <w:p w14:paraId="0A8D8887" w14:textId="77777777" w:rsidR="00DB331E" w:rsidRPr="0040233B" w:rsidRDefault="00DB331E" w:rsidP="00DB331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72BB4CA0" w14:textId="05A43268" w:rsidR="00DB331E" w:rsidRDefault="00DB331E" w:rsidP="00DB331E">
      <w:pPr>
        <w:spacing w:before="240" w:after="240" w:line="360" w:lineRule="auto"/>
        <w:ind w:left="851" w:right="902"/>
        <w:jc w:val="both"/>
        <w:rPr>
          <w:rFonts w:ascii="Palatino Linotype" w:hAnsi="Palatino Linotype" w:cs="Arial"/>
          <w:i/>
        </w:rPr>
      </w:pPr>
      <w:r w:rsidRPr="0041342A">
        <w:rPr>
          <w:rFonts w:ascii="Palatino Linotype" w:hAnsi="Palatino Linotype"/>
          <w:i/>
          <w:color w:val="000000"/>
        </w:rPr>
        <w:t>“</w:t>
      </w:r>
      <w:r w:rsidR="00E638FD" w:rsidRPr="00E638FD">
        <w:rPr>
          <w:rFonts w:ascii="Palatino Linotype" w:hAnsi="Palatino Linotype"/>
          <w:i/>
          <w:color w:val="000000"/>
        </w:rPr>
        <w:t>la respuesta no contiene toda la información que solicité en mi solicitud de información. Ponen una liga electronica del portal ipomex, pero la informacion que solicité no se encuentra ahí. Quiero lo que solicité a través de este sistema saimex.</w:t>
      </w:r>
      <w:r w:rsidRPr="004267B7">
        <w:rPr>
          <w:rFonts w:ascii="Palatino Linotype" w:hAnsi="Palatino Linotype"/>
          <w:i/>
          <w:color w:val="000000"/>
        </w:rPr>
        <w:t>”</w:t>
      </w:r>
      <w:r w:rsidRPr="001000DF">
        <w:rPr>
          <w:rFonts w:ascii="Palatino Linotype" w:hAnsi="Palatino Linotype" w:cs="Arial"/>
          <w:i/>
          <w:sz w:val="16"/>
          <w:szCs w:val="16"/>
        </w:rPr>
        <w:t xml:space="preserve"> (sic)</w:t>
      </w:r>
    </w:p>
    <w:p w14:paraId="16778F10" w14:textId="651306C8" w:rsidR="00DB331E" w:rsidRPr="0040233B" w:rsidRDefault="00951462" w:rsidP="00DB331E">
      <w:pPr>
        <w:spacing w:before="240" w:after="240" w:line="360" w:lineRule="auto"/>
        <w:jc w:val="both"/>
        <w:rPr>
          <w:rFonts w:ascii="Palatino Linotype" w:hAnsi="Palatino Linotype" w:cs="Arial"/>
        </w:rPr>
      </w:pPr>
      <w:r>
        <w:rPr>
          <w:rFonts w:ascii="Palatino Linotype" w:hAnsi="Palatino Linotype" w:cs="Arial"/>
          <w:b/>
          <w:sz w:val="28"/>
          <w:szCs w:val="28"/>
        </w:rPr>
        <w:t>4</w:t>
      </w:r>
      <w:r w:rsidR="00DB331E" w:rsidRPr="0040233B">
        <w:rPr>
          <w:rFonts w:ascii="Palatino Linotype" w:hAnsi="Palatino Linotype" w:cs="Arial"/>
          <w:b/>
          <w:sz w:val="28"/>
          <w:szCs w:val="28"/>
        </w:rPr>
        <w:t xml:space="preserve">. </w:t>
      </w:r>
      <w:r w:rsidR="00DB331E" w:rsidRPr="0040233B">
        <w:rPr>
          <w:rFonts w:ascii="Palatino Linotype" w:eastAsia="Calibri" w:hAnsi="Palatino Linotype" w:cs="Arial"/>
          <w:b/>
          <w:sz w:val="28"/>
          <w:szCs w:val="28"/>
        </w:rPr>
        <w:t xml:space="preserve">Turno. </w:t>
      </w:r>
      <w:r w:rsidR="00DB331E"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w:t>
      </w:r>
      <w:r w:rsidR="00DB331E" w:rsidRPr="0040233B">
        <w:rPr>
          <w:rFonts w:ascii="Palatino Linotype" w:eastAsia="Calibri" w:hAnsi="Palatino Linotype" w:cs="Arial"/>
        </w:rPr>
        <w:lastRenderedPageBreak/>
        <w:t xml:space="preserve">Acceso a la Información Pública y Protección de Datos Personales del Estado de México y Municipios, que </w:t>
      </w:r>
      <w:r w:rsidR="00DB331E" w:rsidRPr="0040233B">
        <w:rPr>
          <w:rFonts w:ascii="Palatino Linotype" w:hAnsi="Palatino Linotype" w:cs="Arial"/>
        </w:rPr>
        <w:t>por razón de turno fue asignado al</w:t>
      </w:r>
      <w:r w:rsidR="00DB331E" w:rsidRPr="0040233B">
        <w:rPr>
          <w:rFonts w:ascii="Palatino Linotype" w:eastAsia="Calibri" w:hAnsi="Palatino Linotype" w:cs="Arial"/>
        </w:rPr>
        <w:t xml:space="preserve"> Comisionado </w:t>
      </w:r>
      <w:r w:rsidR="00DB331E" w:rsidRPr="0040233B">
        <w:rPr>
          <w:rFonts w:ascii="Palatino Linotype" w:eastAsia="Calibri" w:hAnsi="Palatino Linotype" w:cs="Arial"/>
          <w:b/>
        </w:rPr>
        <w:t>Javier Martínez Cruz</w:t>
      </w:r>
      <w:r w:rsidR="00DB331E" w:rsidRPr="0040233B">
        <w:rPr>
          <w:rFonts w:ascii="Palatino Linotype" w:hAnsi="Palatino Linotype" w:cs="Arial"/>
        </w:rPr>
        <w:t xml:space="preserve"> para su análisis, estudio, elaboración del proyecto y </w:t>
      </w:r>
      <w:r w:rsidR="00DB331E" w:rsidRPr="0040233B">
        <w:rPr>
          <w:rFonts w:ascii="Palatino Linotype" w:eastAsia="Calibri" w:hAnsi="Palatino Linotype" w:cs="Arial"/>
        </w:rPr>
        <w:t>presentación ante el Pleno de este Instituto.</w:t>
      </w:r>
    </w:p>
    <w:p w14:paraId="03B812E3" w14:textId="20D2F2CA" w:rsidR="00DB331E" w:rsidRPr="007C4CA8" w:rsidRDefault="00951462" w:rsidP="00DB331E">
      <w:pPr>
        <w:spacing w:before="240" w:after="240" w:line="360" w:lineRule="auto"/>
        <w:jc w:val="both"/>
        <w:rPr>
          <w:rFonts w:ascii="Palatino Linotype" w:hAnsi="Palatino Linotype" w:cs="Arial"/>
          <w:color w:val="C00000"/>
        </w:rPr>
      </w:pPr>
      <w:r>
        <w:rPr>
          <w:rFonts w:ascii="Palatino Linotype" w:hAnsi="Palatino Linotype" w:cs="Arial"/>
          <w:b/>
          <w:sz w:val="28"/>
          <w:szCs w:val="28"/>
        </w:rPr>
        <w:t>5</w:t>
      </w:r>
      <w:r w:rsidR="00DB331E" w:rsidRPr="0040233B">
        <w:rPr>
          <w:rFonts w:ascii="Palatino Linotype" w:hAnsi="Palatino Linotype" w:cs="Arial"/>
          <w:b/>
          <w:sz w:val="28"/>
          <w:szCs w:val="28"/>
        </w:rPr>
        <w:t xml:space="preserve">. Admisión. </w:t>
      </w:r>
      <w:r w:rsidR="00DB331E" w:rsidRPr="0040233B">
        <w:rPr>
          <w:rFonts w:ascii="Palatino Linotype" w:hAnsi="Palatino Linotype" w:cs="Arial"/>
        </w:rPr>
        <w:t xml:space="preserve">Mediante auto de fecha </w:t>
      </w:r>
      <w:r w:rsidR="005B0536">
        <w:rPr>
          <w:rFonts w:ascii="Palatino Linotype" w:hAnsi="Palatino Linotype" w:cs="Arial"/>
          <w:color w:val="C00000"/>
        </w:rPr>
        <w:t>diecinueve de octubre</w:t>
      </w:r>
      <w:r w:rsidR="00DB331E">
        <w:rPr>
          <w:rFonts w:ascii="Palatino Linotype" w:hAnsi="Palatino Linotype" w:cs="Arial"/>
          <w:color w:val="C00000"/>
        </w:rPr>
        <w:t xml:space="preserve"> </w:t>
      </w:r>
      <w:r>
        <w:rPr>
          <w:rFonts w:ascii="Palatino Linotype" w:hAnsi="Palatino Linotype" w:cs="Arial"/>
        </w:rPr>
        <w:t xml:space="preserve">de </w:t>
      </w:r>
      <w:r w:rsidR="001D1328">
        <w:rPr>
          <w:rFonts w:ascii="Palatino Linotype" w:hAnsi="Palatino Linotype" w:cs="Arial"/>
        </w:rPr>
        <w:t>dos mil dieciocho</w:t>
      </w:r>
      <w:r w:rsidR="00DB331E" w:rsidRPr="0040233B">
        <w:rPr>
          <w:rFonts w:ascii="Palatino Linotype" w:hAnsi="Palatino Linotype" w:cs="Arial"/>
        </w:rPr>
        <w:t xml:space="preserve">, este Órgano Garante, admitió a trámite el recurso de revisión respectivo, poniéndose a disposición de las partes, para que un plazo no mayor a siete días </w:t>
      </w:r>
      <w:r w:rsidR="00DB331E">
        <w:rPr>
          <w:rFonts w:ascii="Palatino Linotype" w:hAnsi="Palatino Linotype" w:cs="Arial"/>
        </w:rPr>
        <w:t xml:space="preserve">hábiles </w:t>
      </w:r>
      <w:r w:rsidR="00DB331E" w:rsidRPr="0040233B">
        <w:rPr>
          <w:rFonts w:ascii="Palatino Linotype" w:hAnsi="Palatino Linotype" w:cs="Arial"/>
        </w:rPr>
        <w:t xml:space="preserve">manifestaran lo que a su derecho corresponda, a efecto de ofrecer pruebas, informe justificado y alegatos, lo anterior con fundamento en el artículo 185 fracciones I, II y IV de la Ley de Transparencia y Acceso a la Información Pública del Estado de México y Municipios. </w:t>
      </w:r>
    </w:p>
    <w:p w14:paraId="4CE3984F" w14:textId="00D9F5F7" w:rsidR="005B0536" w:rsidRDefault="00951462" w:rsidP="00D8483E">
      <w:pPr>
        <w:spacing w:before="100" w:beforeAutospacing="1" w:after="100" w:afterAutospacing="1" w:line="360" w:lineRule="auto"/>
        <w:jc w:val="both"/>
        <w:rPr>
          <w:rFonts w:ascii="Palatino Linotype" w:hAnsi="Palatino Linotype" w:cs="Arial"/>
        </w:rPr>
      </w:pPr>
      <w:r>
        <w:rPr>
          <w:rFonts w:ascii="Palatino Linotype" w:hAnsi="Palatino Linotype" w:cs="Arial"/>
          <w:b/>
          <w:sz w:val="28"/>
          <w:szCs w:val="28"/>
        </w:rPr>
        <w:t>6</w:t>
      </w:r>
      <w:r w:rsidR="00DB331E" w:rsidRPr="0040233B">
        <w:rPr>
          <w:rFonts w:ascii="Palatino Linotype" w:hAnsi="Palatino Linotype" w:cs="Arial"/>
          <w:b/>
          <w:sz w:val="28"/>
          <w:szCs w:val="28"/>
        </w:rPr>
        <w:t>. Manifestaciones.</w:t>
      </w:r>
      <w:r w:rsidR="00DB331E" w:rsidRPr="0040233B">
        <w:t xml:space="preserve"> </w:t>
      </w:r>
      <w:r w:rsidR="005B0536" w:rsidRPr="00F123D8">
        <w:rPr>
          <w:rFonts w:ascii="Palatino Linotype" w:hAnsi="Palatino Linotype"/>
        </w:rPr>
        <w:t>De las constancias del expediente electrónico del</w:t>
      </w:r>
      <w:r w:rsidR="005B0536" w:rsidRPr="00F123D8">
        <w:rPr>
          <w:rFonts w:ascii="Palatino Linotype" w:hAnsi="Palatino Linotype" w:cs="Arial"/>
          <w:b/>
        </w:rPr>
        <w:t xml:space="preserve"> SAIMEX</w:t>
      </w:r>
      <w:r w:rsidR="005B0536" w:rsidRPr="00F123D8">
        <w:rPr>
          <w:rFonts w:ascii="Palatino Linotype" w:hAnsi="Palatino Linotype"/>
        </w:rPr>
        <w:t xml:space="preserve">, se observa que </w:t>
      </w:r>
      <w:r w:rsidR="005B0536" w:rsidRPr="00140D94">
        <w:rPr>
          <w:rFonts w:ascii="Palatino Linotype" w:hAnsi="Palatino Linotype" w:cs="Arial"/>
        </w:rPr>
        <w:t>el</w:t>
      </w:r>
      <w:r w:rsidR="005B0536" w:rsidRPr="00F123D8">
        <w:rPr>
          <w:rFonts w:ascii="Palatino Linotype" w:hAnsi="Palatino Linotype" w:cs="Arial"/>
        </w:rPr>
        <w:t xml:space="preserve"> </w:t>
      </w:r>
      <w:r w:rsidR="005B0536" w:rsidRPr="00140D94">
        <w:rPr>
          <w:rFonts w:ascii="Palatino Linotype" w:hAnsi="Palatino Linotype" w:cs="Arial"/>
          <w:b/>
        </w:rPr>
        <w:t>S</w:t>
      </w:r>
      <w:r w:rsidR="005B0536" w:rsidRPr="00F123D8">
        <w:rPr>
          <w:rFonts w:ascii="Palatino Linotype" w:hAnsi="Palatino Linotype" w:cs="Arial"/>
          <w:b/>
        </w:rPr>
        <w:t>ujet</w:t>
      </w:r>
      <w:r w:rsidR="005B0536">
        <w:rPr>
          <w:rFonts w:ascii="Palatino Linotype" w:hAnsi="Palatino Linotype" w:cs="Arial"/>
          <w:b/>
        </w:rPr>
        <w:t>o O</w:t>
      </w:r>
      <w:r w:rsidR="005B0536" w:rsidRPr="00F123D8">
        <w:rPr>
          <w:rFonts w:ascii="Palatino Linotype" w:hAnsi="Palatino Linotype" w:cs="Arial"/>
          <w:b/>
        </w:rPr>
        <w:t>bligado</w:t>
      </w:r>
      <w:r w:rsidR="005B0536" w:rsidRPr="00F123D8">
        <w:rPr>
          <w:rFonts w:ascii="Palatino Linotype" w:hAnsi="Palatino Linotype" w:cs="Arial"/>
        </w:rPr>
        <w:t xml:space="preserve"> </w:t>
      </w:r>
      <w:r w:rsidR="005B0536">
        <w:rPr>
          <w:rFonts w:ascii="Palatino Linotype" w:hAnsi="Palatino Linotype" w:cs="Arial"/>
        </w:rPr>
        <w:t>envió en fecha treinta de octubre de</w:t>
      </w:r>
      <w:r w:rsidR="001D1328">
        <w:rPr>
          <w:rFonts w:ascii="Palatino Linotype" w:hAnsi="Palatino Linotype" w:cs="Arial"/>
        </w:rPr>
        <w:t>l dos mil dieciocho</w:t>
      </w:r>
      <w:r w:rsidR="005B0536">
        <w:rPr>
          <w:rFonts w:ascii="Palatino Linotype" w:hAnsi="Palatino Linotype" w:cs="Arial"/>
        </w:rPr>
        <w:t xml:space="preserve">, su informe justificado </w:t>
      </w:r>
      <w:r w:rsidR="00901ED0">
        <w:rPr>
          <w:rFonts w:ascii="Palatino Linotype" w:hAnsi="Palatino Linotype" w:cs="Arial"/>
        </w:rPr>
        <w:t xml:space="preserve">mediante los archivos </w:t>
      </w:r>
      <w:r w:rsidR="00901ED0">
        <w:rPr>
          <w:rFonts w:ascii="Palatino Linotype" w:hAnsi="Palatino Linotype" w:cs="Arial"/>
          <w:b/>
        </w:rPr>
        <w:t xml:space="preserve">IJ EXPEDIENTE RR 03919, SI 00350.docx, IJ EXPEDIENTE RR 03919, SI 00350.pdf </w:t>
      </w:r>
      <w:r w:rsidR="005B0536">
        <w:rPr>
          <w:rFonts w:ascii="Palatino Linotype" w:hAnsi="Palatino Linotype" w:cs="Arial"/>
        </w:rPr>
        <w:t>a</w:t>
      </w:r>
      <w:r w:rsidR="00901ED0">
        <w:rPr>
          <w:rFonts w:ascii="Palatino Linotype" w:hAnsi="Palatino Linotype" w:cs="Arial"/>
        </w:rPr>
        <w:t xml:space="preserve"> </w:t>
      </w:r>
      <w:r w:rsidR="005B0536">
        <w:rPr>
          <w:rFonts w:ascii="Palatino Linotype" w:hAnsi="Palatino Linotype" w:cs="Arial"/>
        </w:rPr>
        <w:t>l</w:t>
      </w:r>
      <w:r w:rsidR="00901ED0">
        <w:rPr>
          <w:rFonts w:ascii="Palatino Linotype" w:hAnsi="Palatino Linotype" w:cs="Arial"/>
        </w:rPr>
        <w:t>os</w:t>
      </w:r>
      <w:r w:rsidR="005B0536">
        <w:rPr>
          <w:rFonts w:ascii="Palatino Linotype" w:hAnsi="Palatino Linotype" w:cs="Arial"/>
        </w:rPr>
        <w:t xml:space="preserve"> cual</w:t>
      </w:r>
      <w:r w:rsidR="00901ED0">
        <w:rPr>
          <w:rFonts w:ascii="Palatino Linotype" w:hAnsi="Palatino Linotype" w:cs="Arial"/>
        </w:rPr>
        <w:t>es</w:t>
      </w:r>
      <w:r w:rsidR="005B0536">
        <w:rPr>
          <w:rFonts w:ascii="Palatino Linotype" w:hAnsi="Palatino Linotype" w:cs="Arial"/>
        </w:rPr>
        <w:t xml:space="preserve"> adjunto </w:t>
      </w:r>
      <w:r w:rsidR="005B0536">
        <w:rPr>
          <w:rFonts w:ascii="Palatino Linotype" w:hAnsi="Palatino Linotype" w:cs="Arial"/>
          <w:b/>
        </w:rPr>
        <w:t>Sec ayto 3919.pdf, Oficio PMUT 240 2018 A</w:t>
      </w:r>
      <w:r w:rsidR="00901ED0">
        <w:rPr>
          <w:rFonts w:ascii="Palatino Linotype" w:hAnsi="Palatino Linotype" w:cs="Arial"/>
          <w:b/>
        </w:rPr>
        <w:t>y</w:t>
      </w:r>
      <w:r w:rsidR="005B0536">
        <w:rPr>
          <w:rFonts w:ascii="Palatino Linotype" w:hAnsi="Palatino Linotype" w:cs="Arial"/>
          <w:b/>
        </w:rPr>
        <w:t xml:space="preserve">to S.I.J. RR 03919, SI 000350.docx, </w:t>
      </w:r>
      <w:r w:rsidR="005B0536">
        <w:rPr>
          <w:rFonts w:ascii="Palatino Linotype" w:hAnsi="Palatino Linotype" w:cs="Arial"/>
        </w:rPr>
        <w:t xml:space="preserve"> </w:t>
      </w:r>
      <w:r w:rsidR="005B0536">
        <w:rPr>
          <w:rFonts w:ascii="Palatino Linotype" w:hAnsi="Palatino Linotype" w:cs="Arial"/>
          <w:b/>
        </w:rPr>
        <w:t xml:space="preserve">, Oficio PMUT 235 2018 Admon S.I.J. RR 03919, SI 000350.docx, Oficio PMUT 239 2018 Tesoreria S.I.J. RR 03919, SI 000350.docx, Respuesta a recurso 03919 de la sol 0350.pdf, Oficio PMUT 238 2018 Infra S.I.J. RR 03919, SI 000350.docx, </w:t>
      </w:r>
      <w:r w:rsidR="00E33427">
        <w:rPr>
          <w:rFonts w:ascii="Palatino Linotype" w:hAnsi="Palatino Linotype" w:cs="Arial"/>
          <w:b/>
        </w:rPr>
        <w:t xml:space="preserve">Oficio PMUT 239 2018 Tesoreria S.I.J. RR 03919, SI 000350.pdf, Oficio PMUT 250 2018 Archivo S.I.J. RR 03919, SI 000350.pdf, Oficio PMUT 238 2018 Infra S.I.J. RR 03919, SI 000350.pdf, Oficio PMUT 235 2018 Admon S.I.J. RR 03919, SI 000350.pdf, Admon 3919.pdf, Oficio PMUT 240 2018 Ato S.I.J. RR 03919, SI 000350.pdf </w:t>
      </w:r>
      <w:r w:rsidR="00E33427">
        <w:rPr>
          <w:rFonts w:ascii="Palatino Linotype" w:hAnsi="Palatino Linotype" w:cs="Arial"/>
        </w:rPr>
        <w:t xml:space="preserve">e </w:t>
      </w:r>
      <w:r w:rsidR="00E33427">
        <w:rPr>
          <w:rFonts w:ascii="Palatino Linotype" w:hAnsi="Palatino Linotype" w:cs="Arial"/>
          <w:b/>
        </w:rPr>
        <w:t xml:space="preserve">Infraestructura 3919.pdf </w:t>
      </w:r>
      <w:r w:rsidR="005B0536">
        <w:rPr>
          <w:rFonts w:ascii="Palatino Linotype" w:hAnsi="Palatino Linotype" w:cs="Arial"/>
        </w:rPr>
        <w:t xml:space="preserve">en el momento procesal previsto en la Ley para formular </w:t>
      </w:r>
      <w:r w:rsidR="005B0536">
        <w:rPr>
          <w:rFonts w:ascii="Palatino Linotype" w:hAnsi="Palatino Linotype" w:cs="Arial"/>
        </w:rPr>
        <w:lastRenderedPageBreak/>
        <w:t>informe justificado y ofrecer pruebas y/o alegatos; en los que consta los argumentos vertidos como informe justificado, así como el informe rendido por l</w:t>
      </w:r>
      <w:r w:rsidR="00E33427">
        <w:rPr>
          <w:rFonts w:ascii="Palatino Linotype" w:hAnsi="Palatino Linotype" w:cs="Arial"/>
        </w:rPr>
        <w:t>os</w:t>
      </w:r>
      <w:r w:rsidR="005B0536">
        <w:rPr>
          <w:rFonts w:ascii="Palatino Linotype" w:hAnsi="Palatino Linotype" w:cs="Arial"/>
        </w:rPr>
        <w:t xml:space="preserve"> Servidor</w:t>
      </w:r>
      <w:r w:rsidR="00E33427">
        <w:rPr>
          <w:rFonts w:ascii="Palatino Linotype" w:hAnsi="Palatino Linotype" w:cs="Arial"/>
        </w:rPr>
        <w:t>es</w:t>
      </w:r>
      <w:r w:rsidR="005B0536">
        <w:rPr>
          <w:rFonts w:ascii="Palatino Linotype" w:hAnsi="Palatino Linotype" w:cs="Arial"/>
        </w:rPr>
        <w:t xml:space="preserve"> Público</w:t>
      </w:r>
      <w:r w:rsidR="00E33427">
        <w:rPr>
          <w:rFonts w:ascii="Palatino Linotype" w:hAnsi="Palatino Linotype" w:cs="Arial"/>
        </w:rPr>
        <w:t>s</w:t>
      </w:r>
      <w:r w:rsidR="005B0536">
        <w:rPr>
          <w:rFonts w:ascii="Palatino Linotype" w:hAnsi="Palatino Linotype" w:cs="Arial"/>
        </w:rPr>
        <w:t xml:space="preserve"> Habilitado</w:t>
      </w:r>
      <w:r w:rsidR="00E33427">
        <w:rPr>
          <w:rFonts w:ascii="Palatino Linotype" w:hAnsi="Palatino Linotype" w:cs="Arial"/>
        </w:rPr>
        <w:t>s</w:t>
      </w:r>
      <w:r w:rsidR="005B0536">
        <w:rPr>
          <w:rFonts w:ascii="Palatino Linotype" w:hAnsi="Palatino Linotype" w:cs="Arial"/>
        </w:rPr>
        <w:t>, mismos que no fueron hechos del conocimiento del particular por no modificar la respuesta primigenia o el sentido de la presente resolución.</w:t>
      </w:r>
    </w:p>
    <w:p w14:paraId="44BDB536" w14:textId="77777777" w:rsidR="00D8483E" w:rsidRPr="00942581" w:rsidRDefault="00951462" w:rsidP="00D8483E">
      <w:pPr>
        <w:spacing w:before="100" w:beforeAutospacing="1" w:after="100" w:afterAutospacing="1" w:line="360" w:lineRule="auto"/>
        <w:jc w:val="both"/>
        <w:rPr>
          <w:rFonts w:ascii="Palatino Linotype" w:eastAsiaTheme="minorHAnsi" w:hAnsi="Palatino Linotype" w:cs="Arial"/>
          <w:lang w:val="es-MX" w:eastAsia="en-US"/>
        </w:rPr>
      </w:pPr>
      <w:r>
        <w:rPr>
          <w:rFonts w:ascii="Palatino Linotype" w:eastAsia="Calibri" w:hAnsi="Palatino Linotype" w:cs="Arial"/>
          <w:b/>
          <w:sz w:val="28"/>
          <w:szCs w:val="28"/>
        </w:rPr>
        <w:t>7</w:t>
      </w:r>
      <w:r w:rsidR="00945D23" w:rsidRPr="0040233B">
        <w:rPr>
          <w:rFonts w:ascii="Palatino Linotype" w:eastAsia="Calibri" w:hAnsi="Palatino Linotype" w:cs="Arial"/>
          <w:b/>
          <w:sz w:val="28"/>
          <w:szCs w:val="28"/>
        </w:rPr>
        <w:t xml:space="preserve">. </w:t>
      </w:r>
      <w:r w:rsidR="00D8483E" w:rsidRPr="00942581">
        <w:rPr>
          <w:rFonts w:ascii="Palatino Linotype" w:hAnsi="Palatino Linotype" w:cs="Arial"/>
          <w:b/>
          <w:sz w:val="28"/>
          <w:lang w:val="es-MX" w:eastAsia="es-MX"/>
        </w:rPr>
        <w:t>Ampliación de plazo</w:t>
      </w:r>
      <w:r w:rsidR="00D8483E" w:rsidRPr="00942581">
        <w:rPr>
          <w:rFonts w:ascii="Palatino Linotype" w:hAnsi="Palatino Linotype" w:cs="Arial"/>
          <w:lang w:val="es-MX" w:eastAsia="es-MX"/>
        </w:rPr>
        <w:t xml:space="preserve">. </w:t>
      </w:r>
      <w:r w:rsidR="00D8483E" w:rsidRPr="00942581">
        <w:rPr>
          <w:rFonts w:ascii="Palatino Linotype" w:eastAsiaTheme="minorHAnsi" w:hAnsi="Palatino Linotype" w:cs="Arial"/>
          <w:lang w:val="es-MX" w:eastAsia="en-US"/>
        </w:rPr>
        <w:t xml:space="preserve">En fecha </w:t>
      </w:r>
      <w:r w:rsidR="00D8483E">
        <w:rPr>
          <w:rFonts w:ascii="Palatino Linotype" w:eastAsia="Calibri" w:hAnsi="Palatino Linotype" w:cs="Arial"/>
          <w:szCs w:val="28"/>
        </w:rPr>
        <w:t>cuatro de diciembre de dos mil dieciocho</w:t>
      </w:r>
      <w:r w:rsidR="00D8483E" w:rsidRPr="00942581">
        <w:rPr>
          <w:rFonts w:ascii="Palatino Linotype" w:eastAsiaTheme="minorHAnsi" w:hAnsi="Palatino Linotype" w:cs="Arial"/>
          <w:lang w:val="es-MX" w:eastAsia="en-US"/>
        </w:rPr>
        <w:t>, se notificó a la parte recurrente que el plazo de treinta días hábiles para emitir la resolución de los presentes recursos de revisión se había ampliado por un periodo de quince días hábiles a fin de realizar un mejor estudio del asunto.</w:t>
      </w:r>
    </w:p>
    <w:p w14:paraId="4B155E3D" w14:textId="334580BD" w:rsidR="007428C7" w:rsidRDefault="00D8483E" w:rsidP="00D8483E">
      <w:pPr>
        <w:spacing w:before="240" w:after="240" w:line="360" w:lineRule="auto"/>
        <w:jc w:val="both"/>
        <w:rPr>
          <w:rFonts w:ascii="Palatino Linotype" w:hAnsi="Palatino Linotype"/>
        </w:rPr>
      </w:pPr>
      <w:r>
        <w:rPr>
          <w:rFonts w:ascii="Palatino Linotype" w:hAnsi="Palatino Linotype" w:cs="Arial"/>
          <w:b/>
          <w:sz w:val="28"/>
          <w:szCs w:val="28"/>
        </w:rPr>
        <w:t xml:space="preserve">8. </w:t>
      </w:r>
      <w:r w:rsidR="00945D23" w:rsidRPr="0040233B">
        <w:rPr>
          <w:rFonts w:ascii="Palatino Linotype" w:eastAsia="Calibri" w:hAnsi="Palatino Linotype" w:cs="Arial"/>
          <w:b/>
          <w:sz w:val="28"/>
          <w:szCs w:val="28"/>
        </w:rPr>
        <w:t xml:space="preserve">Cierre de Instrucción. </w:t>
      </w:r>
      <w:r w:rsidR="00945D23" w:rsidRPr="0040233B">
        <w:rPr>
          <w:rFonts w:ascii="Palatino Linotype" w:eastAsia="Calibri" w:hAnsi="Palatino Linotype" w:cs="Arial"/>
        </w:rPr>
        <w:t>Una vez transcurrido el plazo otorgado</w:t>
      </w:r>
      <w:r w:rsidR="00945D23">
        <w:rPr>
          <w:rFonts w:ascii="Palatino Linotype" w:eastAsia="Calibri" w:hAnsi="Palatino Linotype" w:cs="Arial"/>
        </w:rPr>
        <w:t xml:space="preserve"> para que las partes manifestara</w:t>
      </w:r>
      <w:r w:rsidR="00945D23" w:rsidRPr="0040233B">
        <w:rPr>
          <w:rFonts w:ascii="Palatino Linotype" w:eastAsia="Calibri" w:hAnsi="Palatino Linotype" w:cs="Arial"/>
        </w:rPr>
        <w:t xml:space="preserve">n lo que a su derecho conviniera, y siguiendo </w:t>
      </w:r>
      <w:r w:rsidR="00945D23" w:rsidRPr="0040233B">
        <w:rPr>
          <w:rFonts w:ascii="Palatino Linotype" w:hAnsi="Palatino Linotype"/>
        </w:rPr>
        <w:t>los trámites correspondientes con fundamento en el artículo 185 fracción VI de la Ley de Transparencia y Acceso a la Información Pública del Estado de México y Municipios</w:t>
      </w:r>
      <w:r w:rsidR="00945D23">
        <w:rPr>
          <w:rFonts w:ascii="Palatino Linotype" w:hAnsi="Palatino Linotype"/>
        </w:rPr>
        <w:t>,</w:t>
      </w:r>
      <w:r w:rsidR="00945D23" w:rsidRPr="0040233B">
        <w:rPr>
          <w:rFonts w:ascii="Palatino Linotype" w:hAnsi="Palatino Linotype"/>
        </w:rPr>
        <w:t xml:space="preserve"> el día </w:t>
      </w:r>
      <w:r w:rsidR="00E33427">
        <w:rPr>
          <w:rFonts w:ascii="Palatino Linotype" w:hAnsi="Palatino Linotype"/>
          <w:color w:val="C00000"/>
        </w:rPr>
        <w:t>cinco de diciembre</w:t>
      </w:r>
      <w:r w:rsidR="00945D23" w:rsidRPr="001C5205">
        <w:rPr>
          <w:rFonts w:ascii="Palatino Linotype" w:hAnsi="Palatino Linotype"/>
          <w:color w:val="C00000"/>
        </w:rPr>
        <w:t xml:space="preserve"> </w:t>
      </w:r>
      <w:r w:rsidR="00945D23" w:rsidRPr="0040233B">
        <w:rPr>
          <w:rFonts w:ascii="Palatino Linotype" w:hAnsi="Palatino Linotype"/>
        </w:rPr>
        <w:t>de</w:t>
      </w:r>
      <w:r w:rsidR="00945D23">
        <w:rPr>
          <w:rFonts w:ascii="Palatino Linotype" w:hAnsi="Palatino Linotype"/>
        </w:rPr>
        <w:t>l</w:t>
      </w:r>
      <w:r w:rsidR="00945D23" w:rsidRPr="0040233B">
        <w:rPr>
          <w:rFonts w:ascii="Palatino Linotype" w:hAnsi="Palatino Linotype"/>
        </w:rPr>
        <w:t xml:space="preserve"> dos mil dieci</w:t>
      </w:r>
      <w:r w:rsidR="00AD4BEF">
        <w:rPr>
          <w:rFonts w:ascii="Palatino Linotype" w:hAnsi="Palatino Linotype"/>
        </w:rPr>
        <w:t>ocho</w:t>
      </w:r>
      <w:r w:rsidR="00945D23" w:rsidRPr="0040233B">
        <w:rPr>
          <w:rFonts w:ascii="Palatino Linotype" w:hAnsi="Palatino Linotype"/>
        </w:rPr>
        <w:t xml:space="preserve"> se procedió a decretar el cierre de instrucción respectivo. </w:t>
      </w:r>
    </w:p>
    <w:p w14:paraId="7E999664" w14:textId="4C89E0E6" w:rsidR="00945D23" w:rsidRPr="00DA0B77" w:rsidRDefault="00945D23" w:rsidP="00945D23">
      <w:pPr>
        <w:spacing w:before="240" w:line="360" w:lineRule="auto"/>
        <w:jc w:val="both"/>
        <w:rPr>
          <w:rFonts w:ascii="Palatino Linotype" w:eastAsia="Calibri" w:hAnsi="Palatino Linotype" w:cs="Arial"/>
          <w:szCs w:val="28"/>
        </w:rPr>
      </w:pPr>
      <w:r w:rsidRPr="00DA0B77">
        <w:rPr>
          <w:rFonts w:ascii="Palatino Linotype" w:eastAsia="Calibri" w:hAnsi="Palatino Linotype" w:cs="Arial"/>
          <w:szCs w:val="28"/>
        </w:rPr>
        <w:t>En razón de que fue debidamente substanciado el expediente y no existiendo diligencia pendiente de desahogo, se ordenó emitir la resolución que conforme a derecho proceda, de acuerdo a los siguientes:</w:t>
      </w:r>
    </w:p>
    <w:p w14:paraId="2326DF6F" w14:textId="24030FE1" w:rsidR="000A515A" w:rsidRDefault="000A515A" w:rsidP="004A6EFE">
      <w:pPr>
        <w:pStyle w:val="Ttulo2"/>
        <w:jc w:val="center"/>
        <w:rPr>
          <w:rFonts w:ascii="Palatino Linotype" w:hAnsi="Palatino Linotype"/>
          <w:b/>
          <w:color w:val="auto"/>
          <w:sz w:val="24"/>
          <w:szCs w:val="24"/>
        </w:rPr>
      </w:pPr>
    </w:p>
    <w:p w14:paraId="7CD5D137" w14:textId="6E97D5DD"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D1D7128"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6005CF00" w:rsidR="00A5404F" w:rsidRDefault="00A5404F" w:rsidP="008E7698">
      <w:pPr>
        <w:spacing w:before="240" w:after="240" w:line="360" w:lineRule="auto"/>
        <w:jc w:val="both"/>
        <w:rPr>
          <w:rFonts w:ascii="Palatino Linotype" w:hAnsi="Palatino Linotype"/>
          <w:shd w:val="clear" w:color="auto" w:fill="FFFFFF"/>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w:t>
      </w:r>
      <w:r w:rsidRPr="0040233B">
        <w:rPr>
          <w:rFonts w:ascii="Palatino Linotype" w:hAnsi="Palatino Linotype"/>
          <w:shd w:val="clear" w:color="auto" w:fill="FFFFFF"/>
        </w:rPr>
        <w:lastRenderedPageBreak/>
        <w:t xml:space="preserve">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492398">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E672B7" w:rsidRPr="0040233B">
        <w:rPr>
          <w:rFonts w:ascii="Palatino Linotype" w:hAnsi="Palatino Linotype"/>
          <w:shd w:val="clear" w:color="auto" w:fill="FFFFFF"/>
        </w:rPr>
        <w:t>fraccio</w:t>
      </w:r>
      <w:r w:rsidR="00E672B7">
        <w:rPr>
          <w:rFonts w:ascii="Palatino Linotype" w:hAnsi="Palatino Linotype"/>
          <w:shd w:val="clear" w:color="auto" w:fill="FFFFFF"/>
        </w:rPr>
        <w:t>n</w:t>
      </w:r>
      <w:r w:rsidR="00E672B7" w:rsidRPr="0040233B">
        <w:rPr>
          <w:rFonts w:ascii="Palatino Linotype" w:hAnsi="Palatino Linotype"/>
          <w:shd w:val="clear" w:color="auto" w:fill="FFFFFF"/>
        </w:rPr>
        <w:t>e</w:t>
      </w:r>
      <w:r w:rsidR="00E672B7">
        <w:rPr>
          <w:rFonts w:ascii="Palatino Linotype" w:hAnsi="Palatino Linotype"/>
          <w:shd w:val="clear" w:color="auto" w:fill="FFFFFF"/>
        </w:rPr>
        <w:t>s</w:t>
      </w:r>
      <w:r w:rsidR="00D371C6" w:rsidRPr="0040233B">
        <w:rPr>
          <w:rFonts w:ascii="Palatino Linotype" w:hAnsi="Palatino Linotype"/>
          <w:shd w:val="clear" w:color="auto" w:fill="FFFFFF"/>
        </w:rPr>
        <w:t xml:space="preserve">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Pr="0040233B">
        <w:rPr>
          <w:rFonts w:ascii="Palatino Linotype" w:hAnsi="Palatino Linotype"/>
          <w:shd w:val="clear" w:color="auto" w:fill="FFFFFF"/>
        </w:rPr>
        <w:t>;</w:t>
      </w:r>
      <w:r w:rsidRPr="0040233B">
        <w:rPr>
          <w:rStyle w:val="apple-converted-space"/>
          <w:rFonts w:ascii="Palatino Linotype" w:hAnsi="Palatino Linotype"/>
          <w:shd w:val="clear" w:color="auto" w:fill="FFFFFF"/>
        </w:rPr>
        <w:t> </w:t>
      </w:r>
      <w:r w:rsidR="00EB16EF" w:rsidRPr="00FC4616">
        <w:rPr>
          <w:rFonts w:ascii="Palatino Linotype" w:hAnsi="Palatino Linotype" w:cs="Arial"/>
        </w:rPr>
        <w:t>9 fracciones I, XXIV y 11</w:t>
      </w:r>
      <w:r w:rsidR="00EB16EF" w:rsidRPr="00025A37">
        <w:rPr>
          <w:rFonts w:ascii="Palatino Linotype" w:hAnsi="Palatino Linotype" w:cs="Arial"/>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AC45332" w14:textId="77777777" w:rsidR="00EB16EF" w:rsidRPr="008E7F84" w:rsidRDefault="00DF134A" w:rsidP="00EB16EF">
      <w:pPr>
        <w:spacing w:before="240" w:after="240" w:line="360" w:lineRule="auto"/>
        <w:jc w:val="both"/>
        <w:rPr>
          <w:rFonts w:ascii="Palatino Linotype" w:hAnsi="Palatino Linotype" w:cs="Arial"/>
        </w:rPr>
      </w:pPr>
      <w:r w:rsidRPr="00CE4CC9">
        <w:rPr>
          <w:rFonts w:ascii="Palatino Linotype" w:hAnsi="Palatino Linotype" w:cs="Arial"/>
          <w:b/>
          <w:sz w:val="28"/>
          <w:szCs w:val="28"/>
        </w:rPr>
        <w:t>SEGUNDO. Oportunidad y Procediblidad del Recurso de Revisión.</w:t>
      </w:r>
      <w:r w:rsidRPr="0040233B">
        <w:rPr>
          <w:rFonts w:ascii="Palatino Linotype" w:hAnsi="Palatino Linotype" w:cs="Arial"/>
          <w:b/>
        </w:rPr>
        <w:t xml:space="preserve"> </w:t>
      </w:r>
      <w:r w:rsidR="00EB16EF" w:rsidRPr="009A0D0D">
        <w:rPr>
          <w:rFonts w:ascii="Palatino Linotype" w:hAnsi="Palatino Linotype" w:cs="Arial"/>
        </w:rPr>
        <w:t xml:space="preserve">Previo al estudio del fondo del asunto, se procede a analizar los requisitos de oportunidad y procedibilidad que debe reunir </w:t>
      </w:r>
      <w:r w:rsidR="00EB16EF">
        <w:rPr>
          <w:rFonts w:ascii="Palatino Linotype" w:hAnsi="Palatino Linotype" w:cs="Arial"/>
        </w:rPr>
        <w:t>el</w:t>
      </w:r>
      <w:r w:rsidR="00EB16EF" w:rsidRPr="009A0D0D">
        <w:rPr>
          <w:rFonts w:ascii="Palatino Linotype" w:hAnsi="Palatino Linotype" w:cs="Arial"/>
        </w:rPr>
        <w:t xml:space="preserve"> recurso de revisión interpuesto, previstos en los artículos </w:t>
      </w:r>
      <w:r w:rsidR="00EB16EF" w:rsidRPr="009A0D0D">
        <w:rPr>
          <w:rFonts w:ascii="Palatino Linotype" w:hAnsi="Palatino Linotype" w:cs="Arial"/>
          <w:lang w:val="es-MX"/>
        </w:rPr>
        <w:t>178 y 180 de la Ley de Transparencia y Acceso a la Información Pública del Estado de México y Municipios</w:t>
      </w:r>
      <w:r w:rsidR="00EB16EF" w:rsidRPr="009A0D0D">
        <w:rPr>
          <w:rFonts w:ascii="Palatino Linotype" w:hAnsi="Palatino Linotype" w:cs="Arial"/>
          <w:lang w:val="es-MX" w:eastAsia="es-MX"/>
        </w:rPr>
        <w:t>.</w:t>
      </w:r>
      <w:r w:rsidR="00EB16EF">
        <w:rPr>
          <w:rFonts w:ascii="Palatino Linotype" w:hAnsi="Palatino Linotype" w:cs="Arial"/>
          <w:lang w:val="es-MX" w:eastAsia="es-MX"/>
        </w:rPr>
        <w:t xml:space="preserve"> </w:t>
      </w:r>
    </w:p>
    <w:p w14:paraId="08B89569" w14:textId="73FDE777" w:rsidR="00EB16EF" w:rsidRPr="00DE5A2A" w:rsidRDefault="00EB16EF" w:rsidP="00EB16EF">
      <w:pPr>
        <w:spacing w:before="240" w:after="240" w:line="360" w:lineRule="auto"/>
        <w:jc w:val="both"/>
        <w:rPr>
          <w:rFonts w:ascii="Palatino Linotype" w:hAnsi="Palatino Linotype" w:cs="Arial"/>
          <w:i/>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sidR="00B51646">
        <w:rPr>
          <w:rFonts w:ascii="Palatino Linotype" w:hAnsi="Palatino Linotype" w:cs="Arial"/>
        </w:rPr>
        <w:t>ésta</w:t>
      </w:r>
      <w:r>
        <w:rPr>
          <w:rFonts w:ascii="Palatino Linotype" w:hAnsi="Palatino Linotype" w:cs="Arial"/>
        </w:rPr>
        <w:t xml:space="preserve"> fue </w:t>
      </w:r>
      <w:r w:rsidRPr="00A12934">
        <w:rPr>
          <w:rFonts w:ascii="Palatino Linotype" w:hAnsi="Palatino Linotype" w:cs="Arial"/>
        </w:rPr>
        <w:t xml:space="preserve">pronunciada el día </w:t>
      </w:r>
      <w:r w:rsidR="00841E53">
        <w:rPr>
          <w:rFonts w:ascii="Palatino Linotype" w:hAnsi="Palatino Linotype" w:cs="Arial"/>
        </w:rPr>
        <w:t>ocho de octubre</w:t>
      </w:r>
      <w:r w:rsidR="007277C3">
        <w:rPr>
          <w:rFonts w:ascii="Palatino Linotype" w:hAnsi="Palatino Linotype" w:cs="Arial"/>
        </w:rPr>
        <w:t xml:space="preserve"> de dos mil dieciocho</w:t>
      </w:r>
      <w:r w:rsidRPr="00A12934">
        <w:rPr>
          <w:rFonts w:ascii="Palatino Linotype" w:hAnsi="Palatino Linotype" w:cs="Arial"/>
        </w:rPr>
        <w:t xml:space="preserve">, mientras que </w:t>
      </w:r>
      <w:r w:rsidR="00523451">
        <w:rPr>
          <w:rFonts w:ascii="Palatino Linotype" w:hAnsi="Palatino Linotype" w:cs="Arial"/>
        </w:rPr>
        <w:t xml:space="preserve">el </w:t>
      </w:r>
      <w:r w:rsidR="00523451" w:rsidRPr="003D20B9">
        <w:rPr>
          <w:rFonts w:ascii="Palatino Linotype" w:hAnsi="Palatino Linotype" w:cs="Arial"/>
          <w:b/>
          <w:i/>
        </w:rPr>
        <w:t>Recurrente</w:t>
      </w:r>
      <w:r w:rsidR="00523451">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sidR="00841E53">
        <w:rPr>
          <w:rFonts w:ascii="Palatino Linotype" w:hAnsi="Palatino Linotype" w:cs="Arial"/>
        </w:rPr>
        <w:t>quince del</w:t>
      </w:r>
      <w:r w:rsidR="007277C3" w:rsidRPr="00733E1C">
        <w:rPr>
          <w:rFonts w:ascii="Palatino Linotype" w:hAnsi="Palatino Linotype" w:cs="Arial"/>
        </w:rPr>
        <w:t xml:space="preserve"> mismo </w:t>
      </w:r>
      <w:r w:rsidR="00841E53">
        <w:rPr>
          <w:rFonts w:ascii="Palatino Linotype" w:hAnsi="Palatino Linotype" w:cs="Arial"/>
        </w:rPr>
        <w:t xml:space="preserve">mes y </w:t>
      </w:r>
      <w:r w:rsidR="007277C3" w:rsidRPr="00733E1C">
        <w:rPr>
          <w:rFonts w:ascii="Palatino Linotype" w:hAnsi="Palatino Linotype" w:cs="Arial"/>
        </w:rPr>
        <w:t>año</w:t>
      </w:r>
      <w:r w:rsidR="00421638" w:rsidRPr="00733E1C">
        <w:rPr>
          <w:rFonts w:ascii="Palatino Linotype" w:hAnsi="Palatino Linotype" w:cs="Arial"/>
        </w:rPr>
        <w:t>.</w:t>
      </w:r>
    </w:p>
    <w:p w14:paraId="2DF3D6D4" w14:textId="77777777" w:rsidR="00733E1C" w:rsidRDefault="00733E1C" w:rsidP="00733E1C">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lastRenderedPageBreak/>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67DEBB09" w14:textId="77777777" w:rsidR="00733E1C" w:rsidRPr="00CD59DC" w:rsidRDefault="00733E1C" w:rsidP="00733E1C">
      <w:pPr>
        <w:spacing w:before="240" w:after="240" w:line="360" w:lineRule="auto"/>
        <w:jc w:val="both"/>
        <w:rPr>
          <w:rFonts w:ascii="Segoe UI" w:hAnsi="Segoe UI" w:cs="Segoe UI"/>
        </w:rPr>
      </w:pPr>
      <w:r w:rsidRPr="00CD59DC">
        <w:rPr>
          <w:rStyle w:val="normaltextrun"/>
          <w:rFonts w:ascii="Palatino Linotype" w:hAnsi="Palatino Linotype" w:cs="Segoe UI"/>
        </w:rPr>
        <w:t xml:space="preserve">Dentro de este marco, </w:t>
      </w:r>
      <w:r>
        <w:rPr>
          <w:rStyle w:val="normaltextrun"/>
          <w:rFonts w:ascii="Palatino Linotype" w:hAnsi="Palatino Linotype" w:cs="Segoe UI"/>
        </w:rPr>
        <w:t>es necesario insertar lo dispuesto por los artículos 176 y</w:t>
      </w:r>
      <w:r w:rsidRPr="00CD59DC">
        <w:rPr>
          <w:rStyle w:val="apple-converted-space"/>
          <w:rFonts w:ascii="Palatino Linotype" w:eastAsiaTheme="minorHAnsi" w:hAnsi="Palatino Linotype" w:cs="Segoe UI"/>
        </w:rPr>
        <w:t xml:space="preserve"> 179 </w:t>
      </w:r>
      <w:r>
        <w:rPr>
          <w:rStyle w:val="apple-converted-space"/>
          <w:rFonts w:ascii="Palatino Linotype" w:eastAsiaTheme="minorHAnsi" w:hAnsi="Palatino Linotype" w:cs="Segoe UI"/>
        </w:rPr>
        <w:t xml:space="preserve">fracciones V y VI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38F52B3F" w14:textId="7FA37BB6" w:rsidR="00EB16EF" w:rsidRDefault="00733E1C" w:rsidP="00733E1C">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 xml:space="preserve"> </w:t>
      </w:r>
      <w:r w:rsidR="00EB16EF" w:rsidRPr="00CD59DC">
        <w:rPr>
          <w:rStyle w:val="normaltextrun"/>
          <w:rFonts w:ascii="Palatino Linotype" w:hAnsi="Palatino Linotype" w:cs="Segoe UI"/>
          <w:b/>
          <w:bCs/>
          <w:i/>
          <w:iCs/>
          <w:sz w:val="20"/>
          <w:szCs w:val="22"/>
        </w:rPr>
        <w:t>“</w:t>
      </w:r>
      <w:r w:rsidR="00EB16EF" w:rsidRPr="00AC17F2">
        <w:rPr>
          <w:rStyle w:val="normaltextrun"/>
          <w:rFonts w:ascii="Palatino Linotype" w:hAnsi="Palatino Linotype" w:cs="Segoe UI"/>
          <w:b/>
          <w:bCs/>
          <w:i/>
          <w:sz w:val="20"/>
          <w:szCs w:val="22"/>
        </w:rPr>
        <w:t xml:space="preserve">Artículo 176. </w:t>
      </w:r>
      <w:r w:rsidR="00EB16EF" w:rsidRPr="00AC17F2">
        <w:rPr>
          <w:rStyle w:val="normaltextrun"/>
          <w:rFonts w:ascii="Palatino Linotype" w:hAnsi="Palatino Linotype" w:cs="Segoe UI"/>
          <w:bCs/>
          <w:i/>
          <w:sz w:val="20"/>
          <w:szCs w:val="22"/>
        </w:rPr>
        <w:t>El recurso de revisión  es la garantía secundaria</w:t>
      </w:r>
      <w:r w:rsidR="00EB16EF">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3088F0EC" w14:textId="77777777" w:rsidR="00EB16EF" w:rsidRPr="00CD59DC" w:rsidRDefault="00EB16EF" w:rsidP="00B51646">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108F49D5" w14:textId="6030F63D" w:rsidR="00EB16EF" w:rsidRPr="00892FBA" w:rsidRDefault="00C755CC" w:rsidP="00C755CC">
      <w:pPr>
        <w:autoSpaceDE w:val="0"/>
        <w:autoSpaceDN w:val="0"/>
        <w:adjustRightInd w:val="0"/>
        <w:spacing w:before="120" w:after="120" w:line="360" w:lineRule="auto"/>
        <w:ind w:left="1134" w:right="941"/>
        <w:rPr>
          <w:rFonts w:ascii="Palatino Linotype" w:eastAsiaTheme="majorEastAsia" w:hAnsi="Palatino Linotype" w:cs="Segoe UI"/>
          <w:i/>
          <w:sz w:val="22"/>
          <w:szCs w:val="22"/>
        </w:rPr>
      </w:pPr>
      <w:r w:rsidRPr="0006113D">
        <w:rPr>
          <w:rFonts w:ascii="Palatino Linotype" w:eastAsiaTheme="minorEastAsia" w:hAnsi="Palatino Linotype" w:cs="Bookman Old Style,Bold"/>
          <w:b/>
          <w:bCs/>
          <w:i/>
          <w:sz w:val="22"/>
          <w:szCs w:val="20"/>
          <w:lang w:val="es-MX"/>
        </w:rPr>
        <w:t xml:space="preserve">I. </w:t>
      </w:r>
      <w:r w:rsidRPr="0006113D">
        <w:rPr>
          <w:rFonts w:ascii="Palatino Linotype" w:eastAsiaTheme="minorEastAsia" w:hAnsi="Palatino Linotype" w:cs="Bookman Old Style"/>
          <w:b/>
          <w:i/>
          <w:sz w:val="22"/>
          <w:szCs w:val="20"/>
          <w:lang w:val="es-MX"/>
        </w:rPr>
        <w:t>La negativa a la información solicitada;</w:t>
      </w:r>
      <w:r>
        <w:rPr>
          <w:rFonts w:ascii="Palatino Linotype" w:eastAsiaTheme="minorEastAsia" w:hAnsi="Palatino Linotype" w:cs="Bookman Old Style"/>
          <w:b/>
          <w:i/>
          <w:sz w:val="22"/>
          <w:szCs w:val="20"/>
          <w:lang w:val="es-MX"/>
        </w:rPr>
        <w:t xml:space="preserve"> </w:t>
      </w:r>
      <w:r w:rsidR="00E45EEF">
        <w:rPr>
          <w:rStyle w:val="eop"/>
          <w:rFonts w:ascii="Palatino Linotype" w:eastAsiaTheme="majorEastAsia" w:hAnsi="Palatino Linotype" w:cs="Segoe UI"/>
          <w:i/>
          <w:sz w:val="18"/>
          <w:szCs w:val="22"/>
        </w:rPr>
        <w:t>…</w:t>
      </w:r>
      <w:r w:rsidR="00EB16EF" w:rsidRPr="00892FBA">
        <w:rPr>
          <w:rFonts w:ascii="Palatino Linotype" w:eastAsiaTheme="minorEastAsia" w:hAnsi="Palatino Linotype" w:cs="Bookman Old Style"/>
          <w:i/>
          <w:sz w:val="22"/>
          <w:szCs w:val="22"/>
        </w:rPr>
        <w:t>”</w:t>
      </w:r>
    </w:p>
    <w:p w14:paraId="72E6D251" w14:textId="77777777" w:rsidR="00841E53" w:rsidRDefault="00841E53" w:rsidP="00841E53">
      <w:pPr>
        <w:spacing w:before="240" w:after="240" w:line="360" w:lineRule="auto"/>
        <w:jc w:val="both"/>
        <w:rPr>
          <w:rFonts w:ascii="Palatino Linotype" w:hAnsi="Palatino Linotype" w:cs="Arial"/>
          <w:lang w:val="es-MX"/>
        </w:rPr>
      </w:pPr>
      <w:r w:rsidRPr="006A776D">
        <w:rPr>
          <w:rFonts w:ascii="Palatino Linotype" w:hAnsi="Palatino Linotype" w:cs="Arial"/>
        </w:rPr>
        <w:t>Asimismo, tras la revisión de</w:t>
      </w:r>
      <w:r>
        <w:rPr>
          <w:rFonts w:ascii="Palatino Linotype" w:hAnsi="Palatino Linotype" w:cs="Arial"/>
        </w:rPr>
        <w:t xml:space="preserve">l </w:t>
      </w:r>
      <w:r w:rsidRPr="006A776D">
        <w:rPr>
          <w:rFonts w:ascii="Palatino Linotype" w:hAnsi="Palatino Linotype" w:cs="Arial"/>
        </w:rPr>
        <w:t xml:space="preserve">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 y en consecuencia resulta conforme a derecho entrar al estudio de fondo y resolver el presente medio de impugnación.</w:t>
      </w:r>
    </w:p>
    <w:p w14:paraId="6410176A" w14:textId="6AE9C157" w:rsidR="00EB16EF" w:rsidRDefault="00B54E6C" w:rsidP="00EB16EF">
      <w:pPr>
        <w:spacing w:before="240" w:after="240" w:line="360" w:lineRule="auto"/>
        <w:jc w:val="both"/>
        <w:rPr>
          <w:rFonts w:ascii="Palatino Linotype" w:hAnsi="Palatino Linotype" w:cs="Arial"/>
          <w:lang w:val="es-MX"/>
        </w:rPr>
      </w:pPr>
      <w:r>
        <w:rPr>
          <w:rFonts w:ascii="Palatino Linotype" w:hAnsi="Palatino Linotype" w:cs="Arial"/>
          <w:lang w:val="es-MX"/>
        </w:rPr>
        <w:t>E</w:t>
      </w:r>
      <w:r w:rsidR="00EB16EF">
        <w:rPr>
          <w:rFonts w:ascii="Palatino Linotype" w:hAnsi="Palatino Linotype" w:cs="Arial"/>
          <w:lang w:val="es-MX"/>
        </w:rPr>
        <w:t>n consecuencia resulta conforme a derecho entrar al estudio de fondo y resolver el presente medio de impugnación.</w:t>
      </w:r>
    </w:p>
    <w:p w14:paraId="0B21EDBE" w14:textId="77777777" w:rsidR="00D53F7C" w:rsidRPr="0040233B" w:rsidRDefault="00D53F7C" w:rsidP="00D53F7C">
      <w:pPr>
        <w:spacing w:before="240" w:after="240" w:line="360" w:lineRule="auto"/>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2FAA4D4B" w14:textId="77777777" w:rsidR="00D53F7C" w:rsidRPr="0020435D" w:rsidRDefault="00D53F7C" w:rsidP="00D53F7C">
      <w:pPr>
        <w:spacing w:before="240" w:after="240" w:line="360" w:lineRule="auto"/>
        <w:jc w:val="both"/>
        <w:rPr>
          <w:rFonts w:ascii="Palatino Linotype" w:hAnsi="Palatino Linotype"/>
        </w:rPr>
      </w:pPr>
      <w:r>
        <w:rPr>
          <w:rFonts w:ascii="Palatino Linotype" w:hAnsi="Palatino Linotype"/>
        </w:rPr>
        <w:t xml:space="preserve">Una vez realizado el análisis de las constancias que integran el expediente en que se actúa, se desprende que la resolución consiste en determinar la legalidad de la respuesta emitida por el </w:t>
      </w:r>
      <w:r>
        <w:rPr>
          <w:rFonts w:ascii="Palatino Linotype" w:hAnsi="Palatino Linotype"/>
          <w:b/>
        </w:rPr>
        <w:t xml:space="preserve">Sujeto Obligado </w:t>
      </w:r>
      <w:r>
        <w:rPr>
          <w:rFonts w:ascii="Palatino Linotype" w:hAnsi="Palatino Linotype"/>
        </w:rPr>
        <w:t xml:space="preserve">a la solicitud de acceso a la información, y en su caso resolver si resulta procedente ordenar lo requerido según la </w:t>
      </w:r>
      <w:r>
        <w:rPr>
          <w:rFonts w:ascii="Palatino Linotype" w:hAnsi="Palatino Linotype"/>
        </w:rPr>
        <w:lastRenderedPageBreak/>
        <w:t>manifestaciones hechas al momento de interponerse el presente medio de impugnación, de conformidad con lo dispuesto en la Ley de Transparencia y Acceso a la Información Pública del Estado de México y Municipios.</w:t>
      </w:r>
    </w:p>
    <w:p w14:paraId="70187D3C" w14:textId="77777777" w:rsidR="00CE7A52" w:rsidRDefault="00CE7A52" w:rsidP="00D53F7C">
      <w:pPr>
        <w:spacing w:before="240" w:after="240" w:line="360" w:lineRule="auto"/>
        <w:jc w:val="both"/>
        <w:rPr>
          <w:rFonts w:ascii="Palatino Linotype" w:hAnsi="Palatino Linotype"/>
          <w:b/>
          <w:sz w:val="28"/>
          <w:szCs w:val="28"/>
        </w:rPr>
      </w:pPr>
    </w:p>
    <w:p w14:paraId="76895B02" w14:textId="77777777" w:rsidR="00CE7A52" w:rsidRDefault="00CE7A52" w:rsidP="00D53F7C">
      <w:pPr>
        <w:spacing w:before="240" w:after="240" w:line="360" w:lineRule="auto"/>
        <w:jc w:val="both"/>
        <w:rPr>
          <w:rFonts w:ascii="Palatino Linotype" w:hAnsi="Palatino Linotype"/>
          <w:b/>
          <w:sz w:val="28"/>
          <w:szCs w:val="28"/>
        </w:rPr>
      </w:pPr>
    </w:p>
    <w:p w14:paraId="336403B9" w14:textId="77777777" w:rsidR="00D53F7C" w:rsidRDefault="00D53F7C" w:rsidP="00D53F7C">
      <w:pPr>
        <w:spacing w:before="240" w:after="240" w:line="360" w:lineRule="auto"/>
        <w:jc w:val="both"/>
        <w:rPr>
          <w:rFonts w:ascii="Palatino Linotype" w:hAnsi="Palatino Linotype"/>
          <w:b/>
          <w:sz w:val="28"/>
          <w:szCs w:val="28"/>
        </w:rPr>
      </w:pPr>
      <w:r w:rsidRPr="00527294">
        <w:rPr>
          <w:rFonts w:ascii="Palatino Linotype" w:hAnsi="Palatino Linotype"/>
          <w:b/>
          <w:sz w:val="28"/>
          <w:szCs w:val="28"/>
        </w:rPr>
        <w:t>CUARTO. Estudio del asunto.</w:t>
      </w:r>
    </w:p>
    <w:p w14:paraId="1EEFA301" w14:textId="77777777" w:rsidR="00D53F7C" w:rsidRDefault="00D53F7C" w:rsidP="00D53F7C">
      <w:pPr>
        <w:autoSpaceDE w:val="0"/>
        <w:autoSpaceDN w:val="0"/>
        <w:adjustRightInd w:val="0"/>
        <w:spacing w:line="360" w:lineRule="auto"/>
        <w:jc w:val="both"/>
        <w:rPr>
          <w:rFonts w:ascii="Palatino Linotype" w:hAnsi="Palatino Linotype" w:cs="Arial"/>
        </w:rPr>
      </w:pPr>
      <w:r>
        <w:rPr>
          <w:rFonts w:ascii="Palatino Linotype" w:hAnsi="Palatino Linotype"/>
        </w:rPr>
        <w:t xml:space="preserve">Formuladas las precisiones que anteceden, este Órgano Garante procede a analizar el contenido de la respuesta impugnada de conformidad con el agravio formulado por el </w:t>
      </w:r>
      <w:r>
        <w:rPr>
          <w:rFonts w:ascii="Palatino Linotype" w:hAnsi="Palatino Linotype" w:cs="Arial"/>
          <w:b/>
          <w:i/>
        </w:rPr>
        <w:t xml:space="preserve">Recurrente, </w:t>
      </w:r>
      <w:r>
        <w:rPr>
          <w:rFonts w:ascii="Palatino Linotype" w:hAnsi="Palatino Linotype" w:cs="Arial"/>
        </w:rPr>
        <w:t>con la finalidad de determinar si la misma contravino las disposiciones y principios normativos que hacen operante el ejercicio del derecho de acceso a la información pública y, en consecuencia determinar si se transgredió este derecho del particular.</w:t>
      </w:r>
    </w:p>
    <w:p w14:paraId="6A4D2C30" w14:textId="77777777" w:rsidR="00D53F7C" w:rsidRDefault="00D53F7C" w:rsidP="00D53F7C">
      <w:pPr>
        <w:spacing w:before="240" w:after="240" w:line="360" w:lineRule="auto"/>
        <w:jc w:val="both"/>
        <w:rPr>
          <w:rFonts w:ascii="Palatino Linotype" w:hAnsi="Palatino Linotype" w:cs="Arial"/>
        </w:rPr>
      </w:pPr>
      <w:r>
        <w:rPr>
          <w:rFonts w:ascii="Palatino Linotype" w:hAnsi="Palatino Linotype" w:cs="Arial"/>
        </w:rPr>
        <w:t>Sobre esa base, es oportuno decir que el derecho de acceso a la información se define en el artículo 6 de la Constitución Política de los Estados Unidos Mexicanos y en el diverso 5 de la Constitución Política del Estado Libre y Soberano de México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p>
    <w:p w14:paraId="2DA50A93" w14:textId="77777777" w:rsidR="00D53F7C" w:rsidRDefault="00D53F7C" w:rsidP="00D53F7C">
      <w:pPr>
        <w:spacing w:before="240" w:after="240" w:line="360" w:lineRule="auto"/>
        <w:jc w:val="both"/>
        <w:rPr>
          <w:rFonts w:ascii="Palatino Linotype" w:hAnsi="Palatino Linotype"/>
        </w:rPr>
      </w:pPr>
      <w:r>
        <w:rPr>
          <w:rFonts w:ascii="Palatino Linotype" w:hAnsi="Palatino Linotype"/>
        </w:rPr>
        <w:lastRenderedPageBreak/>
        <w:t>Mientras que el diverso artículo 4 de la Ley de Transparencia y Acceso a la Información Pública del Estado de México y Municipios establece que toda la información generada, obtenida, adquirida, transformada o en posesión de los sujetos obligados es pública y sólo podrá ser clasificada como reservada temporalmente por razones de interés público</w:t>
      </w:r>
      <w:r>
        <w:rPr>
          <w:rStyle w:val="Refdenotaalpie"/>
          <w:rFonts w:ascii="Palatino Linotype" w:hAnsi="Palatino Linotype"/>
        </w:rPr>
        <w:footnoteReference w:id="1"/>
      </w:r>
      <w:r>
        <w:rPr>
          <w:rFonts w:ascii="Palatino Linotype" w:hAnsi="Palatino Linotype"/>
        </w:rPr>
        <w:t>.</w:t>
      </w:r>
    </w:p>
    <w:p w14:paraId="15A35A0E" w14:textId="1C2E0849" w:rsidR="00893BD8" w:rsidRDefault="00AD5102" w:rsidP="00DA5E8B">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Bajo estas consideraciones</w:t>
      </w:r>
      <w:r w:rsidR="00065B4D">
        <w:rPr>
          <w:rFonts w:ascii="Palatino Linotype" w:hAnsi="Palatino Linotype" w:cs="Arial"/>
        </w:rPr>
        <w:t xml:space="preserve">, resulta conveniente </w:t>
      </w:r>
      <w:r w:rsidR="003F3F3C">
        <w:rPr>
          <w:rFonts w:ascii="Palatino Linotype" w:hAnsi="Palatino Linotype" w:cs="Arial"/>
        </w:rPr>
        <w:t>esquematiz</w:t>
      </w:r>
      <w:r w:rsidR="00F5276F">
        <w:rPr>
          <w:rFonts w:ascii="Palatino Linotype" w:hAnsi="Palatino Linotype" w:cs="Arial"/>
        </w:rPr>
        <w:t xml:space="preserve">ar la solicitud de información y la </w:t>
      </w:r>
      <w:r w:rsidR="003F3F3C">
        <w:rPr>
          <w:rFonts w:ascii="Palatino Linotype" w:hAnsi="Palatino Linotype" w:cs="Arial"/>
        </w:rPr>
        <w:t>respuesta</w:t>
      </w:r>
      <w:r w:rsidR="00F5276F">
        <w:rPr>
          <w:rFonts w:ascii="Palatino Linotype" w:hAnsi="Palatino Linotype" w:cs="Arial"/>
        </w:rPr>
        <w:t xml:space="preserve"> de los Servidores Públicos Habilitados</w:t>
      </w:r>
      <w:r w:rsidR="003F3F3C">
        <w:rPr>
          <w:rFonts w:ascii="Palatino Linotype" w:hAnsi="Palatino Linotype" w:cs="Arial"/>
        </w:rPr>
        <w:t>, en los siguientes términos:</w:t>
      </w:r>
    </w:p>
    <w:tbl>
      <w:tblPr>
        <w:tblStyle w:val="Tablaconcuadrcula"/>
        <w:tblW w:w="9130" w:type="dxa"/>
        <w:tblLook w:val="04A0" w:firstRow="1" w:lastRow="0" w:firstColumn="1" w:lastColumn="0" w:noHBand="0" w:noVBand="1"/>
      </w:tblPr>
      <w:tblGrid>
        <w:gridCol w:w="1638"/>
        <w:gridCol w:w="1605"/>
        <w:gridCol w:w="1655"/>
        <w:gridCol w:w="1707"/>
        <w:gridCol w:w="9"/>
        <w:gridCol w:w="1699"/>
        <w:gridCol w:w="1286"/>
      </w:tblGrid>
      <w:tr w:rsidR="00B03C78" w:rsidRPr="00B03C78" w14:paraId="75AC395C" w14:textId="77777777" w:rsidTr="00554249">
        <w:tc>
          <w:tcPr>
            <w:tcW w:w="1638" w:type="dxa"/>
            <w:vMerge w:val="restart"/>
          </w:tcPr>
          <w:p w14:paraId="0B581535" w14:textId="0708DD3D" w:rsidR="00B03C78" w:rsidRPr="00B03C78" w:rsidRDefault="00B03C78" w:rsidP="00B03C78">
            <w:pPr>
              <w:autoSpaceDE w:val="0"/>
              <w:autoSpaceDN w:val="0"/>
              <w:adjustRightInd w:val="0"/>
              <w:jc w:val="center"/>
              <w:rPr>
                <w:rFonts w:ascii="Palatino Linotype" w:hAnsi="Palatino Linotype" w:cs="Arial"/>
                <w:b/>
                <w:sz w:val="20"/>
                <w:szCs w:val="20"/>
              </w:rPr>
            </w:pPr>
            <w:r w:rsidRPr="00B03C78">
              <w:rPr>
                <w:rFonts w:ascii="Palatino Linotype" w:hAnsi="Palatino Linotype" w:cs="Arial"/>
                <w:b/>
                <w:sz w:val="20"/>
                <w:szCs w:val="20"/>
              </w:rPr>
              <w:t>Solicitud de Información</w:t>
            </w:r>
          </w:p>
        </w:tc>
        <w:tc>
          <w:tcPr>
            <w:tcW w:w="6675" w:type="dxa"/>
            <w:gridSpan w:val="5"/>
          </w:tcPr>
          <w:p w14:paraId="217B43C2" w14:textId="5EC20AD5" w:rsidR="00B03C78" w:rsidRPr="00B03C78" w:rsidRDefault="00B03C78" w:rsidP="00B03C78">
            <w:pPr>
              <w:autoSpaceDE w:val="0"/>
              <w:autoSpaceDN w:val="0"/>
              <w:adjustRightInd w:val="0"/>
              <w:jc w:val="center"/>
              <w:rPr>
                <w:rFonts w:ascii="Palatino Linotype" w:hAnsi="Palatino Linotype" w:cs="Arial"/>
                <w:b/>
                <w:sz w:val="20"/>
                <w:szCs w:val="20"/>
              </w:rPr>
            </w:pPr>
            <w:r w:rsidRPr="00B03C78">
              <w:rPr>
                <w:rFonts w:ascii="Palatino Linotype" w:hAnsi="Palatino Linotype" w:cs="Arial"/>
                <w:b/>
                <w:sz w:val="20"/>
                <w:szCs w:val="20"/>
              </w:rPr>
              <w:t>Respuesta</w:t>
            </w:r>
          </w:p>
        </w:tc>
        <w:tc>
          <w:tcPr>
            <w:tcW w:w="817" w:type="dxa"/>
            <w:vMerge w:val="restart"/>
          </w:tcPr>
          <w:p w14:paraId="10E32918" w14:textId="0E5564B8" w:rsidR="00B03C78" w:rsidRPr="00B677F0" w:rsidRDefault="00B03C78" w:rsidP="00B03C78">
            <w:pPr>
              <w:autoSpaceDE w:val="0"/>
              <w:autoSpaceDN w:val="0"/>
              <w:adjustRightInd w:val="0"/>
              <w:jc w:val="center"/>
              <w:rPr>
                <w:rFonts w:ascii="Palatino Linotype" w:hAnsi="Palatino Linotype" w:cs="Arial"/>
                <w:b/>
                <w:sz w:val="20"/>
                <w:szCs w:val="20"/>
              </w:rPr>
            </w:pPr>
            <w:r w:rsidRPr="00B677F0">
              <w:rPr>
                <w:rFonts w:ascii="Palatino Linotype" w:hAnsi="Palatino Linotype" w:cs="Arial"/>
                <w:b/>
                <w:sz w:val="20"/>
                <w:szCs w:val="20"/>
              </w:rPr>
              <w:t>Colma</w:t>
            </w:r>
          </w:p>
        </w:tc>
      </w:tr>
      <w:tr w:rsidR="00B677F0" w:rsidRPr="00B03C78" w14:paraId="7585197E" w14:textId="77777777" w:rsidTr="00554249">
        <w:tc>
          <w:tcPr>
            <w:tcW w:w="1638" w:type="dxa"/>
            <w:vMerge/>
          </w:tcPr>
          <w:p w14:paraId="6B216EBD" w14:textId="77777777" w:rsidR="00B03C78" w:rsidRPr="00B03C78" w:rsidRDefault="00B03C78" w:rsidP="00B03C78">
            <w:pPr>
              <w:autoSpaceDE w:val="0"/>
              <w:autoSpaceDN w:val="0"/>
              <w:adjustRightInd w:val="0"/>
              <w:jc w:val="both"/>
              <w:rPr>
                <w:rFonts w:ascii="Palatino Linotype" w:hAnsi="Palatino Linotype" w:cs="Arial"/>
                <w:sz w:val="20"/>
                <w:szCs w:val="20"/>
              </w:rPr>
            </w:pPr>
          </w:p>
        </w:tc>
        <w:tc>
          <w:tcPr>
            <w:tcW w:w="1605" w:type="dxa"/>
          </w:tcPr>
          <w:p w14:paraId="7CA22D49" w14:textId="524EC3BE" w:rsidR="00B03C78" w:rsidRPr="00B03C78" w:rsidRDefault="00B03C78" w:rsidP="00B677F0">
            <w:pPr>
              <w:autoSpaceDE w:val="0"/>
              <w:autoSpaceDN w:val="0"/>
              <w:adjustRightInd w:val="0"/>
              <w:jc w:val="center"/>
              <w:rPr>
                <w:rFonts w:ascii="Palatino Linotype" w:hAnsi="Palatino Linotype" w:cs="Arial"/>
                <w:sz w:val="20"/>
                <w:szCs w:val="20"/>
              </w:rPr>
            </w:pPr>
            <w:r w:rsidRPr="00624561">
              <w:rPr>
                <w:rFonts w:ascii="Palatino Linotype" w:hAnsi="Palatino Linotype"/>
                <w:b/>
                <w:color w:val="000000"/>
                <w:sz w:val="20"/>
                <w:szCs w:val="20"/>
              </w:rPr>
              <w:t>Dirección General de Infraestructura y Edificación</w:t>
            </w:r>
          </w:p>
        </w:tc>
        <w:tc>
          <w:tcPr>
            <w:tcW w:w="1655" w:type="dxa"/>
          </w:tcPr>
          <w:p w14:paraId="74B0479F" w14:textId="32B829CA" w:rsidR="00B03C78" w:rsidRPr="00B03C78" w:rsidRDefault="00B03C78" w:rsidP="00B677F0">
            <w:pPr>
              <w:autoSpaceDE w:val="0"/>
              <w:autoSpaceDN w:val="0"/>
              <w:adjustRightInd w:val="0"/>
              <w:jc w:val="center"/>
              <w:rPr>
                <w:rFonts w:ascii="Palatino Linotype" w:hAnsi="Palatino Linotype" w:cs="Arial"/>
                <w:sz w:val="20"/>
                <w:szCs w:val="20"/>
              </w:rPr>
            </w:pPr>
            <w:r w:rsidRPr="00624561">
              <w:rPr>
                <w:rFonts w:ascii="Palatino Linotype" w:hAnsi="Palatino Linotype"/>
                <w:b/>
                <w:color w:val="000000"/>
                <w:sz w:val="20"/>
                <w:szCs w:val="20"/>
              </w:rPr>
              <w:t>Secretaría del H. Ayuntamiento</w:t>
            </w:r>
          </w:p>
        </w:tc>
        <w:tc>
          <w:tcPr>
            <w:tcW w:w="1716" w:type="dxa"/>
            <w:gridSpan w:val="2"/>
          </w:tcPr>
          <w:p w14:paraId="29B89394" w14:textId="5E27F516" w:rsidR="00B03C78" w:rsidRPr="00B03C78" w:rsidRDefault="00B03C78" w:rsidP="00B677F0">
            <w:pPr>
              <w:autoSpaceDE w:val="0"/>
              <w:autoSpaceDN w:val="0"/>
              <w:adjustRightInd w:val="0"/>
              <w:jc w:val="center"/>
              <w:rPr>
                <w:rFonts w:ascii="Palatino Linotype" w:hAnsi="Palatino Linotype" w:cs="Arial"/>
                <w:sz w:val="20"/>
                <w:szCs w:val="20"/>
              </w:rPr>
            </w:pPr>
            <w:r w:rsidRPr="00624561">
              <w:rPr>
                <w:rFonts w:ascii="Palatino Linotype" w:hAnsi="Palatino Linotype"/>
                <w:b/>
                <w:color w:val="000000"/>
                <w:sz w:val="20"/>
                <w:szCs w:val="20"/>
              </w:rPr>
              <w:t>Tesorería Municipal</w:t>
            </w:r>
          </w:p>
        </w:tc>
        <w:tc>
          <w:tcPr>
            <w:tcW w:w="1699" w:type="dxa"/>
          </w:tcPr>
          <w:p w14:paraId="29024F23" w14:textId="3DF22A81" w:rsidR="00B03C78" w:rsidRPr="00B03C78" w:rsidRDefault="00B03C78" w:rsidP="00B677F0">
            <w:pPr>
              <w:autoSpaceDE w:val="0"/>
              <w:autoSpaceDN w:val="0"/>
              <w:adjustRightInd w:val="0"/>
              <w:jc w:val="center"/>
              <w:rPr>
                <w:rFonts w:ascii="Palatino Linotype" w:hAnsi="Palatino Linotype" w:cs="Arial"/>
                <w:sz w:val="20"/>
                <w:szCs w:val="20"/>
              </w:rPr>
            </w:pPr>
            <w:r w:rsidRPr="00624561">
              <w:rPr>
                <w:rFonts w:ascii="Palatino Linotype" w:hAnsi="Palatino Linotype" w:cs="Arial"/>
                <w:b/>
                <w:sz w:val="20"/>
                <w:szCs w:val="20"/>
              </w:rPr>
              <w:t>Director General de Administración.</w:t>
            </w:r>
          </w:p>
        </w:tc>
        <w:tc>
          <w:tcPr>
            <w:tcW w:w="817" w:type="dxa"/>
            <w:vMerge/>
          </w:tcPr>
          <w:p w14:paraId="58A2B84C" w14:textId="77777777" w:rsidR="00B03C78" w:rsidRPr="00B03C78" w:rsidRDefault="00B03C78" w:rsidP="00B03C78">
            <w:pPr>
              <w:autoSpaceDE w:val="0"/>
              <w:autoSpaceDN w:val="0"/>
              <w:adjustRightInd w:val="0"/>
              <w:jc w:val="both"/>
              <w:rPr>
                <w:rFonts w:ascii="Palatino Linotype" w:hAnsi="Palatino Linotype" w:cs="Arial"/>
                <w:sz w:val="20"/>
                <w:szCs w:val="20"/>
              </w:rPr>
            </w:pPr>
          </w:p>
        </w:tc>
      </w:tr>
      <w:tr w:rsidR="00554249" w:rsidRPr="00B03C78" w14:paraId="0947E6C4" w14:textId="77777777" w:rsidTr="00554249">
        <w:tc>
          <w:tcPr>
            <w:tcW w:w="1638" w:type="dxa"/>
          </w:tcPr>
          <w:p w14:paraId="0E2FE778" w14:textId="7683B48A" w:rsidR="00554249" w:rsidRPr="00B03C78" w:rsidRDefault="00554249" w:rsidP="00B03C78">
            <w:pPr>
              <w:autoSpaceDE w:val="0"/>
              <w:autoSpaceDN w:val="0"/>
              <w:adjustRightInd w:val="0"/>
              <w:jc w:val="both"/>
              <w:rPr>
                <w:rFonts w:ascii="Palatino Linotype" w:hAnsi="Palatino Linotype" w:cs="Arial"/>
                <w:sz w:val="20"/>
                <w:szCs w:val="20"/>
              </w:rPr>
            </w:pPr>
            <w:r w:rsidRPr="00624561">
              <w:rPr>
                <w:rFonts w:ascii="Palatino Linotype" w:hAnsi="Palatino Linotype"/>
                <w:color w:val="000000"/>
                <w:sz w:val="20"/>
                <w:szCs w:val="20"/>
              </w:rPr>
              <w:t>1. ¿Cuál es precio de construcción del edificio donde hoy se encuentra la dirección de administración?</w:t>
            </w:r>
          </w:p>
        </w:tc>
        <w:tc>
          <w:tcPr>
            <w:tcW w:w="1605" w:type="dxa"/>
            <w:vMerge w:val="restart"/>
          </w:tcPr>
          <w:p w14:paraId="5ECFA143" w14:textId="6582B840" w:rsidR="00554249" w:rsidRPr="00B03C78" w:rsidRDefault="00554249" w:rsidP="00B03C78">
            <w:pPr>
              <w:autoSpaceDE w:val="0"/>
              <w:autoSpaceDN w:val="0"/>
              <w:adjustRightInd w:val="0"/>
              <w:jc w:val="both"/>
              <w:rPr>
                <w:rFonts w:ascii="Palatino Linotype" w:hAnsi="Palatino Linotype" w:cs="Arial"/>
                <w:sz w:val="20"/>
                <w:szCs w:val="20"/>
              </w:rPr>
            </w:pPr>
            <w:r w:rsidRPr="00624561">
              <w:rPr>
                <w:rFonts w:ascii="Palatino Linotype" w:hAnsi="Palatino Linotype"/>
                <w:color w:val="000000"/>
                <w:sz w:val="20"/>
                <w:szCs w:val="20"/>
              </w:rPr>
              <w:t>No se celebró ningún contrato de obra pública respecto de la construcción del edificio administrativo, por lo que no cuenta con información al respecto.</w:t>
            </w:r>
          </w:p>
        </w:tc>
        <w:tc>
          <w:tcPr>
            <w:tcW w:w="1655" w:type="dxa"/>
            <w:vMerge w:val="restart"/>
          </w:tcPr>
          <w:p w14:paraId="7AAD8521" w14:textId="77777777" w:rsidR="00554249" w:rsidRDefault="00554249" w:rsidP="00B03C78">
            <w:pPr>
              <w:autoSpaceDE w:val="0"/>
              <w:autoSpaceDN w:val="0"/>
              <w:adjustRightInd w:val="0"/>
              <w:jc w:val="both"/>
              <w:rPr>
                <w:rFonts w:ascii="Palatino Linotype" w:hAnsi="Palatino Linotype"/>
                <w:color w:val="000000"/>
                <w:sz w:val="20"/>
                <w:szCs w:val="20"/>
              </w:rPr>
            </w:pPr>
            <w:r w:rsidRPr="00624561">
              <w:rPr>
                <w:rFonts w:ascii="Palatino Linotype" w:hAnsi="Palatino Linotype"/>
                <w:color w:val="000000"/>
                <w:sz w:val="20"/>
                <w:szCs w:val="20"/>
              </w:rPr>
              <w:t xml:space="preserve">No cuenta con facultades para atender la solicitud de información en comento, en virtud que las áreas competentes en términos de los artículos 83 y 109 del Reglamento Orgánico de la Administración Pública </w:t>
            </w:r>
            <w:r w:rsidRPr="00624561">
              <w:rPr>
                <w:rFonts w:ascii="Palatino Linotype" w:hAnsi="Palatino Linotype"/>
                <w:color w:val="000000"/>
                <w:sz w:val="20"/>
                <w:szCs w:val="20"/>
              </w:rPr>
              <w:lastRenderedPageBreak/>
              <w:t>Municipal de Huixquilucan son la Tesorería Municipal y a la Dirección General de Administración.</w:t>
            </w:r>
          </w:p>
          <w:p w14:paraId="6DD94835" w14:textId="77777777" w:rsidR="00DC35A1" w:rsidRDefault="00DC35A1" w:rsidP="00B03C78">
            <w:pPr>
              <w:autoSpaceDE w:val="0"/>
              <w:autoSpaceDN w:val="0"/>
              <w:adjustRightInd w:val="0"/>
              <w:jc w:val="both"/>
              <w:rPr>
                <w:rFonts w:ascii="Palatino Linotype" w:hAnsi="Palatino Linotype"/>
                <w:color w:val="000000"/>
                <w:sz w:val="20"/>
                <w:szCs w:val="20"/>
              </w:rPr>
            </w:pPr>
          </w:p>
          <w:p w14:paraId="43B417F5" w14:textId="77777777" w:rsidR="00DC35A1" w:rsidRDefault="00DC35A1" w:rsidP="00B03C78">
            <w:pPr>
              <w:autoSpaceDE w:val="0"/>
              <w:autoSpaceDN w:val="0"/>
              <w:adjustRightInd w:val="0"/>
              <w:jc w:val="both"/>
              <w:rPr>
                <w:rFonts w:ascii="Palatino Linotype" w:hAnsi="Palatino Linotype"/>
                <w:color w:val="000000"/>
                <w:sz w:val="20"/>
                <w:szCs w:val="20"/>
              </w:rPr>
            </w:pPr>
          </w:p>
          <w:p w14:paraId="5E6A69CB" w14:textId="25E028CC" w:rsidR="00DC35A1" w:rsidRPr="00DC35A1" w:rsidRDefault="00DC35A1" w:rsidP="00B03C78">
            <w:pPr>
              <w:autoSpaceDE w:val="0"/>
              <w:autoSpaceDN w:val="0"/>
              <w:adjustRightInd w:val="0"/>
              <w:jc w:val="both"/>
              <w:rPr>
                <w:rFonts w:ascii="Palatino Linotype" w:hAnsi="Palatino Linotype" w:cs="Arial"/>
                <w:sz w:val="20"/>
                <w:szCs w:val="20"/>
              </w:rPr>
            </w:pPr>
          </w:p>
        </w:tc>
        <w:tc>
          <w:tcPr>
            <w:tcW w:w="1707" w:type="dxa"/>
          </w:tcPr>
          <w:p w14:paraId="0C9DEC90" w14:textId="77777777" w:rsidR="00554249" w:rsidRPr="00B03C78" w:rsidRDefault="00554249" w:rsidP="00B03C78">
            <w:pPr>
              <w:autoSpaceDE w:val="0"/>
              <w:autoSpaceDN w:val="0"/>
              <w:adjustRightInd w:val="0"/>
              <w:jc w:val="both"/>
              <w:rPr>
                <w:rFonts w:ascii="Palatino Linotype" w:hAnsi="Palatino Linotype" w:cs="Arial"/>
                <w:sz w:val="20"/>
                <w:szCs w:val="20"/>
              </w:rPr>
            </w:pPr>
            <w:r w:rsidRPr="00624561">
              <w:rPr>
                <w:rFonts w:ascii="Palatino Linotype" w:hAnsi="Palatino Linotype"/>
                <w:color w:val="000000"/>
                <w:sz w:val="20"/>
                <w:szCs w:val="20"/>
              </w:rPr>
              <w:lastRenderedPageBreak/>
              <w:t>No se pronunció.</w:t>
            </w:r>
          </w:p>
        </w:tc>
        <w:tc>
          <w:tcPr>
            <w:tcW w:w="1708" w:type="dxa"/>
            <w:gridSpan w:val="2"/>
          </w:tcPr>
          <w:p w14:paraId="0B9C7C60" w14:textId="77777777" w:rsidR="00554249" w:rsidRPr="00554249" w:rsidRDefault="00554249" w:rsidP="00554249">
            <w:pPr>
              <w:autoSpaceDE w:val="0"/>
              <w:autoSpaceDN w:val="0"/>
              <w:adjustRightInd w:val="0"/>
              <w:jc w:val="both"/>
              <w:rPr>
                <w:rFonts w:ascii="Palatino Linotype" w:hAnsi="Palatino Linotype" w:cs="Arial"/>
                <w:sz w:val="20"/>
                <w:szCs w:val="20"/>
              </w:rPr>
            </w:pPr>
            <w:r w:rsidRPr="00554249">
              <w:rPr>
                <w:rFonts w:ascii="Palatino Linotype" w:hAnsi="Palatino Linotype" w:cs="Arial"/>
                <w:sz w:val="20"/>
                <w:szCs w:val="20"/>
              </w:rPr>
              <w:t>No se pronunció.</w:t>
            </w:r>
          </w:p>
          <w:p w14:paraId="720D616A" w14:textId="3BEC31C1" w:rsidR="00554249" w:rsidRPr="00B03C78" w:rsidRDefault="00554249" w:rsidP="00554249">
            <w:pPr>
              <w:autoSpaceDE w:val="0"/>
              <w:autoSpaceDN w:val="0"/>
              <w:adjustRightInd w:val="0"/>
              <w:jc w:val="both"/>
              <w:rPr>
                <w:rFonts w:ascii="Palatino Linotype" w:hAnsi="Palatino Linotype" w:cs="Arial"/>
                <w:sz w:val="20"/>
                <w:szCs w:val="20"/>
              </w:rPr>
            </w:pPr>
          </w:p>
        </w:tc>
        <w:tc>
          <w:tcPr>
            <w:tcW w:w="817" w:type="dxa"/>
          </w:tcPr>
          <w:p w14:paraId="065F18D2" w14:textId="2A209461" w:rsidR="00554249" w:rsidRPr="00B03C78" w:rsidRDefault="00F140CB" w:rsidP="007D7646">
            <w:pPr>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No</w:t>
            </w:r>
          </w:p>
        </w:tc>
      </w:tr>
      <w:tr w:rsidR="007D7646" w:rsidRPr="00B03C78" w14:paraId="4C925D68" w14:textId="77777777" w:rsidTr="00885123">
        <w:tc>
          <w:tcPr>
            <w:tcW w:w="1638" w:type="dxa"/>
          </w:tcPr>
          <w:p w14:paraId="266CA2B4" w14:textId="2137B06A" w:rsidR="007D7646" w:rsidRPr="00B03C78" w:rsidRDefault="007D7646" w:rsidP="007D7646">
            <w:pPr>
              <w:autoSpaceDE w:val="0"/>
              <w:autoSpaceDN w:val="0"/>
              <w:adjustRightInd w:val="0"/>
              <w:jc w:val="both"/>
              <w:rPr>
                <w:rFonts w:ascii="Palatino Linotype" w:hAnsi="Palatino Linotype" w:cs="Arial"/>
                <w:sz w:val="20"/>
                <w:szCs w:val="20"/>
              </w:rPr>
            </w:pPr>
            <w:r w:rsidRPr="00624561">
              <w:rPr>
                <w:rFonts w:ascii="Palatino Linotype" w:hAnsi="Palatino Linotype"/>
                <w:color w:val="000000"/>
                <w:sz w:val="20"/>
                <w:szCs w:val="20"/>
              </w:rPr>
              <w:t xml:space="preserve">2. Quiero las facturas que comprueben el precio de construcción del edificio donde hoy se encuentra la </w:t>
            </w:r>
            <w:r w:rsidRPr="00624561">
              <w:rPr>
                <w:rFonts w:ascii="Palatino Linotype" w:hAnsi="Palatino Linotype"/>
                <w:color w:val="000000"/>
                <w:sz w:val="20"/>
                <w:szCs w:val="20"/>
              </w:rPr>
              <w:lastRenderedPageBreak/>
              <w:t>dirección de administración.</w:t>
            </w:r>
          </w:p>
        </w:tc>
        <w:tc>
          <w:tcPr>
            <w:tcW w:w="1605" w:type="dxa"/>
            <w:vMerge/>
          </w:tcPr>
          <w:p w14:paraId="30AAA164" w14:textId="77777777" w:rsidR="007D7646" w:rsidRPr="00B03C78" w:rsidRDefault="007D7646" w:rsidP="007D7646">
            <w:pPr>
              <w:autoSpaceDE w:val="0"/>
              <w:autoSpaceDN w:val="0"/>
              <w:adjustRightInd w:val="0"/>
              <w:jc w:val="both"/>
              <w:rPr>
                <w:rFonts w:ascii="Palatino Linotype" w:hAnsi="Palatino Linotype" w:cs="Arial"/>
                <w:sz w:val="20"/>
                <w:szCs w:val="20"/>
              </w:rPr>
            </w:pPr>
          </w:p>
        </w:tc>
        <w:tc>
          <w:tcPr>
            <w:tcW w:w="1655" w:type="dxa"/>
            <w:vMerge/>
          </w:tcPr>
          <w:p w14:paraId="1CFE568B" w14:textId="77777777" w:rsidR="007D7646" w:rsidRPr="00B03C78" w:rsidRDefault="007D7646" w:rsidP="007D7646">
            <w:pPr>
              <w:autoSpaceDE w:val="0"/>
              <w:autoSpaceDN w:val="0"/>
              <w:adjustRightInd w:val="0"/>
              <w:jc w:val="both"/>
              <w:rPr>
                <w:rFonts w:ascii="Palatino Linotype" w:hAnsi="Palatino Linotype" w:cs="Arial"/>
                <w:sz w:val="20"/>
                <w:szCs w:val="20"/>
              </w:rPr>
            </w:pPr>
          </w:p>
        </w:tc>
        <w:tc>
          <w:tcPr>
            <w:tcW w:w="1707" w:type="dxa"/>
          </w:tcPr>
          <w:p w14:paraId="0351D219" w14:textId="77777777" w:rsidR="007D7646" w:rsidRPr="00B03C78" w:rsidRDefault="007D7646" w:rsidP="007D7646">
            <w:pPr>
              <w:autoSpaceDE w:val="0"/>
              <w:autoSpaceDN w:val="0"/>
              <w:adjustRightInd w:val="0"/>
              <w:jc w:val="both"/>
              <w:rPr>
                <w:rFonts w:ascii="Palatino Linotype" w:hAnsi="Palatino Linotype" w:cs="Arial"/>
                <w:sz w:val="20"/>
                <w:szCs w:val="20"/>
              </w:rPr>
            </w:pPr>
            <w:r w:rsidRPr="00624561">
              <w:rPr>
                <w:rFonts w:ascii="Palatino Linotype" w:hAnsi="Palatino Linotype"/>
                <w:color w:val="000000"/>
                <w:sz w:val="20"/>
                <w:szCs w:val="20"/>
              </w:rPr>
              <w:t>No se pronunció.</w:t>
            </w:r>
          </w:p>
        </w:tc>
        <w:tc>
          <w:tcPr>
            <w:tcW w:w="1708" w:type="dxa"/>
            <w:gridSpan w:val="2"/>
          </w:tcPr>
          <w:p w14:paraId="236035B8" w14:textId="6F3D7CFF" w:rsidR="007D7646" w:rsidRPr="00B03C78" w:rsidRDefault="007D7646" w:rsidP="007D7646">
            <w:pPr>
              <w:autoSpaceDE w:val="0"/>
              <w:autoSpaceDN w:val="0"/>
              <w:adjustRightInd w:val="0"/>
              <w:jc w:val="both"/>
              <w:rPr>
                <w:rFonts w:ascii="Palatino Linotype" w:hAnsi="Palatino Linotype" w:cs="Arial"/>
                <w:sz w:val="20"/>
                <w:szCs w:val="20"/>
              </w:rPr>
            </w:pPr>
            <w:r w:rsidRPr="00554249">
              <w:rPr>
                <w:rFonts w:ascii="Palatino Linotype" w:hAnsi="Palatino Linotype" w:cs="Arial"/>
                <w:sz w:val="20"/>
                <w:szCs w:val="20"/>
              </w:rPr>
              <w:t>No se pronunció.</w:t>
            </w:r>
          </w:p>
        </w:tc>
        <w:tc>
          <w:tcPr>
            <w:tcW w:w="817" w:type="dxa"/>
          </w:tcPr>
          <w:p w14:paraId="3CF98C91" w14:textId="31548F04" w:rsidR="007D7646" w:rsidRPr="00B03C78" w:rsidRDefault="007D7646" w:rsidP="007D7646">
            <w:pPr>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Sí</w:t>
            </w:r>
          </w:p>
        </w:tc>
      </w:tr>
      <w:tr w:rsidR="007D7646" w:rsidRPr="00B03C78" w14:paraId="740EE4D7" w14:textId="77777777" w:rsidTr="00554249">
        <w:tc>
          <w:tcPr>
            <w:tcW w:w="1638" w:type="dxa"/>
          </w:tcPr>
          <w:p w14:paraId="26164A9B" w14:textId="1729B6C5" w:rsidR="007D7646" w:rsidRPr="00B03C78" w:rsidRDefault="007D7646" w:rsidP="007D7646">
            <w:pPr>
              <w:autoSpaceDE w:val="0"/>
              <w:autoSpaceDN w:val="0"/>
              <w:adjustRightInd w:val="0"/>
              <w:jc w:val="both"/>
              <w:rPr>
                <w:rFonts w:ascii="Palatino Linotype" w:hAnsi="Palatino Linotype" w:cs="Arial"/>
                <w:sz w:val="20"/>
                <w:szCs w:val="20"/>
              </w:rPr>
            </w:pPr>
            <w:r w:rsidRPr="00624561">
              <w:rPr>
                <w:rFonts w:ascii="Palatino Linotype" w:hAnsi="Palatino Linotype"/>
                <w:color w:val="000000"/>
                <w:sz w:val="20"/>
                <w:szCs w:val="20"/>
              </w:rPr>
              <w:t>3. ¿De cuál partida o rubro se utilizó el dinero para comprar el mobiliario de oficina del edificio donde hoy se encuentra la dirección de administración?</w:t>
            </w:r>
          </w:p>
        </w:tc>
        <w:tc>
          <w:tcPr>
            <w:tcW w:w="1605" w:type="dxa"/>
            <w:vMerge w:val="restart"/>
          </w:tcPr>
          <w:p w14:paraId="4038DE65" w14:textId="238B151B" w:rsidR="007D7646" w:rsidRPr="00B03C78" w:rsidRDefault="007D7646" w:rsidP="007D7646">
            <w:pPr>
              <w:autoSpaceDE w:val="0"/>
              <w:autoSpaceDN w:val="0"/>
              <w:adjustRightInd w:val="0"/>
              <w:jc w:val="both"/>
              <w:rPr>
                <w:rFonts w:ascii="Palatino Linotype" w:hAnsi="Palatino Linotype" w:cs="Arial"/>
                <w:sz w:val="20"/>
                <w:szCs w:val="20"/>
              </w:rPr>
            </w:pPr>
            <w:r w:rsidRPr="00624561">
              <w:rPr>
                <w:rFonts w:ascii="Palatino Linotype" w:hAnsi="Palatino Linotype"/>
                <w:color w:val="000000"/>
                <w:sz w:val="20"/>
                <w:szCs w:val="20"/>
              </w:rPr>
              <w:t>De conformidad con lo establecido en el artículo 164 fracción XI del Reglamento Orgánico de la Administración Pública Municipal de Huixquilucan,</w:t>
            </w:r>
          </w:p>
        </w:tc>
        <w:tc>
          <w:tcPr>
            <w:tcW w:w="1655" w:type="dxa"/>
            <w:vMerge/>
          </w:tcPr>
          <w:p w14:paraId="60B8AA79" w14:textId="77777777" w:rsidR="007D7646" w:rsidRPr="00B03C78" w:rsidRDefault="007D7646" w:rsidP="007D7646">
            <w:pPr>
              <w:autoSpaceDE w:val="0"/>
              <w:autoSpaceDN w:val="0"/>
              <w:adjustRightInd w:val="0"/>
              <w:jc w:val="both"/>
              <w:rPr>
                <w:rFonts w:ascii="Palatino Linotype" w:hAnsi="Palatino Linotype" w:cs="Arial"/>
                <w:sz w:val="20"/>
                <w:szCs w:val="20"/>
              </w:rPr>
            </w:pPr>
          </w:p>
        </w:tc>
        <w:tc>
          <w:tcPr>
            <w:tcW w:w="1716" w:type="dxa"/>
            <w:gridSpan w:val="2"/>
          </w:tcPr>
          <w:p w14:paraId="2770BF5F" w14:textId="30128109" w:rsidR="007D7646" w:rsidRPr="00B03C78" w:rsidRDefault="007D7646" w:rsidP="007D7646">
            <w:pPr>
              <w:autoSpaceDE w:val="0"/>
              <w:autoSpaceDN w:val="0"/>
              <w:adjustRightInd w:val="0"/>
              <w:jc w:val="both"/>
              <w:rPr>
                <w:rFonts w:ascii="Palatino Linotype" w:hAnsi="Palatino Linotype" w:cs="Arial"/>
                <w:sz w:val="20"/>
                <w:szCs w:val="20"/>
              </w:rPr>
            </w:pPr>
            <w:r>
              <w:rPr>
                <w:rFonts w:ascii="Palatino Linotype" w:hAnsi="Palatino Linotype"/>
                <w:color w:val="000000"/>
                <w:sz w:val="20"/>
                <w:szCs w:val="20"/>
              </w:rPr>
              <w:t>El</w:t>
            </w:r>
            <w:r w:rsidRPr="00624561">
              <w:rPr>
                <w:rFonts w:ascii="Palatino Linotype" w:hAnsi="Palatino Linotype"/>
                <w:color w:val="000000"/>
                <w:sz w:val="20"/>
                <w:szCs w:val="20"/>
              </w:rPr>
              <w:t xml:space="preserve"> techo financiero </w:t>
            </w:r>
            <w:r>
              <w:rPr>
                <w:rFonts w:ascii="Palatino Linotype" w:hAnsi="Palatino Linotype"/>
                <w:color w:val="000000"/>
                <w:sz w:val="20"/>
                <w:szCs w:val="20"/>
              </w:rPr>
              <w:t xml:space="preserve">asignado </w:t>
            </w:r>
            <w:r w:rsidRPr="00624561">
              <w:rPr>
                <w:rFonts w:ascii="Palatino Linotype" w:hAnsi="Palatino Linotype"/>
                <w:color w:val="000000"/>
                <w:sz w:val="20"/>
                <w:szCs w:val="20"/>
              </w:rPr>
              <w:t>corresponde al capítulo 5000 tal y como lo establece el Manual Único de contabilidad gubernamental para las entidades públicas del Gobierno y Municipios del Estado de México</w:t>
            </w:r>
          </w:p>
        </w:tc>
        <w:tc>
          <w:tcPr>
            <w:tcW w:w="1699" w:type="dxa"/>
          </w:tcPr>
          <w:p w14:paraId="2B6A6A11" w14:textId="75D2A3BD" w:rsidR="007D7646" w:rsidRPr="00B03C78" w:rsidRDefault="007D7646" w:rsidP="007D7646">
            <w:pPr>
              <w:autoSpaceDE w:val="0"/>
              <w:autoSpaceDN w:val="0"/>
              <w:adjustRightInd w:val="0"/>
              <w:jc w:val="both"/>
              <w:rPr>
                <w:rFonts w:ascii="Palatino Linotype" w:hAnsi="Palatino Linotype" w:cs="Arial"/>
                <w:sz w:val="20"/>
                <w:szCs w:val="20"/>
              </w:rPr>
            </w:pPr>
            <w:r w:rsidRPr="00B03C78">
              <w:rPr>
                <w:rFonts w:ascii="Palatino Linotype" w:hAnsi="Palatino Linotype" w:cs="Arial"/>
                <w:sz w:val="20"/>
                <w:szCs w:val="20"/>
              </w:rPr>
              <w:t>No se pronunció.</w:t>
            </w:r>
          </w:p>
        </w:tc>
        <w:tc>
          <w:tcPr>
            <w:tcW w:w="817" w:type="dxa"/>
          </w:tcPr>
          <w:p w14:paraId="2C73DDC0" w14:textId="273F0E6B" w:rsidR="007D7646" w:rsidRPr="00B03C78" w:rsidRDefault="007D7646" w:rsidP="007D7646">
            <w:pPr>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t>Sí</w:t>
            </w:r>
          </w:p>
        </w:tc>
      </w:tr>
      <w:tr w:rsidR="00F140CB" w:rsidRPr="00B03C78" w14:paraId="5100EC01" w14:textId="77777777" w:rsidTr="00554249">
        <w:tc>
          <w:tcPr>
            <w:tcW w:w="1638" w:type="dxa"/>
          </w:tcPr>
          <w:p w14:paraId="7A6E00FE" w14:textId="5B1C52C6" w:rsidR="00F140CB" w:rsidRPr="00B03C78" w:rsidRDefault="00F140CB" w:rsidP="007D7646">
            <w:pPr>
              <w:autoSpaceDE w:val="0"/>
              <w:autoSpaceDN w:val="0"/>
              <w:adjustRightInd w:val="0"/>
              <w:jc w:val="both"/>
              <w:rPr>
                <w:rFonts w:ascii="Palatino Linotype" w:hAnsi="Palatino Linotype" w:cs="Arial"/>
                <w:sz w:val="20"/>
                <w:szCs w:val="20"/>
              </w:rPr>
            </w:pPr>
            <w:r w:rsidRPr="00624561">
              <w:rPr>
                <w:rFonts w:ascii="Palatino Linotype" w:hAnsi="Palatino Linotype"/>
                <w:color w:val="000000"/>
                <w:sz w:val="20"/>
                <w:szCs w:val="20"/>
              </w:rPr>
              <w:t>4. ¿Cuál es precio del mobiliario de oficina que compro el Ayuntamiento para el edificio donde hoy se encuentra la dirección de administración?</w:t>
            </w:r>
          </w:p>
        </w:tc>
        <w:tc>
          <w:tcPr>
            <w:tcW w:w="1605" w:type="dxa"/>
            <w:vMerge/>
          </w:tcPr>
          <w:p w14:paraId="6928F7E6" w14:textId="77777777" w:rsidR="00F140CB" w:rsidRPr="00B03C78" w:rsidRDefault="00F140CB" w:rsidP="007D7646">
            <w:pPr>
              <w:autoSpaceDE w:val="0"/>
              <w:autoSpaceDN w:val="0"/>
              <w:adjustRightInd w:val="0"/>
              <w:jc w:val="both"/>
              <w:rPr>
                <w:rFonts w:ascii="Palatino Linotype" w:hAnsi="Palatino Linotype" w:cs="Arial"/>
                <w:sz w:val="20"/>
                <w:szCs w:val="20"/>
              </w:rPr>
            </w:pPr>
          </w:p>
        </w:tc>
        <w:tc>
          <w:tcPr>
            <w:tcW w:w="1655" w:type="dxa"/>
            <w:vMerge/>
          </w:tcPr>
          <w:p w14:paraId="63BB147C" w14:textId="77777777" w:rsidR="00F140CB" w:rsidRPr="00B03C78" w:rsidRDefault="00F140CB" w:rsidP="007D7646">
            <w:pPr>
              <w:autoSpaceDE w:val="0"/>
              <w:autoSpaceDN w:val="0"/>
              <w:adjustRightInd w:val="0"/>
              <w:jc w:val="both"/>
              <w:rPr>
                <w:rFonts w:ascii="Palatino Linotype" w:hAnsi="Palatino Linotype" w:cs="Arial"/>
                <w:sz w:val="20"/>
                <w:szCs w:val="20"/>
              </w:rPr>
            </w:pPr>
          </w:p>
        </w:tc>
        <w:tc>
          <w:tcPr>
            <w:tcW w:w="1716" w:type="dxa"/>
            <w:gridSpan w:val="2"/>
            <w:vMerge w:val="restart"/>
          </w:tcPr>
          <w:p w14:paraId="7BF2BBF4" w14:textId="77777777" w:rsidR="00F140CB" w:rsidRDefault="00F140CB" w:rsidP="007D7646">
            <w:pPr>
              <w:spacing w:before="240" w:after="240" w:line="360" w:lineRule="auto"/>
              <w:jc w:val="both"/>
              <w:rPr>
                <w:rFonts w:ascii="Palatino Linotype" w:hAnsi="Palatino Linotype"/>
                <w:color w:val="000000"/>
                <w:sz w:val="20"/>
                <w:szCs w:val="20"/>
              </w:rPr>
            </w:pPr>
            <w:r w:rsidRPr="00624561">
              <w:rPr>
                <w:rFonts w:ascii="Palatino Linotype" w:hAnsi="Palatino Linotype"/>
                <w:color w:val="000000"/>
                <w:sz w:val="20"/>
                <w:szCs w:val="20"/>
              </w:rPr>
              <w:t>Se encuentra plasmado en la factura que se adjunta al presente.</w:t>
            </w:r>
          </w:p>
          <w:p w14:paraId="719E6361" w14:textId="6457804A" w:rsidR="00F140CB" w:rsidRPr="00624561" w:rsidRDefault="00F140CB" w:rsidP="007D7646">
            <w:pPr>
              <w:spacing w:before="240" w:after="240" w:line="360" w:lineRule="auto"/>
              <w:jc w:val="both"/>
              <w:rPr>
                <w:rFonts w:ascii="Palatino Linotype" w:hAnsi="Palatino Linotype"/>
                <w:color w:val="000000"/>
                <w:sz w:val="20"/>
                <w:szCs w:val="20"/>
              </w:rPr>
            </w:pPr>
            <w:r w:rsidRPr="00624561">
              <w:rPr>
                <w:rFonts w:ascii="Palatino Linotype" w:hAnsi="Palatino Linotype"/>
                <w:noProof/>
                <w:color w:val="000000"/>
                <w:sz w:val="20"/>
                <w:szCs w:val="20"/>
                <w:lang w:val="es-MX" w:eastAsia="es-MX"/>
              </w:rPr>
              <w:drawing>
                <wp:inline distT="0" distB="0" distL="0" distR="0" wp14:anchorId="0BE1810F" wp14:editId="6520DEAF">
                  <wp:extent cx="942975" cy="51625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42975" cy="516255"/>
                          </a:xfrm>
                          <a:prstGeom prst="rect">
                            <a:avLst/>
                          </a:prstGeom>
                        </pic:spPr>
                      </pic:pic>
                    </a:graphicData>
                  </a:graphic>
                </wp:inline>
              </w:drawing>
            </w:r>
          </w:p>
          <w:p w14:paraId="1B0DC266" w14:textId="77777777" w:rsidR="00F140CB" w:rsidRPr="00B03C78" w:rsidRDefault="00F140CB" w:rsidP="007D7646">
            <w:pPr>
              <w:autoSpaceDE w:val="0"/>
              <w:autoSpaceDN w:val="0"/>
              <w:adjustRightInd w:val="0"/>
              <w:jc w:val="both"/>
              <w:rPr>
                <w:rFonts w:ascii="Palatino Linotype" w:hAnsi="Palatino Linotype" w:cs="Arial"/>
                <w:sz w:val="20"/>
                <w:szCs w:val="20"/>
              </w:rPr>
            </w:pPr>
          </w:p>
        </w:tc>
        <w:tc>
          <w:tcPr>
            <w:tcW w:w="1699" w:type="dxa"/>
          </w:tcPr>
          <w:p w14:paraId="79E7855D" w14:textId="78532B2C" w:rsidR="00F140CB" w:rsidRPr="00B03C78" w:rsidRDefault="00F140CB" w:rsidP="007D7646">
            <w:pPr>
              <w:autoSpaceDE w:val="0"/>
              <w:autoSpaceDN w:val="0"/>
              <w:adjustRightInd w:val="0"/>
              <w:jc w:val="both"/>
              <w:rPr>
                <w:rFonts w:ascii="Palatino Linotype" w:hAnsi="Palatino Linotype" w:cs="Arial"/>
                <w:sz w:val="20"/>
                <w:szCs w:val="20"/>
              </w:rPr>
            </w:pPr>
            <w:r w:rsidRPr="00624561">
              <w:rPr>
                <w:rFonts w:ascii="Palatino Linotype" w:hAnsi="Palatino Linotype"/>
                <w:color w:val="000000"/>
                <w:sz w:val="20"/>
                <w:szCs w:val="20"/>
              </w:rPr>
              <w:t xml:space="preserve">La información requerida en el punto CUATRO fue capturada en su totalidad dentro del Sistema de Información Pública Mexiquense (IPomex) durante el segundo trimestre del ejercicio fiscal 2018, razón por la cual se pone a disposición el ANEXO 1, mismo que contiene las capturas pantallas donde se detallan los pasos a seguir </w:t>
            </w:r>
            <w:r w:rsidRPr="00624561">
              <w:rPr>
                <w:rFonts w:ascii="Palatino Linotype" w:hAnsi="Palatino Linotype"/>
                <w:color w:val="000000"/>
                <w:sz w:val="20"/>
                <w:szCs w:val="20"/>
              </w:rPr>
              <w:lastRenderedPageBreak/>
              <w:t>para obtener la información requerida.</w:t>
            </w:r>
          </w:p>
        </w:tc>
        <w:tc>
          <w:tcPr>
            <w:tcW w:w="817" w:type="dxa"/>
            <w:vMerge w:val="restart"/>
          </w:tcPr>
          <w:p w14:paraId="41F43779" w14:textId="53ABE6F5" w:rsidR="00F140CB" w:rsidRPr="00B03C78" w:rsidRDefault="00F140CB" w:rsidP="007D7646">
            <w:pPr>
              <w:autoSpaceDE w:val="0"/>
              <w:autoSpaceDN w:val="0"/>
              <w:adjustRightInd w:val="0"/>
              <w:jc w:val="center"/>
              <w:rPr>
                <w:rFonts w:ascii="Palatino Linotype" w:hAnsi="Palatino Linotype" w:cs="Arial"/>
                <w:sz w:val="20"/>
                <w:szCs w:val="20"/>
              </w:rPr>
            </w:pPr>
            <w:r>
              <w:rPr>
                <w:rFonts w:ascii="Palatino Linotype" w:hAnsi="Palatino Linotype" w:cs="Arial"/>
                <w:sz w:val="20"/>
                <w:szCs w:val="20"/>
              </w:rPr>
              <w:lastRenderedPageBreak/>
              <w:t>No, por dejarse a la vista datos personales que debieron ser clasificados.</w:t>
            </w:r>
          </w:p>
        </w:tc>
      </w:tr>
      <w:tr w:rsidR="00F140CB" w:rsidRPr="00B03C78" w14:paraId="669CA602" w14:textId="77777777" w:rsidTr="00554249">
        <w:tc>
          <w:tcPr>
            <w:tcW w:w="1638" w:type="dxa"/>
          </w:tcPr>
          <w:p w14:paraId="6D3230A7" w14:textId="5123E3DA" w:rsidR="00F140CB" w:rsidRPr="00B03C78" w:rsidRDefault="00F140CB" w:rsidP="007D7646">
            <w:pPr>
              <w:autoSpaceDE w:val="0"/>
              <w:autoSpaceDN w:val="0"/>
              <w:adjustRightInd w:val="0"/>
              <w:jc w:val="both"/>
              <w:rPr>
                <w:rFonts w:ascii="Palatino Linotype" w:hAnsi="Palatino Linotype" w:cs="Arial"/>
                <w:sz w:val="20"/>
                <w:szCs w:val="20"/>
              </w:rPr>
            </w:pPr>
            <w:r w:rsidRPr="00624561">
              <w:rPr>
                <w:rFonts w:ascii="Palatino Linotype" w:hAnsi="Palatino Linotype"/>
                <w:color w:val="000000"/>
                <w:sz w:val="20"/>
                <w:szCs w:val="20"/>
              </w:rPr>
              <w:t>5. Quiero las facturas que comprueben el precio del mobiliario de oficina del edificio donde hoy se encuentra la dirección de administración</w:t>
            </w:r>
          </w:p>
        </w:tc>
        <w:tc>
          <w:tcPr>
            <w:tcW w:w="1605" w:type="dxa"/>
            <w:vMerge/>
          </w:tcPr>
          <w:p w14:paraId="39816C9B" w14:textId="77777777" w:rsidR="00F140CB" w:rsidRPr="00B03C78" w:rsidRDefault="00F140CB" w:rsidP="007D7646">
            <w:pPr>
              <w:autoSpaceDE w:val="0"/>
              <w:autoSpaceDN w:val="0"/>
              <w:adjustRightInd w:val="0"/>
              <w:jc w:val="both"/>
              <w:rPr>
                <w:rFonts w:ascii="Palatino Linotype" w:hAnsi="Palatino Linotype" w:cs="Arial"/>
                <w:sz w:val="20"/>
                <w:szCs w:val="20"/>
              </w:rPr>
            </w:pPr>
          </w:p>
        </w:tc>
        <w:tc>
          <w:tcPr>
            <w:tcW w:w="1655" w:type="dxa"/>
            <w:vMerge/>
          </w:tcPr>
          <w:p w14:paraId="35304C8D" w14:textId="77777777" w:rsidR="00F140CB" w:rsidRPr="00B03C78" w:rsidRDefault="00F140CB" w:rsidP="007D7646">
            <w:pPr>
              <w:autoSpaceDE w:val="0"/>
              <w:autoSpaceDN w:val="0"/>
              <w:adjustRightInd w:val="0"/>
              <w:jc w:val="both"/>
              <w:rPr>
                <w:rFonts w:ascii="Palatino Linotype" w:hAnsi="Palatino Linotype" w:cs="Arial"/>
                <w:sz w:val="20"/>
                <w:szCs w:val="20"/>
              </w:rPr>
            </w:pPr>
          </w:p>
        </w:tc>
        <w:tc>
          <w:tcPr>
            <w:tcW w:w="1716" w:type="dxa"/>
            <w:gridSpan w:val="2"/>
            <w:vMerge/>
          </w:tcPr>
          <w:p w14:paraId="18F599B0" w14:textId="77777777" w:rsidR="00F140CB" w:rsidRPr="00B03C78" w:rsidRDefault="00F140CB" w:rsidP="007D7646">
            <w:pPr>
              <w:autoSpaceDE w:val="0"/>
              <w:autoSpaceDN w:val="0"/>
              <w:adjustRightInd w:val="0"/>
              <w:jc w:val="both"/>
              <w:rPr>
                <w:rFonts w:ascii="Palatino Linotype" w:hAnsi="Palatino Linotype" w:cs="Arial"/>
                <w:sz w:val="20"/>
                <w:szCs w:val="20"/>
              </w:rPr>
            </w:pPr>
          </w:p>
        </w:tc>
        <w:tc>
          <w:tcPr>
            <w:tcW w:w="1699" w:type="dxa"/>
          </w:tcPr>
          <w:p w14:paraId="2115ADF6" w14:textId="1357CD46" w:rsidR="00F140CB" w:rsidRPr="00B03C78" w:rsidRDefault="00F140CB" w:rsidP="007D7646">
            <w:pPr>
              <w:autoSpaceDE w:val="0"/>
              <w:autoSpaceDN w:val="0"/>
              <w:adjustRightInd w:val="0"/>
              <w:jc w:val="both"/>
              <w:rPr>
                <w:rFonts w:ascii="Palatino Linotype" w:hAnsi="Palatino Linotype" w:cs="Arial"/>
                <w:sz w:val="20"/>
                <w:szCs w:val="20"/>
              </w:rPr>
            </w:pPr>
            <w:r w:rsidRPr="00554249">
              <w:rPr>
                <w:rFonts w:ascii="Palatino Linotype" w:hAnsi="Palatino Linotype" w:cs="Arial"/>
                <w:sz w:val="20"/>
                <w:szCs w:val="20"/>
              </w:rPr>
              <w:t>No se pronunció.</w:t>
            </w:r>
          </w:p>
        </w:tc>
        <w:tc>
          <w:tcPr>
            <w:tcW w:w="817" w:type="dxa"/>
            <w:vMerge/>
          </w:tcPr>
          <w:p w14:paraId="57BF729C" w14:textId="750642E2" w:rsidR="00F140CB" w:rsidRPr="00B03C78" w:rsidRDefault="00F140CB" w:rsidP="007D7646">
            <w:pPr>
              <w:autoSpaceDE w:val="0"/>
              <w:autoSpaceDN w:val="0"/>
              <w:adjustRightInd w:val="0"/>
              <w:jc w:val="center"/>
              <w:rPr>
                <w:rFonts w:ascii="Palatino Linotype" w:hAnsi="Palatino Linotype" w:cs="Arial"/>
                <w:sz w:val="20"/>
                <w:szCs w:val="20"/>
              </w:rPr>
            </w:pPr>
          </w:p>
        </w:tc>
      </w:tr>
    </w:tbl>
    <w:p w14:paraId="32B7C0C4" w14:textId="77777777" w:rsidR="00B03C78" w:rsidRDefault="00B03C78" w:rsidP="00DA5E8B">
      <w:pPr>
        <w:autoSpaceDE w:val="0"/>
        <w:autoSpaceDN w:val="0"/>
        <w:adjustRightInd w:val="0"/>
        <w:spacing w:before="240" w:after="240" w:line="360" w:lineRule="auto"/>
        <w:jc w:val="both"/>
        <w:rPr>
          <w:rFonts w:ascii="Palatino Linotype" w:hAnsi="Palatino Linotype" w:cs="Arial"/>
        </w:rPr>
      </w:pPr>
    </w:p>
    <w:p w14:paraId="682B0B52" w14:textId="0E6667DD" w:rsidR="00DC35A1" w:rsidRDefault="00D948DE" w:rsidP="00FB3FDD">
      <w:pPr>
        <w:spacing w:before="240" w:after="240" w:line="360" w:lineRule="auto"/>
        <w:jc w:val="both"/>
        <w:rPr>
          <w:rFonts w:ascii="Palatino Linotype" w:hAnsi="Palatino Linotype" w:cs="Arial"/>
        </w:rPr>
      </w:pPr>
      <w:r>
        <w:rPr>
          <w:rFonts w:ascii="Palatino Linotype" w:hAnsi="Palatino Linotype" w:cs="Arial"/>
        </w:rPr>
        <w:t xml:space="preserve">Visto de esta forma, </w:t>
      </w:r>
      <w:r w:rsidR="00FB3FDD">
        <w:rPr>
          <w:rFonts w:ascii="Palatino Linotype" w:hAnsi="Palatino Linotype" w:cs="Arial"/>
        </w:rPr>
        <w:t xml:space="preserve">de las actuaciones que integran el expediente electrónico que nos ocupa, se advierte </w:t>
      </w:r>
      <w:r w:rsidR="006873C1">
        <w:rPr>
          <w:rFonts w:ascii="Palatino Linotype" w:hAnsi="Palatino Linotype" w:cs="Arial"/>
        </w:rPr>
        <w:t xml:space="preserve">parcialmente </w:t>
      </w:r>
      <w:r w:rsidR="00FB3FDD">
        <w:rPr>
          <w:rFonts w:ascii="Palatino Linotype" w:hAnsi="Palatino Linotype" w:cs="Arial"/>
        </w:rPr>
        <w:t xml:space="preserve">fundado </w:t>
      </w:r>
      <w:r w:rsidR="009C63F9">
        <w:rPr>
          <w:rFonts w:ascii="Palatino Linotype" w:hAnsi="Palatino Linotype" w:cs="Arial"/>
        </w:rPr>
        <w:t>e</w:t>
      </w:r>
      <w:r w:rsidR="00FB3FDD">
        <w:rPr>
          <w:rFonts w:ascii="Palatino Linotype" w:hAnsi="Palatino Linotype" w:cs="Arial"/>
        </w:rPr>
        <w:t>l motivo de inconformidad</w:t>
      </w:r>
      <w:r w:rsidR="009C63F9">
        <w:rPr>
          <w:rFonts w:ascii="Palatino Linotype" w:hAnsi="Palatino Linotype" w:cs="Arial"/>
        </w:rPr>
        <w:t>, que básicamente consiste en que  la respuesta no contiene la información solicitada, toda vez que se indicó una liga electrónica del portal de Ipomex</w:t>
      </w:r>
      <w:r w:rsidR="00DC35A1">
        <w:rPr>
          <w:rFonts w:ascii="Palatino Linotype" w:hAnsi="Palatino Linotype" w:cs="Arial"/>
        </w:rPr>
        <w:t>, en la que no se encuentra la información requerida.</w:t>
      </w:r>
    </w:p>
    <w:p w14:paraId="726F978A" w14:textId="78BD83DE" w:rsidR="00645D45" w:rsidRDefault="00FB3FDD" w:rsidP="005E05E7">
      <w:pPr>
        <w:spacing w:before="240" w:after="240" w:line="360" w:lineRule="auto"/>
        <w:jc w:val="both"/>
        <w:rPr>
          <w:rFonts w:ascii="Palatino Linotype" w:hAnsi="Palatino Linotype"/>
        </w:rPr>
      </w:pPr>
      <w:r>
        <w:rPr>
          <w:rFonts w:ascii="Palatino Linotype" w:hAnsi="Palatino Linotype" w:cs="Arial"/>
        </w:rPr>
        <w:t xml:space="preserve"> </w:t>
      </w:r>
      <w:r w:rsidR="00645D45">
        <w:rPr>
          <w:rFonts w:ascii="Palatino Linotype" w:hAnsi="Palatino Linotype" w:cs="Arial"/>
        </w:rPr>
        <w:t xml:space="preserve">En este contexto, es necesario aludir primeramente al procedimiento de búsqueda de la información que debe seguir los sujetos obligados para su localización, el cual se encuentra establecido en </w:t>
      </w:r>
      <w:r w:rsidR="00B77041">
        <w:rPr>
          <w:rFonts w:ascii="Palatino Linotype" w:hAnsi="Palatino Linotype" w:cs="Arial"/>
        </w:rPr>
        <w:t>l</w:t>
      </w:r>
      <w:r w:rsidR="00645D45">
        <w:rPr>
          <w:rFonts w:ascii="Palatino Linotype" w:hAnsi="Palatino Linotype" w:cs="Arial"/>
        </w:rPr>
        <w:t xml:space="preserve">os artículos </w:t>
      </w:r>
      <w:r w:rsidR="00645D45">
        <w:rPr>
          <w:rFonts w:ascii="Palatino Linotype" w:hAnsi="Palatino Linotype" w:cs="Arial"/>
          <w:lang w:val="es-MX"/>
        </w:rPr>
        <w:t xml:space="preserve">151, </w:t>
      </w:r>
      <w:r w:rsidR="00645D45">
        <w:rPr>
          <w:rFonts w:ascii="Palatino Linotype" w:hAnsi="Palatino Linotype"/>
        </w:rPr>
        <w:t>162 y 165 de la Ley de Transparencia y Acceso a la Información Pública del Estado de México y Municipios, en los siguientes términos:</w:t>
      </w:r>
    </w:p>
    <w:p w14:paraId="2D362066" w14:textId="77777777" w:rsidR="00645D45" w:rsidRPr="0065339F" w:rsidRDefault="00645D45" w:rsidP="00645D45">
      <w:pPr>
        <w:spacing w:after="120"/>
        <w:ind w:left="851" w:right="900"/>
        <w:jc w:val="both"/>
        <w:rPr>
          <w:rFonts w:ascii="Palatino Linotype" w:hAnsi="Palatino Linotype"/>
          <w:i/>
          <w:sz w:val="20"/>
          <w:szCs w:val="20"/>
        </w:rPr>
      </w:pPr>
      <w:r>
        <w:rPr>
          <w:rFonts w:ascii="Palatino Linotype" w:hAnsi="Palatino Linotype"/>
          <w:b/>
          <w:i/>
          <w:sz w:val="20"/>
          <w:szCs w:val="20"/>
        </w:rPr>
        <w:t>“</w:t>
      </w:r>
      <w:r w:rsidRPr="0065339F">
        <w:rPr>
          <w:rFonts w:ascii="Palatino Linotype" w:hAnsi="Palatino Linotype"/>
          <w:b/>
          <w:i/>
          <w:sz w:val="20"/>
          <w:szCs w:val="20"/>
        </w:rPr>
        <w:t>Artículo 151.</w:t>
      </w:r>
      <w:r w:rsidRPr="0065339F">
        <w:rPr>
          <w:rFonts w:ascii="Palatino Linotype" w:hAnsi="Palatino Linotype"/>
          <w:i/>
          <w:sz w:val="20"/>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1085C00D" w14:textId="77777777" w:rsidR="00645D45" w:rsidRPr="003915F8" w:rsidRDefault="00645D45" w:rsidP="00645D45">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162.</w:t>
      </w:r>
      <w:r w:rsidRPr="003915F8">
        <w:rPr>
          <w:rFonts w:ascii="Palatino Linotype" w:hAnsi="Palatino Linotype"/>
          <w:i/>
          <w:sz w:val="20"/>
          <w:szCs w:val="20"/>
        </w:rPr>
        <w:t xml:space="preserve"> Las unidades de transparencia deberán garantizar que las solicitudes se turnen a todas las Áreas competentes que cuenten con la información o deban tenerla de </w:t>
      </w:r>
      <w:r w:rsidRPr="003915F8">
        <w:rPr>
          <w:rFonts w:ascii="Palatino Linotype" w:hAnsi="Palatino Linotype"/>
          <w:i/>
          <w:sz w:val="20"/>
          <w:szCs w:val="20"/>
        </w:rPr>
        <w:lastRenderedPageBreak/>
        <w:t xml:space="preserve">acuerdo a sus facultades, competencias y funciones, con el objeto de que realicen una búsqueda exhaustiva y razonable de la información solicitada.  </w:t>
      </w:r>
    </w:p>
    <w:p w14:paraId="762561C6" w14:textId="77777777" w:rsidR="00645D45" w:rsidRPr="003915F8" w:rsidRDefault="00645D45" w:rsidP="00645D45">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165.</w:t>
      </w:r>
      <w:r w:rsidRPr="003915F8">
        <w:rPr>
          <w:rFonts w:ascii="Palatino Linotype" w:hAnsi="Palatino Linotype"/>
          <w:i/>
          <w:sz w:val="20"/>
          <w:szCs w:val="20"/>
        </w:rPr>
        <w:t xml:space="preserve"> Los sujetos obligados establecerán la forma y términos en que darán trámite interno a las solicitudes en materia de acceso a la información</w:t>
      </w:r>
      <w:r>
        <w:rPr>
          <w:rFonts w:ascii="Palatino Linotype" w:hAnsi="Palatino Linotype"/>
          <w:i/>
          <w:sz w:val="20"/>
          <w:szCs w:val="20"/>
        </w:rPr>
        <w:t>…”</w:t>
      </w:r>
    </w:p>
    <w:p w14:paraId="0A780A72" w14:textId="77777777" w:rsidR="00645D45" w:rsidRDefault="00645D45" w:rsidP="00645D45">
      <w:pPr>
        <w:spacing w:before="240" w:after="240" w:line="360" w:lineRule="auto"/>
        <w:jc w:val="both"/>
        <w:rPr>
          <w:rFonts w:ascii="Palatino Linotype" w:hAnsi="Palatino Linotype"/>
        </w:rPr>
      </w:pPr>
      <w:r>
        <w:rPr>
          <w:rFonts w:ascii="Palatino Linotype" w:hAnsi="Palatino Linotype"/>
        </w:rPr>
        <w:t>De la normatividad citada, se desprende que las Unidades de Transparencia deben garantizar las medidas y condiciones de accesibilidad para que toda persona pueda ejercer el derecho de acceso a la información, y que una vez ejercido, deberán garantizar que las solicitudes de acceso a la información se turnen a todas las áreas competentes que cuenten con la información o que deban tenerla de acuerdo a sus facultades, competencia y funciones, en la forma y términos que los sujetos obligados determinen para su trámite interno.</w:t>
      </w:r>
    </w:p>
    <w:p w14:paraId="1978D88E" w14:textId="651F5BC9" w:rsidR="00DC35A1" w:rsidRDefault="00DC35A1" w:rsidP="00645D45">
      <w:pPr>
        <w:spacing w:before="240" w:after="240" w:line="360" w:lineRule="auto"/>
        <w:jc w:val="both"/>
        <w:rPr>
          <w:rFonts w:ascii="Palatino Linotype" w:hAnsi="Palatino Linotype"/>
        </w:rPr>
      </w:pPr>
      <w:r>
        <w:rPr>
          <w:rFonts w:ascii="Palatino Linotype" w:hAnsi="Palatino Linotype"/>
        </w:rPr>
        <w:t>Bajo dicho contexto, la Titular de la unidad de Transparencia turnó la solicitud de acceso a la información número 00350/HUIXQUIL/IP/2018 a la Dirección General de Administración, Dirección General de Infraestructura y Edificación, Secretaria del Ayuntamiento y Tesorería Municipal, a quienes en términos del Reglamento Orgánico de la Administración Pública Municipal, les corresponden las siguientes atribuciones:</w:t>
      </w:r>
    </w:p>
    <w:p w14:paraId="07C57EDE" w14:textId="5F63A674" w:rsidR="00DC35A1" w:rsidRPr="00DC35A1" w:rsidRDefault="00DC35A1" w:rsidP="00DC35A1">
      <w:pPr>
        <w:pStyle w:val="Prrafodelista"/>
        <w:numPr>
          <w:ilvl w:val="0"/>
          <w:numId w:val="14"/>
        </w:numPr>
        <w:spacing w:before="240" w:after="240" w:line="360" w:lineRule="auto"/>
        <w:jc w:val="both"/>
        <w:rPr>
          <w:rFonts w:ascii="Palatino Linotype" w:hAnsi="Palatino Linotype"/>
          <w:b/>
        </w:rPr>
      </w:pPr>
      <w:r w:rsidRPr="00DC35A1">
        <w:rPr>
          <w:rFonts w:ascii="Palatino Linotype" w:hAnsi="Palatino Linotype"/>
          <w:b/>
        </w:rPr>
        <w:t>Dirección General de Administración</w:t>
      </w:r>
      <w:r>
        <w:rPr>
          <w:rFonts w:ascii="Palatino Linotype" w:hAnsi="Palatino Linotype"/>
          <w:b/>
        </w:rPr>
        <w:t xml:space="preserve">.- </w:t>
      </w:r>
      <w:r>
        <w:rPr>
          <w:rFonts w:ascii="Palatino Linotype" w:hAnsi="Palatino Linotype"/>
        </w:rPr>
        <w:t>es la dependencia encargada de administrar, comprobar y controlar los recursos humanos, materiales, económicos y técnicos que sean necesarios para el desarrollo del funcionamiento de las distintas dependencias y unidades administrativas que conforman la administración, considerando la capacidad financiera, así como el Plan de Desarrollo Municipal.</w:t>
      </w:r>
    </w:p>
    <w:p w14:paraId="5D832B5A" w14:textId="5FB268C2" w:rsidR="0084143C" w:rsidRPr="0084143C" w:rsidRDefault="00DC35A1" w:rsidP="00DC35A1">
      <w:pPr>
        <w:pStyle w:val="Prrafodelista"/>
        <w:numPr>
          <w:ilvl w:val="0"/>
          <w:numId w:val="14"/>
        </w:numPr>
        <w:spacing w:before="240" w:after="240" w:line="360" w:lineRule="auto"/>
        <w:jc w:val="both"/>
        <w:rPr>
          <w:rFonts w:ascii="Palatino Linotype" w:hAnsi="Palatino Linotype"/>
          <w:b/>
        </w:rPr>
      </w:pPr>
      <w:r w:rsidRPr="00DC35A1">
        <w:rPr>
          <w:rFonts w:ascii="Palatino Linotype" w:hAnsi="Palatino Linotype"/>
          <w:b/>
        </w:rPr>
        <w:lastRenderedPageBreak/>
        <w:t>Dirección General de Infraestructura y Edificación</w:t>
      </w:r>
      <w:r>
        <w:rPr>
          <w:rFonts w:ascii="Palatino Linotype" w:hAnsi="Palatino Linotype"/>
          <w:b/>
        </w:rPr>
        <w:t xml:space="preserve">.- </w:t>
      </w:r>
      <w:r w:rsidR="0084143C" w:rsidRPr="0084143C">
        <w:rPr>
          <w:rFonts w:ascii="Palatino Linotype" w:hAnsi="Palatino Linotype"/>
        </w:rPr>
        <w:t xml:space="preserve">tiene como objeto planear, programar, presupuestar, adjudicar, contratar, ejecutar, vigilar, supervisar, controlar, recibir, adecuar, conservar y mantener las obras públicas y equipamiento urbano municipal; así como otorgar el debido cumplimiento a lo establecido en el Libro Décimo Segundo del Código Administrativo del Estado de México, su respectivo Reglamento, y demás ordenamientos legales aplicables. </w:t>
      </w:r>
    </w:p>
    <w:p w14:paraId="5A69D223" w14:textId="19F0AD5A" w:rsidR="003F1F4C" w:rsidRPr="003F1F4C" w:rsidRDefault="00DC35A1" w:rsidP="00DC35A1">
      <w:pPr>
        <w:pStyle w:val="Prrafodelista"/>
        <w:numPr>
          <w:ilvl w:val="0"/>
          <w:numId w:val="14"/>
        </w:numPr>
        <w:spacing w:before="240" w:after="240" w:line="360" w:lineRule="auto"/>
        <w:jc w:val="both"/>
        <w:rPr>
          <w:rFonts w:ascii="Palatino Linotype" w:hAnsi="Palatino Linotype"/>
          <w:b/>
        </w:rPr>
      </w:pPr>
      <w:r w:rsidRPr="00DC35A1">
        <w:rPr>
          <w:rFonts w:ascii="Palatino Linotype" w:hAnsi="Palatino Linotype"/>
          <w:b/>
        </w:rPr>
        <w:t>Secretaria del Ayuntamiento</w:t>
      </w:r>
      <w:r w:rsidR="003F1F4C">
        <w:rPr>
          <w:rFonts w:ascii="Palatino Linotype" w:hAnsi="Palatino Linotype"/>
          <w:b/>
        </w:rPr>
        <w:t xml:space="preserve">.- </w:t>
      </w:r>
      <w:r w:rsidR="003F1F4C" w:rsidRPr="003F1F4C">
        <w:rPr>
          <w:rFonts w:ascii="Palatino Linotype" w:hAnsi="Palatino Linotype"/>
        </w:rPr>
        <w:t>conducir la política interior del Municipio.</w:t>
      </w:r>
    </w:p>
    <w:p w14:paraId="2A7AD6AD" w14:textId="51B3C0C2" w:rsidR="00DC35A1" w:rsidRPr="003F1F4C" w:rsidRDefault="00DC35A1" w:rsidP="00DC35A1">
      <w:pPr>
        <w:pStyle w:val="Prrafodelista"/>
        <w:numPr>
          <w:ilvl w:val="0"/>
          <w:numId w:val="14"/>
        </w:numPr>
        <w:spacing w:before="240" w:after="240" w:line="360" w:lineRule="auto"/>
        <w:jc w:val="both"/>
        <w:rPr>
          <w:rFonts w:ascii="Palatino Linotype" w:hAnsi="Palatino Linotype"/>
          <w:b/>
        </w:rPr>
      </w:pPr>
      <w:r w:rsidRPr="00DC35A1">
        <w:rPr>
          <w:rFonts w:ascii="Palatino Linotype" w:hAnsi="Palatino Linotype"/>
          <w:b/>
        </w:rPr>
        <w:t>Tesorería Municipal</w:t>
      </w:r>
      <w:r w:rsidR="003F1F4C">
        <w:rPr>
          <w:rFonts w:ascii="Palatino Linotype" w:hAnsi="Palatino Linotype"/>
          <w:b/>
        </w:rPr>
        <w:t xml:space="preserve">.- </w:t>
      </w:r>
      <w:r w:rsidR="003F1F4C" w:rsidRPr="003F1F4C">
        <w:rPr>
          <w:rFonts w:ascii="Palatino Linotype" w:hAnsi="Palatino Linotype"/>
        </w:rPr>
        <w:t>es la dependencia encargada de la recaudación, planeación, administración, comprobación, programación y presupuesto del ejercicio de los recursos públicos, así como ser el responsable de dar viabilidad a los planes, programas, proyectos y demás acciones de la administración a través de la conducción de la política económica y financiera.</w:t>
      </w:r>
    </w:p>
    <w:p w14:paraId="5B01F4FE" w14:textId="3A4AE6F7" w:rsidR="003F1F4C" w:rsidRDefault="003F1F4C" w:rsidP="003F1F4C">
      <w:pPr>
        <w:spacing w:before="240" w:after="240" w:line="360" w:lineRule="auto"/>
        <w:jc w:val="both"/>
        <w:rPr>
          <w:rFonts w:ascii="Palatino Linotype" w:hAnsi="Palatino Linotype"/>
        </w:rPr>
      </w:pPr>
      <w:r>
        <w:rPr>
          <w:rFonts w:ascii="Palatino Linotype" w:hAnsi="Palatino Linotype"/>
        </w:rPr>
        <w:t xml:space="preserve">Expuestas las funciones u objetivos de las unidades administrativas a las que se turnó los requerimientos de información del particular hoy </w:t>
      </w:r>
      <w:r>
        <w:rPr>
          <w:rFonts w:ascii="Palatino Linotype" w:hAnsi="Palatino Linotype"/>
          <w:b/>
          <w:i/>
        </w:rPr>
        <w:t xml:space="preserve">Recurrente </w:t>
      </w:r>
      <w:r>
        <w:rPr>
          <w:rFonts w:ascii="Palatino Linotype" w:hAnsi="Palatino Linotype"/>
        </w:rPr>
        <w:t>se tiene que la Unidad de Transparencia garantiz</w:t>
      </w:r>
      <w:r w:rsidR="00A32016">
        <w:rPr>
          <w:rFonts w:ascii="Palatino Linotype" w:hAnsi="Palatino Linotype"/>
        </w:rPr>
        <w:t>ó</w:t>
      </w:r>
      <w:r>
        <w:rPr>
          <w:rFonts w:ascii="Palatino Linotype" w:hAnsi="Palatino Linotype"/>
        </w:rPr>
        <w:t xml:space="preserve"> el pleno ejercicio del derecho de acceso a la información, al haber turnado la solicitud a las áreas competentes para conocer de ella.</w:t>
      </w:r>
    </w:p>
    <w:p w14:paraId="0D5945C0" w14:textId="74CC9B88" w:rsidR="003F1F4C" w:rsidRDefault="00B11275" w:rsidP="00592AA0">
      <w:pPr>
        <w:spacing w:before="240" w:after="240" w:line="360" w:lineRule="auto"/>
        <w:jc w:val="both"/>
        <w:rPr>
          <w:rFonts w:ascii="Palatino Linotype" w:hAnsi="Palatino Linotype"/>
          <w:b/>
        </w:rPr>
      </w:pPr>
      <w:r>
        <w:rPr>
          <w:rFonts w:ascii="Palatino Linotype" w:hAnsi="Palatino Linotype"/>
        </w:rPr>
        <w:t xml:space="preserve">En función de lo señalado, es </w:t>
      </w:r>
      <w:r w:rsidR="00324337">
        <w:rPr>
          <w:rFonts w:ascii="Palatino Linotype" w:hAnsi="Palatino Linotype"/>
        </w:rPr>
        <w:t>menester analizar</w:t>
      </w:r>
      <w:r w:rsidR="003F1F4C">
        <w:rPr>
          <w:rFonts w:ascii="Palatino Linotype" w:hAnsi="Palatino Linotype"/>
        </w:rPr>
        <w:t xml:space="preserve"> cada uno de los requerimientos del particular con la única finalidad de otorgar certeza, sobre los razonamientos que fueron considerandos para </w:t>
      </w:r>
      <w:r w:rsidR="008B2D24">
        <w:rPr>
          <w:rFonts w:ascii="Palatino Linotype" w:hAnsi="Palatino Linotype"/>
        </w:rPr>
        <w:t>modificar</w:t>
      </w:r>
      <w:r w:rsidR="003F1F4C">
        <w:rPr>
          <w:rFonts w:ascii="Palatino Linotype" w:hAnsi="Palatino Linotype"/>
        </w:rPr>
        <w:t xml:space="preserve"> la respuesta del </w:t>
      </w:r>
      <w:r w:rsidR="003F1F4C">
        <w:rPr>
          <w:rFonts w:ascii="Palatino Linotype" w:hAnsi="Palatino Linotype"/>
          <w:b/>
        </w:rPr>
        <w:t>Sujeto Obligado.</w:t>
      </w:r>
    </w:p>
    <w:p w14:paraId="2CD33B25" w14:textId="77777777" w:rsidR="00EF0E0B" w:rsidRDefault="003F1F4C" w:rsidP="00EF0E0B">
      <w:pPr>
        <w:spacing w:before="240" w:after="240" w:line="360" w:lineRule="auto"/>
        <w:jc w:val="both"/>
        <w:rPr>
          <w:rFonts w:ascii="Palatino Linotype" w:hAnsi="Palatino Linotype" w:cs="Arial"/>
          <w:color w:val="000000" w:themeColor="text1"/>
        </w:rPr>
      </w:pPr>
      <w:r>
        <w:rPr>
          <w:rFonts w:ascii="Palatino Linotype" w:hAnsi="Palatino Linotype"/>
        </w:rPr>
        <w:lastRenderedPageBreak/>
        <w:t xml:space="preserve">Así, en principio, resulta oportuno establecer que en el asunto </w:t>
      </w:r>
      <w:r w:rsidRPr="00FD7C99">
        <w:rPr>
          <w:rFonts w:ascii="Palatino Linotype" w:hAnsi="Palatino Linotype" w:cs="Arial"/>
        </w:rPr>
        <w:t xml:space="preserve">materia de la presente resolución se advierte que el particular </w:t>
      </w:r>
      <w:r>
        <w:rPr>
          <w:rFonts w:ascii="Palatino Linotype" w:hAnsi="Palatino Linotype" w:cs="Arial"/>
        </w:rPr>
        <w:t>formuló</w:t>
      </w:r>
      <w:r w:rsidRPr="00FD7C99">
        <w:rPr>
          <w:rFonts w:ascii="Palatino Linotype" w:hAnsi="Palatino Linotype" w:cs="Arial"/>
        </w:rPr>
        <w:t xml:space="preserve"> cuestionamiento</w:t>
      </w:r>
      <w:r w:rsidR="00EF0E0B">
        <w:rPr>
          <w:rFonts w:ascii="Palatino Linotype" w:hAnsi="Palatino Linotype" w:cs="Arial"/>
        </w:rPr>
        <w:t xml:space="preserve">s </w:t>
      </w:r>
      <w:r w:rsidR="00EF0E0B" w:rsidRPr="00FD7C99">
        <w:rPr>
          <w:rFonts w:ascii="Palatino Linotype" w:hAnsi="Palatino Linotype" w:cs="Arial"/>
        </w:rPr>
        <w:t xml:space="preserve">al </w:t>
      </w:r>
      <w:r w:rsidR="00EF0E0B">
        <w:rPr>
          <w:rFonts w:ascii="Palatino Linotype" w:hAnsi="Palatino Linotype" w:cs="Arial"/>
        </w:rPr>
        <w:t>Ayuntamiento de Huixquilucan</w:t>
      </w:r>
      <w:r w:rsidR="00EF0E0B">
        <w:rPr>
          <w:rFonts w:ascii="Palatino Linotype" w:hAnsi="Palatino Linotype" w:cs="Arial"/>
          <w:b/>
        </w:rPr>
        <w:t xml:space="preserve">, </w:t>
      </w:r>
      <w:r w:rsidRPr="00FD7C99">
        <w:rPr>
          <w:rFonts w:ascii="Palatino Linotype" w:hAnsi="Palatino Linotype" w:cs="Arial"/>
        </w:rPr>
        <w:t xml:space="preserve">como lo </w:t>
      </w:r>
      <w:r w:rsidR="00EF0E0B">
        <w:rPr>
          <w:rFonts w:ascii="Palatino Linotype" w:hAnsi="Palatino Linotype" w:cs="Arial"/>
        </w:rPr>
        <w:t>es</w:t>
      </w:r>
      <w:r w:rsidRPr="00FD7C99">
        <w:rPr>
          <w:rFonts w:ascii="Palatino Linotype" w:hAnsi="Palatino Linotype" w:cs="Arial"/>
        </w:rPr>
        <w:t>: ¿</w:t>
      </w:r>
      <w:r w:rsidR="00EF0E0B" w:rsidRPr="00FD7C99">
        <w:rPr>
          <w:rFonts w:ascii="Palatino Linotype" w:hAnsi="Palatino Linotype" w:cs="Arial"/>
        </w:rPr>
        <w:t>Cuá</w:t>
      </w:r>
      <w:r w:rsidR="00EF0E0B">
        <w:rPr>
          <w:rFonts w:ascii="Palatino Linotype" w:hAnsi="Palatino Linotype" w:cs="Arial"/>
        </w:rPr>
        <w:t>l?</w:t>
      </w:r>
      <w:r w:rsidRPr="00FD7C99">
        <w:rPr>
          <w:rFonts w:ascii="Palatino Linotype" w:hAnsi="Palatino Linotype" w:cs="Arial"/>
        </w:rPr>
        <w:t xml:space="preserve">, </w:t>
      </w:r>
      <w:r w:rsidR="00EF0E0B">
        <w:rPr>
          <w:rFonts w:ascii="Palatino Linotype" w:hAnsi="Palatino Linotype" w:cs="Arial"/>
        </w:rPr>
        <w:t xml:space="preserve">lo que constituye una consulta, sin embargo, </w:t>
      </w:r>
      <w:r w:rsidRPr="00FD7C99">
        <w:rPr>
          <w:rFonts w:ascii="Palatino Linotype" w:hAnsi="Palatino Linotype" w:cs="Arial"/>
        </w:rPr>
        <w:t xml:space="preserve"> </w:t>
      </w:r>
      <w:r w:rsidR="00EF0E0B">
        <w:rPr>
          <w:rFonts w:ascii="Palatino Linotype" w:hAnsi="Palatino Linotype" w:cs="Arial"/>
        </w:rPr>
        <w:t xml:space="preserve">atendiendo el </w:t>
      </w:r>
      <w:r w:rsidR="00EF0E0B" w:rsidRPr="00FD7C99">
        <w:rPr>
          <w:rFonts w:ascii="Palatino Linotype" w:hAnsi="Palatino Linotype" w:cs="Arial"/>
        </w:rPr>
        <w:t xml:space="preserve">criterio 16/17 de los </w:t>
      </w:r>
      <w:r w:rsidR="00EF0E0B" w:rsidRPr="00FD7C99">
        <w:rPr>
          <w:rFonts w:ascii="Palatino Linotype" w:hAnsi="Palatino Linotype" w:cs="Arial"/>
          <w:color w:val="000000" w:themeColor="text1"/>
        </w:rPr>
        <w:t>emitidos por el Instituto Nacional de Transparencia, Acceso a la Información y</w:t>
      </w:r>
      <w:r w:rsidR="00EF0E0B">
        <w:rPr>
          <w:rFonts w:ascii="Palatino Linotype" w:hAnsi="Palatino Linotype" w:cs="Arial"/>
          <w:color w:val="000000" w:themeColor="text1"/>
        </w:rPr>
        <w:t xml:space="preserve"> Protección de Datos Personales, que es del texto y rubro siguiente:</w:t>
      </w:r>
    </w:p>
    <w:p w14:paraId="22990A32" w14:textId="77777777" w:rsidR="00EF0E0B" w:rsidRPr="00FD7C99" w:rsidRDefault="00EF0E0B" w:rsidP="00EF0E0B">
      <w:pPr>
        <w:spacing w:after="120"/>
        <w:ind w:left="851" w:right="902"/>
        <w:jc w:val="both"/>
        <w:rPr>
          <w:rFonts w:ascii="Palatino Linotype" w:hAnsi="Palatino Linotype" w:cs="Arial"/>
          <w:color w:val="000000" w:themeColor="text1"/>
          <w:sz w:val="20"/>
          <w:szCs w:val="20"/>
        </w:rPr>
      </w:pPr>
      <w:r w:rsidRPr="00FD7C99">
        <w:rPr>
          <w:sz w:val="20"/>
          <w:szCs w:val="20"/>
        </w:rPr>
        <w:t>“</w:t>
      </w:r>
      <w:r w:rsidRPr="00FD7C99">
        <w:rPr>
          <w:rFonts w:ascii="Palatino Linotype" w:hAnsi="Palatino Linotype" w:cs="Arial"/>
          <w:b/>
          <w:bCs/>
          <w:i/>
          <w:sz w:val="20"/>
          <w:szCs w:val="20"/>
        </w:rPr>
        <w:t xml:space="preserve">Expresión documental. </w:t>
      </w:r>
      <w:r w:rsidRPr="00FD7C99">
        <w:rPr>
          <w:rFonts w:ascii="Palatino Linotype" w:hAnsi="Palatino Linotype" w:cs="Arial"/>
          <w:bCs/>
          <w:i/>
          <w:sz w:val="20"/>
          <w:szCs w:val="20"/>
        </w:rPr>
        <w:t>Cuando</w:t>
      </w:r>
      <w:r w:rsidRPr="00FD7C99">
        <w:rPr>
          <w:rFonts w:ascii="Palatino Linotype" w:hAnsi="Palatino Linotype" w:cs="Arial"/>
          <w:i/>
          <w:color w:val="000000" w:themeColor="text1"/>
          <w:sz w:val="20"/>
          <w:szCs w:val="20"/>
        </w:rPr>
        <w:t xml:space="preserve"> los particulares presenten solicitudes de acceso a la información sin identificar de forma precisa la documentación que pudiera contener la información de su interés, </w:t>
      </w:r>
      <w:r w:rsidRPr="00FD7C99">
        <w:rPr>
          <w:rFonts w:ascii="Palatino Linotype" w:hAnsi="Palatino Linotype" w:cs="Arial"/>
          <w:i/>
          <w:sz w:val="20"/>
          <w:szCs w:val="20"/>
        </w:rPr>
        <w:t>o bien, la solicitud constituya una consulta,</w:t>
      </w:r>
      <w:r w:rsidRPr="00FD7C99">
        <w:rPr>
          <w:rFonts w:ascii="Palatino Linotype" w:hAnsi="Palatino Linotype" w:cs="Arial"/>
          <w:i/>
          <w:color w:val="000000" w:themeColor="text1"/>
          <w:sz w:val="20"/>
          <w:szCs w:val="20"/>
        </w:rPr>
        <w:t xml:space="preserve"> pero la respuesta pudiera obrar en algún documento en poder de los sujetos obligados, éstos deben dar a dichas solicitudes una interpretación que les otorgue una expresión documental.”</w:t>
      </w:r>
    </w:p>
    <w:p w14:paraId="07E15D81" w14:textId="124A557D" w:rsidR="003F1F4C" w:rsidRDefault="00EF0E0B" w:rsidP="003F1F4C">
      <w:pPr>
        <w:spacing w:before="240" w:after="240" w:line="360" w:lineRule="auto"/>
        <w:jc w:val="both"/>
        <w:rPr>
          <w:rFonts w:ascii="Palatino Linotype" w:hAnsi="Palatino Linotype" w:cs="Arial"/>
        </w:rPr>
      </w:pPr>
      <w:r>
        <w:rPr>
          <w:rFonts w:ascii="Palatino Linotype" w:hAnsi="Palatino Linotype" w:cs="Arial"/>
        </w:rPr>
        <w:t xml:space="preserve">Tenemos que cuando la </w:t>
      </w:r>
      <w:r w:rsidR="003F1F4C" w:rsidRPr="00FD7C99">
        <w:rPr>
          <w:rFonts w:ascii="Palatino Linotype" w:hAnsi="Palatino Linotype" w:cs="Arial"/>
        </w:rPr>
        <w:t xml:space="preserve">información obra en </w:t>
      </w:r>
      <w:r>
        <w:rPr>
          <w:rFonts w:ascii="Palatino Linotype" w:hAnsi="Palatino Linotype" w:cs="Arial"/>
        </w:rPr>
        <w:t xml:space="preserve">un </w:t>
      </w:r>
      <w:r w:rsidR="003F1F4C" w:rsidRPr="00FD7C99">
        <w:rPr>
          <w:rFonts w:ascii="Palatino Linotype" w:hAnsi="Palatino Linotype" w:cs="Arial"/>
        </w:rPr>
        <w:t xml:space="preserve">documento en poder del </w:t>
      </w:r>
      <w:r>
        <w:rPr>
          <w:rFonts w:ascii="Palatino Linotype" w:hAnsi="Palatino Linotype" w:cs="Arial"/>
          <w:b/>
        </w:rPr>
        <w:t>Sujeto Obligado</w:t>
      </w:r>
      <w:r w:rsidR="003F1F4C" w:rsidRPr="00FD7C99">
        <w:rPr>
          <w:rFonts w:ascii="Palatino Linotype" w:hAnsi="Palatino Linotype" w:cs="Arial"/>
        </w:rPr>
        <w:t xml:space="preserve">, se deberá </w:t>
      </w:r>
      <w:r w:rsidR="003F1F4C">
        <w:rPr>
          <w:rFonts w:ascii="Palatino Linotype" w:hAnsi="Palatino Linotype" w:cs="Arial"/>
        </w:rPr>
        <w:t xml:space="preserve">realizar </w:t>
      </w:r>
      <w:r w:rsidR="003F1F4C" w:rsidRPr="00FD7C99">
        <w:rPr>
          <w:rFonts w:ascii="Palatino Linotype" w:hAnsi="Palatino Linotype" w:cs="Arial"/>
        </w:rPr>
        <w:t>una interpretación a la solicitud planteada</w:t>
      </w:r>
      <w:r w:rsidR="003F1F4C">
        <w:rPr>
          <w:rFonts w:ascii="Palatino Linotype" w:hAnsi="Palatino Linotype" w:cs="Arial"/>
        </w:rPr>
        <w:t>,</w:t>
      </w:r>
      <w:r w:rsidR="003F1F4C" w:rsidRPr="00FD7C99">
        <w:rPr>
          <w:rFonts w:ascii="Palatino Linotype" w:hAnsi="Palatino Linotype" w:cs="Arial"/>
        </w:rPr>
        <w:t xml:space="preserve"> </w:t>
      </w:r>
      <w:r>
        <w:rPr>
          <w:rFonts w:ascii="Palatino Linotype" w:hAnsi="Palatino Linotype" w:cs="Arial"/>
        </w:rPr>
        <w:t xml:space="preserve">en virtud de que el derecho de acceso a la información </w:t>
      </w:r>
      <w:r w:rsidRPr="002B15A9">
        <w:rPr>
          <w:rFonts w:ascii="Palatino Linotype" w:hAnsi="Palatino Linotype" w:cs="Arial"/>
          <w:lang w:eastAsia="es-MX"/>
        </w:rPr>
        <w:t>constituye una prerrogativa a acceder a documentación en poder de los Sujetos Obligados, no así a realizar cuestionamientos</w:t>
      </w:r>
      <w:r>
        <w:rPr>
          <w:rFonts w:ascii="Palatino Linotype" w:hAnsi="Palatino Linotype" w:cs="Arial"/>
          <w:lang w:eastAsia="es-MX"/>
        </w:rPr>
        <w:t xml:space="preserve">, o manifestaciones subjetivas, por ello, el derecho en cuestión se satisface con </w:t>
      </w:r>
      <w:r w:rsidR="003F1F4C" w:rsidRPr="00FD7C99">
        <w:rPr>
          <w:rFonts w:ascii="Palatino Linotype" w:hAnsi="Palatino Linotype" w:cs="Arial"/>
        </w:rPr>
        <w:t>entregar el soporte documental en el que const</w:t>
      </w:r>
      <w:r w:rsidR="003F1F4C">
        <w:rPr>
          <w:rFonts w:ascii="Palatino Linotype" w:hAnsi="Palatino Linotype" w:cs="Arial"/>
        </w:rPr>
        <w:t>e</w:t>
      </w:r>
      <w:r w:rsidR="003F1F4C" w:rsidRPr="00FD7C99">
        <w:rPr>
          <w:rFonts w:ascii="Palatino Linotype" w:hAnsi="Palatino Linotype" w:cs="Arial"/>
        </w:rPr>
        <w:t xml:space="preserve"> la información solicitada</w:t>
      </w:r>
      <w:r w:rsidR="003F1F4C">
        <w:rPr>
          <w:rFonts w:ascii="Palatino Linotype" w:hAnsi="Palatino Linotype" w:cs="Arial"/>
        </w:rPr>
        <w:t xml:space="preserve">. </w:t>
      </w:r>
    </w:p>
    <w:p w14:paraId="4143114C" w14:textId="3B5DB1FE" w:rsidR="00B417AF" w:rsidRDefault="00EF0E0B" w:rsidP="00592AA0">
      <w:pPr>
        <w:spacing w:before="240" w:after="240" w:line="360" w:lineRule="auto"/>
        <w:jc w:val="both"/>
        <w:rPr>
          <w:rFonts w:ascii="Palatino Linotype" w:hAnsi="Palatino Linotype"/>
        </w:rPr>
      </w:pPr>
      <w:r>
        <w:rPr>
          <w:rFonts w:ascii="Palatino Linotype" w:hAnsi="Palatino Linotype" w:cs="Arial"/>
        </w:rPr>
        <w:t xml:space="preserve">Establecido lo previo, se procede a analizar </w:t>
      </w:r>
      <w:r w:rsidR="00324337">
        <w:rPr>
          <w:rFonts w:ascii="Palatino Linotype" w:hAnsi="Palatino Linotype"/>
        </w:rPr>
        <w:t>lo relativo a</w:t>
      </w:r>
      <w:r w:rsidR="003818EE">
        <w:rPr>
          <w:rFonts w:ascii="Palatino Linotype" w:hAnsi="Palatino Linotype"/>
        </w:rPr>
        <w:t xml:space="preserve"> </w:t>
      </w:r>
      <w:r w:rsidR="003F1F4C">
        <w:rPr>
          <w:rFonts w:ascii="Palatino Linotype" w:hAnsi="Palatino Linotype"/>
        </w:rPr>
        <w:t>l</w:t>
      </w:r>
      <w:r w:rsidR="003818EE">
        <w:rPr>
          <w:rFonts w:ascii="Palatino Linotype" w:hAnsi="Palatino Linotype"/>
        </w:rPr>
        <w:t>os</w:t>
      </w:r>
      <w:r w:rsidR="00324337">
        <w:rPr>
          <w:rFonts w:ascii="Palatino Linotype" w:hAnsi="Palatino Linotype"/>
        </w:rPr>
        <w:t xml:space="preserve"> </w:t>
      </w:r>
      <w:r>
        <w:rPr>
          <w:rFonts w:ascii="Palatino Linotype" w:hAnsi="Palatino Linotype"/>
        </w:rPr>
        <w:t>requerimiento</w:t>
      </w:r>
      <w:r w:rsidR="003818EE">
        <w:rPr>
          <w:rFonts w:ascii="Palatino Linotype" w:hAnsi="Palatino Linotype"/>
        </w:rPr>
        <w:t>s</w:t>
      </w:r>
      <w:r>
        <w:rPr>
          <w:rFonts w:ascii="Palatino Linotype" w:hAnsi="Palatino Linotype"/>
        </w:rPr>
        <w:t xml:space="preserve"> marcado</w:t>
      </w:r>
      <w:r w:rsidR="003818EE">
        <w:rPr>
          <w:rFonts w:ascii="Palatino Linotype" w:hAnsi="Palatino Linotype"/>
        </w:rPr>
        <w:t>s</w:t>
      </w:r>
      <w:r>
        <w:rPr>
          <w:rFonts w:ascii="Palatino Linotype" w:hAnsi="Palatino Linotype"/>
        </w:rPr>
        <w:t xml:space="preserve"> con el numeral 1</w:t>
      </w:r>
      <w:r w:rsidR="003818EE">
        <w:rPr>
          <w:rFonts w:ascii="Palatino Linotype" w:hAnsi="Palatino Linotype"/>
        </w:rPr>
        <w:t xml:space="preserve"> y 2</w:t>
      </w:r>
      <w:r>
        <w:rPr>
          <w:rFonts w:ascii="Palatino Linotype" w:hAnsi="Palatino Linotype"/>
        </w:rPr>
        <w:t xml:space="preserve"> en la solicitud de acceso a la información, mediante l</w:t>
      </w:r>
      <w:r w:rsidR="003818EE">
        <w:rPr>
          <w:rFonts w:ascii="Palatino Linotype" w:hAnsi="Palatino Linotype"/>
        </w:rPr>
        <w:t>os</w:t>
      </w:r>
      <w:r>
        <w:rPr>
          <w:rFonts w:ascii="Palatino Linotype" w:hAnsi="Palatino Linotype"/>
        </w:rPr>
        <w:t xml:space="preserve"> cual</w:t>
      </w:r>
      <w:r w:rsidR="003818EE">
        <w:rPr>
          <w:rFonts w:ascii="Palatino Linotype" w:hAnsi="Palatino Linotype"/>
        </w:rPr>
        <w:t>es</w:t>
      </w:r>
      <w:r>
        <w:rPr>
          <w:rFonts w:ascii="Palatino Linotype" w:hAnsi="Palatino Linotype"/>
        </w:rPr>
        <w:t xml:space="preserve"> el particular solicitó</w:t>
      </w:r>
      <w:r w:rsidR="003818EE">
        <w:rPr>
          <w:rFonts w:ascii="Palatino Linotype" w:hAnsi="Palatino Linotype"/>
        </w:rPr>
        <w:t xml:space="preserve"> el precio de la </w:t>
      </w:r>
      <w:r w:rsidR="00C521CB" w:rsidRPr="00C521CB">
        <w:rPr>
          <w:rFonts w:ascii="Palatino Linotype" w:hAnsi="Palatino Linotype"/>
          <w:color w:val="000000"/>
        </w:rPr>
        <w:t>construcción del edificio donde hoy se encuentra la dirección de administración</w:t>
      </w:r>
      <w:r w:rsidRPr="00C521CB">
        <w:rPr>
          <w:rFonts w:ascii="Palatino Linotype" w:hAnsi="Palatino Linotype"/>
        </w:rPr>
        <w:t xml:space="preserve"> </w:t>
      </w:r>
      <w:r w:rsidR="00C521CB">
        <w:rPr>
          <w:rFonts w:ascii="Palatino Linotype" w:hAnsi="Palatino Linotype"/>
        </w:rPr>
        <w:t>y las facturas que lo comprueben.</w:t>
      </w:r>
    </w:p>
    <w:p w14:paraId="30106981" w14:textId="09CE90EA" w:rsidR="00C521CB" w:rsidRDefault="00C521CB" w:rsidP="00592AA0">
      <w:pPr>
        <w:spacing w:before="240" w:after="240" w:line="360" w:lineRule="auto"/>
        <w:jc w:val="both"/>
        <w:rPr>
          <w:rFonts w:ascii="Palatino Linotype" w:hAnsi="Palatino Linotype"/>
        </w:rPr>
      </w:pPr>
      <w:r>
        <w:rPr>
          <w:rFonts w:ascii="Palatino Linotype" w:hAnsi="Palatino Linotype"/>
        </w:rPr>
        <w:t xml:space="preserve">Al respecto, en términos del artículo 12.4 del </w:t>
      </w:r>
      <w:r w:rsidR="00C973C8">
        <w:rPr>
          <w:rFonts w:ascii="Palatino Linotype" w:hAnsi="Palatino Linotype"/>
        </w:rPr>
        <w:t>Código</w:t>
      </w:r>
      <w:r>
        <w:rPr>
          <w:rFonts w:ascii="Palatino Linotype" w:hAnsi="Palatino Linotype"/>
        </w:rPr>
        <w:t xml:space="preserve"> Administrativo del Estado de México, se considera obra pública todo trabajo que tenga por objeto principal construir, instalar, ampliar, adecuar, remodelar, </w:t>
      </w:r>
      <w:r w:rsidRPr="00C973C8">
        <w:rPr>
          <w:rFonts w:ascii="Palatino Linotype" w:hAnsi="Palatino Linotype"/>
        </w:rPr>
        <w:t xml:space="preserve">restaurar, conservar, mantener, </w:t>
      </w:r>
      <w:r w:rsidRPr="00C973C8">
        <w:rPr>
          <w:rFonts w:ascii="Palatino Linotype" w:hAnsi="Palatino Linotype"/>
        </w:rPr>
        <w:lastRenderedPageBreak/>
        <w:t>modificar o demoler bienes inmuebles propiedad del Estado, de sus dependencias y entidades y de los municipios y sus organismos con cargo a recursos p</w:t>
      </w:r>
      <w:r w:rsidR="00C973C8">
        <w:rPr>
          <w:rFonts w:ascii="Palatino Linotype" w:hAnsi="Palatino Linotype"/>
        </w:rPr>
        <w:t>úblicos estatales o municipales, quedando comprendidos dentro de la obra pública los siguientes:</w:t>
      </w:r>
    </w:p>
    <w:p w14:paraId="3781A856" w14:textId="77777777" w:rsidR="00C973C8" w:rsidRPr="00E31419" w:rsidRDefault="00C973C8" w:rsidP="00C973C8">
      <w:pPr>
        <w:spacing w:before="240" w:after="240" w:line="360" w:lineRule="auto"/>
        <w:ind w:left="567"/>
        <w:jc w:val="both"/>
        <w:rPr>
          <w:rFonts w:ascii="Palatino Linotype" w:hAnsi="Palatino Linotype"/>
          <w:i/>
        </w:rPr>
      </w:pPr>
      <w:r w:rsidRPr="00E31419">
        <w:rPr>
          <w:rFonts w:ascii="Palatino Linotype" w:hAnsi="Palatino Linotype"/>
          <w:i/>
        </w:rPr>
        <w:t xml:space="preserve">I. El mantenimiento, restauración, desmantelamiento o remoción de bienes muebles incorporados o adheridos a un inmueble; </w:t>
      </w:r>
    </w:p>
    <w:p w14:paraId="53FF1843" w14:textId="77777777" w:rsidR="00C973C8" w:rsidRDefault="00C973C8" w:rsidP="00C973C8">
      <w:pPr>
        <w:spacing w:before="240" w:after="240" w:line="360" w:lineRule="auto"/>
        <w:ind w:left="567"/>
        <w:jc w:val="both"/>
        <w:rPr>
          <w:rFonts w:ascii="Palatino Linotype" w:hAnsi="Palatino Linotype"/>
          <w:i/>
        </w:rPr>
      </w:pPr>
      <w:r w:rsidRPr="00C973C8">
        <w:rPr>
          <w:rFonts w:ascii="Palatino Linotype" w:hAnsi="Palatino Linotype"/>
          <w:i/>
        </w:rPr>
        <w:t xml:space="preserve">II. Los proyectos integrales o comúnmente denominados llave en mano, en los cuales el contratista se obliga desde el diseño de la obra hasta su terminación total, incluyéndose, cuando se requiera, la transferencia de tecnología; </w:t>
      </w:r>
    </w:p>
    <w:p w14:paraId="0B775D45" w14:textId="77777777" w:rsidR="00C973C8" w:rsidRDefault="00C973C8" w:rsidP="00C973C8">
      <w:pPr>
        <w:spacing w:before="240" w:after="240" w:line="360" w:lineRule="auto"/>
        <w:ind w:left="567"/>
        <w:jc w:val="both"/>
        <w:rPr>
          <w:rFonts w:ascii="Palatino Linotype" w:hAnsi="Palatino Linotype"/>
          <w:i/>
        </w:rPr>
      </w:pPr>
      <w:r w:rsidRPr="00C973C8">
        <w:rPr>
          <w:rFonts w:ascii="Palatino Linotype" w:hAnsi="Palatino Linotype"/>
          <w:i/>
        </w:rPr>
        <w:t xml:space="preserve">III. Los trabajos de exploración, localización y perforación; mejoramiento del suelo y/o subsuelo; desmontes y extracción y aquellos similares que tengan por objeto la explotación y desarrollo de los recursos naturales que se encuentran en el suelo y/o subsuelo; </w:t>
      </w:r>
    </w:p>
    <w:p w14:paraId="62490290" w14:textId="77777777" w:rsidR="00C973C8" w:rsidRDefault="00C973C8" w:rsidP="00C973C8">
      <w:pPr>
        <w:spacing w:before="240" w:after="240" w:line="360" w:lineRule="auto"/>
        <w:ind w:left="567"/>
        <w:jc w:val="both"/>
        <w:rPr>
          <w:rFonts w:ascii="Palatino Linotype" w:hAnsi="Palatino Linotype"/>
          <w:i/>
        </w:rPr>
      </w:pPr>
      <w:r w:rsidRPr="00C973C8">
        <w:rPr>
          <w:rFonts w:ascii="Palatino Linotype" w:hAnsi="Palatino Linotype"/>
          <w:i/>
        </w:rPr>
        <w:t xml:space="preserve">IV. Los trabajos de infraestructura agropecuaria e hidroagrícola: </w:t>
      </w:r>
    </w:p>
    <w:p w14:paraId="549A1A07" w14:textId="25F42F0C" w:rsidR="00C973C8" w:rsidRPr="00C973C8" w:rsidRDefault="00C973C8" w:rsidP="00C973C8">
      <w:pPr>
        <w:spacing w:before="240" w:after="240" w:line="360" w:lineRule="auto"/>
        <w:ind w:left="567"/>
        <w:jc w:val="both"/>
        <w:rPr>
          <w:rFonts w:ascii="Palatino Linotype" w:hAnsi="Palatino Linotype"/>
          <w:i/>
        </w:rPr>
      </w:pPr>
      <w:r w:rsidRPr="00C973C8">
        <w:rPr>
          <w:rFonts w:ascii="Palatino Linotype" w:hAnsi="Palatino Linotype"/>
          <w:i/>
        </w:rPr>
        <w:t>V. 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w:t>
      </w:r>
    </w:p>
    <w:p w14:paraId="14823CF6" w14:textId="0159C9C6" w:rsidR="00C521CB" w:rsidRDefault="00885123" w:rsidP="00592AA0">
      <w:pPr>
        <w:spacing w:before="240" w:after="240" w:line="360" w:lineRule="auto"/>
        <w:jc w:val="both"/>
        <w:rPr>
          <w:rFonts w:ascii="Palatino Linotype" w:hAnsi="Palatino Linotype"/>
        </w:rPr>
      </w:pPr>
      <w:r>
        <w:rPr>
          <w:rFonts w:ascii="Palatino Linotype" w:hAnsi="Palatino Linotype"/>
        </w:rPr>
        <w:t>E</w:t>
      </w:r>
      <w:r w:rsidR="00E31419">
        <w:rPr>
          <w:rFonts w:ascii="Palatino Linotype" w:hAnsi="Palatino Linotype"/>
        </w:rPr>
        <w:t>n ese sentido</w:t>
      </w:r>
      <w:r>
        <w:rPr>
          <w:rFonts w:ascii="Palatino Linotype" w:hAnsi="Palatino Linotype"/>
        </w:rPr>
        <w:t>,</w:t>
      </w:r>
      <w:r w:rsidR="00E31419">
        <w:rPr>
          <w:rFonts w:ascii="Palatino Linotype" w:hAnsi="Palatino Linotype"/>
        </w:rPr>
        <w:t xml:space="preserve"> resulta necesario remitirnos de nueva cuenta al contenido de</w:t>
      </w:r>
      <w:r w:rsidR="00C521CB">
        <w:rPr>
          <w:rFonts w:ascii="Palatino Linotype" w:hAnsi="Palatino Linotype"/>
        </w:rPr>
        <w:t xml:space="preserve">l Reglamento Orgánico de la Administración Pública Municipal, </w:t>
      </w:r>
      <w:r w:rsidR="00E31419">
        <w:rPr>
          <w:rFonts w:ascii="Palatino Linotype" w:hAnsi="Palatino Linotype"/>
        </w:rPr>
        <w:t>qu</w:t>
      </w:r>
      <w:r w:rsidR="00C521CB">
        <w:rPr>
          <w:rFonts w:ascii="Palatino Linotype" w:hAnsi="Palatino Linotype"/>
        </w:rPr>
        <w:t>e prevé lo siguiente:</w:t>
      </w:r>
    </w:p>
    <w:p w14:paraId="3C8CCFF2" w14:textId="77777777" w:rsidR="00C521CB" w:rsidRDefault="00C521CB" w:rsidP="00C521CB">
      <w:pPr>
        <w:spacing w:after="120"/>
        <w:ind w:left="851" w:right="902"/>
        <w:jc w:val="both"/>
        <w:rPr>
          <w:rFonts w:ascii="Palatino Linotype" w:hAnsi="Palatino Linotype"/>
          <w:i/>
          <w:sz w:val="20"/>
          <w:szCs w:val="20"/>
        </w:rPr>
      </w:pPr>
      <w:r>
        <w:rPr>
          <w:rFonts w:ascii="Palatino Linotype" w:hAnsi="Palatino Linotype"/>
          <w:b/>
          <w:i/>
          <w:sz w:val="20"/>
          <w:szCs w:val="20"/>
        </w:rPr>
        <w:lastRenderedPageBreak/>
        <w:t>“</w:t>
      </w:r>
      <w:r w:rsidRPr="00C521CB">
        <w:rPr>
          <w:rFonts w:ascii="Palatino Linotype" w:hAnsi="Palatino Linotype"/>
          <w:b/>
          <w:i/>
          <w:sz w:val="20"/>
          <w:szCs w:val="20"/>
        </w:rPr>
        <w:t>Artículo 164.</w:t>
      </w:r>
      <w:r w:rsidRPr="00C521CB">
        <w:rPr>
          <w:rFonts w:ascii="Palatino Linotype" w:hAnsi="Palatino Linotype"/>
          <w:i/>
          <w:sz w:val="20"/>
          <w:szCs w:val="20"/>
        </w:rPr>
        <w:t xml:space="preserve"> La Dirección General de Infraestructura y Edificación tiene como objeto planear, programar, presupuestar, adjudicar, contratar, ejecutar, vigilar, supervisar, controlar, recibir, adecuar, conservar y mantener las obras públicas y equipamiento urbano municipal; así como otorgar el debido cumplimiento a lo establecido en el Libro Décimo Segundo del Código Administrativo del Estado de México, su respectivo Reglamento, y demás ordenamientos legales aplicables. Su Titular tendrá como atribuciones, responsabilidades y funciones las que le otorguen las leyes, reglamentos y demás disposiciones legales aplicables en la materia, así como las que a continuación se establecen: </w:t>
      </w:r>
    </w:p>
    <w:p w14:paraId="2C1E0A6A" w14:textId="77777777" w:rsidR="00C521CB" w:rsidRDefault="00C521CB" w:rsidP="00C521CB">
      <w:pPr>
        <w:spacing w:after="120"/>
        <w:ind w:left="1134" w:right="902"/>
        <w:jc w:val="both"/>
        <w:rPr>
          <w:rFonts w:ascii="Palatino Linotype" w:hAnsi="Palatino Linotype"/>
          <w:i/>
          <w:sz w:val="20"/>
          <w:szCs w:val="20"/>
        </w:rPr>
      </w:pPr>
      <w:r w:rsidRPr="00C521CB">
        <w:rPr>
          <w:rFonts w:ascii="Palatino Linotype" w:hAnsi="Palatino Linotype"/>
          <w:i/>
          <w:sz w:val="20"/>
          <w:szCs w:val="20"/>
        </w:rPr>
        <w:t xml:space="preserve">I. Promover y planear, la obra pública que se apruebe y se requiera ejecutar; </w:t>
      </w:r>
    </w:p>
    <w:p w14:paraId="37299141" w14:textId="77777777" w:rsidR="00C521CB" w:rsidRDefault="00C521CB" w:rsidP="00C521CB">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726EEBC4" w14:textId="77777777" w:rsidR="00885123" w:rsidRDefault="00C521CB" w:rsidP="00C521CB">
      <w:pPr>
        <w:spacing w:after="120"/>
        <w:ind w:left="1134" w:right="902"/>
        <w:jc w:val="both"/>
        <w:rPr>
          <w:rFonts w:ascii="Palatino Linotype" w:hAnsi="Palatino Linotype"/>
          <w:i/>
          <w:sz w:val="20"/>
          <w:szCs w:val="20"/>
        </w:rPr>
      </w:pPr>
      <w:r w:rsidRPr="00C521CB">
        <w:rPr>
          <w:rFonts w:ascii="Palatino Linotype" w:hAnsi="Palatino Linotype"/>
          <w:i/>
          <w:sz w:val="20"/>
          <w:szCs w:val="20"/>
        </w:rPr>
        <w:t xml:space="preserve"> III. Coordinarse con las autoridades federales, estatales y municipales de acuerdo con los lineamientos, para la realización de la obra municipal; </w:t>
      </w:r>
    </w:p>
    <w:p w14:paraId="5A91C66A" w14:textId="2457A30F" w:rsidR="00C521CB" w:rsidRPr="00C521CB" w:rsidRDefault="00C521CB" w:rsidP="00C521CB">
      <w:pPr>
        <w:spacing w:after="120"/>
        <w:ind w:left="1134" w:right="902"/>
        <w:jc w:val="both"/>
        <w:rPr>
          <w:rFonts w:ascii="Palatino Linotype" w:hAnsi="Palatino Linotype"/>
          <w:i/>
          <w:sz w:val="20"/>
          <w:szCs w:val="20"/>
        </w:rPr>
      </w:pPr>
      <w:r w:rsidRPr="00C521CB">
        <w:rPr>
          <w:rFonts w:ascii="Palatino Linotype" w:hAnsi="Palatino Linotype"/>
          <w:i/>
          <w:sz w:val="20"/>
          <w:szCs w:val="20"/>
        </w:rPr>
        <w:t>IV. Proponer, analizar y opinar respecto a los convenios que deba celebrar el Municipio en materia de obra pública; en coordinación con la Dirección Jurídica de la Secretaría del Ayuntamiento;</w:t>
      </w:r>
    </w:p>
    <w:p w14:paraId="7C869B23" w14:textId="77777777" w:rsidR="00C521CB" w:rsidRDefault="00C521CB" w:rsidP="00C521CB">
      <w:pPr>
        <w:spacing w:after="120"/>
        <w:ind w:left="1134" w:right="902"/>
        <w:jc w:val="both"/>
        <w:rPr>
          <w:rFonts w:ascii="Palatino Linotype" w:hAnsi="Palatino Linotype"/>
          <w:i/>
          <w:sz w:val="20"/>
          <w:szCs w:val="20"/>
        </w:rPr>
      </w:pPr>
      <w:r w:rsidRPr="00C521CB">
        <w:rPr>
          <w:rFonts w:ascii="Palatino Linotype" w:hAnsi="Palatino Linotype"/>
          <w:i/>
          <w:sz w:val="20"/>
          <w:szCs w:val="20"/>
        </w:rPr>
        <w:t xml:space="preserve">V. Ejecutar obras por administración directa cuando se cuente con los recursos humanos, materiales y equipo necesario para ello; </w:t>
      </w:r>
    </w:p>
    <w:p w14:paraId="75508CE0" w14:textId="77777777" w:rsidR="00C521CB" w:rsidRDefault="00C521CB" w:rsidP="00C521CB">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68C3BFD3" w14:textId="77777777" w:rsidR="00C521CB" w:rsidRDefault="00C521CB" w:rsidP="00C521CB">
      <w:pPr>
        <w:spacing w:after="120"/>
        <w:ind w:left="1134" w:right="902"/>
        <w:jc w:val="both"/>
        <w:rPr>
          <w:rFonts w:ascii="Palatino Linotype" w:hAnsi="Palatino Linotype"/>
          <w:i/>
          <w:sz w:val="20"/>
          <w:szCs w:val="20"/>
        </w:rPr>
      </w:pPr>
      <w:r w:rsidRPr="00C521CB">
        <w:rPr>
          <w:rFonts w:ascii="Palatino Linotype" w:hAnsi="Palatino Linotype"/>
          <w:i/>
          <w:sz w:val="20"/>
          <w:szCs w:val="20"/>
        </w:rPr>
        <w:t xml:space="preserve">VIII. Construir y ejecutar todas aquellas obras que se autoricen por el Ayuntamiento en el Municipio, y trabajando en forma coordinada con las Dependencias, Entidades y otras instancias auxiliares del Ayuntamiento que realicen obra pública; </w:t>
      </w:r>
    </w:p>
    <w:p w14:paraId="432B87C9" w14:textId="77777777" w:rsidR="00C521CB" w:rsidRDefault="00C521CB" w:rsidP="00C521CB">
      <w:pPr>
        <w:spacing w:after="120"/>
        <w:ind w:left="1134" w:right="902"/>
        <w:jc w:val="both"/>
        <w:rPr>
          <w:rFonts w:ascii="Palatino Linotype" w:hAnsi="Palatino Linotype"/>
          <w:i/>
          <w:sz w:val="20"/>
          <w:szCs w:val="20"/>
        </w:rPr>
      </w:pPr>
      <w:r w:rsidRPr="00C521CB">
        <w:rPr>
          <w:rFonts w:ascii="Palatino Linotype" w:hAnsi="Palatino Linotype"/>
          <w:i/>
          <w:sz w:val="20"/>
          <w:szCs w:val="20"/>
        </w:rPr>
        <w:t xml:space="preserve">IX. Participar en el ámbito de su competencia, en los procedimientos de adjudicaciones de obras y servicios relacionados con las mismas, en coordinación con la Dirección Jurídica de la Secretaría del Ayuntamiento, vigilando lo dispuesto en los ordenamientos legales aplicables, así como dando cumplimiento a los criterios de eficiencia, eficacia, imparcialidad, economía, honradez, transparencia y legalidad; </w:t>
      </w:r>
    </w:p>
    <w:p w14:paraId="4419A2A6" w14:textId="70A900AA" w:rsidR="00C521CB" w:rsidRDefault="00C521CB" w:rsidP="00C521CB">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65B63C6D" w14:textId="77777777" w:rsidR="00C521CB" w:rsidRDefault="00C521CB" w:rsidP="00C521CB">
      <w:pPr>
        <w:spacing w:after="120"/>
        <w:ind w:left="1134" w:right="902"/>
        <w:jc w:val="both"/>
        <w:rPr>
          <w:rFonts w:ascii="Palatino Linotype" w:hAnsi="Palatino Linotype"/>
          <w:i/>
          <w:sz w:val="20"/>
          <w:szCs w:val="20"/>
        </w:rPr>
      </w:pPr>
      <w:r w:rsidRPr="00C521CB">
        <w:rPr>
          <w:rFonts w:ascii="Palatino Linotype" w:hAnsi="Palatino Linotype"/>
          <w:i/>
          <w:sz w:val="20"/>
          <w:szCs w:val="20"/>
        </w:rPr>
        <w:t xml:space="preserve"> XI. Celebrar conjuntamente con el Presidente Municipal los contratos de obra pública y de servicios relacionados con la misma, cuyo contenido haya sido aprobado por la Dirección Jurídica de la Secretaría del Ayuntamiento, así como los convenios modificatorios de plazo y monto en contratos a precios unitarios, en los términos de lo previsto en la legislación de la materia; </w:t>
      </w:r>
    </w:p>
    <w:p w14:paraId="4480F723" w14:textId="77777777" w:rsidR="00C521CB" w:rsidRDefault="00C521CB" w:rsidP="00C521CB">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16526501" w14:textId="0C26301C" w:rsidR="00C521CB" w:rsidRPr="00C521CB" w:rsidRDefault="00C521CB" w:rsidP="00C521CB">
      <w:pPr>
        <w:spacing w:after="120"/>
        <w:ind w:left="1134" w:right="902"/>
        <w:jc w:val="both"/>
        <w:rPr>
          <w:rFonts w:ascii="Palatino Linotype" w:hAnsi="Palatino Linotype"/>
          <w:i/>
          <w:sz w:val="20"/>
          <w:szCs w:val="20"/>
        </w:rPr>
      </w:pPr>
      <w:r w:rsidRPr="00C521CB">
        <w:rPr>
          <w:rFonts w:ascii="Palatino Linotype" w:hAnsi="Palatino Linotype"/>
          <w:i/>
          <w:sz w:val="20"/>
          <w:szCs w:val="20"/>
        </w:rPr>
        <w:t>XIV. Llevar el control de archivo contable, técnico y jurídico en general, de todas las actividades relacionadas con las obras públicas y servicios relacionados con las mismas, realizadas con fondos fede</w:t>
      </w:r>
      <w:r>
        <w:rPr>
          <w:rFonts w:ascii="Palatino Linotype" w:hAnsi="Palatino Linotype"/>
          <w:i/>
          <w:sz w:val="20"/>
          <w:szCs w:val="20"/>
        </w:rPr>
        <w:t>rales, estatales y municipales;…”</w:t>
      </w:r>
    </w:p>
    <w:p w14:paraId="17DF920F" w14:textId="7A6353DE" w:rsidR="00885123" w:rsidRDefault="00885123" w:rsidP="00945E79">
      <w:pPr>
        <w:spacing w:before="240" w:after="240" w:line="360" w:lineRule="auto"/>
        <w:jc w:val="both"/>
        <w:rPr>
          <w:rFonts w:ascii="Palatino Linotype" w:hAnsi="Palatino Linotype"/>
        </w:rPr>
      </w:pPr>
      <w:r>
        <w:rPr>
          <w:rFonts w:ascii="Palatino Linotype" w:hAnsi="Palatino Linotype"/>
        </w:rPr>
        <w:lastRenderedPageBreak/>
        <w:t>Del artículo transcrito se prevé que la Dirección General de Infraestructura y Edificación, es responsable de planear,  programar, construir y ejecutar todas aquellas obras que se autoricen por el Ayuntamiento, en coordinación con las autoridades federales, estatales y municipales de acuerdo con los Lineamientos, bajo la celebración de contratos de obra pública y servicios relacionados con la misma, en consecuencia deberá llevar el control del archivo contable, técnico y jurídico en general.</w:t>
      </w:r>
    </w:p>
    <w:p w14:paraId="0473A13F" w14:textId="3BBBA0B0" w:rsidR="00684E34" w:rsidRDefault="00885123" w:rsidP="00945E79">
      <w:pPr>
        <w:spacing w:before="240" w:after="240" w:line="360" w:lineRule="auto"/>
        <w:jc w:val="both"/>
        <w:rPr>
          <w:rFonts w:ascii="Palatino Linotype" w:hAnsi="Palatino Linotype"/>
        </w:rPr>
      </w:pPr>
      <w:r>
        <w:rPr>
          <w:rFonts w:ascii="Palatino Linotype" w:hAnsi="Palatino Linotype"/>
        </w:rPr>
        <w:t xml:space="preserve">En esa tesitura, se advierte que el particular desea tener acceso al soporte documental que tenga información relacionada con la obra pública , como lo es, el costo y las facturas que comprueben el </w:t>
      </w:r>
      <w:r w:rsidR="00473CE0">
        <w:rPr>
          <w:rFonts w:ascii="Palatino Linotype" w:hAnsi="Palatino Linotype"/>
        </w:rPr>
        <w:t>gasto erogada por la administración pública municipal para la c</w:t>
      </w:r>
      <w:r w:rsidR="00684E34">
        <w:rPr>
          <w:rFonts w:ascii="Palatino Linotype" w:hAnsi="Palatino Linotype"/>
        </w:rPr>
        <w:t>onstrucción</w:t>
      </w:r>
      <w:r w:rsidR="00473CE0">
        <w:rPr>
          <w:rFonts w:ascii="Palatino Linotype" w:hAnsi="Palatino Linotype"/>
        </w:rPr>
        <w:t xml:space="preserve"> o bien, remodelación</w:t>
      </w:r>
      <w:r w:rsidR="00684E34">
        <w:rPr>
          <w:rFonts w:ascii="Palatino Linotype" w:hAnsi="Palatino Linotype"/>
        </w:rPr>
        <w:t xml:space="preserve"> del nuevo edificio </w:t>
      </w:r>
      <w:r w:rsidR="00E63CDF">
        <w:rPr>
          <w:rFonts w:ascii="Palatino Linotype" w:hAnsi="Palatino Linotype"/>
        </w:rPr>
        <w:t>de</w:t>
      </w:r>
      <w:r w:rsidR="00684E34">
        <w:rPr>
          <w:rFonts w:ascii="Palatino Linotype" w:hAnsi="Palatino Linotype"/>
        </w:rPr>
        <w:t xml:space="preserve"> la Dirección de Administración.</w:t>
      </w:r>
    </w:p>
    <w:p w14:paraId="6936E845" w14:textId="6FEA57CB" w:rsidR="00945E79" w:rsidRDefault="00473CE0" w:rsidP="00684E34">
      <w:pPr>
        <w:spacing w:before="240" w:after="240" w:line="360" w:lineRule="auto"/>
        <w:jc w:val="both"/>
        <w:rPr>
          <w:rFonts w:ascii="Palatino Linotype" w:hAnsi="Palatino Linotype" w:cs="Arial"/>
        </w:rPr>
      </w:pPr>
      <w:r>
        <w:rPr>
          <w:rFonts w:ascii="Palatino Linotype" w:hAnsi="Palatino Linotype"/>
        </w:rPr>
        <w:t>Al respecto</w:t>
      </w:r>
      <w:r w:rsidR="00684E34">
        <w:rPr>
          <w:rFonts w:ascii="Palatino Linotype" w:hAnsi="Palatino Linotype"/>
        </w:rPr>
        <w:t xml:space="preserve">, </w:t>
      </w:r>
      <w:r w:rsidR="00684E34">
        <w:rPr>
          <w:rFonts w:ascii="Palatino Linotype" w:hAnsi="Palatino Linotype"/>
          <w:lang w:val="es-MX" w:eastAsia="es-MX"/>
        </w:rPr>
        <w:t>el titular de la Dirección General de Infraestructura y Edificación</w:t>
      </w:r>
      <w:r w:rsidR="00B417AF">
        <w:rPr>
          <w:rFonts w:ascii="Palatino Linotype" w:hAnsi="Palatino Linotype"/>
          <w:lang w:val="es-MX" w:eastAsia="es-MX"/>
        </w:rPr>
        <w:t xml:space="preserve">, </w:t>
      </w:r>
      <w:r w:rsidR="00324337">
        <w:rPr>
          <w:rFonts w:ascii="Palatino Linotype" w:hAnsi="Palatino Linotype"/>
          <w:lang w:val="es-MX" w:eastAsia="es-MX"/>
        </w:rPr>
        <w:t xml:space="preserve">manifestó que no </w:t>
      </w:r>
      <w:r w:rsidR="00684E34" w:rsidRPr="00684E34">
        <w:rPr>
          <w:rFonts w:ascii="Palatino Linotype" w:hAnsi="Palatino Linotype"/>
          <w:color w:val="000000"/>
        </w:rPr>
        <w:t>se celebró ningún contrato de obra pública respecto de la construcción del edificio administ</w:t>
      </w:r>
      <w:r w:rsidR="002648D8">
        <w:rPr>
          <w:rFonts w:ascii="Palatino Linotype" w:hAnsi="Palatino Linotype"/>
          <w:color w:val="000000"/>
        </w:rPr>
        <w:t xml:space="preserve">rativo. </w:t>
      </w:r>
      <w:r w:rsidR="00210D9C">
        <w:rPr>
          <w:rFonts w:ascii="Palatino Linotype" w:hAnsi="Palatino Linotype"/>
          <w:color w:val="000000"/>
        </w:rPr>
        <w:t>Pronunciamiento que resulta un tanto ambiguo, en razón a que no negó la obra pública, al tiempo que no dejo en claro si se trata de una obra nueva o una remodelación.</w:t>
      </w:r>
    </w:p>
    <w:p w14:paraId="3BBA1DA0" w14:textId="07821254" w:rsidR="00D019E9" w:rsidRDefault="00945E79" w:rsidP="007D36FC">
      <w:pPr>
        <w:spacing w:before="240" w:after="240" w:line="360" w:lineRule="auto"/>
        <w:jc w:val="both"/>
        <w:rPr>
          <w:rFonts w:ascii="Palatino Linotype" w:hAnsi="Palatino Linotype"/>
        </w:rPr>
      </w:pPr>
      <w:r>
        <w:rPr>
          <w:rFonts w:ascii="Palatino Linotype" w:hAnsi="Palatino Linotype"/>
          <w:lang w:val="es-MX" w:eastAsia="es-MX"/>
        </w:rPr>
        <w:t xml:space="preserve">En ese tenor, </w:t>
      </w:r>
      <w:r w:rsidR="00D019E9">
        <w:rPr>
          <w:rFonts w:ascii="Palatino Linotype" w:hAnsi="Palatino Linotype"/>
          <w:lang w:val="es-MX" w:eastAsia="es-MX"/>
        </w:rPr>
        <w:t xml:space="preserve">si bien el pronunciamiento del Servidor Público Habilitado es tendente a negar la existencia de la contratación de obra pública, no se soslaya, que del análisis a los dispositivos trascritos se desprende que el Ayuntamiento de Huixquilucan a través de la Dirección General de Infraestructura y Edificación puede </w:t>
      </w:r>
      <w:r w:rsidR="00D019E9">
        <w:rPr>
          <w:rFonts w:ascii="Palatino Linotype" w:hAnsi="Palatino Linotype"/>
        </w:rPr>
        <w:t>e</w:t>
      </w:r>
      <w:r w:rsidR="00D019E9" w:rsidRPr="00D019E9">
        <w:rPr>
          <w:rFonts w:ascii="Palatino Linotype" w:hAnsi="Palatino Linotype"/>
        </w:rPr>
        <w:t>jecutar obras por administración directa</w:t>
      </w:r>
      <w:r w:rsidR="00210D9C">
        <w:rPr>
          <w:rFonts w:ascii="Palatino Linotype" w:hAnsi="Palatino Linotype"/>
        </w:rPr>
        <w:t>, mecanismo que tiene</w:t>
      </w:r>
      <w:r w:rsidR="00D019E9">
        <w:rPr>
          <w:rFonts w:ascii="Palatino Linotype" w:hAnsi="Palatino Linotype"/>
        </w:rPr>
        <w:t xml:space="preserve"> como característica principal la inexistencia de un contrato, al ser la dependencia o entidad la encargada de la </w:t>
      </w:r>
      <w:r w:rsidR="00D019E9">
        <w:rPr>
          <w:rFonts w:ascii="Palatino Linotype" w:hAnsi="Palatino Linotype"/>
        </w:rPr>
        <w:lastRenderedPageBreak/>
        <w:t>ejecución</w:t>
      </w:r>
      <w:r w:rsidR="00210D9C">
        <w:rPr>
          <w:rFonts w:ascii="Palatino Linotype" w:hAnsi="Palatino Linotype"/>
        </w:rPr>
        <w:t>,</w:t>
      </w:r>
      <w:r w:rsidR="00D019E9">
        <w:rPr>
          <w:rFonts w:ascii="Palatino Linotype" w:hAnsi="Palatino Linotype"/>
        </w:rPr>
        <w:t xml:space="preserve"> siempre que se tengan </w:t>
      </w:r>
      <w:r w:rsidR="00D019E9" w:rsidRPr="00D019E9">
        <w:rPr>
          <w:rFonts w:ascii="Palatino Linotype" w:hAnsi="Palatino Linotype"/>
        </w:rPr>
        <w:t>los recursos humanos, materiales y equipo necesario para</w:t>
      </w:r>
      <w:r w:rsidR="00D019E9">
        <w:rPr>
          <w:rFonts w:ascii="Palatino Linotype" w:hAnsi="Palatino Linotype"/>
        </w:rPr>
        <w:t xml:space="preserve"> realización de los trabajos.</w:t>
      </w:r>
    </w:p>
    <w:p w14:paraId="0B7C3631" w14:textId="36E375EB" w:rsidR="00D019E9" w:rsidRPr="00D019E9" w:rsidRDefault="00D019E9" w:rsidP="007D36FC">
      <w:pPr>
        <w:spacing w:before="240" w:after="240" w:line="360" w:lineRule="auto"/>
        <w:jc w:val="both"/>
        <w:rPr>
          <w:rFonts w:ascii="Palatino Linotype" w:hAnsi="Palatino Linotype"/>
          <w:lang w:val="es-MX" w:eastAsia="es-MX"/>
        </w:rPr>
      </w:pPr>
      <w:r>
        <w:rPr>
          <w:rFonts w:ascii="Palatino Linotype" w:hAnsi="Palatino Linotype"/>
        </w:rPr>
        <w:t>Bajo dichos argumentos resulta procedente ordenar una</w:t>
      </w:r>
      <w:r w:rsidR="00C61DBB">
        <w:rPr>
          <w:rFonts w:ascii="Palatino Linotype" w:hAnsi="Palatino Linotype"/>
        </w:rPr>
        <w:t xml:space="preserve"> nueva</w:t>
      </w:r>
      <w:r>
        <w:rPr>
          <w:rFonts w:ascii="Palatino Linotype" w:hAnsi="Palatino Linotype"/>
        </w:rPr>
        <w:t xml:space="preserve"> búsqueda, a fin de que el </w:t>
      </w:r>
      <w:r>
        <w:rPr>
          <w:rFonts w:ascii="Palatino Linotype" w:hAnsi="Palatino Linotype"/>
          <w:b/>
        </w:rPr>
        <w:t xml:space="preserve">Sujeto Obligado </w:t>
      </w:r>
      <w:r>
        <w:rPr>
          <w:rFonts w:ascii="Palatino Linotype" w:hAnsi="Palatino Linotype"/>
        </w:rPr>
        <w:t>localice el documento o expresión documental en el que conste los recursos erogados para la construcción del edificio que ocupa la Dirección de Administración, bajo el entendido que el Ayuntamiento de Huixquilucan en ningún momento negó la construcción de dicho inmueble, solo se limitó a señalar que no se había celebrado contrato alguno.</w:t>
      </w:r>
    </w:p>
    <w:p w14:paraId="65EDD2BF" w14:textId="770CD04D" w:rsidR="000F6F21" w:rsidRDefault="001B2D55" w:rsidP="00592AA0">
      <w:pPr>
        <w:spacing w:before="240" w:after="240" w:line="360" w:lineRule="auto"/>
        <w:jc w:val="both"/>
        <w:rPr>
          <w:rFonts w:ascii="Palatino Linotype" w:hAnsi="Palatino Linotype" w:cs="Arial"/>
        </w:rPr>
      </w:pPr>
      <w:r>
        <w:rPr>
          <w:rFonts w:ascii="Palatino Linotype" w:hAnsi="Palatino Linotype" w:cs="Arial"/>
        </w:rPr>
        <w:t>Como parte de los requerimiento</w:t>
      </w:r>
      <w:r w:rsidR="000F6F21">
        <w:rPr>
          <w:rFonts w:ascii="Palatino Linotype" w:hAnsi="Palatino Linotype" w:cs="Arial"/>
        </w:rPr>
        <w:t>s</w:t>
      </w:r>
      <w:r>
        <w:rPr>
          <w:rFonts w:ascii="Palatino Linotype" w:hAnsi="Palatino Linotype" w:cs="Arial"/>
        </w:rPr>
        <w:t xml:space="preserve"> del particular, </w:t>
      </w:r>
      <w:r w:rsidR="000F6F21">
        <w:rPr>
          <w:rFonts w:ascii="Palatino Linotype" w:hAnsi="Palatino Linotype" w:cs="Arial"/>
        </w:rPr>
        <w:t xml:space="preserve">se advierte </w:t>
      </w:r>
      <w:r>
        <w:rPr>
          <w:rFonts w:ascii="Palatino Linotype" w:hAnsi="Palatino Linotype" w:cs="Arial"/>
        </w:rPr>
        <w:t>en el numeral 3</w:t>
      </w:r>
      <w:r w:rsidR="000F6F21">
        <w:rPr>
          <w:rFonts w:ascii="Palatino Linotype" w:hAnsi="Palatino Linotype" w:cs="Arial"/>
        </w:rPr>
        <w:t xml:space="preserve"> que</w:t>
      </w:r>
      <w:r>
        <w:rPr>
          <w:rFonts w:ascii="Palatino Linotype" w:hAnsi="Palatino Linotype" w:cs="Arial"/>
        </w:rPr>
        <w:t xml:space="preserve"> solicitó conocer la partida o rubro</w:t>
      </w:r>
      <w:r w:rsidR="000F6F21">
        <w:rPr>
          <w:rFonts w:ascii="Palatino Linotype" w:hAnsi="Palatino Linotype" w:cs="Arial"/>
        </w:rPr>
        <w:t xml:space="preserve"> que se afectó para comprar el mobiliario de la oficina del edificio donde hoy se encuentra la Dirección de Administración.</w:t>
      </w:r>
    </w:p>
    <w:p w14:paraId="4D498FC0" w14:textId="77777777" w:rsidR="000F6F21" w:rsidRPr="00EE1939" w:rsidRDefault="000F6F21" w:rsidP="000F6F21">
      <w:pPr>
        <w:spacing w:after="240" w:line="360" w:lineRule="auto"/>
        <w:jc w:val="both"/>
        <w:rPr>
          <w:rFonts w:ascii="Palatino Linotype" w:hAnsi="Palatino Linotype" w:cs="Arial"/>
          <w:color w:val="000000"/>
        </w:rPr>
      </w:pPr>
      <w:r>
        <w:rPr>
          <w:rFonts w:ascii="Palatino Linotype" w:hAnsi="Palatino Linotype"/>
        </w:rPr>
        <w:t xml:space="preserve">Así, </w:t>
      </w:r>
      <w:r w:rsidRPr="00382C3B">
        <w:rPr>
          <w:rFonts w:ascii="Palatino Linotype" w:hAnsi="Palatino Linotype" w:cs="Arial"/>
        </w:rPr>
        <w:t xml:space="preserve">conviene </w:t>
      </w:r>
      <w:r w:rsidRPr="00EE1939">
        <w:rPr>
          <w:rFonts w:ascii="Palatino Linotype" w:hAnsi="Palatino Linotype" w:cs="Arial"/>
        </w:rPr>
        <w:t xml:space="preserve">precisar que en cumplimiento </w:t>
      </w:r>
      <w:r>
        <w:rPr>
          <w:rFonts w:ascii="Palatino Linotype" w:hAnsi="Palatino Linotype" w:cs="Arial"/>
        </w:rPr>
        <w:t>a</w:t>
      </w:r>
      <w:r w:rsidRPr="00EE1939">
        <w:rPr>
          <w:rFonts w:ascii="Palatino Linotype" w:hAnsi="Palatino Linotype" w:cs="Arial"/>
        </w:rPr>
        <w:t xml:space="preserve"> los principios que rigen la función pública, la Constitución Política del Estado Libre y Soberano de México en su artículo 129 señala que l</w:t>
      </w:r>
      <w:r w:rsidRPr="00EE1939">
        <w:rPr>
          <w:rFonts w:ascii="Palatino Linotype" w:hAnsi="Palatino Linotype" w:cs="Arial"/>
          <w:color w:val="000000"/>
        </w:rPr>
        <w:t xml:space="preserve">os recursos económicos del Estado, los Municipios </w:t>
      </w:r>
      <w:r>
        <w:rPr>
          <w:rFonts w:ascii="Palatino Linotype" w:hAnsi="Palatino Linotype" w:cs="Arial"/>
          <w:color w:val="000000"/>
        </w:rPr>
        <w:t xml:space="preserve">y </w:t>
      </w:r>
      <w:r w:rsidRPr="00EE1939">
        <w:rPr>
          <w:rFonts w:ascii="Palatino Linotype" w:hAnsi="Palatino Linotype" w:cs="Arial"/>
          <w:color w:val="000000"/>
        </w:rPr>
        <w:t xml:space="preserve">los Organismos Autónomos, se administrarán con eficiencia, eficacia y honradez, para cumplir con los objetivos y programas a los que estén destinados. </w:t>
      </w:r>
    </w:p>
    <w:p w14:paraId="1A1C907E" w14:textId="70B72A3A" w:rsidR="000F6F21" w:rsidRPr="00EE1939" w:rsidRDefault="000F6F21" w:rsidP="000F6F21">
      <w:pPr>
        <w:spacing w:before="240" w:after="360" w:line="360" w:lineRule="auto"/>
        <w:jc w:val="both"/>
        <w:rPr>
          <w:rFonts w:ascii="Palatino Linotype" w:hAnsi="Palatino Linotype" w:cs="Arial"/>
        </w:rPr>
      </w:pPr>
      <w:r>
        <w:rPr>
          <w:rFonts w:ascii="Palatino Linotype" w:hAnsi="Palatino Linotype" w:cs="Arial"/>
        </w:rPr>
        <w:t>Asimismo</w:t>
      </w:r>
      <w:r w:rsidRPr="00EE1939">
        <w:rPr>
          <w:rFonts w:ascii="Palatino Linotype" w:hAnsi="Palatino Linotype" w:cs="Arial"/>
        </w:rPr>
        <w:t xml:space="preserve">, los artículos </w:t>
      </w:r>
      <w:r w:rsidR="00F83C2B">
        <w:rPr>
          <w:rFonts w:ascii="Palatino Linotype" w:hAnsi="Palatino Linotype" w:cs="Arial"/>
        </w:rPr>
        <w:t xml:space="preserve">340, </w:t>
      </w:r>
      <w:r w:rsidRPr="00EE1939">
        <w:rPr>
          <w:rFonts w:ascii="Palatino Linotype" w:hAnsi="Palatino Linotype" w:cs="Arial"/>
        </w:rPr>
        <w:t>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3F012EDE" w14:textId="77777777" w:rsidR="00F83C2B" w:rsidRDefault="000F6F21" w:rsidP="00F83C2B">
      <w:pPr>
        <w:spacing w:after="120"/>
        <w:ind w:left="851" w:right="902"/>
        <w:jc w:val="both"/>
        <w:rPr>
          <w:rFonts w:ascii="Palatino Linotype" w:hAnsi="Palatino Linotype"/>
          <w:i/>
          <w:sz w:val="20"/>
          <w:szCs w:val="20"/>
        </w:rPr>
      </w:pPr>
      <w:r w:rsidRPr="00CB60DA">
        <w:rPr>
          <w:rFonts w:ascii="Palatino Linotype" w:hAnsi="Palatino Linotype" w:cs="Arial"/>
          <w:bCs/>
          <w:i/>
          <w:color w:val="000000"/>
          <w:sz w:val="20"/>
          <w:szCs w:val="20"/>
        </w:rPr>
        <w:t>“</w:t>
      </w:r>
      <w:r w:rsidR="00F83C2B">
        <w:rPr>
          <w:rFonts w:ascii="Palatino Linotype" w:hAnsi="Palatino Linotype"/>
          <w:b/>
          <w:i/>
          <w:sz w:val="20"/>
          <w:szCs w:val="20"/>
        </w:rPr>
        <w:t>A</w:t>
      </w:r>
      <w:r w:rsidR="00F83C2B" w:rsidRPr="006606B2">
        <w:rPr>
          <w:rFonts w:ascii="Palatino Linotype" w:hAnsi="Palatino Linotype"/>
          <w:b/>
          <w:i/>
          <w:sz w:val="20"/>
          <w:szCs w:val="20"/>
        </w:rPr>
        <w:t>rtículo 340.-</w:t>
      </w:r>
      <w:r w:rsidR="00F83C2B" w:rsidRPr="006606B2">
        <w:rPr>
          <w:rFonts w:ascii="Palatino Linotype" w:hAnsi="Palatino Linotype"/>
          <w:i/>
          <w:sz w:val="20"/>
          <w:szCs w:val="20"/>
        </w:rPr>
        <w:t xml:space="preserve"> Los objetivos de la contabilidad gubernamental son: </w:t>
      </w:r>
    </w:p>
    <w:p w14:paraId="2B6FDBD5" w14:textId="77777777" w:rsidR="00F83C2B" w:rsidRDefault="00F83C2B" w:rsidP="00F83C2B">
      <w:pPr>
        <w:ind w:left="1134" w:right="902"/>
        <w:jc w:val="both"/>
        <w:rPr>
          <w:rFonts w:ascii="Palatino Linotype" w:hAnsi="Palatino Linotype"/>
          <w:i/>
          <w:sz w:val="20"/>
          <w:szCs w:val="20"/>
        </w:rPr>
      </w:pPr>
      <w:r w:rsidRPr="006606B2">
        <w:rPr>
          <w:rFonts w:ascii="Palatino Linotype" w:hAnsi="Palatino Linotype"/>
          <w:i/>
          <w:sz w:val="20"/>
          <w:szCs w:val="20"/>
        </w:rPr>
        <w:t xml:space="preserve">I. Registrar contablemente el efecto patrimonial y presupuestal de los ingresos y los egresos públicos, y las demás operaciones financieras. </w:t>
      </w:r>
    </w:p>
    <w:p w14:paraId="7D514468" w14:textId="77777777" w:rsidR="00F83C2B" w:rsidRDefault="00F83C2B" w:rsidP="00F83C2B">
      <w:pPr>
        <w:ind w:left="1134" w:right="902"/>
        <w:jc w:val="both"/>
        <w:rPr>
          <w:rFonts w:ascii="Palatino Linotype" w:hAnsi="Palatino Linotype"/>
          <w:i/>
          <w:sz w:val="20"/>
          <w:szCs w:val="20"/>
        </w:rPr>
      </w:pPr>
      <w:r w:rsidRPr="006606B2">
        <w:rPr>
          <w:rFonts w:ascii="Palatino Linotype" w:hAnsi="Palatino Linotype"/>
          <w:i/>
          <w:sz w:val="20"/>
          <w:szCs w:val="20"/>
        </w:rPr>
        <w:lastRenderedPageBreak/>
        <w:t xml:space="preserve">II. Informar sobre la aplicación de los fondos públicos. </w:t>
      </w:r>
    </w:p>
    <w:p w14:paraId="31BA354E" w14:textId="77777777" w:rsidR="00F83C2B" w:rsidRDefault="00F83C2B" w:rsidP="00F83C2B">
      <w:pPr>
        <w:ind w:left="1134" w:right="902"/>
        <w:jc w:val="both"/>
        <w:rPr>
          <w:rFonts w:ascii="Palatino Linotype" w:hAnsi="Palatino Linotype"/>
          <w:i/>
          <w:sz w:val="20"/>
          <w:szCs w:val="20"/>
        </w:rPr>
      </w:pPr>
      <w:r w:rsidRPr="006606B2">
        <w:rPr>
          <w:rFonts w:ascii="Palatino Linotype" w:hAnsi="Palatino Linotype"/>
          <w:i/>
          <w:sz w:val="20"/>
          <w:szCs w:val="20"/>
        </w:rPr>
        <w:t xml:space="preserve">III. Fomentar la evaluación de las acciones de gobierno, la planeación y programación de la gestión gubernamental. </w:t>
      </w:r>
    </w:p>
    <w:p w14:paraId="4F9BBDFD" w14:textId="77777777" w:rsidR="00F83C2B" w:rsidRDefault="00F83C2B" w:rsidP="00F83C2B">
      <w:pPr>
        <w:ind w:left="1134" w:right="902"/>
        <w:jc w:val="both"/>
        <w:rPr>
          <w:rFonts w:ascii="Palatino Linotype" w:hAnsi="Palatino Linotype"/>
          <w:i/>
          <w:sz w:val="20"/>
          <w:szCs w:val="20"/>
        </w:rPr>
      </w:pPr>
      <w:r w:rsidRPr="006606B2">
        <w:rPr>
          <w:rFonts w:ascii="Palatino Linotype" w:hAnsi="Palatino Linotype"/>
          <w:i/>
          <w:sz w:val="20"/>
          <w:szCs w:val="20"/>
        </w:rPr>
        <w:t xml:space="preserve">IV. Integrar la cuenta pública. </w:t>
      </w:r>
    </w:p>
    <w:p w14:paraId="06811855" w14:textId="77777777" w:rsidR="00F83C2B" w:rsidRDefault="00F83C2B" w:rsidP="00F83C2B">
      <w:pPr>
        <w:autoSpaceDE w:val="0"/>
        <w:autoSpaceDN w:val="0"/>
        <w:adjustRightInd w:val="0"/>
        <w:spacing w:after="120"/>
        <w:ind w:left="851" w:right="964"/>
        <w:jc w:val="both"/>
        <w:rPr>
          <w:rFonts w:ascii="Palatino Linotype" w:hAnsi="Palatino Linotype"/>
          <w:i/>
          <w:sz w:val="20"/>
          <w:szCs w:val="20"/>
        </w:rPr>
      </w:pPr>
      <w:r w:rsidRPr="006606B2">
        <w:rPr>
          <w:rFonts w:ascii="Palatino Linotype" w:hAnsi="Palatino Linotype"/>
          <w:i/>
          <w:sz w:val="20"/>
          <w:szCs w:val="20"/>
        </w:rPr>
        <w:t>Lo anterior de acuerdo a los principios, normas contables generales y específicas e instrumentos que se establezcan en la normatividad aplicable.</w:t>
      </w:r>
    </w:p>
    <w:p w14:paraId="54E00026" w14:textId="218F3ADD" w:rsidR="000F6F21" w:rsidRPr="00F83C2B" w:rsidRDefault="000F6F21" w:rsidP="00F83C2B">
      <w:pPr>
        <w:autoSpaceDE w:val="0"/>
        <w:autoSpaceDN w:val="0"/>
        <w:adjustRightInd w:val="0"/>
        <w:spacing w:after="120"/>
        <w:ind w:left="851" w:right="964"/>
        <w:jc w:val="both"/>
        <w:rPr>
          <w:rFonts w:ascii="Palatino Linotype" w:hAnsi="Palatino Linotype"/>
          <w:i/>
          <w:sz w:val="20"/>
          <w:szCs w:val="20"/>
        </w:rPr>
      </w:pPr>
      <w:r w:rsidRPr="00CB60DA">
        <w:rPr>
          <w:rFonts w:ascii="Palatino Linotype" w:hAnsi="Palatino Linotype" w:cs="Arial"/>
          <w:b/>
          <w:bCs/>
          <w:i/>
          <w:color w:val="000000"/>
          <w:sz w:val="20"/>
          <w:szCs w:val="20"/>
        </w:rPr>
        <w:t xml:space="preserve">Artículo 342.- </w:t>
      </w:r>
      <w:r w:rsidRPr="00CB60DA">
        <w:rPr>
          <w:rFonts w:ascii="Palatino Linotype" w:hAnsi="Palatino Linotype" w:cs="Arial"/>
          <w:bCs/>
          <w:i/>
          <w:color w:val="000000"/>
          <w:sz w:val="20"/>
          <w:szCs w:val="20"/>
          <w:u w:val="single"/>
        </w:rPr>
        <w:t>El registro contable del efecto patrimonial y presupuestal de las operaciones financieras, se realizará conforme al sistema y a las disposiciones que se aprueben en materia de planeación, programación, presupuestación, evaluación y contabilidad gubernamental.</w:t>
      </w:r>
      <w:r w:rsidRPr="00CB60DA">
        <w:rPr>
          <w:rFonts w:ascii="Palatino Linotype" w:hAnsi="Palatino Linotype" w:cs="Arial"/>
          <w:b/>
          <w:bCs/>
          <w:i/>
          <w:color w:val="000000"/>
          <w:sz w:val="20"/>
          <w:szCs w:val="20"/>
        </w:rPr>
        <w:t xml:space="preserve"> </w:t>
      </w:r>
    </w:p>
    <w:p w14:paraId="30728B7F"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cs="Arial"/>
          <w:b/>
          <w:bCs/>
          <w:i/>
          <w:color w:val="000000"/>
          <w:sz w:val="20"/>
          <w:szCs w:val="20"/>
        </w:rPr>
      </w:pPr>
    </w:p>
    <w:p w14:paraId="355E4ADF"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cs="Arial"/>
          <w:bCs/>
          <w:i/>
          <w:color w:val="000000"/>
          <w:sz w:val="20"/>
          <w:szCs w:val="20"/>
        </w:rPr>
      </w:pPr>
      <w:r w:rsidRPr="00CB60DA">
        <w:rPr>
          <w:rFonts w:ascii="Palatino Linotype" w:hAnsi="Palatino Linotype" w:cs="Arial"/>
          <w:bCs/>
          <w:i/>
          <w:color w:val="000000"/>
          <w:sz w:val="20"/>
          <w:szCs w:val="20"/>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7D6B2EA4"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cs="Arial"/>
          <w:bCs/>
          <w:i/>
          <w:color w:val="000000"/>
          <w:sz w:val="20"/>
          <w:szCs w:val="20"/>
        </w:rPr>
      </w:pPr>
    </w:p>
    <w:p w14:paraId="13E93D6C"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cs="Arial"/>
          <w:bCs/>
          <w:i/>
          <w:color w:val="000000"/>
          <w:sz w:val="20"/>
          <w:szCs w:val="20"/>
        </w:rPr>
      </w:pPr>
      <w:r w:rsidRPr="00CB60DA">
        <w:rPr>
          <w:rFonts w:ascii="Palatino Linotype" w:hAnsi="Palatino Linotype" w:cs="Arial"/>
          <w:b/>
          <w:bCs/>
          <w:i/>
          <w:color w:val="000000"/>
          <w:sz w:val="20"/>
          <w:szCs w:val="20"/>
        </w:rPr>
        <w:t>“Artículo 343.-</w:t>
      </w:r>
      <w:r w:rsidRPr="00CB60DA">
        <w:rPr>
          <w:rFonts w:ascii="Palatino Linotype" w:hAnsi="Palatino Linotype" w:cs="Arial"/>
          <w:bCs/>
          <w:i/>
          <w:color w:val="000000"/>
          <w:sz w:val="20"/>
          <w:szCs w:val="20"/>
        </w:rPr>
        <w:t xml:space="preserve"> </w:t>
      </w:r>
      <w:r w:rsidRPr="00CB60DA">
        <w:rPr>
          <w:rFonts w:ascii="Palatino Linotype" w:hAnsi="Palatino Linotype" w:cs="Arial"/>
          <w:bCs/>
          <w:i/>
          <w:color w:val="000000"/>
          <w:sz w:val="20"/>
          <w:szCs w:val="20"/>
          <w:u w:val="single"/>
        </w:rPr>
        <w:t>El sistema de contabilidad debe diseñarse sobre base acumulativa total y operarse en forma que facilite la fiscalización de los activos, pasivos, ingresos, egresos</w:t>
      </w:r>
      <w:r w:rsidRPr="00CB60DA">
        <w:rPr>
          <w:rFonts w:ascii="Palatino Linotype" w:hAnsi="Palatino Linotype" w:cs="Arial"/>
          <w:bCs/>
          <w:i/>
          <w:color w:val="000000"/>
          <w:sz w:val="20"/>
          <w:szCs w:val="20"/>
        </w:rPr>
        <w:t xml:space="preserve"> y, en general, que posibilite medir la eficacia del gasto público, y contener las medidas de control interno que permitan verificar el registro de la totalidad de las operaciones financieras. </w:t>
      </w:r>
    </w:p>
    <w:p w14:paraId="75E604D0"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cs="Arial"/>
          <w:bCs/>
          <w:i/>
          <w:color w:val="000000"/>
          <w:sz w:val="20"/>
          <w:szCs w:val="20"/>
        </w:rPr>
      </w:pPr>
    </w:p>
    <w:p w14:paraId="1453A2B1"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cs="Arial"/>
          <w:bCs/>
          <w:i/>
          <w:color w:val="000000"/>
          <w:sz w:val="20"/>
          <w:szCs w:val="20"/>
          <w:u w:val="single"/>
        </w:rPr>
      </w:pPr>
      <w:r w:rsidRPr="00CB60DA">
        <w:rPr>
          <w:rFonts w:ascii="Palatino Linotype" w:hAnsi="Palatino Linotype" w:cs="Arial"/>
          <w:bCs/>
          <w:i/>
          <w:color w:val="000000"/>
          <w:sz w:val="20"/>
          <w:szCs w:val="20"/>
          <w:u w:val="single"/>
        </w:rPr>
        <w:t>El sistema de contabilidad sobre base acumulativa total se sustentará en los postulados básicos y el marco conceptual de la contabilidad gubernamental.</w:t>
      </w:r>
    </w:p>
    <w:p w14:paraId="67950EFB"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cs="Arial"/>
          <w:bCs/>
          <w:i/>
          <w:color w:val="000000"/>
          <w:sz w:val="20"/>
          <w:szCs w:val="20"/>
        </w:rPr>
      </w:pPr>
    </w:p>
    <w:p w14:paraId="5C6C933E"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i/>
          <w:sz w:val="20"/>
          <w:szCs w:val="20"/>
        </w:rPr>
      </w:pPr>
      <w:r w:rsidRPr="00CB60DA">
        <w:rPr>
          <w:rFonts w:ascii="Palatino Linotype" w:hAnsi="Palatino Linotype"/>
          <w:b/>
          <w:i/>
          <w:sz w:val="20"/>
          <w:szCs w:val="20"/>
        </w:rPr>
        <w:t>Artículo 344.-</w:t>
      </w:r>
      <w:r w:rsidRPr="00CB60DA">
        <w:rPr>
          <w:rFonts w:ascii="Palatino Linotype" w:hAnsi="Palatino Linotype"/>
          <w:i/>
          <w:sz w:val="20"/>
          <w:szCs w:val="20"/>
        </w:rPr>
        <w:t xml:space="preserve"> - </w:t>
      </w:r>
      <w:r w:rsidRPr="00CB60DA">
        <w:rPr>
          <w:rFonts w:ascii="Palatino Linotype" w:hAnsi="Palatino Linotype"/>
          <w:i/>
          <w:sz w:val="20"/>
          <w:szCs w:val="20"/>
          <w:u w:val="single"/>
        </w:rPr>
        <w:t>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r w:rsidRPr="00CB60DA">
        <w:rPr>
          <w:rFonts w:ascii="Palatino Linotype" w:hAnsi="Palatino Linotype"/>
          <w:i/>
          <w:sz w:val="20"/>
          <w:szCs w:val="20"/>
        </w:rPr>
        <w:t>.</w:t>
      </w:r>
    </w:p>
    <w:p w14:paraId="4C59861E"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i/>
          <w:sz w:val="20"/>
          <w:szCs w:val="20"/>
        </w:rPr>
      </w:pPr>
    </w:p>
    <w:p w14:paraId="217B0983"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i/>
          <w:sz w:val="20"/>
          <w:szCs w:val="20"/>
        </w:rPr>
      </w:pPr>
      <w:r w:rsidRPr="00CB60DA">
        <w:rPr>
          <w:rFonts w:ascii="Palatino Linotype" w:hAnsi="Palatino Linotype"/>
          <w:i/>
          <w:sz w:val="20"/>
          <w:szCs w:val="20"/>
        </w:rPr>
        <w:t>Derogado.</w:t>
      </w:r>
    </w:p>
    <w:p w14:paraId="0828AD8D"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i/>
          <w:sz w:val="20"/>
          <w:szCs w:val="20"/>
        </w:rPr>
      </w:pPr>
    </w:p>
    <w:p w14:paraId="1B96AE3A"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i/>
          <w:sz w:val="20"/>
          <w:szCs w:val="20"/>
        </w:rPr>
      </w:pPr>
      <w:r w:rsidRPr="00CB60DA">
        <w:rPr>
          <w:rFonts w:ascii="Palatino Linotype" w:hAnsi="Palatino Linotype"/>
          <w:i/>
          <w:sz w:val="20"/>
          <w:szCs w:val="20"/>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w:t>
      </w:r>
      <w:r w:rsidRPr="00CB60DA">
        <w:rPr>
          <w:rFonts w:ascii="Palatino Linotype" w:hAnsi="Palatino Linotype"/>
          <w:i/>
          <w:sz w:val="20"/>
          <w:szCs w:val="20"/>
        </w:rPr>
        <w:t xml:space="preserve">. </w:t>
      </w:r>
    </w:p>
    <w:p w14:paraId="7EA69CCA"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i/>
          <w:sz w:val="20"/>
          <w:szCs w:val="20"/>
        </w:rPr>
      </w:pPr>
      <w:r w:rsidRPr="00CB60DA">
        <w:rPr>
          <w:rFonts w:ascii="Palatino Linotype" w:hAnsi="Palatino Linotype"/>
          <w:i/>
          <w:sz w:val="20"/>
          <w:szCs w:val="20"/>
        </w:rPr>
        <w:t>Tratándose de documentos de carácter histórico, se estará a lo dispuesto por la legislación de la materia.</w:t>
      </w:r>
    </w:p>
    <w:p w14:paraId="58D9FAA6"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cs="Arial"/>
          <w:bCs/>
          <w:i/>
          <w:color w:val="000000"/>
          <w:sz w:val="20"/>
          <w:szCs w:val="20"/>
        </w:rPr>
      </w:pPr>
    </w:p>
    <w:p w14:paraId="0CE00C11" w14:textId="7030E036" w:rsidR="000F6F21" w:rsidRPr="00CB60DA" w:rsidRDefault="000F6F21" w:rsidP="000F6F21">
      <w:pPr>
        <w:autoSpaceDE w:val="0"/>
        <w:autoSpaceDN w:val="0"/>
        <w:adjustRightInd w:val="0"/>
        <w:spacing w:after="120"/>
        <w:ind w:left="851" w:right="964"/>
        <w:contextualSpacing/>
        <w:jc w:val="both"/>
        <w:rPr>
          <w:rFonts w:ascii="Palatino Linotype" w:hAnsi="Palatino Linotype" w:cs="Arial"/>
          <w:bCs/>
          <w:i/>
          <w:color w:val="000000"/>
          <w:sz w:val="20"/>
          <w:szCs w:val="20"/>
        </w:rPr>
      </w:pPr>
      <w:r w:rsidRPr="00CB60DA">
        <w:rPr>
          <w:rFonts w:ascii="Palatino Linotype" w:hAnsi="Palatino Linotype" w:cs="Arial"/>
          <w:b/>
          <w:bCs/>
          <w:i/>
          <w:color w:val="000000"/>
          <w:sz w:val="20"/>
          <w:szCs w:val="20"/>
        </w:rPr>
        <w:t>Artículo 345.-</w:t>
      </w:r>
      <w:r w:rsidRPr="00CB60DA">
        <w:rPr>
          <w:rFonts w:ascii="Palatino Linotype" w:hAnsi="Palatino Linotype" w:cs="Arial"/>
          <w:bCs/>
          <w:i/>
          <w:color w:val="000000"/>
          <w:sz w:val="20"/>
          <w:szCs w:val="20"/>
        </w:rPr>
        <w:t xml:space="preserve"> </w:t>
      </w:r>
      <w:r w:rsidRPr="00CB60DA">
        <w:rPr>
          <w:rFonts w:ascii="Palatino Linotype" w:hAnsi="Palatino Linotype" w:cs="Arial"/>
          <w:bCs/>
          <w:i/>
          <w:color w:val="000000"/>
          <w:sz w:val="20"/>
          <w:szCs w:val="20"/>
          <w:u w:val="single"/>
        </w:rPr>
        <w:t xml:space="preserve">Las Dependencias, Entidades Públicas y unidades administrativas deberán conservar la documentación contable del año en curso y la de ejercicios anteriores </w:t>
      </w:r>
      <w:r w:rsidRPr="00CB60DA">
        <w:rPr>
          <w:rFonts w:ascii="Palatino Linotype" w:hAnsi="Palatino Linotype" w:cs="Arial"/>
          <w:bCs/>
          <w:i/>
          <w:color w:val="000000"/>
          <w:sz w:val="20"/>
          <w:szCs w:val="20"/>
          <w:u w:val="single"/>
        </w:rPr>
        <w:lastRenderedPageBreak/>
        <w:t>cuyas cuentas públicas hayan sido revisadas y fiscalizadas por la Legislatura,</w:t>
      </w:r>
      <w:r w:rsidRPr="00CB60DA">
        <w:rPr>
          <w:rFonts w:ascii="Palatino Linotype" w:hAnsi="Palatino Linotype" w:cs="Arial"/>
          <w:b/>
          <w:bCs/>
          <w:i/>
          <w:color w:val="000000"/>
          <w:sz w:val="20"/>
          <w:szCs w:val="20"/>
        </w:rPr>
        <w:t xml:space="preserve"> </w:t>
      </w:r>
      <w:r w:rsidRPr="00CB60DA">
        <w:rPr>
          <w:rFonts w:ascii="Palatino Linotype" w:hAnsi="Palatino Linotype" w:cs="Arial"/>
          <w:bCs/>
          <w:i/>
          <w:color w:val="000000"/>
          <w:sz w:val="20"/>
          <w:szCs w:val="20"/>
        </w:rPr>
        <w:t>la remitirán en un plazo que no excederá de seis meses al Archivo Contable Gubernamental. Tratándose de los comprobantes fiscales digitales, estos deberán estar agregados en forma electrónica en ca</w:t>
      </w:r>
      <w:r w:rsidR="000577A0">
        <w:rPr>
          <w:rFonts w:ascii="Palatino Linotype" w:hAnsi="Palatino Linotype" w:cs="Arial"/>
          <w:bCs/>
          <w:i/>
          <w:color w:val="000000"/>
          <w:sz w:val="20"/>
          <w:szCs w:val="20"/>
        </w:rPr>
        <w:t>da póliza de registro contable</w:t>
      </w:r>
      <w:r w:rsidRPr="00CB60DA">
        <w:rPr>
          <w:rFonts w:ascii="Palatino Linotype" w:hAnsi="Palatino Linotype" w:cs="Arial"/>
          <w:bCs/>
          <w:i/>
          <w:color w:val="000000"/>
          <w:sz w:val="20"/>
          <w:szCs w:val="20"/>
        </w:rPr>
        <w:t>...”</w:t>
      </w:r>
    </w:p>
    <w:p w14:paraId="0A3BAFD0" w14:textId="77777777" w:rsidR="000F6F21" w:rsidRPr="00CB60DA" w:rsidRDefault="000F6F21" w:rsidP="000F6F21">
      <w:pPr>
        <w:autoSpaceDE w:val="0"/>
        <w:autoSpaceDN w:val="0"/>
        <w:adjustRightInd w:val="0"/>
        <w:spacing w:after="120"/>
        <w:ind w:left="851" w:right="964"/>
        <w:contextualSpacing/>
        <w:jc w:val="both"/>
        <w:rPr>
          <w:rFonts w:ascii="Palatino Linotype" w:hAnsi="Palatino Linotype" w:cs="Arial"/>
          <w:bCs/>
          <w:i/>
          <w:color w:val="000000"/>
          <w:sz w:val="20"/>
          <w:szCs w:val="20"/>
        </w:rPr>
      </w:pPr>
    </w:p>
    <w:p w14:paraId="30C70468" w14:textId="34470108" w:rsidR="000F6F21" w:rsidRPr="00EE1939" w:rsidRDefault="000F6F21" w:rsidP="000F6F21">
      <w:pPr>
        <w:spacing w:before="240" w:after="360" w:line="360" w:lineRule="auto"/>
        <w:jc w:val="both"/>
        <w:rPr>
          <w:rFonts w:ascii="Palatino Linotype" w:hAnsi="Palatino Linotype" w:cs="Arial"/>
          <w:bCs/>
          <w:color w:val="000000"/>
        </w:rPr>
      </w:pPr>
      <w:r w:rsidRPr="00EE1939">
        <w:rPr>
          <w:rFonts w:ascii="Palatino Linotype" w:hAnsi="Palatino Linotype" w:cs="Arial"/>
        </w:rPr>
        <w:t xml:space="preserve">De una interpretación sistemática de los artículos transcritos, se desprende </w:t>
      </w:r>
      <w:r w:rsidR="00F83C2B">
        <w:rPr>
          <w:rFonts w:ascii="Palatino Linotype" w:hAnsi="Palatino Linotype" w:cs="Arial"/>
        </w:rPr>
        <w:t xml:space="preserve">que la contabilidad gubernamental permite llevar el </w:t>
      </w:r>
      <w:r w:rsidRPr="00EE1939">
        <w:rPr>
          <w:rFonts w:ascii="Palatino Linotype" w:hAnsi="Palatino Linotype" w:cs="Arial"/>
          <w:bCs/>
          <w:color w:val="000000"/>
        </w:rPr>
        <w:t>registro contable del efecto patrimonial y presupuestal de las operaciones financieras que realice el Sujeto Obligado conforme al sistema y a las disposiciones que se aprueben en materia de planeación, programación, presupuestación, evaluación y contabilidad gubernamental.</w:t>
      </w:r>
    </w:p>
    <w:p w14:paraId="5E00E14C" w14:textId="77777777" w:rsidR="000F6F21" w:rsidRPr="00EE1939" w:rsidRDefault="000F6F21" w:rsidP="000F6F21">
      <w:pPr>
        <w:autoSpaceDE w:val="0"/>
        <w:autoSpaceDN w:val="0"/>
        <w:adjustRightInd w:val="0"/>
        <w:spacing w:before="240" w:line="360" w:lineRule="auto"/>
        <w:jc w:val="both"/>
        <w:rPr>
          <w:rFonts w:ascii="Palatino Linotype" w:hAnsi="Palatino Linotype" w:cs="Arial"/>
          <w:lang w:eastAsia="es-MX"/>
        </w:rPr>
      </w:pPr>
      <w:r w:rsidRPr="00EE1939">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w:t>
      </w:r>
      <w:r>
        <w:rPr>
          <w:rFonts w:ascii="Palatino Linotype" w:hAnsi="Palatino Linotype" w:cs="Arial"/>
        </w:rPr>
        <w:t>é</w:t>
      </w:r>
      <w:r w:rsidRPr="00EE1939">
        <w:rPr>
          <w:rFonts w:ascii="Palatino Linotype" w:hAnsi="Palatino Linotype" w:cs="Arial"/>
        </w:rPr>
        <w:t xml:space="preserve"> debemos entender por registro contable y presupuestal</w:t>
      </w:r>
      <w:r w:rsidRPr="00EE1939">
        <w:rPr>
          <w:rFonts w:ascii="Palatino Linotype" w:hAnsi="Palatino Linotype" w:cs="Arial"/>
          <w:lang w:eastAsia="es-MX"/>
        </w:rPr>
        <w:t>; sin embargo, el “Glosario de Términos Administrativos”</w:t>
      </w:r>
      <w:r>
        <w:rPr>
          <w:rStyle w:val="Refdenotaalpie"/>
          <w:rFonts w:ascii="Palatino Linotype" w:hAnsi="Palatino Linotype" w:cs="Arial"/>
          <w:lang w:eastAsia="es-MX"/>
        </w:rPr>
        <w:footnoteReference w:id="2"/>
      </w:r>
      <w:r w:rsidRPr="00EE1939">
        <w:rPr>
          <w:rFonts w:ascii="Palatino Linotype" w:hAnsi="Palatino Linotype" w:cs="Arial"/>
          <w:lang w:eastAsia="es-MX"/>
        </w:rPr>
        <w:t>, y el “Glosario de Términos para el Proceso de Planeación, Programación, Presupuestación y Evaluación en la Administración Pública”</w:t>
      </w:r>
      <w:r>
        <w:rPr>
          <w:rStyle w:val="Refdenotaalpie"/>
          <w:rFonts w:ascii="Palatino Linotype" w:hAnsi="Palatino Linotype" w:cs="Arial"/>
          <w:lang w:eastAsia="es-MX"/>
        </w:rPr>
        <w:footnoteReference w:id="3"/>
      </w:r>
      <w:r w:rsidRPr="00EE1939">
        <w:rPr>
          <w:rFonts w:ascii="Palatino Linotype" w:hAnsi="Palatino Linotype" w:cs="Arial"/>
          <w:lang w:eastAsia="es-MX"/>
        </w:rPr>
        <w:t xml:space="preserve">, señalan las siguientes definiciones: </w:t>
      </w:r>
    </w:p>
    <w:p w14:paraId="62D00071" w14:textId="77777777" w:rsidR="000F6F21" w:rsidRPr="00E412A2" w:rsidRDefault="000F6F21" w:rsidP="000F6F21">
      <w:pPr>
        <w:spacing w:after="120"/>
        <w:ind w:left="851" w:right="964"/>
        <w:jc w:val="both"/>
        <w:rPr>
          <w:rFonts w:ascii="Palatino Linotype" w:hAnsi="Palatino Linotype" w:cs="Arial"/>
          <w:b/>
          <w:i/>
          <w:sz w:val="20"/>
          <w:szCs w:val="20"/>
          <w:lang w:eastAsia="es-MX"/>
        </w:rPr>
      </w:pPr>
      <w:r w:rsidRPr="00E412A2">
        <w:rPr>
          <w:rFonts w:ascii="Palatino Linotype" w:hAnsi="Palatino Linotype" w:cs="Arial"/>
          <w:b/>
          <w:i/>
          <w:sz w:val="20"/>
          <w:szCs w:val="20"/>
          <w:lang w:eastAsia="es-MX"/>
        </w:rPr>
        <w:t xml:space="preserve">“REGISTRO CONTABLE </w:t>
      </w:r>
    </w:p>
    <w:p w14:paraId="60ADD51A" w14:textId="77777777" w:rsidR="000F6F21" w:rsidRPr="00E412A2" w:rsidRDefault="000F6F21" w:rsidP="000F6F21">
      <w:pPr>
        <w:spacing w:after="120"/>
        <w:ind w:left="851" w:right="964"/>
        <w:jc w:val="both"/>
        <w:rPr>
          <w:rFonts w:ascii="Palatino Linotype" w:hAnsi="Palatino Linotype" w:cs="Arial"/>
          <w:i/>
          <w:sz w:val="20"/>
          <w:szCs w:val="20"/>
          <w:lang w:eastAsia="es-MX"/>
        </w:rPr>
      </w:pPr>
      <w:r w:rsidRPr="00E412A2">
        <w:rPr>
          <w:rFonts w:ascii="Palatino Linotype" w:hAnsi="Palatino Linotype" w:cs="Arial"/>
          <w:i/>
          <w:sz w:val="20"/>
          <w:szCs w:val="20"/>
          <w:lang w:eastAsia="es-MX"/>
        </w:rPr>
        <w:t>Asiento que se realiza en los libros de contabilidad de las actividades relacionadas con el ingreso y egresos de un ente económico.”</w:t>
      </w:r>
    </w:p>
    <w:p w14:paraId="07D52F6C" w14:textId="77777777" w:rsidR="000F6F21" w:rsidRPr="00E412A2" w:rsidRDefault="000F6F21" w:rsidP="000F6F21">
      <w:pPr>
        <w:spacing w:after="120"/>
        <w:ind w:left="851" w:right="964"/>
        <w:jc w:val="both"/>
        <w:rPr>
          <w:rFonts w:ascii="Palatino Linotype" w:hAnsi="Palatino Linotype" w:cs="Arial"/>
          <w:b/>
          <w:i/>
          <w:sz w:val="20"/>
          <w:szCs w:val="20"/>
          <w:lang w:eastAsia="es-MX"/>
        </w:rPr>
      </w:pPr>
      <w:r w:rsidRPr="00E412A2">
        <w:rPr>
          <w:rFonts w:ascii="Palatino Linotype" w:hAnsi="Palatino Linotype" w:cs="Arial"/>
          <w:b/>
          <w:i/>
          <w:sz w:val="20"/>
          <w:szCs w:val="20"/>
          <w:lang w:eastAsia="es-MX"/>
        </w:rPr>
        <w:t>“REGISTRO PRESUPUESTARIO</w:t>
      </w:r>
    </w:p>
    <w:p w14:paraId="18890812" w14:textId="77777777" w:rsidR="000F6F21" w:rsidRPr="00E412A2" w:rsidRDefault="000F6F21" w:rsidP="000F6F21">
      <w:pPr>
        <w:spacing w:after="120"/>
        <w:ind w:left="851" w:right="964"/>
        <w:jc w:val="both"/>
        <w:rPr>
          <w:rFonts w:ascii="Palatino Linotype" w:hAnsi="Palatino Linotype" w:cs="Arial"/>
          <w:i/>
          <w:sz w:val="20"/>
          <w:szCs w:val="20"/>
          <w:lang w:eastAsia="es-MX"/>
        </w:rPr>
      </w:pPr>
      <w:r w:rsidRPr="00E412A2">
        <w:rPr>
          <w:rFonts w:ascii="Palatino Linotype" w:hAnsi="Palatino Linotype" w:cs="Arial"/>
          <w:i/>
          <w:sz w:val="20"/>
          <w:szCs w:val="20"/>
          <w:lang w:eastAsia="es-MX"/>
        </w:rPr>
        <w:t>Asiento contable de las erogaciones realizadas por las dependencias y entidades con relación a la asignación, modificación y ejercicio de los recursos presupuestarios que se les hayan autorizado.”</w:t>
      </w:r>
    </w:p>
    <w:p w14:paraId="00F41BB8" w14:textId="32B0E0BD" w:rsidR="00F31543" w:rsidRDefault="00F31543" w:rsidP="00F31543">
      <w:pPr>
        <w:spacing w:before="240" w:after="240" w:line="360" w:lineRule="auto"/>
        <w:jc w:val="both"/>
        <w:rPr>
          <w:rFonts w:ascii="Palatino Linotype" w:hAnsi="Palatino Linotype"/>
          <w:color w:val="000000"/>
        </w:rPr>
      </w:pPr>
      <w:r>
        <w:rPr>
          <w:rFonts w:ascii="Palatino Linotype" w:hAnsi="Palatino Linotype"/>
          <w:color w:val="000000"/>
        </w:rPr>
        <w:lastRenderedPageBreak/>
        <w:t>Es así, que el Manual Único de Contabilidad Gubernamental para las Dependencias y Entidades Públicas del Gobierno y Municipios del Estado de México proporciona los elementos necesarios para que los entes públicos contabilicen sus operaciones al establecer criterios en materia de contabilidad, mediante un conjunto de conceptos homogéneos que facilitan distinguir y formar agrupaciones generales para detallar los distintos conceptos de cargo y abono por los que cada cuenta deberá ser afectada, indicando el número respectivo, su denominación, clasificación y naturaleza, así como la representatividad de su saldo, y para ello establece un lista de cuentas autorizadas, entre las que se encuentra la que se inserta a modo de ejemplo por ser materia de nuestro estudio</w:t>
      </w:r>
      <w:r w:rsidR="009D3FE0">
        <w:rPr>
          <w:rFonts w:ascii="Palatino Linotype" w:hAnsi="Palatino Linotype"/>
          <w:color w:val="000000"/>
        </w:rPr>
        <w:t>:</w:t>
      </w:r>
    </w:p>
    <w:p w14:paraId="75BFCB03" w14:textId="776D8B2E" w:rsidR="00F31543" w:rsidRDefault="00F31543" w:rsidP="00F31543">
      <w:pPr>
        <w:spacing w:before="240" w:after="240" w:line="360" w:lineRule="auto"/>
        <w:jc w:val="both"/>
        <w:rPr>
          <w:rFonts w:ascii="Palatino Linotype" w:hAnsi="Palatino Linotype"/>
          <w:color w:val="000000"/>
        </w:rPr>
      </w:pPr>
      <w:r w:rsidRPr="00F31543">
        <w:rPr>
          <w:rFonts w:ascii="Palatino Linotype" w:hAnsi="Palatino Linotype"/>
          <w:noProof/>
          <w:color w:val="000000"/>
          <w:lang w:val="es-MX" w:eastAsia="es-MX"/>
        </w:rPr>
        <w:drawing>
          <wp:inline distT="0" distB="0" distL="0" distR="0" wp14:anchorId="78F25758" wp14:editId="18C62C5C">
            <wp:extent cx="5612130" cy="244030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440305"/>
                    </a:xfrm>
                    <a:prstGeom prst="rect">
                      <a:avLst/>
                    </a:prstGeom>
                  </pic:spPr>
                </pic:pic>
              </a:graphicData>
            </a:graphic>
          </wp:inline>
        </w:drawing>
      </w:r>
    </w:p>
    <w:p w14:paraId="5C07591A" w14:textId="48BE6299" w:rsidR="000F6F21" w:rsidRDefault="000F6F21" w:rsidP="000F6F21">
      <w:pPr>
        <w:spacing w:before="240" w:after="360" w:line="360" w:lineRule="auto"/>
        <w:jc w:val="both"/>
        <w:rPr>
          <w:rFonts w:ascii="Palatino Linotype" w:hAnsi="Palatino Linotype" w:cs="Arial"/>
          <w:bCs/>
          <w:color w:val="000000"/>
        </w:rPr>
      </w:pPr>
      <w:r>
        <w:rPr>
          <w:rFonts w:ascii="Palatino Linotype" w:hAnsi="Palatino Linotype" w:cs="Arial"/>
          <w:bCs/>
          <w:color w:val="000000"/>
        </w:rPr>
        <w:t>Partiendo de los conceptos citados,</w:t>
      </w:r>
      <w:r w:rsidRPr="00EE1939">
        <w:rPr>
          <w:rFonts w:ascii="Palatino Linotype" w:hAnsi="Palatino Linotype" w:cs="Arial"/>
          <w:bCs/>
          <w:color w:val="000000"/>
        </w:rPr>
        <w:t xml:space="preserve"> los Sujetos Obligados deben contar con una unid</w:t>
      </w:r>
      <w:r w:rsidR="009D3FE0">
        <w:rPr>
          <w:rFonts w:ascii="Palatino Linotype" w:hAnsi="Palatino Linotype" w:cs="Arial"/>
          <w:bCs/>
          <w:color w:val="000000"/>
        </w:rPr>
        <w:t>ad administrativa que registre</w:t>
      </w:r>
      <w:r w:rsidRPr="00EE1939">
        <w:rPr>
          <w:rFonts w:ascii="Palatino Linotype" w:hAnsi="Palatino Linotype" w:cs="Arial"/>
          <w:bCs/>
          <w:color w:val="000000"/>
        </w:rPr>
        <w:t xml:space="preserve"> contablemente el efecto patrimonial y presupuestal de las operaciones financieras que realizan, en el momento en que ocurran, con base en el sistema y políticas de registro establecidas.</w:t>
      </w:r>
      <w:r w:rsidR="00F31543">
        <w:rPr>
          <w:rFonts w:ascii="Palatino Linotype" w:hAnsi="Palatino Linotype" w:cs="Arial"/>
          <w:bCs/>
          <w:color w:val="000000"/>
        </w:rPr>
        <w:t xml:space="preserve"> La cual en el asunto que nos ocupa se traduce en la Tesorería Municipal, quien respondió que el </w:t>
      </w:r>
      <w:r w:rsidR="00F31543">
        <w:rPr>
          <w:rFonts w:ascii="Palatino Linotype" w:hAnsi="Palatino Linotype" w:cs="Arial"/>
          <w:bCs/>
          <w:color w:val="000000"/>
        </w:rPr>
        <w:lastRenderedPageBreak/>
        <w:t>techo financiero asignado corresponde al Capítulo 5000 tal y como lo establece el Manual de referencia.</w:t>
      </w:r>
    </w:p>
    <w:p w14:paraId="7795CE68" w14:textId="5C4DA413" w:rsidR="004749E4" w:rsidRDefault="009D3FE0" w:rsidP="004749E4">
      <w:pPr>
        <w:spacing w:before="240" w:after="240" w:line="360" w:lineRule="auto"/>
        <w:jc w:val="both"/>
        <w:rPr>
          <w:rFonts w:ascii="Palatino Linotype" w:hAnsi="Palatino Linotype"/>
        </w:rPr>
      </w:pPr>
      <w:r>
        <w:rPr>
          <w:rFonts w:ascii="Palatino Linotype" w:hAnsi="Palatino Linotype" w:cs="Arial"/>
          <w:bCs/>
          <w:color w:val="000000"/>
        </w:rPr>
        <w:t xml:space="preserve">Por lo tanto, si bien los sujetos obligados no están obligados a generar documentos </w:t>
      </w:r>
      <w:r>
        <w:rPr>
          <w:rFonts w:ascii="Palatino Linotype" w:hAnsi="Palatino Linotype" w:cs="Arial"/>
          <w:bCs/>
          <w:i/>
          <w:color w:val="000000"/>
        </w:rPr>
        <w:t xml:space="preserve">ad hoc </w:t>
      </w:r>
      <w:r>
        <w:rPr>
          <w:rFonts w:ascii="Palatino Linotype" w:hAnsi="Palatino Linotype" w:cs="Arial"/>
          <w:bCs/>
          <w:color w:val="000000"/>
        </w:rPr>
        <w:t xml:space="preserve">para satisfacer los requerimientos de información en términos del </w:t>
      </w:r>
      <w:r w:rsidRPr="00102700">
        <w:rPr>
          <w:rFonts w:ascii="Palatino Linotype" w:hAnsi="Palatino Linotype" w:cs="Arial"/>
          <w:color w:val="222222"/>
          <w:lang w:eastAsia="es-MX"/>
        </w:rPr>
        <w:t xml:space="preserve">artículo 12 de la Ley de Transparencia y Acceso a la Información Pública del Estado de México y Municipios, </w:t>
      </w:r>
      <w:r w:rsidRPr="00102700">
        <w:rPr>
          <w:rFonts w:ascii="Palatino Linotype" w:eastAsiaTheme="minorHAnsi" w:hAnsi="Palatino Linotype" w:cs="Bookman Old Style"/>
          <w:lang w:val="es-MX" w:eastAsia="en-US"/>
        </w:rPr>
        <w:t>los sujetos obligados sólo proporcionarán la información pública que se les requiera y que obre en sus</w:t>
      </w:r>
      <w:r>
        <w:rPr>
          <w:rFonts w:ascii="Palatino Linotype" w:eastAsiaTheme="minorHAnsi" w:hAnsi="Palatino Linotype" w:cs="Bookman Old Style"/>
          <w:lang w:val="es-MX" w:eastAsia="en-US"/>
        </w:rPr>
        <w:t xml:space="preserve"> </w:t>
      </w:r>
      <w:r w:rsidRPr="00102700">
        <w:rPr>
          <w:rFonts w:ascii="Palatino Linotype" w:eastAsiaTheme="minorHAnsi" w:hAnsi="Palatino Linotype" w:cs="Bookman Old Style"/>
          <w:lang w:val="es-MX" w:eastAsia="en-US"/>
        </w:rPr>
        <w:t>archivos y en el estado en que ésta se encuentre.</w:t>
      </w:r>
      <w:r w:rsidRPr="00102700">
        <w:rPr>
          <w:rFonts w:ascii="Palatino Linotype" w:hAnsi="Palatino Linotype" w:cs="Arial"/>
          <w:color w:val="222222"/>
          <w:lang w:eastAsia="es-MX"/>
        </w:rPr>
        <w:t xml:space="preserve"> </w:t>
      </w:r>
      <w:r w:rsidRPr="00102700">
        <w:rPr>
          <w:rFonts w:ascii="Palatino Linotype" w:eastAsiaTheme="minorHAnsi" w:hAnsi="Palatino Linotype" w:cs="Bookman Old Style"/>
          <w:lang w:val="es-MX" w:eastAsia="en-US"/>
        </w:rPr>
        <w:t xml:space="preserve">La obligación de proporcionar información no comprende el procesamiento de la misma, </w:t>
      </w:r>
      <w:r w:rsidRPr="007D1F27">
        <w:rPr>
          <w:rFonts w:ascii="Palatino Linotype" w:eastAsiaTheme="minorHAnsi" w:hAnsi="Palatino Linotype" w:cs="Bookman Old Style"/>
          <w:lang w:val="es-MX" w:eastAsia="en-US"/>
        </w:rPr>
        <w:t>ni el presentarla conforme al interés del solicitante</w:t>
      </w:r>
      <w:r w:rsidRPr="00102700">
        <w:rPr>
          <w:rFonts w:ascii="Palatino Linotype" w:eastAsiaTheme="minorHAnsi" w:hAnsi="Palatino Linotype" w:cs="Bookman Old Style"/>
          <w:lang w:val="es-MX" w:eastAsia="en-US"/>
        </w:rPr>
        <w:t xml:space="preserve">; no estarán obligados </w:t>
      </w:r>
      <w:r w:rsidRPr="00763EB1">
        <w:rPr>
          <w:rFonts w:ascii="Palatino Linotype" w:eastAsiaTheme="minorHAnsi" w:hAnsi="Palatino Linotype" w:cs="Bookman Old Style"/>
          <w:lang w:val="es-MX" w:eastAsia="en-US"/>
        </w:rPr>
        <w:t>a generarla, resumirla, efectuar</w:t>
      </w:r>
      <w:r w:rsidRPr="00102700">
        <w:rPr>
          <w:rFonts w:ascii="Palatino Linotype" w:eastAsiaTheme="minorHAnsi" w:hAnsi="Palatino Linotype" w:cs="Bookman Old Style"/>
          <w:lang w:val="es-MX" w:eastAsia="en-US"/>
        </w:rPr>
        <w:t xml:space="preserve"> cálcu</w:t>
      </w:r>
      <w:r>
        <w:rPr>
          <w:rFonts w:ascii="Palatino Linotype" w:eastAsiaTheme="minorHAnsi" w:hAnsi="Palatino Linotype" w:cs="Bookman Old Style"/>
          <w:lang w:val="es-MX" w:eastAsia="en-US"/>
        </w:rPr>
        <w:t xml:space="preserve">los o practicar investigaciones, también lo es, que al haber existido un pronunciamiento por parte del </w:t>
      </w:r>
      <w:r>
        <w:rPr>
          <w:rFonts w:ascii="Palatino Linotype" w:eastAsiaTheme="minorHAnsi" w:hAnsi="Palatino Linotype" w:cs="Bookman Old Style"/>
          <w:b/>
          <w:lang w:val="es-MX" w:eastAsia="en-US"/>
        </w:rPr>
        <w:t xml:space="preserve">Sujeto Obligado </w:t>
      </w:r>
      <w:r>
        <w:rPr>
          <w:rFonts w:ascii="Palatino Linotype" w:eastAsiaTheme="minorHAnsi" w:hAnsi="Palatino Linotype" w:cs="Bookman Old Style"/>
          <w:lang w:val="es-MX" w:eastAsia="en-US"/>
        </w:rPr>
        <w:t xml:space="preserve">para atender el requerimiento de información, este Instituto no </w:t>
      </w:r>
      <w:r w:rsidR="000577A0">
        <w:rPr>
          <w:rFonts w:ascii="Palatino Linotype" w:eastAsiaTheme="minorHAnsi" w:hAnsi="Palatino Linotype" w:cs="Bookman Old Style"/>
          <w:lang w:val="es-MX" w:eastAsia="en-US"/>
        </w:rPr>
        <w:t>está</w:t>
      </w:r>
      <w:r>
        <w:rPr>
          <w:rFonts w:ascii="Palatino Linotype" w:eastAsiaTheme="minorHAnsi" w:hAnsi="Palatino Linotype" w:cs="Bookman Old Style"/>
          <w:lang w:val="es-MX" w:eastAsia="en-US"/>
        </w:rPr>
        <w:t xml:space="preserve"> facultado para dudar de la veracidad de información </w:t>
      </w:r>
      <w:r w:rsidR="004749E4">
        <w:rPr>
          <w:rFonts w:ascii="Palatino Linotype" w:hAnsi="Palatino Linotype"/>
          <w:lang w:val="es-MX" w:eastAsia="es-MX"/>
        </w:rPr>
        <w:t xml:space="preserve">toda vez que la </w:t>
      </w:r>
      <w:r w:rsidR="004749E4" w:rsidRPr="00531ABD">
        <w:rPr>
          <w:rFonts w:ascii="Palatino Linotype" w:hAnsi="Palatino Linotype"/>
        </w:rPr>
        <w:t>presunción de veracidad es un derecho o principio legal y jurídico</w:t>
      </w:r>
      <w:r w:rsidR="004749E4">
        <w:rPr>
          <w:rFonts w:ascii="Palatino Linotype" w:hAnsi="Palatino Linotype"/>
        </w:rPr>
        <w:t xml:space="preserve">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w:t>
      </w:r>
    </w:p>
    <w:p w14:paraId="491C61A5" w14:textId="1D21DF0A" w:rsidR="004749E4" w:rsidRDefault="004749E4" w:rsidP="004749E4">
      <w:pPr>
        <w:spacing w:before="240" w:after="240" w:line="360" w:lineRule="auto"/>
        <w:jc w:val="both"/>
        <w:rPr>
          <w:rFonts w:ascii="Palatino Linotype" w:hAnsi="Palatino Linotype"/>
          <w:lang w:val="es-MX"/>
        </w:rPr>
      </w:pPr>
      <w:r>
        <w:rPr>
          <w:rFonts w:ascii="Palatino Linotype" w:hAnsi="Palatino Linotype"/>
        </w:rPr>
        <w:t>La presunción de veracidad</w:t>
      </w:r>
      <w:r>
        <w:rPr>
          <w:rStyle w:val="Refdenotaalpie"/>
          <w:rFonts w:ascii="Palatino Linotype" w:hAnsi="Palatino Linotype"/>
        </w:rPr>
        <w:footnoteReference w:id="4"/>
      </w:r>
      <w:r>
        <w:rPr>
          <w:rFonts w:ascii="Palatino Linotype" w:hAnsi="Palatino Linotype"/>
        </w:rPr>
        <w:t xml:space="preserve"> supone una declaración </w:t>
      </w:r>
      <w:r w:rsidRPr="0042327C">
        <w:rPr>
          <w:rFonts w:ascii="Palatino Linotype" w:hAnsi="Palatino Linotype"/>
          <w:i/>
        </w:rPr>
        <w:t>iurus tantum</w:t>
      </w:r>
      <w:r>
        <w:rPr>
          <w:rFonts w:ascii="Palatino Linotype" w:hAnsi="Palatino Linotype"/>
        </w:rPr>
        <w:t xml:space="preserve"> ya que admite prueba en contra, por lo que este Órgano no está facultado para pronunciarse sobre la veracidad de la información entregada, pues no existe precepto legal alguno que </w:t>
      </w:r>
      <w:r>
        <w:rPr>
          <w:rFonts w:ascii="Palatino Linotype" w:hAnsi="Palatino Linotype"/>
        </w:rPr>
        <w:lastRenderedPageBreak/>
        <w:t xml:space="preserve">permita pronunciamiento al respecto. </w:t>
      </w:r>
      <w:r w:rsidRPr="00324F9B">
        <w:rPr>
          <w:rFonts w:ascii="Palatino Linotype" w:hAnsi="Palatino Linotype"/>
          <w:lang w:val="es-MX"/>
        </w:rPr>
        <w:t>Sirve de apoyo a lo anterior por analogía el criterio 31-10 emitido por el entonces Instituto Federal de Acceso a la Información y Protección de Datos, que a la letra dice:</w:t>
      </w:r>
    </w:p>
    <w:p w14:paraId="60DAC624" w14:textId="77777777" w:rsidR="004749E4" w:rsidRDefault="004749E4" w:rsidP="004749E4">
      <w:pPr>
        <w:autoSpaceDE w:val="0"/>
        <w:autoSpaceDN w:val="0"/>
        <w:adjustRightInd w:val="0"/>
        <w:spacing w:before="240" w:after="240" w:line="360" w:lineRule="auto"/>
        <w:ind w:left="851" w:right="900"/>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E1312B7" w14:textId="6100A446" w:rsidR="004749E4" w:rsidRPr="00361383" w:rsidRDefault="004749E4" w:rsidP="004749E4">
      <w:pPr>
        <w:spacing w:before="240" w:after="240" w:line="360" w:lineRule="auto"/>
        <w:jc w:val="both"/>
        <w:rPr>
          <w:rFonts w:ascii="Palatino Linotype" w:hAnsi="Palatino Linotype"/>
        </w:rPr>
      </w:pPr>
      <w:r>
        <w:rPr>
          <w:rFonts w:ascii="Palatino Linotype" w:hAnsi="Palatino Linotype"/>
        </w:rPr>
        <w:t xml:space="preserve">En las relatadas circunstancias se determina que </w:t>
      </w:r>
      <w:r w:rsidR="001A7198">
        <w:rPr>
          <w:rFonts w:ascii="Palatino Linotype" w:hAnsi="Palatino Linotype"/>
        </w:rPr>
        <w:t>e</w:t>
      </w:r>
      <w:r>
        <w:rPr>
          <w:rFonts w:ascii="Palatino Linotype" w:hAnsi="Palatino Linotype"/>
        </w:rPr>
        <w:t xml:space="preserve">l requerimiento en análisis fue atendido y colmado por el </w:t>
      </w:r>
      <w:r>
        <w:rPr>
          <w:rFonts w:ascii="Palatino Linotype" w:hAnsi="Palatino Linotype"/>
          <w:b/>
        </w:rPr>
        <w:t>Sujeto Obligado.</w:t>
      </w:r>
    </w:p>
    <w:p w14:paraId="509BBD36" w14:textId="1AA406CA" w:rsidR="00A81398" w:rsidRDefault="00A81398" w:rsidP="000F6F21">
      <w:pPr>
        <w:spacing w:before="240" w:after="360" w:line="360" w:lineRule="auto"/>
        <w:jc w:val="both"/>
        <w:rPr>
          <w:rFonts w:ascii="Palatino Linotype" w:eastAsiaTheme="minorHAnsi" w:hAnsi="Palatino Linotype" w:cs="Bookman Old Style"/>
          <w:lang w:val="es-MX" w:eastAsia="en-US"/>
        </w:rPr>
      </w:pPr>
      <w:r>
        <w:rPr>
          <w:rFonts w:ascii="Palatino Linotype" w:eastAsiaTheme="minorHAnsi" w:hAnsi="Palatino Linotype" w:cs="Bookman Old Style"/>
          <w:lang w:val="es-MX" w:eastAsia="en-US"/>
        </w:rPr>
        <w:t>En lo que respecta a los numerales 4 y 5 de la solicitud de acceso a la información, el particular le pidió al Ayuntamiento de Huixquilucan la factura y el</w:t>
      </w:r>
      <w:r w:rsidR="000577A0">
        <w:rPr>
          <w:rFonts w:ascii="Palatino Linotype" w:eastAsiaTheme="minorHAnsi" w:hAnsi="Palatino Linotype" w:cs="Bookman Old Style"/>
          <w:lang w:val="es-MX" w:eastAsia="en-US"/>
        </w:rPr>
        <w:t xml:space="preserve"> costo del mobiliario que compró</w:t>
      </w:r>
      <w:r>
        <w:rPr>
          <w:rFonts w:ascii="Palatino Linotype" w:eastAsiaTheme="minorHAnsi" w:hAnsi="Palatino Linotype" w:cs="Bookman Old Style"/>
          <w:lang w:val="es-MX" w:eastAsia="en-US"/>
        </w:rPr>
        <w:t xml:space="preserve"> el Ayuntamiento para el edificio donde se </w:t>
      </w:r>
      <w:r w:rsidR="00BC61F7">
        <w:rPr>
          <w:rFonts w:ascii="Palatino Linotype" w:eastAsiaTheme="minorHAnsi" w:hAnsi="Palatino Linotype" w:cs="Bookman Old Style"/>
          <w:lang w:val="es-MX" w:eastAsia="en-US"/>
        </w:rPr>
        <w:t>encuentra</w:t>
      </w:r>
      <w:r w:rsidR="00A15C61">
        <w:rPr>
          <w:rFonts w:ascii="Palatino Linotype" w:eastAsiaTheme="minorHAnsi" w:hAnsi="Palatino Linotype" w:cs="Bookman Old Style"/>
          <w:lang w:val="es-MX" w:eastAsia="en-US"/>
        </w:rPr>
        <w:t xml:space="preserve"> la D</w:t>
      </w:r>
      <w:r>
        <w:rPr>
          <w:rFonts w:ascii="Palatino Linotype" w:eastAsiaTheme="minorHAnsi" w:hAnsi="Palatino Linotype" w:cs="Bookman Old Style"/>
          <w:lang w:val="es-MX" w:eastAsia="en-US"/>
        </w:rPr>
        <w:t>irección de Administración.</w:t>
      </w:r>
    </w:p>
    <w:p w14:paraId="1ACEF094" w14:textId="55F24797" w:rsidR="00B90856" w:rsidRDefault="00B90856" w:rsidP="00B90856">
      <w:pPr>
        <w:spacing w:before="240" w:after="240" w:line="360" w:lineRule="auto"/>
        <w:jc w:val="both"/>
        <w:rPr>
          <w:rFonts w:ascii="Palatino Linotype" w:hAnsi="Palatino Linotype"/>
        </w:rPr>
      </w:pPr>
      <w:r>
        <w:rPr>
          <w:rFonts w:ascii="Palatino Linotype" w:hAnsi="Palatino Linotype"/>
        </w:rPr>
        <w:t xml:space="preserve">Bajo lo dicho, se estima necesario entrar al estudio y contenido de la información que integra los comprobantes fiscales de manera general, entonces resulta </w:t>
      </w:r>
      <w:r>
        <w:rPr>
          <w:rFonts w:ascii="Palatino Linotype" w:hAnsi="Palatino Linotype"/>
        </w:rPr>
        <w:lastRenderedPageBreak/>
        <w:t>indispensable citar lo que dispone el Código Fiscal de la Federación en su artículo 29 que advierte lo siguiente:</w:t>
      </w:r>
    </w:p>
    <w:p w14:paraId="0FF00BDA" w14:textId="77777777" w:rsidR="00B90856" w:rsidRDefault="00B90856" w:rsidP="00B90856">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BF76CA">
        <w:rPr>
          <w:rFonts w:ascii="Palatino Linotype" w:hAnsi="Palatino Linotype"/>
          <w:b/>
          <w:i/>
          <w:sz w:val="20"/>
          <w:szCs w:val="20"/>
        </w:rPr>
        <w:t>Artículo 29.</w:t>
      </w:r>
      <w:r w:rsidRPr="00BF76CA">
        <w:rPr>
          <w:rFonts w:ascii="Palatino Linotype" w:hAnsi="Palatino Linotype"/>
          <w:i/>
          <w:sz w:val="20"/>
          <w:szCs w:val="20"/>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 </w:t>
      </w:r>
    </w:p>
    <w:p w14:paraId="07035283" w14:textId="77777777" w:rsidR="00B90856" w:rsidRDefault="00B90856" w:rsidP="00B90856">
      <w:pPr>
        <w:spacing w:after="120"/>
        <w:ind w:left="851" w:right="902"/>
        <w:jc w:val="both"/>
        <w:rPr>
          <w:rFonts w:ascii="Palatino Linotype" w:hAnsi="Palatino Linotype"/>
          <w:i/>
          <w:sz w:val="20"/>
          <w:szCs w:val="20"/>
        </w:rPr>
      </w:pPr>
      <w:r w:rsidRPr="00BF76CA">
        <w:rPr>
          <w:rFonts w:ascii="Palatino Linotype" w:hAnsi="Palatino Linotype"/>
          <w:i/>
          <w:sz w:val="20"/>
          <w:szCs w:val="20"/>
        </w:rPr>
        <w:t xml:space="preserve">Los contribuyentes a que se refiere el párrafo anterior deberán cumplir con las obligaciones siguientes: </w:t>
      </w:r>
    </w:p>
    <w:p w14:paraId="2581146D" w14:textId="77777777" w:rsidR="00B90856" w:rsidRDefault="00B90856" w:rsidP="00B90856">
      <w:pPr>
        <w:spacing w:after="120"/>
        <w:ind w:left="1134" w:right="902"/>
        <w:jc w:val="both"/>
        <w:rPr>
          <w:rFonts w:ascii="Palatino Linotype" w:hAnsi="Palatino Linotype"/>
          <w:i/>
          <w:sz w:val="20"/>
          <w:szCs w:val="20"/>
        </w:rPr>
      </w:pPr>
      <w:r w:rsidRPr="00BF76CA">
        <w:rPr>
          <w:rFonts w:ascii="Palatino Linotype" w:hAnsi="Palatino Linotype"/>
          <w:i/>
          <w:sz w:val="20"/>
          <w:szCs w:val="20"/>
        </w:rPr>
        <w:t xml:space="preserve">I. Contar con un certificado de firma electrónica avanzada vigente. </w:t>
      </w:r>
    </w:p>
    <w:p w14:paraId="63F97336" w14:textId="77777777" w:rsidR="00B90856" w:rsidRDefault="00B90856" w:rsidP="00B90856">
      <w:pPr>
        <w:spacing w:after="120"/>
        <w:ind w:left="1134" w:right="902"/>
        <w:jc w:val="both"/>
        <w:rPr>
          <w:rFonts w:ascii="Palatino Linotype" w:hAnsi="Palatino Linotype"/>
          <w:i/>
          <w:sz w:val="20"/>
          <w:szCs w:val="20"/>
        </w:rPr>
      </w:pPr>
      <w:r w:rsidRPr="00BF76CA">
        <w:rPr>
          <w:rFonts w:ascii="Palatino Linotype" w:hAnsi="Palatino Linotype"/>
          <w:i/>
          <w:sz w:val="20"/>
          <w:szCs w:val="20"/>
        </w:rPr>
        <w:t xml:space="preserve">II. Tramitar ante el Servicio de Administración Tributaria el certificado para el uso de los sellos digitales. </w:t>
      </w:r>
    </w:p>
    <w:p w14:paraId="73C5C1BF" w14:textId="77777777" w:rsidR="00B90856" w:rsidRPr="00E911ED" w:rsidRDefault="00B90856" w:rsidP="00B90856">
      <w:pPr>
        <w:spacing w:after="120"/>
        <w:ind w:left="1134" w:right="902"/>
        <w:jc w:val="both"/>
        <w:rPr>
          <w:rFonts w:ascii="Palatino Linotype" w:hAnsi="Palatino Linotype"/>
          <w:i/>
          <w:sz w:val="18"/>
          <w:szCs w:val="20"/>
        </w:rPr>
      </w:pPr>
      <w:r w:rsidRPr="00E911ED">
        <w:rPr>
          <w:rFonts w:ascii="Palatino Linotype" w:hAnsi="Palatino Linotype"/>
          <w:i/>
          <w:sz w:val="18"/>
          <w:szCs w:val="20"/>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p>
    <w:p w14:paraId="04A6A225" w14:textId="77777777" w:rsidR="00B90856" w:rsidRPr="00E911ED" w:rsidRDefault="00B90856" w:rsidP="00B90856">
      <w:pPr>
        <w:spacing w:after="120"/>
        <w:ind w:left="1134" w:right="902"/>
        <w:jc w:val="both"/>
        <w:rPr>
          <w:rFonts w:ascii="Palatino Linotype" w:hAnsi="Palatino Linotype"/>
          <w:i/>
          <w:sz w:val="18"/>
          <w:szCs w:val="20"/>
        </w:rPr>
      </w:pPr>
      <w:r w:rsidRPr="00E911ED">
        <w:rPr>
          <w:rFonts w:ascii="Palatino Linotype" w:hAnsi="Palatino Linotype"/>
          <w:i/>
          <w:sz w:val="18"/>
          <w:szCs w:val="20"/>
        </w:rPr>
        <w:t xml:space="preserve">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 </w:t>
      </w:r>
    </w:p>
    <w:p w14:paraId="07A70C55" w14:textId="77777777" w:rsidR="00B90856" w:rsidRPr="00E911ED" w:rsidRDefault="00B90856" w:rsidP="00B90856">
      <w:pPr>
        <w:spacing w:after="120"/>
        <w:ind w:left="1134" w:right="902"/>
        <w:jc w:val="both"/>
        <w:rPr>
          <w:rFonts w:ascii="Palatino Linotype" w:hAnsi="Palatino Linotype"/>
          <w:i/>
          <w:sz w:val="18"/>
          <w:szCs w:val="20"/>
        </w:rPr>
      </w:pPr>
      <w:r w:rsidRPr="00E911ED">
        <w:rPr>
          <w:rFonts w:ascii="Palatino Linotype" w:hAnsi="Palatino Linotype"/>
          <w:i/>
          <w:sz w:val="18"/>
          <w:szCs w:val="20"/>
        </w:rPr>
        <w:t xml:space="preserve">La tramitación de un certificado de sello digital sólo podrá efectuarse mediante formato electrónico que cuente con la firma electrónica avanzada de la persona solicitante. </w:t>
      </w:r>
    </w:p>
    <w:p w14:paraId="2E90D6C5" w14:textId="77777777" w:rsidR="00B90856" w:rsidRDefault="00B90856" w:rsidP="00B90856">
      <w:pPr>
        <w:spacing w:after="120"/>
        <w:ind w:left="1134" w:right="902"/>
        <w:jc w:val="both"/>
        <w:rPr>
          <w:rFonts w:ascii="Palatino Linotype" w:hAnsi="Palatino Linotype"/>
          <w:i/>
          <w:sz w:val="20"/>
          <w:szCs w:val="20"/>
        </w:rPr>
      </w:pPr>
      <w:r w:rsidRPr="00BF76CA">
        <w:rPr>
          <w:rFonts w:ascii="Palatino Linotype" w:hAnsi="Palatino Linotype"/>
          <w:i/>
          <w:sz w:val="20"/>
          <w:szCs w:val="20"/>
        </w:rPr>
        <w:t xml:space="preserve">III. Cumplir los requisitos establecidos en el artículo 29-A de este Código. </w:t>
      </w:r>
    </w:p>
    <w:p w14:paraId="058C1EC2" w14:textId="77777777" w:rsidR="00B90856" w:rsidRDefault="00B90856" w:rsidP="00B90856">
      <w:pPr>
        <w:spacing w:after="120"/>
        <w:ind w:left="1134" w:right="902"/>
        <w:jc w:val="both"/>
        <w:rPr>
          <w:rFonts w:ascii="Palatino Linotype" w:hAnsi="Palatino Linotype"/>
          <w:i/>
          <w:sz w:val="20"/>
          <w:szCs w:val="20"/>
        </w:rPr>
      </w:pPr>
      <w:r w:rsidRPr="00BF76CA">
        <w:rPr>
          <w:rFonts w:ascii="Palatino Linotype" w:hAnsi="Palatino Linotype"/>
          <w:i/>
          <w:sz w:val="20"/>
          <w:szCs w:val="20"/>
        </w:rPr>
        <w:t xml:space="preserve">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 </w:t>
      </w:r>
    </w:p>
    <w:p w14:paraId="6B84AE1F" w14:textId="77777777" w:rsidR="00B90856" w:rsidRPr="00E911ED" w:rsidRDefault="00B90856" w:rsidP="00B90856">
      <w:pPr>
        <w:spacing w:after="120"/>
        <w:ind w:left="1418" w:right="902"/>
        <w:jc w:val="both"/>
        <w:rPr>
          <w:rFonts w:ascii="Palatino Linotype" w:hAnsi="Palatino Linotype"/>
          <w:i/>
          <w:sz w:val="18"/>
          <w:szCs w:val="20"/>
        </w:rPr>
      </w:pPr>
      <w:r w:rsidRPr="00E911ED">
        <w:rPr>
          <w:rFonts w:ascii="Palatino Linotype" w:hAnsi="Palatino Linotype"/>
          <w:i/>
          <w:sz w:val="18"/>
          <w:szCs w:val="20"/>
        </w:rPr>
        <w:t xml:space="preserve">a) Validar el cumplimiento de los requisitos establecidos en el artículo 29-A de este Código. </w:t>
      </w:r>
    </w:p>
    <w:p w14:paraId="5C18DD90" w14:textId="77777777" w:rsidR="00B90856" w:rsidRPr="00E911ED" w:rsidRDefault="00B90856" w:rsidP="00B90856">
      <w:pPr>
        <w:spacing w:after="120"/>
        <w:ind w:left="1418" w:right="902"/>
        <w:jc w:val="both"/>
        <w:rPr>
          <w:rFonts w:ascii="Palatino Linotype" w:hAnsi="Palatino Linotype"/>
          <w:i/>
          <w:sz w:val="18"/>
          <w:szCs w:val="20"/>
        </w:rPr>
      </w:pPr>
      <w:r w:rsidRPr="00E911ED">
        <w:rPr>
          <w:rFonts w:ascii="Palatino Linotype" w:hAnsi="Palatino Linotype"/>
          <w:i/>
          <w:sz w:val="18"/>
          <w:szCs w:val="20"/>
        </w:rPr>
        <w:t xml:space="preserve">b) Asignar el folio del comprobante fiscal digital. </w:t>
      </w:r>
    </w:p>
    <w:p w14:paraId="40F8B25B" w14:textId="77777777" w:rsidR="00B90856" w:rsidRPr="00E911ED" w:rsidRDefault="00B90856" w:rsidP="00B90856">
      <w:pPr>
        <w:spacing w:after="120"/>
        <w:ind w:left="1418" w:right="902"/>
        <w:jc w:val="both"/>
        <w:rPr>
          <w:rFonts w:ascii="Palatino Linotype" w:hAnsi="Palatino Linotype"/>
          <w:i/>
          <w:sz w:val="18"/>
          <w:szCs w:val="20"/>
        </w:rPr>
      </w:pPr>
      <w:r w:rsidRPr="00E911ED">
        <w:rPr>
          <w:rFonts w:ascii="Palatino Linotype" w:hAnsi="Palatino Linotype"/>
          <w:i/>
          <w:sz w:val="18"/>
          <w:szCs w:val="20"/>
        </w:rPr>
        <w:t xml:space="preserve">c) Incorporar el sello digital del Servicio de Administración Tributaria. </w:t>
      </w:r>
    </w:p>
    <w:p w14:paraId="1FDF2D1E" w14:textId="77777777" w:rsidR="00B90856" w:rsidRPr="00E911ED" w:rsidRDefault="00B90856" w:rsidP="00B90856">
      <w:pPr>
        <w:spacing w:after="120"/>
        <w:ind w:left="1418" w:right="902"/>
        <w:jc w:val="both"/>
        <w:rPr>
          <w:rFonts w:ascii="Palatino Linotype" w:hAnsi="Palatino Linotype"/>
          <w:i/>
          <w:sz w:val="18"/>
          <w:szCs w:val="20"/>
        </w:rPr>
      </w:pPr>
      <w:r w:rsidRPr="00E911ED">
        <w:rPr>
          <w:rFonts w:ascii="Palatino Linotype" w:hAnsi="Palatino Linotype"/>
          <w:i/>
          <w:sz w:val="18"/>
          <w:szCs w:val="20"/>
        </w:rPr>
        <w:t xml:space="preserve">El Servicio de Administración Tributaria podrá autorizar a proveedores de certificación de comprobantes fiscales digitales por Internet para que efectúen la validación, asignación de folio e incorporación del sello a que se refiere esta fracción. Los proveedores de certificación de comprobantes fiscales digitales por Internet a que se refiere el párrafo anterior deberán estar previamente autorizados por el Servicio de Administración Tributaria y cumplir con </w:t>
      </w:r>
      <w:r w:rsidRPr="00E911ED">
        <w:rPr>
          <w:rFonts w:ascii="Palatino Linotype" w:hAnsi="Palatino Linotype"/>
          <w:i/>
          <w:sz w:val="18"/>
          <w:szCs w:val="20"/>
        </w:rPr>
        <w:lastRenderedPageBreak/>
        <w:t xml:space="preserve">los requisitos que al efecto establezca dicho órgano desconcentrado mediante reglas de carácter general. </w:t>
      </w:r>
    </w:p>
    <w:p w14:paraId="4FD2AC7E" w14:textId="77777777" w:rsidR="00B90856" w:rsidRPr="00E911ED" w:rsidRDefault="00B90856" w:rsidP="00B90856">
      <w:pPr>
        <w:spacing w:after="120"/>
        <w:ind w:left="1418" w:right="902"/>
        <w:jc w:val="both"/>
        <w:rPr>
          <w:rFonts w:ascii="Palatino Linotype" w:hAnsi="Palatino Linotype"/>
          <w:i/>
          <w:sz w:val="18"/>
          <w:szCs w:val="20"/>
        </w:rPr>
      </w:pPr>
      <w:r w:rsidRPr="00E911ED">
        <w:rPr>
          <w:rFonts w:ascii="Palatino Linotype" w:hAnsi="Palatino Linotype"/>
          <w:i/>
          <w:sz w:val="18"/>
          <w:szCs w:val="20"/>
        </w:rPr>
        <w:t xml:space="preserve">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 </w:t>
      </w:r>
    </w:p>
    <w:p w14:paraId="60303A62" w14:textId="77777777" w:rsidR="00B90856" w:rsidRPr="00E911ED" w:rsidRDefault="00B90856" w:rsidP="00B90856">
      <w:pPr>
        <w:spacing w:after="120"/>
        <w:ind w:left="1418" w:right="902"/>
        <w:jc w:val="both"/>
        <w:rPr>
          <w:rFonts w:ascii="Palatino Linotype" w:hAnsi="Palatino Linotype"/>
          <w:i/>
          <w:sz w:val="18"/>
          <w:szCs w:val="20"/>
        </w:rPr>
      </w:pPr>
      <w:r w:rsidRPr="00E911ED">
        <w:rPr>
          <w:rFonts w:ascii="Palatino Linotype" w:hAnsi="Palatino Linotype"/>
          <w:i/>
          <w:sz w:val="18"/>
          <w:szCs w:val="20"/>
        </w:rPr>
        <w:t xml:space="preserve">Para los efectos del segundo párrafo de esta fracción, el Servicio de Administración Tributaria podrá proporcionar la información necesaria a los proveedores autorizados de certificación de comprobantes fiscales digitales por Internet. </w:t>
      </w:r>
    </w:p>
    <w:p w14:paraId="353CAEEC" w14:textId="77777777" w:rsidR="00B90856" w:rsidRDefault="00B90856" w:rsidP="00B90856">
      <w:pPr>
        <w:spacing w:after="120"/>
        <w:ind w:left="1134" w:right="902"/>
        <w:jc w:val="both"/>
        <w:rPr>
          <w:rFonts w:ascii="Palatino Linotype" w:hAnsi="Palatino Linotype"/>
          <w:i/>
          <w:sz w:val="20"/>
          <w:szCs w:val="20"/>
        </w:rPr>
      </w:pPr>
      <w:r w:rsidRPr="00BF76CA">
        <w:rPr>
          <w:rFonts w:ascii="Palatino Linotype" w:hAnsi="Palatino Linotype"/>
          <w:i/>
          <w:sz w:val="20"/>
          <w:szCs w:val="20"/>
        </w:rPr>
        <w:t xml:space="preserve">V. Una vez que al comprobante fiscal digital por Internet se le incorpore el sello digital del Servicio de Administración Tributaria o, en su caso, del proveedor de certificación de comprobantes fiscales digitales, deberán entregar o poner a disposición de sus clientes, a través de los medios electrónicos que disponga el citado órgano desconcentrado mediante reglas de carácter general, el archivo electrónico del comprobante fiscal digital por Internet y, cuando les sea solicitada por el cliente, su representación impresa, la cual únicamente presume la existencia de dicho comprobante fiscal. </w:t>
      </w:r>
    </w:p>
    <w:p w14:paraId="740F6E18" w14:textId="77777777" w:rsidR="00B90856" w:rsidRDefault="00B90856" w:rsidP="00B90856">
      <w:pPr>
        <w:spacing w:after="120"/>
        <w:ind w:left="1134" w:right="902"/>
        <w:jc w:val="both"/>
        <w:rPr>
          <w:rFonts w:ascii="Palatino Linotype" w:hAnsi="Palatino Linotype"/>
          <w:i/>
          <w:sz w:val="20"/>
          <w:szCs w:val="20"/>
        </w:rPr>
      </w:pPr>
      <w:r w:rsidRPr="00BF76CA">
        <w:rPr>
          <w:rFonts w:ascii="Palatino Linotype" w:hAnsi="Palatino Linotype"/>
          <w:i/>
          <w:sz w:val="20"/>
          <w:szCs w:val="20"/>
        </w:rPr>
        <w:t xml:space="preserve">VI. Cumplir con las especificaciones que en materia de informática determine el Servicio de Administración Tributaria mediante reglas de carácter general. </w:t>
      </w:r>
    </w:p>
    <w:p w14:paraId="0EFF912C" w14:textId="77777777" w:rsidR="00B90856" w:rsidRDefault="00B90856" w:rsidP="00B90856">
      <w:pPr>
        <w:spacing w:after="120"/>
        <w:ind w:left="1134" w:right="902"/>
        <w:jc w:val="both"/>
        <w:rPr>
          <w:rFonts w:ascii="Palatino Linotype" w:hAnsi="Palatino Linotype"/>
          <w:i/>
          <w:sz w:val="20"/>
          <w:szCs w:val="20"/>
        </w:rPr>
      </w:pPr>
      <w:r w:rsidRPr="00BF76CA">
        <w:rPr>
          <w:rFonts w:ascii="Palatino Linotype" w:hAnsi="Palatino Linotype"/>
          <w:i/>
          <w:sz w:val="20"/>
          <w:szCs w:val="20"/>
        </w:rPr>
        <w:t xml:space="preserve">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 </w:t>
      </w:r>
    </w:p>
    <w:p w14:paraId="7D710199" w14:textId="77777777" w:rsidR="00B90856" w:rsidRDefault="00B90856" w:rsidP="00B90856">
      <w:pPr>
        <w:spacing w:after="120"/>
        <w:ind w:left="1134" w:right="902"/>
        <w:jc w:val="both"/>
        <w:rPr>
          <w:rFonts w:ascii="Palatino Linotype" w:hAnsi="Palatino Linotype"/>
          <w:i/>
          <w:sz w:val="20"/>
          <w:szCs w:val="20"/>
        </w:rPr>
      </w:pPr>
      <w:r w:rsidRPr="00BF76CA">
        <w:rPr>
          <w:rFonts w:ascii="Palatino Linotype" w:hAnsi="Palatino Linotype"/>
          <w:i/>
          <w:sz w:val="20"/>
          <w:szCs w:val="20"/>
        </w:rPr>
        <w:t xml:space="preserve">En el caso de las devoluciones, descuentos y bonificaciones a que se refiere el artículo 25 de la Ley del Impuesto sobre la Renta, se deberán expedir comprobantes fiscales digitales por Internet. </w:t>
      </w:r>
    </w:p>
    <w:p w14:paraId="735748C2" w14:textId="77777777" w:rsidR="00B90856" w:rsidRPr="00BF76CA" w:rsidRDefault="00B90856" w:rsidP="00B90856">
      <w:pPr>
        <w:spacing w:after="120"/>
        <w:ind w:left="1134" w:right="902"/>
        <w:jc w:val="both"/>
        <w:rPr>
          <w:rFonts w:ascii="Palatino Linotype" w:hAnsi="Palatino Linotype"/>
          <w:i/>
          <w:sz w:val="20"/>
          <w:szCs w:val="20"/>
        </w:rPr>
      </w:pPr>
      <w:r w:rsidRPr="00BF76CA">
        <w:rPr>
          <w:rFonts w:ascii="Palatino Linotype" w:hAnsi="Palatino Linotype"/>
          <w:i/>
          <w:sz w:val="20"/>
          <w:szCs w:val="20"/>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de mercancías.</w:t>
      </w:r>
      <w:r>
        <w:rPr>
          <w:rFonts w:ascii="Palatino Linotype" w:hAnsi="Palatino Linotype"/>
          <w:i/>
          <w:sz w:val="20"/>
          <w:szCs w:val="20"/>
        </w:rPr>
        <w:t>”</w:t>
      </w:r>
    </w:p>
    <w:p w14:paraId="768F362E" w14:textId="6F5B059A" w:rsidR="00B90856" w:rsidRDefault="00B90856" w:rsidP="00B90856">
      <w:pPr>
        <w:spacing w:before="240" w:after="240" w:line="360" w:lineRule="auto"/>
        <w:jc w:val="both"/>
        <w:rPr>
          <w:rFonts w:ascii="Palatino Linotype" w:hAnsi="Palatino Linotype"/>
        </w:rPr>
      </w:pPr>
      <w:r>
        <w:rPr>
          <w:rFonts w:ascii="Palatino Linotype" w:hAnsi="Palatino Linotype"/>
        </w:rPr>
        <w:t xml:space="preserve">De lo citado, se advierte para el caso que nos ocupa, cuando las leyes fiscales determinen expedir comprobantes fiscales, se emitirán mediante comprobantes digitales, para lo cual los contribuyentes deberán atender diversas obligaciones, </w:t>
      </w:r>
      <w:r>
        <w:rPr>
          <w:rFonts w:ascii="Palatino Linotype" w:hAnsi="Palatino Linotype"/>
        </w:rPr>
        <w:lastRenderedPageBreak/>
        <w:t>tales como contar con un certificado de firma electrónica, certificado para el uso de sellos digitales, folio de comprobante fiscal, entre otros.</w:t>
      </w:r>
    </w:p>
    <w:p w14:paraId="6F1E7EB7" w14:textId="3DFE8158" w:rsidR="00B90856" w:rsidRDefault="00B90856" w:rsidP="00B90856">
      <w:pPr>
        <w:spacing w:before="240" w:after="240" w:line="360" w:lineRule="auto"/>
        <w:jc w:val="both"/>
        <w:rPr>
          <w:rFonts w:ascii="Palatino Linotype" w:hAnsi="Palatino Linotype"/>
        </w:rPr>
      </w:pPr>
      <w:r>
        <w:rPr>
          <w:rFonts w:ascii="Palatino Linotype" w:hAnsi="Palatino Linotype"/>
        </w:rPr>
        <w:t xml:space="preserve">Ante tales consideraciones, es el artículo </w:t>
      </w:r>
      <w:r w:rsidRPr="005B4BD5">
        <w:rPr>
          <w:rFonts w:ascii="Palatino Linotype" w:hAnsi="Palatino Linotype"/>
        </w:rPr>
        <w:t>29-A</w:t>
      </w:r>
      <w:r>
        <w:rPr>
          <w:rFonts w:ascii="Palatino Linotype" w:hAnsi="Palatino Linotype"/>
          <w:b/>
        </w:rPr>
        <w:t xml:space="preserve"> </w:t>
      </w:r>
      <w:r w:rsidRPr="005B4BD5">
        <w:rPr>
          <w:rFonts w:ascii="Palatino Linotype" w:hAnsi="Palatino Linotype"/>
        </w:rPr>
        <w:t>del ordenamiento en cita</w:t>
      </w:r>
      <w:r>
        <w:rPr>
          <w:rFonts w:ascii="Palatino Linotype" w:hAnsi="Palatino Linotype"/>
        </w:rPr>
        <w:t xml:space="preserve">, </w:t>
      </w:r>
      <w:r w:rsidRPr="005B4BD5">
        <w:rPr>
          <w:rFonts w:ascii="Palatino Linotype" w:hAnsi="Palatino Linotype"/>
        </w:rPr>
        <w:t>dispon</w:t>
      </w:r>
      <w:r>
        <w:rPr>
          <w:rFonts w:ascii="Palatino Linotype" w:hAnsi="Palatino Linotype"/>
        </w:rPr>
        <w:t>e que l</w:t>
      </w:r>
      <w:r w:rsidRPr="005B4BD5">
        <w:rPr>
          <w:rFonts w:ascii="Palatino Linotype" w:hAnsi="Palatino Linotype"/>
        </w:rPr>
        <w:t xml:space="preserve">os comprobantes fiscales digitales deberán contener los siguientes requisitos: </w:t>
      </w:r>
    </w:p>
    <w:p w14:paraId="7FF023FE" w14:textId="77777777" w:rsidR="00B90856" w:rsidRDefault="00B90856" w:rsidP="00B90856">
      <w:pPr>
        <w:spacing w:after="120" w:line="360" w:lineRule="auto"/>
        <w:ind w:left="709"/>
        <w:jc w:val="both"/>
        <w:rPr>
          <w:rFonts w:ascii="Palatino Linotype" w:hAnsi="Palatino Linotype"/>
        </w:rPr>
      </w:pPr>
      <w:r w:rsidRPr="005B4BD5">
        <w:rPr>
          <w:rFonts w:ascii="Palatino Linotype" w:hAnsi="Palatino Linotype"/>
        </w:rPr>
        <w:t xml:space="preserve">I. La clave del registro federal de contribuyentes de quien los expida y el régimen fiscal en que tributen conforme a la Ley del Impuesto sobre la Renta. </w:t>
      </w:r>
    </w:p>
    <w:p w14:paraId="3AA1CEAB" w14:textId="77777777" w:rsidR="00B90856" w:rsidRDefault="00B90856" w:rsidP="00B90856">
      <w:pPr>
        <w:spacing w:after="120" w:line="360" w:lineRule="auto"/>
        <w:ind w:left="709"/>
        <w:jc w:val="both"/>
        <w:rPr>
          <w:rFonts w:ascii="Palatino Linotype" w:hAnsi="Palatino Linotype"/>
        </w:rPr>
      </w:pPr>
      <w:r w:rsidRPr="005B4BD5">
        <w:rPr>
          <w:rFonts w:ascii="Palatino Linotype" w:hAnsi="Palatino Linotype"/>
        </w:rPr>
        <w:t xml:space="preserve">II. El número de folio y el sello digital del Servicio de Administración Tributaria, así como el sello digital del contribuyente que lo expide. </w:t>
      </w:r>
    </w:p>
    <w:p w14:paraId="6C8258A6" w14:textId="77777777" w:rsidR="00B90856" w:rsidRDefault="00B90856" w:rsidP="00B90856">
      <w:pPr>
        <w:spacing w:after="120" w:line="360" w:lineRule="auto"/>
        <w:ind w:left="709"/>
        <w:jc w:val="both"/>
        <w:rPr>
          <w:rFonts w:ascii="Palatino Linotype" w:hAnsi="Palatino Linotype"/>
        </w:rPr>
      </w:pPr>
      <w:r w:rsidRPr="005B4BD5">
        <w:rPr>
          <w:rFonts w:ascii="Palatino Linotype" w:hAnsi="Palatino Linotype"/>
        </w:rPr>
        <w:t xml:space="preserve">III. El lugar y fecha de expedición. </w:t>
      </w:r>
    </w:p>
    <w:p w14:paraId="5F8FD309" w14:textId="77777777" w:rsidR="00B90856" w:rsidRDefault="00B90856" w:rsidP="00B90856">
      <w:pPr>
        <w:spacing w:after="120" w:line="360" w:lineRule="auto"/>
        <w:ind w:left="709"/>
        <w:jc w:val="both"/>
        <w:rPr>
          <w:rFonts w:ascii="Palatino Linotype" w:hAnsi="Palatino Linotype"/>
        </w:rPr>
      </w:pPr>
      <w:r w:rsidRPr="005B4BD5">
        <w:rPr>
          <w:rFonts w:ascii="Palatino Linotype" w:hAnsi="Palatino Linotype"/>
        </w:rPr>
        <w:t xml:space="preserve">IV. La clave del registro federal de contribuyentes de la persona a favor de quien se expida. </w:t>
      </w:r>
    </w:p>
    <w:p w14:paraId="2B9FEE7E" w14:textId="77777777" w:rsidR="00B90856" w:rsidRDefault="00B90856" w:rsidP="00B90856">
      <w:pPr>
        <w:spacing w:after="120" w:line="360" w:lineRule="auto"/>
        <w:ind w:left="709"/>
        <w:jc w:val="both"/>
        <w:rPr>
          <w:rFonts w:ascii="Palatino Linotype" w:hAnsi="Palatino Linotype"/>
        </w:rPr>
      </w:pPr>
      <w:r w:rsidRPr="005B4BD5">
        <w:rPr>
          <w:rFonts w:ascii="Palatino Linotype" w:hAnsi="Palatino Linotype"/>
        </w:rPr>
        <w:t xml:space="preserve">V. La cantidad, unidad de medida y clase de los bienes o mercancías o descripción del servicio o del uso o goce que amparen. </w:t>
      </w:r>
    </w:p>
    <w:p w14:paraId="318D12AB" w14:textId="77777777" w:rsidR="00B90856" w:rsidRDefault="00B90856" w:rsidP="00B90856">
      <w:pPr>
        <w:spacing w:after="120" w:line="360" w:lineRule="auto"/>
        <w:ind w:left="709"/>
        <w:jc w:val="both"/>
        <w:rPr>
          <w:rFonts w:ascii="Palatino Linotype" w:hAnsi="Palatino Linotype"/>
        </w:rPr>
      </w:pPr>
      <w:r w:rsidRPr="005B4BD5">
        <w:rPr>
          <w:rFonts w:ascii="Palatino Linotype" w:hAnsi="Palatino Linotype"/>
        </w:rPr>
        <w:t xml:space="preserve">VI. El valor unitario consignado en número. </w:t>
      </w:r>
    </w:p>
    <w:p w14:paraId="0C11FB1F" w14:textId="77777777" w:rsidR="00B90856" w:rsidRDefault="00B90856" w:rsidP="00B90856">
      <w:pPr>
        <w:spacing w:after="120" w:line="360" w:lineRule="auto"/>
        <w:ind w:left="709"/>
        <w:jc w:val="both"/>
        <w:rPr>
          <w:rFonts w:ascii="Palatino Linotype" w:hAnsi="Palatino Linotype"/>
        </w:rPr>
      </w:pPr>
      <w:r w:rsidRPr="005B4BD5">
        <w:rPr>
          <w:rFonts w:ascii="Palatino Linotype" w:hAnsi="Palatino Linotype"/>
        </w:rPr>
        <w:t>VII. El importe total consignado en número o letra</w:t>
      </w:r>
      <w:r>
        <w:rPr>
          <w:rFonts w:ascii="Palatino Linotype" w:hAnsi="Palatino Linotype"/>
        </w:rPr>
        <w:t>.</w:t>
      </w:r>
      <w:r w:rsidRPr="005B4BD5">
        <w:rPr>
          <w:rFonts w:ascii="Palatino Linotype" w:hAnsi="Palatino Linotype"/>
        </w:rPr>
        <w:t xml:space="preserve"> </w:t>
      </w:r>
    </w:p>
    <w:p w14:paraId="28DB954D" w14:textId="77777777" w:rsidR="00B90856" w:rsidRDefault="00B90856" w:rsidP="00B90856">
      <w:pPr>
        <w:spacing w:after="120" w:line="360" w:lineRule="auto"/>
        <w:ind w:left="709"/>
        <w:jc w:val="both"/>
        <w:rPr>
          <w:rFonts w:ascii="Palatino Linotype" w:hAnsi="Palatino Linotype"/>
        </w:rPr>
      </w:pPr>
      <w:r w:rsidRPr="005B4BD5">
        <w:rPr>
          <w:rFonts w:ascii="Palatino Linotype" w:hAnsi="Palatino Linotype"/>
        </w:rPr>
        <w:t xml:space="preserve">VIII. Tratándose de mercancías de importación: a) El número y fecha del documento aduanero, tratándose de ventas de primera mano. b) En importaciones efectuadas a favor de un tercero, el número y fecha del documento aduanero, los conceptos y montos pagados por el contribuyente directamente al proveedor extranjero y los importes de las contribuciones pagadas con motivo de la importación. </w:t>
      </w:r>
    </w:p>
    <w:p w14:paraId="0AFB77ED" w14:textId="77777777" w:rsidR="00B90856" w:rsidRDefault="00B90856" w:rsidP="00B90856">
      <w:pPr>
        <w:spacing w:after="120" w:line="360" w:lineRule="auto"/>
        <w:ind w:left="709"/>
        <w:jc w:val="both"/>
        <w:rPr>
          <w:rFonts w:ascii="Palatino Linotype" w:hAnsi="Palatino Linotype"/>
        </w:rPr>
      </w:pPr>
      <w:r w:rsidRPr="005B4BD5">
        <w:rPr>
          <w:rFonts w:ascii="Palatino Linotype" w:hAnsi="Palatino Linotype"/>
        </w:rPr>
        <w:lastRenderedPageBreak/>
        <w:t xml:space="preserve">IX. Los contenidos en las disposiciones fiscales, que sean requeridos y dé a conocer el Servicio de Administración Tributaria, mediante reglas de carácter general. </w:t>
      </w:r>
    </w:p>
    <w:p w14:paraId="6C34877A" w14:textId="41A09791" w:rsidR="00B90856" w:rsidRDefault="00B90856" w:rsidP="00B90856">
      <w:pPr>
        <w:spacing w:before="240" w:after="240" w:line="360" w:lineRule="auto"/>
        <w:jc w:val="both"/>
        <w:rPr>
          <w:rFonts w:ascii="Palatino Linotype" w:hAnsi="Palatino Linotype"/>
        </w:rPr>
      </w:pPr>
      <w:r>
        <w:rPr>
          <w:rFonts w:ascii="Palatino Linotype" w:hAnsi="Palatino Linotype"/>
        </w:rPr>
        <w:t>Por lo que después de examinar el documento adjunto a la respuesta se puede determinar que éste atiende los requerimientos de información, toda vez que se trata de la factura 51239 emitida por “Productos Metálicos Steele S.A. de C.V.” en el que se describe el costo y mobiliario adquirido por el Ayuntamiento de Huixquilucan.</w:t>
      </w:r>
    </w:p>
    <w:p w14:paraId="09CA04EE" w14:textId="7B66873E" w:rsidR="008C48FD" w:rsidRDefault="00B90856" w:rsidP="008C48FD">
      <w:pPr>
        <w:spacing w:before="240" w:after="240" w:line="360" w:lineRule="auto"/>
        <w:ind w:right="49"/>
        <w:jc w:val="both"/>
        <w:rPr>
          <w:rFonts w:ascii="Palatino Linotype" w:hAnsi="Palatino Linotype" w:cs="Arial"/>
        </w:rPr>
      </w:pPr>
      <w:r>
        <w:rPr>
          <w:rFonts w:ascii="Palatino Linotype" w:hAnsi="Palatino Linotype"/>
        </w:rPr>
        <w:t xml:space="preserve">No obstante lo anterior, de la revisión a la factura entregada por el </w:t>
      </w:r>
      <w:r>
        <w:rPr>
          <w:rFonts w:ascii="Palatino Linotype" w:hAnsi="Palatino Linotype"/>
          <w:b/>
        </w:rPr>
        <w:t xml:space="preserve">Sujeto Obligado, </w:t>
      </w:r>
      <w:r>
        <w:rPr>
          <w:rFonts w:ascii="Palatino Linotype" w:hAnsi="Palatino Linotype"/>
        </w:rPr>
        <w:t>se advierte que el mismo omitió testar datos que tiene</w:t>
      </w:r>
      <w:r w:rsidR="008C48FD">
        <w:rPr>
          <w:rFonts w:ascii="Palatino Linotype" w:hAnsi="Palatino Linotype"/>
        </w:rPr>
        <w:t xml:space="preserve">n el carácter de confidenciales, violentando lo previsto en los </w:t>
      </w:r>
      <w:r w:rsidR="008C48FD">
        <w:rPr>
          <w:rFonts w:ascii="Palatino Linotype" w:hAnsi="Palatino Linotype" w:cs="Arial"/>
        </w:rPr>
        <w:t xml:space="preserve">artículos 6 de la Constitución Política de los Estado Unidos Mexicanos y 5 de la Constitución Política del Estado Libre y Soberano de México, así como en la Ley de la Materia, que disponen que el derecho de acceso a la información pública no es absoluto, sino que se encuentra limitado por excepciones que se fundamentan en la protección de intereses públicos y privados, de ahí es que surgen las restricciones excepcionales, como son la reserva de información y la información confidencial, bajo la garantía de proteger el derecho a la privacidad de las personas. </w:t>
      </w:r>
    </w:p>
    <w:p w14:paraId="560BAFEF" w14:textId="26E7EA3E" w:rsidR="008C48FD" w:rsidRPr="001C12A7" w:rsidRDefault="008C48FD" w:rsidP="008C48FD">
      <w:pPr>
        <w:spacing w:before="240" w:after="240" w:line="360" w:lineRule="auto"/>
        <w:ind w:right="49"/>
        <w:jc w:val="both"/>
        <w:rPr>
          <w:rFonts w:ascii="Palatino Linotype" w:eastAsiaTheme="minorEastAsia" w:hAnsi="Palatino Linotype" w:cs="Bookman Old Style,Bold"/>
          <w:bCs/>
          <w:lang w:val="es-MX"/>
        </w:rPr>
      </w:pPr>
      <w:r w:rsidRPr="001C12A7">
        <w:rPr>
          <w:rFonts w:ascii="Palatino Linotype" w:hAnsi="Palatino Linotype"/>
          <w:color w:val="000000"/>
        </w:rPr>
        <w:t>Toda vez, que no fue</w:t>
      </w:r>
      <w:r w:rsidR="003A1E57" w:rsidRPr="001C12A7">
        <w:rPr>
          <w:rFonts w:ascii="Palatino Linotype" w:hAnsi="Palatino Linotype"/>
          <w:color w:val="000000"/>
        </w:rPr>
        <w:t xml:space="preserve"> clasificado el </w:t>
      </w:r>
      <w:r w:rsidRPr="001C12A7">
        <w:rPr>
          <w:rFonts w:ascii="Palatino Linotype" w:hAnsi="Palatino Linotype"/>
          <w:color w:val="000000"/>
        </w:rPr>
        <w:t>dato personal</w:t>
      </w:r>
      <w:r w:rsidR="00F92026" w:rsidRPr="001C12A7">
        <w:rPr>
          <w:rFonts w:ascii="Palatino Linotype" w:hAnsi="Palatino Linotype"/>
          <w:color w:val="000000"/>
        </w:rPr>
        <w:t xml:space="preserve"> relativo</w:t>
      </w:r>
      <w:r w:rsidRPr="001C12A7">
        <w:rPr>
          <w:rFonts w:ascii="Palatino Linotype" w:hAnsi="Palatino Linotype"/>
          <w:color w:val="000000"/>
        </w:rPr>
        <w:t xml:space="preserve"> a</w:t>
      </w:r>
      <w:r w:rsidRPr="001C12A7">
        <w:rPr>
          <w:rFonts w:ascii="Palatino Linotype" w:hAnsi="Palatino Linotype"/>
        </w:rPr>
        <w:t>l número de serie</w:t>
      </w:r>
      <w:r w:rsidR="003A1E57" w:rsidRPr="001C12A7">
        <w:rPr>
          <w:rFonts w:ascii="Palatino Linotype" w:hAnsi="Palatino Linotype"/>
        </w:rPr>
        <w:t xml:space="preserve"> del</w:t>
      </w:r>
      <w:r w:rsidRPr="001C12A7">
        <w:rPr>
          <w:rFonts w:ascii="Palatino Linotype" w:hAnsi="Palatino Linotype"/>
        </w:rPr>
        <w:t xml:space="preserve"> certificado</w:t>
      </w:r>
      <w:r w:rsidR="003A1E57" w:rsidRPr="001C12A7">
        <w:rPr>
          <w:rFonts w:ascii="Palatino Linotype" w:hAnsi="Palatino Linotype"/>
        </w:rPr>
        <w:t xml:space="preserve"> del emisor, que es </w:t>
      </w:r>
      <w:r w:rsidRPr="001C12A7">
        <w:rPr>
          <w:rFonts w:ascii="Palatino Linotype" w:hAnsi="Palatino Linotype"/>
        </w:rPr>
        <w:t xml:space="preserve">relativo a disposiciones fiscales. Materia en la que </w:t>
      </w:r>
      <w:r w:rsidRPr="001C12A7">
        <w:rPr>
          <w:rFonts w:ascii="Palatino Linotype" w:eastAsiaTheme="minorEastAsia" w:hAnsi="Palatino Linotype" w:cs="Bookman Old Style,Bold"/>
          <w:bCs/>
          <w:lang w:val="es-MX"/>
        </w:rPr>
        <w:t xml:space="preserve">se autoriza el uso de firmas electrónicas </w:t>
      </w:r>
      <w:r w:rsidR="003F399A" w:rsidRPr="001C12A7">
        <w:rPr>
          <w:rFonts w:ascii="Palatino Linotype" w:eastAsiaTheme="minorEastAsia" w:hAnsi="Palatino Linotype" w:cs="Bookman Old Style,Bold"/>
          <w:bCs/>
          <w:lang w:val="es-MX"/>
        </w:rPr>
        <w:t>a través del</w:t>
      </w:r>
      <w:r w:rsidRPr="001C12A7">
        <w:rPr>
          <w:rFonts w:ascii="Palatino Linotype" w:eastAsiaTheme="minorEastAsia" w:hAnsi="Palatino Linotype" w:cs="Bookman Old Style,Bold"/>
          <w:bCs/>
          <w:lang w:val="es-MX"/>
        </w:rPr>
        <w:t xml:space="preserve"> certificado que confirme el vínculo entre un firmante y los datos de creación de una firma electrónica avanzada expedido por el Servicio de Administración Tributaria cuando se trate de personas morales.</w:t>
      </w:r>
    </w:p>
    <w:p w14:paraId="19694708" w14:textId="77777777" w:rsidR="008C48FD" w:rsidRPr="001C12A7" w:rsidRDefault="008C48FD" w:rsidP="008C48FD">
      <w:pPr>
        <w:spacing w:before="240" w:after="240" w:line="360" w:lineRule="auto"/>
        <w:ind w:right="51"/>
        <w:jc w:val="both"/>
        <w:rPr>
          <w:rFonts w:ascii="Palatino Linotype" w:eastAsiaTheme="minorEastAsia" w:hAnsi="Palatino Linotype" w:cs="Bookman Old Style,Bold"/>
          <w:bCs/>
          <w:lang w:val="es-MX"/>
        </w:rPr>
      </w:pPr>
      <w:r w:rsidRPr="001C12A7">
        <w:rPr>
          <w:rFonts w:ascii="Palatino Linotype" w:eastAsiaTheme="minorEastAsia" w:hAnsi="Palatino Linotype" w:cs="Bookman Old Style,Bold"/>
          <w:bCs/>
          <w:lang w:val="es-MX"/>
        </w:rPr>
        <w:lastRenderedPageBreak/>
        <w:t>En los documentos digitales, la firma electrónica avanzada amparada por un certificado vigente sustituye la firma autógrafa del firmante, la cual garantiza el origen de la misma, la unicidad y la integridad del documento y producirá los mismos efectos que las leyes otorgan a los documentos con firma autógrafa, por lo que el contribuyente podrá optar por utilizar un sello digital para todas sus operaciones o tramitar uno por cada sucursal, establecimiento o local donde emita facturas.</w:t>
      </w:r>
    </w:p>
    <w:p w14:paraId="49D6671F" w14:textId="56C2ED88" w:rsidR="003A1E57" w:rsidRPr="001C12A7" w:rsidRDefault="008C48FD" w:rsidP="008C48FD">
      <w:pPr>
        <w:spacing w:before="240" w:after="240" w:line="360" w:lineRule="auto"/>
        <w:ind w:right="51"/>
        <w:jc w:val="both"/>
        <w:rPr>
          <w:rFonts w:ascii="Palatino Linotype" w:eastAsiaTheme="minorEastAsia" w:hAnsi="Palatino Linotype" w:cs="Bookman Old Style,Bold"/>
          <w:bCs/>
          <w:lang w:val="es-MX"/>
        </w:rPr>
      </w:pPr>
      <w:r w:rsidRPr="001C12A7">
        <w:rPr>
          <w:rFonts w:ascii="Palatino Linotype" w:eastAsiaTheme="minorEastAsia" w:hAnsi="Palatino Linotype" w:cs="Bookman Old Style,Bold"/>
          <w:bCs/>
          <w:lang w:val="es-MX"/>
        </w:rPr>
        <w:t xml:space="preserve">Por tanto, el certificado de sello digital es el documento electrónico mediante el cual </w:t>
      </w:r>
      <w:r w:rsidR="003A1E57" w:rsidRPr="001C12A7">
        <w:rPr>
          <w:rFonts w:ascii="Palatino Linotype" w:eastAsiaTheme="minorEastAsia" w:hAnsi="Palatino Linotype" w:cs="Bookman Old Style,Bold"/>
          <w:bCs/>
          <w:lang w:val="es-MX"/>
        </w:rPr>
        <w:t>la</w:t>
      </w:r>
      <w:r w:rsidRPr="001C12A7">
        <w:rPr>
          <w:rFonts w:ascii="Palatino Linotype" w:eastAsiaTheme="minorEastAsia" w:hAnsi="Palatino Linotype" w:cs="Bookman Old Style,Bold"/>
          <w:bCs/>
          <w:lang w:val="es-MX"/>
        </w:rPr>
        <w:t xml:space="preserve"> autoridad de certificación (SAT) garantiza la vinculación entre la identidad de un sujeto o entidad y su clave pública</w:t>
      </w:r>
      <w:r w:rsidR="003A1E57" w:rsidRPr="001C12A7">
        <w:rPr>
          <w:rFonts w:ascii="Palatino Linotype" w:eastAsiaTheme="minorEastAsia" w:hAnsi="Palatino Linotype" w:cs="Bookman Old Style,Bold"/>
          <w:bCs/>
          <w:lang w:val="es-MX"/>
        </w:rPr>
        <w:t>, los cuales son válidos siempre que contengan los siguientes datos, en términos del artículo 17-G del Código Fiscal de la Federación:</w:t>
      </w:r>
    </w:p>
    <w:p w14:paraId="210DE914" w14:textId="77777777" w:rsidR="003A1E57" w:rsidRPr="001C12A7" w:rsidRDefault="003A1E57" w:rsidP="003A1E57">
      <w:pPr>
        <w:shd w:val="clear" w:color="auto" w:fill="FFFFFF"/>
        <w:spacing w:after="120"/>
        <w:ind w:left="851" w:right="902"/>
        <w:jc w:val="both"/>
        <w:rPr>
          <w:rFonts w:ascii="Palatino Linotype" w:hAnsi="Palatino Linotype"/>
          <w:i/>
          <w:sz w:val="20"/>
          <w:szCs w:val="20"/>
        </w:rPr>
      </w:pPr>
      <w:r w:rsidRPr="001C12A7">
        <w:rPr>
          <w:rFonts w:ascii="Palatino Linotype" w:hAnsi="Palatino Linotype"/>
          <w:b/>
          <w:i/>
          <w:sz w:val="20"/>
          <w:szCs w:val="20"/>
        </w:rPr>
        <w:t>“Artículo 17-G.</w:t>
      </w:r>
      <w:r w:rsidRPr="001C12A7">
        <w:rPr>
          <w:rFonts w:ascii="Palatino Linotype" w:hAnsi="Palatino Linotype"/>
          <w:i/>
          <w:sz w:val="20"/>
          <w:szCs w:val="20"/>
        </w:rPr>
        <w:t xml:space="preserve"> Los certificados que emita el Servicio de Administración Tributaria para ser considerados válidos deberán contener los datos siguientes: </w:t>
      </w:r>
    </w:p>
    <w:p w14:paraId="2DA87D74" w14:textId="77777777" w:rsidR="003A1E57" w:rsidRPr="001C12A7" w:rsidRDefault="003A1E57" w:rsidP="003A1E57">
      <w:pPr>
        <w:shd w:val="clear" w:color="auto" w:fill="FFFFFF"/>
        <w:ind w:left="1134" w:right="902"/>
        <w:jc w:val="both"/>
        <w:rPr>
          <w:rFonts w:ascii="Palatino Linotype" w:hAnsi="Palatino Linotype"/>
          <w:i/>
          <w:sz w:val="20"/>
          <w:szCs w:val="20"/>
        </w:rPr>
      </w:pPr>
      <w:r w:rsidRPr="001C12A7">
        <w:rPr>
          <w:rFonts w:ascii="Palatino Linotype" w:hAnsi="Palatino Linotype"/>
          <w:i/>
          <w:sz w:val="20"/>
          <w:szCs w:val="20"/>
        </w:rPr>
        <w:t xml:space="preserve">I. La mención de que se expiden como tales. Tratándose de certificados de sellos digitales, se deberán especificar las limitantes que tengan para su uso. </w:t>
      </w:r>
    </w:p>
    <w:p w14:paraId="71C54B63" w14:textId="77777777" w:rsidR="003A1E57" w:rsidRPr="001C12A7" w:rsidRDefault="003A1E57" w:rsidP="003A1E57">
      <w:pPr>
        <w:shd w:val="clear" w:color="auto" w:fill="FFFFFF"/>
        <w:ind w:left="1134" w:right="902"/>
        <w:jc w:val="both"/>
        <w:rPr>
          <w:rFonts w:ascii="Palatino Linotype" w:hAnsi="Palatino Linotype"/>
          <w:i/>
          <w:sz w:val="20"/>
          <w:szCs w:val="20"/>
        </w:rPr>
      </w:pPr>
      <w:r w:rsidRPr="001C12A7">
        <w:rPr>
          <w:rFonts w:ascii="Palatino Linotype" w:hAnsi="Palatino Linotype"/>
          <w:i/>
          <w:sz w:val="20"/>
          <w:szCs w:val="20"/>
        </w:rPr>
        <w:t xml:space="preserve">II. El código de identificación único del certificado. </w:t>
      </w:r>
    </w:p>
    <w:p w14:paraId="07ADDF33" w14:textId="77777777" w:rsidR="003A1E57" w:rsidRPr="001C12A7" w:rsidRDefault="003A1E57" w:rsidP="003A1E57">
      <w:pPr>
        <w:shd w:val="clear" w:color="auto" w:fill="FFFFFF"/>
        <w:ind w:left="1134" w:right="902"/>
        <w:jc w:val="both"/>
        <w:rPr>
          <w:rFonts w:ascii="Palatino Linotype" w:hAnsi="Palatino Linotype"/>
          <w:i/>
          <w:sz w:val="20"/>
          <w:szCs w:val="20"/>
        </w:rPr>
      </w:pPr>
      <w:r w:rsidRPr="001C12A7">
        <w:rPr>
          <w:rFonts w:ascii="Palatino Linotype" w:hAnsi="Palatino Linotype"/>
          <w:i/>
          <w:sz w:val="20"/>
          <w:szCs w:val="20"/>
        </w:rPr>
        <w:t xml:space="preserve">III. La mención de que fue emitido por el Servicio de Administración Tributaria y una dirección electrónica. </w:t>
      </w:r>
    </w:p>
    <w:p w14:paraId="3BED2F71" w14:textId="77777777" w:rsidR="003A1E57" w:rsidRPr="001C12A7" w:rsidRDefault="003A1E57" w:rsidP="003A1E57">
      <w:pPr>
        <w:shd w:val="clear" w:color="auto" w:fill="FFFFFF"/>
        <w:ind w:left="1134" w:right="902"/>
        <w:jc w:val="both"/>
        <w:rPr>
          <w:rFonts w:ascii="Palatino Linotype" w:hAnsi="Palatino Linotype"/>
          <w:i/>
          <w:sz w:val="20"/>
          <w:szCs w:val="20"/>
        </w:rPr>
      </w:pPr>
      <w:r w:rsidRPr="001C12A7">
        <w:rPr>
          <w:rFonts w:ascii="Palatino Linotype" w:hAnsi="Palatino Linotype"/>
          <w:i/>
          <w:sz w:val="20"/>
          <w:szCs w:val="20"/>
        </w:rPr>
        <w:t xml:space="preserve">IV. Nombre del titular del certificado y su clave del registro federal de contribuyentes. </w:t>
      </w:r>
    </w:p>
    <w:p w14:paraId="1A726D71" w14:textId="77777777" w:rsidR="003A1E57" w:rsidRPr="001C12A7" w:rsidRDefault="003A1E57" w:rsidP="003A1E57">
      <w:pPr>
        <w:shd w:val="clear" w:color="auto" w:fill="FFFFFF"/>
        <w:ind w:left="1134" w:right="902"/>
        <w:jc w:val="both"/>
        <w:rPr>
          <w:rFonts w:ascii="Palatino Linotype" w:hAnsi="Palatino Linotype"/>
          <w:i/>
          <w:sz w:val="20"/>
          <w:szCs w:val="20"/>
        </w:rPr>
      </w:pPr>
      <w:r w:rsidRPr="001C12A7">
        <w:rPr>
          <w:rFonts w:ascii="Palatino Linotype" w:hAnsi="Palatino Linotype"/>
          <w:i/>
          <w:sz w:val="20"/>
          <w:szCs w:val="20"/>
        </w:rPr>
        <w:t xml:space="preserve">V. Período de vigencia del certificado, especificando el día de inicio de su vigencia y la fecha de su terminación. </w:t>
      </w:r>
    </w:p>
    <w:p w14:paraId="6FB3F402" w14:textId="77777777" w:rsidR="003A1E57" w:rsidRPr="001C12A7" w:rsidRDefault="003A1E57" w:rsidP="003A1E57">
      <w:pPr>
        <w:shd w:val="clear" w:color="auto" w:fill="FFFFFF"/>
        <w:ind w:left="1134" w:right="902"/>
        <w:jc w:val="both"/>
        <w:rPr>
          <w:rFonts w:ascii="Palatino Linotype" w:hAnsi="Palatino Linotype"/>
          <w:i/>
          <w:sz w:val="20"/>
          <w:szCs w:val="20"/>
        </w:rPr>
      </w:pPr>
      <w:r w:rsidRPr="001C12A7">
        <w:rPr>
          <w:rFonts w:ascii="Palatino Linotype" w:hAnsi="Palatino Linotype"/>
          <w:i/>
          <w:sz w:val="20"/>
          <w:szCs w:val="20"/>
        </w:rPr>
        <w:t xml:space="preserve">VI. La mención de la tecnología empleada en la creación de la firma electrónica avanzada contenida en el certificado. </w:t>
      </w:r>
    </w:p>
    <w:p w14:paraId="10305460" w14:textId="14B55D83" w:rsidR="003A1E57" w:rsidRPr="001C12A7" w:rsidRDefault="003A1E57" w:rsidP="003A1E57">
      <w:pPr>
        <w:shd w:val="clear" w:color="auto" w:fill="FFFFFF"/>
        <w:ind w:left="1134" w:right="902"/>
        <w:jc w:val="both"/>
        <w:rPr>
          <w:rFonts w:ascii="Palatino Linotype" w:hAnsi="Palatino Linotype"/>
          <w:i/>
          <w:sz w:val="20"/>
          <w:szCs w:val="20"/>
        </w:rPr>
      </w:pPr>
      <w:r w:rsidRPr="001C12A7">
        <w:rPr>
          <w:rFonts w:ascii="Palatino Linotype" w:hAnsi="Palatino Linotype"/>
          <w:i/>
          <w:sz w:val="20"/>
          <w:szCs w:val="20"/>
        </w:rPr>
        <w:t>VII. La clave pública del titular del certificado…”</w:t>
      </w:r>
    </w:p>
    <w:p w14:paraId="72AF397E" w14:textId="002FB8ED" w:rsidR="0029488A" w:rsidRPr="001C12A7" w:rsidRDefault="008C48FD" w:rsidP="008C48FD">
      <w:pPr>
        <w:shd w:val="clear" w:color="auto" w:fill="FFFFFF"/>
        <w:spacing w:before="240" w:after="240" w:line="360" w:lineRule="auto"/>
        <w:jc w:val="both"/>
        <w:rPr>
          <w:rFonts w:ascii="Palatino Linotype" w:eastAsia="Calibri" w:hAnsi="Palatino Linotype" w:cs="Arial"/>
        </w:rPr>
      </w:pPr>
      <w:r w:rsidRPr="001C12A7">
        <w:rPr>
          <w:rFonts w:ascii="Palatino Linotype" w:eastAsia="Calibri" w:hAnsi="Palatino Linotype" w:cs="Arial"/>
        </w:rPr>
        <w:t xml:space="preserve">Así las cosas, </w:t>
      </w:r>
      <w:r w:rsidR="003A1E57" w:rsidRPr="001C12A7">
        <w:rPr>
          <w:rFonts w:ascii="Palatino Linotype" w:eastAsia="Calibri" w:hAnsi="Palatino Linotype" w:cs="Arial"/>
        </w:rPr>
        <w:t xml:space="preserve">el certificado del sello </w:t>
      </w:r>
      <w:r w:rsidRPr="001C12A7">
        <w:rPr>
          <w:rFonts w:ascii="Palatino Linotype" w:eastAsia="Calibri" w:hAnsi="Palatino Linotype" w:cs="Arial"/>
        </w:rPr>
        <w:t xml:space="preserve">digital del contribuyente </w:t>
      </w:r>
      <w:r w:rsidR="003A1E57" w:rsidRPr="001C12A7">
        <w:rPr>
          <w:rFonts w:ascii="Palatino Linotype" w:eastAsia="Calibri" w:hAnsi="Palatino Linotype" w:cs="Arial"/>
        </w:rPr>
        <w:t xml:space="preserve">expedido por el </w:t>
      </w:r>
      <w:r w:rsidRPr="001C12A7">
        <w:rPr>
          <w:rFonts w:ascii="Palatino Linotype" w:eastAsia="Calibri" w:hAnsi="Palatino Linotype" w:cs="Arial"/>
        </w:rPr>
        <w:t>SAT</w:t>
      </w:r>
      <w:r w:rsidR="003A1E57" w:rsidRPr="001C12A7">
        <w:rPr>
          <w:rFonts w:ascii="Palatino Linotype" w:eastAsia="Calibri" w:hAnsi="Palatino Linotype" w:cs="Arial"/>
        </w:rPr>
        <w:t xml:space="preserve">, es para uso </w:t>
      </w:r>
      <w:r w:rsidR="0029488A" w:rsidRPr="001C12A7">
        <w:rPr>
          <w:rFonts w:ascii="Palatino Linotype" w:eastAsia="Calibri" w:hAnsi="Palatino Linotype" w:cs="Arial"/>
        </w:rPr>
        <w:t>específico</w:t>
      </w:r>
      <w:r w:rsidR="003A1E57" w:rsidRPr="001C12A7">
        <w:rPr>
          <w:rFonts w:ascii="Palatino Linotype" w:eastAsia="Calibri" w:hAnsi="Palatino Linotype" w:cs="Arial"/>
        </w:rPr>
        <w:t xml:space="preserve"> de la generación de comprobantes fiscales digitales (CFD)</w:t>
      </w:r>
      <w:r w:rsidR="0029488A" w:rsidRPr="001C12A7">
        <w:rPr>
          <w:rFonts w:ascii="Palatino Linotype" w:eastAsia="Calibri" w:hAnsi="Palatino Linotype" w:cs="Arial"/>
        </w:rPr>
        <w:t xml:space="preserve">, en virtud de que los mismo permiten firmar electrónicamente los comprobantes fiscales digitales, por lo que son intransferibles al ser el equivalente a una firma autógrafa </w:t>
      </w:r>
      <w:r w:rsidR="0029488A" w:rsidRPr="001C12A7">
        <w:rPr>
          <w:rFonts w:ascii="Palatino Linotype" w:eastAsia="Calibri" w:hAnsi="Palatino Linotype" w:cs="Arial"/>
        </w:rPr>
        <w:lastRenderedPageBreak/>
        <w:t xml:space="preserve">y/o token personal. Dicho de otro modo, dar a conocer el certificado de sello digital del emisor hace que cualquier persona sea capaz de emitir cualquier tipo de documento fiscal digital a nombre del poseedor del dato personal, argumento que encuentra sustento en lo previsto en el </w:t>
      </w:r>
      <w:r w:rsidR="0029488A" w:rsidRPr="001C12A7">
        <w:rPr>
          <w:rFonts w:ascii="Palatino Linotype" w:eastAsia="Calibri" w:hAnsi="Palatino Linotype" w:cs="Arial"/>
          <w:i/>
        </w:rPr>
        <w:t xml:space="preserve">Anexo 20 de la Resolución de la Miscelánea Fiscal publicada para 2017, </w:t>
      </w:r>
      <w:r w:rsidR="0029488A" w:rsidRPr="001C12A7">
        <w:rPr>
          <w:rFonts w:ascii="Palatino Linotype" w:eastAsia="Calibri" w:hAnsi="Palatino Linotype" w:cs="Arial"/>
        </w:rPr>
        <w:t>cuyo texto en los que nos interesa se inserta enseguida:</w:t>
      </w:r>
    </w:p>
    <w:p w14:paraId="4A3459D5" w14:textId="34DAD309" w:rsidR="0029488A" w:rsidRPr="001C12A7" w:rsidRDefault="0029488A" w:rsidP="0029488A">
      <w:pPr>
        <w:shd w:val="clear" w:color="auto" w:fill="FFFFFF"/>
        <w:spacing w:before="240" w:after="240" w:line="360" w:lineRule="auto"/>
        <w:jc w:val="center"/>
        <w:rPr>
          <w:rFonts w:ascii="Palatino Linotype" w:eastAsia="Calibri" w:hAnsi="Palatino Linotype" w:cs="Arial"/>
        </w:rPr>
      </w:pPr>
      <w:r w:rsidRPr="001C12A7">
        <w:rPr>
          <w:rFonts w:ascii="Palatino Linotype" w:eastAsia="Calibri" w:hAnsi="Palatino Linotype" w:cs="Arial"/>
          <w:noProof/>
          <w:lang w:val="es-MX" w:eastAsia="es-MX"/>
        </w:rPr>
        <w:drawing>
          <wp:inline distT="0" distB="0" distL="0" distR="0" wp14:anchorId="49DEBF95" wp14:editId="33550C24">
            <wp:extent cx="4827905" cy="22383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43650" cy="2245675"/>
                    </a:xfrm>
                    <a:prstGeom prst="rect">
                      <a:avLst/>
                    </a:prstGeom>
                  </pic:spPr>
                </pic:pic>
              </a:graphicData>
            </a:graphic>
          </wp:inline>
        </w:drawing>
      </w:r>
    </w:p>
    <w:p w14:paraId="2AC5825C" w14:textId="77777777" w:rsidR="0029488A" w:rsidRPr="001C12A7" w:rsidRDefault="0029488A" w:rsidP="008C48FD">
      <w:pPr>
        <w:shd w:val="clear" w:color="auto" w:fill="FFFFFF"/>
        <w:spacing w:before="240" w:after="240" w:line="360" w:lineRule="auto"/>
        <w:jc w:val="both"/>
        <w:rPr>
          <w:rFonts w:ascii="Palatino Linotype" w:eastAsia="Calibri" w:hAnsi="Palatino Linotype" w:cs="Arial"/>
          <w:b/>
          <w:i/>
        </w:rPr>
      </w:pPr>
    </w:p>
    <w:p w14:paraId="26317090" w14:textId="182191FB" w:rsidR="008C48FD" w:rsidRPr="001C12A7" w:rsidRDefault="0029488A" w:rsidP="00F92026">
      <w:pPr>
        <w:shd w:val="clear" w:color="auto" w:fill="FFFFFF"/>
        <w:spacing w:before="240" w:after="240" w:line="360" w:lineRule="auto"/>
        <w:jc w:val="both"/>
        <w:rPr>
          <w:rFonts w:ascii="Palatino Linotype" w:hAnsi="Palatino Linotype" w:cs="Arial"/>
        </w:rPr>
      </w:pPr>
      <w:r w:rsidRPr="001C12A7">
        <w:rPr>
          <w:rFonts w:ascii="Palatino Linotype" w:eastAsia="Calibri" w:hAnsi="Palatino Linotype" w:cs="Arial"/>
        </w:rPr>
        <w:t xml:space="preserve">De modo, que el certificado del emisor </w:t>
      </w:r>
      <w:r w:rsidR="00F92026" w:rsidRPr="001C12A7">
        <w:rPr>
          <w:rFonts w:ascii="Palatino Linotype" w:eastAsia="Calibri" w:hAnsi="Palatino Linotype" w:cs="Arial"/>
        </w:rPr>
        <w:t xml:space="preserve">vulnera los intereses de los contribuyentes, ya sean personas físicas o morales, porque de ser utilizados incorrectamente podría soportar operaciones financieras ilícitas, </w:t>
      </w:r>
      <w:r w:rsidR="008C48FD" w:rsidRPr="001C12A7">
        <w:rPr>
          <w:rFonts w:ascii="Palatino Linotype" w:eastAsia="Calibri" w:hAnsi="Palatino Linotype" w:cs="Arial"/>
        </w:rPr>
        <w:t>de ahí que deben protegerse mediante la versión pública correspondiente</w:t>
      </w:r>
      <w:r w:rsidR="00F92026" w:rsidRPr="001C12A7">
        <w:rPr>
          <w:rFonts w:ascii="Palatino Linotype" w:eastAsia="Calibri" w:hAnsi="Palatino Linotype" w:cs="Arial"/>
        </w:rPr>
        <w:t xml:space="preserve">, no obstante que la publicación del mismo, </w:t>
      </w:r>
      <w:r w:rsidR="008C48FD" w:rsidRPr="001C12A7">
        <w:rPr>
          <w:rFonts w:ascii="Palatino Linotype" w:hAnsi="Palatino Linotype" w:cs="Arial"/>
        </w:rPr>
        <w:t>en nada contribuyen a la rendición de cuentas o a la transparencia de la gestión gubernamental, sino por el contrario, dar a conocerlos hace vulnerable a su titular, ya sea la persona prestadora del servicio, al abrir la posibilidad de que terceros que cuenten con las posibilidades tecnológicas y/o económicas puedan realizar actos ilícitos med</w:t>
      </w:r>
      <w:r w:rsidR="00F92026" w:rsidRPr="001C12A7">
        <w:rPr>
          <w:rFonts w:ascii="Palatino Linotype" w:hAnsi="Palatino Linotype" w:cs="Arial"/>
        </w:rPr>
        <w:t xml:space="preserve">iante operaciones cibernéticas, por ende </w:t>
      </w:r>
      <w:r w:rsidR="008C48FD" w:rsidRPr="001C12A7">
        <w:rPr>
          <w:rFonts w:ascii="Palatino Linotype" w:hAnsi="Palatino Linotype" w:cs="Arial"/>
        </w:rPr>
        <w:t>cons</w:t>
      </w:r>
      <w:r w:rsidR="00F92026" w:rsidRPr="001C12A7">
        <w:rPr>
          <w:rFonts w:ascii="Palatino Linotype" w:hAnsi="Palatino Linotype" w:cs="Arial"/>
        </w:rPr>
        <w:t>tituye información confidencial.</w:t>
      </w:r>
    </w:p>
    <w:p w14:paraId="1E053B06" w14:textId="5DEE9859" w:rsidR="003F399A" w:rsidRPr="001C12A7" w:rsidRDefault="008C48FD" w:rsidP="00F92026">
      <w:pPr>
        <w:spacing w:before="240" w:after="240" w:line="360" w:lineRule="auto"/>
        <w:jc w:val="both"/>
        <w:rPr>
          <w:rFonts w:ascii="Palatino Linotype" w:eastAsiaTheme="minorEastAsia" w:hAnsi="Palatino Linotype" w:cs="Bookman Old Style"/>
          <w:lang w:val="es-MX"/>
        </w:rPr>
      </w:pPr>
      <w:r w:rsidRPr="001C12A7">
        <w:rPr>
          <w:rFonts w:ascii="Palatino Linotype" w:hAnsi="Palatino Linotype"/>
        </w:rPr>
        <w:lastRenderedPageBreak/>
        <w:t>Por tanto</w:t>
      </w:r>
      <w:r w:rsidR="00F92026" w:rsidRPr="001C12A7">
        <w:rPr>
          <w:rFonts w:ascii="Palatino Linotype" w:hAnsi="Palatino Linotype"/>
        </w:rPr>
        <w:t>,</w:t>
      </w:r>
      <w:r w:rsidRPr="001C12A7">
        <w:rPr>
          <w:rFonts w:ascii="Palatino Linotype" w:hAnsi="Palatino Linotype"/>
        </w:rPr>
        <w:t xml:space="preserve"> se considera que se actualiza el supuesto previsto en el artículo 143 fracción I de la Ley de Transparencia y Acceso a la Información Pública del Estado de México y Municipios</w:t>
      </w:r>
      <w:r w:rsidR="00F92026" w:rsidRPr="001C12A7">
        <w:rPr>
          <w:rFonts w:ascii="Palatino Linotype" w:hAnsi="Palatino Linotype"/>
        </w:rPr>
        <w:t xml:space="preserve">, en consecuencia el </w:t>
      </w:r>
      <w:r w:rsidRPr="001C12A7">
        <w:rPr>
          <w:rFonts w:ascii="Palatino Linotype" w:hAnsi="Palatino Linotype" w:cs="Bookman Old Style"/>
          <w:b/>
        </w:rPr>
        <w:t xml:space="preserve">Sujeto Obligado </w:t>
      </w:r>
      <w:r w:rsidR="003F399A" w:rsidRPr="001C12A7">
        <w:rPr>
          <w:rFonts w:ascii="Palatino Linotype" w:hAnsi="Palatino Linotype" w:cs="Bookman Old Style"/>
        </w:rPr>
        <w:t xml:space="preserve">incumplió </w:t>
      </w:r>
      <w:r w:rsidRPr="001C12A7">
        <w:rPr>
          <w:rFonts w:ascii="Palatino Linotype" w:hAnsi="Palatino Linotype"/>
        </w:rPr>
        <w:t>las formalidades previstas en los artículos 137, 143 y 149 de la Ley de Transparencia y</w:t>
      </w:r>
      <w:r w:rsidRPr="001C12A7">
        <w:rPr>
          <w:rFonts w:ascii="Palatino Linotype" w:hAnsi="Palatino Linotype" w:cs="Arial"/>
        </w:rPr>
        <w:t xml:space="preserve"> Acceso a la Información Pública del Estado de México y Municipios</w:t>
      </w:r>
      <w:r w:rsidR="003F399A" w:rsidRPr="001C12A7">
        <w:rPr>
          <w:rFonts w:ascii="Palatino Linotype" w:hAnsi="Palatino Linotype" w:cs="Arial"/>
        </w:rPr>
        <w:t xml:space="preserve">, </w:t>
      </w:r>
      <w:r w:rsidR="003F399A" w:rsidRPr="001C12A7">
        <w:rPr>
          <w:rFonts w:ascii="Palatino Linotype" w:eastAsiaTheme="minorEastAsia" w:hAnsi="Palatino Linotype" w:cs="Bookman Old Style"/>
          <w:lang w:val="es-MX"/>
        </w:rPr>
        <w:t>por lo que resulta procedente ordenar la factura entregada en respuesta en versión pública acompa</w:t>
      </w:r>
      <w:r w:rsidR="0053448D" w:rsidRPr="001C12A7">
        <w:rPr>
          <w:rFonts w:ascii="Palatino Linotype" w:eastAsiaTheme="minorEastAsia" w:hAnsi="Palatino Linotype" w:cs="Bookman Old Style"/>
          <w:lang w:val="es-MX"/>
        </w:rPr>
        <w:t>ña</w:t>
      </w:r>
      <w:r w:rsidR="00F92026" w:rsidRPr="001C12A7">
        <w:rPr>
          <w:rFonts w:ascii="Palatino Linotype" w:eastAsiaTheme="minorEastAsia" w:hAnsi="Palatino Linotype" w:cs="Bookman Old Style"/>
          <w:lang w:val="es-MX"/>
        </w:rPr>
        <w:t>da del A</w:t>
      </w:r>
      <w:r w:rsidR="003F399A" w:rsidRPr="001C12A7">
        <w:rPr>
          <w:rFonts w:ascii="Palatino Linotype" w:eastAsiaTheme="minorEastAsia" w:hAnsi="Palatino Linotype" w:cs="Bookman Old Style"/>
          <w:lang w:val="es-MX"/>
        </w:rPr>
        <w:t>cuerdo de Clasificación respectivo, en términos del considerando siguiente.</w:t>
      </w:r>
    </w:p>
    <w:p w14:paraId="0CC6E73E" w14:textId="3D45F9FF" w:rsidR="003F399A" w:rsidRDefault="003F399A" w:rsidP="003F399A">
      <w:pPr>
        <w:spacing w:before="240" w:after="240" w:line="360" w:lineRule="auto"/>
        <w:ind w:right="49" w:firstLine="1"/>
        <w:jc w:val="both"/>
        <w:rPr>
          <w:rFonts w:ascii="Palatino Linotype" w:hAnsi="Palatino Linotype" w:cs="Arial"/>
        </w:rPr>
      </w:pPr>
      <w:r w:rsidRPr="001C12A7">
        <w:rPr>
          <w:rFonts w:ascii="Palatino Linotype" w:eastAsiaTheme="minorEastAsia" w:hAnsi="Palatino Linotype" w:cs="Bookman Old Style"/>
          <w:lang w:val="es-MX"/>
        </w:rPr>
        <w:t xml:space="preserve">Así también,  con fundamento en los </w:t>
      </w:r>
      <w:r w:rsidRPr="001C12A7">
        <w:rPr>
          <w:rFonts w:ascii="Palatino Linotype" w:hAnsi="Palatino Linotype" w:cs="Arial"/>
        </w:rPr>
        <w:t xml:space="preserve">artículos 190 y 223 de la Ley Adjetiva, se </w:t>
      </w:r>
      <w:r w:rsidRPr="001C12A7">
        <w:rPr>
          <w:rFonts w:ascii="Palatino Linotype" w:hAnsi="Palatino Linotype"/>
          <w:color w:val="222222"/>
          <w:lang w:val="es-MX" w:eastAsia="es-MX"/>
        </w:rPr>
        <w:t xml:space="preserve">ordena </w:t>
      </w:r>
      <w:r w:rsidRPr="001C12A7">
        <w:rPr>
          <w:rFonts w:ascii="Palatino Linotype" w:hAnsi="Palatino Linotype" w:cs="Arial"/>
        </w:rPr>
        <w:t xml:space="preserve">al Titular del Órgano de Control y Vigilancia de este Instituto dé vista a la Contraloría Interna del </w:t>
      </w:r>
      <w:r w:rsidR="0053448D" w:rsidRPr="001C12A7">
        <w:rPr>
          <w:rFonts w:ascii="Palatino Linotype" w:hAnsi="Palatino Linotype" w:cs="Arial"/>
        </w:rPr>
        <w:t>Ayuntamiento de Huixquilucan</w:t>
      </w:r>
      <w:r w:rsidRPr="001C12A7">
        <w:rPr>
          <w:rFonts w:ascii="Palatino Linotype" w:hAnsi="Palatino Linotype" w:cs="Arial"/>
        </w:rPr>
        <w:t>,</w:t>
      </w:r>
      <w:r w:rsidRPr="001C12A7">
        <w:rPr>
          <w:rFonts w:ascii="Palatino Linotype" w:hAnsi="Palatino Linotype" w:cs="Arial"/>
          <w:b/>
        </w:rPr>
        <w:t xml:space="preserve"> </w:t>
      </w:r>
      <w:r w:rsidRPr="001C12A7">
        <w:rPr>
          <w:rFonts w:ascii="Palatino Linotype" w:hAnsi="Palatino Linotype" w:cs="Arial"/>
        </w:rPr>
        <w:t xml:space="preserve">para que en términos de la Ley de Responsabilidades </w:t>
      </w:r>
      <w:r w:rsidR="0053448D" w:rsidRPr="001C12A7">
        <w:rPr>
          <w:rFonts w:ascii="Palatino Linotype" w:hAnsi="Palatino Linotype" w:cs="Arial"/>
        </w:rPr>
        <w:t>Administrativas</w:t>
      </w:r>
      <w:r w:rsidRPr="001C12A7">
        <w:rPr>
          <w:rFonts w:ascii="Palatino Linotype" w:hAnsi="Palatino Linotype" w:cs="Arial"/>
        </w:rPr>
        <w:t xml:space="preserve"> del Estado</w:t>
      </w:r>
      <w:r w:rsidR="0053448D">
        <w:rPr>
          <w:rFonts w:ascii="Palatino Linotype" w:hAnsi="Palatino Linotype" w:cs="Arial"/>
        </w:rPr>
        <w:t xml:space="preserve"> de México</w:t>
      </w:r>
      <w:r>
        <w:rPr>
          <w:rFonts w:ascii="Palatino Linotype" w:hAnsi="Palatino Linotype" w:cs="Arial"/>
        </w:rPr>
        <w:t xml:space="preserve"> y Municipios, determine el grado de responsabilidad del servidor público.</w:t>
      </w:r>
    </w:p>
    <w:p w14:paraId="3F740BF7" w14:textId="365BF738" w:rsidR="00893FE9" w:rsidRDefault="00893FE9" w:rsidP="00893FE9">
      <w:pPr>
        <w:spacing w:before="240" w:after="240" w:line="360" w:lineRule="auto"/>
        <w:ind w:right="49" w:firstLine="1"/>
        <w:jc w:val="both"/>
        <w:rPr>
          <w:rFonts w:ascii="Palatino Linotype" w:hAnsi="Palatino Linotype" w:cs="Arial"/>
        </w:rPr>
      </w:pPr>
      <w:r>
        <w:rPr>
          <w:rFonts w:ascii="Palatino Linotype" w:hAnsi="Palatino Linotype" w:cs="Arial"/>
        </w:rPr>
        <w:t>Por último, de la respuesta proporcionada por el Servidor Público Habilitado, Director General de Administración, respecto a los reque</w:t>
      </w:r>
      <w:r w:rsidR="008971E0">
        <w:rPr>
          <w:rFonts w:ascii="Palatino Linotype" w:hAnsi="Palatino Linotype" w:cs="Arial"/>
        </w:rPr>
        <w:t>rimientos en análisis, se tiene</w:t>
      </w:r>
      <w:r>
        <w:rPr>
          <w:rFonts w:ascii="Palatino Linotype" w:hAnsi="Palatino Linotype" w:cs="Arial"/>
        </w:rPr>
        <w:t xml:space="preserve"> que el mismo indicó</w:t>
      </w:r>
      <w:r w:rsidR="008971E0">
        <w:rPr>
          <w:rFonts w:ascii="Palatino Linotype" w:hAnsi="Palatino Linotype" w:cs="Arial"/>
        </w:rPr>
        <w:t>,</w:t>
      </w:r>
      <w:r>
        <w:rPr>
          <w:rFonts w:ascii="Palatino Linotype" w:hAnsi="Palatino Linotype" w:cs="Arial"/>
        </w:rPr>
        <w:t xml:space="preserve"> que </w:t>
      </w:r>
      <w:r w:rsidRPr="00893FE9">
        <w:rPr>
          <w:rFonts w:ascii="Palatino Linotype" w:hAnsi="Palatino Linotype" w:cs="Arial"/>
          <w:i/>
        </w:rPr>
        <w:t xml:space="preserve">la información </w:t>
      </w:r>
      <w:r w:rsidRPr="00893FE9">
        <w:rPr>
          <w:rFonts w:ascii="Palatino Linotype" w:hAnsi="Palatino Linotype"/>
          <w:i/>
          <w:color w:val="000000"/>
        </w:rPr>
        <w:t>requerida en el punto CUATRO fue capturada en su totalidad dentro del Sistema de Información Pública Mexiquense (IPomex) durante el segundo trimestre del ejercicio fiscal 2018, razón por la cual se pone a disposición el ANEXO 1, mismo que contiene las capturas pantallas donde se detallan los pasos a seguir para obtener la información requ</w:t>
      </w:r>
      <w:r>
        <w:rPr>
          <w:rFonts w:ascii="Palatino Linotype" w:hAnsi="Palatino Linotype"/>
          <w:i/>
          <w:color w:val="000000"/>
        </w:rPr>
        <w:t xml:space="preserve">erida, </w:t>
      </w:r>
      <w:r>
        <w:rPr>
          <w:rFonts w:ascii="Palatino Linotype" w:hAnsi="Palatino Linotype"/>
          <w:color w:val="000000"/>
        </w:rPr>
        <w:t xml:space="preserve">los cuales fueron seguidos por esta </w:t>
      </w:r>
      <w:r w:rsidR="00E478E4">
        <w:rPr>
          <w:rFonts w:ascii="Palatino Linotype" w:hAnsi="Palatino Linotype" w:cs="Arial"/>
        </w:rPr>
        <w:t>Ponencia</w:t>
      </w:r>
      <w:r w:rsidR="008971E0">
        <w:rPr>
          <w:rFonts w:ascii="Palatino Linotype" w:hAnsi="Palatino Linotype" w:cs="Arial"/>
        </w:rPr>
        <w:t>, localizando</w:t>
      </w:r>
      <w:r>
        <w:rPr>
          <w:rFonts w:ascii="Palatino Linotype" w:hAnsi="Palatino Linotype" w:cs="Arial"/>
        </w:rPr>
        <w:t xml:space="preserve"> lo concerniente a los procedimientos de adjudicación y/o licitación </w:t>
      </w:r>
      <w:r w:rsidR="008971E0">
        <w:rPr>
          <w:rFonts w:ascii="Palatino Linotype" w:hAnsi="Palatino Linotype" w:cs="Arial"/>
        </w:rPr>
        <w:t>de</w:t>
      </w:r>
      <w:r>
        <w:rPr>
          <w:rFonts w:ascii="Palatino Linotype" w:hAnsi="Palatino Linotype" w:cs="Arial"/>
        </w:rPr>
        <w:t>l ejercicio fiscal 2018</w:t>
      </w:r>
      <w:r w:rsidR="00096D8F">
        <w:rPr>
          <w:rFonts w:ascii="Palatino Linotype" w:hAnsi="Palatino Linotype" w:cs="Arial"/>
        </w:rPr>
        <w:t xml:space="preserve"> en las fracciones XXIX A y XXIX B</w:t>
      </w:r>
      <w:r>
        <w:rPr>
          <w:rFonts w:ascii="Palatino Linotype" w:hAnsi="Palatino Linotype" w:cs="Arial"/>
        </w:rPr>
        <w:t>, según se advierte de la siguiente captura de pantalla:</w:t>
      </w:r>
    </w:p>
    <w:p w14:paraId="6185F4D9" w14:textId="5D9EEF82" w:rsidR="00096D8F" w:rsidRDefault="00096D8F" w:rsidP="00B60D2B">
      <w:pPr>
        <w:spacing w:before="240" w:after="240" w:line="360" w:lineRule="auto"/>
        <w:ind w:right="49" w:firstLine="1"/>
        <w:jc w:val="center"/>
        <w:rPr>
          <w:rFonts w:ascii="Palatino Linotype" w:hAnsi="Palatino Linotype" w:cs="Arial"/>
        </w:rPr>
      </w:pPr>
      <w:r w:rsidRPr="00096D8F">
        <w:rPr>
          <w:rFonts w:ascii="Palatino Linotype" w:hAnsi="Palatino Linotype" w:cs="Arial"/>
          <w:noProof/>
          <w:lang w:val="es-MX" w:eastAsia="es-MX"/>
        </w:rPr>
        <w:lastRenderedPageBreak/>
        <w:drawing>
          <wp:inline distT="0" distB="0" distL="0" distR="0" wp14:anchorId="35572B5D" wp14:editId="5E284A8A">
            <wp:extent cx="4991100" cy="25812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91100" cy="2581275"/>
                    </a:xfrm>
                    <a:prstGeom prst="rect">
                      <a:avLst/>
                    </a:prstGeom>
                  </pic:spPr>
                </pic:pic>
              </a:graphicData>
            </a:graphic>
          </wp:inline>
        </w:drawing>
      </w:r>
    </w:p>
    <w:p w14:paraId="38BDABEA" w14:textId="64532AAC" w:rsidR="00096D8F" w:rsidRDefault="00096D8F" w:rsidP="00096D8F">
      <w:pPr>
        <w:spacing w:before="240" w:after="240" w:line="360" w:lineRule="auto"/>
        <w:ind w:right="49"/>
        <w:jc w:val="both"/>
        <w:rPr>
          <w:rFonts w:ascii="Palatino Linotype" w:eastAsiaTheme="minorEastAsia" w:hAnsi="Palatino Linotype" w:cs="Bookman Old Style"/>
          <w:lang w:val="es-MX"/>
        </w:rPr>
      </w:pPr>
      <w:r>
        <w:rPr>
          <w:rFonts w:ascii="Palatino Linotype" w:hAnsi="Palatino Linotype"/>
          <w:color w:val="000000"/>
        </w:rPr>
        <w:t xml:space="preserve">De la consulta se advierte que la liga proporcionada y los pasos a seguir para la consulta de la información, permiten acceder a las obligaciones de transparencia del </w:t>
      </w:r>
      <w:r>
        <w:rPr>
          <w:rFonts w:ascii="Palatino Linotype" w:hAnsi="Palatino Linotype"/>
          <w:b/>
          <w:color w:val="000000"/>
        </w:rPr>
        <w:t>Sujeto Obligado</w:t>
      </w:r>
      <w:r>
        <w:rPr>
          <w:rFonts w:ascii="Palatino Linotype" w:hAnsi="Palatino Linotype"/>
          <w:color w:val="000000"/>
        </w:rPr>
        <w:t xml:space="preserve">, </w:t>
      </w:r>
      <w:r>
        <w:rPr>
          <w:rFonts w:ascii="Palatino Linotype" w:eastAsiaTheme="minorEastAsia" w:hAnsi="Palatino Linotype" w:cs="Bookman Old Style"/>
          <w:lang w:val="es-MX"/>
        </w:rPr>
        <w:t xml:space="preserve">cuyo contenido podría decirse que no colma el derecho de acceso a la información del particular, toda vez que la fracción </w:t>
      </w:r>
      <w:r w:rsidR="006B6091">
        <w:rPr>
          <w:rFonts w:ascii="Palatino Linotype" w:eastAsiaTheme="minorEastAsia" w:hAnsi="Palatino Linotype" w:cs="Bookman Old Style"/>
          <w:lang w:val="es-MX"/>
        </w:rPr>
        <w:t>a</w:t>
      </w:r>
      <w:r>
        <w:rPr>
          <w:rFonts w:ascii="Palatino Linotype" w:eastAsiaTheme="minorEastAsia" w:hAnsi="Palatino Linotype" w:cs="Bookman Old Style"/>
          <w:lang w:val="es-MX"/>
        </w:rPr>
        <w:t xml:space="preserve"> consultarse no </w:t>
      </w:r>
      <w:r w:rsidR="006B6091">
        <w:rPr>
          <w:rFonts w:ascii="Palatino Linotype" w:eastAsiaTheme="minorEastAsia" w:hAnsi="Palatino Linotype" w:cs="Bookman Old Style"/>
          <w:lang w:val="es-MX"/>
        </w:rPr>
        <w:t xml:space="preserve">es </w:t>
      </w:r>
      <w:r>
        <w:rPr>
          <w:rFonts w:ascii="Palatino Linotype" w:eastAsiaTheme="minorEastAsia" w:hAnsi="Palatino Linotype" w:cs="Bookman Old Style"/>
          <w:lang w:val="es-MX"/>
        </w:rPr>
        <w:t>clara, en virtud de que el Servidor Público dijo que se encontraba contenida en la fracción XXIX, pero sin especificar el apartado (A o B)</w:t>
      </w:r>
      <w:r w:rsidR="006B6091">
        <w:rPr>
          <w:rFonts w:ascii="Palatino Linotype" w:eastAsiaTheme="minorEastAsia" w:hAnsi="Palatino Linotype" w:cs="Bookman Old Style"/>
          <w:lang w:val="es-MX"/>
        </w:rPr>
        <w:t>, en ese</w:t>
      </w:r>
      <w:r>
        <w:rPr>
          <w:rFonts w:ascii="Palatino Linotype" w:eastAsiaTheme="minorEastAsia" w:hAnsi="Palatino Linotype" w:cs="Bookman Old Style"/>
          <w:lang w:val="es-MX"/>
        </w:rPr>
        <w:t xml:space="preserve"> entendido </w:t>
      </w:r>
      <w:r w:rsidR="006B6091">
        <w:rPr>
          <w:rFonts w:ascii="Palatino Linotype" w:eastAsiaTheme="minorEastAsia" w:hAnsi="Palatino Linotype" w:cs="Bookman Old Style"/>
          <w:lang w:val="es-MX"/>
        </w:rPr>
        <w:t>implica</w:t>
      </w:r>
      <w:r>
        <w:rPr>
          <w:rFonts w:ascii="Palatino Linotype" w:eastAsiaTheme="minorEastAsia" w:hAnsi="Palatino Linotype" w:cs="Bookman Old Style"/>
          <w:lang w:val="es-MX"/>
        </w:rPr>
        <w:t xml:space="preserve"> que el particular realice una búsqueda en toda la información publicada, lo que violenta el contenido del artículo 161 de la Ley de Transparencia y Acceso a la Información Pública del Estado de México y Municipios, que dispone que en los supuestos en los que la información requerida se encuentre disponible en medios electrónicos disponibles en Internet o en cualquier otro medio, se le hará saber por el medio requerido por el solicitante la fuente, el lugar y la forma en que puede consultar, reproducir o adquirir dicha información, debiendo ser la fuente precisa y concreta, lo que en presente asunto no aconteció.</w:t>
      </w:r>
    </w:p>
    <w:p w14:paraId="41A6B990" w14:textId="44D5E107" w:rsidR="00096D8F" w:rsidRDefault="006B6091" w:rsidP="006B6091">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lastRenderedPageBreak/>
        <w:t xml:space="preserve">Sin embargo, como la información fue entregada por otra Unidad Administrativa dicho hecho no menoscaba el derecho de acceso a la información pero sí </w:t>
      </w:r>
      <w:r w:rsidR="00096D8F">
        <w:rPr>
          <w:rFonts w:ascii="Palatino Linotype" w:eastAsiaTheme="minorEastAsia" w:hAnsi="Palatino Linotype" w:cs="Bookman Old Style"/>
          <w:lang w:val="es-MX"/>
        </w:rPr>
        <w:t>el principio de exhaustividad y congruencia, al existir falta de concordancia entre lo solicitado y lo entregado, por no atender las disposiciones legales aplicadas en la materia, tal es el caso del a</w:t>
      </w:r>
      <w:r w:rsidR="00096D8F">
        <w:rPr>
          <w:rFonts w:ascii="Palatino Linotype" w:hAnsi="Palatino Linotype"/>
          <w:color w:val="000000"/>
        </w:rPr>
        <w:t>rtículo 12 de la Ley de Transparencia y Acceso a la Información Pública del Estado de México y Municipio</w:t>
      </w:r>
      <w:r w:rsidR="00096D8F">
        <w:rPr>
          <w:rStyle w:val="Refdenotaalpie"/>
          <w:rFonts w:ascii="Palatino Linotype" w:hAnsi="Palatino Linotype"/>
          <w:color w:val="000000"/>
        </w:rPr>
        <w:footnoteReference w:id="5"/>
      </w:r>
      <w:r w:rsidR="00096D8F">
        <w:rPr>
          <w:rFonts w:ascii="Palatino Linotype" w:hAnsi="Palatino Linotype"/>
          <w:color w:val="000000"/>
        </w:rPr>
        <w:t xml:space="preserve">, que establece que </w:t>
      </w:r>
      <w:r w:rsidR="00096D8F">
        <w:rPr>
          <w:rFonts w:ascii="Palatino Linotype" w:eastAsiaTheme="minorEastAsia" w:hAnsi="Palatino Linotype" w:cs="Bookman Old Style"/>
          <w:lang w:val="es-MX"/>
        </w:rPr>
        <w:t xml:space="preserve">los sujetos obligados tienen el deber de satisfacer las solicitudes de acceso a la información que le sean formuladas, entregando la información pública que obre en sus archivos y en el estado en que se encuentre, por resultar relevante o beneficiosa para que la sociedad conozca las actividades que llevan a cabo los sujetos obligados en el ejercicio de sus atribuciones. </w:t>
      </w:r>
      <w:r>
        <w:rPr>
          <w:rFonts w:ascii="Palatino Linotype" w:eastAsiaTheme="minorEastAsia" w:hAnsi="Palatino Linotype" w:cs="Bookman Old Style"/>
          <w:lang w:val="es-MX"/>
        </w:rPr>
        <w:t>Por lo que se le invita a que en lo subsecuente atienda los principios previstos en el artículo 9 de la Ley de Transparencia y Acceso a la Información Pública del Estado de México y Municipios.</w:t>
      </w:r>
    </w:p>
    <w:p w14:paraId="78843C6F" w14:textId="77777777" w:rsidR="006B6091" w:rsidRDefault="006B6091" w:rsidP="006B6091">
      <w:pPr>
        <w:shd w:val="clear" w:color="auto" w:fill="FFFFFF"/>
        <w:spacing w:before="240" w:line="360" w:lineRule="auto"/>
        <w:jc w:val="both"/>
        <w:rPr>
          <w:rFonts w:ascii="Palatino Linotype" w:hAnsi="Palatino Linotype"/>
          <w:b/>
          <w:bCs/>
          <w:color w:val="222222"/>
          <w:sz w:val="28"/>
          <w:lang w:eastAsia="es-MX"/>
        </w:rPr>
      </w:pPr>
      <w:r w:rsidRPr="00772E2E">
        <w:rPr>
          <w:rFonts w:ascii="Palatino Linotype" w:hAnsi="Palatino Linotype" w:cs="Arial"/>
          <w:b/>
          <w:sz w:val="28"/>
        </w:rPr>
        <w:t xml:space="preserve">QUINTO. </w:t>
      </w:r>
      <w:r w:rsidRPr="00772E2E">
        <w:rPr>
          <w:rFonts w:ascii="Palatino Linotype" w:hAnsi="Palatino Linotype"/>
          <w:b/>
          <w:bCs/>
          <w:color w:val="222222"/>
          <w:sz w:val="28"/>
          <w:lang w:eastAsia="es-MX"/>
        </w:rPr>
        <w:t>Versión Pública. </w:t>
      </w:r>
    </w:p>
    <w:p w14:paraId="040F7247" w14:textId="69C419FE" w:rsidR="006B6091" w:rsidRPr="001B192A" w:rsidRDefault="006B6091" w:rsidP="006B6091">
      <w:pPr>
        <w:shd w:val="clear" w:color="auto" w:fill="FFFFFF"/>
        <w:spacing w:before="240" w:line="360" w:lineRule="auto"/>
        <w:jc w:val="both"/>
        <w:rPr>
          <w:rFonts w:ascii="Georgia" w:hAnsi="Georgia"/>
          <w:color w:val="222222"/>
          <w:lang w:val="es-MX" w:eastAsia="es-MX"/>
        </w:rPr>
      </w:pPr>
      <w:r>
        <w:rPr>
          <w:rFonts w:ascii="Palatino Linotype" w:hAnsi="Palatino Linotype"/>
          <w:color w:val="222222"/>
          <w:lang w:eastAsia="es-MX"/>
        </w:rPr>
        <w:t xml:space="preserve">De </w:t>
      </w:r>
      <w:r w:rsidRPr="001B192A">
        <w:rPr>
          <w:rFonts w:ascii="Palatino Linotype" w:hAnsi="Palatino Linotype"/>
          <w:color w:val="222222"/>
          <w:lang w:eastAsia="es-MX"/>
        </w:rPr>
        <w:t xml:space="preserve">la documentación referida en el considerando anterior de la cual se ordena su entrega, se deberá realizar una versión pública, para clasificar como confidencial </w:t>
      </w:r>
      <w:r>
        <w:rPr>
          <w:rFonts w:ascii="Palatino Linotype" w:hAnsi="Palatino Linotype"/>
          <w:color w:val="222222"/>
          <w:lang w:eastAsia="es-MX"/>
        </w:rPr>
        <w:t>el código QR y las claves señaladas en el considerado anterior</w:t>
      </w:r>
      <w:r w:rsidRPr="001B192A">
        <w:rPr>
          <w:rFonts w:ascii="Palatino Linotype" w:hAnsi="Palatino Linotype"/>
          <w:color w:val="222222"/>
          <w:lang w:eastAsia="es-MX"/>
        </w:rPr>
        <w:t xml:space="preserve">; esto en el entendido de que, el derecho de acceso a la información pública tiene como limitante el respeto a la intimidad y a la vida privada de las personas, debiendo, proteger dicha información, en términos de lo dispuesto en los artículos 3, fracciones IX, XX, XXI y </w:t>
      </w:r>
      <w:r w:rsidRPr="001B192A">
        <w:rPr>
          <w:rFonts w:ascii="Palatino Linotype" w:hAnsi="Palatino Linotype"/>
          <w:color w:val="222222"/>
          <w:lang w:eastAsia="es-MX"/>
        </w:rPr>
        <w:lastRenderedPageBreak/>
        <w:t>XLV; 4, 91, 143, 51 y 137 de la Ley de Transparencia y Acceso a la Información Pública del Estado de México y Municipios.</w:t>
      </w:r>
    </w:p>
    <w:p w14:paraId="5F9FBC52" w14:textId="77777777" w:rsidR="006B6091" w:rsidRPr="00EA14D6" w:rsidRDefault="006B6091" w:rsidP="006B6091">
      <w:pPr>
        <w:shd w:val="clear" w:color="auto" w:fill="FFFFFF"/>
        <w:spacing w:before="240" w:after="240" w:line="360" w:lineRule="auto"/>
        <w:jc w:val="both"/>
        <w:rPr>
          <w:rFonts w:ascii="Georgia" w:hAnsi="Georgia"/>
          <w:color w:val="222222"/>
          <w:lang w:val="es-MX" w:eastAsia="es-MX"/>
        </w:rPr>
      </w:pPr>
      <w:r w:rsidRPr="00EA14D6">
        <w:rPr>
          <w:rFonts w:ascii="Palatino Linotype" w:hAnsi="Palatino Linotype"/>
          <w:color w:val="222222"/>
          <w:lang w:eastAsia="es-MX"/>
        </w:rPr>
        <w:t>Debe agregarse, que el Sujeto Obligado al entregar la referida documentación, debe dejar visible los datos del proveedor o contratista, el registro federal de contribuyentes y el domicilio fiscal; es decir, no debe testarse dato alguno relacionado con el contribuyente aunque el proveedor o contratista sea una persona física. Esto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E088E47" w14:textId="77777777" w:rsidR="006B6091" w:rsidRPr="00EA14D6" w:rsidRDefault="006B6091" w:rsidP="006B6091">
      <w:pPr>
        <w:shd w:val="clear" w:color="auto" w:fill="FFFFFF"/>
        <w:spacing w:before="240" w:after="240" w:line="360" w:lineRule="auto"/>
        <w:jc w:val="both"/>
        <w:rPr>
          <w:rFonts w:ascii="Georgia" w:hAnsi="Georgia"/>
          <w:color w:val="222222"/>
          <w:lang w:val="es-MX" w:eastAsia="es-MX"/>
        </w:rPr>
      </w:pPr>
      <w:r w:rsidRPr="00EA14D6">
        <w:rPr>
          <w:rFonts w:ascii="Palatino Linotype" w:hAnsi="Palatino Linotype"/>
          <w:color w:val="222222"/>
          <w:lang w:eastAsia="es-MX"/>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es la realizadora de una obra por la que se hizo un pago con dinero del erario público.</w:t>
      </w:r>
    </w:p>
    <w:p w14:paraId="7946F043" w14:textId="77777777" w:rsidR="006B6091" w:rsidRPr="00EA14D6" w:rsidRDefault="006B6091" w:rsidP="006B6091">
      <w:pPr>
        <w:shd w:val="clear" w:color="auto" w:fill="FFFFFF"/>
        <w:spacing w:before="240" w:after="240" w:line="360" w:lineRule="auto"/>
        <w:jc w:val="both"/>
        <w:rPr>
          <w:rFonts w:ascii="Georgia" w:hAnsi="Georgia"/>
          <w:color w:val="222222"/>
          <w:lang w:val="es-MX" w:eastAsia="es-MX"/>
        </w:rPr>
      </w:pPr>
      <w:r w:rsidRPr="00EA14D6">
        <w:rPr>
          <w:rFonts w:ascii="Palatino Linotype" w:hAnsi="Palatino Linotype"/>
          <w:color w:val="222222"/>
          <w:lang w:eastAsia="es-MX"/>
        </w:rPr>
        <w:lastRenderedPageBreak/>
        <w:t>Ahora bien, en el caso de las facturas, éstas deben señalar</w:t>
      </w:r>
      <w:r w:rsidRPr="001B192A">
        <w:rPr>
          <w:rFonts w:ascii="Palatino Linotype" w:hAnsi="Palatino Linotype"/>
          <w:color w:val="222222"/>
          <w:lang w:eastAsia="es-MX"/>
        </w:rPr>
        <w:t> </w:t>
      </w:r>
      <w:r w:rsidRPr="00EA14D6">
        <w:rPr>
          <w:rFonts w:ascii="Palatino Linotype" w:hAnsi="Palatino Linotype"/>
          <w:color w:val="222222"/>
          <w:lang w:eastAsia="es-MX"/>
        </w:rPr>
        <w:t>la forma en que se realizó el pago, ya sea en efectivo, transferencias electrónicas de fondos o cheques nominativos, indicando al menos los últimos cuatro dígitos del número de cuenta o de la tarjeta correspondiente.</w:t>
      </w:r>
    </w:p>
    <w:p w14:paraId="0E84DC8E" w14:textId="77777777" w:rsidR="006B6091" w:rsidRDefault="006B6091" w:rsidP="006B6091">
      <w:pPr>
        <w:shd w:val="clear" w:color="auto" w:fill="FFFFFF"/>
        <w:spacing w:before="240" w:after="240" w:line="360" w:lineRule="auto"/>
        <w:jc w:val="both"/>
        <w:rPr>
          <w:rFonts w:ascii="Palatino Linotype" w:hAnsi="Palatino Linotype" w:cs="Arial"/>
        </w:rPr>
      </w:pPr>
      <w:r w:rsidRPr="00AE31F1">
        <w:rPr>
          <w:rFonts w:ascii="Palatino Linotype" w:eastAsia="Calibri" w:hAnsi="Palatino Linotype" w:cs="Arial"/>
        </w:rPr>
        <w:t xml:space="preserve">En las versiones públicas, se debe testar el sello digital del contribuyente que lo expide, sello digital SAT, folio fiscal, la cadena original, certificado digital del SAT, en caso de que se desprenda esta información; en virtud de que la publicidad de éstos </w:t>
      </w:r>
      <w:r w:rsidRPr="00AE31F1">
        <w:rPr>
          <w:rFonts w:ascii="Palatino Linotype" w:hAnsi="Palatino Linotype" w:cs="Arial"/>
        </w:rPr>
        <w:t xml:space="preserve">en nada contribuyen a la rendición de cuentas o a la transparencia de la gestión gubernamental, sino por el contrario, dar a conocerlos hace vulnerable a su titular, ya sea la persona prestadora del servicio o bien el sujeto obligado, al abrir la posibilidad de que terceros que cuenten con las posibilidades tecnológicas y/o económicas puedan realizar actos ilícitos mediante operaciones cibernéticas. </w:t>
      </w:r>
    </w:p>
    <w:p w14:paraId="18FFE3B2" w14:textId="77777777" w:rsidR="006B6091" w:rsidRPr="00EA14D6" w:rsidRDefault="006B6091" w:rsidP="006B6091">
      <w:pPr>
        <w:shd w:val="clear" w:color="auto" w:fill="FFFFFF"/>
        <w:spacing w:before="240" w:after="240" w:line="360" w:lineRule="auto"/>
        <w:jc w:val="both"/>
        <w:rPr>
          <w:rFonts w:ascii="Georgia" w:hAnsi="Georgia"/>
          <w:color w:val="222222"/>
          <w:lang w:val="es-MX" w:eastAsia="es-MX"/>
        </w:rPr>
      </w:pPr>
      <w:r w:rsidRPr="00EA14D6">
        <w:rPr>
          <w:rFonts w:ascii="Palatino Linotype" w:hAnsi="Palatino Linotype"/>
          <w:color w:val="222222"/>
          <w:lang w:eastAsia="es-MX"/>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BCEED3F" w14:textId="77777777" w:rsidR="006B6091" w:rsidRPr="001B192A" w:rsidRDefault="006B6091" w:rsidP="006B6091">
      <w:pPr>
        <w:shd w:val="clear" w:color="auto" w:fill="FFFFFF"/>
        <w:spacing w:before="240" w:after="240" w:line="360" w:lineRule="auto"/>
        <w:jc w:val="both"/>
        <w:rPr>
          <w:rFonts w:ascii="Palatino Linotype" w:hAnsi="Palatino Linotype"/>
          <w:color w:val="222222"/>
          <w:lang w:eastAsia="es-MX"/>
        </w:rPr>
      </w:pPr>
      <w:r w:rsidRPr="00EA14D6">
        <w:rPr>
          <w:rFonts w:ascii="Palatino Linotype" w:hAnsi="Palatino Linotype"/>
          <w:color w:val="222222"/>
          <w:lang w:eastAsia="es-MX"/>
        </w:rPr>
        <w:lastRenderedPageBreak/>
        <w:t>Entonces, para la clasificación como confidencial de los números de las cuentas bancarias, el Sujeto Obligado debe seguir el procedimiento legal establecido para su declaración, es decir, es necesario que el Comité de Transparencia emita un acuerdo de clasificación que cumpla con las formalidades previstas en los artículos 137 y 149 de la Ley de Transparencia y Acceso a la Información Pública del Estado de México y Municipios</w:t>
      </w:r>
      <w:r w:rsidRPr="001B192A">
        <w:rPr>
          <w:rFonts w:ascii="Palatino Linotype" w:hAnsi="Palatino Linotype"/>
          <w:color w:val="222222"/>
          <w:lang w:eastAsia="es-MX"/>
        </w:rPr>
        <w:t xml:space="preserve">, </w:t>
      </w:r>
      <w:r w:rsidRPr="001B192A">
        <w:rPr>
          <w:rFonts w:ascii="Palatino Linotype" w:hAnsi="Palatino Linotype"/>
          <w:shd w:val="clear" w:color="auto" w:fill="FFFFFF"/>
        </w:rPr>
        <w:t>así como,  lo que al efecto dispongan los Lineamientos Cuarto, Quinto, Octavo y Trigésimo Octavo de los Lineamientos Generales en Materia de Clasificación y Desclasificación de la Información, así como para la elaboración de Versiones Públicas, aprobados mediante Acuerdo del Consejo Nacional del Sistema Nacional de Transparencia, Acceso a la Información Pública y Protección de Datos Personales, publicados en el Diario Oficial de la Federación el quince abril de dos mil dieciséis; cuyo texto y sentido literal es el siguiente:</w:t>
      </w:r>
    </w:p>
    <w:p w14:paraId="3C704B99" w14:textId="77777777" w:rsidR="006B6091" w:rsidRPr="00772E2E" w:rsidRDefault="006B6091" w:rsidP="006B6091">
      <w:pPr>
        <w:pStyle w:val="Prrafodelista"/>
        <w:spacing w:before="120" w:after="240"/>
        <w:ind w:left="851" w:right="902"/>
        <w:jc w:val="both"/>
        <w:rPr>
          <w:rFonts w:ascii="Palatino Linotype" w:hAnsi="Palatino Linotype"/>
          <w:b/>
          <w:i/>
          <w:sz w:val="20"/>
          <w:szCs w:val="22"/>
          <w:shd w:val="clear" w:color="auto" w:fill="FFFFFF"/>
        </w:rPr>
      </w:pPr>
      <w:r w:rsidRPr="00772E2E">
        <w:rPr>
          <w:rFonts w:ascii="Palatino Linotype" w:hAnsi="Palatino Linotype"/>
          <w:b/>
          <w:i/>
          <w:sz w:val="20"/>
          <w:szCs w:val="22"/>
          <w:shd w:val="clear" w:color="auto" w:fill="FFFFFF"/>
        </w:rPr>
        <w:t>Ley de Transparencia y Acceso a la Información Pública del Estado de México y Municipios</w:t>
      </w:r>
    </w:p>
    <w:p w14:paraId="3B1111E3" w14:textId="77777777" w:rsidR="006B6091" w:rsidRPr="00772E2E" w:rsidRDefault="006B6091" w:rsidP="006B6091">
      <w:pPr>
        <w:pStyle w:val="Prrafodelista"/>
        <w:spacing w:before="120" w:after="240"/>
        <w:ind w:left="851" w:right="902"/>
        <w:jc w:val="both"/>
        <w:rPr>
          <w:rFonts w:ascii="Palatino Linotype" w:hAnsi="Palatino Linotype"/>
          <w:i/>
          <w:sz w:val="20"/>
          <w:szCs w:val="22"/>
        </w:rPr>
      </w:pPr>
      <w:r w:rsidRPr="00772E2E">
        <w:rPr>
          <w:rFonts w:ascii="Palatino Linotype" w:hAnsi="Palatino Linotype"/>
          <w:b/>
          <w:i/>
          <w:sz w:val="20"/>
          <w:szCs w:val="22"/>
        </w:rPr>
        <w:t>Artículo 49.</w:t>
      </w:r>
      <w:r w:rsidRPr="00772E2E">
        <w:rPr>
          <w:rFonts w:ascii="Palatino Linotype" w:hAnsi="Palatino Linotype"/>
          <w:i/>
          <w:sz w:val="20"/>
          <w:szCs w:val="22"/>
        </w:rPr>
        <w:t xml:space="preserve"> Los Comités de Transparencia tendrán las siguientes atribuciones:</w:t>
      </w:r>
    </w:p>
    <w:p w14:paraId="18E7FB1F" w14:textId="77777777" w:rsidR="006B6091" w:rsidRPr="00772E2E" w:rsidRDefault="006B6091" w:rsidP="006B6091">
      <w:pPr>
        <w:pStyle w:val="Prrafodelista"/>
        <w:spacing w:before="120" w:after="240"/>
        <w:ind w:left="851" w:right="902"/>
        <w:jc w:val="both"/>
        <w:rPr>
          <w:rFonts w:ascii="Palatino Linotype" w:hAnsi="Palatino Linotype"/>
          <w:i/>
          <w:sz w:val="20"/>
          <w:szCs w:val="22"/>
          <w:shd w:val="clear" w:color="auto" w:fill="FFFFFF"/>
        </w:rPr>
      </w:pPr>
      <w:r w:rsidRPr="00772E2E">
        <w:rPr>
          <w:rFonts w:ascii="Palatino Linotype" w:hAnsi="Palatino Linotype"/>
          <w:i/>
          <w:sz w:val="20"/>
          <w:szCs w:val="22"/>
        </w:rPr>
        <w:t>…</w:t>
      </w:r>
    </w:p>
    <w:p w14:paraId="16999CF2" w14:textId="77777777" w:rsidR="006B6091" w:rsidRPr="00772E2E" w:rsidRDefault="006B6091" w:rsidP="006B6091">
      <w:pPr>
        <w:pStyle w:val="Prrafodelista"/>
        <w:spacing w:before="120" w:after="240"/>
        <w:ind w:left="1134" w:right="902"/>
        <w:jc w:val="both"/>
        <w:rPr>
          <w:rFonts w:ascii="Palatino Linotype" w:hAnsi="Palatino Linotype"/>
          <w:i/>
          <w:sz w:val="20"/>
          <w:szCs w:val="22"/>
        </w:rPr>
      </w:pPr>
      <w:r w:rsidRPr="00772E2E">
        <w:rPr>
          <w:rFonts w:ascii="Palatino Linotype" w:hAnsi="Palatino Linotype"/>
          <w:i/>
          <w:sz w:val="20"/>
          <w:szCs w:val="22"/>
        </w:rPr>
        <w:t>VIII. Aprobar, modificar o revocar la clasificación de la información;</w:t>
      </w:r>
    </w:p>
    <w:p w14:paraId="1E26AABC" w14:textId="77777777" w:rsidR="006B6091" w:rsidRPr="00772E2E" w:rsidRDefault="006B6091" w:rsidP="006B6091">
      <w:pPr>
        <w:pStyle w:val="Prrafodelista"/>
        <w:spacing w:before="120" w:after="240"/>
        <w:ind w:left="851" w:right="902"/>
        <w:jc w:val="both"/>
        <w:rPr>
          <w:rFonts w:ascii="Palatino Linotype" w:hAnsi="Palatino Linotype"/>
          <w:i/>
          <w:sz w:val="20"/>
          <w:szCs w:val="22"/>
        </w:rPr>
      </w:pPr>
      <w:r w:rsidRPr="00772E2E">
        <w:rPr>
          <w:rFonts w:ascii="Palatino Linotype" w:hAnsi="Palatino Linotype"/>
          <w:b/>
          <w:i/>
          <w:sz w:val="20"/>
          <w:szCs w:val="22"/>
        </w:rPr>
        <w:t>Artículo 132.</w:t>
      </w:r>
      <w:r w:rsidRPr="00772E2E">
        <w:rPr>
          <w:rFonts w:ascii="Palatino Linotype" w:hAnsi="Palatino Linotype"/>
          <w:i/>
          <w:sz w:val="20"/>
          <w:szCs w:val="22"/>
        </w:rPr>
        <w:t xml:space="preserve"> La clasificación de la información se llevará a cabo en el momento en que:</w:t>
      </w:r>
    </w:p>
    <w:p w14:paraId="4C70B853" w14:textId="77777777" w:rsidR="006B6091" w:rsidRPr="00772E2E" w:rsidRDefault="006B6091" w:rsidP="006B6091">
      <w:pPr>
        <w:pStyle w:val="Prrafodelista"/>
        <w:numPr>
          <w:ilvl w:val="0"/>
          <w:numId w:val="16"/>
        </w:numPr>
        <w:spacing w:before="120" w:after="240"/>
        <w:ind w:left="1134" w:right="902" w:firstLine="0"/>
        <w:jc w:val="both"/>
        <w:rPr>
          <w:rFonts w:ascii="Palatino Linotype" w:hAnsi="Palatino Linotype"/>
          <w:i/>
          <w:sz w:val="20"/>
          <w:szCs w:val="22"/>
        </w:rPr>
      </w:pPr>
      <w:r w:rsidRPr="00772E2E">
        <w:rPr>
          <w:rFonts w:ascii="Palatino Linotype" w:hAnsi="Palatino Linotype"/>
          <w:i/>
          <w:sz w:val="20"/>
          <w:szCs w:val="22"/>
        </w:rPr>
        <w:t>…</w:t>
      </w:r>
    </w:p>
    <w:p w14:paraId="1B5C33AD" w14:textId="77777777" w:rsidR="006B6091" w:rsidRPr="00772E2E" w:rsidRDefault="006B6091" w:rsidP="006B6091">
      <w:pPr>
        <w:pStyle w:val="Prrafodelista"/>
        <w:numPr>
          <w:ilvl w:val="0"/>
          <w:numId w:val="16"/>
        </w:numPr>
        <w:spacing w:before="120" w:after="240"/>
        <w:ind w:left="1134" w:right="902" w:firstLine="0"/>
        <w:jc w:val="both"/>
        <w:rPr>
          <w:rFonts w:ascii="Palatino Linotype" w:hAnsi="Palatino Linotype"/>
          <w:i/>
          <w:sz w:val="20"/>
          <w:szCs w:val="22"/>
        </w:rPr>
      </w:pPr>
      <w:r w:rsidRPr="00772E2E">
        <w:rPr>
          <w:rFonts w:ascii="Palatino Linotype" w:hAnsi="Palatino Linotype"/>
          <w:i/>
          <w:sz w:val="20"/>
          <w:szCs w:val="22"/>
        </w:rPr>
        <w:t xml:space="preserve">Se determine mediante resolución de autoridad competente; o </w:t>
      </w:r>
    </w:p>
    <w:p w14:paraId="3B37406D" w14:textId="77777777" w:rsidR="006B6091" w:rsidRPr="00772E2E" w:rsidRDefault="006B6091" w:rsidP="006B6091">
      <w:pPr>
        <w:pStyle w:val="Prrafodelista"/>
        <w:numPr>
          <w:ilvl w:val="0"/>
          <w:numId w:val="16"/>
        </w:numPr>
        <w:spacing w:before="120" w:after="240"/>
        <w:ind w:left="1134" w:right="902" w:firstLine="0"/>
        <w:jc w:val="both"/>
        <w:rPr>
          <w:rFonts w:ascii="Palatino Linotype" w:hAnsi="Palatino Linotype"/>
          <w:i/>
          <w:sz w:val="20"/>
          <w:szCs w:val="22"/>
        </w:rPr>
      </w:pPr>
      <w:r w:rsidRPr="00772E2E">
        <w:rPr>
          <w:rFonts w:ascii="Palatino Linotype" w:hAnsi="Palatino Linotype"/>
          <w:i/>
          <w:sz w:val="20"/>
          <w:szCs w:val="22"/>
        </w:rPr>
        <w:t xml:space="preserve"> Se generen versiones públicas para dar cumplimiento a las obligaciones de transparencia previstas en esta Ley. </w:t>
      </w:r>
    </w:p>
    <w:p w14:paraId="51AF6180" w14:textId="77777777" w:rsidR="006B6091" w:rsidRPr="00772E2E" w:rsidRDefault="006B6091" w:rsidP="006B6091">
      <w:pPr>
        <w:pStyle w:val="Prrafodelista"/>
        <w:spacing w:before="120" w:after="240"/>
        <w:ind w:left="1134" w:right="902"/>
        <w:jc w:val="both"/>
        <w:rPr>
          <w:rFonts w:ascii="Palatino Linotype" w:hAnsi="Palatino Linotype"/>
          <w:i/>
          <w:sz w:val="20"/>
          <w:szCs w:val="22"/>
        </w:rPr>
      </w:pPr>
      <w:r w:rsidRPr="00772E2E">
        <w:rPr>
          <w:rFonts w:ascii="Palatino Linotype" w:hAnsi="Palatino Linotype"/>
          <w:i/>
          <w:sz w:val="20"/>
          <w:szCs w:val="22"/>
        </w:rPr>
        <w:t>...</w:t>
      </w:r>
    </w:p>
    <w:p w14:paraId="503C456A" w14:textId="77777777" w:rsidR="006B6091" w:rsidRPr="00772E2E" w:rsidRDefault="006B6091" w:rsidP="006B6091">
      <w:pPr>
        <w:pStyle w:val="Prrafodelista"/>
        <w:spacing w:before="120" w:after="240"/>
        <w:ind w:left="851" w:right="902"/>
        <w:jc w:val="both"/>
        <w:rPr>
          <w:rFonts w:ascii="Palatino Linotype" w:hAnsi="Palatino Linotype"/>
          <w:i/>
          <w:sz w:val="20"/>
          <w:szCs w:val="22"/>
        </w:rPr>
      </w:pPr>
      <w:r w:rsidRPr="00772E2E">
        <w:rPr>
          <w:rFonts w:ascii="Palatino Linotype" w:hAnsi="Palatino Linotype"/>
          <w:b/>
          <w:i/>
          <w:sz w:val="20"/>
          <w:szCs w:val="22"/>
        </w:rPr>
        <w:t>Artículo 137</w:t>
      </w:r>
      <w:r w:rsidRPr="00772E2E">
        <w:rPr>
          <w:rFonts w:ascii="Palatino Linotype" w:hAnsi="Palatino Linotype"/>
          <w:i/>
          <w:sz w:val="20"/>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w:t>
      </w:r>
      <w:r w:rsidRPr="00772E2E">
        <w:rPr>
          <w:rFonts w:ascii="Palatino Linotype" w:hAnsi="Palatino Linotype"/>
          <w:i/>
          <w:sz w:val="20"/>
          <w:szCs w:val="22"/>
        </w:rPr>
        <w:lastRenderedPageBreak/>
        <w:t>partes o secciones clasificadas, indicando su contenido de manera genérica y fundando y motivando su clasificación.</w:t>
      </w:r>
    </w:p>
    <w:p w14:paraId="333FCC26" w14:textId="77777777" w:rsidR="006B6091" w:rsidRPr="00772E2E" w:rsidRDefault="006B6091" w:rsidP="006B6091">
      <w:pPr>
        <w:pStyle w:val="Prrafodelista"/>
        <w:spacing w:before="120" w:after="240"/>
        <w:ind w:left="851" w:right="902"/>
        <w:jc w:val="both"/>
        <w:rPr>
          <w:rFonts w:ascii="Palatino Linotype" w:hAnsi="Palatino Linotype"/>
          <w:i/>
          <w:sz w:val="20"/>
          <w:szCs w:val="22"/>
        </w:rPr>
      </w:pPr>
      <w:r w:rsidRPr="00772E2E">
        <w:rPr>
          <w:rFonts w:ascii="Palatino Linotype" w:hAnsi="Palatino Linotype"/>
          <w:b/>
          <w:i/>
          <w:sz w:val="20"/>
          <w:szCs w:val="22"/>
        </w:rPr>
        <w:t>Artículo 143.</w:t>
      </w:r>
      <w:r w:rsidRPr="00772E2E">
        <w:rPr>
          <w:rFonts w:ascii="Palatino Linotype" w:hAnsi="Palatino Linotype"/>
          <w:i/>
          <w:sz w:val="20"/>
          <w:szCs w:val="22"/>
        </w:rPr>
        <w:t xml:space="preserve"> Para los efectos de esta Ley se considera información confidencial, la clasificada como tal, de manera permanente, por su naturaleza, cuando: </w:t>
      </w:r>
    </w:p>
    <w:p w14:paraId="3187A313" w14:textId="77777777" w:rsidR="006B6091" w:rsidRPr="00772E2E" w:rsidRDefault="006B6091" w:rsidP="006B6091">
      <w:pPr>
        <w:pStyle w:val="Prrafodelista"/>
        <w:numPr>
          <w:ilvl w:val="0"/>
          <w:numId w:val="15"/>
        </w:numPr>
        <w:spacing w:before="120" w:after="240"/>
        <w:ind w:left="1134" w:right="902" w:firstLine="0"/>
        <w:jc w:val="both"/>
        <w:rPr>
          <w:rFonts w:ascii="Palatino Linotype" w:hAnsi="Palatino Linotype"/>
          <w:i/>
          <w:sz w:val="20"/>
          <w:szCs w:val="22"/>
        </w:rPr>
      </w:pPr>
      <w:r w:rsidRPr="00772E2E">
        <w:rPr>
          <w:rFonts w:ascii="Palatino Linotype" w:hAnsi="Palatino Linotype"/>
          <w:i/>
          <w:sz w:val="20"/>
          <w:szCs w:val="22"/>
        </w:rPr>
        <w:t xml:space="preserve">Se refiera a la información privada y los datos personales concernientes a una persona física o jurídico colectiva identificada o identificable; </w:t>
      </w:r>
    </w:p>
    <w:p w14:paraId="3B87DE81" w14:textId="77777777" w:rsidR="006B6091" w:rsidRPr="00772E2E" w:rsidRDefault="006B6091" w:rsidP="006B6091">
      <w:pPr>
        <w:pStyle w:val="Prrafodelista"/>
        <w:numPr>
          <w:ilvl w:val="0"/>
          <w:numId w:val="15"/>
        </w:numPr>
        <w:spacing w:before="120" w:after="240"/>
        <w:ind w:left="1134" w:right="902" w:firstLine="0"/>
        <w:jc w:val="both"/>
        <w:rPr>
          <w:rFonts w:ascii="Palatino Linotype" w:hAnsi="Palatino Linotype"/>
          <w:i/>
          <w:sz w:val="20"/>
          <w:szCs w:val="22"/>
        </w:rPr>
      </w:pPr>
      <w:r w:rsidRPr="00772E2E">
        <w:rPr>
          <w:rFonts w:ascii="Palatino Linotype" w:hAnsi="Palatino Linotype"/>
          <w:i/>
          <w:sz w:val="20"/>
          <w:szCs w:val="22"/>
        </w:rPr>
        <w:t>…</w:t>
      </w:r>
    </w:p>
    <w:p w14:paraId="666FC318" w14:textId="77777777" w:rsidR="006B6091" w:rsidRPr="00772E2E" w:rsidRDefault="006B6091" w:rsidP="006B6091">
      <w:pPr>
        <w:pStyle w:val="Prrafodelista"/>
        <w:numPr>
          <w:ilvl w:val="0"/>
          <w:numId w:val="15"/>
        </w:numPr>
        <w:spacing w:before="120" w:after="240"/>
        <w:ind w:left="1134" w:right="902" w:firstLine="0"/>
        <w:jc w:val="both"/>
        <w:rPr>
          <w:rFonts w:ascii="Palatino Linotype" w:hAnsi="Palatino Linotype"/>
          <w:i/>
          <w:sz w:val="20"/>
          <w:szCs w:val="22"/>
        </w:rPr>
      </w:pPr>
      <w:r w:rsidRPr="00772E2E">
        <w:rPr>
          <w:rFonts w:ascii="Palatino Linotype" w:hAnsi="Palatino Linotype"/>
          <w:i/>
          <w:sz w:val="20"/>
          <w:szCs w:val="22"/>
        </w:rPr>
        <w:t xml:space="preserve">La que presenten los particulares a los sujetos obligados, de conformidad con lo dispuesto por las leyes o los tratados internacionales. </w:t>
      </w:r>
    </w:p>
    <w:p w14:paraId="689C4D74" w14:textId="77777777" w:rsidR="006B6091" w:rsidRPr="00772E2E" w:rsidRDefault="006B6091" w:rsidP="006B6091">
      <w:pPr>
        <w:pStyle w:val="Prrafodelista"/>
        <w:spacing w:before="120" w:after="240"/>
        <w:ind w:left="1134" w:right="902"/>
        <w:jc w:val="both"/>
        <w:rPr>
          <w:rFonts w:ascii="Palatino Linotype" w:hAnsi="Palatino Linotype"/>
          <w:i/>
          <w:sz w:val="20"/>
          <w:szCs w:val="22"/>
        </w:rPr>
      </w:pPr>
      <w:r w:rsidRPr="00772E2E">
        <w:rPr>
          <w:rFonts w:ascii="Palatino Linotype" w:hAnsi="Palatino Linotype"/>
          <w:i/>
          <w:sz w:val="20"/>
          <w:szCs w:val="22"/>
        </w:rPr>
        <w:t xml:space="preserve">La información confidencial no estará sujeta a temporalidad alguna y sólo podrán tener acceso a ella los titulares de la misma, sus representantes y los servidores públicos facultados para ello. </w:t>
      </w:r>
    </w:p>
    <w:p w14:paraId="4F543DE5" w14:textId="77777777" w:rsidR="006B6091" w:rsidRPr="00772E2E" w:rsidRDefault="006B6091" w:rsidP="006B6091">
      <w:pPr>
        <w:pStyle w:val="Prrafodelista"/>
        <w:spacing w:before="120" w:after="240"/>
        <w:ind w:left="1134" w:right="902"/>
        <w:jc w:val="both"/>
        <w:rPr>
          <w:rFonts w:ascii="Palatino Linotype" w:hAnsi="Palatino Linotype"/>
          <w:i/>
          <w:sz w:val="20"/>
          <w:szCs w:val="22"/>
        </w:rPr>
      </w:pPr>
      <w:r w:rsidRPr="00772E2E">
        <w:rPr>
          <w:rFonts w:ascii="Palatino Linotype" w:hAnsi="Palatino Linotype"/>
          <w:i/>
          <w:sz w:val="20"/>
          <w:szCs w:val="22"/>
        </w:rPr>
        <w:t>No se considerará confidencial la información que se encuentre en los registros públicos o en fuentes de acceso público, ni tampoco la que sea considerada por la presente ley como información pública.</w:t>
      </w:r>
    </w:p>
    <w:p w14:paraId="6DD76377" w14:textId="77777777" w:rsidR="006B6091" w:rsidRPr="00772E2E" w:rsidRDefault="006B6091" w:rsidP="006B6091">
      <w:pPr>
        <w:pStyle w:val="Prrafodelista"/>
        <w:spacing w:before="120" w:after="240"/>
        <w:ind w:left="851" w:right="902"/>
        <w:jc w:val="both"/>
        <w:rPr>
          <w:rFonts w:ascii="Palatino Linotype" w:hAnsi="Palatino Linotype"/>
          <w:i/>
          <w:sz w:val="20"/>
          <w:szCs w:val="22"/>
        </w:rPr>
      </w:pPr>
      <w:r w:rsidRPr="00772E2E">
        <w:rPr>
          <w:rFonts w:ascii="Palatino Linotype" w:hAnsi="Palatino Linotype"/>
          <w:b/>
          <w:i/>
          <w:sz w:val="20"/>
          <w:szCs w:val="22"/>
        </w:rPr>
        <w:t xml:space="preserve">Artículo 149. </w:t>
      </w:r>
      <w:r w:rsidRPr="00772E2E">
        <w:rPr>
          <w:rFonts w:ascii="Palatino Linotype" w:hAnsi="Palatino Linotype"/>
          <w:i/>
          <w:sz w:val="20"/>
          <w:szCs w:val="22"/>
        </w:rPr>
        <w:t>El acuerdo que clasifique la información como confidencial deberá contener un razonamiento lógico en el que demuestre que la información se encuentra en alguna o algunas de las hipótesis previstas en la presente Ley.</w:t>
      </w:r>
    </w:p>
    <w:p w14:paraId="7B0FADEF" w14:textId="77777777" w:rsidR="006B6091" w:rsidRPr="00772E2E" w:rsidRDefault="006B6091" w:rsidP="006B6091">
      <w:pPr>
        <w:pStyle w:val="Prrafodelista"/>
        <w:spacing w:before="120" w:after="240"/>
        <w:ind w:left="851" w:right="902"/>
        <w:jc w:val="both"/>
        <w:rPr>
          <w:rFonts w:ascii="Palatino Linotype" w:hAnsi="Palatino Linotype"/>
          <w:i/>
          <w:sz w:val="20"/>
          <w:szCs w:val="22"/>
          <w:shd w:val="clear" w:color="auto" w:fill="FFFFFF"/>
        </w:rPr>
      </w:pPr>
      <w:r w:rsidRPr="00772E2E">
        <w:rPr>
          <w:rFonts w:ascii="Palatino Linotype" w:hAnsi="Palatino Linotype"/>
          <w:i/>
          <w:sz w:val="20"/>
          <w:szCs w:val="22"/>
          <w:shd w:val="clear" w:color="auto" w:fill="FFFFFF"/>
        </w:rPr>
        <w:t>Lineamientos Generales en Materia de Clasificación y Desclasificación de la Información, así como para la elaboración de Versiones Públicas</w:t>
      </w:r>
    </w:p>
    <w:p w14:paraId="2390A4A2" w14:textId="77777777" w:rsidR="006B6091" w:rsidRPr="00772E2E" w:rsidRDefault="006B6091" w:rsidP="006B6091">
      <w:pPr>
        <w:shd w:val="clear" w:color="auto" w:fill="FFFFFF"/>
        <w:spacing w:before="120" w:after="240"/>
        <w:ind w:left="851" w:right="902"/>
        <w:jc w:val="both"/>
        <w:rPr>
          <w:rFonts w:ascii="Palatino Linotype" w:hAnsi="Palatino Linotype" w:cs="Arial"/>
          <w:i/>
          <w:sz w:val="20"/>
          <w:lang w:val="es-MX" w:eastAsia="es-MX"/>
        </w:rPr>
      </w:pPr>
      <w:r w:rsidRPr="00772E2E">
        <w:rPr>
          <w:rFonts w:ascii="Palatino Linotype" w:hAnsi="Palatino Linotype" w:cs="Arial"/>
          <w:b/>
          <w:bCs/>
          <w:i/>
          <w:sz w:val="20"/>
          <w:lang w:val="es-MX" w:eastAsia="es-MX"/>
        </w:rPr>
        <w:t>“Cuarto.</w:t>
      </w:r>
      <w:r w:rsidRPr="00772E2E">
        <w:rPr>
          <w:rFonts w:ascii="Palatino Linotype" w:hAnsi="Palatino Linotype" w:cs="Arial"/>
          <w:i/>
          <w:sz w:val="20"/>
          <w:lang w:val="es-MX"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F08A999" w14:textId="77777777" w:rsidR="006B6091" w:rsidRPr="00772E2E" w:rsidRDefault="006B6091" w:rsidP="006B6091">
      <w:pPr>
        <w:shd w:val="clear" w:color="auto" w:fill="FFFFFF"/>
        <w:spacing w:before="120" w:after="240"/>
        <w:ind w:left="851" w:right="902"/>
        <w:jc w:val="both"/>
        <w:rPr>
          <w:rFonts w:ascii="Palatino Linotype" w:hAnsi="Palatino Linotype" w:cs="Arial"/>
          <w:i/>
          <w:sz w:val="20"/>
          <w:lang w:val="es-MX" w:eastAsia="es-MX"/>
        </w:rPr>
      </w:pPr>
      <w:r w:rsidRPr="00772E2E">
        <w:rPr>
          <w:rFonts w:ascii="Palatino Linotype" w:hAnsi="Palatino Linotype" w:cs="Arial"/>
          <w:i/>
          <w:sz w:val="20"/>
          <w:lang w:val="es-MX" w:eastAsia="es-MX"/>
        </w:rPr>
        <w:t>Los sujetos obligados deberán aplicar, de manera estricta, las excepciones al derecho de acceso a la información y sólo podrán invocarlas cuando acrediten su procedencia.</w:t>
      </w:r>
    </w:p>
    <w:p w14:paraId="0A5F4F1E" w14:textId="77777777" w:rsidR="006B6091" w:rsidRPr="00772E2E" w:rsidRDefault="006B6091" w:rsidP="006B6091">
      <w:pPr>
        <w:shd w:val="clear" w:color="auto" w:fill="FFFFFF"/>
        <w:spacing w:before="120" w:after="240"/>
        <w:ind w:left="851" w:right="902"/>
        <w:jc w:val="both"/>
        <w:rPr>
          <w:rFonts w:ascii="Palatino Linotype" w:hAnsi="Palatino Linotype" w:cs="Arial"/>
          <w:i/>
          <w:sz w:val="20"/>
          <w:lang w:val="es-MX" w:eastAsia="es-MX"/>
        </w:rPr>
      </w:pPr>
      <w:r w:rsidRPr="00772E2E">
        <w:rPr>
          <w:rFonts w:ascii="Palatino Linotype" w:hAnsi="Palatino Linotype" w:cs="Arial"/>
          <w:i/>
          <w:sz w:val="20"/>
          <w:lang w:val="es-MX" w:eastAsia="es-MX"/>
        </w:rPr>
        <w:t>…</w:t>
      </w:r>
    </w:p>
    <w:p w14:paraId="056AE12F" w14:textId="77777777" w:rsidR="006B6091" w:rsidRPr="00772E2E" w:rsidRDefault="006B6091" w:rsidP="006B6091">
      <w:pPr>
        <w:shd w:val="clear" w:color="auto" w:fill="FFFFFF"/>
        <w:spacing w:before="120" w:after="240"/>
        <w:ind w:left="851" w:right="902"/>
        <w:jc w:val="both"/>
        <w:rPr>
          <w:rFonts w:ascii="Palatino Linotype" w:hAnsi="Palatino Linotype" w:cs="Arial"/>
          <w:i/>
          <w:sz w:val="20"/>
          <w:lang w:val="es-MX" w:eastAsia="es-MX"/>
        </w:rPr>
      </w:pPr>
      <w:r w:rsidRPr="00772E2E">
        <w:rPr>
          <w:rFonts w:ascii="Palatino Linotype" w:hAnsi="Palatino Linotype" w:cs="Arial"/>
          <w:b/>
          <w:bCs/>
          <w:i/>
          <w:sz w:val="20"/>
          <w:lang w:val="es-MX" w:eastAsia="es-MX"/>
        </w:rPr>
        <w:t>Quinto.</w:t>
      </w:r>
      <w:r w:rsidRPr="00772E2E">
        <w:rPr>
          <w:rFonts w:ascii="Palatino Linotype" w:hAnsi="Palatino Linotype" w:cs="Arial"/>
          <w:i/>
          <w:sz w:val="20"/>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w:t>
      </w:r>
      <w:r w:rsidRPr="00772E2E">
        <w:rPr>
          <w:rFonts w:ascii="Palatino Linotype" w:hAnsi="Palatino Linotype" w:cs="Arial"/>
          <w:i/>
          <w:sz w:val="20"/>
          <w:lang w:val="es-MX" w:eastAsia="es-MX"/>
        </w:rPr>
        <w:lastRenderedPageBreak/>
        <w:t>obligaciones de transparencia, observando lo dispuesto en la Ley General y las demás disposiciones aplicables en la materia.</w:t>
      </w:r>
    </w:p>
    <w:p w14:paraId="704D6CC9" w14:textId="77777777" w:rsidR="006B6091" w:rsidRPr="00772E2E" w:rsidRDefault="006B6091" w:rsidP="006B6091">
      <w:pPr>
        <w:shd w:val="clear" w:color="auto" w:fill="FFFFFF"/>
        <w:spacing w:before="120" w:after="240"/>
        <w:ind w:left="851" w:right="902"/>
        <w:jc w:val="both"/>
        <w:rPr>
          <w:rFonts w:ascii="Palatino Linotype" w:hAnsi="Palatino Linotype" w:cs="Arial"/>
          <w:i/>
          <w:sz w:val="20"/>
          <w:lang w:val="es-MX" w:eastAsia="es-MX"/>
        </w:rPr>
      </w:pPr>
      <w:r w:rsidRPr="00772E2E">
        <w:rPr>
          <w:rFonts w:ascii="Palatino Linotype" w:hAnsi="Palatino Linotype" w:cs="Arial"/>
          <w:b/>
          <w:bCs/>
          <w:i/>
          <w:sz w:val="20"/>
          <w:lang w:val="es-MX" w:eastAsia="es-MX"/>
        </w:rPr>
        <w:t>Octavo. </w:t>
      </w:r>
      <w:r w:rsidRPr="00772E2E">
        <w:rPr>
          <w:rFonts w:ascii="Palatino Linotype" w:hAnsi="Palatino Linotype" w:cs="Arial"/>
          <w:i/>
          <w:sz w:val="20"/>
          <w:lang w:val="es-MX" w:eastAsia="es-MX"/>
        </w:rPr>
        <w:t>Para fundar la clasificación de la información se debe señalar el artículo, fracción, inciso, párrafo o numeral de la ley o tratado internacional suscrito por el Estado mexicano que expresamente le otorga el carácter de reservada o confidencial.</w:t>
      </w:r>
    </w:p>
    <w:p w14:paraId="65535B5F" w14:textId="77777777" w:rsidR="006B6091" w:rsidRPr="00772E2E" w:rsidRDefault="006B6091" w:rsidP="006B6091">
      <w:pPr>
        <w:shd w:val="clear" w:color="auto" w:fill="FFFFFF"/>
        <w:spacing w:before="120" w:after="240"/>
        <w:ind w:left="851" w:right="902"/>
        <w:jc w:val="both"/>
        <w:rPr>
          <w:rFonts w:ascii="Palatino Linotype" w:hAnsi="Palatino Linotype" w:cs="Arial"/>
          <w:i/>
          <w:sz w:val="20"/>
          <w:lang w:val="es-MX" w:eastAsia="es-MX"/>
        </w:rPr>
      </w:pPr>
      <w:r w:rsidRPr="00772E2E">
        <w:rPr>
          <w:rFonts w:ascii="Palatino Linotype" w:hAnsi="Palatino Linotype" w:cs="Arial"/>
          <w:i/>
          <w:sz w:val="20"/>
          <w:lang w:val="es-MX" w:eastAsia="es-MX"/>
        </w:rPr>
        <w:t>Para motivar la clasificación se deberán señalar las razones o circunstancias especiales que lo llevaron a concluir que el caso particular se ajusta al supuesto previsto por la norma legal invocada como fundamento.</w:t>
      </w:r>
    </w:p>
    <w:p w14:paraId="49E52B32" w14:textId="77777777" w:rsidR="006B6091" w:rsidRPr="00772E2E" w:rsidRDefault="006B6091" w:rsidP="006B6091">
      <w:pPr>
        <w:shd w:val="clear" w:color="auto" w:fill="FFFFFF"/>
        <w:spacing w:before="120" w:after="240"/>
        <w:ind w:left="851" w:right="902"/>
        <w:jc w:val="both"/>
        <w:rPr>
          <w:rFonts w:ascii="Palatino Linotype" w:hAnsi="Palatino Linotype" w:cs="Arial"/>
          <w:i/>
          <w:sz w:val="20"/>
          <w:u w:val="single"/>
          <w:lang w:val="es-MX" w:eastAsia="es-MX"/>
        </w:rPr>
      </w:pPr>
      <w:r w:rsidRPr="00772E2E">
        <w:rPr>
          <w:rFonts w:ascii="Palatino Linotype" w:hAnsi="Palatino Linotype" w:cs="Arial"/>
          <w:i/>
          <w:sz w:val="20"/>
          <w:lang w:val="es-MX" w:eastAsia="es-MX"/>
        </w:rPr>
        <w:t>…</w:t>
      </w:r>
    </w:p>
    <w:p w14:paraId="77B6F547" w14:textId="77777777" w:rsidR="006B6091" w:rsidRPr="00772E2E" w:rsidRDefault="006B6091" w:rsidP="006B6091">
      <w:pPr>
        <w:shd w:val="clear" w:color="auto" w:fill="FFFFFF"/>
        <w:spacing w:before="120" w:after="240"/>
        <w:ind w:left="851" w:right="902"/>
        <w:jc w:val="center"/>
        <w:rPr>
          <w:rFonts w:ascii="Palatino Linotype" w:hAnsi="Palatino Linotype" w:cs="Arial"/>
          <w:b/>
          <w:bCs/>
          <w:i/>
          <w:sz w:val="20"/>
          <w:lang w:val="es-MX" w:eastAsia="es-MX"/>
        </w:rPr>
      </w:pPr>
      <w:r w:rsidRPr="00772E2E">
        <w:rPr>
          <w:rFonts w:ascii="Palatino Linotype" w:hAnsi="Palatino Linotype" w:cs="Arial"/>
          <w:b/>
          <w:bCs/>
          <w:i/>
          <w:sz w:val="20"/>
          <w:lang w:val="es-MX" w:eastAsia="es-MX"/>
        </w:rPr>
        <w:t>DE LA INFORMACIÓN CONFIDENCIAL</w:t>
      </w:r>
    </w:p>
    <w:p w14:paraId="40EC9603" w14:textId="77777777" w:rsidR="006B6091" w:rsidRPr="00772E2E" w:rsidRDefault="006B6091" w:rsidP="006B6091">
      <w:pPr>
        <w:shd w:val="clear" w:color="auto" w:fill="FFFFFF"/>
        <w:spacing w:before="120" w:after="240"/>
        <w:ind w:left="851" w:right="902"/>
        <w:jc w:val="both"/>
        <w:rPr>
          <w:rFonts w:ascii="Palatino Linotype" w:hAnsi="Palatino Linotype" w:cs="Arial"/>
          <w:i/>
          <w:sz w:val="20"/>
          <w:lang w:val="es-MX" w:eastAsia="es-MX"/>
        </w:rPr>
      </w:pPr>
      <w:r w:rsidRPr="00772E2E">
        <w:rPr>
          <w:rFonts w:ascii="Palatino Linotype" w:hAnsi="Palatino Linotype" w:cs="Arial"/>
          <w:b/>
          <w:bCs/>
          <w:i/>
          <w:sz w:val="20"/>
          <w:lang w:val="es-MX" w:eastAsia="es-MX"/>
        </w:rPr>
        <w:t>Trigésimo octavo. </w:t>
      </w:r>
      <w:r w:rsidRPr="00772E2E">
        <w:rPr>
          <w:rFonts w:ascii="Palatino Linotype" w:hAnsi="Palatino Linotype" w:cs="Arial"/>
          <w:i/>
          <w:sz w:val="20"/>
          <w:lang w:val="es-MX" w:eastAsia="es-MX"/>
        </w:rPr>
        <w:t>Se considera información confidencial:</w:t>
      </w:r>
    </w:p>
    <w:p w14:paraId="4F43B640" w14:textId="77777777" w:rsidR="006B6091" w:rsidRPr="00772E2E" w:rsidRDefault="006B6091" w:rsidP="006B6091">
      <w:pPr>
        <w:shd w:val="clear" w:color="auto" w:fill="FFFFFF"/>
        <w:spacing w:before="120" w:after="240"/>
        <w:ind w:left="1134" w:right="902"/>
        <w:jc w:val="both"/>
        <w:rPr>
          <w:rFonts w:ascii="Palatino Linotype" w:hAnsi="Palatino Linotype" w:cs="Arial"/>
          <w:b/>
          <w:i/>
          <w:sz w:val="20"/>
          <w:u w:val="single"/>
          <w:lang w:val="es-MX" w:eastAsia="es-MX"/>
        </w:rPr>
      </w:pPr>
      <w:r w:rsidRPr="00772E2E">
        <w:rPr>
          <w:rFonts w:ascii="Palatino Linotype" w:hAnsi="Palatino Linotype" w:cs="Arial"/>
          <w:b/>
          <w:bCs/>
          <w:i/>
          <w:sz w:val="20"/>
          <w:lang w:val="es-MX" w:eastAsia="es-MX"/>
        </w:rPr>
        <w:t>I.</w:t>
      </w:r>
      <w:r w:rsidRPr="00772E2E">
        <w:rPr>
          <w:rFonts w:ascii="Palatino Linotype" w:hAnsi="Palatino Linotype" w:cs="Arial"/>
          <w:b/>
          <w:i/>
          <w:sz w:val="20"/>
          <w:lang w:val="es-MX" w:eastAsia="es-MX"/>
        </w:rPr>
        <w:t>        </w:t>
      </w:r>
      <w:r w:rsidRPr="00772E2E">
        <w:rPr>
          <w:rFonts w:ascii="Palatino Linotype" w:hAnsi="Palatino Linotype" w:cs="Arial"/>
          <w:b/>
          <w:i/>
          <w:sz w:val="20"/>
          <w:u w:val="single"/>
          <w:lang w:val="es-MX" w:eastAsia="es-MX"/>
        </w:rPr>
        <w:t>Los datos personales en los términos de la norma aplicable;</w:t>
      </w:r>
    </w:p>
    <w:p w14:paraId="73B381D3" w14:textId="77777777" w:rsidR="006B6091" w:rsidRPr="00772E2E" w:rsidRDefault="006B6091" w:rsidP="006B6091">
      <w:pPr>
        <w:shd w:val="clear" w:color="auto" w:fill="FFFFFF"/>
        <w:spacing w:before="120" w:after="240"/>
        <w:ind w:left="1134" w:right="902"/>
        <w:jc w:val="both"/>
        <w:rPr>
          <w:rFonts w:ascii="Palatino Linotype" w:hAnsi="Palatino Linotype" w:cs="Arial"/>
          <w:i/>
          <w:sz w:val="20"/>
          <w:lang w:val="es-MX" w:eastAsia="es-MX"/>
        </w:rPr>
      </w:pPr>
      <w:r w:rsidRPr="00772E2E">
        <w:rPr>
          <w:rFonts w:ascii="Palatino Linotype" w:hAnsi="Palatino Linotype" w:cs="Arial"/>
          <w:b/>
          <w:bCs/>
          <w:i/>
          <w:sz w:val="20"/>
          <w:lang w:val="es-MX" w:eastAsia="es-MX"/>
        </w:rPr>
        <w:t>II.</w:t>
      </w:r>
      <w:r w:rsidRPr="00772E2E">
        <w:rPr>
          <w:rFonts w:ascii="Palatino Linotype" w:hAnsi="Palatino Linotype" w:cs="Arial"/>
          <w:i/>
          <w:sz w:val="20"/>
          <w:lang w:val="es-MX" w:eastAsia="es-MX"/>
        </w:rPr>
        <w:t>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8886DEB" w14:textId="77777777" w:rsidR="006B6091" w:rsidRPr="00772E2E" w:rsidRDefault="006B6091" w:rsidP="006B6091">
      <w:pPr>
        <w:shd w:val="clear" w:color="auto" w:fill="FFFFFF"/>
        <w:spacing w:before="120" w:after="240"/>
        <w:ind w:left="1134" w:right="902"/>
        <w:jc w:val="both"/>
        <w:rPr>
          <w:rFonts w:ascii="Palatino Linotype" w:hAnsi="Palatino Linotype" w:cs="Arial"/>
          <w:i/>
          <w:sz w:val="20"/>
          <w:lang w:val="es-MX" w:eastAsia="es-MX"/>
        </w:rPr>
      </w:pPr>
      <w:r w:rsidRPr="00772E2E">
        <w:rPr>
          <w:rFonts w:ascii="Palatino Linotype" w:hAnsi="Palatino Linotype" w:cs="Arial"/>
          <w:b/>
          <w:bCs/>
          <w:i/>
          <w:sz w:val="20"/>
          <w:lang w:val="es-MX" w:eastAsia="es-MX"/>
        </w:rPr>
        <w:t>III</w:t>
      </w:r>
      <w:r>
        <w:rPr>
          <w:rFonts w:ascii="Palatino Linotype" w:hAnsi="Palatino Linotype" w:cs="Arial"/>
          <w:b/>
          <w:bCs/>
          <w:i/>
          <w:sz w:val="20"/>
          <w:lang w:val="es-MX" w:eastAsia="es-MX"/>
        </w:rPr>
        <w:t>…</w:t>
      </w:r>
    </w:p>
    <w:p w14:paraId="34EDAA5C" w14:textId="77777777" w:rsidR="006B6091" w:rsidRPr="00772E2E" w:rsidRDefault="006B6091" w:rsidP="006B6091">
      <w:pPr>
        <w:shd w:val="clear" w:color="auto" w:fill="FFFFFF"/>
        <w:spacing w:before="120" w:after="240"/>
        <w:ind w:left="1134" w:right="902"/>
        <w:jc w:val="both"/>
        <w:rPr>
          <w:rFonts w:ascii="Palatino Linotype" w:hAnsi="Palatino Linotype" w:cs="Arial"/>
          <w:i/>
          <w:sz w:val="20"/>
          <w:lang w:val="es-MX" w:eastAsia="es-MX"/>
        </w:rPr>
      </w:pPr>
      <w:r w:rsidRPr="00772E2E">
        <w:rPr>
          <w:rFonts w:ascii="Palatino Linotype" w:hAnsi="Palatino Linotype" w:cs="Arial"/>
          <w:i/>
          <w:sz w:val="20"/>
          <w:lang w:val="es-MX" w:eastAsia="es-MX"/>
        </w:rPr>
        <w:t>La información confidencial no estará sujeta a temporalidad alguna y sólo podrán tener acceso a ella los titulares de la misma, sus representantes y los servidores públicos facultados para ello.”</w:t>
      </w:r>
    </w:p>
    <w:p w14:paraId="0136ABEC" w14:textId="77777777" w:rsidR="006B6091" w:rsidRDefault="006B6091" w:rsidP="006B6091">
      <w:pPr>
        <w:spacing w:before="240" w:after="240" w:line="360" w:lineRule="auto"/>
        <w:ind w:right="49"/>
        <w:jc w:val="both"/>
        <w:rPr>
          <w:rFonts w:ascii="Palatino Linotype" w:hAnsi="Palatino Linotype"/>
        </w:rPr>
      </w:pPr>
    </w:p>
    <w:p w14:paraId="050CEE5C" w14:textId="77777777" w:rsidR="00D53F7C" w:rsidRDefault="00D53F7C" w:rsidP="00D53F7C"/>
    <w:p w14:paraId="1BD4809D" w14:textId="63AB4F0A" w:rsidR="00DF134A" w:rsidRDefault="00DF134A" w:rsidP="00F47385">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sidR="00F00F13">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sidR="00E6267E">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175481B3" w14:textId="77777777" w:rsidR="00DF134A" w:rsidRPr="0040233B" w:rsidRDefault="00DF134A" w:rsidP="00DF134A">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06EAF54A" w14:textId="23B12F8E" w:rsidR="00EB1D3A" w:rsidRPr="0040233B" w:rsidRDefault="00EB1D3A" w:rsidP="00EB1D3A">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lastRenderedPageBreak/>
        <w:t>PRIMERO</w:t>
      </w:r>
      <w:r w:rsidRPr="0040233B">
        <w:rPr>
          <w:rFonts w:ascii="Palatino Linotype" w:hAnsi="Palatino Linotype" w:cs="Arial"/>
          <w:sz w:val="28"/>
        </w:rPr>
        <w:t xml:space="preserve">. </w:t>
      </w:r>
      <w:r w:rsidRPr="002C4011">
        <w:rPr>
          <w:rFonts w:ascii="Palatino Linotype" w:hAnsi="Palatino Linotype" w:cs="Arial"/>
          <w:bCs/>
          <w:lang w:eastAsia="es-MX"/>
        </w:rPr>
        <w:t xml:space="preserve">Resulta </w:t>
      </w:r>
      <w:r>
        <w:rPr>
          <w:rFonts w:ascii="Palatino Linotype" w:hAnsi="Palatino Linotype" w:cs="Arial"/>
          <w:bCs/>
          <w:lang w:eastAsia="es-MX"/>
        </w:rPr>
        <w:t xml:space="preserve">parcialmente fundado </w:t>
      </w:r>
      <w:r w:rsidR="0039220F">
        <w:rPr>
          <w:rFonts w:ascii="Palatino Linotype" w:hAnsi="Palatino Linotype" w:cs="Arial"/>
          <w:bCs/>
          <w:lang w:eastAsia="es-MX"/>
        </w:rPr>
        <w:t>el</w:t>
      </w:r>
      <w:r>
        <w:rPr>
          <w:rFonts w:ascii="Palatino Linotype" w:hAnsi="Palatino Linotype" w:cs="Arial"/>
          <w:bCs/>
          <w:lang w:eastAsia="es-MX"/>
        </w:rPr>
        <w:t xml:space="preserve"> motivo </w:t>
      </w:r>
      <w:r w:rsidRPr="004B7C83">
        <w:rPr>
          <w:rFonts w:ascii="Palatino Linotype" w:hAnsi="Palatino Linotype" w:cs="Arial"/>
          <w:bCs/>
          <w:lang w:eastAsia="es-MX"/>
        </w:rPr>
        <w:t xml:space="preserve">de inconformidad </w:t>
      </w:r>
      <w:r>
        <w:rPr>
          <w:rFonts w:ascii="Palatino Linotype" w:hAnsi="Palatino Linotype" w:cs="Arial"/>
          <w:bCs/>
          <w:lang w:eastAsia="es-MX"/>
        </w:rPr>
        <w:t xml:space="preserve">planteado por </w:t>
      </w:r>
      <w:r w:rsidR="00362E37">
        <w:rPr>
          <w:rFonts w:ascii="Palatino Linotype" w:hAnsi="Palatino Linotype" w:cs="Arial"/>
          <w:bCs/>
          <w:lang w:eastAsia="es-MX"/>
        </w:rPr>
        <w:t>el</w:t>
      </w:r>
      <w:r w:rsidRPr="004B7C83">
        <w:rPr>
          <w:rFonts w:ascii="Palatino Linotype" w:hAnsi="Palatino Linotype" w:cs="Arial"/>
          <w:bCs/>
          <w:lang w:eastAsia="es-MX"/>
        </w:rPr>
        <w:t xml:space="preserve"> </w:t>
      </w:r>
      <w:r>
        <w:rPr>
          <w:rFonts w:ascii="Palatino Linotype" w:hAnsi="Palatino Linotype" w:cs="Arial"/>
          <w:b/>
          <w:bCs/>
          <w:i/>
          <w:lang w:eastAsia="es-MX"/>
        </w:rPr>
        <w:t>R</w:t>
      </w:r>
      <w:r w:rsidRPr="00EB3E96">
        <w:rPr>
          <w:rFonts w:ascii="Palatino Linotype" w:hAnsi="Palatino Linotype" w:cs="Arial"/>
          <w:b/>
          <w:bCs/>
          <w:i/>
          <w:lang w:eastAsia="es-MX"/>
        </w:rPr>
        <w:t>ecurrente</w:t>
      </w:r>
      <w:r>
        <w:rPr>
          <w:rFonts w:ascii="Palatino Linotype" w:hAnsi="Palatino Linotype" w:cs="Arial"/>
        </w:rPr>
        <w:t xml:space="preserve">, en términos del Considerando CUARTO de esta resolución, por lo que </w:t>
      </w:r>
      <w:r w:rsidRPr="00CD59DC">
        <w:rPr>
          <w:rFonts w:ascii="Palatino Linotype" w:hAnsi="Palatino Linotype" w:cs="Arial"/>
        </w:rPr>
        <w:t xml:space="preserve">se determina </w:t>
      </w:r>
      <w:r>
        <w:rPr>
          <w:rFonts w:ascii="Palatino Linotype" w:hAnsi="Palatino Linotype" w:cs="Arial"/>
          <w:b/>
          <w:color w:val="000000" w:themeColor="text1"/>
        </w:rPr>
        <w:t>MODIFI</w:t>
      </w:r>
      <w:r w:rsidRPr="00213D2C">
        <w:rPr>
          <w:rFonts w:ascii="Palatino Linotype" w:hAnsi="Palatino Linotype" w:cs="Arial"/>
          <w:b/>
          <w:color w:val="000000" w:themeColor="text1"/>
        </w:rPr>
        <w:t>CAR</w:t>
      </w:r>
      <w:r w:rsidRPr="00CD59DC">
        <w:rPr>
          <w:rFonts w:ascii="Palatino Linotype" w:hAnsi="Palatino Linotype" w:cs="Arial"/>
          <w:b/>
        </w:rPr>
        <w:t xml:space="preserve"> </w:t>
      </w:r>
      <w:r>
        <w:rPr>
          <w:rFonts w:ascii="Palatino Linotype" w:hAnsi="Palatino Linotype" w:cs="Arial"/>
        </w:rPr>
        <w:t xml:space="preserve">la respuesta emitida por </w:t>
      </w:r>
      <w:r w:rsidR="00914DB4">
        <w:rPr>
          <w:rFonts w:ascii="Palatino Linotype" w:hAnsi="Palatino Linotype" w:cs="Arial"/>
        </w:rPr>
        <w:t>e</w:t>
      </w:r>
      <w:r>
        <w:rPr>
          <w:rFonts w:ascii="Palatino Linotype" w:hAnsi="Palatino Linotype" w:cs="Arial"/>
        </w:rPr>
        <w:t xml:space="preserve">l </w:t>
      </w:r>
      <w:r w:rsidR="00DF04BA">
        <w:rPr>
          <w:rFonts w:ascii="Palatino Linotype" w:hAnsi="Palatino Linotype" w:cs="Arial"/>
        </w:rPr>
        <w:t>Ayuntamiento de Huixquilucan</w:t>
      </w:r>
      <w:r>
        <w:rPr>
          <w:rFonts w:ascii="Palatino Linotype" w:hAnsi="Palatino Linotype" w:cs="Arial"/>
        </w:rPr>
        <w:t>.</w:t>
      </w:r>
    </w:p>
    <w:p w14:paraId="7ED0D1CD" w14:textId="48309D04" w:rsidR="00EB1D3A" w:rsidRPr="000D40FE" w:rsidRDefault="00EB1D3A" w:rsidP="00EB1D3A">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b/>
          <w:sz w:val="28"/>
        </w:rPr>
        <w:t xml:space="preserve"> </w:t>
      </w:r>
      <w:r w:rsidRPr="000D40FE">
        <w:rPr>
          <w:rFonts w:ascii="Palatino Linotype" w:hAnsi="Palatino Linotype" w:cs="Arial"/>
        </w:rPr>
        <w:t>Se</w:t>
      </w:r>
      <w:r w:rsidRPr="000D40FE">
        <w:rPr>
          <w:rFonts w:ascii="Palatino Linotype" w:hAnsi="Palatino Linotype" w:cs="Arial"/>
          <w:b/>
        </w:rPr>
        <w:t xml:space="preserve"> ORDENA </w:t>
      </w:r>
      <w:r w:rsidRPr="000D40FE">
        <w:rPr>
          <w:rFonts w:ascii="Palatino Linotype" w:hAnsi="Palatino Linotype" w:cs="Arial"/>
        </w:rPr>
        <w:t xml:space="preserve">al </w:t>
      </w:r>
      <w:r w:rsidR="00DF04BA">
        <w:rPr>
          <w:rFonts w:ascii="Palatino Linotype" w:hAnsi="Palatino Linotype" w:cs="Arial"/>
          <w:b/>
        </w:rPr>
        <w:t>Ayuntamiento de Huixquilucan</w:t>
      </w:r>
      <w:r w:rsidRPr="000D40FE">
        <w:rPr>
          <w:rFonts w:ascii="Palatino Linotype" w:hAnsi="Palatino Linotype" w:cs="Arial"/>
          <w:b/>
        </w:rPr>
        <w:t xml:space="preserve">, </w:t>
      </w:r>
      <w:r w:rsidRPr="000D40FE">
        <w:rPr>
          <w:rFonts w:ascii="Palatino Linotype" w:hAnsi="Palatino Linotype" w:cs="Arial"/>
        </w:rPr>
        <w:t xml:space="preserve">Sujeto Obligado, atienda la solicitud de información número </w:t>
      </w:r>
      <w:r w:rsidR="00DF04BA">
        <w:rPr>
          <w:rFonts w:ascii="Palatino Linotype" w:hAnsi="Palatino Linotype" w:cs="Arial"/>
          <w:b/>
        </w:rPr>
        <w:t>00350/HUIXQUIL</w:t>
      </w:r>
      <w:r>
        <w:rPr>
          <w:rFonts w:ascii="Palatino Linotype" w:hAnsi="Palatino Linotype" w:cs="Arial"/>
          <w:b/>
        </w:rPr>
        <w:t>/IP/2018</w:t>
      </w:r>
      <w:r w:rsidRPr="000D40FE">
        <w:rPr>
          <w:rFonts w:ascii="Palatino Linotype" w:hAnsi="Palatino Linotype"/>
          <w:bCs/>
        </w:rPr>
        <w:t xml:space="preserve">, y </w:t>
      </w:r>
      <w:r w:rsidRPr="000D40FE">
        <w:rPr>
          <w:rFonts w:ascii="Palatino Linotype" w:hAnsi="Palatino Linotype" w:cs="Arial"/>
        </w:rPr>
        <w:t xml:space="preserve">haga entrega vía SAIMEX, </w:t>
      </w:r>
      <w:r>
        <w:rPr>
          <w:rFonts w:ascii="Palatino Linotype" w:hAnsi="Palatino Linotype" w:cs="Arial"/>
        </w:rPr>
        <w:t xml:space="preserve">en </w:t>
      </w:r>
      <w:r w:rsidRPr="000D40FE">
        <w:rPr>
          <w:rFonts w:ascii="Palatino Linotype" w:hAnsi="Palatino Linotype" w:cs="Arial"/>
        </w:rPr>
        <w:t xml:space="preserve">términos del Considerando </w:t>
      </w:r>
      <w:r>
        <w:rPr>
          <w:rFonts w:ascii="Palatino Linotype" w:hAnsi="Palatino Linotype" w:cs="Arial"/>
        </w:rPr>
        <w:t>CUARTO</w:t>
      </w:r>
      <w:r w:rsidR="0039220F">
        <w:rPr>
          <w:rFonts w:ascii="Palatino Linotype" w:hAnsi="Palatino Linotype" w:cs="Arial"/>
        </w:rPr>
        <w:t xml:space="preserve"> y QUINTO</w:t>
      </w:r>
      <w:r>
        <w:rPr>
          <w:rFonts w:ascii="Palatino Linotype" w:hAnsi="Palatino Linotype" w:cs="Arial"/>
        </w:rPr>
        <w:t xml:space="preserve"> de esta resolución</w:t>
      </w:r>
      <w:r w:rsidRPr="006058FE">
        <w:rPr>
          <w:rFonts w:ascii="Palatino Linotype" w:hAnsi="Palatino Linotype" w:cs="Arial"/>
        </w:rPr>
        <w:t xml:space="preserve">, </w:t>
      </w:r>
      <w:r>
        <w:rPr>
          <w:rFonts w:ascii="Palatino Linotype" w:hAnsi="Palatino Linotype" w:cs="Arial"/>
        </w:rPr>
        <w:t xml:space="preserve">de </w:t>
      </w:r>
      <w:r w:rsidR="00914DB4">
        <w:rPr>
          <w:rFonts w:ascii="Palatino Linotype" w:hAnsi="Palatino Linotype" w:cs="Arial"/>
        </w:rPr>
        <w:t xml:space="preserve">ser procedente en versión pública de </w:t>
      </w:r>
      <w:r>
        <w:rPr>
          <w:rFonts w:ascii="Palatino Linotype" w:hAnsi="Palatino Linotype" w:cs="Arial"/>
        </w:rPr>
        <w:t>lo siguiente:</w:t>
      </w:r>
    </w:p>
    <w:p w14:paraId="0FF98D34" w14:textId="30CD7B48" w:rsidR="00E7747A" w:rsidRPr="00E7747A" w:rsidRDefault="00E7747A" w:rsidP="00EB1D3A">
      <w:pPr>
        <w:pStyle w:val="Prrafodelista"/>
        <w:numPr>
          <w:ilvl w:val="0"/>
          <w:numId w:val="10"/>
        </w:numPr>
        <w:tabs>
          <w:tab w:val="left" w:pos="709"/>
        </w:tabs>
        <w:autoSpaceDE w:val="0"/>
        <w:autoSpaceDN w:val="0"/>
        <w:adjustRightInd w:val="0"/>
        <w:spacing w:before="240" w:after="240" w:line="360" w:lineRule="auto"/>
        <w:ind w:left="993" w:right="567"/>
        <w:jc w:val="both"/>
        <w:rPr>
          <w:rFonts w:ascii="Palatino Linotype" w:hAnsi="Palatino Linotype" w:cs="Arial"/>
          <w:i/>
          <w:sz w:val="20"/>
          <w:szCs w:val="20"/>
        </w:rPr>
      </w:pPr>
      <w:r>
        <w:rPr>
          <w:rFonts w:ascii="Palatino Linotype" w:hAnsi="Palatino Linotype"/>
          <w:b/>
        </w:rPr>
        <w:t>E</w:t>
      </w:r>
      <w:r w:rsidRPr="00E7747A">
        <w:rPr>
          <w:rFonts w:ascii="Palatino Linotype" w:hAnsi="Palatino Linotype"/>
          <w:b/>
        </w:rPr>
        <w:t>xpresión documental en el que conste</w:t>
      </w:r>
      <w:r w:rsidR="000E7152">
        <w:rPr>
          <w:rFonts w:ascii="Palatino Linotype" w:hAnsi="Palatino Linotype"/>
          <w:b/>
        </w:rPr>
        <w:t>,</w:t>
      </w:r>
      <w:r w:rsidRPr="00E7747A">
        <w:rPr>
          <w:rFonts w:ascii="Palatino Linotype" w:hAnsi="Palatino Linotype"/>
          <w:b/>
        </w:rPr>
        <w:t xml:space="preserve"> los recursos erogados para la construcción del edificio que ocupa la Dirección de Administración</w:t>
      </w:r>
      <w:r>
        <w:rPr>
          <w:rFonts w:ascii="Palatino Linotype" w:hAnsi="Palatino Linotype"/>
          <w:b/>
        </w:rPr>
        <w:t>.</w:t>
      </w:r>
    </w:p>
    <w:p w14:paraId="1F32B6B5" w14:textId="6889DF8A" w:rsidR="00EB1D3A" w:rsidRPr="008C19C7" w:rsidRDefault="00914DB4" w:rsidP="00EB1D3A">
      <w:pPr>
        <w:pStyle w:val="Prrafodelista"/>
        <w:numPr>
          <w:ilvl w:val="0"/>
          <w:numId w:val="10"/>
        </w:numPr>
        <w:tabs>
          <w:tab w:val="left" w:pos="709"/>
        </w:tabs>
        <w:autoSpaceDE w:val="0"/>
        <w:autoSpaceDN w:val="0"/>
        <w:adjustRightInd w:val="0"/>
        <w:spacing w:before="240" w:after="240" w:line="360" w:lineRule="auto"/>
        <w:ind w:left="993" w:right="567"/>
        <w:jc w:val="both"/>
        <w:rPr>
          <w:rFonts w:ascii="Palatino Linotype" w:hAnsi="Palatino Linotype" w:cs="Arial"/>
          <w:i/>
          <w:sz w:val="20"/>
          <w:szCs w:val="20"/>
        </w:rPr>
      </w:pPr>
      <w:r>
        <w:rPr>
          <w:rFonts w:ascii="Palatino Linotype" w:hAnsi="Palatino Linotype" w:cs="Arial"/>
          <w:b/>
          <w:lang w:eastAsia="es-CO"/>
        </w:rPr>
        <w:t>F</w:t>
      </w:r>
      <w:r w:rsidR="008C19C7">
        <w:rPr>
          <w:rFonts w:ascii="Palatino Linotype" w:hAnsi="Palatino Linotype" w:cs="Arial"/>
          <w:b/>
          <w:lang w:eastAsia="es-CO"/>
        </w:rPr>
        <w:t>actura enviada en respuesta.</w:t>
      </w:r>
    </w:p>
    <w:p w14:paraId="08489175" w14:textId="1CFF03A1" w:rsidR="008C19C7" w:rsidRDefault="008C19C7" w:rsidP="008C19C7">
      <w:pPr>
        <w:tabs>
          <w:tab w:val="left" w:pos="8080"/>
        </w:tabs>
        <w:spacing w:after="120"/>
        <w:jc w:val="both"/>
        <w:rPr>
          <w:rFonts w:ascii="Palatino Linotype" w:hAnsi="Palatino Linotype" w:cs="Arial"/>
          <w:i/>
          <w:sz w:val="20"/>
          <w:szCs w:val="20"/>
        </w:rPr>
      </w:pPr>
      <w:r>
        <w:rPr>
          <w:rFonts w:ascii="Palatino Linotype" w:hAnsi="Palatino Linotype" w:cs="Arial"/>
          <w:i/>
          <w:sz w:val="20"/>
          <w:szCs w:val="20"/>
        </w:rPr>
        <w:t>E</w:t>
      </w:r>
      <w:r w:rsidRPr="008C19C7">
        <w:rPr>
          <w:rFonts w:ascii="Palatino Linotype" w:hAnsi="Palatino Linotype" w:cs="Arial"/>
          <w:i/>
          <w:sz w:val="20"/>
          <w:szCs w:val="20"/>
        </w:rPr>
        <w:t xml:space="preserv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8C19C7">
        <w:rPr>
          <w:rFonts w:ascii="Palatino Linotype" w:hAnsi="Palatino Linotype" w:cs="Arial"/>
          <w:b/>
          <w:i/>
          <w:sz w:val="20"/>
          <w:szCs w:val="20"/>
        </w:rPr>
        <w:t>Recurrente</w:t>
      </w:r>
      <w:r w:rsidRPr="008C19C7">
        <w:rPr>
          <w:rFonts w:ascii="Palatino Linotype" w:hAnsi="Palatino Linotype" w:cs="Arial"/>
          <w:i/>
          <w:sz w:val="20"/>
          <w:szCs w:val="20"/>
        </w:rPr>
        <w:t>.</w:t>
      </w:r>
    </w:p>
    <w:p w14:paraId="13DF66CD" w14:textId="58120833" w:rsidR="00914DB4" w:rsidRPr="00403703" w:rsidRDefault="00914DB4" w:rsidP="00914DB4">
      <w:pPr>
        <w:tabs>
          <w:tab w:val="left" w:pos="8080"/>
        </w:tabs>
        <w:spacing w:before="120" w:after="120"/>
        <w:ind w:right="49"/>
        <w:jc w:val="both"/>
        <w:rPr>
          <w:rFonts w:ascii="Palatino Linotype" w:hAnsi="Palatino Linotype" w:cs="Arial"/>
          <w:i/>
          <w:sz w:val="20"/>
          <w:szCs w:val="20"/>
        </w:rPr>
      </w:pPr>
      <w:r>
        <w:rPr>
          <w:rFonts w:ascii="Palatino Linotype" w:hAnsi="Palatino Linotype" w:cs="Arial"/>
          <w:i/>
          <w:sz w:val="20"/>
          <w:szCs w:val="20"/>
        </w:rPr>
        <w:t>En</w:t>
      </w:r>
      <w:r w:rsidRPr="00403703">
        <w:rPr>
          <w:rFonts w:ascii="Palatino Linotype" w:hAnsi="Palatino Linotype" w:cs="Arial"/>
          <w:i/>
          <w:sz w:val="20"/>
          <w:szCs w:val="20"/>
        </w:rPr>
        <w:t xml:space="preserve"> el caso de no poseer la información</w:t>
      </w:r>
      <w:r>
        <w:rPr>
          <w:rFonts w:ascii="Palatino Linotype" w:hAnsi="Palatino Linotype" w:cs="Arial"/>
          <w:i/>
          <w:sz w:val="20"/>
          <w:szCs w:val="20"/>
        </w:rPr>
        <w:t xml:space="preserve"> ordenada en el numeral </w:t>
      </w:r>
      <w:r w:rsidR="00311601">
        <w:rPr>
          <w:rFonts w:ascii="Palatino Linotype" w:hAnsi="Palatino Linotype" w:cs="Arial"/>
          <w:i/>
          <w:sz w:val="20"/>
          <w:szCs w:val="20"/>
        </w:rPr>
        <w:t>1</w:t>
      </w:r>
      <w:r w:rsidRPr="00403703">
        <w:rPr>
          <w:rFonts w:ascii="Palatino Linotype" w:hAnsi="Palatino Linotype" w:cs="Arial"/>
          <w:i/>
          <w:sz w:val="20"/>
          <w:szCs w:val="20"/>
        </w:rPr>
        <w:t xml:space="preserve"> bastará con el s</w:t>
      </w:r>
      <w:r>
        <w:rPr>
          <w:rFonts w:ascii="Palatino Linotype" w:hAnsi="Palatino Linotype" w:cs="Arial"/>
          <w:i/>
          <w:sz w:val="20"/>
          <w:szCs w:val="20"/>
        </w:rPr>
        <w:t>ó</w:t>
      </w:r>
      <w:r w:rsidRPr="00403703">
        <w:rPr>
          <w:rFonts w:ascii="Palatino Linotype" w:hAnsi="Palatino Linotype" w:cs="Arial"/>
          <w:i/>
          <w:sz w:val="20"/>
          <w:szCs w:val="20"/>
        </w:rPr>
        <w:t xml:space="preserve">lo pronunciamiento por parte del </w:t>
      </w:r>
      <w:r w:rsidRPr="00403703">
        <w:rPr>
          <w:rFonts w:ascii="Palatino Linotype" w:hAnsi="Palatino Linotype" w:cs="Arial"/>
          <w:b/>
          <w:i/>
          <w:sz w:val="20"/>
          <w:szCs w:val="20"/>
        </w:rPr>
        <w:t>Sujeto Obligado</w:t>
      </w:r>
      <w:r>
        <w:rPr>
          <w:rFonts w:ascii="Palatino Linotype" w:hAnsi="Palatino Linotype" w:cs="Arial"/>
          <w:i/>
          <w:sz w:val="20"/>
          <w:szCs w:val="20"/>
        </w:rPr>
        <w:t xml:space="preserve"> de no tenerla, para tener por colmado el requerimiento de información.</w:t>
      </w:r>
    </w:p>
    <w:p w14:paraId="0C51AD38" w14:textId="77777777" w:rsidR="00914DB4" w:rsidRPr="008C19C7" w:rsidRDefault="00914DB4" w:rsidP="008C19C7">
      <w:pPr>
        <w:tabs>
          <w:tab w:val="left" w:pos="8080"/>
        </w:tabs>
        <w:spacing w:after="120"/>
        <w:jc w:val="both"/>
        <w:rPr>
          <w:rFonts w:ascii="Palatino Linotype" w:hAnsi="Palatino Linotype" w:cs="Arial"/>
          <w:i/>
          <w:sz w:val="20"/>
          <w:szCs w:val="20"/>
        </w:rPr>
      </w:pPr>
    </w:p>
    <w:p w14:paraId="79F6AB0D" w14:textId="77777777" w:rsidR="008C19C7" w:rsidRPr="008C19C7" w:rsidRDefault="008C19C7" w:rsidP="008C19C7">
      <w:pPr>
        <w:tabs>
          <w:tab w:val="left" w:pos="709"/>
        </w:tabs>
        <w:autoSpaceDE w:val="0"/>
        <w:autoSpaceDN w:val="0"/>
        <w:adjustRightInd w:val="0"/>
        <w:spacing w:before="240" w:after="240" w:line="360" w:lineRule="auto"/>
        <w:ind w:right="567"/>
        <w:jc w:val="both"/>
        <w:rPr>
          <w:rFonts w:ascii="Palatino Linotype" w:hAnsi="Palatino Linotype" w:cs="Arial"/>
          <w:i/>
          <w:sz w:val="20"/>
          <w:szCs w:val="20"/>
        </w:rPr>
      </w:pPr>
    </w:p>
    <w:p w14:paraId="1E24B28B" w14:textId="77777777" w:rsidR="00EB1D3A" w:rsidRPr="009B5CBA" w:rsidRDefault="00EB1D3A" w:rsidP="00EB1D3A">
      <w:pPr>
        <w:tabs>
          <w:tab w:val="left" w:pos="709"/>
        </w:tabs>
        <w:autoSpaceDE w:val="0"/>
        <w:autoSpaceDN w:val="0"/>
        <w:adjustRightInd w:val="0"/>
        <w:spacing w:before="240" w:after="240" w:line="360" w:lineRule="auto"/>
        <w:ind w:right="49"/>
        <w:jc w:val="both"/>
        <w:rPr>
          <w:rFonts w:ascii="Palatino Linotype" w:hAnsi="Palatino Linotype" w:cs="Arial"/>
          <w:lang w:val="es-MX" w:eastAsia="es-MX"/>
        </w:rPr>
      </w:pPr>
      <w:r>
        <w:rPr>
          <w:rFonts w:ascii="Palatino Linotype" w:hAnsi="Palatino Linotype" w:cs="Arial"/>
          <w:b/>
          <w:sz w:val="28"/>
          <w:szCs w:val="28"/>
          <w:lang w:val="es-MX" w:eastAsia="es-MX"/>
        </w:rPr>
        <w:t xml:space="preserve">TERCERO. </w:t>
      </w:r>
      <w:r w:rsidRPr="009B5CBA">
        <w:rPr>
          <w:rFonts w:ascii="Palatino Linotype" w:hAnsi="Palatino Linotype" w:cs="Arial"/>
          <w:b/>
          <w:lang w:val="es-MX" w:eastAsia="es-MX"/>
        </w:rPr>
        <w:t>Notifíquese,</w:t>
      </w:r>
      <w:r w:rsidRPr="009B5CBA">
        <w:rPr>
          <w:rFonts w:ascii="Palatino Linotype" w:hAnsi="Palatino Linotype" w:cs="Arial"/>
          <w:b/>
          <w:sz w:val="28"/>
          <w:szCs w:val="28"/>
          <w:lang w:val="es-MX" w:eastAsia="es-MX"/>
        </w:rPr>
        <w:t xml:space="preserve"> </w:t>
      </w:r>
      <w:r w:rsidRPr="009B5CBA">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w:t>
      </w:r>
      <w:r w:rsidRPr="009B5CBA">
        <w:rPr>
          <w:rFonts w:ascii="Palatino Linotype" w:hAnsi="Palatino Linotype" w:cs="Arial"/>
          <w:lang w:val="es-MX" w:eastAsia="es-MX"/>
        </w:rPr>
        <w:lastRenderedPageBreak/>
        <w:t>días hábiles, debiendo informar a este Instituto en un plazo de tres días hábiles siguientes sobre el cumplimiento dado a la presente resolución.</w:t>
      </w:r>
    </w:p>
    <w:p w14:paraId="00E24336" w14:textId="0FFDF6A6" w:rsidR="00EB1D3A" w:rsidRDefault="00EB1D3A" w:rsidP="00EB1D3A">
      <w:pPr>
        <w:spacing w:before="240" w:after="240" w:line="360" w:lineRule="auto"/>
        <w:jc w:val="both"/>
        <w:rPr>
          <w:rFonts w:ascii="Palatino Linotype" w:hAnsi="Palatino Linotype" w:cs="Arial"/>
        </w:rPr>
      </w:pPr>
      <w:r w:rsidRPr="00DD0FEA">
        <w:rPr>
          <w:rFonts w:ascii="Palatino Linotype" w:hAnsi="Palatino Linotype" w:cs="Arial"/>
          <w:b/>
          <w:sz w:val="28"/>
          <w:szCs w:val="28"/>
          <w:lang w:val="es-MX" w:eastAsia="es-MX"/>
        </w:rPr>
        <w:t xml:space="preserve">CUARTO. </w:t>
      </w:r>
      <w:r>
        <w:rPr>
          <w:rFonts w:ascii="Palatino Linotype" w:hAnsi="Palatino Linotype" w:cs="Arial"/>
          <w:b/>
        </w:rPr>
        <w:t>Notifíquese,</w:t>
      </w:r>
      <w:r>
        <w:rPr>
          <w:rFonts w:ascii="Palatino Linotype" w:hAnsi="Palatino Linotype" w:cs="Arial"/>
        </w:rPr>
        <w:t xml:space="preserve"> a</w:t>
      </w:r>
      <w:r>
        <w:rPr>
          <w:rFonts w:ascii="Palatino Linotype" w:hAnsi="Palatino Linotype" w:cs="Arial"/>
          <w:bCs/>
        </w:rPr>
        <w:t xml:space="preserve">l </w:t>
      </w:r>
      <w:r w:rsidRPr="00DE7CBF">
        <w:rPr>
          <w:rFonts w:ascii="Palatino Linotype" w:hAnsi="Palatino Linotype" w:cs="Arial"/>
          <w:bCs/>
        </w:rPr>
        <w:t xml:space="preserve">recurrente </w:t>
      </w:r>
      <w:r w:rsidRPr="00E44638">
        <w:rPr>
          <w:rFonts w:ascii="Palatino Linotype" w:hAnsi="Palatino Linotype"/>
          <w:shd w:val="clear" w:color="auto" w:fill="FFFFFF"/>
        </w:rPr>
        <w:t>la presente resolución, así como,</w:t>
      </w:r>
      <w:r>
        <w:rPr>
          <w:rFonts w:ascii="Palatino Linotype" w:hAnsi="Palatino Linotype"/>
          <w:shd w:val="clear" w:color="auto" w:fill="FFFFFF"/>
        </w:rPr>
        <w:t xml:space="preserve"> </w:t>
      </w:r>
      <w:r w:rsidRPr="00DE7CBF">
        <w:rPr>
          <w:rFonts w:ascii="Palatino Linotype" w:hAnsi="Palatino Linotype" w:cs="Arial"/>
          <w:bCs/>
        </w:rPr>
        <w:t xml:space="preserve">que </w:t>
      </w:r>
      <w:r w:rsidRPr="008F168A">
        <w:rPr>
          <w:rFonts w:ascii="Palatino Linotype" w:hAnsi="Palatino Linotype" w:cs="Arial"/>
          <w:bCs/>
        </w:rPr>
        <w:t>podrá impugnarla vía Juicio de Amparo en los términos de las leyes aplicables</w:t>
      </w:r>
      <w:r>
        <w:rPr>
          <w:rFonts w:ascii="Palatino Linotype" w:hAnsi="Palatino Linotype" w:cs="Arial"/>
          <w:bCs/>
        </w:rPr>
        <w:t>,</w:t>
      </w:r>
      <w:r w:rsidRPr="00DE7CBF">
        <w:rPr>
          <w:rFonts w:ascii="Palatino Linotype" w:hAnsi="Palatino Linotype" w:cs="Arial"/>
          <w:bCs/>
        </w:rPr>
        <w:t xml:space="preserve"> de conformidad con lo establecido en el artículo </w:t>
      </w:r>
      <w:r w:rsidRPr="008F168A">
        <w:rPr>
          <w:rFonts w:ascii="Palatino Linotype" w:hAnsi="Palatino Linotype" w:cs="Arial"/>
          <w:bCs/>
        </w:rPr>
        <w:t>196 de la Ley de Transparencia y Acceso a la Información Pública del</w:t>
      </w:r>
      <w:r>
        <w:rPr>
          <w:rFonts w:ascii="Palatino Linotype" w:hAnsi="Palatino Linotype" w:cs="Arial"/>
          <w:bCs/>
        </w:rPr>
        <w:t xml:space="preserve"> Estado de México y Municipios</w:t>
      </w:r>
      <w:r w:rsidRPr="00DE7CBF">
        <w:rPr>
          <w:rFonts w:ascii="Palatino Linotype" w:hAnsi="Palatino Linotype" w:cs="Arial"/>
          <w:bCs/>
        </w:rPr>
        <w:t>.</w:t>
      </w:r>
      <w:r>
        <w:rPr>
          <w:rFonts w:ascii="Palatino Linotype" w:hAnsi="Palatino Linotype" w:cs="Arial"/>
        </w:rPr>
        <w:t xml:space="preserve"> </w:t>
      </w:r>
    </w:p>
    <w:p w14:paraId="5F36A473" w14:textId="77777777" w:rsidR="00524DE9" w:rsidRDefault="00524DE9" w:rsidP="00524DE9">
      <w:pPr>
        <w:spacing w:before="240" w:after="240" w:line="360" w:lineRule="auto"/>
        <w:jc w:val="both"/>
        <w:rPr>
          <w:rFonts w:ascii="Palatino Linotype" w:hAnsi="Palatino Linotype" w:cs="Arial"/>
        </w:rPr>
      </w:pPr>
      <w:r>
        <w:rPr>
          <w:rFonts w:ascii="Palatino Linotype" w:hAnsi="Palatino Linotype" w:cs="Arial"/>
          <w:b/>
          <w:sz w:val="28"/>
          <w:szCs w:val="28"/>
        </w:rPr>
        <w:t>QUINTO</w:t>
      </w:r>
      <w:r w:rsidRPr="00942581">
        <w:rPr>
          <w:rFonts w:ascii="Palatino Linotype" w:hAnsi="Palatino Linotype" w:cs="Arial"/>
          <w:b/>
          <w:sz w:val="28"/>
          <w:szCs w:val="28"/>
        </w:rPr>
        <w:t xml:space="preserve">. </w:t>
      </w:r>
      <w:r w:rsidRPr="00942581">
        <w:rPr>
          <w:rFonts w:ascii="Palatino Linotype" w:hAnsi="Palatino Linotype" w:cs="Arial"/>
          <w:b/>
          <w:lang w:val="es-ES_tradnl"/>
        </w:rPr>
        <w:t>Gírese</w:t>
      </w:r>
      <w:r w:rsidRPr="00942581">
        <w:rPr>
          <w:rFonts w:ascii="Palatino Linotype" w:hAnsi="Palatino Linotype" w:cs="Arial"/>
          <w:lang w:val="es-ES_tradnl"/>
        </w:rPr>
        <w:t xml:space="preserve"> oficio al </w:t>
      </w:r>
      <w:r w:rsidRPr="00942581">
        <w:rPr>
          <w:rFonts w:ascii="Palatino Linotype" w:hAnsi="Palatino Linotype" w:cs="Arial"/>
        </w:rPr>
        <w:t>Órgano de Control Interno de la instancia competente para que éste inicie, en su caso, el procedimiento de responsabilidad respectivo, cuyo resultado deberá ser informado a este Instituto en términos de la Ley de Transparencia y Acceso a la Información Pública del Estado de México y Municipios.</w:t>
      </w:r>
    </w:p>
    <w:p w14:paraId="31C49FE3" w14:textId="77777777" w:rsidR="00524DE9" w:rsidRDefault="00524DE9" w:rsidP="00EB1D3A">
      <w:pPr>
        <w:spacing w:before="240" w:after="240" w:line="360" w:lineRule="auto"/>
        <w:jc w:val="both"/>
        <w:rPr>
          <w:rFonts w:ascii="Palatino Linotype" w:hAnsi="Palatino Linotype" w:cs="Arial"/>
        </w:rPr>
      </w:pPr>
    </w:p>
    <w:p w14:paraId="73015D1A" w14:textId="1787B31D" w:rsidR="008E7698" w:rsidRPr="0040233B" w:rsidRDefault="00026D94" w:rsidP="00AA2350">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rPr>
        <w:t>ASÍ LO RESUELVE, POR UNANIMIDAD DE VOTOS 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xml:space="preserve">, CONFORMADO POR LOS COMISIONADOS </w:t>
      </w:r>
      <w:r w:rsidR="00D90043" w:rsidRPr="0040233B">
        <w:rPr>
          <w:rFonts w:ascii="Palatino Linotype" w:hAnsi="Palatino Linotype" w:cs="Arial"/>
        </w:rPr>
        <w:t>ZULEMA MARTÍNEZ SÁNCHEZ</w:t>
      </w:r>
      <w:r w:rsidRPr="0040233B">
        <w:rPr>
          <w:rFonts w:ascii="Palatino Linotype" w:hAnsi="Palatino Linotype" w:cs="Arial"/>
        </w:rPr>
        <w:t>; EVA ABAID YAPUR; JOSÉ GUADALUPE LUNA HERNÁNDEZ</w:t>
      </w:r>
      <w:r w:rsidR="00184440">
        <w:rPr>
          <w:rFonts w:ascii="Palatino Linotype" w:hAnsi="Palatino Linotype" w:cs="Arial"/>
        </w:rPr>
        <w:t xml:space="preserve"> CON VOTO PARTICULAR</w:t>
      </w:r>
      <w:r w:rsidR="00C7513F">
        <w:rPr>
          <w:rFonts w:ascii="Palatino Linotype" w:hAnsi="Palatino Linotype" w:cs="Arial"/>
        </w:rPr>
        <w:t xml:space="preserve">; </w:t>
      </w:r>
      <w:r w:rsidR="00D90043">
        <w:rPr>
          <w:rFonts w:ascii="Palatino Linotype" w:hAnsi="Palatino Linotype" w:cs="Arial"/>
        </w:rPr>
        <w:t>JAVIER MARTÍNEZ CRUZ</w:t>
      </w:r>
      <w:r w:rsidR="00C7513F">
        <w:rPr>
          <w:rFonts w:ascii="Palatino Linotype" w:hAnsi="Palatino Linotype" w:cs="Arial"/>
        </w:rPr>
        <w:t xml:space="preserve"> Y LUIS GUSTAVO PARRA NORIEGA</w:t>
      </w:r>
      <w:r w:rsidRPr="0040233B">
        <w:rPr>
          <w:rFonts w:ascii="Palatino Linotype" w:hAnsi="Palatino Linotype" w:cs="Arial"/>
        </w:rPr>
        <w:t xml:space="preserve">; EN LA </w:t>
      </w:r>
      <w:r w:rsidR="00DD2F36">
        <w:rPr>
          <w:rFonts w:ascii="Palatino Linotype" w:hAnsi="Palatino Linotype" w:cs="Arial"/>
        </w:rPr>
        <w:t>PRIMERA</w:t>
      </w:r>
      <w:r w:rsidR="00362689" w:rsidRPr="0040233B">
        <w:rPr>
          <w:rFonts w:ascii="Palatino Linotype" w:hAnsi="Palatino Linotype" w:cs="Arial"/>
        </w:rPr>
        <w:t xml:space="preserve"> </w:t>
      </w:r>
      <w:r w:rsidRPr="0040233B">
        <w:rPr>
          <w:rFonts w:ascii="Palatino Linotype" w:hAnsi="Palatino Linotype" w:cs="Arial"/>
        </w:rPr>
        <w:t xml:space="preserve">SESIÓN ORDINARIA CELEBRADA EL </w:t>
      </w:r>
      <w:r w:rsidR="00DD2F36">
        <w:rPr>
          <w:rFonts w:ascii="Palatino Linotype" w:hAnsi="Palatino Linotype" w:cs="Arial"/>
        </w:rPr>
        <w:t>NUEVE DE ENERO</w:t>
      </w:r>
      <w:r w:rsidRPr="0040233B">
        <w:rPr>
          <w:rFonts w:ascii="Palatino Linotype" w:hAnsi="Palatino Linotype" w:cs="Arial"/>
        </w:rPr>
        <w:t xml:space="preserve"> DEL DOS MIL DIECI</w:t>
      </w:r>
      <w:r w:rsidR="00DD2F36">
        <w:rPr>
          <w:rFonts w:ascii="Palatino Linotype" w:hAnsi="Palatino Linotype" w:cs="Arial"/>
        </w:rPr>
        <w:t>NUEVE</w:t>
      </w:r>
      <w:r w:rsidRPr="0040233B">
        <w:rPr>
          <w:rFonts w:ascii="Palatino Linotype" w:hAnsi="Palatino Linotype" w:cs="Arial"/>
        </w:rPr>
        <w:t xml:space="preserve">, ANTE </w:t>
      </w:r>
      <w:r w:rsidR="002B5958">
        <w:rPr>
          <w:rFonts w:ascii="Palatino Linotype" w:hAnsi="Palatino Linotype" w:cs="Arial"/>
        </w:rPr>
        <w:t>EL</w:t>
      </w:r>
      <w:r w:rsidRPr="0040233B">
        <w:rPr>
          <w:rFonts w:ascii="Palatino Linotype" w:hAnsi="Palatino Linotype" w:cs="Arial"/>
        </w:rPr>
        <w:t xml:space="preserve"> SECRETARI</w:t>
      </w:r>
      <w:r w:rsidR="002B5958">
        <w:rPr>
          <w:rFonts w:ascii="Palatino Linotype" w:hAnsi="Palatino Linotype" w:cs="Arial"/>
        </w:rPr>
        <w:t>O</w:t>
      </w:r>
      <w:r w:rsidRPr="0040233B">
        <w:rPr>
          <w:rFonts w:ascii="Palatino Linotype" w:hAnsi="Palatino Linotype" w:cs="Arial"/>
        </w:rPr>
        <w:t xml:space="preserve"> TÉCNIC</w:t>
      </w:r>
      <w:r w:rsidR="002B5958">
        <w:rPr>
          <w:rFonts w:ascii="Palatino Linotype" w:hAnsi="Palatino Linotype" w:cs="Arial"/>
        </w:rPr>
        <w:t>O</w:t>
      </w:r>
      <w:r w:rsidRPr="0040233B">
        <w:rPr>
          <w:rFonts w:ascii="Palatino Linotype" w:hAnsi="Palatino Linotype" w:cs="Arial"/>
        </w:rPr>
        <w:t xml:space="preserve"> DEL PLENO, </w:t>
      </w:r>
      <w:r w:rsidR="002B5958">
        <w:rPr>
          <w:rFonts w:ascii="Palatino Linotype" w:hAnsi="Palatino Linotype" w:cs="Arial"/>
        </w:rPr>
        <w:t>ALEXIS TAPIA RAMÍREZ.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112067" w:rsidRPr="0040233B" w14:paraId="5672C997" w14:textId="77777777" w:rsidTr="00112067">
        <w:trPr>
          <w:trHeight w:val="793"/>
          <w:jc w:val="center"/>
        </w:trPr>
        <w:tc>
          <w:tcPr>
            <w:tcW w:w="8472" w:type="dxa"/>
          </w:tcPr>
          <w:tbl>
            <w:tblPr>
              <w:tblStyle w:val="Tablaconcuadrcula"/>
              <w:tblW w:w="8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4477"/>
            </w:tblGrid>
            <w:tr w:rsidR="00112067" w:rsidRPr="00B6174A" w14:paraId="558A006B" w14:textId="77777777" w:rsidTr="00112067">
              <w:trPr>
                <w:trHeight w:val="793"/>
                <w:jc w:val="center"/>
              </w:trPr>
              <w:tc>
                <w:tcPr>
                  <w:tcW w:w="8256" w:type="dxa"/>
                  <w:gridSpan w:val="2"/>
                  <w:vAlign w:val="center"/>
                </w:tcPr>
                <w:p w14:paraId="16F1770D" w14:textId="71596D7B" w:rsidR="00112067" w:rsidRPr="00B6174A" w:rsidRDefault="00112067" w:rsidP="00112067">
                  <w:pPr>
                    <w:jc w:val="center"/>
                    <w:rPr>
                      <w:rFonts w:ascii="Palatino Linotype" w:hAnsi="Palatino Linotype" w:cs="Arial"/>
                    </w:rPr>
                  </w:pPr>
                  <w:r w:rsidRPr="00B6174A">
                    <w:rPr>
                      <w:rFonts w:ascii="Palatino Linotype" w:hAnsi="Palatino Linotype" w:cs="Arial"/>
                    </w:rPr>
                    <w:br w:type="page"/>
                  </w:r>
                </w:p>
                <w:p w14:paraId="4870F5BB" w14:textId="77777777" w:rsidR="00112067" w:rsidRPr="00B6174A" w:rsidRDefault="00112067" w:rsidP="00112067">
                  <w:pPr>
                    <w:jc w:val="center"/>
                    <w:rPr>
                      <w:rFonts w:ascii="Palatino Linotype" w:hAnsi="Palatino Linotype" w:cs="Arial"/>
                    </w:rPr>
                  </w:pPr>
                </w:p>
                <w:p w14:paraId="308FCFC4" w14:textId="77777777" w:rsidR="00112067" w:rsidRPr="00B6174A" w:rsidRDefault="00112067" w:rsidP="00112067">
                  <w:pPr>
                    <w:jc w:val="center"/>
                    <w:rPr>
                      <w:rFonts w:ascii="Palatino Linotype" w:hAnsi="Palatino Linotype" w:cs="Arial"/>
                    </w:rPr>
                  </w:pPr>
                </w:p>
                <w:p w14:paraId="18225AF6" w14:textId="77777777" w:rsidR="00112067" w:rsidRDefault="00112067" w:rsidP="00112067">
                  <w:pPr>
                    <w:jc w:val="center"/>
                    <w:rPr>
                      <w:rFonts w:ascii="Palatino Linotype" w:hAnsi="Palatino Linotype" w:cs="Arial"/>
                    </w:rPr>
                  </w:pPr>
                </w:p>
                <w:p w14:paraId="39924E19" w14:textId="77777777" w:rsidR="000E52E1" w:rsidRDefault="000E52E1" w:rsidP="00112067">
                  <w:pPr>
                    <w:jc w:val="center"/>
                    <w:rPr>
                      <w:rFonts w:ascii="Palatino Linotype" w:hAnsi="Palatino Linotype" w:cs="Arial"/>
                    </w:rPr>
                  </w:pPr>
                </w:p>
                <w:p w14:paraId="22B10892" w14:textId="77777777" w:rsidR="000E52E1" w:rsidRPr="00B6174A" w:rsidRDefault="000E52E1" w:rsidP="00112067">
                  <w:pPr>
                    <w:jc w:val="center"/>
                    <w:rPr>
                      <w:rFonts w:ascii="Palatino Linotype" w:hAnsi="Palatino Linotype" w:cs="Arial"/>
                    </w:rPr>
                  </w:pPr>
                </w:p>
                <w:p w14:paraId="2C21E784" w14:textId="77777777" w:rsidR="00DD2F36" w:rsidRDefault="00DD2F36" w:rsidP="00D90043">
                  <w:pPr>
                    <w:jc w:val="center"/>
                    <w:rPr>
                      <w:rFonts w:ascii="Palatino Linotype" w:hAnsi="Palatino Linotype"/>
                      <w:b/>
                      <w:sz w:val="28"/>
                      <w:szCs w:val="28"/>
                    </w:rPr>
                  </w:pPr>
                </w:p>
                <w:p w14:paraId="3895B454" w14:textId="77777777" w:rsidR="00CF5D2E" w:rsidRDefault="00CF5D2E" w:rsidP="00D90043">
                  <w:pPr>
                    <w:jc w:val="center"/>
                    <w:rPr>
                      <w:rFonts w:ascii="Palatino Linotype" w:hAnsi="Palatino Linotype"/>
                      <w:b/>
                      <w:sz w:val="28"/>
                      <w:szCs w:val="28"/>
                    </w:rPr>
                  </w:pPr>
                </w:p>
                <w:p w14:paraId="44839044" w14:textId="77777777" w:rsidR="00CF5D2E" w:rsidRDefault="00CF5D2E" w:rsidP="00D90043">
                  <w:pPr>
                    <w:jc w:val="center"/>
                    <w:rPr>
                      <w:rFonts w:ascii="Palatino Linotype" w:hAnsi="Palatino Linotype"/>
                      <w:b/>
                      <w:sz w:val="28"/>
                      <w:szCs w:val="28"/>
                    </w:rPr>
                  </w:pPr>
                </w:p>
                <w:p w14:paraId="420A9D78" w14:textId="77777777" w:rsidR="00D90043" w:rsidRPr="00B6174A" w:rsidRDefault="00D90043" w:rsidP="00D90043">
                  <w:pPr>
                    <w:jc w:val="center"/>
                    <w:rPr>
                      <w:rFonts w:ascii="Palatino Linotype" w:hAnsi="Palatino Linotype"/>
                      <w:b/>
                      <w:sz w:val="28"/>
                      <w:szCs w:val="28"/>
                    </w:rPr>
                  </w:pPr>
                  <w:r w:rsidRPr="00B6174A">
                    <w:rPr>
                      <w:rFonts w:ascii="Palatino Linotype" w:hAnsi="Palatino Linotype"/>
                      <w:b/>
                      <w:sz w:val="28"/>
                      <w:szCs w:val="28"/>
                    </w:rPr>
                    <w:t>Zulema Martínez Sánchez</w:t>
                  </w:r>
                </w:p>
                <w:p w14:paraId="4F1E3170" w14:textId="77777777" w:rsidR="00112067" w:rsidRDefault="00112067" w:rsidP="00112067">
                  <w:pPr>
                    <w:jc w:val="center"/>
                    <w:rPr>
                      <w:rFonts w:ascii="Palatino Linotype" w:hAnsi="Palatino Linotype"/>
                    </w:rPr>
                  </w:pPr>
                  <w:r w:rsidRPr="00B6174A">
                    <w:rPr>
                      <w:rFonts w:ascii="Palatino Linotype" w:hAnsi="Palatino Linotype"/>
                    </w:rPr>
                    <w:t>Comisionada Presidenta</w:t>
                  </w:r>
                </w:p>
                <w:p w14:paraId="545B81A9" w14:textId="7B2EF85F" w:rsidR="00112067" w:rsidRPr="00B6174A" w:rsidRDefault="000652AD" w:rsidP="00473B43">
                  <w:pPr>
                    <w:jc w:val="center"/>
                    <w:rPr>
                      <w:rFonts w:ascii="Palatino Linotype" w:hAnsi="Palatino Linotype"/>
                    </w:rPr>
                  </w:pPr>
                  <w:r>
                    <w:rPr>
                      <w:rFonts w:ascii="Palatino Linotype" w:hAnsi="Palatino Linotype"/>
                    </w:rPr>
                    <w:t>(Rúbrica)</w:t>
                  </w:r>
                </w:p>
              </w:tc>
            </w:tr>
            <w:tr w:rsidR="00112067" w:rsidRPr="00B6174A" w14:paraId="41DF9BEC" w14:textId="77777777" w:rsidTr="00112067">
              <w:trPr>
                <w:trHeight w:val="2063"/>
                <w:jc w:val="center"/>
              </w:trPr>
              <w:tc>
                <w:tcPr>
                  <w:tcW w:w="3779" w:type="dxa"/>
                  <w:vAlign w:val="center"/>
                </w:tcPr>
                <w:p w14:paraId="4793380B" w14:textId="77777777" w:rsidR="00037990" w:rsidRDefault="00037990" w:rsidP="00112067">
                  <w:pPr>
                    <w:jc w:val="center"/>
                    <w:rPr>
                      <w:rFonts w:ascii="Palatino Linotype" w:hAnsi="Palatino Linotype"/>
                      <w:b/>
                      <w:sz w:val="28"/>
                      <w:szCs w:val="28"/>
                    </w:rPr>
                  </w:pPr>
                </w:p>
                <w:p w14:paraId="6233C298" w14:textId="77777777" w:rsidR="00CF5D2E" w:rsidRDefault="00CF5D2E" w:rsidP="00112067">
                  <w:pPr>
                    <w:jc w:val="center"/>
                    <w:rPr>
                      <w:rFonts w:ascii="Palatino Linotype" w:hAnsi="Palatino Linotype"/>
                      <w:b/>
                      <w:sz w:val="28"/>
                      <w:szCs w:val="28"/>
                    </w:rPr>
                  </w:pPr>
                </w:p>
                <w:p w14:paraId="75D9D715" w14:textId="77777777" w:rsidR="00037990" w:rsidRDefault="00037990" w:rsidP="00112067">
                  <w:pPr>
                    <w:jc w:val="center"/>
                    <w:rPr>
                      <w:rFonts w:ascii="Palatino Linotype" w:hAnsi="Palatino Linotype"/>
                      <w:b/>
                      <w:sz w:val="28"/>
                      <w:szCs w:val="28"/>
                    </w:rPr>
                  </w:pPr>
                </w:p>
                <w:p w14:paraId="06426AE1" w14:textId="77777777" w:rsidR="00CF5D2E" w:rsidRDefault="00CF5D2E" w:rsidP="00112067">
                  <w:pPr>
                    <w:jc w:val="center"/>
                    <w:rPr>
                      <w:rFonts w:ascii="Palatino Linotype" w:hAnsi="Palatino Linotype"/>
                      <w:b/>
                      <w:sz w:val="28"/>
                      <w:szCs w:val="28"/>
                    </w:rPr>
                  </w:pPr>
                </w:p>
                <w:p w14:paraId="21569859" w14:textId="77777777" w:rsidR="00112067" w:rsidRPr="00B6174A" w:rsidRDefault="00112067" w:rsidP="00112067">
                  <w:pPr>
                    <w:jc w:val="center"/>
                    <w:rPr>
                      <w:rFonts w:ascii="Palatino Linotype" w:hAnsi="Palatino Linotype"/>
                      <w:b/>
                      <w:sz w:val="28"/>
                      <w:szCs w:val="28"/>
                    </w:rPr>
                  </w:pPr>
                  <w:r w:rsidRPr="00B6174A">
                    <w:rPr>
                      <w:rFonts w:ascii="Palatino Linotype" w:hAnsi="Palatino Linotype"/>
                      <w:b/>
                      <w:sz w:val="28"/>
                      <w:szCs w:val="28"/>
                    </w:rPr>
                    <w:t>Eva Abaid Yapur</w:t>
                  </w:r>
                </w:p>
                <w:p w14:paraId="121F41D0" w14:textId="77777777" w:rsidR="00112067" w:rsidRPr="00B6174A" w:rsidRDefault="00112067" w:rsidP="00112067">
                  <w:pPr>
                    <w:jc w:val="center"/>
                    <w:rPr>
                      <w:rFonts w:ascii="Palatino Linotype" w:hAnsi="Palatino Linotype"/>
                    </w:rPr>
                  </w:pPr>
                  <w:r w:rsidRPr="00B6174A">
                    <w:rPr>
                      <w:rFonts w:ascii="Palatino Linotype" w:hAnsi="Palatino Linotype"/>
                    </w:rPr>
                    <w:t>Comisionada</w:t>
                  </w:r>
                </w:p>
                <w:p w14:paraId="542C73DF" w14:textId="183E116D" w:rsidR="00112067" w:rsidRPr="00B6174A" w:rsidRDefault="000652AD" w:rsidP="00473B43">
                  <w:pPr>
                    <w:jc w:val="center"/>
                    <w:rPr>
                      <w:rFonts w:ascii="Palatino Linotype" w:hAnsi="Palatino Linotype"/>
                    </w:rPr>
                  </w:pPr>
                  <w:r>
                    <w:rPr>
                      <w:rFonts w:ascii="Palatino Linotype" w:hAnsi="Palatino Linotype"/>
                    </w:rPr>
                    <w:t>(Rúbrica)</w:t>
                  </w:r>
                </w:p>
              </w:tc>
              <w:tc>
                <w:tcPr>
                  <w:tcW w:w="4477" w:type="dxa"/>
                  <w:vAlign w:val="center"/>
                </w:tcPr>
                <w:p w14:paraId="0DD03CA6" w14:textId="77777777" w:rsidR="00112067" w:rsidRPr="00B6174A" w:rsidRDefault="00112067" w:rsidP="00112067">
                  <w:pPr>
                    <w:jc w:val="center"/>
                    <w:rPr>
                      <w:rFonts w:ascii="Palatino Linotype" w:hAnsi="Palatino Linotype"/>
                      <w:b/>
                    </w:rPr>
                  </w:pPr>
                </w:p>
                <w:p w14:paraId="0A4F7464" w14:textId="77777777" w:rsidR="00112067" w:rsidRDefault="00112067" w:rsidP="00112067">
                  <w:pPr>
                    <w:jc w:val="center"/>
                    <w:rPr>
                      <w:rFonts w:ascii="Palatino Linotype" w:hAnsi="Palatino Linotype"/>
                      <w:b/>
                    </w:rPr>
                  </w:pPr>
                </w:p>
                <w:p w14:paraId="0B530B19" w14:textId="77777777" w:rsidR="000F1991" w:rsidRDefault="000F1991" w:rsidP="00112067">
                  <w:pPr>
                    <w:jc w:val="center"/>
                    <w:rPr>
                      <w:rFonts w:ascii="Palatino Linotype" w:hAnsi="Palatino Linotype"/>
                      <w:b/>
                    </w:rPr>
                  </w:pPr>
                </w:p>
                <w:p w14:paraId="283587E9" w14:textId="77777777" w:rsidR="00037990" w:rsidRDefault="00037990" w:rsidP="00112067">
                  <w:pPr>
                    <w:jc w:val="center"/>
                    <w:rPr>
                      <w:rFonts w:ascii="Palatino Linotype" w:hAnsi="Palatino Linotype"/>
                      <w:b/>
                    </w:rPr>
                  </w:pPr>
                </w:p>
                <w:p w14:paraId="76BD3761" w14:textId="77777777" w:rsidR="00CF5D2E" w:rsidRDefault="00CF5D2E" w:rsidP="00112067">
                  <w:pPr>
                    <w:jc w:val="center"/>
                    <w:rPr>
                      <w:rFonts w:ascii="Palatino Linotype" w:hAnsi="Palatino Linotype"/>
                      <w:b/>
                    </w:rPr>
                  </w:pPr>
                </w:p>
                <w:p w14:paraId="28ABAB4C" w14:textId="77777777" w:rsidR="00037990" w:rsidRDefault="00037990" w:rsidP="00112067">
                  <w:pPr>
                    <w:jc w:val="center"/>
                    <w:rPr>
                      <w:rFonts w:ascii="Palatino Linotype" w:hAnsi="Palatino Linotype"/>
                      <w:b/>
                    </w:rPr>
                  </w:pPr>
                </w:p>
                <w:p w14:paraId="3D0AFBFA" w14:textId="77777777" w:rsidR="00CF5D2E" w:rsidRDefault="00CF5D2E" w:rsidP="00112067">
                  <w:pPr>
                    <w:jc w:val="center"/>
                    <w:rPr>
                      <w:rFonts w:ascii="Palatino Linotype" w:hAnsi="Palatino Linotype"/>
                      <w:b/>
                    </w:rPr>
                  </w:pPr>
                </w:p>
                <w:p w14:paraId="69716F2C" w14:textId="77777777" w:rsidR="00CF5D2E" w:rsidRDefault="00CF5D2E" w:rsidP="00112067">
                  <w:pPr>
                    <w:jc w:val="center"/>
                    <w:rPr>
                      <w:rFonts w:ascii="Palatino Linotype" w:hAnsi="Palatino Linotype"/>
                      <w:b/>
                    </w:rPr>
                  </w:pPr>
                </w:p>
                <w:p w14:paraId="02D4C5BE" w14:textId="77777777" w:rsidR="00112067" w:rsidRPr="00B6174A" w:rsidRDefault="00112067" w:rsidP="00112067">
                  <w:pPr>
                    <w:jc w:val="center"/>
                    <w:rPr>
                      <w:rFonts w:ascii="Palatino Linotype" w:hAnsi="Palatino Linotype"/>
                      <w:b/>
                      <w:sz w:val="28"/>
                      <w:szCs w:val="28"/>
                    </w:rPr>
                  </w:pPr>
                  <w:r w:rsidRPr="00B6174A">
                    <w:rPr>
                      <w:rFonts w:ascii="Palatino Linotype" w:hAnsi="Palatino Linotype"/>
                      <w:b/>
                      <w:sz w:val="28"/>
                      <w:szCs w:val="28"/>
                    </w:rPr>
                    <w:t>José Guadalupe Luna Hernández</w:t>
                  </w:r>
                </w:p>
                <w:p w14:paraId="37B2C345" w14:textId="77777777" w:rsidR="00112067" w:rsidRPr="00B6174A" w:rsidRDefault="00112067" w:rsidP="00112067">
                  <w:pPr>
                    <w:jc w:val="center"/>
                    <w:rPr>
                      <w:rFonts w:ascii="Palatino Linotype" w:hAnsi="Palatino Linotype"/>
                    </w:rPr>
                  </w:pPr>
                  <w:r w:rsidRPr="00B6174A">
                    <w:rPr>
                      <w:rFonts w:ascii="Palatino Linotype" w:hAnsi="Palatino Linotype"/>
                    </w:rPr>
                    <w:t>Comisionado</w:t>
                  </w:r>
                </w:p>
                <w:p w14:paraId="5FF9FF37" w14:textId="202F413D" w:rsidR="00112067" w:rsidRPr="00B6174A" w:rsidRDefault="000652AD" w:rsidP="00112067">
                  <w:pPr>
                    <w:jc w:val="center"/>
                    <w:rPr>
                      <w:rFonts w:ascii="Palatino Linotype" w:hAnsi="Palatino Linotype"/>
                    </w:rPr>
                  </w:pPr>
                  <w:r>
                    <w:rPr>
                      <w:rFonts w:ascii="Palatino Linotype" w:hAnsi="Palatino Linotype"/>
                    </w:rPr>
                    <w:t>(Rúbrica)</w:t>
                  </w:r>
                </w:p>
                <w:p w14:paraId="14C0C6F6" w14:textId="77777777" w:rsidR="00112067" w:rsidRPr="00B6174A" w:rsidRDefault="00112067" w:rsidP="00112067">
                  <w:pPr>
                    <w:jc w:val="center"/>
                    <w:rPr>
                      <w:rFonts w:ascii="Palatino Linotype" w:hAnsi="Palatino Linotype"/>
                    </w:rPr>
                  </w:pPr>
                </w:p>
                <w:p w14:paraId="429D8703" w14:textId="77777777" w:rsidR="00112067" w:rsidRPr="00B6174A" w:rsidRDefault="00112067" w:rsidP="00112067">
                  <w:pPr>
                    <w:jc w:val="center"/>
                    <w:rPr>
                      <w:rFonts w:ascii="Palatino Linotype" w:hAnsi="Palatino Linotype"/>
                    </w:rPr>
                  </w:pPr>
                </w:p>
                <w:p w14:paraId="3945B28D" w14:textId="77777777" w:rsidR="00112067" w:rsidRPr="00B6174A" w:rsidRDefault="00112067" w:rsidP="00112067">
                  <w:pPr>
                    <w:jc w:val="center"/>
                    <w:rPr>
                      <w:rFonts w:ascii="Palatino Linotype" w:hAnsi="Palatino Linotype"/>
                    </w:rPr>
                  </w:pPr>
                </w:p>
              </w:tc>
            </w:tr>
            <w:tr w:rsidR="00C7513F" w:rsidRPr="00B6174A" w14:paraId="0E05385B" w14:textId="77777777" w:rsidTr="00112067">
              <w:trPr>
                <w:trHeight w:val="2063"/>
                <w:jc w:val="center"/>
              </w:trPr>
              <w:tc>
                <w:tcPr>
                  <w:tcW w:w="3779" w:type="dxa"/>
                  <w:vAlign w:val="center"/>
                </w:tcPr>
                <w:p w14:paraId="276D7967" w14:textId="77777777" w:rsidR="00C7513F" w:rsidRDefault="00C7513F" w:rsidP="00C7513F">
                  <w:pPr>
                    <w:jc w:val="center"/>
                    <w:rPr>
                      <w:rFonts w:ascii="Palatino Linotype" w:hAnsi="Palatino Linotype"/>
                      <w:b/>
                      <w:sz w:val="28"/>
                      <w:szCs w:val="28"/>
                    </w:rPr>
                  </w:pPr>
                </w:p>
                <w:p w14:paraId="2DD73711" w14:textId="77777777" w:rsidR="00C7513F" w:rsidRDefault="00C7513F" w:rsidP="00C7513F">
                  <w:pPr>
                    <w:jc w:val="center"/>
                    <w:rPr>
                      <w:rFonts w:ascii="Palatino Linotype" w:hAnsi="Palatino Linotype"/>
                      <w:b/>
                      <w:sz w:val="28"/>
                      <w:szCs w:val="28"/>
                    </w:rPr>
                  </w:pPr>
                </w:p>
                <w:p w14:paraId="54026F3C" w14:textId="77777777" w:rsidR="00CF5D2E" w:rsidRDefault="00CF5D2E" w:rsidP="00C7513F">
                  <w:pPr>
                    <w:jc w:val="center"/>
                    <w:rPr>
                      <w:rFonts w:ascii="Palatino Linotype" w:hAnsi="Palatino Linotype"/>
                      <w:b/>
                      <w:sz w:val="28"/>
                      <w:szCs w:val="28"/>
                    </w:rPr>
                  </w:pPr>
                </w:p>
                <w:p w14:paraId="7C723952" w14:textId="77777777" w:rsidR="00CF5D2E" w:rsidRDefault="00CF5D2E" w:rsidP="00C7513F">
                  <w:pPr>
                    <w:jc w:val="center"/>
                    <w:rPr>
                      <w:rFonts w:ascii="Palatino Linotype" w:hAnsi="Palatino Linotype"/>
                      <w:b/>
                      <w:sz w:val="28"/>
                      <w:szCs w:val="28"/>
                    </w:rPr>
                  </w:pPr>
                </w:p>
                <w:p w14:paraId="1FA17331" w14:textId="77777777" w:rsidR="00C7513F" w:rsidRDefault="00C7513F" w:rsidP="00C7513F">
                  <w:pPr>
                    <w:jc w:val="center"/>
                    <w:rPr>
                      <w:rFonts w:ascii="Palatino Linotype" w:hAnsi="Palatino Linotype"/>
                      <w:b/>
                      <w:sz w:val="28"/>
                      <w:szCs w:val="28"/>
                    </w:rPr>
                  </w:pPr>
                </w:p>
                <w:p w14:paraId="097933FA" w14:textId="77777777" w:rsidR="00C7513F" w:rsidRPr="00B6174A" w:rsidRDefault="00C7513F" w:rsidP="00C7513F">
                  <w:pPr>
                    <w:jc w:val="center"/>
                    <w:rPr>
                      <w:rFonts w:ascii="Palatino Linotype" w:hAnsi="Palatino Linotype"/>
                      <w:b/>
                      <w:sz w:val="28"/>
                      <w:szCs w:val="28"/>
                    </w:rPr>
                  </w:pPr>
                  <w:r w:rsidRPr="00B6174A">
                    <w:rPr>
                      <w:rFonts w:ascii="Palatino Linotype" w:hAnsi="Palatino Linotype"/>
                      <w:b/>
                      <w:sz w:val="28"/>
                      <w:szCs w:val="28"/>
                    </w:rPr>
                    <w:t>Javier Martínez Cruz</w:t>
                  </w:r>
                </w:p>
                <w:p w14:paraId="09CBB1F9" w14:textId="77777777" w:rsidR="00C7513F" w:rsidRPr="00B6174A" w:rsidRDefault="00C7513F" w:rsidP="00C7513F">
                  <w:pPr>
                    <w:jc w:val="center"/>
                    <w:rPr>
                      <w:rFonts w:ascii="Palatino Linotype" w:hAnsi="Palatino Linotype"/>
                    </w:rPr>
                  </w:pPr>
                  <w:r w:rsidRPr="00B6174A">
                    <w:rPr>
                      <w:rFonts w:ascii="Palatino Linotype" w:hAnsi="Palatino Linotype"/>
                    </w:rPr>
                    <w:t>Comisionado</w:t>
                  </w:r>
                </w:p>
                <w:p w14:paraId="6677611E" w14:textId="77777777" w:rsidR="00C7513F" w:rsidRPr="00B6174A" w:rsidRDefault="00C7513F" w:rsidP="00C7513F">
                  <w:pPr>
                    <w:jc w:val="center"/>
                    <w:rPr>
                      <w:rFonts w:ascii="Palatino Linotype" w:hAnsi="Palatino Linotype"/>
                    </w:rPr>
                  </w:pPr>
                  <w:r>
                    <w:rPr>
                      <w:rFonts w:ascii="Palatino Linotype" w:hAnsi="Palatino Linotype"/>
                    </w:rPr>
                    <w:t>(Rúbrica)</w:t>
                  </w:r>
                </w:p>
                <w:p w14:paraId="23B18112" w14:textId="77777777" w:rsidR="00C7513F" w:rsidRDefault="00C7513F" w:rsidP="00112067">
                  <w:pPr>
                    <w:jc w:val="center"/>
                    <w:rPr>
                      <w:rFonts w:ascii="Palatino Linotype" w:hAnsi="Palatino Linotype"/>
                      <w:b/>
                      <w:sz w:val="28"/>
                      <w:szCs w:val="28"/>
                    </w:rPr>
                  </w:pPr>
                </w:p>
              </w:tc>
              <w:tc>
                <w:tcPr>
                  <w:tcW w:w="4477" w:type="dxa"/>
                  <w:vAlign w:val="center"/>
                </w:tcPr>
                <w:p w14:paraId="4409ED28" w14:textId="77777777" w:rsidR="00C7513F" w:rsidRDefault="00C7513F" w:rsidP="00C7513F">
                  <w:pPr>
                    <w:jc w:val="center"/>
                    <w:rPr>
                      <w:rFonts w:ascii="Palatino Linotype" w:hAnsi="Palatino Linotype"/>
                      <w:b/>
                      <w:sz w:val="28"/>
                      <w:szCs w:val="28"/>
                    </w:rPr>
                  </w:pPr>
                </w:p>
                <w:p w14:paraId="4BDBF916" w14:textId="77777777" w:rsidR="00C7513F" w:rsidRDefault="00C7513F" w:rsidP="00C7513F">
                  <w:pPr>
                    <w:jc w:val="center"/>
                    <w:rPr>
                      <w:rFonts w:ascii="Palatino Linotype" w:hAnsi="Palatino Linotype"/>
                      <w:b/>
                      <w:sz w:val="28"/>
                      <w:szCs w:val="28"/>
                    </w:rPr>
                  </w:pPr>
                </w:p>
                <w:p w14:paraId="450DE78A" w14:textId="77777777" w:rsidR="00CF5D2E" w:rsidRDefault="00CF5D2E" w:rsidP="00C7513F">
                  <w:pPr>
                    <w:jc w:val="center"/>
                    <w:rPr>
                      <w:rFonts w:ascii="Palatino Linotype" w:hAnsi="Palatino Linotype"/>
                      <w:b/>
                      <w:sz w:val="28"/>
                      <w:szCs w:val="28"/>
                    </w:rPr>
                  </w:pPr>
                </w:p>
                <w:p w14:paraId="41787093" w14:textId="77777777" w:rsidR="00CF5D2E" w:rsidRDefault="00CF5D2E" w:rsidP="00C7513F">
                  <w:pPr>
                    <w:jc w:val="center"/>
                    <w:rPr>
                      <w:rFonts w:ascii="Palatino Linotype" w:hAnsi="Palatino Linotype"/>
                      <w:b/>
                      <w:sz w:val="28"/>
                      <w:szCs w:val="28"/>
                    </w:rPr>
                  </w:pPr>
                </w:p>
                <w:p w14:paraId="15EDCE34" w14:textId="77777777" w:rsidR="00C7513F" w:rsidRDefault="00C7513F" w:rsidP="00C7513F">
                  <w:pPr>
                    <w:jc w:val="center"/>
                    <w:rPr>
                      <w:rFonts w:ascii="Palatino Linotype" w:hAnsi="Palatino Linotype"/>
                      <w:b/>
                      <w:sz w:val="28"/>
                      <w:szCs w:val="28"/>
                    </w:rPr>
                  </w:pPr>
                </w:p>
                <w:p w14:paraId="0CD59691" w14:textId="78E940F2" w:rsidR="00C7513F" w:rsidRPr="00B6174A" w:rsidRDefault="00C7513F" w:rsidP="00C7513F">
                  <w:pPr>
                    <w:jc w:val="center"/>
                    <w:rPr>
                      <w:rFonts w:ascii="Palatino Linotype" w:hAnsi="Palatino Linotype"/>
                      <w:b/>
                      <w:sz w:val="28"/>
                      <w:szCs w:val="28"/>
                    </w:rPr>
                  </w:pPr>
                  <w:r>
                    <w:rPr>
                      <w:rFonts w:ascii="Palatino Linotype" w:hAnsi="Palatino Linotype"/>
                      <w:b/>
                      <w:sz w:val="28"/>
                      <w:szCs w:val="28"/>
                    </w:rPr>
                    <w:t>Luis Gustavo Parra Noriega</w:t>
                  </w:r>
                </w:p>
                <w:p w14:paraId="78FDE3E8" w14:textId="77777777" w:rsidR="00C7513F" w:rsidRPr="00B6174A" w:rsidRDefault="00C7513F" w:rsidP="00C7513F">
                  <w:pPr>
                    <w:jc w:val="center"/>
                    <w:rPr>
                      <w:rFonts w:ascii="Palatino Linotype" w:hAnsi="Palatino Linotype"/>
                    </w:rPr>
                  </w:pPr>
                  <w:r w:rsidRPr="00B6174A">
                    <w:rPr>
                      <w:rFonts w:ascii="Palatino Linotype" w:hAnsi="Palatino Linotype"/>
                    </w:rPr>
                    <w:t>Comisionado</w:t>
                  </w:r>
                </w:p>
                <w:p w14:paraId="3F1D3411" w14:textId="77777777" w:rsidR="00C7513F" w:rsidRPr="00B6174A" w:rsidRDefault="00C7513F" w:rsidP="00C7513F">
                  <w:pPr>
                    <w:jc w:val="center"/>
                    <w:rPr>
                      <w:rFonts w:ascii="Palatino Linotype" w:hAnsi="Palatino Linotype"/>
                    </w:rPr>
                  </w:pPr>
                  <w:r>
                    <w:rPr>
                      <w:rFonts w:ascii="Palatino Linotype" w:hAnsi="Palatino Linotype"/>
                    </w:rPr>
                    <w:t>(Rúbrica)</w:t>
                  </w:r>
                </w:p>
                <w:p w14:paraId="6BB15B37" w14:textId="77777777" w:rsidR="00C7513F" w:rsidRPr="00B6174A" w:rsidRDefault="00C7513F" w:rsidP="00112067">
                  <w:pPr>
                    <w:jc w:val="center"/>
                    <w:rPr>
                      <w:rFonts w:ascii="Palatino Linotype" w:hAnsi="Palatino Linotype"/>
                      <w:b/>
                    </w:rPr>
                  </w:pPr>
                </w:p>
              </w:tc>
            </w:tr>
            <w:tr w:rsidR="00112067" w:rsidRPr="00B6174A" w14:paraId="0187B999" w14:textId="77777777" w:rsidTr="00112067">
              <w:trPr>
                <w:trHeight w:val="1869"/>
                <w:jc w:val="center"/>
              </w:trPr>
              <w:tc>
                <w:tcPr>
                  <w:tcW w:w="8256" w:type="dxa"/>
                  <w:gridSpan w:val="2"/>
                  <w:vAlign w:val="center"/>
                </w:tcPr>
                <w:p w14:paraId="14CC73F2" w14:textId="77777777" w:rsidR="00112067" w:rsidRPr="00B6174A" w:rsidRDefault="00112067" w:rsidP="00112067">
                  <w:pPr>
                    <w:jc w:val="center"/>
                    <w:rPr>
                      <w:rFonts w:ascii="Palatino Linotype" w:hAnsi="Palatino Linotype"/>
                      <w:b/>
                    </w:rPr>
                  </w:pPr>
                </w:p>
                <w:p w14:paraId="0288D8FE" w14:textId="77777777" w:rsidR="00112067" w:rsidRPr="00B6174A" w:rsidRDefault="00112067" w:rsidP="00112067">
                  <w:pPr>
                    <w:jc w:val="center"/>
                    <w:rPr>
                      <w:rFonts w:ascii="Palatino Linotype" w:hAnsi="Palatino Linotype"/>
                      <w:b/>
                      <w:sz w:val="28"/>
                      <w:szCs w:val="28"/>
                    </w:rPr>
                  </w:pPr>
                </w:p>
                <w:p w14:paraId="66D66289" w14:textId="77777777" w:rsidR="00112067" w:rsidRDefault="00112067" w:rsidP="00112067">
                  <w:pPr>
                    <w:jc w:val="center"/>
                    <w:rPr>
                      <w:rFonts w:ascii="Palatino Linotype" w:hAnsi="Palatino Linotype"/>
                      <w:b/>
                      <w:sz w:val="28"/>
                      <w:szCs w:val="28"/>
                    </w:rPr>
                  </w:pPr>
                </w:p>
                <w:p w14:paraId="7B183D42" w14:textId="77777777" w:rsidR="00C7513F" w:rsidRDefault="00C7513F" w:rsidP="00112067">
                  <w:pPr>
                    <w:jc w:val="center"/>
                    <w:rPr>
                      <w:rFonts w:ascii="Palatino Linotype" w:hAnsi="Palatino Linotype"/>
                      <w:b/>
                      <w:sz w:val="28"/>
                      <w:szCs w:val="28"/>
                    </w:rPr>
                  </w:pPr>
                </w:p>
                <w:p w14:paraId="3FC2E485" w14:textId="77777777" w:rsidR="00CF5D2E" w:rsidRDefault="00CF5D2E" w:rsidP="00112067">
                  <w:pPr>
                    <w:jc w:val="center"/>
                    <w:rPr>
                      <w:rFonts w:ascii="Palatino Linotype" w:hAnsi="Palatino Linotype"/>
                      <w:b/>
                      <w:sz w:val="28"/>
                      <w:szCs w:val="28"/>
                    </w:rPr>
                  </w:pPr>
                </w:p>
                <w:p w14:paraId="5FD6D54A" w14:textId="77777777" w:rsidR="00CF5D2E" w:rsidRDefault="00CF5D2E" w:rsidP="00112067">
                  <w:pPr>
                    <w:jc w:val="center"/>
                    <w:rPr>
                      <w:rFonts w:ascii="Palatino Linotype" w:hAnsi="Palatino Linotype"/>
                      <w:b/>
                      <w:sz w:val="28"/>
                      <w:szCs w:val="28"/>
                    </w:rPr>
                  </w:pPr>
                </w:p>
                <w:p w14:paraId="498F1AA1" w14:textId="20F14263" w:rsidR="00112067" w:rsidRPr="00B6174A" w:rsidRDefault="00D90043" w:rsidP="00112067">
                  <w:pPr>
                    <w:jc w:val="center"/>
                    <w:rPr>
                      <w:rFonts w:ascii="Palatino Linotype" w:hAnsi="Palatino Linotype"/>
                      <w:b/>
                      <w:sz w:val="28"/>
                      <w:szCs w:val="28"/>
                    </w:rPr>
                  </w:pPr>
                  <w:r>
                    <w:rPr>
                      <w:rFonts w:ascii="Palatino Linotype" w:hAnsi="Palatino Linotype"/>
                      <w:b/>
                      <w:sz w:val="28"/>
                      <w:szCs w:val="28"/>
                    </w:rPr>
                    <w:t>Alexis Tapia Ramírez</w:t>
                  </w:r>
                </w:p>
                <w:p w14:paraId="11FD6BCE" w14:textId="31E3787A" w:rsidR="00112067" w:rsidRPr="00B6174A" w:rsidRDefault="00112067" w:rsidP="00112067">
                  <w:pPr>
                    <w:jc w:val="center"/>
                    <w:rPr>
                      <w:rFonts w:ascii="Palatino Linotype" w:hAnsi="Palatino Linotype"/>
                    </w:rPr>
                  </w:pPr>
                  <w:r w:rsidRPr="00B6174A">
                    <w:rPr>
                      <w:rFonts w:ascii="Palatino Linotype" w:hAnsi="Palatino Linotype"/>
                    </w:rPr>
                    <w:t>Secretari</w:t>
                  </w:r>
                  <w:r w:rsidR="00D90043">
                    <w:rPr>
                      <w:rFonts w:ascii="Palatino Linotype" w:hAnsi="Palatino Linotype"/>
                    </w:rPr>
                    <w:t>o</w:t>
                  </w:r>
                  <w:r w:rsidRPr="00B6174A">
                    <w:rPr>
                      <w:rFonts w:ascii="Palatino Linotype" w:hAnsi="Palatino Linotype"/>
                    </w:rPr>
                    <w:t xml:space="preserve"> Técnic</w:t>
                  </w:r>
                  <w:r w:rsidR="00D90043">
                    <w:rPr>
                      <w:rFonts w:ascii="Palatino Linotype" w:hAnsi="Palatino Linotype"/>
                    </w:rPr>
                    <w:t>o</w:t>
                  </w:r>
                  <w:r w:rsidRPr="00B6174A">
                    <w:rPr>
                      <w:rFonts w:ascii="Palatino Linotype" w:hAnsi="Palatino Linotype"/>
                    </w:rPr>
                    <w:t xml:space="preserve"> del Pleno</w:t>
                  </w:r>
                </w:p>
                <w:p w14:paraId="421D8518" w14:textId="3A6BD02F" w:rsidR="00112067" w:rsidRPr="00B6174A" w:rsidRDefault="000652AD" w:rsidP="00473B43">
                  <w:pPr>
                    <w:jc w:val="center"/>
                    <w:rPr>
                      <w:rFonts w:ascii="Palatino Linotype" w:hAnsi="Palatino Linotype"/>
                    </w:rPr>
                  </w:pPr>
                  <w:r>
                    <w:rPr>
                      <w:rFonts w:ascii="Palatino Linotype" w:hAnsi="Palatino Linotype"/>
                    </w:rPr>
                    <w:t>(Rúbrica)</w:t>
                  </w:r>
                </w:p>
              </w:tc>
            </w:tr>
          </w:tbl>
          <w:p w14:paraId="22E56C27" w14:textId="49D74DEF" w:rsidR="00112067" w:rsidRPr="0040233B" w:rsidRDefault="00112067" w:rsidP="00112067">
            <w:pPr>
              <w:jc w:val="center"/>
              <w:rPr>
                <w:rFonts w:ascii="Palatino Linotype" w:hAnsi="Palatino Linotype"/>
              </w:rPr>
            </w:pPr>
          </w:p>
        </w:tc>
      </w:tr>
    </w:tbl>
    <w:p w14:paraId="333B787C" w14:textId="77777777" w:rsidR="007F37C5" w:rsidRDefault="007F37C5" w:rsidP="007F37C5">
      <w:pPr>
        <w:spacing w:before="240" w:after="240"/>
        <w:jc w:val="both"/>
        <w:rPr>
          <w:rFonts w:ascii="Palatino Linotype" w:hAnsi="Palatino Linotype" w:cs="Arial"/>
          <w:sz w:val="16"/>
        </w:rPr>
      </w:pPr>
    </w:p>
    <w:p w14:paraId="64087348" w14:textId="6DBE8487" w:rsidR="007F37C5" w:rsidRPr="0040233B" w:rsidRDefault="007F37C5" w:rsidP="007F37C5">
      <w:pPr>
        <w:spacing w:before="240" w:after="240"/>
        <w:jc w:val="both"/>
        <w:rPr>
          <w:rFonts w:ascii="Palatino Linotype" w:hAnsi="Palatino Linotype" w:cs="Arial"/>
          <w:sz w:val="16"/>
        </w:rPr>
      </w:pPr>
      <w:r w:rsidRPr="0040233B">
        <w:rPr>
          <w:rFonts w:ascii="Palatino Linotype" w:hAnsi="Palatino Linotype" w:cs="Arial"/>
          <w:sz w:val="16"/>
        </w:rPr>
        <w:t xml:space="preserve">Esta hoja corresponde a la resolución de </w:t>
      </w:r>
      <w:r w:rsidR="00DD2F36">
        <w:rPr>
          <w:rFonts w:ascii="Palatino Linotype" w:hAnsi="Palatino Linotype" w:cs="Arial"/>
          <w:sz w:val="16"/>
        </w:rPr>
        <w:t>nueve de enero</w:t>
      </w:r>
      <w:r w:rsidRPr="0040233B">
        <w:rPr>
          <w:rFonts w:ascii="Palatino Linotype" w:hAnsi="Palatino Linotype" w:cs="Arial"/>
          <w:sz w:val="16"/>
        </w:rPr>
        <w:t xml:space="preserve"> del dos mil dieci</w:t>
      </w:r>
      <w:r w:rsidR="00DD2F36">
        <w:rPr>
          <w:rFonts w:ascii="Palatino Linotype" w:hAnsi="Palatino Linotype" w:cs="Arial"/>
          <w:sz w:val="16"/>
        </w:rPr>
        <w:t>nueve</w:t>
      </w:r>
      <w:r w:rsidRPr="0040233B">
        <w:rPr>
          <w:rFonts w:ascii="Palatino Linotype" w:hAnsi="Palatino Linotype" w:cs="Arial"/>
          <w:sz w:val="16"/>
        </w:rPr>
        <w:t xml:space="preserve">, emitida en el recurso de revisión </w:t>
      </w:r>
      <w:r w:rsidR="00DF04BA">
        <w:rPr>
          <w:rFonts w:ascii="Palatino Linotype" w:hAnsi="Palatino Linotype" w:cs="Arial"/>
          <w:bCs/>
          <w:sz w:val="16"/>
        </w:rPr>
        <w:t>03919/INFOEM</w:t>
      </w:r>
      <w:r w:rsidRPr="0040233B">
        <w:rPr>
          <w:rFonts w:ascii="Palatino Linotype" w:hAnsi="Palatino Linotype" w:cs="Arial"/>
          <w:bCs/>
          <w:sz w:val="16"/>
        </w:rPr>
        <w:t>/IP/RR/201</w:t>
      </w:r>
      <w:r w:rsidR="00D90043">
        <w:rPr>
          <w:rFonts w:ascii="Palatino Linotype" w:hAnsi="Palatino Linotype" w:cs="Arial"/>
          <w:bCs/>
          <w:sz w:val="16"/>
        </w:rPr>
        <w:t>8</w:t>
      </w:r>
      <w:r w:rsidRPr="0040233B">
        <w:rPr>
          <w:rFonts w:ascii="Palatino Linotype" w:hAnsi="Palatino Linotype" w:cs="Arial"/>
          <w:sz w:val="16"/>
        </w:rPr>
        <w:t xml:space="preserve">. </w:t>
      </w:r>
    </w:p>
    <w:sectPr w:rsidR="007F37C5" w:rsidRPr="0040233B" w:rsidSect="00D47E75">
      <w:headerReference w:type="default" r:id="rId14"/>
      <w:footerReference w:type="default" r:id="rId15"/>
      <w:headerReference w:type="first" r:id="rId16"/>
      <w:footerReference w:type="first" r:id="rId17"/>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963B2" w14:textId="77777777" w:rsidR="003D3190" w:rsidRDefault="003D3190" w:rsidP="00C80F8C">
      <w:r>
        <w:separator/>
      </w:r>
    </w:p>
  </w:endnote>
  <w:endnote w:type="continuationSeparator" w:id="0">
    <w:p w14:paraId="4D2DE8AE" w14:textId="77777777" w:rsidR="003D3190" w:rsidRDefault="003D319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885123" w:rsidRDefault="0088512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33999">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33999">
      <w:rPr>
        <w:rFonts w:ascii="Arial" w:hAnsi="Arial" w:cs="Arial"/>
        <w:b/>
        <w:bCs/>
        <w:noProof/>
        <w:sz w:val="20"/>
        <w:szCs w:val="20"/>
      </w:rPr>
      <w:t>43</w:t>
    </w:r>
    <w:r>
      <w:rPr>
        <w:rFonts w:ascii="Arial" w:hAnsi="Arial" w:cs="Arial"/>
        <w:b/>
        <w:bCs/>
        <w:sz w:val="20"/>
        <w:szCs w:val="20"/>
      </w:rPr>
      <w:fldChar w:fldCharType="end"/>
    </w:r>
  </w:p>
  <w:p w14:paraId="1192A578" w14:textId="77777777" w:rsidR="00885123" w:rsidRDefault="00885123" w:rsidP="00935A0D">
    <w:pPr>
      <w:pStyle w:val="Piedepgina"/>
      <w:rPr>
        <w:rFonts w:ascii="Times New Roman" w:hAnsi="Times New Roman" w:cs="Times New Roman"/>
      </w:rPr>
    </w:pPr>
  </w:p>
  <w:p w14:paraId="14A770F8" w14:textId="77777777" w:rsidR="00885123" w:rsidRDefault="0088512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885123" w:rsidRDefault="0088512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3399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33999">
      <w:rPr>
        <w:rFonts w:ascii="Arial" w:hAnsi="Arial" w:cs="Arial"/>
        <w:b/>
        <w:bCs/>
        <w:noProof/>
        <w:sz w:val="20"/>
        <w:szCs w:val="20"/>
      </w:rPr>
      <w:t>43</w:t>
    </w:r>
    <w:r>
      <w:rPr>
        <w:rFonts w:ascii="Arial" w:hAnsi="Arial" w:cs="Arial"/>
        <w:b/>
        <w:bCs/>
        <w:sz w:val="20"/>
        <w:szCs w:val="20"/>
      </w:rPr>
      <w:fldChar w:fldCharType="end"/>
    </w:r>
  </w:p>
  <w:p w14:paraId="5D98ABD5" w14:textId="77777777" w:rsidR="00885123" w:rsidRDefault="008851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177D2" w14:textId="77777777" w:rsidR="003D3190" w:rsidRDefault="003D3190" w:rsidP="00C80F8C">
      <w:r>
        <w:separator/>
      </w:r>
    </w:p>
  </w:footnote>
  <w:footnote w:type="continuationSeparator" w:id="0">
    <w:p w14:paraId="20FA1154" w14:textId="77777777" w:rsidR="003D3190" w:rsidRDefault="003D3190" w:rsidP="00C80F8C">
      <w:r>
        <w:continuationSeparator/>
      </w:r>
    </w:p>
  </w:footnote>
  <w:footnote w:id="1">
    <w:p w14:paraId="2F937AC7" w14:textId="77777777" w:rsidR="00885123" w:rsidRPr="000E20F0" w:rsidRDefault="00885123" w:rsidP="00D53F7C">
      <w:pPr>
        <w:pStyle w:val="Prrafodelista"/>
        <w:spacing w:after="120"/>
        <w:ind w:left="0" w:right="49"/>
        <w:jc w:val="both"/>
        <w:rPr>
          <w:rFonts w:ascii="Palatino Linotype" w:hAnsi="Palatino Linotype"/>
          <w:i/>
          <w:sz w:val="16"/>
          <w:szCs w:val="16"/>
        </w:rPr>
      </w:pPr>
      <w:r>
        <w:rPr>
          <w:rStyle w:val="Refdenotaalpie"/>
        </w:rPr>
        <w:footnoteRef/>
      </w:r>
      <w:r>
        <w:t xml:space="preserve"> </w:t>
      </w:r>
      <w:r w:rsidRPr="000E20F0">
        <w:rPr>
          <w:rFonts w:ascii="Palatino Linotype" w:hAnsi="Palatino Linotype"/>
          <w:b/>
          <w:i/>
          <w:sz w:val="16"/>
          <w:szCs w:val="16"/>
        </w:rPr>
        <w:t>Artículo 4.</w:t>
      </w:r>
      <w:r w:rsidRPr="000E20F0">
        <w:rPr>
          <w:rFonts w:ascii="Palatino Linotype" w:hAnsi="Palatino Linotype"/>
          <w:i/>
          <w:sz w:val="16"/>
          <w:szCs w:val="16"/>
        </w:rPr>
        <w:t xml:space="preserve">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footnote>
  <w:footnote w:id="2">
    <w:p w14:paraId="2A2B1E94" w14:textId="77777777" w:rsidR="000F6F21" w:rsidRPr="008C279D" w:rsidRDefault="000F6F21" w:rsidP="000F6F21">
      <w:pPr>
        <w:pStyle w:val="Textonotapie"/>
        <w:rPr>
          <w:rFonts w:ascii="Palatino Linotype" w:hAnsi="Palatino Linotype"/>
          <w:sz w:val="16"/>
          <w:szCs w:val="16"/>
        </w:rPr>
      </w:pPr>
      <w:r w:rsidRPr="008C279D">
        <w:rPr>
          <w:rStyle w:val="Refdenotaalpie"/>
          <w:rFonts w:ascii="Palatino Linotype" w:hAnsi="Palatino Linotype"/>
          <w:sz w:val="16"/>
          <w:szCs w:val="16"/>
        </w:rPr>
        <w:footnoteRef/>
      </w:r>
      <w:r w:rsidRPr="008C279D">
        <w:rPr>
          <w:rFonts w:ascii="Palatino Linotype" w:hAnsi="Palatino Linotype"/>
          <w:sz w:val="16"/>
          <w:szCs w:val="16"/>
        </w:rPr>
        <w:t xml:space="preserve"> </w:t>
      </w:r>
      <w:r w:rsidRPr="008C279D">
        <w:rPr>
          <w:rFonts w:ascii="Palatino Linotype" w:eastAsia="Times New Roman" w:hAnsi="Palatino Linotype" w:cs="Arial"/>
          <w:sz w:val="16"/>
          <w:szCs w:val="16"/>
          <w:lang w:eastAsia="es-MX"/>
        </w:rPr>
        <w:t>Emitido por el Instituto Nacional de Administración Pública, A.C.</w:t>
      </w:r>
    </w:p>
  </w:footnote>
  <w:footnote w:id="3">
    <w:p w14:paraId="5340CCDC" w14:textId="77777777" w:rsidR="000F6F21" w:rsidRDefault="000F6F21" w:rsidP="000F6F21">
      <w:pPr>
        <w:pStyle w:val="Textonotapie"/>
        <w:jc w:val="both"/>
      </w:pPr>
      <w:r w:rsidRPr="008C279D">
        <w:rPr>
          <w:rStyle w:val="Refdenotaalpie"/>
          <w:rFonts w:ascii="Palatino Linotype" w:hAnsi="Palatino Linotype"/>
          <w:sz w:val="16"/>
          <w:szCs w:val="16"/>
        </w:rPr>
        <w:footnoteRef/>
      </w:r>
      <w:r w:rsidRPr="008C279D">
        <w:rPr>
          <w:rFonts w:ascii="Palatino Linotype" w:hAnsi="Palatino Linotype"/>
          <w:sz w:val="16"/>
          <w:szCs w:val="16"/>
        </w:rPr>
        <w:t xml:space="preserve"> </w:t>
      </w:r>
      <w:r w:rsidRPr="008C279D">
        <w:rPr>
          <w:rFonts w:ascii="Palatino Linotype" w:eastAsia="Times New Roman" w:hAnsi="Palatino Linotype" w:cs="Arial"/>
          <w:sz w:val="16"/>
          <w:szCs w:val="16"/>
          <w:lang w:eastAsia="es-MX"/>
        </w:rPr>
        <w:t>Elaborado por el Grupo de Trabajo de Sistemas de Información Financiera, Contable y Presupuestal de la Comisión Permanente de Funcionarios Fiscales del Instituto para el Desarrollo Técnico de las Haciendas Públicas (INDETEC).</w:t>
      </w:r>
    </w:p>
  </w:footnote>
  <w:footnote w:id="4">
    <w:p w14:paraId="4CC1C3BB" w14:textId="77777777" w:rsidR="004749E4" w:rsidRPr="0042327C" w:rsidRDefault="004749E4" w:rsidP="004749E4">
      <w:pPr>
        <w:jc w:val="both"/>
        <w:rPr>
          <w:rFonts w:ascii="Palatino Linotype" w:hAnsi="Palatino Linotype"/>
          <w:i/>
          <w:sz w:val="16"/>
          <w:szCs w:val="20"/>
        </w:rPr>
      </w:pPr>
      <w:r>
        <w:rPr>
          <w:rStyle w:val="Refdenotaalpie"/>
        </w:rPr>
        <w:footnoteRef/>
      </w:r>
      <w:r>
        <w:t xml:space="preserve"> </w:t>
      </w:r>
      <w:r w:rsidRPr="0042327C">
        <w:rPr>
          <w:rFonts w:ascii="Palatino Linotype" w:hAnsi="Palatino Linotype"/>
          <w:i/>
          <w:sz w:val="16"/>
          <w:szCs w:val="20"/>
        </w:rPr>
        <w:t>En Perú la Ley del Procedimiento Administrativo General LEY N° 27444 señala:</w:t>
      </w:r>
      <w:r>
        <w:rPr>
          <w:rFonts w:ascii="Palatino Linotype" w:hAnsi="Palatino Linotype"/>
          <w:i/>
          <w:sz w:val="16"/>
          <w:szCs w:val="20"/>
        </w:rPr>
        <w:t xml:space="preserve"> </w:t>
      </w:r>
      <w:r w:rsidRPr="0042327C">
        <w:rPr>
          <w:rFonts w:ascii="Palatino Linotype" w:hAnsi="Palatino Linotype"/>
          <w:i/>
          <w:sz w:val="16"/>
          <w:szCs w:val="20"/>
        </w:rPr>
        <w:t>“1.7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r>
        <w:rPr>
          <w:rFonts w:ascii="Palatino Linotype" w:hAnsi="Palatino Linotype"/>
          <w:i/>
          <w:sz w:val="16"/>
          <w:szCs w:val="20"/>
        </w:rPr>
        <w:t>”</w:t>
      </w:r>
    </w:p>
    <w:p w14:paraId="407EC130" w14:textId="77777777" w:rsidR="004749E4" w:rsidRDefault="004749E4" w:rsidP="004749E4">
      <w:pPr>
        <w:pStyle w:val="Textonotapie"/>
      </w:pPr>
    </w:p>
  </w:footnote>
  <w:footnote w:id="5">
    <w:p w14:paraId="3429B19D" w14:textId="77777777" w:rsidR="00096D8F" w:rsidRPr="001002A8" w:rsidRDefault="00096D8F" w:rsidP="00096D8F">
      <w:pPr>
        <w:ind w:right="51"/>
        <w:jc w:val="both"/>
        <w:rPr>
          <w:rFonts w:ascii="Palatino Linotype" w:hAnsi="Palatino Linotype" w:cs="Arial"/>
          <w:i/>
          <w:color w:val="000000" w:themeColor="text1"/>
          <w:sz w:val="16"/>
          <w:szCs w:val="16"/>
        </w:rPr>
      </w:pPr>
      <w:r w:rsidRPr="001002A8">
        <w:rPr>
          <w:rStyle w:val="Refdenotaalpie"/>
          <w:sz w:val="16"/>
          <w:szCs w:val="16"/>
        </w:rPr>
        <w:footnoteRef/>
      </w:r>
      <w:r w:rsidRPr="001002A8">
        <w:rPr>
          <w:sz w:val="16"/>
          <w:szCs w:val="16"/>
        </w:rPr>
        <w:t xml:space="preserve"> </w:t>
      </w:r>
      <w:r w:rsidRPr="001002A8">
        <w:rPr>
          <w:rFonts w:ascii="Palatino Linotype" w:hAnsi="Palatino Linotype" w:cs="Arial"/>
          <w:b/>
          <w:bCs/>
          <w:i/>
          <w:color w:val="000000" w:themeColor="text1"/>
          <w:sz w:val="16"/>
          <w:szCs w:val="16"/>
        </w:rPr>
        <w:t xml:space="preserve">Artículo 12. </w:t>
      </w:r>
      <w:r w:rsidRPr="001002A8">
        <w:rPr>
          <w:rFonts w:ascii="Palatino Linotype" w:hAnsi="Palatino Linotype" w:cs="Arial"/>
          <w:i/>
          <w:color w:val="000000" w:themeColor="text1"/>
          <w:sz w:val="16"/>
          <w:szCs w:val="16"/>
        </w:rPr>
        <w:t>Quienes generen, recopilen, administren, manejen, procesen, archiven o conserven información pública serán responsables de la misma en los términos de las disposiciones jurídicas aplicables.</w:t>
      </w:r>
      <w:r>
        <w:rPr>
          <w:rFonts w:ascii="Palatino Linotype" w:hAnsi="Palatino Linotype" w:cs="Arial"/>
          <w:i/>
          <w:color w:val="000000" w:themeColor="text1"/>
          <w:sz w:val="16"/>
          <w:szCs w:val="16"/>
        </w:rPr>
        <w:t xml:space="preserve"> </w:t>
      </w:r>
      <w:r w:rsidRPr="001002A8">
        <w:rPr>
          <w:rFonts w:ascii="Palatino Linotype" w:hAnsi="Palatino Linotype" w:cs="Arial"/>
          <w:i/>
          <w:color w:val="000000" w:themeColor="text1"/>
          <w:sz w:val="16"/>
          <w:szCs w:val="16"/>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E8FA7E1" w14:textId="77777777" w:rsidR="00096D8F" w:rsidRDefault="00096D8F" w:rsidP="00096D8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885123" w14:paraId="6B4E3B81" w14:textId="77777777" w:rsidTr="009D4854">
      <w:tc>
        <w:tcPr>
          <w:tcW w:w="2553" w:type="dxa"/>
          <w:vAlign w:val="center"/>
          <w:hideMark/>
        </w:tcPr>
        <w:p w14:paraId="0ABBC6C0" w14:textId="77777777" w:rsidR="00885123" w:rsidRDefault="00885123"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6F0FB512" w:rsidR="00885123" w:rsidRDefault="00885123" w:rsidP="00DF04B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03919/INFOEM/IP/RR/2018</w:t>
          </w:r>
        </w:p>
      </w:tc>
    </w:tr>
    <w:tr w:rsidR="00885123" w14:paraId="31CB780F" w14:textId="77777777" w:rsidTr="009D4854">
      <w:trPr>
        <w:trHeight w:val="228"/>
      </w:trPr>
      <w:tc>
        <w:tcPr>
          <w:tcW w:w="2553" w:type="dxa"/>
          <w:vAlign w:val="center"/>
          <w:hideMark/>
        </w:tcPr>
        <w:p w14:paraId="4F49CB4A" w14:textId="6966D32E" w:rsidR="00885123" w:rsidRDefault="00885123"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713CECF7" w:rsidR="00885123" w:rsidRDefault="00885123" w:rsidP="004267B7">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Huixquilucan</w:t>
          </w:r>
        </w:p>
      </w:tc>
    </w:tr>
    <w:tr w:rsidR="00885123" w14:paraId="69050F56" w14:textId="77777777" w:rsidTr="009D4854">
      <w:tc>
        <w:tcPr>
          <w:tcW w:w="2553" w:type="dxa"/>
          <w:vAlign w:val="center"/>
          <w:hideMark/>
        </w:tcPr>
        <w:p w14:paraId="65C9B735" w14:textId="1BD9C7F4" w:rsidR="00885123" w:rsidRDefault="00885123"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885123" w:rsidRDefault="00885123"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885123" w:rsidRDefault="00885123" w:rsidP="006F30F8">
    <w:pPr>
      <w:pStyle w:val="Encabezado"/>
      <w:tabs>
        <w:tab w:val="clear" w:pos="4252"/>
        <w:tab w:val="clear" w:pos="8504"/>
        <w:tab w:val="left" w:pos="2326"/>
      </w:tabs>
    </w:pPr>
    <w:r>
      <w:tab/>
    </w:r>
  </w:p>
  <w:p w14:paraId="23403E59" w14:textId="77777777" w:rsidR="00885123" w:rsidRDefault="0088512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885123" w:rsidRDefault="00885123"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885123" w14:paraId="477E149B" w14:textId="77777777" w:rsidTr="00C47D1B">
      <w:tc>
        <w:tcPr>
          <w:tcW w:w="2553" w:type="dxa"/>
          <w:vAlign w:val="center"/>
          <w:hideMark/>
        </w:tcPr>
        <w:p w14:paraId="5C0586E4" w14:textId="77777777" w:rsidR="00885123" w:rsidRDefault="00885123"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0F0966F1" w:rsidR="00885123" w:rsidRPr="004440AC" w:rsidRDefault="00885123" w:rsidP="00DF04B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03919/INFOEM/IP/RR/2018</w:t>
          </w:r>
        </w:p>
      </w:tc>
    </w:tr>
    <w:tr w:rsidR="00885123" w14:paraId="5B5BE21C" w14:textId="77777777" w:rsidTr="00C47D1B">
      <w:tc>
        <w:tcPr>
          <w:tcW w:w="2553" w:type="dxa"/>
          <w:vAlign w:val="center"/>
          <w:hideMark/>
        </w:tcPr>
        <w:p w14:paraId="4AE96902" w14:textId="4E063913" w:rsidR="00885123" w:rsidRDefault="00885123"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528AA169" w:rsidR="00885123" w:rsidRPr="004440AC" w:rsidRDefault="00333999" w:rsidP="00333999">
          <w:pPr>
            <w:rPr>
              <w:rFonts w:ascii="Palatino Linotype" w:hAnsi="Palatino Linotype"/>
              <w:b/>
              <w:sz w:val="22"/>
              <w:szCs w:val="22"/>
              <w:lang w:val="es-ES_tradnl"/>
            </w:rPr>
          </w:pPr>
          <w:r>
            <w:rPr>
              <w:rFonts w:ascii="Palatino Linotype" w:hAnsi="Palatino Linotype"/>
              <w:b/>
              <w:sz w:val="22"/>
              <w:szCs w:val="22"/>
              <w:lang w:val="es-ES_tradnl"/>
            </w:rPr>
            <w:t>Xxxxx Xxxxxxxx Xxxxxxxx</w:t>
          </w:r>
        </w:p>
      </w:tc>
    </w:tr>
    <w:tr w:rsidR="00885123" w14:paraId="22601A11" w14:textId="77777777" w:rsidTr="00C47D1B">
      <w:trPr>
        <w:trHeight w:val="228"/>
      </w:trPr>
      <w:tc>
        <w:tcPr>
          <w:tcW w:w="2553" w:type="dxa"/>
          <w:vAlign w:val="center"/>
          <w:hideMark/>
        </w:tcPr>
        <w:p w14:paraId="6EFE221D" w14:textId="49C5F800" w:rsidR="00885123" w:rsidRDefault="00885123"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58838F1C" w:rsidR="00885123" w:rsidRPr="004440AC" w:rsidRDefault="00885123" w:rsidP="00C20143">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Huixquilucan</w:t>
          </w:r>
        </w:p>
      </w:tc>
    </w:tr>
    <w:tr w:rsidR="00885123" w14:paraId="2D6C630E" w14:textId="77777777" w:rsidTr="00C47D1B">
      <w:tc>
        <w:tcPr>
          <w:tcW w:w="2553" w:type="dxa"/>
          <w:vAlign w:val="center"/>
          <w:hideMark/>
        </w:tcPr>
        <w:p w14:paraId="5BD4C6DB" w14:textId="0AEF79C2" w:rsidR="00885123" w:rsidRDefault="00885123"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885123" w:rsidRPr="004440AC" w:rsidRDefault="00885123"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885123" w:rsidRDefault="0088512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7563"/>
    <w:multiLevelType w:val="hybridMultilevel"/>
    <w:tmpl w:val="E9EEF742"/>
    <w:lvl w:ilvl="0" w:tplc="643E1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8B82274"/>
    <w:multiLevelType w:val="hybridMultilevel"/>
    <w:tmpl w:val="0B807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E167B"/>
    <w:multiLevelType w:val="hybridMultilevel"/>
    <w:tmpl w:val="20945A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776F90"/>
    <w:multiLevelType w:val="hybridMultilevel"/>
    <w:tmpl w:val="65140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94554E"/>
    <w:multiLevelType w:val="hybridMultilevel"/>
    <w:tmpl w:val="3CC4B44C"/>
    <w:lvl w:ilvl="0" w:tplc="0F6047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365DAD"/>
    <w:multiLevelType w:val="hybridMultilevel"/>
    <w:tmpl w:val="883E58A4"/>
    <w:lvl w:ilvl="0" w:tplc="C21A00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3E83AF4"/>
    <w:multiLevelType w:val="hybridMultilevel"/>
    <w:tmpl w:val="E7321A80"/>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651735D"/>
    <w:multiLevelType w:val="hybridMultilevel"/>
    <w:tmpl w:val="5BFC62E0"/>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8C20B1"/>
    <w:multiLevelType w:val="hybridMultilevel"/>
    <w:tmpl w:val="D2A80F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B60FE2"/>
    <w:multiLevelType w:val="hybridMultilevel"/>
    <w:tmpl w:val="27204C06"/>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8A11F1"/>
    <w:multiLevelType w:val="hybridMultilevel"/>
    <w:tmpl w:val="059CAFA0"/>
    <w:lvl w:ilvl="0" w:tplc="149038CA">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53CC7554"/>
    <w:multiLevelType w:val="hybridMultilevel"/>
    <w:tmpl w:val="E7321A80"/>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6C570433"/>
    <w:multiLevelType w:val="hybridMultilevel"/>
    <w:tmpl w:val="90EE7FBC"/>
    <w:lvl w:ilvl="0" w:tplc="6542F6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11"/>
  </w:num>
  <w:num w:numId="5">
    <w:abstractNumId w:val="12"/>
  </w:num>
  <w:num w:numId="6">
    <w:abstractNumId w:val="4"/>
  </w:num>
  <w:num w:numId="7">
    <w:abstractNumId w:val="10"/>
  </w:num>
  <w:num w:numId="8">
    <w:abstractNumId w:val="6"/>
  </w:num>
  <w:num w:numId="9">
    <w:abstractNumId w:val="14"/>
  </w:num>
  <w:num w:numId="10">
    <w:abstractNumId w:val="13"/>
  </w:num>
  <w:num w:numId="11">
    <w:abstractNumId w:val="1"/>
  </w:num>
  <w:num w:numId="12">
    <w:abstractNumId w:val="15"/>
  </w:num>
  <w:num w:numId="13">
    <w:abstractNumId w:val="2"/>
  </w:num>
  <w:num w:numId="14">
    <w:abstractNumId w:val="3"/>
  </w:num>
  <w:num w:numId="15">
    <w:abstractNumId w:val="5"/>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1FAC"/>
    <w:rsid w:val="00002BAD"/>
    <w:rsid w:val="000035AE"/>
    <w:rsid w:val="0000625E"/>
    <w:rsid w:val="000064FC"/>
    <w:rsid w:val="0000706A"/>
    <w:rsid w:val="00007CF3"/>
    <w:rsid w:val="00007D6B"/>
    <w:rsid w:val="00011B2C"/>
    <w:rsid w:val="000121D7"/>
    <w:rsid w:val="0001266E"/>
    <w:rsid w:val="00012A5F"/>
    <w:rsid w:val="000155F8"/>
    <w:rsid w:val="000163E2"/>
    <w:rsid w:val="000172A2"/>
    <w:rsid w:val="00017BE1"/>
    <w:rsid w:val="00017DDD"/>
    <w:rsid w:val="00020A18"/>
    <w:rsid w:val="00020FBB"/>
    <w:rsid w:val="00021B85"/>
    <w:rsid w:val="00021E8D"/>
    <w:rsid w:val="0002371F"/>
    <w:rsid w:val="000239D7"/>
    <w:rsid w:val="00023C79"/>
    <w:rsid w:val="000252E9"/>
    <w:rsid w:val="00025820"/>
    <w:rsid w:val="000258CE"/>
    <w:rsid w:val="00026705"/>
    <w:rsid w:val="00026D94"/>
    <w:rsid w:val="00030E18"/>
    <w:rsid w:val="00030F03"/>
    <w:rsid w:val="0003132F"/>
    <w:rsid w:val="0003194C"/>
    <w:rsid w:val="0003282D"/>
    <w:rsid w:val="0003385D"/>
    <w:rsid w:val="00035413"/>
    <w:rsid w:val="000354B7"/>
    <w:rsid w:val="000359D8"/>
    <w:rsid w:val="00035B1B"/>
    <w:rsid w:val="00035F2E"/>
    <w:rsid w:val="00036575"/>
    <w:rsid w:val="00036B8A"/>
    <w:rsid w:val="00036BA5"/>
    <w:rsid w:val="00037990"/>
    <w:rsid w:val="0004214C"/>
    <w:rsid w:val="000423C7"/>
    <w:rsid w:val="00042E1A"/>
    <w:rsid w:val="000444EF"/>
    <w:rsid w:val="0004471E"/>
    <w:rsid w:val="0004502C"/>
    <w:rsid w:val="00045FD8"/>
    <w:rsid w:val="0004750C"/>
    <w:rsid w:val="00047F41"/>
    <w:rsid w:val="00051914"/>
    <w:rsid w:val="00053FE1"/>
    <w:rsid w:val="00054830"/>
    <w:rsid w:val="00055065"/>
    <w:rsid w:val="00057073"/>
    <w:rsid w:val="000577A0"/>
    <w:rsid w:val="00060CD1"/>
    <w:rsid w:val="000646E3"/>
    <w:rsid w:val="00065235"/>
    <w:rsid w:val="000652AD"/>
    <w:rsid w:val="00065B4D"/>
    <w:rsid w:val="000667E0"/>
    <w:rsid w:val="00066C8A"/>
    <w:rsid w:val="0006730A"/>
    <w:rsid w:val="00071462"/>
    <w:rsid w:val="00071A99"/>
    <w:rsid w:val="000737D0"/>
    <w:rsid w:val="000739EC"/>
    <w:rsid w:val="000752EF"/>
    <w:rsid w:val="00075D7A"/>
    <w:rsid w:val="00076B35"/>
    <w:rsid w:val="00077347"/>
    <w:rsid w:val="00077788"/>
    <w:rsid w:val="0008304C"/>
    <w:rsid w:val="00083058"/>
    <w:rsid w:val="00083113"/>
    <w:rsid w:val="0008321B"/>
    <w:rsid w:val="0008387F"/>
    <w:rsid w:val="0008542A"/>
    <w:rsid w:val="00085A01"/>
    <w:rsid w:val="00085BBC"/>
    <w:rsid w:val="00086447"/>
    <w:rsid w:val="00086787"/>
    <w:rsid w:val="00087498"/>
    <w:rsid w:val="00087514"/>
    <w:rsid w:val="00090EBA"/>
    <w:rsid w:val="00091682"/>
    <w:rsid w:val="00092D2C"/>
    <w:rsid w:val="00093DEB"/>
    <w:rsid w:val="00094E67"/>
    <w:rsid w:val="00095E37"/>
    <w:rsid w:val="00096078"/>
    <w:rsid w:val="00096D8F"/>
    <w:rsid w:val="00097EF0"/>
    <w:rsid w:val="000A0234"/>
    <w:rsid w:val="000A0D0B"/>
    <w:rsid w:val="000A1707"/>
    <w:rsid w:val="000A1C9A"/>
    <w:rsid w:val="000A1E1F"/>
    <w:rsid w:val="000A2B28"/>
    <w:rsid w:val="000A351A"/>
    <w:rsid w:val="000A4EC4"/>
    <w:rsid w:val="000A515A"/>
    <w:rsid w:val="000A577A"/>
    <w:rsid w:val="000A6211"/>
    <w:rsid w:val="000A6651"/>
    <w:rsid w:val="000A6F33"/>
    <w:rsid w:val="000A7298"/>
    <w:rsid w:val="000A7C0E"/>
    <w:rsid w:val="000B2720"/>
    <w:rsid w:val="000B2B61"/>
    <w:rsid w:val="000B2CE3"/>
    <w:rsid w:val="000B2FE2"/>
    <w:rsid w:val="000B3C77"/>
    <w:rsid w:val="000B3FFD"/>
    <w:rsid w:val="000B4744"/>
    <w:rsid w:val="000B5351"/>
    <w:rsid w:val="000B7B5A"/>
    <w:rsid w:val="000C057C"/>
    <w:rsid w:val="000C299C"/>
    <w:rsid w:val="000C3622"/>
    <w:rsid w:val="000C4453"/>
    <w:rsid w:val="000C54A3"/>
    <w:rsid w:val="000C63F2"/>
    <w:rsid w:val="000C7714"/>
    <w:rsid w:val="000C77C6"/>
    <w:rsid w:val="000C7C04"/>
    <w:rsid w:val="000D03C2"/>
    <w:rsid w:val="000D0980"/>
    <w:rsid w:val="000D353B"/>
    <w:rsid w:val="000D3C88"/>
    <w:rsid w:val="000D3E76"/>
    <w:rsid w:val="000D42E6"/>
    <w:rsid w:val="000D432B"/>
    <w:rsid w:val="000D5CD9"/>
    <w:rsid w:val="000D6BB0"/>
    <w:rsid w:val="000D7676"/>
    <w:rsid w:val="000D7F06"/>
    <w:rsid w:val="000E0400"/>
    <w:rsid w:val="000E0439"/>
    <w:rsid w:val="000E059C"/>
    <w:rsid w:val="000E08B8"/>
    <w:rsid w:val="000E0E8E"/>
    <w:rsid w:val="000E2FAC"/>
    <w:rsid w:val="000E42C5"/>
    <w:rsid w:val="000E52E1"/>
    <w:rsid w:val="000E5699"/>
    <w:rsid w:val="000E605F"/>
    <w:rsid w:val="000E7152"/>
    <w:rsid w:val="000F1991"/>
    <w:rsid w:val="000F2922"/>
    <w:rsid w:val="000F6F21"/>
    <w:rsid w:val="000F71B5"/>
    <w:rsid w:val="000F7B90"/>
    <w:rsid w:val="000F7FE2"/>
    <w:rsid w:val="001000DF"/>
    <w:rsid w:val="0010152C"/>
    <w:rsid w:val="00101879"/>
    <w:rsid w:val="00102EEE"/>
    <w:rsid w:val="00104420"/>
    <w:rsid w:val="00104E08"/>
    <w:rsid w:val="00106129"/>
    <w:rsid w:val="001068A0"/>
    <w:rsid w:val="00106AA8"/>
    <w:rsid w:val="00107249"/>
    <w:rsid w:val="001073CC"/>
    <w:rsid w:val="00107A49"/>
    <w:rsid w:val="00110FCF"/>
    <w:rsid w:val="001110FC"/>
    <w:rsid w:val="00112067"/>
    <w:rsid w:val="00112892"/>
    <w:rsid w:val="001129DF"/>
    <w:rsid w:val="00114D4B"/>
    <w:rsid w:val="00114DDF"/>
    <w:rsid w:val="00115AAD"/>
    <w:rsid w:val="00122600"/>
    <w:rsid w:val="001239B9"/>
    <w:rsid w:val="00124762"/>
    <w:rsid w:val="00124FF9"/>
    <w:rsid w:val="00125637"/>
    <w:rsid w:val="00126833"/>
    <w:rsid w:val="00130642"/>
    <w:rsid w:val="001306E4"/>
    <w:rsid w:val="00133D84"/>
    <w:rsid w:val="00135B39"/>
    <w:rsid w:val="00136083"/>
    <w:rsid w:val="001407EE"/>
    <w:rsid w:val="00141F78"/>
    <w:rsid w:val="00143967"/>
    <w:rsid w:val="00144389"/>
    <w:rsid w:val="00145395"/>
    <w:rsid w:val="00145D65"/>
    <w:rsid w:val="00147E1D"/>
    <w:rsid w:val="00151D19"/>
    <w:rsid w:val="00152866"/>
    <w:rsid w:val="001529DA"/>
    <w:rsid w:val="0015442F"/>
    <w:rsid w:val="0015464D"/>
    <w:rsid w:val="00155116"/>
    <w:rsid w:val="0015575F"/>
    <w:rsid w:val="00156F81"/>
    <w:rsid w:val="00160ECF"/>
    <w:rsid w:val="00161883"/>
    <w:rsid w:val="00161C6D"/>
    <w:rsid w:val="00161FC4"/>
    <w:rsid w:val="00162A42"/>
    <w:rsid w:val="00162AEF"/>
    <w:rsid w:val="00163B98"/>
    <w:rsid w:val="00166139"/>
    <w:rsid w:val="001667F0"/>
    <w:rsid w:val="00166EF9"/>
    <w:rsid w:val="00167F89"/>
    <w:rsid w:val="001701C4"/>
    <w:rsid w:val="00170257"/>
    <w:rsid w:val="00170E0A"/>
    <w:rsid w:val="00170EEB"/>
    <w:rsid w:val="00172089"/>
    <w:rsid w:val="001723BF"/>
    <w:rsid w:val="00173BAF"/>
    <w:rsid w:val="001740BB"/>
    <w:rsid w:val="0017530C"/>
    <w:rsid w:val="0017555E"/>
    <w:rsid w:val="00175974"/>
    <w:rsid w:val="001777B9"/>
    <w:rsid w:val="00177A27"/>
    <w:rsid w:val="00181791"/>
    <w:rsid w:val="0018276A"/>
    <w:rsid w:val="001831D6"/>
    <w:rsid w:val="00183275"/>
    <w:rsid w:val="00184440"/>
    <w:rsid w:val="00184474"/>
    <w:rsid w:val="00184FBA"/>
    <w:rsid w:val="00185B9B"/>
    <w:rsid w:val="00186B63"/>
    <w:rsid w:val="00191186"/>
    <w:rsid w:val="001911CC"/>
    <w:rsid w:val="001914E2"/>
    <w:rsid w:val="00194C19"/>
    <w:rsid w:val="00197DA4"/>
    <w:rsid w:val="001A0542"/>
    <w:rsid w:val="001A1810"/>
    <w:rsid w:val="001A2131"/>
    <w:rsid w:val="001A21C9"/>
    <w:rsid w:val="001A2A37"/>
    <w:rsid w:val="001A2FF3"/>
    <w:rsid w:val="001A373A"/>
    <w:rsid w:val="001A4A32"/>
    <w:rsid w:val="001A5E46"/>
    <w:rsid w:val="001A7198"/>
    <w:rsid w:val="001A7913"/>
    <w:rsid w:val="001B0493"/>
    <w:rsid w:val="001B2D55"/>
    <w:rsid w:val="001B3256"/>
    <w:rsid w:val="001B38A0"/>
    <w:rsid w:val="001B5099"/>
    <w:rsid w:val="001B5583"/>
    <w:rsid w:val="001B6BDC"/>
    <w:rsid w:val="001C08D3"/>
    <w:rsid w:val="001C09C3"/>
    <w:rsid w:val="001C0C3F"/>
    <w:rsid w:val="001C12A7"/>
    <w:rsid w:val="001C2B8C"/>
    <w:rsid w:val="001C2DE9"/>
    <w:rsid w:val="001C304B"/>
    <w:rsid w:val="001C3595"/>
    <w:rsid w:val="001C4584"/>
    <w:rsid w:val="001C5205"/>
    <w:rsid w:val="001C5AA1"/>
    <w:rsid w:val="001C5E2E"/>
    <w:rsid w:val="001C775A"/>
    <w:rsid w:val="001D064E"/>
    <w:rsid w:val="001D1328"/>
    <w:rsid w:val="001D1A83"/>
    <w:rsid w:val="001D22FD"/>
    <w:rsid w:val="001D36C6"/>
    <w:rsid w:val="001D54C7"/>
    <w:rsid w:val="001D5C46"/>
    <w:rsid w:val="001D5DD1"/>
    <w:rsid w:val="001D63C6"/>
    <w:rsid w:val="001D6864"/>
    <w:rsid w:val="001D7A7E"/>
    <w:rsid w:val="001E089C"/>
    <w:rsid w:val="001E1C02"/>
    <w:rsid w:val="001E39C4"/>
    <w:rsid w:val="001E5075"/>
    <w:rsid w:val="001E50ED"/>
    <w:rsid w:val="001E5309"/>
    <w:rsid w:val="001E60A4"/>
    <w:rsid w:val="001E63F1"/>
    <w:rsid w:val="001E64BE"/>
    <w:rsid w:val="001F1B46"/>
    <w:rsid w:val="001F1DFE"/>
    <w:rsid w:val="001F1F7D"/>
    <w:rsid w:val="001F2CA8"/>
    <w:rsid w:val="001F4965"/>
    <w:rsid w:val="001F501F"/>
    <w:rsid w:val="001F5BEA"/>
    <w:rsid w:val="001F7F33"/>
    <w:rsid w:val="0020054B"/>
    <w:rsid w:val="00201E21"/>
    <w:rsid w:val="0020435D"/>
    <w:rsid w:val="002048C6"/>
    <w:rsid w:val="00204C2A"/>
    <w:rsid w:val="00205361"/>
    <w:rsid w:val="00205F0F"/>
    <w:rsid w:val="002071AC"/>
    <w:rsid w:val="00207251"/>
    <w:rsid w:val="00210D9C"/>
    <w:rsid w:val="00212FE4"/>
    <w:rsid w:val="002153F3"/>
    <w:rsid w:val="002155B0"/>
    <w:rsid w:val="00215922"/>
    <w:rsid w:val="00215C54"/>
    <w:rsid w:val="00220958"/>
    <w:rsid w:val="002214CC"/>
    <w:rsid w:val="00221545"/>
    <w:rsid w:val="00221AB0"/>
    <w:rsid w:val="00221D2C"/>
    <w:rsid w:val="00222F65"/>
    <w:rsid w:val="00223136"/>
    <w:rsid w:val="00223D0B"/>
    <w:rsid w:val="00225145"/>
    <w:rsid w:val="00227980"/>
    <w:rsid w:val="00230CD4"/>
    <w:rsid w:val="0023160A"/>
    <w:rsid w:val="002320BF"/>
    <w:rsid w:val="0023264F"/>
    <w:rsid w:val="0023380E"/>
    <w:rsid w:val="002339A2"/>
    <w:rsid w:val="00233F88"/>
    <w:rsid w:val="002343B2"/>
    <w:rsid w:val="00235FB4"/>
    <w:rsid w:val="00236FC8"/>
    <w:rsid w:val="0023733C"/>
    <w:rsid w:val="0024060B"/>
    <w:rsid w:val="002440EB"/>
    <w:rsid w:val="00244EEF"/>
    <w:rsid w:val="002473A9"/>
    <w:rsid w:val="00251066"/>
    <w:rsid w:val="00251C63"/>
    <w:rsid w:val="00253D31"/>
    <w:rsid w:val="00253E81"/>
    <w:rsid w:val="002556CA"/>
    <w:rsid w:val="00256193"/>
    <w:rsid w:val="002608CE"/>
    <w:rsid w:val="0026164E"/>
    <w:rsid w:val="0026271B"/>
    <w:rsid w:val="002629E7"/>
    <w:rsid w:val="002630EE"/>
    <w:rsid w:val="002648D8"/>
    <w:rsid w:val="00265307"/>
    <w:rsid w:val="002657BB"/>
    <w:rsid w:val="0026683E"/>
    <w:rsid w:val="00267FF3"/>
    <w:rsid w:val="002702A1"/>
    <w:rsid w:val="002729C3"/>
    <w:rsid w:val="00272EB2"/>
    <w:rsid w:val="00273D22"/>
    <w:rsid w:val="00276F2E"/>
    <w:rsid w:val="00281EF2"/>
    <w:rsid w:val="00282356"/>
    <w:rsid w:val="00283308"/>
    <w:rsid w:val="00283705"/>
    <w:rsid w:val="00290A2D"/>
    <w:rsid w:val="00290C42"/>
    <w:rsid w:val="00291E15"/>
    <w:rsid w:val="00292D30"/>
    <w:rsid w:val="002937C6"/>
    <w:rsid w:val="00293DE5"/>
    <w:rsid w:val="0029488A"/>
    <w:rsid w:val="002948A1"/>
    <w:rsid w:val="00294E82"/>
    <w:rsid w:val="00295078"/>
    <w:rsid w:val="00295C72"/>
    <w:rsid w:val="00295CAC"/>
    <w:rsid w:val="00295DE7"/>
    <w:rsid w:val="00297AB0"/>
    <w:rsid w:val="00297FDC"/>
    <w:rsid w:val="002A2BE2"/>
    <w:rsid w:val="002A6CC7"/>
    <w:rsid w:val="002B0A1D"/>
    <w:rsid w:val="002B0EF8"/>
    <w:rsid w:val="002B1708"/>
    <w:rsid w:val="002B2D77"/>
    <w:rsid w:val="002B393B"/>
    <w:rsid w:val="002B4787"/>
    <w:rsid w:val="002B4950"/>
    <w:rsid w:val="002B5958"/>
    <w:rsid w:val="002B5C57"/>
    <w:rsid w:val="002B62AF"/>
    <w:rsid w:val="002B7622"/>
    <w:rsid w:val="002B7AA6"/>
    <w:rsid w:val="002C0C5C"/>
    <w:rsid w:val="002C0C63"/>
    <w:rsid w:val="002C0F5C"/>
    <w:rsid w:val="002C4011"/>
    <w:rsid w:val="002C4BC2"/>
    <w:rsid w:val="002C4EBB"/>
    <w:rsid w:val="002C4F45"/>
    <w:rsid w:val="002C6154"/>
    <w:rsid w:val="002C6C4B"/>
    <w:rsid w:val="002D07B6"/>
    <w:rsid w:val="002D0CCE"/>
    <w:rsid w:val="002D46BF"/>
    <w:rsid w:val="002D508B"/>
    <w:rsid w:val="002D60EC"/>
    <w:rsid w:val="002D6962"/>
    <w:rsid w:val="002E100C"/>
    <w:rsid w:val="002E3F03"/>
    <w:rsid w:val="002E5744"/>
    <w:rsid w:val="002E6172"/>
    <w:rsid w:val="002E6B74"/>
    <w:rsid w:val="002E7939"/>
    <w:rsid w:val="002F1C4D"/>
    <w:rsid w:val="002F2653"/>
    <w:rsid w:val="002F2F71"/>
    <w:rsid w:val="002F3A84"/>
    <w:rsid w:val="002F3C14"/>
    <w:rsid w:val="002F411A"/>
    <w:rsid w:val="002F4B70"/>
    <w:rsid w:val="002F5078"/>
    <w:rsid w:val="002F5A90"/>
    <w:rsid w:val="002F6F61"/>
    <w:rsid w:val="002F700E"/>
    <w:rsid w:val="00300A29"/>
    <w:rsid w:val="003013B4"/>
    <w:rsid w:val="00302787"/>
    <w:rsid w:val="00302FBC"/>
    <w:rsid w:val="00306B09"/>
    <w:rsid w:val="0030711C"/>
    <w:rsid w:val="00307205"/>
    <w:rsid w:val="0031046F"/>
    <w:rsid w:val="00311601"/>
    <w:rsid w:val="0031189B"/>
    <w:rsid w:val="00313107"/>
    <w:rsid w:val="00313AFB"/>
    <w:rsid w:val="00314023"/>
    <w:rsid w:val="0031413C"/>
    <w:rsid w:val="00314587"/>
    <w:rsid w:val="003156AE"/>
    <w:rsid w:val="00321226"/>
    <w:rsid w:val="00321D72"/>
    <w:rsid w:val="0032278E"/>
    <w:rsid w:val="00322AE2"/>
    <w:rsid w:val="00323623"/>
    <w:rsid w:val="00324337"/>
    <w:rsid w:val="0033030C"/>
    <w:rsid w:val="0033396B"/>
    <w:rsid w:val="00333999"/>
    <w:rsid w:val="00333C7C"/>
    <w:rsid w:val="003349F4"/>
    <w:rsid w:val="00335047"/>
    <w:rsid w:val="003404F0"/>
    <w:rsid w:val="00340B86"/>
    <w:rsid w:val="0034164E"/>
    <w:rsid w:val="00347274"/>
    <w:rsid w:val="00347E11"/>
    <w:rsid w:val="003519B1"/>
    <w:rsid w:val="00351CB7"/>
    <w:rsid w:val="00351DDD"/>
    <w:rsid w:val="003537DE"/>
    <w:rsid w:val="00355706"/>
    <w:rsid w:val="003557C1"/>
    <w:rsid w:val="00355B75"/>
    <w:rsid w:val="003561CE"/>
    <w:rsid w:val="00356259"/>
    <w:rsid w:val="0035716F"/>
    <w:rsid w:val="0036086E"/>
    <w:rsid w:val="00361383"/>
    <w:rsid w:val="00362689"/>
    <w:rsid w:val="00362E37"/>
    <w:rsid w:val="003633DD"/>
    <w:rsid w:val="00365405"/>
    <w:rsid w:val="00366C6B"/>
    <w:rsid w:val="00367CE5"/>
    <w:rsid w:val="00370970"/>
    <w:rsid w:val="003710D0"/>
    <w:rsid w:val="00371EF9"/>
    <w:rsid w:val="0037225D"/>
    <w:rsid w:val="003729E8"/>
    <w:rsid w:val="00373B44"/>
    <w:rsid w:val="00373EDE"/>
    <w:rsid w:val="0037611E"/>
    <w:rsid w:val="003818EE"/>
    <w:rsid w:val="00381E05"/>
    <w:rsid w:val="00382014"/>
    <w:rsid w:val="0038692A"/>
    <w:rsid w:val="00390B07"/>
    <w:rsid w:val="00391F37"/>
    <w:rsid w:val="0039220F"/>
    <w:rsid w:val="00392EE5"/>
    <w:rsid w:val="00393317"/>
    <w:rsid w:val="0039727B"/>
    <w:rsid w:val="003A11DD"/>
    <w:rsid w:val="003A12B9"/>
    <w:rsid w:val="003A1AF1"/>
    <w:rsid w:val="003A1E57"/>
    <w:rsid w:val="003A2B96"/>
    <w:rsid w:val="003A3114"/>
    <w:rsid w:val="003A5A6E"/>
    <w:rsid w:val="003A6186"/>
    <w:rsid w:val="003A640F"/>
    <w:rsid w:val="003A7A6D"/>
    <w:rsid w:val="003B0688"/>
    <w:rsid w:val="003B0F61"/>
    <w:rsid w:val="003B17BA"/>
    <w:rsid w:val="003B27EA"/>
    <w:rsid w:val="003B31F9"/>
    <w:rsid w:val="003B3C22"/>
    <w:rsid w:val="003B5D25"/>
    <w:rsid w:val="003B6431"/>
    <w:rsid w:val="003B72E9"/>
    <w:rsid w:val="003C4A79"/>
    <w:rsid w:val="003C55F5"/>
    <w:rsid w:val="003C5621"/>
    <w:rsid w:val="003C5A54"/>
    <w:rsid w:val="003C74A1"/>
    <w:rsid w:val="003D03DA"/>
    <w:rsid w:val="003D0A56"/>
    <w:rsid w:val="003D1883"/>
    <w:rsid w:val="003D18A4"/>
    <w:rsid w:val="003D1F78"/>
    <w:rsid w:val="003D202C"/>
    <w:rsid w:val="003D20B9"/>
    <w:rsid w:val="003D3190"/>
    <w:rsid w:val="003D48A3"/>
    <w:rsid w:val="003D4D18"/>
    <w:rsid w:val="003D5B72"/>
    <w:rsid w:val="003D5EEB"/>
    <w:rsid w:val="003D61B0"/>
    <w:rsid w:val="003E0676"/>
    <w:rsid w:val="003E0A67"/>
    <w:rsid w:val="003E3949"/>
    <w:rsid w:val="003E5D59"/>
    <w:rsid w:val="003E5DB7"/>
    <w:rsid w:val="003E6D0E"/>
    <w:rsid w:val="003F09F0"/>
    <w:rsid w:val="003F1EE6"/>
    <w:rsid w:val="003F1F4C"/>
    <w:rsid w:val="003F2039"/>
    <w:rsid w:val="003F2BA9"/>
    <w:rsid w:val="003F399A"/>
    <w:rsid w:val="003F3F3C"/>
    <w:rsid w:val="003F52C2"/>
    <w:rsid w:val="003F58C3"/>
    <w:rsid w:val="003F5CBA"/>
    <w:rsid w:val="003F7A0F"/>
    <w:rsid w:val="00401EB9"/>
    <w:rsid w:val="0040233B"/>
    <w:rsid w:val="00402E72"/>
    <w:rsid w:val="00403362"/>
    <w:rsid w:val="00403B52"/>
    <w:rsid w:val="004053FB"/>
    <w:rsid w:val="00407518"/>
    <w:rsid w:val="004078D6"/>
    <w:rsid w:val="00407B8F"/>
    <w:rsid w:val="00410650"/>
    <w:rsid w:val="004106C1"/>
    <w:rsid w:val="004126F7"/>
    <w:rsid w:val="0041342A"/>
    <w:rsid w:val="00414AE6"/>
    <w:rsid w:val="00414EE8"/>
    <w:rsid w:val="00416410"/>
    <w:rsid w:val="00416BBD"/>
    <w:rsid w:val="0042006D"/>
    <w:rsid w:val="00421318"/>
    <w:rsid w:val="00421638"/>
    <w:rsid w:val="0042327C"/>
    <w:rsid w:val="00423786"/>
    <w:rsid w:val="00424241"/>
    <w:rsid w:val="00425613"/>
    <w:rsid w:val="004267B7"/>
    <w:rsid w:val="004272E8"/>
    <w:rsid w:val="00430C71"/>
    <w:rsid w:val="00432C5F"/>
    <w:rsid w:val="0043317E"/>
    <w:rsid w:val="00433345"/>
    <w:rsid w:val="00434264"/>
    <w:rsid w:val="004347EA"/>
    <w:rsid w:val="004350B4"/>
    <w:rsid w:val="00436503"/>
    <w:rsid w:val="00436572"/>
    <w:rsid w:val="00440BAF"/>
    <w:rsid w:val="00441BF3"/>
    <w:rsid w:val="00441C23"/>
    <w:rsid w:val="004436ED"/>
    <w:rsid w:val="004440AC"/>
    <w:rsid w:val="004443A2"/>
    <w:rsid w:val="00444919"/>
    <w:rsid w:val="0044547C"/>
    <w:rsid w:val="0044590C"/>
    <w:rsid w:val="00446BB3"/>
    <w:rsid w:val="00447A35"/>
    <w:rsid w:val="004502EF"/>
    <w:rsid w:val="00450869"/>
    <w:rsid w:val="00450FA6"/>
    <w:rsid w:val="00451F5B"/>
    <w:rsid w:val="004525C3"/>
    <w:rsid w:val="00453028"/>
    <w:rsid w:val="00453918"/>
    <w:rsid w:val="00453D4B"/>
    <w:rsid w:val="00454571"/>
    <w:rsid w:val="00455768"/>
    <w:rsid w:val="00455AE2"/>
    <w:rsid w:val="00455E8A"/>
    <w:rsid w:val="00456E2C"/>
    <w:rsid w:val="00457077"/>
    <w:rsid w:val="0045780B"/>
    <w:rsid w:val="00457FC7"/>
    <w:rsid w:val="00462417"/>
    <w:rsid w:val="00464624"/>
    <w:rsid w:val="00465E62"/>
    <w:rsid w:val="00465F07"/>
    <w:rsid w:val="00466478"/>
    <w:rsid w:val="004677F9"/>
    <w:rsid w:val="00471EC2"/>
    <w:rsid w:val="00472A9B"/>
    <w:rsid w:val="00473B43"/>
    <w:rsid w:val="00473CE0"/>
    <w:rsid w:val="004749E4"/>
    <w:rsid w:val="004760B1"/>
    <w:rsid w:val="004776DB"/>
    <w:rsid w:val="0047775E"/>
    <w:rsid w:val="00482731"/>
    <w:rsid w:val="0048286C"/>
    <w:rsid w:val="00483A0F"/>
    <w:rsid w:val="00484625"/>
    <w:rsid w:val="0048559B"/>
    <w:rsid w:val="0048589D"/>
    <w:rsid w:val="004879E2"/>
    <w:rsid w:val="00487CDF"/>
    <w:rsid w:val="00487F15"/>
    <w:rsid w:val="00490FFE"/>
    <w:rsid w:val="004912A0"/>
    <w:rsid w:val="00492398"/>
    <w:rsid w:val="004928DE"/>
    <w:rsid w:val="00493E2F"/>
    <w:rsid w:val="00494630"/>
    <w:rsid w:val="0049576C"/>
    <w:rsid w:val="00496318"/>
    <w:rsid w:val="00496506"/>
    <w:rsid w:val="004A0EA8"/>
    <w:rsid w:val="004A14D9"/>
    <w:rsid w:val="004A21F6"/>
    <w:rsid w:val="004A2BB3"/>
    <w:rsid w:val="004A3711"/>
    <w:rsid w:val="004A3B39"/>
    <w:rsid w:val="004A4B61"/>
    <w:rsid w:val="004A6DAB"/>
    <w:rsid w:val="004A6EFE"/>
    <w:rsid w:val="004A70C9"/>
    <w:rsid w:val="004B11D6"/>
    <w:rsid w:val="004B1341"/>
    <w:rsid w:val="004B1858"/>
    <w:rsid w:val="004B2540"/>
    <w:rsid w:val="004B2DFE"/>
    <w:rsid w:val="004B308F"/>
    <w:rsid w:val="004B34F0"/>
    <w:rsid w:val="004B3B29"/>
    <w:rsid w:val="004B58C3"/>
    <w:rsid w:val="004B675F"/>
    <w:rsid w:val="004B72C5"/>
    <w:rsid w:val="004B7A1B"/>
    <w:rsid w:val="004C08BF"/>
    <w:rsid w:val="004C0925"/>
    <w:rsid w:val="004C0C2C"/>
    <w:rsid w:val="004C0D54"/>
    <w:rsid w:val="004C3804"/>
    <w:rsid w:val="004C45A2"/>
    <w:rsid w:val="004C56DE"/>
    <w:rsid w:val="004C7629"/>
    <w:rsid w:val="004C7701"/>
    <w:rsid w:val="004C7B3D"/>
    <w:rsid w:val="004D0A26"/>
    <w:rsid w:val="004D0EE4"/>
    <w:rsid w:val="004D1171"/>
    <w:rsid w:val="004D11A9"/>
    <w:rsid w:val="004D16CB"/>
    <w:rsid w:val="004D25E0"/>
    <w:rsid w:val="004D2725"/>
    <w:rsid w:val="004D3240"/>
    <w:rsid w:val="004D40F3"/>
    <w:rsid w:val="004D482C"/>
    <w:rsid w:val="004D5AC0"/>
    <w:rsid w:val="004D5FEF"/>
    <w:rsid w:val="004D764F"/>
    <w:rsid w:val="004E0842"/>
    <w:rsid w:val="004E10CE"/>
    <w:rsid w:val="004E1EBF"/>
    <w:rsid w:val="004E27AD"/>
    <w:rsid w:val="004E2E17"/>
    <w:rsid w:val="004E43F7"/>
    <w:rsid w:val="004E45B8"/>
    <w:rsid w:val="004E4987"/>
    <w:rsid w:val="004E585B"/>
    <w:rsid w:val="004E6AA5"/>
    <w:rsid w:val="004F14E3"/>
    <w:rsid w:val="004F2009"/>
    <w:rsid w:val="004F227C"/>
    <w:rsid w:val="004F3B64"/>
    <w:rsid w:val="004F49F9"/>
    <w:rsid w:val="004F5243"/>
    <w:rsid w:val="005003A5"/>
    <w:rsid w:val="00503B63"/>
    <w:rsid w:val="005047A9"/>
    <w:rsid w:val="00505B26"/>
    <w:rsid w:val="00506969"/>
    <w:rsid w:val="00507449"/>
    <w:rsid w:val="0051041D"/>
    <w:rsid w:val="00511092"/>
    <w:rsid w:val="00511602"/>
    <w:rsid w:val="00511810"/>
    <w:rsid w:val="005128BF"/>
    <w:rsid w:val="0051367E"/>
    <w:rsid w:val="005136B6"/>
    <w:rsid w:val="0051396D"/>
    <w:rsid w:val="00513F6F"/>
    <w:rsid w:val="005151AE"/>
    <w:rsid w:val="005164B6"/>
    <w:rsid w:val="00516E6A"/>
    <w:rsid w:val="0051705C"/>
    <w:rsid w:val="00517087"/>
    <w:rsid w:val="00517437"/>
    <w:rsid w:val="005206C8"/>
    <w:rsid w:val="005218EA"/>
    <w:rsid w:val="00521EE1"/>
    <w:rsid w:val="00523451"/>
    <w:rsid w:val="005238A4"/>
    <w:rsid w:val="0052414D"/>
    <w:rsid w:val="00524752"/>
    <w:rsid w:val="0052498A"/>
    <w:rsid w:val="00524DE9"/>
    <w:rsid w:val="005254C1"/>
    <w:rsid w:val="005273F3"/>
    <w:rsid w:val="005301EF"/>
    <w:rsid w:val="00530C38"/>
    <w:rsid w:val="00531999"/>
    <w:rsid w:val="00531ABD"/>
    <w:rsid w:val="0053448D"/>
    <w:rsid w:val="00535560"/>
    <w:rsid w:val="00540B8A"/>
    <w:rsid w:val="005413A9"/>
    <w:rsid w:val="00542D8A"/>
    <w:rsid w:val="00544117"/>
    <w:rsid w:val="00544AA3"/>
    <w:rsid w:val="00544E0A"/>
    <w:rsid w:val="00551B39"/>
    <w:rsid w:val="00551BA4"/>
    <w:rsid w:val="00552D59"/>
    <w:rsid w:val="00553604"/>
    <w:rsid w:val="00553D6D"/>
    <w:rsid w:val="00554249"/>
    <w:rsid w:val="005559E0"/>
    <w:rsid w:val="00556F30"/>
    <w:rsid w:val="0055751D"/>
    <w:rsid w:val="00557D61"/>
    <w:rsid w:val="005608B3"/>
    <w:rsid w:val="005609B4"/>
    <w:rsid w:val="0056588E"/>
    <w:rsid w:val="00567A2D"/>
    <w:rsid w:val="00571391"/>
    <w:rsid w:val="005728D9"/>
    <w:rsid w:val="00573949"/>
    <w:rsid w:val="00573ECF"/>
    <w:rsid w:val="00575B60"/>
    <w:rsid w:val="00577287"/>
    <w:rsid w:val="0058269D"/>
    <w:rsid w:val="00582AA0"/>
    <w:rsid w:val="0058439D"/>
    <w:rsid w:val="00585149"/>
    <w:rsid w:val="00585C24"/>
    <w:rsid w:val="00585C6E"/>
    <w:rsid w:val="0058743A"/>
    <w:rsid w:val="005875A9"/>
    <w:rsid w:val="005921E5"/>
    <w:rsid w:val="00592755"/>
    <w:rsid w:val="00592AA0"/>
    <w:rsid w:val="00593DB7"/>
    <w:rsid w:val="00594366"/>
    <w:rsid w:val="00594BC5"/>
    <w:rsid w:val="005954E9"/>
    <w:rsid w:val="00596172"/>
    <w:rsid w:val="005A232E"/>
    <w:rsid w:val="005A3DA4"/>
    <w:rsid w:val="005A5048"/>
    <w:rsid w:val="005A6845"/>
    <w:rsid w:val="005A7C3F"/>
    <w:rsid w:val="005B0536"/>
    <w:rsid w:val="005B18D0"/>
    <w:rsid w:val="005B1EE9"/>
    <w:rsid w:val="005B6589"/>
    <w:rsid w:val="005B6938"/>
    <w:rsid w:val="005B7350"/>
    <w:rsid w:val="005B7B63"/>
    <w:rsid w:val="005C2C5F"/>
    <w:rsid w:val="005C3C37"/>
    <w:rsid w:val="005C5486"/>
    <w:rsid w:val="005C5799"/>
    <w:rsid w:val="005C66B1"/>
    <w:rsid w:val="005D1DF5"/>
    <w:rsid w:val="005D314A"/>
    <w:rsid w:val="005D37E5"/>
    <w:rsid w:val="005D45A0"/>
    <w:rsid w:val="005D6415"/>
    <w:rsid w:val="005D7248"/>
    <w:rsid w:val="005E0300"/>
    <w:rsid w:val="005E05E7"/>
    <w:rsid w:val="005E0BC4"/>
    <w:rsid w:val="005E15A3"/>
    <w:rsid w:val="005E2FB2"/>
    <w:rsid w:val="005E35A0"/>
    <w:rsid w:val="005E4A3D"/>
    <w:rsid w:val="005E4C1B"/>
    <w:rsid w:val="005E4F05"/>
    <w:rsid w:val="005E5859"/>
    <w:rsid w:val="005E5DC1"/>
    <w:rsid w:val="005E67EC"/>
    <w:rsid w:val="005F178D"/>
    <w:rsid w:val="005F1841"/>
    <w:rsid w:val="005F4DCE"/>
    <w:rsid w:val="005F5725"/>
    <w:rsid w:val="005F7D33"/>
    <w:rsid w:val="00600733"/>
    <w:rsid w:val="00600A27"/>
    <w:rsid w:val="006010BF"/>
    <w:rsid w:val="00601296"/>
    <w:rsid w:val="006018BB"/>
    <w:rsid w:val="006031FE"/>
    <w:rsid w:val="006047FC"/>
    <w:rsid w:val="006048D2"/>
    <w:rsid w:val="00606485"/>
    <w:rsid w:val="006077EB"/>
    <w:rsid w:val="006079C9"/>
    <w:rsid w:val="006100A1"/>
    <w:rsid w:val="00611D69"/>
    <w:rsid w:val="00611F9E"/>
    <w:rsid w:val="00612501"/>
    <w:rsid w:val="00613634"/>
    <w:rsid w:val="0061429D"/>
    <w:rsid w:val="0061663A"/>
    <w:rsid w:val="006222EA"/>
    <w:rsid w:val="00623EA3"/>
    <w:rsid w:val="00624561"/>
    <w:rsid w:val="00624AD2"/>
    <w:rsid w:val="00624BDB"/>
    <w:rsid w:val="0062541D"/>
    <w:rsid w:val="00625AFD"/>
    <w:rsid w:val="00625E1B"/>
    <w:rsid w:val="00627B5D"/>
    <w:rsid w:val="0063130F"/>
    <w:rsid w:val="006338B3"/>
    <w:rsid w:val="00633AB7"/>
    <w:rsid w:val="00634485"/>
    <w:rsid w:val="006345A0"/>
    <w:rsid w:val="00634DB6"/>
    <w:rsid w:val="006354DC"/>
    <w:rsid w:val="0063609E"/>
    <w:rsid w:val="00637C16"/>
    <w:rsid w:val="00640A35"/>
    <w:rsid w:val="00641592"/>
    <w:rsid w:val="00641FC0"/>
    <w:rsid w:val="00642833"/>
    <w:rsid w:val="00643D82"/>
    <w:rsid w:val="006445D2"/>
    <w:rsid w:val="00645D45"/>
    <w:rsid w:val="00647094"/>
    <w:rsid w:val="006473CC"/>
    <w:rsid w:val="00650DCC"/>
    <w:rsid w:val="00654708"/>
    <w:rsid w:val="00655294"/>
    <w:rsid w:val="00655B83"/>
    <w:rsid w:val="00655F33"/>
    <w:rsid w:val="00656C59"/>
    <w:rsid w:val="006570C0"/>
    <w:rsid w:val="00657D7A"/>
    <w:rsid w:val="006606FE"/>
    <w:rsid w:val="0066498D"/>
    <w:rsid w:val="00664A9E"/>
    <w:rsid w:val="00665134"/>
    <w:rsid w:val="00666655"/>
    <w:rsid w:val="00666755"/>
    <w:rsid w:val="00667522"/>
    <w:rsid w:val="006707B8"/>
    <w:rsid w:val="00670BF0"/>
    <w:rsid w:val="00672EA1"/>
    <w:rsid w:val="006747B5"/>
    <w:rsid w:val="006749FF"/>
    <w:rsid w:val="00675974"/>
    <w:rsid w:val="00675EFA"/>
    <w:rsid w:val="006774F8"/>
    <w:rsid w:val="006803E8"/>
    <w:rsid w:val="0068103F"/>
    <w:rsid w:val="00682656"/>
    <w:rsid w:val="00683EAC"/>
    <w:rsid w:val="00684B43"/>
    <w:rsid w:val="00684E34"/>
    <w:rsid w:val="00684EF6"/>
    <w:rsid w:val="00686279"/>
    <w:rsid w:val="00686A8A"/>
    <w:rsid w:val="00687118"/>
    <w:rsid w:val="006873C1"/>
    <w:rsid w:val="006878A4"/>
    <w:rsid w:val="00690877"/>
    <w:rsid w:val="00690B63"/>
    <w:rsid w:val="00694779"/>
    <w:rsid w:val="006954F2"/>
    <w:rsid w:val="006957B8"/>
    <w:rsid w:val="00696BBE"/>
    <w:rsid w:val="006A03CD"/>
    <w:rsid w:val="006A06FE"/>
    <w:rsid w:val="006A42D4"/>
    <w:rsid w:val="006A4E98"/>
    <w:rsid w:val="006A5E05"/>
    <w:rsid w:val="006A5F6F"/>
    <w:rsid w:val="006A64B1"/>
    <w:rsid w:val="006A6B9B"/>
    <w:rsid w:val="006A77F3"/>
    <w:rsid w:val="006A7829"/>
    <w:rsid w:val="006B0924"/>
    <w:rsid w:val="006B095F"/>
    <w:rsid w:val="006B2A9B"/>
    <w:rsid w:val="006B2BA6"/>
    <w:rsid w:val="006B4A50"/>
    <w:rsid w:val="006B4B65"/>
    <w:rsid w:val="006B537E"/>
    <w:rsid w:val="006B6091"/>
    <w:rsid w:val="006B664F"/>
    <w:rsid w:val="006B6D25"/>
    <w:rsid w:val="006C24A5"/>
    <w:rsid w:val="006C24CD"/>
    <w:rsid w:val="006C31FE"/>
    <w:rsid w:val="006C48DF"/>
    <w:rsid w:val="006C60B5"/>
    <w:rsid w:val="006C6127"/>
    <w:rsid w:val="006C7D68"/>
    <w:rsid w:val="006D0BF8"/>
    <w:rsid w:val="006D168F"/>
    <w:rsid w:val="006D1A5E"/>
    <w:rsid w:val="006D284C"/>
    <w:rsid w:val="006D2C17"/>
    <w:rsid w:val="006D338D"/>
    <w:rsid w:val="006D3F2C"/>
    <w:rsid w:val="006D5C23"/>
    <w:rsid w:val="006D64F9"/>
    <w:rsid w:val="006D66AF"/>
    <w:rsid w:val="006E07DE"/>
    <w:rsid w:val="006E1147"/>
    <w:rsid w:val="006E13E8"/>
    <w:rsid w:val="006E2E56"/>
    <w:rsid w:val="006E34B6"/>
    <w:rsid w:val="006E4BFB"/>
    <w:rsid w:val="006E6278"/>
    <w:rsid w:val="006E6389"/>
    <w:rsid w:val="006E662E"/>
    <w:rsid w:val="006E689A"/>
    <w:rsid w:val="006E69AA"/>
    <w:rsid w:val="006E6D0D"/>
    <w:rsid w:val="006F1B5C"/>
    <w:rsid w:val="006F2013"/>
    <w:rsid w:val="006F30F8"/>
    <w:rsid w:val="006F3144"/>
    <w:rsid w:val="006F3CA9"/>
    <w:rsid w:val="006F3F2B"/>
    <w:rsid w:val="006F4A65"/>
    <w:rsid w:val="006F5B9E"/>
    <w:rsid w:val="006F6E1B"/>
    <w:rsid w:val="00700AB7"/>
    <w:rsid w:val="00700C41"/>
    <w:rsid w:val="00702038"/>
    <w:rsid w:val="007027EB"/>
    <w:rsid w:val="00702CB3"/>
    <w:rsid w:val="00703CBB"/>
    <w:rsid w:val="00703E92"/>
    <w:rsid w:val="00704AE7"/>
    <w:rsid w:val="007053A8"/>
    <w:rsid w:val="007061DF"/>
    <w:rsid w:val="007112A9"/>
    <w:rsid w:val="00711B09"/>
    <w:rsid w:val="0071646D"/>
    <w:rsid w:val="00716CE1"/>
    <w:rsid w:val="00726296"/>
    <w:rsid w:val="00726FA5"/>
    <w:rsid w:val="007277C3"/>
    <w:rsid w:val="0073000D"/>
    <w:rsid w:val="00730313"/>
    <w:rsid w:val="00730BC4"/>
    <w:rsid w:val="00731304"/>
    <w:rsid w:val="00731BD7"/>
    <w:rsid w:val="00731D9B"/>
    <w:rsid w:val="00733CB7"/>
    <w:rsid w:val="00733E1C"/>
    <w:rsid w:val="00734A8B"/>
    <w:rsid w:val="00735210"/>
    <w:rsid w:val="00735B0D"/>
    <w:rsid w:val="00736C06"/>
    <w:rsid w:val="007401BB"/>
    <w:rsid w:val="00740E5C"/>
    <w:rsid w:val="00741FEA"/>
    <w:rsid w:val="007428C7"/>
    <w:rsid w:val="007446D8"/>
    <w:rsid w:val="00744736"/>
    <w:rsid w:val="007501D9"/>
    <w:rsid w:val="00750F05"/>
    <w:rsid w:val="00751311"/>
    <w:rsid w:val="0075239A"/>
    <w:rsid w:val="00752585"/>
    <w:rsid w:val="00754395"/>
    <w:rsid w:val="00754E74"/>
    <w:rsid w:val="0075580F"/>
    <w:rsid w:val="00755BAC"/>
    <w:rsid w:val="00756952"/>
    <w:rsid w:val="00757444"/>
    <w:rsid w:val="00757541"/>
    <w:rsid w:val="00757C27"/>
    <w:rsid w:val="00757F23"/>
    <w:rsid w:val="007622E4"/>
    <w:rsid w:val="00763381"/>
    <w:rsid w:val="007645A1"/>
    <w:rsid w:val="00764B6A"/>
    <w:rsid w:val="00765163"/>
    <w:rsid w:val="00765F03"/>
    <w:rsid w:val="00767196"/>
    <w:rsid w:val="00767912"/>
    <w:rsid w:val="00770C87"/>
    <w:rsid w:val="00770E29"/>
    <w:rsid w:val="00771D9A"/>
    <w:rsid w:val="0077203A"/>
    <w:rsid w:val="0077266E"/>
    <w:rsid w:val="00772872"/>
    <w:rsid w:val="00773601"/>
    <w:rsid w:val="007753ED"/>
    <w:rsid w:val="00775CB2"/>
    <w:rsid w:val="0077689F"/>
    <w:rsid w:val="00777545"/>
    <w:rsid w:val="0077768C"/>
    <w:rsid w:val="00782DD9"/>
    <w:rsid w:val="007830E3"/>
    <w:rsid w:val="00784C44"/>
    <w:rsid w:val="00786835"/>
    <w:rsid w:val="00787598"/>
    <w:rsid w:val="00787DB5"/>
    <w:rsid w:val="00790309"/>
    <w:rsid w:val="00791E4F"/>
    <w:rsid w:val="00791EF6"/>
    <w:rsid w:val="00794305"/>
    <w:rsid w:val="00794381"/>
    <w:rsid w:val="007A02EB"/>
    <w:rsid w:val="007A1015"/>
    <w:rsid w:val="007A11F1"/>
    <w:rsid w:val="007A30F8"/>
    <w:rsid w:val="007A35F6"/>
    <w:rsid w:val="007A4155"/>
    <w:rsid w:val="007A4E83"/>
    <w:rsid w:val="007A5F1A"/>
    <w:rsid w:val="007A7693"/>
    <w:rsid w:val="007B1025"/>
    <w:rsid w:val="007B1F7C"/>
    <w:rsid w:val="007B334D"/>
    <w:rsid w:val="007B593F"/>
    <w:rsid w:val="007B5B76"/>
    <w:rsid w:val="007B755C"/>
    <w:rsid w:val="007C025F"/>
    <w:rsid w:val="007C09AA"/>
    <w:rsid w:val="007C0AFD"/>
    <w:rsid w:val="007C20AF"/>
    <w:rsid w:val="007C3D29"/>
    <w:rsid w:val="007C3E67"/>
    <w:rsid w:val="007C4870"/>
    <w:rsid w:val="007C4CA8"/>
    <w:rsid w:val="007C5443"/>
    <w:rsid w:val="007C5DCE"/>
    <w:rsid w:val="007C6783"/>
    <w:rsid w:val="007C6BA4"/>
    <w:rsid w:val="007C7E5A"/>
    <w:rsid w:val="007D0373"/>
    <w:rsid w:val="007D0C6E"/>
    <w:rsid w:val="007D112D"/>
    <w:rsid w:val="007D1598"/>
    <w:rsid w:val="007D2513"/>
    <w:rsid w:val="007D36FC"/>
    <w:rsid w:val="007D4445"/>
    <w:rsid w:val="007D5B23"/>
    <w:rsid w:val="007D7334"/>
    <w:rsid w:val="007D7646"/>
    <w:rsid w:val="007E07A7"/>
    <w:rsid w:val="007E0B2B"/>
    <w:rsid w:val="007E1D4E"/>
    <w:rsid w:val="007E2062"/>
    <w:rsid w:val="007E2831"/>
    <w:rsid w:val="007E376B"/>
    <w:rsid w:val="007E3963"/>
    <w:rsid w:val="007E4023"/>
    <w:rsid w:val="007E5F98"/>
    <w:rsid w:val="007E5FA1"/>
    <w:rsid w:val="007F0250"/>
    <w:rsid w:val="007F18A3"/>
    <w:rsid w:val="007F1A70"/>
    <w:rsid w:val="007F36DE"/>
    <w:rsid w:val="007F37C5"/>
    <w:rsid w:val="007F528B"/>
    <w:rsid w:val="007F61DA"/>
    <w:rsid w:val="007F69E3"/>
    <w:rsid w:val="007F72B7"/>
    <w:rsid w:val="00800381"/>
    <w:rsid w:val="00800475"/>
    <w:rsid w:val="00800DDC"/>
    <w:rsid w:val="00801648"/>
    <w:rsid w:val="00801D34"/>
    <w:rsid w:val="00802EE8"/>
    <w:rsid w:val="00804852"/>
    <w:rsid w:val="00805639"/>
    <w:rsid w:val="00805A48"/>
    <w:rsid w:val="008063E2"/>
    <w:rsid w:val="00807739"/>
    <w:rsid w:val="008100C2"/>
    <w:rsid w:val="00811637"/>
    <w:rsid w:val="00814930"/>
    <w:rsid w:val="00817DA8"/>
    <w:rsid w:val="008204E8"/>
    <w:rsid w:val="0082055E"/>
    <w:rsid w:val="008207CA"/>
    <w:rsid w:val="008223A5"/>
    <w:rsid w:val="008235DE"/>
    <w:rsid w:val="008254D3"/>
    <w:rsid w:val="00825915"/>
    <w:rsid w:val="00825CA4"/>
    <w:rsid w:val="008331EF"/>
    <w:rsid w:val="00833271"/>
    <w:rsid w:val="0083402A"/>
    <w:rsid w:val="00835546"/>
    <w:rsid w:val="00835741"/>
    <w:rsid w:val="008367D9"/>
    <w:rsid w:val="00837520"/>
    <w:rsid w:val="0084143C"/>
    <w:rsid w:val="00841E53"/>
    <w:rsid w:val="008422A0"/>
    <w:rsid w:val="0084270E"/>
    <w:rsid w:val="00842C37"/>
    <w:rsid w:val="008442E6"/>
    <w:rsid w:val="00844D31"/>
    <w:rsid w:val="00845C1A"/>
    <w:rsid w:val="00847828"/>
    <w:rsid w:val="008505CE"/>
    <w:rsid w:val="00850FF1"/>
    <w:rsid w:val="00851A59"/>
    <w:rsid w:val="00851F8C"/>
    <w:rsid w:val="00854691"/>
    <w:rsid w:val="00855BF3"/>
    <w:rsid w:val="00856585"/>
    <w:rsid w:val="00856990"/>
    <w:rsid w:val="00856F7A"/>
    <w:rsid w:val="00857279"/>
    <w:rsid w:val="0085736B"/>
    <w:rsid w:val="00857B52"/>
    <w:rsid w:val="00861B32"/>
    <w:rsid w:val="00861DE6"/>
    <w:rsid w:val="008632ED"/>
    <w:rsid w:val="008649BD"/>
    <w:rsid w:val="00867048"/>
    <w:rsid w:val="00867C9A"/>
    <w:rsid w:val="008701A1"/>
    <w:rsid w:val="008718F3"/>
    <w:rsid w:val="00872A28"/>
    <w:rsid w:val="00874685"/>
    <w:rsid w:val="00874DC9"/>
    <w:rsid w:val="0087561C"/>
    <w:rsid w:val="00875664"/>
    <w:rsid w:val="00876615"/>
    <w:rsid w:val="00877E3C"/>
    <w:rsid w:val="0088137B"/>
    <w:rsid w:val="00881D8A"/>
    <w:rsid w:val="00882131"/>
    <w:rsid w:val="0088473B"/>
    <w:rsid w:val="00884877"/>
    <w:rsid w:val="0088510A"/>
    <w:rsid w:val="00885123"/>
    <w:rsid w:val="00885CB3"/>
    <w:rsid w:val="008860BB"/>
    <w:rsid w:val="00886BFC"/>
    <w:rsid w:val="00887493"/>
    <w:rsid w:val="008900BC"/>
    <w:rsid w:val="0089039E"/>
    <w:rsid w:val="00892AFC"/>
    <w:rsid w:val="00892FBA"/>
    <w:rsid w:val="00893BD8"/>
    <w:rsid w:val="00893FE9"/>
    <w:rsid w:val="0089436A"/>
    <w:rsid w:val="00895AEB"/>
    <w:rsid w:val="00895C62"/>
    <w:rsid w:val="008963A8"/>
    <w:rsid w:val="008971E0"/>
    <w:rsid w:val="008A0602"/>
    <w:rsid w:val="008A0C05"/>
    <w:rsid w:val="008A1764"/>
    <w:rsid w:val="008A42B0"/>
    <w:rsid w:val="008A450F"/>
    <w:rsid w:val="008A4982"/>
    <w:rsid w:val="008A6085"/>
    <w:rsid w:val="008A663F"/>
    <w:rsid w:val="008B0803"/>
    <w:rsid w:val="008B1273"/>
    <w:rsid w:val="008B2D24"/>
    <w:rsid w:val="008B3151"/>
    <w:rsid w:val="008B36C5"/>
    <w:rsid w:val="008B3A27"/>
    <w:rsid w:val="008B542E"/>
    <w:rsid w:val="008B590E"/>
    <w:rsid w:val="008B5BE2"/>
    <w:rsid w:val="008B6320"/>
    <w:rsid w:val="008C04B3"/>
    <w:rsid w:val="008C0694"/>
    <w:rsid w:val="008C06D5"/>
    <w:rsid w:val="008C19C7"/>
    <w:rsid w:val="008C3963"/>
    <w:rsid w:val="008C48FD"/>
    <w:rsid w:val="008C7431"/>
    <w:rsid w:val="008C7ECC"/>
    <w:rsid w:val="008D0787"/>
    <w:rsid w:val="008D095F"/>
    <w:rsid w:val="008D0B33"/>
    <w:rsid w:val="008D0D25"/>
    <w:rsid w:val="008D1526"/>
    <w:rsid w:val="008D2273"/>
    <w:rsid w:val="008D4B2A"/>
    <w:rsid w:val="008D4DD6"/>
    <w:rsid w:val="008D6A54"/>
    <w:rsid w:val="008D75E7"/>
    <w:rsid w:val="008E094D"/>
    <w:rsid w:val="008E176A"/>
    <w:rsid w:val="008E18F3"/>
    <w:rsid w:val="008E2822"/>
    <w:rsid w:val="008E2982"/>
    <w:rsid w:val="008E4713"/>
    <w:rsid w:val="008E5BC1"/>
    <w:rsid w:val="008E6620"/>
    <w:rsid w:val="008E767E"/>
    <w:rsid w:val="008E7698"/>
    <w:rsid w:val="008F0F17"/>
    <w:rsid w:val="008F15EA"/>
    <w:rsid w:val="008F1885"/>
    <w:rsid w:val="008F47CD"/>
    <w:rsid w:val="008F4C62"/>
    <w:rsid w:val="008F5E3B"/>
    <w:rsid w:val="008F647F"/>
    <w:rsid w:val="008F7D25"/>
    <w:rsid w:val="008F7F12"/>
    <w:rsid w:val="00900C8D"/>
    <w:rsid w:val="00901ED0"/>
    <w:rsid w:val="00904CBC"/>
    <w:rsid w:val="00905A0D"/>
    <w:rsid w:val="0090613B"/>
    <w:rsid w:val="00911559"/>
    <w:rsid w:val="009118D8"/>
    <w:rsid w:val="00914668"/>
    <w:rsid w:val="00914DB4"/>
    <w:rsid w:val="00914ECC"/>
    <w:rsid w:val="00914FDF"/>
    <w:rsid w:val="0091599A"/>
    <w:rsid w:val="00916E21"/>
    <w:rsid w:val="00917023"/>
    <w:rsid w:val="0091715D"/>
    <w:rsid w:val="00917A07"/>
    <w:rsid w:val="00917EB1"/>
    <w:rsid w:val="009207B4"/>
    <w:rsid w:val="00921436"/>
    <w:rsid w:val="00921C47"/>
    <w:rsid w:val="009220C6"/>
    <w:rsid w:val="009239BB"/>
    <w:rsid w:val="0092433B"/>
    <w:rsid w:val="00926B57"/>
    <w:rsid w:val="00930F79"/>
    <w:rsid w:val="00931040"/>
    <w:rsid w:val="00931EF0"/>
    <w:rsid w:val="00932CFF"/>
    <w:rsid w:val="00932F08"/>
    <w:rsid w:val="00933AC9"/>
    <w:rsid w:val="00934D2C"/>
    <w:rsid w:val="00935A0D"/>
    <w:rsid w:val="00935FEB"/>
    <w:rsid w:val="00936419"/>
    <w:rsid w:val="00937B0E"/>
    <w:rsid w:val="009409C8"/>
    <w:rsid w:val="00940FFE"/>
    <w:rsid w:val="009411A0"/>
    <w:rsid w:val="00943B74"/>
    <w:rsid w:val="0094486F"/>
    <w:rsid w:val="00944CA2"/>
    <w:rsid w:val="00945395"/>
    <w:rsid w:val="00945C0D"/>
    <w:rsid w:val="00945C24"/>
    <w:rsid w:val="00945D23"/>
    <w:rsid w:val="00945E79"/>
    <w:rsid w:val="0094714C"/>
    <w:rsid w:val="009472B3"/>
    <w:rsid w:val="00947905"/>
    <w:rsid w:val="009500DD"/>
    <w:rsid w:val="00950AF2"/>
    <w:rsid w:val="00951462"/>
    <w:rsid w:val="009547DD"/>
    <w:rsid w:val="009573BD"/>
    <w:rsid w:val="0096089C"/>
    <w:rsid w:val="00962E4E"/>
    <w:rsid w:val="00964E79"/>
    <w:rsid w:val="00964F37"/>
    <w:rsid w:val="00966631"/>
    <w:rsid w:val="0096675A"/>
    <w:rsid w:val="009667AC"/>
    <w:rsid w:val="009674A8"/>
    <w:rsid w:val="00967C2E"/>
    <w:rsid w:val="00970220"/>
    <w:rsid w:val="009712B0"/>
    <w:rsid w:val="00974437"/>
    <w:rsid w:val="009744EA"/>
    <w:rsid w:val="00975762"/>
    <w:rsid w:val="00975A2A"/>
    <w:rsid w:val="00975EB9"/>
    <w:rsid w:val="00976342"/>
    <w:rsid w:val="009763B8"/>
    <w:rsid w:val="00977456"/>
    <w:rsid w:val="00980B9C"/>
    <w:rsid w:val="00981B2C"/>
    <w:rsid w:val="00981F51"/>
    <w:rsid w:val="00982C62"/>
    <w:rsid w:val="009837CB"/>
    <w:rsid w:val="0098423D"/>
    <w:rsid w:val="009858EF"/>
    <w:rsid w:val="00985D83"/>
    <w:rsid w:val="0099075B"/>
    <w:rsid w:val="009909ED"/>
    <w:rsid w:val="00990C4E"/>
    <w:rsid w:val="00990E7A"/>
    <w:rsid w:val="00992009"/>
    <w:rsid w:val="009925EC"/>
    <w:rsid w:val="009930B4"/>
    <w:rsid w:val="00993585"/>
    <w:rsid w:val="00993A9E"/>
    <w:rsid w:val="0099427D"/>
    <w:rsid w:val="00996390"/>
    <w:rsid w:val="009969DF"/>
    <w:rsid w:val="009A00BC"/>
    <w:rsid w:val="009A0F6D"/>
    <w:rsid w:val="009A1584"/>
    <w:rsid w:val="009A34EE"/>
    <w:rsid w:val="009A3ADA"/>
    <w:rsid w:val="009A7573"/>
    <w:rsid w:val="009A78A9"/>
    <w:rsid w:val="009B299F"/>
    <w:rsid w:val="009B29BB"/>
    <w:rsid w:val="009B49B1"/>
    <w:rsid w:val="009B5134"/>
    <w:rsid w:val="009B5315"/>
    <w:rsid w:val="009B55C4"/>
    <w:rsid w:val="009B6C33"/>
    <w:rsid w:val="009B6EF8"/>
    <w:rsid w:val="009C1976"/>
    <w:rsid w:val="009C3731"/>
    <w:rsid w:val="009C4D40"/>
    <w:rsid w:val="009C5252"/>
    <w:rsid w:val="009C63F9"/>
    <w:rsid w:val="009C6A35"/>
    <w:rsid w:val="009D00FC"/>
    <w:rsid w:val="009D04AF"/>
    <w:rsid w:val="009D3FE0"/>
    <w:rsid w:val="009D4854"/>
    <w:rsid w:val="009D5847"/>
    <w:rsid w:val="009D605C"/>
    <w:rsid w:val="009D6900"/>
    <w:rsid w:val="009D7C05"/>
    <w:rsid w:val="009E03BE"/>
    <w:rsid w:val="009E093F"/>
    <w:rsid w:val="009E11BB"/>
    <w:rsid w:val="009E1E5F"/>
    <w:rsid w:val="009E2235"/>
    <w:rsid w:val="009E30D5"/>
    <w:rsid w:val="009E4CF0"/>
    <w:rsid w:val="009E4D74"/>
    <w:rsid w:val="009E6154"/>
    <w:rsid w:val="009E6FB3"/>
    <w:rsid w:val="009E7036"/>
    <w:rsid w:val="009F08B6"/>
    <w:rsid w:val="009F14DA"/>
    <w:rsid w:val="009F19E6"/>
    <w:rsid w:val="009F33B4"/>
    <w:rsid w:val="009F352B"/>
    <w:rsid w:val="009F704F"/>
    <w:rsid w:val="00A00110"/>
    <w:rsid w:val="00A0059C"/>
    <w:rsid w:val="00A00A6B"/>
    <w:rsid w:val="00A00BC6"/>
    <w:rsid w:val="00A00C79"/>
    <w:rsid w:val="00A014EE"/>
    <w:rsid w:val="00A01A3D"/>
    <w:rsid w:val="00A01EB5"/>
    <w:rsid w:val="00A037CB"/>
    <w:rsid w:val="00A04697"/>
    <w:rsid w:val="00A0469A"/>
    <w:rsid w:val="00A04F89"/>
    <w:rsid w:val="00A06153"/>
    <w:rsid w:val="00A07A9A"/>
    <w:rsid w:val="00A126E6"/>
    <w:rsid w:val="00A15663"/>
    <w:rsid w:val="00A15C61"/>
    <w:rsid w:val="00A17699"/>
    <w:rsid w:val="00A20F7B"/>
    <w:rsid w:val="00A24EDC"/>
    <w:rsid w:val="00A24FA7"/>
    <w:rsid w:val="00A25AF8"/>
    <w:rsid w:val="00A262C3"/>
    <w:rsid w:val="00A26B5C"/>
    <w:rsid w:val="00A3143A"/>
    <w:rsid w:val="00A32016"/>
    <w:rsid w:val="00A320AB"/>
    <w:rsid w:val="00A322BE"/>
    <w:rsid w:val="00A338B5"/>
    <w:rsid w:val="00A35622"/>
    <w:rsid w:val="00A35A05"/>
    <w:rsid w:val="00A369E2"/>
    <w:rsid w:val="00A36ED5"/>
    <w:rsid w:val="00A37066"/>
    <w:rsid w:val="00A3759D"/>
    <w:rsid w:val="00A37AD0"/>
    <w:rsid w:val="00A41054"/>
    <w:rsid w:val="00A41591"/>
    <w:rsid w:val="00A41E44"/>
    <w:rsid w:val="00A42D27"/>
    <w:rsid w:val="00A43472"/>
    <w:rsid w:val="00A44A00"/>
    <w:rsid w:val="00A4679F"/>
    <w:rsid w:val="00A46A52"/>
    <w:rsid w:val="00A51D2C"/>
    <w:rsid w:val="00A52C18"/>
    <w:rsid w:val="00A5404F"/>
    <w:rsid w:val="00A55E21"/>
    <w:rsid w:val="00A56AF7"/>
    <w:rsid w:val="00A57AFC"/>
    <w:rsid w:val="00A60371"/>
    <w:rsid w:val="00A60D94"/>
    <w:rsid w:val="00A60FAB"/>
    <w:rsid w:val="00A6220A"/>
    <w:rsid w:val="00A66811"/>
    <w:rsid w:val="00A67754"/>
    <w:rsid w:val="00A711B7"/>
    <w:rsid w:val="00A717E4"/>
    <w:rsid w:val="00A7186E"/>
    <w:rsid w:val="00A76FB1"/>
    <w:rsid w:val="00A80FC0"/>
    <w:rsid w:val="00A81140"/>
    <w:rsid w:val="00A81398"/>
    <w:rsid w:val="00A81830"/>
    <w:rsid w:val="00A830F9"/>
    <w:rsid w:val="00A86F3F"/>
    <w:rsid w:val="00A87982"/>
    <w:rsid w:val="00A900E2"/>
    <w:rsid w:val="00A90F59"/>
    <w:rsid w:val="00A92027"/>
    <w:rsid w:val="00A9371A"/>
    <w:rsid w:val="00A94713"/>
    <w:rsid w:val="00A95493"/>
    <w:rsid w:val="00A95947"/>
    <w:rsid w:val="00A96BC3"/>
    <w:rsid w:val="00A96EE6"/>
    <w:rsid w:val="00A97959"/>
    <w:rsid w:val="00A97AD2"/>
    <w:rsid w:val="00AA19A7"/>
    <w:rsid w:val="00AA204D"/>
    <w:rsid w:val="00AA2350"/>
    <w:rsid w:val="00AA2C2B"/>
    <w:rsid w:val="00AA37FC"/>
    <w:rsid w:val="00AA44B0"/>
    <w:rsid w:val="00AA4B65"/>
    <w:rsid w:val="00AA57EF"/>
    <w:rsid w:val="00AA5F80"/>
    <w:rsid w:val="00AA79FF"/>
    <w:rsid w:val="00AB0948"/>
    <w:rsid w:val="00AB3ED5"/>
    <w:rsid w:val="00AB3F5E"/>
    <w:rsid w:val="00AB4396"/>
    <w:rsid w:val="00AB5E8E"/>
    <w:rsid w:val="00AB6036"/>
    <w:rsid w:val="00AB7491"/>
    <w:rsid w:val="00AC03F2"/>
    <w:rsid w:val="00AC078E"/>
    <w:rsid w:val="00AC10EF"/>
    <w:rsid w:val="00AC1CB3"/>
    <w:rsid w:val="00AC6E31"/>
    <w:rsid w:val="00AD06FD"/>
    <w:rsid w:val="00AD0910"/>
    <w:rsid w:val="00AD1D3D"/>
    <w:rsid w:val="00AD1E03"/>
    <w:rsid w:val="00AD233F"/>
    <w:rsid w:val="00AD4BEF"/>
    <w:rsid w:val="00AD4E71"/>
    <w:rsid w:val="00AD5102"/>
    <w:rsid w:val="00AD5C04"/>
    <w:rsid w:val="00AD5CB3"/>
    <w:rsid w:val="00AD7ADF"/>
    <w:rsid w:val="00AE013D"/>
    <w:rsid w:val="00AE34E5"/>
    <w:rsid w:val="00AF00B5"/>
    <w:rsid w:val="00AF0E9C"/>
    <w:rsid w:val="00AF200E"/>
    <w:rsid w:val="00AF203D"/>
    <w:rsid w:val="00AF299E"/>
    <w:rsid w:val="00AF2AD6"/>
    <w:rsid w:val="00AF3E08"/>
    <w:rsid w:val="00AF4015"/>
    <w:rsid w:val="00AF4595"/>
    <w:rsid w:val="00AF4BD7"/>
    <w:rsid w:val="00AF55A6"/>
    <w:rsid w:val="00B00326"/>
    <w:rsid w:val="00B0060F"/>
    <w:rsid w:val="00B006A9"/>
    <w:rsid w:val="00B03C78"/>
    <w:rsid w:val="00B03CE2"/>
    <w:rsid w:val="00B06BA1"/>
    <w:rsid w:val="00B10E7C"/>
    <w:rsid w:val="00B11275"/>
    <w:rsid w:val="00B116A1"/>
    <w:rsid w:val="00B11E6A"/>
    <w:rsid w:val="00B13770"/>
    <w:rsid w:val="00B14149"/>
    <w:rsid w:val="00B146CB"/>
    <w:rsid w:val="00B158B2"/>
    <w:rsid w:val="00B17E9D"/>
    <w:rsid w:val="00B21982"/>
    <w:rsid w:val="00B22EFD"/>
    <w:rsid w:val="00B2436C"/>
    <w:rsid w:val="00B24604"/>
    <w:rsid w:val="00B25866"/>
    <w:rsid w:val="00B25A6F"/>
    <w:rsid w:val="00B31231"/>
    <w:rsid w:val="00B33C2F"/>
    <w:rsid w:val="00B35432"/>
    <w:rsid w:val="00B37095"/>
    <w:rsid w:val="00B373AD"/>
    <w:rsid w:val="00B378A6"/>
    <w:rsid w:val="00B4134E"/>
    <w:rsid w:val="00B417AF"/>
    <w:rsid w:val="00B42B2D"/>
    <w:rsid w:val="00B435CB"/>
    <w:rsid w:val="00B44DA3"/>
    <w:rsid w:val="00B451CE"/>
    <w:rsid w:val="00B45904"/>
    <w:rsid w:val="00B5061D"/>
    <w:rsid w:val="00B5114C"/>
    <w:rsid w:val="00B51646"/>
    <w:rsid w:val="00B518F7"/>
    <w:rsid w:val="00B51A2C"/>
    <w:rsid w:val="00B5267C"/>
    <w:rsid w:val="00B5328A"/>
    <w:rsid w:val="00B54E6C"/>
    <w:rsid w:val="00B5510F"/>
    <w:rsid w:val="00B55515"/>
    <w:rsid w:val="00B557B8"/>
    <w:rsid w:val="00B55D96"/>
    <w:rsid w:val="00B566AE"/>
    <w:rsid w:val="00B60D2B"/>
    <w:rsid w:val="00B61A1C"/>
    <w:rsid w:val="00B61BF2"/>
    <w:rsid w:val="00B61C53"/>
    <w:rsid w:val="00B623CE"/>
    <w:rsid w:val="00B662AD"/>
    <w:rsid w:val="00B671AA"/>
    <w:rsid w:val="00B677BF"/>
    <w:rsid w:val="00B677F0"/>
    <w:rsid w:val="00B70066"/>
    <w:rsid w:val="00B714F7"/>
    <w:rsid w:val="00B72ACE"/>
    <w:rsid w:val="00B73357"/>
    <w:rsid w:val="00B73A1F"/>
    <w:rsid w:val="00B73BC0"/>
    <w:rsid w:val="00B75A8B"/>
    <w:rsid w:val="00B77041"/>
    <w:rsid w:val="00B77788"/>
    <w:rsid w:val="00B82000"/>
    <w:rsid w:val="00B84265"/>
    <w:rsid w:val="00B8551C"/>
    <w:rsid w:val="00B86E05"/>
    <w:rsid w:val="00B90856"/>
    <w:rsid w:val="00B91560"/>
    <w:rsid w:val="00B91A02"/>
    <w:rsid w:val="00B92B46"/>
    <w:rsid w:val="00B92E1C"/>
    <w:rsid w:val="00B93A60"/>
    <w:rsid w:val="00B93B60"/>
    <w:rsid w:val="00B95C29"/>
    <w:rsid w:val="00B961CC"/>
    <w:rsid w:val="00B96729"/>
    <w:rsid w:val="00BA00A9"/>
    <w:rsid w:val="00BA0426"/>
    <w:rsid w:val="00BA1B7A"/>
    <w:rsid w:val="00BA36A5"/>
    <w:rsid w:val="00BA65A5"/>
    <w:rsid w:val="00BA65FF"/>
    <w:rsid w:val="00BA69F4"/>
    <w:rsid w:val="00BB0CC2"/>
    <w:rsid w:val="00BB1A72"/>
    <w:rsid w:val="00BB37FC"/>
    <w:rsid w:val="00BB3E24"/>
    <w:rsid w:val="00BB6202"/>
    <w:rsid w:val="00BB7698"/>
    <w:rsid w:val="00BB78FD"/>
    <w:rsid w:val="00BC15AB"/>
    <w:rsid w:val="00BC250E"/>
    <w:rsid w:val="00BC26D1"/>
    <w:rsid w:val="00BC30AA"/>
    <w:rsid w:val="00BC3FE1"/>
    <w:rsid w:val="00BC58C2"/>
    <w:rsid w:val="00BC5C46"/>
    <w:rsid w:val="00BC61F7"/>
    <w:rsid w:val="00BC63BC"/>
    <w:rsid w:val="00BC6991"/>
    <w:rsid w:val="00BC6D84"/>
    <w:rsid w:val="00BC7267"/>
    <w:rsid w:val="00BC7DB1"/>
    <w:rsid w:val="00BD000E"/>
    <w:rsid w:val="00BD0947"/>
    <w:rsid w:val="00BD1191"/>
    <w:rsid w:val="00BD1625"/>
    <w:rsid w:val="00BD1784"/>
    <w:rsid w:val="00BD1BDB"/>
    <w:rsid w:val="00BD247D"/>
    <w:rsid w:val="00BD24F0"/>
    <w:rsid w:val="00BD2524"/>
    <w:rsid w:val="00BD2E25"/>
    <w:rsid w:val="00BD3667"/>
    <w:rsid w:val="00BD3AD2"/>
    <w:rsid w:val="00BD3E01"/>
    <w:rsid w:val="00BD428D"/>
    <w:rsid w:val="00BD43CF"/>
    <w:rsid w:val="00BD4548"/>
    <w:rsid w:val="00BD4F79"/>
    <w:rsid w:val="00BD6BED"/>
    <w:rsid w:val="00BD7483"/>
    <w:rsid w:val="00BE0E74"/>
    <w:rsid w:val="00BE1033"/>
    <w:rsid w:val="00BE1BEE"/>
    <w:rsid w:val="00BE226E"/>
    <w:rsid w:val="00BE3B2F"/>
    <w:rsid w:val="00BE630D"/>
    <w:rsid w:val="00BE67A1"/>
    <w:rsid w:val="00BE72D4"/>
    <w:rsid w:val="00BE78DD"/>
    <w:rsid w:val="00BF0748"/>
    <w:rsid w:val="00BF329C"/>
    <w:rsid w:val="00BF6D06"/>
    <w:rsid w:val="00C00AC4"/>
    <w:rsid w:val="00C0130F"/>
    <w:rsid w:val="00C0343A"/>
    <w:rsid w:val="00C0590E"/>
    <w:rsid w:val="00C10C3B"/>
    <w:rsid w:val="00C1122F"/>
    <w:rsid w:val="00C134E5"/>
    <w:rsid w:val="00C13832"/>
    <w:rsid w:val="00C16490"/>
    <w:rsid w:val="00C17535"/>
    <w:rsid w:val="00C20143"/>
    <w:rsid w:val="00C20E42"/>
    <w:rsid w:val="00C21477"/>
    <w:rsid w:val="00C22635"/>
    <w:rsid w:val="00C22842"/>
    <w:rsid w:val="00C23048"/>
    <w:rsid w:val="00C23621"/>
    <w:rsid w:val="00C24798"/>
    <w:rsid w:val="00C25515"/>
    <w:rsid w:val="00C265CC"/>
    <w:rsid w:val="00C273AE"/>
    <w:rsid w:val="00C3093C"/>
    <w:rsid w:val="00C3109F"/>
    <w:rsid w:val="00C3292E"/>
    <w:rsid w:val="00C33AD2"/>
    <w:rsid w:val="00C3636E"/>
    <w:rsid w:val="00C36883"/>
    <w:rsid w:val="00C400E5"/>
    <w:rsid w:val="00C41A4C"/>
    <w:rsid w:val="00C41E21"/>
    <w:rsid w:val="00C421E4"/>
    <w:rsid w:val="00C4317A"/>
    <w:rsid w:val="00C44529"/>
    <w:rsid w:val="00C45509"/>
    <w:rsid w:val="00C46981"/>
    <w:rsid w:val="00C472F7"/>
    <w:rsid w:val="00C4730F"/>
    <w:rsid w:val="00C475A0"/>
    <w:rsid w:val="00C47D1B"/>
    <w:rsid w:val="00C503FF"/>
    <w:rsid w:val="00C50CFF"/>
    <w:rsid w:val="00C515D8"/>
    <w:rsid w:val="00C51B23"/>
    <w:rsid w:val="00C521CB"/>
    <w:rsid w:val="00C53782"/>
    <w:rsid w:val="00C53E72"/>
    <w:rsid w:val="00C546A6"/>
    <w:rsid w:val="00C54BE5"/>
    <w:rsid w:val="00C56A45"/>
    <w:rsid w:val="00C57553"/>
    <w:rsid w:val="00C6012D"/>
    <w:rsid w:val="00C60ECB"/>
    <w:rsid w:val="00C61B3E"/>
    <w:rsid w:val="00C61DBB"/>
    <w:rsid w:val="00C62190"/>
    <w:rsid w:val="00C636D0"/>
    <w:rsid w:val="00C64008"/>
    <w:rsid w:val="00C64BF2"/>
    <w:rsid w:val="00C673D1"/>
    <w:rsid w:val="00C67D0A"/>
    <w:rsid w:val="00C71136"/>
    <w:rsid w:val="00C716E5"/>
    <w:rsid w:val="00C71B02"/>
    <w:rsid w:val="00C722CA"/>
    <w:rsid w:val="00C73CC8"/>
    <w:rsid w:val="00C74C5A"/>
    <w:rsid w:val="00C7513F"/>
    <w:rsid w:val="00C755CC"/>
    <w:rsid w:val="00C76706"/>
    <w:rsid w:val="00C7739C"/>
    <w:rsid w:val="00C77CD0"/>
    <w:rsid w:val="00C8009A"/>
    <w:rsid w:val="00C80153"/>
    <w:rsid w:val="00C8083C"/>
    <w:rsid w:val="00C80F8C"/>
    <w:rsid w:val="00C8162E"/>
    <w:rsid w:val="00C81D68"/>
    <w:rsid w:val="00C828BE"/>
    <w:rsid w:val="00C82C57"/>
    <w:rsid w:val="00C84585"/>
    <w:rsid w:val="00C863C0"/>
    <w:rsid w:val="00C87926"/>
    <w:rsid w:val="00C90A72"/>
    <w:rsid w:val="00C917E1"/>
    <w:rsid w:val="00C92091"/>
    <w:rsid w:val="00C92FA3"/>
    <w:rsid w:val="00C93CDA"/>
    <w:rsid w:val="00C94DA4"/>
    <w:rsid w:val="00C94EA7"/>
    <w:rsid w:val="00C958DD"/>
    <w:rsid w:val="00C973C8"/>
    <w:rsid w:val="00C9749E"/>
    <w:rsid w:val="00C97E22"/>
    <w:rsid w:val="00C97F35"/>
    <w:rsid w:val="00CA066D"/>
    <w:rsid w:val="00CA14C9"/>
    <w:rsid w:val="00CA247E"/>
    <w:rsid w:val="00CA2E56"/>
    <w:rsid w:val="00CA30DF"/>
    <w:rsid w:val="00CA456C"/>
    <w:rsid w:val="00CA460D"/>
    <w:rsid w:val="00CA4FB8"/>
    <w:rsid w:val="00CA501B"/>
    <w:rsid w:val="00CA50BF"/>
    <w:rsid w:val="00CA66DF"/>
    <w:rsid w:val="00CA7476"/>
    <w:rsid w:val="00CA7C1E"/>
    <w:rsid w:val="00CB2A57"/>
    <w:rsid w:val="00CB4C45"/>
    <w:rsid w:val="00CB6011"/>
    <w:rsid w:val="00CB6FB3"/>
    <w:rsid w:val="00CB7A83"/>
    <w:rsid w:val="00CB7F63"/>
    <w:rsid w:val="00CC04E4"/>
    <w:rsid w:val="00CC0C5D"/>
    <w:rsid w:val="00CC0EE1"/>
    <w:rsid w:val="00CC22DD"/>
    <w:rsid w:val="00CC2BF2"/>
    <w:rsid w:val="00CC30A8"/>
    <w:rsid w:val="00CC515E"/>
    <w:rsid w:val="00CC5E23"/>
    <w:rsid w:val="00CD2AE3"/>
    <w:rsid w:val="00CD4A97"/>
    <w:rsid w:val="00CD510A"/>
    <w:rsid w:val="00CD7C46"/>
    <w:rsid w:val="00CD7CEB"/>
    <w:rsid w:val="00CE02D6"/>
    <w:rsid w:val="00CE1592"/>
    <w:rsid w:val="00CE46FC"/>
    <w:rsid w:val="00CE4AA8"/>
    <w:rsid w:val="00CE4CC9"/>
    <w:rsid w:val="00CE544C"/>
    <w:rsid w:val="00CE657B"/>
    <w:rsid w:val="00CE7A52"/>
    <w:rsid w:val="00CF0C04"/>
    <w:rsid w:val="00CF23A3"/>
    <w:rsid w:val="00CF34E6"/>
    <w:rsid w:val="00CF4431"/>
    <w:rsid w:val="00CF5D2E"/>
    <w:rsid w:val="00CF67F8"/>
    <w:rsid w:val="00CF6886"/>
    <w:rsid w:val="00CF6971"/>
    <w:rsid w:val="00CF6B0F"/>
    <w:rsid w:val="00CF6DDD"/>
    <w:rsid w:val="00D00365"/>
    <w:rsid w:val="00D00EAC"/>
    <w:rsid w:val="00D019E9"/>
    <w:rsid w:val="00D01EDC"/>
    <w:rsid w:val="00D027E3"/>
    <w:rsid w:val="00D02E61"/>
    <w:rsid w:val="00D035FA"/>
    <w:rsid w:val="00D0619E"/>
    <w:rsid w:val="00D06A3D"/>
    <w:rsid w:val="00D072CA"/>
    <w:rsid w:val="00D073F7"/>
    <w:rsid w:val="00D11533"/>
    <w:rsid w:val="00D12E08"/>
    <w:rsid w:val="00D16EAC"/>
    <w:rsid w:val="00D17DCA"/>
    <w:rsid w:val="00D225B8"/>
    <w:rsid w:val="00D22D28"/>
    <w:rsid w:val="00D236C3"/>
    <w:rsid w:val="00D24764"/>
    <w:rsid w:val="00D24A5F"/>
    <w:rsid w:val="00D24F6D"/>
    <w:rsid w:val="00D25E23"/>
    <w:rsid w:val="00D269B7"/>
    <w:rsid w:val="00D278A7"/>
    <w:rsid w:val="00D31A46"/>
    <w:rsid w:val="00D31B82"/>
    <w:rsid w:val="00D31BFC"/>
    <w:rsid w:val="00D32B38"/>
    <w:rsid w:val="00D33B5C"/>
    <w:rsid w:val="00D35C16"/>
    <w:rsid w:val="00D371C6"/>
    <w:rsid w:val="00D37292"/>
    <w:rsid w:val="00D372B2"/>
    <w:rsid w:val="00D4136B"/>
    <w:rsid w:val="00D41D70"/>
    <w:rsid w:val="00D42175"/>
    <w:rsid w:val="00D42497"/>
    <w:rsid w:val="00D43337"/>
    <w:rsid w:val="00D44392"/>
    <w:rsid w:val="00D44D34"/>
    <w:rsid w:val="00D469EA"/>
    <w:rsid w:val="00D47351"/>
    <w:rsid w:val="00D47E75"/>
    <w:rsid w:val="00D47F4B"/>
    <w:rsid w:val="00D50580"/>
    <w:rsid w:val="00D518E8"/>
    <w:rsid w:val="00D53645"/>
    <w:rsid w:val="00D53F7C"/>
    <w:rsid w:val="00D547F7"/>
    <w:rsid w:val="00D649B8"/>
    <w:rsid w:val="00D66740"/>
    <w:rsid w:val="00D66A2A"/>
    <w:rsid w:val="00D7015C"/>
    <w:rsid w:val="00D70B6F"/>
    <w:rsid w:val="00D71585"/>
    <w:rsid w:val="00D72B26"/>
    <w:rsid w:val="00D75214"/>
    <w:rsid w:val="00D75FE4"/>
    <w:rsid w:val="00D76D12"/>
    <w:rsid w:val="00D76DA7"/>
    <w:rsid w:val="00D77B71"/>
    <w:rsid w:val="00D803BA"/>
    <w:rsid w:val="00D820EC"/>
    <w:rsid w:val="00D83675"/>
    <w:rsid w:val="00D83CE5"/>
    <w:rsid w:val="00D844A4"/>
    <w:rsid w:val="00D8483E"/>
    <w:rsid w:val="00D86C87"/>
    <w:rsid w:val="00D90043"/>
    <w:rsid w:val="00D90475"/>
    <w:rsid w:val="00D91FB9"/>
    <w:rsid w:val="00D948DE"/>
    <w:rsid w:val="00D950A6"/>
    <w:rsid w:val="00D95EF8"/>
    <w:rsid w:val="00DA011C"/>
    <w:rsid w:val="00DA0AF6"/>
    <w:rsid w:val="00DA0B77"/>
    <w:rsid w:val="00DA183F"/>
    <w:rsid w:val="00DA213A"/>
    <w:rsid w:val="00DA299A"/>
    <w:rsid w:val="00DA4C11"/>
    <w:rsid w:val="00DA4C41"/>
    <w:rsid w:val="00DA4CCD"/>
    <w:rsid w:val="00DA5E8B"/>
    <w:rsid w:val="00DA63C9"/>
    <w:rsid w:val="00DB006F"/>
    <w:rsid w:val="00DB331E"/>
    <w:rsid w:val="00DB3B05"/>
    <w:rsid w:val="00DB4758"/>
    <w:rsid w:val="00DB573B"/>
    <w:rsid w:val="00DB57CE"/>
    <w:rsid w:val="00DC215D"/>
    <w:rsid w:val="00DC2B54"/>
    <w:rsid w:val="00DC35A1"/>
    <w:rsid w:val="00DC3657"/>
    <w:rsid w:val="00DC3B6D"/>
    <w:rsid w:val="00DC3E83"/>
    <w:rsid w:val="00DC4F84"/>
    <w:rsid w:val="00DC72A6"/>
    <w:rsid w:val="00DC752F"/>
    <w:rsid w:val="00DD0FEA"/>
    <w:rsid w:val="00DD14AC"/>
    <w:rsid w:val="00DD1B85"/>
    <w:rsid w:val="00DD1D6B"/>
    <w:rsid w:val="00DD2F36"/>
    <w:rsid w:val="00DD324F"/>
    <w:rsid w:val="00DD36E9"/>
    <w:rsid w:val="00DD43B7"/>
    <w:rsid w:val="00DD4B66"/>
    <w:rsid w:val="00DD4EA2"/>
    <w:rsid w:val="00DD63B7"/>
    <w:rsid w:val="00DD747F"/>
    <w:rsid w:val="00DE03DC"/>
    <w:rsid w:val="00DE0BC1"/>
    <w:rsid w:val="00DE18CF"/>
    <w:rsid w:val="00DE1D18"/>
    <w:rsid w:val="00DE3BE0"/>
    <w:rsid w:val="00DE62E7"/>
    <w:rsid w:val="00DE6E91"/>
    <w:rsid w:val="00DE7F9A"/>
    <w:rsid w:val="00DF04BA"/>
    <w:rsid w:val="00DF0B40"/>
    <w:rsid w:val="00DF0D44"/>
    <w:rsid w:val="00DF1223"/>
    <w:rsid w:val="00DF134A"/>
    <w:rsid w:val="00DF13C0"/>
    <w:rsid w:val="00DF1EDF"/>
    <w:rsid w:val="00DF1FFA"/>
    <w:rsid w:val="00DF3014"/>
    <w:rsid w:val="00DF3CE0"/>
    <w:rsid w:val="00DF3F63"/>
    <w:rsid w:val="00DF56F2"/>
    <w:rsid w:val="00DF73B9"/>
    <w:rsid w:val="00E00017"/>
    <w:rsid w:val="00E01862"/>
    <w:rsid w:val="00E020A1"/>
    <w:rsid w:val="00E023C9"/>
    <w:rsid w:val="00E03758"/>
    <w:rsid w:val="00E048A0"/>
    <w:rsid w:val="00E05C70"/>
    <w:rsid w:val="00E05E70"/>
    <w:rsid w:val="00E10D68"/>
    <w:rsid w:val="00E111F6"/>
    <w:rsid w:val="00E15877"/>
    <w:rsid w:val="00E16244"/>
    <w:rsid w:val="00E162C7"/>
    <w:rsid w:val="00E16369"/>
    <w:rsid w:val="00E165A5"/>
    <w:rsid w:val="00E16AC1"/>
    <w:rsid w:val="00E207FE"/>
    <w:rsid w:val="00E21052"/>
    <w:rsid w:val="00E21C20"/>
    <w:rsid w:val="00E21D6A"/>
    <w:rsid w:val="00E23058"/>
    <w:rsid w:val="00E2306B"/>
    <w:rsid w:val="00E2538E"/>
    <w:rsid w:val="00E261A8"/>
    <w:rsid w:val="00E31419"/>
    <w:rsid w:val="00E31871"/>
    <w:rsid w:val="00E33369"/>
    <w:rsid w:val="00E33427"/>
    <w:rsid w:val="00E339B5"/>
    <w:rsid w:val="00E34890"/>
    <w:rsid w:val="00E356CB"/>
    <w:rsid w:val="00E369C3"/>
    <w:rsid w:val="00E36FF7"/>
    <w:rsid w:val="00E4041D"/>
    <w:rsid w:val="00E405D3"/>
    <w:rsid w:val="00E41FE6"/>
    <w:rsid w:val="00E42CDD"/>
    <w:rsid w:val="00E430A9"/>
    <w:rsid w:val="00E44638"/>
    <w:rsid w:val="00E45EEF"/>
    <w:rsid w:val="00E45F6B"/>
    <w:rsid w:val="00E46895"/>
    <w:rsid w:val="00E47425"/>
    <w:rsid w:val="00E478E4"/>
    <w:rsid w:val="00E5532F"/>
    <w:rsid w:val="00E558B1"/>
    <w:rsid w:val="00E55E95"/>
    <w:rsid w:val="00E55ECE"/>
    <w:rsid w:val="00E5678F"/>
    <w:rsid w:val="00E57D52"/>
    <w:rsid w:val="00E619AC"/>
    <w:rsid w:val="00E6267E"/>
    <w:rsid w:val="00E62DB9"/>
    <w:rsid w:val="00E62F48"/>
    <w:rsid w:val="00E63026"/>
    <w:rsid w:val="00E630F7"/>
    <w:rsid w:val="00E638FD"/>
    <w:rsid w:val="00E63CDF"/>
    <w:rsid w:val="00E640ED"/>
    <w:rsid w:val="00E64143"/>
    <w:rsid w:val="00E6514E"/>
    <w:rsid w:val="00E66AC9"/>
    <w:rsid w:val="00E66CA0"/>
    <w:rsid w:val="00E672B7"/>
    <w:rsid w:val="00E70607"/>
    <w:rsid w:val="00E71476"/>
    <w:rsid w:val="00E72486"/>
    <w:rsid w:val="00E72B2C"/>
    <w:rsid w:val="00E7373D"/>
    <w:rsid w:val="00E73FB2"/>
    <w:rsid w:val="00E744D4"/>
    <w:rsid w:val="00E7747A"/>
    <w:rsid w:val="00E805C5"/>
    <w:rsid w:val="00E81221"/>
    <w:rsid w:val="00E8169E"/>
    <w:rsid w:val="00E8229B"/>
    <w:rsid w:val="00E82A1C"/>
    <w:rsid w:val="00E82A53"/>
    <w:rsid w:val="00E8698E"/>
    <w:rsid w:val="00E86E4F"/>
    <w:rsid w:val="00E87542"/>
    <w:rsid w:val="00E87ACA"/>
    <w:rsid w:val="00E92F80"/>
    <w:rsid w:val="00E95015"/>
    <w:rsid w:val="00E954B7"/>
    <w:rsid w:val="00E95D22"/>
    <w:rsid w:val="00E96A5C"/>
    <w:rsid w:val="00EA0030"/>
    <w:rsid w:val="00EA09C6"/>
    <w:rsid w:val="00EA4CD3"/>
    <w:rsid w:val="00EA6925"/>
    <w:rsid w:val="00EA6D71"/>
    <w:rsid w:val="00EB108B"/>
    <w:rsid w:val="00EB1551"/>
    <w:rsid w:val="00EB16EF"/>
    <w:rsid w:val="00EB1965"/>
    <w:rsid w:val="00EB1D3A"/>
    <w:rsid w:val="00EB29D3"/>
    <w:rsid w:val="00EB2C71"/>
    <w:rsid w:val="00EB3E96"/>
    <w:rsid w:val="00EB4AF6"/>
    <w:rsid w:val="00EB56AF"/>
    <w:rsid w:val="00EB57EC"/>
    <w:rsid w:val="00EB5BD5"/>
    <w:rsid w:val="00EB648C"/>
    <w:rsid w:val="00EB69E1"/>
    <w:rsid w:val="00EC0103"/>
    <w:rsid w:val="00EC05CA"/>
    <w:rsid w:val="00EC1B34"/>
    <w:rsid w:val="00EC35B4"/>
    <w:rsid w:val="00ED3020"/>
    <w:rsid w:val="00ED32AD"/>
    <w:rsid w:val="00ED3CB1"/>
    <w:rsid w:val="00ED4486"/>
    <w:rsid w:val="00ED4629"/>
    <w:rsid w:val="00ED4E84"/>
    <w:rsid w:val="00ED7C7A"/>
    <w:rsid w:val="00ED7CAF"/>
    <w:rsid w:val="00ED7D9E"/>
    <w:rsid w:val="00EE08E7"/>
    <w:rsid w:val="00EE12AB"/>
    <w:rsid w:val="00EE5537"/>
    <w:rsid w:val="00EE65D4"/>
    <w:rsid w:val="00EF00D9"/>
    <w:rsid w:val="00EF079E"/>
    <w:rsid w:val="00EF0E0B"/>
    <w:rsid w:val="00EF0E89"/>
    <w:rsid w:val="00EF15F9"/>
    <w:rsid w:val="00EF185D"/>
    <w:rsid w:val="00EF4435"/>
    <w:rsid w:val="00EF5C22"/>
    <w:rsid w:val="00EF63B8"/>
    <w:rsid w:val="00F00AB6"/>
    <w:rsid w:val="00F00D29"/>
    <w:rsid w:val="00F00F13"/>
    <w:rsid w:val="00F02049"/>
    <w:rsid w:val="00F02317"/>
    <w:rsid w:val="00F032DB"/>
    <w:rsid w:val="00F04F66"/>
    <w:rsid w:val="00F0509D"/>
    <w:rsid w:val="00F069F1"/>
    <w:rsid w:val="00F077CA"/>
    <w:rsid w:val="00F122A0"/>
    <w:rsid w:val="00F124D5"/>
    <w:rsid w:val="00F12A0E"/>
    <w:rsid w:val="00F140CB"/>
    <w:rsid w:val="00F172EE"/>
    <w:rsid w:val="00F179D8"/>
    <w:rsid w:val="00F2098F"/>
    <w:rsid w:val="00F300EF"/>
    <w:rsid w:val="00F302F4"/>
    <w:rsid w:val="00F30A7B"/>
    <w:rsid w:val="00F30F7B"/>
    <w:rsid w:val="00F31543"/>
    <w:rsid w:val="00F32733"/>
    <w:rsid w:val="00F32BCB"/>
    <w:rsid w:val="00F3329C"/>
    <w:rsid w:val="00F349A7"/>
    <w:rsid w:val="00F37637"/>
    <w:rsid w:val="00F403E5"/>
    <w:rsid w:val="00F41053"/>
    <w:rsid w:val="00F41380"/>
    <w:rsid w:val="00F414B3"/>
    <w:rsid w:val="00F43C14"/>
    <w:rsid w:val="00F45839"/>
    <w:rsid w:val="00F4715B"/>
    <w:rsid w:val="00F47385"/>
    <w:rsid w:val="00F47EF8"/>
    <w:rsid w:val="00F5164C"/>
    <w:rsid w:val="00F524EE"/>
    <w:rsid w:val="00F5276F"/>
    <w:rsid w:val="00F533A1"/>
    <w:rsid w:val="00F552FA"/>
    <w:rsid w:val="00F5530B"/>
    <w:rsid w:val="00F56225"/>
    <w:rsid w:val="00F567A8"/>
    <w:rsid w:val="00F574F8"/>
    <w:rsid w:val="00F57FA1"/>
    <w:rsid w:val="00F600F2"/>
    <w:rsid w:val="00F6065B"/>
    <w:rsid w:val="00F60CB5"/>
    <w:rsid w:val="00F63C1F"/>
    <w:rsid w:val="00F63E1C"/>
    <w:rsid w:val="00F6471B"/>
    <w:rsid w:val="00F702B4"/>
    <w:rsid w:val="00F75138"/>
    <w:rsid w:val="00F75628"/>
    <w:rsid w:val="00F75810"/>
    <w:rsid w:val="00F760BA"/>
    <w:rsid w:val="00F80729"/>
    <w:rsid w:val="00F80996"/>
    <w:rsid w:val="00F82380"/>
    <w:rsid w:val="00F83C2B"/>
    <w:rsid w:val="00F84BAA"/>
    <w:rsid w:val="00F84D35"/>
    <w:rsid w:val="00F8531B"/>
    <w:rsid w:val="00F86FC8"/>
    <w:rsid w:val="00F8725D"/>
    <w:rsid w:val="00F87384"/>
    <w:rsid w:val="00F87555"/>
    <w:rsid w:val="00F87556"/>
    <w:rsid w:val="00F907B2"/>
    <w:rsid w:val="00F917F8"/>
    <w:rsid w:val="00F92026"/>
    <w:rsid w:val="00F92058"/>
    <w:rsid w:val="00F93F35"/>
    <w:rsid w:val="00F944D7"/>
    <w:rsid w:val="00F959AF"/>
    <w:rsid w:val="00F95C1D"/>
    <w:rsid w:val="00F9757A"/>
    <w:rsid w:val="00F97F78"/>
    <w:rsid w:val="00FA1F6E"/>
    <w:rsid w:val="00FA2107"/>
    <w:rsid w:val="00FA43A4"/>
    <w:rsid w:val="00FA499D"/>
    <w:rsid w:val="00FA5129"/>
    <w:rsid w:val="00FA62D8"/>
    <w:rsid w:val="00FA6656"/>
    <w:rsid w:val="00FA73A3"/>
    <w:rsid w:val="00FA7B5A"/>
    <w:rsid w:val="00FA7FF8"/>
    <w:rsid w:val="00FB0B96"/>
    <w:rsid w:val="00FB1D39"/>
    <w:rsid w:val="00FB3591"/>
    <w:rsid w:val="00FB3FDD"/>
    <w:rsid w:val="00FB48D6"/>
    <w:rsid w:val="00FB59B6"/>
    <w:rsid w:val="00FB5F73"/>
    <w:rsid w:val="00FB76E2"/>
    <w:rsid w:val="00FC0D38"/>
    <w:rsid w:val="00FC3122"/>
    <w:rsid w:val="00FC3695"/>
    <w:rsid w:val="00FC5D01"/>
    <w:rsid w:val="00FC6CDB"/>
    <w:rsid w:val="00FC78BB"/>
    <w:rsid w:val="00FD1DE6"/>
    <w:rsid w:val="00FD37B4"/>
    <w:rsid w:val="00FD4491"/>
    <w:rsid w:val="00FD6EAB"/>
    <w:rsid w:val="00FD74D8"/>
    <w:rsid w:val="00FD7CD2"/>
    <w:rsid w:val="00FE021A"/>
    <w:rsid w:val="00FE0697"/>
    <w:rsid w:val="00FE1A69"/>
    <w:rsid w:val="00FE1B57"/>
    <w:rsid w:val="00FE1F79"/>
    <w:rsid w:val="00FE24FC"/>
    <w:rsid w:val="00FE43BA"/>
    <w:rsid w:val="00FE5006"/>
    <w:rsid w:val="00FE5219"/>
    <w:rsid w:val="00FE539E"/>
    <w:rsid w:val="00FE56B4"/>
    <w:rsid w:val="00FE68CE"/>
    <w:rsid w:val="00FE6C02"/>
    <w:rsid w:val="00FE6CC0"/>
    <w:rsid w:val="00FE71F9"/>
    <w:rsid w:val="00FF0383"/>
    <w:rsid w:val="00FF16D2"/>
    <w:rsid w:val="00FF30B2"/>
    <w:rsid w:val="00FF4377"/>
    <w:rsid w:val="00FF607A"/>
    <w:rsid w:val="00FF768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889899A-3446-4F9E-96A7-4F0E0845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1E60A4"/>
    <w:pPr>
      <w:autoSpaceDE w:val="0"/>
      <w:autoSpaceDN w:val="0"/>
      <w:adjustRightInd w:val="0"/>
      <w:ind w:left="4"/>
    </w:pPr>
    <w:rPr>
      <w:rFonts w:ascii="Arial" w:eastAsiaTheme="minorEastAsia" w:hAnsi="Arial" w:cs="Arial"/>
      <w:sz w:val="23"/>
      <w:szCs w:val="23"/>
      <w:lang w:val="es-MX"/>
    </w:rPr>
  </w:style>
  <w:style w:type="character" w:customStyle="1" w:styleId="TextoindependienteCar">
    <w:name w:val="Texto independiente Car"/>
    <w:basedOn w:val="Fuentedeprrafopredeter"/>
    <w:link w:val="Textoindependiente"/>
    <w:uiPriority w:val="1"/>
    <w:rsid w:val="001E60A4"/>
    <w:rPr>
      <w:rFonts w:ascii="Arial" w:hAnsi="Arial" w:cs="Arial"/>
      <w:sz w:val="23"/>
      <w:szCs w:val="23"/>
      <w:lang w:val="es-MX"/>
    </w:rPr>
  </w:style>
  <w:style w:type="paragraph" w:styleId="Textosinformato">
    <w:name w:val="Plain Text"/>
    <w:basedOn w:val="Normal"/>
    <w:link w:val="TextosinformatoCar"/>
    <w:rsid w:val="007F69E3"/>
    <w:rPr>
      <w:rFonts w:ascii="Courier New" w:hAnsi="Courier New"/>
      <w:sz w:val="20"/>
      <w:szCs w:val="20"/>
    </w:rPr>
  </w:style>
  <w:style w:type="character" w:customStyle="1" w:styleId="TextosinformatoCar">
    <w:name w:val="Texto sin formato Car"/>
    <w:basedOn w:val="Fuentedeprrafopredeter"/>
    <w:link w:val="Textosinformato"/>
    <w:rsid w:val="007F69E3"/>
    <w:rPr>
      <w:rFonts w:ascii="Courier New" w:eastAsia="Times New Roman" w:hAnsi="Courier New" w:cs="Times New Roman"/>
      <w:sz w:val="20"/>
      <w:szCs w:val="20"/>
      <w:lang w:val="es-ES"/>
    </w:rPr>
  </w:style>
  <w:style w:type="paragraph" w:customStyle="1" w:styleId="Cuerpo">
    <w:name w:val="Cuerpo"/>
    <w:rsid w:val="0041342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41342A"/>
    <w:rPr>
      <w:lang w:val="es-ES_tradnl"/>
    </w:rPr>
  </w:style>
  <w:style w:type="numbering" w:customStyle="1" w:styleId="Estiloimportado2">
    <w:name w:val="Estilo importado 2"/>
    <w:rsid w:val="0041342A"/>
    <w:pPr>
      <w:numPr>
        <w:numId w:val="3"/>
      </w:numPr>
    </w:pPr>
  </w:style>
  <w:style w:type="character" w:styleId="Hipervnculovisitado">
    <w:name w:val="FollowedHyperlink"/>
    <w:basedOn w:val="Fuentedeprrafopredeter"/>
    <w:uiPriority w:val="99"/>
    <w:semiHidden/>
    <w:unhideWhenUsed/>
    <w:rsid w:val="000A6F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604409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2982839">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73288884">
      <w:bodyDiv w:val="1"/>
      <w:marLeft w:val="0"/>
      <w:marRight w:val="0"/>
      <w:marTop w:val="0"/>
      <w:marBottom w:val="0"/>
      <w:divBdr>
        <w:top w:val="none" w:sz="0" w:space="0" w:color="auto"/>
        <w:left w:val="none" w:sz="0" w:space="0" w:color="auto"/>
        <w:bottom w:val="none" w:sz="0" w:space="0" w:color="auto"/>
        <w:right w:val="none" w:sz="0" w:space="0" w:color="auto"/>
      </w:divBdr>
    </w:div>
    <w:div w:id="85966679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731550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4959380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4759495">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24891496">
      <w:bodyDiv w:val="1"/>
      <w:marLeft w:val="0"/>
      <w:marRight w:val="0"/>
      <w:marTop w:val="0"/>
      <w:marBottom w:val="0"/>
      <w:divBdr>
        <w:top w:val="none" w:sz="0" w:space="0" w:color="auto"/>
        <w:left w:val="none" w:sz="0" w:space="0" w:color="auto"/>
        <w:bottom w:val="none" w:sz="0" w:space="0" w:color="auto"/>
        <w:right w:val="none" w:sz="0" w:space="0" w:color="auto"/>
      </w:divBdr>
    </w:div>
    <w:div w:id="13480937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59741946">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27814048">
      <w:bodyDiv w:val="1"/>
      <w:marLeft w:val="0"/>
      <w:marRight w:val="0"/>
      <w:marTop w:val="0"/>
      <w:marBottom w:val="0"/>
      <w:divBdr>
        <w:top w:val="none" w:sz="0" w:space="0" w:color="auto"/>
        <w:left w:val="none" w:sz="0" w:space="0" w:color="auto"/>
        <w:bottom w:val="none" w:sz="0" w:space="0" w:color="auto"/>
        <w:right w:val="none" w:sz="0" w:space="0" w:color="auto"/>
      </w:divBdr>
    </w:div>
    <w:div w:id="162827104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5114362">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4129.page"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589919.pag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5F975-DD5C-4127-8AE5-B9DB918E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2156</TotalTime>
  <Pages>43</Pages>
  <Words>10852</Words>
  <Characters>59691</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54</cp:revision>
  <cp:lastPrinted>2019-01-15T00:35:00Z</cp:lastPrinted>
  <dcterms:created xsi:type="dcterms:W3CDTF">2017-09-05T16:40:00Z</dcterms:created>
  <dcterms:modified xsi:type="dcterms:W3CDTF">2019-02-19T00:13:00Z</dcterms:modified>
</cp:coreProperties>
</file>