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FFD" w:rsidRPr="00E42755" w:rsidRDefault="00801FFD" w:rsidP="00801FFD">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PRIMERA </w:t>
      </w:r>
      <w:r w:rsidRPr="0007653D">
        <w:rPr>
          <w:rFonts w:ascii="Palatino Linotype" w:hAnsi="Palatino Linotype" w:cs="Arial"/>
          <w:b/>
        </w:rPr>
        <w:t xml:space="preserve">SESIÓN ORDINARIA DE </w:t>
      </w:r>
      <w:r>
        <w:rPr>
          <w:rFonts w:ascii="Palatino Linotype" w:hAnsi="Palatino Linotype" w:cs="Arial"/>
          <w:b/>
        </w:rPr>
        <w:t>NUEVE DE ENERO DE DOS MIL DIECINUEVE</w:t>
      </w:r>
      <w:r w:rsidRPr="0007653D">
        <w:rPr>
          <w:rFonts w:ascii="Palatino Linotype" w:hAnsi="Palatino Linotype" w:cs="Arial"/>
          <w:b/>
        </w:rPr>
        <w:t>, EN EL RECURSO DE REVISIÓN 0</w:t>
      </w:r>
      <w:r>
        <w:rPr>
          <w:rFonts w:ascii="Palatino Linotype" w:hAnsi="Palatino Linotype" w:cs="Arial"/>
          <w:b/>
        </w:rPr>
        <w:t>4008/INFOEM/IP/RR/2018</w:t>
      </w:r>
      <w:r w:rsidRPr="00E42755">
        <w:rPr>
          <w:rFonts w:ascii="Palatino Linotype" w:eastAsia="Calibri" w:hAnsi="Palatino Linotype" w:cs="Arial"/>
          <w:b/>
          <w:color w:val="000000"/>
        </w:rPr>
        <w:t>.</w:t>
      </w:r>
    </w:p>
    <w:p w:rsidR="00801FFD" w:rsidRPr="00E42755" w:rsidRDefault="00801FFD" w:rsidP="00801FFD">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4008/</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801FFD" w:rsidRDefault="00801FFD" w:rsidP="00801FFD">
      <w:pPr>
        <w:spacing w:before="100" w:beforeAutospacing="1" w:after="100" w:afterAutospacing="1" w:line="360" w:lineRule="auto"/>
        <w:jc w:val="both"/>
        <w:rPr>
          <w:rFonts w:ascii="Palatino Linotype" w:hAnsi="Palatino Linotype" w:cs="Arial"/>
          <w:lang w:val="es-MX"/>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la</w:t>
      </w:r>
      <w:r w:rsidRPr="00D93A88">
        <w:rPr>
          <w:rFonts w:ascii="Palatino Linotype" w:hAnsi="Palatino Linotype"/>
        </w:rPr>
        <w:t xml:space="preserve"> particular </w:t>
      </w:r>
      <w:r>
        <w:rPr>
          <w:rFonts w:ascii="Palatino Linotype" w:hAnsi="Palatino Linotype"/>
        </w:rPr>
        <w:t xml:space="preserve">requirió al </w:t>
      </w:r>
      <w:r w:rsidRPr="00801FFD">
        <w:rPr>
          <w:rFonts w:ascii="Palatino Linotype" w:eastAsia="Calibri" w:hAnsi="Palatino Linotype"/>
          <w:b/>
        </w:rPr>
        <w:t>Ayuntamiento de Villa Guerrero</w:t>
      </w:r>
      <w:r>
        <w:rPr>
          <w:rFonts w:ascii="Palatino Linotype" w:hAnsi="Palatino Linotype" w:cs="Arial"/>
          <w:b/>
        </w:rPr>
        <w:t xml:space="preserve">, </w:t>
      </w:r>
      <w:r>
        <w:rPr>
          <w:rFonts w:ascii="Palatino Linotype" w:hAnsi="Palatino Linotype"/>
        </w:rPr>
        <w:t xml:space="preserve">en lo sucesivo </w:t>
      </w:r>
      <w:r>
        <w:rPr>
          <w:rFonts w:ascii="Palatino Linotype" w:hAnsi="Palatino Linotype"/>
          <w:b/>
        </w:rPr>
        <w:t xml:space="preserve">EL SUJETO OBLIGADO, </w:t>
      </w:r>
      <w:r>
        <w:rPr>
          <w:rFonts w:ascii="Palatino Linotype" w:hAnsi="Palatino Linotype" w:cs="Arial"/>
          <w:lang w:val="es-MX"/>
        </w:rPr>
        <w:t xml:space="preserve">diversa información entre la que destacan las multas que se habían generado de los Oficiales </w:t>
      </w:r>
      <w:r w:rsidRPr="00801FFD">
        <w:rPr>
          <w:rFonts w:ascii="Palatino Linotype" w:hAnsi="Palatino Linotype" w:cs="Arial"/>
          <w:lang w:val="es-MX"/>
        </w:rPr>
        <w:t>Calificadores y Conciliador así como</w:t>
      </w:r>
      <w:r>
        <w:rPr>
          <w:rFonts w:ascii="Palatino Linotype" w:hAnsi="Palatino Linotype" w:cs="Arial"/>
          <w:lang w:val="es-MX"/>
        </w:rPr>
        <w:t xml:space="preserve"> el total de percepciones que por dicho concepto había </w:t>
      </w:r>
      <w:r w:rsidR="00476566">
        <w:rPr>
          <w:rFonts w:ascii="Palatino Linotype" w:hAnsi="Palatino Linotype" w:cs="Arial"/>
          <w:lang w:val="es-MX"/>
        </w:rPr>
        <w:t>ingresado</w:t>
      </w:r>
      <w:r w:rsidRPr="00801FFD">
        <w:rPr>
          <w:rFonts w:ascii="Palatino Linotype" w:hAnsi="Palatino Linotype" w:cs="Arial"/>
          <w:lang w:val="es-MX"/>
        </w:rPr>
        <w:t xml:space="preserve"> a </w:t>
      </w:r>
      <w:r>
        <w:rPr>
          <w:rFonts w:ascii="Palatino Linotype" w:hAnsi="Palatino Linotype" w:cs="Arial"/>
          <w:lang w:val="es-MX"/>
        </w:rPr>
        <w:t xml:space="preserve">la </w:t>
      </w:r>
      <w:r w:rsidRPr="00801FFD">
        <w:rPr>
          <w:rFonts w:ascii="Palatino Linotype" w:hAnsi="Palatino Linotype" w:cs="Arial"/>
          <w:lang w:val="es-MX"/>
        </w:rPr>
        <w:t>Tesorería</w:t>
      </w:r>
      <w:r>
        <w:rPr>
          <w:rFonts w:ascii="Palatino Linotype" w:hAnsi="Palatino Linotype" w:cs="Arial"/>
          <w:lang w:val="es-MX"/>
        </w:rPr>
        <w:t xml:space="preserve"> Municipal.</w:t>
      </w:r>
      <w:r w:rsidRPr="00193A66">
        <w:rPr>
          <w:rFonts w:ascii="Palatino Linotype" w:hAnsi="Palatino Linotype" w:cs="Arial"/>
          <w:lang w:val="es-MX"/>
        </w:rPr>
        <w:t xml:space="preserve"> </w:t>
      </w:r>
    </w:p>
    <w:p w:rsidR="00801FFD" w:rsidRDefault="00801FFD" w:rsidP="00801FFD">
      <w:pPr>
        <w:spacing w:before="100" w:beforeAutospacing="1" w:after="100" w:afterAutospacing="1" w:line="360" w:lineRule="auto"/>
        <w:ind w:right="49"/>
        <w:jc w:val="both"/>
        <w:rPr>
          <w:rFonts w:ascii="Palatino Linotype" w:eastAsia="Calibri" w:hAnsi="Palatino Linotype"/>
          <w:color w:val="000000"/>
          <w:lang w:val="es-MX" w:eastAsia="en-US"/>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respuesta</w:t>
      </w:r>
      <w:r w:rsidR="007A66E6">
        <w:rPr>
          <w:rFonts w:ascii="Palatino Linotype" w:hAnsi="Palatino Linotype" w:cs="Arial"/>
        </w:rPr>
        <w:t xml:space="preserve"> a la solicitud que </w:t>
      </w:r>
      <w:r w:rsidR="007A66E6">
        <w:rPr>
          <w:rFonts w:ascii="Palatino Linotype" w:hAnsi="Palatino Linotype" w:cs="Arial"/>
        </w:rPr>
        <w:lastRenderedPageBreak/>
        <w:t xml:space="preserve">interesa, </w:t>
      </w:r>
      <w:r w:rsidR="00F53263">
        <w:rPr>
          <w:rFonts w:ascii="Palatino Linotype" w:hAnsi="Palatino Linotype" w:cs="Arial"/>
        </w:rPr>
        <w:t xml:space="preserve">entregó un documento en el cual se indican los Ingresos por concepto de Sanciones Administrativas; sin embargo, </w:t>
      </w:r>
      <w:r w:rsidR="007A66E6">
        <w:rPr>
          <w:rFonts w:ascii="Palatino Linotype" w:eastAsia="Calibri" w:hAnsi="Palatino Linotype"/>
          <w:color w:val="000000"/>
          <w:lang w:val="es-MX" w:eastAsia="en-US"/>
        </w:rPr>
        <w:t xml:space="preserve">contiene </w:t>
      </w:r>
      <w:r w:rsidRPr="00193A66">
        <w:rPr>
          <w:rFonts w:ascii="Palatino Linotype" w:eastAsia="Calibri" w:hAnsi="Palatino Linotype"/>
          <w:color w:val="000000"/>
          <w:lang w:val="es-MX" w:eastAsia="en-US"/>
        </w:rPr>
        <w:t>datos personal</w:t>
      </w:r>
      <w:r w:rsidR="007A66E6">
        <w:rPr>
          <w:rFonts w:ascii="Palatino Linotype" w:eastAsia="Calibri" w:hAnsi="Palatino Linotype"/>
          <w:color w:val="000000"/>
          <w:lang w:val="es-MX" w:eastAsia="en-US"/>
        </w:rPr>
        <w:t xml:space="preserve">es susceptibles de protegerse. </w:t>
      </w:r>
    </w:p>
    <w:p w:rsidR="00801FFD" w:rsidRDefault="00801FFD" w:rsidP="00801FFD">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 xml:space="preserve">Inconforme con la respuesta proporcionada, </w:t>
      </w:r>
      <w:r w:rsidR="007A66E6">
        <w:rPr>
          <w:rFonts w:ascii="Palatino Linotype" w:hAnsi="Palatino Linotype"/>
          <w:b/>
          <w:color w:val="000000"/>
          <w:lang w:val="es-MX" w:eastAsia="es-MX"/>
        </w:rPr>
        <w:t>LA</w:t>
      </w:r>
      <w:r>
        <w:rPr>
          <w:rFonts w:ascii="Palatino Linotype" w:hAnsi="Palatino Linotype"/>
          <w:b/>
          <w:color w:val="000000"/>
          <w:lang w:val="es-MX" w:eastAsia="es-MX"/>
        </w:rPr>
        <w:t xml:space="preserve">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 argumentando que la información solicitada le fue entregada de manera incompleta.</w:t>
      </w:r>
    </w:p>
    <w:p w:rsidR="007A66E6" w:rsidRPr="00F53263" w:rsidRDefault="007A66E6" w:rsidP="00801FFD">
      <w:pPr>
        <w:spacing w:before="100" w:beforeAutospacing="1" w:after="100" w:afterAutospacing="1" w:line="360" w:lineRule="auto"/>
        <w:jc w:val="both"/>
        <w:rPr>
          <w:rFonts w:ascii="Palatino Linotype" w:hAnsi="Palatino Linotype" w:cs="Arial"/>
        </w:rPr>
      </w:pPr>
      <w:r w:rsidRPr="00F53263">
        <w:rPr>
          <w:rFonts w:ascii="Palatino Linotype" w:hAnsi="Palatino Linotype" w:cs="Arial"/>
        </w:rPr>
        <w:t xml:space="preserve">Bajo ese tenor, </w:t>
      </w:r>
      <w:r w:rsidRPr="00F53263">
        <w:rPr>
          <w:rFonts w:ascii="Palatino Linotype" w:hAnsi="Palatino Linotype" w:cs="Arial"/>
          <w:b/>
        </w:rPr>
        <w:t xml:space="preserve">EL SUJETO OBLIGADO </w:t>
      </w:r>
      <w:r w:rsidRPr="00F53263">
        <w:rPr>
          <w:rFonts w:ascii="Palatino Linotype" w:hAnsi="Palatino Linotype" w:cs="Arial"/>
        </w:rPr>
        <w:t>mediante Informe Justificado, ratificó su respuesta.</w:t>
      </w:r>
    </w:p>
    <w:p w:rsidR="007A66E6" w:rsidRPr="007A66E6" w:rsidRDefault="00801FFD" w:rsidP="00801FF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sidR="007A66E6">
        <w:rPr>
          <w:rFonts w:ascii="Palatino Linotype" w:hAnsi="Palatino Linotype" w:cs="Arial"/>
          <w:b/>
        </w:rPr>
        <w:t xml:space="preserve">MODIFICAR </w:t>
      </w:r>
      <w:r w:rsidR="007A66E6">
        <w:rPr>
          <w:rFonts w:ascii="Palatino Linotype" w:hAnsi="Palatino Linotype" w:cs="Arial"/>
        </w:rPr>
        <w:t xml:space="preserve">la respuesta del </w:t>
      </w:r>
      <w:r w:rsidR="007A66E6">
        <w:rPr>
          <w:rFonts w:ascii="Palatino Linotype" w:hAnsi="Palatino Linotype" w:cs="Arial"/>
          <w:b/>
        </w:rPr>
        <w:t xml:space="preserve">SUJETO OBLIGADO </w:t>
      </w:r>
      <w:r w:rsidR="007A66E6">
        <w:rPr>
          <w:rFonts w:ascii="Palatino Linotype" w:hAnsi="Palatino Linotype" w:cs="Arial"/>
        </w:rPr>
        <w:t>y ordenar la entrega vía SAIMEX, en versión pública de lo siguiente:</w:t>
      </w:r>
    </w:p>
    <w:p w:rsidR="007A66E6" w:rsidRPr="007A66E6" w:rsidRDefault="007A66E6" w:rsidP="007A66E6">
      <w:pPr>
        <w:numPr>
          <w:ilvl w:val="0"/>
          <w:numId w:val="2"/>
        </w:numPr>
        <w:tabs>
          <w:tab w:val="left" w:pos="567"/>
        </w:tabs>
        <w:ind w:left="851" w:right="902" w:firstLine="0"/>
        <w:jc w:val="both"/>
        <w:rPr>
          <w:rFonts w:ascii="Palatino Linotype" w:hAnsi="Palatino Linotype" w:cs="Arial"/>
          <w:i/>
          <w:color w:val="000000" w:themeColor="text1"/>
          <w:sz w:val="22"/>
          <w:szCs w:val="22"/>
        </w:rPr>
      </w:pPr>
      <w:r w:rsidRPr="007A66E6">
        <w:rPr>
          <w:rFonts w:ascii="Palatino Linotype" w:hAnsi="Palatino Linotype" w:cs="Arial"/>
          <w:i/>
          <w:color w:val="000000" w:themeColor="text1"/>
          <w:sz w:val="22"/>
          <w:szCs w:val="22"/>
        </w:rPr>
        <w:t>El acuerdo del Comité de Transparencia del Sujeto Obligado que sustente la versión pública de la información enviada en respuesta, (título y cedula profesional);</w:t>
      </w:r>
    </w:p>
    <w:p w:rsidR="007A66E6" w:rsidRPr="007A66E6" w:rsidRDefault="007A66E6" w:rsidP="007A66E6">
      <w:pPr>
        <w:tabs>
          <w:tab w:val="left" w:pos="567"/>
        </w:tabs>
        <w:ind w:left="851" w:right="902"/>
        <w:jc w:val="both"/>
        <w:rPr>
          <w:rFonts w:ascii="Palatino Linotype" w:hAnsi="Palatino Linotype" w:cs="Arial"/>
          <w:i/>
          <w:color w:val="000000" w:themeColor="text1"/>
          <w:sz w:val="22"/>
          <w:szCs w:val="22"/>
        </w:rPr>
      </w:pPr>
    </w:p>
    <w:p w:rsidR="007A66E6" w:rsidRPr="007A66E6" w:rsidRDefault="007A66E6" w:rsidP="007A66E6">
      <w:pPr>
        <w:numPr>
          <w:ilvl w:val="0"/>
          <w:numId w:val="2"/>
        </w:numPr>
        <w:tabs>
          <w:tab w:val="left" w:pos="567"/>
        </w:tabs>
        <w:ind w:left="851" w:right="902" w:firstLine="0"/>
        <w:jc w:val="both"/>
        <w:rPr>
          <w:rFonts w:ascii="Palatino Linotype" w:hAnsi="Palatino Linotype" w:cs="Arial"/>
          <w:i/>
          <w:color w:val="000000" w:themeColor="text1"/>
          <w:sz w:val="22"/>
          <w:szCs w:val="22"/>
        </w:rPr>
      </w:pPr>
      <w:r w:rsidRPr="007A66E6">
        <w:rPr>
          <w:rFonts w:ascii="Palatino Linotype" w:hAnsi="Palatino Linotype"/>
          <w:i/>
          <w:color w:val="000000" w:themeColor="text1"/>
          <w:sz w:val="22"/>
          <w:szCs w:val="22"/>
        </w:rPr>
        <w:t>Documentos donde consten los balances de caja de la Tesorería del Ayuntamiento de Villa Guerrero del veintiséis (26) de septiembre de dos mil diecisiete al veintiséis (26) de septiembre de dos mil dieciocho;</w:t>
      </w:r>
    </w:p>
    <w:p w:rsidR="007A66E6" w:rsidRPr="007A66E6" w:rsidRDefault="007A66E6" w:rsidP="007A66E6">
      <w:pPr>
        <w:pStyle w:val="Prrafodelista"/>
        <w:ind w:left="851" w:right="902"/>
        <w:contextualSpacing w:val="0"/>
        <w:jc w:val="both"/>
        <w:rPr>
          <w:rFonts w:ascii="Palatino Linotype" w:hAnsi="Palatino Linotype"/>
          <w:i/>
          <w:color w:val="000000" w:themeColor="text1"/>
          <w:sz w:val="22"/>
          <w:szCs w:val="22"/>
        </w:rPr>
      </w:pPr>
    </w:p>
    <w:p w:rsidR="007A66E6" w:rsidRPr="007A66E6" w:rsidRDefault="007A66E6" w:rsidP="007A66E6">
      <w:pPr>
        <w:numPr>
          <w:ilvl w:val="0"/>
          <w:numId w:val="2"/>
        </w:numPr>
        <w:tabs>
          <w:tab w:val="left" w:pos="567"/>
        </w:tabs>
        <w:ind w:left="851" w:right="902" w:firstLine="0"/>
        <w:jc w:val="both"/>
        <w:rPr>
          <w:rFonts w:ascii="Palatino Linotype" w:hAnsi="Palatino Linotype" w:cs="Arial"/>
          <w:i/>
          <w:color w:val="000000" w:themeColor="text1"/>
          <w:sz w:val="22"/>
          <w:szCs w:val="22"/>
        </w:rPr>
      </w:pPr>
      <w:r w:rsidRPr="007A66E6">
        <w:rPr>
          <w:rFonts w:ascii="Palatino Linotype" w:hAnsi="Palatino Linotype"/>
          <w:i/>
          <w:color w:val="000000" w:themeColor="text1"/>
          <w:sz w:val="22"/>
          <w:szCs w:val="22"/>
        </w:rPr>
        <w:t>Documentos donde conste el presupuesto de egresos e ingresos del año 2018 que se entrega al Órgano Superior de Fiscalización del Estado de México;</w:t>
      </w:r>
    </w:p>
    <w:p w:rsidR="007A66E6" w:rsidRPr="007A66E6" w:rsidRDefault="007A66E6" w:rsidP="007A66E6">
      <w:pPr>
        <w:tabs>
          <w:tab w:val="left" w:pos="567"/>
        </w:tabs>
        <w:ind w:left="851" w:right="902"/>
        <w:jc w:val="both"/>
        <w:rPr>
          <w:rFonts w:ascii="Palatino Linotype" w:hAnsi="Palatino Linotype" w:cs="Arial"/>
          <w:i/>
          <w:color w:val="000000" w:themeColor="text1"/>
          <w:sz w:val="22"/>
          <w:szCs w:val="22"/>
        </w:rPr>
      </w:pPr>
    </w:p>
    <w:p w:rsidR="007A66E6" w:rsidRPr="007A66E6" w:rsidRDefault="007A66E6" w:rsidP="007A66E6">
      <w:pPr>
        <w:numPr>
          <w:ilvl w:val="0"/>
          <w:numId w:val="2"/>
        </w:numPr>
        <w:tabs>
          <w:tab w:val="left" w:pos="567"/>
        </w:tabs>
        <w:ind w:left="851" w:right="902" w:firstLine="0"/>
        <w:jc w:val="both"/>
        <w:rPr>
          <w:rFonts w:ascii="Palatino Linotype" w:hAnsi="Palatino Linotype" w:cs="Arial"/>
          <w:i/>
          <w:color w:val="000000" w:themeColor="text1"/>
          <w:sz w:val="22"/>
          <w:szCs w:val="22"/>
        </w:rPr>
      </w:pPr>
      <w:r w:rsidRPr="007A66E6">
        <w:rPr>
          <w:rFonts w:ascii="Palatino Linotype" w:hAnsi="Palatino Linotype" w:cs="Arial"/>
          <w:i/>
          <w:color w:val="000000" w:themeColor="text1"/>
          <w:sz w:val="22"/>
          <w:szCs w:val="22"/>
        </w:rPr>
        <w:t>Documento donde conste el acuse de recibido del Resumen Financiero entregado a los miembros del cabildo del periodo 2016, 2017 y 2018;</w:t>
      </w:r>
    </w:p>
    <w:p w:rsidR="007A66E6" w:rsidRPr="007A66E6" w:rsidRDefault="007A66E6" w:rsidP="007A66E6">
      <w:pPr>
        <w:pStyle w:val="Prrafodelista"/>
        <w:ind w:left="851" w:right="902"/>
        <w:contextualSpacing w:val="0"/>
        <w:jc w:val="both"/>
        <w:rPr>
          <w:rFonts w:ascii="Palatino Linotype" w:eastAsia="Times New Roman" w:hAnsi="Palatino Linotype" w:cs="Arial"/>
          <w:i/>
          <w:color w:val="000000" w:themeColor="text1"/>
          <w:sz w:val="22"/>
          <w:szCs w:val="22"/>
          <w:lang w:val="es-ES"/>
        </w:rPr>
      </w:pPr>
    </w:p>
    <w:p w:rsidR="007A66E6" w:rsidRPr="007A66E6" w:rsidRDefault="007A66E6" w:rsidP="007A66E6">
      <w:pPr>
        <w:numPr>
          <w:ilvl w:val="0"/>
          <w:numId w:val="2"/>
        </w:numPr>
        <w:tabs>
          <w:tab w:val="left" w:pos="567"/>
        </w:tabs>
        <w:ind w:left="851" w:right="902" w:firstLine="0"/>
        <w:jc w:val="both"/>
        <w:rPr>
          <w:rFonts w:ascii="Palatino Linotype" w:hAnsi="Palatino Linotype" w:cs="Arial"/>
          <w:i/>
          <w:color w:val="000000" w:themeColor="text1"/>
          <w:sz w:val="22"/>
          <w:szCs w:val="22"/>
        </w:rPr>
      </w:pPr>
      <w:r w:rsidRPr="007A66E6">
        <w:rPr>
          <w:rFonts w:ascii="Palatino Linotype" w:hAnsi="Palatino Linotype" w:cs="Arial"/>
          <w:i/>
          <w:color w:val="000000" w:themeColor="text1"/>
          <w:sz w:val="22"/>
          <w:szCs w:val="22"/>
        </w:rPr>
        <w:t xml:space="preserve">El inventario de bienes muebles e inmuebles actualizado al treinta (30) </w:t>
      </w:r>
      <w:r>
        <w:rPr>
          <w:rFonts w:ascii="Palatino Linotype" w:hAnsi="Palatino Linotype" w:cs="Arial"/>
          <w:i/>
          <w:color w:val="000000" w:themeColor="text1"/>
          <w:sz w:val="22"/>
          <w:szCs w:val="22"/>
        </w:rPr>
        <w:t xml:space="preserve">de agosto de dos mil dieciocho </w:t>
      </w:r>
      <w:r w:rsidRPr="007A66E6">
        <w:rPr>
          <w:rFonts w:ascii="Palatino Linotype" w:hAnsi="Palatino Linotype" w:cs="Arial"/>
          <w:i/>
          <w:color w:val="000000" w:themeColor="text1"/>
          <w:sz w:val="22"/>
          <w:szCs w:val="22"/>
        </w:rPr>
        <w:t>o a la fecha de la solicitud; y</w:t>
      </w:r>
    </w:p>
    <w:p w:rsidR="007A66E6" w:rsidRPr="007A66E6" w:rsidRDefault="007A66E6" w:rsidP="007A66E6">
      <w:pPr>
        <w:pStyle w:val="Prrafodelista"/>
        <w:ind w:left="851" w:right="902"/>
        <w:contextualSpacing w:val="0"/>
        <w:jc w:val="both"/>
        <w:rPr>
          <w:rFonts w:ascii="Palatino Linotype" w:eastAsia="Times New Roman" w:hAnsi="Palatino Linotype" w:cs="Arial"/>
          <w:i/>
          <w:color w:val="000000" w:themeColor="text1"/>
          <w:sz w:val="22"/>
          <w:szCs w:val="22"/>
          <w:lang w:val="es-ES"/>
        </w:rPr>
      </w:pPr>
    </w:p>
    <w:p w:rsidR="007A66E6" w:rsidRPr="007A66E6" w:rsidRDefault="007A66E6" w:rsidP="007A66E6">
      <w:pPr>
        <w:numPr>
          <w:ilvl w:val="0"/>
          <w:numId w:val="2"/>
        </w:numPr>
        <w:tabs>
          <w:tab w:val="left" w:pos="567"/>
        </w:tabs>
        <w:ind w:left="851" w:right="902" w:firstLine="0"/>
        <w:jc w:val="both"/>
        <w:rPr>
          <w:rFonts w:ascii="Palatino Linotype" w:hAnsi="Palatino Linotype" w:cs="Arial"/>
          <w:i/>
          <w:color w:val="000000" w:themeColor="text1"/>
          <w:sz w:val="22"/>
          <w:szCs w:val="22"/>
        </w:rPr>
      </w:pPr>
      <w:r w:rsidRPr="007A66E6">
        <w:rPr>
          <w:rFonts w:ascii="Palatino Linotype" w:hAnsi="Palatino Linotype" w:cs="Arial"/>
          <w:i/>
          <w:color w:val="000000" w:themeColor="text1"/>
          <w:sz w:val="22"/>
          <w:szCs w:val="22"/>
        </w:rPr>
        <w:lastRenderedPageBreak/>
        <w:t>Informe la cantidad de bienes inmuebles propiedad del Ayuntamiento de Villa Guerrero que se encuentran registrados ante el Instituto de la Función Registral del estado de México.</w:t>
      </w:r>
    </w:p>
    <w:p w:rsidR="007A66E6" w:rsidRPr="007A66E6" w:rsidRDefault="007A66E6" w:rsidP="007A66E6">
      <w:pPr>
        <w:tabs>
          <w:tab w:val="left" w:pos="567"/>
        </w:tabs>
        <w:ind w:left="851" w:right="902"/>
        <w:jc w:val="both"/>
        <w:rPr>
          <w:rFonts w:ascii="Palatino Linotype" w:hAnsi="Palatino Linotype" w:cs="Arial"/>
          <w:i/>
          <w:color w:val="000000" w:themeColor="text1"/>
          <w:sz w:val="22"/>
          <w:szCs w:val="22"/>
        </w:rPr>
      </w:pPr>
    </w:p>
    <w:p w:rsidR="007A66E6" w:rsidRPr="007A66E6" w:rsidRDefault="007A66E6" w:rsidP="007A66E6">
      <w:pPr>
        <w:ind w:left="851" w:right="902"/>
        <w:jc w:val="both"/>
        <w:rPr>
          <w:rFonts w:ascii="Palatino Linotype" w:eastAsia="Calibri" w:hAnsi="Palatino Linotype" w:cs="Arial"/>
          <w:i/>
          <w:color w:val="000000" w:themeColor="text1"/>
          <w:sz w:val="22"/>
          <w:szCs w:val="22"/>
        </w:rPr>
      </w:pPr>
      <w:r w:rsidRPr="007A66E6">
        <w:rPr>
          <w:rFonts w:ascii="Palatino Linotype" w:eastAsia="Calibri" w:hAnsi="Palatino Linotype" w:cs="Arial"/>
          <w:i/>
          <w:sz w:val="22"/>
          <w:szCs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Pr>
          <w:rFonts w:ascii="Palatino Linotype" w:eastAsia="Calibri" w:hAnsi="Palatino Linotype" w:cs="Arial"/>
          <w:i/>
          <w:sz w:val="22"/>
          <w:szCs w:val="22"/>
        </w:rPr>
        <w:t>LA RECURRENTE</w:t>
      </w:r>
      <w:r w:rsidRPr="007A66E6">
        <w:rPr>
          <w:rFonts w:ascii="Palatino Linotype" w:eastAsia="Calibri" w:hAnsi="Palatino Linotype" w:cs="Arial"/>
          <w:i/>
          <w:sz w:val="22"/>
          <w:szCs w:val="22"/>
        </w:rPr>
        <w:t xml:space="preserve">. </w:t>
      </w:r>
    </w:p>
    <w:p w:rsidR="00F53263" w:rsidRPr="009F2E8D" w:rsidRDefault="00801FFD" w:rsidP="00801FFD">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si bien coincide en términos generales con </w:t>
      </w:r>
      <w:r w:rsidR="009F2E8D">
        <w:rPr>
          <w:rFonts w:ascii="Palatino Linotype" w:hAnsi="Palatino Linotype" w:cs="Arial"/>
          <w:lang w:val="es-MX"/>
        </w:rPr>
        <w:t xml:space="preserve">el sentido de la resolución en comento, </w:t>
      </w:r>
      <w:r w:rsidR="00F53263">
        <w:rPr>
          <w:rFonts w:ascii="Palatino Linotype" w:hAnsi="Palatino Linotype" w:cs="Arial"/>
          <w:lang w:val="es-MX"/>
        </w:rPr>
        <w:t xml:space="preserve">considero necesario precisar que </w:t>
      </w:r>
      <w:r w:rsidR="009F2E8D">
        <w:rPr>
          <w:rFonts w:ascii="Palatino Linotype" w:hAnsi="Palatino Linotype" w:cs="Arial"/>
          <w:lang w:val="es-MX"/>
        </w:rPr>
        <w:t xml:space="preserve">respecto a la solicitud de información consistente en las multas que habían generado los Oficiales </w:t>
      </w:r>
      <w:r w:rsidR="009F2E8D" w:rsidRPr="00801FFD">
        <w:rPr>
          <w:rFonts w:ascii="Palatino Linotype" w:hAnsi="Palatino Linotype" w:cs="Arial"/>
          <w:lang w:val="es-MX"/>
        </w:rPr>
        <w:t>Calificadores y Conciliador así como</w:t>
      </w:r>
      <w:r w:rsidR="009F2E8D">
        <w:rPr>
          <w:rFonts w:ascii="Palatino Linotype" w:hAnsi="Palatino Linotype" w:cs="Arial"/>
          <w:lang w:val="es-MX"/>
        </w:rPr>
        <w:t xml:space="preserve"> el total de percepciones que por dicho concepto había </w:t>
      </w:r>
      <w:r w:rsidR="00476566">
        <w:rPr>
          <w:rFonts w:ascii="Palatino Linotype" w:hAnsi="Palatino Linotype" w:cs="Arial"/>
          <w:lang w:val="es-MX"/>
        </w:rPr>
        <w:t>ingresado</w:t>
      </w:r>
      <w:r w:rsidR="009F2E8D" w:rsidRPr="00801FFD">
        <w:rPr>
          <w:rFonts w:ascii="Palatino Linotype" w:hAnsi="Palatino Linotype" w:cs="Arial"/>
          <w:lang w:val="es-MX"/>
        </w:rPr>
        <w:t xml:space="preserve"> a </w:t>
      </w:r>
      <w:r w:rsidR="009F2E8D">
        <w:rPr>
          <w:rFonts w:ascii="Palatino Linotype" w:hAnsi="Palatino Linotype" w:cs="Arial"/>
          <w:lang w:val="es-MX"/>
        </w:rPr>
        <w:t xml:space="preserve">la </w:t>
      </w:r>
      <w:r w:rsidR="009F2E8D" w:rsidRPr="00801FFD">
        <w:rPr>
          <w:rFonts w:ascii="Palatino Linotype" w:hAnsi="Palatino Linotype" w:cs="Arial"/>
          <w:lang w:val="es-MX"/>
        </w:rPr>
        <w:t>Tesorería</w:t>
      </w:r>
      <w:r w:rsidR="009F2E8D">
        <w:rPr>
          <w:rFonts w:ascii="Palatino Linotype" w:hAnsi="Palatino Linotype" w:cs="Arial"/>
          <w:lang w:val="es-MX"/>
        </w:rPr>
        <w:t xml:space="preserve"> Municipal, lo procedente era que la Ponencia Resolutora, tanto en estudio como en Resolutivos precisara que </w:t>
      </w:r>
      <w:r w:rsidR="009F2E8D">
        <w:rPr>
          <w:rFonts w:ascii="Palatino Linotype" w:hAnsi="Palatino Linotype" w:cs="Arial"/>
          <w:b/>
          <w:lang w:val="es-MX"/>
        </w:rPr>
        <w:t xml:space="preserve">EL SUJETO OBLIGADO </w:t>
      </w:r>
      <w:r w:rsidR="009F2E8D">
        <w:rPr>
          <w:rFonts w:ascii="Palatino Linotype" w:hAnsi="Palatino Linotype" w:cs="Arial"/>
          <w:lang w:val="es-MX"/>
        </w:rPr>
        <w:t>debería hacer entrega de la información solicitada en versión pública.</w:t>
      </w:r>
    </w:p>
    <w:p w:rsidR="00801FFD" w:rsidRPr="00C01C99" w:rsidRDefault="009F2E8D" w:rsidP="00801FFD">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Lo anterior, debido a que la suscrita considera que del análisis a la solicitud de información en estudio, advierte que</w:t>
      </w:r>
      <w:r w:rsidR="00476566">
        <w:rPr>
          <w:rFonts w:ascii="Palatino Linotype" w:hAnsi="Palatino Linotype" w:cs="Arial"/>
          <w:lang w:val="es-MX"/>
        </w:rPr>
        <w:t xml:space="preserve"> de manera enunciativa más no limitativa</w:t>
      </w:r>
      <w:r>
        <w:rPr>
          <w:rFonts w:ascii="Palatino Linotype" w:hAnsi="Palatino Linotype" w:cs="Arial"/>
          <w:lang w:val="es-MX"/>
        </w:rPr>
        <w:t xml:space="preserve"> pudiera ser colmada entregando </w:t>
      </w:r>
      <w:r w:rsidR="008D4428">
        <w:rPr>
          <w:rFonts w:ascii="Palatino Linotype" w:hAnsi="Palatino Linotype" w:cs="Arial"/>
          <w:lang w:val="es-MX"/>
        </w:rPr>
        <w:t xml:space="preserve">el documento fuente en versión pública por lo que, </w:t>
      </w:r>
      <w:r w:rsidR="00435B7D">
        <w:rPr>
          <w:rFonts w:ascii="Palatino Linotype" w:hAnsi="Palatino Linotype" w:cs="Arial"/>
          <w:lang w:val="es-MX"/>
        </w:rPr>
        <w:t>considero que a fin de dar certeza jurídica a la solicitante, la Ponencia Resolutora, tanto en estudio como en Resolutivos pudo haber analizado la entrega del documento en donde constara la multa en versión pública, aun cuando ello implicara dejar visible únicamente el concepto de la multa y el monto pagado, pues se convierte en dinero público una vez que la multa es cubierta por los particular</w:t>
      </w:r>
      <w:r w:rsidR="006A3E65">
        <w:rPr>
          <w:rFonts w:ascii="Palatino Linotype" w:hAnsi="Palatino Linotype" w:cs="Arial"/>
          <w:lang w:val="es-MX"/>
        </w:rPr>
        <w:t xml:space="preserve">es, por lo que, se reitera la Ponencia Resolutora debió haber aplicado un criterio más exhaustivo en el análisis de </w:t>
      </w:r>
      <w:r w:rsidR="006A3E65">
        <w:rPr>
          <w:rFonts w:ascii="Palatino Linotype" w:hAnsi="Palatino Linotype" w:cs="Arial"/>
          <w:lang w:val="es-MX"/>
        </w:rPr>
        <w:lastRenderedPageBreak/>
        <w:t xml:space="preserve">las constancias que integran el expediente electrónico del SAIMEX, ello </w:t>
      </w:r>
      <w:r w:rsidR="00801FFD" w:rsidRPr="009F03BA">
        <w:rPr>
          <w:rFonts w:ascii="Palatino Linotype" w:hAnsi="Palatino Linotype" w:cs="Arial"/>
        </w:rPr>
        <w:t>en</w:t>
      </w:r>
      <w:r w:rsidR="00801FFD">
        <w:rPr>
          <w:rFonts w:ascii="Palatino Linotype" w:hAnsi="Palatino Linotype" w:cs="Arial"/>
        </w:rPr>
        <w:t xml:space="preserve"> cumplimiento a los principios que rigen el actuar de este Órgano Garante establecidos en los artícu</w:t>
      </w:r>
      <w:r w:rsidR="00801FFD" w:rsidRPr="009C5FF5">
        <w:rPr>
          <w:rFonts w:ascii="Palatino Linotype" w:hAnsi="Palatino Linotype" w:cs="Arial"/>
        </w:rPr>
        <w:t>los</w:t>
      </w:r>
      <w:r w:rsidR="00801FFD">
        <w:rPr>
          <w:rFonts w:ascii="Palatino Linotype" w:hAnsi="Palatino Linotype" w:cs="Arial"/>
        </w:rPr>
        <w:t xml:space="preserve"> 4 y 9 fracciones I, VII y VIII </w:t>
      </w:r>
      <w:r w:rsidR="00801FFD" w:rsidRPr="009C5FF5">
        <w:rPr>
          <w:rFonts w:ascii="Palatino Linotype" w:hAnsi="Palatino Linotype" w:cs="Arial"/>
        </w:rPr>
        <w:t>de la Ley de Transpar</w:t>
      </w:r>
      <w:r w:rsidR="00801FFD">
        <w:rPr>
          <w:rFonts w:ascii="Palatino Linotype" w:hAnsi="Palatino Linotype" w:cs="Arial"/>
        </w:rPr>
        <w:t>encia y Acceso</w:t>
      </w:r>
      <w:r w:rsidR="00801FFD" w:rsidRPr="009C5FF5">
        <w:rPr>
          <w:rFonts w:ascii="Palatino Linotype" w:hAnsi="Palatino Linotype" w:cs="Arial"/>
        </w:rPr>
        <w:t xml:space="preserve"> a la Información Pú</w:t>
      </w:r>
      <w:r w:rsidR="00801FFD">
        <w:rPr>
          <w:rFonts w:ascii="Palatino Linotype" w:hAnsi="Palatino Linotype" w:cs="Arial"/>
        </w:rPr>
        <w:t>b</w:t>
      </w:r>
      <w:r w:rsidR="00801FFD" w:rsidRPr="009C5FF5">
        <w:rPr>
          <w:rFonts w:ascii="Palatino Linotype" w:hAnsi="Palatino Linotype" w:cs="Arial"/>
        </w:rPr>
        <w:t>lica del Estado de México y</w:t>
      </w:r>
      <w:r w:rsidR="00801FFD">
        <w:rPr>
          <w:rFonts w:ascii="Palatino Linotype" w:hAnsi="Palatino Linotype" w:cs="Arial"/>
        </w:rPr>
        <w:t xml:space="preserve"> </w:t>
      </w:r>
      <w:r w:rsidR="00801FFD" w:rsidRPr="009C5FF5">
        <w:rPr>
          <w:rFonts w:ascii="Palatino Linotype" w:hAnsi="Palatino Linotype" w:cs="Arial"/>
        </w:rPr>
        <w:t xml:space="preserve">Municipios, mediante </w:t>
      </w:r>
      <w:r w:rsidR="00801FFD">
        <w:rPr>
          <w:rFonts w:ascii="Palatino Linotype" w:hAnsi="Palatino Linotype" w:cs="Arial"/>
        </w:rPr>
        <w:t xml:space="preserve">los cuales debe </w:t>
      </w:r>
      <w:r w:rsidR="00801FFD" w:rsidRPr="009C5FF5">
        <w:rPr>
          <w:rFonts w:ascii="Palatino Linotype" w:hAnsi="Palatino Linotype" w:cs="Arial"/>
        </w:rPr>
        <w:t xml:space="preserve">privilegiarse </w:t>
      </w:r>
      <w:r w:rsidR="00801FFD">
        <w:rPr>
          <w:rFonts w:ascii="Palatino Linotype" w:hAnsi="Palatino Linotype" w:cs="Arial"/>
        </w:rPr>
        <w:t>la</w:t>
      </w:r>
      <w:r w:rsidR="00801FFD" w:rsidRPr="009C5FF5">
        <w:rPr>
          <w:rFonts w:ascii="Palatino Linotype" w:hAnsi="Palatino Linotype" w:cs="Arial"/>
        </w:rPr>
        <w:t xml:space="preserve"> máxima publicidad</w:t>
      </w:r>
      <w:r w:rsidR="00801FFD">
        <w:rPr>
          <w:rFonts w:ascii="Palatino Linotype" w:hAnsi="Palatino Linotype" w:cs="Arial"/>
        </w:rPr>
        <w:t xml:space="preserve">, exhaustividad </w:t>
      </w:r>
      <w:r w:rsidR="00801FFD" w:rsidRPr="009C5FF5">
        <w:rPr>
          <w:rFonts w:ascii="Palatino Linotype" w:hAnsi="Palatino Linotype" w:cs="Arial"/>
        </w:rPr>
        <w:t xml:space="preserve">y </w:t>
      </w:r>
      <w:r w:rsidR="00801FFD">
        <w:rPr>
          <w:rFonts w:ascii="Palatino Linotype" w:hAnsi="Palatino Linotype" w:cs="Arial"/>
        </w:rPr>
        <w:t>congruencia, preceptos que se trascriben a continuación:</w:t>
      </w:r>
    </w:p>
    <w:p w:rsidR="00801FFD" w:rsidRPr="00444E6E" w:rsidRDefault="00801FFD" w:rsidP="00801FFD">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801FFD" w:rsidRDefault="00801FFD" w:rsidP="00801FFD">
      <w:pPr>
        <w:spacing w:before="100" w:beforeAutospacing="1" w:after="100" w:afterAutospacing="1"/>
        <w:ind w:left="851" w:right="899"/>
        <w:jc w:val="both"/>
        <w:rPr>
          <w:rFonts w:ascii="Palatino Linotype" w:hAnsi="Palatino Linotype" w:cs="Arial"/>
          <w:bCs/>
          <w:i/>
          <w:sz w:val="22"/>
        </w:rPr>
      </w:pPr>
      <w:r w:rsidRPr="00933F8A">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933F8A">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933F8A">
        <w:rPr>
          <w:rFonts w:ascii="Palatino Linotype" w:hAnsi="Palatino Linotype" w:cs="Arial"/>
          <w:b/>
          <w:bCs/>
          <w:i/>
          <w:sz w:val="22"/>
        </w:rPr>
        <w:t>privilegiando el principio de máxima publicidad</w:t>
      </w:r>
      <w:r w:rsidRPr="00933F8A">
        <w:rPr>
          <w:rFonts w:ascii="Palatino Linotype" w:hAnsi="Palatino Linotype" w:cs="Arial"/>
          <w:bCs/>
          <w:i/>
          <w:sz w:val="22"/>
        </w:rPr>
        <w:t xml:space="preserve"> de la </w:t>
      </w:r>
      <w:r w:rsidRPr="00933F8A">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801FFD" w:rsidRDefault="00801FFD" w:rsidP="00801FFD">
      <w:pPr>
        <w:spacing w:before="100" w:beforeAutospacing="1" w:after="100" w:afterAutospacing="1"/>
        <w:ind w:left="851" w:right="899"/>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801FFD" w:rsidRPr="00933F8A" w:rsidRDefault="00801FFD" w:rsidP="00801FFD">
      <w:pPr>
        <w:spacing w:before="100" w:beforeAutospacing="1" w:after="100" w:afterAutospacing="1"/>
        <w:ind w:left="851" w:right="899"/>
        <w:jc w:val="both"/>
        <w:rPr>
          <w:rFonts w:ascii="Palatino Linotype" w:hAnsi="Palatino Linotype" w:cs="Arial"/>
          <w:b/>
          <w:bCs/>
          <w:i/>
          <w:sz w:val="22"/>
        </w:rPr>
      </w:pPr>
      <w:r w:rsidRPr="00933F8A">
        <w:rPr>
          <w:rFonts w:ascii="Palatino Linotype" w:hAnsi="Palatino Linotype" w:cs="Arial"/>
          <w:b/>
          <w:bCs/>
          <w:i/>
          <w:sz w:val="22"/>
        </w:rPr>
        <w:t>Artículo 9. El Instituto deberá regir su funcionamiento de acuerdo a los siguientes principios:</w:t>
      </w:r>
    </w:p>
    <w:p w:rsidR="00801FFD" w:rsidRDefault="00801FFD" w:rsidP="00801FFD">
      <w:pPr>
        <w:spacing w:before="100" w:beforeAutospacing="1" w:after="100" w:afterAutospacing="1"/>
        <w:ind w:left="851" w:right="899"/>
        <w:jc w:val="both"/>
        <w:rPr>
          <w:rFonts w:ascii="Palatino Linotype" w:hAnsi="Palatino Linotype" w:cs="Arial"/>
          <w:b/>
          <w:bCs/>
          <w:i/>
          <w:sz w:val="22"/>
        </w:rPr>
      </w:pPr>
      <w:r w:rsidRPr="00933F8A">
        <w:rPr>
          <w:rFonts w:ascii="Palatino Linotype" w:hAnsi="Palatino Linotype" w:cs="Arial"/>
          <w:b/>
          <w:bCs/>
          <w:i/>
          <w:sz w:val="22"/>
        </w:rPr>
        <w:t>I. Certeza:</w:t>
      </w:r>
      <w:r w:rsidRPr="00933F8A">
        <w:rPr>
          <w:rFonts w:ascii="Palatino Linotype" w:hAnsi="Palatino Linotype" w:cs="Arial"/>
          <w:bCs/>
          <w:i/>
          <w:sz w:val="22"/>
        </w:rPr>
        <w:t xml:space="preserve"> </w:t>
      </w:r>
      <w:r w:rsidRPr="00933F8A">
        <w:rPr>
          <w:rFonts w:ascii="Palatino Linotype" w:hAnsi="Palatino Linotype" w:cs="Arial"/>
          <w:b/>
          <w:bCs/>
          <w:i/>
          <w:sz w:val="22"/>
        </w:rPr>
        <w:t>Principio que otorga seguridad y certidumbre jurídica a los particulares, en virtud de que permite conocer si las acciones</w:t>
      </w:r>
      <w:r w:rsidRPr="006807DD">
        <w:rPr>
          <w:rFonts w:ascii="Palatino Linotype" w:hAnsi="Palatino Linotype" w:cs="Arial"/>
          <w:b/>
          <w:bCs/>
          <w:i/>
          <w:sz w:val="22"/>
        </w:rPr>
        <w:t xml:space="preserve"> del Instituto son apegadas a derecho y garantiza que los procedimientos sean completamente verificables, fidedignos y confiables; </w:t>
      </w:r>
    </w:p>
    <w:p w:rsidR="00801FFD" w:rsidRPr="006807DD" w:rsidRDefault="00801FFD" w:rsidP="00801FFD">
      <w:pPr>
        <w:spacing w:before="100" w:beforeAutospacing="1" w:after="100" w:afterAutospacing="1"/>
        <w:ind w:left="851" w:right="899"/>
        <w:jc w:val="both"/>
        <w:rPr>
          <w:rFonts w:ascii="Palatino Linotype" w:hAnsi="Palatino Linotype" w:cs="Arial"/>
          <w:b/>
          <w:bCs/>
          <w:i/>
          <w:sz w:val="22"/>
        </w:rPr>
      </w:pPr>
      <w:r>
        <w:rPr>
          <w:rFonts w:ascii="Palatino Linotype" w:hAnsi="Palatino Linotype" w:cs="Arial"/>
          <w:b/>
          <w:bCs/>
          <w:i/>
          <w:sz w:val="22"/>
        </w:rPr>
        <w:t>…</w:t>
      </w:r>
    </w:p>
    <w:p w:rsidR="00801FFD" w:rsidRDefault="00801FFD" w:rsidP="00801FFD">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lastRenderedPageBreak/>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801FFD" w:rsidRPr="006807DD" w:rsidRDefault="00801FFD" w:rsidP="00801FFD">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801FFD" w:rsidRPr="00444E6E" w:rsidRDefault="00801FFD" w:rsidP="00801FFD">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Cs/>
          <w:i/>
          <w:sz w:val="22"/>
        </w:rPr>
        <w:t>…</w:t>
      </w:r>
    </w:p>
    <w:p w:rsidR="00801FFD" w:rsidRPr="00444E6E" w:rsidRDefault="00801FFD" w:rsidP="00801FFD">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Cs/>
          <w:i/>
          <w:sz w:val="22"/>
        </w:rPr>
        <w:t>(Énfasis añadido)</w:t>
      </w:r>
    </w:p>
    <w:p w:rsidR="00801FFD" w:rsidRPr="006A3E65" w:rsidRDefault="00801FFD" w:rsidP="00801FFD">
      <w:pPr>
        <w:spacing w:before="100" w:beforeAutospacing="1" w:after="100" w:afterAutospacing="1" w:line="360" w:lineRule="auto"/>
        <w:jc w:val="both"/>
        <w:rPr>
          <w:rFonts w:ascii="Palatino Linotype" w:hAnsi="Palatino Linotype" w:cs="Arial"/>
          <w:lang w:val="es-MX"/>
        </w:rPr>
      </w:pPr>
      <w:r w:rsidRPr="006A3E65">
        <w:rPr>
          <w:rFonts w:ascii="Palatino Linotype" w:hAnsi="Palatino Linotype"/>
        </w:rPr>
        <w:t xml:space="preserve">A fin de robustecer lo expuesto, conviene citar </w:t>
      </w:r>
      <w:r w:rsidRPr="006A3E65">
        <w:rPr>
          <w:rFonts w:ascii="Palatino Linotype" w:hAnsi="Palatino Linotype" w:cs="Segoe UI"/>
        </w:rPr>
        <w:t xml:space="preserve">el criterio orientador </w:t>
      </w:r>
      <w:r w:rsidRPr="006A3E65">
        <w:rPr>
          <w:rFonts w:ascii="Palatino Linotype" w:hAnsi="Palatino Linotype"/>
          <w:lang w:eastAsia="es-MX"/>
        </w:rPr>
        <w:t xml:space="preserve">002/2017 del Instituto Nacional de Acceso a la Información y Protección de Datos (INAI), </w:t>
      </w:r>
      <w:r w:rsidRPr="006A3E65">
        <w:rPr>
          <w:rFonts w:ascii="Palatino Linotype" w:hAnsi="Palatino Linotype" w:cs="Arial"/>
        </w:rPr>
        <w:t>cuyo tenor es el siguiente:</w:t>
      </w:r>
    </w:p>
    <w:p w:rsidR="00801FFD" w:rsidRPr="00D621C2" w:rsidRDefault="00801FFD" w:rsidP="00801FFD">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801FFD" w:rsidRPr="00C01C99" w:rsidRDefault="00801FFD" w:rsidP="00801FFD">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w:t>
      </w:r>
      <w:r w:rsidRPr="006807DD">
        <w:rPr>
          <w:rFonts w:ascii="Palatino Linotype" w:hAnsi="Palatino Linotype" w:cs="Arial"/>
          <w:bCs/>
          <w:i/>
          <w:sz w:val="22"/>
        </w:rPr>
        <w:lastRenderedPageBreak/>
        <w:t xml:space="preserve">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801FFD" w:rsidRDefault="00801FFD" w:rsidP="00801FFD">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Es por lo anteriormen</w:t>
      </w:r>
      <w:r>
        <w:rPr>
          <w:rFonts w:ascii="Palatino Linotype" w:hAnsi="Palatino Linotype" w:cs="Arial"/>
        </w:rPr>
        <w:t>te expuesto que, la 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w:t>
      </w:r>
      <w:r>
        <w:rPr>
          <w:rFonts w:ascii="Palatino Linotype" w:hAnsi="Palatino Linotype" w:cs="Arial"/>
        </w:rPr>
        <w:t xml:space="preserve">lo </w:t>
      </w:r>
      <w:r w:rsidRPr="000A6958">
        <w:rPr>
          <w:rFonts w:ascii="Palatino Linotype" w:hAnsi="Palatino Linotype" w:cs="Arial"/>
        </w:rPr>
        <w:t xml:space="preserve">procedente </w:t>
      </w:r>
      <w:r w:rsidR="006A3E65">
        <w:rPr>
          <w:rFonts w:ascii="Palatino Linotype" w:hAnsi="Palatino Linotype" w:cs="Arial"/>
        </w:rPr>
        <w:t>era que la Ponencia</w:t>
      </w:r>
      <w:r>
        <w:rPr>
          <w:rFonts w:ascii="Palatino Linotype" w:hAnsi="Palatino Linotype" w:cs="Arial"/>
        </w:rPr>
        <w:t xml:space="preserve"> </w:t>
      </w:r>
      <w:r w:rsidR="006A3E65">
        <w:rPr>
          <w:rFonts w:ascii="Palatino Linotype" w:hAnsi="Palatino Linotype" w:cs="Arial"/>
        </w:rPr>
        <w:t>Resolutora aplicara un criterio exhaustivo y analizara la solicitud de información y la respuesta a fin de determinar la entrega del</w:t>
      </w:r>
      <w:r w:rsidR="00476566">
        <w:rPr>
          <w:rFonts w:ascii="Palatino Linotype" w:hAnsi="Palatino Linotype" w:cs="Arial"/>
        </w:rPr>
        <w:t xml:space="preserve"> o los</w:t>
      </w:r>
      <w:r w:rsidR="006A3E65">
        <w:rPr>
          <w:rFonts w:ascii="Palatino Linotype" w:hAnsi="Palatino Linotype" w:cs="Arial"/>
        </w:rPr>
        <w:t xml:space="preserve"> documento</w:t>
      </w:r>
      <w:r w:rsidR="00476566">
        <w:rPr>
          <w:rFonts w:ascii="Palatino Linotype" w:hAnsi="Palatino Linotype" w:cs="Arial"/>
        </w:rPr>
        <w:t>s en los</w:t>
      </w:r>
      <w:r w:rsidR="006A3E65">
        <w:rPr>
          <w:rFonts w:ascii="Palatino Linotype" w:hAnsi="Palatino Linotype" w:cs="Arial"/>
        </w:rPr>
        <w:t xml:space="preserve"> cual</w:t>
      </w:r>
      <w:r w:rsidR="00476566">
        <w:rPr>
          <w:rFonts w:ascii="Palatino Linotype" w:hAnsi="Palatino Linotype" w:cs="Arial"/>
        </w:rPr>
        <w:t>es</w:t>
      </w:r>
      <w:r w:rsidR="006A3E65">
        <w:rPr>
          <w:rFonts w:ascii="Palatino Linotype" w:hAnsi="Palatino Linotype" w:cs="Arial"/>
        </w:rPr>
        <w:t xml:space="preserve"> pudieran advertirse las multas </w:t>
      </w:r>
      <w:r w:rsidR="009A456A">
        <w:rPr>
          <w:rFonts w:ascii="Palatino Linotype" w:hAnsi="Palatino Linotype" w:cs="Arial"/>
          <w:lang w:val="es-MX"/>
        </w:rPr>
        <w:t xml:space="preserve">generadas por los Oficiales </w:t>
      </w:r>
      <w:r w:rsidR="009A456A" w:rsidRPr="00801FFD">
        <w:rPr>
          <w:rFonts w:ascii="Palatino Linotype" w:hAnsi="Palatino Linotype" w:cs="Arial"/>
          <w:lang w:val="es-MX"/>
        </w:rPr>
        <w:t>Calificadores y Conciliador</w:t>
      </w:r>
      <w:r w:rsidR="009A456A">
        <w:rPr>
          <w:rFonts w:ascii="Palatino Linotype" w:hAnsi="Palatino Linotype" w:cs="Arial"/>
          <w:lang w:val="es-MX"/>
        </w:rPr>
        <w:t xml:space="preserve"> </w:t>
      </w:r>
      <w:r w:rsidR="008D4428">
        <w:rPr>
          <w:rFonts w:ascii="Palatino Linotype" w:hAnsi="Palatino Linotype" w:cs="Arial"/>
          <w:lang w:val="es-MX"/>
        </w:rPr>
        <w:t xml:space="preserve">en versión pública </w:t>
      </w:r>
      <w:r w:rsidR="009A456A">
        <w:rPr>
          <w:rFonts w:ascii="Palatino Linotype" w:hAnsi="Palatino Linotype" w:cs="Arial"/>
          <w:lang w:val="es-MX"/>
        </w:rPr>
        <w:t xml:space="preserve">y en consecuencia el total de percepciones que por dicho concepto hubiera </w:t>
      </w:r>
      <w:r w:rsidR="00476566">
        <w:rPr>
          <w:rFonts w:ascii="Palatino Linotype" w:hAnsi="Palatino Linotype" w:cs="Arial"/>
          <w:lang w:val="es-MX"/>
        </w:rPr>
        <w:t>ingresado</w:t>
      </w:r>
      <w:r w:rsidR="009A456A" w:rsidRPr="00801FFD">
        <w:rPr>
          <w:rFonts w:ascii="Palatino Linotype" w:hAnsi="Palatino Linotype" w:cs="Arial"/>
          <w:lang w:val="es-MX"/>
        </w:rPr>
        <w:t xml:space="preserve"> a </w:t>
      </w:r>
      <w:r w:rsidR="009A456A">
        <w:rPr>
          <w:rFonts w:ascii="Palatino Linotype" w:hAnsi="Palatino Linotype" w:cs="Arial"/>
          <w:lang w:val="es-MX"/>
        </w:rPr>
        <w:t xml:space="preserve">la </w:t>
      </w:r>
      <w:r w:rsidR="009A456A" w:rsidRPr="00801FFD">
        <w:rPr>
          <w:rFonts w:ascii="Palatino Linotype" w:hAnsi="Palatino Linotype" w:cs="Arial"/>
          <w:lang w:val="es-MX"/>
        </w:rPr>
        <w:t>Tesorería</w:t>
      </w:r>
      <w:r w:rsidR="009A456A">
        <w:rPr>
          <w:rFonts w:ascii="Palatino Linotype" w:hAnsi="Palatino Linotype" w:cs="Arial"/>
          <w:lang w:val="es-MX"/>
        </w:rPr>
        <w:t xml:space="preserve"> Municipal</w:t>
      </w:r>
      <w:r>
        <w:rPr>
          <w:rFonts w:ascii="Palatino Linotype" w:hAnsi="Palatino Linotype" w:cs="Arial"/>
        </w:rPr>
        <w:t>, ello de conformidad con lo establecido en el artículo 9 de la Ley de la materia y en apego a los principios de exhaustividad y congruencia.</w:t>
      </w:r>
    </w:p>
    <w:p w:rsidR="00801FFD" w:rsidRDefault="00801FFD" w:rsidP="00801FFD">
      <w:pPr>
        <w:spacing w:before="100" w:beforeAutospacing="1" w:after="100" w:afterAutospacing="1" w:line="360" w:lineRule="auto"/>
        <w:jc w:val="both"/>
        <w:rPr>
          <w:rFonts w:ascii="Palatino Linotype" w:hAnsi="Palatino Linotype" w:cs="Arial"/>
        </w:rPr>
      </w:pPr>
    </w:p>
    <w:p w:rsidR="008D4428" w:rsidRDefault="008D4428" w:rsidP="00801FFD">
      <w:pPr>
        <w:spacing w:before="100" w:beforeAutospacing="1" w:after="100" w:afterAutospacing="1" w:line="360" w:lineRule="auto"/>
        <w:jc w:val="both"/>
        <w:rPr>
          <w:rFonts w:ascii="Palatino Linotype" w:hAnsi="Palatino Linotype" w:cs="Arial"/>
        </w:rPr>
      </w:pPr>
    </w:p>
    <w:p w:rsidR="00BD41E8" w:rsidRDefault="00BD41E8" w:rsidP="00801FFD">
      <w:pPr>
        <w:spacing w:before="100" w:beforeAutospacing="1" w:after="100" w:afterAutospacing="1" w:line="360" w:lineRule="auto"/>
        <w:jc w:val="both"/>
        <w:rPr>
          <w:rFonts w:ascii="Palatino Linotype" w:hAnsi="Palatino Linotype" w:cs="Arial"/>
        </w:rPr>
      </w:pPr>
    </w:p>
    <w:p w:rsidR="00BD41E8" w:rsidRDefault="00BD41E8" w:rsidP="00801FFD">
      <w:pPr>
        <w:spacing w:before="100" w:beforeAutospacing="1" w:after="100" w:afterAutospacing="1" w:line="360" w:lineRule="auto"/>
        <w:jc w:val="both"/>
        <w:rPr>
          <w:rFonts w:ascii="Palatino Linotype" w:hAnsi="Palatino Linotype" w:cs="Arial"/>
        </w:rPr>
      </w:pPr>
    </w:p>
    <w:p w:rsidR="008D4428" w:rsidRDefault="008D4428" w:rsidP="00801FFD">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801FFD" w:rsidRPr="001950C9" w:rsidTr="007E39D5">
        <w:trPr>
          <w:jc w:val="center"/>
        </w:trPr>
        <w:tc>
          <w:tcPr>
            <w:tcW w:w="4393" w:type="dxa"/>
          </w:tcPr>
          <w:p w:rsidR="00801FFD" w:rsidRPr="001950C9" w:rsidRDefault="00801FFD" w:rsidP="007E39D5">
            <w:pPr>
              <w:jc w:val="center"/>
              <w:rPr>
                <w:rFonts w:ascii="Palatino Linotype" w:hAnsi="Palatino Linotype"/>
                <w:b/>
              </w:rPr>
            </w:pPr>
            <w:r w:rsidRPr="001950C9">
              <w:rPr>
                <w:rFonts w:ascii="Palatino Linotype" w:hAnsi="Palatino Linotype"/>
                <w:b/>
              </w:rPr>
              <w:t>EVA ABAID YAPUR</w:t>
            </w:r>
          </w:p>
          <w:p w:rsidR="00801FFD" w:rsidRPr="001950C9" w:rsidRDefault="00801FFD" w:rsidP="00BD41E8">
            <w:pPr>
              <w:jc w:val="center"/>
              <w:rPr>
                <w:rFonts w:ascii="Palatino Linotype" w:hAnsi="Palatino Linotype"/>
                <w:b/>
              </w:rPr>
            </w:pPr>
            <w:r w:rsidRPr="001950C9">
              <w:rPr>
                <w:rFonts w:ascii="Palatino Linotype" w:hAnsi="Palatino Linotype"/>
                <w:b/>
              </w:rPr>
              <w:t>COMISIONADA</w:t>
            </w:r>
          </w:p>
        </w:tc>
      </w:tr>
    </w:tbl>
    <w:p w:rsidR="00BD41E8" w:rsidRDefault="00BD41E8" w:rsidP="00801FFD">
      <w:pPr>
        <w:jc w:val="both"/>
        <w:rPr>
          <w:rFonts w:ascii="Palatino Linotype" w:eastAsia="Calibri" w:hAnsi="Palatino Linotype" w:cs="Arial"/>
          <w:color w:val="000000" w:themeColor="text1"/>
          <w:sz w:val="20"/>
          <w:szCs w:val="20"/>
        </w:rPr>
      </w:pPr>
    </w:p>
    <w:p w:rsidR="00BD41E8" w:rsidRDefault="00BD41E8" w:rsidP="00801FFD">
      <w:pPr>
        <w:jc w:val="both"/>
        <w:rPr>
          <w:rFonts w:ascii="Palatino Linotype" w:eastAsia="Calibri" w:hAnsi="Palatino Linotype" w:cs="Arial"/>
          <w:color w:val="000000" w:themeColor="text1"/>
          <w:sz w:val="20"/>
          <w:szCs w:val="20"/>
        </w:rPr>
      </w:pPr>
    </w:p>
    <w:p w:rsidR="00BD41E8" w:rsidRDefault="00BD41E8" w:rsidP="00801FFD">
      <w:pPr>
        <w:jc w:val="both"/>
        <w:rPr>
          <w:rFonts w:ascii="Palatino Linotype" w:eastAsia="Calibri" w:hAnsi="Palatino Linotype" w:cs="Arial"/>
          <w:color w:val="000000" w:themeColor="text1"/>
          <w:sz w:val="20"/>
          <w:szCs w:val="20"/>
        </w:rPr>
      </w:pPr>
    </w:p>
    <w:p w:rsidR="00801FFD" w:rsidRDefault="00801FFD" w:rsidP="00801FFD">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9A456A">
        <w:rPr>
          <w:rFonts w:ascii="Palatino Linotype" w:eastAsia="Calibri" w:hAnsi="Palatino Linotype" w:cs="Arial"/>
          <w:color w:val="000000" w:themeColor="text1"/>
          <w:sz w:val="20"/>
          <w:szCs w:val="20"/>
        </w:rPr>
        <w:t>4008</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9A456A">
        <w:rPr>
          <w:rFonts w:ascii="Palatino Linotype" w:eastAsia="Calibri" w:hAnsi="Palatino Linotype" w:cs="Arial"/>
          <w:color w:val="000000" w:themeColor="text1"/>
          <w:sz w:val="20"/>
          <w:szCs w:val="20"/>
        </w:rPr>
        <w:t xml:space="preserve">nueve de enero de </w:t>
      </w:r>
      <w:r>
        <w:rPr>
          <w:rFonts w:ascii="Palatino Linotype" w:eastAsia="Calibri" w:hAnsi="Palatino Linotype" w:cs="Arial"/>
          <w:color w:val="000000" w:themeColor="text1"/>
          <w:sz w:val="20"/>
          <w:szCs w:val="20"/>
        </w:rPr>
        <w:t>dos mil dieci</w:t>
      </w:r>
      <w:r w:rsidR="009A456A">
        <w:rPr>
          <w:rFonts w:ascii="Palatino Linotype" w:eastAsia="Calibri" w:hAnsi="Palatino Linotype" w:cs="Arial"/>
          <w:color w:val="000000" w:themeColor="text1"/>
          <w:sz w:val="20"/>
          <w:szCs w:val="20"/>
        </w:rPr>
        <w:t>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BD41E8" w:rsidRPr="00BD41E8" w:rsidRDefault="00BD41E8" w:rsidP="00801FFD">
      <w:pPr>
        <w:jc w:val="both"/>
        <w:rPr>
          <w:rFonts w:ascii="Palatino Linotype" w:eastAsia="Calibri" w:hAnsi="Palatino Linotype" w:cs="Arial"/>
          <w:color w:val="000000" w:themeColor="text1"/>
          <w:sz w:val="8"/>
          <w:szCs w:val="8"/>
        </w:rPr>
      </w:pPr>
      <w:bookmarkStart w:id="0" w:name="_GoBack"/>
      <w:bookmarkEnd w:id="0"/>
    </w:p>
    <w:p w:rsidR="00C23B43" w:rsidRDefault="00801FFD" w:rsidP="008D4428">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2AB" w:rsidRDefault="003A52AB" w:rsidP="00801FFD">
      <w:r>
        <w:separator/>
      </w:r>
    </w:p>
  </w:endnote>
  <w:endnote w:type="continuationSeparator" w:id="0">
    <w:p w:rsidR="003A52AB" w:rsidRDefault="003A52AB" w:rsidP="0080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A52AB" w:rsidP="00DC5C4E">
    <w:pPr>
      <w:pStyle w:val="Piedepgina"/>
      <w:tabs>
        <w:tab w:val="clear" w:pos="4252"/>
        <w:tab w:val="left" w:pos="4228"/>
      </w:tabs>
      <w:rPr>
        <w:rFonts w:ascii="Palatino Linotype" w:hAnsi="Palatino Linotype" w:cs="Arial"/>
        <w:b/>
        <w:bCs/>
        <w:sz w:val="20"/>
        <w:szCs w:val="20"/>
      </w:rPr>
    </w:pPr>
  </w:p>
  <w:p w:rsidR="0031302B" w:rsidRDefault="003A52AB" w:rsidP="00DC5C4E">
    <w:pPr>
      <w:pStyle w:val="Piedepgina"/>
      <w:tabs>
        <w:tab w:val="clear" w:pos="4252"/>
        <w:tab w:val="left" w:pos="4228"/>
      </w:tabs>
      <w:rPr>
        <w:rFonts w:ascii="Palatino Linotype" w:hAnsi="Palatino Linotype" w:cs="Arial"/>
        <w:b/>
        <w:bCs/>
        <w:sz w:val="20"/>
        <w:szCs w:val="20"/>
      </w:rPr>
    </w:pPr>
  </w:p>
  <w:p w:rsidR="005C7C8F" w:rsidRDefault="003A52AB" w:rsidP="00DC5C4E">
    <w:pPr>
      <w:pStyle w:val="Piedepgina"/>
      <w:tabs>
        <w:tab w:val="clear" w:pos="4252"/>
        <w:tab w:val="left" w:pos="4228"/>
      </w:tabs>
      <w:rPr>
        <w:rFonts w:ascii="Palatino Linotype" w:hAnsi="Palatino Linotype" w:cs="Arial"/>
        <w:b/>
        <w:bCs/>
        <w:sz w:val="20"/>
        <w:szCs w:val="20"/>
      </w:rPr>
    </w:pPr>
  </w:p>
  <w:p w:rsidR="005C7C8F" w:rsidRDefault="003A52AB" w:rsidP="00DC5C4E">
    <w:pPr>
      <w:pStyle w:val="Piedepgina"/>
      <w:tabs>
        <w:tab w:val="clear" w:pos="4252"/>
        <w:tab w:val="left" w:pos="4228"/>
      </w:tabs>
      <w:rPr>
        <w:rFonts w:ascii="Palatino Linotype" w:hAnsi="Palatino Linotype" w:cs="Arial"/>
        <w:b/>
        <w:bCs/>
        <w:sz w:val="20"/>
        <w:szCs w:val="20"/>
      </w:rPr>
    </w:pPr>
  </w:p>
  <w:p w:rsidR="005C7C8F" w:rsidRDefault="003A52AB" w:rsidP="00DC5C4E">
    <w:pPr>
      <w:pStyle w:val="Piedepgina"/>
      <w:rPr>
        <w:rFonts w:ascii="Palatino Linotype" w:hAnsi="Palatino Linotype" w:cs="Arial"/>
        <w:b/>
        <w:bCs/>
        <w:sz w:val="20"/>
        <w:szCs w:val="20"/>
      </w:rPr>
    </w:pPr>
  </w:p>
  <w:p w:rsidR="005C7C8F" w:rsidRPr="00F12350" w:rsidRDefault="00905D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D41E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D41E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3A52AB"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2AB" w:rsidRDefault="003A52AB" w:rsidP="00801FFD">
      <w:r>
        <w:separator/>
      </w:r>
    </w:p>
  </w:footnote>
  <w:footnote w:type="continuationSeparator" w:id="0">
    <w:p w:rsidR="003A52AB" w:rsidRDefault="003A52AB" w:rsidP="0080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A52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905D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3048FB4B" wp14:editId="7ADD3D2A">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3A52AB" w:rsidP="00DC5C4E">
    <w:pPr>
      <w:pStyle w:val="Encabezado"/>
      <w:tabs>
        <w:tab w:val="clear" w:pos="4252"/>
        <w:tab w:val="clear" w:pos="8504"/>
        <w:tab w:val="left" w:pos="2326"/>
      </w:tabs>
      <w:jc w:val="right"/>
    </w:pPr>
  </w:p>
  <w:p w:rsidR="005C7C8F" w:rsidRDefault="00905D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905D28"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801FFD">
      <w:rPr>
        <w:rFonts w:ascii="Palatino Linotype" w:hAnsi="Palatino Linotype" w:cs="Arial"/>
        <w:sz w:val="20"/>
        <w:szCs w:val="20"/>
      </w:rPr>
      <w:t>4008</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3A52AB"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29.45pt;height:86.7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A52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770136A0"/>
    <w:multiLevelType w:val="hybridMultilevel"/>
    <w:tmpl w:val="8B5A890E"/>
    <w:lvl w:ilvl="0" w:tplc="6616F9DC">
      <w:start w:val="1"/>
      <w:numFmt w:val="decimal"/>
      <w:lvlText w:val="%1."/>
      <w:lvlJc w:val="left"/>
      <w:pPr>
        <w:ind w:left="3054" w:hanging="36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FD"/>
    <w:rsid w:val="0016143B"/>
    <w:rsid w:val="003A52AB"/>
    <w:rsid w:val="00435B7D"/>
    <w:rsid w:val="00476566"/>
    <w:rsid w:val="006A3E65"/>
    <w:rsid w:val="007A66E6"/>
    <w:rsid w:val="00801FFD"/>
    <w:rsid w:val="008D4428"/>
    <w:rsid w:val="00905D28"/>
    <w:rsid w:val="009A456A"/>
    <w:rsid w:val="009F2E8D"/>
    <w:rsid w:val="00A2372A"/>
    <w:rsid w:val="00AA557E"/>
    <w:rsid w:val="00BD41E8"/>
    <w:rsid w:val="00C23B43"/>
    <w:rsid w:val="00C9714C"/>
    <w:rsid w:val="00F53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7C0BB26-D5FA-4071-8651-76110122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FF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FF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01FFD"/>
    <w:rPr>
      <w:rFonts w:eastAsiaTheme="minorEastAsia"/>
      <w:sz w:val="24"/>
      <w:szCs w:val="24"/>
      <w:lang w:val="es-ES_tradnl" w:eastAsia="es-ES"/>
    </w:rPr>
  </w:style>
  <w:style w:type="paragraph" w:styleId="Piedepgina">
    <w:name w:val="footer"/>
    <w:basedOn w:val="Normal"/>
    <w:link w:val="PiedepginaCar"/>
    <w:uiPriority w:val="99"/>
    <w:unhideWhenUsed/>
    <w:rsid w:val="00801FF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01FF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A66E6"/>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A66E6"/>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9A45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456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1501</Words>
  <Characters>8260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2019-01-14T22:46:00Z</cp:lastPrinted>
  <dcterms:created xsi:type="dcterms:W3CDTF">2019-01-14T19:30:00Z</dcterms:created>
  <dcterms:modified xsi:type="dcterms:W3CDTF">2019-02-11T15:41:00Z</dcterms:modified>
</cp:coreProperties>
</file>