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826251" w:rsidRDefault="005C0335" w:rsidP="009235BD">
      <w:pPr>
        <w:spacing w:before="240" w:after="240" w:line="360" w:lineRule="auto"/>
        <w:jc w:val="both"/>
        <w:rPr>
          <w:rFonts w:ascii="Palatino Linotype" w:hAnsi="Palatino Linotype"/>
          <w:b/>
          <w:sz w:val="24"/>
          <w:szCs w:val="24"/>
        </w:rPr>
      </w:pPr>
      <w:r w:rsidRPr="00826251">
        <w:rPr>
          <w:rFonts w:ascii="Palatino Linotype" w:hAnsi="Palatino Linotype"/>
          <w:b/>
          <w:sz w:val="24"/>
          <w:szCs w:val="24"/>
        </w:rPr>
        <w:t xml:space="preserve">VOTO </w:t>
      </w:r>
      <w:r w:rsidR="001521B7" w:rsidRPr="00826251">
        <w:rPr>
          <w:rFonts w:ascii="Palatino Linotype" w:hAnsi="Palatino Linotype"/>
          <w:b/>
          <w:sz w:val="24"/>
          <w:szCs w:val="24"/>
        </w:rPr>
        <w:t>PARTICULAR QUE FORMULA</w:t>
      </w:r>
      <w:r w:rsidR="00C31D4A" w:rsidRPr="00826251">
        <w:rPr>
          <w:rFonts w:ascii="Palatino Linotype" w:hAnsi="Palatino Linotype"/>
          <w:b/>
          <w:sz w:val="24"/>
          <w:szCs w:val="24"/>
        </w:rPr>
        <w:t xml:space="preserve"> </w:t>
      </w:r>
      <w:r w:rsidR="001521B7" w:rsidRPr="00826251">
        <w:rPr>
          <w:rFonts w:ascii="Palatino Linotype" w:hAnsi="Palatino Linotype"/>
          <w:b/>
          <w:sz w:val="24"/>
          <w:szCs w:val="24"/>
        </w:rPr>
        <w:t xml:space="preserve">EL COMISIONADO JAVIER MARTÍNEZ CRUZ, EN RELACIÓN CON LA RESOLUCIÓN DICTADA POR EL PLENO DEL INSTITUTO DE TRANSPARENCIA, ACCESO A LA INFORMACIÓN PÚBLICA Y PROTECCIÓN DE DATOS PERSONALES DEL ESTADO DE MÉXICO Y MUNICIPIOS, EN LA </w:t>
      </w:r>
      <w:r w:rsidRPr="00826251">
        <w:rPr>
          <w:rFonts w:ascii="Palatino Linotype" w:hAnsi="Palatino Linotype"/>
          <w:b/>
          <w:sz w:val="24"/>
          <w:szCs w:val="24"/>
        </w:rPr>
        <w:t>PRIMERA</w:t>
      </w:r>
      <w:r w:rsidR="00564E98" w:rsidRPr="00826251">
        <w:rPr>
          <w:rFonts w:ascii="Palatino Linotype" w:hAnsi="Palatino Linotype"/>
          <w:b/>
          <w:sz w:val="24"/>
          <w:szCs w:val="24"/>
        </w:rPr>
        <w:t xml:space="preserve"> </w:t>
      </w:r>
      <w:r w:rsidR="00C31D4A" w:rsidRPr="00826251">
        <w:rPr>
          <w:rFonts w:ascii="Palatino Linotype" w:hAnsi="Palatino Linotype"/>
          <w:b/>
          <w:sz w:val="24"/>
          <w:szCs w:val="24"/>
        </w:rPr>
        <w:t>SES</w:t>
      </w:r>
      <w:r w:rsidR="001521B7" w:rsidRPr="00826251">
        <w:rPr>
          <w:rFonts w:ascii="Palatino Linotype" w:hAnsi="Palatino Linotype"/>
          <w:b/>
          <w:sz w:val="24"/>
          <w:szCs w:val="24"/>
        </w:rPr>
        <w:t xml:space="preserve">IÓN ORDINARIA DEL </w:t>
      </w:r>
      <w:r w:rsidRPr="00826251">
        <w:rPr>
          <w:rFonts w:ascii="Palatino Linotype" w:hAnsi="Palatino Linotype"/>
          <w:b/>
          <w:sz w:val="24"/>
          <w:szCs w:val="24"/>
        </w:rPr>
        <w:t xml:space="preserve">NUEVE DE ENERO </w:t>
      </w:r>
      <w:r w:rsidR="00CC52C1" w:rsidRPr="00826251">
        <w:rPr>
          <w:rFonts w:ascii="Palatino Linotype" w:hAnsi="Palatino Linotype"/>
          <w:b/>
          <w:sz w:val="24"/>
          <w:szCs w:val="24"/>
        </w:rPr>
        <w:t>DE DOS MIL DIECI</w:t>
      </w:r>
      <w:r w:rsidRPr="00826251">
        <w:rPr>
          <w:rFonts w:ascii="Palatino Linotype" w:hAnsi="Palatino Linotype"/>
          <w:b/>
          <w:sz w:val="24"/>
          <w:szCs w:val="24"/>
        </w:rPr>
        <w:t>NUEVE</w:t>
      </w:r>
      <w:r w:rsidR="0038176F" w:rsidRPr="00826251">
        <w:rPr>
          <w:rFonts w:ascii="Palatino Linotype" w:hAnsi="Palatino Linotype"/>
          <w:b/>
          <w:sz w:val="24"/>
          <w:szCs w:val="24"/>
        </w:rPr>
        <w:t>,</w:t>
      </w:r>
      <w:r w:rsidR="00A27FDF" w:rsidRPr="00826251">
        <w:rPr>
          <w:rFonts w:ascii="Palatino Linotype" w:hAnsi="Palatino Linotype"/>
          <w:b/>
          <w:sz w:val="24"/>
          <w:szCs w:val="24"/>
        </w:rPr>
        <w:t xml:space="preserve"> EN EL RECURSO DE REVISIÓN </w:t>
      </w:r>
      <w:r w:rsidR="00ED32FF" w:rsidRPr="00826251">
        <w:rPr>
          <w:rFonts w:ascii="Palatino Linotype" w:hAnsi="Palatino Linotype"/>
          <w:b/>
          <w:sz w:val="24"/>
          <w:szCs w:val="24"/>
        </w:rPr>
        <w:t>0</w:t>
      </w:r>
      <w:r w:rsidRPr="00826251">
        <w:rPr>
          <w:rFonts w:ascii="Palatino Linotype" w:hAnsi="Palatino Linotype"/>
          <w:b/>
          <w:sz w:val="24"/>
          <w:szCs w:val="24"/>
        </w:rPr>
        <w:t>4010</w:t>
      </w:r>
      <w:r w:rsidR="0038176F" w:rsidRPr="00826251">
        <w:rPr>
          <w:rFonts w:ascii="Palatino Linotype" w:hAnsi="Palatino Linotype"/>
          <w:b/>
          <w:sz w:val="24"/>
          <w:szCs w:val="24"/>
        </w:rPr>
        <w:t>/INFOEM/IP/RR/2018</w:t>
      </w:r>
      <w:r w:rsidR="001521B7" w:rsidRPr="00826251">
        <w:rPr>
          <w:rFonts w:ascii="Palatino Linotype" w:hAnsi="Palatino Linotype"/>
          <w:b/>
          <w:sz w:val="24"/>
          <w:szCs w:val="24"/>
        </w:rPr>
        <w:t>.</w:t>
      </w:r>
    </w:p>
    <w:p w:rsidR="003A047A" w:rsidRPr="00826251" w:rsidRDefault="0037761D" w:rsidP="009235BD">
      <w:pPr>
        <w:spacing w:before="240" w:after="240" w:line="360" w:lineRule="auto"/>
        <w:jc w:val="both"/>
        <w:rPr>
          <w:rFonts w:ascii="Palatino Linotype" w:hAnsi="Palatino Linotype"/>
          <w:sz w:val="24"/>
          <w:szCs w:val="24"/>
        </w:rPr>
      </w:pPr>
      <w:r w:rsidRPr="00826251">
        <w:rPr>
          <w:rFonts w:ascii="Palatino Linotype" w:hAnsi="Palatino Linotype"/>
          <w:sz w:val="24"/>
          <w:szCs w:val="24"/>
        </w:rPr>
        <w:t>El pleno del Instituto de Transparencia, Acceso a la Información Pública y Protección de Datos Personales del Estado de México y Municipios, aprobó por unanimidad de votos, la resolución relativa al recurso de revisión 0</w:t>
      </w:r>
      <w:r w:rsidR="005C0335" w:rsidRPr="00826251">
        <w:rPr>
          <w:rFonts w:ascii="Palatino Linotype" w:hAnsi="Palatino Linotype"/>
          <w:sz w:val="24"/>
          <w:szCs w:val="24"/>
        </w:rPr>
        <w:t>4010</w:t>
      </w:r>
      <w:r w:rsidRPr="00826251">
        <w:rPr>
          <w:rFonts w:ascii="Palatino Linotype" w:hAnsi="Palatino Linotype"/>
          <w:sz w:val="24"/>
          <w:szCs w:val="24"/>
        </w:rPr>
        <w:t xml:space="preserve">/INFOEM/IP/RR/2018, presentada por la Comisionada </w:t>
      </w:r>
      <w:r w:rsidR="005C0335" w:rsidRPr="00826251">
        <w:rPr>
          <w:rFonts w:ascii="Palatino Linotype" w:hAnsi="Palatino Linotype"/>
          <w:sz w:val="24"/>
          <w:szCs w:val="24"/>
        </w:rPr>
        <w:t>Zulema Martínez Sánchez</w:t>
      </w:r>
      <w:r w:rsidRPr="00826251">
        <w:rPr>
          <w:rFonts w:ascii="Palatino Linotype" w:hAnsi="Palatino Linotype"/>
          <w:sz w:val="24"/>
          <w:szCs w:val="24"/>
        </w:rPr>
        <w:t xml:space="preserve">, respecto de la cual, el suscrito formula </w:t>
      </w:r>
      <w:r w:rsidR="003B0E51" w:rsidRPr="00826251">
        <w:rPr>
          <w:rFonts w:ascii="Palatino Linotype" w:hAnsi="Palatino Linotype"/>
          <w:b/>
          <w:sz w:val="24"/>
          <w:szCs w:val="24"/>
        </w:rPr>
        <w:t>VOTO</w:t>
      </w:r>
      <w:r w:rsidRPr="00826251">
        <w:rPr>
          <w:rFonts w:ascii="Palatino Linotype" w:hAnsi="Palatino Linotype"/>
          <w:b/>
          <w:sz w:val="24"/>
          <w:szCs w:val="24"/>
        </w:rPr>
        <w:t xml:space="preserve"> PARTICULAR, </w:t>
      </w:r>
      <w:r w:rsidRPr="00826251">
        <w:rPr>
          <w:rFonts w:ascii="Palatino Linotype" w:hAnsi="Palatino Linotype"/>
          <w:sz w:val="24"/>
          <w:szCs w:val="24"/>
        </w:rPr>
        <w:t xml:space="preserve"> con fundamento en el artículo 14 fracción XI del Reglamento Interior del Instituto de Transparencia, Acceso a la Información Pública y Protección de Datos Personales del Estado de México y Municipios.</w:t>
      </w:r>
    </w:p>
    <w:p w:rsidR="009E35A5" w:rsidRPr="00826251" w:rsidRDefault="009E35A5" w:rsidP="009235BD">
      <w:pPr>
        <w:spacing w:before="240" w:after="240" w:line="360" w:lineRule="auto"/>
        <w:jc w:val="both"/>
        <w:rPr>
          <w:rFonts w:ascii="Palatino Linotype" w:hAnsi="Palatino Linotype"/>
          <w:sz w:val="24"/>
          <w:szCs w:val="24"/>
        </w:rPr>
      </w:pPr>
      <w:r w:rsidRPr="00826251">
        <w:rPr>
          <w:rFonts w:ascii="Palatino Linotype" w:hAnsi="Palatino Linotype"/>
          <w:sz w:val="24"/>
          <w:szCs w:val="24"/>
        </w:rPr>
        <w:t xml:space="preserve">El que suscribe, comparte </w:t>
      </w:r>
      <w:r w:rsidR="009727E4" w:rsidRPr="00826251">
        <w:rPr>
          <w:rFonts w:ascii="Palatino Linotype" w:hAnsi="Palatino Linotype"/>
          <w:sz w:val="24"/>
          <w:szCs w:val="24"/>
        </w:rPr>
        <w:t xml:space="preserve">en esencia </w:t>
      </w:r>
      <w:r w:rsidRPr="00826251">
        <w:rPr>
          <w:rFonts w:ascii="Palatino Linotype" w:hAnsi="Palatino Linotype"/>
          <w:sz w:val="24"/>
          <w:szCs w:val="24"/>
        </w:rPr>
        <w:t xml:space="preserve">el sentido </w:t>
      </w:r>
      <w:r w:rsidR="009727E4" w:rsidRPr="00826251">
        <w:rPr>
          <w:rFonts w:ascii="Palatino Linotype" w:hAnsi="Palatino Linotype"/>
          <w:sz w:val="24"/>
          <w:szCs w:val="24"/>
        </w:rPr>
        <w:t>del estudio realizad</w:t>
      </w:r>
      <w:r w:rsidR="0037761D" w:rsidRPr="00826251">
        <w:rPr>
          <w:rFonts w:ascii="Palatino Linotype" w:hAnsi="Palatino Linotype"/>
          <w:sz w:val="24"/>
          <w:szCs w:val="24"/>
        </w:rPr>
        <w:t xml:space="preserve">o en la resolución emitida por </w:t>
      </w:r>
      <w:r w:rsidR="009727E4" w:rsidRPr="00826251">
        <w:rPr>
          <w:rFonts w:ascii="Palatino Linotype" w:hAnsi="Palatino Linotype"/>
          <w:sz w:val="24"/>
          <w:szCs w:val="24"/>
        </w:rPr>
        <w:t>l</w:t>
      </w:r>
      <w:r w:rsidR="0037761D" w:rsidRPr="00826251">
        <w:rPr>
          <w:rFonts w:ascii="Palatino Linotype" w:hAnsi="Palatino Linotype"/>
          <w:sz w:val="24"/>
          <w:szCs w:val="24"/>
        </w:rPr>
        <w:t>a Comisionada</w:t>
      </w:r>
      <w:r w:rsidR="009727E4" w:rsidRPr="00826251">
        <w:rPr>
          <w:rFonts w:ascii="Palatino Linotype" w:hAnsi="Palatino Linotype"/>
          <w:sz w:val="24"/>
          <w:szCs w:val="24"/>
        </w:rPr>
        <w:t xml:space="preserve"> Ponente; </w:t>
      </w:r>
      <w:r w:rsidRPr="00826251">
        <w:rPr>
          <w:rFonts w:ascii="Palatino Linotype" w:hAnsi="Palatino Linotype"/>
          <w:sz w:val="24"/>
          <w:szCs w:val="24"/>
        </w:rPr>
        <w:t>sin embargo, resulta necesario destacar ciertas precisiones que debieron ser valoradas y expresadas en el análisis de la resolución.</w:t>
      </w:r>
    </w:p>
    <w:p w:rsidR="00425E2D" w:rsidRPr="00826251" w:rsidRDefault="00425E2D" w:rsidP="009235BD">
      <w:pPr>
        <w:spacing w:before="240" w:after="240" w:line="360" w:lineRule="auto"/>
        <w:jc w:val="both"/>
        <w:rPr>
          <w:rFonts w:ascii="Palatino Linotype" w:hAnsi="Palatino Linotype"/>
          <w:sz w:val="24"/>
          <w:szCs w:val="24"/>
        </w:rPr>
      </w:pPr>
    </w:p>
    <w:p w:rsidR="00AA7BFF" w:rsidRPr="00826251" w:rsidRDefault="00BD44F6" w:rsidP="009235BD">
      <w:pPr>
        <w:spacing w:before="240" w:after="240" w:line="360" w:lineRule="auto"/>
        <w:jc w:val="both"/>
        <w:rPr>
          <w:rFonts w:ascii="Palatino Linotype" w:hAnsi="Palatino Linotype"/>
          <w:sz w:val="24"/>
          <w:szCs w:val="24"/>
        </w:rPr>
      </w:pPr>
      <w:r w:rsidRPr="00826251">
        <w:rPr>
          <w:rFonts w:ascii="Palatino Linotype" w:hAnsi="Palatino Linotype"/>
          <w:sz w:val="24"/>
          <w:szCs w:val="24"/>
        </w:rPr>
        <w:lastRenderedPageBreak/>
        <w:t>En el caso concreto l</w:t>
      </w:r>
      <w:r w:rsidR="00E7639F" w:rsidRPr="00826251">
        <w:rPr>
          <w:rFonts w:ascii="Palatino Linotype" w:hAnsi="Palatino Linotype"/>
          <w:sz w:val="24"/>
          <w:szCs w:val="24"/>
        </w:rPr>
        <w:t>a</w:t>
      </w:r>
      <w:r w:rsidR="00E01A6B" w:rsidRPr="00826251">
        <w:rPr>
          <w:rFonts w:ascii="Palatino Linotype" w:hAnsi="Palatino Linotype"/>
          <w:sz w:val="24"/>
          <w:szCs w:val="24"/>
        </w:rPr>
        <w:t xml:space="preserve"> hoy R</w:t>
      </w:r>
      <w:r w:rsidRPr="00826251">
        <w:rPr>
          <w:rFonts w:ascii="Palatino Linotype" w:hAnsi="Palatino Linotype"/>
          <w:sz w:val="24"/>
          <w:szCs w:val="24"/>
        </w:rPr>
        <w:t>ecurrente solicitó</w:t>
      </w:r>
      <w:r w:rsidR="00FA1BEA" w:rsidRPr="00826251">
        <w:rPr>
          <w:rFonts w:ascii="Palatino Linotype" w:hAnsi="Palatino Linotype"/>
          <w:sz w:val="24"/>
          <w:szCs w:val="24"/>
        </w:rPr>
        <w:t xml:space="preserve"> se le </w:t>
      </w:r>
      <w:r w:rsidR="00AA7BFF" w:rsidRPr="00826251">
        <w:rPr>
          <w:rFonts w:ascii="Palatino Linotype" w:hAnsi="Palatino Linotype"/>
          <w:sz w:val="24"/>
          <w:szCs w:val="24"/>
        </w:rPr>
        <w:t>entregaran copias certificadas de los acuerdos del Juzgado Tercero Familiar de Tlalnepantla (Naucalpan), dictados en el Expediente número 00837/2014, de fechas 22/05/2014 (inicial), 22/05/2014,   18/09/2014, 22/10/2014 y 29/09/2015.</w:t>
      </w:r>
    </w:p>
    <w:p w:rsidR="009235BD" w:rsidRPr="00826251" w:rsidRDefault="009235BD" w:rsidP="009235BD">
      <w:pPr>
        <w:spacing w:before="240" w:after="240" w:line="360" w:lineRule="auto"/>
        <w:jc w:val="both"/>
      </w:pPr>
      <w:r w:rsidRPr="00826251">
        <w:rPr>
          <w:rFonts w:ascii="Palatino Linotype" w:hAnsi="Palatino Linotype"/>
          <w:sz w:val="24"/>
          <w:szCs w:val="24"/>
        </w:rPr>
        <w:t>En respuesta, la Titular de la Unidad de Transparencia del Sujeto Obligado, informó que mediante documento adjunto remitía la versión pública de los acuerdos de fecha 22/05/2014 (inicial), 18/09/2014 y 22/10/2014, aprobada mediante la sesión extraordinaria 19/2018 del Comité de Transparencia, asimismo, con relación al acuerdo de fecha 22/05/2014 informó que únicamente se localizaba el acuerdo inicial,  y con relación al acuerdo 29/09/2018 manifestó que el mismo no existía.</w:t>
      </w:r>
    </w:p>
    <w:p w:rsidR="009235BD" w:rsidRPr="00826251" w:rsidRDefault="009235BD" w:rsidP="009235BD">
      <w:pPr>
        <w:spacing w:before="240" w:after="240" w:line="360" w:lineRule="auto"/>
        <w:jc w:val="both"/>
        <w:rPr>
          <w:rFonts w:ascii="Palatino Linotype" w:hAnsi="Palatino Linotype"/>
          <w:sz w:val="24"/>
          <w:szCs w:val="24"/>
        </w:rPr>
      </w:pPr>
      <w:r w:rsidRPr="00826251">
        <w:rPr>
          <w:rFonts w:ascii="Palatino Linotype" w:hAnsi="Palatino Linotype"/>
          <w:sz w:val="24"/>
          <w:szCs w:val="24"/>
        </w:rPr>
        <w:t>Una vez conocida la respuesta del sujeto obligado, al no estar conforme el particular con los términos de la misma, interpone el recurso de revisión que se resuelve a través de la resolución dictada por este Órgano Garante, manifestando como acto impugnado y motivos de inconformidad, lo siguiente:</w:t>
      </w:r>
    </w:p>
    <w:p w:rsidR="009235BD" w:rsidRPr="00826251" w:rsidRDefault="009235BD" w:rsidP="00537B54">
      <w:pPr>
        <w:spacing w:before="240" w:after="240" w:line="240" w:lineRule="auto"/>
        <w:ind w:left="567" w:right="567"/>
        <w:jc w:val="both"/>
        <w:rPr>
          <w:rFonts w:ascii="Palatino Linotype" w:eastAsia="Calibri" w:hAnsi="Palatino Linotype" w:cs="Tahoma"/>
          <w:b/>
          <w:bCs/>
          <w:i/>
          <w:sz w:val="23"/>
          <w:szCs w:val="23"/>
        </w:rPr>
      </w:pPr>
      <w:r w:rsidRPr="00826251">
        <w:rPr>
          <w:rFonts w:ascii="Palatino Linotype" w:eastAsia="Calibri" w:hAnsi="Palatino Linotype" w:cs="Tahoma"/>
          <w:b/>
          <w:bCs/>
          <w:i/>
          <w:sz w:val="23"/>
          <w:szCs w:val="23"/>
        </w:rPr>
        <w:t>“ACTO IMPUGNADO</w:t>
      </w:r>
    </w:p>
    <w:p w:rsidR="009235BD" w:rsidRPr="00826251" w:rsidRDefault="009235BD" w:rsidP="00537B54">
      <w:pPr>
        <w:spacing w:before="240" w:after="240" w:line="240" w:lineRule="auto"/>
        <w:ind w:left="567" w:right="567"/>
        <w:jc w:val="both"/>
        <w:rPr>
          <w:rFonts w:ascii="Palatino Linotype" w:eastAsia="Calibri" w:hAnsi="Palatino Linotype" w:cs="Tahoma"/>
          <w:bCs/>
          <w:i/>
          <w:sz w:val="23"/>
          <w:szCs w:val="23"/>
        </w:rPr>
      </w:pPr>
      <w:r w:rsidRPr="00826251">
        <w:rPr>
          <w:rFonts w:ascii="Palatino Linotype" w:eastAsia="Calibri" w:hAnsi="Palatino Linotype" w:cs="Tahoma"/>
          <w:bCs/>
          <w:i/>
          <w:sz w:val="23"/>
          <w:szCs w:val="23"/>
        </w:rPr>
        <w:t>El contenido del archivo "181008 - respuesta 891-18_firmado.pdf", así como el del diverso "181002 - 837-2014 ACUERDOS.pdf" (se anexan) que, como respuesta, recayeron a la solicitud de información pública 00891/PJUDICI/IP/2018.</w:t>
      </w:r>
    </w:p>
    <w:p w:rsidR="009235BD" w:rsidRPr="00826251" w:rsidRDefault="009235BD" w:rsidP="00537B54">
      <w:pPr>
        <w:spacing w:before="240" w:after="240" w:line="240" w:lineRule="auto"/>
        <w:ind w:left="567" w:right="567"/>
        <w:jc w:val="both"/>
        <w:rPr>
          <w:rFonts w:ascii="Palatino Linotype" w:eastAsia="Calibri" w:hAnsi="Palatino Linotype" w:cs="Tahoma"/>
          <w:b/>
          <w:bCs/>
          <w:i/>
          <w:sz w:val="23"/>
          <w:szCs w:val="23"/>
          <w:lang w:val="es-ES"/>
        </w:rPr>
      </w:pPr>
      <w:r w:rsidRPr="00826251">
        <w:rPr>
          <w:rFonts w:ascii="Palatino Linotype" w:eastAsia="Calibri" w:hAnsi="Palatino Linotype" w:cs="Tahoma"/>
          <w:b/>
          <w:bCs/>
          <w:i/>
          <w:sz w:val="23"/>
          <w:szCs w:val="23"/>
          <w:lang w:val="es-ES"/>
        </w:rPr>
        <w:t>RAZONES O MOTIVOS DE LA INCONFORMIDAD</w:t>
      </w:r>
    </w:p>
    <w:p w:rsidR="00990C19" w:rsidRPr="00826251" w:rsidRDefault="00990C19" w:rsidP="00537B54">
      <w:pPr>
        <w:spacing w:before="240" w:after="240" w:line="240" w:lineRule="auto"/>
        <w:ind w:left="567" w:right="567"/>
        <w:jc w:val="both"/>
        <w:rPr>
          <w:rFonts w:ascii="Palatino Linotype" w:eastAsia="Calibri" w:hAnsi="Palatino Linotype" w:cs="Tahoma"/>
          <w:bCs/>
          <w:i/>
          <w:sz w:val="23"/>
          <w:szCs w:val="23"/>
          <w:lang w:val="es-ES"/>
        </w:rPr>
      </w:pPr>
      <w:r w:rsidRPr="00826251">
        <w:rPr>
          <w:rFonts w:ascii="Palatino Linotype" w:eastAsia="Calibri" w:hAnsi="Palatino Linotype" w:cs="Tahoma"/>
          <w:bCs/>
          <w:i/>
          <w:sz w:val="23"/>
          <w:szCs w:val="23"/>
          <w:lang w:val="es-ES"/>
        </w:rPr>
        <w:t>…</w:t>
      </w:r>
      <w:r w:rsidR="009235BD" w:rsidRPr="00826251">
        <w:rPr>
          <w:rFonts w:ascii="Palatino Linotype" w:eastAsia="Calibri" w:hAnsi="Palatino Linotype" w:cs="Tahoma"/>
          <w:bCs/>
          <w:i/>
          <w:sz w:val="23"/>
          <w:szCs w:val="23"/>
          <w:lang w:val="es-ES"/>
        </w:rPr>
        <w:t xml:space="preserve">se expresan los agravios que me causa la respuesta a la solicitud de información pública: Primero.- Tanto en el rubro "DESCRIPCIÓN CLARA Y PRECISA DE LA </w:t>
      </w:r>
      <w:r w:rsidR="009235BD" w:rsidRPr="00826251">
        <w:rPr>
          <w:rFonts w:ascii="Palatino Linotype" w:eastAsia="Calibri" w:hAnsi="Palatino Linotype" w:cs="Tahoma"/>
          <w:bCs/>
          <w:i/>
          <w:sz w:val="23"/>
          <w:szCs w:val="23"/>
          <w:lang w:val="es-ES"/>
        </w:rPr>
        <w:lastRenderedPageBreak/>
        <w:t xml:space="preserve">INFORMACIÓN SOLICITADA" como en el diverso "MODALIDAD DE ENTREGA" del formato de la solicitud, se señaló expresamente que se requerían copias certificadas, empero la titular de la unidad de transparencia correspondiente entrega al solicitante una digitalización de la versión pública de dos acuerdos, de los cinco solicitados. </w:t>
      </w:r>
    </w:p>
    <w:p w:rsidR="00990C19" w:rsidRPr="00826251" w:rsidRDefault="009235BD" w:rsidP="00537B54">
      <w:pPr>
        <w:spacing w:before="240" w:after="240" w:line="240" w:lineRule="auto"/>
        <w:ind w:left="567" w:right="567"/>
        <w:jc w:val="both"/>
        <w:rPr>
          <w:rFonts w:ascii="Palatino Linotype" w:eastAsia="Calibri" w:hAnsi="Palatino Linotype" w:cs="Tahoma"/>
          <w:bCs/>
          <w:i/>
          <w:sz w:val="23"/>
          <w:szCs w:val="23"/>
          <w:lang w:val="es-ES"/>
        </w:rPr>
      </w:pPr>
      <w:r w:rsidRPr="00826251">
        <w:rPr>
          <w:rFonts w:ascii="Palatino Linotype" w:eastAsia="Calibri" w:hAnsi="Palatino Linotype" w:cs="Tahoma"/>
          <w:bCs/>
          <w:i/>
          <w:sz w:val="23"/>
          <w:szCs w:val="23"/>
          <w:lang w:val="es-ES"/>
        </w:rPr>
        <w:t xml:space="preserve">Segundo.- La titular de la unidad de transparencia afirma: "[...] se remite el documento adjunto denominado Anexo, el cual contiene la versión pública del acuerdo de fecha 22/05/2014 (inicial), 18/09/2014 y 22/10/2014 [...]". Pongamos atención en la última fecha. El anexo únicamente contiene los acuerdos del veintidós de mayo y del dieciocho de septiembre de dos mil catorce, por lo que es MENTIRA que el archivo contenga el acuerdo del veintidós de octubre de 2014 como lo sostiene la servidor público mencionada. </w:t>
      </w:r>
    </w:p>
    <w:p w:rsidR="00990C19" w:rsidRPr="00826251" w:rsidRDefault="009235BD" w:rsidP="00537B54">
      <w:pPr>
        <w:spacing w:before="240" w:after="240" w:line="240" w:lineRule="auto"/>
        <w:ind w:left="567" w:right="567"/>
        <w:jc w:val="both"/>
        <w:rPr>
          <w:rFonts w:ascii="Palatino Linotype" w:eastAsia="Calibri" w:hAnsi="Palatino Linotype" w:cs="Tahoma"/>
          <w:bCs/>
          <w:i/>
          <w:sz w:val="23"/>
          <w:szCs w:val="23"/>
          <w:lang w:val="es-ES"/>
        </w:rPr>
      </w:pPr>
      <w:r w:rsidRPr="00826251">
        <w:rPr>
          <w:rFonts w:ascii="Palatino Linotype" w:eastAsia="Calibri" w:hAnsi="Palatino Linotype" w:cs="Tahoma"/>
          <w:bCs/>
          <w:i/>
          <w:sz w:val="23"/>
          <w:szCs w:val="23"/>
          <w:lang w:val="es-ES"/>
        </w:rPr>
        <w:t xml:space="preserve">Tercero.- La misma titular de transparencia sostiene: "[...] se informa que en relación con el acuerdo de fecha 22/05/2014, solamente se encuentra el acuerdo inicial [...]". Aquí me remito al resultado de la consulta del Boletín Judicial como prueba de existencia del acuerdo señalado; por lo que se ofrece como prueba la inspección judicial, misma que consistirá en que los comisionados del Instituto de Transparencia, Acceso a la Información Pública y Protección de Datos Personales del Estado de México y Municipios, por sí o por interpósitos servidores públicos, realicen una consulta ingresando los datos correspondientes en la siguiente dirección electrónica: </w:t>
      </w:r>
      <w:r w:rsidR="00990C19" w:rsidRPr="00826251">
        <w:rPr>
          <w:rFonts w:ascii="Palatino Linotype" w:eastAsia="Calibri" w:hAnsi="Palatino Linotype" w:cs="Tahoma"/>
          <w:bCs/>
          <w:i/>
          <w:sz w:val="23"/>
          <w:szCs w:val="23"/>
          <w:lang w:val="es-ES"/>
        </w:rPr>
        <w:t>http://web2.pjedomex.gob.mx/index.php?option=com_content&amp;view=article&amp;id=196</w:t>
      </w:r>
      <w:r w:rsidRPr="00826251">
        <w:rPr>
          <w:rFonts w:ascii="Palatino Linotype" w:eastAsia="Calibri" w:hAnsi="Palatino Linotype" w:cs="Tahoma"/>
          <w:bCs/>
          <w:i/>
          <w:sz w:val="23"/>
          <w:szCs w:val="23"/>
          <w:lang w:val="es-ES"/>
        </w:rPr>
        <w:t xml:space="preserve"> </w:t>
      </w:r>
    </w:p>
    <w:p w:rsidR="009235BD" w:rsidRPr="00826251" w:rsidRDefault="009235BD" w:rsidP="00537B54">
      <w:pPr>
        <w:spacing w:before="240" w:after="240" w:line="240" w:lineRule="auto"/>
        <w:ind w:left="567" w:right="567"/>
        <w:jc w:val="both"/>
        <w:rPr>
          <w:rFonts w:ascii="Palatino Linotype" w:eastAsia="Calibri" w:hAnsi="Palatino Linotype" w:cs="Tahoma"/>
          <w:bCs/>
          <w:i/>
          <w:sz w:val="23"/>
          <w:szCs w:val="23"/>
          <w:lang w:val="es-ES"/>
        </w:rPr>
      </w:pPr>
      <w:r w:rsidRPr="00826251">
        <w:rPr>
          <w:rFonts w:ascii="Palatino Linotype" w:eastAsia="Calibri" w:hAnsi="Palatino Linotype" w:cs="Tahoma"/>
          <w:bCs/>
          <w:i/>
          <w:sz w:val="23"/>
          <w:szCs w:val="23"/>
          <w:lang w:val="es-ES"/>
        </w:rPr>
        <w:t>Cuarto.- Finalmente, la titular de la unidad de transparencia asevera: "[...] y en relación al acuerdo de 29/09/2018, no existe auto de esa fecha [...]". También es mentira que se haya solicitado un acuerdo del veintinueve de septiembre de DOS MIL DIECIOCHO (fecha posterior a la presentación de la solicitud de información), lo que en realidad se solicitó, entre otros, fue el acuerdo del veintinueve de septiembre de DOS MIL QUINCE.”</w:t>
      </w:r>
    </w:p>
    <w:p w:rsidR="008B7AC1" w:rsidRPr="00826251" w:rsidRDefault="00990C19" w:rsidP="009235BD">
      <w:pPr>
        <w:spacing w:before="240" w:after="240" w:line="360" w:lineRule="auto"/>
        <w:jc w:val="both"/>
        <w:rPr>
          <w:rFonts w:ascii="Palatino Linotype" w:hAnsi="Palatino Linotype"/>
          <w:sz w:val="24"/>
          <w:szCs w:val="24"/>
        </w:rPr>
      </w:pPr>
      <w:r w:rsidRPr="00826251">
        <w:rPr>
          <w:rFonts w:ascii="Palatino Linotype" w:hAnsi="Palatino Linotype"/>
          <w:sz w:val="24"/>
          <w:szCs w:val="24"/>
        </w:rPr>
        <w:t xml:space="preserve">Por su parte el Sujeto Obligado, en el plazo de siete días hábiles previsto en la Ley de Transparencia y Acceso a la Información Pública del Estado de México y Municipios </w:t>
      </w:r>
      <w:r w:rsidRPr="00826251">
        <w:rPr>
          <w:rFonts w:ascii="Palatino Linotype" w:hAnsi="Palatino Linotype"/>
          <w:sz w:val="24"/>
          <w:szCs w:val="24"/>
        </w:rPr>
        <w:lastRenderedPageBreak/>
        <w:t xml:space="preserve">para manifestar lo que al derecho de las partes conviniera, en fecha cinco de noviembre de dos mil dieciocho, rindió Informe Justificado, no obstante, el </w:t>
      </w:r>
      <w:r w:rsidRPr="00826251">
        <w:rPr>
          <w:rFonts w:ascii="Palatino Linotype" w:hAnsi="Palatino Linotype" w:cs="Arial"/>
          <w:sz w:val="24"/>
          <w:szCs w:val="24"/>
        </w:rPr>
        <w:t>mismo que no fue puesto a la vista de la recurrente en virtud de que el archivo electrónico se encuentra dañado y por ende se desconoce su contenido.</w:t>
      </w:r>
    </w:p>
    <w:p w:rsidR="00CD6DC6" w:rsidRPr="00826251" w:rsidRDefault="00426125" w:rsidP="00CD6DC6">
      <w:pPr>
        <w:spacing w:before="240" w:after="240" w:line="360" w:lineRule="auto"/>
        <w:jc w:val="both"/>
        <w:rPr>
          <w:rFonts w:ascii="Palatino Linotype" w:hAnsi="Palatino Linotype"/>
          <w:sz w:val="24"/>
          <w:szCs w:val="24"/>
        </w:rPr>
      </w:pPr>
      <w:r w:rsidRPr="00826251">
        <w:rPr>
          <w:rFonts w:ascii="Palatino Linotype" w:hAnsi="Palatino Linotype"/>
          <w:sz w:val="24"/>
          <w:szCs w:val="24"/>
        </w:rPr>
        <w:t>Ahora bien,</w:t>
      </w:r>
      <w:r w:rsidR="00990C19" w:rsidRPr="00826251">
        <w:rPr>
          <w:rFonts w:ascii="Palatino Linotype" w:hAnsi="Palatino Linotype"/>
          <w:sz w:val="24"/>
          <w:szCs w:val="24"/>
        </w:rPr>
        <w:t xml:space="preserve"> dado que </w:t>
      </w:r>
      <w:r w:rsidR="00695A4C" w:rsidRPr="00826251">
        <w:rPr>
          <w:rFonts w:ascii="Palatino Linotype" w:hAnsi="Palatino Linotype"/>
          <w:sz w:val="24"/>
          <w:szCs w:val="24"/>
        </w:rPr>
        <w:t>l</w:t>
      </w:r>
      <w:r w:rsidR="00990C19" w:rsidRPr="00826251">
        <w:rPr>
          <w:rFonts w:ascii="Palatino Linotype" w:hAnsi="Palatino Linotype"/>
          <w:sz w:val="24"/>
          <w:szCs w:val="24"/>
        </w:rPr>
        <w:t>a</w:t>
      </w:r>
      <w:r w:rsidR="00695A4C" w:rsidRPr="00826251">
        <w:rPr>
          <w:rFonts w:ascii="Palatino Linotype" w:hAnsi="Palatino Linotype"/>
          <w:sz w:val="24"/>
          <w:szCs w:val="24"/>
        </w:rPr>
        <w:t xml:space="preserve"> recurrente pretende acceder a l</w:t>
      </w:r>
      <w:r w:rsidR="00990C19" w:rsidRPr="00826251">
        <w:rPr>
          <w:rFonts w:ascii="Palatino Linotype" w:hAnsi="Palatino Linotype"/>
          <w:sz w:val="24"/>
          <w:szCs w:val="24"/>
        </w:rPr>
        <w:t xml:space="preserve">os acuerdos </w:t>
      </w:r>
      <w:r w:rsidR="00695A4C" w:rsidRPr="00826251">
        <w:rPr>
          <w:rFonts w:ascii="Palatino Linotype" w:hAnsi="Palatino Linotype"/>
          <w:sz w:val="24"/>
          <w:szCs w:val="24"/>
        </w:rPr>
        <w:t xml:space="preserve">que obran en el expediente </w:t>
      </w:r>
      <w:r w:rsidR="00695A4C" w:rsidRPr="00826251">
        <w:rPr>
          <w:rFonts w:ascii="Palatino Linotype" w:eastAsia="Calibri" w:hAnsi="Palatino Linotype" w:cs="Arial"/>
          <w:sz w:val="24"/>
          <w:szCs w:val="24"/>
        </w:rPr>
        <w:t xml:space="preserve">radicado en el Juzgado </w:t>
      </w:r>
      <w:r w:rsidR="00990C19" w:rsidRPr="00826251">
        <w:rPr>
          <w:rFonts w:ascii="Palatino Linotype" w:eastAsia="Calibri" w:hAnsi="Palatino Linotype" w:cs="Arial"/>
          <w:sz w:val="24"/>
          <w:szCs w:val="24"/>
        </w:rPr>
        <w:t xml:space="preserve">Tercero </w:t>
      </w:r>
      <w:r w:rsidR="00695A4C" w:rsidRPr="00826251">
        <w:rPr>
          <w:rFonts w:ascii="Palatino Linotype" w:eastAsia="Calibri" w:hAnsi="Palatino Linotype" w:cs="Arial"/>
          <w:sz w:val="24"/>
          <w:szCs w:val="24"/>
        </w:rPr>
        <w:t>Familiar de Tlalnepantla</w:t>
      </w:r>
      <w:r w:rsidR="00695A4C" w:rsidRPr="00826251">
        <w:rPr>
          <w:rFonts w:ascii="Palatino Linotype" w:hAnsi="Palatino Linotype"/>
          <w:sz w:val="24"/>
          <w:szCs w:val="24"/>
        </w:rPr>
        <w:t xml:space="preserve"> referido a través de la solicitud, </w:t>
      </w:r>
      <w:r w:rsidR="00CD6DC6" w:rsidRPr="00826251">
        <w:rPr>
          <w:rFonts w:ascii="Palatino Linotype" w:hAnsi="Palatino Linotype"/>
          <w:sz w:val="24"/>
          <w:szCs w:val="24"/>
        </w:rPr>
        <w:t xml:space="preserve">resulta oportuno traer a colación </w:t>
      </w:r>
      <w:r w:rsidR="00CD6DC6" w:rsidRPr="00826251">
        <w:rPr>
          <w:rFonts w:ascii="Palatino Linotype" w:eastAsia="Calibri" w:hAnsi="Palatino Linotype" w:cs="Arial"/>
          <w:sz w:val="24"/>
          <w:szCs w:val="24"/>
          <w:lang w:val="es-ES"/>
        </w:rPr>
        <w:t xml:space="preserve">lo establecido en la obra propuesta por el Doctor José Ramón Cossío Díaz, Ministro de la Suprema Corte de Justicia de la Nación, intitulada </w:t>
      </w:r>
      <w:r w:rsidR="00CD6DC6" w:rsidRPr="00826251">
        <w:rPr>
          <w:rFonts w:ascii="Palatino Linotype" w:eastAsia="Calibri" w:hAnsi="Palatino Linotype" w:cs="Arial"/>
          <w:i/>
          <w:sz w:val="24"/>
          <w:szCs w:val="24"/>
          <w:lang w:val="es-ES"/>
        </w:rPr>
        <w:t>“La Transparencia y el Acceso a la Información en los Expedientes Judiciales”</w:t>
      </w:r>
      <w:r w:rsidR="00CD6DC6" w:rsidRPr="00826251">
        <w:rPr>
          <w:rFonts w:ascii="Palatino Linotype" w:eastAsia="Calibri" w:hAnsi="Palatino Linotype" w:cs="Arial"/>
          <w:sz w:val="24"/>
          <w:szCs w:val="24"/>
          <w:lang w:val="es-ES"/>
        </w:rPr>
        <w:t xml:space="preserve">, cuyo principal objetivo consiste en unificar y complementar los criterios emitidos por el Alto Tribunal y el entonces Instituto Federal de Acceso a la Información y Protección de Datos, organismo autónomo, en materia de transparencia, bajo la incertidumbre para proporcionar la información contenida en los expedientes judiciales ante la solicitud de los particulares, es decir, es una herramienta práctica que coadyuva en la tarea de atender el ejercicio de los derechos de acceso a la información y protección de datos, en la referida obra concretamente en el tema identificado con el numeral 47. </w:t>
      </w:r>
      <w:r w:rsidR="00CD6DC6" w:rsidRPr="00826251">
        <w:rPr>
          <w:rFonts w:ascii="Palatino Linotype" w:eastAsia="Calibri" w:hAnsi="Palatino Linotype" w:cs="Arial"/>
          <w:i/>
          <w:sz w:val="24"/>
          <w:szCs w:val="24"/>
          <w:lang w:val="es-ES"/>
        </w:rPr>
        <w:t>Acuerdo de Trámite</w:t>
      </w:r>
      <w:r w:rsidR="00CD6DC6" w:rsidRPr="00826251">
        <w:rPr>
          <w:rFonts w:ascii="Palatino Linotype" w:eastAsia="Calibri" w:hAnsi="Palatino Linotype" w:cs="Arial"/>
          <w:sz w:val="24"/>
          <w:szCs w:val="24"/>
          <w:lang w:val="es-ES"/>
        </w:rPr>
        <w:t xml:space="preserve">,  página 39, la cual establece que: </w:t>
      </w:r>
    </w:p>
    <w:p w:rsidR="00CD6DC6" w:rsidRPr="00826251" w:rsidRDefault="00CD6DC6" w:rsidP="00BB0E89">
      <w:pPr>
        <w:pStyle w:val="Prrafodelista"/>
        <w:spacing w:before="240" w:line="276" w:lineRule="auto"/>
        <w:ind w:right="990"/>
        <w:jc w:val="both"/>
        <w:rPr>
          <w:rFonts w:ascii="Palatino Linotype" w:hAnsi="Palatino Linotype"/>
          <w:i/>
          <w:sz w:val="22"/>
          <w:szCs w:val="22"/>
        </w:rPr>
      </w:pPr>
      <w:r w:rsidRPr="00826251">
        <w:rPr>
          <w:rFonts w:ascii="Palatino Linotype" w:hAnsi="Palatino Linotype"/>
          <w:i/>
          <w:sz w:val="22"/>
          <w:szCs w:val="22"/>
        </w:rPr>
        <w:t xml:space="preserve">“En materia procesal, es la resolución judicial que no implica un impulso u ordenación del procedimiento, por ejemplo aquella en donde se haga del conocimiento a las partes alguna certificación o constancia efectuada por el </w:t>
      </w:r>
      <w:r w:rsidRPr="00826251">
        <w:rPr>
          <w:rFonts w:ascii="Palatino Linotype" w:hAnsi="Palatino Linotype"/>
          <w:i/>
          <w:sz w:val="22"/>
          <w:szCs w:val="22"/>
        </w:rPr>
        <w:lastRenderedPageBreak/>
        <w:t>secretario de acuerdos, la aceptación de expedición de copias solicitadas por alguna de las partes del juicio.</w:t>
      </w:r>
    </w:p>
    <w:p w:rsidR="00BB0E89" w:rsidRPr="00826251" w:rsidRDefault="00BB0E89" w:rsidP="00BB0E89">
      <w:pPr>
        <w:pStyle w:val="Prrafodelista"/>
        <w:spacing w:before="240" w:line="276" w:lineRule="auto"/>
        <w:ind w:right="990"/>
        <w:jc w:val="both"/>
        <w:rPr>
          <w:rFonts w:ascii="Palatino Linotype" w:hAnsi="Palatino Linotype"/>
          <w:i/>
          <w:sz w:val="22"/>
          <w:szCs w:val="22"/>
        </w:rPr>
      </w:pPr>
    </w:p>
    <w:p w:rsidR="00CD6DC6" w:rsidRPr="00826251" w:rsidRDefault="00CD6DC6" w:rsidP="00BB0E89">
      <w:pPr>
        <w:pStyle w:val="Prrafodelista"/>
        <w:spacing w:before="240" w:line="276" w:lineRule="auto"/>
        <w:ind w:right="990"/>
        <w:jc w:val="both"/>
        <w:rPr>
          <w:rFonts w:ascii="Palatino Linotype" w:hAnsi="Palatino Linotype"/>
          <w:i/>
          <w:sz w:val="22"/>
          <w:szCs w:val="22"/>
        </w:rPr>
      </w:pPr>
      <w:r w:rsidRPr="00826251">
        <w:rPr>
          <w:rFonts w:ascii="Palatino Linotype" w:hAnsi="Palatino Linotype"/>
          <w:i/>
          <w:sz w:val="22"/>
          <w:szCs w:val="22"/>
        </w:rPr>
        <w:t xml:space="preserve">En materia de transparencia y acceso a la información, </w:t>
      </w:r>
      <w:r w:rsidRPr="00826251">
        <w:rPr>
          <w:rFonts w:ascii="Palatino Linotype" w:hAnsi="Palatino Linotype"/>
          <w:b/>
          <w:i/>
          <w:sz w:val="22"/>
          <w:szCs w:val="22"/>
        </w:rPr>
        <w:t xml:space="preserve">cualquier acuerdo dictado por el juzgador en un expediente judicial es, </w:t>
      </w:r>
      <w:r w:rsidRPr="00826251">
        <w:rPr>
          <w:rFonts w:ascii="Palatino Linotype" w:hAnsi="Palatino Linotype"/>
          <w:b/>
          <w:i/>
          <w:sz w:val="22"/>
          <w:szCs w:val="22"/>
          <w:u w:val="single"/>
        </w:rPr>
        <w:t>en principio, público</w:t>
      </w:r>
      <w:r w:rsidRPr="00826251">
        <w:rPr>
          <w:rFonts w:ascii="Palatino Linotype" w:hAnsi="Palatino Linotype"/>
          <w:b/>
          <w:i/>
          <w:sz w:val="22"/>
          <w:szCs w:val="22"/>
        </w:rPr>
        <w:t>,</w:t>
      </w:r>
      <w:r w:rsidRPr="00826251">
        <w:rPr>
          <w:rFonts w:ascii="Palatino Linotype" w:hAnsi="Palatino Linotype"/>
          <w:i/>
          <w:sz w:val="22"/>
          <w:szCs w:val="22"/>
        </w:rPr>
        <w:t xml:space="preserve"> </w:t>
      </w:r>
      <w:r w:rsidRPr="00826251">
        <w:rPr>
          <w:rFonts w:ascii="Palatino Linotype" w:hAnsi="Palatino Linotype"/>
          <w:b/>
          <w:i/>
          <w:sz w:val="22"/>
          <w:szCs w:val="22"/>
        </w:rPr>
        <w:t>más aún en el caso de acuerdos de mero trámite que no se pronuncian sobre los derechos de las partes o el fondo del asunto.</w:t>
      </w:r>
      <w:r w:rsidRPr="00826251">
        <w:rPr>
          <w:rFonts w:ascii="Palatino Linotype" w:hAnsi="Palatino Linotype"/>
          <w:i/>
          <w:sz w:val="22"/>
          <w:szCs w:val="22"/>
        </w:rPr>
        <w:t xml:space="preserve"> No obstante</w:t>
      </w:r>
      <w:r w:rsidRPr="00826251">
        <w:rPr>
          <w:rFonts w:ascii="Palatino Linotype" w:hAnsi="Palatino Linotype"/>
          <w:b/>
          <w:i/>
          <w:sz w:val="22"/>
          <w:szCs w:val="22"/>
        </w:rPr>
        <w:t>, es plausible que se actualice alguna causal de reserva por el daño que pudiera ocasionarse al interés público con la divulgación de lo solicitado</w:t>
      </w:r>
      <w:r w:rsidRPr="00826251">
        <w:rPr>
          <w:rFonts w:ascii="Palatino Linotype" w:hAnsi="Palatino Linotype"/>
          <w:i/>
          <w:sz w:val="22"/>
          <w:szCs w:val="22"/>
        </w:rPr>
        <w:t>.</w:t>
      </w:r>
    </w:p>
    <w:p w:rsidR="00CD6DC6" w:rsidRPr="00826251" w:rsidRDefault="00CD6DC6" w:rsidP="00BB0E89">
      <w:pPr>
        <w:pStyle w:val="Prrafodelista"/>
        <w:spacing w:before="240" w:line="276" w:lineRule="auto"/>
        <w:ind w:right="990"/>
        <w:jc w:val="both"/>
        <w:rPr>
          <w:rFonts w:ascii="Palatino Linotype" w:hAnsi="Palatino Linotype"/>
          <w:i/>
          <w:sz w:val="22"/>
          <w:szCs w:val="22"/>
        </w:rPr>
      </w:pPr>
    </w:p>
    <w:p w:rsidR="00CD6DC6" w:rsidRPr="00826251" w:rsidRDefault="00CD6DC6" w:rsidP="00BB0E89">
      <w:pPr>
        <w:pStyle w:val="Prrafodelista"/>
        <w:spacing w:before="240" w:line="276" w:lineRule="auto"/>
        <w:ind w:right="990"/>
        <w:jc w:val="both"/>
        <w:rPr>
          <w:rFonts w:ascii="Palatino Linotype" w:hAnsi="Palatino Linotype"/>
          <w:i/>
          <w:sz w:val="22"/>
          <w:szCs w:val="22"/>
        </w:rPr>
      </w:pPr>
      <w:r w:rsidRPr="00826251">
        <w:rPr>
          <w:rFonts w:ascii="Palatino Linotype" w:hAnsi="Palatino Linotype"/>
          <w:i/>
          <w:sz w:val="22"/>
          <w:szCs w:val="22"/>
        </w:rPr>
        <w:t xml:space="preserve">En consecuencia, </w:t>
      </w:r>
      <w:r w:rsidRPr="00826251">
        <w:rPr>
          <w:rFonts w:ascii="Palatino Linotype" w:hAnsi="Palatino Linotype"/>
          <w:b/>
          <w:i/>
          <w:sz w:val="22"/>
          <w:szCs w:val="22"/>
        </w:rPr>
        <w:t>deben analizarse las hipótesis normativas</w:t>
      </w:r>
      <w:r w:rsidRPr="00826251">
        <w:rPr>
          <w:rFonts w:ascii="Palatino Linotype" w:hAnsi="Palatino Linotype"/>
          <w:i/>
          <w:sz w:val="22"/>
          <w:szCs w:val="22"/>
        </w:rPr>
        <w:t xml:space="preserve"> previstas en los artículos 13 y 14 de la Ley de la materia. </w:t>
      </w:r>
      <w:r w:rsidRPr="00826251">
        <w:rPr>
          <w:rFonts w:ascii="Palatino Linotype" w:hAnsi="Palatino Linotype"/>
          <w:b/>
          <w:i/>
          <w:sz w:val="22"/>
          <w:szCs w:val="22"/>
        </w:rPr>
        <w:t>En todos los casos, las actuaciones judiciales admiten ser divulgadas en versión pública, en las que se suprime la información confidencial o reservada y los datos personales que obren en el documento solicitado</w:t>
      </w:r>
      <w:r w:rsidRPr="00826251">
        <w:rPr>
          <w:rFonts w:ascii="Palatino Linotype" w:hAnsi="Palatino Linotype"/>
          <w:i/>
          <w:sz w:val="22"/>
          <w:szCs w:val="22"/>
        </w:rPr>
        <w:t>, pues las partes en el juicio tienen derecho a oponerse a la publicación de los mismos. Aún sin dicha oposición, es obligación del órgano jurisdiccional no divulgar información sensible que pudiera contener la documentación requerida.”</w:t>
      </w:r>
    </w:p>
    <w:p w:rsidR="00CD6DC6" w:rsidRPr="00826251" w:rsidRDefault="00CD6DC6" w:rsidP="00CD6DC6">
      <w:pPr>
        <w:pStyle w:val="Prrafodelista"/>
        <w:spacing w:before="240"/>
        <w:jc w:val="both"/>
        <w:rPr>
          <w:rFonts w:ascii="Palatino Linotype" w:hAnsi="Palatino Linotype"/>
          <w:i/>
          <w:sz w:val="22"/>
          <w:szCs w:val="22"/>
        </w:rPr>
      </w:pPr>
    </w:p>
    <w:p w:rsidR="00843E05" w:rsidRPr="00826251" w:rsidRDefault="00843E05" w:rsidP="009235BD">
      <w:pPr>
        <w:spacing w:before="240" w:after="240" w:line="360" w:lineRule="auto"/>
        <w:jc w:val="both"/>
        <w:rPr>
          <w:rFonts w:ascii="Palatino Linotype" w:hAnsi="Palatino Linotype"/>
          <w:sz w:val="24"/>
          <w:szCs w:val="24"/>
        </w:rPr>
      </w:pPr>
      <w:r w:rsidRPr="00826251">
        <w:rPr>
          <w:rFonts w:ascii="Palatino Linotype" w:hAnsi="Palatino Linotype"/>
          <w:sz w:val="24"/>
          <w:szCs w:val="24"/>
        </w:rPr>
        <w:t xml:space="preserve">En este contexto, </w:t>
      </w:r>
      <w:r w:rsidR="00EC2921" w:rsidRPr="00826251">
        <w:rPr>
          <w:rFonts w:ascii="Palatino Linotype" w:hAnsi="Palatino Linotype"/>
          <w:sz w:val="24"/>
          <w:szCs w:val="24"/>
        </w:rPr>
        <w:t>si bien</w:t>
      </w:r>
      <w:r w:rsidR="00BB0E89" w:rsidRPr="00826251">
        <w:rPr>
          <w:rFonts w:ascii="Palatino Linotype" w:hAnsi="Palatino Linotype"/>
          <w:sz w:val="24"/>
          <w:szCs w:val="24"/>
        </w:rPr>
        <w:t xml:space="preserve"> se considera que</w:t>
      </w:r>
      <w:r w:rsidR="00EC2921" w:rsidRPr="00826251">
        <w:rPr>
          <w:rFonts w:ascii="Palatino Linotype" w:hAnsi="Palatino Linotype"/>
          <w:sz w:val="24"/>
          <w:szCs w:val="24"/>
        </w:rPr>
        <w:t xml:space="preserve"> los acuerdos dictados en un expediente judicial, tienen el carácter de información pública, en virtud de que su naturaleza no implica un impulso u ordenación del procedimiento,  aunado al hecho de que al ser acuerdos de mero trámite no se pronuncian sobre los derechos de las partes o el fondo el asunto,</w:t>
      </w:r>
      <w:r w:rsidR="00BB0E89" w:rsidRPr="00826251">
        <w:rPr>
          <w:rFonts w:ascii="Palatino Linotype" w:hAnsi="Palatino Linotype"/>
          <w:sz w:val="24"/>
          <w:szCs w:val="24"/>
        </w:rPr>
        <w:t xml:space="preserve"> no debe perderse de vista que es obligación del órgano jurisdiccional no divulgar información sensible que pudiera contener la documentación requerida y el daño que pudiera ocasionarse al interés público con su publicación, por tal motivo, las actuaciones judiciales únicamente deben difundirse en versión pública.  </w:t>
      </w:r>
    </w:p>
    <w:p w:rsidR="001E6166" w:rsidRPr="00826251" w:rsidRDefault="00BB0E89" w:rsidP="009235BD">
      <w:pPr>
        <w:spacing w:before="240" w:after="240" w:line="360" w:lineRule="auto"/>
        <w:jc w:val="both"/>
        <w:rPr>
          <w:rFonts w:ascii="Palatino Linotype" w:hAnsi="Palatino Linotype"/>
          <w:sz w:val="24"/>
          <w:szCs w:val="24"/>
        </w:rPr>
      </w:pPr>
      <w:r w:rsidRPr="00826251">
        <w:rPr>
          <w:rFonts w:ascii="Palatino Linotype" w:hAnsi="Palatino Linotype"/>
          <w:sz w:val="24"/>
          <w:szCs w:val="24"/>
        </w:rPr>
        <w:lastRenderedPageBreak/>
        <w:t>Sin contrariar lo anterior</w:t>
      </w:r>
      <w:r w:rsidR="001E6166" w:rsidRPr="00826251">
        <w:rPr>
          <w:rFonts w:ascii="Palatino Linotype" w:hAnsi="Palatino Linotype"/>
          <w:sz w:val="24"/>
          <w:szCs w:val="24"/>
        </w:rPr>
        <w:t xml:space="preserve">, se precisa que si bien el número de juicios y el número de expediente promovidos en los órganos jurisdiccionales no constituyen información que </w:t>
      </w:r>
      <w:r w:rsidR="00C92F77" w:rsidRPr="00826251">
        <w:rPr>
          <w:rFonts w:ascii="Palatino Linotype" w:hAnsi="Palatino Linotype"/>
          <w:sz w:val="24"/>
          <w:szCs w:val="24"/>
        </w:rPr>
        <w:t>actualice el supuesto de datos personales, previsto en los artículos  3 fracción IX</w:t>
      </w:r>
      <w:r w:rsidR="00C92F77" w:rsidRPr="00826251">
        <w:rPr>
          <w:rStyle w:val="Refdenotaalpie"/>
          <w:rFonts w:ascii="Palatino Linotype" w:hAnsi="Palatino Linotype"/>
          <w:sz w:val="24"/>
          <w:szCs w:val="24"/>
        </w:rPr>
        <w:footnoteReference w:id="1"/>
      </w:r>
      <w:r w:rsidR="00C92F77" w:rsidRPr="00826251">
        <w:rPr>
          <w:rFonts w:ascii="Palatino Linotype" w:hAnsi="Palatino Linotype"/>
          <w:sz w:val="24"/>
          <w:szCs w:val="24"/>
        </w:rPr>
        <w:t xml:space="preserve"> y 143 fracción I</w:t>
      </w:r>
      <w:r w:rsidR="00C92F77" w:rsidRPr="00826251">
        <w:rPr>
          <w:rStyle w:val="Refdenotaalpie"/>
          <w:rFonts w:ascii="Palatino Linotype" w:hAnsi="Palatino Linotype"/>
          <w:sz w:val="24"/>
          <w:szCs w:val="24"/>
        </w:rPr>
        <w:footnoteReference w:id="2"/>
      </w:r>
      <w:r w:rsidR="00C92F77" w:rsidRPr="00826251">
        <w:rPr>
          <w:rFonts w:ascii="Palatino Linotype" w:hAnsi="Palatino Linotype"/>
          <w:sz w:val="24"/>
          <w:szCs w:val="24"/>
        </w:rPr>
        <w:t xml:space="preserve"> de la Ley de Transparencia y Acceso a la Información Pública del Estado de México y Municipios, </w:t>
      </w:r>
      <w:r w:rsidR="001E6166" w:rsidRPr="00826251">
        <w:rPr>
          <w:rFonts w:ascii="Palatino Linotype" w:hAnsi="Palatino Linotype"/>
          <w:sz w:val="24"/>
          <w:szCs w:val="24"/>
        </w:rPr>
        <w:t xml:space="preserve">lo cierto es que al relacionarse con </w:t>
      </w:r>
      <w:r w:rsidR="00187EA7" w:rsidRPr="00826251">
        <w:rPr>
          <w:rFonts w:ascii="Palatino Linotype" w:hAnsi="Palatino Linotype"/>
          <w:sz w:val="24"/>
          <w:szCs w:val="24"/>
        </w:rPr>
        <w:t>el nombre de la persona física que promovió dichos juicios, se considera</w:t>
      </w:r>
      <w:r w:rsidR="001E6166" w:rsidRPr="00826251">
        <w:rPr>
          <w:rFonts w:ascii="Palatino Linotype" w:hAnsi="Palatino Linotype"/>
          <w:sz w:val="24"/>
          <w:szCs w:val="24"/>
        </w:rPr>
        <w:t xml:space="preserve"> de carácter confidencial, al ser un dato que vincula a una persona identificada con asuntos de naturaleza penal y/o civil, cuya utilización indebida pudiera ocasionar una afectación en su esfera íntima, vida pri</w:t>
      </w:r>
      <w:r w:rsidR="00187EA7" w:rsidRPr="00826251">
        <w:rPr>
          <w:rFonts w:ascii="Palatino Linotype" w:hAnsi="Palatino Linotype"/>
          <w:sz w:val="24"/>
          <w:szCs w:val="24"/>
        </w:rPr>
        <w:t>vada, o cualquier otra análoga</w:t>
      </w:r>
      <w:r w:rsidR="001E6166" w:rsidRPr="00826251">
        <w:rPr>
          <w:rFonts w:ascii="Palatino Linotype" w:hAnsi="Palatino Linotype"/>
          <w:sz w:val="24"/>
          <w:szCs w:val="24"/>
        </w:rPr>
        <w:t>, por lo que, es indispensable que se cuente con la manifestación expresa del titular de los datos, en caso contrario no debe otorgarse el acceso a dicha información.</w:t>
      </w:r>
    </w:p>
    <w:p w:rsidR="00187EA7" w:rsidRPr="00826251" w:rsidRDefault="00187EA7" w:rsidP="009235BD">
      <w:pPr>
        <w:spacing w:before="240" w:after="240" w:line="360" w:lineRule="auto"/>
        <w:jc w:val="both"/>
        <w:rPr>
          <w:rFonts w:ascii="Palatino Linotype" w:hAnsi="Palatino Linotype"/>
          <w:sz w:val="24"/>
          <w:szCs w:val="24"/>
        </w:rPr>
      </w:pPr>
      <w:r w:rsidRPr="00826251">
        <w:rPr>
          <w:rFonts w:ascii="Palatino Linotype" w:hAnsi="Palatino Linotype"/>
          <w:sz w:val="24"/>
          <w:szCs w:val="24"/>
        </w:rPr>
        <w:t>Lo anterior encuentra sustento a través del Criterio 3/2011 emitido por el Comité de Acceso a la Información y Protección de Datos Personales del Consejo de la Judicatura Federal, que es del tenor literal siguiente:</w:t>
      </w:r>
    </w:p>
    <w:p w:rsidR="00187EA7" w:rsidRPr="00826251" w:rsidRDefault="00187EA7" w:rsidP="00BB0E89">
      <w:pPr>
        <w:spacing w:before="240" w:after="240" w:line="276" w:lineRule="auto"/>
        <w:ind w:left="851" w:right="992"/>
        <w:jc w:val="both"/>
        <w:rPr>
          <w:rFonts w:ascii="Palatino Linotype" w:hAnsi="Palatino Linotype"/>
          <w:b/>
          <w:i/>
          <w:sz w:val="23"/>
          <w:szCs w:val="23"/>
        </w:rPr>
      </w:pPr>
      <w:r w:rsidRPr="00826251">
        <w:rPr>
          <w:rFonts w:ascii="Palatino Linotype" w:hAnsi="Palatino Linotype"/>
          <w:b/>
          <w:i/>
          <w:sz w:val="23"/>
          <w:szCs w:val="23"/>
        </w:rPr>
        <w:t xml:space="preserve">“INFORMACIÓN CONFIDENCIAL. SI EN LA SOLICITUD SE INDICA EL NOMBRE, DENOMINACIÓN O RAZÓN SOCIAL DE UNA PERSONA FÍSICA O MORAL EN PARTICULAR, A FIN DE </w:t>
      </w:r>
      <w:r w:rsidRPr="00826251">
        <w:rPr>
          <w:rFonts w:ascii="Palatino Linotype" w:hAnsi="Palatino Linotype"/>
          <w:b/>
          <w:i/>
          <w:sz w:val="23"/>
          <w:szCs w:val="23"/>
        </w:rPr>
        <w:lastRenderedPageBreak/>
        <w:t>CONOCER LOS JUICIOS PROMOVIDOS POR ÉSTA, LOS DATOS RELATIVOS SE CLASIFICAN COMO</w:t>
      </w:r>
    </w:p>
    <w:p w:rsidR="00187EA7" w:rsidRPr="00826251" w:rsidRDefault="00187EA7" w:rsidP="00BB0E89">
      <w:pPr>
        <w:spacing w:before="240" w:after="240" w:line="276" w:lineRule="auto"/>
        <w:ind w:left="851" w:right="992"/>
        <w:jc w:val="both"/>
        <w:rPr>
          <w:rFonts w:ascii="Palatino Linotype" w:hAnsi="Palatino Linotype"/>
          <w:i/>
          <w:sz w:val="23"/>
          <w:szCs w:val="23"/>
        </w:rPr>
      </w:pPr>
      <w:r w:rsidRPr="00826251">
        <w:rPr>
          <w:rFonts w:ascii="Palatino Linotype" w:hAnsi="Palatino Linotype"/>
          <w:i/>
          <w:sz w:val="23"/>
          <w:szCs w:val="23"/>
        </w:rPr>
        <w:t xml:space="preserve">Si bien el número de juicios y el del expediente promovidos en los órganos jurisdiccionales no constituyen información que se ubique en las hipótesis previstas en los artículos 3, fracción II, y 18, fracción II, de la Ley Federal de Transparencia y Acceso a la Información Pública Gubernamental, así como el diverso 49 del Acuerdo General 84/2008 emitido por el Pleno del Consejo de la Judicatura Federal, que establece las atribuciones de los órganos en materia de transparencia, así como los procedimientos de acceso a la información pública y protección de datos personales, lo cierto es </w:t>
      </w:r>
      <w:r w:rsidRPr="00826251">
        <w:rPr>
          <w:rFonts w:ascii="Palatino Linotype" w:hAnsi="Palatino Linotype"/>
          <w:b/>
          <w:i/>
          <w:sz w:val="23"/>
          <w:szCs w:val="23"/>
        </w:rPr>
        <w:t>que al relacionarse con el nombre de la persona física, o la denominación o razón social de la persona moral que promovió dichos juicios, es de carácter confidencial, al ser un dato que vincula a una persona identificada con asuntos de naturaleza penal y/o civil, cuya utilización indebida pudiera ocasionar una afectación en su esfera íntima, vida privada, o cualquier otra análoga,</w:t>
      </w:r>
      <w:r w:rsidRPr="00826251">
        <w:rPr>
          <w:rFonts w:ascii="Palatino Linotype" w:hAnsi="Palatino Linotype"/>
          <w:i/>
          <w:sz w:val="23"/>
          <w:szCs w:val="23"/>
        </w:rPr>
        <w:t xml:space="preserve"> máxime que no se refiere a información estadística de interés general o científico, sino a procedimientos jurisdiccionales seguidos en forma de juicio que inciden en la esfera jurídica de la persona, por lo que, es indispensable que se cuente con la manifestación expresa del titular de los datos, en caso contrario no debe otorgarse el acceso a dicha información.”</w:t>
      </w:r>
    </w:p>
    <w:p w:rsidR="001E6166" w:rsidRPr="00826251" w:rsidRDefault="001E6166" w:rsidP="001E6166">
      <w:pPr>
        <w:spacing w:before="240" w:after="240" w:line="360" w:lineRule="auto"/>
        <w:jc w:val="both"/>
        <w:rPr>
          <w:rFonts w:ascii="Palatino Linotype" w:hAnsi="Palatino Linotype"/>
          <w:i/>
        </w:rPr>
      </w:pPr>
      <w:r w:rsidRPr="00826251">
        <w:rPr>
          <w:rFonts w:ascii="Palatino Linotype" w:hAnsi="Palatino Linotype"/>
          <w:sz w:val="24"/>
          <w:szCs w:val="24"/>
        </w:rPr>
        <w:t>Bajo este tenor, se considera que la recurrente necesariamente debe acudir al juzgado a efecto de solicitar copias certificadas del expediente, en razón de la obligación que tienen los sujetos obligados de preservar los datos personales</w:t>
      </w:r>
      <w:r w:rsidR="00BB0E89" w:rsidRPr="00826251">
        <w:rPr>
          <w:rFonts w:ascii="Palatino Linotype" w:hAnsi="Palatino Linotype"/>
          <w:sz w:val="24"/>
          <w:szCs w:val="24"/>
        </w:rPr>
        <w:t xml:space="preserve"> de las partes</w:t>
      </w:r>
      <w:r w:rsidRPr="00826251">
        <w:rPr>
          <w:rFonts w:ascii="Palatino Linotype" w:hAnsi="Palatino Linotype"/>
          <w:sz w:val="24"/>
          <w:szCs w:val="24"/>
        </w:rPr>
        <w:t>, así como actuaciones que de acuerdo a su naturaleza se consideren restringidas o que no sean accesibles para todas las partes, permitiendo en consecuencia un acceso parcial al expediente o solo a la parte que le concierne al interesado.</w:t>
      </w:r>
    </w:p>
    <w:p w:rsidR="001E6166" w:rsidRPr="00826251" w:rsidRDefault="001E6166" w:rsidP="001E6166">
      <w:pPr>
        <w:spacing w:before="240" w:after="240" w:line="360" w:lineRule="auto"/>
        <w:jc w:val="both"/>
        <w:rPr>
          <w:rFonts w:ascii="Palatino Linotype" w:hAnsi="Palatino Linotype"/>
          <w:sz w:val="24"/>
          <w:szCs w:val="24"/>
        </w:rPr>
      </w:pPr>
      <w:r w:rsidRPr="00826251">
        <w:rPr>
          <w:rFonts w:ascii="Palatino Linotype" w:hAnsi="Palatino Linotype"/>
          <w:sz w:val="24"/>
          <w:szCs w:val="24"/>
        </w:rPr>
        <w:lastRenderedPageBreak/>
        <w:t>Lo anterior se indica así puesto que dentro de las leyes procesales del Estado, se contempla como derecho de las partes el poder consultar un expediente, de solicitar copias respecto de las constancias que obren en el mismo, ya sean simples o certificadas, como se observa de la transcripción que se hace de los dispositivos de algunos de las leyes procesales del Estado,  a saber:</w:t>
      </w:r>
    </w:p>
    <w:p w:rsidR="001E6166" w:rsidRPr="00826251" w:rsidRDefault="001E6166" w:rsidP="00BB0E89">
      <w:pPr>
        <w:spacing w:before="240" w:after="240" w:line="276" w:lineRule="auto"/>
        <w:ind w:left="851" w:right="992"/>
        <w:jc w:val="both"/>
        <w:rPr>
          <w:rFonts w:ascii="Palatino Linotype" w:hAnsi="Palatino Linotype"/>
          <w:b/>
          <w:sz w:val="23"/>
          <w:szCs w:val="23"/>
          <w:u w:val="single"/>
        </w:rPr>
      </w:pPr>
      <w:r w:rsidRPr="00826251">
        <w:rPr>
          <w:rFonts w:ascii="Palatino Linotype" w:hAnsi="Palatino Linotype"/>
          <w:b/>
          <w:sz w:val="23"/>
          <w:szCs w:val="23"/>
          <w:u w:val="single"/>
        </w:rPr>
        <w:t>Código de Procedimientos Civiles del Estado de México.</w:t>
      </w:r>
    </w:p>
    <w:p w:rsidR="001E6166" w:rsidRPr="00826251" w:rsidRDefault="001E6166" w:rsidP="00BB0E89">
      <w:pPr>
        <w:spacing w:before="240" w:after="240" w:line="276" w:lineRule="auto"/>
        <w:ind w:left="851" w:right="992"/>
        <w:jc w:val="both"/>
        <w:rPr>
          <w:rFonts w:ascii="Palatino Linotype" w:hAnsi="Palatino Linotype"/>
          <w:i/>
          <w:sz w:val="23"/>
          <w:szCs w:val="23"/>
        </w:rPr>
      </w:pPr>
      <w:r w:rsidRPr="00826251">
        <w:rPr>
          <w:rFonts w:ascii="Palatino Linotype" w:hAnsi="Palatino Linotype"/>
          <w:b/>
          <w:i/>
          <w:sz w:val="23"/>
          <w:szCs w:val="23"/>
        </w:rPr>
        <w:t>“Artículo 1.119</w:t>
      </w:r>
      <w:r w:rsidRPr="00826251">
        <w:rPr>
          <w:rFonts w:ascii="Palatino Linotype" w:hAnsi="Palatino Linotype"/>
          <w:i/>
          <w:sz w:val="23"/>
          <w:szCs w:val="23"/>
        </w:rPr>
        <w:t>.- (…)</w:t>
      </w:r>
    </w:p>
    <w:p w:rsidR="001E6166" w:rsidRPr="00826251" w:rsidRDefault="001E6166" w:rsidP="00BB0E89">
      <w:pPr>
        <w:spacing w:before="240" w:after="240" w:line="276" w:lineRule="auto"/>
        <w:ind w:left="851" w:right="992"/>
        <w:jc w:val="both"/>
        <w:rPr>
          <w:rFonts w:ascii="Palatino Linotype" w:hAnsi="Palatino Linotype"/>
          <w:i/>
          <w:sz w:val="23"/>
          <w:szCs w:val="23"/>
        </w:rPr>
      </w:pPr>
      <w:r w:rsidRPr="00826251">
        <w:rPr>
          <w:rFonts w:ascii="Palatino Linotype" w:hAnsi="Palatino Linotype"/>
          <w:i/>
          <w:sz w:val="23"/>
          <w:szCs w:val="23"/>
        </w:rPr>
        <w:t xml:space="preserve">En la oficialía de partes común se digitalizarán las demandas y los documentos base de la acción y, en su oportunidad, se integrarán </w:t>
      </w:r>
      <w:r w:rsidRPr="00826251">
        <w:rPr>
          <w:rFonts w:ascii="Palatino Linotype" w:hAnsi="Palatino Linotype"/>
          <w:b/>
          <w:i/>
          <w:sz w:val="23"/>
          <w:szCs w:val="23"/>
        </w:rPr>
        <w:t>al expediente electrónico respectivo, para su consulta</w:t>
      </w:r>
      <w:r w:rsidRPr="00826251">
        <w:rPr>
          <w:rFonts w:ascii="Palatino Linotype" w:hAnsi="Palatino Linotype"/>
          <w:i/>
          <w:sz w:val="23"/>
          <w:szCs w:val="23"/>
        </w:rPr>
        <w:t xml:space="preserve">, </w:t>
      </w:r>
      <w:r w:rsidRPr="00826251">
        <w:rPr>
          <w:rFonts w:ascii="Palatino Linotype" w:hAnsi="Palatino Linotype"/>
          <w:b/>
          <w:i/>
          <w:sz w:val="23"/>
          <w:szCs w:val="23"/>
        </w:rPr>
        <w:t xml:space="preserve">por quienes hayan sido autorizados para ello, </w:t>
      </w:r>
      <w:r w:rsidRPr="00826251">
        <w:rPr>
          <w:rFonts w:ascii="Palatino Linotype" w:hAnsi="Palatino Linotype"/>
          <w:i/>
          <w:sz w:val="23"/>
          <w:szCs w:val="23"/>
        </w:rPr>
        <w:t>conforme a la regulación que para tal efecto emita el Consejo de la Judicatura del Estado, remitiéndose inmediatamente al juzgado en turno, quien acusará el correspondiente recibo.”</w:t>
      </w:r>
    </w:p>
    <w:p w:rsidR="001E6166" w:rsidRPr="00826251" w:rsidRDefault="001E6166" w:rsidP="00BB0E89">
      <w:pPr>
        <w:spacing w:before="240" w:after="240" w:line="276" w:lineRule="auto"/>
        <w:ind w:left="851" w:right="992"/>
        <w:jc w:val="both"/>
        <w:rPr>
          <w:rFonts w:ascii="Palatino Linotype" w:hAnsi="Palatino Linotype"/>
          <w:i/>
          <w:sz w:val="23"/>
          <w:szCs w:val="23"/>
        </w:rPr>
      </w:pPr>
      <w:r w:rsidRPr="00826251">
        <w:rPr>
          <w:rFonts w:ascii="Palatino Linotype" w:hAnsi="Palatino Linotype"/>
          <w:b/>
          <w:i/>
          <w:sz w:val="23"/>
          <w:szCs w:val="23"/>
        </w:rPr>
        <w:t>“Artículo 1.130</w:t>
      </w:r>
      <w:r w:rsidRPr="00826251">
        <w:rPr>
          <w:rFonts w:ascii="Palatino Linotype" w:hAnsi="Palatino Linotype"/>
          <w:i/>
          <w:sz w:val="23"/>
          <w:szCs w:val="23"/>
        </w:rPr>
        <w:t>. (…)</w:t>
      </w:r>
    </w:p>
    <w:p w:rsidR="001E6166" w:rsidRPr="00826251" w:rsidRDefault="001E6166" w:rsidP="00BB0E89">
      <w:pPr>
        <w:spacing w:before="240" w:after="240" w:line="276" w:lineRule="auto"/>
        <w:ind w:left="851" w:right="992"/>
        <w:jc w:val="both"/>
        <w:rPr>
          <w:rFonts w:ascii="Palatino Linotype" w:hAnsi="Palatino Linotype"/>
          <w:i/>
          <w:sz w:val="23"/>
          <w:szCs w:val="23"/>
        </w:rPr>
      </w:pPr>
      <w:r w:rsidRPr="00826251">
        <w:rPr>
          <w:rFonts w:ascii="Palatino Linotype" w:hAnsi="Palatino Linotype"/>
          <w:b/>
          <w:i/>
          <w:sz w:val="23"/>
          <w:szCs w:val="23"/>
        </w:rPr>
        <w:t>Los documentos que obren en el expediente digital, podrán descargarse e imprimirse por cualquiera de las partes y tendrán el carácter de copias certificadas si cuentan con la cadena de Firma Electrónica Avanzada del Secretario o el Sello Electrónico respectivo</w:t>
      </w:r>
      <w:r w:rsidRPr="00826251">
        <w:rPr>
          <w:rFonts w:ascii="Palatino Linotype" w:hAnsi="Palatino Linotype"/>
          <w:i/>
          <w:sz w:val="23"/>
          <w:szCs w:val="23"/>
        </w:rPr>
        <w:t>.”</w:t>
      </w:r>
    </w:p>
    <w:p w:rsidR="001E6166" w:rsidRPr="00826251" w:rsidRDefault="001E6166" w:rsidP="00BB0E89">
      <w:pPr>
        <w:spacing w:before="240" w:after="240" w:line="276" w:lineRule="auto"/>
        <w:ind w:left="851" w:right="992"/>
        <w:jc w:val="both"/>
        <w:rPr>
          <w:rFonts w:ascii="Palatino Linotype" w:hAnsi="Palatino Linotype"/>
          <w:b/>
          <w:i/>
          <w:sz w:val="23"/>
          <w:szCs w:val="23"/>
        </w:rPr>
      </w:pPr>
      <w:r w:rsidRPr="00826251">
        <w:rPr>
          <w:rFonts w:ascii="Palatino Linotype" w:hAnsi="Palatino Linotype"/>
          <w:b/>
          <w:i/>
          <w:sz w:val="23"/>
          <w:szCs w:val="23"/>
        </w:rPr>
        <w:t>“Artículo 1.131.- Cuando una de las partes solicite copias certificadas de todo lo actuado en un expediente, se expedirán sin más trámite, a su costa.”</w:t>
      </w:r>
    </w:p>
    <w:p w:rsidR="001E6166" w:rsidRPr="00826251" w:rsidRDefault="001E6166" w:rsidP="00BB0E89">
      <w:pPr>
        <w:spacing w:before="240" w:after="240" w:line="276" w:lineRule="auto"/>
        <w:ind w:left="851" w:right="992"/>
        <w:jc w:val="both"/>
        <w:rPr>
          <w:rFonts w:ascii="Palatino Linotype" w:hAnsi="Palatino Linotype"/>
          <w:i/>
          <w:sz w:val="23"/>
          <w:szCs w:val="23"/>
        </w:rPr>
      </w:pPr>
      <w:r w:rsidRPr="00826251">
        <w:rPr>
          <w:rFonts w:ascii="Palatino Linotype" w:hAnsi="Palatino Linotype"/>
          <w:b/>
          <w:i/>
          <w:sz w:val="23"/>
          <w:szCs w:val="23"/>
        </w:rPr>
        <w:lastRenderedPageBreak/>
        <w:t>“Artículo 1.132.-</w:t>
      </w:r>
      <w:r w:rsidRPr="00826251">
        <w:rPr>
          <w:rFonts w:ascii="Palatino Linotype" w:hAnsi="Palatino Linotype"/>
          <w:i/>
          <w:sz w:val="23"/>
          <w:szCs w:val="23"/>
        </w:rPr>
        <w:t xml:space="preserve"> </w:t>
      </w:r>
      <w:r w:rsidRPr="00826251">
        <w:rPr>
          <w:rFonts w:ascii="Palatino Linotype" w:hAnsi="Palatino Linotype"/>
          <w:b/>
          <w:i/>
          <w:sz w:val="23"/>
          <w:szCs w:val="23"/>
        </w:rPr>
        <w:t>Si una de las partes solicita copias simples de actuaciones de forma verbal o escrita, a su costa se expedirán de inmediato y sin necesidad de decreto</w:t>
      </w:r>
      <w:r w:rsidRPr="00826251">
        <w:rPr>
          <w:rFonts w:ascii="Palatino Linotype" w:hAnsi="Palatino Linotype"/>
          <w:i/>
          <w:sz w:val="23"/>
          <w:szCs w:val="23"/>
        </w:rPr>
        <w:t>.”</w:t>
      </w:r>
    </w:p>
    <w:p w:rsidR="00C72D86" w:rsidRPr="00826251" w:rsidRDefault="00D11A92" w:rsidP="009235BD">
      <w:pPr>
        <w:spacing w:before="240" w:after="240" w:line="360" w:lineRule="auto"/>
        <w:jc w:val="both"/>
        <w:rPr>
          <w:rFonts w:ascii="Palatino Linotype" w:hAnsi="Palatino Linotype"/>
          <w:sz w:val="24"/>
          <w:szCs w:val="24"/>
        </w:rPr>
      </w:pPr>
      <w:r w:rsidRPr="00826251">
        <w:rPr>
          <w:rFonts w:ascii="Palatino Linotype" w:hAnsi="Palatino Linotype"/>
          <w:sz w:val="24"/>
          <w:szCs w:val="24"/>
        </w:rPr>
        <w:t>Lo expuesto</w:t>
      </w:r>
      <w:r w:rsidR="007A7537" w:rsidRPr="00826251">
        <w:rPr>
          <w:rFonts w:ascii="Palatino Linotype" w:hAnsi="Palatino Linotype"/>
          <w:sz w:val="24"/>
          <w:szCs w:val="24"/>
        </w:rPr>
        <w:t>,</w:t>
      </w:r>
      <w:r w:rsidRPr="00826251">
        <w:rPr>
          <w:rFonts w:ascii="Palatino Linotype" w:hAnsi="Palatino Linotype"/>
          <w:sz w:val="24"/>
          <w:szCs w:val="24"/>
        </w:rPr>
        <w:t xml:space="preserve"> </w:t>
      </w:r>
      <w:r w:rsidR="00C06520" w:rsidRPr="00826251">
        <w:rPr>
          <w:rFonts w:ascii="Palatino Linotype" w:hAnsi="Palatino Linotype"/>
          <w:sz w:val="24"/>
          <w:szCs w:val="24"/>
        </w:rPr>
        <w:t xml:space="preserve">constituyen </w:t>
      </w:r>
      <w:r w:rsidRPr="00826251">
        <w:rPr>
          <w:rFonts w:ascii="Palatino Linotype" w:hAnsi="Palatino Linotype"/>
          <w:sz w:val="24"/>
          <w:szCs w:val="24"/>
        </w:rPr>
        <w:t>las razones</w:t>
      </w:r>
      <w:r w:rsidR="00367D88" w:rsidRPr="00826251">
        <w:rPr>
          <w:rFonts w:ascii="Palatino Linotype" w:hAnsi="Palatino Linotype"/>
          <w:sz w:val="24"/>
          <w:szCs w:val="24"/>
        </w:rPr>
        <w:t xml:space="preserve"> y fundamentos </w:t>
      </w:r>
      <w:r w:rsidRPr="00826251">
        <w:rPr>
          <w:rFonts w:ascii="Palatino Linotype" w:hAnsi="Palatino Linotype"/>
          <w:sz w:val="24"/>
          <w:szCs w:val="24"/>
        </w:rPr>
        <w:t xml:space="preserve">que me llevan a emitir </w:t>
      </w:r>
      <w:r w:rsidR="00366C14" w:rsidRPr="00826251">
        <w:rPr>
          <w:rFonts w:ascii="Palatino Linotype" w:hAnsi="Palatino Linotype"/>
          <w:sz w:val="24"/>
          <w:szCs w:val="24"/>
        </w:rPr>
        <w:t>la opinión</w:t>
      </w:r>
      <w:r w:rsidRPr="00826251">
        <w:rPr>
          <w:rFonts w:ascii="Palatino Linotype" w:hAnsi="Palatino Linotype"/>
          <w:sz w:val="24"/>
          <w:szCs w:val="24"/>
        </w:rPr>
        <w:t xml:space="preserve"> particular que se ha expresado</w:t>
      </w:r>
      <w:r w:rsidR="00367D88" w:rsidRPr="00826251">
        <w:rPr>
          <w:rFonts w:ascii="Palatino Linotype" w:hAnsi="Palatino Linotype"/>
          <w:sz w:val="24"/>
          <w:szCs w:val="24"/>
        </w:rPr>
        <w:t xml:space="preserve">. </w:t>
      </w:r>
    </w:p>
    <w:p w:rsidR="00E10DA2" w:rsidRPr="00826251" w:rsidRDefault="00E10DA2" w:rsidP="009235BD">
      <w:pPr>
        <w:spacing w:before="240" w:after="240" w:line="360" w:lineRule="auto"/>
        <w:jc w:val="center"/>
        <w:rPr>
          <w:rFonts w:ascii="Palatino Linotype" w:hAnsi="Palatino Linotype"/>
          <w:b/>
          <w:sz w:val="24"/>
          <w:szCs w:val="24"/>
        </w:rPr>
      </w:pPr>
    </w:p>
    <w:p w:rsidR="00857C51" w:rsidRPr="00826251" w:rsidRDefault="00C72D86" w:rsidP="00E10DA2">
      <w:pPr>
        <w:spacing w:after="0" w:line="240" w:lineRule="auto"/>
        <w:jc w:val="center"/>
        <w:rPr>
          <w:rFonts w:ascii="Palatino Linotype" w:hAnsi="Palatino Linotype"/>
          <w:b/>
          <w:sz w:val="24"/>
          <w:szCs w:val="24"/>
        </w:rPr>
      </w:pPr>
      <w:r w:rsidRPr="00826251">
        <w:rPr>
          <w:rFonts w:ascii="Palatino Linotype" w:hAnsi="Palatino Linotype"/>
          <w:b/>
          <w:sz w:val="24"/>
          <w:szCs w:val="24"/>
        </w:rPr>
        <w:t xml:space="preserve">Javier Martínez Cruz </w:t>
      </w:r>
    </w:p>
    <w:p w:rsidR="00857C51" w:rsidRPr="00826251" w:rsidRDefault="00857C51" w:rsidP="00E10DA2">
      <w:pPr>
        <w:spacing w:after="0" w:line="240" w:lineRule="auto"/>
        <w:jc w:val="center"/>
        <w:rPr>
          <w:rFonts w:ascii="Palatino Linotype" w:hAnsi="Palatino Linotype"/>
          <w:sz w:val="24"/>
          <w:szCs w:val="24"/>
        </w:rPr>
      </w:pPr>
      <w:r w:rsidRPr="00826251">
        <w:rPr>
          <w:rFonts w:ascii="Palatino Linotype" w:hAnsi="Palatino Linotype"/>
          <w:sz w:val="24"/>
          <w:szCs w:val="24"/>
        </w:rPr>
        <w:t>Comisionado</w:t>
      </w:r>
    </w:p>
    <w:p w:rsidR="00E10DA2" w:rsidRPr="00826251" w:rsidRDefault="00797528" w:rsidP="00E10DA2">
      <w:pPr>
        <w:spacing w:after="0" w:line="240" w:lineRule="auto"/>
        <w:jc w:val="center"/>
        <w:rPr>
          <w:rFonts w:ascii="Palatino Linotype" w:hAnsi="Palatino Linotype"/>
          <w:sz w:val="24"/>
          <w:szCs w:val="24"/>
        </w:rPr>
      </w:pPr>
      <w:r>
        <w:rPr>
          <w:rFonts w:ascii="Palatino Linotype" w:hAnsi="Palatino Linotype"/>
          <w:sz w:val="24"/>
          <w:szCs w:val="24"/>
        </w:rPr>
        <w:t>(Rúbrica)</w:t>
      </w:r>
    </w:p>
    <w:p w:rsidR="001434CB" w:rsidRPr="00826251" w:rsidRDefault="001434CB" w:rsidP="009235BD">
      <w:pPr>
        <w:spacing w:before="240" w:after="240" w:line="360" w:lineRule="auto"/>
        <w:rPr>
          <w:rFonts w:ascii="Palatino Linotype" w:hAnsi="Palatino Linotype"/>
          <w:sz w:val="24"/>
          <w:szCs w:val="24"/>
        </w:rPr>
      </w:pPr>
      <w:bookmarkStart w:id="0" w:name="_GoBack"/>
      <w:bookmarkEnd w:id="0"/>
    </w:p>
    <w:sectPr w:rsidR="001434CB" w:rsidRPr="00826251" w:rsidSect="00115CE3">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F9F" w:rsidRDefault="00555F9F" w:rsidP="00907451">
      <w:pPr>
        <w:spacing w:after="0" w:line="240" w:lineRule="auto"/>
      </w:pPr>
      <w:r>
        <w:separator/>
      </w:r>
    </w:p>
  </w:endnote>
  <w:endnote w:type="continuationSeparator" w:id="0">
    <w:p w:rsidR="00555F9F" w:rsidRDefault="00555F9F"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97528">
      <w:rPr>
        <w:rFonts w:ascii="Arial" w:hAnsi="Arial" w:cs="Arial"/>
        <w:b/>
        <w:bCs/>
        <w:noProof/>
        <w:sz w:val="20"/>
        <w:szCs w:val="20"/>
      </w:rPr>
      <w:t>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97528">
      <w:rPr>
        <w:rFonts w:ascii="Arial" w:hAnsi="Arial" w:cs="Arial"/>
        <w:b/>
        <w:bCs/>
        <w:noProof/>
        <w:sz w:val="20"/>
        <w:szCs w:val="20"/>
      </w:rPr>
      <w:t>9</w:t>
    </w:r>
    <w:r w:rsidRPr="00986599">
      <w:rPr>
        <w:rFonts w:ascii="Arial" w:hAnsi="Arial" w:cs="Arial"/>
        <w:b/>
        <w:bCs/>
        <w:sz w:val="20"/>
        <w:szCs w:val="20"/>
      </w:rPr>
      <w:fldChar w:fldCharType="end"/>
    </w:r>
  </w:p>
  <w:p w:rsidR="00D758BE" w:rsidRDefault="00797528"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F9F" w:rsidRDefault="00555F9F" w:rsidP="00907451">
      <w:pPr>
        <w:spacing w:after="0" w:line="240" w:lineRule="auto"/>
      </w:pPr>
      <w:r>
        <w:separator/>
      </w:r>
    </w:p>
  </w:footnote>
  <w:footnote w:type="continuationSeparator" w:id="0">
    <w:p w:rsidR="00555F9F" w:rsidRDefault="00555F9F" w:rsidP="00907451">
      <w:pPr>
        <w:spacing w:after="0" w:line="240" w:lineRule="auto"/>
      </w:pPr>
      <w:r>
        <w:continuationSeparator/>
      </w:r>
    </w:p>
  </w:footnote>
  <w:footnote w:id="1">
    <w:p w:rsidR="00C92F77" w:rsidRPr="00C92F77" w:rsidRDefault="00C92F77" w:rsidP="00C92F77">
      <w:pPr>
        <w:pStyle w:val="Textonotapie"/>
        <w:jc w:val="both"/>
        <w:rPr>
          <w:rFonts w:ascii="Palatino Linotype" w:hAnsi="Palatino Linotype"/>
          <w:sz w:val="16"/>
          <w:szCs w:val="16"/>
        </w:rPr>
      </w:pPr>
      <w:r w:rsidRPr="00C92F77">
        <w:rPr>
          <w:rStyle w:val="Refdenotaalpie"/>
          <w:rFonts w:ascii="Palatino Linotype" w:hAnsi="Palatino Linotype"/>
          <w:sz w:val="16"/>
          <w:szCs w:val="16"/>
        </w:rPr>
        <w:footnoteRef/>
      </w:r>
      <w:r w:rsidRPr="00C92F77">
        <w:rPr>
          <w:rFonts w:ascii="Palatino Linotype" w:hAnsi="Palatino Linotype"/>
          <w:sz w:val="16"/>
          <w:szCs w:val="16"/>
        </w:rPr>
        <w:t xml:space="preserve"> </w:t>
      </w:r>
      <w:r w:rsidRPr="00C92F77">
        <w:rPr>
          <w:rFonts w:ascii="Palatino Linotype" w:hAnsi="Palatino Linotype"/>
          <w:b/>
          <w:sz w:val="16"/>
          <w:szCs w:val="16"/>
        </w:rPr>
        <w:t>Artículo 3</w:t>
      </w:r>
      <w:r w:rsidRPr="00C92F77">
        <w:rPr>
          <w:rFonts w:ascii="Palatino Linotype" w:hAnsi="Palatino Linotype"/>
          <w:sz w:val="16"/>
          <w:szCs w:val="16"/>
        </w:rPr>
        <w:t xml:space="preserve">. Para los efectos de la presente Ley se entenderá por:  </w:t>
      </w:r>
    </w:p>
    <w:p w:rsidR="00C92F77" w:rsidRPr="00C92F77" w:rsidRDefault="00C92F77" w:rsidP="00C92F77">
      <w:pPr>
        <w:pStyle w:val="Textonotapie"/>
        <w:jc w:val="both"/>
        <w:rPr>
          <w:rFonts w:ascii="Palatino Linotype" w:hAnsi="Palatino Linotype"/>
          <w:sz w:val="16"/>
          <w:szCs w:val="16"/>
        </w:rPr>
      </w:pPr>
      <w:r w:rsidRPr="00C92F77">
        <w:rPr>
          <w:rFonts w:ascii="Palatino Linotype" w:hAnsi="Palatino Linotype"/>
          <w:sz w:val="16"/>
          <w:szCs w:val="16"/>
        </w:rPr>
        <w:t>IX. Datos personales: La información concerniente a una persona, identificada o identificable según lo dispuesto por la Ley de Protección de Datos Personales del Estado de México;</w:t>
      </w:r>
    </w:p>
  </w:footnote>
  <w:footnote w:id="2">
    <w:p w:rsidR="00C92F77" w:rsidRPr="00C92F77" w:rsidRDefault="00C92F77" w:rsidP="00C92F77">
      <w:pPr>
        <w:pStyle w:val="Textonotapie"/>
        <w:jc w:val="both"/>
        <w:rPr>
          <w:rFonts w:ascii="Palatino Linotype" w:hAnsi="Palatino Linotype"/>
          <w:sz w:val="16"/>
          <w:szCs w:val="16"/>
        </w:rPr>
      </w:pPr>
      <w:r w:rsidRPr="00C92F77">
        <w:rPr>
          <w:rStyle w:val="Refdenotaalpie"/>
          <w:rFonts w:ascii="Palatino Linotype" w:hAnsi="Palatino Linotype"/>
          <w:sz w:val="16"/>
          <w:szCs w:val="16"/>
        </w:rPr>
        <w:footnoteRef/>
      </w:r>
      <w:r w:rsidRPr="00C92F77">
        <w:rPr>
          <w:rFonts w:ascii="Palatino Linotype" w:hAnsi="Palatino Linotype"/>
          <w:sz w:val="16"/>
          <w:szCs w:val="16"/>
        </w:rPr>
        <w:t xml:space="preserve"> </w:t>
      </w:r>
      <w:r w:rsidRPr="00C92F77">
        <w:rPr>
          <w:rFonts w:ascii="Palatino Linotype" w:hAnsi="Palatino Linotype"/>
          <w:b/>
          <w:sz w:val="16"/>
          <w:szCs w:val="16"/>
        </w:rPr>
        <w:t>Artículo 143</w:t>
      </w:r>
      <w:r w:rsidRPr="00C92F77">
        <w:rPr>
          <w:rFonts w:ascii="Palatino Linotype" w:hAnsi="Palatino Linotype"/>
          <w:sz w:val="16"/>
          <w:szCs w:val="16"/>
        </w:rPr>
        <w:t>. Para los efectos de esta Ley se considera información confidencial, la clasificada como tal, de manera permanente, por su naturaleza, cuando:</w:t>
      </w:r>
    </w:p>
    <w:p w:rsidR="00C92F77" w:rsidRPr="00C92F77" w:rsidRDefault="00C92F77" w:rsidP="00C92F77">
      <w:pPr>
        <w:pStyle w:val="Textonotapie"/>
        <w:jc w:val="both"/>
        <w:rPr>
          <w:rFonts w:ascii="Palatino Linotype" w:hAnsi="Palatino Linotype"/>
          <w:sz w:val="16"/>
          <w:szCs w:val="16"/>
        </w:rPr>
      </w:pPr>
      <w:r w:rsidRPr="00C92F77">
        <w:rPr>
          <w:rFonts w:ascii="Palatino Linotype" w:hAnsi="Palatino Linotype"/>
          <w:sz w:val="16"/>
          <w:szCs w:val="16"/>
        </w:rPr>
        <w:t>I. Se refiera a la información privada y los datos personales concernientes a una persona física o jurídico colectiva identificada o identificable;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79752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2050" type="#_x0000_t136" style="position:absolute;margin-left:0;margin-top:0;width:518.25pt;height:111.05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Pr="000D4A99" w:rsidRDefault="00354268" w:rsidP="007263BB">
    <w:pPr>
      <w:pStyle w:val="Encabezado"/>
      <w:jc w:val="right"/>
      <w:rPr>
        <w:rFonts w:ascii="Arial" w:hAnsi="Arial" w:cs="Arial"/>
        <w:sz w:val="20"/>
        <w:szCs w:val="20"/>
      </w:rPr>
    </w:pPr>
    <w:r w:rsidRPr="000D4A99">
      <w:rPr>
        <w:noProof/>
        <w:lang w:val="es-MX" w:eastAsia="es-MX"/>
      </w:rPr>
      <w:drawing>
        <wp:anchor distT="0" distB="0" distL="114300" distR="114300" simplePos="0" relativeHeight="251664384" behindDoc="1" locked="0" layoutInCell="1" allowOverlap="1" wp14:anchorId="463E6050" wp14:editId="6201B57A">
          <wp:simplePos x="0" y="0"/>
          <wp:positionH relativeFrom="column">
            <wp:posOffset>-1087145</wp:posOffset>
          </wp:positionH>
          <wp:positionV relativeFrom="paragraph">
            <wp:posOffset>-449580</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Pr="000D4A99" w:rsidRDefault="00797528"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3" o:spid="_x0000_s2049" type="#_x0000_t136" alt="OPINIÓN PARTICULAR" style="position:absolute;left:0;text-align:left;margin-left:0;margin-top:0;width:518.25pt;height:111.05pt;rotation:315;z-index:-251657216;mso-position-horizontal:center;mso-position-horizontal-relative:margin;mso-position-vertical:center;mso-position-vertical-relative:margin" o:allowincell="f" fillcolor="#c45911 [2405]" stroked="f">
          <v:fill opacity=".5"/>
          <v:textpath style="font-family:&quot;Calibri&quot;;font-size:1pt;font-weight:bold" string="VOTO PARTICULAR "/>
          <w10:wrap anchorx="margin" anchory="margin"/>
        </v:shape>
      </w:pict>
    </w:r>
  </w:p>
  <w:p w:rsidR="00D758BE" w:rsidRPr="000D4A99" w:rsidRDefault="00797528" w:rsidP="007263BB">
    <w:pPr>
      <w:pStyle w:val="Encabezado"/>
      <w:jc w:val="right"/>
      <w:rPr>
        <w:rFonts w:ascii="Arial" w:hAnsi="Arial" w:cs="Arial"/>
        <w:sz w:val="20"/>
        <w:szCs w:val="20"/>
      </w:rPr>
    </w:pPr>
  </w:p>
  <w:p w:rsidR="00706042" w:rsidRPr="000D4A99" w:rsidRDefault="005C0335"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37761D" w:rsidRPr="000D4A99">
      <w:rPr>
        <w:rFonts w:ascii="Palatino Linotype" w:hAnsi="Palatino Linotype" w:cs="Arial"/>
        <w:b/>
        <w:sz w:val="20"/>
        <w:szCs w:val="20"/>
      </w:rPr>
      <w:t xml:space="preserve"> </w:t>
    </w:r>
    <w:r w:rsidR="00057319" w:rsidRPr="000D4A99">
      <w:rPr>
        <w:rFonts w:ascii="Palatino Linotype" w:hAnsi="Palatino Linotype" w:cs="Arial"/>
        <w:b/>
        <w:sz w:val="20"/>
        <w:szCs w:val="20"/>
      </w:rPr>
      <w:t xml:space="preserve">PARTICULAR </w:t>
    </w:r>
  </w:p>
  <w:p w:rsidR="00EE5FB0" w:rsidRPr="000D4A99" w:rsidRDefault="00057319" w:rsidP="00EE5FB0">
    <w:pPr>
      <w:pStyle w:val="Encabezado"/>
      <w:jc w:val="right"/>
      <w:rPr>
        <w:rFonts w:ascii="Palatino Linotype" w:hAnsi="Palatino Linotype" w:cs="Arial"/>
        <w:b/>
        <w:sz w:val="20"/>
        <w:szCs w:val="20"/>
      </w:rPr>
    </w:pPr>
    <w:r w:rsidRPr="000D4A99">
      <w:rPr>
        <w:rFonts w:ascii="Palatino Linotype" w:hAnsi="Palatino Linotype" w:cs="Arial"/>
        <w:b/>
        <w:sz w:val="20"/>
        <w:szCs w:val="20"/>
      </w:rPr>
      <w:t xml:space="preserve">RECURSO DE REVISIÓN </w:t>
    </w:r>
    <w:r w:rsidR="001521B7" w:rsidRPr="000D4A99">
      <w:rPr>
        <w:rFonts w:ascii="Palatino Linotype" w:hAnsi="Palatino Linotype" w:cs="Arial"/>
        <w:b/>
        <w:sz w:val="20"/>
        <w:szCs w:val="20"/>
      </w:rPr>
      <w:t>0</w:t>
    </w:r>
    <w:r w:rsidR="005C0335">
      <w:rPr>
        <w:rFonts w:ascii="Palatino Linotype" w:hAnsi="Palatino Linotype" w:cs="Arial"/>
        <w:b/>
        <w:sz w:val="20"/>
        <w:szCs w:val="20"/>
      </w:rPr>
      <w:t>4010</w:t>
    </w:r>
    <w:r w:rsidR="00CC52C1" w:rsidRPr="000D4A99">
      <w:rPr>
        <w:rFonts w:ascii="Palatino Linotype" w:hAnsi="Palatino Linotype" w:cs="Arial"/>
        <w:b/>
        <w:sz w:val="20"/>
        <w:szCs w:val="20"/>
      </w:rPr>
      <w:t>/INFOEM/IP/RR/2018</w:t>
    </w:r>
  </w:p>
  <w:p w:rsidR="00D758BE" w:rsidRPr="000D4A99" w:rsidRDefault="00797528" w:rsidP="007263BB">
    <w:pPr>
      <w:pStyle w:val="Encabezado"/>
      <w:jc w:val="right"/>
      <w:rPr>
        <w:rFonts w:ascii="Palatino Linotype" w:hAnsi="Palatino Linotype" w:cs="Arial"/>
        <w:sz w:val="20"/>
        <w:szCs w:val="20"/>
      </w:rPr>
    </w:pPr>
  </w:p>
  <w:p w:rsidR="00233AB2" w:rsidRPr="000D4A99" w:rsidRDefault="00797528"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79752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2051"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17490"/>
    <w:multiLevelType w:val="hybridMultilevel"/>
    <w:tmpl w:val="BAE42F3E"/>
    <w:lvl w:ilvl="0" w:tplc="9BCE9BDC">
      <w:start w:val="1"/>
      <w:numFmt w:val="decimal"/>
      <w:lvlText w:val="%1."/>
      <w:lvlJc w:val="left"/>
      <w:pPr>
        <w:ind w:left="5180" w:hanging="360"/>
      </w:pPr>
      <w:rPr>
        <w:rFonts w:ascii="Palatino Linotype" w:hAnsi="Palatino Linotype" w:hint="default"/>
        <w:b/>
        <w:i w:val="0"/>
        <w:color w:val="000000" w:themeColor="text1"/>
        <w:sz w:val="24"/>
      </w:rPr>
    </w:lvl>
    <w:lvl w:ilvl="1" w:tplc="080A000F">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A05092B"/>
    <w:multiLevelType w:val="hybridMultilevel"/>
    <w:tmpl w:val="597C54DA"/>
    <w:lvl w:ilvl="0" w:tplc="E856C134">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 w15:restartNumberingAfterBreak="0">
    <w:nsid w:val="3A2555E9"/>
    <w:multiLevelType w:val="hybridMultilevel"/>
    <w:tmpl w:val="F09639DA"/>
    <w:lvl w:ilvl="0" w:tplc="8C10BB0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405F43EE"/>
    <w:multiLevelType w:val="hybridMultilevel"/>
    <w:tmpl w:val="722ED02C"/>
    <w:lvl w:ilvl="0" w:tplc="BC5C951A">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5632A63"/>
    <w:multiLevelType w:val="hybridMultilevel"/>
    <w:tmpl w:val="9FE6ECA6"/>
    <w:lvl w:ilvl="0" w:tplc="1278F77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22E"/>
    <w:rsid w:val="000019AB"/>
    <w:rsid w:val="0002132C"/>
    <w:rsid w:val="00022E70"/>
    <w:rsid w:val="00030212"/>
    <w:rsid w:val="00030978"/>
    <w:rsid w:val="00031DFF"/>
    <w:rsid w:val="00032EE8"/>
    <w:rsid w:val="00047E96"/>
    <w:rsid w:val="00051C17"/>
    <w:rsid w:val="000541C7"/>
    <w:rsid w:val="00057319"/>
    <w:rsid w:val="000607BA"/>
    <w:rsid w:val="000632F3"/>
    <w:rsid w:val="000740BF"/>
    <w:rsid w:val="000765ED"/>
    <w:rsid w:val="00094E58"/>
    <w:rsid w:val="00097795"/>
    <w:rsid w:val="000A05B3"/>
    <w:rsid w:val="000A0D71"/>
    <w:rsid w:val="000A3415"/>
    <w:rsid w:val="000A52F5"/>
    <w:rsid w:val="000B6BF6"/>
    <w:rsid w:val="000C5051"/>
    <w:rsid w:val="000C7CAD"/>
    <w:rsid w:val="000D01A3"/>
    <w:rsid w:val="000D3316"/>
    <w:rsid w:val="000D4A99"/>
    <w:rsid w:val="000E2722"/>
    <w:rsid w:val="000E2D6C"/>
    <w:rsid w:val="000E478D"/>
    <w:rsid w:val="001075B4"/>
    <w:rsid w:val="0012129B"/>
    <w:rsid w:val="001229EC"/>
    <w:rsid w:val="0013703B"/>
    <w:rsid w:val="00137981"/>
    <w:rsid w:val="00140C81"/>
    <w:rsid w:val="001412C3"/>
    <w:rsid w:val="001434CB"/>
    <w:rsid w:val="0014357D"/>
    <w:rsid w:val="00145DD2"/>
    <w:rsid w:val="0015034F"/>
    <w:rsid w:val="001521B7"/>
    <w:rsid w:val="00155046"/>
    <w:rsid w:val="00160340"/>
    <w:rsid w:val="0016187C"/>
    <w:rsid w:val="00172FD5"/>
    <w:rsid w:val="001753C9"/>
    <w:rsid w:val="0018108A"/>
    <w:rsid w:val="001822F4"/>
    <w:rsid w:val="0018742A"/>
    <w:rsid w:val="00187EA7"/>
    <w:rsid w:val="00190047"/>
    <w:rsid w:val="001A1AF7"/>
    <w:rsid w:val="001A5EE4"/>
    <w:rsid w:val="001A61D5"/>
    <w:rsid w:val="001A7C78"/>
    <w:rsid w:val="001B1A8B"/>
    <w:rsid w:val="001B271B"/>
    <w:rsid w:val="001B78B3"/>
    <w:rsid w:val="001C151C"/>
    <w:rsid w:val="001E6166"/>
    <w:rsid w:val="001F05C6"/>
    <w:rsid w:val="001F0F67"/>
    <w:rsid w:val="001F686D"/>
    <w:rsid w:val="002028A2"/>
    <w:rsid w:val="0020784D"/>
    <w:rsid w:val="00207AC4"/>
    <w:rsid w:val="00211214"/>
    <w:rsid w:val="00235A94"/>
    <w:rsid w:val="00236E0D"/>
    <w:rsid w:val="0024109F"/>
    <w:rsid w:val="0024552B"/>
    <w:rsid w:val="0024628B"/>
    <w:rsid w:val="00251BD1"/>
    <w:rsid w:val="0027457F"/>
    <w:rsid w:val="00285275"/>
    <w:rsid w:val="002852F2"/>
    <w:rsid w:val="00285332"/>
    <w:rsid w:val="002901BE"/>
    <w:rsid w:val="00292935"/>
    <w:rsid w:val="00292D40"/>
    <w:rsid w:val="002A5ADD"/>
    <w:rsid w:val="002A6359"/>
    <w:rsid w:val="002B0D5A"/>
    <w:rsid w:val="002B3DD0"/>
    <w:rsid w:val="002C4AF8"/>
    <w:rsid w:val="002C66A0"/>
    <w:rsid w:val="002D7AFB"/>
    <w:rsid w:val="002E296C"/>
    <w:rsid w:val="002E7A77"/>
    <w:rsid w:val="002F1845"/>
    <w:rsid w:val="0030441B"/>
    <w:rsid w:val="0030480F"/>
    <w:rsid w:val="003210AF"/>
    <w:rsid w:val="00321A2A"/>
    <w:rsid w:val="003264C7"/>
    <w:rsid w:val="00351A58"/>
    <w:rsid w:val="00354268"/>
    <w:rsid w:val="0036408D"/>
    <w:rsid w:val="00366C14"/>
    <w:rsid w:val="00367D88"/>
    <w:rsid w:val="00372C5B"/>
    <w:rsid w:val="0037761D"/>
    <w:rsid w:val="003814C3"/>
    <w:rsid w:val="0038176F"/>
    <w:rsid w:val="00381E52"/>
    <w:rsid w:val="00384D6B"/>
    <w:rsid w:val="00386948"/>
    <w:rsid w:val="003A047A"/>
    <w:rsid w:val="003A1CE7"/>
    <w:rsid w:val="003A65E7"/>
    <w:rsid w:val="003B0E51"/>
    <w:rsid w:val="003B1C5F"/>
    <w:rsid w:val="003C500B"/>
    <w:rsid w:val="003C6FAF"/>
    <w:rsid w:val="003C7D1D"/>
    <w:rsid w:val="003D1840"/>
    <w:rsid w:val="003D3C9F"/>
    <w:rsid w:val="003E17CD"/>
    <w:rsid w:val="003F099D"/>
    <w:rsid w:val="00425E2D"/>
    <w:rsid w:val="00426125"/>
    <w:rsid w:val="00426538"/>
    <w:rsid w:val="00426CF6"/>
    <w:rsid w:val="00454F02"/>
    <w:rsid w:val="00456261"/>
    <w:rsid w:val="00456467"/>
    <w:rsid w:val="00462B33"/>
    <w:rsid w:val="00463351"/>
    <w:rsid w:val="00465BA2"/>
    <w:rsid w:val="00471402"/>
    <w:rsid w:val="004734AF"/>
    <w:rsid w:val="00477E5C"/>
    <w:rsid w:val="00484499"/>
    <w:rsid w:val="00485EF7"/>
    <w:rsid w:val="00493C61"/>
    <w:rsid w:val="00493D46"/>
    <w:rsid w:val="004A49E3"/>
    <w:rsid w:val="004C6162"/>
    <w:rsid w:val="004D7369"/>
    <w:rsid w:val="004E4F84"/>
    <w:rsid w:val="0050476E"/>
    <w:rsid w:val="00505F5A"/>
    <w:rsid w:val="0051202A"/>
    <w:rsid w:val="00532BF2"/>
    <w:rsid w:val="0053603A"/>
    <w:rsid w:val="00537B54"/>
    <w:rsid w:val="00541842"/>
    <w:rsid w:val="00543E3E"/>
    <w:rsid w:val="005549ED"/>
    <w:rsid w:val="00555F9F"/>
    <w:rsid w:val="00560182"/>
    <w:rsid w:val="00561B35"/>
    <w:rsid w:val="00564B13"/>
    <w:rsid w:val="00564E98"/>
    <w:rsid w:val="005676B4"/>
    <w:rsid w:val="005704BE"/>
    <w:rsid w:val="00575288"/>
    <w:rsid w:val="005771C4"/>
    <w:rsid w:val="005777C1"/>
    <w:rsid w:val="00583D84"/>
    <w:rsid w:val="005912EA"/>
    <w:rsid w:val="0059499A"/>
    <w:rsid w:val="00594E43"/>
    <w:rsid w:val="00597E5B"/>
    <w:rsid w:val="005B7C67"/>
    <w:rsid w:val="005C0335"/>
    <w:rsid w:val="005C4B15"/>
    <w:rsid w:val="005C5551"/>
    <w:rsid w:val="005D066B"/>
    <w:rsid w:val="005D2F2B"/>
    <w:rsid w:val="005D3C8B"/>
    <w:rsid w:val="005D511E"/>
    <w:rsid w:val="005E1ABD"/>
    <w:rsid w:val="005E2A98"/>
    <w:rsid w:val="005E341A"/>
    <w:rsid w:val="005E6819"/>
    <w:rsid w:val="005F4C0C"/>
    <w:rsid w:val="006003E9"/>
    <w:rsid w:val="006018C0"/>
    <w:rsid w:val="00602E67"/>
    <w:rsid w:val="00612F10"/>
    <w:rsid w:val="006214D7"/>
    <w:rsid w:val="00636643"/>
    <w:rsid w:val="00644A98"/>
    <w:rsid w:val="00650DC2"/>
    <w:rsid w:val="00654E74"/>
    <w:rsid w:val="006608AE"/>
    <w:rsid w:val="00662C8E"/>
    <w:rsid w:val="00664E75"/>
    <w:rsid w:val="00666987"/>
    <w:rsid w:val="006746D4"/>
    <w:rsid w:val="0067524F"/>
    <w:rsid w:val="006753CB"/>
    <w:rsid w:val="0067739E"/>
    <w:rsid w:val="00695A4C"/>
    <w:rsid w:val="006A06C7"/>
    <w:rsid w:val="006A142E"/>
    <w:rsid w:val="006A6AF4"/>
    <w:rsid w:val="006A78C8"/>
    <w:rsid w:val="006C34A1"/>
    <w:rsid w:val="006D19DE"/>
    <w:rsid w:val="006D2729"/>
    <w:rsid w:val="006D664D"/>
    <w:rsid w:val="006E048C"/>
    <w:rsid w:val="006F346D"/>
    <w:rsid w:val="0071380A"/>
    <w:rsid w:val="00713C13"/>
    <w:rsid w:val="00724A6A"/>
    <w:rsid w:val="007378E4"/>
    <w:rsid w:val="007417CA"/>
    <w:rsid w:val="00741887"/>
    <w:rsid w:val="007439EA"/>
    <w:rsid w:val="00753DAA"/>
    <w:rsid w:val="007548FD"/>
    <w:rsid w:val="007573FA"/>
    <w:rsid w:val="007617F6"/>
    <w:rsid w:val="007617F8"/>
    <w:rsid w:val="007841E7"/>
    <w:rsid w:val="00785FF6"/>
    <w:rsid w:val="007928CC"/>
    <w:rsid w:val="0079505E"/>
    <w:rsid w:val="00797528"/>
    <w:rsid w:val="007A50FE"/>
    <w:rsid w:val="007A7537"/>
    <w:rsid w:val="007B6300"/>
    <w:rsid w:val="007B6EE5"/>
    <w:rsid w:val="007E01A8"/>
    <w:rsid w:val="007E12C1"/>
    <w:rsid w:val="007E3363"/>
    <w:rsid w:val="007E61A3"/>
    <w:rsid w:val="007F50DE"/>
    <w:rsid w:val="00802BE3"/>
    <w:rsid w:val="00813A52"/>
    <w:rsid w:val="00815C60"/>
    <w:rsid w:val="00816D9C"/>
    <w:rsid w:val="00817AA2"/>
    <w:rsid w:val="0082049B"/>
    <w:rsid w:val="00825F11"/>
    <w:rsid w:val="00826251"/>
    <w:rsid w:val="00842E38"/>
    <w:rsid w:val="00843E05"/>
    <w:rsid w:val="00845226"/>
    <w:rsid w:val="00846514"/>
    <w:rsid w:val="00857C51"/>
    <w:rsid w:val="00892DF4"/>
    <w:rsid w:val="00897E24"/>
    <w:rsid w:val="008A261D"/>
    <w:rsid w:val="008A4206"/>
    <w:rsid w:val="008B2DB4"/>
    <w:rsid w:val="008B746A"/>
    <w:rsid w:val="008B7AC1"/>
    <w:rsid w:val="008C3C27"/>
    <w:rsid w:val="008C4482"/>
    <w:rsid w:val="008D3594"/>
    <w:rsid w:val="008D3AF3"/>
    <w:rsid w:val="008E5CE9"/>
    <w:rsid w:val="00901529"/>
    <w:rsid w:val="00906F65"/>
    <w:rsid w:val="00907451"/>
    <w:rsid w:val="009235BD"/>
    <w:rsid w:val="00923FC9"/>
    <w:rsid w:val="00933E46"/>
    <w:rsid w:val="00956DDA"/>
    <w:rsid w:val="00956FEF"/>
    <w:rsid w:val="009611D3"/>
    <w:rsid w:val="009672DF"/>
    <w:rsid w:val="009727E4"/>
    <w:rsid w:val="0097465C"/>
    <w:rsid w:val="00980019"/>
    <w:rsid w:val="0098044D"/>
    <w:rsid w:val="00981A4C"/>
    <w:rsid w:val="0098633B"/>
    <w:rsid w:val="009874D7"/>
    <w:rsid w:val="00987EE4"/>
    <w:rsid w:val="00990C19"/>
    <w:rsid w:val="009A5E4A"/>
    <w:rsid w:val="009B34C4"/>
    <w:rsid w:val="009C248D"/>
    <w:rsid w:val="009D3450"/>
    <w:rsid w:val="009D4A3C"/>
    <w:rsid w:val="009D6D92"/>
    <w:rsid w:val="009E35A5"/>
    <w:rsid w:val="00A01E1E"/>
    <w:rsid w:val="00A1161D"/>
    <w:rsid w:val="00A21005"/>
    <w:rsid w:val="00A252F5"/>
    <w:rsid w:val="00A25348"/>
    <w:rsid w:val="00A27FDF"/>
    <w:rsid w:val="00A3122D"/>
    <w:rsid w:val="00A32D50"/>
    <w:rsid w:val="00A373E3"/>
    <w:rsid w:val="00A4417A"/>
    <w:rsid w:val="00A458B3"/>
    <w:rsid w:val="00A52755"/>
    <w:rsid w:val="00A53F8B"/>
    <w:rsid w:val="00A63C8F"/>
    <w:rsid w:val="00A65F94"/>
    <w:rsid w:val="00A768A1"/>
    <w:rsid w:val="00A86F04"/>
    <w:rsid w:val="00AA7BFF"/>
    <w:rsid w:val="00AB390A"/>
    <w:rsid w:val="00AB6037"/>
    <w:rsid w:val="00AB6B6C"/>
    <w:rsid w:val="00AC1290"/>
    <w:rsid w:val="00AC1498"/>
    <w:rsid w:val="00AD0389"/>
    <w:rsid w:val="00AD3F06"/>
    <w:rsid w:val="00AF0167"/>
    <w:rsid w:val="00B02DEB"/>
    <w:rsid w:val="00B10325"/>
    <w:rsid w:val="00B17FB5"/>
    <w:rsid w:val="00B3748D"/>
    <w:rsid w:val="00B40A76"/>
    <w:rsid w:val="00B44B2B"/>
    <w:rsid w:val="00B547F4"/>
    <w:rsid w:val="00B56F36"/>
    <w:rsid w:val="00B616C5"/>
    <w:rsid w:val="00B62A7C"/>
    <w:rsid w:val="00B64C32"/>
    <w:rsid w:val="00B65A7C"/>
    <w:rsid w:val="00B7292F"/>
    <w:rsid w:val="00B759F4"/>
    <w:rsid w:val="00B77D36"/>
    <w:rsid w:val="00B82971"/>
    <w:rsid w:val="00B833A4"/>
    <w:rsid w:val="00B87693"/>
    <w:rsid w:val="00B91023"/>
    <w:rsid w:val="00B95ED4"/>
    <w:rsid w:val="00BA2DB4"/>
    <w:rsid w:val="00BA6C32"/>
    <w:rsid w:val="00BB0E89"/>
    <w:rsid w:val="00BD44F6"/>
    <w:rsid w:val="00BD5008"/>
    <w:rsid w:val="00BE3321"/>
    <w:rsid w:val="00BF050D"/>
    <w:rsid w:val="00BF3883"/>
    <w:rsid w:val="00C06520"/>
    <w:rsid w:val="00C25892"/>
    <w:rsid w:val="00C31D4A"/>
    <w:rsid w:val="00C33E17"/>
    <w:rsid w:val="00C44E15"/>
    <w:rsid w:val="00C547E1"/>
    <w:rsid w:val="00C54C9E"/>
    <w:rsid w:val="00C618F4"/>
    <w:rsid w:val="00C64FDB"/>
    <w:rsid w:val="00C703EE"/>
    <w:rsid w:val="00C72D86"/>
    <w:rsid w:val="00C81402"/>
    <w:rsid w:val="00C82603"/>
    <w:rsid w:val="00C8565D"/>
    <w:rsid w:val="00C8657B"/>
    <w:rsid w:val="00C92F77"/>
    <w:rsid w:val="00CA530D"/>
    <w:rsid w:val="00CC52C1"/>
    <w:rsid w:val="00CC5CDC"/>
    <w:rsid w:val="00CC6720"/>
    <w:rsid w:val="00CD012D"/>
    <w:rsid w:val="00CD4599"/>
    <w:rsid w:val="00CD6DC6"/>
    <w:rsid w:val="00CD78C9"/>
    <w:rsid w:val="00CE4663"/>
    <w:rsid w:val="00CF29D2"/>
    <w:rsid w:val="00D004E1"/>
    <w:rsid w:val="00D01D44"/>
    <w:rsid w:val="00D01FE0"/>
    <w:rsid w:val="00D11A92"/>
    <w:rsid w:val="00D1444A"/>
    <w:rsid w:val="00D1782F"/>
    <w:rsid w:val="00D32CB4"/>
    <w:rsid w:val="00D32E4F"/>
    <w:rsid w:val="00D33D3B"/>
    <w:rsid w:val="00D44EC6"/>
    <w:rsid w:val="00D51FD0"/>
    <w:rsid w:val="00D531B5"/>
    <w:rsid w:val="00D57305"/>
    <w:rsid w:val="00D62B61"/>
    <w:rsid w:val="00D64026"/>
    <w:rsid w:val="00D7365D"/>
    <w:rsid w:val="00D75EDA"/>
    <w:rsid w:val="00D85E42"/>
    <w:rsid w:val="00D8616C"/>
    <w:rsid w:val="00DA3E75"/>
    <w:rsid w:val="00DB70E3"/>
    <w:rsid w:val="00DC752B"/>
    <w:rsid w:val="00DE76F8"/>
    <w:rsid w:val="00E01A6B"/>
    <w:rsid w:val="00E027CC"/>
    <w:rsid w:val="00E0353B"/>
    <w:rsid w:val="00E07CB8"/>
    <w:rsid w:val="00E10DA2"/>
    <w:rsid w:val="00E11254"/>
    <w:rsid w:val="00E1638F"/>
    <w:rsid w:val="00E20299"/>
    <w:rsid w:val="00E27A82"/>
    <w:rsid w:val="00E30FFD"/>
    <w:rsid w:val="00E32765"/>
    <w:rsid w:val="00E35D2D"/>
    <w:rsid w:val="00E4263D"/>
    <w:rsid w:val="00E456D3"/>
    <w:rsid w:val="00E540C7"/>
    <w:rsid w:val="00E56B78"/>
    <w:rsid w:val="00E60006"/>
    <w:rsid w:val="00E65333"/>
    <w:rsid w:val="00E708AD"/>
    <w:rsid w:val="00E74A3F"/>
    <w:rsid w:val="00E7639F"/>
    <w:rsid w:val="00E80BF0"/>
    <w:rsid w:val="00E812FA"/>
    <w:rsid w:val="00E920D4"/>
    <w:rsid w:val="00E92E78"/>
    <w:rsid w:val="00E93BA9"/>
    <w:rsid w:val="00E9675E"/>
    <w:rsid w:val="00E96D92"/>
    <w:rsid w:val="00EA400F"/>
    <w:rsid w:val="00EB1199"/>
    <w:rsid w:val="00EC2921"/>
    <w:rsid w:val="00ED32FF"/>
    <w:rsid w:val="00EF313E"/>
    <w:rsid w:val="00EF3FDC"/>
    <w:rsid w:val="00EF5CE9"/>
    <w:rsid w:val="00F03D80"/>
    <w:rsid w:val="00F07A44"/>
    <w:rsid w:val="00F16DFF"/>
    <w:rsid w:val="00F23E1D"/>
    <w:rsid w:val="00F3782B"/>
    <w:rsid w:val="00F40580"/>
    <w:rsid w:val="00F466F2"/>
    <w:rsid w:val="00F536FC"/>
    <w:rsid w:val="00F5508B"/>
    <w:rsid w:val="00F71053"/>
    <w:rsid w:val="00F72CAD"/>
    <w:rsid w:val="00F73B0E"/>
    <w:rsid w:val="00F746D9"/>
    <w:rsid w:val="00F76B05"/>
    <w:rsid w:val="00F938CE"/>
    <w:rsid w:val="00F97255"/>
    <w:rsid w:val="00FA1BEA"/>
    <w:rsid w:val="00FA506B"/>
    <w:rsid w:val="00FA581F"/>
    <w:rsid w:val="00FB3D0E"/>
    <w:rsid w:val="00FC759F"/>
    <w:rsid w:val="00FC7EB3"/>
    <w:rsid w:val="00FD3336"/>
    <w:rsid w:val="00FD5DEC"/>
    <w:rsid w:val="00FD7D3E"/>
    <w:rsid w:val="00FE3B61"/>
    <w:rsid w:val="00FE5CCE"/>
    <w:rsid w:val="00FF1CE1"/>
    <w:rsid w:val="00FF5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536F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536FC"/>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F536FC"/>
    <w:rPr>
      <w:vertAlign w:val="superscript"/>
    </w:rPr>
  </w:style>
  <w:style w:type="character" w:styleId="Hipervnculo">
    <w:name w:val="Hyperlink"/>
    <w:basedOn w:val="Fuentedeprrafopredeter"/>
    <w:uiPriority w:val="99"/>
    <w:unhideWhenUsed/>
    <w:rsid w:val="00990C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35344">
      <w:bodyDiv w:val="1"/>
      <w:marLeft w:val="0"/>
      <w:marRight w:val="0"/>
      <w:marTop w:val="0"/>
      <w:marBottom w:val="0"/>
      <w:divBdr>
        <w:top w:val="none" w:sz="0" w:space="0" w:color="auto"/>
        <w:left w:val="none" w:sz="0" w:space="0" w:color="auto"/>
        <w:bottom w:val="none" w:sz="0" w:space="0" w:color="auto"/>
        <w:right w:val="none" w:sz="0" w:space="0" w:color="auto"/>
      </w:divBdr>
    </w:div>
    <w:div w:id="6456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DFBFE6A-FE3C-400B-9974-452B901BC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9</Pages>
  <Words>2014</Words>
  <Characters>11081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cp:revision>
  <cp:lastPrinted>2019-01-14T22:51:00Z</cp:lastPrinted>
  <dcterms:created xsi:type="dcterms:W3CDTF">2019-01-14T15:58:00Z</dcterms:created>
  <dcterms:modified xsi:type="dcterms:W3CDTF">2019-02-18T23:36:00Z</dcterms:modified>
</cp:coreProperties>
</file>