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3BE" w:rsidRDefault="001933BE" w:rsidP="001933BE">
      <w:pPr>
        <w:spacing w:before="240" w:after="240" w:line="360" w:lineRule="auto"/>
        <w:jc w:val="both"/>
        <w:rPr>
          <w:rFonts w:ascii="Palatino Linotype" w:hAnsi="Palatino Linotype"/>
          <w:b/>
        </w:rPr>
      </w:pPr>
      <w:r w:rsidRPr="00B642F2">
        <w:rPr>
          <w:rFonts w:ascii="Palatino Linotype" w:hAnsi="Palatino Linotype" w:cs="Arial"/>
          <w:b/>
          <w:color w:val="000000" w:themeColor="text1"/>
        </w:rPr>
        <w:t xml:space="preserve">VOTO </w:t>
      </w:r>
      <w:r>
        <w:rPr>
          <w:rFonts w:ascii="Palatino Linotype" w:hAnsi="Palatino Linotype" w:cs="Arial"/>
          <w:b/>
          <w:color w:val="000000" w:themeColor="text1"/>
        </w:rPr>
        <w:t>DISIDENTE</w:t>
      </w:r>
      <w:r w:rsidRPr="00B642F2">
        <w:rPr>
          <w:rFonts w:ascii="Palatino Linotype" w:hAnsi="Palatino Linotype" w:cs="Arial"/>
          <w:b/>
          <w:color w:val="000000" w:themeColor="text1"/>
        </w:rPr>
        <w:t xml:space="preserve"> DEL COMISIONADO JOSÉ GUADALUPE LUNA HERNÁNDEZ EN EL RECURSO DE REVISIÓN </w:t>
      </w:r>
      <w:r>
        <w:rPr>
          <w:rFonts w:ascii="Palatino Linotype" w:hAnsi="Palatino Linotype" w:cs="Arial"/>
          <w:b/>
          <w:bCs/>
          <w:lang w:eastAsia="es-MX"/>
        </w:rPr>
        <w:t>0</w:t>
      </w:r>
      <w:r w:rsidR="00EB4980">
        <w:rPr>
          <w:rFonts w:ascii="Palatino Linotype" w:hAnsi="Palatino Linotype" w:cs="Arial"/>
          <w:b/>
          <w:bCs/>
          <w:lang w:eastAsia="es-MX"/>
        </w:rPr>
        <w:t>4058/INFOEM/IP/RR/2018</w:t>
      </w:r>
      <w:r w:rsidRPr="00B642F2">
        <w:rPr>
          <w:rFonts w:ascii="Palatino Linotype" w:hAnsi="Palatino Linotype" w:cs="Arial"/>
          <w:b/>
          <w:color w:val="000000" w:themeColor="text1"/>
        </w:rPr>
        <w:t>.</w:t>
      </w:r>
    </w:p>
    <w:p w:rsidR="001933BE" w:rsidRDefault="001F4D39" w:rsidP="001933BE">
      <w:pPr>
        <w:spacing w:before="240" w:after="240" w:line="360" w:lineRule="auto"/>
        <w:jc w:val="both"/>
        <w:rPr>
          <w:rFonts w:ascii="Palatino Linotype" w:hAnsi="Palatino Linotype" w:cs="Arial"/>
          <w:b/>
          <w:color w:val="000000" w:themeColor="text1"/>
        </w:rPr>
      </w:pPr>
      <w:r>
        <w:rPr>
          <w:rFonts w:ascii="Palatino Linotype" w:hAnsi="Palatino Linotype" w:cs="Arial"/>
          <w:b/>
          <w:color w:val="000000" w:themeColor="text1"/>
        </w:rPr>
        <w:t xml:space="preserve">Línea Argumentativa: </w:t>
      </w:r>
    </w:p>
    <w:p w:rsidR="001F4D39" w:rsidRPr="001F4D39" w:rsidRDefault="00DF3201" w:rsidP="001F4D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jc w:val="both"/>
        <w:rPr>
          <w:rFonts w:ascii="Palatino Linotype" w:hAnsi="Palatino Linotype" w:cs="Arial"/>
          <w:color w:val="000000" w:themeColor="text1"/>
        </w:rPr>
      </w:pPr>
      <w:r>
        <w:rPr>
          <w:rFonts w:ascii="Palatino Linotype" w:hAnsi="Palatino Linotype" w:cs="Arial"/>
          <w:color w:val="000000" w:themeColor="text1"/>
        </w:rPr>
        <w:t>Garantizar</w:t>
      </w:r>
      <w:r w:rsidR="001F4D39" w:rsidRPr="001F4D39">
        <w:rPr>
          <w:rFonts w:ascii="Palatino Linotype" w:hAnsi="Palatino Linotype" w:cs="Arial"/>
          <w:color w:val="000000" w:themeColor="text1"/>
        </w:rPr>
        <w:t xml:space="preserve"> el Derecho de Acceso a la Información </w:t>
      </w:r>
      <w:r>
        <w:rPr>
          <w:rFonts w:ascii="Palatino Linotype" w:hAnsi="Palatino Linotype" w:cs="Arial"/>
          <w:color w:val="000000" w:themeColor="text1"/>
        </w:rPr>
        <w:t>consiste</w:t>
      </w:r>
      <w:r w:rsidR="001F4D39" w:rsidRPr="001F4D39">
        <w:rPr>
          <w:rFonts w:ascii="Palatino Linotype" w:hAnsi="Palatino Linotype" w:cs="Arial"/>
          <w:color w:val="000000" w:themeColor="text1"/>
        </w:rPr>
        <w:t xml:space="preserve"> adoptar medidas de acceso a la información bajo un ejercicio del principio de máxima publicidad, </w:t>
      </w:r>
      <w:r>
        <w:rPr>
          <w:rFonts w:ascii="Palatino Linotype" w:hAnsi="Palatino Linotype" w:cs="Arial"/>
          <w:color w:val="000000" w:themeColor="text1"/>
        </w:rPr>
        <w:t>partiendo</w:t>
      </w:r>
      <w:r w:rsidR="001F4D39" w:rsidRPr="001F4D39">
        <w:rPr>
          <w:rFonts w:ascii="Palatino Linotype" w:hAnsi="Palatino Linotype" w:cs="Arial"/>
          <w:color w:val="000000" w:themeColor="text1"/>
        </w:rPr>
        <w:t xml:space="preserve"> del análisis meticuloso tanto de las facultades y atribuciones del Sujeto Obligado como de la</w:t>
      </w:r>
      <w:r>
        <w:rPr>
          <w:rFonts w:ascii="Palatino Linotype" w:hAnsi="Palatino Linotype" w:cs="Arial"/>
          <w:color w:val="000000" w:themeColor="text1"/>
        </w:rPr>
        <w:t xml:space="preserve"> naturaleza</w:t>
      </w:r>
      <w:r w:rsidR="001F4D39" w:rsidRPr="001F4D39">
        <w:rPr>
          <w:rFonts w:ascii="Palatino Linotype" w:hAnsi="Palatino Linotype" w:cs="Arial"/>
          <w:color w:val="000000" w:themeColor="text1"/>
        </w:rPr>
        <w:t xml:space="preserve"> información que genera, administra y posee, </w:t>
      </w:r>
      <w:r>
        <w:rPr>
          <w:rFonts w:ascii="Palatino Linotype" w:hAnsi="Palatino Linotype" w:cs="Arial"/>
          <w:color w:val="000000" w:themeColor="text1"/>
        </w:rPr>
        <w:t>en relación a los escritos y denuncias presentados por</w:t>
      </w:r>
      <w:r w:rsidR="001F4D39" w:rsidRPr="001F4D39">
        <w:rPr>
          <w:rFonts w:ascii="Palatino Linotype" w:hAnsi="Palatino Linotype" w:cs="Arial"/>
          <w:color w:val="000000" w:themeColor="text1"/>
        </w:rPr>
        <w:t xml:space="preserve"> posible</w:t>
      </w:r>
      <w:r>
        <w:rPr>
          <w:rFonts w:ascii="Palatino Linotype" w:hAnsi="Palatino Linotype" w:cs="Arial"/>
          <w:color w:val="000000" w:themeColor="text1"/>
        </w:rPr>
        <w:t>s</w:t>
      </w:r>
      <w:r w:rsidR="001F4D39" w:rsidRPr="001F4D39">
        <w:rPr>
          <w:rFonts w:ascii="Palatino Linotype" w:hAnsi="Palatino Linotype" w:cs="Arial"/>
          <w:color w:val="000000" w:themeColor="text1"/>
        </w:rPr>
        <w:t xml:space="preserve"> acto</w:t>
      </w:r>
      <w:r>
        <w:rPr>
          <w:rFonts w:ascii="Palatino Linotype" w:hAnsi="Palatino Linotype" w:cs="Arial"/>
          <w:color w:val="000000" w:themeColor="text1"/>
        </w:rPr>
        <w:t>s</w:t>
      </w:r>
      <w:r w:rsidR="001F4D39" w:rsidRPr="001F4D39">
        <w:rPr>
          <w:rFonts w:ascii="Palatino Linotype" w:hAnsi="Palatino Linotype" w:cs="Arial"/>
          <w:color w:val="000000" w:themeColor="text1"/>
        </w:rPr>
        <w:t xml:space="preserve"> de corrupción;  documentación que debería ordenarse su entrega, ya que al ser del conocimiento del particular, abonaría la rendición de cuentas por tratarse del ejercicio de recursos provenientes del erario público. </w:t>
      </w: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bdr w:val="nil"/>
          <w:lang w:val="es-ES" w:eastAsia="en-US"/>
        </w:rPr>
        <w:id w:val="267358099"/>
        <w:docPartObj>
          <w:docPartGallery w:val="Table of Contents"/>
          <w:docPartUnique/>
        </w:docPartObj>
      </w:sdtPr>
      <w:sdtEndPr>
        <w:rPr>
          <w:rFonts w:ascii="Times New Roman" w:eastAsia="Arial Unicode MS" w:hAnsi="Times New Roman" w:cs="Times New Roman"/>
          <w:b w:val="0"/>
          <w:bCs/>
          <w:sz w:val="24"/>
          <w:szCs w:val="24"/>
        </w:rPr>
      </w:sdtEndPr>
      <w:sdtContent>
        <w:p w:rsidR="001933BE" w:rsidRPr="00795BA4" w:rsidRDefault="001933BE" w:rsidP="00795BA4">
          <w:pPr>
            <w:pStyle w:val="TtulodeTDC"/>
            <w:spacing w:after="240" w:line="360" w:lineRule="auto"/>
            <w:rPr>
              <w:rFonts w:ascii="Palatino Linotype" w:hAnsi="Palatino Linotype"/>
              <w:b/>
              <w:color w:val="auto"/>
              <w:sz w:val="22"/>
              <w:szCs w:val="22"/>
            </w:rPr>
          </w:pPr>
          <w:r w:rsidRPr="00795BA4">
            <w:rPr>
              <w:rFonts w:ascii="Palatino Linotype" w:hAnsi="Palatino Linotype"/>
              <w:b/>
              <w:color w:val="auto"/>
              <w:sz w:val="22"/>
              <w:szCs w:val="22"/>
              <w:lang w:val="es-ES"/>
            </w:rPr>
            <w:t>Índice</w:t>
          </w:r>
        </w:p>
        <w:p w:rsidR="001F4D39" w:rsidRPr="001F4D39" w:rsidRDefault="001933B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eastAsia="es-MX"/>
            </w:rPr>
          </w:pPr>
          <w:r w:rsidRPr="001F4D39">
            <w:rPr>
              <w:noProof/>
              <w:color w:val="000000" w:themeColor="text1"/>
              <w:sz w:val="22"/>
              <w:szCs w:val="22"/>
            </w:rPr>
            <w:fldChar w:fldCharType="begin"/>
          </w:r>
          <w:r w:rsidRPr="001F4D39">
            <w:rPr>
              <w:color w:val="000000" w:themeColor="text1"/>
              <w:sz w:val="22"/>
              <w:szCs w:val="22"/>
            </w:rPr>
            <w:instrText xml:space="preserve"> TOC \o "1-3" \h \z \u </w:instrText>
          </w:r>
          <w:r w:rsidRPr="001F4D39">
            <w:rPr>
              <w:noProof/>
              <w:color w:val="000000" w:themeColor="text1"/>
              <w:sz w:val="22"/>
              <w:szCs w:val="22"/>
            </w:rPr>
            <w:fldChar w:fldCharType="separate"/>
          </w:r>
          <w:hyperlink w:anchor="_Toc535863066" w:history="1">
            <w:r w:rsidR="001F4D39" w:rsidRPr="001F4D39">
              <w:rPr>
                <w:rStyle w:val="Hipervnculo"/>
                <w:noProof/>
                <w:color w:val="auto"/>
              </w:rPr>
              <w:t>I.</w:t>
            </w:r>
            <w:r w:rsidR="001F4D39" w:rsidRPr="001F4D3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bdr w:val="none" w:sz="0" w:space="0" w:color="auto"/>
                <w:lang w:eastAsia="es-MX"/>
              </w:rPr>
              <w:tab/>
            </w:r>
            <w:r w:rsidR="001F4D39" w:rsidRPr="001F4D39">
              <w:rPr>
                <w:rStyle w:val="Hipervnculo"/>
                <w:noProof/>
                <w:color w:val="auto"/>
              </w:rPr>
              <w:t>Consideraciones Generales</w:t>
            </w:r>
            <w:r w:rsidR="001F4D39" w:rsidRPr="001F4D39">
              <w:rPr>
                <w:noProof/>
                <w:webHidden/>
              </w:rPr>
              <w:tab/>
            </w:r>
            <w:r w:rsidR="001F4D39" w:rsidRPr="001F4D39">
              <w:rPr>
                <w:noProof/>
                <w:webHidden/>
              </w:rPr>
              <w:fldChar w:fldCharType="begin"/>
            </w:r>
            <w:r w:rsidR="001F4D39" w:rsidRPr="001F4D39">
              <w:rPr>
                <w:noProof/>
                <w:webHidden/>
              </w:rPr>
              <w:instrText xml:space="preserve"> PAGEREF _Toc535863066 \h </w:instrText>
            </w:r>
            <w:r w:rsidR="001F4D39" w:rsidRPr="001F4D39">
              <w:rPr>
                <w:noProof/>
                <w:webHidden/>
              </w:rPr>
            </w:r>
            <w:r w:rsidR="001F4D39" w:rsidRPr="001F4D39">
              <w:rPr>
                <w:noProof/>
                <w:webHidden/>
              </w:rPr>
              <w:fldChar w:fldCharType="separate"/>
            </w:r>
            <w:r w:rsidR="00B21DC0">
              <w:rPr>
                <w:noProof/>
                <w:webHidden/>
              </w:rPr>
              <w:t>2</w:t>
            </w:r>
            <w:r w:rsidR="001F4D39" w:rsidRPr="001F4D39">
              <w:rPr>
                <w:noProof/>
                <w:webHidden/>
              </w:rPr>
              <w:fldChar w:fldCharType="end"/>
            </w:r>
          </w:hyperlink>
        </w:p>
        <w:p w:rsidR="001F4D39" w:rsidRPr="001F4D39" w:rsidRDefault="00595793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eastAsia="es-MX"/>
            </w:rPr>
          </w:pPr>
          <w:hyperlink w:anchor="_Toc535863067" w:history="1">
            <w:r w:rsidR="001F4D39" w:rsidRPr="001F4D39">
              <w:rPr>
                <w:rStyle w:val="Hipervnculo"/>
                <w:noProof/>
                <w:color w:val="auto"/>
              </w:rPr>
              <w:t>II.</w:t>
            </w:r>
            <w:r w:rsidR="001F4D39" w:rsidRPr="001F4D3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bdr w:val="none" w:sz="0" w:space="0" w:color="auto"/>
                <w:lang w:eastAsia="es-MX"/>
              </w:rPr>
              <w:tab/>
            </w:r>
            <w:r w:rsidR="001F4D39" w:rsidRPr="001F4D39">
              <w:rPr>
                <w:rStyle w:val="Hipervnculo"/>
                <w:noProof/>
                <w:color w:val="auto"/>
              </w:rPr>
              <w:t>De los requerimientos planteados en el recurso de revisión.</w:t>
            </w:r>
            <w:r w:rsidR="001F4D39" w:rsidRPr="001F4D39">
              <w:rPr>
                <w:noProof/>
                <w:webHidden/>
              </w:rPr>
              <w:tab/>
            </w:r>
            <w:r w:rsidR="001F4D39" w:rsidRPr="001F4D39">
              <w:rPr>
                <w:noProof/>
                <w:webHidden/>
              </w:rPr>
              <w:fldChar w:fldCharType="begin"/>
            </w:r>
            <w:r w:rsidR="001F4D39" w:rsidRPr="001F4D39">
              <w:rPr>
                <w:noProof/>
                <w:webHidden/>
              </w:rPr>
              <w:instrText xml:space="preserve"> PAGEREF _Toc535863067 \h </w:instrText>
            </w:r>
            <w:r w:rsidR="001F4D39" w:rsidRPr="001F4D39">
              <w:rPr>
                <w:noProof/>
                <w:webHidden/>
              </w:rPr>
            </w:r>
            <w:r w:rsidR="001F4D39" w:rsidRPr="001F4D39">
              <w:rPr>
                <w:noProof/>
                <w:webHidden/>
              </w:rPr>
              <w:fldChar w:fldCharType="separate"/>
            </w:r>
            <w:r w:rsidR="00B21DC0">
              <w:rPr>
                <w:noProof/>
                <w:webHidden/>
              </w:rPr>
              <w:t>3</w:t>
            </w:r>
            <w:r w:rsidR="001F4D39" w:rsidRPr="001F4D39">
              <w:rPr>
                <w:noProof/>
                <w:webHidden/>
              </w:rPr>
              <w:fldChar w:fldCharType="end"/>
            </w:r>
          </w:hyperlink>
        </w:p>
        <w:p w:rsidR="001F4D39" w:rsidRPr="001F4D39" w:rsidRDefault="005957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eastAsia="es-MX"/>
            </w:rPr>
          </w:pPr>
          <w:hyperlink w:anchor="_Toc535863068" w:history="1">
            <w:r w:rsidR="001F4D39" w:rsidRPr="001F4D39">
              <w:rPr>
                <w:rStyle w:val="Hipervnculo"/>
                <w:rFonts w:ascii="Palatino Linotype" w:hAnsi="Palatino Linotype"/>
                <w:noProof/>
                <w:color w:val="auto"/>
              </w:rPr>
              <w:t>III. De las atribuciones, facultades, competencias y funciones del Sujeto Obligado.</w:t>
            </w:r>
            <w:r w:rsidR="001F4D39" w:rsidRPr="001F4D39">
              <w:rPr>
                <w:noProof/>
                <w:webHidden/>
              </w:rPr>
              <w:tab/>
            </w:r>
            <w:r w:rsidR="001F4D39" w:rsidRPr="001F4D39">
              <w:rPr>
                <w:noProof/>
                <w:webHidden/>
              </w:rPr>
              <w:fldChar w:fldCharType="begin"/>
            </w:r>
            <w:r w:rsidR="001F4D39" w:rsidRPr="001F4D39">
              <w:rPr>
                <w:noProof/>
                <w:webHidden/>
              </w:rPr>
              <w:instrText xml:space="preserve"> PAGEREF _Toc535863068 \h </w:instrText>
            </w:r>
            <w:r w:rsidR="001F4D39" w:rsidRPr="001F4D39">
              <w:rPr>
                <w:noProof/>
                <w:webHidden/>
              </w:rPr>
            </w:r>
            <w:r w:rsidR="001F4D39" w:rsidRPr="001F4D39">
              <w:rPr>
                <w:noProof/>
                <w:webHidden/>
              </w:rPr>
              <w:fldChar w:fldCharType="separate"/>
            </w:r>
            <w:r w:rsidR="00B21DC0">
              <w:rPr>
                <w:noProof/>
                <w:webHidden/>
              </w:rPr>
              <w:t>4</w:t>
            </w:r>
            <w:r w:rsidR="001F4D39" w:rsidRPr="001F4D39">
              <w:rPr>
                <w:noProof/>
                <w:webHidden/>
              </w:rPr>
              <w:fldChar w:fldCharType="end"/>
            </w:r>
          </w:hyperlink>
        </w:p>
        <w:p w:rsidR="001F4D39" w:rsidRPr="001F4D39" w:rsidRDefault="005957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eastAsia="es-MX"/>
            </w:rPr>
          </w:pPr>
          <w:hyperlink w:anchor="_Toc535863069" w:history="1">
            <w:r w:rsidR="001F4D39" w:rsidRPr="001F4D39">
              <w:rPr>
                <w:rStyle w:val="Hipervnculo"/>
                <w:rFonts w:ascii="Palatino Linotype" w:hAnsi="Palatino Linotype"/>
                <w:noProof/>
              </w:rPr>
              <w:t>VI. Conclusión.</w:t>
            </w:r>
            <w:r w:rsidR="001F4D39" w:rsidRPr="001F4D39">
              <w:rPr>
                <w:noProof/>
                <w:webHidden/>
              </w:rPr>
              <w:tab/>
            </w:r>
            <w:r w:rsidR="001F4D39" w:rsidRPr="001F4D39">
              <w:rPr>
                <w:noProof/>
                <w:webHidden/>
              </w:rPr>
              <w:fldChar w:fldCharType="begin"/>
            </w:r>
            <w:r w:rsidR="001F4D39" w:rsidRPr="001F4D39">
              <w:rPr>
                <w:noProof/>
                <w:webHidden/>
              </w:rPr>
              <w:instrText xml:space="preserve"> PAGEREF _Toc535863069 \h </w:instrText>
            </w:r>
            <w:r w:rsidR="001F4D39" w:rsidRPr="001F4D39">
              <w:rPr>
                <w:noProof/>
                <w:webHidden/>
              </w:rPr>
            </w:r>
            <w:r w:rsidR="001F4D39" w:rsidRPr="001F4D39">
              <w:rPr>
                <w:noProof/>
                <w:webHidden/>
              </w:rPr>
              <w:fldChar w:fldCharType="separate"/>
            </w:r>
            <w:r w:rsidR="00B21DC0">
              <w:rPr>
                <w:noProof/>
                <w:webHidden/>
              </w:rPr>
              <w:t>7</w:t>
            </w:r>
            <w:r w:rsidR="001F4D39" w:rsidRPr="001F4D39">
              <w:rPr>
                <w:noProof/>
                <w:webHidden/>
              </w:rPr>
              <w:fldChar w:fldCharType="end"/>
            </w:r>
          </w:hyperlink>
        </w:p>
        <w:p w:rsidR="001933BE" w:rsidRPr="001F4D39" w:rsidRDefault="001933BE" w:rsidP="002F6E68">
          <w:pPr>
            <w:spacing w:before="240" w:after="240" w:line="360" w:lineRule="auto"/>
            <w:ind w:left="284"/>
            <w:rPr>
              <w:color w:val="000000" w:themeColor="text1"/>
            </w:rPr>
          </w:pPr>
          <w:r w:rsidRPr="001F4D39">
            <w:rPr>
              <w:bCs/>
              <w:color w:val="000000" w:themeColor="text1"/>
              <w:lang w:val="es-ES"/>
            </w:rPr>
            <w:fldChar w:fldCharType="end"/>
          </w:r>
        </w:p>
      </w:sdtContent>
    </w:sdt>
    <w:p w:rsidR="001933BE" w:rsidRPr="00FA6405" w:rsidRDefault="001933BE" w:rsidP="001933BE">
      <w:pPr>
        <w:pStyle w:val="Ttulo1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360" w:lineRule="auto"/>
      </w:pPr>
      <w:bookmarkStart w:id="0" w:name="_Toc535863066"/>
      <w:r w:rsidRPr="00FA6405">
        <w:lastRenderedPageBreak/>
        <w:t>Consideraciones Generales</w:t>
      </w:r>
      <w:bookmarkEnd w:id="0"/>
    </w:p>
    <w:p w:rsidR="001933BE" w:rsidRPr="007E254B" w:rsidRDefault="001933BE" w:rsidP="005A14B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eastAsiaTheme="minorHAnsi" w:hAnsi="Palatino Linotype" w:cs="Arial"/>
          <w:color w:val="000000" w:themeColor="text1"/>
        </w:rPr>
      </w:pPr>
      <w:r w:rsidRPr="00315772">
        <w:rPr>
          <w:rFonts w:ascii="Palatino Linotype" w:eastAsia="Times New Roman" w:hAnsi="Palatino Linotype" w:cs="Arial"/>
          <w:color w:val="000000" w:themeColor="text1"/>
          <w:lang w:val="es-ES_tradnl"/>
        </w:rPr>
        <w:t xml:space="preserve">He concurrido con mi voto </w:t>
      </w:r>
      <w:r w:rsidR="00A63691">
        <w:rPr>
          <w:rFonts w:ascii="Palatino Linotype" w:eastAsia="Times New Roman" w:hAnsi="Palatino Linotype" w:cs="Arial"/>
          <w:color w:val="000000" w:themeColor="text1"/>
          <w:lang w:val="es-ES_tradnl"/>
        </w:rPr>
        <w:t>disidente</w:t>
      </w:r>
      <w:r w:rsidRPr="00315772">
        <w:rPr>
          <w:rFonts w:ascii="Palatino Linotype" w:eastAsia="Times New Roman" w:hAnsi="Palatino Linotype" w:cs="Arial"/>
          <w:color w:val="000000" w:themeColor="text1"/>
          <w:lang w:val="es-ES_tradnl"/>
        </w:rPr>
        <w:t xml:space="preserve"> de la presente resolución emitida </w:t>
      </w:r>
      <w:r w:rsidRPr="00315772">
        <w:rPr>
          <w:rFonts w:ascii="Palatino Linotype" w:hAnsi="Palatino Linotype" w:cs="Arial"/>
          <w:color w:val="000000" w:themeColor="text1"/>
        </w:rPr>
        <w:t xml:space="preserve">por el Pleno del Instituto de Transparencia, Acceso a la Información Pública y Protección de Datos Personales del Estado de México y Municipios, en su </w:t>
      </w:r>
      <w:r w:rsidR="00EB4980">
        <w:rPr>
          <w:rFonts w:ascii="Palatino Linotype" w:hAnsi="Palatino Linotype" w:cs="Arial"/>
          <w:color w:val="000000" w:themeColor="text1"/>
        </w:rPr>
        <w:t>segunda</w:t>
      </w:r>
      <w:r w:rsidRPr="00315772">
        <w:rPr>
          <w:rFonts w:ascii="Palatino Linotype" w:hAnsi="Palatino Linotype" w:cs="Arial"/>
          <w:color w:val="000000" w:themeColor="text1"/>
        </w:rPr>
        <w:t xml:space="preserve"> sesión ordinaria de fecha </w:t>
      </w:r>
      <w:r w:rsidR="00EB4980">
        <w:rPr>
          <w:rFonts w:ascii="Palatino Linotype" w:eastAsia="Times New Roman" w:hAnsi="Palatino Linotype" w:cs="Arial"/>
          <w:color w:val="000000"/>
          <w:lang w:eastAsia="es-MX"/>
        </w:rPr>
        <w:t>dieciséis</w:t>
      </w:r>
      <w:r w:rsidRPr="00315772">
        <w:rPr>
          <w:rFonts w:ascii="Palatino Linotype" w:eastAsia="Times New Roman" w:hAnsi="Palatino Linotype" w:cs="Arial"/>
          <w:color w:val="000000"/>
          <w:lang w:eastAsia="es-MX"/>
        </w:rPr>
        <w:t xml:space="preserve"> (</w:t>
      </w:r>
      <w:r w:rsidR="00EB4980">
        <w:rPr>
          <w:rFonts w:ascii="Palatino Linotype" w:eastAsia="Times New Roman" w:hAnsi="Palatino Linotype" w:cs="Arial"/>
          <w:color w:val="000000"/>
          <w:lang w:eastAsia="es-MX"/>
        </w:rPr>
        <w:t>16</w:t>
      </w:r>
      <w:r w:rsidRPr="00315772">
        <w:rPr>
          <w:rFonts w:ascii="Palatino Linotype" w:eastAsia="Times New Roman" w:hAnsi="Palatino Linotype" w:cs="Arial"/>
          <w:color w:val="000000"/>
          <w:lang w:eastAsia="es-MX"/>
        </w:rPr>
        <w:t xml:space="preserve">) de </w:t>
      </w:r>
      <w:r w:rsidR="00EB4980">
        <w:rPr>
          <w:rFonts w:ascii="Palatino Linotype" w:eastAsia="Times New Roman" w:hAnsi="Palatino Linotype" w:cs="Arial"/>
          <w:color w:val="000000"/>
          <w:lang w:eastAsia="es-MX"/>
        </w:rPr>
        <w:t>enero</w:t>
      </w:r>
      <w:r w:rsidRPr="00315772">
        <w:rPr>
          <w:rFonts w:ascii="Palatino Linotype" w:eastAsia="Times New Roman" w:hAnsi="Palatino Linotype" w:cs="Arial"/>
          <w:color w:val="000000"/>
          <w:lang w:eastAsia="es-MX"/>
        </w:rPr>
        <w:t xml:space="preserve"> de dos mil dieci</w:t>
      </w:r>
      <w:r w:rsidR="00EB4980">
        <w:rPr>
          <w:rFonts w:ascii="Palatino Linotype" w:eastAsia="Times New Roman" w:hAnsi="Palatino Linotype" w:cs="Arial"/>
          <w:color w:val="000000"/>
          <w:lang w:eastAsia="es-MX"/>
        </w:rPr>
        <w:t>nueve</w:t>
      </w:r>
      <w:r w:rsidRPr="00315772">
        <w:rPr>
          <w:rFonts w:ascii="Palatino Linotype" w:hAnsi="Palatino Linotype" w:cs="Arial"/>
          <w:color w:val="000000" w:themeColor="text1"/>
        </w:rPr>
        <w:t xml:space="preserve">, en el recurso de revisión promovido </w:t>
      </w:r>
      <w:r w:rsidR="00B21DC0">
        <w:rPr>
          <w:rFonts w:ascii="Palatino Linotype" w:hAnsi="Palatino Linotype"/>
        </w:rPr>
        <w:t>en contra</w:t>
      </w:r>
      <w:r w:rsidR="00D30999">
        <w:rPr>
          <w:rFonts w:ascii="Palatino Linotype" w:hAnsi="Palatino Linotype"/>
          <w:b/>
        </w:rPr>
        <w:t xml:space="preserve"> </w:t>
      </w:r>
      <w:r w:rsidR="00D30999" w:rsidRPr="00B21DC0">
        <w:rPr>
          <w:rFonts w:ascii="Palatino Linotype" w:hAnsi="Palatino Linotype"/>
        </w:rPr>
        <w:t xml:space="preserve">de </w:t>
      </w:r>
      <w:r w:rsidR="00EB4980" w:rsidRPr="00B21DC0">
        <w:rPr>
          <w:rFonts w:ascii="Palatino Linotype" w:hAnsi="Palatino Linotype"/>
        </w:rPr>
        <w:t>la</w:t>
      </w:r>
      <w:r w:rsidR="00EB4980">
        <w:rPr>
          <w:rFonts w:ascii="Palatino Linotype" w:hAnsi="Palatino Linotype"/>
          <w:b/>
        </w:rPr>
        <w:t xml:space="preserve"> Fiscalía General de Justicia del Estado de México</w:t>
      </w:r>
      <w:r w:rsidRPr="00315772">
        <w:rPr>
          <w:rFonts w:ascii="Palatino Linotype" w:hAnsi="Palatino Linotype" w:cs="Arial"/>
          <w:color w:val="000000" w:themeColor="text1"/>
        </w:rPr>
        <w:t xml:space="preserve">, procedimiento al que se le asignó el número de expediente </w:t>
      </w:r>
      <w:r>
        <w:rPr>
          <w:rFonts w:ascii="Palatino Linotype" w:hAnsi="Palatino Linotype"/>
          <w:b/>
        </w:rPr>
        <w:t>0</w:t>
      </w:r>
      <w:r w:rsidR="00EB4980">
        <w:rPr>
          <w:rFonts w:ascii="Palatino Linotype" w:hAnsi="Palatino Linotype"/>
          <w:b/>
        </w:rPr>
        <w:t>4058</w:t>
      </w:r>
      <w:r>
        <w:rPr>
          <w:rFonts w:ascii="Palatino Linotype" w:hAnsi="Palatino Linotype"/>
          <w:b/>
        </w:rPr>
        <w:t>/INFOEM/IP/RR/201</w:t>
      </w:r>
      <w:r w:rsidR="00EB4980">
        <w:rPr>
          <w:rFonts w:ascii="Palatino Linotype" w:hAnsi="Palatino Linotype"/>
          <w:b/>
        </w:rPr>
        <w:t>8</w:t>
      </w:r>
      <w:r w:rsidRPr="00315772">
        <w:rPr>
          <w:rFonts w:ascii="Palatino Linotype" w:eastAsia="Times New Roman" w:hAnsi="Palatino Linotype" w:cs="Arial"/>
          <w:b/>
          <w:bCs/>
          <w:color w:val="000000" w:themeColor="text1"/>
          <w:lang w:eastAsia="es-ES"/>
        </w:rPr>
        <w:t>.</w:t>
      </w:r>
    </w:p>
    <w:p w:rsidR="001933BE" w:rsidRPr="00315772" w:rsidRDefault="001933BE" w:rsidP="001933BE">
      <w:pPr>
        <w:pStyle w:val="Prrafodelista"/>
        <w:spacing w:before="240" w:after="240" w:line="360" w:lineRule="auto"/>
        <w:ind w:left="0"/>
        <w:jc w:val="both"/>
        <w:rPr>
          <w:rFonts w:ascii="Palatino Linotype" w:hAnsi="Palatino Linotype" w:cs="Arial"/>
          <w:color w:val="000000" w:themeColor="text1"/>
        </w:rPr>
      </w:pPr>
    </w:p>
    <w:p w:rsidR="0030208C" w:rsidRPr="00EB4980" w:rsidRDefault="001933BE" w:rsidP="00EB498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="Arial"/>
          <w:color w:val="000000" w:themeColor="text1"/>
        </w:rPr>
      </w:pPr>
      <w:r w:rsidRPr="00E535E4">
        <w:rPr>
          <w:rFonts w:ascii="Palatino Linotype" w:hAnsi="Palatino Linotype" w:cs="Arial"/>
          <w:color w:val="000000" w:themeColor="text1"/>
        </w:rPr>
        <w:t xml:space="preserve">La resolución señala que es procedente </w:t>
      </w:r>
      <w:r w:rsidR="00EB4980">
        <w:rPr>
          <w:rFonts w:ascii="Palatino Linotype" w:eastAsia="Times New Roman" w:hAnsi="Palatino Linotype" w:cs="Arial"/>
          <w:b/>
        </w:rPr>
        <w:t>SOBRESEER</w:t>
      </w:r>
      <w:r w:rsidR="00D30999">
        <w:rPr>
          <w:rFonts w:ascii="Palatino Linotype" w:eastAsia="Times New Roman" w:hAnsi="Palatino Linotype" w:cs="Arial"/>
          <w:b/>
        </w:rPr>
        <w:t xml:space="preserve"> </w:t>
      </w:r>
      <w:r w:rsidR="00EB4980">
        <w:rPr>
          <w:rFonts w:ascii="Palatino Linotype" w:eastAsia="Times New Roman" w:hAnsi="Palatino Linotype" w:cs="Arial"/>
        </w:rPr>
        <w:t xml:space="preserve">el recurso de revisión por quedarse sin materia en términos del considerando TERCERO de la resolución. </w:t>
      </w:r>
    </w:p>
    <w:p w:rsidR="00EB4980" w:rsidRPr="00EB4980" w:rsidRDefault="00EB4980" w:rsidP="00EB4980">
      <w:pPr>
        <w:pStyle w:val="Prrafodelista"/>
        <w:rPr>
          <w:rFonts w:ascii="Palatino Linotype" w:hAnsi="Palatino Linotype" w:cs="Arial"/>
          <w:color w:val="000000" w:themeColor="text1"/>
        </w:rPr>
      </w:pPr>
    </w:p>
    <w:p w:rsidR="001933BE" w:rsidRPr="00806194" w:rsidRDefault="001933BE" w:rsidP="005A14B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/>
        </w:rPr>
      </w:pPr>
      <w:r w:rsidRPr="00806194">
        <w:rPr>
          <w:rFonts w:ascii="Palatino Linotype" w:hAnsi="Palatino Linotype" w:cs="Arial"/>
          <w:color w:val="000000" w:themeColor="text1"/>
        </w:rPr>
        <w:t xml:space="preserve">Mi voto </w:t>
      </w:r>
      <w:r w:rsidR="00A63691">
        <w:rPr>
          <w:rFonts w:ascii="Palatino Linotype" w:hAnsi="Palatino Linotype" w:cs="Arial"/>
          <w:color w:val="000000" w:themeColor="text1"/>
        </w:rPr>
        <w:t>disidente concurre</w:t>
      </w:r>
      <w:r w:rsidRPr="00806194">
        <w:rPr>
          <w:rFonts w:ascii="Palatino Linotype" w:hAnsi="Palatino Linotype" w:cs="Arial"/>
          <w:color w:val="000000" w:themeColor="text1"/>
        </w:rPr>
        <w:t xml:space="preserve"> al </w:t>
      </w:r>
      <w:r w:rsidR="0030208C">
        <w:rPr>
          <w:rFonts w:ascii="Palatino Linotype" w:hAnsi="Palatino Linotype" w:cs="Arial"/>
          <w:color w:val="000000" w:themeColor="text1"/>
        </w:rPr>
        <w:t xml:space="preserve">haberse </w:t>
      </w:r>
      <w:r w:rsidR="00EB4980">
        <w:rPr>
          <w:rFonts w:ascii="Palatino Linotype" w:hAnsi="Palatino Linotype" w:cs="Arial"/>
          <w:color w:val="000000" w:themeColor="text1"/>
        </w:rPr>
        <w:t xml:space="preserve">determinado que el recurso de revisión se quedó sin materia por el hecho de que no corresponde a las atribuciones, facultades o funciones del Sujeto Obligado, emitir acciones preventivas y correctivas </w:t>
      </w:r>
      <w:r w:rsidR="001C5397">
        <w:rPr>
          <w:rFonts w:ascii="Palatino Linotype" w:hAnsi="Palatino Linotype" w:cs="Arial"/>
          <w:color w:val="000000" w:themeColor="text1"/>
        </w:rPr>
        <w:t xml:space="preserve">tomadas a partir de un escrito presentado ante el Congreso, el Fiscal Anticorrupción y la Contraloría del Estado. </w:t>
      </w:r>
    </w:p>
    <w:p w:rsidR="001933BE" w:rsidRPr="00806194" w:rsidRDefault="001933BE" w:rsidP="001933BE">
      <w:pPr>
        <w:pStyle w:val="Prrafodelista"/>
        <w:spacing w:before="240" w:after="240" w:line="360" w:lineRule="auto"/>
        <w:ind w:left="0"/>
        <w:jc w:val="both"/>
        <w:rPr>
          <w:rFonts w:ascii="Palatino Linotype" w:hAnsi="Palatino Linotype"/>
        </w:rPr>
      </w:pPr>
    </w:p>
    <w:p w:rsidR="001933BE" w:rsidRPr="00B642F2" w:rsidRDefault="001933BE" w:rsidP="005A14B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="Arial"/>
          <w:color w:val="000000" w:themeColor="text1"/>
        </w:rPr>
      </w:pPr>
      <w:r w:rsidRPr="00B642F2">
        <w:rPr>
          <w:rFonts w:ascii="Palatino Linotype" w:hAnsi="Palatino Linotype" w:cs="Arial"/>
          <w:color w:val="000000" w:themeColor="text1"/>
        </w:rPr>
        <w:t xml:space="preserve">Por tal motivo y en términos de lo señalado por el artículo 14 fracción XI del Reglamento Interior del Instituto de Transparencia y Acceso a la Información Pública del Estado de México y Municipios formulo el presente voto </w:t>
      </w:r>
      <w:r w:rsidR="002F6E68">
        <w:rPr>
          <w:rFonts w:ascii="Palatino Linotype" w:hAnsi="Palatino Linotype" w:cs="Arial"/>
          <w:color w:val="000000" w:themeColor="text1"/>
        </w:rPr>
        <w:t>disidente</w:t>
      </w:r>
      <w:r w:rsidRPr="00B642F2">
        <w:rPr>
          <w:rFonts w:ascii="Palatino Linotype" w:hAnsi="Palatino Linotype" w:cs="Arial"/>
          <w:color w:val="000000" w:themeColor="text1"/>
        </w:rPr>
        <w:t xml:space="preserve">. </w:t>
      </w:r>
    </w:p>
    <w:p w:rsidR="001933BE" w:rsidRPr="00B642F2" w:rsidRDefault="001933BE" w:rsidP="001933BE">
      <w:pPr>
        <w:pStyle w:val="Prrafodelista"/>
        <w:spacing w:before="240" w:after="240" w:line="360" w:lineRule="auto"/>
        <w:ind w:left="426"/>
        <w:jc w:val="both"/>
        <w:rPr>
          <w:rFonts w:ascii="Palatino Linotype" w:hAnsi="Palatino Linotype" w:cs="Arial"/>
          <w:color w:val="000000" w:themeColor="text1"/>
        </w:rPr>
      </w:pPr>
    </w:p>
    <w:p w:rsidR="001933BE" w:rsidRPr="002F6E68" w:rsidRDefault="001933BE" w:rsidP="001933BE">
      <w:pPr>
        <w:pStyle w:val="Ttulo1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360" w:lineRule="auto"/>
      </w:pPr>
      <w:bookmarkStart w:id="1" w:name="_Toc535863067"/>
      <w:r w:rsidRPr="002F6E68">
        <w:lastRenderedPageBreak/>
        <w:t>De los requerimientos planteados en el recurso de revisión.</w:t>
      </w:r>
      <w:bookmarkEnd w:id="1"/>
    </w:p>
    <w:p w:rsidR="001933BE" w:rsidRPr="002F6E68" w:rsidRDefault="001C5397" w:rsidP="001C5397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</w:rPr>
        <w:t>El particular</w:t>
      </w:r>
      <w:r w:rsidR="001933BE" w:rsidRPr="002F6E68">
        <w:rPr>
          <w:rFonts w:ascii="Palatino Linotype" w:hAnsi="Palatino Linotype"/>
          <w:b/>
        </w:rPr>
        <w:t xml:space="preserve"> </w:t>
      </w:r>
      <w:r w:rsidR="001933BE" w:rsidRPr="002F6E68">
        <w:rPr>
          <w:rFonts w:ascii="Palatino Linotype" w:hAnsi="Palatino Linotype" w:cs="Arial"/>
          <w:color w:val="000000" w:themeColor="text1"/>
        </w:rPr>
        <w:t xml:space="preserve">mediante la solicitud de acceso a la información </w:t>
      </w:r>
      <w:r w:rsidRPr="001C5397">
        <w:rPr>
          <w:rFonts w:ascii="Palatino Linotype" w:hAnsi="Palatino Linotype" w:cs="Arial"/>
          <w:b/>
        </w:rPr>
        <w:t>00539/FGJ/IP/2018</w:t>
      </w:r>
      <w:r>
        <w:rPr>
          <w:rFonts w:ascii="Palatino Linotype" w:hAnsi="Palatino Linotype" w:cs="Arial"/>
          <w:b/>
        </w:rPr>
        <w:t xml:space="preserve"> </w:t>
      </w:r>
      <w:r w:rsidR="001933BE" w:rsidRPr="002F6E68">
        <w:rPr>
          <w:rFonts w:ascii="Palatino Linotype" w:hAnsi="Palatino Linotype" w:cs="Arial"/>
          <w:color w:val="000000" w:themeColor="text1"/>
        </w:rPr>
        <w:t>requirió</w:t>
      </w:r>
      <w:r w:rsidR="001933BE" w:rsidRPr="002F6E68">
        <w:rPr>
          <w:rFonts w:ascii="Palatino Linotype" w:hAnsi="Palatino Linotype" w:cs="Arial"/>
        </w:rPr>
        <w:t xml:space="preserve"> que el </w:t>
      </w:r>
      <w:r w:rsidR="001933BE" w:rsidRPr="002F6E68">
        <w:rPr>
          <w:rFonts w:ascii="Palatino Linotype" w:hAnsi="Palatino Linotype" w:cs="Arial"/>
          <w:b/>
        </w:rPr>
        <w:t>SUJETO OBLIGADO</w:t>
      </w:r>
      <w:r w:rsidR="001933BE" w:rsidRPr="002F6E68">
        <w:rPr>
          <w:rFonts w:ascii="Palatino Linotype" w:hAnsi="Palatino Linotype" w:cs="Arial"/>
        </w:rPr>
        <w:t xml:space="preserve"> le proporcionara, vía Sistema de Acceso a la Información Mexiquense (SAIMEX) la siguiente información:</w:t>
      </w:r>
    </w:p>
    <w:p w:rsidR="001933BE" w:rsidRPr="00692CB2" w:rsidRDefault="001933BE" w:rsidP="001933BE">
      <w:pPr>
        <w:pStyle w:val="Prrafodelista"/>
        <w:spacing w:before="240" w:after="240" w:line="360" w:lineRule="auto"/>
        <w:ind w:left="0" w:right="49"/>
        <w:jc w:val="both"/>
        <w:rPr>
          <w:rFonts w:ascii="Palatino Linotype" w:hAnsi="Palatino Linotype" w:cs="Arial"/>
        </w:rPr>
      </w:pPr>
    </w:p>
    <w:p w:rsidR="001C5397" w:rsidRDefault="001C5397" w:rsidP="001C5397">
      <w:pPr>
        <w:pStyle w:val="Prrafodelista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 xml:space="preserve">Acciones preventivas y correctivas tomadas por el Congreso, Fiscal Anti Corrupción y la Contraloría del Estado, quienes recibieron la denuncia relacionada con la licitación para la renta de vehículos de seguridad pública. </w:t>
      </w:r>
    </w:p>
    <w:p w:rsidR="001C5397" w:rsidRDefault="001C5397" w:rsidP="001C5397">
      <w:pPr>
        <w:pStyle w:val="Prrafodelista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 xml:space="preserve">¿Por qué las contralorías internas de finanzas y seguridad pública, no revisaron las bases y tomaron medidas preventivas? ¿Es así como el gobernador combatirá la corrupción, o solo fue una promesa de campaña, que no se cumplirá? </w:t>
      </w:r>
    </w:p>
    <w:p w:rsidR="001933BE" w:rsidRPr="00692CB2" w:rsidRDefault="001933BE" w:rsidP="001933BE">
      <w:pPr>
        <w:pStyle w:val="Prrafodelista"/>
        <w:spacing w:before="240" w:after="240" w:line="360" w:lineRule="auto"/>
        <w:ind w:left="0" w:right="49"/>
        <w:jc w:val="both"/>
        <w:rPr>
          <w:rFonts w:ascii="Palatino Linotype" w:hAnsi="Palatino Linotype" w:cs="Arial"/>
        </w:rPr>
      </w:pPr>
    </w:p>
    <w:p w:rsidR="005A14B9" w:rsidRPr="007C09AD" w:rsidRDefault="001933BE" w:rsidP="001C5397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="Arial"/>
        </w:rPr>
      </w:pPr>
      <w:r w:rsidRPr="00692CB2">
        <w:rPr>
          <w:rFonts w:ascii="Palatino Linotype" w:hAnsi="Palatino Linotype" w:cs="Arial"/>
          <w:color w:val="000000" w:themeColor="text1"/>
        </w:rPr>
        <w:t xml:space="preserve">En atención a dicha solicitud el </w:t>
      </w:r>
      <w:r w:rsidRPr="00692CB2">
        <w:rPr>
          <w:rFonts w:ascii="Palatino Linotype" w:hAnsi="Palatino Linotype" w:cs="Arial"/>
          <w:b/>
          <w:color w:val="000000" w:themeColor="text1"/>
        </w:rPr>
        <w:t>SUJETO OBLIGADO</w:t>
      </w:r>
      <w:r w:rsidRPr="00692CB2">
        <w:rPr>
          <w:rFonts w:ascii="Palatino Linotype" w:hAnsi="Palatino Linotype" w:cs="Arial"/>
          <w:color w:val="000000" w:themeColor="text1"/>
        </w:rPr>
        <w:t xml:space="preserve"> </w:t>
      </w:r>
      <w:r w:rsidR="001C5397">
        <w:rPr>
          <w:rFonts w:ascii="Palatino Linotype" w:hAnsi="Palatino Linotype"/>
          <w:color w:val="000000" w:themeColor="text1"/>
        </w:rPr>
        <w:t xml:space="preserve">respondió que se encuentra imposibilitado para dar acceso a Carpetas de Investigación o Averiguaciones Previas. </w:t>
      </w:r>
    </w:p>
    <w:p w:rsidR="005A14B9" w:rsidRPr="002F6E68" w:rsidRDefault="005A14B9" w:rsidP="005A14B9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0" w:right="49"/>
        <w:jc w:val="both"/>
        <w:rPr>
          <w:rFonts w:ascii="Palatino Linotype" w:hAnsi="Palatino Linotype" w:cs="Arial"/>
        </w:rPr>
      </w:pPr>
    </w:p>
    <w:p w:rsidR="001933BE" w:rsidRPr="001C5397" w:rsidRDefault="001C5397" w:rsidP="001C5397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  <w:color w:val="000000" w:themeColor="text1"/>
          <w:lang w:val="es-ES_tradnl"/>
        </w:rPr>
        <w:t xml:space="preserve">Motivo por el cual el particular se dolió  e interpuso </w:t>
      </w:r>
      <w:r w:rsidRPr="001C5397">
        <w:rPr>
          <w:rFonts w:ascii="Palatino Linotype" w:hAnsi="Palatino Linotype"/>
          <w:color w:val="000000" w:themeColor="text1"/>
          <w:lang w:val="es-ES_tradnl"/>
        </w:rPr>
        <w:t xml:space="preserve">el recurso de revisión que ahora se resuelve </w:t>
      </w:r>
      <w:r>
        <w:rPr>
          <w:rFonts w:ascii="Palatino Linotype" w:hAnsi="Palatino Linotype"/>
          <w:color w:val="000000" w:themeColor="text1"/>
          <w:lang w:val="es-ES_tradnl"/>
        </w:rPr>
        <w:t xml:space="preserve">señalando en las razones o motivos de inconformidad que el Titular no entrega las versiones públicas de las acciones que llevo a cabo en relación al escrito presentado. </w:t>
      </w:r>
    </w:p>
    <w:p w:rsidR="001933BE" w:rsidRPr="00C400C2" w:rsidRDefault="001933BE" w:rsidP="001933BE">
      <w:pPr>
        <w:pStyle w:val="Prrafodelista"/>
        <w:spacing w:before="240" w:after="240" w:line="360" w:lineRule="auto"/>
        <w:ind w:left="0"/>
        <w:jc w:val="both"/>
        <w:rPr>
          <w:rFonts w:ascii="Palatino Linotype" w:hAnsi="Palatino Linotype" w:cstheme="minorBidi"/>
        </w:rPr>
      </w:pPr>
    </w:p>
    <w:p w:rsidR="009C1935" w:rsidRPr="009C1935" w:rsidRDefault="001C5397" w:rsidP="005A14B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theme="minorBidi"/>
        </w:rPr>
      </w:pPr>
      <w:r>
        <w:rPr>
          <w:rFonts w:ascii="Palatino Linotype" w:hAnsi="Palatino Linotype" w:cstheme="minorBidi"/>
        </w:rPr>
        <w:lastRenderedPageBreak/>
        <w:t>Respuesta que la Fiscalía General de Justicia del Estado de México ratificó al momento de remitir el i</w:t>
      </w:r>
      <w:r w:rsidR="006169A7">
        <w:rPr>
          <w:rFonts w:ascii="Palatino Linotype" w:hAnsi="Palatino Linotype" w:cstheme="minorBidi"/>
        </w:rPr>
        <w:t xml:space="preserve">nforme justificado. </w:t>
      </w:r>
    </w:p>
    <w:p w:rsidR="009C1935" w:rsidRPr="009C1935" w:rsidRDefault="009C1935" w:rsidP="009C1935">
      <w:pPr>
        <w:pStyle w:val="Prrafodelista"/>
        <w:rPr>
          <w:rFonts w:ascii="Palatino Linotype" w:hAnsi="Palatino Linotype" w:cs="Arial"/>
        </w:rPr>
      </w:pPr>
    </w:p>
    <w:p w:rsidR="006169A7" w:rsidRPr="006169A7" w:rsidRDefault="006169A7" w:rsidP="005A14B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theme="minorBidi"/>
        </w:rPr>
      </w:pPr>
      <w:r>
        <w:rPr>
          <w:rFonts w:ascii="Palatino Linotype" w:hAnsi="Palatino Linotype" w:cs="Arial"/>
        </w:rPr>
        <w:t xml:space="preserve">Aunado a lo anterior en la diligencia para mejor proveer el Sujeto Obligado manifestó que el peticionario busca saber las acciones preventivas y correctivas en relación al escrito presentado, sin embargo, la  Fiscalía no cuenta con atribuciones que conduzcan a realizar acciones preventivas o correctivas a partir de un documento que fue presentado a la Legislatura, por lo que considera que el particular debe dirigir su solicitud a la Contraloría del Estado, a  la Secretaría de Finanzas y en su caso al Órgano Superior de Fiscalización del Estado de México. </w:t>
      </w:r>
    </w:p>
    <w:p w:rsidR="006169A7" w:rsidRPr="006169A7" w:rsidRDefault="006169A7" w:rsidP="006169A7">
      <w:pPr>
        <w:pStyle w:val="Prrafodelista"/>
        <w:rPr>
          <w:rFonts w:ascii="Palatino Linotype" w:hAnsi="Palatino Linotype" w:cs="Arial"/>
        </w:rPr>
      </w:pPr>
    </w:p>
    <w:p w:rsidR="001933BE" w:rsidRPr="0054250E" w:rsidRDefault="006169A7" w:rsidP="005A14B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theme="minorBidi"/>
        </w:rPr>
      </w:pPr>
      <w:r>
        <w:rPr>
          <w:rFonts w:ascii="Palatino Linotype" w:hAnsi="Palatino Linotype" w:cs="Arial"/>
        </w:rPr>
        <w:t xml:space="preserve">En este sentido,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hace referencia al decreto por el que se expide la Ley de la Fiscalía General de Justicia del Estado de México, </w:t>
      </w:r>
      <w:r w:rsidR="0054250E">
        <w:rPr>
          <w:rFonts w:ascii="Palatino Linotype" w:hAnsi="Palatino Linotype" w:cs="Arial"/>
        </w:rPr>
        <w:t xml:space="preserve">que como parte de las atribuciones de ese órgano público autónomo, no contempla emitir acciones preventivas o correctivas. </w:t>
      </w:r>
    </w:p>
    <w:p w:rsidR="0054250E" w:rsidRPr="0054250E" w:rsidRDefault="0054250E" w:rsidP="0054250E">
      <w:pPr>
        <w:pStyle w:val="Prrafodelista"/>
        <w:rPr>
          <w:rFonts w:ascii="Palatino Linotype" w:hAnsi="Palatino Linotype" w:cstheme="minorBidi"/>
        </w:rPr>
      </w:pPr>
    </w:p>
    <w:p w:rsidR="001933BE" w:rsidRDefault="001933BE" w:rsidP="001933BE">
      <w:pPr>
        <w:pStyle w:val="Ttulo2"/>
        <w:rPr>
          <w:rFonts w:ascii="Palatino Linotype" w:hAnsi="Palatino Linotype"/>
          <w:b/>
          <w:color w:val="000000" w:themeColor="text1"/>
          <w:sz w:val="24"/>
          <w:szCs w:val="24"/>
        </w:rPr>
      </w:pPr>
      <w:bookmarkStart w:id="2" w:name="_Toc535863068"/>
      <w:r w:rsidRPr="001933BE">
        <w:rPr>
          <w:rFonts w:ascii="Palatino Linotype" w:hAnsi="Palatino Linotype"/>
          <w:b/>
          <w:color w:val="000000" w:themeColor="text1"/>
          <w:sz w:val="24"/>
          <w:szCs w:val="24"/>
        </w:rPr>
        <w:t>III. De</w:t>
      </w:r>
      <w:r w:rsidR="00A86B9D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 </w:t>
      </w:r>
      <w:r w:rsidR="0054250E">
        <w:rPr>
          <w:rFonts w:ascii="Palatino Linotype" w:hAnsi="Palatino Linotype"/>
          <w:b/>
          <w:color w:val="000000" w:themeColor="text1"/>
          <w:sz w:val="24"/>
          <w:szCs w:val="24"/>
        </w:rPr>
        <w:t>las atribuciones, facultades, competencias y funciones del Sujeto Obligado</w:t>
      </w:r>
      <w:r w:rsidRPr="001933BE">
        <w:rPr>
          <w:rFonts w:ascii="Palatino Linotype" w:hAnsi="Palatino Linotype"/>
          <w:b/>
          <w:color w:val="000000" w:themeColor="text1"/>
          <w:sz w:val="24"/>
          <w:szCs w:val="24"/>
        </w:rPr>
        <w:t>.</w:t>
      </w:r>
      <w:bookmarkEnd w:id="2"/>
    </w:p>
    <w:p w:rsidR="002F6E68" w:rsidRPr="002F6E68" w:rsidRDefault="002F6E68" w:rsidP="002F6E68"/>
    <w:p w:rsidR="00EB6215" w:rsidRPr="00EB6215" w:rsidRDefault="0054250E" w:rsidP="0054250E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/>
          <w:b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>En primer término, es importante</w:t>
      </w:r>
      <w:r w:rsidR="00EB6215">
        <w:rPr>
          <w:rFonts w:ascii="Palatino Linotype" w:hAnsi="Palatino Linotype"/>
          <w:color w:val="000000" w:themeColor="text1"/>
        </w:rPr>
        <w:t xml:space="preserve"> enfatizar, que la solicitud de información fue presentada a partir de un escrito presentado y con sello de recibido, entre otras dependencias, por la Fiscalía Especializada en Combate a la Corrupción. </w:t>
      </w:r>
    </w:p>
    <w:p w:rsidR="00EB6215" w:rsidRPr="00EB6215" w:rsidRDefault="00595793" w:rsidP="00EB6215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/>
        <w:jc w:val="both"/>
        <w:rPr>
          <w:rFonts w:ascii="Palatino Linotype" w:hAnsi="Palatino Linotype"/>
          <w:b/>
          <w:color w:val="000000" w:themeColor="text1"/>
        </w:rPr>
      </w:pPr>
      <w:r w:rsidRPr="00595793">
        <w:rPr>
          <w:rFonts w:ascii="Palatino Linotype" w:hAnsi="Palatino Linotype"/>
          <w:b/>
          <w:noProof/>
          <w:color w:val="000000" w:themeColor="text1"/>
          <w:lang w:eastAsia="es-MX"/>
        </w:rPr>
        <w:lastRenderedPageBreak/>
        <w:drawing>
          <wp:inline distT="0" distB="0" distL="0" distR="0">
            <wp:extent cx="5612130" cy="5287513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A62375" w:rsidRPr="00A62375" w:rsidRDefault="00A62375" w:rsidP="0054250E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/>
          <w:b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 xml:space="preserve">Escrito relativo a una denuncia interpuesta por posibles actos de corrupción relacionados con la renta de patrullas, motocicletas y vehículos se seguridad pública. </w:t>
      </w:r>
    </w:p>
    <w:p w:rsidR="00A62375" w:rsidRPr="00A62375" w:rsidRDefault="00A62375" w:rsidP="00A62375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/>
        <w:jc w:val="both"/>
        <w:rPr>
          <w:rFonts w:ascii="Palatino Linotype" w:hAnsi="Palatino Linotype"/>
          <w:b/>
          <w:color w:val="000000" w:themeColor="text1"/>
        </w:rPr>
      </w:pPr>
    </w:p>
    <w:p w:rsidR="0054250E" w:rsidRPr="00EB6215" w:rsidRDefault="00EB6215" w:rsidP="0054250E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/>
          <w:b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lastRenderedPageBreak/>
        <w:t xml:space="preserve">En este sentido </w:t>
      </w:r>
      <w:r w:rsidR="0054250E">
        <w:rPr>
          <w:rFonts w:ascii="Palatino Linotype" w:hAnsi="Palatino Linotype"/>
          <w:color w:val="000000" w:themeColor="text1"/>
        </w:rPr>
        <w:t xml:space="preserve">la Ley de la Fiscalía General de Justicia del Estado de México tiene por objeto establecer las atribuciones, organización y funciones del órgano público autónomo, dotado de personalidad jurídica y patrimonio propio. </w:t>
      </w:r>
    </w:p>
    <w:p w:rsidR="00EB6215" w:rsidRPr="00EB6215" w:rsidRDefault="00EB6215" w:rsidP="00EB6215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/>
        <w:jc w:val="both"/>
        <w:rPr>
          <w:rFonts w:ascii="Palatino Linotype" w:hAnsi="Palatino Linotype"/>
          <w:b/>
          <w:color w:val="000000" w:themeColor="text1"/>
        </w:rPr>
      </w:pPr>
    </w:p>
    <w:p w:rsidR="00EB6215" w:rsidRPr="00A62375" w:rsidRDefault="00EB6215" w:rsidP="00EB6215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/>
          <w:b/>
          <w:color w:val="000000" w:themeColor="text1"/>
        </w:rPr>
      </w:pPr>
      <w:r w:rsidRPr="00A62375">
        <w:rPr>
          <w:rFonts w:ascii="Palatino Linotype" w:hAnsi="Palatino Linotype"/>
          <w:color w:val="000000" w:themeColor="text1"/>
        </w:rPr>
        <w:t>Ley que en su art</w:t>
      </w:r>
      <w:r w:rsidR="00A62375">
        <w:rPr>
          <w:rFonts w:ascii="Palatino Linotype" w:hAnsi="Palatino Linotype"/>
          <w:color w:val="000000" w:themeColor="text1"/>
        </w:rPr>
        <w:t xml:space="preserve">ículo 29 establece: </w:t>
      </w:r>
    </w:p>
    <w:p w:rsidR="00A62375" w:rsidRPr="00A62375" w:rsidRDefault="00A62375" w:rsidP="00A62375">
      <w:pPr>
        <w:pStyle w:val="Prrafodelista"/>
        <w:rPr>
          <w:rFonts w:ascii="Palatino Linotype" w:hAnsi="Palatino Linotype"/>
          <w:b/>
          <w:color w:val="000000" w:themeColor="text1"/>
        </w:rPr>
      </w:pPr>
    </w:p>
    <w:p w:rsidR="00EB6215" w:rsidRDefault="00EB6215" w:rsidP="00EB6215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851" w:right="616"/>
        <w:jc w:val="both"/>
        <w:rPr>
          <w:rFonts w:ascii="Palatino Linotype" w:hAnsi="Palatino Linotype"/>
          <w:i/>
          <w:sz w:val="22"/>
          <w:szCs w:val="22"/>
        </w:rPr>
      </w:pPr>
      <w:r w:rsidRPr="00EB6215">
        <w:rPr>
          <w:rFonts w:ascii="Palatino Linotype" w:hAnsi="Palatino Linotype"/>
          <w:b/>
          <w:i/>
          <w:sz w:val="22"/>
          <w:szCs w:val="22"/>
        </w:rPr>
        <w:t>“Artículo 29.</w:t>
      </w:r>
      <w:r w:rsidRPr="00EB6215">
        <w:rPr>
          <w:rFonts w:ascii="Palatino Linotype" w:hAnsi="Palatino Linotype"/>
          <w:i/>
          <w:sz w:val="22"/>
          <w:szCs w:val="22"/>
        </w:rPr>
        <w:t xml:space="preserve"> La Fiscalía contará con las Fiscalías Especializadas en las materias siguientes: </w:t>
      </w:r>
    </w:p>
    <w:p w:rsidR="00EB6215" w:rsidRPr="00EB6215" w:rsidRDefault="00EB6215" w:rsidP="00EB6215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851" w:right="616" w:firstLine="0"/>
        <w:jc w:val="both"/>
        <w:rPr>
          <w:rFonts w:ascii="Palatino Linotype" w:hAnsi="Palatino Linotype"/>
          <w:b/>
          <w:i/>
          <w:sz w:val="22"/>
          <w:szCs w:val="22"/>
          <w:u w:val="single"/>
        </w:rPr>
      </w:pPr>
      <w:r w:rsidRPr="00EB6215">
        <w:rPr>
          <w:rFonts w:ascii="Palatino Linotype" w:hAnsi="Palatino Linotype"/>
          <w:b/>
          <w:i/>
          <w:sz w:val="22"/>
          <w:szCs w:val="22"/>
          <w:u w:val="single"/>
        </w:rPr>
        <w:t xml:space="preserve">Anticorrupción. </w:t>
      </w:r>
    </w:p>
    <w:p w:rsidR="00EB6215" w:rsidRPr="00EB6215" w:rsidRDefault="00EB6215" w:rsidP="00EB6215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851" w:right="616" w:firstLine="0"/>
        <w:jc w:val="both"/>
        <w:rPr>
          <w:rFonts w:ascii="Palatino Linotype" w:hAnsi="Palatino Linotype"/>
          <w:b/>
          <w:i/>
          <w:color w:val="000000" w:themeColor="text1"/>
          <w:sz w:val="22"/>
          <w:szCs w:val="22"/>
        </w:rPr>
      </w:pPr>
      <w:r w:rsidRPr="00EB6215">
        <w:rPr>
          <w:rFonts w:ascii="Palatino Linotype" w:hAnsi="Palatino Linotype"/>
          <w:i/>
          <w:sz w:val="22"/>
          <w:szCs w:val="22"/>
        </w:rPr>
        <w:t xml:space="preserve">Delitos vinculados a la violencia de género. </w:t>
      </w:r>
    </w:p>
    <w:p w:rsidR="00EB6215" w:rsidRPr="00EB6215" w:rsidRDefault="00EB6215" w:rsidP="00EB6215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851" w:right="616" w:firstLine="0"/>
        <w:jc w:val="both"/>
        <w:rPr>
          <w:rFonts w:ascii="Palatino Linotype" w:hAnsi="Palatino Linotype"/>
          <w:b/>
          <w:i/>
          <w:color w:val="000000" w:themeColor="text1"/>
          <w:sz w:val="22"/>
          <w:szCs w:val="22"/>
        </w:rPr>
      </w:pPr>
      <w:r w:rsidRPr="00EB6215">
        <w:rPr>
          <w:rFonts w:ascii="Palatino Linotype" w:hAnsi="Palatino Linotype"/>
          <w:i/>
          <w:sz w:val="22"/>
          <w:szCs w:val="22"/>
        </w:rPr>
        <w:t xml:space="preserve">Delitos cometidos por adolescentes. </w:t>
      </w:r>
    </w:p>
    <w:p w:rsidR="00EB6215" w:rsidRPr="00EB6215" w:rsidRDefault="00EB6215" w:rsidP="00EB6215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851" w:right="616" w:firstLine="0"/>
        <w:jc w:val="both"/>
        <w:rPr>
          <w:rFonts w:ascii="Palatino Linotype" w:hAnsi="Palatino Linotype"/>
          <w:b/>
          <w:i/>
          <w:color w:val="000000" w:themeColor="text1"/>
          <w:sz w:val="22"/>
          <w:szCs w:val="22"/>
        </w:rPr>
      </w:pPr>
      <w:r w:rsidRPr="00EB6215">
        <w:rPr>
          <w:rFonts w:ascii="Palatino Linotype" w:hAnsi="Palatino Linotype"/>
          <w:i/>
          <w:sz w:val="22"/>
          <w:szCs w:val="22"/>
        </w:rPr>
        <w:t xml:space="preserve">Delitos electorales. </w:t>
      </w:r>
    </w:p>
    <w:p w:rsidR="00EB6215" w:rsidRPr="00A62375" w:rsidRDefault="00EB6215" w:rsidP="00EB6215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851" w:right="616" w:firstLine="0"/>
        <w:jc w:val="both"/>
        <w:rPr>
          <w:rFonts w:ascii="Palatino Linotype" w:hAnsi="Palatino Linotype"/>
          <w:b/>
          <w:i/>
          <w:color w:val="000000" w:themeColor="text1"/>
          <w:sz w:val="22"/>
          <w:szCs w:val="22"/>
        </w:rPr>
      </w:pPr>
      <w:r w:rsidRPr="00EB6215">
        <w:rPr>
          <w:rFonts w:ascii="Palatino Linotype" w:hAnsi="Palatino Linotype"/>
          <w:i/>
          <w:sz w:val="22"/>
          <w:szCs w:val="22"/>
        </w:rPr>
        <w:t>Las demás que se establezcan en el Reglamento.</w:t>
      </w:r>
    </w:p>
    <w:p w:rsidR="00A62375" w:rsidRDefault="00A62375" w:rsidP="00A62375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851" w:right="616"/>
        <w:jc w:val="both"/>
        <w:rPr>
          <w:rFonts w:ascii="Palatino Linotype" w:hAnsi="Palatino Linotype"/>
          <w:i/>
          <w:sz w:val="22"/>
          <w:szCs w:val="22"/>
        </w:rPr>
      </w:pPr>
    </w:p>
    <w:p w:rsidR="00A62375" w:rsidRDefault="005A1D59" w:rsidP="00A62375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 xml:space="preserve">Es así que, a la Fiscalía Especializada en Combate a la Corrupción  le corresponde, investigar, perseguir y ejercer atribuciones en los delitos por hecho de corrupción, incluso en grado de tentativa, así como, los que puedan derivar de esta en los que participen particulares o hagan uso de recursos públicos, de acuerdo a lo dispuesto en el artículo 29 Bis que a la letra dice: </w:t>
      </w:r>
    </w:p>
    <w:p w:rsidR="00795BA4" w:rsidRDefault="00795BA4" w:rsidP="005A1D59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/>
        <w:jc w:val="both"/>
        <w:rPr>
          <w:rFonts w:ascii="Palatino Linotype" w:hAnsi="Palatino Linotype"/>
          <w:i/>
        </w:rPr>
      </w:pPr>
      <w:r w:rsidRPr="00795BA4">
        <w:rPr>
          <w:rFonts w:ascii="Palatino Linotype" w:hAnsi="Palatino Linotype"/>
          <w:b/>
          <w:i/>
        </w:rPr>
        <w:t>“Artículo 29 Bis</w:t>
      </w:r>
      <w:r w:rsidRPr="00795BA4">
        <w:rPr>
          <w:rFonts w:ascii="Palatino Linotype" w:hAnsi="Palatino Linotype"/>
          <w:i/>
        </w:rPr>
        <w:t xml:space="preserve">. La Fiscalía Especializada en Combate a la Corrupción tendrá a su cargo: </w:t>
      </w:r>
    </w:p>
    <w:p w:rsidR="00795BA4" w:rsidRDefault="00795BA4" w:rsidP="00795BA4">
      <w:pPr>
        <w:pStyle w:val="Prrafodelista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jc w:val="both"/>
        <w:rPr>
          <w:rFonts w:ascii="Palatino Linotype" w:hAnsi="Palatino Linotype"/>
          <w:i/>
        </w:rPr>
      </w:pPr>
      <w:r w:rsidRPr="00795BA4">
        <w:rPr>
          <w:rFonts w:ascii="Palatino Linotype" w:hAnsi="Palatino Linotype"/>
          <w:i/>
        </w:rPr>
        <w:t xml:space="preserve">Investigar, perseguir y ejercer sus atribuciones en los delitos por hechos de corrupción, incluso en grado de tentativa, cometidos por toda persona que </w:t>
      </w:r>
      <w:r w:rsidRPr="00795BA4">
        <w:rPr>
          <w:rFonts w:ascii="Palatino Linotype" w:hAnsi="Palatino Linotype"/>
          <w:i/>
        </w:rPr>
        <w:lastRenderedPageBreak/>
        <w:t xml:space="preserve">desempeñe un empleo, cargo o comisión en alguno de los poderes del Estado, en los Ayuntamientos de los municipios, sus organismos auxiliares, así como de los titulares o quienes hagan sus veces en empresas de participación estatal o municipal, sociedades o asociaciones asimiladas a éstas, de los órganos constitucionales autónomos del Estado de México, de los representantes de elección popular de los ámbitos estatal y municipal, los particulares relacionados con el servicio público, así como en cualquier otro ente sobre el que tenga control cualquiera de los poderes y órganos públicos estatales y municipales. </w:t>
      </w:r>
    </w:p>
    <w:p w:rsidR="005A1D59" w:rsidRPr="00795BA4" w:rsidRDefault="00795BA4" w:rsidP="00795BA4">
      <w:pPr>
        <w:pStyle w:val="Prrafodelista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jc w:val="both"/>
        <w:rPr>
          <w:rFonts w:ascii="Palatino Linotype" w:hAnsi="Palatino Linotype"/>
          <w:i/>
          <w:color w:val="000000" w:themeColor="text1"/>
        </w:rPr>
      </w:pPr>
      <w:r w:rsidRPr="00795BA4">
        <w:rPr>
          <w:rFonts w:ascii="Palatino Linotype" w:hAnsi="Palatino Linotype"/>
          <w:i/>
        </w:rPr>
        <w:t>Investigar y perseguir los delitos en los que exista corrupción y otros que se puedan derivar de ésta, incluso en grado de tentativa, en los que participen particulares que reciban o hagan uso de recursos públicos, así como su participación en delitos cometidos por servidores públicos.</w:t>
      </w:r>
    </w:p>
    <w:p w:rsidR="00795BA4" w:rsidRDefault="00795BA4" w:rsidP="00795BA4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1146"/>
        <w:jc w:val="both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t>…”</w:t>
      </w:r>
    </w:p>
    <w:p w:rsidR="00795BA4" w:rsidRPr="001F4D39" w:rsidRDefault="00795BA4" w:rsidP="00795BA4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/>
          <w:i/>
        </w:rPr>
      </w:pPr>
      <w:r>
        <w:rPr>
          <w:rFonts w:ascii="Palatino Linotype" w:hAnsi="Palatino Linotype"/>
        </w:rPr>
        <w:t xml:space="preserve">De los preceptos jurídicos citados, se colige que la Fiscalía General de Justicia del Estado de México, a través de la Fiscalía Especializada en Combate a la Corrupción, tiene las facultades para atender el escrito presentado, atención que se traduce a un acto de autoridad necesariamente debe ser documentado y el cual es motivo de la solicitud de información. </w:t>
      </w:r>
    </w:p>
    <w:p w:rsidR="001933BE" w:rsidRDefault="001933BE" w:rsidP="001933BE">
      <w:pPr>
        <w:pStyle w:val="Ttulo2"/>
        <w:rPr>
          <w:rFonts w:ascii="Palatino Linotype" w:hAnsi="Palatino Linotype"/>
          <w:b/>
          <w:color w:val="000000" w:themeColor="text1"/>
          <w:sz w:val="24"/>
          <w:szCs w:val="24"/>
        </w:rPr>
      </w:pPr>
      <w:bookmarkStart w:id="4" w:name="_Toc535863069"/>
      <w:r w:rsidRPr="001933BE">
        <w:rPr>
          <w:rFonts w:ascii="Palatino Linotype" w:hAnsi="Palatino Linotype"/>
          <w:b/>
          <w:color w:val="000000" w:themeColor="text1"/>
          <w:sz w:val="24"/>
          <w:szCs w:val="24"/>
        </w:rPr>
        <w:t>VI. Conclusión.</w:t>
      </w:r>
      <w:bookmarkEnd w:id="4"/>
    </w:p>
    <w:p w:rsidR="00692CB2" w:rsidRPr="00692CB2" w:rsidRDefault="00692CB2" w:rsidP="00692CB2"/>
    <w:p w:rsidR="00692CB2" w:rsidRPr="005F0998" w:rsidRDefault="001933BE" w:rsidP="005F0998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="Arial"/>
          <w:color w:val="000000" w:themeColor="text1"/>
        </w:rPr>
      </w:pPr>
      <w:r w:rsidRPr="005F0998">
        <w:rPr>
          <w:rFonts w:ascii="Palatino Linotype" w:hAnsi="Palatino Linotype" w:cs="Arial"/>
          <w:color w:val="000000" w:themeColor="text1"/>
        </w:rPr>
        <w:t>Por ello para garantizar el Derecho de Acceso a la Información se podrían adoptar medidas de acceso a la i</w:t>
      </w:r>
      <w:r w:rsidR="00692CB2" w:rsidRPr="005F0998">
        <w:rPr>
          <w:rFonts w:ascii="Palatino Linotype" w:hAnsi="Palatino Linotype" w:cs="Arial"/>
          <w:color w:val="000000" w:themeColor="text1"/>
        </w:rPr>
        <w:t>nformación bajo un ejercicio de</w:t>
      </w:r>
      <w:r w:rsidRPr="005F0998">
        <w:rPr>
          <w:rFonts w:ascii="Palatino Linotype" w:hAnsi="Palatino Linotype" w:cs="Arial"/>
          <w:color w:val="000000" w:themeColor="text1"/>
        </w:rPr>
        <w:t>l</w:t>
      </w:r>
      <w:r w:rsidR="00692CB2" w:rsidRPr="005F0998">
        <w:rPr>
          <w:rFonts w:ascii="Palatino Linotype" w:hAnsi="Palatino Linotype" w:cs="Arial"/>
          <w:color w:val="000000" w:themeColor="text1"/>
        </w:rPr>
        <w:t xml:space="preserve"> principio de </w:t>
      </w:r>
      <w:r w:rsidR="00692CB2" w:rsidRPr="005F0998">
        <w:rPr>
          <w:rFonts w:ascii="Palatino Linotype" w:hAnsi="Palatino Linotype" w:cs="Arial"/>
          <w:color w:val="000000" w:themeColor="text1"/>
        </w:rPr>
        <w:lastRenderedPageBreak/>
        <w:t>máxima publicidad,</w:t>
      </w:r>
      <w:r w:rsidR="005F0998">
        <w:rPr>
          <w:rFonts w:ascii="Palatino Linotype" w:hAnsi="Palatino Linotype" w:cs="Arial"/>
          <w:color w:val="000000" w:themeColor="text1"/>
        </w:rPr>
        <w:t xml:space="preserve"> a partir del análisis meticuloso tanto de las facultades y atribuciones del Sujeto Obligado como de la información que genera, administra y posee</w:t>
      </w:r>
      <w:r w:rsidR="001F4D39">
        <w:rPr>
          <w:rFonts w:ascii="Palatino Linotype" w:hAnsi="Palatino Linotype" w:cs="Arial"/>
          <w:color w:val="000000" w:themeColor="text1"/>
        </w:rPr>
        <w:t>,</w:t>
      </w:r>
      <w:r w:rsidR="005F0998">
        <w:rPr>
          <w:rFonts w:ascii="Palatino Linotype" w:hAnsi="Palatino Linotype" w:cs="Arial"/>
          <w:color w:val="000000" w:themeColor="text1"/>
        </w:rPr>
        <w:t xml:space="preserve"> </w:t>
      </w:r>
      <w:r w:rsidR="001F4D39">
        <w:rPr>
          <w:rFonts w:ascii="Palatino Linotype" w:hAnsi="Palatino Linotype" w:cs="Arial"/>
          <w:color w:val="000000" w:themeColor="text1"/>
        </w:rPr>
        <w:t>en relación al</w:t>
      </w:r>
      <w:r w:rsidR="005F0998">
        <w:rPr>
          <w:rFonts w:ascii="Palatino Linotype" w:hAnsi="Palatino Linotype" w:cs="Arial"/>
          <w:color w:val="000000" w:themeColor="text1"/>
        </w:rPr>
        <w:t xml:space="preserve"> escrito presentado </w:t>
      </w:r>
      <w:r w:rsidR="001F4D39">
        <w:rPr>
          <w:rFonts w:ascii="Palatino Linotype" w:hAnsi="Palatino Linotype" w:cs="Arial"/>
          <w:color w:val="000000" w:themeColor="text1"/>
        </w:rPr>
        <w:t xml:space="preserve">referente a </w:t>
      </w:r>
      <w:r w:rsidR="005F0998">
        <w:rPr>
          <w:rFonts w:ascii="Palatino Linotype" w:hAnsi="Palatino Linotype" w:cs="Arial"/>
          <w:color w:val="000000" w:themeColor="text1"/>
        </w:rPr>
        <w:t>la denuncia de un posible acto de corrupci</w:t>
      </w:r>
      <w:r w:rsidR="001F4D39">
        <w:rPr>
          <w:rFonts w:ascii="Palatino Linotype" w:hAnsi="Palatino Linotype" w:cs="Arial"/>
          <w:color w:val="000000" w:themeColor="text1"/>
        </w:rPr>
        <w:t xml:space="preserve">ón; </w:t>
      </w:r>
      <w:r w:rsidR="005F0998">
        <w:rPr>
          <w:rFonts w:ascii="Palatino Linotype" w:hAnsi="Palatino Linotype" w:cs="Arial"/>
          <w:color w:val="000000" w:themeColor="text1"/>
        </w:rPr>
        <w:t xml:space="preserve"> documentación </w:t>
      </w:r>
      <w:r w:rsidR="001F4D39">
        <w:rPr>
          <w:rFonts w:ascii="Palatino Linotype" w:hAnsi="Palatino Linotype" w:cs="Arial"/>
          <w:color w:val="000000" w:themeColor="text1"/>
        </w:rPr>
        <w:t>que debería ordenarse su entrega, ya que</w:t>
      </w:r>
      <w:r w:rsidR="005F0998">
        <w:rPr>
          <w:rFonts w:ascii="Palatino Linotype" w:hAnsi="Palatino Linotype" w:cs="Arial"/>
          <w:color w:val="000000" w:themeColor="text1"/>
        </w:rPr>
        <w:t xml:space="preserve"> al ser del con</w:t>
      </w:r>
      <w:r w:rsidR="001F4D39">
        <w:rPr>
          <w:rFonts w:ascii="Palatino Linotype" w:hAnsi="Palatino Linotype" w:cs="Arial"/>
          <w:color w:val="000000" w:themeColor="text1"/>
        </w:rPr>
        <w:t>ocimiento del particular, abonaría</w:t>
      </w:r>
      <w:r w:rsidR="005F0998">
        <w:rPr>
          <w:rFonts w:ascii="Palatino Linotype" w:hAnsi="Palatino Linotype" w:cs="Arial"/>
          <w:color w:val="000000" w:themeColor="text1"/>
        </w:rPr>
        <w:t xml:space="preserve"> la rendici</w:t>
      </w:r>
      <w:r w:rsidR="001F4D39">
        <w:rPr>
          <w:rFonts w:ascii="Palatino Linotype" w:hAnsi="Palatino Linotype" w:cs="Arial"/>
          <w:color w:val="000000" w:themeColor="text1"/>
        </w:rPr>
        <w:t>ón de cuentas por tratarse del e</w:t>
      </w:r>
      <w:r w:rsidR="005F0998">
        <w:rPr>
          <w:rFonts w:ascii="Palatino Linotype" w:hAnsi="Palatino Linotype" w:cs="Arial"/>
          <w:color w:val="000000" w:themeColor="text1"/>
        </w:rPr>
        <w:t xml:space="preserve">jercicio de recursos provenientes del erario público. </w:t>
      </w:r>
    </w:p>
    <w:p w:rsidR="005F0998" w:rsidRPr="005F0998" w:rsidRDefault="005F0998" w:rsidP="005F0998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0"/>
        <w:jc w:val="both"/>
        <w:rPr>
          <w:rFonts w:ascii="Palatino Linotype" w:hAnsi="Palatino Linotype" w:cs="Arial"/>
          <w:color w:val="000000" w:themeColor="text1"/>
        </w:rPr>
      </w:pPr>
    </w:p>
    <w:p w:rsidR="001933BE" w:rsidRDefault="001933BE" w:rsidP="005F0998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ind w:left="426" w:hanging="426"/>
        <w:jc w:val="both"/>
        <w:rPr>
          <w:rFonts w:ascii="Palatino Linotype" w:hAnsi="Palatino Linotype" w:cs="Arial"/>
          <w:color w:val="000000" w:themeColor="text1"/>
        </w:rPr>
      </w:pPr>
      <w:r w:rsidRPr="00B642F2">
        <w:rPr>
          <w:rFonts w:ascii="Palatino Linotype" w:hAnsi="Palatino Linotype" w:cs="Arial"/>
          <w:color w:val="000000" w:themeColor="text1"/>
        </w:rPr>
        <w:t>Adoptar la posición que propongo pretende ordenar un acto de plena certeza, lo que puede constituir un exceso, cierto, pero a todas luces admisible en materia de protección del derecho humano lo que, considero, fortalece al Estado Constitucional de D</w:t>
      </w:r>
      <w:r>
        <w:rPr>
          <w:rFonts w:ascii="Palatino Linotype" w:hAnsi="Palatino Linotype" w:cs="Arial"/>
          <w:color w:val="000000" w:themeColor="text1"/>
        </w:rPr>
        <w:t>erecho, en lugar de vulnerarlo.</w:t>
      </w:r>
    </w:p>
    <w:p w:rsidR="001933BE" w:rsidRDefault="001933BE" w:rsidP="001933BE">
      <w:pPr>
        <w:spacing w:line="360" w:lineRule="auto"/>
        <w:rPr>
          <w:rFonts w:ascii="Palatino Linotype" w:eastAsia="Arial" w:hAnsi="Palatino Linotype" w:cs="Arial"/>
          <w:b/>
          <w:color w:val="000000" w:themeColor="text1"/>
          <w:lang w:eastAsia="es-MX"/>
        </w:rPr>
      </w:pPr>
    </w:p>
    <w:p w:rsidR="005E3E3E" w:rsidRDefault="005E3E3E" w:rsidP="001933BE">
      <w:pPr>
        <w:spacing w:line="360" w:lineRule="auto"/>
        <w:rPr>
          <w:rFonts w:ascii="Palatino Linotype" w:eastAsia="Arial" w:hAnsi="Palatino Linotype" w:cs="Arial"/>
          <w:b/>
          <w:color w:val="000000" w:themeColor="text1"/>
          <w:lang w:eastAsia="es-MX"/>
        </w:rPr>
      </w:pPr>
    </w:p>
    <w:p w:rsidR="001F4D39" w:rsidRDefault="001F4D39" w:rsidP="001933BE">
      <w:pPr>
        <w:spacing w:line="360" w:lineRule="auto"/>
        <w:jc w:val="center"/>
        <w:rPr>
          <w:rFonts w:ascii="Palatino Linotype" w:eastAsia="Arial" w:hAnsi="Palatino Linotype" w:cs="Arial"/>
          <w:b/>
          <w:color w:val="000000" w:themeColor="text1"/>
          <w:lang w:eastAsia="es-MX"/>
        </w:rPr>
      </w:pPr>
    </w:p>
    <w:p w:rsidR="001933BE" w:rsidRPr="00FA4B43" w:rsidRDefault="001933BE" w:rsidP="001933BE">
      <w:pPr>
        <w:spacing w:line="360" w:lineRule="auto"/>
        <w:jc w:val="center"/>
        <w:rPr>
          <w:rFonts w:ascii="Palatino Linotype" w:eastAsia="Arial" w:hAnsi="Palatino Linotype" w:cs="Arial"/>
          <w:b/>
          <w:color w:val="000000" w:themeColor="text1"/>
          <w:lang w:eastAsia="es-MX"/>
        </w:rPr>
      </w:pPr>
      <w:r w:rsidRPr="00FA4B43">
        <w:rPr>
          <w:rFonts w:ascii="Palatino Linotype" w:eastAsia="Arial" w:hAnsi="Palatino Linotype" w:cs="Arial"/>
          <w:b/>
          <w:color w:val="000000" w:themeColor="text1"/>
          <w:lang w:eastAsia="es-MX"/>
        </w:rPr>
        <w:t>JOSÉ GUADALUPE LUNA HERNÁNDEZ</w:t>
      </w:r>
    </w:p>
    <w:p w:rsidR="001933BE" w:rsidRDefault="001933BE" w:rsidP="001933BE">
      <w:pPr>
        <w:spacing w:line="360" w:lineRule="auto"/>
        <w:jc w:val="center"/>
        <w:rPr>
          <w:rFonts w:ascii="Palatino Linotype" w:eastAsia="Arial" w:hAnsi="Palatino Linotype" w:cs="Arial"/>
          <w:b/>
          <w:color w:val="000000" w:themeColor="text1"/>
          <w:lang w:eastAsia="es-MX"/>
        </w:rPr>
      </w:pPr>
      <w:r w:rsidRPr="00FA4B43">
        <w:rPr>
          <w:rFonts w:ascii="Palatino Linotype" w:eastAsia="Arial" w:hAnsi="Palatino Linotype" w:cs="Arial"/>
          <w:b/>
          <w:color w:val="000000" w:themeColor="text1"/>
          <w:lang w:eastAsia="es-MX"/>
        </w:rPr>
        <w:t>COMISIONADO</w:t>
      </w:r>
    </w:p>
    <w:p w:rsidR="002F15F1" w:rsidRDefault="00692CB2" w:rsidP="001933BE">
      <w:pPr>
        <w:spacing w:line="360" w:lineRule="auto"/>
        <w:jc w:val="center"/>
        <w:rPr>
          <w:rFonts w:ascii="Palatino Linotype" w:eastAsia="Arial" w:hAnsi="Palatino Linotype" w:cs="Arial"/>
          <w:b/>
          <w:color w:val="000000" w:themeColor="text1"/>
          <w:lang w:eastAsia="es-MX"/>
        </w:rPr>
      </w:pPr>
      <w:r>
        <w:rPr>
          <w:rFonts w:ascii="Palatino Linotype" w:eastAsia="Arial" w:hAnsi="Palatino Linotype" w:cs="Arial"/>
          <w:b/>
          <w:color w:val="000000" w:themeColor="text1"/>
          <w:lang w:eastAsia="es-MX"/>
        </w:rPr>
        <w:t>(Rúbrica)</w:t>
      </w:r>
    </w:p>
    <w:p w:rsidR="00F23B30" w:rsidRPr="001933BE" w:rsidRDefault="00692CB2" w:rsidP="001F4D39">
      <w:pPr>
        <w:spacing w:line="360" w:lineRule="auto"/>
      </w:pPr>
      <w:r>
        <w:rPr>
          <w:rFonts w:ascii="Palatino Linotype" w:eastAsia="Arial" w:hAnsi="Palatino Linotype" w:cs="Arial"/>
          <w:color w:val="000000" w:themeColor="text1"/>
          <w:sz w:val="16"/>
          <w:szCs w:val="16"/>
          <w:lang w:eastAsia="es-MX"/>
        </w:rPr>
        <w:t>JGLH/SEV</w:t>
      </w:r>
    </w:p>
    <w:sectPr w:rsidR="00F23B30" w:rsidRPr="001933BE" w:rsidSect="007631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495" w:right="1701" w:bottom="2495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81" w:rsidRDefault="003C5B81" w:rsidP="00ED7332">
      <w:r>
        <w:separator/>
      </w:r>
    </w:p>
  </w:endnote>
  <w:endnote w:type="continuationSeparator" w:id="0">
    <w:p w:rsidR="003C5B81" w:rsidRDefault="003C5B81" w:rsidP="00ED7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64C" w:rsidRDefault="00BC264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35855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C264C" w:rsidRDefault="00BC264C">
            <w:pPr>
              <w:pStyle w:val="Piedepgina"/>
              <w:jc w:val="right"/>
            </w:pPr>
            <w:r w:rsidRPr="0052203D">
              <w:rPr>
                <w:rFonts w:ascii="Palatino Linotype" w:hAnsi="Palatino Linotype"/>
                <w:sz w:val="20"/>
                <w:szCs w:val="20"/>
                <w:lang w:val="es-ES"/>
              </w:rPr>
              <w:t xml:space="preserve">Página </w:t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begin"/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instrText>PAGE</w:instrText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separate"/>
            </w:r>
            <w:r w:rsidR="00595793">
              <w:rPr>
                <w:rFonts w:ascii="Palatino Linotype" w:hAnsi="Palatino Linotype"/>
                <w:b/>
                <w:bCs/>
                <w:noProof/>
                <w:sz w:val="20"/>
                <w:szCs w:val="20"/>
              </w:rPr>
              <w:t>8</w:t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end"/>
            </w:r>
            <w:r w:rsidRPr="0052203D">
              <w:rPr>
                <w:rFonts w:ascii="Palatino Linotype" w:hAnsi="Palatino Linotype"/>
                <w:sz w:val="20"/>
                <w:szCs w:val="20"/>
                <w:lang w:val="es-ES"/>
              </w:rPr>
              <w:t xml:space="preserve"> de </w:t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begin"/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instrText>NUMPAGES</w:instrText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separate"/>
            </w:r>
            <w:r w:rsidR="00595793">
              <w:rPr>
                <w:rFonts w:ascii="Palatino Linotype" w:hAnsi="Palatino Linotype"/>
                <w:b/>
                <w:bCs/>
                <w:noProof/>
                <w:sz w:val="20"/>
                <w:szCs w:val="20"/>
              </w:rPr>
              <w:t>8</w:t>
            </w:r>
            <w:r w:rsidRPr="0052203D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C264C" w:rsidRDefault="00BC264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64C" w:rsidRDefault="00BC26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81" w:rsidRDefault="003C5B81" w:rsidP="00ED7332">
      <w:r>
        <w:separator/>
      </w:r>
    </w:p>
  </w:footnote>
  <w:footnote w:type="continuationSeparator" w:id="0">
    <w:p w:rsidR="003C5B81" w:rsidRDefault="003C5B81" w:rsidP="00ED7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64C" w:rsidRDefault="00595793">
    <w:pPr>
      <w:pStyle w:val="Encabezado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916954" o:spid="_x0000_s2062" type="#_x0000_t136" style="position:absolute;margin-left:0;margin-top:0;width:538.05pt;height:84.95pt;rotation:315;z-index:-251648000;mso-position-horizontal:center;mso-position-horizontal-relative:margin;mso-position-vertical:center;mso-position-vertical-relative:margin" o:allowincell="f" fillcolor="gray [1629]" stroked="f">
          <v:fill opacity=".5"/>
          <v:textpath style="font-family:&quot;Palatino Linotype&quot;;font-size:1pt" string="VOTO DISIDE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64C" w:rsidRDefault="00595793">
    <w:pPr>
      <w:pStyle w:val="Encabezado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916955" o:spid="_x0000_s2063" type="#_x0000_t136" style="position:absolute;margin-left:0;margin-top:0;width:538.05pt;height:84.95pt;rotation:315;z-index:-251645952;mso-position-horizontal:center;mso-position-horizontal-relative:margin;mso-position-vertical:center;mso-position-vertical-relative:margin" o:allowincell="f" fillcolor="gray [1629]" stroked="f">
          <v:fill opacity=".5"/>
          <v:textpath style="font-family:&quot;Palatino Linotype&quot;;font-size:1pt" string="VOTO DISIDENTE"/>
          <w10:wrap anchorx="margin" anchory="margin"/>
        </v:shape>
      </w:pict>
    </w:r>
  </w:p>
  <w:p w:rsidR="00BC264C" w:rsidRDefault="00BC264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64C" w:rsidRDefault="00595793">
    <w:pPr>
      <w:pStyle w:val="Encabezado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916953" o:spid="_x0000_s2061" type="#_x0000_t136" style="position:absolute;margin-left:0;margin-top:0;width:538.05pt;height:84.95pt;rotation:315;z-index:-251650048;mso-position-horizontal:center;mso-position-horizontal-relative:margin;mso-position-vertical:center;mso-position-vertical-relative:margin" o:allowincell="f" fillcolor="gray [1629]" stroked="f">
          <v:fill opacity=".5"/>
          <v:textpath style="font-family:&quot;Palatino Linotype&quot;;font-size:1pt" string="VOTO DISIDEN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5DFB"/>
    <w:multiLevelType w:val="hybridMultilevel"/>
    <w:tmpl w:val="5C2EE6B6"/>
    <w:lvl w:ilvl="0" w:tplc="679EA47A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E30B0"/>
    <w:multiLevelType w:val="hybridMultilevel"/>
    <w:tmpl w:val="906AC364"/>
    <w:lvl w:ilvl="0" w:tplc="61B24ADA">
      <w:start w:val="1"/>
      <w:numFmt w:val="upperRoman"/>
      <w:pStyle w:val="Ttulo1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626F2"/>
    <w:multiLevelType w:val="hybridMultilevel"/>
    <w:tmpl w:val="7E143A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7559D"/>
    <w:multiLevelType w:val="hybridMultilevel"/>
    <w:tmpl w:val="6C02E5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8432410"/>
    <w:multiLevelType w:val="hybridMultilevel"/>
    <w:tmpl w:val="84BEF0E0"/>
    <w:lvl w:ilvl="0" w:tplc="0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094B4102"/>
    <w:multiLevelType w:val="multilevel"/>
    <w:tmpl w:val="621421A0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Palatino Linotype" w:eastAsia="Palatino Linotype" w:hAnsi="Palatino Linotype" w:cs="Palatino Linotype"/>
        <w:position w:val="0"/>
      </w:rPr>
    </w:lvl>
    <w:lvl w:ilvl="2">
      <w:start w:val="1"/>
      <w:numFmt w:val="decimal"/>
      <w:lvlText w:val="%3."/>
      <w:lvlJc w:val="left"/>
      <w:rPr>
        <w:rFonts w:ascii="Palatino Linotype" w:eastAsia="Palatino Linotype" w:hAnsi="Palatino Linotype" w:cs="Palatino Linotype"/>
        <w:position w:val="0"/>
      </w:rPr>
    </w:lvl>
    <w:lvl w:ilvl="3">
      <w:start w:val="1"/>
      <w:numFmt w:val="decimal"/>
      <w:lvlText w:val="%4."/>
      <w:lvlJc w:val="left"/>
      <w:rPr>
        <w:rFonts w:ascii="Palatino Linotype" w:eastAsia="Palatino Linotype" w:hAnsi="Palatino Linotype" w:cs="Palatino Linotype"/>
        <w:position w:val="0"/>
      </w:rPr>
    </w:lvl>
    <w:lvl w:ilvl="4">
      <w:start w:val="1"/>
      <w:numFmt w:val="decimal"/>
      <w:lvlText w:val="%5."/>
      <w:lvlJc w:val="left"/>
      <w:rPr>
        <w:rFonts w:ascii="Palatino Linotype" w:eastAsia="Palatino Linotype" w:hAnsi="Palatino Linotype" w:cs="Palatino Linotype"/>
        <w:position w:val="0"/>
      </w:rPr>
    </w:lvl>
    <w:lvl w:ilvl="5">
      <w:start w:val="1"/>
      <w:numFmt w:val="decimal"/>
      <w:lvlText w:val="%6."/>
      <w:lvlJc w:val="left"/>
      <w:rPr>
        <w:rFonts w:ascii="Palatino Linotype" w:eastAsia="Palatino Linotype" w:hAnsi="Palatino Linotype" w:cs="Palatino Linotype"/>
        <w:position w:val="0"/>
      </w:rPr>
    </w:lvl>
    <w:lvl w:ilvl="6">
      <w:start w:val="1"/>
      <w:numFmt w:val="decimal"/>
      <w:lvlText w:val="%7."/>
      <w:lvlJc w:val="left"/>
      <w:rPr>
        <w:rFonts w:ascii="Palatino Linotype" w:eastAsia="Palatino Linotype" w:hAnsi="Palatino Linotype" w:cs="Palatino Linotype"/>
        <w:position w:val="0"/>
      </w:rPr>
    </w:lvl>
    <w:lvl w:ilvl="7">
      <w:start w:val="1"/>
      <w:numFmt w:val="decimal"/>
      <w:lvlText w:val="%8."/>
      <w:lvlJc w:val="left"/>
      <w:rPr>
        <w:rFonts w:ascii="Palatino Linotype" w:eastAsia="Palatino Linotype" w:hAnsi="Palatino Linotype" w:cs="Palatino Linotype"/>
        <w:position w:val="0"/>
      </w:rPr>
    </w:lvl>
    <w:lvl w:ilvl="8">
      <w:start w:val="1"/>
      <w:numFmt w:val="decimal"/>
      <w:lvlText w:val="%9."/>
      <w:lvlJc w:val="left"/>
      <w:rPr>
        <w:rFonts w:ascii="Palatino Linotype" w:eastAsia="Palatino Linotype" w:hAnsi="Palatino Linotype" w:cs="Palatino Linotype"/>
        <w:position w:val="0"/>
      </w:rPr>
    </w:lvl>
  </w:abstractNum>
  <w:abstractNum w:abstractNumId="6">
    <w:nsid w:val="0ECA05E9"/>
    <w:multiLevelType w:val="hybridMultilevel"/>
    <w:tmpl w:val="D36C8F2E"/>
    <w:lvl w:ilvl="0" w:tplc="26E2FF6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3F30CE2"/>
    <w:multiLevelType w:val="hybridMultilevel"/>
    <w:tmpl w:val="53FA03FC"/>
    <w:lvl w:ilvl="0" w:tplc="FCD87BB2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spacing w:val="82"/>
        <w:sz w:val="22"/>
        <w14:ligatures w14:val="none"/>
        <w14:numSpacing w14:val="default"/>
        <w14:stylisticSet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4530D"/>
    <w:multiLevelType w:val="hybridMultilevel"/>
    <w:tmpl w:val="FDC4E672"/>
    <w:lvl w:ilvl="0" w:tplc="2884CF8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09D53B2"/>
    <w:multiLevelType w:val="hybridMultilevel"/>
    <w:tmpl w:val="EA9E7408"/>
    <w:lvl w:ilvl="0" w:tplc="EED87E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1F73D3E"/>
    <w:multiLevelType w:val="hybridMultilevel"/>
    <w:tmpl w:val="0E809184"/>
    <w:lvl w:ilvl="0" w:tplc="029A29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E19F6"/>
    <w:multiLevelType w:val="hybridMultilevel"/>
    <w:tmpl w:val="43FEC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C6B30"/>
    <w:multiLevelType w:val="hybridMultilevel"/>
    <w:tmpl w:val="92D698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02A65"/>
    <w:multiLevelType w:val="hybridMultilevel"/>
    <w:tmpl w:val="28661FB8"/>
    <w:lvl w:ilvl="0" w:tplc="143EF6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E2F0D"/>
    <w:multiLevelType w:val="hybridMultilevel"/>
    <w:tmpl w:val="F214B2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50AC4"/>
    <w:multiLevelType w:val="hybridMultilevel"/>
    <w:tmpl w:val="9C84E8EC"/>
    <w:lvl w:ilvl="0" w:tplc="B900E44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C0036AD"/>
    <w:multiLevelType w:val="hybridMultilevel"/>
    <w:tmpl w:val="AECEB2B0"/>
    <w:lvl w:ilvl="0" w:tplc="080A000F">
      <w:start w:val="1"/>
      <w:numFmt w:val="decimal"/>
      <w:lvlText w:val="%1."/>
      <w:lvlJc w:val="left"/>
      <w:pPr>
        <w:ind w:left="1920" w:hanging="360"/>
      </w:pPr>
    </w:lvl>
    <w:lvl w:ilvl="1" w:tplc="080A0019" w:tentative="1">
      <w:start w:val="1"/>
      <w:numFmt w:val="lowerLetter"/>
      <w:lvlText w:val="%2."/>
      <w:lvlJc w:val="left"/>
      <w:pPr>
        <w:ind w:left="2640" w:hanging="360"/>
      </w:pPr>
    </w:lvl>
    <w:lvl w:ilvl="2" w:tplc="080A001B" w:tentative="1">
      <w:start w:val="1"/>
      <w:numFmt w:val="lowerRoman"/>
      <w:lvlText w:val="%3."/>
      <w:lvlJc w:val="right"/>
      <w:pPr>
        <w:ind w:left="3360" w:hanging="180"/>
      </w:pPr>
    </w:lvl>
    <w:lvl w:ilvl="3" w:tplc="080A000F" w:tentative="1">
      <w:start w:val="1"/>
      <w:numFmt w:val="decimal"/>
      <w:lvlText w:val="%4."/>
      <w:lvlJc w:val="left"/>
      <w:pPr>
        <w:ind w:left="4080" w:hanging="360"/>
      </w:pPr>
    </w:lvl>
    <w:lvl w:ilvl="4" w:tplc="080A0019" w:tentative="1">
      <w:start w:val="1"/>
      <w:numFmt w:val="lowerLetter"/>
      <w:lvlText w:val="%5."/>
      <w:lvlJc w:val="left"/>
      <w:pPr>
        <w:ind w:left="4800" w:hanging="360"/>
      </w:pPr>
    </w:lvl>
    <w:lvl w:ilvl="5" w:tplc="080A001B" w:tentative="1">
      <w:start w:val="1"/>
      <w:numFmt w:val="lowerRoman"/>
      <w:lvlText w:val="%6."/>
      <w:lvlJc w:val="right"/>
      <w:pPr>
        <w:ind w:left="5520" w:hanging="180"/>
      </w:pPr>
    </w:lvl>
    <w:lvl w:ilvl="6" w:tplc="080A000F" w:tentative="1">
      <w:start w:val="1"/>
      <w:numFmt w:val="decimal"/>
      <w:lvlText w:val="%7."/>
      <w:lvlJc w:val="left"/>
      <w:pPr>
        <w:ind w:left="6240" w:hanging="360"/>
      </w:pPr>
    </w:lvl>
    <w:lvl w:ilvl="7" w:tplc="080A0019" w:tentative="1">
      <w:start w:val="1"/>
      <w:numFmt w:val="lowerLetter"/>
      <w:lvlText w:val="%8."/>
      <w:lvlJc w:val="left"/>
      <w:pPr>
        <w:ind w:left="6960" w:hanging="360"/>
      </w:pPr>
    </w:lvl>
    <w:lvl w:ilvl="8" w:tplc="0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>
    <w:nsid w:val="30823917"/>
    <w:multiLevelType w:val="hybridMultilevel"/>
    <w:tmpl w:val="2988C4F0"/>
    <w:lvl w:ilvl="0" w:tplc="0706D6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317490"/>
    <w:multiLevelType w:val="hybridMultilevel"/>
    <w:tmpl w:val="D786D400"/>
    <w:lvl w:ilvl="0" w:tplc="5EFE98EE">
      <w:start w:val="1"/>
      <w:numFmt w:val="decimal"/>
      <w:lvlText w:val="%1."/>
      <w:lvlJc w:val="left"/>
      <w:pPr>
        <w:ind w:left="3763" w:hanging="360"/>
      </w:pPr>
      <w:rPr>
        <w:rFonts w:hint="default"/>
        <w:b/>
        <w:i w:val="0"/>
        <w:sz w:val="24"/>
      </w:rPr>
    </w:lvl>
    <w:lvl w:ilvl="1" w:tplc="9130415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5F1FEC"/>
    <w:multiLevelType w:val="multilevel"/>
    <w:tmpl w:val="D1BA65F6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Palatino Linotype" w:eastAsia="Palatino Linotype" w:hAnsi="Palatino Linotype" w:cs="Palatino Linotype"/>
        <w:position w:val="0"/>
      </w:rPr>
    </w:lvl>
    <w:lvl w:ilvl="2">
      <w:start w:val="1"/>
      <w:numFmt w:val="decimal"/>
      <w:lvlText w:val="%3."/>
      <w:lvlJc w:val="left"/>
      <w:rPr>
        <w:rFonts w:ascii="Palatino Linotype" w:eastAsia="Palatino Linotype" w:hAnsi="Palatino Linotype" w:cs="Palatino Linotype"/>
        <w:position w:val="0"/>
      </w:rPr>
    </w:lvl>
    <w:lvl w:ilvl="3">
      <w:start w:val="1"/>
      <w:numFmt w:val="decimal"/>
      <w:lvlText w:val="%4."/>
      <w:lvlJc w:val="left"/>
      <w:rPr>
        <w:rFonts w:ascii="Palatino Linotype" w:eastAsia="Palatino Linotype" w:hAnsi="Palatino Linotype" w:cs="Palatino Linotype"/>
        <w:position w:val="0"/>
      </w:rPr>
    </w:lvl>
    <w:lvl w:ilvl="4">
      <w:start w:val="1"/>
      <w:numFmt w:val="decimal"/>
      <w:lvlText w:val="%5."/>
      <w:lvlJc w:val="left"/>
      <w:rPr>
        <w:rFonts w:ascii="Palatino Linotype" w:eastAsia="Palatino Linotype" w:hAnsi="Palatino Linotype" w:cs="Palatino Linotype"/>
        <w:position w:val="0"/>
      </w:rPr>
    </w:lvl>
    <w:lvl w:ilvl="5">
      <w:start w:val="1"/>
      <w:numFmt w:val="decimal"/>
      <w:lvlText w:val="%6."/>
      <w:lvlJc w:val="left"/>
      <w:rPr>
        <w:rFonts w:ascii="Palatino Linotype" w:eastAsia="Palatino Linotype" w:hAnsi="Palatino Linotype" w:cs="Palatino Linotype"/>
        <w:position w:val="0"/>
      </w:rPr>
    </w:lvl>
    <w:lvl w:ilvl="6">
      <w:start w:val="1"/>
      <w:numFmt w:val="decimal"/>
      <w:lvlText w:val="%7."/>
      <w:lvlJc w:val="left"/>
      <w:rPr>
        <w:rFonts w:ascii="Palatino Linotype" w:eastAsia="Palatino Linotype" w:hAnsi="Palatino Linotype" w:cs="Palatino Linotype"/>
        <w:position w:val="0"/>
      </w:rPr>
    </w:lvl>
    <w:lvl w:ilvl="7">
      <w:start w:val="1"/>
      <w:numFmt w:val="decimal"/>
      <w:lvlText w:val="%8."/>
      <w:lvlJc w:val="left"/>
      <w:rPr>
        <w:rFonts w:ascii="Palatino Linotype" w:eastAsia="Palatino Linotype" w:hAnsi="Palatino Linotype" w:cs="Palatino Linotype"/>
        <w:position w:val="0"/>
      </w:rPr>
    </w:lvl>
    <w:lvl w:ilvl="8">
      <w:start w:val="1"/>
      <w:numFmt w:val="decimal"/>
      <w:lvlText w:val="%9."/>
      <w:lvlJc w:val="left"/>
      <w:rPr>
        <w:rFonts w:ascii="Palatino Linotype" w:eastAsia="Palatino Linotype" w:hAnsi="Palatino Linotype" w:cs="Palatino Linotype"/>
        <w:position w:val="0"/>
      </w:rPr>
    </w:lvl>
  </w:abstractNum>
  <w:abstractNum w:abstractNumId="20">
    <w:nsid w:val="40C21648"/>
    <w:multiLevelType w:val="hybridMultilevel"/>
    <w:tmpl w:val="048E1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EE7A70"/>
    <w:multiLevelType w:val="hybridMultilevel"/>
    <w:tmpl w:val="C94E487C"/>
    <w:lvl w:ilvl="0" w:tplc="281E5080">
      <w:start w:val="1"/>
      <w:numFmt w:val="decimal"/>
      <w:lvlText w:val="%1."/>
      <w:lvlJc w:val="left"/>
      <w:pPr>
        <w:ind w:left="426" w:hanging="360"/>
      </w:pPr>
    </w:lvl>
    <w:lvl w:ilvl="1" w:tplc="080A0019" w:tentative="1">
      <w:start w:val="1"/>
      <w:numFmt w:val="lowerLetter"/>
      <w:lvlText w:val="%2."/>
      <w:lvlJc w:val="left"/>
      <w:pPr>
        <w:ind w:left="1146" w:hanging="360"/>
      </w:pPr>
    </w:lvl>
    <w:lvl w:ilvl="2" w:tplc="080A001B" w:tentative="1">
      <w:start w:val="1"/>
      <w:numFmt w:val="lowerRoman"/>
      <w:lvlText w:val="%3."/>
      <w:lvlJc w:val="right"/>
      <w:pPr>
        <w:ind w:left="1866" w:hanging="180"/>
      </w:pPr>
    </w:lvl>
    <w:lvl w:ilvl="3" w:tplc="080A000F" w:tentative="1">
      <w:start w:val="1"/>
      <w:numFmt w:val="decimal"/>
      <w:lvlText w:val="%4."/>
      <w:lvlJc w:val="left"/>
      <w:pPr>
        <w:ind w:left="2586" w:hanging="360"/>
      </w:pPr>
    </w:lvl>
    <w:lvl w:ilvl="4" w:tplc="080A0019" w:tentative="1">
      <w:start w:val="1"/>
      <w:numFmt w:val="lowerLetter"/>
      <w:lvlText w:val="%5."/>
      <w:lvlJc w:val="left"/>
      <w:pPr>
        <w:ind w:left="3306" w:hanging="360"/>
      </w:pPr>
    </w:lvl>
    <w:lvl w:ilvl="5" w:tplc="080A001B" w:tentative="1">
      <w:start w:val="1"/>
      <w:numFmt w:val="lowerRoman"/>
      <w:lvlText w:val="%6."/>
      <w:lvlJc w:val="right"/>
      <w:pPr>
        <w:ind w:left="4026" w:hanging="180"/>
      </w:pPr>
    </w:lvl>
    <w:lvl w:ilvl="6" w:tplc="080A000F" w:tentative="1">
      <w:start w:val="1"/>
      <w:numFmt w:val="decimal"/>
      <w:lvlText w:val="%7."/>
      <w:lvlJc w:val="left"/>
      <w:pPr>
        <w:ind w:left="4746" w:hanging="360"/>
      </w:pPr>
    </w:lvl>
    <w:lvl w:ilvl="7" w:tplc="080A0019" w:tentative="1">
      <w:start w:val="1"/>
      <w:numFmt w:val="lowerLetter"/>
      <w:lvlText w:val="%8."/>
      <w:lvlJc w:val="left"/>
      <w:pPr>
        <w:ind w:left="5466" w:hanging="360"/>
      </w:pPr>
    </w:lvl>
    <w:lvl w:ilvl="8" w:tplc="08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>
    <w:nsid w:val="47AC5D89"/>
    <w:multiLevelType w:val="hybridMultilevel"/>
    <w:tmpl w:val="C94E487C"/>
    <w:lvl w:ilvl="0" w:tplc="281E5080">
      <w:start w:val="1"/>
      <w:numFmt w:val="decimal"/>
      <w:lvlText w:val="%1."/>
      <w:lvlJc w:val="left"/>
      <w:pPr>
        <w:ind w:left="426" w:hanging="360"/>
      </w:pPr>
    </w:lvl>
    <w:lvl w:ilvl="1" w:tplc="080A0019">
      <w:start w:val="1"/>
      <w:numFmt w:val="lowerLetter"/>
      <w:lvlText w:val="%2."/>
      <w:lvlJc w:val="left"/>
      <w:pPr>
        <w:ind w:left="1146" w:hanging="360"/>
      </w:pPr>
    </w:lvl>
    <w:lvl w:ilvl="2" w:tplc="080A001B" w:tentative="1">
      <w:start w:val="1"/>
      <w:numFmt w:val="lowerRoman"/>
      <w:lvlText w:val="%3."/>
      <w:lvlJc w:val="right"/>
      <w:pPr>
        <w:ind w:left="1866" w:hanging="180"/>
      </w:pPr>
    </w:lvl>
    <w:lvl w:ilvl="3" w:tplc="080A000F" w:tentative="1">
      <w:start w:val="1"/>
      <w:numFmt w:val="decimal"/>
      <w:lvlText w:val="%4."/>
      <w:lvlJc w:val="left"/>
      <w:pPr>
        <w:ind w:left="2586" w:hanging="360"/>
      </w:pPr>
    </w:lvl>
    <w:lvl w:ilvl="4" w:tplc="080A0019" w:tentative="1">
      <w:start w:val="1"/>
      <w:numFmt w:val="lowerLetter"/>
      <w:lvlText w:val="%5."/>
      <w:lvlJc w:val="left"/>
      <w:pPr>
        <w:ind w:left="3306" w:hanging="360"/>
      </w:pPr>
    </w:lvl>
    <w:lvl w:ilvl="5" w:tplc="080A001B" w:tentative="1">
      <w:start w:val="1"/>
      <w:numFmt w:val="lowerRoman"/>
      <w:lvlText w:val="%6."/>
      <w:lvlJc w:val="right"/>
      <w:pPr>
        <w:ind w:left="4026" w:hanging="180"/>
      </w:pPr>
    </w:lvl>
    <w:lvl w:ilvl="6" w:tplc="080A000F" w:tentative="1">
      <w:start w:val="1"/>
      <w:numFmt w:val="decimal"/>
      <w:lvlText w:val="%7."/>
      <w:lvlJc w:val="left"/>
      <w:pPr>
        <w:ind w:left="4746" w:hanging="360"/>
      </w:pPr>
    </w:lvl>
    <w:lvl w:ilvl="7" w:tplc="080A0019" w:tentative="1">
      <w:start w:val="1"/>
      <w:numFmt w:val="lowerLetter"/>
      <w:lvlText w:val="%8."/>
      <w:lvlJc w:val="left"/>
      <w:pPr>
        <w:ind w:left="5466" w:hanging="360"/>
      </w:pPr>
    </w:lvl>
    <w:lvl w:ilvl="8" w:tplc="08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3">
    <w:nsid w:val="48285EA1"/>
    <w:multiLevelType w:val="hybridMultilevel"/>
    <w:tmpl w:val="B784DA1E"/>
    <w:lvl w:ilvl="0" w:tplc="86528DF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B60559D"/>
    <w:multiLevelType w:val="hybridMultilevel"/>
    <w:tmpl w:val="4A225A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BA5593"/>
    <w:multiLevelType w:val="hybridMultilevel"/>
    <w:tmpl w:val="DC986624"/>
    <w:lvl w:ilvl="0" w:tplc="1E98FA6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ED50C73"/>
    <w:multiLevelType w:val="hybridMultilevel"/>
    <w:tmpl w:val="6EE2600E"/>
    <w:lvl w:ilvl="0" w:tplc="62B055C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C650D"/>
    <w:multiLevelType w:val="hybridMultilevel"/>
    <w:tmpl w:val="3C5AA0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7202FA"/>
    <w:multiLevelType w:val="hybridMultilevel"/>
    <w:tmpl w:val="4D92373A"/>
    <w:lvl w:ilvl="0" w:tplc="314C95F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910C6E"/>
    <w:multiLevelType w:val="hybridMultilevel"/>
    <w:tmpl w:val="E14A8AFA"/>
    <w:lvl w:ilvl="0" w:tplc="9808D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CF6A33"/>
    <w:multiLevelType w:val="multilevel"/>
    <w:tmpl w:val="EAA444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1">
    <w:nsid w:val="5F284F71"/>
    <w:multiLevelType w:val="hybridMultilevel"/>
    <w:tmpl w:val="1CC0534E"/>
    <w:lvl w:ilvl="0" w:tplc="080A000F">
      <w:start w:val="1"/>
      <w:numFmt w:val="decimal"/>
      <w:lvlText w:val="%1."/>
      <w:lvlJc w:val="left"/>
      <w:pPr>
        <w:ind w:left="1920" w:hanging="360"/>
      </w:pPr>
    </w:lvl>
    <w:lvl w:ilvl="1" w:tplc="080A0019" w:tentative="1">
      <w:start w:val="1"/>
      <w:numFmt w:val="lowerLetter"/>
      <w:lvlText w:val="%2."/>
      <w:lvlJc w:val="left"/>
      <w:pPr>
        <w:ind w:left="2640" w:hanging="360"/>
      </w:pPr>
    </w:lvl>
    <w:lvl w:ilvl="2" w:tplc="080A001B" w:tentative="1">
      <w:start w:val="1"/>
      <w:numFmt w:val="lowerRoman"/>
      <w:lvlText w:val="%3."/>
      <w:lvlJc w:val="right"/>
      <w:pPr>
        <w:ind w:left="3360" w:hanging="180"/>
      </w:pPr>
    </w:lvl>
    <w:lvl w:ilvl="3" w:tplc="080A000F" w:tentative="1">
      <w:start w:val="1"/>
      <w:numFmt w:val="decimal"/>
      <w:lvlText w:val="%4."/>
      <w:lvlJc w:val="left"/>
      <w:pPr>
        <w:ind w:left="4080" w:hanging="360"/>
      </w:pPr>
    </w:lvl>
    <w:lvl w:ilvl="4" w:tplc="080A0019" w:tentative="1">
      <w:start w:val="1"/>
      <w:numFmt w:val="lowerLetter"/>
      <w:lvlText w:val="%5."/>
      <w:lvlJc w:val="left"/>
      <w:pPr>
        <w:ind w:left="4800" w:hanging="360"/>
      </w:pPr>
    </w:lvl>
    <w:lvl w:ilvl="5" w:tplc="080A001B" w:tentative="1">
      <w:start w:val="1"/>
      <w:numFmt w:val="lowerRoman"/>
      <w:lvlText w:val="%6."/>
      <w:lvlJc w:val="right"/>
      <w:pPr>
        <w:ind w:left="5520" w:hanging="180"/>
      </w:pPr>
    </w:lvl>
    <w:lvl w:ilvl="6" w:tplc="080A000F" w:tentative="1">
      <w:start w:val="1"/>
      <w:numFmt w:val="decimal"/>
      <w:lvlText w:val="%7."/>
      <w:lvlJc w:val="left"/>
      <w:pPr>
        <w:ind w:left="6240" w:hanging="360"/>
      </w:pPr>
    </w:lvl>
    <w:lvl w:ilvl="7" w:tplc="080A0019" w:tentative="1">
      <w:start w:val="1"/>
      <w:numFmt w:val="lowerLetter"/>
      <w:lvlText w:val="%8."/>
      <w:lvlJc w:val="left"/>
      <w:pPr>
        <w:ind w:left="6960" w:hanging="360"/>
      </w:pPr>
    </w:lvl>
    <w:lvl w:ilvl="8" w:tplc="0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2">
    <w:nsid w:val="6AE3554E"/>
    <w:multiLevelType w:val="hybridMultilevel"/>
    <w:tmpl w:val="9B3248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941E60"/>
    <w:multiLevelType w:val="hybridMultilevel"/>
    <w:tmpl w:val="9BE29844"/>
    <w:lvl w:ilvl="0" w:tplc="9DB84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2758E"/>
    <w:multiLevelType w:val="hybridMultilevel"/>
    <w:tmpl w:val="973074AC"/>
    <w:lvl w:ilvl="0" w:tplc="545A67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A426DC"/>
    <w:multiLevelType w:val="hybridMultilevel"/>
    <w:tmpl w:val="332EF350"/>
    <w:lvl w:ilvl="0" w:tplc="6D5CB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C46B3"/>
    <w:multiLevelType w:val="hybridMultilevel"/>
    <w:tmpl w:val="138A1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0B4CCB"/>
    <w:multiLevelType w:val="hybridMultilevel"/>
    <w:tmpl w:val="E188BE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0136A0"/>
    <w:multiLevelType w:val="hybridMultilevel"/>
    <w:tmpl w:val="705CDDC4"/>
    <w:lvl w:ilvl="0" w:tplc="47B0A78C">
      <w:start w:val="1"/>
      <w:numFmt w:val="decimal"/>
      <w:lvlText w:val="%1."/>
      <w:lvlJc w:val="left"/>
      <w:pPr>
        <w:ind w:left="433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9E4D9E"/>
    <w:multiLevelType w:val="hybridMultilevel"/>
    <w:tmpl w:val="FAF2E170"/>
    <w:lvl w:ilvl="0" w:tplc="47D63F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32704"/>
    <w:multiLevelType w:val="multilevel"/>
    <w:tmpl w:val="0FCA0F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num w:numId="1">
    <w:abstractNumId w:val="28"/>
  </w:num>
  <w:num w:numId="2">
    <w:abstractNumId w:val="15"/>
  </w:num>
  <w:num w:numId="3">
    <w:abstractNumId w:val="37"/>
  </w:num>
  <w:num w:numId="4">
    <w:abstractNumId w:val="10"/>
  </w:num>
  <w:num w:numId="5">
    <w:abstractNumId w:val="19"/>
  </w:num>
  <w:num w:numId="6">
    <w:abstractNumId w:val="5"/>
  </w:num>
  <w:num w:numId="7">
    <w:abstractNumId w:val="27"/>
  </w:num>
  <w:num w:numId="8">
    <w:abstractNumId w:val="39"/>
  </w:num>
  <w:num w:numId="9">
    <w:abstractNumId w:val="22"/>
  </w:num>
  <w:num w:numId="10">
    <w:abstractNumId w:val="4"/>
  </w:num>
  <w:num w:numId="11">
    <w:abstractNumId w:val="1"/>
  </w:num>
  <w:num w:numId="12">
    <w:abstractNumId w:val="26"/>
  </w:num>
  <w:num w:numId="13">
    <w:abstractNumId w:val="7"/>
  </w:num>
  <w:num w:numId="14">
    <w:abstractNumId w:val="35"/>
  </w:num>
  <w:num w:numId="15">
    <w:abstractNumId w:val="33"/>
  </w:num>
  <w:num w:numId="16">
    <w:abstractNumId w:val="25"/>
  </w:num>
  <w:num w:numId="17">
    <w:abstractNumId w:val="17"/>
  </w:num>
  <w:num w:numId="18">
    <w:abstractNumId w:val="13"/>
  </w:num>
  <w:num w:numId="19">
    <w:abstractNumId w:val="36"/>
  </w:num>
  <w:num w:numId="20">
    <w:abstractNumId w:val="21"/>
  </w:num>
  <w:num w:numId="21">
    <w:abstractNumId w:val="38"/>
  </w:num>
  <w:num w:numId="22">
    <w:abstractNumId w:val="18"/>
  </w:num>
  <w:num w:numId="23">
    <w:abstractNumId w:val="29"/>
  </w:num>
  <w:num w:numId="24">
    <w:abstractNumId w:val="2"/>
  </w:num>
  <w:num w:numId="25">
    <w:abstractNumId w:val="3"/>
  </w:num>
  <w:num w:numId="26">
    <w:abstractNumId w:val="31"/>
  </w:num>
  <w:num w:numId="27">
    <w:abstractNumId w:val="16"/>
  </w:num>
  <w:num w:numId="28">
    <w:abstractNumId w:val="34"/>
  </w:num>
  <w:num w:numId="29">
    <w:abstractNumId w:val="20"/>
  </w:num>
  <w:num w:numId="30">
    <w:abstractNumId w:val="24"/>
  </w:num>
  <w:num w:numId="31">
    <w:abstractNumId w:val="0"/>
  </w:num>
  <w:num w:numId="32">
    <w:abstractNumId w:val="12"/>
  </w:num>
  <w:num w:numId="33">
    <w:abstractNumId w:val="14"/>
  </w:num>
  <w:num w:numId="34">
    <w:abstractNumId w:val="11"/>
  </w:num>
  <w:num w:numId="35">
    <w:abstractNumId w:val="40"/>
  </w:num>
  <w:num w:numId="36">
    <w:abstractNumId w:val="30"/>
  </w:num>
  <w:num w:numId="37">
    <w:abstractNumId w:val="6"/>
  </w:num>
  <w:num w:numId="38">
    <w:abstractNumId w:val="32"/>
  </w:num>
  <w:num w:numId="39">
    <w:abstractNumId w:val="9"/>
  </w:num>
  <w:num w:numId="40">
    <w:abstractNumId w:val="23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32"/>
    <w:rsid w:val="00004141"/>
    <w:rsid w:val="000350F9"/>
    <w:rsid w:val="00074B24"/>
    <w:rsid w:val="000818A9"/>
    <w:rsid w:val="0009296B"/>
    <w:rsid w:val="00097AD7"/>
    <w:rsid w:val="000B0E25"/>
    <w:rsid w:val="000D1EA2"/>
    <w:rsid w:val="000D704A"/>
    <w:rsid w:val="000F2AC8"/>
    <w:rsid w:val="00103510"/>
    <w:rsid w:val="00115126"/>
    <w:rsid w:val="0015416E"/>
    <w:rsid w:val="00155AB0"/>
    <w:rsid w:val="0016141F"/>
    <w:rsid w:val="00173575"/>
    <w:rsid w:val="001933BE"/>
    <w:rsid w:val="001A2F06"/>
    <w:rsid w:val="001A3E45"/>
    <w:rsid w:val="001C5397"/>
    <w:rsid w:val="001C6C91"/>
    <w:rsid w:val="001E2E42"/>
    <w:rsid w:val="001F0577"/>
    <w:rsid w:val="001F4D39"/>
    <w:rsid w:val="00203272"/>
    <w:rsid w:val="002252EC"/>
    <w:rsid w:val="00230BB9"/>
    <w:rsid w:val="00253251"/>
    <w:rsid w:val="0026502D"/>
    <w:rsid w:val="00274977"/>
    <w:rsid w:val="00287523"/>
    <w:rsid w:val="00290D96"/>
    <w:rsid w:val="002A3A54"/>
    <w:rsid w:val="002B57ED"/>
    <w:rsid w:val="002E4EAD"/>
    <w:rsid w:val="002F0112"/>
    <w:rsid w:val="002F15F1"/>
    <w:rsid w:val="002F6E68"/>
    <w:rsid w:val="00301B52"/>
    <w:rsid w:val="0030208C"/>
    <w:rsid w:val="00356911"/>
    <w:rsid w:val="00364E7F"/>
    <w:rsid w:val="003672A4"/>
    <w:rsid w:val="003765B0"/>
    <w:rsid w:val="0038405F"/>
    <w:rsid w:val="003A43CE"/>
    <w:rsid w:val="003C5B81"/>
    <w:rsid w:val="003C68B6"/>
    <w:rsid w:val="003D1215"/>
    <w:rsid w:val="003D513F"/>
    <w:rsid w:val="003F2789"/>
    <w:rsid w:val="003F71B7"/>
    <w:rsid w:val="00421FE8"/>
    <w:rsid w:val="004252DB"/>
    <w:rsid w:val="00430106"/>
    <w:rsid w:val="00482790"/>
    <w:rsid w:val="004915D5"/>
    <w:rsid w:val="004A75D5"/>
    <w:rsid w:val="004C4360"/>
    <w:rsid w:val="0050137A"/>
    <w:rsid w:val="00503141"/>
    <w:rsid w:val="0052203D"/>
    <w:rsid w:val="00524611"/>
    <w:rsid w:val="00541322"/>
    <w:rsid w:val="0054250E"/>
    <w:rsid w:val="00557948"/>
    <w:rsid w:val="0058118C"/>
    <w:rsid w:val="0058225D"/>
    <w:rsid w:val="00586E51"/>
    <w:rsid w:val="00595793"/>
    <w:rsid w:val="005A14B9"/>
    <w:rsid w:val="005A1D59"/>
    <w:rsid w:val="005E3E3E"/>
    <w:rsid w:val="005F0998"/>
    <w:rsid w:val="00604922"/>
    <w:rsid w:val="00614828"/>
    <w:rsid w:val="006169A7"/>
    <w:rsid w:val="00630699"/>
    <w:rsid w:val="00633DCF"/>
    <w:rsid w:val="0063445D"/>
    <w:rsid w:val="0063753D"/>
    <w:rsid w:val="00644DC3"/>
    <w:rsid w:val="00651B65"/>
    <w:rsid w:val="00661E65"/>
    <w:rsid w:val="00692CB2"/>
    <w:rsid w:val="00696E58"/>
    <w:rsid w:val="00711276"/>
    <w:rsid w:val="007213D4"/>
    <w:rsid w:val="007226CE"/>
    <w:rsid w:val="007631ED"/>
    <w:rsid w:val="00763471"/>
    <w:rsid w:val="00774A7F"/>
    <w:rsid w:val="0077794D"/>
    <w:rsid w:val="00795BA4"/>
    <w:rsid w:val="007A6A25"/>
    <w:rsid w:val="007A76AC"/>
    <w:rsid w:val="007B70C2"/>
    <w:rsid w:val="007B7886"/>
    <w:rsid w:val="007E2368"/>
    <w:rsid w:val="00835B3B"/>
    <w:rsid w:val="008645E3"/>
    <w:rsid w:val="00876E43"/>
    <w:rsid w:val="00880EB4"/>
    <w:rsid w:val="008861F2"/>
    <w:rsid w:val="008A174E"/>
    <w:rsid w:val="008A78F1"/>
    <w:rsid w:val="008B29B7"/>
    <w:rsid w:val="008B4BAC"/>
    <w:rsid w:val="008B7090"/>
    <w:rsid w:val="008B70FB"/>
    <w:rsid w:val="008B7D1A"/>
    <w:rsid w:val="008C3561"/>
    <w:rsid w:val="008F1F4E"/>
    <w:rsid w:val="0099042C"/>
    <w:rsid w:val="009C1935"/>
    <w:rsid w:val="009C76A7"/>
    <w:rsid w:val="009D30A1"/>
    <w:rsid w:val="009D5E66"/>
    <w:rsid w:val="00A1138D"/>
    <w:rsid w:val="00A62375"/>
    <w:rsid w:val="00A63691"/>
    <w:rsid w:val="00A86B9D"/>
    <w:rsid w:val="00AB0063"/>
    <w:rsid w:val="00AE112C"/>
    <w:rsid w:val="00AE1FD6"/>
    <w:rsid w:val="00AE5361"/>
    <w:rsid w:val="00B079D3"/>
    <w:rsid w:val="00B10148"/>
    <w:rsid w:val="00B21DC0"/>
    <w:rsid w:val="00B305DB"/>
    <w:rsid w:val="00B35501"/>
    <w:rsid w:val="00B40E9D"/>
    <w:rsid w:val="00B82DF9"/>
    <w:rsid w:val="00B847C6"/>
    <w:rsid w:val="00BA7541"/>
    <w:rsid w:val="00BC23A5"/>
    <w:rsid w:val="00BC264C"/>
    <w:rsid w:val="00C64CFF"/>
    <w:rsid w:val="00C87E9E"/>
    <w:rsid w:val="00CA24BC"/>
    <w:rsid w:val="00CB3643"/>
    <w:rsid w:val="00CD3F2D"/>
    <w:rsid w:val="00CE058D"/>
    <w:rsid w:val="00CF7DF4"/>
    <w:rsid w:val="00D075E8"/>
    <w:rsid w:val="00D212CB"/>
    <w:rsid w:val="00D30999"/>
    <w:rsid w:val="00D37C48"/>
    <w:rsid w:val="00D420C4"/>
    <w:rsid w:val="00D570BC"/>
    <w:rsid w:val="00DA163A"/>
    <w:rsid w:val="00DB5AF7"/>
    <w:rsid w:val="00DE28AC"/>
    <w:rsid w:val="00DF3201"/>
    <w:rsid w:val="00E043DE"/>
    <w:rsid w:val="00E12C1D"/>
    <w:rsid w:val="00E158D0"/>
    <w:rsid w:val="00E4540E"/>
    <w:rsid w:val="00E45666"/>
    <w:rsid w:val="00E60379"/>
    <w:rsid w:val="00E67744"/>
    <w:rsid w:val="00E75201"/>
    <w:rsid w:val="00E80889"/>
    <w:rsid w:val="00EA36ED"/>
    <w:rsid w:val="00EB46CE"/>
    <w:rsid w:val="00EB4980"/>
    <w:rsid w:val="00EB6215"/>
    <w:rsid w:val="00ED5776"/>
    <w:rsid w:val="00ED7332"/>
    <w:rsid w:val="00EF6D27"/>
    <w:rsid w:val="00F23B30"/>
    <w:rsid w:val="00F3413E"/>
    <w:rsid w:val="00F457AA"/>
    <w:rsid w:val="00F467A8"/>
    <w:rsid w:val="00F71FF7"/>
    <w:rsid w:val="00F73EA1"/>
    <w:rsid w:val="00F75AE7"/>
    <w:rsid w:val="00F77503"/>
    <w:rsid w:val="00FB534E"/>
    <w:rsid w:val="00FD7D1F"/>
    <w:rsid w:val="00FE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chartTrackingRefBased/>
  <w15:docId w15:val="{D90FC459-8C8E-4168-82C8-C3705A873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220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B29B7"/>
    <w:pPr>
      <w:keepNext/>
      <w:keepLines/>
      <w:numPr>
        <w:numId w:val="11"/>
      </w:numPr>
      <w:spacing w:before="240"/>
      <w:outlineLvl w:val="0"/>
    </w:pPr>
    <w:rPr>
      <w:rFonts w:ascii="Palatino Linotype" w:eastAsiaTheme="majorEastAsia" w:hAnsi="Palatino Linotype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2D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33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ED733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ED733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D7332"/>
    <w:rPr>
      <w:sz w:val="20"/>
      <w:szCs w:val="20"/>
    </w:rPr>
  </w:style>
  <w:style w:type="character" w:styleId="Refdenotaalpie">
    <w:name w:val="footnote reference"/>
    <w:aliases w:val="Footnotes refss,Texto de nota al pie,Ref. de nota al pie 2,Appel note de bas de page,referencia nota al pie,BVI fnr,Footnote number,4_G,16 Point,Superscript 6 Point,Texto nota al pie,Footnote Reference Char3"/>
    <w:basedOn w:val="Fuentedeprrafopredeter"/>
    <w:uiPriority w:val="99"/>
    <w:unhideWhenUsed/>
    <w:rsid w:val="00ED7332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ED73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7332"/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1A2F06"/>
  </w:style>
  <w:style w:type="paragraph" w:styleId="Textodeglobo">
    <w:name w:val="Balloon Text"/>
    <w:basedOn w:val="Normal"/>
    <w:link w:val="TextodegloboCar"/>
    <w:uiPriority w:val="99"/>
    <w:semiHidden/>
    <w:unhideWhenUsed/>
    <w:rsid w:val="004C436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436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013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137A"/>
  </w:style>
  <w:style w:type="character" w:styleId="Hipervnculo">
    <w:name w:val="Hyperlink"/>
    <w:basedOn w:val="Fuentedeprrafopredeter"/>
    <w:uiPriority w:val="99"/>
    <w:unhideWhenUsed/>
    <w:rsid w:val="00876E43"/>
    <w:rPr>
      <w:color w:val="0563C1" w:themeColor="hyperlink"/>
      <w:u w:val="single"/>
    </w:rPr>
  </w:style>
  <w:style w:type="paragraph" w:customStyle="1" w:styleId="Cuerpo">
    <w:name w:val="Cuerpo"/>
    <w:rsid w:val="004252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s-ES_tradnl" w:eastAsia="es-MX"/>
    </w:rPr>
  </w:style>
  <w:style w:type="character" w:customStyle="1" w:styleId="Ninguno">
    <w:name w:val="Ninguno"/>
    <w:rsid w:val="0052203D"/>
  </w:style>
  <w:style w:type="paragraph" w:customStyle="1" w:styleId="Notaalpie">
    <w:name w:val="Nota al pie"/>
    <w:rsid w:val="005220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es-MX"/>
    </w:rPr>
  </w:style>
  <w:style w:type="character" w:customStyle="1" w:styleId="Hyperlink0">
    <w:name w:val="Hyperlink.0"/>
    <w:basedOn w:val="Hipervnculo"/>
    <w:rsid w:val="0052203D"/>
    <w:rPr>
      <w:color w:val="0563C1" w:themeColor="hyperlink"/>
      <w:u w:val="single"/>
    </w:rPr>
  </w:style>
  <w:style w:type="character" w:customStyle="1" w:styleId="cs9b0541cf">
    <w:name w:val="cs9b0541cf"/>
    <w:basedOn w:val="Fuentedeprrafopredeter"/>
    <w:rsid w:val="003A43CE"/>
  </w:style>
  <w:style w:type="character" w:customStyle="1" w:styleId="Ttulo1Car">
    <w:name w:val="Título 1 Car"/>
    <w:basedOn w:val="Fuentedeprrafopredeter"/>
    <w:link w:val="Ttulo1"/>
    <w:uiPriority w:val="9"/>
    <w:rsid w:val="008B29B7"/>
    <w:rPr>
      <w:rFonts w:ascii="Palatino Linotype" w:eastAsiaTheme="majorEastAsia" w:hAnsi="Palatino Linotype" w:cstheme="majorBidi"/>
      <w:b/>
      <w:sz w:val="24"/>
      <w:szCs w:val="32"/>
      <w:bdr w:val="nil"/>
    </w:rPr>
  </w:style>
  <w:style w:type="paragraph" w:styleId="TtulodeTDC">
    <w:name w:val="TOC Heading"/>
    <w:basedOn w:val="Ttulo1"/>
    <w:next w:val="Normal"/>
    <w:uiPriority w:val="39"/>
    <w:unhideWhenUsed/>
    <w:qFormat/>
    <w:rsid w:val="008B29B7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bdr w:val="none" w:sz="0" w:space="0" w:color="auto"/>
      <w:lang w:eastAsia="es-MX"/>
    </w:rPr>
  </w:style>
  <w:style w:type="paragraph" w:styleId="TDC1">
    <w:name w:val="toc 1"/>
    <w:aliases w:val="Índice"/>
    <w:basedOn w:val="Normal"/>
    <w:next w:val="Normal"/>
    <w:autoRedefine/>
    <w:uiPriority w:val="39"/>
    <w:unhideWhenUsed/>
    <w:qFormat/>
    <w:rsid w:val="002F6E68"/>
    <w:pPr>
      <w:tabs>
        <w:tab w:val="left" w:pos="660"/>
        <w:tab w:val="right" w:leader="dot" w:pos="8828"/>
      </w:tabs>
      <w:spacing w:after="100" w:line="360" w:lineRule="auto"/>
      <w:ind w:left="284"/>
    </w:pPr>
    <w:rPr>
      <w:rFonts w:ascii="Palatino Linotype" w:hAnsi="Palatino Linotype"/>
    </w:rPr>
  </w:style>
  <w:style w:type="paragraph" w:styleId="Sinespaciado">
    <w:name w:val="No Spacing"/>
    <w:aliases w:val="Francesa"/>
    <w:link w:val="SinespaciadoCar"/>
    <w:uiPriority w:val="1"/>
    <w:qFormat/>
    <w:rsid w:val="008B29B7"/>
    <w:pPr>
      <w:spacing w:after="0" w:line="240" w:lineRule="auto"/>
    </w:pPr>
  </w:style>
  <w:style w:type="character" w:customStyle="1" w:styleId="SinespaciadoCar">
    <w:name w:val="Sin espaciado Car"/>
    <w:aliases w:val="Francesa Car"/>
    <w:link w:val="Sinespaciado"/>
    <w:uiPriority w:val="1"/>
    <w:locked/>
    <w:rsid w:val="007226CE"/>
  </w:style>
  <w:style w:type="character" w:customStyle="1" w:styleId="Ttulo2Car">
    <w:name w:val="Título 2 Car"/>
    <w:basedOn w:val="Fuentedeprrafopredeter"/>
    <w:link w:val="Ttulo2"/>
    <w:uiPriority w:val="9"/>
    <w:rsid w:val="00B82DF9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il"/>
    </w:rPr>
  </w:style>
  <w:style w:type="paragraph" w:styleId="TDC2">
    <w:name w:val="toc 2"/>
    <w:basedOn w:val="Normal"/>
    <w:next w:val="Normal"/>
    <w:autoRedefine/>
    <w:uiPriority w:val="39"/>
    <w:unhideWhenUsed/>
    <w:rsid w:val="00EB46CE"/>
    <w:pPr>
      <w:tabs>
        <w:tab w:val="right" w:leader="dot" w:pos="8828"/>
      </w:tabs>
      <w:spacing w:after="100" w:line="360" w:lineRule="auto"/>
      <w:ind w:left="240"/>
    </w:pPr>
  </w:style>
  <w:style w:type="character" w:customStyle="1" w:styleId="Ttulo3Car">
    <w:name w:val="Título 3 Car"/>
    <w:basedOn w:val="Fuentedeprrafopredeter"/>
    <w:link w:val="Ttulo3"/>
    <w:uiPriority w:val="9"/>
    <w:rsid w:val="001933BE"/>
    <w:rPr>
      <w:rFonts w:asciiTheme="majorHAnsi" w:eastAsiaTheme="majorEastAsia" w:hAnsiTheme="majorHAnsi" w:cstheme="majorBidi"/>
      <w:color w:val="1F4D78" w:themeColor="accent1" w:themeShade="7F"/>
      <w:sz w:val="24"/>
      <w:szCs w:val="24"/>
      <w:bdr w:val="nil"/>
    </w:rPr>
  </w:style>
  <w:style w:type="paragraph" w:styleId="TDC3">
    <w:name w:val="toc 3"/>
    <w:basedOn w:val="Normal"/>
    <w:next w:val="Normal"/>
    <w:autoRedefine/>
    <w:uiPriority w:val="39"/>
    <w:unhideWhenUsed/>
    <w:rsid w:val="002F6E68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7BF0C-B361-458F-9F00-3CB228F0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1309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cp:lastPrinted>2017-08-18T00:51:00Z</cp:lastPrinted>
  <dcterms:created xsi:type="dcterms:W3CDTF">2019-01-21T23:04:00Z</dcterms:created>
  <dcterms:modified xsi:type="dcterms:W3CDTF">2019-03-07T16:31:00Z</dcterms:modified>
</cp:coreProperties>
</file>