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FE0B02">
        <w:rPr>
          <w:rFonts w:ascii="Palatino Linotype" w:eastAsia="Times New Roman" w:hAnsi="Palatino Linotype" w:cs="Arial"/>
          <w:color w:val="000000"/>
          <w:sz w:val="24"/>
          <w:szCs w:val="24"/>
          <w:lang w:eastAsia="es-MX"/>
        </w:rPr>
        <w:t xml:space="preserve">nueve de enero </w:t>
      </w:r>
      <w:r w:rsidR="00F15A6B">
        <w:rPr>
          <w:rFonts w:ascii="Palatino Linotype" w:eastAsia="Times New Roman" w:hAnsi="Palatino Linotype" w:cs="Arial"/>
          <w:color w:val="000000"/>
          <w:sz w:val="24"/>
          <w:szCs w:val="24"/>
          <w:lang w:eastAsia="es-MX"/>
        </w:rPr>
        <w:t>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942DE4">
        <w:rPr>
          <w:rFonts w:ascii="Palatino Linotype" w:hAnsi="Palatino Linotype" w:cs="Arial"/>
          <w:b/>
          <w:bCs/>
          <w:sz w:val="24"/>
          <w:lang w:eastAsia="es-MX"/>
        </w:rPr>
        <w:t>04070</w:t>
      </w:r>
      <w:r w:rsidR="007E2959" w:rsidRPr="007E2959">
        <w:rPr>
          <w:rFonts w:ascii="Palatino Linotype" w:hAnsi="Palatino Linotype" w:cs="Arial"/>
          <w:b/>
          <w:bCs/>
          <w:sz w:val="24"/>
          <w:lang w:eastAsia="es-MX"/>
        </w:rPr>
        <w:t>/INFOEM/IP/RR/2018</w:t>
      </w:r>
      <w:r>
        <w:rPr>
          <w:rFonts w:ascii="Palatino Linotype" w:hAnsi="Palatino Linotype" w:cs="Arial"/>
          <w:sz w:val="24"/>
        </w:rPr>
        <w:t xml:space="preserve">, </w:t>
      </w:r>
      <w:r w:rsidR="00081548">
        <w:rPr>
          <w:rFonts w:ascii="Palatino Linotype" w:hAnsi="Palatino Linotype" w:cs="Arial"/>
          <w:sz w:val="24"/>
        </w:rPr>
        <w:t>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AA7B5D">
        <w:rPr>
          <w:rFonts w:ascii="Palatino Linotype" w:hAnsi="Palatino Linotype" w:cs="Arial"/>
          <w:b/>
          <w:sz w:val="24"/>
          <w:szCs w:val="24"/>
        </w:rPr>
        <w:t>xxxxxxxxxxxxxxxxxxxx</w:t>
      </w:r>
      <w:r w:rsidR="006D113F" w:rsidRPr="006D113F">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3470B1">
        <w:rPr>
          <w:rFonts w:ascii="Palatino Linotype" w:hAnsi="Palatino Linotype" w:cs="Arial"/>
          <w:sz w:val="24"/>
        </w:rPr>
        <w:t xml:space="preserve">falta de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942DE4" w:rsidRPr="00942DE4">
        <w:rPr>
          <w:rFonts w:ascii="Palatino Linotype" w:hAnsi="Palatino Linotype" w:cs="Arial"/>
          <w:b/>
          <w:sz w:val="24"/>
          <w:szCs w:val="24"/>
        </w:rPr>
        <w:t>Ayuntamiento de Naucalpan de Juárez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42DE4">
        <w:rPr>
          <w:rFonts w:ascii="Palatino Linotype" w:hAnsi="Palatino Linotype" w:cs="Arial"/>
          <w:sz w:val="24"/>
        </w:rPr>
        <w:t>treinta de agosto</w:t>
      </w:r>
      <w:r w:rsidR="0012266D">
        <w:rPr>
          <w:rFonts w:ascii="Palatino Linotype" w:hAnsi="Palatino Linotype" w:cs="Arial"/>
          <w:sz w:val="24"/>
        </w:rPr>
        <w:t xml:space="preserve"> de dos mil dieciocho</w:t>
      </w:r>
      <w:r>
        <w:rPr>
          <w:rFonts w:ascii="Palatino Linotype" w:hAnsi="Palatino Linotype" w:cs="Arial"/>
          <w:sz w:val="24"/>
        </w:rPr>
        <w:t xml:space="preserve">, </w:t>
      </w:r>
      <w:r w:rsidR="002606F0">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942DE4" w:rsidRPr="00942DE4">
        <w:rPr>
          <w:rFonts w:ascii="Palatino Linotype" w:hAnsi="Palatino Linotype" w:cs="Arial"/>
          <w:b/>
          <w:sz w:val="24"/>
        </w:rPr>
        <w:t>00497/NAUCALPA/IP/2018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942DE4" w:rsidRPr="00942DE4">
        <w:rPr>
          <w:rFonts w:ascii="Palatino Linotype" w:hAnsi="Palatino Linotype"/>
          <w:i/>
          <w:color w:val="000000"/>
        </w:rPr>
        <w:t>Documento oficial de la entrega del fraccionamiento de vista del valle a las organizaciones sociales vecinales que efectuó el fraccionador entre los años 1970 y 1974 y dejo constancia en el ayuntamiento de Naucalpan y/o Gobierno del Estado de México.</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942DE4" w:rsidRDefault="00942DE4" w:rsidP="00E15E85">
      <w:pPr>
        <w:spacing w:before="240" w:line="360" w:lineRule="auto"/>
        <w:jc w:val="both"/>
        <w:rPr>
          <w:rFonts w:ascii="Palatino Linotype" w:hAnsi="Palatino Linotype" w:cs="Arial"/>
          <w:sz w:val="24"/>
          <w:szCs w:val="20"/>
        </w:rPr>
      </w:pPr>
      <w:r w:rsidRPr="00942DE4">
        <w:rPr>
          <w:rFonts w:ascii="Palatino Linotype" w:hAnsi="Palatino Linotype" w:cs="Arial"/>
          <w:sz w:val="24"/>
          <w:szCs w:val="20"/>
        </w:rPr>
        <w:t>En ese tenor, se observa que el sujeto obligado solicito prórroga para dar contestación a la solicitud de información, en fecha veinte de septiembre de dos mil dieciocho.</w:t>
      </w:r>
    </w:p>
    <w:p w:rsidR="00942DE4" w:rsidRPr="00942DE4" w:rsidRDefault="00942DE4" w:rsidP="00E15E85">
      <w:pPr>
        <w:spacing w:before="240" w:line="360" w:lineRule="auto"/>
        <w:jc w:val="both"/>
        <w:rPr>
          <w:rFonts w:ascii="Palatino Linotype" w:hAnsi="Palatino Linotype" w:cs="Arial"/>
          <w:sz w:val="24"/>
        </w:rPr>
      </w:pPr>
      <w:r>
        <w:rPr>
          <w:noProof/>
          <w:lang w:eastAsia="es-MX"/>
        </w:rPr>
        <w:drawing>
          <wp:inline distT="0" distB="0" distL="0" distR="0" wp14:anchorId="45407E88" wp14:editId="5CBAFF84">
            <wp:extent cx="5804452" cy="1253625"/>
            <wp:effectExtent l="0" t="0" r="635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25" t="54658" r="26624" b="26777"/>
                    <a:stretch/>
                  </pic:blipFill>
                  <pic:spPr bwMode="auto">
                    <a:xfrm>
                      <a:off x="0" y="0"/>
                      <a:ext cx="5857714" cy="1265128"/>
                    </a:xfrm>
                    <a:prstGeom prst="rect">
                      <a:avLst/>
                    </a:prstGeom>
                    <a:ln>
                      <a:noFill/>
                    </a:ln>
                    <a:extLst>
                      <a:ext uri="{53640926-AAD7-44D8-BBD7-CCE9431645EC}">
                        <a14:shadowObscured xmlns:a14="http://schemas.microsoft.com/office/drawing/2010/main"/>
                      </a:ext>
                    </a:extLst>
                  </pic:spPr>
                </pic:pic>
              </a:graphicData>
            </a:graphic>
          </wp:inline>
        </w:drawing>
      </w:r>
    </w:p>
    <w:p w:rsidR="00614FDD" w:rsidRDefault="00942DE4" w:rsidP="002606F0">
      <w:pPr>
        <w:spacing w:before="240" w:line="360" w:lineRule="auto"/>
        <w:jc w:val="both"/>
        <w:rPr>
          <w:rFonts w:ascii="Palatino Linotype" w:hAnsi="Palatino Linotype" w:cs="Arial"/>
          <w:i/>
          <w:sz w:val="24"/>
        </w:rPr>
      </w:pPr>
      <w:r>
        <w:rPr>
          <w:rFonts w:ascii="Palatino Linotype" w:hAnsi="Palatino Linotype" w:cs="Arial"/>
          <w:sz w:val="24"/>
        </w:rPr>
        <w:t>Asimismo, e</w:t>
      </w:r>
      <w:r w:rsidR="00E15E85" w:rsidRPr="00A77BF1">
        <w:rPr>
          <w:rFonts w:ascii="Palatino Linotype" w:hAnsi="Palatino Linotype" w:cs="Arial"/>
          <w:sz w:val="24"/>
        </w:rPr>
        <w:t xml:space="preserve">n el expediente electrónico </w:t>
      </w:r>
      <w:r w:rsidR="00E15E85" w:rsidRPr="00A77BF1">
        <w:rPr>
          <w:rFonts w:ascii="Palatino Linotype" w:hAnsi="Palatino Linotype" w:cs="Arial"/>
          <w:b/>
          <w:sz w:val="24"/>
        </w:rPr>
        <w:t>SAIMEX</w:t>
      </w:r>
      <w:r w:rsidR="003341B0">
        <w:rPr>
          <w:rFonts w:ascii="Palatino Linotype" w:hAnsi="Palatino Linotype" w:cs="Arial"/>
          <w:sz w:val="24"/>
        </w:rPr>
        <w:t xml:space="preserve">, se aprecia que </w:t>
      </w:r>
      <w:r w:rsidR="00E15E85" w:rsidRPr="00A77BF1">
        <w:rPr>
          <w:rFonts w:ascii="Palatino Linotype" w:hAnsi="Palatino Linotype" w:cs="Arial"/>
          <w:b/>
          <w:sz w:val="24"/>
        </w:rPr>
        <w:t>El Sujeto Obligado</w:t>
      </w:r>
      <w:r w:rsidR="00AC1D50">
        <w:rPr>
          <w:rFonts w:ascii="Palatino Linotype" w:hAnsi="Palatino Linotype" w:cs="Arial"/>
          <w:sz w:val="24"/>
        </w:rPr>
        <w:t xml:space="preserve"> </w:t>
      </w:r>
      <w:r w:rsidR="002606F0">
        <w:rPr>
          <w:rFonts w:ascii="Palatino Linotype" w:hAnsi="Palatino Linotype" w:cs="Arial"/>
          <w:sz w:val="24"/>
        </w:rPr>
        <w:t>fue omiso en emitir respuesta a la solicitud de información del recurrente.</w:t>
      </w: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2606F0">
        <w:rPr>
          <w:rFonts w:ascii="Palatino Linotype" w:hAnsi="Palatino Linotype" w:cs="Arial"/>
          <w:sz w:val="24"/>
          <w:szCs w:val="24"/>
        </w:rPr>
        <w:t xml:space="preserve">omisión de la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42DE4">
        <w:rPr>
          <w:rFonts w:ascii="Palatino Linotype" w:hAnsi="Palatino Linotype" w:cs="Arial"/>
          <w:sz w:val="24"/>
          <w:szCs w:val="24"/>
        </w:rPr>
        <w:t>veintitrés de octubre</w:t>
      </w:r>
      <w:r w:rsidR="003474F2">
        <w:rPr>
          <w:rFonts w:ascii="Palatino Linotype" w:hAnsi="Palatino Linotype" w:cs="Arial"/>
          <w:sz w:val="24"/>
          <w:szCs w:val="24"/>
        </w:rPr>
        <w:t xml:space="preserve"> </w:t>
      </w:r>
      <w:r w:rsidR="007E2959">
        <w:rPr>
          <w:rFonts w:ascii="Palatino Linotype" w:hAnsi="Palatino Linotype" w:cs="Arial"/>
          <w:sz w:val="24"/>
          <w:szCs w:val="24"/>
        </w:rPr>
        <w:t>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42DE4">
        <w:rPr>
          <w:rFonts w:ascii="Palatino Linotype" w:hAnsi="Palatino Linotype" w:cs="Arial"/>
          <w:b/>
          <w:bCs/>
          <w:sz w:val="24"/>
          <w:szCs w:val="24"/>
          <w:lang w:eastAsia="es-MX"/>
        </w:rPr>
        <w:t>04070</w:t>
      </w:r>
      <w:r w:rsidR="007E2959"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942DE4" w:rsidRDefault="00942DE4" w:rsidP="00E15E85">
      <w:pPr>
        <w:spacing w:before="240" w:line="360" w:lineRule="auto"/>
        <w:jc w:val="both"/>
        <w:rPr>
          <w:rFonts w:ascii="Palatino Linotype" w:hAnsi="Palatino Linotype" w:cs="Arial"/>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lastRenderedPageBreak/>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942DE4" w:rsidRPr="00942DE4">
        <w:rPr>
          <w:rFonts w:ascii="Palatino Linotype" w:hAnsi="Palatino Linotype"/>
          <w:i/>
          <w:color w:val="000000"/>
        </w:rPr>
        <w:t>SOLICITUD SOBRE: Documento oficial de la entrega del fraccionamiento de vista del valle a las organizaciones sociales vecinales que efectuó el fraccionador entre los años 1970 y 1974 y dejo constancia en el ayuntamiento de Naucalpan y/o Gobierno del Estado de México.</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942DE4" w:rsidRPr="00942DE4">
        <w:rPr>
          <w:rFonts w:ascii="Palatino Linotype" w:hAnsi="Palatino Linotype" w:cs="Arial"/>
          <w:i/>
        </w:rPr>
        <w:t>LA SOLICITUD DE LA PETICIÓN SE INGRESO EL 30/008/2018 , SE SOLICITO PRORROGA DE SIETE DÍAS, VENCIDOS Y AÚN NO SE OBTIENE RESPUESTA.</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2606F0" w:rsidRPr="00295668" w:rsidRDefault="002606F0" w:rsidP="003034F4">
      <w:pPr>
        <w:tabs>
          <w:tab w:val="left" w:pos="3550"/>
        </w:tabs>
        <w:spacing w:before="240" w:line="240" w:lineRule="auto"/>
        <w:ind w:right="851"/>
        <w:jc w:val="both"/>
        <w:rPr>
          <w:rFonts w:ascii="Palatino Linotype" w:hAnsi="Palatino Linotype"/>
          <w:color w:val="000000"/>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B715A5">
        <w:rPr>
          <w:rFonts w:ascii="Palatino Linotype" w:hAnsi="Palatino Linotype" w:cs="Arial"/>
          <w:sz w:val="24"/>
          <w:szCs w:val="24"/>
        </w:rPr>
        <w:t>veintinueve</w:t>
      </w:r>
      <w:r w:rsidR="002606F0">
        <w:rPr>
          <w:rFonts w:ascii="Palatino Linotype" w:hAnsi="Palatino Linotype" w:cs="Arial"/>
          <w:sz w:val="24"/>
          <w:szCs w:val="24"/>
        </w:rPr>
        <w:t xml:space="preserve"> de octubre</w:t>
      </w:r>
      <w:r>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4065F8">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 xml:space="preserve">habiendo </w:t>
      </w:r>
      <w:r w:rsidR="009838CD">
        <w:rPr>
          <w:rFonts w:ascii="Palatino Linotype" w:hAnsi="Palatino Linotype" w:cs="Arial"/>
          <w:sz w:val="24"/>
          <w:szCs w:val="24"/>
        </w:rPr>
        <w:lastRenderedPageBreak/>
        <w:t>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4065F8">
        <w:rPr>
          <w:rFonts w:ascii="Palatino Linotype" w:hAnsi="Palatino Linotype" w:cs="Arial"/>
          <w:sz w:val="24"/>
          <w:szCs w:val="24"/>
        </w:rPr>
        <w:t>doce de noviembre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E15E85" w:rsidRDefault="00E15E85" w:rsidP="00E15E85">
      <w:pPr>
        <w:spacing w:before="240" w:line="360" w:lineRule="auto"/>
        <w:jc w:val="both"/>
        <w:rPr>
          <w:rFonts w:ascii="Palatino Linotype" w:hAnsi="Palatino Linotype" w:cs="Arial"/>
          <w:sz w:val="24"/>
          <w:szCs w:val="24"/>
        </w:rPr>
      </w:pPr>
    </w:p>
    <w:p w:rsidR="002606F0" w:rsidRDefault="002606F0"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002C7413">
        <w:rPr>
          <w:rFonts w:ascii="Palatino Linotype" w:hAnsi="Palatino Linotype" w:cs="Arial"/>
          <w:sz w:val="24"/>
          <w:szCs w:val="24"/>
        </w:rPr>
        <w:t xml:space="preserve">  </w:t>
      </w:r>
      <w:r w:rsidRPr="004065F8">
        <w:rPr>
          <w:rFonts w:ascii="Palatino Linotype" w:hAnsi="Palatino Linotype" w:cs="Arial"/>
          <w:sz w:val="24"/>
          <w:szCs w:val="24"/>
        </w:rPr>
        <w:t xml:space="preserve">179 fracción </w:t>
      </w:r>
      <w:r w:rsidR="009B76BF" w:rsidRPr="004065F8">
        <w:rPr>
          <w:rFonts w:ascii="Palatino Linotype" w:hAnsi="Palatino Linotype" w:cs="Arial"/>
          <w:sz w:val="24"/>
          <w:szCs w:val="24"/>
        </w:rPr>
        <w:t>VI</w:t>
      </w:r>
      <w:r w:rsidRPr="004065F8">
        <w:rPr>
          <w:rFonts w:ascii="Palatino Linotype" w:hAnsi="Palatino Linotype" w:cs="Arial"/>
          <w:sz w:val="24"/>
          <w:szCs w:val="24"/>
        </w:rPr>
        <w:t>I,</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w:t>
      </w:r>
      <w:r>
        <w:rPr>
          <w:rFonts w:ascii="Palatino Linotype" w:hAnsi="Palatino Linotype" w:cs="Arial"/>
        </w:rPr>
        <w:lastRenderedPageBreak/>
        <w:t>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DD2DE9" w:rsidRDefault="00DD2DE9" w:rsidP="00DD2DE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DD2DE9" w:rsidRDefault="00DD2DE9" w:rsidP="00DD2DE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w:t>
      </w:r>
      <w:r>
        <w:rPr>
          <w:rFonts w:ascii="Palatino Linotype" w:hAnsi="Palatino Linotype"/>
          <w:sz w:val="24"/>
          <w:szCs w:val="24"/>
        </w:rPr>
        <w:lastRenderedPageBreak/>
        <w:t>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DD2DE9" w:rsidRPr="00505FED" w:rsidRDefault="00DD2DE9" w:rsidP="00DD2DE9">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DD2DE9" w:rsidRDefault="00DD2DE9" w:rsidP="00DD2DE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rsidR="00DD2DE9" w:rsidRPr="00A147CA" w:rsidRDefault="00DD2DE9" w:rsidP="00DD2DE9">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D2DE9" w:rsidRPr="00A147CA" w:rsidRDefault="00DD2DE9" w:rsidP="00DD2DE9">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DD2DE9" w:rsidRPr="00B92BC3" w:rsidRDefault="00DD2DE9" w:rsidP="00DD2DE9">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DD2DE9" w:rsidRDefault="00DD2DE9" w:rsidP="00DD2DE9">
      <w:pPr>
        <w:tabs>
          <w:tab w:val="left" w:pos="709"/>
        </w:tabs>
        <w:spacing w:before="240" w:line="360" w:lineRule="auto"/>
        <w:ind w:left="708" w:right="51"/>
        <w:jc w:val="both"/>
        <w:rPr>
          <w:rFonts w:ascii="Palatino Linotype" w:hAnsi="Palatino Linotype"/>
          <w:sz w:val="24"/>
          <w:szCs w:val="24"/>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147CA">
        <w:rPr>
          <w:rFonts w:ascii="Palatino Linotype" w:hAnsi="Palatino Linotype" w:cs="Arial"/>
        </w:rPr>
        <w:br/>
      </w:r>
    </w:p>
    <w:p w:rsidR="00DD2DE9" w:rsidRDefault="00DD2DE9" w:rsidP="00DD2DE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entonces, resulta a todas luces que el medio de impugnación interpuesto por el hoy recurrente, resulta procedente debido a que no se emite respuesta dentro de los términos establecidos por la normatividad aplicable a la materia, lo que genera que </w:t>
      </w:r>
      <w:r>
        <w:rPr>
          <w:rFonts w:ascii="Palatino Linotype" w:hAnsi="Palatino Linotype"/>
          <w:sz w:val="24"/>
          <w:szCs w:val="24"/>
        </w:rPr>
        <w:lastRenderedPageBreak/>
        <w:t>este órgano garante proceda al análisis y estudio del fondo del asunto, en aras de garantizar el derecho accionado por el particular.</w:t>
      </w:r>
    </w:p>
    <w:p w:rsidR="00DD2DE9" w:rsidRDefault="00DD2DE9" w:rsidP="00DD2DE9">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DD2DE9" w:rsidRPr="009D787B" w:rsidRDefault="00DD2DE9" w:rsidP="00DD2DE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DD2DE9" w:rsidRDefault="00DD2DE9" w:rsidP="00DD2DE9">
      <w:pPr>
        <w:spacing w:before="240" w:after="240" w:line="360" w:lineRule="auto"/>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BE1C6C" w:rsidRDefault="00BE1C6C" w:rsidP="00BE1C6C">
      <w:pPr>
        <w:autoSpaceDE w:val="0"/>
        <w:autoSpaceDN w:val="0"/>
        <w:adjustRightInd w:val="0"/>
        <w:spacing w:before="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tal sentido, es de advertirse lo siguiente, e</w:t>
      </w:r>
      <w:r w:rsidRPr="009B3996">
        <w:rPr>
          <w:rFonts w:ascii="Palatino Linotype" w:hAnsi="Palatino Linotype" w:cs="Arial"/>
          <w:color w:val="000000"/>
          <w:sz w:val="24"/>
          <w:szCs w:val="24"/>
        </w:rPr>
        <w:t>n primera instancia, nuestra Carta Magna dispone que para el ejercicio del derecho de acceso a la información</w:t>
      </w:r>
      <w:r>
        <w:rPr>
          <w:rFonts w:ascii="Palatino Linotype" w:hAnsi="Palatino Linotype" w:cs="Arial"/>
          <w:color w:val="000000"/>
          <w:sz w:val="24"/>
          <w:szCs w:val="24"/>
        </w:rPr>
        <w:t>,</w:t>
      </w:r>
      <w:r w:rsidRPr="009B3996">
        <w:rPr>
          <w:rFonts w:ascii="Palatino Linotype" w:hAnsi="Palatino Linotype" w:cs="Arial"/>
          <w:color w:val="000000"/>
          <w:sz w:val="24"/>
          <w:szCs w:val="24"/>
        </w:rPr>
        <w:t xml:space="preserve">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w:t>
      </w:r>
      <w:r w:rsidRPr="009B3996">
        <w:rPr>
          <w:rFonts w:ascii="Palatino Linotype" w:hAnsi="Palatino Linotype" w:cs="Arial"/>
          <w:color w:val="000000"/>
          <w:sz w:val="24"/>
          <w:szCs w:val="24"/>
        </w:rPr>
        <w:lastRenderedPageBreak/>
        <w:t>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BE1C6C" w:rsidRPr="009B3996" w:rsidRDefault="00BE1C6C" w:rsidP="00BE1C6C">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r w:rsidRPr="0007432B">
        <w:rPr>
          <w:rFonts w:ascii="Palatino Linotype" w:hAnsi="Palatino Linotype" w:cs="Arial"/>
          <w:b/>
          <w:bCs/>
          <w:i/>
          <w:sz w:val="24"/>
          <w:szCs w:val="24"/>
        </w:rPr>
        <w:t>Artículo 6</w:t>
      </w:r>
    </w:p>
    <w:p w:rsidR="00BE1C6C" w:rsidRPr="009B3996" w:rsidRDefault="00BE1C6C" w:rsidP="00BE1C6C">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w:t>
      </w:r>
    </w:p>
    <w:p w:rsidR="00BE1C6C" w:rsidRPr="009B3996" w:rsidRDefault="00BE1C6C" w:rsidP="00BE1C6C">
      <w:pPr>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BE1C6C" w:rsidRPr="009B3996" w:rsidRDefault="00BE1C6C" w:rsidP="00BE1C6C">
      <w:pPr>
        <w:tabs>
          <w:tab w:val="left" w:pos="709"/>
        </w:tabs>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E1C6C" w:rsidRDefault="00BE1C6C" w:rsidP="00BE1C6C">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Bajo tal premisa</w:t>
      </w:r>
      <w:r w:rsidRPr="009B3996">
        <w:rPr>
          <w:rFonts w:ascii="Palatino Linotype" w:hAnsi="Palatino Linotype" w:cs="Arial"/>
          <w:sz w:val="24"/>
          <w:szCs w:val="24"/>
        </w:rPr>
        <w:t xml:space="preserve">,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BE1C6C" w:rsidRPr="009B3996" w:rsidRDefault="00BE1C6C" w:rsidP="00BE1C6C">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BE1C6C" w:rsidRPr="009B3996" w:rsidRDefault="00BE1C6C" w:rsidP="00BE1C6C">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i/>
          <w:sz w:val="24"/>
          <w:szCs w:val="24"/>
        </w:rPr>
        <w:t>…</w:t>
      </w:r>
    </w:p>
    <w:p w:rsidR="00BE1C6C" w:rsidRPr="009B3996" w:rsidRDefault="00BE1C6C" w:rsidP="00BE1C6C">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BE1C6C" w:rsidRPr="009B3996" w:rsidRDefault="00BE1C6C" w:rsidP="00BE1C6C">
      <w:pPr>
        <w:autoSpaceDE w:val="0"/>
        <w:autoSpaceDN w:val="0"/>
        <w:adjustRightInd w:val="0"/>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E1C6C" w:rsidRPr="009B3996" w:rsidRDefault="00BE1C6C" w:rsidP="00BE1C6C">
      <w:pPr>
        <w:autoSpaceDE w:val="0"/>
        <w:autoSpaceDN w:val="0"/>
        <w:adjustRightInd w:val="0"/>
        <w:spacing w:before="240" w:line="360" w:lineRule="auto"/>
        <w:ind w:left="851" w:right="851"/>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w:t>
      </w:r>
      <w:r w:rsidRPr="009B3996">
        <w:rPr>
          <w:rFonts w:ascii="Palatino Linotype" w:hAnsi="Palatino Linotype" w:cs="Arial"/>
          <w:bCs/>
          <w:i/>
          <w:sz w:val="24"/>
          <w:szCs w:val="24"/>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E1C6C" w:rsidRPr="009B3996" w:rsidRDefault="00BE1C6C" w:rsidP="00BE1C6C">
      <w:pPr>
        <w:autoSpaceDE w:val="0"/>
        <w:autoSpaceDN w:val="0"/>
        <w:adjustRightInd w:val="0"/>
        <w:spacing w:before="240" w:line="360" w:lineRule="auto"/>
        <w:ind w:left="851" w:right="851"/>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E1C6C" w:rsidRPr="009B3996" w:rsidRDefault="00BE1C6C" w:rsidP="00BE1C6C">
      <w:pPr>
        <w:spacing w:before="240" w:line="360" w:lineRule="auto"/>
        <w:ind w:left="851" w:right="851"/>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BE1C6C" w:rsidRPr="007C58CA" w:rsidRDefault="00BE1C6C" w:rsidP="00BE1C6C">
      <w:pPr>
        <w:spacing w:before="240" w:line="360" w:lineRule="auto"/>
        <w:ind w:left="851" w:right="851"/>
        <w:jc w:val="both"/>
        <w:rPr>
          <w:rFonts w:ascii="Palatino Linotype" w:hAnsi="Palatino Linotype" w:cs="Arial"/>
          <w:i/>
          <w:sz w:val="24"/>
          <w:szCs w:val="24"/>
          <w:u w:val="single"/>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BE1C6C" w:rsidRDefault="00BE1C6C" w:rsidP="00BE1C6C">
      <w:pPr>
        <w:spacing w:before="240" w:line="360" w:lineRule="auto"/>
        <w:ind w:left="851" w:right="851"/>
        <w:jc w:val="right"/>
        <w:rPr>
          <w:rFonts w:ascii="Palatino Linotype" w:hAnsi="Palatino Linotype" w:cs="Arial"/>
          <w:sz w:val="24"/>
          <w:szCs w:val="24"/>
        </w:rPr>
      </w:pPr>
    </w:p>
    <w:p w:rsidR="00BE1C6C" w:rsidRDefault="00BE1C6C" w:rsidP="00BE1C6C">
      <w:pPr>
        <w:spacing w:before="240" w:line="360" w:lineRule="auto"/>
        <w:ind w:left="851" w:right="851"/>
        <w:jc w:val="right"/>
        <w:rPr>
          <w:rFonts w:ascii="Palatino Linotype" w:hAnsi="Palatino Linotype" w:cs="Arial"/>
          <w:sz w:val="24"/>
          <w:szCs w:val="24"/>
        </w:rPr>
      </w:pPr>
      <w:r w:rsidRPr="005355FA">
        <w:rPr>
          <w:rFonts w:ascii="Palatino Linotype" w:hAnsi="Palatino Linotype" w:cs="Arial"/>
          <w:sz w:val="24"/>
          <w:szCs w:val="24"/>
        </w:rPr>
        <w:t>[Énfasis añadido]</w:t>
      </w:r>
    </w:p>
    <w:p w:rsidR="00BE1C6C" w:rsidRDefault="00BE1C6C" w:rsidP="00BE1C6C">
      <w:pPr>
        <w:spacing w:before="240" w:line="360" w:lineRule="auto"/>
        <w:jc w:val="both"/>
        <w:rPr>
          <w:rFonts w:ascii="Palatino Linotype" w:hAnsi="Palatino Linotype" w:cs="Arial"/>
          <w:sz w:val="24"/>
          <w:szCs w:val="24"/>
        </w:rPr>
      </w:pPr>
      <w:r w:rsidRPr="005355F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653B08" w:rsidRDefault="002D629C"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así, en primer término es de mencionar que el Libro Quinto Capitulo Segundo del Código Administrativo del Estado de México señala quienes son las autoridades para la aplicación del citado libro y que a la letra reza:</w:t>
      </w:r>
    </w:p>
    <w:p w:rsidR="002D629C" w:rsidRPr="002D629C" w:rsidRDefault="002D629C" w:rsidP="002D629C">
      <w:pPr>
        <w:tabs>
          <w:tab w:val="left" w:pos="709"/>
        </w:tabs>
        <w:spacing w:before="240" w:line="360" w:lineRule="auto"/>
        <w:ind w:left="708" w:right="51"/>
        <w:jc w:val="both"/>
        <w:rPr>
          <w:rFonts w:ascii="Palatino Linotype" w:hAnsi="Palatino Linotype"/>
          <w:i/>
        </w:rPr>
      </w:pPr>
      <w:r w:rsidRPr="002D629C">
        <w:rPr>
          <w:rFonts w:ascii="Palatino Linotype" w:hAnsi="Palatino Linotype"/>
          <w:i/>
        </w:rPr>
        <w:t>Artículo 5.7. Son autoridades para la aplicación de este Libro el Gobernador del Estado, la Secretaría de Desarrollo Urbano y Metropolitano, la Secretaría de Comunicaciones y los municipios.</w:t>
      </w:r>
    </w:p>
    <w:p w:rsidR="002D629C" w:rsidRPr="002D629C" w:rsidRDefault="002D629C" w:rsidP="002D629C">
      <w:pPr>
        <w:tabs>
          <w:tab w:val="left" w:pos="709"/>
        </w:tabs>
        <w:spacing w:before="240" w:line="360" w:lineRule="auto"/>
        <w:ind w:left="708" w:right="51"/>
        <w:jc w:val="both"/>
        <w:rPr>
          <w:rFonts w:ascii="Palatino Linotype" w:hAnsi="Palatino Linotype"/>
          <w:i/>
        </w:rPr>
      </w:pPr>
      <w:r w:rsidRPr="002D629C">
        <w:rPr>
          <w:rFonts w:ascii="Palatino Linotype" w:hAnsi="Palatino Linotype"/>
          <w:i/>
        </w:rPr>
        <w:t xml:space="preserve">Artículo 5.10. Los municipios tendrán las atribuciones siguientes: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Formular, aprobar, ejecutar, evaluar, modificar y actualizar los planes municipales de desarrollo urbano y los parciales que de ellos deriven.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Participar en la elaboración o modificación del respectivo plan regional de desarrollo urbano o de los parciales que de éste deriven, cuando incluya parte o la totalidad de su territorio;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b/>
          <w:i/>
          <w:sz w:val="22"/>
          <w:szCs w:val="22"/>
        </w:rPr>
      </w:pPr>
      <w:r w:rsidRPr="002D629C">
        <w:rPr>
          <w:rFonts w:ascii="Palatino Linotype" w:hAnsi="Palatino Linotype"/>
          <w:b/>
          <w:i/>
          <w:sz w:val="22"/>
          <w:szCs w:val="22"/>
        </w:rPr>
        <w:t xml:space="preserve">Aprobar los proyectos ejecutivos, las memorias de cálculo y las especificaciones técnicas de las obras de infraestructura hidráulica, sanitaria y de urbanización, que establezcan los acuerdos de autorización de conjuntos urbanos, subdivisiones y condominios, con excepción de los proyectos que sean de competencia de las autoridades estatales o federales.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b/>
          <w:i/>
          <w:sz w:val="22"/>
          <w:szCs w:val="22"/>
        </w:rPr>
      </w:pPr>
      <w:r w:rsidRPr="002D629C">
        <w:rPr>
          <w:rFonts w:ascii="Palatino Linotype" w:hAnsi="Palatino Linotype"/>
          <w:b/>
          <w:i/>
          <w:sz w:val="22"/>
          <w:szCs w:val="22"/>
        </w:rPr>
        <w:t xml:space="preserve">Supervisar la ejecución de las obras de urbanización e infraestructura hidráulica y sanitaria que establezcan los acuerdos de autorización de conjuntos urbanos, subdivisiones y condominios, que sean de su ámbito de </w:t>
      </w:r>
      <w:r w:rsidRPr="002D629C">
        <w:rPr>
          <w:rFonts w:ascii="Palatino Linotype" w:hAnsi="Palatino Linotype"/>
          <w:b/>
          <w:i/>
          <w:sz w:val="22"/>
          <w:szCs w:val="22"/>
        </w:rPr>
        <w:lastRenderedPageBreak/>
        <w:t xml:space="preserve">competencia, verificando que éstos cumplan las condiciones para la adecuada prestación de servicios públicos.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b/>
          <w:i/>
          <w:sz w:val="22"/>
          <w:szCs w:val="22"/>
        </w:rPr>
      </w:pPr>
      <w:r w:rsidRPr="002D629C">
        <w:rPr>
          <w:rFonts w:ascii="Palatino Linotype" w:hAnsi="Palatino Linotype"/>
          <w:b/>
          <w:i/>
          <w:sz w:val="22"/>
          <w:szCs w:val="22"/>
        </w:rPr>
        <w:t xml:space="preserve">Recibir, conservar y operar las áreas de donación establecidas a favor del municipio, así como, las obras de urbanización, infraestructura y equipamiento urbano de los conjuntos urbanos, subdivisiones y condominios conforme a este Libro y su reglamentación;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Expedir cédulas informativas de zonificación, licencias de uso de suelo y licencias de construcción;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Autorizar cambios de uso del suelo, del coeficiente de ocupación, del coeficiente de utilización, densidad y altura de edificaciones;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Autorizar, controlar y vigilar la utilización y aprovechamiento del suelo con fines urbanos, en sus circunscripciones territoriales.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Difundir los planes de desarrollo urbano, así como los trámites para obtener las autorizaciones y licencias de su competencia;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Participar en los órganos de coordinación estatal, regional y metropolitana, en materia de ordenamiento territorial de los asentamientos humanos, desarrollo urbano de los centros de población y vivienda;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Participar en la creación y administración de reservas territoriales para el desarrollo urbano y la vivienda, así como generar los instrumentos que permitan la disponibilidad de tierra para personas en situación de pobreza o vulnerabilidad.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Ejercer indistintamente con el Estado, el derecho de preferencia para adquirir en igualdad de condiciones, predios comprendidos en las áreas urbanizables señaladas en </w:t>
      </w:r>
      <w:r w:rsidRPr="002D629C">
        <w:rPr>
          <w:rFonts w:ascii="Palatino Linotype" w:hAnsi="Palatino Linotype"/>
          <w:i/>
          <w:sz w:val="22"/>
          <w:szCs w:val="22"/>
        </w:rPr>
        <w:lastRenderedPageBreak/>
        <w:t xml:space="preserve">los planes o programas de desarrollo urbano aplicables, cuando éstos vayan a ser objeto de enajenación a título oneroso. </w:t>
      </w:r>
    </w:p>
    <w:p w:rsidR="002D629C" w:rsidRPr="002D629C" w:rsidRDefault="002D629C" w:rsidP="002D629C">
      <w:pPr>
        <w:pStyle w:val="Prrafodelista"/>
        <w:tabs>
          <w:tab w:val="left" w:pos="709"/>
        </w:tabs>
        <w:spacing w:before="240" w:line="360" w:lineRule="auto"/>
        <w:ind w:left="1428" w:right="51"/>
        <w:jc w:val="both"/>
        <w:rPr>
          <w:rFonts w:ascii="Palatino Linotype" w:hAnsi="Palatino Linotype"/>
          <w:i/>
          <w:sz w:val="22"/>
          <w:szCs w:val="22"/>
        </w:rPr>
      </w:pPr>
      <w:r w:rsidRPr="002D629C">
        <w:rPr>
          <w:rFonts w:ascii="Palatino Linotype" w:hAnsi="Palatino Linotype"/>
          <w:i/>
          <w:sz w:val="22"/>
          <w:szCs w:val="22"/>
        </w:rPr>
        <w:t xml:space="preserve">En el caso de que el Estado y el Municipio pretendan ejercer el derecho de preferencia, prevalecerá el del Estado;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Crear órganos técnicos de participación social, consulta, coordinación, evaluación y seguimiento municipales o vecinales con carácter honorífico, en materia de desarrollo urbano así como institutos municipales de planeación.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Celebrar convenios, acuerdos y contratos en las materias de este Libro.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Emitir dictámenes, factibilidades y opiniones técnicas del ámbito de su competencia; tratándose de aquellos que emita en relación con los trámites competencia de la Secretaría, utilizarán preferentemente previo convenio que se celebre, la plataforma tecnológica que al efecto se establezca;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Establecer medidas y ejecutar acciones para evitar asentamientos humanos irregulares;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Intervenir en la regularización de la tenencia de la tierra;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Expedir los reglamentos y disposiciones administrativas de su competencia, de conformidad con lo dispuesto por este Libro y su reglamentación;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Vigilar, conforme a su competencia, el cumplimiento de este Libro y sus disposiciones reglamentarias, de los planes de desarrollo urbano, de las disposiciones administrativas y reglamentarias que emita en la materia y de las autorizaciones y licencias que otorgue;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Determinar infracciones de los particulares a las disposiciones de este Libro y de su reglamentación e imponer las medidas de seguridad y sanciones que establece el </w:t>
      </w:r>
      <w:r w:rsidRPr="002D629C">
        <w:rPr>
          <w:rFonts w:ascii="Palatino Linotype" w:hAnsi="Palatino Linotype"/>
          <w:i/>
          <w:sz w:val="22"/>
          <w:szCs w:val="22"/>
        </w:rPr>
        <w:lastRenderedPageBreak/>
        <w:t xml:space="preserve">presente Libro, así como dar vista a las autoridades competentes para la aplicación de las sanciones penales conducentes.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Solicitar a la Secretaría los dictámenes de congruencia de los planes de desarrollo urbano de su competencia, así como su correspondiente inscripción en el Instituto de la Función Registral del Estado de México.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Informar anualmente a la ciudadanía sobre la aplicación y ejecución de los planes o programas de desarrollo urbano.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Promover y ejecutar acciones para prevenir y mitigar el riesgo de los asentamientos humanos y aumentar la resiliencia de los mismos ante fenómenos naturales y antropogénicos.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Atender y cumplir los lineamientos y normas relativas a polígonos de protección y salvaguarda en zonas de riesgo, así como de zonas restringidas o identificadas como áreas no urbanizables.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 xml:space="preserve">Promover con la participación del Estado, polígonos de actuación; polígonos sujetos a densificación y polígonos para el desarrollo o aprovechamiento prioritario o estratégico de inmuebles, que permitan llevar a cabo acciones específicas para el crecimiento, consolidación, mejoramiento y conservación de los centros de población. </w:t>
      </w:r>
    </w:p>
    <w:p w:rsidR="002D629C" w:rsidRPr="002D629C" w:rsidRDefault="002D629C" w:rsidP="002D629C">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2D629C">
        <w:rPr>
          <w:rFonts w:ascii="Palatino Linotype" w:hAnsi="Palatino Linotype"/>
          <w:i/>
          <w:sz w:val="22"/>
          <w:szCs w:val="22"/>
        </w:rPr>
        <w:t>Las demás que le confieran este Libro, y otras disposiciones jurídicas.</w:t>
      </w:r>
    </w:p>
    <w:p w:rsidR="0026534C" w:rsidRDefault="00553FC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ese tenor, como se puede apreciar, </w:t>
      </w:r>
      <w:r w:rsidR="00674014">
        <w:rPr>
          <w:rFonts w:ascii="Palatino Linotype" w:hAnsi="Palatino Linotype"/>
          <w:sz w:val="24"/>
          <w:szCs w:val="24"/>
        </w:rPr>
        <w:t xml:space="preserve">que el Libro Quinto del Código Administrativo del Estado de México establece quienes serán autoridades para la aplicación de dicho Libro, y las cuales se encuentran el Gobernador del Estado de México, la Secretaria de </w:t>
      </w:r>
      <w:r w:rsidR="00674014">
        <w:rPr>
          <w:rFonts w:ascii="Palatino Linotype" w:hAnsi="Palatino Linotype"/>
          <w:sz w:val="24"/>
          <w:szCs w:val="24"/>
        </w:rPr>
        <w:lastRenderedPageBreak/>
        <w:t>Desarrollo Urbano y Metropolitano, la Secretaria de Comunicaciones y los Municipios.</w:t>
      </w:r>
    </w:p>
    <w:p w:rsidR="0026534C" w:rsidRDefault="00674014"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también, los municipios tendrán las atribuciones de aprobar los proyectos ejecutivos y las especificaciones técnicas de las obras de infraestructura hidráulica, sanitaria y de urbanización, que establezcan los acuerdos de autorización de conjuntos urbanos, subdivisiones y condominios; asimismo, deberán supervisar la ejecución de las obras de urbanización e infraestructura y recibir, conservar y operar las áreas de donación establecidas a favor del municipio, así como las obras de urbanización, y equipamiento urbano de los conjuntos urbanos, subdivisiones y condominios.</w:t>
      </w:r>
    </w:p>
    <w:p w:rsidR="004543FA" w:rsidRDefault="007176E5"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cuerda separada, el Título Octavo Capítulo Segundo del Reglamento del Libro Quinto del Código Administrativo del Estado de México establece</w:t>
      </w:r>
      <w:r w:rsidR="00273BE0">
        <w:rPr>
          <w:rFonts w:ascii="Palatino Linotype" w:hAnsi="Palatino Linotype"/>
          <w:sz w:val="24"/>
          <w:szCs w:val="24"/>
        </w:rPr>
        <w:t xml:space="preserve"> en su numeral 130 lo siguiente:</w:t>
      </w:r>
    </w:p>
    <w:p w:rsidR="00273BE0" w:rsidRPr="00273BE0" w:rsidRDefault="00273BE0" w:rsidP="00273BE0">
      <w:pPr>
        <w:tabs>
          <w:tab w:val="left" w:pos="709"/>
        </w:tabs>
        <w:spacing w:before="240" w:line="360" w:lineRule="auto"/>
        <w:ind w:left="708" w:right="51"/>
        <w:jc w:val="both"/>
        <w:rPr>
          <w:rFonts w:ascii="Palatino Linotype" w:hAnsi="Palatino Linotype"/>
          <w:i/>
        </w:rPr>
      </w:pPr>
      <w:r w:rsidRPr="00273BE0">
        <w:rPr>
          <w:rFonts w:ascii="Palatino Linotype" w:hAnsi="Palatino Linotype"/>
          <w:i/>
        </w:rPr>
        <w:t xml:space="preserve">Artículo 130. La entrega y recepción de las obras de urbanización, equipamiento urbano y en su caso de infraestructura primaria de fraccionamientos, conjuntos urbanos y en su caso subdivisiones y condominios, podrá ser de forma total o parcial. </w:t>
      </w:r>
    </w:p>
    <w:p w:rsidR="00273BE0" w:rsidRPr="00273BE0" w:rsidRDefault="00273BE0" w:rsidP="00273BE0">
      <w:pPr>
        <w:tabs>
          <w:tab w:val="left" w:pos="709"/>
        </w:tabs>
        <w:spacing w:before="240" w:line="360" w:lineRule="auto"/>
        <w:ind w:left="708" w:right="51"/>
        <w:jc w:val="both"/>
        <w:rPr>
          <w:rFonts w:ascii="Palatino Linotype" w:hAnsi="Palatino Linotype"/>
          <w:i/>
        </w:rPr>
      </w:pPr>
      <w:r w:rsidRPr="00273BE0">
        <w:rPr>
          <w:rFonts w:ascii="Palatino Linotype" w:hAnsi="Palatino Linotype"/>
          <w:i/>
        </w:rPr>
        <w:t>Para el caso de la entrega total, el interesado una vez cerrada la bitácora de supervisión solicitará a la Secretaría la elaboración del acta de entrega recepción de las obras de urbanización, equipamiento urbano y en su caso de infraestructura primaria, en un plazo no mayor de treinta días contados a partir del día siguiente al cierre de la bitácora, conforme al procedimiento previsto en el artículo siguiente.3</w:t>
      </w:r>
    </w:p>
    <w:p w:rsidR="00273BE0" w:rsidRPr="00273BE0" w:rsidRDefault="00273BE0" w:rsidP="00273BE0">
      <w:pPr>
        <w:tabs>
          <w:tab w:val="left" w:pos="709"/>
        </w:tabs>
        <w:spacing w:before="240" w:line="360" w:lineRule="auto"/>
        <w:ind w:left="708" w:right="51"/>
        <w:jc w:val="both"/>
        <w:rPr>
          <w:rFonts w:ascii="Palatino Linotype" w:hAnsi="Palatino Linotype"/>
          <w:i/>
        </w:rPr>
      </w:pPr>
      <w:r w:rsidRPr="00273BE0">
        <w:rPr>
          <w:rFonts w:ascii="Palatino Linotype" w:hAnsi="Palatino Linotype"/>
          <w:i/>
        </w:rPr>
        <w:t xml:space="preserve">En el caso de la entrega y recepción parcial de las obras de urbanización, equipamiento y en su caso de infraestructura primaria, el titular de la autorización solicitará a la Secretaría, la </w:t>
      </w:r>
      <w:r w:rsidRPr="00273BE0">
        <w:rPr>
          <w:rFonts w:ascii="Palatino Linotype" w:hAnsi="Palatino Linotype"/>
          <w:i/>
        </w:rPr>
        <w:lastRenderedPageBreak/>
        <w:t xml:space="preserve">elaboración del acta de entrega en un plazo no mayor a treinta días contados a partir de la fecha en que se haya constatado el cien por ciento del avance físico de las obras a entregar. </w:t>
      </w:r>
    </w:p>
    <w:p w:rsidR="00273BE0" w:rsidRPr="00273BE0" w:rsidRDefault="00273BE0" w:rsidP="00273BE0">
      <w:pPr>
        <w:tabs>
          <w:tab w:val="left" w:pos="709"/>
        </w:tabs>
        <w:spacing w:before="240" w:line="360" w:lineRule="auto"/>
        <w:ind w:left="708" w:right="51"/>
        <w:jc w:val="both"/>
        <w:rPr>
          <w:rFonts w:ascii="Palatino Linotype" w:hAnsi="Palatino Linotype"/>
          <w:i/>
        </w:rPr>
      </w:pPr>
      <w:r w:rsidRPr="00273BE0">
        <w:rPr>
          <w:rFonts w:ascii="Palatino Linotype" w:hAnsi="Palatino Linotype"/>
          <w:i/>
        </w:rPr>
        <w:t xml:space="preserve">En el caso de las obras de infraestructura primaria, el titular de la autorización entregará directamente las obras correspondientes a la autoridad que dictaminó y aprobó su ejecución, por medio de acta entrega recepción, debiendo informar por oficio a la Secretaría. </w:t>
      </w:r>
    </w:p>
    <w:p w:rsidR="00273BE0" w:rsidRPr="00273BE0" w:rsidRDefault="00273BE0" w:rsidP="00273BE0">
      <w:pPr>
        <w:tabs>
          <w:tab w:val="left" w:pos="709"/>
        </w:tabs>
        <w:spacing w:before="240" w:line="360" w:lineRule="auto"/>
        <w:ind w:left="708" w:right="51"/>
        <w:jc w:val="both"/>
        <w:rPr>
          <w:rFonts w:ascii="Palatino Linotype" w:hAnsi="Palatino Linotype"/>
          <w:i/>
        </w:rPr>
      </w:pPr>
      <w:r w:rsidRPr="00273BE0">
        <w:rPr>
          <w:rFonts w:ascii="Palatino Linotype" w:hAnsi="Palatino Linotype"/>
          <w:i/>
        </w:rPr>
        <w:t xml:space="preserve">Previamente a la entrega y recepción de las obras, el titular de la autorización deberá haber celebrado el contrato de donación de las áreas en donde se hayan construido las obras de equipamiento urbano que se entregan. </w:t>
      </w:r>
    </w:p>
    <w:p w:rsidR="00273BE0" w:rsidRPr="00273BE0" w:rsidRDefault="00273BE0" w:rsidP="00273BE0">
      <w:pPr>
        <w:tabs>
          <w:tab w:val="left" w:pos="709"/>
        </w:tabs>
        <w:spacing w:before="240" w:line="360" w:lineRule="auto"/>
        <w:ind w:left="708" w:right="51"/>
        <w:jc w:val="both"/>
        <w:rPr>
          <w:rFonts w:ascii="Palatino Linotype" w:hAnsi="Palatino Linotype"/>
          <w:i/>
        </w:rPr>
      </w:pPr>
      <w:r w:rsidRPr="00273BE0">
        <w:rPr>
          <w:rFonts w:ascii="Palatino Linotype" w:hAnsi="Palatino Linotype"/>
          <w:i/>
        </w:rPr>
        <w:t xml:space="preserve">Los titulares de la autorización del desarrollo deberán, previo a la entrega al municipio, retirar todas aquellas obras provisionales que obstruyan las vías públicas del desarrollo y áreas de donación, tales como casetas de vigilancia, controles de accesos y bardas, que no formen parte de la autorización. </w:t>
      </w:r>
    </w:p>
    <w:p w:rsidR="00273BE0" w:rsidRPr="00273BE0" w:rsidRDefault="00273BE0" w:rsidP="00273BE0">
      <w:pPr>
        <w:tabs>
          <w:tab w:val="left" w:pos="709"/>
        </w:tabs>
        <w:spacing w:before="240" w:line="360" w:lineRule="auto"/>
        <w:ind w:left="708" w:right="51"/>
        <w:jc w:val="both"/>
        <w:rPr>
          <w:rFonts w:ascii="Palatino Linotype" w:hAnsi="Palatino Linotype"/>
          <w:i/>
          <w:sz w:val="24"/>
          <w:szCs w:val="24"/>
        </w:rPr>
      </w:pPr>
      <w:r w:rsidRPr="00273BE0">
        <w:rPr>
          <w:rFonts w:ascii="Palatino Linotype" w:hAnsi="Palatino Linotype"/>
          <w:i/>
        </w:rPr>
        <w:t>Las obras de equipamiento urbano regional serán entregadas a la Secretaría de Finanzas.</w:t>
      </w:r>
    </w:p>
    <w:p w:rsidR="00EC788B" w:rsidRDefault="00273BE0"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también, el diverso 131 del mismo ordenamiento reza:</w:t>
      </w:r>
    </w:p>
    <w:p w:rsidR="00273BE0" w:rsidRPr="00273BE0" w:rsidRDefault="00273BE0" w:rsidP="00273BE0">
      <w:pPr>
        <w:tabs>
          <w:tab w:val="left" w:pos="709"/>
        </w:tabs>
        <w:spacing w:before="240" w:line="360" w:lineRule="auto"/>
        <w:ind w:left="360" w:right="51"/>
        <w:jc w:val="both"/>
        <w:rPr>
          <w:rFonts w:ascii="Palatino Linotype" w:hAnsi="Palatino Linotype"/>
          <w:i/>
        </w:rPr>
      </w:pPr>
      <w:r w:rsidRPr="00273BE0">
        <w:rPr>
          <w:rFonts w:ascii="Palatino Linotype" w:hAnsi="Palatino Linotype"/>
          <w:i/>
        </w:rPr>
        <w:t xml:space="preserve">Artículo 131. La entrega recepción total o parcial de las obras de urbanización, equipamiento urbano y en su caso de infraestructura primaria, se sujetará al procedimiento siguiente: </w:t>
      </w:r>
    </w:p>
    <w:p w:rsidR="00273BE0" w:rsidRDefault="00273BE0" w:rsidP="00273BE0">
      <w:pPr>
        <w:pStyle w:val="Prrafodelista"/>
        <w:numPr>
          <w:ilvl w:val="0"/>
          <w:numId w:val="14"/>
        </w:numPr>
        <w:tabs>
          <w:tab w:val="left" w:pos="709"/>
        </w:tabs>
        <w:spacing w:before="240" w:line="360" w:lineRule="auto"/>
        <w:ind w:left="1440" w:right="51"/>
        <w:jc w:val="both"/>
        <w:rPr>
          <w:rFonts w:ascii="Palatino Linotype" w:hAnsi="Palatino Linotype"/>
          <w:i/>
          <w:sz w:val="22"/>
          <w:szCs w:val="22"/>
        </w:rPr>
      </w:pPr>
      <w:r w:rsidRPr="00273BE0">
        <w:rPr>
          <w:rFonts w:ascii="Palatino Linotype" w:hAnsi="Palatino Linotype"/>
          <w:i/>
          <w:sz w:val="22"/>
          <w:szCs w:val="22"/>
        </w:rPr>
        <w:t xml:space="preserve">Una vez que el titular de la autorización a través de su perito responsable haya identificado qué obras son susceptibles de ser entregadas, lo hará saber a la Secretaría a través del informe por el cual se comunica el avance de las obras, solicitando dar inicio al trámite de entrega. La cual podrá ser parcial o total, en esta última deberá solicitar de manera simultánea el cierre de bitácora, acompañada de la totalidad de la siguiente documentación: </w:t>
      </w:r>
    </w:p>
    <w:p w:rsidR="00273BE0" w:rsidRDefault="00273BE0" w:rsidP="00273BE0">
      <w:pPr>
        <w:pStyle w:val="Prrafodelista"/>
        <w:tabs>
          <w:tab w:val="left" w:pos="709"/>
        </w:tabs>
        <w:spacing w:before="240" w:line="360" w:lineRule="auto"/>
        <w:ind w:left="2124" w:right="51"/>
        <w:jc w:val="both"/>
        <w:rPr>
          <w:rFonts w:ascii="Palatino Linotype" w:hAnsi="Palatino Linotype"/>
          <w:i/>
          <w:sz w:val="22"/>
          <w:szCs w:val="22"/>
        </w:rPr>
      </w:pPr>
      <w:r w:rsidRPr="00273BE0">
        <w:rPr>
          <w:rFonts w:ascii="Palatino Linotype" w:hAnsi="Palatino Linotype"/>
          <w:i/>
          <w:sz w:val="22"/>
          <w:szCs w:val="22"/>
        </w:rPr>
        <w:lastRenderedPageBreak/>
        <w:t xml:space="preserve">A). Acta de supervisión. </w:t>
      </w:r>
    </w:p>
    <w:p w:rsidR="00273BE0" w:rsidRDefault="00273BE0" w:rsidP="00273BE0">
      <w:pPr>
        <w:pStyle w:val="Prrafodelista"/>
        <w:tabs>
          <w:tab w:val="left" w:pos="709"/>
        </w:tabs>
        <w:spacing w:before="240" w:line="360" w:lineRule="auto"/>
        <w:ind w:left="2124" w:right="51"/>
        <w:jc w:val="both"/>
        <w:rPr>
          <w:rFonts w:ascii="Palatino Linotype" w:hAnsi="Palatino Linotype"/>
          <w:i/>
          <w:sz w:val="22"/>
          <w:szCs w:val="22"/>
        </w:rPr>
      </w:pPr>
      <w:r w:rsidRPr="00273BE0">
        <w:rPr>
          <w:rFonts w:ascii="Palatino Linotype" w:hAnsi="Palatino Linotype"/>
          <w:i/>
          <w:sz w:val="22"/>
          <w:szCs w:val="22"/>
        </w:rPr>
        <w:t xml:space="preserve">B). Costo total de las obras a ser entregadas para calcular el monto de la fianza contra vicios ocultos. </w:t>
      </w:r>
    </w:p>
    <w:p w:rsidR="00273BE0" w:rsidRDefault="00273BE0" w:rsidP="00273BE0">
      <w:pPr>
        <w:pStyle w:val="Prrafodelista"/>
        <w:tabs>
          <w:tab w:val="left" w:pos="709"/>
        </w:tabs>
        <w:spacing w:before="240" w:line="360" w:lineRule="auto"/>
        <w:ind w:left="2124" w:right="51"/>
        <w:jc w:val="both"/>
        <w:rPr>
          <w:rFonts w:ascii="Palatino Linotype" w:hAnsi="Palatino Linotype"/>
          <w:i/>
          <w:sz w:val="22"/>
          <w:szCs w:val="22"/>
        </w:rPr>
      </w:pPr>
      <w:r w:rsidRPr="00273BE0">
        <w:rPr>
          <w:rFonts w:ascii="Palatino Linotype" w:hAnsi="Palatino Linotype"/>
          <w:i/>
          <w:sz w:val="22"/>
          <w:szCs w:val="22"/>
        </w:rPr>
        <w:t>C). Contrato de transferencia de áreas de donación al Estado y/o evidencia de la aportación en numerario de las áreas de donación.</w:t>
      </w:r>
    </w:p>
    <w:p w:rsidR="00273BE0" w:rsidRDefault="00273BE0" w:rsidP="00273BE0">
      <w:pPr>
        <w:pStyle w:val="Prrafodelista"/>
        <w:tabs>
          <w:tab w:val="left" w:pos="709"/>
        </w:tabs>
        <w:spacing w:before="240" w:line="360" w:lineRule="auto"/>
        <w:ind w:left="2124" w:right="51"/>
        <w:jc w:val="both"/>
        <w:rPr>
          <w:rFonts w:ascii="Palatino Linotype" w:hAnsi="Palatino Linotype"/>
          <w:i/>
          <w:sz w:val="22"/>
          <w:szCs w:val="22"/>
        </w:rPr>
      </w:pPr>
      <w:r w:rsidRPr="00273BE0">
        <w:rPr>
          <w:rFonts w:ascii="Palatino Linotype" w:hAnsi="Palatino Linotype"/>
          <w:i/>
          <w:sz w:val="22"/>
          <w:szCs w:val="22"/>
        </w:rPr>
        <w:t xml:space="preserve">D). Contrato de transferencia de áreas de donación al municipio. </w:t>
      </w:r>
    </w:p>
    <w:p w:rsidR="00273BE0" w:rsidRPr="00273BE0" w:rsidRDefault="00273BE0" w:rsidP="00273BE0">
      <w:pPr>
        <w:pStyle w:val="Prrafodelista"/>
        <w:tabs>
          <w:tab w:val="left" w:pos="709"/>
        </w:tabs>
        <w:spacing w:before="240" w:line="360" w:lineRule="auto"/>
        <w:ind w:left="2124" w:right="51"/>
        <w:jc w:val="both"/>
        <w:rPr>
          <w:rFonts w:ascii="Palatino Linotype" w:hAnsi="Palatino Linotype"/>
          <w:i/>
          <w:sz w:val="22"/>
          <w:szCs w:val="22"/>
        </w:rPr>
      </w:pPr>
      <w:r w:rsidRPr="00273BE0">
        <w:rPr>
          <w:rFonts w:ascii="Palatino Linotype" w:hAnsi="Palatino Linotype"/>
          <w:i/>
          <w:sz w:val="22"/>
          <w:szCs w:val="22"/>
        </w:rPr>
        <w:t xml:space="preserve">E). Aviso de terminación de obra. </w:t>
      </w:r>
    </w:p>
    <w:p w:rsidR="00273BE0" w:rsidRPr="00273BE0" w:rsidRDefault="00273BE0" w:rsidP="00273BE0">
      <w:pPr>
        <w:pStyle w:val="Prrafodelista"/>
        <w:numPr>
          <w:ilvl w:val="0"/>
          <w:numId w:val="14"/>
        </w:numPr>
        <w:tabs>
          <w:tab w:val="left" w:pos="709"/>
        </w:tabs>
        <w:spacing w:before="240" w:line="360" w:lineRule="auto"/>
        <w:ind w:left="1440" w:right="51"/>
        <w:jc w:val="both"/>
        <w:rPr>
          <w:rFonts w:ascii="Palatino Linotype" w:hAnsi="Palatino Linotype"/>
          <w:i/>
          <w:sz w:val="22"/>
          <w:szCs w:val="22"/>
        </w:rPr>
      </w:pPr>
      <w:r w:rsidRPr="00273BE0">
        <w:rPr>
          <w:rFonts w:ascii="Palatino Linotype" w:hAnsi="Palatino Linotype"/>
          <w:i/>
          <w:sz w:val="22"/>
          <w:szCs w:val="22"/>
        </w:rPr>
        <w:t xml:space="preserve">Dentro de los cinco días siguientes a la recepción de la solicitud y de la totalidad de la documentación requerida, la Secretaría o instancia correspondiente elaborará el acta y comunicará al titular de la autorización, el monto de la garantía que deberá constituir para responder por defectos o vicios ocultos de las obras. Dicho monto será determinado con base en el tabulador de precios unitarios elaborado por la Secretaría de Infraestructura. </w:t>
      </w:r>
    </w:p>
    <w:p w:rsidR="00273BE0" w:rsidRPr="00273BE0" w:rsidRDefault="00273BE0" w:rsidP="00273BE0">
      <w:pPr>
        <w:pStyle w:val="Prrafodelista"/>
        <w:numPr>
          <w:ilvl w:val="0"/>
          <w:numId w:val="14"/>
        </w:numPr>
        <w:tabs>
          <w:tab w:val="left" w:pos="709"/>
        </w:tabs>
        <w:spacing w:before="240" w:line="360" w:lineRule="auto"/>
        <w:ind w:left="1440" w:right="51"/>
        <w:jc w:val="both"/>
        <w:rPr>
          <w:rFonts w:ascii="Palatino Linotype" w:hAnsi="Palatino Linotype"/>
          <w:i/>
          <w:sz w:val="22"/>
          <w:szCs w:val="22"/>
        </w:rPr>
      </w:pPr>
      <w:r w:rsidRPr="00273BE0">
        <w:rPr>
          <w:rFonts w:ascii="Palatino Linotype" w:hAnsi="Palatino Linotype"/>
          <w:i/>
          <w:sz w:val="22"/>
          <w:szCs w:val="22"/>
        </w:rPr>
        <w:t xml:space="preserve">Presentada la garantía a que se refiere la fracción anterior, la Secretaría y/o instancia correspondiente, remitirá el acta al interesado y a la autoridad municipal para que en un plazo no mayor a veinte días se lleve a cabo su suscripción. En caso que la autoridad municipal no suscriba el acta, a petición del titular de la autorización se levantará el acta circunstanciada en la que se asentará dicha situación, procediendo la Secretaría a mandar publicar esta última en el periódico oficial “Gaceta del Gobierno” en un período no mayor de treinta días, dejándose a salvo los derechos del titular de la autorización y de los adquirientes de lotes o viviendas para ejercitar las acciones correspondientes. </w:t>
      </w:r>
    </w:p>
    <w:p w:rsidR="00273BE0" w:rsidRPr="00273BE0" w:rsidRDefault="00273BE0" w:rsidP="00273BE0">
      <w:pPr>
        <w:pStyle w:val="Prrafodelista"/>
        <w:numPr>
          <w:ilvl w:val="0"/>
          <w:numId w:val="14"/>
        </w:numPr>
        <w:tabs>
          <w:tab w:val="left" w:pos="709"/>
        </w:tabs>
        <w:spacing w:before="240" w:line="360" w:lineRule="auto"/>
        <w:ind w:left="1440" w:right="51"/>
        <w:jc w:val="both"/>
        <w:rPr>
          <w:rFonts w:ascii="Palatino Linotype" w:hAnsi="Palatino Linotype"/>
          <w:i/>
          <w:sz w:val="22"/>
          <w:szCs w:val="22"/>
        </w:rPr>
      </w:pPr>
      <w:r w:rsidRPr="00273BE0">
        <w:rPr>
          <w:rFonts w:ascii="Palatino Linotype" w:hAnsi="Palatino Linotype"/>
          <w:i/>
          <w:sz w:val="22"/>
          <w:szCs w:val="22"/>
        </w:rPr>
        <w:t xml:space="preserve">Una vez publicada el acta circunstanciada, los servicios públicos que requiera el desarrollo serán prestados por la autoridad municipal. </w:t>
      </w:r>
    </w:p>
    <w:p w:rsidR="00273BE0" w:rsidRPr="00273BE0" w:rsidRDefault="00273BE0" w:rsidP="00273BE0">
      <w:pPr>
        <w:pStyle w:val="Prrafodelista"/>
        <w:numPr>
          <w:ilvl w:val="0"/>
          <w:numId w:val="14"/>
        </w:numPr>
        <w:tabs>
          <w:tab w:val="left" w:pos="709"/>
        </w:tabs>
        <w:spacing w:before="240" w:line="360" w:lineRule="auto"/>
        <w:ind w:left="1440" w:right="51"/>
        <w:jc w:val="both"/>
        <w:rPr>
          <w:rFonts w:ascii="Palatino Linotype" w:hAnsi="Palatino Linotype"/>
          <w:i/>
          <w:sz w:val="22"/>
          <w:szCs w:val="22"/>
        </w:rPr>
      </w:pPr>
      <w:r w:rsidRPr="00273BE0">
        <w:rPr>
          <w:rFonts w:ascii="Palatino Linotype" w:hAnsi="Palatino Linotype"/>
          <w:i/>
          <w:sz w:val="22"/>
          <w:szCs w:val="22"/>
        </w:rPr>
        <w:lastRenderedPageBreak/>
        <w:t xml:space="preserve">En caso que en el período de vigencia de garantía por vicios ocultos resultaran daños en las obras realizadas, el municipio hará efectiva dicha garantía. </w:t>
      </w:r>
    </w:p>
    <w:p w:rsidR="00273BE0" w:rsidRPr="00273BE0" w:rsidRDefault="00273BE0" w:rsidP="00273BE0">
      <w:pPr>
        <w:pStyle w:val="Prrafodelista"/>
        <w:numPr>
          <w:ilvl w:val="0"/>
          <w:numId w:val="14"/>
        </w:numPr>
        <w:tabs>
          <w:tab w:val="left" w:pos="709"/>
        </w:tabs>
        <w:spacing w:before="240" w:line="360" w:lineRule="auto"/>
        <w:ind w:left="1440" w:right="51"/>
        <w:jc w:val="both"/>
        <w:rPr>
          <w:rFonts w:ascii="Palatino Linotype" w:hAnsi="Palatino Linotype"/>
          <w:i/>
          <w:sz w:val="22"/>
          <w:szCs w:val="22"/>
        </w:rPr>
      </w:pPr>
      <w:r w:rsidRPr="00273BE0">
        <w:rPr>
          <w:rFonts w:ascii="Palatino Linotype" w:hAnsi="Palatino Linotype"/>
          <w:i/>
          <w:sz w:val="22"/>
          <w:szCs w:val="22"/>
        </w:rPr>
        <w:t xml:space="preserve">La Secretaría, remitirá al municipio, el original de la fianza contra vicios ocultos, asimismo, entregará al desarrollador y al municipio, original del acta de entrega recepción de las obras, en un plazo no mayor a veinte días contados a partir de la fecha de su suscripción. </w:t>
      </w:r>
    </w:p>
    <w:p w:rsidR="00273BE0" w:rsidRPr="00273BE0" w:rsidRDefault="00273BE0" w:rsidP="00273BE0">
      <w:pPr>
        <w:tabs>
          <w:tab w:val="left" w:pos="709"/>
        </w:tabs>
        <w:spacing w:before="240" w:line="360" w:lineRule="auto"/>
        <w:ind w:left="720" w:right="51"/>
        <w:jc w:val="both"/>
        <w:rPr>
          <w:rFonts w:ascii="Palatino Linotype" w:hAnsi="Palatino Linotype"/>
          <w:i/>
        </w:rPr>
      </w:pPr>
      <w:r w:rsidRPr="00273BE0">
        <w:rPr>
          <w:rFonts w:ascii="Palatino Linotype" w:hAnsi="Palatino Linotype"/>
          <w:i/>
        </w:rPr>
        <w:t xml:space="preserve">A partir de la fecha de la entrega y recepción de las obras o de la publicación en el periódico oficial “Gaceta del Gobierno” del acta circunstanciada, el municipio, se encargará de su mantenimiento y la prestación de los servicios públicos respectivos. </w:t>
      </w:r>
    </w:p>
    <w:p w:rsidR="00273BE0" w:rsidRPr="00273BE0" w:rsidRDefault="00273BE0" w:rsidP="00273BE0">
      <w:pPr>
        <w:tabs>
          <w:tab w:val="left" w:pos="709"/>
        </w:tabs>
        <w:spacing w:before="240" w:line="360" w:lineRule="auto"/>
        <w:ind w:left="720" w:right="51"/>
        <w:jc w:val="both"/>
        <w:rPr>
          <w:rFonts w:ascii="Palatino Linotype" w:hAnsi="Palatino Linotype"/>
          <w:i/>
        </w:rPr>
      </w:pPr>
      <w:r w:rsidRPr="00273BE0">
        <w:rPr>
          <w:rFonts w:ascii="Palatino Linotype" w:hAnsi="Palatino Linotype"/>
          <w:i/>
        </w:rPr>
        <w:t>Con relación a la entrega-recepción de las obras de infraestructura primaria, estas deberán ser tramitadas ante las instancias que habrán de operarlas, con la participación de las dependencias normativas que avalaron o emitieron el dictamen respectivo.</w:t>
      </w:r>
    </w:p>
    <w:p w:rsidR="00EC788B" w:rsidRDefault="00273BE0"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los numerales transcritos se arriba a la conclusión de que para las obras de urbanización, equipamiento urbano y en su caso de infraestructura primaria de fraccionamientos, conjuntos urbanos y en su caso subdivisiones y condominios, se deberá de hacer una entrega y recepción, que podrá ser de forma parcial o total; por lo tanto, para el caso que nos ocupa es de recordar que el recurrente solicito “documento oficial de la entrega del fraccionamiento de vista del valle entre los años 1970 y 1974”, para ello, se denota que lo que busca el peticionario es un acta de entrega y recepción de forma t</w:t>
      </w:r>
      <w:r w:rsidR="00AC60CE">
        <w:rPr>
          <w:rFonts w:ascii="Palatino Linotype" w:hAnsi="Palatino Linotype"/>
          <w:sz w:val="24"/>
          <w:szCs w:val="24"/>
        </w:rPr>
        <w:t>otal del citado fraccionamiento.</w:t>
      </w:r>
    </w:p>
    <w:p w:rsidR="00273BE0" w:rsidRDefault="00733F80" w:rsidP="00733F8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para el caso de la entrega total, una vez cerrada la bitácora de supervisión, el interesado solicitara a la Secretaria de Desarrollo Urbano y Metropolitano, la elaboración del acta de entrega recepción de las obras de </w:t>
      </w:r>
      <w:r>
        <w:rPr>
          <w:rFonts w:ascii="Palatino Linotype" w:hAnsi="Palatino Linotype"/>
          <w:sz w:val="24"/>
          <w:szCs w:val="24"/>
        </w:rPr>
        <w:lastRenderedPageBreak/>
        <w:t xml:space="preserve">urbanización, equipamiento </w:t>
      </w:r>
      <w:r w:rsidRPr="00733F80">
        <w:rPr>
          <w:rFonts w:ascii="Palatino Linotype" w:hAnsi="Palatino Linotype"/>
          <w:sz w:val="24"/>
          <w:szCs w:val="24"/>
        </w:rPr>
        <w:t>urbano y en su caso de infraestructura primaria, en un plazo no mayor de treinta días contados a</w:t>
      </w:r>
      <w:r>
        <w:rPr>
          <w:rFonts w:ascii="Palatino Linotype" w:hAnsi="Palatino Linotype"/>
          <w:sz w:val="24"/>
          <w:szCs w:val="24"/>
        </w:rPr>
        <w:t xml:space="preserve"> </w:t>
      </w:r>
      <w:r w:rsidRPr="00733F80">
        <w:rPr>
          <w:rFonts w:ascii="Palatino Linotype" w:hAnsi="Palatino Linotype"/>
          <w:sz w:val="24"/>
          <w:szCs w:val="24"/>
        </w:rPr>
        <w:t>partir del día siguiente al cierre de la bitácora</w:t>
      </w:r>
      <w:r>
        <w:rPr>
          <w:rFonts w:ascii="Palatino Linotype" w:hAnsi="Palatino Linotype"/>
          <w:sz w:val="24"/>
          <w:szCs w:val="24"/>
        </w:rPr>
        <w:t>.</w:t>
      </w:r>
    </w:p>
    <w:p w:rsidR="005A7141" w:rsidRDefault="005A7141" w:rsidP="005A7141">
      <w:pPr>
        <w:pStyle w:val="Sinespaciado"/>
        <w:spacing w:before="240" w:line="360" w:lineRule="auto"/>
        <w:jc w:val="both"/>
        <w:rPr>
          <w:rFonts w:ascii="Palatino Linotype" w:hAnsi="Palatino Linotype"/>
        </w:rPr>
      </w:pPr>
      <w:r w:rsidRPr="00906D6B">
        <w:rPr>
          <w:rFonts w:ascii="Palatino Linotype" w:hAnsi="Palatino Linotype"/>
        </w:rPr>
        <w:t xml:space="preserve">Por tanto, es conveniente señalar los siguientes conceptos de acuerdo a los lineamientos para la Organización y Conservación de Archivos, emitidos por el Instituto Nacional de Acceso a la Información (INAI), cuyo objeto es </w:t>
      </w:r>
      <w:r w:rsidRPr="00906D6B">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06D6B">
        <w:rPr>
          <w:rFonts w:ascii="Palatino Linotype" w:hAnsi="Palatino Linotype"/>
        </w:rPr>
        <w:t>”, al tenor de lo siguiente:</w:t>
      </w:r>
    </w:p>
    <w:p w:rsidR="005A7141" w:rsidRPr="00906D6B" w:rsidRDefault="005A7141" w:rsidP="005A7141">
      <w:pPr>
        <w:pStyle w:val="Sinespaciado"/>
        <w:spacing w:before="120" w:after="120" w:line="360" w:lineRule="auto"/>
        <w:ind w:left="851" w:right="851"/>
        <w:jc w:val="both"/>
        <w:rPr>
          <w:rFonts w:ascii="Palatino Linotype" w:hAnsi="Palatino Linotype"/>
          <w:b/>
          <w:i/>
        </w:rPr>
      </w:pPr>
      <w:r w:rsidRPr="00906D6B">
        <w:rPr>
          <w:rFonts w:ascii="Palatino Linotype" w:hAnsi="Palatino Linotype"/>
          <w:b/>
          <w:i/>
        </w:rPr>
        <w:t>Cuarto.</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i/>
        </w:rPr>
        <w:t>…</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 xml:space="preserve">IV. </w:t>
      </w:r>
      <w:r w:rsidRPr="008314D0">
        <w:rPr>
          <w:rFonts w:ascii="Palatino Linotype" w:hAnsi="Palatino Linotype"/>
          <w:b/>
          <w:i/>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lastRenderedPageBreak/>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i/>
        </w:rPr>
        <w:t>…</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i/>
        </w:rPr>
        <w:t>…</w:t>
      </w:r>
    </w:p>
    <w:p w:rsidR="005A7141" w:rsidRDefault="005A7141" w:rsidP="005A7141">
      <w:pPr>
        <w:pStyle w:val="Sinespaciado"/>
        <w:spacing w:before="120" w:after="120" w:line="360" w:lineRule="auto"/>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5A7141" w:rsidRPr="00906D6B" w:rsidRDefault="005A7141" w:rsidP="005A7141">
      <w:pPr>
        <w:pStyle w:val="Sinespaciado"/>
        <w:spacing w:before="120" w:after="120" w:line="360" w:lineRule="auto"/>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5A7141" w:rsidRDefault="005A7141" w:rsidP="005A7141">
      <w:pPr>
        <w:pStyle w:val="Sinespaciado"/>
        <w:spacing w:line="360" w:lineRule="auto"/>
        <w:jc w:val="both"/>
        <w:rPr>
          <w:rFonts w:ascii="Palatino Linotype" w:hAnsi="Palatino Linotype"/>
        </w:rPr>
      </w:pPr>
    </w:p>
    <w:p w:rsidR="005A7141" w:rsidRDefault="005A7141" w:rsidP="005A7141">
      <w:pPr>
        <w:pStyle w:val="Sinespaciado"/>
        <w:spacing w:line="360" w:lineRule="auto"/>
        <w:jc w:val="both"/>
        <w:rPr>
          <w:rFonts w:ascii="Palatino Linotype" w:hAnsi="Palatino Linotype"/>
        </w:rPr>
      </w:pPr>
      <w:r>
        <w:rPr>
          <w:rFonts w:ascii="Palatino Linotype" w:hAnsi="Palatino Linotype"/>
        </w:rPr>
        <w:t xml:space="preserve">Luego así, </w:t>
      </w:r>
      <w:r w:rsidR="00AC60CE">
        <w:rPr>
          <w:rFonts w:ascii="Palatino Linotype" w:hAnsi="Palatino Linotype"/>
        </w:rPr>
        <w:t xml:space="preserve">no pasa de óptica de este </w:t>
      </w:r>
      <w:r>
        <w:rPr>
          <w:rFonts w:ascii="Palatino Linotype" w:hAnsi="Palatino Linotype"/>
        </w:rPr>
        <w:t>órgano</w:t>
      </w:r>
      <w:r w:rsidR="00AC60CE">
        <w:rPr>
          <w:rFonts w:ascii="Palatino Linotype" w:hAnsi="Palatino Linotype"/>
        </w:rPr>
        <w:t xml:space="preserve"> garante que la </w:t>
      </w:r>
      <w:r>
        <w:rPr>
          <w:rFonts w:ascii="Palatino Linotype" w:hAnsi="Palatino Linotype"/>
        </w:rPr>
        <w:t>información</w:t>
      </w:r>
      <w:r w:rsidR="00AC60CE">
        <w:rPr>
          <w:rFonts w:ascii="Palatino Linotype" w:hAnsi="Palatino Linotype"/>
        </w:rPr>
        <w:t xml:space="preserve"> que se solicita data de 1970-1074, </w:t>
      </w:r>
      <w:r>
        <w:rPr>
          <w:rFonts w:ascii="Palatino Linotype" w:hAnsi="Palatino Linotype"/>
        </w:rPr>
        <w:t xml:space="preserve">lo cual significa que ya han pasado 48 años, por lo que, </w:t>
      </w:r>
      <w:r w:rsidRPr="00906D6B">
        <w:rPr>
          <w:rFonts w:ascii="Palatino Linotype" w:hAnsi="Palatino Linotype"/>
        </w:rPr>
        <w:t xml:space="preserve">se colige que los documentos cuentan con un ciclo vital, entendiéndose como las etapas a las que se someten desde su producción o recepción hasta su baja o transferencia a un </w:t>
      </w:r>
      <w:r w:rsidRPr="00906D6B">
        <w:rPr>
          <w:rFonts w:ascii="Palatino Linotype" w:hAnsi="Palatino Linotype"/>
        </w:rPr>
        <w:lastRenderedPageBreak/>
        <w:t>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5A7141" w:rsidRDefault="005A7141" w:rsidP="005A7141">
      <w:pPr>
        <w:pStyle w:val="Sinespaciado"/>
        <w:spacing w:line="360" w:lineRule="auto"/>
        <w:jc w:val="both"/>
        <w:rPr>
          <w:rFonts w:ascii="Palatino Linotype" w:hAnsi="Palatino Linotype"/>
        </w:rPr>
      </w:pPr>
      <w:r w:rsidRPr="00906D6B">
        <w:rPr>
          <w:rFonts w:ascii="Palatino Linotype" w:hAnsi="Palatino Linotype"/>
        </w:rPr>
        <w:t>Lineamientos para la Valoración, Selección y Baja de los Documentos, Expedientes y Series de Trámite Concluido en los Archivos del Estado de México, que establece lo siguiente:</w:t>
      </w:r>
    </w:p>
    <w:p w:rsidR="005A7141" w:rsidRPr="00906D6B" w:rsidRDefault="005A7141" w:rsidP="005A7141">
      <w:pPr>
        <w:pStyle w:val="Sinespaciado"/>
        <w:spacing w:before="120" w:after="120" w:line="360" w:lineRule="auto"/>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5A7141" w:rsidRDefault="005A7141" w:rsidP="005A7141">
      <w:pPr>
        <w:pStyle w:val="Sinespaciado"/>
        <w:spacing w:before="120" w:after="120" w:line="360" w:lineRule="auto"/>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5A7141" w:rsidRPr="00906D6B" w:rsidRDefault="005A7141" w:rsidP="005A7141">
      <w:pPr>
        <w:pStyle w:val="Sinespaciado"/>
        <w:spacing w:before="240" w:after="120" w:line="360" w:lineRule="auto"/>
        <w:ind w:left="567" w:right="567"/>
        <w:jc w:val="both"/>
        <w:rPr>
          <w:rFonts w:ascii="Palatino Linotype" w:hAnsi="Palatino Linotype"/>
          <w:i/>
        </w:rPr>
      </w:pPr>
      <w:r>
        <w:rPr>
          <w:rFonts w:ascii="Palatino Linotype" w:hAnsi="Palatino Linotype"/>
          <w:i/>
        </w:rPr>
        <w:t>…</w:t>
      </w:r>
    </w:p>
    <w:p w:rsidR="005A7141" w:rsidRPr="00906D6B" w:rsidRDefault="005A7141" w:rsidP="005A7141">
      <w:pPr>
        <w:pStyle w:val="Sinespaciado"/>
        <w:spacing w:before="240" w:after="120" w:line="360" w:lineRule="auto"/>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5A7141" w:rsidRPr="0031297F" w:rsidRDefault="005A7141" w:rsidP="005A7141">
      <w:pPr>
        <w:pStyle w:val="Sinespaciado"/>
        <w:numPr>
          <w:ilvl w:val="0"/>
          <w:numId w:val="15"/>
        </w:numPr>
        <w:spacing w:before="240" w:after="120" w:line="360" w:lineRule="auto"/>
        <w:ind w:right="567" w:hanging="720"/>
        <w:jc w:val="both"/>
        <w:rPr>
          <w:rFonts w:ascii="Palatino Linotype" w:hAnsi="Palatino Linotype"/>
          <w:b/>
          <w:i/>
        </w:rPr>
      </w:pPr>
      <w:r w:rsidRPr="0031297F">
        <w:rPr>
          <w:rFonts w:ascii="Palatino Linotype" w:hAnsi="Palatino Linotype"/>
          <w:b/>
          <w:i/>
        </w:rPr>
        <w:lastRenderedPageBreak/>
        <w:t>6 años para expedientes con información administrativa;</w:t>
      </w:r>
      <w:bookmarkStart w:id="0" w:name="_GoBack"/>
      <w:bookmarkEnd w:id="0"/>
    </w:p>
    <w:p w:rsidR="005A7141" w:rsidRPr="0031297F" w:rsidRDefault="005A7141" w:rsidP="005A7141">
      <w:pPr>
        <w:pStyle w:val="Sinespaciado"/>
        <w:numPr>
          <w:ilvl w:val="0"/>
          <w:numId w:val="15"/>
        </w:numPr>
        <w:spacing w:before="240" w:after="120" w:line="360" w:lineRule="auto"/>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5A7141" w:rsidRPr="00906D6B" w:rsidRDefault="005A7141" w:rsidP="005A7141">
      <w:pPr>
        <w:pStyle w:val="Sinespaciado"/>
        <w:numPr>
          <w:ilvl w:val="0"/>
          <w:numId w:val="15"/>
        </w:numPr>
        <w:spacing w:before="120" w:after="120" w:line="360" w:lineRule="auto"/>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5A7141" w:rsidRPr="00906D6B" w:rsidRDefault="005A7141" w:rsidP="005A7141">
      <w:pPr>
        <w:pStyle w:val="Sinespaciado"/>
        <w:numPr>
          <w:ilvl w:val="0"/>
          <w:numId w:val="15"/>
        </w:numPr>
        <w:spacing w:before="120" w:after="120" w:line="360" w:lineRule="auto"/>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5A7141" w:rsidRPr="00906D6B" w:rsidRDefault="005A7141" w:rsidP="005A7141">
      <w:pPr>
        <w:pStyle w:val="Sinespaciado"/>
        <w:numPr>
          <w:ilvl w:val="0"/>
          <w:numId w:val="15"/>
        </w:numPr>
        <w:spacing w:before="120" w:after="120" w:line="360" w:lineRule="auto"/>
        <w:ind w:right="567" w:hanging="720"/>
        <w:jc w:val="both"/>
        <w:rPr>
          <w:rFonts w:ascii="Palatino Linotype" w:hAnsi="Palatino Linotype"/>
        </w:rPr>
      </w:pPr>
      <w:r w:rsidRPr="00906D6B">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rPr>
        <w:t>”</w:t>
      </w:r>
    </w:p>
    <w:p w:rsidR="005A7141" w:rsidRDefault="005A7141" w:rsidP="005A7141">
      <w:pPr>
        <w:pStyle w:val="Sinespaciado"/>
        <w:spacing w:before="240" w:after="240" w:line="360" w:lineRule="auto"/>
        <w:jc w:val="both"/>
        <w:rPr>
          <w:rFonts w:ascii="Palatino Linotype" w:hAnsi="Palatino Linotype"/>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733F80" w:rsidRDefault="005A7141" w:rsidP="00733F8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 En ese tenor, la Ley General de Archivos en su numeral 37 establece que los sujetos obligados deberán de velar por el cumplimiento de los plazos de conservación establecidos en el </w:t>
      </w:r>
      <w:r w:rsidR="00CD5EAD">
        <w:rPr>
          <w:rFonts w:ascii="Palatino Linotype" w:hAnsi="Palatino Linotype"/>
          <w:sz w:val="24"/>
          <w:szCs w:val="24"/>
        </w:rPr>
        <w:t>catálogo</w:t>
      </w:r>
      <w:r>
        <w:rPr>
          <w:rFonts w:ascii="Palatino Linotype" w:hAnsi="Palatino Linotype"/>
          <w:sz w:val="24"/>
          <w:szCs w:val="24"/>
        </w:rPr>
        <w:t xml:space="preserve"> de disposición documental y que estos no excedan el </w:t>
      </w:r>
      <w:r>
        <w:rPr>
          <w:rFonts w:ascii="Palatino Linotype" w:hAnsi="Palatino Linotype"/>
          <w:sz w:val="24"/>
          <w:szCs w:val="24"/>
        </w:rPr>
        <w:lastRenderedPageBreak/>
        <w:t>tiempo que establece la no</w:t>
      </w:r>
      <w:r w:rsidR="00CD5EAD">
        <w:rPr>
          <w:rFonts w:ascii="Palatino Linotype" w:hAnsi="Palatino Linotype"/>
          <w:sz w:val="24"/>
          <w:szCs w:val="24"/>
        </w:rPr>
        <w:t>rmatividad específica, asimismo en ningún caso el plazo podrá exceder de 25 años.</w:t>
      </w:r>
      <w:r w:rsidR="00CD5EAD">
        <w:rPr>
          <w:rStyle w:val="Refdenotaalpie"/>
          <w:rFonts w:ascii="Palatino Linotype" w:hAnsi="Palatino Linotype"/>
          <w:sz w:val="24"/>
          <w:szCs w:val="24"/>
        </w:rPr>
        <w:footnoteReference w:id="3"/>
      </w:r>
    </w:p>
    <w:p w:rsidR="00CD5EAD" w:rsidRPr="00CD5EAD" w:rsidRDefault="00CD5EAD" w:rsidP="00CD5EAD">
      <w:pPr>
        <w:autoSpaceDE w:val="0"/>
        <w:autoSpaceDN w:val="0"/>
        <w:adjustRightInd w:val="0"/>
        <w:spacing w:before="240" w:line="360" w:lineRule="auto"/>
        <w:jc w:val="both"/>
        <w:rPr>
          <w:rFonts w:ascii="Palatino Linotype" w:hAnsi="Palatino Linotype"/>
          <w:b/>
          <w:i/>
          <w:sz w:val="28"/>
        </w:rPr>
      </w:pPr>
      <w:r w:rsidRPr="00CD5EAD">
        <w:rPr>
          <w:rFonts w:ascii="Palatino Linotype" w:hAnsi="Palatino Linotype"/>
          <w:b/>
          <w:i/>
          <w:sz w:val="28"/>
        </w:rPr>
        <w:t xml:space="preserve">Vista a los Órganos de Control Interno </w:t>
      </w:r>
    </w:p>
    <w:p w:rsidR="00CD5EAD" w:rsidRPr="006010FE" w:rsidRDefault="00CD5EAD" w:rsidP="00CD5EAD">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CD5EAD" w:rsidRPr="006010FE" w:rsidRDefault="00CD5EAD" w:rsidP="00CD5EAD">
      <w:pPr>
        <w:spacing w:before="240" w:after="240" w:line="360" w:lineRule="auto"/>
        <w:contextualSpacing/>
        <w:jc w:val="both"/>
        <w:rPr>
          <w:rFonts w:ascii="Palatino Linotype" w:eastAsia="MS Mincho" w:hAnsi="Palatino Linotype"/>
        </w:rPr>
      </w:pPr>
    </w:p>
    <w:p w:rsidR="00CD5EAD" w:rsidRPr="006010FE" w:rsidRDefault="00CD5EAD" w:rsidP="00CD5EAD">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CD5EAD" w:rsidRPr="006010FE" w:rsidRDefault="00CD5EAD" w:rsidP="00CD5EAD">
      <w:pPr>
        <w:spacing w:before="240" w:after="240" w:line="360" w:lineRule="auto"/>
        <w:contextualSpacing/>
        <w:jc w:val="both"/>
        <w:rPr>
          <w:rFonts w:ascii="Palatino Linotype" w:eastAsia="MS Mincho" w:hAnsi="Palatino Linotype"/>
          <w:sz w:val="16"/>
        </w:rPr>
      </w:pP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CD5EAD" w:rsidRPr="006010FE" w:rsidRDefault="00CD5EAD" w:rsidP="00CD5EAD">
      <w:pPr>
        <w:spacing w:before="240" w:after="240" w:line="360" w:lineRule="auto"/>
        <w:contextualSpacing/>
        <w:jc w:val="both"/>
        <w:rPr>
          <w:rFonts w:ascii="Palatino Linotype" w:eastAsia="MS Mincho" w:hAnsi="Palatino Linotype"/>
          <w:sz w:val="16"/>
        </w:rPr>
      </w:pPr>
    </w:p>
    <w:p w:rsidR="00CD5EAD" w:rsidRPr="006010FE" w:rsidRDefault="00CD5EAD" w:rsidP="00CD5EAD">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lastRenderedPageBreak/>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CD5EAD" w:rsidRPr="006010FE" w:rsidRDefault="00CD5EAD" w:rsidP="00CD5EAD">
      <w:pPr>
        <w:pStyle w:val="Sinespaciado"/>
        <w:rPr>
          <w:sz w:val="8"/>
        </w:rPr>
      </w:pP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CD5EAD" w:rsidRPr="006010FE" w:rsidRDefault="00CD5EAD" w:rsidP="00CD5EAD">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CD5EAD" w:rsidRPr="006010FE" w:rsidRDefault="00CD5EAD" w:rsidP="00CD5EAD">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D5EAD" w:rsidRPr="006010FE" w:rsidRDefault="00CD5EAD" w:rsidP="00CD5EAD">
      <w:pPr>
        <w:spacing w:before="240" w:after="240" w:line="360" w:lineRule="auto"/>
        <w:contextualSpacing/>
        <w:jc w:val="both"/>
        <w:rPr>
          <w:rFonts w:ascii="Palatino Linotype" w:eastAsia="Calibri" w:hAnsi="Palatino Linotype" w:cs="Arial"/>
          <w:color w:val="000000"/>
          <w:lang w:eastAsia="es-MX"/>
        </w:rPr>
      </w:pPr>
    </w:p>
    <w:p w:rsidR="00CD5EAD" w:rsidRPr="006010FE" w:rsidRDefault="00CD5EAD" w:rsidP="00CD5EAD">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6010FE">
        <w:rPr>
          <w:rFonts w:ascii="Palatino Linotype" w:hAnsi="Palatino Linotype" w:cs="Arial"/>
          <w:color w:val="222222"/>
          <w:sz w:val="24"/>
          <w:lang w:eastAsia="es-MX"/>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D5EAD" w:rsidRPr="006010FE" w:rsidRDefault="00CD5EAD" w:rsidP="00CD5EAD">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atie</w:t>
      </w:r>
      <w:r>
        <w:rPr>
          <w:rFonts w:ascii="Palatino Linotype" w:hAnsi="Palatino Linotype" w:cs="Arial"/>
          <w:sz w:val="24"/>
          <w:szCs w:val="24"/>
        </w:rPr>
        <w:t xml:space="preserve">nda la solicitud de información </w:t>
      </w:r>
      <w:r w:rsidRPr="00942DE4">
        <w:rPr>
          <w:rFonts w:ascii="Palatino Linotype" w:hAnsi="Palatino Linotype" w:cs="Arial"/>
          <w:b/>
          <w:sz w:val="24"/>
        </w:rPr>
        <w:t>00497/NAUCALPA/IP/2018</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CD5EAD" w:rsidRDefault="00CD5EAD" w:rsidP="00CD5EAD">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CD5EAD" w:rsidRDefault="00CD5EAD" w:rsidP="00CD5EAD">
      <w:pPr>
        <w:spacing w:before="240" w:line="360" w:lineRule="auto"/>
        <w:jc w:val="both"/>
        <w:rPr>
          <w:rFonts w:ascii="Palatino Linotype" w:hAnsi="Palatino Linotype" w:cs="Arial"/>
          <w:sz w:val="24"/>
        </w:rPr>
      </w:pPr>
    </w:p>
    <w:p w:rsidR="00CD5EAD" w:rsidRDefault="00CD5EAD" w:rsidP="00CD5EA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CD5EAD" w:rsidRDefault="00CD5EAD" w:rsidP="00CD5EAD">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186A02" w:rsidRDefault="00186A02" w:rsidP="00CD5EAD">
      <w:pPr>
        <w:tabs>
          <w:tab w:val="left" w:pos="8647"/>
        </w:tabs>
        <w:spacing w:after="0" w:line="360" w:lineRule="auto"/>
        <w:ind w:right="51"/>
        <w:jc w:val="both"/>
        <w:rPr>
          <w:rFonts w:ascii="Palatino Linotype" w:hAnsi="Palatino Linotype" w:cs="Arial"/>
          <w:sz w:val="24"/>
          <w:szCs w:val="24"/>
        </w:rPr>
      </w:pPr>
    </w:p>
    <w:p w:rsidR="00CD5EAD" w:rsidRDefault="00CD5EAD" w:rsidP="00CD5EAD">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sidRPr="00CD5EAD">
        <w:rPr>
          <w:rFonts w:ascii="Palatino Linotype" w:hAnsi="Palatino Linotype" w:cs="Arial"/>
          <w:b/>
          <w:sz w:val="24"/>
          <w:szCs w:val="24"/>
        </w:rPr>
        <w:t xml:space="preserve">atienda </w:t>
      </w:r>
      <w:r>
        <w:rPr>
          <w:rFonts w:ascii="Palatino Linotype" w:hAnsi="Palatino Linotype" w:cs="Arial"/>
          <w:sz w:val="24"/>
          <w:szCs w:val="24"/>
        </w:rPr>
        <w:t xml:space="preserve">la solicitud de información número </w:t>
      </w:r>
      <w:r w:rsidRPr="00942DE4">
        <w:rPr>
          <w:rFonts w:ascii="Palatino Linotype" w:hAnsi="Palatino Linotype" w:cs="Arial"/>
          <w:b/>
          <w:sz w:val="24"/>
        </w:rPr>
        <w:t>00497/NAUCALPA/IP/2018</w:t>
      </w:r>
      <w:r>
        <w:rPr>
          <w:rFonts w:ascii="Palatino Linotype" w:hAnsi="Palatino Linotype" w:cs="Arial"/>
          <w:b/>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w:t>
      </w:r>
    </w:p>
    <w:p w:rsidR="00CD5EAD" w:rsidRDefault="00CD5EAD" w:rsidP="00CD5EAD">
      <w:pPr>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86A02" w:rsidRDefault="00186A02" w:rsidP="00CD5EAD">
      <w:pPr>
        <w:spacing w:before="240" w:line="360" w:lineRule="auto"/>
        <w:jc w:val="both"/>
        <w:rPr>
          <w:rFonts w:ascii="Palatino Linotype" w:hAnsi="Palatino Linotype" w:cs="Arial"/>
          <w:sz w:val="24"/>
          <w:szCs w:val="24"/>
        </w:rPr>
      </w:pPr>
    </w:p>
    <w:p w:rsidR="00CD5EAD" w:rsidRDefault="00CD5EAD" w:rsidP="00CD5EA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186A02" w:rsidRDefault="00186A02" w:rsidP="00CD5EAD">
      <w:pPr>
        <w:autoSpaceDE w:val="0"/>
        <w:autoSpaceDN w:val="0"/>
        <w:adjustRightInd w:val="0"/>
        <w:spacing w:before="240" w:line="360" w:lineRule="auto"/>
        <w:jc w:val="both"/>
        <w:rPr>
          <w:rFonts w:ascii="Palatino Linotype" w:hAnsi="Palatino Linotype" w:cs="Arial"/>
          <w:sz w:val="24"/>
          <w:szCs w:val="24"/>
        </w:rPr>
      </w:pPr>
    </w:p>
    <w:p w:rsidR="00CD5EAD" w:rsidRDefault="00CD5EAD" w:rsidP="00CD5EAD">
      <w:pPr>
        <w:autoSpaceDE w:val="0"/>
        <w:autoSpaceDN w:val="0"/>
        <w:adjustRightInd w:val="0"/>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FE0B02" w:rsidRDefault="00FE0B02" w:rsidP="00CD5EAD">
      <w:pPr>
        <w:autoSpaceDE w:val="0"/>
        <w:autoSpaceDN w:val="0"/>
        <w:adjustRightInd w:val="0"/>
        <w:spacing w:after="0" w:line="360" w:lineRule="auto"/>
        <w:jc w:val="both"/>
        <w:rPr>
          <w:rFonts w:ascii="Palatino Linotype" w:hAnsi="Palatino Linotype" w:cs="Arial"/>
          <w:sz w:val="24"/>
          <w:szCs w:val="24"/>
        </w:rPr>
      </w:pP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459D0" w:rsidRDefault="00A459D0" w:rsidP="00A459D0">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lastRenderedPageBreak/>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sidR="00FE0B02">
        <w:rPr>
          <w:rFonts w:ascii="Palatino Linotype" w:hAnsi="Palatino Linotype" w:cs="Arial"/>
          <w:sz w:val="24"/>
          <w:szCs w:val="24"/>
        </w:rPr>
        <w:t xml:space="preserve"> EMITIENDO VOTO PARTICULAR</w:t>
      </w:r>
      <w:r w:rsidRPr="0024637B">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sidR="00FE0B02">
        <w:rPr>
          <w:rFonts w:ascii="Palatino Linotype" w:hAnsi="Palatino Linotype" w:cs="Arial"/>
          <w:sz w:val="24"/>
          <w:szCs w:val="24"/>
        </w:rPr>
        <w:t xml:space="preserve"> EMITIENDO VOTO PARTICULAR</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sidR="00FE0B02">
        <w:rPr>
          <w:rFonts w:ascii="Palatino Linotype" w:hAnsi="Palatino Linotype" w:cs="Arial"/>
          <w:sz w:val="24"/>
          <w:szCs w:val="24"/>
        </w:rPr>
        <w:t xml:space="preserve"> EMITIENDO VOTO PARTICULAR</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sidR="00FE0B02">
        <w:rPr>
          <w:rFonts w:ascii="Palatino Linotype" w:hAnsi="Palatino Linotype" w:cs="Arial"/>
          <w:sz w:val="24"/>
          <w:szCs w:val="24"/>
        </w:rPr>
        <w:t>PRIMERA</w:t>
      </w:r>
      <w:r>
        <w:rPr>
          <w:rFonts w:ascii="Palatino Linotype" w:hAnsi="Palatino Linotype" w:cs="Arial"/>
          <w:sz w:val="24"/>
          <w:szCs w:val="24"/>
        </w:rPr>
        <w:t xml:space="preserve"> SESIÓN ORDINARIA CELEBRADA EL </w:t>
      </w:r>
      <w:r w:rsidR="00FE0B02">
        <w:rPr>
          <w:rFonts w:ascii="Palatino Linotype" w:hAnsi="Palatino Linotype" w:cs="Arial"/>
          <w:sz w:val="24"/>
          <w:szCs w:val="24"/>
        </w:rPr>
        <w:t>NUEVE DE ENERO</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sidR="00FE0B02">
        <w:rPr>
          <w:rFonts w:ascii="Palatino Linotype" w:hAnsi="Palatino Linotype" w:cs="Arial"/>
          <w:sz w:val="24"/>
          <w:szCs w:val="24"/>
        </w:rPr>
        <w:t>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Pr="00C75CFC">
        <w:rPr>
          <w:rFonts w:ascii="Palatino Linotype" w:hAnsi="Palatino Linotype" w:cs="Arial"/>
          <w:sz w:val="24"/>
          <w:szCs w:val="24"/>
        </w:rPr>
        <w:t xml:space="preserve"> </w:t>
      </w:r>
      <w:r>
        <w:rPr>
          <w:rFonts w:ascii="Palatino Linotype" w:hAnsi="Palatino Linotype" w:cs="Arial"/>
          <w:sz w:val="24"/>
          <w:szCs w:val="24"/>
        </w:rPr>
        <w:t>---------------------------------------------------------------------------------------------------------------------------------------------------------------------------------------------------------------------------------------------------------------------------------------------------------------------------------------------------------------------------------------------------------------------------------------------------------------------------------------------------------------------------------------------------------------------------------------------------------------------------------------------------------------------------------------------------------------------------------------------------------------------------------------------------------------------------------------------------------------------------------------------------------------------------------------------------------------------------------------------------------------------------------------------------------------------------------------------------------------------------------------------------------------------------------------------------------------------------------------------------------------------------------------------------------------------------------------------------------------------</w:t>
      </w:r>
      <w:r w:rsidR="00FE0B02">
        <w:rPr>
          <w:rFonts w:ascii="Palatino Linotype" w:hAnsi="Palatino Linotype" w:cs="Arial"/>
          <w:sz w:val="24"/>
          <w:szCs w:val="24"/>
        </w:rPr>
        <w:t>----------------------------------------------------------------------------------------------------------------------------------------------------------------------------------------------------------------------------------</w:t>
      </w:r>
    </w:p>
    <w:p w:rsidR="00FE0B02" w:rsidRDefault="00FE0B02" w:rsidP="00A459D0">
      <w:pPr>
        <w:spacing w:before="240"/>
        <w:jc w:val="both"/>
        <w:rPr>
          <w:rFonts w:ascii="Palatino Linotype" w:hAnsi="Palatino Linotype" w:cs="Arial"/>
          <w:sz w:val="24"/>
          <w:szCs w:val="24"/>
        </w:rPr>
      </w:pPr>
    </w:p>
    <w:p w:rsidR="00FE0B02" w:rsidRDefault="00FE0B02" w:rsidP="00A459D0">
      <w:pPr>
        <w:spacing w:before="240"/>
        <w:jc w:val="both"/>
        <w:rPr>
          <w:rFonts w:ascii="Palatino Linotype" w:hAnsi="Palatino Linotype" w:cs="Arial"/>
          <w:sz w:val="24"/>
          <w:szCs w:val="24"/>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FE0B02"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864158"/>
                <wp:effectExtent l="0" t="0" r="28575" b="12700"/>
                <wp:wrapNone/>
                <wp:docPr id="35" name="Cuadro de texto 35"/>
                <wp:cNvGraphicFramePr/>
                <a:graphic xmlns:a="http://schemas.openxmlformats.org/drawingml/2006/main">
                  <a:graphicData uri="http://schemas.microsoft.com/office/word/2010/wordprocessingShape">
                    <wps:wsp>
                      <wps:cNvSpPr txBox="1"/>
                      <wps:spPr>
                        <a:xfrm>
                          <a:off x="0" y="0"/>
                          <a:ext cx="2543175" cy="8641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68.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FE0B02"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1085222</wp:posOffset>
                </wp:positionH>
                <wp:positionV relativeFrom="paragraph">
                  <wp:posOffset>232905</wp:posOffset>
                </wp:positionV>
                <wp:extent cx="2133600" cy="864159"/>
                <wp:effectExtent l="0" t="0" r="19050" b="12700"/>
                <wp:wrapNone/>
                <wp:docPr id="2" name="Cuadro de texto 2"/>
                <wp:cNvGraphicFramePr/>
                <a:graphic xmlns:a="http://schemas.openxmlformats.org/drawingml/2006/main">
                  <a:graphicData uri="http://schemas.microsoft.com/office/word/2010/wordprocessingShape">
                    <wps:wsp>
                      <wps:cNvSpPr txBox="1"/>
                      <wps:spPr>
                        <a:xfrm>
                          <a:off x="0" y="0"/>
                          <a:ext cx="2133600" cy="8641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29" type="#_x0000_t202" style="position:absolute;margin-left:85.45pt;margin-top:18.35pt;width:168pt;height:68.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r w:rsidR="00A459D0"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4551903</wp:posOffset>
                </wp:positionH>
                <wp:positionV relativeFrom="paragraph">
                  <wp:posOffset>242954</wp:posOffset>
                </wp:positionV>
                <wp:extent cx="2133600" cy="933561"/>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30" type="#_x0000_t202" style="position:absolute;margin-left:358.4pt;margin-top:19.15pt;width:168pt;height:7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U4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2411604</wp:posOffset>
                </wp:positionH>
                <wp:positionV relativeFrom="paragraph">
                  <wp:posOffset>289755</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89.9pt;margin-top:22.8pt;width:248.25pt;height:6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2052F6" w:rsidRDefault="00A459D0" w:rsidP="00FE0B02">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w:t>
      </w:r>
      <w:r w:rsidR="00FE0B02">
        <w:rPr>
          <w:rFonts w:ascii="Palatino Linotype" w:hAnsi="Palatino Linotype" w:cs="Arial"/>
          <w:sz w:val="16"/>
          <w:szCs w:val="16"/>
        </w:rPr>
        <w:t>nueve de enero de dos mil diecinueve</w:t>
      </w:r>
      <w:r w:rsidRPr="002052F6">
        <w:rPr>
          <w:rFonts w:ascii="Palatino Linotype" w:hAnsi="Palatino Linotype" w:cs="Arial"/>
          <w:sz w:val="16"/>
          <w:szCs w:val="16"/>
        </w:rPr>
        <w:t xml:space="preserve">, emitida en el recurso de revisión </w:t>
      </w:r>
      <w:r w:rsidR="00FE0B02">
        <w:rPr>
          <w:rFonts w:ascii="Palatino Linotype" w:hAnsi="Palatino Linotype" w:cs="Arial"/>
          <w:bCs/>
          <w:sz w:val="16"/>
          <w:szCs w:val="16"/>
          <w:lang w:eastAsia="es-MX"/>
        </w:rPr>
        <w:t>04070</w:t>
      </w:r>
      <w:r>
        <w:rPr>
          <w:rFonts w:ascii="Palatino Linotype" w:hAnsi="Palatino Linotype" w:cs="Arial"/>
          <w:bCs/>
          <w:sz w:val="16"/>
          <w:szCs w:val="16"/>
          <w:lang w:eastAsia="es-MX"/>
        </w:rPr>
        <w:t>/INFOEM/IP/RR/2018</w:t>
      </w:r>
      <w:r w:rsidRPr="002052F6">
        <w:rPr>
          <w:rFonts w:ascii="Palatino Linotype" w:hAnsi="Palatino Linotype" w:cs="Arial"/>
          <w:sz w:val="16"/>
          <w:szCs w:val="16"/>
        </w:rPr>
        <w:t>.</w:t>
      </w:r>
    </w:p>
    <w:p w:rsidR="00DD13E2" w:rsidRDefault="00A459D0" w:rsidP="00FE0B02">
      <w:pPr>
        <w:spacing w:after="0" w:line="276" w:lineRule="auto"/>
      </w:pPr>
      <w:r w:rsidRPr="002052F6">
        <w:t>ZMS/OSAM/MAEM</w:t>
      </w: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AF" w:rsidRDefault="008C6EAF" w:rsidP="00E15E85">
      <w:pPr>
        <w:spacing w:after="0" w:line="240" w:lineRule="auto"/>
      </w:pPr>
      <w:r>
        <w:separator/>
      </w:r>
    </w:p>
  </w:endnote>
  <w:endnote w:type="continuationSeparator" w:id="0">
    <w:p w:rsidR="008C6EAF" w:rsidRDefault="008C6EA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7B5D">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7B5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7B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7B5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AF" w:rsidRDefault="008C6EAF" w:rsidP="00E15E85">
      <w:pPr>
        <w:spacing w:after="0" w:line="240" w:lineRule="auto"/>
      </w:pPr>
      <w:r>
        <w:separator/>
      </w:r>
    </w:p>
  </w:footnote>
  <w:footnote w:type="continuationSeparator" w:id="0">
    <w:p w:rsidR="008C6EAF" w:rsidRDefault="008C6EAF"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D2DE9" w:rsidRPr="00B92BC3" w:rsidRDefault="00DD2DE9" w:rsidP="00DD2DE9">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DD2DE9" w:rsidRDefault="00DD2DE9" w:rsidP="00DD2DE9">
      <w:pPr>
        <w:pStyle w:val="Textonotapie"/>
        <w:numPr>
          <w:ilvl w:val="0"/>
          <w:numId w:val="11"/>
        </w:numPr>
        <w:spacing w:line="276" w:lineRule="auto"/>
        <w:jc w:val="both"/>
      </w:pPr>
      <w:r w:rsidRPr="00B92BC3">
        <w:rPr>
          <w:rFonts w:ascii="Arial" w:hAnsi="Arial" w:cs="Arial"/>
          <w:sz w:val="18"/>
        </w:rPr>
        <w:t>La falta de respuesta a una solicitud de acceso a la información;</w:t>
      </w:r>
    </w:p>
  </w:footnote>
  <w:footnote w:id="3">
    <w:p w:rsidR="00CD5EAD" w:rsidRPr="00CD5EAD" w:rsidRDefault="00CD5EAD" w:rsidP="00CD5EAD">
      <w:pPr>
        <w:pStyle w:val="Textonotapie"/>
        <w:spacing w:line="276" w:lineRule="auto"/>
        <w:jc w:val="both"/>
        <w:rPr>
          <w:rFonts w:ascii="Palatino Linotype" w:hAnsi="Palatino Linotype"/>
        </w:rPr>
      </w:pPr>
      <w:r w:rsidRPr="00CD5EAD">
        <w:rPr>
          <w:rStyle w:val="Refdenotaalpie"/>
          <w:rFonts w:ascii="Palatino Linotype" w:hAnsi="Palatino Linotype"/>
        </w:rPr>
        <w:footnoteRef/>
      </w:r>
      <w:r w:rsidRPr="00CD5EAD">
        <w:rPr>
          <w:rFonts w:ascii="Palatino Linotype" w:hAnsi="Palatino Linotype"/>
        </w:rPr>
        <w:t xml:space="preserve"> Artículo 37. El sujeto obligado deberá asegurar que se cumplan los plazos de conservación establecidos en el catálogo de disposición documental y que los mismos no excedan el tiempo que la normatividad específica que rija las funciones y atribuciones del sujeto obligado disponga, o en su caso, del uso, consulta y utilidad que tenga su información. En ningún caso el plazo podrá exceder de 25 años.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942DE4"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04070</w:t>
          </w:r>
          <w:r w:rsidR="007E2959" w:rsidRPr="007E295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42DE4" w:rsidP="00E15E85">
          <w:pPr>
            <w:spacing w:after="120" w:line="256" w:lineRule="auto"/>
            <w:ind w:left="-486" w:right="214" w:firstLine="284"/>
            <w:jc w:val="right"/>
            <w:rPr>
              <w:rFonts w:ascii="Palatino Linotype" w:hAnsi="Palatino Linotype" w:cs="Arial"/>
              <w:szCs w:val="20"/>
            </w:rPr>
          </w:pPr>
          <w:r w:rsidRPr="00942DE4">
            <w:rPr>
              <w:rFonts w:ascii="Palatino Linotype" w:hAnsi="Palatino Linotype" w:cs="Arial"/>
              <w:szCs w:val="20"/>
            </w:rPr>
            <w:t>Ayuntamiento de Naucalpan de Juárez</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942DE4"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04070</w:t>
          </w:r>
          <w:r w:rsidR="007E2959" w:rsidRPr="007E2959">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AA7B5D"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42DE4" w:rsidP="0015550A">
          <w:pPr>
            <w:spacing w:after="120" w:line="256" w:lineRule="auto"/>
            <w:ind w:left="-495" w:right="214" w:firstLine="567"/>
            <w:jc w:val="right"/>
            <w:rPr>
              <w:rFonts w:ascii="Palatino Linotype" w:hAnsi="Palatino Linotype" w:cs="Arial"/>
              <w:szCs w:val="20"/>
            </w:rPr>
          </w:pPr>
          <w:r w:rsidRPr="00942DE4">
            <w:rPr>
              <w:rFonts w:ascii="Palatino Linotype" w:hAnsi="Palatino Linotype" w:cs="Arial"/>
              <w:szCs w:val="20"/>
            </w:rPr>
            <w:t>Ayuntamiento de Naucalpan de Juárez</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AB9"/>
    <w:multiLevelType w:val="hybridMultilevel"/>
    <w:tmpl w:val="F2787142"/>
    <w:lvl w:ilvl="0" w:tplc="F44807D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2041A7"/>
    <w:multiLevelType w:val="hybridMultilevel"/>
    <w:tmpl w:val="E21865BC"/>
    <w:lvl w:ilvl="0" w:tplc="57A0F0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157DB9"/>
    <w:multiLevelType w:val="hybridMultilevel"/>
    <w:tmpl w:val="18640776"/>
    <w:numStyleLink w:val="Estiloimportado2"/>
  </w:abstractNum>
  <w:abstractNum w:abstractNumId="10" w15:restartNumberingAfterBreak="0">
    <w:nsid w:val="6CC91B17"/>
    <w:multiLevelType w:val="hybridMultilevel"/>
    <w:tmpl w:val="29589C4A"/>
    <w:lvl w:ilvl="0" w:tplc="A65A5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5"/>
  </w:num>
  <w:num w:numId="5">
    <w:abstractNumId w:val="9"/>
  </w:num>
  <w:num w:numId="6">
    <w:abstractNumId w:val="2"/>
  </w:num>
  <w:num w:numId="7">
    <w:abstractNumId w:val="14"/>
  </w:num>
  <w:num w:numId="8">
    <w:abstractNumId w:val="6"/>
  </w:num>
  <w:num w:numId="9">
    <w:abstractNumId w:val="3"/>
  </w:num>
  <w:num w:numId="10">
    <w:abstractNumId w:val="13"/>
  </w:num>
  <w:num w:numId="11">
    <w:abstractNumId w:val="7"/>
  </w:num>
  <w:num w:numId="12">
    <w:abstractNumId w:val="0"/>
  </w:num>
  <w:num w:numId="13">
    <w:abstractNumId w:val="10"/>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35F8F"/>
    <w:rsid w:val="00041425"/>
    <w:rsid w:val="0004795A"/>
    <w:rsid w:val="00053ED1"/>
    <w:rsid w:val="00062CBD"/>
    <w:rsid w:val="00073200"/>
    <w:rsid w:val="00073973"/>
    <w:rsid w:val="00074A99"/>
    <w:rsid w:val="00076643"/>
    <w:rsid w:val="00081548"/>
    <w:rsid w:val="00082DF3"/>
    <w:rsid w:val="000C22EC"/>
    <w:rsid w:val="000C59EE"/>
    <w:rsid w:val="000F019E"/>
    <w:rsid w:val="0011750A"/>
    <w:rsid w:val="0012266D"/>
    <w:rsid w:val="00130D58"/>
    <w:rsid w:val="00147402"/>
    <w:rsid w:val="00154A75"/>
    <w:rsid w:val="0015550A"/>
    <w:rsid w:val="00171BD5"/>
    <w:rsid w:val="00183623"/>
    <w:rsid w:val="00186A02"/>
    <w:rsid w:val="001B066D"/>
    <w:rsid w:val="001B3E5E"/>
    <w:rsid w:val="001C28D0"/>
    <w:rsid w:val="001C3E01"/>
    <w:rsid w:val="001C3F41"/>
    <w:rsid w:val="001C7069"/>
    <w:rsid w:val="002052F6"/>
    <w:rsid w:val="00217E99"/>
    <w:rsid w:val="00223C2F"/>
    <w:rsid w:val="00224181"/>
    <w:rsid w:val="00233D51"/>
    <w:rsid w:val="00240133"/>
    <w:rsid w:val="002606F0"/>
    <w:rsid w:val="0026534C"/>
    <w:rsid w:val="002677ED"/>
    <w:rsid w:val="00273BE0"/>
    <w:rsid w:val="00287512"/>
    <w:rsid w:val="002902D7"/>
    <w:rsid w:val="00294D34"/>
    <w:rsid w:val="002A1820"/>
    <w:rsid w:val="002A30B2"/>
    <w:rsid w:val="002A6F17"/>
    <w:rsid w:val="002B067A"/>
    <w:rsid w:val="002B144D"/>
    <w:rsid w:val="002C7413"/>
    <w:rsid w:val="002D629C"/>
    <w:rsid w:val="003011A8"/>
    <w:rsid w:val="003034F4"/>
    <w:rsid w:val="00317B8A"/>
    <w:rsid w:val="00330A95"/>
    <w:rsid w:val="003341B0"/>
    <w:rsid w:val="00334E11"/>
    <w:rsid w:val="00342A59"/>
    <w:rsid w:val="0034696E"/>
    <w:rsid w:val="003470B1"/>
    <w:rsid w:val="003474F2"/>
    <w:rsid w:val="00357BFC"/>
    <w:rsid w:val="00385299"/>
    <w:rsid w:val="0039084D"/>
    <w:rsid w:val="003B465B"/>
    <w:rsid w:val="003C5897"/>
    <w:rsid w:val="003E58B8"/>
    <w:rsid w:val="004065F8"/>
    <w:rsid w:val="004174B3"/>
    <w:rsid w:val="004254FE"/>
    <w:rsid w:val="00437C82"/>
    <w:rsid w:val="004543FA"/>
    <w:rsid w:val="00492244"/>
    <w:rsid w:val="004A2BFB"/>
    <w:rsid w:val="004A7754"/>
    <w:rsid w:val="004C3693"/>
    <w:rsid w:val="004E6DB3"/>
    <w:rsid w:val="004F05B2"/>
    <w:rsid w:val="00527856"/>
    <w:rsid w:val="00527C6A"/>
    <w:rsid w:val="005329E8"/>
    <w:rsid w:val="00535992"/>
    <w:rsid w:val="00553FC8"/>
    <w:rsid w:val="00557689"/>
    <w:rsid w:val="005733EB"/>
    <w:rsid w:val="0057576D"/>
    <w:rsid w:val="005A7141"/>
    <w:rsid w:val="00611799"/>
    <w:rsid w:val="00614FDD"/>
    <w:rsid w:val="00616784"/>
    <w:rsid w:val="00631B59"/>
    <w:rsid w:val="00653B08"/>
    <w:rsid w:val="00654B56"/>
    <w:rsid w:val="00673CFD"/>
    <w:rsid w:val="00674014"/>
    <w:rsid w:val="006B2E10"/>
    <w:rsid w:val="006C1A4F"/>
    <w:rsid w:val="006D113F"/>
    <w:rsid w:val="006F2EA8"/>
    <w:rsid w:val="00707CD8"/>
    <w:rsid w:val="0071620F"/>
    <w:rsid w:val="007176E5"/>
    <w:rsid w:val="00733F80"/>
    <w:rsid w:val="00755099"/>
    <w:rsid w:val="0079194D"/>
    <w:rsid w:val="007A0267"/>
    <w:rsid w:val="007C1445"/>
    <w:rsid w:val="007D276C"/>
    <w:rsid w:val="007D48FA"/>
    <w:rsid w:val="007E2959"/>
    <w:rsid w:val="00845C1C"/>
    <w:rsid w:val="00872278"/>
    <w:rsid w:val="00875499"/>
    <w:rsid w:val="00881D0D"/>
    <w:rsid w:val="008A12F6"/>
    <w:rsid w:val="008B34EC"/>
    <w:rsid w:val="008C6EAF"/>
    <w:rsid w:val="008E0E21"/>
    <w:rsid w:val="008E5141"/>
    <w:rsid w:val="008F7A52"/>
    <w:rsid w:val="00942DE4"/>
    <w:rsid w:val="00943223"/>
    <w:rsid w:val="0094613F"/>
    <w:rsid w:val="00970758"/>
    <w:rsid w:val="00980401"/>
    <w:rsid w:val="009838CD"/>
    <w:rsid w:val="00991CC2"/>
    <w:rsid w:val="00994336"/>
    <w:rsid w:val="00997030"/>
    <w:rsid w:val="009A6BC2"/>
    <w:rsid w:val="009B76BF"/>
    <w:rsid w:val="009C75A5"/>
    <w:rsid w:val="009E3B36"/>
    <w:rsid w:val="009F7948"/>
    <w:rsid w:val="00A459D0"/>
    <w:rsid w:val="00A70873"/>
    <w:rsid w:val="00A92C85"/>
    <w:rsid w:val="00A948EF"/>
    <w:rsid w:val="00AA2CB1"/>
    <w:rsid w:val="00AA7B5D"/>
    <w:rsid w:val="00AC1D50"/>
    <w:rsid w:val="00AC60CE"/>
    <w:rsid w:val="00B052B4"/>
    <w:rsid w:val="00B10B28"/>
    <w:rsid w:val="00B17A1D"/>
    <w:rsid w:val="00B258A2"/>
    <w:rsid w:val="00B34A6D"/>
    <w:rsid w:val="00B355AB"/>
    <w:rsid w:val="00B44BB1"/>
    <w:rsid w:val="00B50BD7"/>
    <w:rsid w:val="00B51395"/>
    <w:rsid w:val="00B54578"/>
    <w:rsid w:val="00B67466"/>
    <w:rsid w:val="00B715A5"/>
    <w:rsid w:val="00B74369"/>
    <w:rsid w:val="00BA2458"/>
    <w:rsid w:val="00BA68FA"/>
    <w:rsid w:val="00BC1280"/>
    <w:rsid w:val="00BC1C0A"/>
    <w:rsid w:val="00BC4EF7"/>
    <w:rsid w:val="00BE1C6C"/>
    <w:rsid w:val="00C16071"/>
    <w:rsid w:val="00C203E8"/>
    <w:rsid w:val="00C25BA8"/>
    <w:rsid w:val="00C56C4E"/>
    <w:rsid w:val="00C6478B"/>
    <w:rsid w:val="00C64C22"/>
    <w:rsid w:val="00C66E70"/>
    <w:rsid w:val="00C80AEF"/>
    <w:rsid w:val="00CB737D"/>
    <w:rsid w:val="00CD5EAD"/>
    <w:rsid w:val="00D120B9"/>
    <w:rsid w:val="00D56BC3"/>
    <w:rsid w:val="00D67629"/>
    <w:rsid w:val="00D70FE3"/>
    <w:rsid w:val="00D8485C"/>
    <w:rsid w:val="00D9010D"/>
    <w:rsid w:val="00D954DE"/>
    <w:rsid w:val="00D95936"/>
    <w:rsid w:val="00DB584E"/>
    <w:rsid w:val="00DC3B85"/>
    <w:rsid w:val="00DD13E2"/>
    <w:rsid w:val="00DD2DE9"/>
    <w:rsid w:val="00E10DEE"/>
    <w:rsid w:val="00E158AD"/>
    <w:rsid w:val="00E15E85"/>
    <w:rsid w:val="00E16AC8"/>
    <w:rsid w:val="00E221C1"/>
    <w:rsid w:val="00E30AF5"/>
    <w:rsid w:val="00E34874"/>
    <w:rsid w:val="00E372DA"/>
    <w:rsid w:val="00E44464"/>
    <w:rsid w:val="00E85DB7"/>
    <w:rsid w:val="00E87E34"/>
    <w:rsid w:val="00E92E34"/>
    <w:rsid w:val="00EA0D06"/>
    <w:rsid w:val="00EA4B96"/>
    <w:rsid w:val="00EC601F"/>
    <w:rsid w:val="00EC788B"/>
    <w:rsid w:val="00ED3DC4"/>
    <w:rsid w:val="00ED466F"/>
    <w:rsid w:val="00EE5CB5"/>
    <w:rsid w:val="00EF2AE9"/>
    <w:rsid w:val="00F15A6B"/>
    <w:rsid w:val="00F353BF"/>
    <w:rsid w:val="00F433DC"/>
    <w:rsid w:val="00F812A0"/>
    <w:rsid w:val="00F9756D"/>
    <w:rsid w:val="00FD2984"/>
    <w:rsid w:val="00FE0916"/>
    <w:rsid w:val="00FE0B02"/>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D2DE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D2DE9"/>
    <w:rPr>
      <w:sz w:val="20"/>
      <w:szCs w:val="20"/>
    </w:rPr>
  </w:style>
  <w:style w:type="paragraph" w:styleId="Textodeglobo">
    <w:name w:val="Balloon Text"/>
    <w:basedOn w:val="Normal"/>
    <w:link w:val="TextodegloboCar"/>
    <w:uiPriority w:val="99"/>
    <w:semiHidden/>
    <w:unhideWhenUsed/>
    <w:rsid w:val="00FE0B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0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AB99-9F25-493D-AB1B-6D386FA8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6824</Words>
  <Characters>37534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2019-01-14T23:43:00Z</cp:lastPrinted>
  <dcterms:created xsi:type="dcterms:W3CDTF">2019-01-22T00:35:00Z</dcterms:created>
  <dcterms:modified xsi:type="dcterms:W3CDTF">2019-01-22T00:35:00Z</dcterms:modified>
</cp:coreProperties>
</file>