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EE4" w:rsidRDefault="008E4EE4" w:rsidP="008E4EE4">
      <w:pPr>
        <w:spacing w:after="0" w:line="360" w:lineRule="auto"/>
        <w:jc w:val="both"/>
        <w:rPr>
          <w:rFonts w:ascii="Palatino Linotype" w:hAnsi="Palatino Linotype" w:cs="Arial"/>
          <w:b/>
          <w:sz w:val="24"/>
          <w:szCs w:val="24"/>
        </w:rPr>
      </w:pPr>
      <w:r>
        <w:rPr>
          <w:rFonts w:ascii="Palatino Linotype" w:hAnsi="Palatino Linotype" w:cs="Arial"/>
          <w:b/>
          <w:sz w:val="24"/>
          <w:szCs w:val="24"/>
        </w:rPr>
        <w:t>VOTO PARTICULAR DEL COMISIONADO JOSÉ GUADALUPE LUNA HERNÁNDEZ EN EL RECURSO DE REVISIÓN 04117</w:t>
      </w:r>
      <w:r w:rsidR="001A57F0">
        <w:rPr>
          <w:rFonts w:ascii="Palatino Linotype" w:hAnsi="Palatino Linotype" w:cs="Arial"/>
          <w:b/>
          <w:sz w:val="24"/>
          <w:szCs w:val="24"/>
        </w:rPr>
        <w:t>/INFOEM/IP/RR/2018 y acumulado.</w:t>
      </w:r>
    </w:p>
    <w:p w:rsidR="008E4EE4" w:rsidRDefault="008E4EE4" w:rsidP="008E4EE4">
      <w:pPr>
        <w:spacing w:after="0" w:line="360" w:lineRule="auto"/>
        <w:jc w:val="both"/>
        <w:rPr>
          <w:rFonts w:ascii="Palatino Linotype" w:hAnsi="Palatino Linotype" w:cs="Arial"/>
          <w:b/>
          <w:sz w:val="24"/>
          <w:szCs w:val="24"/>
        </w:rPr>
      </w:pPr>
    </w:p>
    <w:p w:rsidR="008E4EE4" w:rsidRDefault="008E4EE4" w:rsidP="008E4EE4">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Resumen del voto: </w:t>
      </w:r>
      <w:r w:rsidR="001A57F0">
        <w:rPr>
          <w:rFonts w:ascii="Palatino Linotype" w:hAnsi="Palatino Linotype" w:cs="Arial"/>
          <w:sz w:val="24"/>
          <w:szCs w:val="24"/>
        </w:rPr>
        <w:t>En el</w:t>
      </w:r>
      <w:r>
        <w:rPr>
          <w:rFonts w:ascii="Palatino Linotype" w:hAnsi="Palatino Linotype" w:cs="Arial"/>
          <w:sz w:val="24"/>
          <w:szCs w:val="24"/>
        </w:rPr>
        <w:t xml:space="preserve"> presente voto particular </w:t>
      </w:r>
      <w:r w:rsidR="001A57F0">
        <w:rPr>
          <w:rFonts w:ascii="Palatino Linotype" w:hAnsi="Palatino Linotype" w:cs="Arial"/>
          <w:sz w:val="24"/>
          <w:szCs w:val="24"/>
        </w:rPr>
        <w:t xml:space="preserve">se plantea que, si en los motivos o razones de inconformidad señala otra temporalidad, no se impide que se </w:t>
      </w:r>
      <w:proofErr w:type="spellStart"/>
      <w:r w:rsidR="001A57F0">
        <w:rPr>
          <w:rFonts w:ascii="Palatino Linotype" w:hAnsi="Palatino Linotype" w:cs="Arial"/>
          <w:sz w:val="24"/>
          <w:szCs w:val="24"/>
        </w:rPr>
        <w:t>de</w:t>
      </w:r>
      <w:proofErr w:type="spellEnd"/>
      <w:r w:rsidR="001A57F0">
        <w:rPr>
          <w:rFonts w:ascii="Palatino Linotype" w:hAnsi="Palatino Linotype" w:cs="Arial"/>
          <w:sz w:val="24"/>
          <w:szCs w:val="24"/>
        </w:rPr>
        <w:t xml:space="preserve"> cumplimiento al requerimiento planteado originalmente en la solicitud, y más aún, si el Sujeto Obligado no atendió de forma adecuada la solicitud. El Órgano Garante debió suplir la deficiencia de la queja en favor del particular y ORDENAR al Sujeto Obligado entregar las documentales requeridas.</w:t>
      </w:r>
    </w:p>
    <w:p w:rsidR="008E4EE4" w:rsidRDefault="004134F8" w:rsidP="008E4EE4">
      <w:pPr>
        <w:spacing w:after="0" w:line="360" w:lineRule="auto"/>
        <w:jc w:val="both"/>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44450</wp:posOffset>
                </wp:positionV>
                <wp:extent cx="5505450" cy="43053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505450" cy="43053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8530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3.5pt" to="435.4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" strokecolor="#5b9bd5 [3204]" strokeweight="2.25pt">
                <v:stroke joinstyle="miter"/>
              </v:line>
            </w:pict>
          </mc:Fallback>
        </mc:AlternateContent>
      </w:r>
    </w:p>
    <w:p w:rsidR="008E4EE4" w:rsidRDefault="008E4EE4" w:rsidP="008E4EE4">
      <w:pPr>
        <w:spacing w:after="0" w:line="360" w:lineRule="auto"/>
        <w:jc w:val="both"/>
        <w:rPr>
          <w:rFonts w:ascii="Palatino Linotype" w:hAnsi="Palatino Linotype" w:cs="Arial"/>
          <w:b/>
          <w:sz w:val="24"/>
          <w:szCs w:val="24"/>
        </w:rPr>
      </w:pPr>
    </w:p>
    <w:p w:rsidR="008E4EE4" w:rsidRDefault="008E4EE4" w:rsidP="008E4EE4">
      <w:pPr>
        <w:spacing w:after="0" w:line="360" w:lineRule="auto"/>
        <w:jc w:val="both"/>
        <w:rPr>
          <w:rFonts w:ascii="Palatino Linotype" w:hAnsi="Palatino Linotype" w:cs="Arial"/>
          <w:b/>
          <w:sz w:val="24"/>
          <w:szCs w:val="24"/>
        </w:rPr>
      </w:pPr>
    </w:p>
    <w:p w:rsidR="008E4EE4" w:rsidRDefault="008E4EE4" w:rsidP="008E4EE4">
      <w:pPr>
        <w:spacing w:after="0" w:line="360" w:lineRule="auto"/>
        <w:jc w:val="both"/>
        <w:rPr>
          <w:rFonts w:ascii="Palatino Linotype" w:hAnsi="Palatino Linotype" w:cs="Arial"/>
          <w:b/>
          <w:sz w:val="24"/>
          <w:szCs w:val="24"/>
        </w:rPr>
      </w:pPr>
    </w:p>
    <w:p w:rsidR="008E4EE4" w:rsidRDefault="008E4EE4" w:rsidP="008E4EE4">
      <w:pPr>
        <w:spacing w:after="0" w:line="360" w:lineRule="auto"/>
        <w:jc w:val="both"/>
        <w:rPr>
          <w:rFonts w:ascii="Palatino Linotype" w:hAnsi="Palatino Linotype" w:cs="Arial"/>
          <w:b/>
          <w:sz w:val="24"/>
          <w:szCs w:val="24"/>
        </w:rPr>
      </w:pPr>
    </w:p>
    <w:p w:rsidR="008E4EE4" w:rsidRDefault="008E4EE4" w:rsidP="008E4EE4">
      <w:pPr>
        <w:spacing w:after="0" w:line="360" w:lineRule="auto"/>
        <w:jc w:val="both"/>
        <w:rPr>
          <w:rFonts w:ascii="Palatino Linotype" w:hAnsi="Palatino Linotype" w:cs="Arial"/>
          <w:b/>
          <w:sz w:val="24"/>
          <w:szCs w:val="24"/>
        </w:rPr>
      </w:pPr>
    </w:p>
    <w:p w:rsidR="008E4EE4" w:rsidRDefault="008E4EE4" w:rsidP="008E4EE4">
      <w:pPr>
        <w:spacing w:after="0" w:line="360" w:lineRule="auto"/>
        <w:jc w:val="both"/>
        <w:rPr>
          <w:rFonts w:ascii="Palatino Linotype" w:hAnsi="Palatino Linotype" w:cs="Arial"/>
          <w:b/>
          <w:sz w:val="24"/>
          <w:szCs w:val="24"/>
        </w:rPr>
      </w:pPr>
    </w:p>
    <w:p w:rsidR="008E4EE4" w:rsidRDefault="008E4EE4" w:rsidP="008E4EE4">
      <w:pPr>
        <w:spacing w:after="0" w:line="360" w:lineRule="auto"/>
        <w:jc w:val="both"/>
        <w:rPr>
          <w:rFonts w:ascii="Palatino Linotype" w:hAnsi="Palatino Linotype" w:cs="Arial"/>
          <w:b/>
          <w:sz w:val="24"/>
          <w:szCs w:val="24"/>
        </w:rPr>
      </w:pPr>
    </w:p>
    <w:p w:rsidR="001A57F0" w:rsidRDefault="001A57F0" w:rsidP="008E4EE4">
      <w:pPr>
        <w:spacing w:after="0" w:line="360" w:lineRule="auto"/>
        <w:jc w:val="both"/>
        <w:rPr>
          <w:rFonts w:ascii="Palatino Linotype" w:hAnsi="Palatino Linotype" w:cs="Arial"/>
          <w:b/>
          <w:sz w:val="24"/>
          <w:szCs w:val="24"/>
        </w:rPr>
      </w:pPr>
    </w:p>
    <w:p w:rsidR="008E4EE4" w:rsidRDefault="008E4EE4" w:rsidP="008E4EE4">
      <w:pPr>
        <w:spacing w:after="0" w:line="360" w:lineRule="auto"/>
        <w:jc w:val="both"/>
        <w:rPr>
          <w:rFonts w:ascii="Palatino Linotype" w:hAnsi="Palatino Linotype" w:cs="Arial"/>
          <w:b/>
          <w:sz w:val="24"/>
          <w:szCs w:val="24"/>
        </w:rPr>
      </w:pPr>
    </w:p>
    <w:p w:rsidR="008E4EE4" w:rsidRDefault="008E4EE4" w:rsidP="008E4EE4">
      <w:pPr>
        <w:spacing w:after="0" w:line="360" w:lineRule="auto"/>
        <w:jc w:val="both"/>
        <w:rPr>
          <w:rFonts w:ascii="Palatino Linotype" w:hAnsi="Palatino Linotype" w:cs="Arial"/>
          <w:b/>
          <w:sz w:val="24"/>
          <w:szCs w:val="24"/>
        </w:rPr>
      </w:pPr>
    </w:p>
    <w:sdt>
      <w:sdtPr>
        <w:rPr>
          <w:rFonts w:asciiTheme="minorHAnsi" w:eastAsiaTheme="minorHAnsi" w:hAnsiTheme="minorHAnsi" w:cstheme="minorBidi"/>
          <w:b/>
          <w:color w:val="auto"/>
          <w:sz w:val="22"/>
          <w:szCs w:val="24"/>
          <w:lang w:val="es-ES" w:eastAsia="en-US"/>
        </w:rPr>
        <w:id w:val="-128775878"/>
        <w:docPartObj>
          <w:docPartGallery w:val="Table of Contents"/>
          <w:docPartUnique/>
        </w:docPartObj>
      </w:sdtPr>
      <w:sdtEndPr>
        <w:rPr>
          <w:b w:val="0"/>
        </w:rPr>
      </w:sdtEndPr>
      <w:sdtContent>
        <w:p w:rsidR="008E4EE4" w:rsidRDefault="008E4EE4" w:rsidP="008E4EE4">
          <w:pPr>
            <w:pStyle w:val="TtulodeTDC"/>
            <w:rPr>
              <w:rFonts w:ascii="Palatino Linotype" w:hAnsi="Palatino Linotype"/>
              <w:b/>
              <w:sz w:val="24"/>
              <w:szCs w:val="24"/>
            </w:rPr>
          </w:pPr>
          <w:r>
            <w:rPr>
              <w:szCs w:val="24"/>
              <w:lang w:val="es-ES"/>
            </w:rPr>
            <w:t>Índice</w:t>
          </w:r>
        </w:p>
        <w:p w:rsidR="001A57F0" w:rsidRDefault="008E4EE4">
          <w:pPr>
            <w:pStyle w:val="TDC1"/>
            <w:rPr>
              <w:rFonts w:eastAsiaTheme="minorEastAsia"/>
              <w:noProof/>
              <w:lang w:eastAsia="es-MX"/>
            </w:rPr>
          </w:pPr>
          <w:r>
            <w:rPr>
              <w:rFonts w:ascii="Palatino Linotype" w:hAnsi="Palatino Linotype"/>
              <w:b/>
              <w:sz w:val="24"/>
              <w:szCs w:val="24"/>
            </w:rPr>
            <w:fldChar w:fldCharType="begin"/>
          </w:r>
          <w:r>
            <w:rPr>
              <w:rFonts w:ascii="Palatino Linotype" w:hAnsi="Palatino Linotype"/>
              <w:b/>
              <w:sz w:val="24"/>
              <w:szCs w:val="24"/>
            </w:rPr>
            <w:instrText xml:space="preserve"> TOC \o "1-3" \h \z \u </w:instrText>
          </w:r>
          <w:r>
            <w:rPr>
              <w:rFonts w:ascii="Palatino Linotype" w:hAnsi="Palatino Linotype"/>
              <w:b/>
              <w:sz w:val="24"/>
              <w:szCs w:val="24"/>
            </w:rPr>
            <w:fldChar w:fldCharType="separate"/>
          </w:r>
          <w:hyperlink w:anchor="_Toc536460353" w:history="1">
            <w:r w:rsidR="001A57F0" w:rsidRPr="00D63ECB">
              <w:rPr>
                <w:rStyle w:val="Hipervnculo"/>
                <w:b/>
                <w:noProof/>
              </w:rPr>
              <w:t>I.</w:t>
            </w:r>
            <w:r w:rsidR="001A57F0">
              <w:rPr>
                <w:rFonts w:eastAsiaTheme="minorEastAsia"/>
                <w:noProof/>
                <w:lang w:eastAsia="es-MX"/>
              </w:rPr>
              <w:tab/>
            </w:r>
            <w:r w:rsidR="001A57F0" w:rsidRPr="00D63ECB">
              <w:rPr>
                <w:rStyle w:val="Hipervnculo"/>
                <w:rFonts w:ascii="Palatino Linotype" w:hAnsi="Palatino Linotype"/>
                <w:b/>
                <w:noProof/>
              </w:rPr>
              <w:t>Consideraciones Generales</w:t>
            </w:r>
            <w:r w:rsidR="001A57F0" w:rsidRPr="00D63ECB">
              <w:rPr>
                <w:rStyle w:val="Hipervnculo"/>
                <w:noProof/>
              </w:rPr>
              <w:t>.</w:t>
            </w:r>
            <w:r w:rsidR="001A57F0">
              <w:rPr>
                <w:noProof/>
                <w:webHidden/>
              </w:rPr>
              <w:tab/>
            </w:r>
            <w:r w:rsidR="001A57F0">
              <w:rPr>
                <w:noProof/>
                <w:webHidden/>
              </w:rPr>
              <w:fldChar w:fldCharType="begin"/>
            </w:r>
            <w:r w:rsidR="001A57F0">
              <w:rPr>
                <w:noProof/>
                <w:webHidden/>
              </w:rPr>
              <w:instrText xml:space="preserve"> PAGEREF _Toc536460353 \h </w:instrText>
            </w:r>
            <w:r w:rsidR="001A57F0">
              <w:rPr>
                <w:noProof/>
                <w:webHidden/>
              </w:rPr>
            </w:r>
            <w:r w:rsidR="001A57F0">
              <w:rPr>
                <w:noProof/>
                <w:webHidden/>
              </w:rPr>
              <w:fldChar w:fldCharType="separate"/>
            </w:r>
            <w:r w:rsidR="001E2CC0">
              <w:rPr>
                <w:noProof/>
                <w:webHidden/>
              </w:rPr>
              <w:t>3</w:t>
            </w:r>
            <w:r w:rsidR="001A57F0">
              <w:rPr>
                <w:noProof/>
                <w:webHidden/>
              </w:rPr>
              <w:fldChar w:fldCharType="end"/>
            </w:r>
          </w:hyperlink>
        </w:p>
        <w:p w:rsidR="001A57F0" w:rsidRDefault="008208E5">
          <w:pPr>
            <w:pStyle w:val="TDC1"/>
            <w:rPr>
              <w:rFonts w:eastAsiaTheme="minorEastAsia"/>
              <w:noProof/>
              <w:lang w:eastAsia="es-MX"/>
            </w:rPr>
          </w:pPr>
          <w:hyperlink w:anchor="_Toc536460354" w:history="1">
            <w:r w:rsidR="001A57F0" w:rsidRPr="00D63ECB">
              <w:rPr>
                <w:rStyle w:val="Hipervnculo"/>
                <w:rFonts w:ascii="Palatino Linotype" w:hAnsi="Palatino Linotype"/>
                <w:b/>
                <w:noProof/>
              </w:rPr>
              <w:t>II.</w:t>
            </w:r>
            <w:r w:rsidR="001A57F0">
              <w:rPr>
                <w:rFonts w:eastAsiaTheme="minorEastAsia"/>
                <w:noProof/>
                <w:lang w:eastAsia="es-MX"/>
              </w:rPr>
              <w:tab/>
            </w:r>
            <w:r w:rsidR="001A57F0" w:rsidRPr="00D63ECB">
              <w:rPr>
                <w:rStyle w:val="Hipervnculo"/>
                <w:rFonts w:ascii="Palatino Linotype" w:hAnsi="Palatino Linotype"/>
                <w:b/>
                <w:noProof/>
              </w:rPr>
              <w:t>De las actuaciones</w:t>
            </w:r>
            <w:r w:rsidR="001A57F0">
              <w:rPr>
                <w:noProof/>
                <w:webHidden/>
              </w:rPr>
              <w:tab/>
            </w:r>
            <w:r w:rsidR="001A57F0">
              <w:rPr>
                <w:noProof/>
                <w:webHidden/>
              </w:rPr>
              <w:fldChar w:fldCharType="begin"/>
            </w:r>
            <w:r w:rsidR="001A57F0">
              <w:rPr>
                <w:noProof/>
                <w:webHidden/>
              </w:rPr>
              <w:instrText xml:space="preserve"> PAGEREF _Toc536460354 \h </w:instrText>
            </w:r>
            <w:r w:rsidR="001A57F0">
              <w:rPr>
                <w:noProof/>
                <w:webHidden/>
              </w:rPr>
            </w:r>
            <w:r w:rsidR="001A57F0">
              <w:rPr>
                <w:noProof/>
                <w:webHidden/>
              </w:rPr>
              <w:fldChar w:fldCharType="separate"/>
            </w:r>
            <w:r w:rsidR="001E2CC0">
              <w:rPr>
                <w:noProof/>
                <w:webHidden/>
              </w:rPr>
              <w:t>4</w:t>
            </w:r>
            <w:r w:rsidR="001A57F0">
              <w:rPr>
                <w:noProof/>
                <w:webHidden/>
              </w:rPr>
              <w:fldChar w:fldCharType="end"/>
            </w:r>
          </w:hyperlink>
        </w:p>
        <w:p w:rsidR="001A57F0" w:rsidRDefault="008208E5">
          <w:pPr>
            <w:pStyle w:val="TDC1"/>
            <w:rPr>
              <w:rFonts w:eastAsiaTheme="minorEastAsia"/>
              <w:noProof/>
              <w:lang w:eastAsia="es-MX"/>
            </w:rPr>
          </w:pPr>
          <w:hyperlink w:anchor="_Toc536460355" w:history="1">
            <w:r w:rsidR="001A57F0" w:rsidRPr="00D63ECB">
              <w:rPr>
                <w:rStyle w:val="Hipervnculo"/>
                <w:rFonts w:ascii="Palatino Linotype" w:hAnsi="Palatino Linotype"/>
                <w:b/>
                <w:noProof/>
              </w:rPr>
              <w:t>III.</w:t>
            </w:r>
            <w:r w:rsidR="001A57F0">
              <w:rPr>
                <w:rFonts w:eastAsiaTheme="minorEastAsia"/>
                <w:noProof/>
                <w:lang w:eastAsia="es-MX"/>
              </w:rPr>
              <w:tab/>
            </w:r>
            <w:r w:rsidR="001A57F0" w:rsidRPr="00D63ECB">
              <w:rPr>
                <w:rStyle w:val="Hipervnculo"/>
                <w:rFonts w:ascii="Palatino Linotype" w:hAnsi="Palatino Linotype"/>
                <w:b/>
                <w:noProof/>
              </w:rPr>
              <w:t>Del derecho de acceso a la información pública.</w:t>
            </w:r>
            <w:r w:rsidR="001A57F0">
              <w:rPr>
                <w:noProof/>
                <w:webHidden/>
              </w:rPr>
              <w:tab/>
            </w:r>
            <w:r w:rsidR="001A57F0">
              <w:rPr>
                <w:noProof/>
                <w:webHidden/>
              </w:rPr>
              <w:fldChar w:fldCharType="begin"/>
            </w:r>
            <w:r w:rsidR="001A57F0">
              <w:rPr>
                <w:noProof/>
                <w:webHidden/>
              </w:rPr>
              <w:instrText xml:space="preserve"> PAGEREF _Toc536460355 \h </w:instrText>
            </w:r>
            <w:r w:rsidR="001A57F0">
              <w:rPr>
                <w:noProof/>
                <w:webHidden/>
              </w:rPr>
            </w:r>
            <w:r w:rsidR="001A57F0">
              <w:rPr>
                <w:noProof/>
                <w:webHidden/>
              </w:rPr>
              <w:fldChar w:fldCharType="separate"/>
            </w:r>
            <w:r w:rsidR="001E2CC0">
              <w:rPr>
                <w:noProof/>
                <w:webHidden/>
              </w:rPr>
              <w:t>5</w:t>
            </w:r>
            <w:r w:rsidR="001A57F0">
              <w:rPr>
                <w:noProof/>
                <w:webHidden/>
              </w:rPr>
              <w:fldChar w:fldCharType="end"/>
            </w:r>
          </w:hyperlink>
        </w:p>
        <w:p w:rsidR="001A57F0" w:rsidRDefault="008208E5">
          <w:pPr>
            <w:pStyle w:val="TDC1"/>
            <w:rPr>
              <w:rFonts w:eastAsiaTheme="minorEastAsia"/>
              <w:noProof/>
              <w:lang w:eastAsia="es-MX"/>
            </w:rPr>
          </w:pPr>
          <w:hyperlink w:anchor="_Toc536460356" w:history="1">
            <w:r w:rsidR="001A57F0" w:rsidRPr="00D63ECB">
              <w:rPr>
                <w:rStyle w:val="Hipervnculo"/>
                <w:rFonts w:ascii="Palatino Linotype" w:hAnsi="Palatino Linotype"/>
                <w:b/>
                <w:noProof/>
              </w:rPr>
              <w:t>IV.</w:t>
            </w:r>
            <w:r w:rsidR="001A57F0">
              <w:rPr>
                <w:rFonts w:eastAsiaTheme="minorEastAsia"/>
                <w:noProof/>
                <w:lang w:eastAsia="es-MX"/>
              </w:rPr>
              <w:tab/>
            </w:r>
            <w:r w:rsidR="001A57F0" w:rsidRPr="00D63ECB">
              <w:rPr>
                <w:rStyle w:val="Hipervnculo"/>
                <w:rFonts w:ascii="Palatino Linotype" w:hAnsi="Palatino Linotype"/>
                <w:b/>
                <w:noProof/>
              </w:rPr>
              <w:t>De la Suplencia al Procedimiento de Acceso a la Información Pública.</w:t>
            </w:r>
            <w:r w:rsidR="001A57F0">
              <w:rPr>
                <w:noProof/>
                <w:webHidden/>
              </w:rPr>
              <w:tab/>
            </w:r>
            <w:r w:rsidR="001A57F0">
              <w:rPr>
                <w:noProof/>
                <w:webHidden/>
              </w:rPr>
              <w:fldChar w:fldCharType="begin"/>
            </w:r>
            <w:r w:rsidR="001A57F0">
              <w:rPr>
                <w:noProof/>
                <w:webHidden/>
              </w:rPr>
              <w:instrText xml:space="preserve"> PAGEREF _Toc536460356 \h </w:instrText>
            </w:r>
            <w:r w:rsidR="001A57F0">
              <w:rPr>
                <w:noProof/>
                <w:webHidden/>
              </w:rPr>
            </w:r>
            <w:r w:rsidR="001A57F0">
              <w:rPr>
                <w:noProof/>
                <w:webHidden/>
              </w:rPr>
              <w:fldChar w:fldCharType="separate"/>
            </w:r>
            <w:r w:rsidR="001E2CC0">
              <w:rPr>
                <w:noProof/>
                <w:webHidden/>
              </w:rPr>
              <w:t>8</w:t>
            </w:r>
            <w:r w:rsidR="001A57F0">
              <w:rPr>
                <w:noProof/>
                <w:webHidden/>
              </w:rPr>
              <w:fldChar w:fldCharType="end"/>
            </w:r>
          </w:hyperlink>
        </w:p>
        <w:p w:rsidR="001A57F0" w:rsidRDefault="008208E5">
          <w:pPr>
            <w:pStyle w:val="TDC1"/>
            <w:rPr>
              <w:rFonts w:eastAsiaTheme="minorEastAsia"/>
              <w:noProof/>
              <w:lang w:eastAsia="es-MX"/>
            </w:rPr>
          </w:pPr>
          <w:hyperlink w:anchor="_Toc536460357" w:history="1">
            <w:r w:rsidR="001A57F0" w:rsidRPr="00D63ECB">
              <w:rPr>
                <w:rStyle w:val="Hipervnculo"/>
                <w:rFonts w:ascii="Palatino Linotype" w:hAnsi="Palatino Linotype"/>
                <w:b/>
                <w:noProof/>
              </w:rPr>
              <w:t>V.</w:t>
            </w:r>
            <w:r w:rsidR="001A57F0">
              <w:rPr>
                <w:rFonts w:eastAsiaTheme="minorEastAsia"/>
                <w:noProof/>
                <w:lang w:eastAsia="es-MX"/>
              </w:rPr>
              <w:tab/>
            </w:r>
            <w:r w:rsidR="001A57F0" w:rsidRPr="00D63ECB">
              <w:rPr>
                <w:rStyle w:val="Hipervnculo"/>
                <w:rFonts w:ascii="Palatino Linotype" w:hAnsi="Palatino Linotype"/>
                <w:b/>
                <w:noProof/>
              </w:rPr>
              <w:t>Conclusión.</w:t>
            </w:r>
            <w:r w:rsidR="001A57F0">
              <w:rPr>
                <w:noProof/>
                <w:webHidden/>
              </w:rPr>
              <w:tab/>
            </w:r>
            <w:r w:rsidR="001A57F0">
              <w:rPr>
                <w:noProof/>
                <w:webHidden/>
              </w:rPr>
              <w:fldChar w:fldCharType="begin"/>
            </w:r>
            <w:r w:rsidR="001A57F0">
              <w:rPr>
                <w:noProof/>
                <w:webHidden/>
              </w:rPr>
              <w:instrText xml:space="preserve"> PAGEREF _Toc536460357 \h </w:instrText>
            </w:r>
            <w:r w:rsidR="001A57F0">
              <w:rPr>
                <w:noProof/>
                <w:webHidden/>
              </w:rPr>
            </w:r>
            <w:r w:rsidR="001A57F0">
              <w:rPr>
                <w:noProof/>
                <w:webHidden/>
              </w:rPr>
              <w:fldChar w:fldCharType="separate"/>
            </w:r>
            <w:r w:rsidR="001E2CC0">
              <w:rPr>
                <w:noProof/>
                <w:webHidden/>
              </w:rPr>
              <w:t>13</w:t>
            </w:r>
            <w:r w:rsidR="001A57F0">
              <w:rPr>
                <w:noProof/>
                <w:webHidden/>
              </w:rPr>
              <w:fldChar w:fldCharType="end"/>
            </w:r>
          </w:hyperlink>
        </w:p>
        <w:p w:rsidR="008E4EE4" w:rsidRDefault="008E4EE4" w:rsidP="008E4EE4">
          <w:pPr>
            <w:rPr>
              <w:rFonts w:ascii="Palatino Linotype" w:hAnsi="Palatino Linotype"/>
              <w:b/>
              <w:bCs/>
              <w:sz w:val="24"/>
              <w:szCs w:val="24"/>
              <w:lang w:val="es-ES"/>
            </w:rPr>
          </w:pPr>
          <w:r>
            <w:rPr>
              <w:rFonts w:ascii="Palatino Linotype" w:hAnsi="Palatino Linotype"/>
              <w:b/>
              <w:bCs/>
              <w:sz w:val="24"/>
              <w:szCs w:val="24"/>
              <w:lang w:val="es-ES"/>
            </w:rPr>
            <w:fldChar w:fldCharType="end"/>
          </w:r>
        </w:p>
      </w:sdtContent>
    </w:sdt>
    <w:p w:rsidR="008E4EE4" w:rsidRDefault="008E4EE4" w:rsidP="008E4EE4">
      <w:pPr>
        <w:pStyle w:val="Ttulo1"/>
        <w:rPr>
          <w:rFonts w:ascii="Palatino Linotype" w:hAnsi="Palatino Linotype"/>
          <w:b/>
          <w:sz w:val="24"/>
        </w:rPr>
      </w:pPr>
    </w:p>
    <w:p w:rsidR="008E4EE4" w:rsidRDefault="008E4EE4" w:rsidP="008E4EE4"/>
    <w:p w:rsidR="008E4EE4" w:rsidRDefault="008E4EE4" w:rsidP="008E4EE4"/>
    <w:p w:rsidR="008E4EE4" w:rsidRDefault="008E4EE4" w:rsidP="008E4EE4"/>
    <w:p w:rsidR="004134F8" w:rsidRDefault="004134F8" w:rsidP="008E4EE4"/>
    <w:p w:rsidR="004134F8" w:rsidRDefault="004134F8" w:rsidP="008E4EE4"/>
    <w:p w:rsidR="004134F8" w:rsidRDefault="004134F8" w:rsidP="008E4EE4"/>
    <w:p w:rsidR="004134F8" w:rsidRDefault="004134F8" w:rsidP="008E4EE4"/>
    <w:p w:rsidR="004134F8" w:rsidRDefault="004134F8" w:rsidP="008E4EE4"/>
    <w:p w:rsidR="004134F8" w:rsidRDefault="004134F8" w:rsidP="008E4EE4"/>
    <w:p w:rsidR="004134F8" w:rsidRDefault="004134F8" w:rsidP="008E4EE4"/>
    <w:p w:rsidR="004134F8" w:rsidRDefault="004134F8" w:rsidP="008E4EE4"/>
    <w:p w:rsidR="008E4EE4" w:rsidRDefault="008E4EE4" w:rsidP="008E4EE4"/>
    <w:p w:rsidR="008E4EE4" w:rsidRDefault="008E4EE4" w:rsidP="008E4EE4">
      <w:pPr>
        <w:pStyle w:val="Ttulo1"/>
        <w:numPr>
          <w:ilvl w:val="0"/>
          <w:numId w:val="27"/>
        </w:numPr>
        <w:spacing w:line="256" w:lineRule="auto"/>
      </w:pPr>
      <w:bookmarkStart w:id="0" w:name="_Toc536460353"/>
      <w:r w:rsidRPr="008E4EE4">
        <w:rPr>
          <w:rFonts w:ascii="Palatino Linotype" w:hAnsi="Palatino Linotype"/>
          <w:b/>
          <w:color w:val="auto"/>
          <w:sz w:val="24"/>
        </w:rPr>
        <w:lastRenderedPageBreak/>
        <w:t>Consideraciones Generales</w:t>
      </w:r>
      <w:r>
        <w:t>.</w:t>
      </w:r>
      <w:bookmarkEnd w:id="0"/>
    </w:p>
    <w:p w:rsidR="008E4EE4" w:rsidRDefault="008E4EE4" w:rsidP="008E4EE4"/>
    <w:p w:rsidR="008E4EE4" w:rsidRPr="004134F8" w:rsidRDefault="008E4EE4" w:rsidP="008E4EE4">
      <w:pPr>
        <w:pStyle w:val="Prrafodelista"/>
        <w:numPr>
          <w:ilvl w:val="0"/>
          <w:numId w:val="28"/>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concurrido con mi voto particular de la presente resolución emitida </w:t>
      </w:r>
      <w:r>
        <w:rPr>
          <w:rFonts w:ascii="Palatino Linotype" w:hAnsi="Palatino Linotype" w:cs="Arial"/>
          <w:sz w:val="24"/>
          <w:szCs w:val="24"/>
        </w:rPr>
        <w:t xml:space="preserve">por el Pleno del Instituto de Transparencia, Acceso a la Información Pública y Protección de Datos Personales del Estado de México y Municipios, en su Tercera Ordinaria celebrada el día veintitrés de enero de dos mil diecinueve, en los recurso de revisión promovidos en contra de las respuestas del </w:t>
      </w:r>
      <w:r>
        <w:rPr>
          <w:rFonts w:ascii="Palatino Linotype" w:hAnsi="Palatino Linotype" w:cs="Arial"/>
          <w:b/>
          <w:sz w:val="24"/>
          <w:szCs w:val="24"/>
        </w:rPr>
        <w:t>Ayuntamiento de Jocotitlán</w:t>
      </w:r>
      <w:r>
        <w:rPr>
          <w:rFonts w:ascii="Palatino Linotype" w:hAnsi="Palatino Linotype" w:cs="Arial"/>
          <w:sz w:val="24"/>
          <w:szCs w:val="24"/>
        </w:rPr>
        <w:t xml:space="preserve">, procedimientos a los que se les asignó los números de expedientes </w:t>
      </w:r>
      <w:r>
        <w:rPr>
          <w:rFonts w:ascii="Palatino Linotype" w:hAnsi="Palatino Linotype" w:cs="Arial"/>
          <w:b/>
          <w:bCs/>
          <w:sz w:val="24"/>
          <w:szCs w:val="24"/>
        </w:rPr>
        <w:t>04117/INFOEM/IP/RR/2018 y 04121/INFOEM/IP/RR/2018.</w:t>
      </w:r>
    </w:p>
    <w:p w:rsidR="004134F8" w:rsidRDefault="004134F8" w:rsidP="004134F8">
      <w:pPr>
        <w:pStyle w:val="Prrafodelista"/>
        <w:spacing w:after="0" w:line="360" w:lineRule="auto"/>
        <w:ind w:left="0"/>
        <w:jc w:val="both"/>
        <w:rPr>
          <w:rFonts w:ascii="Palatino Linotype" w:hAnsi="Palatino Linotype" w:cs="Arial"/>
          <w:b/>
          <w:sz w:val="24"/>
          <w:szCs w:val="24"/>
        </w:rPr>
      </w:pPr>
    </w:p>
    <w:p w:rsidR="008E4EE4" w:rsidRPr="00DC790E" w:rsidRDefault="008E4EE4" w:rsidP="008E4EE4">
      <w:pPr>
        <w:pStyle w:val="Prrafodelista"/>
        <w:numPr>
          <w:ilvl w:val="0"/>
          <w:numId w:val="28"/>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La resolución puntualmente determina sobreseer el recurso de revisión </w:t>
      </w:r>
      <w:r w:rsidR="00DC790E" w:rsidRPr="00DC790E">
        <w:rPr>
          <w:rFonts w:ascii="Palatino Linotype" w:hAnsi="Palatino Linotype" w:cs="Arial"/>
          <w:b/>
          <w:sz w:val="24"/>
          <w:szCs w:val="24"/>
        </w:rPr>
        <w:t>04121/INFOEM/IP/RR/2018</w:t>
      </w:r>
      <w:r w:rsidR="00DC790E">
        <w:rPr>
          <w:rFonts w:ascii="Palatino Linotype" w:hAnsi="Palatino Linotype" w:cs="Arial"/>
          <w:sz w:val="24"/>
          <w:szCs w:val="24"/>
        </w:rPr>
        <w:t xml:space="preserve"> </w:t>
      </w:r>
      <w:r>
        <w:rPr>
          <w:rFonts w:ascii="Palatino Linotype" w:hAnsi="Palatino Linotype" w:cs="Arial"/>
          <w:sz w:val="24"/>
          <w:szCs w:val="24"/>
        </w:rPr>
        <w:t xml:space="preserve">por </w:t>
      </w:r>
      <w:r w:rsidR="00DC790E">
        <w:rPr>
          <w:rFonts w:ascii="Palatino Linotype" w:hAnsi="Palatino Linotype" w:cs="Arial"/>
          <w:sz w:val="24"/>
          <w:szCs w:val="24"/>
        </w:rPr>
        <w:t>quedarse sin materia,</w:t>
      </w:r>
      <w:r>
        <w:rPr>
          <w:rFonts w:ascii="Palatino Linotype" w:hAnsi="Palatino Linotype" w:cs="Arial"/>
          <w:sz w:val="24"/>
          <w:szCs w:val="24"/>
        </w:rPr>
        <w:t xml:space="preserve"> en términos del Considerando</w:t>
      </w:r>
      <w:r w:rsidR="00DC790E">
        <w:rPr>
          <w:rFonts w:ascii="Palatino Linotype" w:hAnsi="Palatino Linotype" w:cs="Arial"/>
          <w:b/>
          <w:sz w:val="24"/>
          <w:szCs w:val="24"/>
        </w:rPr>
        <w:t xml:space="preserve"> TERCERO</w:t>
      </w:r>
      <w:r>
        <w:rPr>
          <w:rFonts w:ascii="Palatino Linotype" w:hAnsi="Palatino Linotype" w:cs="Arial"/>
          <w:b/>
          <w:sz w:val="24"/>
          <w:szCs w:val="24"/>
        </w:rPr>
        <w:t>.</w:t>
      </w:r>
    </w:p>
    <w:p w:rsidR="00DC790E" w:rsidRPr="00DC790E" w:rsidRDefault="00DC790E" w:rsidP="00DC790E">
      <w:pPr>
        <w:pStyle w:val="Prrafodelista"/>
        <w:spacing w:after="0" w:line="360" w:lineRule="auto"/>
        <w:ind w:left="0"/>
        <w:jc w:val="both"/>
        <w:rPr>
          <w:rFonts w:ascii="Palatino Linotype" w:hAnsi="Palatino Linotype" w:cs="Arial"/>
          <w:sz w:val="24"/>
          <w:szCs w:val="24"/>
        </w:rPr>
      </w:pPr>
    </w:p>
    <w:p w:rsidR="00DC790E" w:rsidRPr="003F48AA" w:rsidRDefault="00DC790E" w:rsidP="008E4EE4">
      <w:pPr>
        <w:pStyle w:val="Prrafodelista"/>
        <w:numPr>
          <w:ilvl w:val="0"/>
          <w:numId w:val="28"/>
        </w:numPr>
        <w:spacing w:after="0" w:line="360" w:lineRule="auto"/>
        <w:ind w:left="0"/>
        <w:jc w:val="both"/>
        <w:rPr>
          <w:rFonts w:ascii="Palatino Linotype" w:hAnsi="Palatino Linotype" w:cs="Arial"/>
          <w:sz w:val="24"/>
          <w:szCs w:val="24"/>
        </w:rPr>
      </w:pPr>
      <w:r w:rsidRPr="003F48AA">
        <w:rPr>
          <w:rFonts w:ascii="Palatino Linotype" w:hAnsi="Palatino Linotype" w:cs="Arial"/>
          <w:sz w:val="24"/>
          <w:szCs w:val="24"/>
        </w:rPr>
        <w:t xml:space="preserve">Asimismo, se </w:t>
      </w:r>
      <w:r w:rsidRPr="003F48AA">
        <w:rPr>
          <w:rFonts w:ascii="Palatino Linotype" w:hAnsi="Palatino Linotype" w:cs="Arial"/>
          <w:b/>
          <w:sz w:val="24"/>
          <w:szCs w:val="24"/>
        </w:rPr>
        <w:t>REVOCÓ</w:t>
      </w:r>
      <w:r w:rsidRPr="003F48AA">
        <w:rPr>
          <w:rFonts w:ascii="Palatino Linotype" w:hAnsi="Palatino Linotype" w:cs="Arial"/>
          <w:sz w:val="24"/>
          <w:szCs w:val="24"/>
        </w:rPr>
        <w:t xml:space="preserve"> la respuesta de la solicitud </w:t>
      </w:r>
      <w:r w:rsidRPr="003F48AA">
        <w:rPr>
          <w:rFonts w:ascii="Palatino Linotype" w:hAnsi="Palatino Linotype" w:cs="Arial"/>
          <w:b/>
          <w:sz w:val="24"/>
          <w:szCs w:val="24"/>
        </w:rPr>
        <w:t>0004</w:t>
      </w:r>
      <w:r w:rsidR="003F48AA">
        <w:rPr>
          <w:rFonts w:ascii="Palatino Linotype" w:hAnsi="Palatino Linotype" w:cs="Arial"/>
          <w:b/>
          <w:sz w:val="24"/>
          <w:szCs w:val="24"/>
        </w:rPr>
        <w:t>2</w:t>
      </w:r>
      <w:r w:rsidRPr="003F48AA">
        <w:rPr>
          <w:rFonts w:ascii="Palatino Linotype" w:hAnsi="Palatino Linotype" w:cs="Arial"/>
          <w:b/>
          <w:sz w:val="24"/>
          <w:szCs w:val="24"/>
        </w:rPr>
        <w:t>/JOCOTIT/IP/2018</w:t>
      </w:r>
      <w:r w:rsidR="003F48AA">
        <w:rPr>
          <w:rFonts w:ascii="Palatino Linotype" w:hAnsi="Palatino Linotype" w:cs="Arial"/>
          <w:sz w:val="24"/>
          <w:szCs w:val="24"/>
        </w:rPr>
        <w:t xml:space="preserve">, correspondiente al recurso de revisión </w:t>
      </w:r>
      <w:r w:rsidR="003F48AA" w:rsidRPr="003F48AA">
        <w:rPr>
          <w:rFonts w:ascii="Palatino Linotype" w:hAnsi="Palatino Linotype" w:cs="Arial"/>
          <w:b/>
          <w:sz w:val="24"/>
          <w:szCs w:val="24"/>
        </w:rPr>
        <w:t>04117/INFOEM/IP/RR/2018</w:t>
      </w:r>
      <w:r w:rsidRPr="003F48AA">
        <w:rPr>
          <w:rFonts w:ascii="Palatino Linotype" w:hAnsi="Palatino Linotype" w:cs="Arial"/>
          <w:sz w:val="24"/>
          <w:szCs w:val="24"/>
        </w:rPr>
        <w:t xml:space="preserve"> y se ordenó </w:t>
      </w:r>
      <w:r w:rsidR="003F48AA">
        <w:rPr>
          <w:rFonts w:ascii="Palatino Linotype" w:hAnsi="Palatino Linotype" w:cs="Arial"/>
          <w:sz w:val="24"/>
          <w:szCs w:val="24"/>
        </w:rPr>
        <w:t>entregar</w:t>
      </w:r>
      <w:r w:rsidRPr="003F48AA">
        <w:rPr>
          <w:rFonts w:ascii="Palatino Linotype" w:hAnsi="Palatino Linotype" w:cs="Arial"/>
          <w:sz w:val="24"/>
          <w:szCs w:val="24"/>
        </w:rPr>
        <w:t xml:space="preserve"> los archivos o documentos en donde se contenga el Diario General de Pólizas de los meses de octubre, noviembre y diciembre del año 2017, que fueron remitidos al Órgano Superior de Fiscalización del Estado de México.</w:t>
      </w:r>
    </w:p>
    <w:p w:rsidR="008E4EE4" w:rsidRDefault="008E4EE4" w:rsidP="008E4EE4">
      <w:pPr>
        <w:pStyle w:val="Prrafodelista"/>
        <w:spacing w:after="0" w:line="360" w:lineRule="auto"/>
        <w:ind w:left="0"/>
        <w:jc w:val="both"/>
        <w:rPr>
          <w:rFonts w:ascii="Palatino Linotype" w:hAnsi="Palatino Linotype" w:cs="Arial"/>
          <w:b/>
          <w:sz w:val="24"/>
          <w:szCs w:val="24"/>
        </w:rPr>
      </w:pPr>
      <w:r>
        <w:rPr>
          <w:rFonts w:ascii="Palatino Linotype" w:hAnsi="Palatino Linotype" w:cs="Arial"/>
          <w:sz w:val="24"/>
          <w:szCs w:val="24"/>
        </w:rPr>
        <w:t xml:space="preserve"> </w:t>
      </w:r>
    </w:p>
    <w:p w:rsidR="008E4EE4" w:rsidRDefault="003F48AA" w:rsidP="008E4EE4">
      <w:pPr>
        <w:pStyle w:val="Prrafodelista"/>
        <w:numPr>
          <w:ilvl w:val="0"/>
          <w:numId w:val="28"/>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Mi voto particular se deriva únicamente del recurso de revisión </w:t>
      </w:r>
      <w:r w:rsidRPr="00DC790E">
        <w:rPr>
          <w:rFonts w:ascii="Palatino Linotype" w:hAnsi="Palatino Linotype" w:cs="Arial"/>
          <w:b/>
          <w:sz w:val="24"/>
          <w:szCs w:val="24"/>
        </w:rPr>
        <w:t>04121/INFOEM/IP/RR/2018</w:t>
      </w:r>
      <w:r w:rsidR="008E4EE4">
        <w:rPr>
          <w:rFonts w:ascii="Palatino Linotype" w:hAnsi="Palatino Linotype" w:cs="Arial"/>
          <w:sz w:val="24"/>
          <w:szCs w:val="24"/>
        </w:rPr>
        <w:t xml:space="preserve"> y en términos de lo señalado por el artículo 14 fracción </w:t>
      </w:r>
      <w:r w:rsidR="008E4EE4">
        <w:rPr>
          <w:rFonts w:ascii="Palatino Linotype" w:hAnsi="Palatino Linotype" w:cs="Arial"/>
          <w:sz w:val="24"/>
          <w:szCs w:val="24"/>
        </w:rPr>
        <w:lastRenderedPageBreak/>
        <w:t xml:space="preserve">XI del Reglamento Interior del Instituto de Transparencia y Acceso a la Información Pública del Estado de México y Municipios formulo la presente voto particular. </w:t>
      </w:r>
    </w:p>
    <w:p w:rsidR="008E4EE4" w:rsidRDefault="008E4EE4" w:rsidP="008E4EE4">
      <w:pPr>
        <w:pStyle w:val="Prrafodelista"/>
        <w:rPr>
          <w:rFonts w:ascii="Palatino Linotype" w:hAnsi="Palatino Linotype" w:cs="Arial"/>
          <w:sz w:val="24"/>
          <w:szCs w:val="24"/>
        </w:rPr>
      </w:pPr>
    </w:p>
    <w:p w:rsidR="008E4EE4" w:rsidRPr="002F1A5D" w:rsidRDefault="002F1A5D" w:rsidP="008E4EE4">
      <w:pPr>
        <w:pStyle w:val="Ttulo1"/>
        <w:numPr>
          <w:ilvl w:val="0"/>
          <w:numId w:val="27"/>
        </w:numPr>
        <w:spacing w:line="256" w:lineRule="auto"/>
        <w:rPr>
          <w:rFonts w:ascii="Palatino Linotype" w:hAnsi="Palatino Linotype"/>
          <w:b/>
          <w:color w:val="auto"/>
          <w:sz w:val="20"/>
        </w:rPr>
      </w:pPr>
      <w:bookmarkStart w:id="1" w:name="_Toc536460354"/>
      <w:r>
        <w:rPr>
          <w:rFonts w:ascii="Palatino Linotype" w:hAnsi="Palatino Linotype"/>
          <w:b/>
          <w:color w:val="auto"/>
          <w:sz w:val="24"/>
        </w:rPr>
        <w:t>De las actuaciones</w:t>
      </w:r>
      <w:bookmarkEnd w:id="1"/>
    </w:p>
    <w:p w:rsidR="008E4EE4" w:rsidRDefault="008E4EE4" w:rsidP="008E4EE4"/>
    <w:p w:rsidR="008E4EE4" w:rsidRDefault="008E4EE4" w:rsidP="008E4EE4">
      <w:pPr>
        <w:pStyle w:val="Prrafodelista"/>
        <w:numPr>
          <w:ilvl w:val="0"/>
          <w:numId w:val="28"/>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primer lugar, todo </w:t>
      </w:r>
      <w:r>
        <w:rPr>
          <w:rFonts w:ascii="Palatino Linotype" w:hAnsi="Palatino Linotype" w:cs="Arial"/>
          <w:b/>
          <w:sz w:val="24"/>
          <w:szCs w:val="24"/>
        </w:rPr>
        <w:t xml:space="preserve">SUJETO OBLIGADO, </w:t>
      </w:r>
      <w:r>
        <w:rPr>
          <w:rFonts w:ascii="Palatino Linotype" w:hAnsi="Palatino Linotype" w:cs="Arial"/>
          <w:sz w:val="24"/>
          <w:szCs w:val="24"/>
        </w:rPr>
        <w:t xml:space="preserve">debe tener presente que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y expedita propiciando las condiciones para el acceso, entrega y publicación de información. </w:t>
      </w:r>
    </w:p>
    <w:p w:rsidR="008E4EE4" w:rsidRDefault="008E4EE4" w:rsidP="008E4EE4">
      <w:pPr>
        <w:pStyle w:val="Prrafodelista"/>
        <w:spacing w:before="240" w:after="240" w:line="360" w:lineRule="auto"/>
        <w:ind w:left="0"/>
        <w:jc w:val="both"/>
        <w:rPr>
          <w:rFonts w:ascii="Palatino Linotype" w:hAnsi="Palatino Linotype" w:cs="Arial"/>
          <w:sz w:val="24"/>
          <w:szCs w:val="24"/>
        </w:rPr>
      </w:pPr>
    </w:p>
    <w:p w:rsidR="008E4EE4" w:rsidRDefault="008E4EE4" w:rsidP="008E4EE4">
      <w:pPr>
        <w:pStyle w:val="Prrafodelista"/>
        <w:numPr>
          <w:ilvl w:val="0"/>
          <w:numId w:val="28"/>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Se solicitó al Sujeto Obligado lo siguiente: </w:t>
      </w:r>
    </w:p>
    <w:p w:rsidR="008E4EE4" w:rsidRDefault="008E4EE4" w:rsidP="008E4EE4">
      <w:pPr>
        <w:pStyle w:val="Prrafodelista"/>
        <w:spacing w:before="240" w:after="240" w:line="360" w:lineRule="auto"/>
        <w:ind w:left="0"/>
        <w:jc w:val="both"/>
        <w:rPr>
          <w:rFonts w:ascii="Palatino Linotype" w:hAnsi="Palatino Linotype" w:cs="Arial"/>
          <w:sz w:val="24"/>
          <w:szCs w:val="24"/>
        </w:rPr>
      </w:pPr>
    </w:p>
    <w:p w:rsidR="003F48AA" w:rsidRDefault="003F48AA" w:rsidP="008E4EE4">
      <w:pPr>
        <w:pStyle w:val="Prrafodelista"/>
        <w:widowControl w:val="0"/>
        <w:numPr>
          <w:ilvl w:val="0"/>
          <w:numId w:val="29"/>
        </w:numPr>
        <w:autoSpaceDE w:val="0"/>
        <w:autoSpaceDN w:val="0"/>
        <w:adjustRightInd w:val="0"/>
        <w:spacing w:before="240" w:after="240" w:line="360" w:lineRule="auto"/>
        <w:jc w:val="both"/>
        <w:rPr>
          <w:rFonts w:ascii="Palatino Linotype" w:hAnsi="Palatino Linotype" w:cs="Arial"/>
          <w:sz w:val="24"/>
        </w:rPr>
      </w:pPr>
      <w:r>
        <w:rPr>
          <w:rFonts w:ascii="Palatino Linotype" w:hAnsi="Palatino Linotype" w:cs="Arial"/>
          <w:sz w:val="24"/>
        </w:rPr>
        <w:t>Diario General de Pólizas de los meses de enero, febrero, marzo, abril, mayo, junio y julio del año 2017 que fueron remitidos al OSFEM.</w:t>
      </w:r>
    </w:p>
    <w:p w:rsidR="008E4EE4" w:rsidRDefault="008E4EE4" w:rsidP="008E4EE4">
      <w:pPr>
        <w:pStyle w:val="Prrafodelista"/>
        <w:rPr>
          <w:rFonts w:ascii="Palatino Linotype" w:hAnsi="Palatino Linotype" w:cs="Arial"/>
          <w:sz w:val="24"/>
          <w:szCs w:val="24"/>
        </w:rPr>
      </w:pPr>
    </w:p>
    <w:p w:rsidR="003F48AA" w:rsidRPr="003F48AA" w:rsidRDefault="008E4EE4" w:rsidP="003F48AA">
      <w:pPr>
        <w:pStyle w:val="Prrafodelista"/>
        <w:widowControl w:val="0"/>
        <w:numPr>
          <w:ilvl w:val="0"/>
          <w:numId w:val="28"/>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rPr>
        <w:t>El Sujeto Obligado en su respuesta refirió</w:t>
      </w:r>
      <w:r w:rsidR="003F48AA">
        <w:rPr>
          <w:rFonts w:ascii="Palatino Linotype" w:hAnsi="Palatino Linotype" w:cs="Arial"/>
          <w:sz w:val="24"/>
          <w:szCs w:val="24"/>
        </w:rPr>
        <w:t xml:space="preserve"> que la información será puesta a su disposición en consulta directa.</w:t>
      </w:r>
    </w:p>
    <w:p w:rsidR="008E4EE4" w:rsidRDefault="003F48AA" w:rsidP="003F48AA">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lang w:val="es-ES"/>
        </w:rPr>
        <w:t xml:space="preserve"> </w:t>
      </w:r>
    </w:p>
    <w:p w:rsidR="003F48AA" w:rsidRPr="003F48AA" w:rsidRDefault="003F48AA" w:rsidP="003F48AA">
      <w:pPr>
        <w:pStyle w:val="Prrafodelista"/>
        <w:widowControl w:val="0"/>
        <w:numPr>
          <w:ilvl w:val="0"/>
          <w:numId w:val="28"/>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lang w:val="es-ES"/>
        </w:rPr>
        <w:t xml:space="preserve">Sin embargo, al momento en que se inconformó por la respuesta, manifestó que </w:t>
      </w:r>
      <w:r>
        <w:rPr>
          <w:rFonts w:ascii="Palatino Linotype" w:hAnsi="Palatino Linotype" w:cs="Arial"/>
          <w:sz w:val="24"/>
          <w:szCs w:val="24"/>
          <w:lang w:val="es-ES"/>
        </w:rPr>
        <w:lastRenderedPageBreak/>
        <w:t>requirió la información correspondiente al ejercicio fiscal 2018, acto que tanto el Sujeto Obligado como la Ponencia encargada de presentar el proyecto de resolución no pasaron por desapercibido y procedieron a declarar invalido el acto impugnado, dando lugar a que no se encontrara relación con lo solicitado y lo impugnado. Por tal razón, se procedió a sobreseer el recurso de revisión.</w:t>
      </w:r>
    </w:p>
    <w:p w:rsidR="003F48AA" w:rsidRPr="003F48AA" w:rsidRDefault="003F48AA" w:rsidP="003F48AA">
      <w:pPr>
        <w:pStyle w:val="Prrafodelista"/>
        <w:rPr>
          <w:rFonts w:ascii="Palatino Linotype" w:hAnsi="Palatino Linotype" w:cs="Arial"/>
          <w:sz w:val="24"/>
          <w:szCs w:val="24"/>
          <w:lang w:val="es-ES"/>
        </w:rPr>
      </w:pPr>
    </w:p>
    <w:p w:rsidR="002F1A5D" w:rsidRDefault="002F1A5D" w:rsidP="002F1A5D">
      <w:pPr>
        <w:pStyle w:val="Ttulo1"/>
        <w:numPr>
          <w:ilvl w:val="0"/>
          <w:numId w:val="27"/>
        </w:numPr>
        <w:spacing w:line="256" w:lineRule="auto"/>
        <w:rPr>
          <w:rFonts w:ascii="Palatino Linotype" w:hAnsi="Palatino Linotype"/>
          <w:b/>
          <w:color w:val="auto"/>
          <w:sz w:val="24"/>
        </w:rPr>
      </w:pPr>
      <w:bookmarkStart w:id="2" w:name="_Toc536460355"/>
      <w:r>
        <w:rPr>
          <w:rFonts w:ascii="Palatino Linotype" w:hAnsi="Palatino Linotype"/>
          <w:b/>
          <w:color w:val="auto"/>
          <w:sz w:val="24"/>
        </w:rPr>
        <w:t>Del derecho de acceso a la información pública.</w:t>
      </w:r>
      <w:bookmarkEnd w:id="2"/>
    </w:p>
    <w:p w:rsidR="002F1A5D" w:rsidRDefault="002F1A5D" w:rsidP="002F1A5D"/>
    <w:p w:rsidR="002F1A5D" w:rsidRPr="002F1A5D" w:rsidRDefault="002F1A5D" w:rsidP="002F1A5D">
      <w:pPr>
        <w:pStyle w:val="Prrafodelista"/>
        <w:numPr>
          <w:ilvl w:val="0"/>
          <w:numId w:val="28"/>
        </w:numPr>
        <w:spacing w:line="360" w:lineRule="auto"/>
        <w:ind w:left="0"/>
        <w:jc w:val="both"/>
        <w:rPr>
          <w:sz w:val="24"/>
        </w:rPr>
      </w:pPr>
      <w:r w:rsidRPr="002F1A5D">
        <w:rPr>
          <w:rFonts w:ascii="Palatino Linotype" w:eastAsia="Times New Roman" w:hAnsi="Palatino Linotype" w:cs="Arial"/>
          <w:color w:val="000000"/>
          <w:sz w:val="24"/>
        </w:rPr>
        <w:t xml:space="preserve">la Constitución Política de los Estados Unidos Mexicanos establece que </w:t>
      </w:r>
      <w:r w:rsidRPr="002F1A5D">
        <w:rPr>
          <w:rFonts w:ascii="Palatino Linotype" w:eastAsia="Times New Roman" w:hAnsi="Palatino Linotype" w:cs="Arial"/>
          <w:color w:val="000000"/>
        </w:rPr>
        <w:t>“</w:t>
      </w:r>
      <w:r w:rsidRPr="002F1A5D">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2F1A5D">
        <w:rPr>
          <w:rStyle w:val="Refdenotaalpie"/>
          <w:rFonts w:ascii="Palatino Linotype" w:hAnsi="Palatino Linotype" w:cs="Helvetica"/>
          <w:i/>
          <w:szCs w:val="23"/>
          <w:shd w:val="clear" w:color="auto" w:fill="FFFFFF"/>
        </w:rPr>
        <w:footnoteReference w:id="1"/>
      </w:r>
      <w:r w:rsidRPr="002F1A5D">
        <w:rPr>
          <w:rFonts w:ascii="Palatino Linotype" w:hAnsi="Palatino Linotype" w:cs="Helvetica"/>
          <w:szCs w:val="23"/>
          <w:shd w:val="clear" w:color="auto" w:fill="FFFFFF"/>
        </w:rPr>
        <w:t xml:space="preserve">, </w:t>
      </w:r>
      <w:r w:rsidRPr="002F1A5D">
        <w:rPr>
          <w:rFonts w:ascii="Palatino Linotype" w:hAnsi="Palatino Linotype" w:cs="Helvetica"/>
          <w:sz w:val="24"/>
          <w:szCs w:val="23"/>
          <w:shd w:val="clear" w:color="auto" w:fill="FFFFFF"/>
        </w:rPr>
        <w:t xml:space="preserve">por lo tanto, como el mismo ordenamiento refiere que </w:t>
      </w:r>
      <w:r w:rsidRPr="002F1A5D">
        <w:rPr>
          <w:rFonts w:ascii="Palatino Linotype" w:hAnsi="Palatino Linotype" w:cs="Helvetica"/>
          <w:i/>
          <w:szCs w:val="23"/>
          <w:shd w:val="clear" w:color="auto" w:fill="FFFFFF"/>
        </w:rPr>
        <w:t>“</w:t>
      </w:r>
      <w:r w:rsidRPr="002F1A5D">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2F1A5D">
        <w:rPr>
          <w:rStyle w:val="Refdenotaalpie"/>
          <w:rFonts w:ascii="Palatino Linotype" w:hAnsi="Palatino Linotype"/>
          <w:i/>
          <w:szCs w:val="20"/>
        </w:rPr>
        <w:footnoteReference w:id="2"/>
      </w:r>
      <w:r w:rsidRPr="002F1A5D">
        <w:rPr>
          <w:rFonts w:ascii="Palatino Linotype" w:hAnsi="Palatino Linotype"/>
          <w:i/>
          <w:szCs w:val="20"/>
        </w:rPr>
        <w:t>,</w:t>
      </w:r>
      <w:r w:rsidRPr="002F1A5D">
        <w:rPr>
          <w:rFonts w:ascii="Palatino Linotype" w:hAnsi="Palatino Linotype"/>
          <w:i/>
          <w:sz w:val="24"/>
          <w:szCs w:val="20"/>
        </w:rPr>
        <w:t xml:space="preserve">  </w:t>
      </w:r>
      <w:r w:rsidRPr="002F1A5D">
        <w:rPr>
          <w:rFonts w:ascii="Palatino Linotype" w:hAnsi="Palatino Linotype"/>
          <w:sz w:val="24"/>
          <w:szCs w:val="20"/>
        </w:rPr>
        <w:t>se e</w:t>
      </w:r>
      <w:r w:rsidRPr="002F1A5D">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2F1A5D">
        <w:rPr>
          <w:rFonts w:ascii="Palatino Linotype" w:hAnsi="Palatino Linotype" w:cs="Helvetica"/>
          <w:b/>
          <w:sz w:val="24"/>
          <w:szCs w:val="23"/>
          <w:shd w:val="clear" w:color="auto" w:fill="FFFFFF"/>
        </w:rPr>
        <w:t>promover, proteger, respetar y garantizar</w:t>
      </w:r>
      <w:r w:rsidRPr="002F1A5D">
        <w:rPr>
          <w:rFonts w:ascii="Palatino Linotype" w:hAnsi="Palatino Linotype" w:cs="Helvetica"/>
          <w:sz w:val="24"/>
          <w:szCs w:val="23"/>
          <w:shd w:val="clear" w:color="auto" w:fill="FFFFFF"/>
        </w:rPr>
        <w:t xml:space="preserve"> el libre acceso a la información.</w:t>
      </w:r>
    </w:p>
    <w:p w:rsidR="002F1A5D" w:rsidRPr="002F1A5D" w:rsidRDefault="002F1A5D" w:rsidP="002F1A5D">
      <w:pPr>
        <w:pStyle w:val="Prrafodelista"/>
        <w:spacing w:line="360" w:lineRule="auto"/>
        <w:ind w:left="0"/>
        <w:jc w:val="both"/>
        <w:rPr>
          <w:sz w:val="24"/>
        </w:rPr>
      </w:pPr>
    </w:p>
    <w:p w:rsidR="002F1A5D" w:rsidRPr="002F1A5D" w:rsidRDefault="002F1A5D" w:rsidP="002F1A5D">
      <w:pPr>
        <w:pStyle w:val="Prrafodelista"/>
        <w:numPr>
          <w:ilvl w:val="0"/>
          <w:numId w:val="28"/>
        </w:numPr>
        <w:spacing w:line="360" w:lineRule="auto"/>
        <w:ind w:left="0"/>
        <w:jc w:val="both"/>
        <w:rPr>
          <w:sz w:val="24"/>
        </w:rPr>
      </w:pPr>
      <w:r>
        <w:rPr>
          <w:rFonts w:ascii="Palatino Linotype" w:hAnsi="Palatino Linotype" w:cs="Helvetica"/>
          <w:sz w:val="24"/>
          <w:szCs w:val="23"/>
          <w:shd w:val="clear" w:color="auto" w:fill="FFFFFF"/>
        </w:rPr>
        <w:t xml:space="preserve">El derecho de acceso a la información debe entenderse como </w:t>
      </w:r>
      <w:r w:rsidRPr="002F1A5D">
        <w:rPr>
          <w:rFonts w:ascii="Palatino Linotype" w:eastAsia="Times New Roman" w:hAnsi="Palatino Linotype" w:cs="Arial"/>
          <w:color w:val="000000" w:themeColor="text1"/>
          <w:lang w:eastAsia="es-MX"/>
        </w:rPr>
        <w:t xml:space="preserve">la </w:t>
      </w:r>
      <w:r w:rsidRPr="002F1A5D">
        <w:rPr>
          <w:rFonts w:ascii="Palatino Linotype" w:eastAsia="MS Mincho" w:hAnsi="Palatino Linotype" w:cs="Times New Roman"/>
          <w:i/>
        </w:rPr>
        <w:t>igualdad de oportunidades para recibir, buscar e impartir información</w:t>
      </w:r>
      <w:r w:rsidRPr="001E65D9">
        <w:rPr>
          <w:rStyle w:val="Refdenotaalpie"/>
          <w:rFonts w:ascii="Palatino Linotype" w:eastAsia="MS Mincho" w:hAnsi="Palatino Linotype" w:cs="Times New Roman"/>
          <w:i/>
        </w:rPr>
        <w:footnoteReference w:id="3"/>
      </w:r>
      <w:r w:rsidRPr="002F1A5D">
        <w:rPr>
          <w:rFonts w:ascii="Palatino Linotype" w:eastAsia="MS Mincho" w:hAnsi="Palatino Linotype" w:cs="Times New Roman"/>
          <w:i/>
        </w:rPr>
        <w:t xml:space="preserve"> en posesión de cualquier autoridad, entidad, órgano y </w:t>
      </w:r>
      <w:r w:rsidRPr="002F1A5D">
        <w:rPr>
          <w:rFonts w:ascii="Palatino Linotype" w:eastAsia="MS Mincho" w:hAnsi="Palatino Linotype" w:cs="Times New Roman"/>
          <w:i/>
        </w:rPr>
        <w:lastRenderedPageBreak/>
        <w:t>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eastAsia="MS Mincho" w:hAnsi="Palatino Linotype" w:cs="Times New Roman"/>
        </w:rPr>
        <w:footnoteReference w:id="4"/>
      </w:r>
      <w:r w:rsidRPr="002F1A5D">
        <w:rPr>
          <w:rFonts w:ascii="Palatino Linotype" w:eastAsia="MS Mincho" w:hAnsi="Palatino Linotype" w:cs="Times New Roman"/>
          <w:i/>
        </w:rPr>
        <w:t xml:space="preserve"> </w:t>
      </w:r>
      <w:r w:rsidRPr="002F1A5D">
        <w:rPr>
          <w:rFonts w:ascii="Palatino Linotype" w:eastAsia="MS Mincho" w:hAnsi="Palatino Linotype" w:cs="Times New Roman"/>
        </w:rPr>
        <w:t xml:space="preserve">que se constituye como una herramienta fundamental para </w:t>
      </w:r>
      <w:r w:rsidRPr="002F1A5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Pr>
          <w:rStyle w:val="Refdenotaalpie"/>
          <w:rFonts w:ascii="Palatino Linotype" w:eastAsia="MS Mincho" w:hAnsi="Palatino Linotype" w:cs="Times New Roman"/>
          <w:i/>
        </w:rPr>
        <w:footnoteReference w:id="5"/>
      </w:r>
      <w:r w:rsidRPr="002F1A5D">
        <w:rPr>
          <w:rFonts w:ascii="Palatino Linotype" w:eastAsia="MS Mincho" w:hAnsi="Palatino Linotype" w:cs="Times New Roman"/>
        </w:rPr>
        <w:t>fomentando</w:t>
      </w:r>
      <w:r w:rsidRPr="002F1A5D">
        <w:rPr>
          <w:rFonts w:ascii="Palatino Linotype" w:eastAsia="MS Mincho" w:hAnsi="Palatino Linotype" w:cs="Times New Roman"/>
          <w:i/>
        </w:rPr>
        <w:t xml:space="preserve"> la transparencia de las actividades estatales y</w:t>
      </w:r>
      <w:r w:rsidRPr="002F1A5D">
        <w:rPr>
          <w:rFonts w:ascii="Palatino Linotype" w:eastAsia="MS Mincho" w:hAnsi="Palatino Linotype" w:cs="Times New Roman"/>
        </w:rPr>
        <w:t xml:space="preserve"> promoviendo</w:t>
      </w:r>
      <w:r w:rsidRPr="002F1A5D">
        <w:rPr>
          <w:rFonts w:ascii="Palatino Linotype" w:eastAsia="MS Mincho" w:hAnsi="Palatino Linotype" w:cs="Times New Roman"/>
          <w:i/>
        </w:rPr>
        <w:t xml:space="preserve"> la responsabilidad de los funcionarios sobre su gestión pública</w:t>
      </w:r>
      <w:r>
        <w:rPr>
          <w:rStyle w:val="Refdenotaalpie"/>
          <w:rFonts w:ascii="Palatino Linotype" w:eastAsia="MS Mincho" w:hAnsi="Palatino Linotype" w:cs="Times New Roman"/>
          <w:i/>
        </w:rPr>
        <w:footnoteReference w:id="6"/>
      </w:r>
      <w:r w:rsidRPr="002F1A5D">
        <w:rPr>
          <w:rFonts w:ascii="Palatino Linotype" w:eastAsia="MS Mincho" w:hAnsi="Palatino Linotype" w:cs="Times New Roman"/>
          <w:i/>
        </w:rPr>
        <w:t xml:space="preserve"> </w:t>
      </w:r>
      <w:r w:rsidRPr="002F1A5D">
        <w:rPr>
          <w:rFonts w:ascii="Palatino Linotype" w:eastAsia="MS Mincho" w:hAnsi="Palatino Linotype" w:cs="Times New Roman"/>
        </w:rPr>
        <w:t>que permite</w:t>
      </w:r>
      <w:r w:rsidRPr="002F1A5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Pr>
          <w:rStyle w:val="Refdenotaalpie"/>
          <w:rFonts w:ascii="Palatino Linotype" w:eastAsia="MS Mincho" w:hAnsi="Palatino Linotype" w:cs="Times New Roman"/>
          <w:i/>
        </w:rPr>
        <w:footnoteReference w:id="7"/>
      </w:r>
      <w:r w:rsidRPr="002F1A5D">
        <w:rPr>
          <w:rFonts w:ascii="Palatino Linotype" w:eastAsia="MS Mincho" w:hAnsi="Palatino Linotype" w:cs="Times New Roman"/>
        </w:rPr>
        <w:t xml:space="preserve"> ”.</w:t>
      </w:r>
    </w:p>
    <w:p w:rsidR="002F1A5D" w:rsidRPr="002F1A5D" w:rsidRDefault="002F1A5D" w:rsidP="002F1A5D">
      <w:pPr>
        <w:pStyle w:val="Prrafodelista"/>
        <w:rPr>
          <w:sz w:val="24"/>
        </w:rPr>
      </w:pPr>
    </w:p>
    <w:p w:rsidR="002F1A5D" w:rsidRPr="002F1A5D" w:rsidRDefault="002F1A5D" w:rsidP="002F1A5D">
      <w:pPr>
        <w:pStyle w:val="Prrafodelista"/>
        <w:numPr>
          <w:ilvl w:val="0"/>
          <w:numId w:val="28"/>
        </w:numPr>
        <w:spacing w:line="360" w:lineRule="auto"/>
        <w:ind w:left="0"/>
        <w:jc w:val="both"/>
        <w:rPr>
          <w:sz w:val="24"/>
        </w:rPr>
      </w:pPr>
      <w:r w:rsidRPr="002F1A5D">
        <w:rPr>
          <w:rFonts w:ascii="Palatino Linotype" w:hAnsi="Palatino Linotype" w:cs="Arial"/>
        </w:rPr>
        <w:t xml:space="preserve">Ahora bien para entender los alcances de la información pública se considera importante citar el criterio </w:t>
      </w:r>
      <w:r w:rsidRPr="002F1A5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F1A5D">
        <w:rPr>
          <w:rFonts w:ascii="Palatino Linotype" w:hAnsi="Palatino Linotype" w:cs="Arial"/>
        </w:rPr>
        <w:t>cuyo rubro y texto dispone:</w:t>
      </w:r>
    </w:p>
    <w:p w:rsidR="002F1A5D" w:rsidRPr="005E4C02" w:rsidRDefault="002F1A5D" w:rsidP="002F1A5D">
      <w:pPr>
        <w:pStyle w:val="Prrafodelista"/>
        <w:autoSpaceDE w:val="0"/>
        <w:autoSpaceDN w:val="0"/>
        <w:adjustRightInd w:val="0"/>
        <w:spacing w:line="360" w:lineRule="auto"/>
        <w:ind w:left="0"/>
        <w:jc w:val="both"/>
        <w:rPr>
          <w:rFonts w:ascii="Palatino Linotype" w:hAnsi="Palatino Linotype" w:cs="Arial"/>
        </w:rPr>
      </w:pPr>
    </w:p>
    <w:p w:rsidR="002F1A5D" w:rsidRPr="00271579" w:rsidRDefault="002F1A5D" w:rsidP="002F1A5D">
      <w:pPr>
        <w:autoSpaceDE w:val="0"/>
        <w:autoSpaceDN w:val="0"/>
        <w:adjustRightInd w:val="0"/>
        <w:spacing w:line="360" w:lineRule="auto"/>
        <w:ind w:left="567" w:right="567"/>
        <w:jc w:val="both"/>
        <w:rPr>
          <w:rFonts w:ascii="Palatino Linotype" w:hAnsi="Palatino Linotype" w:cs="Arial"/>
          <w:b/>
          <w:i/>
          <w:lang w:eastAsia="es-MX"/>
        </w:rPr>
      </w:pPr>
      <w:r w:rsidRPr="00271579">
        <w:rPr>
          <w:rFonts w:ascii="Palatino Linotype" w:hAnsi="Palatino Linotype" w:cs="Arial"/>
          <w:b/>
          <w:i/>
          <w:lang w:eastAsia="es-MX"/>
        </w:rPr>
        <w:t>“CRITERIO 0002-11</w:t>
      </w:r>
    </w:p>
    <w:p w:rsidR="002F1A5D" w:rsidRPr="00271579" w:rsidRDefault="002F1A5D" w:rsidP="002F1A5D">
      <w:pPr>
        <w:autoSpaceDE w:val="0"/>
        <w:autoSpaceDN w:val="0"/>
        <w:adjustRightInd w:val="0"/>
        <w:spacing w:line="360" w:lineRule="auto"/>
        <w:ind w:left="567" w:right="567"/>
        <w:jc w:val="both"/>
        <w:rPr>
          <w:rFonts w:ascii="Palatino Linotype" w:hAnsi="Palatino Linotype" w:cs="Arial"/>
          <w:i/>
          <w:lang w:eastAsia="es-MX"/>
        </w:rPr>
      </w:pPr>
      <w:r w:rsidRPr="00271579">
        <w:rPr>
          <w:rFonts w:ascii="Palatino Linotype" w:hAnsi="Palatino Linotype" w:cs="Arial"/>
          <w:b/>
          <w:i/>
          <w:lang w:eastAsia="es-MX"/>
        </w:rPr>
        <w:lastRenderedPageBreak/>
        <w:t xml:space="preserve">INFORMACIÓN PÚBLICA, CONCEPTO DE, EN MATERIA DE TRANSPARENCIA. INTERPRETACIÓN TEMÁTICA DE LOS ARTÍCULOS 2, FRACCIÓN </w:t>
      </w:r>
      <w:r w:rsidRPr="00271579">
        <w:rPr>
          <w:rFonts w:ascii="Palatino Linotype" w:hAnsi="Palatino Linotype" w:cs="Arial"/>
          <w:b/>
          <w:bCs/>
          <w:i/>
          <w:lang w:eastAsia="es-MX"/>
        </w:rPr>
        <w:t xml:space="preserve">V, XV, Y XVI, </w:t>
      </w:r>
      <w:r>
        <w:rPr>
          <w:rFonts w:ascii="Palatino Linotype" w:hAnsi="Palatino Linotype" w:cs="Arial"/>
          <w:b/>
          <w:i/>
          <w:lang w:eastAsia="es-MX"/>
        </w:rPr>
        <w:t>3</w:t>
      </w:r>
      <w:r w:rsidRPr="00271579">
        <w:rPr>
          <w:rFonts w:ascii="Palatino Linotype" w:hAnsi="Palatino Linotype" w:cs="Arial"/>
          <w:b/>
          <w:i/>
          <w:lang w:eastAsia="es-MX"/>
        </w:rPr>
        <w:t>, 4,11 Y 41.</w:t>
      </w:r>
      <w:r w:rsidRPr="0027157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F1A5D" w:rsidRPr="00271579" w:rsidRDefault="002F1A5D" w:rsidP="002F1A5D">
      <w:pPr>
        <w:autoSpaceDE w:val="0"/>
        <w:autoSpaceDN w:val="0"/>
        <w:adjustRightInd w:val="0"/>
        <w:spacing w:line="360" w:lineRule="auto"/>
        <w:ind w:left="567" w:right="567"/>
        <w:jc w:val="both"/>
        <w:rPr>
          <w:rFonts w:ascii="Palatino Linotype" w:hAnsi="Palatino Linotype" w:cs="Arial"/>
          <w:i/>
          <w:lang w:eastAsia="es-MX"/>
        </w:rPr>
      </w:pPr>
      <w:r w:rsidRPr="00271579">
        <w:rPr>
          <w:rFonts w:ascii="Palatino Linotype" w:hAnsi="Palatino Linotype" w:cs="Arial"/>
          <w:i/>
          <w:lang w:eastAsia="es-MX"/>
        </w:rPr>
        <w:t>En consecuencia el acceso a la información se refiere a que se cumplan cualquiera de los siguientes tres supuestos:</w:t>
      </w:r>
    </w:p>
    <w:p w:rsidR="002F1A5D" w:rsidRPr="00271579" w:rsidRDefault="002F1A5D" w:rsidP="002F1A5D">
      <w:pPr>
        <w:autoSpaceDE w:val="0"/>
        <w:autoSpaceDN w:val="0"/>
        <w:adjustRightInd w:val="0"/>
        <w:spacing w:line="360" w:lineRule="auto"/>
        <w:ind w:left="567" w:right="567"/>
        <w:jc w:val="both"/>
        <w:rPr>
          <w:rFonts w:ascii="Palatino Linotype" w:hAnsi="Palatino Linotype" w:cs="Arial"/>
          <w:i/>
          <w:lang w:eastAsia="es-MX"/>
        </w:rPr>
      </w:pPr>
      <w:r w:rsidRPr="00271579">
        <w:rPr>
          <w:rFonts w:ascii="Palatino Linotype" w:hAnsi="Palatino Linotype" w:cs="Arial"/>
          <w:i/>
          <w:lang w:eastAsia="es-MX"/>
        </w:rPr>
        <w:t>Que se trate de información registrada en cualquier soporte documental, que en ejercicio de las atribuciones conferidas, sea generada por los Sujetos Obligados;</w:t>
      </w:r>
    </w:p>
    <w:p w:rsidR="002F1A5D" w:rsidRPr="001A57F0" w:rsidRDefault="002F1A5D" w:rsidP="002F1A5D">
      <w:pPr>
        <w:autoSpaceDE w:val="0"/>
        <w:autoSpaceDN w:val="0"/>
        <w:adjustRightInd w:val="0"/>
        <w:spacing w:line="360" w:lineRule="auto"/>
        <w:ind w:left="567" w:right="567"/>
        <w:jc w:val="both"/>
        <w:rPr>
          <w:rFonts w:ascii="Palatino Linotype" w:hAnsi="Palatino Linotype" w:cs="Arial"/>
          <w:i/>
          <w:lang w:eastAsia="es-MX"/>
        </w:rPr>
      </w:pPr>
      <w:r w:rsidRPr="00271579">
        <w:rPr>
          <w:rFonts w:ascii="Palatino Linotype" w:hAnsi="Palatino Linotype" w:cs="Arial"/>
          <w:i/>
          <w:lang w:eastAsia="es-MX"/>
        </w:rPr>
        <w:t xml:space="preserve">Que se </w:t>
      </w:r>
      <w:r w:rsidRPr="001A57F0">
        <w:rPr>
          <w:rFonts w:ascii="Palatino Linotype" w:hAnsi="Palatino Linotype" w:cs="Arial"/>
          <w:i/>
          <w:lang w:eastAsia="es-MX"/>
        </w:rPr>
        <w:t>trate de información registrada en cualquier soporte documental, que en ejercicio de las atribuciones conferidas, sea administrada por los Sujetos Obligados, y</w:t>
      </w:r>
    </w:p>
    <w:p w:rsidR="002F1A5D" w:rsidRPr="001A57F0" w:rsidRDefault="002F1A5D" w:rsidP="002F1A5D">
      <w:pPr>
        <w:spacing w:line="360" w:lineRule="auto"/>
        <w:ind w:left="567" w:right="567"/>
        <w:jc w:val="both"/>
        <w:rPr>
          <w:rFonts w:ascii="Palatino Linotype" w:hAnsi="Palatino Linotype" w:cs="Arial"/>
          <w:i/>
          <w:color w:val="000000" w:themeColor="text1"/>
        </w:rPr>
      </w:pPr>
      <w:r w:rsidRPr="001A57F0">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382F3C" w:rsidRPr="004134F8" w:rsidRDefault="002F1A5D" w:rsidP="00382F3C">
      <w:pPr>
        <w:pStyle w:val="Prrafodelista"/>
        <w:numPr>
          <w:ilvl w:val="0"/>
          <w:numId w:val="28"/>
        </w:numPr>
        <w:spacing w:before="240" w:after="360" w:line="360" w:lineRule="auto"/>
        <w:ind w:left="0"/>
        <w:jc w:val="both"/>
        <w:rPr>
          <w:rFonts w:ascii="Palatino Linotype" w:hAnsi="Palatino Linotype" w:cs="Arial"/>
          <w:i/>
          <w:color w:val="000000" w:themeColor="text1"/>
          <w:sz w:val="24"/>
        </w:rPr>
      </w:pPr>
      <w:r w:rsidRPr="001A57F0">
        <w:rPr>
          <w:rFonts w:ascii="Palatino Linotype" w:hAnsi="Palatino Linotype"/>
          <w:color w:val="000000" w:themeColor="text1"/>
          <w:sz w:val="24"/>
        </w:rPr>
        <w:t>En esa virtud, el</w:t>
      </w:r>
      <w:r w:rsidRPr="001A57F0">
        <w:rPr>
          <w:rStyle w:val="apple-converted-space"/>
          <w:rFonts w:ascii="Palatino Linotype" w:hAnsi="Palatino Linotype"/>
          <w:color w:val="000000" w:themeColor="text1"/>
          <w:sz w:val="24"/>
        </w:rPr>
        <w:t xml:space="preserve"> </w:t>
      </w:r>
      <w:r w:rsidRPr="001A57F0">
        <w:rPr>
          <w:rFonts w:ascii="Palatino Linotype" w:hAnsi="Palatino Linotype"/>
          <w:b/>
          <w:bCs/>
          <w:color w:val="000000" w:themeColor="text1"/>
          <w:sz w:val="24"/>
        </w:rPr>
        <w:t>Sujeto Obligado</w:t>
      </w:r>
      <w:r w:rsidRPr="001A57F0">
        <w:rPr>
          <w:rStyle w:val="apple-converted-space"/>
          <w:rFonts w:ascii="Palatino Linotype" w:hAnsi="Palatino Linotype"/>
          <w:color w:val="000000" w:themeColor="text1"/>
          <w:sz w:val="24"/>
        </w:rPr>
        <w:t xml:space="preserve"> </w:t>
      </w:r>
      <w:r w:rsidRPr="001A57F0">
        <w:rPr>
          <w:rFonts w:ascii="Palatino Linotype" w:hAnsi="Palatino Linotype"/>
          <w:color w:val="000000" w:themeColor="text1"/>
          <w:sz w:val="24"/>
        </w:rPr>
        <w:t>está constreñido a entregar los documentos en los que conste la información que sea generada, poseída o administrada en el ejercicio de sus atribuciones</w:t>
      </w:r>
      <w:r w:rsidR="00382F3C" w:rsidRPr="001A57F0">
        <w:rPr>
          <w:rFonts w:ascii="Palatino Linotype" w:hAnsi="Palatino Linotype"/>
          <w:color w:val="000000" w:themeColor="text1"/>
          <w:sz w:val="24"/>
        </w:rPr>
        <w:t xml:space="preserve"> a toda persona que lo solicite.</w:t>
      </w:r>
    </w:p>
    <w:p w:rsidR="004134F8" w:rsidRPr="001A57F0" w:rsidRDefault="004134F8" w:rsidP="004134F8">
      <w:pPr>
        <w:pStyle w:val="Prrafodelista"/>
        <w:spacing w:before="240" w:after="360" w:line="360" w:lineRule="auto"/>
        <w:ind w:left="0"/>
        <w:jc w:val="both"/>
        <w:rPr>
          <w:rFonts w:ascii="Palatino Linotype" w:hAnsi="Palatino Linotype" w:cs="Arial"/>
          <w:i/>
          <w:color w:val="000000" w:themeColor="text1"/>
          <w:sz w:val="24"/>
        </w:rPr>
      </w:pPr>
    </w:p>
    <w:p w:rsidR="002F1A5D" w:rsidRPr="001A57F0" w:rsidRDefault="002F1A5D" w:rsidP="002F1A5D">
      <w:pPr>
        <w:pStyle w:val="Prrafodelista"/>
        <w:ind w:left="0"/>
      </w:pPr>
    </w:p>
    <w:p w:rsidR="008E4EE4" w:rsidRPr="001A57F0" w:rsidRDefault="008E4EE4" w:rsidP="008E4EE4">
      <w:pPr>
        <w:pStyle w:val="Ttulo1"/>
        <w:numPr>
          <w:ilvl w:val="0"/>
          <w:numId w:val="27"/>
        </w:numPr>
        <w:spacing w:line="256" w:lineRule="auto"/>
        <w:rPr>
          <w:rFonts w:ascii="Palatino Linotype" w:hAnsi="Palatino Linotype"/>
          <w:b/>
          <w:color w:val="auto"/>
          <w:sz w:val="20"/>
        </w:rPr>
      </w:pPr>
      <w:bookmarkStart w:id="3" w:name="_Toc536460356"/>
      <w:r w:rsidRPr="001A57F0">
        <w:rPr>
          <w:rFonts w:ascii="Palatino Linotype" w:hAnsi="Palatino Linotype"/>
          <w:b/>
          <w:color w:val="auto"/>
          <w:sz w:val="24"/>
        </w:rPr>
        <w:lastRenderedPageBreak/>
        <w:t>De la Suplencia al Procedimiento de Acceso a la Información Pública.</w:t>
      </w:r>
      <w:bookmarkEnd w:id="3"/>
    </w:p>
    <w:p w:rsidR="008E4EE4" w:rsidRPr="001A57F0" w:rsidRDefault="008E4EE4" w:rsidP="008E4EE4">
      <w:pPr>
        <w:pStyle w:val="Prrafodelista"/>
        <w:spacing w:after="0" w:line="360" w:lineRule="auto"/>
        <w:ind w:left="0"/>
        <w:jc w:val="both"/>
        <w:rPr>
          <w:rFonts w:ascii="Palatino Linotype" w:hAnsi="Palatino Linotype" w:cs="Arial"/>
          <w:sz w:val="24"/>
          <w:szCs w:val="24"/>
        </w:rPr>
      </w:pPr>
    </w:p>
    <w:p w:rsidR="0087360A" w:rsidRPr="004134F8" w:rsidRDefault="00382F3C" w:rsidP="0087360A">
      <w:pPr>
        <w:pStyle w:val="Prrafodelista"/>
        <w:numPr>
          <w:ilvl w:val="0"/>
          <w:numId w:val="28"/>
        </w:numPr>
        <w:spacing w:after="0" w:line="360" w:lineRule="auto"/>
        <w:ind w:left="0"/>
        <w:jc w:val="both"/>
        <w:rPr>
          <w:rFonts w:ascii="Palatino Linotype" w:hAnsi="Palatino Linotype" w:cs="Bookman Old Style"/>
          <w:i/>
          <w:szCs w:val="20"/>
          <w:lang w:val="es-ES"/>
        </w:rPr>
      </w:pPr>
      <w:r w:rsidRPr="001A57F0">
        <w:rPr>
          <w:rFonts w:ascii="Palatino Linotype" w:hAnsi="Palatino Linotype" w:cs="Arial"/>
          <w:sz w:val="24"/>
        </w:rPr>
        <w:t xml:space="preserve">El ejercicio del derecho de acceso a la información es mediante un procedimiento sencillo y accesible para todas las personas. La Ley de Transparencia y Acceso a la Información Pública del Estado de México </w:t>
      </w:r>
      <w:r w:rsidR="0087360A" w:rsidRPr="001A57F0">
        <w:rPr>
          <w:rFonts w:ascii="Palatino Linotype" w:hAnsi="Palatino Linotype" w:cs="Arial"/>
          <w:sz w:val="24"/>
        </w:rPr>
        <w:t xml:space="preserve">en los  </w:t>
      </w:r>
      <w:r w:rsidRPr="001A57F0">
        <w:rPr>
          <w:rFonts w:ascii="Palatino Linotype" w:hAnsi="Palatino Linotype"/>
        </w:rPr>
        <w:t xml:space="preserve">artículos </w:t>
      </w:r>
      <w:r w:rsidRPr="001A57F0">
        <w:rPr>
          <w:rFonts w:ascii="Palatino Linotype" w:eastAsia="Times New Roman" w:hAnsi="Palatino Linotype" w:cs="Arial"/>
          <w:color w:val="000000"/>
        </w:rPr>
        <w:t xml:space="preserve">152 y 178 primer párrafo de la Ley de Transparencia y Acceso a la Información Pública del Estado de México y Municipios </w:t>
      </w:r>
      <w:r w:rsidR="0087360A" w:rsidRPr="001A57F0">
        <w:rPr>
          <w:rFonts w:ascii="Palatino Linotype" w:eastAsia="Times New Roman" w:hAnsi="Palatino Linotype" w:cs="Arial"/>
          <w:color w:val="000000"/>
        </w:rPr>
        <w:t>contienen lo siguiente:</w:t>
      </w:r>
    </w:p>
    <w:p w:rsidR="004134F8" w:rsidRPr="001A57F0" w:rsidRDefault="004134F8" w:rsidP="004134F8">
      <w:pPr>
        <w:pStyle w:val="Prrafodelista"/>
        <w:spacing w:after="0" w:line="360" w:lineRule="auto"/>
        <w:ind w:left="0"/>
        <w:jc w:val="both"/>
        <w:rPr>
          <w:rFonts w:ascii="Palatino Linotype" w:hAnsi="Palatino Linotype" w:cs="Bookman Old Style"/>
          <w:i/>
          <w:szCs w:val="20"/>
          <w:lang w:val="es-ES"/>
        </w:rPr>
      </w:pPr>
    </w:p>
    <w:p w:rsidR="00382F3C" w:rsidRPr="001A57F0" w:rsidRDefault="0087360A" w:rsidP="0087360A">
      <w:pPr>
        <w:pStyle w:val="Prrafodelista"/>
        <w:spacing w:after="0" w:line="360" w:lineRule="auto"/>
        <w:ind w:left="567" w:right="616"/>
        <w:jc w:val="both"/>
        <w:rPr>
          <w:rFonts w:ascii="Palatino Linotype" w:hAnsi="Palatino Linotype" w:cs="Bookman Old Style"/>
          <w:i/>
          <w:szCs w:val="20"/>
          <w:lang w:val="es-ES"/>
        </w:rPr>
      </w:pPr>
      <w:r w:rsidRPr="001A57F0">
        <w:rPr>
          <w:rFonts w:ascii="Palatino Linotype" w:hAnsi="Palatino Linotype" w:cs="Bookman Old Style,Bold"/>
          <w:b/>
          <w:bCs/>
          <w:i/>
          <w:szCs w:val="20"/>
          <w:lang w:val="es-ES"/>
        </w:rPr>
        <w:t xml:space="preserve"> </w:t>
      </w:r>
      <w:r w:rsidR="00382F3C" w:rsidRPr="001A57F0">
        <w:rPr>
          <w:rFonts w:ascii="Palatino Linotype" w:hAnsi="Palatino Linotype" w:cs="Bookman Old Style,Bold"/>
          <w:b/>
          <w:bCs/>
          <w:i/>
          <w:szCs w:val="20"/>
          <w:lang w:val="es-ES"/>
        </w:rPr>
        <w:t xml:space="preserve">Artículo 152. </w:t>
      </w:r>
      <w:r w:rsidR="00382F3C" w:rsidRPr="001A57F0">
        <w:rPr>
          <w:rFonts w:ascii="Palatino Linotype" w:hAnsi="Palatino Linotype" w:cs="Bookman Old Style"/>
          <w:b/>
          <w:i/>
          <w:szCs w:val="20"/>
          <w:u w:val="single"/>
          <w:lang w:val="es-ES"/>
        </w:rPr>
        <w:t>Cualquier persona por sí misma</w:t>
      </w:r>
      <w:r w:rsidR="00382F3C" w:rsidRPr="001A57F0">
        <w:rPr>
          <w:rFonts w:ascii="Palatino Linotype" w:hAnsi="Palatino Linotype" w:cs="Bookman Old Style"/>
          <w:i/>
          <w:szCs w:val="20"/>
          <w:lang w:val="es-ES"/>
        </w:rPr>
        <w:t xml:space="preserve"> o a través de su representante, </w:t>
      </w:r>
      <w:r w:rsidR="00382F3C" w:rsidRPr="001A57F0">
        <w:rPr>
          <w:rFonts w:ascii="Palatino Linotype" w:hAnsi="Palatino Linotype" w:cs="Bookman Old Style"/>
          <w:b/>
          <w:i/>
          <w:szCs w:val="20"/>
          <w:u w:val="single"/>
          <w:lang w:val="es-ES"/>
        </w:rPr>
        <w:t>podrá presentar solicitud de acceso a información</w:t>
      </w:r>
      <w:r w:rsidR="00382F3C" w:rsidRPr="001A57F0">
        <w:rPr>
          <w:rFonts w:ascii="Palatino Linotype" w:hAnsi="Palatino Linotype" w:cs="Bookman Old Style"/>
          <w:i/>
          <w:szCs w:val="20"/>
          <w:lang w:val="es-ES"/>
        </w:rPr>
        <w:t xml:space="preserve"> ante la Unidad de Transparencia</w:t>
      </w:r>
      <w:r w:rsidR="00382F3C" w:rsidRPr="001A57F0">
        <w:rPr>
          <w:rFonts w:ascii="Palatino Linotype" w:hAnsi="Palatino Linotype" w:cs="Bookman Old Style"/>
          <w:b/>
          <w:i/>
          <w:szCs w:val="20"/>
          <w:lang w:val="es-ES"/>
        </w:rPr>
        <w:t xml:space="preserve">, </w:t>
      </w:r>
      <w:r w:rsidR="00382F3C" w:rsidRPr="001A57F0">
        <w:rPr>
          <w:rFonts w:ascii="Palatino Linotype" w:hAnsi="Palatino Linotype" w:cs="Bookman Old Style"/>
          <w:b/>
          <w:i/>
          <w:szCs w:val="20"/>
          <w:u w:val="single"/>
          <w:lang w:val="es-ES"/>
        </w:rPr>
        <w:t>a través del sistema electrónico</w:t>
      </w:r>
      <w:r w:rsidR="00382F3C" w:rsidRPr="001A57F0">
        <w:rPr>
          <w:rFonts w:ascii="Palatino Linotype" w:hAnsi="Palatino Linotype" w:cs="Bookman Old Style"/>
          <w:b/>
          <w:i/>
          <w:szCs w:val="20"/>
          <w:lang w:val="es-ES"/>
        </w:rPr>
        <w:t xml:space="preserve"> </w:t>
      </w:r>
      <w:r w:rsidR="00382F3C" w:rsidRPr="001A57F0">
        <w:rPr>
          <w:rFonts w:ascii="Palatino Linotype" w:hAnsi="Palatino Linotype" w:cs="Bookman Old Style"/>
          <w:i/>
          <w:szCs w:val="20"/>
          <w:lang w:val="es-ES"/>
        </w:rPr>
        <w:t>o de la Plataforma Nacional, en la oficina u oficinas designadas para ello, vía correo electrónico, correo postal, mensajería, telégrafo, verbalmente o cualquier medio aprobado por el Instituto o por el Sistema Nacional.</w:t>
      </w:r>
    </w:p>
    <w:p w:rsidR="00382F3C" w:rsidRPr="001A57F0" w:rsidRDefault="00382F3C" w:rsidP="0087360A">
      <w:pPr>
        <w:autoSpaceDE w:val="0"/>
        <w:autoSpaceDN w:val="0"/>
        <w:adjustRightInd w:val="0"/>
        <w:spacing w:line="360" w:lineRule="auto"/>
        <w:ind w:left="567" w:right="616"/>
        <w:jc w:val="both"/>
        <w:rPr>
          <w:rFonts w:ascii="Palatino Linotype" w:hAnsi="Palatino Linotype" w:cs="Bookman Old Style,Bold"/>
          <w:b/>
          <w:bCs/>
          <w:i/>
          <w:szCs w:val="20"/>
        </w:rPr>
      </w:pPr>
    </w:p>
    <w:p w:rsidR="00382F3C" w:rsidRDefault="00382F3C" w:rsidP="0087360A">
      <w:pPr>
        <w:autoSpaceDE w:val="0"/>
        <w:autoSpaceDN w:val="0"/>
        <w:adjustRightInd w:val="0"/>
        <w:spacing w:line="360" w:lineRule="auto"/>
        <w:ind w:left="567" w:right="616"/>
        <w:jc w:val="both"/>
        <w:rPr>
          <w:rFonts w:ascii="Palatino Linotype" w:hAnsi="Palatino Linotype" w:cs="Bookman Old Style"/>
          <w:i/>
          <w:szCs w:val="20"/>
        </w:rPr>
      </w:pPr>
      <w:r w:rsidRPr="001A57F0">
        <w:rPr>
          <w:rFonts w:ascii="Palatino Linotype" w:hAnsi="Palatino Linotype" w:cs="Bookman Old Style,Bold"/>
          <w:b/>
          <w:bCs/>
          <w:i/>
          <w:szCs w:val="20"/>
        </w:rPr>
        <w:t xml:space="preserve">Artículo 178. </w:t>
      </w:r>
      <w:r w:rsidRPr="001A57F0">
        <w:rPr>
          <w:rFonts w:ascii="Palatino Linotype" w:hAnsi="Palatino Linotype" w:cs="Bookman Old Style"/>
          <w:b/>
          <w:i/>
          <w:szCs w:val="20"/>
          <w:u w:val="single"/>
        </w:rPr>
        <w:t>El solicitante podrá interponer, por sí mismo</w:t>
      </w:r>
      <w:r w:rsidRPr="001A57F0">
        <w:rPr>
          <w:rFonts w:ascii="Palatino Linotype" w:hAnsi="Palatino Linotype" w:cs="Bookman Old Style"/>
          <w:i/>
          <w:szCs w:val="20"/>
        </w:rPr>
        <w:t xml:space="preserve"> o a través de su representante, </w:t>
      </w:r>
      <w:r w:rsidRPr="001A57F0">
        <w:rPr>
          <w:rFonts w:ascii="Palatino Linotype" w:hAnsi="Palatino Linotype" w:cs="Bookman Old Style"/>
          <w:b/>
          <w:szCs w:val="20"/>
        </w:rPr>
        <w:t>de manera directa o por medios electrónicos, recurso de revisión ante el Instituto</w:t>
      </w:r>
      <w:r w:rsidRPr="001A57F0">
        <w:rPr>
          <w:rFonts w:ascii="Palatino Linotype" w:hAnsi="Palatino Linotype" w:cs="Bookman Old Style"/>
          <w:i/>
          <w:szCs w:val="20"/>
        </w:rPr>
        <w:t xml:space="preserve"> o ante la Unidad de Transparencia que haya conocido de la solicitud dentro de los quince días hábiles, siguientes a la fecha de la notificación de la respuesta.</w:t>
      </w:r>
    </w:p>
    <w:p w:rsidR="004134F8" w:rsidRPr="001A57F0" w:rsidRDefault="004134F8" w:rsidP="0087360A">
      <w:pPr>
        <w:autoSpaceDE w:val="0"/>
        <w:autoSpaceDN w:val="0"/>
        <w:adjustRightInd w:val="0"/>
        <w:spacing w:line="360" w:lineRule="auto"/>
        <w:ind w:left="567" w:right="616"/>
        <w:jc w:val="both"/>
        <w:rPr>
          <w:rFonts w:ascii="Palatino Linotype" w:hAnsi="Palatino Linotype" w:cs="Bookman Old Style"/>
          <w:i/>
          <w:szCs w:val="20"/>
        </w:rPr>
      </w:pPr>
    </w:p>
    <w:p w:rsidR="00382F3C" w:rsidRPr="004134F8" w:rsidRDefault="00382F3C" w:rsidP="0087360A">
      <w:pPr>
        <w:pStyle w:val="Prrafodelista"/>
        <w:numPr>
          <w:ilvl w:val="0"/>
          <w:numId w:val="28"/>
        </w:numPr>
        <w:tabs>
          <w:tab w:val="left" w:pos="851"/>
        </w:tabs>
        <w:spacing w:after="0" w:line="360" w:lineRule="auto"/>
        <w:ind w:left="0" w:right="49"/>
        <w:jc w:val="both"/>
        <w:rPr>
          <w:rFonts w:ascii="Palatino Linotype" w:hAnsi="Palatino Linotype"/>
          <w:sz w:val="24"/>
          <w:lang w:val="es-ES"/>
        </w:rPr>
      </w:pPr>
      <w:r w:rsidRPr="004134F8">
        <w:rPr>
          <w:rFonts w:ascii="Palatino Linotype" w:hAnsi="Palatino Linotype"/>
          <w:sz w:val="24"/>
          <w:lang w:val="es-ES"/>
        </w:rPr>
        <w:t xml:space="preserve">De la interpretación de los preceptos legales, se tiene que la normatividad en materia faculta a los particulares para que, si así lo desean puedan acudir a un especialista para que los represente y asesore para hacer efectivo el derecho de </w:t>
      </w:r>
      <w:r w:rsidRPr="004134F8">
        <w:rPr>
          <w:rFonts w:ascii="Palatino Linotype" w:hAnsi="Palatino Linotype"/>
          <w:sz w:val="24"/>
          <w:lang w:val="es-ES"/>
        </w:rPr>
        <w:lastRenderedPageBreak/>
        <w:t xml:space="preserve">acceso a la información, sin embargo, es una facultad potestativa, puesto que, al mismo tiempo otorga la libertar de ejercer el derecho por sí mismo, sin necesidad de un representante. Por tal situación, los Sujetos como lo establece la </w:t>
      </w:r>
      <w:r w:rsidRPr="004134F8">
        <w:rPr>
          <w:rFonts w:ascii="Palatino Linotype" w:eastAsia="Times New Roman" w:hAnsi="Palatino Linotype" w:cs="Arial"/>
          <w:sz w:val="24"/>
          <w:lang w:val="es-ES"/>
        </w:rPr>
        <w:t>Comisión interamericana de Derechos Humanos refiere que “</w:t>
      </w:r>
      <w:r w:rsidRPr="004134F8">
        <w:rPr>
          <w:rFonts w:ascii="Palatino Linotype" w:hAnsi="Palatino Linotype"/>
          <w:i/>
          <w:sz w:val="24"/>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4134F8">
        <w:rPr>
          <w:rStyle w:val="Refdenotaalpie"/>
          <w:rFonts w:ascii="Palatino Linotype" w:eastAsia="Times New Roman" w:hAnsi="Palatino Linotype" w:cs="Arial"/>
          <w:sz w:val="24"/>
          <w:lang w:val="es-ES"/>
        </w:rPr>
        <w:footnoteReference w:id="8"/>
      </w:r>
      <w:r w:rsidR="00B05F48" w:rsidRPr="004134F8">
        <w:rPr>
          <w:rFonts w:ascii="Palatino Linotype" w:hAnsi="Palatino Linotype"/>
          <w:i/>
          <w:sz w:val="24"/>
        </w:rPr>
        <w:t>.</w:t>
      </w:r>
    </w:p>
    <w:p w:rsidR="001A57F0" w:rsidRPr="004134F8" w:rsidRDefault="001A57F0" w:rsidP="001A57F0">
      <w:pPr>
        <w:pStyle w:val="Prrafodelista"/>
        <w:tabs>
          <w:tab w:val="left" w:pos="851"/>
        </w:tabs>
        <w:spacing w:after="0" w:line="360" w:lineRule="auto"/>
        <w:ind w:left="0" w:right="49"/>
        <w:jc w:val="both"/>
        <w:rPr>
          <w:rFonts w:ascii="Palatino Linotype" w:hAnsi="Palatino Linotype"/>
          <w:sz w:val="24"/>
          <w:lang w:val="es-ES"/>
        </w:rPr>
      </w:pPr>
    </w:p>
    <w:p w:rsidR="00382F3C" w:rsidRPr="004134F8" w:rsidRDefault="00382F3C" w:rsidP="0087360A">
      <w:pPr>
        <w:pStyle w:val="Prrafodelista"/>
        <w:numPr>
          <w:ilvl w:val="0"/>
          <w:numId w:val="28"/>
        </w:numPr>
        <w:tabs>
          <w:tab w:val="left" w:pos="851"/>
        </w:tabs>
        <w:spacing w:after="0" w:line="360" w:lineRule="auto"/>
        <w:ind w:left="0" w:right="49" w:firstLine="0"/>
        <w:jc w:val="both"/>
        <w:rPr>
          <w:rFonts w:ascii="Palatino Linotype" w:hAnsi="Palatino Linotype"/>
          <w:sz w:val="24"/>
          <w:lang w:val="es-ES"/>
        </w:rPr>
      </w:pPr>
      <w:r w:rsidRPr="004134F8">
        <w:rPr>
          <w:rFonts w:ascii="Palatino Linotype" w:hAnsi="Palatino Linotype"/>
          <w:sz w:val="24"/>
          <w:lang w:val="es-ES"/>
        </w:rPr>
        <w:t xml:space="preserve">En ese sentido, los Sujetos Obligados deben tener en cuenta que los particulares están facultados para ejercer su derecho de acceso a la información </w:t>
      </w:r>
      <w:r w:rsidRPr="004134F8">
        <w:rPr>
          <w:rFonts w:ascii="Palatino Linotype" w:hAnsi="Palatino Linotype"/>
          <w:b/>
          <w:sz w:val="24"/>
          <w:lang w:val="es-ES"/>
        </w:rPr>
        <w:t>por sí mismos</w:t>
      </w:r>
      <w:r w:rsidRPr="004134F8">
        <w:rPr>
          <w:rFonts w:ascii="Palatino Linotype" w:hAnsi="Palatino Linotype"/>
          <w:sz w:val="24"/>
          <w:lang w:val="es-ES"/>
        </w:rPr>
        <w:t xml:space="preserve"> y cabe la posibilidad que éstos no sean expertos en la materia, entonces, deben apegar su actuar siempre que sea posible para privilegiar al recurrente, bajo los principio de eficacia</w:t>
      </w:r>
      <w:r w:rsidRPr="004134F8">
        <w:rPr>
          <w:rStyle w:val="Refdenotaalpie"/>
          <w:rFonts w:ascii="Palatino Linotype" w:hAnsi="Palatino Linotype"/>
          <w:sz w:val="24"/>
          <w:lang w:val="es-ES"/>
        </w:rPr>
        <w:footnoteReference w:id="9"/>
      </w:r>
      <w:r w:rsidRPr="004134F8">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w:t>
      </w:r>
      <w:r w:rsidR="0087360A" w:rsidRPr="004134F8">
        <w:rPr>
          <w:rFonts w:ascii="Palatino Linotype" w:hAnsi="Palatino Linotype"/>
          <w:sz w:val="24"/>
          <w:lang w:val="es-ES"/>
        </w:rPr>
        <w:t>s el actuar de las autoridades.</w:t>
      </w:r>
    </w:p>
    <w:p w:rsidR="00382F3C" w:rsidRPr="001A57F0" w:rsidRDefault="00382F3C" w:rsidP="00382F3C">
      <w:pPr>
        <w:pStyle w:val="Prrafodelista"/>
        <w:rPr>
          <w:rFonts w:ascii="Palatino Linotype" w:hAnsi="Palatino Linotype"/>
          <w:lang w:val="es-ES"/>
        </w:rPr>
      </w:pPr>
    </w:p>
    <w:p w:rsidR="00382F3C" w:rsidRPr="004134F8" w:rsidRDefault="00382F3C" w:rsidP="0087360A">
      <w:pPr>
        <w:pStyle w:val="Prrafodelista"/>
        <w:numPr>
          <w:ilvl w:val="0"/>
          <w:numId w:val="28"/>
        </w:numPr>
        <w:tabs>
          <w:tab w:val="left" w:pos="851"/>
        </w:tabs>
        <w:spacing w:after="0" w:line="360" w:lineRule="auto"/>
        <w:ind w:left="0" w:right="49" w:firstLine="0"/>
        <w:jc w:val="both"/>
        <w:rPr>
          <w:rFonts w:ascii="Palatino Linotype" w:hAnsi="Palatino Linotype"/>
          <w:sz w:val="24"/>
          <w:lang w:val="es-ES"/>
        </w:rPr>
      </w:pPr>
      <w:r w:rsidRPr="004134F8">
        <w:rPr>
          <w:rFonts w:ascii="Palatino Linotype" w:hAnsi="Palatino Linotype"/>
          <w:sz w:val="24"/>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82F3C" w:rsidRPr="001A57F0" w:rsidRDefault="00382F3C" w:rsidP="00382F3C">
      <w:pPr>
        <w:pStyle w:val="Prrafodelista"/>
        <w:rPr>
          <w:rFonts w:ascii="Palatino Linotype" w:hAnsi="Palatino Linotype"/>
          <w:lang w:val="es-ES"/>
        </w:rPr>
      </w:pPr>
    </w:p>
    <w:p w:rsidR="00382F3C" w:rsidRPr="001A57F0" w:rsidRDefault="00382F3C" w:rsidP="00382F3C">
      <w:pPr>
        <w:pStyle w:val="Prrafodelista"/>
        <w:tabs>
          <w:tab w:val="left" w:pos="851"/>
        </w:tabs>
        <w:spacing w:line="360" w:lineRule="auto"/>
        <w:ind w:left="567" w:right="567"/>
        <w:jc w:val="both"/>
        <w:rPr>
          <w:rFonts w:ascii="Palatino Linotype" w:hAnsi="Palatino Linotype"/>
          <w:i/>
        </w:rPr>
      </w:pPr>
      <w:r w:rsidRPr="001A57F0">
        <w:rPr>
          <w:rFonts w:ascii="Palatino Linotype" w:hAnsi="Palatino Linotype"/>
          <w:b/>
          <w:i/>
        </w:rPr>
        <w:t>ACCESO A LA INFORMACIÓN. IMPLICACIÓN DEL PRINCIPIO DE MÁXIMA PUBLICIDAD EN EL DERECHO FUNDAMENTAL RELATIVO.</w:t>
      </w:r>
      <w:r w:rsidRPr="001A57F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1A57F0">
        <w:rPr>
          <w:rFonts w:ascii="Palatino Linotype" w:hAnsi="Palatino Linotype"/>
          <w:i/>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82F3C" w:rsidRPr="001A57F0" w:rsidRDefault="00382F3C" w:rsidP="00382F3C">
      <w:pPr>
        <w:pStyle w:val="Prrafodelista"/>
        <w:tabs>
          <w:tab w:val="left" w:pos="851"/>
        </w:tabs>
        <w:spacing w:line="360" w:lineRule="auto"/>
        <w:ind w:left="567" w:right="567"/>
        <w:jc w:val="both"/>
        <w:rPr>
          <w:rFonts w:ascii="Palatino Linotype" w:hAnsi="Palatino Linotype"/>
          <w:i/>
        </w:rPr>
      </w:pPr>
    </w:p>
    <w:p w:rsidR="00382F3C" w:rsidRPr="001A57F0" w:rsidRDefault="00382F3C" w:rsidP="00382F3C">
      <w:pPr>
        <w:pStyle w:val="Prrafodelista"/>
        <w:tabs>
          <w:tab w:val="left" w:pos="851"/>
        </w:tabs>
        <w:spacing w:line="360" w:lineRule="auto"/>
        <w:ind w:left="567" w:right="567"/>
        <w:jc w:val="both"/>
        <w:rPr>
          <w:rFonts w:ascii="Palatino Linotype" w:hAnsi="Palatino Linotype"/>
          <w:i/>
        </w:rPr>
      </w:pPr>
      <w:r w:rsidRPr="001A57F0">
        <w:rPr>
          <w:rFonts w:ascii="Palatino Linotype" w:hAnsi="Palatino Linotype"/>
          <w:i/>
        </w:rPr>
        <w:t xml:space="preserve">CUARTO TRIBUNAL COLEGIADO EN MATERIA ADMINISTRATIVA DEL PRIMER CIRCUITO. </w:t>
      </w:r>
    </w:p>
    <w:p w:rsidR="00382F3C" w:rsidRPr="001A57F0" w:rsidRDefault="00382F3C" w:rsidP="00382F3C">
      <w:pPr>
        <w:pStyle w:val="Prrafodelista"/>
        <w:tabs>
          <w:tab w:val="left" w:pos="851"/>
        </w:tabs>
        <w:spacing w:line="360" w:lineRule="auto"/>
        <w:ind w:left="567" w:right="567"/>
        <w:jc w:val="both"/>
        <w:rPr>
          <w:rFonts w:ascii="Palatino Linotype" w:hAnsi="Palatino Linotype"/>
          <w:i/>
        </w:rPr>
      </w:pPr>
    </w:p>
    <w:p w:rsidR="00382F3C" w:rsidRPr="001A57F0" w:rsidRDefault="00382F3C" w:rsidP="00382F3C">
      <w:pPr>
        <w:pStyle w:val="Prrafodelista"/>
        <w:tabs>
          <w:tab w:val="left" w:pos="851"/>
        </w:tabs>
        <w:spacing w:line="360" w:lineRule="auto"/>
        <w:ind w:left="567" w:right="567"/>
        <w:jc w:val="both"/>
        <w:rPr>
          <w:rFonts w:ascii="Palatino Linotype" w:hAnsi="Palatino Linotype"/>
          <w:i/>
          <w:lang w:val="es-ES"/>
        </w:rPr>
      </w:pPr>
      <w:r w:rsidRPr="001A57F0">
        <w:rPr>
          <w:rFonts w:ascii="Palatino Linotype" w:hAnsi="Palatino Linotype"/>
          <w:i/>
        </w:rPr>
        <w:t xml:space="preserve">Amparo en revisión 257/2012. Ruth Corona Muñoz. 6 de diciembre de 2012. Unanimidad de votos. Ponente: Jean Claude </w:t>
      </w:r>
      <w:proofErr w:type="spellStart"/>
      <w:r w:rsidRPr="001A57F0">
        <w:rPr>
          <w:rFonts w:ascii="Palatino Linotype" w:hAnsi="Palatino Linotype"/>
          <w:i/>
        </w:rPr>
        <w:t>Tron</w:t>
      </w:r>
      <w:proofErr w:type="spellEnd"/>
      <w:r w:rsidRPr="001A57F0">
        <w:rPr>
          <w:rFonts w:ascii="Palatino Linotype" w:hAnsi="Palatino Linotype"/>
          <w:i/>
        </w:rPr>
        <w:t xml:space="preserve"> </w:t>
      </w:r>
      <w:proofErr w:type="spellStart"/>
      <w:r w:rsidRPr="001A57F0">
        <w:rPr>
          <w:rFonts w:ascii="Palatino Linotype" w:hAnsi="Palatino Linotype"/>
          <w:i/>
        </w:rPr>
        <w:t>Petit</w:t>
      </w:r>
      <w:proofErr w:type="spellEnd"/>
      <w:r w:rsidRPr="001A57F0">
        <w:rPr>
          <w:rFonts w:ascii="Palatino Linotype" w:hAnsi="Palatino Linotype"/>
          <w:i/>
        </w:rPr>
        <w:t>. Secretaria: Mayra Susana Martínez López.</w:t>
      </w:r>
    </w:p>
    <w:p w:rsidR="00382F3C" w:rsidRPr="001A57F0" w:rsidRDefault="00382F3C" w:rsidP="00382F3C">
      <w:pPr>
        <w:pStyle w:val="Prrafodelista"/>
        <w:rPr>
          <w:rFonts w:ascii="Palatino Linotype" w:hAnsi="Palatino Linotype"/>
          <w:lang w:val="es-ES"/>
        </w:rPr>
      </w:pPr>
    </w:p>
    <w:p w:rsidR="00B05F48" w:rsidRPr="004134F8" w:rsidRDefault="00382F3C" w:rsidP="00B05F48">
      <w:pPr>
        <w:pStyle w:val="Prrafodelista"/>
        <w:numPr>
          <w:ilvl w:val="0"/>
          <w:numId w:val="28"/>
        </w:numPr>
        <w:tabs>
          <w:tab w:val="left" w:pos="851"/>
        </w:tabs>
        <w:spacing w:after="0" w:line="360" w:lineRule="auto"/>
        <w:ind w:left="0" w:right="49" w:firstLine="0"/>
        <w:jc w:val="both"/>
        <w:rPr>
          <w:rFonts w:ascii="Palatino Linotype" w:hAnsi="Palatino Linotype"/>
          <w:sz w:val="24"/>
          <w:lang w:val="es-ES"/>
        </w:rPr>
      </w:pPr>
      <w:r w:rsidRPr="004134F8">
        <w:rPr>
          <w:rFonts w:ascii="Palatino Linotype" w:hAnsi="Palatino Linotype"/>
          <w:sz w:val="24"/>
          <w:lang w:val="es-ES"/>
        </w:rPr>
        <w:t>Luego entonces, los particulares al no contar con un especialista que asesoré sobre las actuaciones que deberán efectuarse durante la sustanciación del procedimiento, pueden cometerse errores u omisiones por su parte, no obstante, dicho acto u omisión, no debe impedir que se le conceda el acceso a la información solicitada, siempre y cuando la solicitud aporte los elementos mínimos que coadyuven a identificar la información que se está requiriendo como lo es en el presente asunto en particular.</w:t>
      </w:r>
    </w:p>
    <w:p w:rsidR="00B05F48" w:rsidRPr="004134F8" w:rsidRDefault="00B05F48" w:rsidP="00B05F48">
      <w:pPr>
        <w:pStyle w:val="Prrafodelista"/>
        <w:tabs>
          <w:tab w:val="left" w:pos="851"/>
        </w:tabs>
        <w:spacing w:after="0" w:line="360" w:lineRule="auto"/>
        <w:ind w:left="0" w:right="49"/>
        <w:jc w:val="both"/>
        <w:rPr>
          <w:rFonts w:ascii="Palatino Linotype" w:hAnsi="Palatino Linotype"/>
          <w:sz w:val="24"/>
          <w:lang w:val="es-ES"/>
        </w:rPr>
      </w:pPr>
    </w:p>
    <w:p w:rsidR="00B05F48" w:rsidRPr="004134F8" w:rsidRDefault="00B05F48" w:rsidP="00B05F48">
      <w:pPr>
        <w:pStyle w:val="Prrafodelista"/>
        <w:numPr>
          <w:ilvl w:val="0"/>
          <w:numId w:val="28"/>
        </w:numPr>
        <w:tabs>
          <w:tab w:val="left" w:pos="851"/>
        </w:tabs>
        <w:spacing w:after="0" w:line="360" w:lineRule="auto"/>
        <w:ind w:left="0" w:right="49" w:firstLine="0"/>
        <w:jc w:val="both"/>
        <w:rPr>
          <w:rFonts w:ascii="Palatino Linotype" w:hAnsi="Palatino Linotype"/>
          <w:sz w:val="24"/>
          <w:lang w:val="es-ES"/>
        </w:rPr>
      </w:pPr>
      <w:r w:rsidRPr="004134F8">
        <w:rPr>
          <w:rFonts w:ascii="Palatino Linotype" w:hAnsi="Palatino Linotype"/>
          <w:sz w:val="24"/>
          <w:lang w:val="es-ES"/>
        </w:rPr>
        <w:t>Si bien, el particular al momento de interponer el recurso de revisión señaló otra temporalidad, lo idóneo debió ser que el Sujeto Obligado atendiera la temporalidad de la solicitud o bien, la temporalidad del recurso de revisión.</w:t>
      </w:r>
    </w:p>
    <w:p w:rsidR="00B05F48" w:rsidRPr="004134F8" w:rsidRDefault="00B05F48" w:rsidP="00B05F48">
      <w:pPr>
        <w:pStyle w:val="Prrafodelista"/>
        <w:rPr>
          <w:rFonts w:ascii="Palatino Linotype" w:hAnsi="Palatino Linotype"/>
          <w:sz w:val="24"/>
          <w:lang w:val="es-ES"/>
        </w:rPr>
      </w:pPr>
    </w:p>
    <w:p w:rsidR="00B05F48" w:rsidRPr="004134F8" w:rsidRDefault="00B05F48" w:rsidP="00B05F48">
      <w:pPr>
        <w:pStyle w:val="Prrafodelista"/>
        <w:numPr>
          <w:ilvl w:val="0"/>
          <w:numId w:val="28"/>
        </w:numPr>
        <w:tabs>
          <w:tab w:val="left" w:pos="851"/>
        </w:tabs>
        <w:spacing w:after="0" w:line="360" w:lineRule="auto"/>
        <w:ind w:left="0" w:right="49" w:firstLine="0"/>
        <w:jc w:val="both"/>
        <w:rPr>
          <w:rFonts w:ascii="Palatino Linotype" w:hAnsi="Palatino Linotype"/>
          <w:sz w:val="24"/>
          <w:lang w:val="es-ES"/>
        </w:rPr>
      </w:pPr>
      <w:r w:rsidRPr="004134F8">
        <w:rPr>
          <w:rFonts w:ascii="Palatino Linotype" w:hAnsi="Palatino Linotype"/>
          <w:sz w:val="24"/>
          <w:lang w:val="es-ES"/>
        </w:rPr>
        <w:lastRenderedPageBreak/>
        <w:t xml:space="preserve">No conforme, apreciando que el Sujeto Obligado restringió el derecho del acceso a la información del particular, la Ponencia encargada de presentar el proyecto de resolución, en estricto apego a los </w:t>
      </w:r>
      <w:r w:rsidRPr="004134F8">
        <w:rPr>
          <w:rFonts w:ascii="Palatino Linotype" w:hAnsi="Palatino Linotype" w:cs="Arial"/>
          <w:sz w:val="24"/>
        </w:rPr>
        <w:t>artículos 13</w:t>
      </w:r>
      <w:r w:rsidRPr="004134F8">
        <w:rPr>
          <w:rStyle w:val="Refdenotaalpie"/>
          <w:rFonts w:ascii="Palatino Linotype" w:hAnsi="Palatino Linotype" w:cs="Arial"/>
          <w:sz w:val="24"/>
        </w:rPr>
        <w:footnoteReference w:id="10"/>
      </w:r>
      <w:r w:rsidRPr="004134F8">
        <w:rPr>
          <w:rFonts w:ascii="Palatino Linotype" w:hAnsi="Palatino Linotype" w:cs="Arial"/>
          <w:sz w:val="24"/>
        </w:rPr>
        <w:t xml:space="preserve"> y 181</w:t>
      </w:r>
      <w:r w:rsidRPr="004134F8">
        <w:rPr>
          <w:rStyle w:val="Refdenotaalpie"/>
          <w:rFonts w:ascii="Palatino Linotype" w:hAnsi="Palatino Linotype" w:cs="Arial"/>
          <w:sz w:val="24"/>
        </w:rPr>
        <w:footnoteReference w:id="11"/>
      </w:r>
      <w:r w:rsidRPr="004134F8">
        <w:rPr>
          <w:rFonts w:ascii="Palatino Linotype" w:hAnsi="Palatino Linotype" w:cs="Arial"/>
          <w:sz w:val="24"/>
        </w:rPr>
        <w:t xml:space="preserve"> penúltimo párrafo, de la Ley de Transparencia y Acceso a la Información Pública del Estado de México y Municipios,</w:t>
      </w:r>
      <w:r w:rsidRPr="004134F8">
        <w:rPr>
          <w:rFonts w:ascii="Palatino Linotype" w:hAnsi="Palatino Linotype"/>
          <w:sz w:val="24"/>
          <w:lang w:val="es-ES"/>
        </w:rPr>
        <w:t>se debió proceder a realizar una suplencia de la queja a favor del particular a efecto de que el Sujeto Obligado atendiera cuando menos la solicitud de acceso a la información en los términos en que fue planteada.</w:t>
      </w:r>
    </w:p>
    <w:p w:rsidR="00B05F48" w:rsidRPr="004134F8" w:rsidRDefault="00B05F48" w:rsidP="00B05F48">
      <w:pPr>
        <w:pStyle w:val="Prrafodelista"/>
        <w:rPr>
          <w:rFonts w:ascii="Palatino Linotype" w:hAnsi="Palatino Linotype"/>
          <w:sz w:val="24"/>
          <w:lang w:val="es-ES"/>
        </w:rPr>
      </w:pPr>
    </w:p>
    <w:p w:rsidR="00B05F48" w:rsidRDefault="00AF4BBD" w:rsidP="00B05F48">
      <w:pPr>
        <w:pStyle w:val="Prrafodelista"/>
        <w:numPr>
          <w:ilvl w:val="0"/>
          <w:numId w:val="28"/>
        </w:numPr>
        <w:tabs>
          <w:tab w:val="left" w:pos="851"/>
        </w:tabs>
        <w:spacing w:after="0" w:line="360" w:lineRule="auto"/>
        <w:ind w:left="0" w:right="49" w:firstLine="0"/>
        <w:jc w:val="both"/>
        <w:rPr>
          <w:rFonts w:ascii="Palatino Linotype" w:hAnsi="Palatino Linotype"/>
          <w:sz w:val="24"/>
          <w:lang w:val="es-ES"/>
        </w:rPr>
      </w:pPr>
      <w:r w:rsidRPr="004134F8">
        <w:rPr>
          <w:rFonts w:ascii="Palatino Linotype" w:hAnsi="Palatino Linotype"/>
          <w:sz w:val="24"/>
          <w:lang w:val="es-ES"/>
        </w:rPr>
        <w:t xml:space="preserve"> </w:t>
      </w:r>
      <w:r w:rsidR="00B05F48" w:rsidRPr="004134F8">
        <w:rPr>
          <w:rFonts w:ascii="Palatino Linotype" w:hAnsi="Palatino Linotype"/>
          <w:sz w:val="24"/>
          <w:lang w:val="es-ES"/>
        </w:rPr>
        <w:t>Se afectó el derecho porque el particular deberá realizar una nueva solicitud, cuando bien, se pudo suplir la deficiencia y ser atendida</w:t>
      </w:r>
      <w:r w:rsidR="00427810" w:rsidRPr="004134F8">
        <w:rPr>
          <w:rFonts w:ascii="Palatino Linotype" w:hAnsi="Palatino Linotype"/>
          <w:sz w:val="24"/>
          <w:lang w:val="es-ES"/>
        </w:rPr>
        <w:t xml:space="preserve"> durante este mismo procedimiento</w:t>
      </w:r>
      <w:r w:rsidR="00B05F48" w:rsidRPr="004134F8">
        <w:rPr>
          <w:rFonts w:ascii="Palatino Linotype" w:hAnsi="Palatino Linotype"/>
          <w:sz w:val="24"/>
          <w:lang w:val="es-ES"/>
        </w:rPr>
        <w:t xml:space="preserve">, </w:t>
      </w:r>
      <w:r w:rsidR="00427810" w:rsidRPr="004134F8">
        <w:rPr>
          <w:rFonts w:ascii="Palatino Linotype" w:hAnsi="Palatino Linotype"/>
          <w:sz w:val="24"/>
          <w:lang w:val="es-ES"/>
        </w:rPr>
        <w:t xml:space="preserve">es decir, </w:t>
      </w:r>
      <w:r w:rsidR="001A57F0" w:rsidRPr="004134F8">
        <w:rPr>
          <w:rFonts w:ascii="Palatino Linotype" w:hAnsi="Palatino Linotype"/>
          <w:sz w:val="24"/>
          <w:lang w:val="es-ES"/>
        </w:rPr>
        <w:t xml:space="preserve">situación que no se materializó, y en consecuencia </w:t>
      </w:r>
      <w:r w:rsidR="00427810" w:rsidRPr="004134F8">
        <w:rPr>
          <w:rFonts w:ascii="Palatino Linotype" w:hAnsi="Palatino Linotype"/>
          <w:sz w:val="24"/>
          <w:lang w:val="es-ES"/>
        </w:rPr>
        <w:t>s</w:t>
      </w:r>
      <w:r w:rsidR="00B05F48" w:rsidRPr="004134F8">
        <w:rPr>
          <w:rFonts w:ascii="Palatino Linotype" w:hAnsi="Palatino Linotype"/>
          <w:sz w:val="24"/>
          <w:lang w:val="es-ES"/>
        </w:rPr>
        <w:t>ólo se retrasó el derecho</w:t>
      </w:r>
      <w:r w:rsidR="001A57F0" w:rsidRPr="004134F8">
        <w:rPr>
          <w:rFonts w:ascii="Palatino Linotype" w:hAnsi="Palatino Linotype"/>
          <w:sz w:val="24"/>
          <w:lang w:val="es-ES"/>
        </w:rPr>
        <w:t xml:space="preserve"> del particular, toda vez que tendrá que presentar una nueva solicitud y esperar a que, en el mejor de los casos, el Sujeto Obligado entregue la información en respuesta a la misma, de lo contrario, la afectación será mayor, al tener que esperar la sustanciación del procedimiento y que este Órgano Garante dicte una resolución ordenando la entrega de las documentales solicitadas.</w:t>
      </w:r>
    </w:p>
    <w:p w:rsidR="004134F8" w:rsidRPr="004134F8" w:rsidRDefault="004134F8" w:rsidP="004134F8">
      <w:pPr>
        <w:pStyle w:val="Prrafodelista"/>
        <w:rPr>
          <w:rFonts w:ascii="Palatino Linotype" w:hAnsi="Palatino Linotype"/>
          <w:sz w:val="24"/>
          <w:lang w:val="es-ES"/>
        </w:rPr>
      </w:pPr>
    </w:p>
    <w:p w:rsidR="008E4EE4" w:rsidRPr="001A57F0" w:rsidRDefault="008E4EE4" w:rsidP="008E4EE4">
      <w:pPr>
        <w:pStyle w:val="Ttulo1"/>
        <w:numPr>
          <w:ilvl w:val="0"/>
          <w:numId w:val="27"/>
        </w:numPr>
        <w:spacing w:line="256" w:lineRule="auto"/>
        <w:rPr>
          <w:rFonts w:ascii="Palatino Linotype" w:hAnsi="Palatino Linotype"/>
          <w:b/>
          <w:color w:val="auto"/>
          <w:sz w:val="20"/>
        </w:rPr>
      </w:pPr>
      <w:bookmarkStart w:id="4" w:name="_Toc536460357"/>
      <w:r w:rsidRPr="001A57F0">
        <w:rPr>
          <w:rFonts w:ascii="Palatino Linotype" w:hAnsi="Palatino Linotype"/>
          <w:b/>
          <w:color w:val="auto"/>
          <w:sz w:val="24"/>
        </w:rPr>
        <w:lastRenderedPageBreak/>
        <w:t>Conclusión.</w:t>
      </w:r>
      <w:bookmarkEnd w:id="4"/>
    </w:p>
    <w:p w:rsidR="008E4EE4" w:rsidRDefault="008E4EE4" w:rsidP="008E4EE4"/>
    <w:p w:rsidR="00427810" w:rsidRDefault="00427810" w:rsidP="008E4EE4">
      <w:pPr>
        <w:pStyle w:val="Prrafodelista"/>
        <w:numPr>
          <w:ilvl w:val="0"/>
          <w:numId w:val="28"/>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Los requerimientos que planteó el particular mediante la solicitud, debieron ser atendidos en estricto apego a los principios de eficacia y máxima publicidad</w:t>
      </w:r>
      <w:r w:rsidR="004134F8">
        <w:rPr>
          <w:rFonts w:ascii="Palatino Linotype" w:hAnsi="Palatino Linotype" w:cs="Arial"/>
          <w:sz w:val="24"/>
          <w:szCs w:val="24"/>
        </w:rPr>
        <w:t>,</w:t>
      </w:r>
      <w:r>
        <w:rPr>
          <w:rFonts w:ascii="Palatino Linotype" w:hAnsi="Palatino Linotype" w:cs="Arial"/>
          <w:sz w:val="24"/>
          <w:szCs w:val="24"/>
        </w:rPr>
        <w:t xml:space="preserve"> </w:t>
      </w:r>
      <w:r w:rsidR="004134F8">
        <w:rPr>
          <w:rFonts w:ascii="Palatino Linotype" w:hAnsi="Palatino Linotype" w:cs="Arial"/>
          <w:sz w:val="24"/>
          <w:szCs w:val="24"/>
        </w:rPr>
        <w:t>a efecto de que no violentar</w:t>
      </w:r>
      <w:r>
        <w:rPr>
          <w:rFonts w:ascii="Palatino Linotype" w:hAnsi="Palatino Linotype" w:cs="Arial"/>
          <w:sz w:val="24"/>
          <w:szCs w:val="24"/>
        </w:rPr>
        <w:t xml:space="preserve"> el derecho de acceso a la información, puesto que se le restringió el </w:t>
      </w:r>
      <w:r w:rsidR="00AF4BBD">
        <w:rPr>
          <w:rFonts w:ascii="Palatino Linotype" w:hAnsi="Palatino Linotype" w:cs="Arial"/>
          <w:sz w:val="24"/>
          <w:szCs w:val="24"/>
        </w:rPr>
        <w:t>acceso a los documentos</w:t>
      </w:r>
      <w:r>
        <w:rPr>
          <w:rFonts w:ascii="Palatino Linotype" w:hAnsi="Palatino Linotype" w:cs="Arial"/>
          <w:sz w:val="24"/>
          <w:szCs w:val="24"/>
        </w:rPr>
        <w:t xml:space="preserve"> que solicitó en un inicio, por considerar que los motivos de agravio no </w:t>
      </w:r>
      <w:r w:rsidR="00AF4BBD">
        <w:rPr>
          <w:rFonts w:ascii="Palatino Linotype" w:hAnsi="Palatino Linotype" w:cs="Arial"/>
          <w:sz w:val="24"/>
          <w:szCs w:val="24"/>
        </w:rPr>
        <w:t>tiene</w:t>
      </w:r>
      <w:r>
        <w:rPr>
          <w:rFonts w:ascii="Palatino Linotype" w:hAnsi="Palatino Linotype" w:cs="Arial"/>
          <w:sz w:val="24"/>
          <w:szCs w:val="24"/>
        </w:rPr>
        <w:t xml:space="preserve">n relación </w:t>
      </w:r>
      <w:r w:rsidR="00AF4BBD">
        <w:rPr>
          <w:rFonts w:ascii="Palatino Linotype" w:hAnsi="Palatino Linotype" w:cs="Arial"/>
          <w:sz w:val="24"/>
          <w:szCs w:val="24"/>
        </w:rPr>
        <w:t xml:space="preserve">directa </w:t>
      </w:r>
      <w:r>
        <w:rPr>
          <w:rFonts w:ascii="Palatino Linotype" w:hAnsi="Palatino Linotype" w:cs="Arial"/>
          <w:sz w:val="24"/>
          <w:szCs w:val="24"/>
        </w:rPr>
        <w:t xml:space="preserve">con los requerimientos planteados, cuando lo único diferente fue la temporalidad, </w:t>
      </w:r>
      <w:r w:rsidR="004134F8">
        <w:rPr>
          <w:rFonts w:ascii="Palatino Linotype" w:hAnsi="Palatino Linotype" w:cs="Arial"/>
          <w:sz w:val="24"/>
          <w:szCs w:val="24"/>
        </w:rPr>
        <w:t xml:space="preserve">dicha omisión </w:t>
      </w:r>
      <w:r>
        <w:rPr>
          <w:rFonts w:ascii="Palatino Linotype" w:hAnsi="Palatino Linotype" w:cs="Arial"/>
          <w:sz w:val="24"/>
          <w:szCs w:val="24"/>
        </w:rPr>
        <w:t>p</w:t>
      </w:r>
      <w:r w:rsidR="00AF4BBD">
        <w:rPr>
          <w:rFonts w:ascii="Palatino Linotype" w:hAnsi="Palatino Linotype" w:cs="Arial"/>
          <w:sz w:val="24"/>
          <w:szCs w:val="24"/>
        </w:rPr>
        <w:t xml:space="preserve">udo haberse suplido </w:t>
      </w:r>
      <w:r w:rsidR="004134F8">
        <w:rPr>
          <w:rFonts w:ascii="Palatino Linotype" w:hAnsi="Palatino Linotype" w:cs="Arial"/>
          <w:sz w:val="24"/>
          <w:szCs w:val="24"/>
        </w:rPr>
        <w:t xml:space="preserve">en favor del recurrente como lo establece la Ley en materia </w:t>
      </w:r>
      <w:r w:rsidR="00AF4BBD">
        <w:rPr>
          <w:rFonts w:ascii="Palatino Linotype" w:hAnsi="Palatino Linotype" w:cs="Arial"/>
          <w:sz w:val="24"/>
          <w:szCs w:val="24"/>
        </w:rPr>
        <w:t xml:space="preserve">o bien, atender la solicitud </w:t>
      </w:r>
      <w:r w:rsidR="004134F8">
        <w:rPr>
          <w:rFonts w:ascii="Palatino Linotype" w:hAnsi="Palatino Linotype" w:cs="Arial"/>
          <w:sz w:val="24"/>
          <w:szCs w:val="24"/>
        </w:rPr>
        <w:t>de información en los términos originalmente</w:t>
      </w:r>
      <w:r w:rsidR="00AF4BBD">
        <w:rPr>
          <w:rFonts w:ascii="Palatino Linotype" w:hAnsi="Palatino Linotype" w:cs="Arial"/>
          <w:sz w:val="24"/>
          <w:szCs w:val="24"/>
        </w:rPr>
        <w:t xml:space="preserve"> plantead</w:t>
      </w:r>
      <w:r w:rsidR="004134F8">
        <w:rPr>
          <w:rFonts w:ascii="Palatino Linotype" w:hAnsi="Palatino Linotype" w:cs="Arial"/>
          <w:sz w:val="24"/>
          <w:szCs w:val="24"/>
        </w:rPr>
        <w:t>os</w:t>
      </w:r>
      <w:r w:rsidR="00AF4BBD">
        <w:rPr>
          <w:rFonts w:ascii="Palatino Linotype" w:hAnsi="Palatino Linotype" w:cs="Arial"/>
          <w:sz w:val="24"/>
          <w:szCs w:val="24"/>
        </w:rPr>
        <w:t>.</w:t>
      </w:r>
    </w:p>
    <w:p w:rsidR="00427810" w:rsidRDefault="00427810" w:rsidP="00AF4BBD">
      <w:pPr>
        <w:pStyle w:val="Prrafodelista"/>
        <w:spacing w:after="0" w:line="360" w:lineRule="auto"/>
        <w:ind w:left="0"/>
        <w:jc w:val="both"/>
        <w:rPr>
          <w:rFonts w:ascii="Palatino Linotype" w:hAnsi="Palatino Linotype" w:cs="Arial"/>
          <w:sz w:val="24"/>
          <w:szCs w:val="24"/>
        </w:rPr>
      </w:pPr>
    </w:p>
    <w:p w:rsidR="008E4EE4" w:rsidRDefault="008E4EE4" w:rsidP="008E4EE4">
      <w:pPr>
        <w:spacing w:after="0" w:line="360" w:lineRule="auto"/>
        <w:jc w:val="both"/>
        <w:rPr>
          <w:rFonts w:ascii="Palatino Linotype" w:hAnsi="Palatino Linotype" w:cs="Arial"/>
          <w:sz w:val="24"/>
          <w:szCs w:val="24"/>
        </w:rPr>
      </w:pPr>
    </w:p>
    <w:p w:rsidR="00AF4BBD" w:rsidRDefault="00AF4BBD" w:rsidP="008E4EE4">
      <w:pPr>
        <w:spacing w:after="0" w:line="360" w:lineRule="auto"/>
        <w:jc w:val="both"/>
        <w:rPr>
          <w:rFonts w:ascii="Palatino Linotype" w:hAnsi="Palatino Linotype" w:cs="Arial"/>
          <w:sz w:val="24"/>
          <w:szCs w:val="24"/>
        </w:rPr>
      </w:pPr>
    </w:p>
    <w:p w:rsidR="008E4EE4" w:rsidRDefault="008E4EE4" w:rsidP="008E4EE4">
      <w:pPr>
        <w:spacing w:after="0" w:line="360" w:lineRule="auto"/>
        <w:jc w:val="both"/>
        <w:rPr>
          <w:rFonts w:ascii="Palatino Linotype" w:hAnsi="Palatino Linotype" w:cs="Arial"/>
          <w:sz w:val="24"/>
          <w:szCs w:val="24"/>
        </w:rPr>
      </w:pPr>
    </w:p>
    <w:p w:rsidR="004134F8" w:rsidRDefault="004134F8" w:rsidP="008E4EE4">
      <w:pPr>
        <w:spacing w:after="0" w:line="360" w:lineRule="auto"/>
        <w:jc w:val="both"/>
        <w:rPr>
          <w:rFonts w:ascii="Palatino Linotype" w:hAnsi="Palatino Linotype" w:cs="Arial"/>
          <w:sz w:val="24"/>
          <w:szCs w:val="24"/>
        </w:rPr>
      </w:pPr>
    </w:p>
    <w:p w:rsidR="004134F8" w:rsidRDefault="004134F8" w:rsidP="008E4EE4">
      <w:pPr>
        <w:spacing w:after="0" w:line="360" w:lineRule="auto"/>
        <w:jc w:val="both"/>
        <w:rPr>
          <w:rFonts w:ascii="Palatino Linotype" w:hAnsi="Palatino Linotype" w:cs="Arial"/>
          <w:sz w:val="24"/>
          <w:szCs w:val="24"/>
        </w:rPr>
      </w:pPr>
    </w:p>
    <w:p w:rsidR="008E4EE4" w:rsidRDefault="008E4EE4" w:rsidP="008E4EE4">
      <w:pPr>
        <w:spacing w:after="0" w:line="360" w:lineRule="auto"/>
        <w:jc w:val="both"/>
        <w:rPr>
          <w:rFonts w:ascii="Palatino Linotype" w:hAnsi="Palatino Linotype" w:cs="Arial"/>
          <w:sz w:val="24"/>
          <w:szCs w:val="24"/>
        </w:rPr>
      </w:pPr>
    </w:p>
    <w:p w:rsidR="008E4EE4" w:rsidRDefault="008E4EE4" w:rsidP="008E4EE4">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JOSÉ GUADALUPE LUNA HERNÁNDEZ</w:t>
      </w:r>
    </w:p>
    <w:p w:rsidR="008E4EE4" w:rsidRDefault="008E4EE4" w:rsidP="008E4EE4">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COMISIONADO</w:t>
      </w:r>
    </w:p>
    <w:p w:rsidR="001E2CC0" w:rsidRDefault="001E2CC0" w:rsidP="00575478">
      <w:pPr>
        <w:spacing w:line="360" w:lineRule="auto"/>
        <w:rPr>
          <w:rFonts w:ascii="Palatino Linotype" w:eastAsia="Calibri" w:hAnsi="Palatino Linotype" w:cs="Arial"/>
          <w:b/>
          <w:sz w:val="24"/>
          <w:szCs w:val="24"/>
        </w:rPr>
      </w:pPr>
    </w:p>
    <w:p w:rsidR="008E4EE4" w:rsidRPr="00D25878" w:rsidRDefault="001E2CC0" w:rsidP="00575478">
      <w:pPr>
        <w:spacing w:line="360" w:lineRule="auto"/>
        <w:rPr>
          <w:rFonts w:ascii="Palatino Linotype" w:hAnsi="Palatino Linotype"/>
          <w:b/>
          <w:sz w:val="14"/>
          <w:szCs w:val="18"/>
        </w:rPr>
      </w:pPr>
      <w:r>
        <w:rPr>
          <w:rFonts w:ascii="Palatino Linotype" w:eastAsia="Calibri" w:hAnsi="Palatino Linotype" w:cs="Arial"/>
          <w:b/>
          <w:sz w:val="24"/>
          <w:szCs w:val="24"/>
        </w:rPr>
        <w:t>}</w:t>
      </w:r>
      <w:bookmarkStart w:id="5" w:name="_GoBack"/>
      <w:bookmarkEnd w:id="5"/>
      <w:r w:rsidR="008E4EE4">
        <w:rPr>
          <w:rFonts w:ascii="Palatino Linotype" w:eastAsia="Calibri" w:hAnsi="Palatino Linotype" w:cs="Arial"/>
          <w:b/>
          <w:sz w:val="24"/>
          <w:szCs w:val="24"/>
        </w:rPr>
        <w:t>JGLH/ADM</w:t>
      </w:r>
    </w:p>
    <w:sectPr w:rsidR="008E4EE4" w:rsidRPr="00D25878" w:rsidSect="00DD7431">
      <w:headerReference w:type="even" r:id="rId8"/>
      <w:headerReference w:type="default" r:id="rId9"/>
      <w:footerReference w:type="default" r:id="rId10"/>
      <w:headerReference w:type="first" r:id="rId11"/>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8E5" w:rsidRDefault="008208E5" w:rsidP="00E706DA">
      <w:pPr>
        <w:spacing w:after="0" w:line="240" w:lineRule="auto"/>
      </w:pPr>
      <w:r>
        <w:separator/>
      </w:r>
    </w:p>
  </w:endnote>
  <w:endnote w:type="continuationSeparator" w:id="0">
    <w:p w:rsidR="008208E5" w:rsidRDefault="008208E5"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1E2CC0">
              <w:rPr>
                <w:rFonts w:ascii="Palatino Linotype" w:hAnsi="Palatino Linotype"/>
                <w:b/>
                <w:bCs/>
                <w:noProof/>
                <w:sz w:val="20"/>
                <w:szCs w:val="20"/>
              </w:rPr>
              <w:t>12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1E2CC0">
              <w:rPr>
                <w:rFonts w:ascii="Palatino Linotype" w:hAnsi="Palatino Linotype"/>
                <w:b/>
                <w:bCs/>
                <w:noProof/>
                <w:sz w:val="20"/>
                <w:szCs w:val="20"/>
              </w:rPr>
              <w:t>13</w:t>
            </w:r>
            <w:r w:rsidRPr="0052203D">
              <w:rPr>
                <w:rFonts w:ascii="Palatino Linotype" w:hAnsi="Palatino Linotype"/>
                <w:b/>
                <w:bCs/>
                <w:sz w:val="20"/>
                <w:szCs w:val="20"/>
              </w:rPr>
              <w:fldChar w:fldCharType="end"/>
            </w:r>
          </w:p>
        </w:sdtContent>
      </w:sdt>
    </w:sdtContent>
  </w:sdt>
  <w:p w:rsidR="00951E8B" w:rsidRDefault="008208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8E5" w:rsidRDefault="008208E5" w:rsidP="00E706DA">
      <w:pPr>
        <w:spacing w:after="0" w:line="240" w:lineRule="auto"/>
      </w:pPr>
      <w:r>
        <w:separator/>
      </w:r>
    </w:p>
  </w:footnote>
  <w:footnote w:type="continuationSeparator" w:id="0">
    <w:p w:rsidR="008208E5" w:rsidRDefault="008208E5" w:rsidP="00E706DA">
      <w:pPr>
        <w:spacing w:after="0" w:line="240" w:lineRule="auto"/>
      </w:pPr>
      <w:r>
        <w:continuationSeparator/>
      </w:r>
    </w:p>
  </w:footnote>
  <w:footnote w:id="1">
    <w:p w:rsidR="002F1A5D" w:rsidRDefault="002F1A5D" w:rsidP="002F1A5D">
      <w:pPr>
        <w:pStyle w:val="Textonotapie"/>
      </w:pPr>
      <w:r>
        <w:rPr>
          <w:rStyle w:val="Refdenotaalpie"/>
        </w:rPr>
        <w:footnoteRef/>
      </w:r>
      <w:r>
        <w:t xml:space="preserve"> Tercer párrafo, artículo 1º, Constitución Política de los Estados Unidos Mexicanos.</w:t>
      </w:r>
    </w:p>
  </w:footnote>
  <w:footnote w:id="2">
    <w:p w:rsidR="002F1A5D" w:rsidRDefault="002F1A5D" w:rsidP="002F1A5D">
      <w:pPr>
        <w:pStyle w:val="Textonotapie"/>
      </w:pPr>
      <w:r>
        <w:rPr>
          <w:rStyle w:val="Refdenotaalpie"/>
        </w:rPr>
        <w:footnoteRef/>
      </w:r>
      <w:r>
        <w:t xml:space="preserve"> Segundo Párrafo, artículo 6º, Constitución Política de los Estados Unidos Mexicanos.</w:t>
      </w:r>
    </w:p>
  </w:footnote>
  <w:footnote w:id="3">
    <w:p w:rsidR="002F1A5D" w:rsidRDefault="002F1A5D" w:rsidP="002F1A5D">
      <w:pPr>
        <w:pStyle w:val="Textonotapie"/>
      </w:pPr>
      <w:r>
        <w:rPr>
          <w:rStyle w:val="Refdenotaalpie"/>
        </w:rPr>
        <w:footnoteRef/>
      </w:r>
      <w:r>
        <w:t xml:space="preserve"> Convención Americana sobre Derechos Humanos. Artículo 13.</w:t>
      </w:r>
    </w:p>
  </w:footnote>
  <w:footnote w:id="4">
    <w:p w:rsidR="002F1A5D" w:rsidRDefault="002F1A5D" w:rsidP="002F1A5D">
      <w:pPr>
        <w:pStyle w:val="Textonotapie"/>
      </w:pPr>
      <w:r>
        <w:rPr>
          <w:rStyle w:val="Refdenotaalpie"/>
        </w:rPr>
        <w:footnoteRef/>
      </w:r>
      <w:r>
        <w:t xml:space="preserve"> Constitución Política de los Estados Unidos Mexicanos. Artículo sexto, sección A, Fracción I.</w:t>
      </w:r>
    </w:p>
  </w:footnote>
  <w:footnote w:id="5">
    <w:p w:rsidR="002F1A5D" w:rsidRDefault="002F1A5D" w:rsidP="002F1A5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2F1A5D" w:rsidRDefault="002F1A5D" w:rsidP="002F1A5D">
      <w:pPr>
        <w:pStyle w:val="Textonotapie"/>
      </w:pPr>
      <w:r>
        <w:rPr>
          <w:rStyle w:val="Refdenotaalpie"/>
        </w:rPr>
        <w:footnoteRef/>
      </w:r>
      <w:r>
        <w:t xml:space="preserve"> Ibídem. Párr. 87.</w:t>
      </w:r>
    </w:p>
  </w:footnote>
  <w:footnote w:id="7">
    <w:p w:rsidR="002F1A5D" w:rsidRDefault="002F1A5D" w:rsidP="002F1A5D">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8">
    <w:p w:rsidR="00382F3C" w:rsidRPr="00D45A90" w:rsidRDefault="00382F3C" w:rsidP="00382F3C">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9">
    <w:p w:rsidR="00382F3C" w:rsidRDefault="00382F3C" w:rsidP="00382F3C">
      <w:pPr>
        <w:pStyle w:val="Textonotapie"/>
      </w:pPr>
      <w:r>
        <w:rPr>
          <w:rStyle w:val="Refdenotaalpie"/>
        </w:rPr>
        <w:footnoteRef/>
      </w:r>
      <w:r>
        <w:t xml:space="preserve"> Ley de Transparencia y Acceso a la Información Pública del Estado de México y Municipios. Artículo 9. …</w:t>
      </w:r>
    </w:p>
    <w:p w:rsidR="00382F3C" w:rsidRDefault="00382F3C" w:rsidP="00382F3C">
      <w:pPr>
        <w:pStyle w:val="Textonotapie"/>
      </w:pPr>
      <w:r>
        <w:t>II. Eficacia: Obligación del Instituto para tutelar, de manera efectiva, el derecho de acceso a la información;</w:t>
      </w:r>
    </w:p>
    <w:p w:rsidR="00382F3C" w:rsidRDefault="00382F3C" w:rsidP="00382F3C">
      <w:pPr>
        <w:pStyle w:val="Textonotapie"/>
      </w:pPr>
      <w:r>
        <w:t xml:space="preserve">… </w:t>
      </w:r>
    </w:p>
  </w:footnote>
  <w:footnote w:id="10">
    <w:p w:rsidR="00B05F48" w:rsidRPr="00690CC1" w:rsidRDefault="00B05F48" w:rsidP="00B05F48">
      <w:pPr>
        <w:autoSpaceDE w:val="0"/>
        <w:autoSpaceDN w:val="0"/>
        <w:adjustRightInd w:val="0"/>
        <w:jc w:val="both"/>
        <w:rPr>
          <w:rFonts w:cs="Bookman Old Style"/>
          <w:sz w:val="20"/>
          <w:szCs w:val="20"/>
        </w:rPr>
      </w:pPr>
      <w:r w:rsidRPr="00690CC1">
        <w:rPr>
          <w:rStyle w:val="Refdenotaalpie"/>
          <w:sz w:val="20"/>
          <w:szCs w:val="20"/>
        </w:rPr>
        <w:footnoteRef/>
      </w:r>
      <w:r w:rsidRPr="00690CC1">
        <w:rPr>
          <w:sz w:val="20"/>
          <w:szCs w:val="20"/>
        </w:rPr>
        <w:t xml:space="preserve"> </w:t>
      </w:r>
      <w:r w:rsidRPr="00690CC1">
        <w:rPr>
          <w:rFonts w:cs="Bookman Old Style,Bold"/>
          <w:b/>
          <w:bCs/>
          <w:sz w:val="20"/>
          <w:szCs w:val="20"/>
        </w:rPr>
        <w:t xml:space="preserve">Artículo 13. </w:t>
      </w:r>
      <w:r w:rsidRPr="00690CC1">
        <w:rPr>
          <w:rFonts w:cs="Bookman Old Style"/>
          <w:sz w:val="20"/>
          <w:szCs w:val="20"/>
        </w:rPr>
        <w:t>El Instituto, en el ámbito de sus atribuciones, deberá suplir cualquier deficiencia para garantizar el ejercicio del derecho de acceso a la información.</w:t>
      </w:r>
    </w:p>
    <w:p w:rsidR="00B05F48" w:rsidRPr="00690CC1" w:rsidRDefault="00B05F48" w:rsidP="00B05F48">
      <w:pPr>
        <w:autoSpaceDE w:val="0"/>
        <w:autoSpaceDN w:val="0"/>
        <w:adjustRightInd w:val="0"/>
        <w:jc w:val="both"/>
        <w:rPr>
          <w:sz w:val="20"/>
          <w:szCs w:val="20"/>
        </w:rPr>
      </w:pPr>
    </w:p>
  </w:footnote>
  <w:footnote w:id="11">
    <w:p w:rsidR="00B05F48" w:rsidRPr="00690CC1" w:rsidRDefault="00B05F48" w:rsidP="00B05F48">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B05F48" w:rsidRPr="00690CC1" w:rsidRDefault="00B05F48" w:rsidP="00B05F48">
      <w:pPr>
        <w:pStyle w:val="Textonotapie"/>
        <w:jc w:val="both"/>
        <w:rPr>
          <w:rFonts w:cs="Bookman Old Style,Bold"/>
          <w:b/>
          <w:bCs/>
        </w:rPr>
      </w:pPr>
      <w:r w:rsidRPr="00690CC1">
        <w:rPr>
          <w:rFonts w:cs="Bookman Old Style,Bold"/>
          <w:b/>
          <w:bCs/>
        </w:rPr>
        <w:t>…</w:t>
      </w:r>
    </w:p>
    <w:p w:rsidR="00B05F48" w:rsidRPr="00690CC1" w:rsidRDefault="00B05F48" w:rsidP="00B05F48">
      <w:pPr>
        <w:autoSpaceDE w:val="0"/>
        <w:autoSpaceDN w:val="0"/>
        <w:adjustRightInd w:val="0"/>
        <w:jc w:val="both"/>
      </w:pPr>
      <w:r w:rsidRPr="00690CC1">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208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208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8208E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208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33151D"/>
    <w:multiLevelType w:val="hybridMultilevel"/>
    <w:tmpl w:val="416AE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A211F13"/>
    <w:multiLevelType w:val="hybridMultilevel"/>
    <w:tmpl w:val="1D52513A"/>
    <w:lvl w:ilvl="0" w:tplc="B54A72AC">
      <w:start w:val="1"/>
      <w:numFmt w:val="upperRoman"/>
      <w:lvlText w:val="%1."/>
      <w:lvlJc w:val="left"/>
      <w:pPr>
        <w:ind w:left="1080" w:hanging="72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B8E2722"/>
    <w:multiLevelType w:val="hybridMultilevel"/>
    <w:tmpl w:val="A3AA63AC"/>
    <w:lvl w:ilvl="0" w:tplc="14C8BEB2">
      <w:start w:val="1"/>
      <w:numFmt w:val="decimal"/>
      <w:lvlText w:val="%1."/>
      <w:lvlJc w:val="left"/>
      <w:pPr>
        <w:ind w:left="720" w:hanging="360"/>
      </w:pPr>
      <w:rPr>
        <w:rFonts w:ascii="Palatino Linotype" w:eastAsia="Times New Roman"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575D9"/>
    <w:multiLevelType w:val="hybridMultilevel"/>
    <w:tmpl w:val="D2582708"/>
    <w:lvl w:ilvl="0" w:tplc="080A000B">
      <w:start w:val="1"/>
      <w:numFmt w:val="bullet"/>
      <w:lvlText w:val=""/>
      <w:lvlJc w:val="left"/>
      <w:pPr>
        <w:ind w:left="360" w:hanging="360"/>
      </w:pPr>
      <w:rPr>
        <w:rFonts w:ascii="Wingdings" w:hAnsi="Wingdings" w:hint="default"/>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1">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19176B"/>
    <w:multiLevelType w:val="hybridMultilevel"/>
    <w:tmpl w:val="F3B86A6A"/>
    <w:lvl w:ilvl="0" w:tplc="7718566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4C7F654A"/>
    <w:multiLevelType w:val="hybridMultilevel"/>
    <w:tmpl w:val="29D2E88C"/>
    <w:lvl w:ilvl="0" w:tplc="044C434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1">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
  </w:num>
  <w:num w:numId="3">
    <w:abstractNumId w:val="9"/>
  </w:num>
  <w:num w:numId="4">
    <w:abstractNumId w:val="13"/>
  </w:num>
  <w:num w:numId="5">
    <w:abstractNumId w:val="17"/>
  </w:num>
  <w:num w:numId="6">
    <w:abstractNumId w:val="19"/>
  </w:num>
  <w:num w:numId="7">
    <w:abstractNumId w:val="24"/>
  </w:num>
  <w:num w:numId="8">
    <w:abstractNumId w:val="22"/>
  </w:num>
  <w:num w:numId="9">
    <w:abstractNumId w:val="27"/>
  </w:num>
  <w:num w:numId="10">
    <w:abstractNumId w:val="3"/>
  </w:num>
  <w:num w:numId="11">
    <w:abstractNumId w:val="26"/>
  </w:num>
  <w:num w:numId="12">
    <w:abstractNumId w:val="12"/>
  </w:num>
  <w:num w:numId="13">
    <w:abstractNumId w:val="5"/>
  </w:num>
  <w:num w:numId="14">
    <w:abstractNumId w:val="8"/>
  </w:num>
  <w:num w:numId="15">
    <w:abstractNumId w:val="21"/>
  </w:num>
  <w:num w:numId="16">
    <w:abstractNumId w:val="1"/>
  </w:num>
  <w:num w:numId="17">
    <w:abstractNumId w:val="0"/>
  </w:num>
  <w:num w:numId="18">
    <w:abstractNumId w:val="15"/>
  </w:num>
  <w:num w:numId="19">
    <w:abstractNumId w:val="7"/>
  </w:num>
  <w:num w:numId="20">
    <w:abstractNumId w:val="23"/>
  </w:num>
  <w:num w:numId="21">
    <w:abstractNumId w:val="25"/>
  </w:num>
  <w:num w:numId="22">
    <w:abstractNumId w:val="6"/>
  </w:num>
  <w:num w:numId="23">
    <w:abstractNumId w:val="28"/>
  </w:num>
  <w:num w:numId="24">
    <w:abstractNumId w:val="4"/>
  </w:num>
  <w:num w:numId="25">
    <w:abstractNumId w:val="16"/>
  </w:num>
  <w:num w:numId="26">
    <w:abstractNumId w:val="1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51B4"/>
    <w:rsid w:val="000A4B02"/>
    <w:rsid w:val="000A77B5"/>
    <w:rsid w:val="000A7B66"/>
    <w:rsid w:val="000D1743"/>
    <w:rsid w:val="000F6CBB"/>
    <w:rsid w:val="000F7162"/>
    <w:rsid w:val="0010615C"/>
    <w:rsid w:val="001102C3"/>
    <w:rsid w:val="00110A8D"/>
    <w:rsid w:val="00122625"/>
    <w:rsid w:val="001574EC"/>
    <w:rsid w:val="00166140"/>
    <w:rsid w:val="00194B6A"/>
    <w:rsid w:val="001A51F3"/>
    <w:rsid w:val="001A57F0"/>
    <w:rsid w:val="001C545F"/>
    <w:rsid w:val="001C62B2"/>
    <w:rsid w:val="001D3F34"/>
    <w:rsid w:val="001E0928"/>
    <w:rsid w:val="001E20CB"/>
    <w:rsid w:val="001E2CC0"/>
    <w:rsid w:val="0020315F"/>
    <w:rsid w:val="002036ED"/>
    <w:rsid w:val="00214EC5"/>
    <w:rsid w:val="00225026"/>
    <w:rsid w:val="00242A80"/>
    <w:rsid w:val="00260D6C"/>
    <w:rsid w:val="002620E9"/>
    <w:rsid w:val="00281310"/>
    <w:rsid w:val="002C1F75"/>
    <w:rsid w:val="002D6857"/>
    <w:rsid w:val="002E1956"/>
    <w:rsid w:val="002F1A5D"/>
    <w:rsid w:val="0030241F"/>
    <w:rsid w:val="00333DB9"/>
    <w:rsid w:val="00343601"/>
    <w:rsid w:val="00346358"/>
    <w:rsid w:val="00346DBD"/>
    <w:rsid w:val="00347624"/>
    <w:rsid w:val="00362382"/>
    <w:rsid w:val="00367E00"/>
    <w:rsid w:val="003705BB"/>
    <w:rsid w:val="003747A5"/>
    <w:rsid w:val="00382F3C"/>
    <w:rsid w:val="00386688"/>
    <w:rsid w:val="00393E96"/>
    <w:rsid w:val="003B72E1"/>
    <w:rsid w:val="003C4F79"/>
    <w:rsid w:val="003D7B9E"/>
    <w:rsid w:val="003F48AA"/>
    <w:rsid w:val="00412952"/>
    <w:rsid w:val="004134F8"/>
    <w:rsid w:val="00424DE3"/>
    <w:rsid w:val="00427810"/>
    <w:rsid w:val="00444048"/>
    <w:rsid w:val="00452F18"/>
    <w:rsid w:val="0046491C"/>
    <w:rsid w:val="00471ACB"/>
    <w:rsid w:val="0048490F"/>
    <w:rsid w:val="004C6BBF"/>
    <w:rsid w:val="00525DF2"/>
    <w:rsid w:val="00532410"/>
    <w:rsid w:val="005748DC"/>
    <w:rsid w:val="00575478"/>
    <w:rsid w:val="005A3267"/>
    <w:rsid w:val="005D4F74"/>
    <w:rsid w:val="005F6A90"/>
    <w:rsid w:val="00634736"/>
    <w:rsid w:val="00643C7E"/>
    <w:rsid w:val="006728FD"/>
    <w:rsid w:val="0069498B"/>
    <w:rsid w:val="006D268B"/>
    <w:rsid w:val="00702BD9"/>
    <w:rsid w:val="00707CF9"/>
    <w:rsid w:val="0071343D"/>
    <w:rsid w:val="00717C0D"/>
    <w:rsid w:val="0072136B"/>
    <w:rsid w:val="0076241F"/>
    <w:rsid w:val="00770016"/>
    <w:rsid w:val="00790E37"/>
    <w:rsid w:val="007A7FAD"/>
    <w:rsid w:val="007C43FB"/>
    <w:rsid w:val="007D1488"/>
    <w:rsid w:val="00814E97"/>
    <w:rsid w:val="00817341"/>
    <w:rsid w:val="008208E5"/>
    <w:rsid w:val="0082452E"/>
    <w:rsid w:val="008361CA"/>
    <w:rsid w:val="008460C4"/>
    <w:rsid w:val="00847389"/>
    <w:rsid w:val="00850252"/>
    <w:rsid w:val="00856FA1"/>
    <w:rsid w:val="008702E8"/>
    <w:rsid w:val="0087360A"/>
    <w:rsid w:val="008822B3"/>
    <w:rsid w:val="008858F1"/>
    <w:rsid w:val="008911CF"/>
    <w:rsid w:val="008977B4"/>
    <w:rsid w:val="008B03B6"/>
    <w:rsid w:val="008E1DCC"/>
    <w:rsid w:val="008E4EE4"/>
    <w:rsid w:val="008F3E81"/>
    <w:rsid w:val="00900E75"/>
    <w:rsid w:val="00902248"/>
    <w:rsid w:val="009156AC"/>
    <w:rsid w:val="00927C4F"/>
    <w:rsid w:val="00937AD9"/>
    <w:rsid w:val="00937D7D"/>
    <w:rsid w:val="0094239C"/>
    <w:rsid w:val="00950792"/>
    <w:rsid w:val="0099266A"/>
    <w:rsid w:val="009A3355"/>
    <w:rsid w:val="009A5396"/>
    <w:rsid w:val="009C4EF6"/>
    <w:rsid w:val="009D2892"/>
    <w:rsid w:val="009E3A26"/>
    <w:rsid w:val="00A043A9"/>
    <w:rsid w:val="00A414BE"/>
    <w:rsid w:val="00A626F8"/>
    <w:rsid w:val="00A63717"/>
    <w:rsid w:val="00AA49F3"/>
    <w:rsid w:val="00AB023D"/>
    <w:rsid w:val="00AB126B"/>
    <w:rsid w:val="00AC381E"/>
    <w:rsid w:val="00AC75E5"/>
    <w:rsid w:val="00AE4797"/>
    <w:rsid w:val="00AE5BD5"/>
    <w:rsid w:val="00AF4BBD"/>
    <w:rsid w:val="00B05F48"/>
    <w:rsid w:val="00B120CA"/>
    <w:rsid w:val="00B60F10"/>
    <w:rsid w:val="00B62245"/>
    <w:rsid w:val="00B8686D"/>
    <w:rsid w:val="00B951FF"/>
    <w:rsid w:val="00BC7B0C"/>
    <w:rsid w:val="00BF2070"/>
    <w:rsid w:val="00BF3534"/>
    <w:rsid w:val="00C3709F"/>
    <w:rsid w:val="00C41CE1"/>
    <w:rsid w:val="00C7250F"/>
    <w:rsid w:val="00C872FA"/>
    <w:rsid w:val="00C901A6"/>
    <w:rsid w:val="00CE0823"/>
    <w:rsid w:val="00CF2F92"/>
    <w:rsid w:val="00CF52FE"/>
    <w:rsid w:val="00D1242B"/>
    <w:rsid w:val="00D15396"/>
    <w:rsid w:val="00D23B79"/>
    <w:rsid w:val="00D25878"/>
    <w:rsid w:val="00D33AF9"/>
    <w:rsid w:val="00D363F7"/>
    <w:rsid w:val="00D5296C"/>
    <w:rsid w:val="00D72985"/>
    <w:rsid w:val="00D7508B"/>
    <w:rsid w:val="00DB7D4E"/>
    <w:rsid w:val="00DC790E"/>
    <w:rsid w:val="00DD7431"/>
    <w:rsid w:val="00DF6F7E"/>
    <w:rsid w:val="00E34F08"/>
    <w:rsid w:val="00E61AB8"/>
    <w:rsid w:val="00E706DA"/>
    <w:rsid w:val="00E83E93"/>
    <w:rsid w:val="00E90EB5"/>
    <w:rsid w:val="00E94FBF"/>
    <w:rsid w:val="00EF0C2D"/>
    <w:rsid w:val="00F45161"/>
    <w:rsid w:val="00F46E78"/>
    <w:rsid w:val="00F5642A"/>
    <w:rsid w:val="00F747F8"/>
    <w:rsid w:val="00F857BC"/>
    <w:rsid w:val="00F86F26"/>
    <w:rsid w:val="00FC5012"/>
    <w:rsid w:val="00FE6326"/>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B72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166140"/>
    <w:pPr>
      <w:tabs>
        <w:tab w:val="left" w:pos="440"/>
        <w:tab w:val="right" w:leader="dot" w:pos="8828"/>
      </w:tabs>
      <w:spacing w:after="100" w:line="48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3B72E1"/>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3B72E1"/>
    <w:pPr>
      <w:spacing w:after="100"/>
      <w:ind w:left="220"/>
    </w:pPr>
  </w:style>
  <w:style w:type="character" w:customStyle="1" w:styleId="SinespaciadoCar">
    <w:name w:val="Sin espaciado Car"/>
    <w:aliases w:val="Francesa Car"/>
    <w:link w:val="Sinespaciado"/>
    <w:uiPriority w:val="1"/>
    <w:locked/>
    <w:rsid w:val="001E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516118019">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CC46-2544-4E22-9388-122B251A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Pages>
  <Words>2375</Words>
  <Characters>13065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2019-01-28T23:53:00Z</cp:lastPrinted>
  <dcterms:created xsi:type="dcterms:W3CDTF">2019-01-28T20:20:00Z</dcterms:created>
  <dcterms:modified xsi:type="dcterms:W3CDTF">2019-01-29T00:00:00Z</dcterms:modified>
</cp:coreProperties>
</file>