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57CA9" w:rsidRDefault="009E0861" w:rsidP="006C76CB">
      <w:pPr>
        <w:spacing w:after="0" w:line="360" w:lineRule="auto"/>
        <w:jc w:val="both"/>
        <w:rPr>
          <w:rFonts w:ascii="Palatino Linotype" w:hAnsi="Palatino Linotype" w:cs="Tahoma"/>
          <w:b/>
          <w:sz w:val="24"/>
          <w:szCs w:val="24"/>
        </w:rPr>
      </w:pPr>
      <w:r w:rsidRPr="00557CA9">
        <w:rPr>
          <w:rFonts w:ascii="Palatino Linotype" w:hAnsi="Palatino Linotype" w:cs="Tahoma"/>
          <w:b/>
          <w:sz w:val="24"/>
          <w:szCs w:val="24"/>
        </w:rPr>
        <w:t>VOTO PARTICULAR QUE FORMULA EL COMISIONAD</w:t>
      </w:r>
      <w:r w:rsidR="00EC6BF3">
        <w:rPr>
          <w:rFonts w:ascii="Palatino Linotype" w:hAnsi="Palatino Linotype" w:cs="Tahoma"/>
          <w:b/>
          <w:sz w:val="24"/>
          <w:szCs w:val="24"/>
        </w:rPr>
        <w:t>O LUIS GUSTAVO PARRA NORIEGA, CON</w:t>
      </w:r>
      <w:r w:rsidRPr="00557CA9">
        <w:rPr>
          <w:rFonts w:ascii="Palatino Linotype" w:hAnsi="Palatino Linotype" w:cs="Tahoma"/>
          <w:b/>
          <w:sz w:val="24"/>
          <w:szCs w:val="24"/>
        </w:rPr>
        <w:t xml:space="preserve"> RELACIÓN </w:t>
      </w:r>
      <w:r w:rsidR="00EC6BF3">
        <w:rPr>
          <w:rFonts w:ascii="Palatino Linotype" w:hAnsi="Palatino Linotype" w:cs="Tahoma"/>
          <w:b/>
          <w:sz w:val="24"/>
          <w:szCs w:val="24"/>
        </w:rPr>
        <w:t>A</w:t>
      </w:r>
      <w:r w:rsidRPr="00557CA9">
        <w:rPr>
          <w:rFonts w:ascii="Palatino Linotype" w:hAnsi="Palatino Linotype" w:cs="Tahoma"/>
          <w:b/>
          <w:sz w:val="24"/>
          <w:szCs w:val="24"/>
        </w:rPr>
        <w:t xml:space="preserve"> LA RESO</w:t>
      </w:r>
      <w:r w:rsidR="00D32C2C" w:rsidRPr="00557CA9">
        <w:rPr>
          <w:rFonts w:ascii="Palatino Linotype" w:hAnsi="Palatino Linotype" w:cs="Tahoma"/>
          <w:b/>
          <w:sz w:val="24"/>
          <w:szCs w:val="24"/>
        </w:rPr>
        <w:t>LUCIÓN DEL RECURSO DE REVISIÓN 0</w:t>
      </w:r>
      <w:r w:rsidR="005E0B42" w:rsidRPr="00557CA9">
        <w:rPr>
          <w:rFonts w:ascii="Palatino Linotype" w:hAnsi="Palatino Linotype" w:cs="Tahoma"/>
          <w:b/>
          <w:sz w:val="24"/>
          <w:szCs w:val="24"/>
        </w:rPr>
        <w:t>4135</w:t>
      </w:r>
      <w:r w:rsidRPr="00557CA9">
        <w:rPr>
          <w:rFonts w:ascii="Palatino Linotype" w:hAnsi="Palatino Linotype" w:cs="Tahoma"/>
          <w:b/>
          <w:sz w:val="24"/>
          <w:szCs w:val="24"/>
        </w:rPr>
        <w:t>/INFOEM/IP/RR/2018</w:t>
      </w:r>
      <w:r w:rsidR="005E0B42" w:rsidRPr="00557CA9">
        <w:rPr>
          <w:rFonts w:ascii="Palatino Linotype" w:hAnsi="Palatino Linotype" w:cs="Tahoma"/>
          <w:b/>
          <w:sz w:val="24"/>
          <w:szCs w:val="24"/>
        </w:rPr>
        <w:t xml:space="preserve"> Y ACUMULADO</w:t>
      </w:r>
      <w:r w:rsidRPr="00557CA9">
        <w:rPr>
          <w:rFonts w:ascii="Palatino Linotype" w:hAnsi="Palatino Linotype" w:cs="Tahoma"/>
          <w:b/>
          <w:sz w:val="24"/>
          <w:szCs w:val="24"/>
        </w:rPr>
        <w:t>, PROMOVIDO EN CONTRA DE</w:t>
      </w:r>
      <w:r w:rsidR="005E0B42" w:rsidRPr="00557CA9">
        <w:rPr>
          <w:rFonts w:ascii="Palatino Linotype" w:hAnsi="Palatino Linotype" w:cs="Tahoma"/>
          <w:b/>
          <w:sz w:val="24"/>
          <w:szCs w:val="24"/>
        </w:rPr>
        <w:t xml:space="preserve"> LA UNIVERSIDAD POLITÉCNICA DEL VALLE DE TOLUCA</w:t>
      </w:r>
      <w:r w:rsidR="00500949" w:rsidRPr="00557CA9">
        <w:rPr>
          <w:rFonts w:ascii="Palatino Linotype" w:hAnsi="Palatino Linotype" w:cs="Tahoma"/>
          <w:b/>
          <w:sz w:val="24"/>
          <w:szCs w:val="24"/>
        </w:rPr>
        <w:t>.</w:t>
      </w:r>
    </w:p>
    <w:p w:rsidR="00500949" w:rsidRPr="00557CA9" w:rsidRDefault="00500949" w:rsidP="006C76CB">
      <w:pPr>
        <w:spacing w:after="0" w:line="360" w:lineRule="auto"/>
        <w:jc w:val="both"/>
        <w:rPr>
          <w:rFonts w:ascii="Palatino Linotype" w:hAnsi="Palatino Linotype" w:cs="Tahoma"/>
          <w:sz w:val="24"/>
          <w:szCs w:val="24"/>
        </w:rPr>
      </w:pPr>
    </w:p>
    <w:p w:rsidR="009E0861" w:rsidRPr="00557CA9" w:rsidRDefault="009E0861" w:rsidP="006C76CB">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557CA9">
        <w:rPr>
          <w:rFonts w:ascii="Palatino Linotype" w:hAnsi="Palatino Linotype" w:cs="Tahoma"/>
          <w:b/>
          <w:sz w:val="24"/>
          <w:szCs w:val="24"/>
        </w:rPr>
        <w:t>Voto Particular</w:t>
      </w:r>
      <w:r w:rsidRPr="00557CA9">
        <w:rPr>
          <w:rFonts w:ascii="Palatino Linotype" w:hAnsi="Palatino Linotype" w:cs="Tahoma"/>
          <w:sz w:val="24"/>
          <w:szCs w:val="24"/>
        </w:rPr>
        <w:t xml:space="preserve"> por no compartir en su totalidad las consideraciones que sustentan la Resolución del Recurso de Revisión </w:t>
      </w:r>
      <w:r w:rsidR="00D50D8F" w:rsidRPr="00557CA9">
        <w:rPr>
          <w:rFonts w:ascii="Palatino Linotype" w:hAnsi="Palatino Linotype" w:cs="Tahoma"/>
          <w:b/>
          <w:sz w:val="24"/>
          <w:szCs w:val="24"/>
        </w:rPr>
        <w:t>0</w:t>
      </w:r>
      <w:r w:rsidR="005E0B42" w:rsidRPr="00557CA9">
        <w:rPr>
          <w:rFonts w:ascii="Palatino Linotype" w:hAnsi="Palatino Linotype" w:cs="Tahoma"/>
          <w:b/>
          <w:sz w:val="24"/>
          <w:szCs w:val="24"/>
        </w:rPr>
        <w:t>4135</w:t>
      </w:r>
      <w:r w:rsidR="00D50D8F" w:rsidRPr="00557CA9">
        <w:rPr>
          <w:rFonts w:ascii="Palatino Linotype" w:hAnsi="Palatino Linotype" w:cs="Tahoma"/>
          <w:b/>
          <w:sz w:val="24"/>
          <w:szCs w:val="24"/>
        </w:rPr>
        <w:t>/INFOEM/IP/RR/2018</w:t>
      </w:r>
      <w:r w:rsidR="005E0B42" w:rsidRPr="00557CA9">
        <w:rPr>
          <w:rFonts w:ascii="Palatino Linotype" w:hAnsi="Palatino Linotype" w:cs="Tahoma"/>
          <w:sz w:val="24"/>
          <w:szCs w:val="24"/>
        </w:rPr>
        <w:t xml:space="preserve"> </w:t>
      </w:r>
      <w:r w:rsidR="005E0B42" w:rsidRPr="00557CA9">
        <w:rPr>
          <w:rFonts w:ascii="Palatino Linotype" w:hAnsi="Palatino Linotype" w:cs="Tahoma"/>
          <w:b/>
          <w:sz w:val="24"/>
          <w:szCs w:val="24"/>
        </w:rPr>
        <w:t>y Acumulado.</w:t>
      </w:r>
    </w:p>
    <w:p w:rsidR="009E0861" w:rsidRPr="00557CA9" w:rsidRDefault="009E0861" w:rsidP="006C76CB">
      <w:pPr>
        <w:spacing w:after="0" w:line="360" w:lineRule="auto"/>
        <w:jc w:val="both"/>
        <w:rPr>
          <w:rFonts w:ascii="Palatino Linotype" w:hAnsi="Palatino Linotype" w:cs="Tahoma"/>
          <w:sz w:val="24"/>
          <w:szCs w:val="24"/>
        </w:rPr>
      </w:pPr>
    </w:p>
    <w:p w:rsidR="009E0861" w:rsidRPr="00557CA9" w:rsidRDefault="00EA7E26"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C</w:t>
      </w:r>
      <w:r w:rsidR="009E0861" w:rsidRPr="00557CA9">
        <w:rPr>
          <w:rFonts w:ascii="Palatino Linotype" w:hAnsi="Palatino Linotype" w:cs="Tahoma"/>
          <w:sz w:val="24"/>
          <w:szCs w:val="24"/>
        </w:rPr>
        <w:t xml:space="preserve">omo se desprende de la </w:t>
      </w:r>
      <w:r w:rsidR="00EC6BF3">
        <w:rPr>
          <w:rFonts w:ascii="Palatino Linotype" w:hAnsi="Palatino Linotype" w:cs="Tahoma"/>
          <w:sz w:val="24"/>
          <w:szCs w:val="24"/>
        </w:rPr>
        <w:t>R</w:t>
      </w:r>
      <w:r w:rsidR="009E0861" w:rsidRPr="00557CA9">
        <w:rPr>
          <w:rFonts w:ascii="Palatino Linotype" w:hAnsi="Palatino Linotype" w:cs="Tahoma"/>
          <w:sz w:val="24"/>
          <w:szCs w:val="24"/>
        </w:rPr>
        <w:t xml:space="preserve">esolución </w:t>
      </w:r>
      <w:r w:rsidRPr="00557CA9">
        <w:rPr>
          <w:rFonts w:ascii="Palatino Linotype" w:hAnsi="Palatino Linotype" w:cs="Tahoma"/>
          <w:sz w:val="24"/>
          <w:szCs w:val="24"/>
        </w:rPr>
        <w:t>que nos ocupa</w:t>
      </w:r>
      <w:r w:rsidR="005A7FBC" w:rsidRPr="00557CA9">
        <w:rPr>
          <w:rFonts w:ascii="Palatino Linotype" w:hAnsi="Palatino Linotype" w:cs="Tahoma"/>
          <w:sz w:val="24"/>
          <w:szCs w:val="24"/>
        </w:rPr>
        <w:t>, la</w:t>
      </w:r>
      <w:r w:rsidR="009E0861" w:rsidRPr="00557CA9">
        <w:rPr>
          <w:rFonts w:ascii="Palatino Linotype" w:hAnsi="Palatino Linotype" w:cs="Tahoma"/>
          <w:sz w:val="24"/>
          <w:szCs w:val="24"/>
        </w:rPr>
        <w:t xml:space="preserve"> solicitante, requirió</w:t>
      </w:r>
      <w:r w:rsidR="00243617" w:rsidRPr="00557CA9">
        <w:rPr>
          <w:rFonts w:ascii="Palatino Linotype" w:hAnsi="Palatino Linotype" w:cs="Tahoma"/>
          <w:sz w:val="24"/>
          <w:szCs w:val="24"/>
        </w:rPr>
        <w:t xml:space="preserve"> </w:t>
      </w:r>
      <w:r w:rsidR="005E0B42" w:rsidRPr="00557CA9">
        <w:rPr>
          <w:rFonts w:ascii="Palatino Linotype" w:hAnsi="Palatino Linotype" w:cs="Tahoma"/>
          <w:sz w:val="24"/>
          <w:szCs w:val="24"/>
        </w:rPr>
        <w:t xml:space="preserve">conocer el histórico de los pagos efectuados por concepto de salón y comida en las amenidades efectuadas en los meses de mayo y diciembre. En respuesta, la Universidad Politécnica del Valle de Toluca manifestó que, una vez efectuada la búsqueda de la información en un periodo que abarca del primero de octubre de dos mil diecisiete al primero de octubre de dos mil dieciocho, no fue posible localizar documento alguno que dé cuenta </w:t>
      </w:r>
      <w:r w:rsidR="005A7FBC" w:rsidRPr="00557CA9">
        <w:rPr>
          <w:rFonts w:ascii="Palatino Linotype" w:hAnsi="Palatino Linotype" w:cs="Tahoma"/>
          <w:sz w:val="24"/>
          <w:szCs w:val="24"/>
        </w:rPr>
        <w:t xml:space="preserve">de gastos por concepto de renta de salón; por otro </w:t>
      </w:r>
      <w:r w:rsidR="005A7FBC" w:rsidRPr="00557CA9">
        <w:rPr>
          <w:rFonts w:ascii="Palatino Linotype" w:hAnsi="Palatino Linotype" w:cs="Tahoma"/>
          <w:sz w:val="24"/>
          <w:szCs w:val="24"/>
        </w:rPr>
        <w:lastRenderedPageBreak/>
        <w:t>lado, proporciono un documento con información relativa al gasto por concepto de comida en el mes de mayo de dos mil dieciocho.</w:t>
      </w:r>
    </w:p>
    <w:p w:rsidR="005A7FBC" w:rsidRPr="00557CA9" w:rsidRDefault="005A7FBC" w:rsidP="005E0B42">
      <w:pPr>
        <w:spacing w:after="0" w:line="360" w:lineRule="auto"/>
        <w:jc w:val="both"/>
        <w:rPr>
          <w:rFonts w:ascii="Palatino Linotype" w:hAnsi="Palatino Linotype" w:cs="Tahoma"/>
          <w:sz w:val="24"/>
          <w:szCs w:val="24"/>
        </w:rPr>
      </w:pPr>
    </w:p>
    <w:p w:rsidR="005A7FBC" w:rsidRPr="00557CA9" w:rsidRDefault="005A7FBC"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Inconforme con lo ante</w:t>
      </w:r>
      <w:r w:rsidR="00EC6BF3">
        <w:rPr>
          <w:rFonts w:ascii="Palatino Linotype" w:hAnsi="Palatino Linotype" w:cs="Tahoma"/>
          <w:sz w:val="24"/>
          <w:szCs w:val="24"/>
        </w:rPr>
        <w:t>rior, la Particular interpuso</w:t>
      </w:r>
      <w:r w:rsidRPr="00557CA9">
        <w:rPr>
          <w:rFonts w:ascii="Palatino Linotype" w:hAnsi="Palatino Linotype" w:cs="Tahoma"/>
          <w:sz w:val="24"/>
          <w:szCs w:val="24"/>
        </w:rPr>
        <w:t xml:space="preserve"> Recurso de Revisión ante este Instituto, por virtud del cual manifestó como agravio la negativa del Sujeto Obligado a proporcionarle la inform</w:t>
      </w:r>
      <w:r w:rsidR="00EC6BF3">
        <w:rPr>
          <w:rFonts w:ascii="Palatino Linotype" w:hAnsi="Palatino Linotype" w:cs="Tahoma"/>
          <w:sz w:val="24"/>
          <w:szCs w:val="24"/>
        </w:rPr>
        <w:t>ación requerida, toda vez que</w:t>
      </w:r>
      <w:r w:rsidRPr="00557CA9">
        <w:rPr>
          <w:rFonts w:ascii="Palatino Linotype" w:hAnsi="Palatino Linotype" w:cs="Tahoma"/>
          <w:sz w:val="24"/>
          <w:szCs w:val="24"/>
        </w:rPr>
        <w:t xml:space="preserve"> solicitó el histórico y únicamente se efectuó la búsqueda de la información a partir de un año anterior a la fecha de interposición de las solicitud de información.</w:t>
      </w:r>
    </w:p>
    <w:p w:rsidR="005A7FBC" w:rsidRPr="00557CA9" w:rsidRDefault="005A7FBC" w:rsidP="005E0B42">
      <w:pPr>
        <w:spacing w:after="0" w:line="360" w:lineRule="auto"/>
        <w:jc w:val="both"/>
        <w:rPr>
          <w:rFonts w:ascii="Palatino Linotype" w:hAnsi="Palatino Linotype" w:cs="Tahoma"/>
          <w:sz w:val="24"/>
          <w:szCs w:val="24"/>
        </w:rPr>
      </w:pPr>
    </w:p>
    <w:p w:rsidR="005A7FBC" w:rsidRPr="00557CA9" w:rsidRDefault="005A7FBC"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 xml:space="preserve">Así las cosas, la Ponencia Resolutora, </w:t>
      </w:r>
      <w:r w:rsidR="00544A11">
        <w:rPr>
          <w:rFonts w:ascii="Palatino Linotype" w:hAnsi="Palatino Linotype" w:cs="Tahoma"/>
          <w:sz w:val="24"/>
          <w:szCs w:val="24"/>
        </w:rPr>
        <w:t>c</w:t>
      </w:r>
      <w:r w:rsidR="00544A11" w:rsidRPr="00544A11">
        <w:rPr>
          <w:rFonts w:ascii="Palatino Linotype" w:hAnsi="Palatino Linotype" w:cs="Tahoma"/>
          <w:sz w:val="24"/>
          <w:szCs w:val="24"/>
        </w:rPr>
        <w:t xml:space="preserve">on base en la definición de “histórico”, determinó que la pretensión de la Particular era obtener la información desde el inicio de operaciones de la Universidad Politécnica del Valle de Toluca, a saber, el tres de octubre de dos mil diez. Aun así, </w:t>
      </w:r>
      <w:r w:rsidR="00506EB0" w:rsidRPr="00557CA9">
        <w:rPr>
          <w:rFonts w:ascii="Palatino Linotype" w:hAnsi="Palatino Linotype" w:cs="Tahoma"/>
          <w:sz w:val="24"/>
          <w:szCs w:val="24"/>
        </w:rPr>
        <w:t xml:space="preserve">con </w:t>
      </w:r>
      <w:r w:rsidR="00544A11">
        <w:rPr>
          <w:rFonts w:ascii="Palatino Linotype" w:hAnsi="Palatino Linotype" w:cs="Tahoma"/>
          <w:sz w:val="24"/>
          <w:szCs w:val="24"/>
        </w:rPr>
        <w:t>apoyo</w:t>
      </w:r>
      <w:r w:rsidR="00506EB0" w:rsidRPr="00557CA9">
        <w:rPr>
          <w:rFonts w:ascii="Palatino Linotype" w:hAnsi="Palatino Linotype" w:cs="Tahoma"/>
          <w:sz w:val="24"/>
          <w:szCs w:val="24"/>
        </w:rPr>
        <w:t xml:space="preserve"> en los Lineamientos para la Organización y Conservación de los Archivos, publicados el cuatro de mayo de dos mil dieciséis, por el Consejo Nacional del Sistema Nacional de Transparencia, así como en los Lineamientos para la Valoración, Selección y Baja de los Documentos, Expedientes y Series de Trámite Concluido en los Archivos del Estado de México, publicados el veintinueve de mayo de dos mil quince, en la Gaceta del Gobierno del Estado de México, determinó que </w:t>
      </w:r>
      <w:r w:rsidR="002C76BE" w:rsidRPr="00544A11">
        <w:rPr>
          <w:rFonts w:ascii="Palatino Linotype" w:hAnsi="Palatino Linotype" w:cs="Tahoma"/>
          <w:b/>
          <w:sz w:val="24"/>
          <w:szCs w:val="24"/>
          <w:u w:val="single"/>
        </w:rPr>
        <w:t>la información administrativa tiene un ciclo de vida de 8 años, por lo que:</w:t>
      </w:r>
    </w:p>
    <w:p w:rsidR="002C76BE" w:rsidRPr="00557CA9" w:rsidRDefault="002C76BE" w:rsidP="005E0B42">
      <w:pPr>
        <w:spacing w:after="0" w:line="360" w:lineRule="auto"/>
        <w:jc w:val="both"/>
        <w:rPr>
          <w:rFonts w:ascii="Palatino Linotype" w:hAnsi="Palatino Linotype" w:cs="Tahoma"/>
          <w:sz w:val="24"/>
          <w:szCs w:val="24"/>
        </w:rPr>
      </w:pPr>
    </w:p>
    <w:p w:rsidR="002C76BE" w:rsidRPr="00557CA9" w:rsidRDefault="002C76BE" w:rsidP="002C76BE">
      <w:pPr>
        <w:spacing w:after="0" w:line="360" w:lineRule="auto"/>
        <w:ind w:left="567" w:right="567"/>
        <w:jc w:val="both"/>
        <w:rPr>
          <w:rFonts w:ascii="Palatino Linotype" w:hAnsi="Palatino Linotype" w:cs="Tahoma"/>
          <w:b/>
          <w:i/>
          <w:sz w:val="20"/>
          <w:szCs w:val="20"/>
          <w:lang w:val="es-MX"/>
        </w:rPr>
      </w:pPr>
      <w:r w:rsidRPr="00557CA9">
        <w:rPr>
          <w:rFonts w:ascii="Palatino Linotype" w:hAnsi="Palatino Linotype" w:cs="Tahoma"/>
          <w:i/>
          <w:sz w:val="20"/>
          <w:szCs w:val="20"/>
          <w:lang w:val="es-MX"/>
        </w:rPr>
        <w:t xml:space="preserve">…se debe proporcionar los documentos en donde consten los pagos por concepto de salón y alimentos referente a convivios o festividades institucionales, </w:t>
      </w:r>
      <w:r w:rsidRPr="00557CA9">
        <w:rPr>
          <w:rFonts w:ascii="Palatino Linotype" w:hAnsi="Palatino Linotype" w:cs="Tahoma"/>
          <w:b/>
          <w:i/>
          <w:sz w:val="20"/>
          <w:szCs w:val="20"/>
          <w:lang w:val="es-MX"/>
        </w:rPr>
        <w:t xml:space="preserve">en el periodo que comprende del tres de octubre de dos mil diez al tres de octubre de dos mil diecisiete, toda vez que ya se pronunció de un año anterior a la fecha de la solicitud de información así de esa </w:t>
      </w:r>
      <w:r w:rsidRPr="00557CA9">
        <w:rPr>
          <w:rFonts w:ascii="Palatino Linotype" w:hAnsi="Palatino Linotype" w:cs="Tahoma"/>
          <w:b/>
          <w:i/>
          <w:sz w:val="20"/>
          <w:szCs w:val="20"/>
          <w:lang w:val="es-MX"/>
        </w:rPr>
        <w:lastRenderedPageBreak/>
        <w:t>forma el sujeto obligado estaría dando a conocer los pagos referidos en las solicitudes anteriormente citadas, así como los que históricamente han llevado a cabo.</w:t>
      </w:r>
    </w:p>
    <w:p w:rsidR="002C76BE" w:rsidRPr="00557CA9" w:rsidRDefault="002C76BE" w:rsidP="005E0B42">
      <w:pPr>
        <w:spacing w:after="0" w:line="360" w:lineRule="auto"/>
        <w:jc w:val="both"/>
        <w:rPr>
          <w:rFonts w:ascii="Palatino Linotype" w:hAnsi="Palatino Linotype" w:cs="Tahoma"/>
          <w:sz w:val="24"/>
          <w:szCs w:val="24"/>
        </w:rPr>
      </w:pPr>
    </w:p>
    <w:p w:rsidR="005E0B42" w:rsidRPr="00557CA9" w:rsidRDefault="002C76BE"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 xml:space="preserve">En otras palabras, la búsqueda de la información sólo debe </w:t>
      </w:r>
      <w:r w:rsidR="0000160A">
        <w:rPr>
          <w:rFonts w:ascii="Palatino Linotype" w:hAnsi="Palatino Linotype" w:cs="Tahoma"/>
          <w:sz w:val="24"/>
          <w:szCs w:val="24"/>
        </w:rPr>
        <w:t xml:space="preserve">efectuarse </w:t>
      </w:r>
      <w:r w:rsidRPr="00557CA9">
        <w:rPr>
          <w:rFonts w:ascii="Palatino Linotype" w:hAnsi="Palatino Linotype" w:cs="Tahoma"/>
          <w:sz w:val="24"/>
          <w:szCs w:val="24"/>
        </w:rPr>
        <w:t xml:space="preserve">a partir de ocho años a tras de la fecha de interposición de la solicitud, pues toda aquella que sea anterior al ciclo de vida útil </w:t>
      </w:r>
      <w:r w:rsidR="0000160A">
        <w:rPr>
          <w:rFonts w:ascii="Palatino Linotype" w:hAnsi="Palatino Linotype" w:cs="Tahoma"/>
          <w:sz w:val="24"/>
          <w:szCs w:val="24"/>
        </w:rPr>
        <w:t xml:space="preserve">debe considerarse que </w:t>
      </w:r>
      <w:r w:rsidRPr="00557CA9">
        <w:rPr>
          <w:rFonts w:ascii="Palatino Linotype" w:hAnsi="Palatino Linotype" w:cs="Tahoma"/>
          <w:sz w:val="24"/>
          <w:szCs w:val="24"/>
        </w:rPr>
        <w:t>se ha dado de baja.</w:t>
      </w:r>
    </w:p>
    <w:p w:rsidR="002C76BE" w:rsidRPr="00557CA9" w:rsidRDefault="002C76BE" w:rsidP="005E0B42">
      <w:pPr>
        <w:spacing w:after="0" w:line="360" w:lineRule="auto"/>
        <w:jc w:val="both"/>
        <w:rPr>
          <w:rFonts w:ascii="Palatino Linotype" w:hAnsi="Palatino Linotype" w:cs="Tahoma"/>
          <w:sz w:val="24"/>
          <w:szCs w:val="24"/>
        </w:rPr>
      </w:pPr>
    </w:p>
    <w:p w:rsidR="005E0B42" w:rsidRPr="0000160A" w:rsidRDefault="002C76BE" w:rsidP="005E0B42">
      <w:pPr>
        <w:spacing w:after="0" w:line="360" w:lineRule="auto"/>
        <w:jc w:val="both"/>
        <w:rPr>
          <w:rFonts w:ascii="Palatino Linotype" w:hAnsi="Palatino Linotype" w:cs="Tahoma"/>
          <w:b/>
          <w:sz w:val="24"/>
          <w:szCs w:val="24"/>
          <w:u w:val="single"/>
        </w:rPr>
      </w:pPr>
      <w:r w:rsidRPr="00557CA9">
        <w:rPr>
          <w:rFonts w:ascii="Palatino Linotype" w:hAnsi="Palatino Linotype" w:cs="Tahoma"/>
          <w:sz w:val="24"/>
          <w:szCs w:val="24"/>
        </w:rPr>
        <w:t xml:space="preserve">No obstante, desde el punto de vista de un servidor, la Ponencia Resolutora </w:t>
      </w:r>
      <w:r w:rsidR="0000160A">
        <w:rPr>
          <w:rFonts w:ascii="Palatino Linotype" w:hAnsi="Palatino Linotype" w:cs="Tahoma"/>
          <w:sz w:val="24"/>
          <w:szCs w:val="24"/>
        </w:rPr>
        <w:t xml:space="preserve">actúa bajo un supuesto del que no se tiene certeza, pues se </w:t>
      </w:r>
      <w:r w:rsidRPr="00557CA9">
        <w:rPr>
          <w:rFonts w:ascii="Palatino Linotype" w:hAnsi="Palatino Linotype" w:cs="Tahoma"/>
          <w:sz w:val="24"/>
          <w:szCs w:val="24"/>
        </w:rPr>
        <w:t xml:space="preserve">debió </w:t>
      </w:r>
      <w:r w:rsidR="005E0458">
        <w:rPr>
          <w:rFonts w:ascii="Palatino Linotype" w:hAnsi="Palatino Linotype" w:cs="Tahoma"/>
          <w:sz w:val="24"/>
          <w:szCs w:val="24"/>
        </w:rPr>
        <w:t>valorar</w:t>
      </w:r>
      <w:r w:rsidRPr="00557CA9">
        <w:rPr>
          <w:rFonts w:ascii="Palatino Linotype" w:hAnsi="Palatino Linotype" w:cs="Tahoma"/>
          <w:sz w:val="24"/>
          <w:szCs w:val="24"/>
        </w:rPr>
        <w:t xml:space="preserve"> que la Ley de Documentos Administrativos e Históricos del Estado de México, publicada el treinta de enero de mil novecientos ochenta y seis, en la Gaceta del Gobierno del Estado de México, en su artículo 8°, dispone que </w:t>
      </w:r>
      <w:r w:rsidRPr="0000160A">
        <w:rPr>
          <w:rFonts w:ascii="Palatino Linotype" w:hAnsi="Palatino Linotype" w:cs="Tahoma"/>
          <w:b/>
          <w:sz w:val="24"/>
          <w:szCs w:val="24"/>
          <w:u w:val="single"/>
        </w:rPr>
        <w:t>los documentos de contenido administrativo de importancia, serán conservados por 20 años.</w:t>
      </w:r>
    </w:p>
    <w:p w:rsidR="002C76BE" w:rsidRPr="00557CA9" w:rsidRDefault="002C76BE" w:rsidP="005E0B42">
      <w:pPr>
        <w:spacing w:after="0" w:line="360" w:lineRule="auto"/>
        <w:jc w:val="both"/>
        <w:rPr>
          <w:rFonts w:ascii="Palatino Linotype" w:hAnsi="Palatino Linotype" w:cs="Tahoma"/>
          <w:sz w:val="24"/>
          <w:szCs w:val="24"/>
        </w:rPr>
      </w:pPr>
    </w:p>
    <w:p w:rsidR="002C76BE" w:rsidRPr="00557CA9" w:rsidRDefault="002F5061"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Por lo que, atendiendo el principio establecido por el artículo primero de la Constitución Política de los Estados Unidos Mexicanos, relativo a que todas las autoridades deben favorecer en todo momento a las personas la protección más amplia, debió prevalecer lo establecido por la Ley de Documentos Administrativos e Históricos del Estado de México y no lo dispuesto en los diversos lineamientos referidos durante la resolución, pues la Ley en cita contempla un periodo mayor para la conservación de la información, en ese sentido, optar por ella, garantiza en mayor medida la protección del derecho de acceso a la información.</w:t>
      </w:r>
    </w:p>
    <w:p w:rsidR="002F5061" w:rsidRDefault="002F5061" w:rsidP="005E0B42">
      <w:pPr>
        <w:spacing w:after="0" w:line="360" w:lineRule="auto"/>
        <w:jc w:val="both"/>
        <w:rPr>
          <w:rFonts w:ascii="Palatino Linotype" w:hAnsi="Palatino Linotype" w:cs="Tahoma"/>
          <w:sz w:val="24"/>
          <w:szCs w:val="24"/>
        </w:rPr>
      </w:pPr>
    </w:p>
    <w:p w:rsidR="005E0458" w:rsidRDefault="005E0458" w:rsidP="005E045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De tal suerte, no bastaba con sólo referir que la obligación para contar con la información se había extinguido para el Sujeto Obligado, sin dar la debida atención </w:t>
      </w:r>
      <w:r>
        <w:rPr>
          <w:rFonts w:ascii="Palatino Linotype" w:hAnsi="Palatino Linotype" w:cs="Tahoma"/>
          <w:sz w:val="24"/>
          <w:szCs w:val="24"/>
        </w:rPr>
        <w:lastRenderedPageBreak/>
        <w:t>de conformidad con lo establecido en los artículos 160, 162 y 169 de la  Ley de Transparencia y Acceso a la Información Pública del Estado de México y Municipios.</w:t>
      </w:r>
    </w:p>
    <w:p w:rsidR="005E0458" w:rsidRPr="00557CA9" w:rsidRDefault="005E0458" w:rsidP="005E0B42">
      <w:pPr>
        <w:spacing w:after="0" w:line="360" w:lineRule="auto"/>
        <w:jc w:val="both"/>
        <w:rPr>
          <w:rFonts w:ascii="Palatino Linotype" w:hAnsi="Palatino Linotype" w:cs="Tahoma"/>
          <w:sz w:val="24"/>
          <w:szCs w:val="24"/>
        </w:rPr>
      </w:pPr>
    </w:p>
    <w:p w:rsidR="005E0B42" w:rsidRPr="00557CA9" w:rsidRDefault="00557CA9" w:rsidP="005E0B42">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 xml:space="preserve">En consecuencia, </w:t>
      </w:r>
      <w:r w:rsidRPr="00557CA9">
        <w:rPr>
          <w:rFonts w:ascii="Palatino Linotype" w:hAnsi="Palatino Linotype" w:cs="Tahoma"/>
          <w:b/>
          <w:sz w:val="24"/>
          <w:szCs w:val="24"/>
        </w:rPr>
        <w:t>se debió ordenar al Sujeto Obligado a efectuar la búsqueda de la información requerida por la Particular, desde la fecha de creación de la Universidad Politécnica del Valle de Toluca, hasta el tres de octubre de dos mil diecisiete</w:t>
      </w:r>
      <w:r w:rsidRPr="00557CA9">
        <w:rPr>
          <w:rFonts w:ascii="Palatino Linotype" w:hAnsi="Palatino Linotype" w:cs="Tahoma"/>
          <w:sz w:val="24"/>
          <w:szCs w:val="24"/>
        </w:rPr>
        <w:t xml:space="preserve">, con la salvedad de que en caso de que la información ya se hubiera dado de baja porque a criterio de quienes la administraban no revestía importancia, se tenía que dar cuenta de tal hecho mediante el acta de baja documental, o bien </w:t>
      </w:r>
      <w:r w:rsidR="001A6A4D">
        <w:rPr>
          <w:rFonts w:ascii="Palatino Linotype" w:hAnsi="Palatino Linotype" w:cs="Tahoma"/>
          <w:sz w:val="24"/>
          <w:szCs w:val="24"/>
        </w:rPr>
        <w:t xml:space="preserve">con la </w:t>
      </w:r>
      <w:r w:rsidRPr="00557CA9">
        <w:rPr>
          <w:rFonts w:ascii="Palatino Linotype" w:hAnsi="Palatino Linotype" w:cs="Tahoma"/>
          <w:sz w:val="24"/>
          <w:szCs w:val="24"/>
        </w:rPr>
        <w:t>declara</w:t>
      </w:r>
      <w:r w:rsidR="001A6A4D">
        <w:rPr>
          <w:rFonts w:ascii="Palatino Linotype" w:hAnsi="Palatino Linotype" w:cs="Tahoma"/>
          <w:sz w:val="24"/>
          <w:szCs w:val="24"/>
        </w:rPr>
        <w:t>toria de</w:t>
      </w:r>
      <w:bookmarkStart w:id="0" w:name="_GoBack"/>
      <w:bookmarkEnd w:id="0"/>
      <w:r w:rsidRPr="00557CA9">
        <w:rPr>
          <w:rFonts w:ascii="Palatino Linotype" w:hAnsi="Palatino Linotype" w:cs="Tahoma"/>
          <w:sz w:val="24"/>
          <w:szCs w:val="24"/>
        </w:rPr>
        <w:t xml:space="preserve"> inexistencia de la información para el caso de que incluso no se tuviera el acta de baja, pues con ello se da plena certeza jurídica a la Particular de que la búsqueda se efectuó y se garantizó su derecho de acceso a la información pública.</w:t>
      </w:r>
    </w:p>
    <w:p w:rsidR="00767DA9" w:rsidRPr="00557CA9" w:rsidRDefault="00767DA9" w:rsidP="006C76CB">
      <w:pPr>
        <w:spacing w:after="0" w:line="360" w:lineRule="auto"/>
        <w:jc w:val="both"/>
        <w:rPr>
          <w:rFonts w:ascii="Palatino Linotype" w:hAnsi="Palatino Linotype" w:cs="Tahoma"/>
          <w:sz w:val="24"/>
          <w:szCs w:val="24"/>
        </w:rPr>
      </w:pPr>
    </w:p>
    <w:p w:rsidR="009E0861" w:rsidRDefault="009E0861" w:rsidP="006C76CB">
      <w:pPr>
        <w:spacing w:after="0" w:line="360" w:lineRule="auto"/>
        <w:jc w:val="both"/>
        <w:rPr>
          <w:rFonts w:ascii="Palatino Linotype" w:hAnsi="Palatino Linotype" w:cs="Tahoma"/>
          <w:sz w:val="24"/>
          <w:szCs w:val="24"/>
        </w:rPr>
      </w:pPr>
      <w:r w:rsidRPr="00557CA9">
        <w:rPr>
          <w:rFonts w:ascii="Palatino Linotype" w:hAnsi="Palatino Linotype" w:cs="Tahoma"/>
          <w:sz w:val="24"/>
          <w:szCs w:val="24"/>
        </w:rPr>
        <w:t xml:space="preserve">Así, con base en los razonamientos expuestos, </w:t>
      </w:r>
      <w:r w:rsidRPr="00557CA9">
        <w:rPr>
          <w:rFonts w:ascii="Palatino Linotype" w:hAnsi="Palatino Linotype" w:cs="Tahoma"/>
          <w:b/>
          <w:sz w:val="24"/>
          <w:szCs w:val="24"/>
        </w:rPr>
        <w:t>se emite el presente Voto Particular</w:t>
      </w:r>
      <w:r w:rsidRPr="00557CA9">
        <w:rPr>
          <w:rFonts w:ascii="Palatino Linotype" w:hAnsi="Palatino Linotype" w:cs="Tahoma"/>
          <w:sz w:val="24"/>
          <w:szCs w:val="24"/>
        </w:rPr>
        <w:t>.</w:t>
      </w:r>
    </w:p>
    <w:p w:rsidR="00557CA9" w:rsidRPr="00557CA9" w:rsidRDefault="00557CA9" w:rsidP="006C76CB">
      <w:pPr>
        <w:spacing w:after="0" w:line="360" w:lineRule="auto"/>
        <w:jc w:val="both"/>
        <w:rPr>
          <w:rFonts w:ascii="Palatino Linotype" w:hAnsi="Palatino Linotype" w:cs="Tahoma"/>
          <w:sz w:val="24"/>
          <w:szCs w:val="24"/>
        </w:rPr>
      </w:pPr>
    </w:p>
    <w:p w:rsidR="00553ADE" w:rsidRPr="00557CA9" w:rsidRDefault="00553ADE" w:rsidP="006C76CB">
      <w:pPr>
        <w:spacing w:after="0" w:line="360" w:lineRule="auto"/>
        <w:jc w:val="center"/>
        <w:rPr>
          <w:rFonts w:ascii="Palatino Linotype" w:hAnsi="Palatino Linotype" w:cs="Tahoma"/>
          <w:b/>
          <w:sz w:val="24"/>
          <w:szCs w:val="24"/>
        </w:rPr>
      </w:pPr>
      <w:r w:rsidRPr="00557CA9">
        <w:rPr>
          <w:rFonts w:ascii="Palatino Linotype" w:hAnsi="Palatino Linotype" w:cs="Tahoma"/>
          <w:b/>
          <w:sz w:val="24"/>
          <w:szCs w:val="24"/>
        </w:rPr>
        <w:t>(Rúbrica)</w:t>
      </w:r>
    </w:p>
    <w:p w:rsidR="00553ADE" w:rsidRPr="00557CA9" w:rsidRDefault="00553ADE" w:rsidP="006C76CB">
      <w:pPr>
        <w:spacing w:after="0" w:line="360" w:lineRule="auto"/>
        <w:jc w:val="center"/>
        <w:rPr>
          <w:rFonts w:ascii="Palatino Linotype" w:hAnsi="Palatino Linotype" w:cs="Tahoma"/>
          <w:b/>
          <w:sz w:val="24"/>
          <w:szCs w:val="24"/>
        </w:rPr>
      </w:pPr>
      <w:r w:rsidRPr="00557CA9">
        <w:rPr>
          <w:rFonts w:ascii="Palatino Linotype" w:hAnsi="Palatino Linotype" w:cs="Tahoma"/>
          <w:b/>
          <w:sz w:val="24"/>
          <w:szCs w:val="24"/>
        </w:rPr>
        <w:t>Luis Gustavo Parra Noriega</w:t>
      </w:r>
    </w:p>
    <w:p w:rsidR="003512C9" w:rsidRPr="00557CA9" w:rsidRDefault="00553ADE" w:rsidP="006C76CB">
      <w:pPr>
        <w:spacing w:after="0" w:line="360" w:lineRule="auto"/>
        <w:jc w:val="center"/>
        <w:rPr>
          <w:rFonts w:ascii="Palatino Linotype" w:hAnsi="Palatino Linotype" w:cs="Tahoma"/>
          <w:sz w:val="24"/>
          <w:szCs w:val="24"/>
        </w:rPr>
      </w:pPr>
      <w:r w:rsidRPr="00557CA9">
        <w:rPr>
          <w:rFonts w:ascii="Palatino Linotype" w:hAnsi="Palatino Linotype" w:cs="Tahoma"/>
          <w:sz w:val="24"/>
          <w:szCs w:val="24"/>
        </w:rPr>
        <w:t>Comisionado</w:t>
      </w:r>
    </w:p>
    <w:sectPr w:rsidR="003512C9" w:rsidRPr="00557CA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5B2" w:rsidRDefault="002115B2" w:rsidP="00EE29F6">
      <w:pPr>
        <w:spacing w:after="0" w:line="240" w:lineRule="auto"/>
      </w:pPr>
      <w:r>
        <w:separator/>
      </w:r>
    </w:p>
  </w:endnote>
  <w:endnote w:type="continuationSeparator" w:id="0">
    <w:p w:rsidR="002115B2" w:rsidRDefault="002115B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1A6A4D">
              <w:rPr>
                <w:b/>
                <w:bCs/>
                <w:noProof/>
              </w:rPr>
              <w:t>4</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1A6A4D">
              <w:rPr>
                <w:b/>
                <w:bCs/>
                <w:noProof/>
              </w:rPr>
              <w:t>4</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5B2" w:rsidRDefault="002115B2" w:rsidP="00EE29F6">
      <w:pPr>
        <w:spacing w:after="0" w:line="240" w:lineRule="auto"/>
      </w:pPr>
      <w:r>
        <w:separator/>
      </w:r>
    </w:p>
  </w:footnote>
  <w:footnote w:type="continuationSeparator" w:id="0">
    <w:p w:rsidR="002115B2" w:rsidRDefault="002115B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959"/>
    </w:tblGrid>
    <w:tr w:rsidR="0077694E" w:rsidRPr="001106EA" w:rsidTr="005E0B42">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250" cy="904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43" cy="905065"/>
                        </a:xfrm>
                        <a:prstGeom prst="rect">
                          <a:avLst/>
                        </a:prstGeom>
                      </pic:spPr>
                    </pic:pic>
                  </a:graphicData>
                </a:graphic>
              </wp:inline>
            </w:drawing>
          </w:r>
        </w:p>
        <w:p w:rsidR="0077694E" w:rsidRDefault="0077694E" w:rsidP="0077694E">
          <w:pPr>
            <w:pStyle w:val="Encabezado"/>
            <w:tabs>
              <w:tab w:val="clear" w:pos="4252"/>
              <w:tab w:val="center" w:pos="2614"/>
            </w:tabs>
          </w:pPr>
        </w:p>
      </w:tc>
      <w:tc>
        <w:tcPr>
          <w:tcW w:w="5959" w:type="dxa"/>
          <w:vAlign w:val="center"/>
        </w:tcPr>
        <w:p w:rsidR="001106EA" w:rsidRPr="00B9745A" w:rsidRDefault="005E0B42" w:rsidP="005E0B42">
          <w:pPr>
            <w:pStyle w:val="Encabezado"/>
            <w:jc w:val="both"/>
            <w:rPr>
              <w:rFonts w:ascii="Palatino Linotype" w:hAnsi="Palatino Linotype" w:cs="Tahoma"/>
              <w:b/>
            </w:rPr>
          </w:pPr>
          <w:r>
            <w:rPr>
              <w:rFonts w:ascii="Palatino Linotype" w:hAnsi="Palatino Linotype" w:cs="Tahoma"/>
              <w:b/>
            </w:rPr>
            <w:t>V</w:t>
          </w:r>
          <w:r w:rsidR="001106EA" w:rsidRPr="00B9745A">
            <w:rPr>
              <w:rFonts w:ascii="Palatino Linotype" w:hAnsi="Palatino Linotype" w:cs="Tahoma"/>
              <w:b/>
            </w:rPr>
            <w:t>oto Particular</w:t>
          </w:r>
        </w:p>
        <w:p w:rsidR="0077694E" w:rsidRPr="00B9745A" w:rsidRDefault="005E0B42" w:rsidP="005E0B42">
          <w:pPr>
            <w:pStyle w:val="Encabezado"/>
            <w:jc w:val="both"/>
            <w:rPr>
              <w:rFonts w:ascii="Palatino Linotype" w:hAnsi="Palatino Linotype" w:cs="Tahoma"/>
              <w:b/>
            </w:rPr>
          </w:pPr>
          <w:r>
            <w:rPr>
              <w:rFonts w:ascii="Palatino Linotype" w:hAnsi="Palatino Linotype" w:cs="Tahoma"/>
              <w:b/>
            </w:rPr>
            <w:t>Recurso de Revisión: 04135</w:t>
          </w:r>
          <w:r w:rsidR="001106EA" w:rsidRPr="00B9745A">
            <w:rPr>
              <w:rFonts w:ascii="Palatino Linotype" w:hAnsi="Palatino Linotype" w:cs="Tahoma"/>
              <w:b/>
            </w:rPr>
            <w:t>/INFOEM/IP/RR/2018</w:t>
          </w:r>
          <w:r w:rsidR="001247C3" w:rsidRPr="00B9745A">
            <w:rPr>
              <w:rFonts w:ascii="Palatino Linotype" w:hAnsi="Palatino Linotype" w:cs="Tahoma"/>
              <w:b/>
            </w:rPr>
            <w:t xml:space="preserve"> </w:t>
          </w:r>
          <w:r>
            <w:rPr>
              <w:rFonts w:ascii="Palatino Linotype" w:hAnsi="Palatino Linotype" w:cs="Tahoma"/>
              <w:b/>
            </w:rPr>
            <w:t>y Acumulado</w:t>
          </w:r>
        </w:p>
        <w:p w:rsidR="006F754E" w:rsidRPr="001106EA" w:rsidRDefault="006F754E" w:rsidP="005E0B42">
          <w:pPr>
            <w:pStyle w:val="Encabezado"/>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5E0B42">
            <w:rPr>
              <w:rFonts w:ascii="Palatino Linotype" w:hAnsi="Palatino Linotype" w:cs="Tahoma"/>
              <w:b/>
            </w:rPr>
            <w:t>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160A"/>
    <w:rsid w:val="00006F73"/>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754FD"/>
    <w:rsid w:val="0018472D"/>
    <w:rsid w:val="00193AA8"/>
    <w:rsid w:val="00197A72"/>
    <w:rsid w:val="001A145C"/>
    <w:rsid w:val="001A6A4D"/>
    <w:rsid w:val="001A6BD9"/>
    <w:rsid w:val="001C1C64"/>
    <w:rsid w:val="001F667B"/>
    <w:rsid w:val="002115B2"/>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C76BE"/>
    <w:rsid w:val="002E5A1A"/>
    <w:rsid w:val="002F4E95"/>
    <w:rsid w:val="002F5061"/>
    <w:rsid w:val="00322675"/>
    <w:rsid w:val="00333B7A"/>
    <w:rsid w:val="003512C9"/>
    <w:rsid w:val="0036006F"/>
    <w:rsid w:val="003A6218"/>
    <w:rsid w:val="003B6547"/>
    <w:rsid w:val="003B7A5E"/>
    <w:rsid w:val="003C0474"/>
    <w:rsid w:val="003C15F3"/>
    <w:rsid w:val="003F2426"/>
    <w:rsid w:val="003F48C2"/>
    <w:rsid w:val="0040139C"/>
    <w:rsid w:val="00412CB2"/>
    <w:rsid w:val="004211BB"/>
    <w:rsid w:val="00433746"/>
    <w:rsid w:val="00434C88"/>
    <w:rsid w:val="00435E69"/>
    <w:rsid w:val="0043730D"/>
    <w:rsid w:val="00445BDF"/>
    <w:rsid w:val="00447F6F"/>
    <w:rsid w:val="0045183E"/>
    <w:rsid w:val="0047538D"/>
    <w:rsid w:val="00490F50"/>
    <w:rsid w:val="004A4555"/>
    <w:rsid w:val="004A555E"/>
    <w:rsid w:val="004B08C4"/>
    <w:rsid w:val="004B532B"/>
    <w:rsid w:val="004B541F"/>
    <w:rsid w:val="004C4912"/>
    <w:rsid w:val="004C6E57"/>
    <w:rsid w:val="004E7007"/>
    <w:rsid w:val="00500949"/>
    <w:rsid w:val="00506EB0"/>
    <w:rsid w:val="00524DA5"/>
    <w:rsid w:val="00526DBD"/>
    <w:rsid w:val="00543DF4"/>
    <w:rsid w:val="00544812"/>
    <w:rsid w:val="00544A11"/>
    <w:rsid w:val="00553ADE"/>
    <w:rsid w:val="00557CA9"/>
    <w:rsid w:val="00560A41"/>
    <w:rsid w:val="0056120D"/>
    <w:rsid w:val="00576423"/>
    <w:rsid w:val="00582CCB"/>
    <w:rsid w:val="00584D73"/>
    <w:rsid w:val="0059329D"/>
    <w:rsid w:val="005A2510"/>
    <w:rsid w:val="005A7FBC"/>
    <w:rsid w:val="005B6967"/>
    <w:rsid w:val="005C094E"/>
    <w:rsid w:val="005C73EE"/>
    <w:rsid w:val="005D11C8"/>
    <w:rsid w:val="005D26CE"/>
    <w:rsid w:val="005E0458"/>
    <w:rsid w:val="005E0B42"/>
    <w:rsid w:val="005E2798"/>
    <w:rsid w:val="00600164"/>
    <w:rsid w:val="00605683"/>
    <w:rsid w:val="006248F2"/>
    <w:rsid w:val="00624DE5"/>
    <w:rsid w:val="00645087"/>
    <w:rsid w:val="00654ACD"/>
    <w:rsid w:val="00657396"/>
    <w:rsid w:val="00681338"/>
    <w:rsid w:val="00682003"/>
    <w:rsid w:val="00684B16"/>
    <w:rsid w:val="006C76CB"/>
    <w:rsid w:val="006F5316"/>
    <w:rsid w:val="006F754E"/>
    <w:rsid w:val="00724F08"/>
    <w:rsid w:val="00730CD7"/>
    <w:rsid w:val="007378E2"/>
    <w:rsid w:val="00742A15"/>
    <w:rsid w:val="007468D5"/>
    <w:rsid w:val="00767DA9"/>
    <w:rsid w:val="0077694E"/>
    <w:rsid w:val="00796A29"/>
    <w:rsid w:val="007A2D13"/>
    <w:rsid w:val="007D3257"/>
    <w:rsid w:val="007D68AF"/>
    <w:rsid w:val="007F1C1D"/>
    <w:rsid w:val="007F7D80"/>
    <w:rsid w:val="0083166F"/>
    <w:rsid w:val="00836BC2"/>
    <w:rsid w:val="00856E29"/>
    <w:rsid w:val="00861757"/>
    <w:rsid w:val="00891412"/>
    <w:rsid w:val="008A0447"/>
    <w:rsid w:val="008A1DE1"/>
    <w:rsid w:val="008A3DA9"/>
    <w:rsid w:val="008B08C9"/>
    <w:rsid w:val="008E54E2"/>
    <w:rsid w:val="008F3B5A"/>
    <w:rsid w:val="009039FE"/>
    <w:rsid w:val="009119E5"/>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41F7"/>
    <w:rsid w:val="009E704F"/>
    <w:rsid w:val="009F6E4A"/>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63C5"/>
    <w:rsid w:val="00B67355"/>
    <w:rsid w:val="00B7393F"/>
    <w:rsid w:val="00B761B1"/>
    <w:rsid w:val="00B9745A"/>
    <w:rsid w:val="00BB6EE3"/>
    <w:rsid w:val="00BC4882"/>
    <w:rsid w:val="00BC55D2"/>
    <w:rsid w:val="00BD06FC"/>
    <w:rsid w:val="00BD4705"/>
    <w:rsid w:val="00BD5DBE"/>
    <w:rsid w:val="00BF1384"/>
    <w:rsid w:val="00C0131C"/>
    <w:rsid w:val="00C30FD6"/>
    <w:rsid w:val="00C31FEE"/>
    <w:rsid w:val="00C55FFC"/>
    <w:rsid w:val="00C75CE0"/>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6CA0"/>
    <w:rsid w:val="00E145E1"/>
    <w:rsid w:val="00E26123"/>
    <w:rsid w:val="00E34559"/>
    <w:rsid w:val="00E345D1"/>
    <w:rsid w:val="00E41481"/>
    <w:rsid w:val="00E416F8"/>
    <w:rsid w:val="00E45036"/>
    <w:rsid w:val="00E656C1"/>
    <w:rsid w:val="00E7538D"/>
    <w:rsid w:val="00E82F77"/>
    <w:rsid w:val="00E83683"/>
    <w:rsid w:val="00EA7E26"/>
    <w:rsid w:val="00EB7128"/>
    <w:rsid w:val="00EC6BF3"/>
    <w:rsid w:val="00EC6DDF"/>
    <w:rsid w:val="00EE29F6"/>
    <w:rsid w:val="00EF482C"/>
    <w:rsid w:val="00F011F6"/>
    <w:rsid w:val="00F14384"/>
    <w:rsid w:val="00F32B83"/>
    <w:rsid w:val="00F4155E"/>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41DB-9C38-4CB8-9080-F163C521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2019-01-14T21:52:00Z</dcterms:created>
  <dcterms:modified xsi:type="dcterms:W3CDTF">2019-01-14T21:56:00Z</dcterms:modified>
</cp:coreProperties>
</file>