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A6D7FD4"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7147C0">
        <w:rPr>
          <w:rFonts w:ascii="Palatino Linotype" w:hAnsi="Palatino Linotype"/>
          <w:color w:val="C00000"/>
        </w:rPr>
        <w:t>veintitrés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E31F0E">
        <w:rPr>
          <w:rFonts w:ascii="Palatino Linotype" w:hAnsi="Palatino Linotype"/>
        </w:rPr>
        <w:t>nueve</w:t>
      </w:r>
      <w:r w:rsidRPr="0040233B">
        <w:rPr>
          <w:rFonts w:ascii="Palatino Linotype" w:hAnsi="Palatino Linotype"/>
        </w:rPr>
        <w:t>.</w:t>
      </w:r>
    </w:p>
    <w:p w14:paraId="7D53FE2D" w14:textId="6570DD78"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E31F0E">
        <w:rPr>
          <w:rFonts w:ascii="Palatino Linotype" w:eastAsiaTheme="minorEastAsia" w:hAnsi="Palatino Linotype" w:cs="Arial"/>
          <w:b/>
          <w:bCs/>
          <w:color w:val="C00000"/>
          <w:sz w:val="22"/>
          <w:szCs w:val="22"/>
          <w:lang w:val="es-MX"/>
        </w:rPr>
        <w:t>04154/INFOEM</w:t>
      </w:r>
      <w:r w:rsidR="001C06E4">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r w:rsidR="0001074E">
        <w:rPr>
          <w:rFonts w:ascii="Palatino Linotype" w:eastAsiaTheme="minorEastAsia" w:hAnsi="Palatino Linotype" w:cs="Arial"/>
          <w:b/>
          <w:color w:val="C00000"/>
          <w:sz w:val="22"/>
          <w:szCs w:val="22"/>
          <w:lang w:val="es-MX"/>
        </w:rPr>
        <w:t>Xxxxxxx Xxxxxx 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1870FE">
        <w:rPr>
          <w:rFonts w:ascii="Palatino Linotype" w:hAnsi="Palatino Linotype" w:cs="Arial"/>
        </w:rPr>
        <w:t>l</w:t>
      </w:r>
      <w:r w:rsidR="002F14ED">
        <w:rPr>
          <w:rFonts w:ascii="Palatino Linotype" w:hAnsi="Palatino Linotype" w:cs="Arial"/>
        </w:rPr>
        <w:t>a</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E31F0E">
        <w:rPr>
          <w:rFonts w:ascii="Palatino Linotype" w:eastAsiaTheme="minorEastAsia" w:hAnsi="Palatino Linotype" w:cs="Arial"/>
          <w:b/>
          <w:color w:val="C00000"/>
          <w:sz w:val="22"/>
          <w:szCs w:val="22"/>
          <w:lang w:val="es-MX"/>
        </w:rPr>
        <w:t>01255/UPVT</w:t>
      </w:r>
      <w:r w:rsidR="001C06E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la cual fue otorgada </w:t>
      </w:r>
      <w:r w:rsidRPr="0040233B">
        <w:rPr>
          <w:rFonts w:ascii="Palatino Linotype" w:hAnsi="Palatino Linotype" w:cs="Arial"/>
        </w:rPr>
        <w:t xml:space="preserve">por </w:t>
      </w:r>
      <w:r w:rsidR="00E5452C">
        <w:rPr>
          <w:rFonts w:ascii="Palatino Linotype" w:hAnsi="Palatino Linotype" w:cs="Arial"/>
        </w:rPr>
        <w:t>l</w:t>
      </w:r>
      <w:r w:rsidR="00E31F0E">
        <w:rPr>
          <w:rFonts w:ascii="Palatino Linotype" w:hAnsi="Palatino Linotype" w:cs="Arial"/>
        </w:rPr>
        <w:t>a</w:t>
      </w:r>
      <w:r w:rsidR="008F355E">
        <w:rPr>
          <w:rFonts w:ascii="Palatino Linotype" w:hAnsi="Palatino Linotype" w:cs="Arial"/>
        </w:rPr>
        <w:t xml:space="preserve"> </w:t>
      </w:r>
      <w:r w:rsidR="00E31F0E">
        <w:rPr>
          <w:rFonts w:ascii="Palatino Linotype" w:hAnsi="Palatino Linotype" w:cs="Arial"/>
          <w:b/>
        </w:rPr>
        <w:t>Universidad Politécnica del Valle de Toluca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66EDB8A6"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E31F0E">
        <w:rPr>
          <w:rFonts w:ascii="Palatino Linotype" w:hAnsi="Palatino Linotype" w:cs="Arial"/>
          <w:color w:val="C00000"/>
        </w:rPr>
        <w:t>primero de octubre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1C06E4">
        <w:rPr>
          <w:rFonts w:ascii="Palatino Linotype" w:hAnsi="Palatino Linotype" w:cs="Arial"/>
        </w:rPr>
        <w:t>ocho</w:t>
      </w:r>
      <w:r w:rsidR="00682656" w:rsidRPr="0040233B">
        <w:rPr>
          <w:rFonts w:ascii="Palatino Linotype" w:hAnsi="Palatino Linotype" w:cs="Arial"/>
        </w:rPr>
        <w:t xml:space="preserve">, </w:t>
      </w:r>
      <w:r w:rsidR="00E31F0E">
        <w:rPr>
          <w:rFonts w:ascii="Palatino Linotype" w:hAnsi="Palatino Linotype" w:cs="Arial"/>
        </w:rPr>
        <w:t>e</w:t>
      </w:r>
      <w:r w:rsidR="001870FE">
        <w:rPr>
          <w:rFonts w:ascii="Palatino Linotype" w:hAnsi="Palatino Linotype" w:cs="Arial"/>
        </w:rPr>
        <w:t>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001C06E4">
        <w:rPr>
          <w:rFonts w:ascii="Palatino Linotype" w:hAnsi="Palatino Linotype" w:cs="Arial"/>
        </w:rPr>
        <w:t xml:space="preserve"> </w:t>
      </w:r>
      <w:r w:rsidR="00087017">
        <w:rPr>
          <w:rFonts w:ascii="Palatino Linotype" w:hAnsi="Palatino Linotype" w:cs="Arial"/>
        </w:rPr>
        <w:t>requiriendo</w:t>
      </w:r>
      <w:r w:rsidRPr="0040233B">
        <w:rPr>
          <w:rFonts w:ascii="Palatino Linotype" w:hAnsi="Palatino Linotype" w:cs="Arial"/>
        </w:rPr>
        <w:t xml:space="preserve"> lo siguiente:</w:t>
      </w:r>
    </w:p>
    <w:p w14:paraId="3F4E6C5F" w14:textId="1248739C" w:rsidR="00293DE5" w:rsidRPr="006D64F9" w:rsidRDefault="00293DE5" w:rsidP="008F355E">
      <w:pPr>
        <w:spacing w:before="240" w:after="240" w:line="360" w:lineRule="auto"/>
        <w:ind w:left="851" w:right="902"/>
        <w:jc w:val="both"/>
        <w:rPr>
          <w:rFonts w:ascii="Palatino Linotype" w:hAnsi="Palatino Linotype" w:cs="Arial"/>
          <w:b/>
          <w:i/>
        </w:rPr>
      </w:pPr>
      <w:r w:rsidRPr="001C06E4">
        <w:rPr>
          <w:rFonts w:ascii="Palatino Linotype" w:eastAsiaTheme="minorEastAsia" w:hAnsi="Palatino Linotype" w:cs="Arial"/>
          <w:i/>
          <w:lang w:val="es-MX"/>
        </w:rPr>
        <w:t>“</w:t>
      </w:r>
      <w:r w:rsidR="00E31F0E" w:rsidRPr="00E31F0E">
        <w:rPr>
          <w:rFonts w:ascii="Palatino Linotype" w:hAnsi="Palatino Linotype"/>
          <w:i/>
        </w:rPr>
        <w:t>Histórico de alumnos por programa educativo que se han inscrito, dado de baja, concluido sus estudios y obtenido título profesional o grado académico</w:t>
      </w:r>
      <w:r w:rsidR="004F5243" w:rsidRPr="001C06E4">
        <w:rPr>
          <w:rFonts w:ascii="Palatino Linotype" w:hAnsi="Palatino Linotype" w:cs="Arial"/>
          <w:i/>
        </w:rPr>
        <w:t>”</w:t>
      </w:r>
      <w:r w:rsidR="00C673D1" w:rsidRPr="001870FE">
        <w:rPr>
          <w:rFonts w:ascii="Palatino Linotype" w:hAnsi="Palatino Linotype" w:cs="Arial"/>
          <w:i/>
        </w:rPr>
        <w:t>(</w:t>
      </w:r>
      <w:r w:rsidR="00C673D1" w:rsidRPr="006D64F9">
        <w:rPr>
          <w:rFonts w:ascii="Palatino Linotype" w:hAnsi="Palatino Linotype" w:cs="Arial"/>
          <w:i/>
        </w:rPr>
        <w:t>sic)</w:t>
      </w:r>
    </w:p>
    <w:p w14:paraId="649BFEDD" w14:textId="0D781E76" w:rsidR="00293DE5" w:rsidRPr="0040233B" w:rsidRDefault="008F355E"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21D0F151" w14:textId="535A5FA8" w:rsidR="007227F1" w:rsidRDefault="008E7698" w:rsidP="007227F1">
      <w:pPr>
        <w:spacing w:before="240" w:after="240" w:line="360" w:lineRule="auto"/>
        <w:jc w:val="both"/>
        <w:rPr>
          <w:rFonts w:ascii="Palatino Linotype" w:hAnsi="Palatino Linotype" w:cs="Arial"/>
          <w:szCs w:val="28"/>
        </w:rPr>
      </w:pPr>
      <w:r w:rsidRPr="0040233B">
        <w:rPr>
          <w:rFonts w:ascii="Palatino Linotype" w:hAnsi="Palatino Linotype" w:cs="Arial"/>
          <w:b/>
          <w:sz w:val="28"/>
          <w:szCs w:val="28"/>
        </w:rPr>
        <w:t xml:space="preserve">2. </w:t>
      </w:r>
      <w:r w:rsidR="007227F1">
        <w:rPr>
          <w:rFonts w:ascii="Palatino Linotype" w:hAnsi="Palatino Linotype" w:cs="Arial"/>
          <w:b/>
          <w:sz w:val="28"/>
          <w:szCs w:val="28"/>
        </w:rPr>
        <w:t xml:space="preserve">Solicitud de Aclaración. </w:t>
      </w:r>
      <w:r w:rsidR="007227F1">
        <w:rPr>
          <w:rFonts w:ascii="Palatino Linotype" w:hAnsi="Palatino Linotype" w:cs="Arial"/>
          <w:szCs w:val="28"/>
        </w:rPr>
        <w:t xml:space="preserve">En </w:t>
      </w:r>
      <w:r w:rsidR="007227F1" w:rsidRPr="00C349BC">
        <w:rPr>
          <w:rFonts w:ascii="Palatino Linotype" w:hAnsi="Palatino Linotype" w:cs="Arial"/>
          <w:szCs w:val="28"/>
        </w:rPr>
        <w:t>fecha</w:t>
      </w:r>
      <w:r w:rsidR="007227F1">
        <w:rPr>
          <w:rFonts w:ascii="Palatino Linotype" w:hAnsi="Palatino Linotype" w:cs="Arial"/>
          <w:szCs w:val="28"/>
        </w:rPr>
        <w:t xml:space="preserve"> primero de octubre del año dos mil dieciocho, el </w:t>
      </w:r>
      <w:r w:rsidR="007227F1">
        <w:rPr>
          <w:rFonts w:ascii="Palatino Linotype" w:hAnsi="Palatino Linotype" w:cs="Arial"/>
          <w:b/>
          <w:szCs w:val="28"/>
        </w:rPr>
        <w:t>Sujeto Obligado</w:t>
      </w:r>
      <w:r w:rsidR="007227F1" w:rsidRPr="00661F5B">
        <w:rPr>
          <w:rFonts w:ascii="Palatino Linotype" w:hAnsi="Palatino Linotype" w:cs="Arial"/>
          <w:szCs w:val="28"/>
        </w:rPr>
        <w:t xml:space="preserve"> le </w:t>
      </w:r>
      <w:r w:rsidR="007227F1">
        <w:rPr>
          <w:rFonts w:ascii="Palatino Linotype" w:hAnsi="Palatino Linotype" w:cs="Arial"/>
          <w:szCs w:val="28"/>
        </w:rPr>
        <w:t xml:space="preserve">notificó al particular requerimiento de aclaración a </w:t>
      </w:r>
      <w:r w:rsidR="007227F1">
        <w:rPr>
          <w:rFonts w:ascii="Palatino Linotype" w:hAnsi="Palatino Linotype" w:cs="Arial"/>
          <w:szCs w:val="28"/>
        </w:rPr>
        <w:lastRenderedPageBreak/>
        <w:t xml:space="preserve">su solicitud de acceso a información, para que aclarara y precisara el periodo de la solicitud de información a efecto de dar certeza a la información solicitada. Mismo que fue desahogado por el hoy </w:t>
      </w:r>
      <w:r w:rsidR="007227F1">
        <w:rPr>
          <w:rFonts w:ascii="Palatino Linotype" w:hAnsi="Palatino Linotype" w:cs="Arial"/>
          <w:b/>
          <w:i/>
          <w:szCs w:val="28"/>
        </w:rPr>
        <w:t xml:space="preserve">Recurrente </w:t>
      </w:r>
      <w:r w:rsidR="007227F1">
        <w:rPr>
          <w:rFonts w:ascii="Palatino Linotype" w:hAnsi="Palatino Linotype" w:cs="Arial"/>
          <w:szCs w:val="28"/>
        </w:rPr>
        <w:t>el cuatro del mismo mes y año, señalando que “</w:t>
      </w:r>
      <w:r w:rsidR="007227F1" w:rsidRPr="007227F1">
        <w:rPr>
          <w:rFonts w:ascii="Palatino Linotype" w:hAnsi="Palatino Linotype" w:cs="Arial"/>
          <w:i/>
          <w:szCs w:val="28"/>
        </w:rPr>
        <w:t>El periodo es muy claro señora, es histórico, desde que existe ese lugar al día de hoy</w:t>
      </w:r>
      <w:r w:rsidR="007227F1">
        <w:rPr>
          <w:rFonts w:ascii="Palatino Linotype" w:hAnsi="Palatino Linotype" w:cs="Arial"/>
          <w:szCs w:val="28"/>
        </w:rPr>
        <w:t>”</w:t>
      </w:r>
      <w:r w:rsidR="007227F1">
        <w:rPr>
          <w:rFonts w:ascii="Palatino Linotype" w:hAnsi="Palatino Linotype" w:cs="Arial"/>
          <w:b/>
          <w:i/>
          <w:szCs w:val="28"/>
        </w:rPr>
        <w:t>.</w:t>
      </w:r>
    </w:p>
    <w:p w14:paraId="486A14B9" w14:textId="4D14823A" w:rsidR="008E7698" w:rsidRDefault="007227F1" w:rsidP="008E7698">
      <w:pPr>
        <w:spacing w:before="240" w:after="240" w:line="360" w:lineRule="auto"/>
        <w:jc w:val="both"/>
        <w:rPr>
          <w:rFonts w:ascii="Palatino Linotype" w:hAnsi="Palatino Linotype" w:cs="Arial"/>
        </w:rPr>
      </w:pPr>
      <w:r>
        <w:rPr>
          <w:rFonts w:ascii="Palatino Linotype" w:hAnsi="Palatino Linotype" w:cs="Arial"/>
          <w:b/>
          <w:sz w:val="28"/>
          <w:szCs w:val="28"/>
        </w:rPr>
        <w:t xml:space="preserve">3. </w:t>
      </w:r>
      <w:r w:rsidR="008F355E">
        <w:rPr>
          <w:rFonts w:ascii="Palatino Linotype" w:hAnsi="Palatino Linotype" w:cs="Arial"/>
          <w:b/>
          <w:sz w:val="28"/>
          <w:szCs w:val="28"/>
        </w:rPr>
        <w:t>Respuesta</w:t>
      </w:r>
      <w:r w:rsidR="008E7698" w:rsidRPr="0040233B">
        <w:rPr>
          <w:rFonts w:ascii="Palatino Linotype" w:hAnsi="Palatino Linotype" w:cs="Arial"/>
          <w:b/>
          <w:sz w:val="28"/>
          <w:szCs w:val="28"/>
        </w:rPr>
        <w:t>.</w:t>
      </w:r>
      <w:r w:rsidR="008E7698" w:rsidRPr="0040233B">
        <w:rPr>
          <w:rFonts w:ascii="Palatino Linotype" w:hAnsi="Palatino Linotype" w:cs="Arial"/>
          <w:b/>
        </w:rPr>
        <w:t xml:space="preserve"> </w:t>
      </w:r>
      <w:r w:rsidR="008E7698" w:rsidRPr="0040233B">
        <w:rPr>
          <w:rFonts w:ascii="Palatino Linotype" w:hAnsi="Palatino Linotype" w:cs="Arial"/>
        </w:rPr>
        <w:t>Con fecha</w:t>
      </w:r>
      <w:r w:rsidR="00D53645" w:rsidRPr="0040233B">
        <w:rPr>
          <w:rFonts w:ascii="Palatino Linotype" w:hAnsi="Palatino Linotype" w:cs="Arial"/>
        </w:rPr>
        <w:t xml:space="preserve"> </w:t>
      </w:r>
      <w:r w:rsidR="00275382">
        <w:rPr>
          <w:rFonts w:ascii="Palatino Linotype" w:hAnsi="Palatino Linotype" w:cs="Arial"/>
          <w:color w:val="C00000"/>
        </w:rPr>
        <w:t>veinticinco de octubre</w:t>
      </w:r>
      <w:r w:rsidR="00E5452C">
        <w:rPr>
          <w:rFonts w:ascii="Palatino Linotype" w:hAnsi="Palatino Linotype" w:cs="Arial"/>
          <w:color w:val="C00000"/>
        </w:rPr>
        <w:t xml:space="preserve"> </w:t>
      </w:r>
      <w:r w:rsidR="00E5452C">
        <w:rPr>
          <w:rFonts w:ascii="Palatino Linotype" w:hAnsi="Palatino Linotype" w:cs="Arial"/>
        </w:rPr>
        <w:t>de</w:t>
      </w:r>
      <w:r w:rsidR="001870FE">
        <w:rPr>
          <w:rFonts w:ascii="Palatino Linotype" w:hAnsi="Palatino Linotype" w:cs="Arial"/>
        </w:rPr>
        <w:t xml:space="preserve">l </w:t>
      </w:r>
      <w:r w:rsidR="00275382">
        <w:rPr>
          <w:rFonts w:ascii="Palatino Linotype" w:hAnsi="Palatino Linotype" w:cs="Arial"/>
        </w:rPr>
        <w:t>dos mil dieciocho</w:t>
      </w:r>
      <w:r w:rsidR="00E5452C">
        <w:rPr>
          <w:rFonts w:ascii="Palatino Linotype" w:hAnsi="Palatino Linotype" w:cs="Arial"/>
        </w:rPr>
        <w:t>,</w:t>
      </w:r>
      <w:r w:rsidR="00D53645" w:rsidRPr="0040233B">
        <w:rPr>
          <w:rFonts w:ascii="Palatino Linotype" w:hAnsi="Palatino Linotype" w:cs="Arial"/>
        </w:rPr>
        <w:t xml:space="preserve"> </w:t>
      </w:r>
      <w:r w:rsidR="008E7698"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008E7698"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1870FE">
        <w:rPr>
          <w:rFonts w:ascii="Palatino Linotype" w:hAnsi="Palatino Linotype" w:cs="Arial"/>
        </w:rPr>
        <w:t>a</w:t>
      </w:r>
      <w:r w:rsidR="00E5452C">
        <w:rPr>
          <w:rFonts w:ascii="Palatino Linotype" w:hAnsi="Palatino Linotype" w:cs="Arial"/>
        </w:rPr>
        <w:t>l particular la respuesta siguiente</w:t>
      </w:r>
      <w:r w:rsidR="008F355E">
        <w:rPr>
          <w:rFonts w:ascii="Palatino Linotype" w:hAnsi="Palatino Linotype" w:cs="Arial"/>
        </w:rPr>
        <w:t>:</w:t>
      </w:r>
    </w:p>
    <w:p w14:paraId="224399FE" w14:textId="76CD124A" w:rsidR="00E5452C" w:rsidRPr="001870FE" w:rsidRDefault="001870FE" w:rsidP="000F4A82">
      <w:pPr>
        <w:spacing w:before="240" w:after="240" w:line="360" w:lineRule="auto"/>
        <w:ind w:left="851" w:right="900"/>
        <w:jc w:val="both"/>
        <w:rPr>
          <w:rFonts w:ascii="Palatino Linotype" w:hAnsi="Palatino Linotype" w:cs="Arial"/>
        </w:rPr>
      </w:pPr>
      <w:r w:rsidRPr="007227F1">
        <w:rPr>
          <w:rFonts w:ascii="Palatino Linotype" w:hAnsi="Palatino Linotype"/>
          <w:i/>
          <w:lang w:val="es-MX" w:eastAsia="es-MX"/>
        </w:rPr>
        <w:t>“</w:t>
      </w:r>
      <w:r w:rsidR="00CB3974" w:rsidRPr="007227F1">
        <w:rPr>
          <w:rFonts w:ascii="Palatino Linotype" w:hAnsi="Palatino Linotype"/>
          <w:i/>
          <w:lang w:val="es-MX" w:eastAsia="es-MX"/>
        </w:rPr>
        <w:t>…</w:t>
      </w:r>
      <w:r w:rsidR="007227F1" w:rsidRPr="007227F1">
        <w:rPr>
          <w:rFonts w:ascii="Palatino Linotype" w:hAnsi="Palatino Linotype"/>
          <w:i/>
          <w:color w:val="000000"/>
        </w:rPr>
        <w:t>sírvase encontrar en archivo adjunto copia digitalizada en formato pdf del oficio emitido por los servidores públicos habilitados del Departamento de Control Escolar y la Subdirección de Servicios Escolares, en el cual se detalla lo referente a su solicitud de información</w:t>
      </w:r>
      <w:r w:rsidR="00CB3974" w:rsidRPr="007227F1">
        <w:rPr>
          <w:rFonts w:ascii="Palatino Linotype" w:hAnsi="Palatino Linotype"/>
          <w:i/>
          <w:color w:val="000000"/>
        </w:rPr>
        <w:t>…</w:t>
      </w:r>
      <w:r w:rsidR="00E5452C" w:rsidRPr="002F14ED">
        <w:rPr>
          <w:rFonts w:ascii="Palatino Linotype" w:hAnsi="Palatino Linotype"/>
          <w:i/>
          <w:color w:val="000000"/>
        </w:rPr>
        <w:t>”</w:t>
      </w:r>
      <w:r w:rsidR="00E5452C">
        <w:rPr>
          <w:rFonts w:ascii="Palatino Linotype" w:hAnsi="Palatino Linotype"/>
          <w:i/>
          <w:color w:val="000000"/>
        </w:rPr>
        <w:t xml:space="preserve"> </w:t>
      </w:r>
      <w:r w:rsidR="00E5452C">
        <w:rPr>
          <w:rFonts w:ascii="Palatino Linotype" w:hAnsi="Palatino Linotype"/>
          <w:color w:val="000000"/>
          <w:sz w:val="20"/>
        </w:rPr>
        <w:t>(sic)</w:t>
      </w:r>
    </w:p>
    <w:p w14:paraId="3DF089E3" w14:textId="1ACE9881" w:rsidR="00AA57EF" w:rsidRDefault="001B3256" w:rsidP="008F4C62">
      <w:pPr>
        <w:spacing w:before="240" w:after="240" w:line="360" w:lineRule="auto"/>
        <w:jc w:val="both"/>
        <w:rPr>
          <w:rFonts w:ascii="Palatino Linotype" w:hAnsi="Palatino Linotype"/>
        </w:rPr>
      </w:pPr>
      <w:r>
        <w:rPr>
          <w:rFonts w:ascii="Palatino Linotype" w:hAnsi="Palatino Linotype" w:cs="Arial"/>
        </w:rPr>
        <w:t>E</w:t>
      </w:r>
      <w:r w:rsidR="00251066">
        <w:rPr>
          <w:rFonts w:ascii="Palatino Linotype" w:hAnsi="Palatino Linotype" w:cs="Arial"/>
        </w:rPr>
        <w:t xml:space="preserve">l </w:t>
      </w:r>
      <w:r w:rsidR="000A0D0B">
        <w:rPr>
          <w:rFonts w:ascii="Palatino Linotype" w:hAnsi="Palatino Linotype" w:cs="Arial"/>
          <w:b/>
        </w:rPr>
        <w:t>S</w:t>
      </w:r>
      <w:r w:rsidR="00251066">
        <w:rPr>
          <w:rFonts w:ascii="Palatino Linotype" w:hAnsi="Palatino Linotype" w:cs="Arial"/>
          <w:b/>
        </w:rPr>
        <w:t xml:space="preserve">ujeto Obligado </w:t>
      </w:r>
      <w:r w:rsidR="00AB66F0">
        <w:rPr>
          <w:rFonts w:ascii="Palatino Linotype" w:hAnsi="Palatino Linotype" w:cs="Arial"/>
        </w:rPr>
        <w:t xml:space="preserve">anexo </w:t>
      </w:r>
      <w:r w:rsidR="008F355E">
        <w:rPr>
          <w:rFonts w:ascii="Palatino Linotype" w:hAnsi="Palatino Linotype" w:cs="Arial"/>
        </w:rPr>
        <w:t>l</w:t>
      </w:r>
      <w:r w:rsidR="002F14ED">
        <w:rPr>
          <w:rFonts w:ascii="Palatino Linotype" w:hAnsi="Palatino Linotype" w:cs="Arial"/>
        </w:rPr>
        <w:t>os</w:t>
      </w:r>
      <w:r w:rsidR="00251066">
        <w:rPr>
          <w:rFonts w:ascii="Palatino Linotype" w:hAnsi="Palatino Linotype" w:cs="Arial"/>
        </w:rPr>
        <w:t xml:space="preserve"> archivo</w:t>
      </w:r>
      <w:r w:rsidR="002F14ED">
        <w:rPr>
          <w:rFonts w:ascii="Palatino Linotype" w:hAnsi="Palatino Linotype" w:cs="Arial"/>
        </w:rPr>
        <w:t>s</w:t>
      </w:r>
      <w:r w:rsidR="00251066">
        <w:rPr>
          <w:rFonts w:ascii="Palatino Linotype" w:hAnsi="Palatino Linotype" w:cs="Arial"/>
        </w:rPr>
        <w:t xml:space="preserve"> </w:t>
      </w:r>
      <w:hyperlink r:id="rId8" w:tgtFrame="_blank" w:history="1">
        <w:r w:rsidR="007227F1" w:rsidRPr="007227F1">
          <w:rPr>
            <w:rStyle w:val="Hipervnculo"/>
            <w:rFonts w:ascii="Palatino Linotype" w:hAnsi="Palatino Linotype" w:cs="Arial"/>
            <w:b/>
            <w:bCs/>
            <w:color w:val="auto"/>
            <w:u w:val="none"/>
          </w:rPr>
          <w:t>Escaneo.pdf</w:t>
        </w:r>
      </w:hyperlink>
      <w:r w:rsidR="007227F1">
        <w:rPr>
          <w:rFonts w:ascii="Palatino Linotype" w:hAnsi="Palatino Linotype"/>
        </w:rPr>
        <w:t xml:space="preserve">, </w:t>
      </w:r>
      <w:hyperlink r:id="rId9" w:tgtFrame="_blank" w:history="1">
        <w:r w:rsidR="007227F1" w:rsidRPr="007227F1">
          <w:rPr>
            <w:rStyle w:val="Hipervnculo"/>
            <w:rFonts w:ascii="Palatino Linotype" w:hAnsi="Palatino Linotype" w:cs="Arial"/>
            <w:b/>
            <w:bCs/>
            <w:color w:val="auto"/>
            <w:u w:val="none"/>
          </w:rPr>
          <w:t>Escaneo0023.pdf</w:t>
        </w:r>
      </w:hyperlink>
      <w:r w:rsidR="007227F1">
        <w:rPr>
          <w:rFonts w:ascii="Palatino Linotype" w:hAnsi="Palatino Linotype"/>
        </w:rPr>
        <w:t xml:space="preserve"> y </w:t>
      </w:r>
      <w:hyperlink r:id="rId10" w:tgtFrame="_blank" w:history="1">
        <w:r w:rsidR="007227F1" w:rsidRPr="007227F1">
          <w:rPr>
            <w:rStyle w:val="Hipervnculo"/>
            <w:rFonts w:ascii="Palatino Linotype" w:hAnsi="Palatino Linotype" w:cs="Arial"/>
            <w:b/>
            <w:bCs/>
            <w:color w:val="auto"/>
            <w:u w:val="none"/>
          </w:rPr>
          <w:t>SOL 01255.pdf</w:t>
        </w:r>
      </w:hyperlink>
      <w:r w:rsidR="002F14ED">
        <w:t xml:space="preserve"> </w:t>
      </w:r>
      <w:hyperlink r:id="rId11" w:tgtFrame="_blank" w:history="1"/>
      <w:r w:rsidR="00251066">
        <w:rPr>
          <w:rFonts w:ascii="Palatino Linotype" w:hAnsi="Palatino Linotype"/>
        </w:rPr>
        <w:t>, de</w:t>
      </w:r>
      <w:r w:rsidR="002F14ED">
        <w:rPr>
          <w:rFonts w:ascii="Palatino Linotype" w:hAnsi="Palatino Linotype"/>
        </w:rPr>
        <w:t xml:space="preserve"> </w:t>
      </w:r>
      <w:r w:rsidR="00251066">
        <w:rPr>
          <w:rFonts w:ascii="Palatino Linotype" w:hAnsi="Palatino Linotype"/>
        </w:rPr>
        <w:t>l</w:t>
      </w:r>
      <w:r w:rsidR="002F14ED">
        <w:rPr>
          <w:rFonts w:ascii="Palatino Linotype" w:hAnsi="Palatino Linotype"/>
        </w:rPr>
        <w:t>os</w:t>
      </w:r>
      <w:r w:rsidR="00251066">
        <w:rPr>
          <w:rFonts w:ascii="Palatino Linotype" w:hAnsi="Palatino Linotype"/>
        </w:rPr>
        <w:t xml:space="preserve"> cual</w:t>
      </w:r>
      <w:r w:rsidR="002F14ED">
        <w:rPr>
          <w:rFonts w:ascii="Palatino Linotype" w:hAnsi="Palatino Linotype"/>
        </w:rPr>
        <w:t>es</w:t>
      </w:r>
      <w:r w:rsidR="00251066">
        <w:rPr>
          <w:rFonts w:ascii="Palatino Linotype" w:hAnsi="Palatino Linotype"/>
        </w:rPr>
        <w:t xml:space="preserve"> se omite su </w:t>
      </w:r>
      <w:r w:rsidR="00511092">
        <w:rPr>
          <w:rFonts w:ascii="Palatino Linotype" w:hAnsi="Palatino Linotype"/>
        </w:rPr>
        <w:t>transcripción</w:t>
      </w:r>
      <w:r w:rsidR="00861DD8">
        <w:rPr>
          <w:rFonts w:ascii="Palatino Linotype" w:hAnsi="Palatino Linotype"/>
        </w:rPr>
        <w:t xml:space="preserve"> </w:t>
      </w:r>
      <w:r w:rsidR="000F1BBF">
        <w:rPr>
          <w:rFonts w:ascii="Palatino Linotype" w:hAnsi="Palatino Linotype"/>
        </w:rPr>
        <w:t xml:space="preserve">toda vez que </w:t>
      </w:r>
      <w:r w:rsidR="007E64E0">
        <w:rPr>
          <w:rFonts w:ascii="Palatino Linotype" w:hAnsi="Palatino Linotype"/>
        </w:rPr>
        <w:t>s</w:t>
      </w:r>
      <w:r w:rsidR="002F14ED">
        <w:rPr>
          <w:rFonts w:ascii="Palatino Linotype" w:hAnsi="Palatino Linotype"/>
        </w:rPr>
        <w:t>on</w:t>
      </w:r>
      <w:r w:rsidR="000F1BBF">
        <w:rPr>
          <w:rFonts w:ascii="Palatino Linotype" w:hAnsi="Palatino Linotype"/>
        </w:rPr>
        <w:t xml:space="preserve"> del conocimiento de las partes, aunado a ello se analizaran en el apartado correspondiente.</w:t>
      </w:r>
      <w:r w:rsidR="00861DD8">
        <w:rPr>
          <w:rFonts w:ascii="Palatino Linotype" w:hAnsi="Palatino Linotype"/>
        </w:rPr>
        <w:t xml:space="preserve"> </w:t>
      </w:r>
    </w:p>
    <w:p w14:paraId="7056C445" w14:textId="1ABA1153" w:rsidR="008E7698" w:rsidRPr="0040233B" w:rsidRDefault="007227F1" w:rsidP="008F4C62">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6E25B6">
        <w:rPr>
          <w:rFonts w:ascii="Palatino Linotype" w:hAnsi="Palatino Linotype" w:cs="Arial"/>
          <w:color w:val="C00000"/>
        </w:rPr>
        <w:t>treinta de octubre</w:t>
      </w:r>
      <w:r w:rsidR="00CB3974">
        <w:rPr>
          <w:rFonts w:ascii="Palatino Linotype" w:hAnsi="Palatino Linotype" w:cs="Arial"/>
          <w:color w:val="C00000"/>
        </w:rPr>
        <w:t xml:space="preserve"> </w:t>
      </w:r>
      <w:r w:rsidR="00FC3695" w:rsidRPr="0040233B">
        <w:rPr>
          <w:rFonts w:ascii="Palatino Linotype" w:hAnsi="Palatino Linotype" w:cs="Arial"/>
        </w:rPr>
        <w:t xml:space="preserve">de </w:t>
      </w:r>
      <w:r w:rsidR="006E25B6">
        <w:rPr>
          <w:rFonts w:ascii="Palatino Linotype" w:hAnsi="Palatino Linotype" w:cs="Arial"/>
        </w:rPr>
        <w:t>dos mil dieciocho</w:t>
      </w:r>
      <w:r w:rsidR="008E7698" w:rsidRPr="0040233B">
        <w:rPr>
          <w:rFonts w:ascii="Palatino Linotype" w:hAnsi="Palatino Linotype" w:cs="Arial"/>
        </w:rPr>
        <w:t xml:space="preserve"> 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w:t>
      </w:r>
      <w:r w:rsidR="00CB3974">
        <w:rPr>
          <w:rFonts w:ascii="Palatino Linotype" w:hAnsi="Palatino Linotype" w:cs="Arial"/>
        </w:rPr>
        <w:t>argumentos</w:t>
      </w:r>
      <w:r w:rsidR="008E7698" w:rsidRPr="0040233B">
        <w:rPr>
          <w:rFonts w:ascii="Palatino Linotype" w:hAnsi="Palatino Linotype" w:cs="Arial"/>
        </w:rPr>
        <w:t>:</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441715FD" w:rsidR="00FC3695" w:rsidRPr="0040233B" w:rsidRDefault="009B08DD" w:rsidP="00104E08">
      <w:pPr>
        <w:spacing w:before="240" w:after="240" w:line="360" w:lineRule="auto"/>
        <w:ind w:left="992" w:right="1043"/>
        <w:jc w:val="both"/>
        <w:rPr>
          <w:rFonts w:ascii="Palatino Linotype" w:hAnsi="Palatino Linotype" w:cs="Arial"/>
        </w:rPr>
      </w:pPr>
      <w:r w:rsidRPr="00241DDC">
        <w:rPr>
          <w:rFonts w:ascii="Palatino Linotype" w:hAnsi="Palatino Linotype"/>
          <w:i/>
          <w:color w:val="000000"/>
        </w:rPr>
        <w:t>“</w:t>
      </w:r>
      <w:r w:rsidR="006E25B6" w:rsidRPr="006E25B6">
        <w:rPr>
          <w:rFonts w:ascii="Palatino Linotype" w:hAnsi="Palatino Linotype"/>
          <w:i/>
          <w:color w:val="000000"/>
        </w:rPr>
        <w:t>Niegan la información</w:t>
      </w:r>
      <w:r w:rsidRPr="00E5452C">
        <w:rPr>
          <w:rFonts w:ascii="Palatino Linotype" w:hAnsi="Palatino Linotype"/>
          <w:i/>
          <w:color w:val="000000"/>
        </w:rPr>
        <w:t>”</w:t>
      </w:r>
      <w:r w:rsidRPr="005F4C5D">
        <w:rPr>
          <w:rFonts w:ascii="Palatino Linotype" w:hAnsi="Palatino Linotype" w:cs="Arial"/>
          <w:i/>
        </w:rPr>
        <w:t xml:space="preserve"> </w:t>
      </w:r>
      <w:r w:rsidR="009F704F" w:rsidRPr="00397AE0">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4D5EA0C0" w:rsidR="00186B63" w:rsidRPr="000F4A82" w:rsidRDefault="009B08DD" w:rsidP="000F4A82">
      <w:pPr>
        <w:spacing w:before="240" w:after="240" w:line="360" w:lineRule="auto"/>
        <w:ind w:left="851" w:right="900"/>
        <w:jc w:val="both"/>
        <w:rPr>
          <w:lang w:val="es-MX" w:eastAsia="es-MX"/>
        </w:rPr>
      </w:pPr>
      <w:r w:rsidRPr="000F4A82">
        <w:rPr>
          <w:rFonts w:ascii="Palatino Linotype" w:hAnsi="Palatino Linotype"/>
          <w:i/>
          <w:color w:val="000000"/>
        </w:rPr>
        <w:lastRenderedPageBreak/>
        <w:t>“</w:t>
      </w:r>
      <w:r w:rsidR="006E25B6" w:rsidRPr="006E25B6">
        <w:rPr>
          <w:rFonts w:ascii="Palatino Linotype" w:hAnsi="Palatino Linotype"/>
          <w:i/>
          <w:color w:val="000000"/>
        </w:rPr>
        <w:t>No es el histórico solicitado</w:t>
      </w:r>
      <w:r w:rsidRPr="000F4A82">
        <w:rPr>
          <w:rFonts w:ascii="Palatino Linotype" w:hAnsi="Palatino Linotype"/>
          <w:i/>
          <w:color w:val="000000"/>
        </w:rPr>
        <w:t>”</w:t>
      </w:r>
      <w:r w:rsidRPr="00241DDC">
        <w:rPr>
          <w:rFonts w:ascii="Palatino Linotype" w:hAnsi="Palatino Linotype" w:cs="Arial"/>
          <w:i/>
        </w:rPr>
        <w:t xml:space="preserve"> </w:t>
      </w:r>
      <w:r w:rsidR="009F704F" w:rsidRPr="00397AE0">
        <w:rPr>
          <w:rFonts w:ascii="Palatino Linotype" w:hAnsi="Palatino Linotype" w:cs="Arial"/>
          <w:i/>
          <w:sz w:val="16"/>
          <w:szCs w:val="16"/>
        </w:rPr>
        <w:t>(sic)</w:t>
      </w:r>
    </w:p>
    <w:p w14:paraId="1D62F603" w14:textId="131FD6CD" w:rsidR="00D41D70" w:rsidRPr="0040233B" w:rsidRDefault="006E25B6" w:rsidP="00AF299E">
      <w:pPr>
        <w:spacing w:before="240" w:after="240" w:line="360" w:lineRule="auto"/>
        <w:jc w:val="both"/>
        <w:rPr>
          <w:rFonts w:ascii="Palatino Linotype" w:hAnsi="Palatino Linotype" w:cs="Arial"/>
        </w:rPr>
      </w:pPr>
      <w:r>
        <w:rPr>
          <w:rFonts w:ascii="Palatino Linotype" w:hAnsi="Palatino Linotype" w:cs="Arial"/>
          <w:b/>
          <w:sz w:val="28"/>
          <w:szCs w:val="28"/>
        </w:rPr>
        <w:t>5</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D7DFE15" w:rsidR="00D41D70" w:rsidRPr="0040233B" w:rsidRDefault="006E25B6" w:rsidP="00184FBA">
      <w:pPr>
        <w:spacing w:before="240" w:after="240" w:line="360" w:lineRule="auto"/>
        <w:jc w:val="both"/>
        <w:rPr>
          <w:rFonts w:cs="Arial"/>
        </w:rPr>
      </w:pPr>
      <w:r>
        <w:rPr>
          <w:rFonts w:ascii="Palatino Linotype" w:hAnsi="Palatino Linotype" w:cs="Arial"/>
          <w:b/>
          <w:sz w:val="28"/>
          <w:szCs w:val="28"/>
        </w:rPr>
        <w:t>6</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Pr>
          <w:rFonts w:ascii="Palatino Linotype" w:hAnsi="Palatino Linotype" w:cs="Arial"/>
          <w:color w:val="C00000"/>
        </w:rPr>
        <w:t>seis de noviembre</w:t>
      </w:r>
      <w:r w:rsidR="00F31853">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w:t>
      </w:r>
      <w:r w:rsidR="00F31853">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CE22499" w14:textId="458632F7" w:rsidR="003D5E12" w:rsidRDefault="006E25B6" w:rsidP="006E25B6">
      <w:pPr>
        <w:spacing w:before="240" w:after="240" w:line="360" w:lineRule="auto"/>
        <w:jc w:val="both"/>
        <w:rPr>
          <w:rFonts w:ascii="Palatino Linotype" w:eastAsia="Calibri" w:hAnsi="Palatino Linotype" w:cs="Arial"/>
        </w:rPr>
      </w:pPr>
      <w:r>
        <w:rPr>
          <w:rFonts w:ascii="Palatino Linotype" w:hAnsi="Palatino Linotype" w:cs="Arial"/>
          <w:b/>
          <w:sz w:val="28"/>
          <w:szCs w:val="28"/>
        </w:rPr>
        <w:t>7</w:t>
      </w:r>
      <w:r w:rsidR="004E4987" w:rsidRPr="0040233B">
        <w:rPr>
          <w:rFonts w:ascii="Palatino Linotype" w:hAnsi="Palatino Linotype" w:cs="Arial"/>
          <w:b/>
          <w:sz w:val="28"/>
          <w:szCs w:val="28"/>
        </w:rPr>
        <w:t xml:space="preserve">. </w:t>
      </w:r>
      <w:r w:rsidR="00E954B7" w:rsidRPr="0040233B">
        <w:rPr>
          <w:rFonts w:ascii="Palatino Linotype" w:hAnsi="Palatino Linotype" w:cs="Arial"/>
          <w:b/>
          <w:sz w:val="28"/>
          <w:szCs w:val="28"/>
        </w:rPr>
        <w:t>Manifestaciones.</w:t>
      </w:r>
      <w:r w:rsidR="00E954B7" w:rsidRPr="0040233B">
        <w:t xml:space="preserve"> </w:t>
      </w:r>
      <w:r w:rsidR="009B08DD" w:rsidRPr="00F123D8">
        <w:rPr>
          <w:rFonts w:ascii="Palatino Linotype" w:hAnsi="Palatino Linotype"/>
        </w:rPr>
        <w:t>De las constancias del expediente electrónico del</w:t>
      </w:r>
      <w:r w:rsidR="009B08DD" w:rsidRPr="00F123D8">
        <w:rPr>
          <w:rFonts w:ascii="Palatino Linotype" w:hAnsi="Palatino Linotype" w:cs="Arial"/>
          <w:b/>
        </w:rPr>
        <w:t xml:space="preserve"> SAIMEX</w:t>
      </w:r>
      <w:r w:rsidR="009B08DD" w:rsidRPr="00F123D8">
        <w:rPr>
          <w:rFonts w:ascii="Palatino Linotype" w:hAnsi="Palatino Linotype"/>
        </w:rPr>
        <w:t xml:space="preserve">, se observa que </w:t>
      </w:r>
      <w:r w:rsidR="009B08DD" w:rsidRPr="00140D94">
        <w:rPr>
          <w:rFonts w:ascii="Palatino Linotype" w:hAnsi="Palatino Linotype" w:cs="Arial"/>
        </w:rPr>
        <w:t>el</w:t>
      </w:r>
      <w:r w:rsidR="009B08DD" w:rsidRPr="00F123D8">
        <w:rPr>
          <w:rFonts w:ascii="Palatino Linotype" w:hAnsi="Palatino Linotype" w:cs="Arial"/>
        </w:rPr>
        <w:t xml:space="preserve"> </w:t>
      </w:r>
      <w:r w:rsidR="009B08DD" w:rsidRPr="00140D94">
        <w:rPr>
          <w:rFonts w:ascii="Palatino Linotype" w:hAnsi="Palatino Linotype" w:cs="Arial"/>
          <w:b/>
        </w:rPr>
        <w:t>S</w:t>
      </w:r>
      <w:r w:rsidR="009B08DD" w:rsidRPr="00F123D8">
        <w:rPr>
          <w:rFonts w:ascii="Palatino Linotype" w:hAnsi="Palatino Linotype" w:cs="Arial"/>
          <w:b/>
        </w:rPr>
        <w:t>ujet</w:t>
      </w:r>
      <w:r w:rsidR="009B08DD">
        <w:rPr>
          <w:rFonts w:ascii="Palatino Linotype" w:hAnsi="Palatino Linotype" w:cs="Arial"/>
          <w:b/>
        </w:rPr>
        <w:t>o O</w:t>
      </w:r>
      <w:r w:rsidR="009B08DD" w:rsidRPr="00F123D8">
        <w:rPr>
          <w:rFonts w:ascii="Palatino Linotype" w:hAnsi="Palatino Linotype" w:cs="Arial"/>
          <w:b/>
        </w:rPr>
        <w:t>bligado</w:t>
      </w:r>
      <w:r w:rsidR="009B08DD" w:rsidRPr="00F123D8">
        <w:rPr>
          <w:rFonts w:ascii="Palatino Linotype" w:hAnsi="Palatino Linotype" w:cs="Arial"/>
        </w:rPr>
        <w:t xml:space="preserve"> </w:t>
      </w:r>
      <w:r w:rsidR="00F31853">
        <w:rPr>
          <w:rFonts w:ascii="Palatino Linotype" w:hAnsi="Palatino Linotype" w:cs="Arial"/>
        </w:rPr>
        <w:t xml:space="preserve">envió en fecha </w:t>
      </w:r>
      <w:r>
        <w:rPr>
          <w:rFonts w:ascii="Palatino Linotype" w:hAnsi="Palatino Linotype" w:cs="Arial"/>
        </w:rPr>
        <w:t>quince de noviembre del año dos mil dieciocho</w:t>
      </w:r>
      <w:r w:rsidR="00F31853">
        <w:rPr>
          <w:rFonts w:ascii="Palatino Linotype" w:hAnsi="Palatino Linotype" w:cs="Arial"/>
        </w:rPr>
        <w:t xml:space="preserve">, el archivo </w:t>
      </w:r>
      <w:r w:rsidRPr="006E25B6">
        <w:rPr>
          <w:rFonts w:ascii="Palatino Linotype" w:hAnsi="Palatino Linotype" w:cs="Arial"/>
          <w:b/>
        </w:rPr>
        <w:t>RR 04154.pdf</w:t>
      </w:r>
      <w:r w:rsidR="00F31853">
        <w:rPr>
          <w:rFonts w:ascii="Palatino Linotype" w:hAnsi="Palatino Linotype" w:cs="Arial"/>
          <w:b/>
        </w:rPr>
        <w:t xml:space="preserve">, </w:t>
      </w:r>
      <w:r w:rsidR="00F31853">
        <w:rPr>
          <w:rFonts w:ascii="Palatino Linotype" w:hAnsi="Palatino Linotype" w:cs="Arial"/>
        </w:rPr>
        <w:t xml:space="preserve">en el momento procesal previsto en la Ley para formular </w:t>
      </w:r>
      <w:r w:rsidR="00241DDC">
        <w:rPr>
          <w:rFonts w:ascii="Palatino Linotype" w:hAnsi="Palatino Linotype" w:cs="Arial"/>
        </w:rPr>
        <w:t xml:space="preserve">informe justificado y ofrecer pruebas y/o alegatos; </w:t>
      </w:r>
      <w:r w:rsidR="003D5E12">
        <w:rPr>
          <w:rFonts w:ascii="Palatino Linotype" w:hAnsi="Palatino Linotype" w:cs="Arial"/>
        </w:rPr>
        <w:t xml:space="preserve">mediante el cual ratificó la respuesta primigenia, </w:t>
      </w:r>
      <w:r>
        <w:rPr>
          <w:rFonts w:ascii="Palatino Linotype" w:hAnsi="Palatino Linotype" w:cs="Arial"/>
        </w:rPr>
        <w:t>por lo que</w:t>
      </w:r>
      <w:r w:rsidR="003D5E12">
        <w:rPr>
          <w:rFonts w:ascii="Palatino Linotype" w:eastAsia="Calibri" w:hAnsi="Palatino Linotype" w:cs="Arial"/>
        </w:rPr>
        <w:t xml:space="preserve"> se determinó no hacer del conocimiento del particular.</w:t>
      </w:r>
    </w:p>
    <w:p w14:paraId="14617732" w14:textId="0430B637" w:rsidR="006E25B6" w:rsidRDefault="006E25B6" w:rsidP="006E25B6">
      <w:pPr>
        <w:spacing w:before="240" w:after="240" w:line="360" w:lineRule="auto"/>
        <w:jc w:val="both"/>
        <w:rPr>
          <w:rFonts w:ascii="Palatino Linotype" w:eastAsia="Calibri" w:hAnsi="Palatino Linotype" w:cs="Arial"/>
        </w:rPr>
      </w:pPr>
      <w:r>
        <w:rPr>
          <w:rFonts w:ascii="Palatino Linotype" w:eastAsia="Calibri" w:hAnsi="Palatino Linotype" w:cs="Arial"/>
        </w:rPr>
        <w:lastRenderedPageBreak/>
        <w:t>Mientras que el particular omitió presentar alegatos o lo que a su derecho conviniera el tiempo señalado para ello.</w:t>
      </w:r>
    </w:p>
    <w:p w14:paraId="5126E0CC" w14:textId="7D028A80" w:rsidR="006031FE" w:rsidRPr="003D5E12" w:rsidRDefault="006E25B6" w:rsidP="003D5E12">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8</w:t>
      </w:r>
      <w:r w:rsidR="008E7698" w:rsidRPr="003D5E12">
        <w:rPr>
          <w:rFonts w:ascii="Palatino Linotype" w:eastAsia="Calibri" w:hAnsi="Palatino Linotype" w:cs="Arial"/>
          <w:b/>
          <w:sz w:val="28"/>
          <w:szCs w:val="28"/>
        </w:rPr>
        <w:t xml:space="preserve">. </w:t>
      </w:r>
      <w:r w:rsidR="006747B5" w:rsidRPr="003D5E12">
        <w:rPr>
          <w:rFonts w:ascii="Palatino Linotype" w:eastAsia="Calibri" w:hAnsi="Palatino Linotype" w:cs="Arial"/>
          <w:b/>
          <w:sz w:val="28"/>
          <w:szCs w:val="28"/>
        </w:rPr>
        <w:t xml:space="preserve">Cierre de Instrucción. </w:t>
      </w:r>
      <w:r w:rsidR="00DA0B77" w:rsidRPr="003D5E12">
        <w:rPr>
          <w:rFonts w:ascii="Palatino Linotype" w:eastAsia="Calibri" w:hAnsi="Palatino Linotype" w:cs="Arial"/>
          <w:szCs w:val="28"/>
        </w:rPr>
        <w:t xml:space="preserve">En fecha </w:t>
      </w:r>
      <w:r>
        <w:rPr>
          <w:rFonts w:ascii="Palatino Linotype" w:hAnsi="Palatino Linotype"/>
          <w:color w:val="C00000"/>
        </w:rPr>
        <w:t>dieciséis de enero</w:t>
      </w:r>
      <w:r w:rsidR="00873B3E" w:rsidRPr="003D5E12">
        <w:rPr>
          <w:rFonts w:ascii="Palatino Linotype" w:hAnsi="Palatino Linotype"/>
          <w:color w:val="C00000"/>
        </w:rPr>
        <w:t xml:space="preserve"> </w:t>
      </w:r>
      <w:r w:rsidR="00873B3E" w:rsidRPr="003D5E12">
        <w:rPr>
          <w:rFonts w:ascii="Palatino Linotype" w:hAnsi="Palatino Linotype"/>
        </w:rPr>
        <w:t>d</w:t>
      </w:r>
      <w:r w:rsidR="00DA0B77" w:rsidRPr="003D5E12">
        <w:rPr>
          <w:rFonts w:ascii="Palatino Linotype" w:hAnsi="Palatino Linotype"/>
        </w:rPr>
        <w:t xml:space="preserve">el </w:t>
      </w:r>
      <w:r w:rsidR="005134B4" w:rsidRPr="003D5E12">
        <w:rPr>
          <w:rFonts w:ascii="Palatino Linotype" w:hAnsi="Palatino Linotype"/>
        </w:rPr>
        <w:t>año en curso</w:t>
      </w:r>
      <w:r w:rsidR="00DA0B77" w:rsidRPr="003D5E12">
        <w:rPr>
          <w:rFonts w:ascii="Palatino Linotype" w:hAnsi="Palatino Linotype"/>
        </w:rPr>
        <w:t xml:space="preserve">, se emitió el acuerdo por medio del cual se declaró cerrada la instrucción, pasando el expediente a resolución, en términos del </w:t>
      </w:r>
      <w:r w:rsidR="006031FE" w:rsidRPr="003D5E12">
        <w:rPr>
          <w:rFonts w:ascii="Palatino Linotype" w:hAnsi="Palatino Linotype"/>
        </w:rPr>
        <w:t>artículo 185 fracci</w:t>
      </w:r>
      <w:r w:rsidR="00DA0B77" w:rsidRPr="003D5E12">
        <w:rPr>
          <w:rFonts w:ascii="Palatino Linotype" w:hAnsi="Palatino Linotype"/>
        </w:rPr>
        <w:t>ones</w:t>
      </w:r>
      <w:r w:rsidR="006031FE" w:rsidRPr="003D5E12">
        <w:rPr>
          <w:rFonts w:ascii="Palatino Linotype" w:hAnsi="Palatino Linotype"/>
        </w:rPr>
        <w:t xml:space="preserve"> VI</w:t>
      </w:r>
      <w:r w:rsidR="00DA0B77" w:rsidRPr="003D5E12">
        <w:rPr>
          <w:rFonts w:ascii="Palatino Linotype" w:hAnsi="Palatino Linotype"/>
        </w:rPr>
        <w:t xml:space="preserve"> y VIII</w:t>
      </w:r>
      <w:r w:rsidR="006031FE" w:rsidRPr="003D5E12">
        <w:rPr>
          <w:rFonts w:ascii="Palatino Linotype" w:hAnsi="Palatino Linotype"/>
        </w:rPr>
        <w:t xml:space="preserve"> de la Ley de Transparencia y Acceso a la Información Pública del Estado de México y Municipios</w:t>
      </w:r>
      <w:r w:rsidR="009F19E6" w:rsidRPr="003D5E12">
        <w:rPr>
          <w:rFonts w:ascii="Palatino Linotype" w:hAnsi="Palatino Linotype"/>
        </w:rPr>
        <w:t>,</w:t>
      </w:r>
      <w:r w:rsidR="006031FE" w:rsidRPr="003D5E12">
        <w:rPr>
          <w:rFonts w:ascii="Palatino Linotype" w:hAnsi="Palatino Linotype"/>
        </w:rPr>
        <w:t xml:space="preserve"> </w:t>
      </w:r>
      <w:r w:rsidR="00DA0B77" w:rsidRPr="003D5E12">
        <w:rPr>
          <w:rFonts w:ascii="Palatino Linotype" w:hAnsi="Palatino Linotype"/>
        </w:rPr>
        <w:t>el cual fue notificado a las partes en la misma fecha</w:t>
      </w:r>
      <w:r w:rsidR="006031FE" w:rsidRPr="003D5E12">
        <w:rPr>
          <w:rFonts w:ascii="Palatino Linotype" w:hAnsi="Palatino Linotype"/>
        </w:rPr>
        <w:t xml:space="preserve">. </w:t>
      </w:r>
    </w:p>
    <w:p w14:paraId="316F1BD1" w14:textId="77777777" w:rsidR="009C6EDF" w:rsidRPr="00DA0B77" w:rsidRDefault="009C6EDF" w:rsidP="009C6EDF">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 a derecho proceda, de acuerdo a los siguientes:</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0C6D2E9B"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875E79">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fracci</w:t>
      </w:r>
      <w:r w:rsidR="00875E79">
        <w:rPr>
          <w:rFonts w:ascii="Palatino Linotype" w:hAnsi="Palatino Linotype"/>
          <w:shd w:val="clear" w:color="auto" w:fill="FFFFFF"/>
        </w:rPr>
        <w:t>ones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 xml:space="preserve">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66718402" w14:textId="74365E57" w:rsidR="008D033C" w:rsidRDefault="00C866A8" w:rsidP="00E82030">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 xml:space="preserve">SEGUNDO. </w:t>
      </w:r>
      <w:r w:rsidR="00055938" w:rsidRPr="00CD59DC">
        <w:rPr>
          <w:rFonts w:ascii="Palatino Linotype" w:hAnsi="Palatino Linotype" w:cs="Arial"/>
          <w:b/>
          <w:sz w:val="28"/>
          <w:szCs w:val="28"/>
        </w:rPr>
        <w:t>Oportunidad y Procediblidad del Recurso de Revisión</w:t>
      </w:r>
      <w:r w:rsidR="00E82030" w:rsidRPr="00A029AB">
        <w:rPr>
          <w:rFonts w:ascii="Palatino Linotype" w:hAnsi="Palatino Linotype" w:cs="Arial"/>
          <w:b/>
          <w:sz w:val="28"/>
          <w:szCs w:val="28"/>
        </w:rPr>
        <w:t>.</w:t>
      </w:r>
    </w:p>
    <w:p w14:paraId="1FDF3349" w14:textId="77777777" w:rsidR="008D033C" w:rsidRPr="008E7F84" w:rsidRDefault="008D033C" w:rsidP="008D033C">
      <w:pPr>
        <w:spacing w:before="240" w:after="240" w:line="360" w:lineRule="auto"/>
        <w:jc w:val="both"/>
        <w:rPr>
          <w:rFonts w:ascii="Palatino Linotype" w:hAnsi="Palatino Linotype" w:cs="Arial"/>
        </w:rPr>
      </w:pP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00AFD030" w14:textId="4252D5AD" w:rsidR="00E501D4" w:rsidRPr="00DE5A2A" w:rsidRDefault="00E501D4" w:rsidP="00E501D4">
      <w:pPr>
        <w:spacing w:before="240" w:after="240" w:line="360" w:lineRule="auto"/>
        <w:jc w:val="both"/>
        <w:rPr>
          <w:rFonts w:ascii="Palatino Linotype" w:hAnsi="Palatino Linotype" w:cs="Arial"/>
          <w:i/>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6E25B6">
        <w:rPr>
          <w:rFonts w:ascii="Palatino Linotype" w:hAnsi="Palatino Linotype" w:cs="Arial"/>
        </w:rPr>
        <w:t>veinticinco de octubre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6E25B6">
        <w:rPr>
          <w:rFonts w:ascii="Palatino Linotype" w:hAnsi="Palatino Linotype" w:cs="Arial"/>
        </w:rPr>
        <w:t>treinta</w:t>
      </w:r>
      <w:r>
        <w:rPr>
          <w:rFonts w:ascii="Palatino Linotype" w:hAnsi="Palatino Linotype" w:cs="Arial"/>
        </w:rPr>
        <w:t xml:space="preserve"> del mismo</w:t>
      </w:r>
      <w:r w:rsidR="006E25B6">
        <w:rPr>
          <w:rFonts w:ascii="Palatino Linotype" w:hAnsi="Palatino Linotype" w:cs="Arial"/>
        </w:rPr>
        <w:t xml:space="preserve"> mes y</w:t>
      </w:r>
      <w:r>
        <w:rPr>
          <w:rFonts w:ascii="Palatino Linotype" w:hAnsi="Palatino Linotype" w:cs="Arial"/>
        </w:rPr>
        <w:t xml:space="preserve"> año.</w:t>
      </w:r>
    </w:p>
    <w:p w14:paraId="45B62B5F" w14:textId="77777777" w:rsidR="00532D92" w:rsidRDefault="00532D92" w:rsidP="00532D92">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23AF358B" w14:textId="08ED54A0" w:rsidR="007C74F2" w:rsidRPr="008F47CD" w:rsidRDefault="007C74F2" w:rsidP="007C74F2">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sidR="00A02992">
        <w:rPr>
          <w:rStyle w:val="normaltextrun"/>
          <w:rFonts w:ascii="Palatino Linotype" w:hAnsi="Palatino Linotype" w:cs="Segoe UI"/>
        </w:rPr>
        <w:t xml:space="preserve">fracción </w:t>
      </w:r>
      <w:r w:rsidR="00CA693E">
        <w:rPr>
          <w:rStyle w:val="normaltextrun"/>
          <w:rFonts w:ascii="Palatino Linotype" w:hAnsi="Palatino Linotype" w:cs="Segoe UI"/>
        </w:rPr>
        <w:t>I</w:t>
      </w:r>
      <w:r>
        <w:rPr>
          <w:rStyle w:val="normaltextrun"/>
          <w:rFonts w:ascii="Palatino Linotype" w:hAnsi="Palatino Linotype" w:cs="Segoe UI"/>
        </w:rPr>
        <w:t xml:space="preserve"> del ordenamiento legal citado conforme a los argumentos vertidos por el particular, que son de tenor literal </w:t>
      </w:r>
      <w:r>
        <w:rPr>
          <w:rStyle w:val="normaltextrun"/>
          <w:rFonts w:ascii="Palatino Linotype" w:hAnsi="Palatino Linotype" w:cs="Segoe UI"/>
        </w:rPr>
        <w:lastRenderedPageBreak/>
        <w:t>siguiente:</w:t>
      </w:r>
    </w:p>
    <w:p w14:paraId="1EB79A6D" w14:textId="13A5DA6F" w:rsidR="00AC17F2" w:rsidRPr="00532D92" w:rsidRDefault="007C74F2" w:rsidP="007C74F2">
      <w:pPr>
        <w:autoSpaceDE w:val="0"/>
        <w:autoSpaceDN w:val="0"/>
        <w:adjustRightInd w:val="0"/>
        <w:spacing w:after="120"/>
        <w:ind w:left="851" w:right="902"/>
        <w:jc w:val="both"/>
        <w:rPr>
          <w:rStyle w:val="normaltextrun"/>
          <w:rFonts w:ascii="Palatino Linotype" w:hAnsi="Palatino Linotype" w:cs="Segoe UI"/>
          <w:bCs/>
          <w:i/>
          <w:sz w:val="20"/>
          <w:szCs w:val="20"/>
        </w:rPr>
      </w:pPr>
      <w:r w:rsidRPr="00532D92">
        <w:rPr>
          <w:rStyle w:val="normaltextrun"/>
          <w:rFonts w:ascii="Palatino Linotype" w:hAnsi="Palatino Linotype" w:cs="Segoe UI"/>
          <w:b/>
          <w:bCs/>
          <w:i/>
          <w:iCs/>
          <w:sz w:val="20"/>
          <w:szCs w:val="20"/>
        </w:rPr>
        <w:t xml:space="preserve"> </w:t>
      </w:r>
      <w:r w:rsidR="00055938" w:rsidRPr="00532D92">
        <w:rPr>
          <w:rStyle w:val="normaltextrun"/>
          <w:rFonts w:ascii="Palatino Linotype" w:hAnsi="Palatino Linotype" w:cs="Segoe UI"/>
          <w:b/>
          <w:bCs/>
          <w:i/>
          <w:iCs/>
          <w:sz w:val="20"/>
          <w:szCs w:val="20"/>
        </w:rPr>
        <w:t>“</w:t>
      </w:r>
      <w:r w:rsidR="00055938" w:rsidRPr="00532D92">
        <w:rPr>
          <w:rStyle w:val="normaltextrun"/>
          <w:rFonts w:ascii="Palatino Linotype" w:hAnsi="Palatino Linotype" w:cs="Segoe UI"/>
          <w:b/>
          <w:bCs/>
          <w:i/>
          <w:sz w:val="20"/>
          <w:szCs w:val="20"/>
        </w:rPr>
        <w:t xml:space="preserve">Artículo </w:t>
      </w:r>
      <w:r w:rsidR="00AC17F2" w:rsidRPr="00532D92">
        <w:rPr>
          <w:rStyle w:val="normaltextrun"/>
          <w:rFonts w:ascii="Palatino Linotype" w:hAnsi="Palatino Linotype" w:cs="Segoe UI"/>
          <w:b/>
          <w:bCs/>
          <w:i/>
          <w:sz w:val="20"/>
          <w:szCs w:val="20"/>
        </w:rPr>
        <w:t xml:space="preserve">176. </w:t>
      </w:r>
      <w:r w:rsidR="00AC17F2" w:rsidRPr="00532D92">
        <w:rPr>
          <w:rStyle w:val="normaltextrun"/>
          <w:rFonts w:ascii="Palatino Linotype" w:hAnsi="Palatino Linotype" w:cs="Segoe UI"/>
          <w:bCs/>
          <w:i/>
          <w:sz w:val="20"/>
          <w:szCs w:val="20"/>
        </w:rPr>
        <w:t>El recurso de revisión  es la garantía secundaria mediante la cual se pretende reparar cualquier posible afectación al derecho de acceso a la información pública en términos del presente y siguiente Capítulo.</w:t>
      </w:r>
    </w:p>
    <w:p w14:paraId="6C8B6E7B" w14:textId="5DA1AC36" w:rsidR="00055938" w:rsidRPr="00532D92" w:rsidRDefault="00AC17F2" w:rsidP="00532D9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532D92">
        <w:rPr>
          <w:rStyle w:val="normaltextrun"/>
          <w:rFonts w:ascii="Palatino Linotype" w:hAnsi="Palatino Linotype" w:cs="Segoe UI"/>
          <w:b/>
          <w:bCs/>
          <w:i/>
          <w:sz w:val="20"/>
          <w:szCs w:val="20"/>
        </w:rPr>
        <w:t xml:space="preserve">Artículo </w:t>
      </w:r>
      <w:r w:rsidR="00055938" w:rsidRPr="00532D92">
        <w:rPr>
          <w:rStyle w:val="normaltextrun"/>
          <w:rFonts w:ascii="Palatino Linotype" w:hAnsi="Palatino Linotype" w:cs="Segoe UI"/>
          <w:b/>
          <w:bCs/>
          <w:i/>
          <w:sz w:val="20"/>
          <w:szCs w:val="20"/>
        </w:rPr>
        <w:t>179</w:t>
      </w:r>
      <w:r w:rsidR="00055938" w:rsidRPr="00532D92">
        <w:rPr>
          <w:rStyle w:val="normaltextrun"/>
          <w:rFonts w:ascii="Palatino Linotype" w:hAnsi="Palatino Linotype" w:cs="Segoe UI"/>
          <w:b/>
          <w:bCs/>
          <w:sz w:val="20"/>
          <w:szCs w:val="20"/>
        </w:rPr>
        <w:t>.-</w:t>
      </w:r>
      <w:r w:rsidR="00055938" w:rsidRPr="00532D92">
        <w:rPr>
          <w:rFonts w:ascii="Bookman Old Style" w:eastAsiaTheme="minorEastAsia" w:hAnsi="Bookman Old Style" w:cs="Bookman Old Style"/>
          <w:sz w:val="20"/>
          <w:szCs w:val="20"/>
          <w:lang w:val="es-MX"/>
        </w:rPr>
        <w:t xml:space="preserve"> </w:t>
      </w:r>
      <w:r w:rsidR="00055938" w:rsidRPr="00532D92">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6295E9EC" w14:textId="77777777" w:rsidR="006A737B" w:rsidRPr="00532D92" w:rsidRDefault="006A737B" w:rsidP="00532D92">
      <w:pPr>
        <w:autoSpaceDE w:val="0"/>
        <w:autoSpaceDN w:val="0"/>
        <w:adjustRightInd w:val="0"/>
        <w:spacing w:after="120"/>
        <w:ind w:left="1134" w:right="941"/>
        <w:rPr>
          <w:rFonts w:ascii="Palatino Linotype" w:eastAsiaTheme="minorEastAsia" w:hAnsi="Palatino Linotype" w:cs="Bookman Old Style,Bold"/>
          <w:b/>
          <w:bCs/>
          <w:i/>
          <w:sz w:val="20"/>
          <w:szCs w:val="20"/>
          <w:lang w:val="es-MX"/>
        </w:rPr>
      </w:pPr>
      <w:r w:rsidRPr="00532D92">
        <w:rPr>
          <w:rFonts w:ascii="Palatino Linotype" w:eastAsiaTheme="minorEastAsia" w:hAnsi="Palatino Linotype" w:cs="Bookman Old Style,Bold"/>
          <w:b/>
          <w:bCs/>
          <w:i/>
          <w:sz w:val="20"/>
          <w:szCs w:val="20"/>
          <w:lang w:val="es-MX"/>
        </w:rPr>
        <w:t>(…)</w:t>
      </w:r>
    </w:p>
    <w:p w14:paraId="3C1A49C3" w14:textId="25289C65" w:rsidR="00055938" w:rsidRPr="00532D92" w:rsidRDefault="00953315" w:rsidP="00953315">
      <w:pPr>
        <w:autoSpaceDE w:val="0"/>
        <w:autoSpaceDN w:val="0"/>
        <w:adjustRightInd w:val="0"/>
        <w:spacing w:before="120" w:after="120" w:line="360" w:lineRule="auto"/>
        <w:ind w:left="1134" w:right="941"/>
        <w:rPr>
          <w:rFonts w:ascii="Palatino Linotype" w:eastAsiaTheme="minorEastAsia" w:hAnsi="Palatino Linotype" w:cs="Bookman Old Style"/>
          <w:b/>
          <w:i/>
          <w:sz w:val="20"/>
          <w:szCs w:val="20"/>
        </w:rPr>
      </w:pPr>
      <w:r w:rsidRPr="00FD2CF1">
        <w:rPr>
          <w:rFonts w:ascii="Palatino Linotype" w:eastAsiaTheme="minorEastAsia" w:hAnsi="Palatino Linotype" w:cs="Bookman Old Style,Bold"/>
          <w:b/>
          <w:bCs/>
          <w:i/>
          <w:sz w:val="22"/>
          <w:szCs w:val="22"/>
          <w:lang w:val="es-MX"/>
        </w:rPr>
        <w:t xml:space="preserve">I. </w:t>
      </w:r>
      <w:r w:rsidRPr="00FD2CF1">
        <w:rPr>
          <w:rFonts w:ascii="Palatino Linotype" w:eastAsiaTheme="minorEastAsia" w:hAnsi="Palatino Linotype" w:cs="Bookman Old Style"/>
          <w:b/>
          <w:i/>
          <w:sz w:val="22"/>
          <w:szCs w:val="22"/>
          <w:lang w:val="es-MX"/>
        </w:rPr>
        <w:t>La negativa a la información solicitada;</w:t>
      </w:r>
      <w:r>
        <w:rPr>
          <w:rFonts w:ascii="Palatino Linotype" w:eastAsiaTheme="minorEastAsia" w:hAnsi="Palatino Linotype" w:cs="Bookman Old Style"/>
          <w:b/>
          <w:i/>
          <w:sz w:val="22"/>
          <w:szCs w:val="22"/>
          <w:lang w:val="es-MX"/>
        </w:rPr>
        <w:t xml:space="preserve"> </w:t>
      </w:r>
      <w:r w:rsidR="00055938" w:rsidRPr="00532D92">
        <w:rPr>
          <w:rFonts w:ascii="Palatino Linotype" w:eastAsiaTheme="minorEastAsia" w:hAnsi="Palatino Linotype" w:cs="Bookman Old Style"/>
          <w:i/>
          <w:sz w:val="20"/>
          <w:szCs w:val="20"/>
        </w:rPr>
        <w:t>…”</w:t>
      </w:r>
    </w:p>
    <w:p w14:paraId="3E747BF4" w14:textId="553C8DE7" w:rsidR="008D033C" w:rsidRDefault="007C74F2" w:rsidP="008D033C">
      <w:pPr>
        <w:spacing w:before="240" w:after="240" w:line="360" w:lineRule="auto"/>
        <w:jc w:val="both"/>
        <w:rPr>
          <w:rFonts w:ascii="Palatino Linotype" w:hAnsi="Palatino Linotype" w:cs="Arial"/>
          <w:lang w:val="es-MX"/>
        </w:rPr>
      </w:pPr>
      <w:r>
        <w:rPr>
          <w:rFonts w:ascii="Palatino Linotype" w:hAnsi="Palatino Linotype" w:cs="Arial"/>
        </w:rPr>
        <w:t>E</w:t>
      </w:r>
      <w:r w:rsidR="00AC17F2">
        <w:rPr>
          <w:rFonts w:ascii="Palatino Linotype" w:hAnsi="Palatino Linotype" w:cs="Arial"/>
          <w:lang w:val="es-MX"/>
        </w:rPr>
        <w:t>n consecuencia resulta conforme a derecho entrar al estudio de fondo y resolver el presente medio de impugnación.</w:t>
      </w:r>
    </w:p>
    <w:p w14:paraId="2F1FFCB1" w14:textId="77777777" w:rsidR="004716C4" w:rsidRPr="00CD59DC" w:rsidRDefault="004716C4" w:rsidP="004716C4">
      <w:pPr>
        <w:pStyle w:val="paragraph"/>
        <w:spacing w:before="240" w:beforeAutospacing="0" w:after="240" w:afterAutospacing="0" w:line="360" w:lineRule="auto"/>
        <w:jc w:val="both"/>
        <w:textAlignment w:val="baseline"/>
        <w:rPr>
          <w:rFonts w:ascii="Palatino Linotype" w:hAnsi="Palatino Linotype" w:cs="Arial"/>
          <w:b/>
          <w:sz w:val="28"/>
          <w:szCs w:val="28"/>
        </w:rPr>
      </w:pPr>
      <w:r w:rsidRPr="00CD59DC">
        <w:rPr>
          <w:rFonts w:ascii="Palatino Linotype" w:hAnsi="Palatino Linotype" w:cs="Arial"/>
          <w:b/>
          <w:sz w:val="28"/>
          <w:szCs w:val="28"/>
        </w:rPr>
        <w:t>TERCERO. Materia de la Revisión.</w:t>
      </w:r>
    </w:p>
    <w:p w14:paraId="53D68A14" w14:textId="3B08EC7B" w:rsidR="00041BCD" w:rsidRDefault="00AC17F2" w:rsidP="004716C4">
      <w:pPr>
        <w:spacing w:before="240" w:after="240" w:line="360" w:lineRule="auto"/>
        <w:jc w:val="both"/>
        <w:rPr>
          <w:rFonts w:ascii="Palatino Linotype" w:hAnsi="Palatino Linotype"/>
        </w:rPr>
      </w:pPr>
      <w:r>
        <w:rPr>
          <w:rFonts w:ascii="Palatino Linotype" w:hAnsi="Palatino Linotype"/>
        </w:rPr>
        <w:t>P</w:t>
      </w:r>
      <w:r w:rsidRPr="00AC17F2">
        <w:rPr>
          <w:rFonts w:ascii="Palatino Linotype" w:hAnsi="Palatino Linotype"/>
        </w:rPr>
        <w:t xml:space="preserve">or lo que una vez realizado el análisis de las constancias que integran el expediente en que se actúa, se desprende que la resolución consiste en determinar </w:t>
      </w:r>
      <w:r w:rsidR="00900226" w:rsidRPr="00AC17F2">
        <w:rPr>
          <w:rFonts w:ascii="Palatino Linotype" w:hAnsi="Palatino Linotype"/>
        </w:rPr>
        <w:t>s</w:t>
      </w:r>
      <w:r w:rsidR="00900226">
        <w:rPr>
          <w:rFonts w:ascii="Palatino Linotype" w:hAnsi="Palatino Linotype"/>
        </w:rPr>
        <w:t>i</w:t>
      </w:r>
      <w:r w:rsidRPr="00AC17F2">
        <w:rPr>
          <w:rFonts w:ascii="Palatino Linotype" w:hAnsi="Palatino Linotype"/>
        </w:rPr>
        <w:t xml:space="preserve"> la respuesta emitida por </w:t>
      </w:r>
      <w:r w:rsidR="00443FE0">
        <w:rPr>
          <w:rFonts w:ascii="Palatino Linotype" w:hAnsi="Palatino Linotype"/>
        </w:rPr>
        <w:t>el</w:t>
      </w:r>
      <w:r w:rsidRPr="00AC17F2">
        <w:rPr>
          <w:rFonts w:ascii="Palatino Linotype" w:hAnsi="Palatino Linotype"/>
        </w:rPr>
        <w:t xml:space="preserve"> </w:t>
      </w:r>
      <w:r w:rsidR="00E31F0E">
        <w:rPr>
          <w:rFonts w:ascii="Palatino Linotype" w:hAnsi="Palatino Linotype"/>
        </w:rPr>
        <w:t xml:space="preserve">Universidad </w:t>
      </w:r>
      <w:r w:rsidR="00895D92">
        <w:rPr>
          <w:rFonts w:ascii="Palatino Linotype" w:hAnsi="Palatino Linotype"/>
        </w:rPr>
        <w:t>Politécnica</w:t>
      </w:r>
      <w:r w:rsidR="00E31F0E">
        <w:rPr>
          <w:rFonts w:ascii="Palatino Linotype" w:hAnsi="Palatino Linotype"/>
        </w:rPr>
        <w:t xml:space="preserve"> del Valle de Toluca</w:t>
      </w:r>
      <w:r>
        <w:rPr>
          <w:rFonts w:ascii="Palatino Linotype" w:hAnsi="Palatino Linotype"/>
        </w:rPr>
        <w:t xml:space="preserve"> transgredió el derecho de acceso a la información pública del ahora </w:t>
      </w:r>
      <w:r>
        <w:rPr>
          <w:rFonts w:ascii="Palatino Linotype" w:hAnsi="Palatino Linotype"/>
          <w:b/>
          <w:i/>
        </w:rPr>
        <w:t xml:space="preserve">Recurrente </w:t>
      </w:r>
      <w:r>
        <w:rPr>
          <w:rFonts w:ascii="Palatino Linotype" w:hAnsi="Palatino Linotype"/>
        </w:rPr>
        <w:t>y, en su caso, resolver si resulta procedente ordenar la entrega de la información solicitada, de conformidad con lo dispuesto por la Ley de Transparencia y Acceso a la Información Pública del Estado de México y Municipios.</w:t>
      </w:r>
    </w:p>
    <w:p w14:paraId="6D5B01E4" w14:textId="77777777" w:rsidR="000C1F29" w:rsidRPr="00D66740" w:rsidRDefault="000C1F29" w:rsidP="000C1F29">
      <w:pPr>
        <w:spacing w:before="240" w:after="240" w:line="360" w:lineRule="auto"/>
        <w:jc w:val="both"/>
        <w:rPr>
          <w:rFonts w:ascii="Palatino Linotype" w:hAnsi="Palatino Linotype"/>
          <w:b/>
          <w:sz w:val="28"/>
          <w:szCs w:val="28"/>
        </w:rPr>
      </w:pPr>
      <w:r w:rsidRPr="00C1424D">
        <w:rPr>
          <w:rFonts w:ascii="Palatino Linotype" w:hAnsi="Palatino Linotype"/>
          <w:b/>
          <w:sz w:val="28"/>
          <w:szCs w:val="28"/>
        </w:rPr>
        <w:t>CUARTO. Estudio del asunto.</w:t>
      </w:r>
    </w:p>
    <w:p w14:paraId="2BBD6CC3" w14:textId="7FC68928" w:rsidR="000C1F29" w:rsidRPr="000C1F29" w:rsidRDefault="000C1F29" w:rsidP="000C1F29">
      <w:pPr>
        <w:spacing w:before="240" w:after="240" w:line="360" w:lineRule="auto"/>
        <w:jc w:val="both"/>
        <w:rPr>
          <w:lang w:val="es-MX" w:eastAsia="es-MX"/>
        </w:rPr>
      </w:pPr>
      <w:r>
        <w:rPr>
          <w:rFonts w:ascii="Palatino Linotype" w:hAnsi="Palatino Linotype"/>
          <w:color w:val="000000"/>
        </w:rPr>
        <w:t xml:space="preserve">De las constancias de autos se desprende que el particular hoy </w:t>
      </w:r>
      <w:r>
        <w:rPr>
          <w:rFonts w:ascii="Palatino Linotype" w:hAnsi="Palatino Linotype"/>
          <w:b/>
          <w:i/>
          <w:color w:val="000000"/>
        </w:rPr>
        <w:t xml:space="preserve">Recurrente </w:t>
      </w:r>
      <w:r>
        <w:rPr>
          <w:rFonts w:ascii="Palatino Linotype" w:hAnsi="Palatino Linotype"/>
          <w:color w:val="000000"/>
        </w:rPr>
        <w:t xml:space="preserve">solicitó al Universidad Politécnica del Valle de Toluca, el </w:t>
      </w:r>
      <w:r>
        <w:rPr>
          <w:rFonts w:ascii="Palatino Linotype" w:hAnsi="Palatino Linotype"/>
          <w:i/>
          <w:lang w:val="es-MX" w:eastAsia="es-MX"/>
        </w:rPr>
        <w:t>h</w:t>
      </w:r>
      <w:r w:rsidRPr="000C1F29">
        <w:rPr>
          <w:rFonts w:ascii="Palatino Linotype" w:hAnsi="Palatino Linotype"/>
          <w:i/>
          <w:lang w:val="es-MX" w:eastAsia="es-MX"/>
        </w:rPr>
        <w:t>istórico de alumnos por programa educativo que se han inscrito, dado de baja, concluido sus estudios y obtenido título profesional o grado académico</w:t>
      </w:r>
      <w:r>
        <w:rPr>
          <w:rFonts w:ascii="Palatino Linotype" w:hAnsi="Palatino Linotype"/>
          <w:i/>
          <w:lang w:val="es-MX" w:eastAsia="es-MX"/>
        </w:rPr>
        <w:t>.</w:t>
      </w:r>
    </w:p>
    <w:p w14:paraId="75781770" w14:textId="4AD46628" w:rsidR="0029231D" w:rsidRDefault="000C1F29" w:rsidP="000C1F29">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En respuesta, el </w:t>
      </w:r>
      <w:r>
        <w:rPr>
          <w:rFonts w:ascii="Palatino Linotype" w:hAnsi="Palatino Linotype"/>
          <w:b/>
          <w:color w:val="000000"/>
        </w:rPr>
        <w:t xml:space="preserve">Sujeto Obligado </w:t>
      </w:r>
      <w:r>
        <w:rPr>
          <w:rFonts w:ascii="Palatino Linotype" w:hAnsi="Palatino Linotype"/>
          <w:color w:val="000000"/>
        </w:rPr>
        <w:t>informó que en documento adjunto se encontraba la respuesta de los Servidores Públicos Habilitados del Departamento de Control Escolar y la Subdirección de Servicios Escolares,</w:t>
      </w:r>
      <w:r w:rsidR="0029231D">
        <w:rPr>
          <w:rFonts w:ascii="Palatino Linotype" w:hAnsi="Palatino Linotype"/>
          <w:color w:val="000000"/>
        </w:rPr>
        <w:t xml:space="preserve"> quienes de manera esencial atendieron el requerimiento de información bajo lo siguiente:</w:t>
      </w:r>
    </w:p>
    <w:p w14:paraId="7DD4179C" w14:textId="31BCCF6F" w:rsidR="0029231D" w:rsidRPr="0029231D" w:rsidRDefault="0029231D" w:rsidP="0029231D">
      <w:pPr>
        <w:pStyle w:val="Prrafodelista"/>
        <w:numPr>
          <w:ilvl w:val="0"/>
          <w:numId w:val="50"/>
        </w:numPr>
        <w:spacing w:before="240" w:after="240" w:line="360" w:lineRule="auto"/>
        <w:jc w:val="both"/>
        <w:rPr>
          <w:rFonts w:ascii="Palatino Linotype" w:hAnsi="Palatino Linotype"/>
          <w:b/>
          <w:color w:val="000000"/>
        </w:rPr>
      </w:pPr>
      <w:r w:rsidRPr="0029231D">
        <w:rPr>
          <w:rFonts w:ascii="Palatino Linotype" w:hAnsi="Palatino Linotype"/>
          <w:b/>
          <w:color w:val="000000"/>
        </w:rPr>
        <w:t>Departamento de Control Escolar</w:t>
      </w:r>
      <w:r>
        <w:rPr>
          <w:rFonts w:ascii="Palatino Linotype" w:hAnsi="Palatino Linotype"/>
          <w:b/>
          <w:color w:val="000000"/>
        </w:rPr>
        <w:t xml:space="preserve">.- </w:t>
      </w:r>
      <w:r>
        <w:rPr>
          <w:rFonts w:ascii="Palatino Linotype" w:hAnsi="Palatino Linotype"/>
          <w:color w:val="000000"/>
        </w:rPr>
        <w:t>después de haber realizado una búsqueda exhaustiva del periodo del 01 de octubre de 2017 01 de octubre de 2018 en los archivos que obran en la Unidad Administrativa no se cuenta con los documentos solicitados.</w:t>
      </w:r>
    </w:p>
    <w:p w14:paraId="515FE446" w14:textId="0372F7F8" w:rsidR="0029231D" w:rsidRPr="008F2F75" w:rsidRDefault="0029231D" w:rsidP="0029231D">
      <w:pPr>
        <w:pStyle w:val="Prrafodelista"/>
        <w:numPr>
          <w:ilvl w:val="0"/>
          <w:numId w:val="50"/>
        </w:numPr>
        <w:spacing w:before="240" w:after="240" w:line="360" w:lineRule="auto"/>
        <w:jc w:val="both"/>
        <w:rPr>
          <w:rFonts w:ascii="Palatino Linotype" w:hAnsi="Palatino Linotype"/>
          <w:b/>
          <w:color w:val="000000"/>
        </w:rPr>
      </w:pPr>
      <w:r w:rsidRPr="0029231D">
        <w:rPr>
          <w:rFonts w:ascii="Palatino Linotype" w:hAnsi="Palatino Linotype"/>
          <w:b/>
          <w:color w:val="000000"/>
        </w:rPr>
        <w:t>Subdirección de Servicios Escolares</w:t>
      </w:r>
      <w:r w:rsidR="00F36A7B">
        <w:rPr>
          <w:rFonts w:ascii="Palatino Linotype" w:hAnsi="Palatino Linotype"/>
          <w:b/>
          <w:color w:val="000000"/>
        </w:rPr>
        <w:t xml:space="preserve">.- </w:t>
      </w:r>
      <w:r w:rsidR="00936B1D">
        <w:rPr>
          <w:rFonts w:ascii="Palatino Linotype" w:hAnsi="Palatino Linotype"/>
          <w:color w:val="000000"/>
        </w:rPr>
        <w:t>informa</w:t>
      </w:r>
      <w:r w:rsidR="008F2F75">
        <w:rPr>
          <w:rFonts w:ascii="Palatino Linotype" w:hAnsi="Palatino Linotype"/>
          <w:color w:val="000000"/>
        </w:rPr>
        <w:t xml:space="preserve"> cifras respecto a alumnos inscritos, solicitantes de baja de la institución, alumnos egresados y alumnos titulados, desglosado por </w:t>
      </w:r>
      <w:r w:rsidR="00936B1D">
        <w:rPr>
          <w:rFonts w:ascii="Palatino Linotype" w:hAnsi="Palatino Linotype"/>
          <w:color w:val="000000"/>
        </w:rPr>
        <w:t>Programa</w:t>
      </w:r>
      <w:r w:rsidR="008F2F75">
        <w:rPr>
          <w:rFonts w:ascii="Palatino Linotype" w:hAnsi="Palatino Linotype"/>
          <w:color w:val="000000"/>
        </w:rPr>
        <w:t xml:space="preserve"> Educativo, considerados del periodo, septiembre 2006 a septiembre 2018.</w:t>
      </w:r>
    </w:p>
    <w:p w14:paraId="1C52C97D" w14:textId="7CCC3310" w:rsidR="008F2F75" w:rsidRDefault="00936B1D" w:rsidP="00936B1D">
      <w:pPr>
        <w:spacing w:before="240" w:after="240" w:line="360" w:lineRule="auto"/>
        <w:jc w:val="both"/>
        <w:rPr>
          <w:rFonts w:ascii="Palatino Linotype" w:hAnsi="Palatino Linotype"/>
          <w:color w:val="000000"/>
        </w:rPr>
      </w:pPr>
      <w:r w:rsidRPr="00936B1D">
        <w:rPr>
          <w:rFonts w:ascii="Palatino Linotype" w:hAnsi="Palatino Linotype"/>
          <w:color w:val="000000"/>
        </w:rPr>
        <w:t xml:space="preserve">Inconforme, el particular interpuso recurso de revisión, manifestando que la información enviada  no </w:t>
      </w:r>
      <w:r>
        <w:rPr>
          <w:rFonts w:ascii="Palatino Linotype" w:hAnsi="Palatino Linotype"/>
          <w:color w:val="000000"/>
        </w:rPr>
        <w:t>corresponde al histórico solicitado, de modo que le niegan la información.</w:t>
      </w:r>
    </w:p>
    <w:p w14:paraId="147142C8" w14:textId="77777777" w:rsidR="004139E9" w:rsidRDefault="004139E9" w:rsidP="004139E9">
      <w:pPr>
        <w:spacing w:before="240" w:after="240" w:line="360" w:lineRule="auto"/>
        <w:jc w:val="both"/>
        <w:rPr>
          <w:rFonts w:ascii="Palatino Linotype" w:hAnsi="Palatino Linotype"/>
          <w:color w:val="000000"/>
        </w:rPr>
      </w:pPr>
      <w:r>
        <w:rPr>
          <w:rFonts w:ascii="Palatino Linotype" w:hAnsi="Palatino Linotype"/>
          <w:color w:val="000000"/>
        </w:rPr>
        <w:t xml:space="preserve">En términos de lo expuesto se estima que el agravio de la particular es infundado, lo que conlleva a confirmar la respuesta del </w:t>
      </w:r>
      <w:r>
        <w:rPr>
          <w:rFonts w:ascii="Palatino Linotype" w:hAnsi="Palatino Linotype"/>
          <w:b/>
          <w:color w:val="000000"/>
        </w:rPr>
        <w:t xml:space="preserve">Sujeto Obligado, </w:t>
      </w:r>
      <w:r>
        <w:rPr>
          <w:rFonts w:ascii="Palatino Linotype" w:hAnsi="Palatino Linotype"/>
          <w:color w:val="000000"/>
        </w:rPr>
        <w:t>conforme a los siguientes razonamientos.</w:t>
      </w:r>
    </w:p>
    <w:p w14:paraId="581BB318" w14:textId="77777777" w:rsidR="004139E9" w:rsidRDefault="004139E9" w:rsidP="004139E9">
      <w:pPr>
        <w:spacing w:before="240" w:after="240" w:line="360" w:lineRule="auto"/>
        <w:jc w:val="both"/>
        <w:rPr>
          <w:rFonts w:ascii="Palatino Linotype" w:hAnsi="Palatino Linotype"/>
          <w:color w:val="000000"/>
        </w:rPr>
      </w:pPr>
      <w:r>
        <w:rPr>
          <w:rFonts w:ascii="Palatino Linotype" w:hAnsi="Palatino Linotype"/>
          <w:color w:val="000000"/>
        </w:rPr>
        <w:t xml:space="preserve">La Ley de Transparencia y Acceso a la Información Pública del Estado de México y Municipios, establece que el derecho de acceso a la información pública, es la prerrogativa que tienen las personas para buscar, difundir, investigar, recabar, recibir y solicitar información pública, siendo obligación de los sujetos obligados </w:t>
      </w:r>
      <w:r>
        <w:rPr>
          <w:rFonts w:ascii="Palatino Linotype" w:hAnsi="Palatino Linotype"/>
          <w:color w:val="000000"/>
        </w:rPr>
        <w:lastRenderedPageBreak/>
        <w:t>proporcionar la información pública que se les requiere y que obre en sus archivos, en el estado que esta se encuentre, toda vez que la obligación de proporcionar la información requerida, no comprende el procesamiento de la misma, ni presentarla conforme al interés del solicitante.</w:t>
      </w:r>
    </w:p>
    <w:p w14:paraId="39B281A7" w14:textId="77777777" w:rsidR="004139E9" w:rsidRDefault="004139E9" w:rsidP="004139E9">
      <w:pPr>
        <w:autoSpaceDE w:val="0"/>
        <w:autoSpaceDN w:val="0"/>
        <w:adjustRightInd w:val="0"/>
        <w:spacing w:line="360" w:lineRule="auto"/>
        <w:jc w:val="both"/>
        <w:rPr>
          <w:rFonts w:ascii="Palatino Linotype" w:hAnsi="Palatino Linotype" w:cs="Arial"/>
          <w:color w:val="222222"/>
          <w:lang w:eastAsia="es-MX"/>
        </w:rPr>
      </w:pPr>
      <w:r>
        <w:rPr>
          <w:rFonts w:ascii="Palatino Linotype" w:hAnsi="Palatino Linotype"/>
          <w:color w:val="000000"/>
        </w:rPr>
        <w:t xml:space="preserve">Dicho de otro modo, </w:t>
      </w:r>
      <w:r w:rsidRPr="00102700">
        <w:rPr>
          <w:rFonts w:ascii="Palatino Linotype" w:hAnsi="Palatino Linotype" w:cs="Arial"/>
          <w:color w:val="222222"/>
          <w:lang w:eastAsia="es-MX"/>
        </w:rPr>
        <w:t xml:space="preserve">el derecho de acceso a la información pública se satisface con entregar el soporte documental </w:t>
      </w:r>
      <w:r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xml:space="preserve"> y que </w:t>
      </w:r>
      <w:r w:rsidRPr="00102700">
        <w:rPr>
          <w:rFonts w:ascii="Palatino Linotype" w:hAnsi="Palatino Linotype" w:cs="Arial"/>
          <w:color w:val="222222"/>
          <w:lang w:eastAsia="es-MX"/>
        </w:rPr>
        <w:t>conform</w:t>
      </w:r>
      <w:r>
        <w:rPr>
          <w:rFonts w:ascii="Palatino Linotype" w:hAnsi="Palatino Linotype" w:cs="Arial"/>
          <w:color w:val="222222"/>
          <w:lang w:eastAsia="es-MX"/>
        </w:rPr>
        <w:t>e al</w:t>
      </w:r>
      <w:r w:rsidRPr="00102700">
        <w:rPr>
          <w:rFonts w:ascii="Palatino Linotype" w:hAnsi="Palatino Linotype" w:cs="Arial"/>
          <w:color w:val="222222"/>
          <w:lang w:eastAsia="es-MX"/>
        </w:rPr>
        <w:t xml:space="preserve"> artículo 12 de la Ley de Transparencia y Acceso a la Información Pública del Estado de México y Municipios, </w:t>
      </w:r>
      <w:r w:rsidRPr="00102700">
        <w:rPr>
          <w:rFonts w:ascii="Palatino Linotype" w:eastAsiaTheme="minorHAnsi" w:hAnsi="Palatino Linotype" w:cs="Bookman Old Style"/>
          <w:lang w:val="es-MX" w:eastAsia="en-US"/>
        </w:rPr>
        <w:t>los sujetos obligados sólo proporcionarán la información pública que se les requiera y que obre en sus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archivos y en el estado en que ésta se encuentre.</w:t>
      </w:r>
      <w:r w:rsidRPr="00102700">
        <w:rPr>
          <w:rFonts w:ascii="Palatino Linotype" w:hAnsi="Palatino Linotype" w:cs="Arial"/>
          <w:color w:val="222222"/>
          <w:lang w:eastAsia="es-MX"/>
        </w:rPr>
        <w:t xml:space="preserve"> </w:t>
      </w:r>
      <w:r w:rsidRPr="00102700">
        <w:rPr>
          <w:rFonts w:ascii="Palatino Linotype" w:eastAsiaTheme="minorHAnsi" w:hAnsi="Palatino Linotype" w:cs="Bookman Old Style"/>
          <w:lang w:val="es-MX" w:eastAsia="en-US"/>
        </w:rPr>
        <w:t xml:space="preserve">La obligación de proporcionar información no comprende el 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los o practicar investigaciones.</w:t>
      </w:r>
    </w:p>
    <w:p w14:paraId="1024A6A8" w14:textId="77777777" w:rsidR="004139E9" w:rsidRPr="00336E2E" w:rsidRDefault="004139E9" w:rsidP="004139E9">
      <w:pPr>
        <w:autoSpaceDE w:val="0"/>
        <w:autoSpaceDN w:val="0"/>
        <w:adjustRightInd w:val="0"/>
        <w:spacing w:line="360" w:lineRule="auto"/>
        <w:jc w:val="both"/>
        <w:rPr>
          <w:rFonts w:ascii="Palatino Linotype" w:hAnsi="Palatino Linotype" w:cs="Arial"/>
          <w:color w:val="222222"/>
          <w:sz w:val="4"/>
          <w:lang w:eastAsia="es-MX"/>
        </w:rPr>
      </w:pPr>
    </w:p>
    <w:p w14:paraId="691A3D57" w14:textId="77777777" w:rsidR="004139E9" w:rsidRPr="00416661" w:rsidRDefault="004139E9" w:rsidP="004139E9">
      <w:pPr>
        <w:spacing w:after="200" w:line="360" w:lineRule="auto"/>
        <w:jc w:val="both"/>
        <w:rPr>
          <w:rFonts w:ascii="Arial" w:hAnsi="Arial" w:cs="Arial"/>
          <w:color w:val="222222"/>
          <w:szCs w:val="19"/>
          <w:lang w:val="es-MX" w:eastAsia="es-MX"/>
        </w:rPr>
      </w:pPr>
      <w:r w:rsidRPr="00416661">
        <w:rPr>
          <w:rFonts w:ascii="Palatino Linotype" w:hAnsi="Palatino Linotype" w:cs="Arial"/>
          <w:color w:val="222222"/>
          <w:szCs w:val="19"/>
          <w:lang w:eastAsia="es-MX"/>
        </w:rPr>
        <w:t>Como apoyo a lo anterior, es aplicable por analogía el Criterio 09-10, emitido por el Pleno del entonces Instituto Federal de Acceso a la Información y Protección de Datos, que dice:</w:t>
      </w:r>
    </w:p>
    <w:p w14:paraId="2EB0294B" w14:textId="77777777" w:rsidR="004139E9" w:rsidRDefault="004139E9" w:rsidP="004139E9">
      <w:pPr>
        <w:shd w:val="clear" w:color="auto" w:fill="FFFFFF"/>
        <w:tabs>
          <w:tab w:val="left" w:pos="8647"/>
        </w:tabs>
        <w:spacing w:before="240" w:after="240"/>
        <w:ind w:left="567" w:right="900"/>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372CF14C" w14:textId="77777777" w:rsidR="004139E9" w:rsidRDefault="004139E9" w:rsidP="004139E9">
      <w:pPr>
        <w:shd w:val="clear" w:color="auto" w:fill="FFFFFF"/>
        <w:spacing w:before="240" w:after="240" w:line="360" w:lineRule="auto"/>
        <w:jc w:val="both"/>
        <w:rPr>
          <w:rFonts w:ascii="Palatino Linotype" w:hAnsi="Palatino Linotype" w:cs="Arial"/>
          <w:szCs w:val="19"/>
          <w:lang w:eastAsia="es-MX"/>
        </w:rPr>
      </w:pPr>
      <w:r w:rsidRPr="00A339AF">
        <w:rPr>
          <w:rFonts w:ascii="Palatino Linotype" w:hAnsi="Palatino Linotype" w:cs="Arial"/>
          <w:szCs w:val="19"/>
          <w:lang w:eastAsia="es-MX"/>
        </w:rPr>
        <w:lastRenderedPageBreak/>
        <w:t>En efecto, el derecho de acceso a la información es un derecho de acceso a documentos; por lo que, se estima que la naturaleza de los artículos de la legislación en la materia versa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15CB800E" w14:textId="74BC9D6F" w:rsidR="000C1F29" w:rsidRPr="00936B1D" w:rsidRDefault="004139E9" w:rsidP="00936B1D">
      <w:pPr>
        <w:autoSpaceDE w:val="0"/>
        <w:autoSpaceDN w:val="0"/>
        <w:adjustRightInd w:val="0"/>
        <w:spacing w:line="360" w:lineRule="auto"/>
        <w:jc w:val="both"/>
        <w:rPr>
          <w:rFonts w:ascii="Palatino Linotype" w:hAnsi="Palatino Linotype" w:cs="Arial"/>
          <w:szCs w:val="19"/>
          <w:lang w:eastAsia="es-MX"/>
        </w:rPr>
      </w:pPr>
      <w:r>
        <w:rPr>
          <w:rFonts w:ascii="Palatino Linotype" w:hAnsi="Palatino Linotype" w:cs="Arial"/>
          <w:color w:val="222222"/>
          <w:lang w:eastAsia="es-MX"/>
        </w:rPr>
        <w:t xml:space="preserve">Para atender los requerimientos de información los sujetos obligados deben seguir el </w:t>
      </w:r>
      <w:r w:rsidR="00936B1D">
        <w:rPr>
          <w:rFonts w:ascii="Palatino Linotype" w:hAnsi="Palatino Linotype" w:cs="Arial"/>
          <w:szCs w:val="19"/>
          <w:lang w:eastAsia="es-MX"/>
        </w:rPr>
        <w:t>p</w:t>
      </w:r>
      <w:r w:rsidR="000C1F29">
        <w:rPr>
          <w:rFonts w:ascii="Palatino Linotype" w:hAnsi="Palatino Linotype"/>
          <w:color w:val="000000"/>
        </w:rPr>
        <w:t xml:space="preserve">rocedimiento de búsqueda </w:t>
      </w:r>
      <w:r w:rsidR="00936B1D">
        <w:rPr>
          <w:rFonts w:ascii="Palatino Linotype" w:hAnsi="Palatino Linotype"/>
          <w:color w:val="000000"/>
        </w:rPr>
        <w:t>de la información previsto</w:t>
      </w:r>
      <w:r w:rsidR="000C1F29">
        <w:rPr>
          <w:rFonts w:ascii="Palatino Linotype" w:hAnsi="Palatino Linotype"/>
          <w:color w:val="000000"/>
        </w:rPr>
        <w:t xml:space="preserve"> en los artículos 162, </w:t>
      </w:r>
      <w:r w:rsidR="000C1F29">
        <w:rPr>
          <w:rFonts w:ascii="Palatino Linotype" w:hAnsi="Palatino Linotype" w:cs="Arial"/>
        </w:rPr>
        <w:t>163, 164 y 165 de la Ley de la Materia que se insertan enseguida:</w:t>
      </w:r>
    </w:p>
    <w:p w14:paraId="3AFC5E8C" w14:textId="77777777" w:rsidR="000C1F29" w:rsidRPr="003915F8" w:rsidRDefault="000C1F29" w:rsidP="000C1F29">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EC3E2F1" w14:textId="77777777" w:rsidR="000C1F29" w:rsidRPr="003915F8" w:rsidRDefault="000C1F29" w:rsidP="000C1F29">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163.</w:t>
      </w:r>
      <w:r w:rsidRPr="003915F8">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3BE63FB2" w14:textId="77777777" w:rsidR="000C1F29" w:rsidRPr="003915F8" w:rsidRDefault="000C1F29" w:rsidP="000C1F29">
      <w:pPr>
        <w:spacing w:after="120"/>
        <w:ind w:left="851" w:right="900"/>
        <w:jc w:val="both"/>
        <w:rPr>
          <w:rFonts w:ascii="Palatino Linotype" w:hAnsi="Palatino Linotype"/>
          <w:i/>
          <w:sz w:val="20"/>
          <w:szCs w:val="20"/>
        </w:rPr>
      </w:pPr>
      <w:r w:rsidRPr="003915F8">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266B28" w14:textId="77777777" w:rsidR="000C1F29" w:rsidRPr="003915F8" w:rsidRDefault="000C1F29" w:rsidP="000C1F29">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164.</w:t>
      </w:r>
      <w:r w:rsidRPr="003915F8">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BE988B0" w14:textId="77777777" w:rsidR="000C1F29" w:rsidRPr="003915F8" w:rsidRDefault="000C1F29" w:rsidP="000C1F29">
      <w:pPr>
        <w:spacing w:after="120"/>
        <w:ind w:left="851" w:right="900"/>
        <w:jc w:val="both"/>
        <w:rPr>
          <w:rFonts w:ascii="Palatino Linotype" w:hAnsi="Palatino Linotype"/>
          <w:i/>
          <w:sz w:val="20"/>
          <w:szCs w:val="20"/>
        </w:rPr>
      </w:pPr>
      <w:r w:rsidRPr="003915F8">
        <w:rPr>
          <w:rFonts w:ascii="Palatino Linotype" w:hAnsi="Palatino Linotype"/>
          <w:i/>
          <w:sz w:val="20"/>
          <w:szCs w:val="20"/>
        </w:rPr>
        <w:t xml:space="preserve">En cualquier caso, se deberá fundar y motivar la necesidad de ofrecer otras modalidades.  </w:t>
      </w:r>
    </w:p>
    <w:p w14:paraId="292DB9C1" w14:textId="77777777" w:rsidR="000C1F29" w:rsidRPr="003915F8" w:rsidRDefault="000C1F29" w:rsidP="000C1F29">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6DE06E41" w14:textId="3D76864B" w:rsidR="00366326" w:rsidRDefault="00051F37" w:rsidP="000C1F29">
      <w:pPr>
        <w:spacing w:before="240" w:after="240" w:line="360" w:lineRule="auto"/>
        <w:jc w:val="both"/>
        <w:rPr>
          <w:rFonts w:ascii="Palatino Linotype" w:hAnsi="Palatino Linotype"/>
          <w:color w:val="000000"/>
        </w:rPr>
      </w:pPr>
      <w:r>
        <w:rPr>
          <w:rFonts w:ascii="Palatino Linotype" w:hAnsi="Palatino Linotype"/>
          <w:color w:val="000000"/>
        </w:rPr>
        <w:t xml:space="preserve">Por lo que se puede concluir, que el </w:t>
      </w:r>
      <w:r w:rsidRPr="00307186">
        <w:rPr>
          <w:rFonts w:ascii="Palatino Linotype" w:hAnsi="Palatino Linotype"/>
          <w:b/>
          <w:color w:val="000000"/>
        </w:rPr>
        <w:t>Sujeto Obligado</w:t>
      </w:r>
      <w:r w:rsidRPr="00307186">
        <w:rPr>
          <w:rFonts w:ascii="Palatino Linotype" w:hAnsi="Palatino Linotype"/>
          <w:color w:val="000000"/>
        </w:rPr>
        <w:t xml:space="preserve"> siguió el procedimiento de atención a las solicitudes de información</w:t>
      </w:r>
      <w:r>
        <w:rPr>
          <w:rFonts w:ascii="Palatino Linotype" w:hAnsi="Palatino Linotype"/>
          <w:color w:val="000000"/>
        </w:rPr>
        <w:t>, al garantizar que el requerimiento de información se turnara a t</w:t>
      </w:r>
      <w:r w:rsidRPr="00307186">
        <w:rPr>
          <w:rFonts w:ascii="Palatino Linotype" w:hAnsi="Palatino Linotype"/>
          <w:w w:val="105"/>
        </w:rPr>
        <w:t xml:space="preserve">odas las áreas competentes que cuenten con la información o deban tenerla de acuerdo con sus facultades, competencias y funciones, con el objeto de que realicen una búsqueda exhaustiva y razonable de la información, toda vez que están constreñidos a otorgar acceso a los </w:t>
      </w:r>
      <w:r w:rsidRPr="00307186">
        <w:rPr>
          <w:rFonts w:ascii="Palatino Linotype" w:hAnsi="Palatino Linotype"/>
          <w:w w:val="105"/>
        </w:rPr>
        <w:lastRenderedPageBreak/>
        <w:t>documentos que se encuentren en sus archivos o q</w:t>
      </w:r>
      <w:r>
        <w:rPr>
          <w:rFonts w:ascii="Palatino Linotype" w:hAnsi="Palatino Linotype"/>
          <w:w w:val="105"/>
        </w:rPr>
        <w:t xml:space="preserve">ue estén obligados a documentar; y en el caso concreto </w:t>
      </w:r>
      <w:r>
        <w:rPr>
          <w:rFonts w:ascii="Palatino Linotype" w:hAnsi="Palatino Linotype"/>
        </w:rPr>
        <w:t>la solicitud fue atendida por</w:t>
      </w:r>
      <w:r w:rsidR="00366326">
        <w:rPr>
          <w:rFonts w:ascii="Palatino Linotype" w:hAnsi="Palatino Linotype"/>
          <w:color w:val="000000"/>
        </w:rPr>
        <w:t xml:space="preserve"> la Subdirección de Servicios Escolares, que en términos del artículo 17 del Reglamento Interior de la Universidad Politécnica del Valle de Toluca le corresponden las siguientes atribuciones:</w:t>
      </w:r>
    </w:p>
    <w:p w14:paraId="6F1E86D2" w14:textId="77777777" w:rsidR="00366326" w:rsidRDefault="00366326" w:rsidP="00366326">
      <w:pPr>
        <w:spacing w:after="120"/>
        <w:ind w:left="851" w:right="1043"/>
        <w:jc w:val="both"/>
        <w:rPr>
          <w:rFonts w:ascii="Palatino Linotype" w:hAnsi="Palatino Linotype"/>
          <w:i/>
          <w:sz w:val="20"/>
          <w:szCs w:val="20"/>
        </w:rPr>
      </w:pPr>
      <w:r>
        <w:rPr>
          <w:rFonts w:ascii="Palatino Linotype" w:hAnsi="Palatino Linotype"/>
          <w:b/>
          <w:i/>
          <w:sz w:val="20"/>
          <w:szCs w:val="20"/>
        </w:rPr>
        <w:t>“</w:t>
      </w:r>
      <w:r w:rsidRPr="00366326">
        <w:rPr>
          <w:rFonts w:ascii="Palatino Linotype" w:hAnsi="Palatino Linotype"/>
          <w:b/>
          <w:i/>
          <w:sz w:val="20"/>
          <w:szCs w:val="20"/>
        </w:rPr>
        <w:t>Artículo 17.-</w:t>
      </w:r>
      <w:r w:rsidRPr="00366326">
        <w:rPr>
          <w:rFonts w:ascii="Palatino Linotype" w:hAnsi="Palatino Linotype"/>
          <w:i/>
          <w:sz w:val="20"/>
          <w:szCs w:val="20"/>
        </w:rPr>
        <w:t xml:space="preserve"> Corresponde a la Subdirección de Servicios Escolares, las atribuciones siguientes: </w:t>
      </w:r>
    </w:p>
    <w:p w14:paraId="013CC7D6" w14:textId="77777777" w:rsidR="00366326" w:rsidRDefault="00366326" w:rsidP="00366326">
      <w:pPr>
        <w:spacing w:after="120"/>
        <w:ind w:left="1134" w:right="1043"/>
        <w:jc w:val="both"/>
        <w:rPr>
          <w:rFonts w:ascii="Palatino Linotype" w:hAnsi="Palatino Linotype"/>
          <w:i/>
          <w:sz w:val="20"/>
          <w:szCs w:val="20"/>
        </w:rPr>
      </w:pPr>
      <w:r w:rsidRPr="00366326">
        <w:rPr>
          <w:rFonts w:ascii="Palatino Linotype" w:hAnsi="Palatino Linotype"/>
          <w:i/>
          <w:sz w:val="20"/>
          <w:szCs w:val="20"/>
        </w:rPr>
        <w:t xml:space="preserve">I. Elaborar y aplicar, en coordinación con las áreas competentes, el calendario escolar correspondiente. </w:t>
      </w:r>
    </w:p>
    <w:p w14:paraId="78C25745" w14:textId="77777777" w:rsidR="00366326" w:rsidRDefault="00366326" w:rsidP="00366326">
      <w:pPr>
        <w:spacing w:after="120"/>
        <w:ind w:left="1134" w:right="1043"/>
        <w:jc w:val="both"/>
        <w:rPr>
          <w:rFonts w:ascii="Palatino Linotype" w:hAnsi="Palatino Linotype"/>
          <w:i/>
          <w:sz w:val="20"/>
          <w:szCs w:val="20"/>
        </w:rPr>
      </w:pPr>
      <w:r w:rsidRPr="00366326">
        <w:rPr>
          <w:rFonts w:ascii="Palatino Linotype" w:hAnsi="Palatino Linotype"/>
          <w:i/>
          <w:sz w:val="20"/>
          <w:szCs w:val="20"/>
        </w:rPr>
        <w:t xml:space="preserve">II. Coordinar los procesos de inscripción y reinscripción de las y los alumnos, así como establecer los mecanismos y procedimientos para el registro de cambios, bajas temporales y definitivas de los mismos. </w:t>
      </w:r>
    </w:p>
    <w:p w14:paraId="1C729CA5" w14:textId="77777777" w:rsidR="00366326" w:rsidRDefault="00366326" w:rsidP="00366326">
      <w:pPr>
        <w:spacing w:after="120"/>
        <w:ind w:left="1134" w:right="1043"/>
        <w:jc w:val="both"/>
        <w:rPr>
          <w:rFonts w:ascii="Palatino Linotype" w:hAnsi="Palatino Linotype"/>
          <w:i/>
          <w:sz w:val="20"/>
          <w:szCs w:val="20"/>
        </w:rPr>
      </w:pPr>
      <w:r w:rsidRPr="00366326">
        <w:rPr>
          <w:rFonts w:ascii="Palatino Linotype" w:hAnsi="Palatino Linotype"/>
          <w:i/>
          <w:sz w:val="20"/>
          <w:szCs w:val="20"/>
        </w:rPr>
        <w:t xml:space="preserve">III. Promover en coordinación con las Direcciones de División, proyectos de investigación para mejorar el proceso educativo de la Universidad. </w:t>
      </w:r>
    </w:p>
    <w:p w14:paraId="5EF7796D" w14:textId="77777777" w:rsidR="00366326" w:rsidRDefault="00366326" w:rsidP="00366326">
      <w:pPr>
        <w:spacing w:after="120"/>
        <w:ind w:left="1134" w:right="1043"/>
        <w:jc w:val="both"/>
        <w:rPr>
          <w:rFonts w:ascii="Palatino Linotype" w:hAnsi="Palatino Linotype"/>
          <w:i/>
          <w:sz w:val="20"/>
          <w:szCs w:val="20"/>
        </w:rPr>
      </w:pPr>
      <w:r w:rsidRPr="00366326">
        <w:rPr>
          <w:rFonts w:ascii="Palatino Linotype" w:hAnsi="Palatino Linotype"/>
          <w:i/>
          <w:sz w:val="20"/>
          <w:szCs w:val="20"/>
        </w:rPr>
        <w:t xml:space="preserve">IV. Coadyuvar en coordinación con la Dirección de Planeación y Vinculación, para la difusión de las carreras y programas de posgrado y de investigación de la Universidad. </w:t>
      </w:r>
    </w:p>
    <w:p w14:paraId="58E6C53C" w14:textId="77777777" w:rsidR="00366326" w:rsidRDefault="00366326" w:rsidP="00366326">
      <w:pPr>
        <w:spacing w:after="120"/>
        <w:ind w:left="1134" w:right="1043"/>
        <w:jc w:val="both"/>
        <w:rPr>
          <w:rFonts w:ascii="Palatino Linotype" w:hAnsi="Palatino Linotype"/>
          <w:i/>
          <w:sz w:val="20"/>
          <w:szCs w:val="20"/>
        </w:rPr>
      </w:pPr>
      <w:r w:rsidRPr="00366326">
        <w:rPr>
          <w:rFonts w:ascii="Palatino Linotype" w:hAnsi="Palatino Linotype"/>
          <w:i/>
          <w:sz w:val="20"/>
          <w:szCs w:val="20"/>
        </w:rPr>
        <w:t xml:space="preserve">V. Expedir las constancias de estudios, certificados y demás documentación escolar que avalen la instrucción académica del educando, así como difundir los lineamientos, políticas y procedimientos para su otorgamiento. </w:t>
      </w:r>
    </w:p>
    <w:p w14:paraId="4900A57A" w14:textId="2E6FA2B9" w:rsidR="00366326" w:rsidRDefault="00366326" w:rsidP="00366326">
      <w:pPr>
        <w:spacing w:after="120"/>
        <w:ind w:left="1134" w:right="1043"/>
        <w:jc w:val="both"/>
        <w:rPr>
          <w:rFonts w:ascii="Palatino Linotype" w:hAnsi="Palatino Linotype"/>
          <w:i/>
          <w:color w:val="000000"/>
          <w:sz w:val="20"/>
          <w:szCs w:val="20"/>
        </w:rPr>
      </w:pPr>
      <w:r w:rsidRPr="00366326">
        <w:rPr>
          <w:rFonts w:ascii="Palatino Linotype" w:hAnsi="Palatino Linotype"/>
          <w:i/>
          <w:sz w:val="20"/>
          <w:szCs w:val="20"/>
        </w:rPr>
        <w:t>VI. Las demás que le confieran otras disposiciones legales y aquellas que le encomiende el Rector.</w:t>
      </w:r>
      <w:r>
        <w:rPr>
          <w:rFonts w:ascii="Palatino Linotype" w:hAnsi="Palatino Linotype"/>
          <w:i/>
          <w:sz w:val="20"/>
          <w:szCs w:val="20"/>
        </w:rPr>
        <w:t>”</w:t>
      </w:r>
    </w:p>
    <w:p w14:paraId="47EC4CCB" w14:textId="77777777" w:rsidR="004139E9" w:rsidRDefault="00366326" w:rsidP="00366326">
      <w:pPr>
        <w:spacing w:before="240" w:after="240" w:line="360" w:lineRule="auto"/>
        <w:ind w:right="49"/>
        <w:jc w:val="both"/>
        <w:rPr>
          <w:rFonts w:ascii="Palatino Linotype" w:hAnsi="Palatino Linotype"/>
        </w:rPr>
      </w:pPr>
      <w:r w:rsidRPr="00366326">
        <w:rPr>
          <w:rFonts w:ascii="Palatino Linotype" w:hAnsi="Palatino Linotype"/>
          <w:color w:val="000000"/>
        </w:rPr>
        <w:t xml:space="preserve">De lo anterior se desprende que Subdirección de </w:t>
      </w:r>
      <w:r>
        <w:rPr>
          <w:rFonts w:ascii="Palatino Linotype" w:hAnsi="Palatino Linotype"/>
          <w:color w:val="000000"/>
        </w:rPr>
        <w:t xml:space="preserve">Servicios Escolares tiene por atribución la de </w:t>
      </w:r>
      <w:r>
        <w:rPr>
          <w:rFonts w:ascii="Palatino Linotype" w:hAnsi="Palatino Linotype"/>
        </w:rPr>
        <w:t>c</w:t>
      </w:r>
      <w:r w:rsidRPr="00366326">
        <w:rPr>
          <w:rFonts w:ascii="Palatino Linotype" w:hAnsi="Palatino Linotype"/>
        </w:rPr>
        <w:t>oordinar los procesos de inscripción y reinscripción de las y los alumnos, así como establecer los mecanismos y procedimientos para el registro de cambios, bajas tempora</w:t>
      </w:r>
      <w:r>
        <w:rPr>
          <w:rFonts w:ascii="Palatino Linotype" w:hAnsi="Palatino Linotype"/>
        </w:rPr>
        <w:t>les y definitivas de los mismos, así como e</w:t>
      </w:r>
      <w:r w:rsidRPr="00366326">
        <w:rPr>
          <w:rFonts w:ascii="Palatino Linotype" w:hAnsi="Palatino Linotype"/>
        </w:rPr>
        <w:t>xpedir las constancias de estudios, certificados y demás documentación escolar que avalen la inst</w:t>
      </w:r>
      <w:r>
        <w:rPr>
          <w:rFonts w:ascii="Palatino Linotype" w:hAnsi="Palatino Linotype"/>
        </w:rPr>
        <w:t>rucción académica del educando.</w:t>
      </w:r>
      <w:r w:rsidR="004139E9">
        <w:rPr>
          <w:rFonts w:ascii="Palatino Linotype" w:hAnsi="Palatino Linotype"/>
        </w:rPr>
        <w:t xml:space="preserve"> </w:t>
      </w:r>
    </w:p>
    <w:p w14:paraId="47D42DE9" w14:textId="32DB15E0" w:rsidR="00366326" w:rsidRDefault="004139E9" w:rsidP="00366326">
      <w:pPr>
        <w:spacing w:before="240" w:after="240" w:line="360" w:lineRule="auto"/>
        <w:ind w:right="49"/>
        <w:jc w:val="both"/>
        <w:rPr>
          <w:rFonts w:ascii="Palatino Linotype" w:hAnsi="Palatino Linotype"/>
        </w:rPr>
      </w:pPr>
      <w:r>
        <w:rPr>
          <w:rFonts w:ascii="Palatino Linotype" w:hAnsi="Palatino Linotype"/>
        </w:rPr>
        <w:lastRenderedPageBreak/>
        <w:t xml:space="preserve">En consecuencia, </w:t>
      </w:r>
      <w:r w:rsidR="00366326">
        <w:rPr>
          <w:rFonts w:ascii="Palatino Linotype" w:hAnsi="Palatino Linotype"/>
        </w:rPr>
        <w:t xml:space="preserve">la Unidad Administrativa que remitió la información </w:t>
      </w:r>
      <w:r>
        <w:rPr>
          <w:rFonts w:ascii="Palatino Linotype" w:hAnsi="Palatino Linotype"/>
        </w:rPr>
        <w:t>concerniente a los alumnos inscritos, bajos, egresados y titulados es</w:t>
      </w:r>
      <w:r w:rsidR="00366326">
        <w:rPr>
          <w:rFonts w:ascii="Palatino Linotype" w:hAnsi="Palatino Linotype"/>
        </w:rPr>
        <w:t xml:space="preserve"> el área competente para conocer de la información </w:t>
      </w:r>
      <w:r>
        <w:rPr>
          <w:rFonts w:ascii="Palatino Linotype" w:hAnsi="Palatino Linotype"/>
        </w:rPr>
        <w:t>solicitada, por lo que en ese sentido se tiene por atendiendo el procedimiento de búsqueda de la información enmarcado en la Ley de Transparencia de la entidad.</w:t>
      </w:r>
    </w:p>
    <w:p w14:paraId="5A7FF65B" w14:textId="0ED09F19" w:rsidR="004139E9" w:rsidRDefault="00051F37" w:rsidP="00366326">
      <w:pPr>
        <w:spacing w:before="240" w:after="240" w:line="360" w:lineRule="auto"/>
        <w:ind w:right="49"/>
        <w:jc w:val="both"/>
        <w:rPr>
          <w:rFonts w:ascii="Palatino Linotype" w:hAnsi="Palatino Linotype"/>
        </w:rPr>
      </w:pPr>
      <w:r>
        <w:rPr>
          <w:rFonts w:ascii="Palatino Linotype" w:hAnsi="Palatino Linotype"/>
        </w:rPr>
        <w:t xml:space="preserve">Ahora bien, retomando la materia de los requerimientos del particular, se advierte que estos versan sobre los alumnos inscritos, </w:t>
      </w:r>
      <w:r w:rsidR="00796ED5">
        <w:rPr>
          <w:rFonts w:ascii="Palatino Linotype" w:hAnsi="Palatino Linotype"/>
        </w:rPr>
        <w:t xml:space="preserve">dado de </w:t>
      </w:r>
      <w:r>
        <w:rPr>
          <w:rFonts w:ascii="Palatino Linotype" w:hAnsi="Palatino Linotype"/>
        </w:rPr>
        <w:t>baj</w:t>
      </w:r>
      <w:r w:rsidR="00796ED5">
        <w:rPr>
          <w:rFonts w:ascii="Palatino Linotype" w:hAnsi="Palatino Linotype"/>
        </w:rPr>
        <w:t>a</w:t>
      </w:r>
      <w:r>
        <w:rPr>
          <w:rFonts w:ascii="Palatino Linotype" w:hAnsi="Palatino Linotype"/>
        </w:rPr>
        <w:t>, egresados y titulados por programa educativa desde la creación de la Universidad, por lo que resulta necesario insertar en la parte medular el contenido</w:t>
      </w:r>
      <w:r w:rsidR="004139E9">
        <w:rPr>
          <w:rFonts w:ascii="Palatino Linotype" w:hAnsi="Palatino Linotype"/>
        </w:rPr>
        <w:t xml:space="preserve"> </w:t>
      </w:r>
      <w:r>
        <w:rPr>
          <w:rFonts w:ascii="Palatino Linotype" w:hAnsi="Palatino Linotype"/>
        </w:rPr>
        <w:t>d</w:t>
      </w:r>
      <w:r w:rsidR="004139E9">
        <w:rPr>
          <w:rFonts w:ascii="Palatino Linotype" w:hAnsi="Palatino Linotype"/>
        </w:rPr>
        <w:t xml:space="preserve">el oficio número 205BL10101/213/2018, a fin de verificar si la misma atiende </w:t>
      </w:r>
      <w:r>
        <w:rPr>
          <w:rFonts w:ascii="Palatino Linotype" w:hAnsi="Palatino Linotype"/>
        </w:rPr>
        <w:t>lo solicitado</w:t>
      </w:r>
      <w:r w:rsidR="004139E9">
        <w:rPr>
          <w:rFonts w:ascii="Palatino Linotype" w:hAnsi="Palatino Linotype"/>
        </w:rPr>
        <w:t>.</w:t>
      </w:r>
    </w:p>
    <w:p w14:paraId="718FEED2" w14:textId="75AC240C" w:rsidR="004139E9" w:rsidRPr="00366326" w:rsidRDefault="00051F37" w:rsidP="00366326">
      <w:pPr>
        <w:spacing w:before="240" w:after="240" w:line="360" w:lineRule="auto"/>
        <w:ind w:right="49"/>
        <w:jc w:val="both"/>
        <w:rPr>
          <w:rFonts w:ascii="Palatino Linotype" w:hAnsi="Palatino Linotype"/>
          <w:color w:val="000000"/>
        </w:rPr>
      </w:pPr>
      <w:r w:rsidRPr="00051F37">
        <w:rPr>
          <w:rFonts w:ascii="Palatino Linotype" w:hAnsi="Palatino Linotype"/>
          <w:noProof/>
          <w:color w:val="000000"/>
          <w:lang w:val="es-MX" w:eastAsia="es-MX"/>
        </w:rPr>
        <w:drawing>
          <wp:inline distT="0" distB="0" distL="0" distR="0" wp14:anchorId="52935F77" wp14:editId="28944246">
            <wp:extent cx="5612130" cy="41243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124325"/>
                    </a:xfrm>
                    <a:prstGeom prst="rect">
                      <a:avLst/>
                    </a:prstGeom>
                  </pic:spPr>
                </pic:pic>
              </a:graphicData>
            </a:graphic>
          </wp:inline>
        </w:drawing>
      </w:r>
      <w:r w:rsidRPr="00051F37">
        <w:rPr>
          <w:rFonts w:ascii="Palatino Linotype" w:hAnsi="Palatino Linotype"/>
          <w:color w:val="000000"/>
        </w:rPr>
        <w:t xml:space="preserve"> </w:t>
      </w:r>
    </w:p>
    <w:p w14:paraId="4995DA22" w14:textId="7616E549" w:rsidR="000C1F29" w:rsidRPr="00661AC2" w:rsidRDefault="000C1F29" w:rsidP="000C1F29">
      <w:pPr>
        <w:spacing w:before="240" w:after="240" w:line="360" w:lineRule="auto"/>
        <w:jc w:val="both"/>
        <w:rPr>
          <w:rFonts w:ascii="Palatino Linotype" w:hAnsi="Palatino Linotype"/>
          <w:color w:val="000000"/>
        </w:rPr>
      </w:pPr>
    </w:p>
    <w:p w14:paraId="79C8B688" w14:textId="3A3BD4D1" w:rsidR="001569BB" w:rsidRDefault="00051F37" w:rsidP="001569BB">
      <w:pPr>
        <w:spacing w:before="240" w:after="240" w:line="360" w:lineRule="auto"/>
        <w:jc w:val="both"/>
        <w:rPr>
          <w:rFonts w:ascii="Palatino Linotype" w:hAnsi="Palatino Linotype"/>
        </w:rPr>
      </w:pPr>
      <w:r>
        <w:rPr>
          <w:rFonts w:ascii="Palatino Linotype" w:hAnsi="Palatino Linotype" w:cs="Arial"/>
        </w:rPr>
        <w:t xml:space="preserve">Como se advierte, el periodo </w:t>
      </w:r>
      <w:r w:rsidR="001569BB">
        <w:rPr>
          <w:rFonts w:ascii="Palatino Linotype" w:hAnsi="Palatino Linotype" w:cs="Arial"/>
        </w:rPr>
        <w:t>del que</w:t>
      </w:r>
      <w:r>
        <w:rPr>
          <w:rFonts w:ascii="Palatino Linotype" w:hAnsi="Palatino Linotype" w:cs="Arial"/>
        </w:rPr>
        <w:t xml:space="preserve"> el </w:t>
      </w:r>
      <w:r>
        <w:rPr>
          <w:rFonts w:ascii="Palatino Linotype" w:hAnsi="Palatino Linotype" w:cs="Arial"/>
          <w:b/>
        </w:rPr>
        <w:t xml:space="preserve">Sujeto Obligado </w:t>
      </w:r>
      <w:r w:rsidR="001569BB">
        <w:rPr>
          <w:rFonts w:ascii="Palatino Linotype" w:hAnsi="Palatino Linotype" w:cs="Arial"/>
        </w:rPr>
        <w:t xml:space="preserve">envió información, </w:t>
      </w:r>
      <w:r>
        <w:rPr>
          <w:rFonts w:ascii="Palatino Linotype" w:hAnsi="Palatino Linotype" w:cs="Arial"/>
        </w:rPr>
        <w:t>es el correspondiente de septiembre de dos mil seis a septiembre de dos mil dieciocho, por lo que resulta</w:t>
      </w:r>
      <w:r>
        <w:rPr>
          <w:rFonts w:ascii="Palatino Linotype" w:hAnsi="Palatino Linotype"/>
        </w:rPr>
        <w:t xml:space="preserve"> trascendental señalar que </w:t>
      </w:r>
      <w:r w:rsidR="001569BB" w:rsidRPr="001952CB">
        <w:rPr>
          <w:rFonts w:ascii="Palatino Linotype" w:hAnsi="Palatino Linotype"/>
        </w:rPr>
        <w:t>de conformidad con el artículo primero transitorio del Decreto por el que se Crea el Organismo Público Descentralizado de Carácter Estatal denominado Universidad Politécnica del Valle de Toluca, publicado en la “Gaceta de Gobierno” de fecha 13 de noviembre de 2006</w:t>
      </w:r>
      <w:r w:rsidR="001569BB">
        <w:rPr>
          <w:rFonts w:ascii="Palatino Linotype" w:hAnsi="Palatino Linotype"/>
        </w:rPr>
        <w:t xml:space="preserve">, la </w:t>
      </w:r>
      <w:r>
        <w:rPr>
          <w:rFonts w:ascii="Palatino Linotype" w:hAnsi="Palatino Linotype"/>
        </w:rPr>
        <w:t xml:space="preserve">Institución Educativa </w:t>
      </w:r>
      <w:r w:rsidR="001569BB">
        <w:rPr>
          <w:rFonts w:ascii="Palatino Linotype" w:hAnsi="Palatino Linotype"/>
        </w:rPr>
        <w:t xml:space="preserve">inició funciones el 14 de noviembre del mismo año, </w:t>
      </w:r>
      <w:r>
        <w:rPr>
          <w:rFonts w:ascii="Palatino Linotype" w:hAnsi="Palatino Linotype"/>
        </w:rPr>
        <w:t>como un organismo público descentralizado del Gobierno del Estado de México con personalidad jurídica y patrimonio propio para impartir educación superior en los niveles de licenciatura, especialización tecnológica y posgrado, así como cursos de actualización en sus diversas modalidades, que contribuyan a atender los requerimientos del contexto económico, político y social</w:t>
      </w:r>
      <w:r w:rsidR="001569BB">
        <w:rPr>
          <w:rFonts w:ascii="Palatino Linotype" w:hAnsi="Palatino Linotype"/>
        </w:rPr>
        <w:t>.</w:t>
      </w:r>
    </w:p>
    <w:p w14:paraId="1E59BDF8" w14:textId="77777777" w:rsidR="001569BB" w:rsidRDefault="001569BB" w:rsidP="001569BB">
      <w:pPr>
        <w:spacing w:before="240" w:after="240" w:line="360" w:lineRule="auto"/>
        <w:jc w:val="both"/>
        <w:rPr>
          <w:rFonts w:ascii="Palatino Linotype" w:hAnsi="Palatino Linotype"/>
        </w:rPr>
      </w:pPr>
      <w:r>
        <w:rPr>
          <w:rFonts w:ascii="Palatino Linotype" w:hAnsi="Palatino Linotype"/>
        </w:rPr>
        <w:t>Con base en lo anterior, se tienen que la Universidad Politécnica del Valle de Toluca entregó la información por el periodo requerido en la solicitud de acceso a la información y que fue precisado por el particular al momento de desahogar la solicitud de aclaración a la solicitud de información, en virtud de que el mismo señaló que solicitaba la generada desde el momento de creación de la Universidad.</w:t>
      </w:r>
    </w:p>
    <w:p w14:paraId="1C9C7B88" w14:textId="003CCFA4" w:rsidR="001569BB" w:rsidRDefault="001569BB" w:rsidP="001569BB">
      <w:pPr>
        <w:spacing w:before="240" w:after="240" w:line="360" w:lineRule="auto"/>
        <w:jc w:val="both"/>
        <w:rPr>
          <w:rFonts w:ascii="Palatino Linotype" w:hAnsi="Palatino Linotype"/>
        </w:rPr>
      </w:pPr>
      <w:r>
        <w:rPr>
          <w:rFonts w:ascii="Palatino Linotype" w:hAnsi="Palatino Linotype"/>
        </w:rPr>
        <w:t xml:space="preserve"> Por otro lado, se tienen que el particular pidió la información por Programa Educativo, punto que fue colmado por el </w:t>
      </w:r>
      <w:r>
        <w:rPr>
          <w:rFonts w:ascii="Palatino Linotype" w:hAnsi="Palatino Linotype"/>
          <w:b/>
        </w:rPr>
        <w:t xml:space="preserve">Sujeto Obligado, </w:t>
      </w:r>
      <w:r>
        <w:rPr>
          <w:rFonts w:ascii="Palatino Linotype" w:hAnsi="Palatino Linotype"/>
        </w:rPr>
        <w:t xml:space="preserve">toda vez que en términos del artículo 11 del Reglamento Interior de la Universidad, para </w:t>
      </w:r>
      <w:r w:rsidRPr="001569BB">
        <w:rPr>
          <w:rFonts w:ascii="Palatino Linotype" w:hAnsi="Palatino Linotype"/>
        </w:rPr>
        <w:t>estudio, planeación, despacho, control y evaluación de los asuntos de su competencia, el Rector se auxilia de las unidades administrativas básicas</w:t>
      </w:r>
      <w:r w:rsidR="00BB07CB">
        <w:rPr>
          <w:rFonts w:ascii="Palatino Linotype" w:hAnsi="Palatino Linotype"/>
        </w:rPr>
        <w:t xml:space="preserve"> siguiente:</w:t>
      </w:r>
    </w:p>
    <w:p w14:paraId="183E047D" w14:textId="77777777" w:rsidR="00BB07CB" w:rsidRDefault="00BB07CB" w:rsidP="00BB07CB">
      <w:pPr>
        <w:spacing w:after="120"/>
        <w:ind w:left="851" w:right="902"/>
        <w:jc w:val="both"/>
        <w:rPr>
          <w:rFonts w:ascii="Palatino Linotype" w:hAnsi="Palatino Linotype"/>
          <w:i/>
          <w:sz w:val="20"/>
          <w:szCs w:val="20"/>
        </w:rPr>
      </w:pPr>
      <w:r>
        <w:rPr>
          <w:rFonts w:ascii="Palatino Linotype" w:hAnsi="Palatino Linotype"/>
          <w:b/>
          <w:i/>
          <w:sz w:val="20"/>
          <w:szCs w:val="20"/>
        </w:rPr>
        <w:lastRenderedPageBreak/>
        <w:t>“</w:t>
      </w:r>
      <w:r w:rsidRPr="00E4329E">
        <w:rPr>
          <w:rFonts w:ascii="Palatino Linotype" w:hAnsi="Palatino Linotype"/>
          <w:b/>
          <w:i/>
          <w:sz w:val="20"/>
          <w:szCs w:val="20"/>
        </w:rPr>
        <w:t>Artículo 11.-</w:t>
      </w:r>
      <w:r w:rsidRPr="00E4329E">
        <w:rPr>
          <w:rFonts w:ascii="Palatino Linotype" w:hAnsi="Palatino Linotype"/>
          <w:i/>
          <w:sz w:val="20"/>
          <w:szCs w:val="20"/>
        </w:rPr>
        <w:t xml:space="preserve"> Para el estudio, planeación, despacho, control y evaluación de los asuntos de su competencia, el Rector se auxiliará de las unidades administrativas básicas siguientes: </w:t>
      </w:r>
    </w:p>
    <w:p w14:paraId="1E3EF818"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I. Dirección de División de Ingeniería Industrial y de Sistemas. </w:t>
      </w:r>
    </w:p>
    <w:p w14:paraId="70C06B89"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II. Dirección de División de Ingeniería en Informática. </w:t>
      </w:r>
    </w:p>
    <w:p w14:paraId="20EA572A"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III. Dirección de División de Ingeniería Mecatrónica. </w:t>
      </w:r>
    </w:p>
    <w:p w14:paraId="591EAB6A"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IV. Dirección de División de Ingeniería en Biotecnología y Licenciatura en Negocios Internacionales. </w:t>
      </w:r>
    </w:p>
    <w:p w14:paraId="08A2F474"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V. Dirección de Planeación y Vinculación. </w:t>
      </w:r>
    </w:p>
    <w:p w14:paraId="6E88ABAD"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VI. Dirección de Administración y Finanzas. </w:t>
      </w:r>
    </w:p>
    <w:p w14:paraId="0C2F0C21" w14:textId="77777777" w:rsidR="00BB07CB"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 xml:space="preserve">VII. Departamento de Control Escolar </w:t>
      </w:r>
    </w:p>
    <w:p w14:paraId="03F10045" w14:textId="475737AE" w:rsidR="00BB07CB" w:rsidRPr="00E4329E" w:rsidRDefault="00BB07CB" w:rsidP="00BB07CB">
      <w:pPr>
        <w:ind w:left="1134" w:right="902"/>
        <w:jc w:val="both"/>
        <w:rPr>
          <w:rFonts w:ascii="Palatino Linotype" w:hAnsi="Palatino Linotype"/>
          <w:i/>
          <w:sz w:val="20"/>
          <w:szCs w:val="20"/>
        </w:rPr>
      </w:pPr>
      <w:r w:rsidRPr="00E4329E">
        <w:rPr>
          <w:rFonts w:ascii="Palatino Linotype" w:hAnsi="Palatino Linotype"/>
          <w:i/>
          <w:sz w:val="20"/>
          <w:szCs w:val="20"/>
        </w:rPr>
        <w:t>VIII. Departamento de Tecnologías de la Información.</w:t>
      </w:r>
      <w:r>
        <w:rPr>
          <w:rFonts w:ascii="Palatino Linotype" w:hAnsi="Palatino Linotype"/>
          <w:i/>
          <w:sz w:val="20"/>
          <w:szCs w:val="20"/>
        </w:rPr>
        <w:t>”</w:t>
      </w:r>
    </w:p>
    <w:p w14:paraId="1893FC25" w14:textId="658CAE8D" w:rsidR="00BB07CB" w:rsidRDefault="00BB07CB" w:rsidP="001569BB">
      <w:pPr>
        <w:spacing w:before="240" w:after="240" w:line="360" w:lineRule="auto"/>
        <w:jc w:val="both"/>
        <w:rPr>
          <w:rFonts w:ascii="Palatino Linotype" w:hAnsi="Palatino Linotype"/>
        </w:rPr>
      </w:pPr>
      <w:r>
        <w:rPr>
          <w:rFonts w:ascii="Palatino Linotype" w:hAnsi="Palatino Linotype"/>
        </w:rPr>
        <w:t>De modo, que al haber entregado la información relativa a los alumnos inscritos, dados de baja, egresados y titulados de la Ingenierías en Biotecnología, Energía, Informática, Industrial, Industrial y de Sistemas, Mecánica Automotriz, Mecatrónica, Tecnologías de la Información, Licenciatura en Negociaos Internacionales y Maestría en Administración, se colma lo solicitado.</w:t>
      </w:r>
    </w:p>
    <w:p w14:paraId="386BE11D" w14:textId="4AC6A1D1" w:rsidR="00BB07CB" w:rsidRDefault="00BB07CB" w:rsidP="00BB07CB">
      <w:pPr>
        <w:spacing w:before="240" w:after="240" w:line="360" w:lineRule="auto"/>
        <w:jc w:val="both"/>
        <w:rPr>
          <w:rFonts w:ascii="Palatino Linotype" w:hAnsi="Palatino Linotype" w:cs="Arial"/>
        </w:rPr>
      </w:pPr>
      <w:r>
        <w:rPr>
          <w:rFonts w:ascii="Palatino Linotype" w:hAnsi="Palatino Linotype" w:cs="Arial"/>
        </w:rPr>
        <w:t>No obstante lo previo, con la finalidad de allegarse de elementos suficientes para resolver el presente medio de impugnación est</w:t>
      </w:r>
      <w:r w:rsidR="00EF4632">
        <w:rPr>
          <w:rFonts w:ascii="Palatino Linotype" w:hAnsi="Palatino Linotype" w:cs="Arial"/>
        </w:rPr>
        <w:t>e Instituto efectuó una consulta en</w:t>
      </w:r>
      <w:r>
        <w:rPr>
          <w:rFonts w:ascii="Palatino Linotype" w:hAnsi="Palatino Linotype" w:cs="Arial"/>
        </w:rPr>
        <w:t xml:space="preserve"> la página web del </w:t>
      </w:r>
      <w:r>
        <w:rPr>
          <w:rFonts w:ascii="Palatino Linotype" w:hAnsi="Palatino Linotype" w:cs="Arial"/>
          <w:b/>
        </w:rPr>
        <w:t>Sujeto Obligado</w:t>
      </w:r>
      <w:r>
        <w:rPr>
          <w:rFonts w:ascii="Palatino Linotype" w:hAnsi="Palatino Linotype" w:cs="Arial"/>
        </w:rPr>
        <w:t>, en donde se localizó como “</w:t>
      </w:r>
      <w:r>
        <w:rPr>
          <w:rFonts w:ascii="Palatino Linotype" w:hAnsi="Palatino Linotype" w:cs="Arial"/>
          <w:i/>
        </w:rPr>
        <w:t xml:space="preserve">Oferta Educativa”, </w:t>
      </w:r>
      <w:r w:rsidRPr="00BB07CB">
        <w:rPr>
          <w:rFonts w:ascii="Palatino Linotype" w:hAnsi="Palatino Linotype" w:cs="Arial"/>
        </w:rPr>
        <w:t>las siguientes:</w:t>
      </w:r>
    </w:p>
    <w:p w14:paraId="7AB7CC57" w14:textId="78270FED" w:rsidR="00BB07CB" w:rsidRDefault="00BB07CB" w:rsidP="00BB07CB">
      <w:pPr>
        <w:spacing w:before="240" w:after="240" w:line="360" w:lineRule="auto"/>
        <w:jc w:val="both"/>
        <w:rPr>
          <w:rFonts w:ascii="Palatino Linotype" w:hAnsi="Palatino Linotype" w:cs="Arial"/>
        </w:rPr>
      </w:pPr>
      <w:r>
        <w:rPr>
          <w:rFonts w:ascii="Palatino Linotype" w:hAnsi="Palatino Linotype" w:cs="Arial"/>
        </w:rPr>
        <w:t>--------------------------------------------------------------------------------------------------------------------------------------------------------------------------------------------------------------------------------------------------------------------------------------------------------------------------------------------------------------------------------------------------------------------------------------------------------------------------------------------------------------------------------------------------------------------------------------------------------------------------------------------------------------------------------------------------------------------------------------------------------------------------------------------------</w:t>
      </w:r>
    </w:p>
    <w:p w14:paraId="4AF0D194" w14:textId="0A54A00C" w:rsidR="00BB07CB" w:rsidRPr="00BB07CB" w:rsidRDefault="00BB07CB" w:rsidP="00BB07CB">
      <w:pPr>
        <w:spacing w:before="240" w:after="240" w:line="360" w:lineRule="auto"/>
        <w:jc w:val="both"/>
        <w:rPr>
          <w:rFonts w:ascii="Palatino Linotype" w:hAnsi="Palatino Linotype" w:cs="Arial"/>
        </w:rPr>
      </w:pPr>
      <w:r w:rsidRPr="00BB07CB">
        <w:rPr>
          <w:rFonts w:ascii="Palatino Linotype" w:hAnsi="Palatino Linotype" w:cs="Arial"/>
          <w:noProof/>
          <w:lang w:val="es-MX" w:eastAsia="es-MX"/>
        </w:rPr>
        <w:lastRenderedPageBreak/>
        <w:drawing>
          <wp:inline distT="0" distB="0" distL="0" distR="0" wp14:anchorId="6B8C9A37" wp14:editId="7559379F">
            <wp:extent cx="5612130" cy="71329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7132955"/>
                    </a:xfrm>
                    <a:prstGeom prst="rect">
                      <a:avLst/>
                    </a:prstGeom>
                  </pic:spPr>
                </pic:pic>
              </a:graphicData>
            </a:graphic>
          </wp:inline>
        </w:drawing>
      </w:r>
    </w:p>
    <w:p w14:paraId="19141DF4" w14:textId="4C9AB89A" w:rsidR="001A2613" w:rsidRPr="00531ABD" w:rsidRDefault="00BB07CB" w:rsidP="001A2613">
      <w:pPr>
        <w:spacing w:before="240" w:after="240" w:line="360" w:lineRule="auto"/>
        <w:jc w:val="both"/>
        <w:rPr>
          <w:rFonts w:ascii="Palatino Linotype" w:hAnsi="Palatino Linotype"/>
        </w:rPr>
      </w:pPr>
      <w:r>
        <w:rPr>
          <w:rFonts w:ascii="Palatino Linotype" w:hAnsi="Palatino Linotype" w:cs="Arial"/>
        </w:rPr>
        <w:lastRenderedPageBreak/>
        <w:t xml:space="preserve">Por último, el </w:t>
      </w:r>
      <w:r>
        <w:rPr>
          <w:rFonts w:ascii="Palatino Linotype" w:hAnsi="Palatino Linotype" w:cs="Arial"/>
          <w:b/>
        </w:rPr>
        <w:t>Sujeto Obligado</w:t>
      </w:r>
      <w:r>
        <w:rPr>
          <w:rFonts w:ascii="Palatino Linotype" w:hAnsi="Palatino Linotype" w:cs="Arial"/>
        </w:rPr>
        <w:t xml:space="preserve"> indicó el número de alumnos inscritos, dados de baja, egresados y titulados desde la creación de la Universidad hasta la fecha de la solicitud, con los cual se colman todos los puntos del requerimiento de información</w:t>
      </w:r>
      <w:r w:rsidR="00C64A26">
        <w:rPr>
          <w:rFonts w:ascii="Palatino Linotype" w:hAnsi="Palatino Linotype" w:cs="Arial"/>
        </w:rPr>
        <w:t xml:space="preserve">, atendiendo lo previsto en </w:t>
      </w:r>
      <w:r w:rsidR="001A2613">
        <w:rPr>
          <w:rFonts w:ascii="Palatino Linotype" w:hAnsi="Palatino Linotype"/>
        </w:rPr>
        <w:t xml:space="preserve">el artículo </w:t>
      </w:r>
      <w:r w:rsidR="001A2613" w:rsidRPr="00531ABD">
        <w:rPr>
          <w:rFonts w:ascii="Palatino Linotype" w:hAnsi="Palatino Linotype"/>
        </w:rPr>
        <w:t xml:space="preserve">166 de la Ley de Transparencia y Acceso a la Información Pública del Estado de México y Municipios, </w:t>
      </w:r>
      <w:r w:rsidR="00F95493">
        <w:rPr>
          <w:rFonts w:ascii="Palatino Linotype" w:hAnsi="Palatino Linotype"/>
        </w:rPr>
        <w:t xml:space="preserve">en el que se establece que </w:t>
      </w:r>
      <w:r w:rsidR="001A2613" w:rsidRPr="00531ABD">
        <w:rPr>
          <w:rFonts w:ascii="Palatino Linotype" w:hAnsi="Palatino Linotype"/>
        </w:rPr>
        <w:t>las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0DF344DA" w14:textId="2C4C7439" w:rsidR="001A2613" w:rsidRPr="00324F9B" w:rsidRDefault="001A2613" w:rsidP="001A2613">
      <w:pPr>
        <w:spacing w:before="240" w:after="240" w:line="360" w:lineRule="auto"/>
        <w:jc w:val="both"/>
        <w:rPr>
          <w:rFonts w:ascii="Palatino Linotype" w:hAnsi="Palatino Linotype"/>
          <w:lang w:val="es-MX"/>
        </w:rPr>
      </w:pPr>
      <w:r>
        <w:rPr>
          <w:rFonts w:ascii="Palatino Linotype" w:hAnsi="Palatino Linotype"/>
        </w:rPr>
        <w:t>La presunción de veracidad</w:t>
      </w:r>
      <w:r>
        <w:rPr>
          <w:rStyle w:val="Refdenotaalpie"/>
          <w:rFonts w:ascii="Palatino Linotype" w:hAnsi="Palatino Linotype"/>
        </w:rPr>
        <w:footnoteReference w:id="1"/>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por lo que este Órgano no está facultado para pronunciarse sobre la veracidad de la información entregada, su función se limita a revisar que el derecho constitucional de acceso a la información pública sea garantizado, con la entrega de la información en posesión del poder público, que está sujeta a la Ley de Transparencia y Acceso a la Información Pública del Estado de México y Municipios, así las cosas no es competencia de este Órgano la revisión de la información entregada por el </w:t>
      </w:r>
      <w:r>
        <w:rPr>
          <w:rFonts w:ascii="Palatino Linotype" w:hAnsi="Palatino Linotype"/>
          <w:b/>
        </w:rPr>
        <w:t>Sujeto Obligado</w:t>
      </w:r>
      <w:r>
        <w:rPr>
          <w:rFonts w:ascii="Palatino Linotype" w:hAnsi="Palatino Linotype"/>
        </w:rPr>
        <w:t xml:space="preserve">, pues no existe precepto legal alguno que permita pronunciamiento al respecto. </w:t>
      </w:r>
      <w:r w:rsidRPr="00324F9B">
        <w:rPr>
          <w:rFonts w:ascii="Palatino Linotype" w:hAnsi="Palatino Linotype"/>
          <w:lang w:val="es-MX"/>
        </w:rPr>
        <w:t>Sirve de apoyo a lo anterior por analogía el criterio 31-</w:t>
      </w:r>
      <w:r w:rsidRPr="00324F9B">
        <w:rPr>
          <w:rFonts w:ascii="Palatino Linotype" w:hAnsi="Palatino Linotype"/>
          <w:lang w:val="es-MX"/>
        </w:rPr>
        <w:lastRenderedPageBreak/>
        <w:t>10 emitido por el entonces Instituto Federal de Acceso a la Información y Protección de Datos, que a la letra dice:</w:t>
      </w:r>
    </w:p>
    <w:p w14:paraId="7DEFD77E" w14:textId="77777777" w:rsidR="001A2613" w:rsidRPr="00C24C0B" w:rsidRDefault="001A2613" w:rsidP="001A2613">
      <w:pPr>
        <w:autoSpaceDE w:val="0"/>
        <w:autoSpaceDN w:val="0"/>
        <w:adjustRightInd w:val="0"/>
        <w:spacing w:after="36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98AA99" w14:textId="77777777" w:rsidR="00352B4E" w:rsidRDefault="00352B4E" w:rsidP="00352B4E">
      <w:pPr>
        <w:spacing w:before="240" w:after="240" w:line="360" w:lineRule="auto"/>
        <w:jc w:val="both"/>
        <w:rPr>
          <w:rFonts w:ascii="Palatino Linotype" w:hAnsi="Palatino Linotype"/>
        </w:rPr>
      </w:pPr>
      <w:r>
        <w:rPr>
          <w:rFonts w:ascii="Palatino Linotype" w:hAnsi="Palatino Linotype"/>
        </w:rPr>
        <w:t>En ese orden de ideas, es posible concluir que la respuesta proporcionada cumplimenta los extremos de la solicitud en estudio, ante la premisa de que la Universidad Politécnica del Valle de Toluca atendió cada uno de los puntos planteados bajo los principios de principios de congruencia y exhaustividad que deben prevalecer en las respuestas que emitan los sujetos obligados en el ejercicio del derecho de acceso a la información, conforme a lo dispuesto en el criterio 02/17 de los del Instituto Nacional de Transparencia, Acceso a la Información y Protección de Datos Personales, que se transcribe a continuación:</w:t>
      </w:r>
    </w:p>
    <w:p w14:paraId="6ED57A22" w14:textId="77777777" w:rsidR="00352B4E" w:rsidRPr="002968E6" w:rsidRDefault="00352B4E" w:rsidP="00352B4E">
      <w:pPr>
        <w:spacing w:after="120"/>
        <w:ind w:left="851" w:right="902"/>
        <w:jc w:val="both"/>
        <w:rPr>
          <w:rFonts w:ascii="Palatino Linotype" w:hAnsi="Palatino Linotype" w:cs="Arial"/>
          <w:i/>
          <w:sz w:val="20"/>
          <w:szCs w:val="20"/>
          <w:lang w:val="es-MX"/>
        </w:rPr>
      </w:pPr>
      <w:r>
        <w:rPr>
          <w:rFonts w:ascii="Palatino Linotype" w:hAnsi="Palatino Linotype" w:cs="Arial"/>
          <w:b/>
          <w:i/>
          <w:sz w:val="20"/>
          <w:szCs w:val="20"/>
        </w:rPr>
        <w:t>“</w:t>
      </w:r>
      <w:r w:rsidRPr="002968E6">
        <w:rPr>
          <w:rFonts w:ascii="Palatino Linotype" w:hAnsi="Palatino Linotype" w:cs="Arial"/>
          <w:b/>
          <w:i/>
          <w:sz w:val="20"/>
          <w:szCs w:val="20"/>
        </w:rPr>
        <w:t xml:space="preserve">Congruencia y exhaustividad. Sus alcances para garantizar el derecho de acceso a la información. </w:t>
      </w:r>
      <w:r w:rsidRPr="002968E6">
        <w:rPr>
          <w:rFonts w:ascii="Palatino Linotype" w:hAnsi="Palatino Linotype" w:cs="Arial"/>
          <w:i/>
          <w:sz w:val="20"/>
          <w:szCs w:val="20"/>
        </w:rPr>
        <w:t xml:space="preserve">De conformidad con el artículo </w:t>
      </w:r>
      <w:r w:rsidRPr="002968E6">
        <w:rPr>
          <w:rFonts w:ascii="Palatino Linotype" w:hAnsi="Palatino Linotype"/>
          <w:i/>
          <w:sz w:val="20"/>
          <w:szCs w:val="20"/>
          <w:lang w:val="es-ES_tradnl"/>
        </w:rPr>
        <w:t>3 de la Ley Federal de Procedimiento Administrativo</w:t>
      </w:r>
      <w:r w:rsidRPr="002968E6">
        <w:rPr>
          <w:rFonts w:ascii="Palatino Linotype" w:hAnsi="Palatino Linotype" w:cs="Arial"/>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w:t>
      </w:r>
      <w:r w:rsidRPr="002968E6">
        <w:rPr>
          <w:rFonts w:ascii="Palatino Linotype" w:hAnsi="Palatino Linotype" w:cs="Arial"/>
          <w:i/>
          <w:sz w:val="20"/>
          <w:szCs w:val="20"/>
        </w:rPr>
        <w:lastRenderedPageBreak/>
        <w:t>cumplirán con los principios de congruencia y exhaustividad, cuando las respuestas que emitan guarden una relación lógica con lo solicitado y atiendan de manera puntual y expresa, cada uno de los contenidos de información.</w:t>
      </w:r>
      <w:r>
        <w:rPr>
          <w:rFonts w:ascii="Palatino Linotype" w:hAnsi="Palatino Linotype" w:cs="Arial"/>
          <w:i/>
          <w:sz w:val="20"/>
          <w:szCs w:val="20"/>
        </w:rPr>
        <w:t>”</w:t>
      </w:r>
    </w:p>
    <w:p w14:paraId="16953226" w14:textId="77777777" w:rsidR="000C1F29" w:rsidRDefault="000C1F29" w:rsidP="000C1F29">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74B1AB4D" w14:textId="77777777" w:rsidR="000C1F29" w:rsidRPr="0040233B" w:rsidRDefault="000C1F29" w:rsidP="000C1F29">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F059E75" w14:textId="7159E559" w:rsidR="000C1F29" w:rsidRDefault="000C1F29" w:rsidP="000C1F2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rPr>
        <w:t xml:space="preserve">PRIMERO. </w:t>
      </w:r>
      <w:r>
        <w:rPr>
          <w:rFonts w:ascii="Palatino Linotype" w:hAnsi="Palatino Linotype" w:cs="Arial"/>
        </w:rPr>
        <w:t xml:space="preserve">Resultan infundadas las razones o motivos de inconformidad planteadas por </w:t>
      </w:r>
      <w:r w:rsidR="003D76FE">
        <w:rPr>
          <w:rFonts w:ascii="Palatino Linotype" w:hAnsi="Palatino Linotype" w:cs="Arial"/>
        </w:rPr>
        <w:t>e</w:t>
      </w:r>
      <w:r>
        <w:rPr>
          <w:rFonts w:ascii="Palatino Linotype" w:hAnsi="Palatino Linotype" w:cs="Arial"/>
        </w:rPr>
        <w:t xml:space="preserve">l </w:t>
      </w:r>
      <w:r>
        <w:rPr>
          <w:rFonts w:ascii="Palatino Linotype" w:hAnsi="Palatino Linotype" w:cs="Arial"/>
          <w:b/>
          <w:i/>
        </w:rPr>
        <w:t xml:space="preserve">Recurrente </w:t>
      </w:r>
      <w:r>
        <w:rPr>
          <w:rFonts w:ascii="Palatino Linotype" w:hAnsi="Palatino Linotype" w:cs="Arial"/>
        </w:rPr>
        <w:t xml:space="preserve">por lo que se </w:t>
      </w:r>
      <w:r>
        <w:rPr>
          <w:rFonts w:ascii="Palatino Linotype" w:hAnsi="Palatino Linotype" w:cs="Arial"/>
          <w:b/>
        </w:rPr>
        <w:t xml:space="preserve">CONFIRMA </w:t>
      </w:r>
      <w:r>
        <w:rPr>
          <w:rFonts w:ascii="Palatino Linotype" w:hAnsi="Palatino Linotype" w:cs="Arial"/>
        </w:rPr>
        <w:t>la respuesta emitida por la Universidad Politécnica del Valle de Toluca, con base en las razones expuestas en el Considerando Cuarto de esta resolución.</w:t>
      </w:r>
    </w:p>
    <w:p w14:paraId="759CE783" w14:textId="77777777" w:rsidR="000C1F29" w:rsidRDefault="000C1F29" w:rsidP="000C1F29">
      <w:pPr>
        <w:spacing w:before="240" w:after="240" w:line="360" w:lineRule="auto"/>
        <w:jc w:val="both"/>
        <w:rPr>
          <w:rFonts w:ascii="Palatino Linotype" w:hAnsi="Palatino Linotype"/>
        </w:rPr>
      </w:pPr>
      <w:r>
        <w:rPr>
          <w:rFonts w:ascii="Palatino Linotype" w:hAnsi="Palatino Linotype" w:cs="Arial"/>
          <w:b/>
          <w:sz w:val="28"/>
          <w:szCs w:val="28"/>
          <w:lang w:val="es-MX" w:eastAsia="es-MX"/>
        </w:rPr>
        <w:t>SEGUNDO</w:t>
      </w:r>
      <w:r>
        <w:rPr>
          <w:rFonts w:ascii="Palatino Linotype" w:hAnsi="Palatino Linotype" w:cs="Arial"/>
          <w:b/>
          <w:bCs/>
          <w:shd w:val="clear" w:color="auto" w:fill="FFFFFF"/>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1F6A73D8" w14:textId="52369D5B" w:rsidR="000C1F29" w:rsidRPr="00EC681C" w:rsidRDefault="000C1F29" w:rsidP="000C1F29">
      <w:pPr>
        <w:spacing w:before="240" w:after="240" w:line="360" w:lineRule="auto"/>
        <w:jc w:val="both"/>
        <w:rPr>
          <w:rFonts w:ascii="Palatino Linotype" w:hAnsi="Palatino Linotype" w:cs="Arial"/>
        </w:rPr>
      </w:pPr>
      <w:r>
        <w:rPr>
          <w:rFonts w:ascii="Palatino Linotype" w:hAnsi="Palatino Linotype" w:cs="Arial"/>
          <w:b/>
          <w:sz w:val="28"/>
          <w:szCs w:val="28"/>
        </w:rPr>
        <w:t>TERCERO</w:t>
      </w:r>
      <w:r w:rsidRPr="002E6B74">
        <w:rPr>
          <w:rFonts w:ascii="Palatino Linotype" w:hAnsi="Palatino Linotype" w:cs="Arial"/>
          <w:b/>
          <w:sz w:val="28"/>
        </w:rPr>
        <w:t>.</w:t>
      </w:r>
      <w:r>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del recurrente, la presente resolución, además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73015D1A" w14:textId="073050D6" w:rsidR="008E7698" w:rsidRPr="00BB78FC" w:rsidRDefault="00026D94" w:rsidP="009D2860">
      <w:pPr>
        <w:autoSpaceDE w:val="0"/>
        <w:autoSpaceDN w:val="0"/>
        <w:adjustRightInd w:val="0"/>
        <w:spacing w:before="240" w:after="240" w:line="360" w:lineRule="auto"/>
        <w:jc w:val="both"/>
        <w:rPr>
          <w:rFonts w:ascii="Palatino Linotype" w:eastAsia="Arial Unicode MS" w:hAnsi="Palatino Linotype" w:cs="Arial"/>
        </w:rPr>
      </w:pPr>
      <w:r w:rsidRPr="0040233B">
        <w:rPr>
          <w:rFonts w:ascii="Palatino Linotype" w:hAnsi="Palatino Linotype" w:cs="Arial"/>
        </w:rPr>
        <w:t xml:space="preserve">ASÍ LO RESUELVE, POR </w:t>
      </w:r>
      <w:r w:rsidR="00053351">
        <w:rPr>
          <w:rFonts w:ascii="Palatino Linotype" w:hAnsi="Palatino Linotype" w:cs="Arial"/>
        </w:rPr>
        <w:t>UNANIMIDAD</w:t>
      </w:r>
      <w:r w:rsidRPr="0040233B">
        <w:rPr>
          <w:rFonts w:ascii="Palatino Linotype" w:hAnsi="Palatino Linotype" w:cs="Arial"/>
        </w:rPr>
        <w:t xml:space="preserve">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w:t>
      </w:r>
      <w:r w:rsidRPr="0040233B">
        <w:rPr>
          <w:rFonts w:ascii="Palatino Linotype" w:eastAsia="Arial Unicode MS" w:hAnsi="Palatino Linotype" w:cs="Arial"/>
        </w:rPr>
        <w:lastRenderedPageBreak/>
        <w:t>MUNICIPIOS</w:t>
      </w:r>
      <w:r w:rsidRPr="0040233B">
        <w:rPr>
          <w:rFonts w:ascii="Palatino Linotype" w:hAnsi="Palatino Linotype" w:cs="Arial"/>
        </w:rPr>
        <w:t xml:space="preserve">, CONFORMADO POR LOS COMISIONADOS </w:t>
      </w:r>
      <w:r w:rsidR="00D21513" w:rsidRPr="0040233B">
        <w:rPr>
          <w:rFonts w:ascii="Palatino Linotype" w:hAnsi="Palatino Linotype" w:cs="Arial"/>
        </w:rPr>
        <w:t>ZULEMA MARTÍNEZ SÁNCHEZ</w:t>
      </w:r>
      <w:r w:rsidR="00EF35FA" w:rsidRPr="0040233B">
        <w:rPr>
          <w:rFonts w:ascii="Palatino Linotype" w:hAnsi="Palatino Linotype" w:cs="Arial"/>
        </w:rPr>
        <w:t>; EVA ABAID YAPUR</w:t>
      </w:r>
      <w:r w:rsidR="00D21513">
        <w:rPr>
          <w:rFonts w:ascii="Palatino Linotype" w:hAnsi="Palatino Linotype" w:cs="Arial"/>
        </w:rPr>
        <w:t>; JOSÉ GUADALUPE LUNA HERNÁNDEZ</w:t>
      </w:r>
      <w:r w:rsidR="007147C0">
        <w:rPr>
          <w:rFonts w:ascii="Palatino Linotype" w:hAnsi="Palatino Linotype" w:cs="Arial"/>
        </w:rPr>
        <w:t>;</w:t>
      </w:r>
      <w:r w:rsidR="00D21513">
        <w:rPr>
          <w:rFonts w:ascii="Palatino Linotype" w:hAnsi="Palatino Linotype" w:cs="Arial"/>
        </w:rPr>
        <w:t xml:space="preserve"> JAVIER MARTÍNEZ CRUZ</w:t>
      </w:r>
      <w:r w:rsidR="007147C0">
        <w:rPr>
          <w:rFonts w:ascii="Palatino Linotype" w:hAnsi="Palatino Linotype" w:cs="Arial"/>
        </w:rPr>
        <w:t xml:space="preserve"> Y LUIS GUSTAVO PARRA NORIEGA</w:t>
      </w:r>
      <w:r w:rsidRPr="0040233B">
        <w:rPr>
          <w:rFonts w:ascii="Palatino Linotype" w:hAnsi="Palatino Linotype" w:cs="Arial"/>
        </w:rPr>
        <w:t xml:space="preserve">; EN LA </w:t>
      </w:r>
      <w:r w:rsidR="007147C0">
        <w:rPr>
          <w:rFonts w:ascii="Palatino Linotype" w:hAnsi="Palatino Linotype" w:cs="Arial"/>
        </w:rPr>
        <w:t>TERCERA</w:t>
      </w:r>
      <w:r w:rsidRPr="0040233B">
        <w:rPr>
          <w:rFonts w:ascii="Palatino Linotype" w:hAnsi="Palatino Linotype" w:cs="Arial"/>
        </w:rPr>
        <w:t xml:space="preserve"> SESIÓN ORDINARIA CELEBRADA EL </w:t>
      </w:r>
      <w:r w:rsidR="007147C0">
        <w:rPr>
          <w:rFonts w:ascii="Palatino Linotype" w:hAnsi="Palatino Linotype" w:cs="Arial"/>
        </w:rPr>
        <w:t>VEINTITRÉS DE ENERO</w:t>
      </w:r>
      <w:r w:rsidRPr="0040233B">
        <w:rPr>
          <w:rFonts w:ascii="Palatino Linotype" w:hAnsi="Palatino Linotype" w:cs="Arial"/>
        </w:rPr>
        <w:t xml:space="preserve"> DEL DOS MIL DIECI</w:t>
      </w:r>
      <w:r w:rsidR="007147C0">
        <w:rPr>
          <w:rFonts w:ascii="Palatino Linotype" w:hAnsi="Palatino Linotype" w:cs="Arial"/>
        </w:rPr>
        <w:t>NUEVE</w:t>
      </w:r>
      <w:r w:rsidRPr="0040233B">
        <w:rPr>
          <w:rFonts w:ascii="Palatino Linotype" w:hAnsi="Palatino Linotype" w:cs="Arial"/>
        </w:rPr>
        <w:t xml:space="preserve">, ANTE </w:t>
      </w:r>
      <w:r w:rsidR="00546B33">
        <w:rPr>
          <w:rFonts w:ascii="Palatino Linotype" w:hAnsi="Palatino Linotype" w:cs="Arial"/>
        </w:rPr>
        <w:t>EL SEC</w:t>
      </w:r>
      <w:r w:rsidRPr="0040233B">
        <w:rPr>
          <w:rFonts w:ascii="Palatino Linotype" w:hAnsi="Palatino Linotype" w:cs="Arial"/>
        </w:rPr>
        <w:t>RETARI</w:t>
      </w:r>
      <w:r w:rsidR="00053351">
        <w:rPr>
          <w:rFonts w:ascii="Palatino Linotype" w:hAnsi="Palatino Linotype" w:cs="Arial"/>
        </w:rPr>
        <w:t>O</w:t>
      </w:r>
      <w:r w:rsidRPr="0040233B">
        <w:rPr>
          <w:rFonts w:ascii="Palatino Linotype" w:hAnsi="Palatino Linotype" w:cs="Arial"/>
        </w:rPr>
        <w:t xml:space="preserve"> TÉCNIC</w:t>
      </w:r>
      <w:r w:rsidR="00053351">
        <w:rPr>
          <w:rFonts w:ascii="Palatino Linotype" w:hAnsi="Palatino Linotype" w:cs="Arial"/>
        </w:rPr>
        <w:t>O</w:t>
      </w:r>
      <w:r w:rsidRPr="0040233B">
        <w:rPr>
          <w:rFonts w:ascii="Palatino Linotype" w:hAnsi="Palatino Linotype" w:cs="Arial"/>
        </w:rPr>
        <w:t xml:space="preserve"> DEL PLENO, </w:t>
      </w:r>
      <w:r w:rsidR="00053351">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7147C0">
        <w:trPr>
          <w:trHeight w:val="793"/>
          <w:jc w:val="center"/>
        </w:trPr>
        <w:tc>
          <w:tcPr>
            <w:tcW w:w="8364" w:type="dxa"/>
            <w:gridSpan w:val="2"/>
            <w:vAlign w:val="center"/>
          </w:tcPr>
          <w:p w14:paraId="5132457C" w14:textId="27A4E8D5" w:rsidR="009E7593" w:rsidRDefault="00516E6A" w:rsidP="00BD6BED">
            <w:pPr>
              <w:jc w:val="center"/>
              <w:rPr>
                <w:rFonts w:ascii="Palatino Linotype" w:hAnsi="Palatino Linotype"/>
                <w:b/>
                <w:sz w:val="28"/>
                <w:szCs w:val="28"/>
              </w:rPr>
            </w:pPr>
            <w:r w:rsidRPr="0040233B">
              <w:rPr>
                <w:rFonts w:ascii="Palatino Linotype" w:hAnsi="Palatino Linotype" w:cs="Arial"/>
              </w:rPr>
              <w:br w:type="page"/>
            </w:r>
          </w:p>
          <w:p w14:paraId="10A096D1" w14:textId="77777777" w:rsidR="009E7593" w:rsidRDefault="009E7593" w:rsidP="00BD6BED">
            <w:pPr>
              <w:jc w:val="center"/>
              <w:rPr>
                <w:rFonts w:ascii="Palatino Linotype" w:hAnsi="Palatino Linotype"/>
                <w:b/>
                <w:sz w:val="28"/>
                <w:szCs w:val="28"/>
              </w:rPr>
            </w:pPr>
          </w:p>
          <w:p w14:paraId="1C0190C3" w14:textId="77777777" w:rsidR="002D0971" w:rsidRDefault="002D0971" w:rsidP="00BD6BED">
            <w:pPr>
              <w:jc w:val="center"/>
              <w:rPr>
                <w:rFonts w:ascii="Palatino Linotype" w:hAnsi="Palatino Linotype"/>
                <w:b/>
                <w:sz w:val="28"/>
                <w:szCs w:val="28"/>
              </w:rPr>
            </w:pPr>
          </w:p>
          <w:p w14:paraId="031B5977" w14:textId="77777777" w:rsidR="002D0971" w:rsidRDefault="002D0971" w:rsidP="00BD6BED">
            <w:pPr>
              <w:jc w:val="center"/>
              <w:rPr>
                <w:rFonts w:ascii="Palatino Linotype" w:hAnsi="Palatino Linotype"/>
                <w:b/>
                <w:sz w:val="28"/>
                <w:szCs w:val="28"/>
              </w:rPr>
            </w:pPr>
          </w:p>
          <w:p w14:paraId="4B43EECA" w14:textId="77777777" w:rsidR="002D0971" w:rsidRDefault="002D0971" w:rsidP="00BD6BED">
            <w:pPr>
              <w:jc w:val="center"/>
              <w:rPr>
                <w:rFonts w:ascii="Palatino Linotype" w:hAnsi="Palatino Linotype"/>
                <w:b/>
                <w:sz w:val="28"/>
                <w:szCs w:val="28"/>
              </w:rPr>
            </w:pPr>
          </w:p>
          <w:p w14:paraId="082C9CF2" w14:textId="77777777" w:rsidR="002D0971" w:rsidRDefault="002D0971" w:rsidP="00BD6BED">
            <w:pPr>
              <w:jc w:val="center"/>
              <w:rPr>
                <w:rFonts w:ascii="Palatino Linotype" w:hAnsi="Palatino Linotype"/>
                <w:b/>
                <w:sz w:val="28"/>
                <w:szCs w:val="28"/>
              </w:rPr>
            </w:pPr>
          </w:p>
          <w:p w14:paraId="370B3C64" w14:textId="77777777" w:rsidR="00D21513" w:rsidRPr="0040233B" w:rsidRDefault="00D21513" w:rsidP="00D21513">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10309EC6" w:rsidR="00516E6A" w:rsidRPr="0040233B" w:rsidRDefault="00DA0B14" w:rsidP="00EF35FA">
            <w:pPr>
              <w:jc w:val="center"/>
              <w:rPr>
                <w:rFonts w:ascii="Palatino Linotype" w:hAnsi="Palatino Linotype"/>
              </w:rPr>
            </w:pPr>
            <w:r>
              <w:rPr>
                <w:rFonts w:ascii="Palatino Linotype" w:hAnsi="Palatino Linotype" w:cs="Arial"/>
              </w:rPr>
              <w:t>(</w:t>
            </w:r>
            <w:r w:rsidR="00D21513" w:rsidRPr="0040233B">
              <w:rPr>
                <w:rFonts w:ascii="Palatino Linotype" w:hAnsi="Palatino Linotype"/>
              </w:rPr>
              <w:t>Rúbrica</w:t>
            </w:r>
            <w:r>
              <w:rPr>
                <w:rFonts w:ascii="Palatino Linotype" w:hAnsi="Palatino Linotype" w:cs="Arial"/>
              </w:rPr>
              <w:t>)</w:t>
            </w:r>
          </w:p>
        </w:tc>
      </w:tr>
      <w:tr w:rsidR="007147C0" w:rsidRPr="0040233B" w14:paraId="3D1937EC" w14:textId="77777777" w:rsidTr="007147C0">
        <w:trPr>
          <w:trHeight w:val="2063"/>
          <w:jc w:val="center"/>
        </w:trPr>
        <w:tc>
          <w:tcPr>
            <w:tcW w:w="3874" w:type="dxa"/>
            <w:vAlign w:val="center"/>
          </w:tcPr>
          <w:p w14:paraId="488B1DE5" w14:textId="77777777" w:rsidR="007147C0" w:rsidRDefault="007147C0" w:rsidP="009D1FD4">
            <w:pPr>
              <w:jc w:val="center"/>
              <w:rPr>
                <w:rFonts w:ascii="Palatino Linotype" w:hAnsi="Palatino Linotype"/>
                <w:b/>
                <w:sz w:val="28"/>
                <w:szCs w:val="28"/>
              </w:rPr>
            </w:pPr>
          </w:p>
          <w:p w14:paraId="1C06A353" w14:textId="77777777" w:rsidR="007147C0" w:rsidRPr="0040233B" w:rsidRDefault="007147C0" w:rsidP="009D1FD4">
            <w:pPr>
              <w:jc w:val="center"/>
              <w:rPr>
                <w:rFonts w:ascii="Palatino Linotype" w:hAnsi="Palatino Linotype"/>
                <w:b/>
                <w:sz w:val="28"/>
                <w:szCs w:val="28"/>
              </w:rPr>
            </w:pPr>
            <w:r w:rsidRPr="0040233B">
              <w:rPr>
                <w:rFonts w:ascii="Palatino Linotype" w:hAnsi="Palatino Linotype"/>
                <w:b/>
                <w:sz w:val="28"/>
                <w:szCs w:val="28"/>
              </w:rPr>
              <w:t>Eva Abaid Yapur</w:t>
            </w:r>
          </w:p>
          <w:p w14:paraId="45B4656B" w14:textId="77777777" w:rsidR="007147C0" w:rsidRPr="0040233B" w:rsidRDefault="007147C0" w:rsidP="009D1FD4">
            <w:pPr>
              <w:jc w:val="center"/>
              <w:rPr>
                <w:rFonts w:ascii="Palatino Linotype" w:hAnsi="Palatino Linotype"/>
              </w:rPr>
            </w:pPr>
            <w:r w:rsidRPr="0040233B">
              <w:rPr>
                <w:rFonts w:ascii="Palatino Linotype" w:hAnsi="Palatino Linotype"/>
              </w:rPr>
              <w:t>Comisionada</w:t>
            </w:r>
          </w:p>
          <w:p w14:paraId="34A3918A" w14:textId="77777777" w:rsidR="007147C0" w:rsidRPr="0040233B" w:rsidRDefault="007147C0" w:rsidP="009D1FD4">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tc>
        <w:tc>
          <w:tcPr>
            <w:tcW w:w="4490" w:type="dxa"/>
            <w:vAlign w:val="center"/>
          </w:tcPr>
          <w:p w14:paraId="0213228B" w14:textId="77777777" w:rsidR="007147C0" w:rsidRPr="0040233B" w:rsidRDefault="007147C0" w:rsidP="009D1FD4">
            <w:pPr>
              <w:jc w:val="center"/>
              <w:rPr>
                <w:rFonts w:ascii="Palatino Linotype" w:hAnsi="Palatino Linotype"/>
                <w:b/>
              </w:rPr>
            </w:pPr>
          </w:p>
          <w:p w14:paraId="3320E5F2" w14:textId="77777777" w:rsidR="007147C0" w:rsidRDefault="007147C0" w:rsidP="009D1FD4">
            <w:pPr>
              <w:jc w:val="center"/>
              <w:rPr>
                <w:rFonts w:ascii="Palatino Linotype" w:hAnsi="Palatino Linotype"/>
                <w:b/>
                <w:sz w:val="28"/>
                <w:szCs w:val="28"/>
              </w:rPr>
            </w:pPr>
          </w:p>
          <w:p w14:paraId="10223848" w14:textId="77777777" w:rsidR="007147C0" w:rsidRDefault="007147C0" w:rsidP="009D1FD4">
            <w:pPr>
              <w:jc w:val="center"/>
              <w:rPr>
                <w:rFonts w:ascii="Palatino Linotype" w:hAnsi="Palatino Linotype"/>
                <w:b/>
                <w:sz w:val="28"/>
                <w:szCs w:val="28"/>
              </w:rPr>
            </w:pPr>
          </w:p>
          <w:p w14:paraId="0BD5D197" w14:textId="77777777" w:rsidR="007147C0" w:rsidRDefault="007147C0" w:rsidP="009D1FD4">
            <w:pPr>
              <w:jc w:val="center"/>
              <w:rPr>
                <w:rFonts w:ascii="Palatino Linotype" w:hAnsi="Palatino Linotype"/>
                <w:b/>
                <w:sz w:val="28"/>
                <w:szCs w:val="28"/>
              </w:rPr>
            </w:pPr>
          </w:p>
          <w:p w14:paraId="24D64082" w14:textId="77777777" w:rsidR="007147C0" w:rsidRPr="0040233B" w:rsidRDefault="007147C0" w:rsidP="009D1FD4">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4A758CF9" w14:textId="77777777" w:rsidR="007147C0" w:rsidRPr="0040233B" w:rsidRDefault="007147C0" w:rsidP="009D1FD4">
            <w:pPr>
              <w:jc w:val="center"/>
              <w:rPr>
                <w:rFonts w:ascii="Palatino Linotype" w:hAnsi="Palatino Linotype"/>
              </w:rPr>
            </w:pPr>
            <w:r w:rsidRPr="0040233B">
              <w:rPr>
                <w:rFonts w:ascii="Palatino Linotype" w:hAnsi="Palatino Linotype"/>
              </w:rPr>
              <w:t>Comisionado</w:t>
            </w:r>
          </w:p>
          <w:p w14:paraId="1AAE0CD1" w14:textId="77777777" w:rsidR="007147C0" w:rsidRPr="0040233B" w:rsidRDefault="007147C0" w:rsidP="009D1FD4">
            <w:pPr>
              <w:jc w:val="center"/>
              <w:rPr>
                <w:rFonts w:ascii="Palatino Linotype" w:hAnsi="Palatino Linotype"/>
              </w:rPr>
            </w:pPr>
            <w:r w:rsidRPr="0040233B">
              <w:rPr>
                <w:rFonts w:ascii="Palatino Linotype" w:hAnsi="Palatino Linotype"/>
              </w:rPr>
              <w:t>(Rúbrica)</w:t>
            </w:r>
          </w:p>
          <w:p w14:paraId="222E7808" w14:textId="77777777" w:rsidR="007147C0" w:rsidRPr="0040233B" w:rsidRDefault="007147C0" w:rsidP="009D1FD4">
            <w:pPr>
              <w:jc w:val="center"/>
              <w:rPr>
                <w:rFonts w:ascii="Palatino Linotype" w:hAnsi="Palatino Linotype"/>
              </w:rPr>
            </w:pPr>
          </w:p>
          <w:p w14:paraId="6BBF9708" w14:textId="77777777" w:rsidR="007147C0" w:rsidRPr="0040233B" w:rsidRDefault="007147C0" w:rsidP="009D1FD4">
            <w:pPr>
              <w:jc w:val="center"/>
              <w:rPr>
                <w:rFonts w:ascii="Palatino Linotype" w:hAnsi="Palatino Linotype"/>
              </w:rPr>
            </w:pPr>
          </w:p>
          <w:p w14:paraId="3011FCBA" w14:textId="77777777" w:rsidR="007147C0" w:rsidRPr="0040233B" w:rsidRDefault="007147C0" w:rsidP="009D1FD4">
            <w:pPr>
              <w:jc w:val="center"/>
              <w:rPr>
                <w:rFonts w:ascii="Palatino Linotype" w:hAnsi="Palatino Linotype"/>
              </w:rPr>
            </w:pPr>
          </w:p>
        </w:tc>
      </w:tr>
      <w:tr w:rsidR="0040233B" w:rsidRPr="0040233B" w14:paraId="744B8DB9" w14:textId="77777777" w:rsidTr="007147C0">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5CA603B2" w14:textId="77777777" w:rsidR="007147C0" w:rsidRPr="0040233B" w:rsidRDefault="007147C0" w:rsidP="007147C0">
            <w:pPr>
              <w:jc w:val="center"/>
              <w:rPr>
                <w:rFonts w:ascii="Palatino Linotype" w:hAnsi="Palatino Linotype"/>
                <w:b/>
                <w:sz w:val="28"/>
                <w:szCs w:val="28"/>
              </w:rPr>
            </w:pPr>
            <w:r w:rsidRPr="0040233B">
              <w:rPr>
                <w:rFonts w:ascii="Palatino Linotype" w:hAnsi="Palatino Linotype"/>
                <w:b/>
                <w:sz w:val="28"/>
                <w:szCs w:val="28"/>
              </w:rPr>
              <w:t>Javier Martínez Cruz</w:t>
            </w:r>
          </w:p>
          <w:p w14:paraId="67E8AFEF" w14:textId="77777777" w:rsidR="007147C0" w:rsidRPr="0040233B" w:rsidRDefault="007147C0" w:rsidP="007147C0">
            <w:pPr>
              <w:jc w:val="center"/>
              <w:rPr>
                <w:rFonts w:ascii="Palatino Linotype" w:hAnsi="Palatino Linotype"/>
              </w:rPr>
            </w:pPr>
            <w:r w:rsidRPr="0040233B">
              <w:rPr>
                <w:rFonts w:ascii="Palatino Linotype" w:hAnsi="Palatino Linotype"/>
              </w:rPr>
              <w:t>Comisionado</w:t>
            </w:r>
          </w:p>
          <w:p w14:paraId="14131B61" w14:textId="64B24FB8" w:rsidR="00516E6A" w:rsidRPr="0040233B" w:rsidRDefault="007147C0" w:rsidP="007147C0">
            <w:pPr>
              <w:jc w:val="center"/>
              <w:rPr>
                <w:rFonts w:ascii="Palatino Linotype" w:hAnsi="Palatino Linotype"/>
              </w:rPr>
            </w:pPr>
            <w:r w:rsidRPr="0040233B">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3E0DB4B7" w14:textId="77777777" w:rsidR="00A900E2" w:rsidRDefault="00A900E2" w:rsidP="00BD6BED">
            <w:pPr>
              <w:jc w:val="center"/>
              <w:rPr>
                <w:rFonts w:ascii="Palatino Linotype" w:hAnsi="Palatino Linotype"/>
                <w:b/>
                <w:sz w:val="28"/>
                <w:szCs w:val="28"/>
              </w:rPr>
            </w:pPr>
          </w:p>
          <w:p w14:paraId="2EDAAFF1" w14:textId="77777777" w:rsidR="00A900E2" w:rsidRDefault="00A900E2" w:rsidP="00BD6BED">
            <w:pPr>
              <w:jc w:val="center"/>
              <w:rPr>
                <w:rFonts w:ascii="Palatino Linotype" w:hAnsi="Palatino Linotype"/>
                <w:b/>
                <w:sz w:val="28"/>
                <w:szCs w:val="28"/>
              </w:rPr>
            </w:pPr>
          </w:p>
          <w:p w14:paraId="39150B74" w14:textId="3778DFD7" w:rsidR="00516E6A" w:rsidRPr="0040233B" w:rsidRDefault="007147C0" w:rsidP="00BD6BED">
            <w:pPr>
              <w:jc w:val="center"/>
              <w:rPr>
                <w:rFonts w:ascii="Palatino Linotype" w:hAnsi="Palatino Linotype"/>
                <w:b/>
                <w:sz w:val="28"/>
                <w:szCs w:val="28"/>
              </w:rPr>
            </w:pPr>
            <w:r>
              <w:rPr>
                <w:rFonts w:ascii="Palatino Linotype" w:hAnsi="Palatino Linotype"/>
                <w:b/>
                <w:sz w:val="28"/>
                <w:szCs w:val="28"/>
              </w:rPr>
              <w:t>Luis Gustavo Parra Noriega</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04E51AD9" w:rsidR="00516E6A" w:rsidRPr="0040233B" w:rsidRDefault="00A900E2" w:rsidP="00BD6BED">
            <w:pPr>
              <w:jc w:val="center"/>
              <w:rPr>
                <w:rFonts w:ascii="Palatino Linotype" w:hAnsi="Palatino Linotype"/>
              </w:rPr>
            </w:pPr>
            <w:r w:rsidRPr="0040233B">
              <w:rPr>
                <w:rFonts w:ascii="Palatino Linotype" w:hAnsi="Palatino Linotype"/>
              </w:rPr>
              <w:t>(Rúbrica)</w:t>
            </w:r>
          </w:p>
          <w:p w14:paraId="423D24D5" w14:textId="77777777" w:rsidR="00516E6A" w:rsidRPr="0040233B" w:rsidRDefault="00516E6A" w:rsidP="00BD6BED">
            <w:pPr>
              <w:jc w:val="center"/>
              <w:rPr>
                <w:rFonts w:ascii="Palatino Linotype" w:hAnsi="Palatino Linotype"/>
              </w:rPr>
            </w:pP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40233B" w:rsidRPr="0040233B" w14:paraId="08D0C596" w14:textId="77777777" w:rsidTr="007147C0">
        <w:trPr>
          <w:trHeight w:val="1869"/>
          <w:jc w:val="center"/>
        </w:trPr>
        <w:tc>
          <w:tcPr>
            <w:tcW w:w="8364" w:type="dxa"/>
            <w:gridSpan w:val="2"/>
            <w:vAlign w:val="center"/>
          </w:tcPr>
          <w:p w14:paraId="11F5125B" w14:textId="77777777" w:rsidR="00516E6A" w:rsidRPr="0040233B" w:rsidRDefault="00516E6A" w:rsidP="00BD6BED">
            <w:pPr>
              <w:jc w:val="center"/>
              <w:rPr>
                <w:rFonts w:ascii="Palatino Linotype" w:hAnsi="Palatino Linotype"/>
                <w:b/>
              </w:rPr>
            </w:pPr>
          </w:p>
          <w:p w14:paraId="55AF70F6" w14:textId="77777777" w:rsidR="00516E6A" w:rsidRDefault="00516E6A" w:rsidP="00BD6BED">
            <w:pPr>
              <w:jc w:val="center"/>
              <w:rPr>
                <w:rFonts w:ascii="Palatino Linotype" w:hAnsi="Palatino Linotype"/>
                <w:b/>
                <w:sz w:val="28"/>
                <w:szCs w:val="28"/>
              </w:rPr>
            </w:pPr>
          </w:p>
          <w:p w14:paraId="08A6C5E6" w14:textId="77777777" w:rsidR="00350D39" w:rsidRPr="0040233B" w:rsidRDefault="00350D39" w:rsidP="00BD6BED">
            <w:pPr>
              <w:jc w:val="center"/>
              <w:rPr>
                <w:rFonts w:ascii="Palatino Linotype" w:hAnsi="Palatino Linotype"/>
                <w:b/>
                <w:sz w:val="28"/>
                <w:szCs w:val="28"/>
              </w:rPr>
            </w:pPr>
          </w:p>
          <w:p w14:paraId="3A798857" w14:textId="7ED644FC" w:rsidR="00516E6A" w:rsidRPr="0040233B" w:rsidRDefault="00053351" w:rsidP="00BD6BED">
            <w:pPr>
              <w:jc w:val="center"/>
              <w:rPr>
                <w:rFonts w:ascii="Palatino Linotype" w:hAnsi="Palatino Linotype"/>
                <w:b/>
                <w:sz w:val="28"/>
                <w:szCs w:val="28"/>
              </w:rPr>
            </w:pPr>
            <w:r>
              <w:rPr>
                <w:rFonts w:ascii="Palatino Linotype" w:hAnsi="Palatino Linotype"/>
                <w:b/>
                <w:sz w:val="28"/>
                <w:szCs w:val="28"/>
              </w:rPr>
              <w:t xml:space="preserve">Alexis Tapia </w:t>
            </w:r>
            <w:r w:rsidR="00546B33">
              <w:rPr>
                <w:rFonts w:ascii="Palatino Linotype" w:hAnsi="Palatino Linotype"/>
                <w:b/>
                <w:sz w:val="28"/>
                <w:szCs w:val="28"/>
              </w:rPr>
              <w:t>Ramírez</w:t>
            </w:r>
          </w:p>
          <w:p w14:paraId="637039FC" w14:textId="4245D1BA" w:rsidR="00516E6A" w:rsidRPr="0040233B" w:rsidRDefault="00516E6A" w:rsidP="00BD6BED">
            <w:pPr>
              <w:jc w:val="center"/>
              <w:rPr>
                <w:rFonts w:ascii="Palatino Linotype" w:hAnsi="Palatino Linotype"/>
              </w:rPr>
            </w:pPr>
            <w:r w:rsidRPr="0040233B">
              <w:rPr>
                <w:rFonts w:ascii="Palatino Linotype" w:hAnsi="Palatino Linotype"/>
              </w:rPr>
              <w:t>Secretari</w:t>
            </w:r>
            <w:r w:rsidR="00053351">
              <w:rPr>
                <w:rFonts w:ascii="Palatino Linotype" w:hAnsi="Palatino Linotype"/>
              </w:rPr>
              <w:t>o</w:t>
            </w:r>
            <w:r w:rsidRPr="0040233B">
              <w:rPr>
                <w:rFonts w:ascii="Palatino Linotype" w:hAnsi="Palatino Linotype"/>
              </w:rPr>
              <w:t xml:space="preserve"> Técnic</w:t>
            </w:r>
            <w:r w:rsidR="00053351">
              <w:rPr>
                <w:rFonts w:ascii="Palatino Linotype" w:hAnsi="Palatino Linotype"/>
              </w:rPr>
              <w:t>o</w:t>
            </w:r>
            <w:r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3925BD" w14:textId="77777777" w:rsidR="00516E6A" w:rsidRDefault="00516E6A" w:rsidP="00BD6BED">
            <w:pPr>
              <w:jc w:val="center"/>
              <w:rPr>
                <w:rFonts w:ascii="Palatino Linotype" w:hAnsi="Palatino Linotype"/>
              </w:rPr>
            </w:pPr>
          </w:p>
          <w:p w14:paraId="76AA92DB" w14:textId="77777777" w:rsidR="00A014EE" w:rsidRPr="0040233B" w:rsidRDefault="00A014EE" w:rsidP="00BD6BED">
            <w:pPr>
              <w:jc w:val="center"/>
              <w:rPr>
                <w:rFonts w:ascii="Palatino Linotype" w:hAnsi="Palatino Linotype"/>
              </w:rPr>
            </w:pPr>
          </w:p>
        </w:tc>
      </w:tr>
    </w:tbl>
    <w:p w14:paraId="7D2A109B" w14:textId="7978BFBC"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7147C0">
        <w:rPr>
          <w:rFonts w:ascii="Palatino Linotype" w:hAnsi="Palatino Linotype" w:cs="Arial"/>
          <w:sz w:val="16"/>
        </w:rPr>
        <w:t>veintitrés de enero de dos mil diecinueve</w:t>
      </w:r>
      <w:r w:rsidRPr="0040233B">
        <w:rPr>
          <w:rFonts w:ascii="Palatino Linotype" w:hAnsi="Palatino Linotype" w:cs="Arial"/>
          <w:sz w:val="16"/>
        </w:rPr>
        <w:t xml:space="preserve">, emitida en el recurso de revisión </w:t>
      </w:r>
      <w:r w:rsidR="00E31F0E">
        <w:rPr>
          <w:rFonts w:ascii="Palatino Linotype" w:hAnsi="Palatino Linotype" w:cs="Arial"/>
          <w:bCs/>
          <w:sz w:val="16"/>
        </w:rPr>
        <w:t>04154/INFOEM</w:t>
      </w:r>
      <w:r w:rsidR="001C06E4">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4"/>
      <w:footerReference w:type="default" r:id="rId15"/>
      <w:headerReference w:type="first" r:id="rId16"/>
      <w:foot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F82F8" w14:textId="77777777" w:rsidR="00D87104" w:rsidRDefault="00D87104" w:rsidP="00C80F8C">
      <w:r>
        <w:separator/>
      </w:r>
    </w:p>
  </w:endnote>
  <w:endnote w:type="continuationSeparator" w:id="0">
    <w:p w14:paraId="537D24A4" w14:textId="77777777" w:rsidR="00D87104" w:rsidRDefault="00D871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552F0" w:rsidRDefault="00C552F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074E">
      <w:rPr>
        <w:rFonts w:ascii="Arial" w:hAnsi="Arial" w:cs="Arial"/>
        <w:b/>
        <w:bCs/>
        <w:noProof/>
        <w:sz w:val="20"/>
        <w:szCs w:val="20"/>
      </w:rPr>
      <w:t>13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074E">
      <w:rPr>
        <w:rFonts w:ascii="Arial" w:hAnsi="Arial" w:cs="Arial"/>
        <w:b/>
        <w:bCs/>
        <w:noProof/>
        <w:sz w:val="20"/>
        <w:szCs w:val="20"/>
      </w:rPr>
      <w:t>19</w:t>
    </w:r>
    <w:r>
      <w:rPr>
        <w:rFonts w:ascii="Arial" w:hAnsi="Arial" w:cs="Arial"/>
        <w:b/>
        <w:bCs/>
        <w:sz w:val="20"/>
        <w:szCs w:val="20"/>
      </w:rPr>
      <w:fldChar w:fldCharType="end"/>
    </w:r>
  </w:p>
  <w:p w14:paraId="1192A578" w14:textId="77777777" w:rsidR="00C552F0" w:rsidRDefault="00C552F0" w:rsidP="00935A0D">
    <w:pPr>
      <w:pStyle w:val="Piedepgina"/>
      <w:rPr>
        <w:rFonts w:ascii="Times New Roman" w:hAnsi="Times New Roman" w:cs="Times New Roman"/>
      </w:rPr>
    </w:pPr>
  </w:p>
  <w:p w14:paraId="14A770F8" w14:textId="77777777" w:rsidR="00C552F0" w:rsidRDefault="00C552F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552F0" w:rsidRDefault="00C552F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074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074E">
      <w:rPr>
        <w:rFonts w:ascii="Arial" w:hAnsi="Arial" w:cs="Arial"/>
        <w:b/>
        <w:bCs/>
        <w:noProof/>
        <w:sz w:val="20"/>
        <w:szCs w:val="20"/>
      </w:rPr>
      <w:t>19</w:t>
    </w:r>
    <w:r>
      <w:rPr>
        <w:rFonts w:ascii="Arial" w:hAnsi="Arial" w:cs="Arial"/>
        <w:b/>
        <w:bCs/>
        <w:sz w:val="20"/>
        <w:szCs w:val="20"/>
      </w:rPr>
      <w:fldChar w:fldCharType="end"/>
    </w:r>
  </w:p>
  <w:p w14:paraId="5D98ABD5" w14:textId="77777777" w:rsidR="00C552F0" w:rsidRDefault="00C55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84011" w14:textId="77777777" w:rsidR="00D87104" w:rsidRDefault="00D87104" w:rsidP="00C80F8C">
      <w:r>
        <w:separator/>
      </w:r>
    </w:p>
  </w:footnote>
  <w:footnote w:type="continuationSeparator" w:id="0">
    <w:p w14:paraId="6ED57079" w14:textId="77777777" w:rsidR="00D87104" w:rsidRDefault="00D87104" w:rsidP="00C80F8C">
      <w:r>
        <w:continuationSeparator/>
      </w:r>
    </w:p>
  </w:footnote>
  <w:footnote w:id="1">
    <w:p w14:paraId="5F70F14F" w14:textId="77777777" w:rsidR="001A2613" w:rsidRPr="0042327C" w:rsidRDefault="001A2613" w:rsidP="001A2613">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0AE64E8D" w14:textId="77777777" w:rsidR="001A2613" w:rsidRDefault="001A2613" w:rsidP="001A261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552F0" w14:paraId="6B4E3B81" w14:textId="77777777" w:rsidTr="009D4854">
      <w:tc>
        <w:tcPr>
          <w:tcW w:w="2553" w:type="dxa"/>
          <w:vAlign w:val="center"/>
          <w:hideMark/>
        </w:tcPr>
        <w:p w14:paraId="0ABBC6C0" w14:textId="77777777" w:rsidR="00C552F0" w:rsidRDefault="00C552F0"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79C4243" w:rsidR="00C552F0" w:rsidRDefault="00C552F0" w:rsidP="00E31F0E">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E31F0E">
            <w:rPr>
              <w:rFonts w:ascii="Palatino Linotype" w:eastAsiaTheme="minorEastAsia" w:hAnsi="Palatino Linotype" w:cs="Arial"/>
              <w:b/>
              <w:bCs/>
              <w:sz w:val="22"/>
              <w:szCs w:val="22"/>
              <w:lang w:val="es-MX"/>
            </w:rPr>
            <w:t>4154</w:t>
          </w:r>
          <w:r>
            <w:rPr>
              <w:rFonts w:ascii="Palatino Linotype" w:eastAsiaTheme="minorEastAsia" w:hAnsi="Palatino Linotype" w:cs="Arial"/>
              <w:b/>
              <w:bCs/>
              <w:sz w:val="22"/>
              <w:szCs w:val="22"/>
              <w:lang w:val="es-MX"/>
            </w:rPr>
            <w:t>/INFOEM/IP/RR/2018</w:t>
          </w:r>
        </w:p>
      </w:tc>
    </w:tr>
    <w:tr w:rsidR="00E31F0E" w14:paraId="31CB780F" w14:textId="77777777" w:rsidTr="009D4854">
      <w:trPr>
        <w:trHeight w:val="228"/>
      </w:trPr>
      <w:tc>
        <w:tcPr>
          <w:tcW w:w="2553" w:type="dxa"/>
          <w:vAlign w:val="center"/>
          <w:hideMark/>
        </w:tcPr>
        <w:p w14:paraId="4F49CB4A" w14:textId="6966D32E" w:rsidR="00E31F0E" w:rsidRDefault="00E31F0E" w:rsidP="00E31F0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7B01BE2" w:rsidR="00E31F0E" w:rsidRDefault="00E31F0E" w:rsidP="00E31F0E">
          <w:pPr>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E31F0E" w14:paraId="69050F56" w14:textId="77777777" w:rsidTr="009D4854">
      <w:tc>
        <w:tcPr>
          <w:tcW w:w="2553" w:type="dxa"/>
          <w:vAlign w:val="center"/>
          <w:hideMark/>
        </w:tcPr>
        <w:p w14:paraId="65C9B735" w14:textId="1BD9C7F4" w:rsidR="00E31F0E" w:rsidRDefault="00E31F0E" w:rsidP="00E31F0E">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E31F0E" w:rsidRDefault="00E31F0E" w:rsidP="00E31F0E">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C552F0" w:rsidRDefault="00C552F0" w:rsidP="006F30F8">
    <w:pPr>
      <w:pStyle w:val="Encabezado"/>
      <w:tabs>
        <w:tab w:val="clear" w:pos="4252"/>
        <w:tab w:val="clear" w:pos="8504"/>
        <w:tab w:val="left" w:pos="2326"/>
      </w:tabs>
    </w:pPr>
    <w:r>
      <w:tab/>
    </w:r>
  </w:p>
  <w:p w14:paraId="23403E59" w14:textId="77777777" w:rsidR="00C552F0" w:rsidRDefault="00C552F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C552F0" w:rsidRDefault="00C552F0"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C552F0" w14:paraId="477E149B" w14:textId="77777777" w:rsidTr="00C47D1B">
      <w:tc>
        <w:tcPr>
          <w:tcW w:w="2553" w:type="dxa"/>
          <w:vAlign w:val="center"/>
          <w:hideMark/>
        </w:tcPr>
        <w:p w14:paraId="5C0586E4" w14:textId="77777777"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2AAD4F3" w:rsidR="00C552F0" w:rsidRPr="004440AC" w:rsidRDefault="00C552F0" w:rsidP="00E31F0E">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E31F0E">
            <w:rPr>
              <w:rFonts w:ascii="Palatino Linotype" w:eastAsiaTheme="minorEastAsia" w:hAnsi="Palatino Linotype" w:cs="Arial"/>
              <w:b/>
              <w:bCs/>
              <w:sz w:val="22"/>
              <w:szCs w:val="22"/>
              <w:lang w:val="es-MX"/>
            </w:rPr>
            <w:t>4154</w:t>
          </w:r>
          <w:r>
            <w:rPr>
              <w:rFonts w:ascii="Palatino Linotype" w:eastAsiaTheme="minorEastAsia" w:hAnsi="Palatino Linotype" w:cs="Arial"/>
              <w:b/>
              <w:bCs/>
              <w:sz w:val="22"/>
              <w:szCs w:val="22"/>
              <w:lang w:val="es-MX"/>
            </w:rPr>
            <w:t>/INFOEM/IP/RR/2018</w:t>
          </w:r>
        </w:p>
      </w:tc>
    </w:tr>
    <w:tr w:rsidR="00C552F0" w14:paraId="5B5BE21C" w14:textId="77777777" w:rsidTr="00C47D1B">
      <w:tc>
        <w:tcPr>
          <w:tcW w:w="2553" w:type="dxa"/>
          <w:vAlign w:val="center"/>
          <w:hideMark/>
        </w:tcPr>
        <w:p w14:paraId="4AE96902" w14:textId="4E063913"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4EC11CF3" w:rsidR="00C552F0" w:rsidRPr="004440AC" w:rsidRDefault="0001074E" w:rsidP="0001074E">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Xxxxxxx Xxxxxx Xxxxx</w:t>
          </w:r>
        </w:p>
      </w:tc>
    </w:tr>
    <w:tr w:rsidR="00C552F0" w14:paraId="22601A11" w14:textId="77777777" w:rsidTr="00C47D1B">
      <w:trPr>
        <w:trHeight w:val="228"/>
      </w:trPr>
      <w:tc>
        <w:tcPr>
          <w:tcW w:w="2553" w:type="dxa"/>
          <w:vAlign w:val="center"/>
          <w:hideMark/>
        </w:tcPr>
        <w:p w14:paraId="6EFE221D" w14:textId="49C5F800"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4181FBB" w:rsidR="00C552F0" w:rsidRPr="004440AC" w:rsidRDefault="00E31F0E" w:rsidP="002F14ED">
          <w:pPr>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C552F0" w14:paraId="2D6C630E" w14:textId="77777777" w:rsidTr="00C47D1B">
      <w:tc>
        <w:tcPr>
          <w:tcW w:w="2553" w:type="dxa"/>
          <w:vAlign w:val="center"/>
          <w:hideMark/>
        </w:tcPr>
        <w:p w14:paraId="5BD4C6DB" w14:textId="0AEF79C2"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C552F0" w:rsidRPr="004440AC" w:rsidRDefault="00C552F0"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C552F0" w:rsidRDefault="00C552F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3CD"/>
    <w:multiLevelType w:val="hybridMultilevel"/>
    <w:tmpl w:val="18306134"/>
    <w:lvl w:ilvl="0" w:tplc="053E7334">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4051"/>
    <w:multiLevelType w:val="hybridMultilevel"/>
    <w:tmpl w:val="27A073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24677"/>
    <w:multiLevelType w:val="hybridMultilevel"/>
    <w:tmpl w:val="14E01826"/>
    <w:lvl w:ilvl="0" w:tplc="839A0A00">
      <w:start w:val="1"/>
      <w:numFmt w:val="lowerLetter"/>
      <w:lvlText w:val="%1)"/>
      <w:lvlJc w:val="left"/>
      <w:pPr>
        <w:ind w:left="3621" w:hanging="360"/>
      </w:pPr>
      <w:rPr>
        <w:rFonts w:hint="default"/>
      </w:rPr>
    </w:lvl>
    <w:lvl w:ilvl="1" w:tplc="080A0019" w:tentative="1">
      <w:start w:val="1"/>
      <w:numFmt w:val="lowerLetter"/>
      <w:lvlText w:val="%2."/>
      <w:lvlJc w:val="left"/>
      <w:pPr>
        <w:ind w:left="3621" w:hanging="360"/>
      </w:pPr>
    </w:lvl>
    <w:lvl w:ilvl="2" w:tplc="080A001B" w:tentative="1">
      <w:start w:val="1"/>
      <w:numFmt w:val="lowerRoman"/>
      <w:lvlText w:val="%3."/>
      <w:lvlJc w:val="right"/>
      <w:pPr>
        <w:ind w:left="4341" w:hanging="180"/>
      </w:pPr>
    </w:lvl>
    <w:lvl w:ilvl="3" w:tplc="080A000F" w:tentative="1">
      <w:start w:val="1"/>
      <w:numFmt w:val="decimal"/>
      <w:lvlText w:val="%4."/>
      <w:lvlJc w:val="left"/>
      <w:pPr>
        <w:ind w:left="5061" w:hanging="360"/>
      </w:pPr>
    </w:lvl>
    <w:lvl w:ilvl="4" w:tplc="080A0019" w:tentative="1">
      <w:start w:val="1"/>
      <w:numFmt w:val="lowerLetter"/>
      <w:lvlText w:val="%5."/>
      <w:lvlJc w:val="left"/>
      <w:pPr>
        <w:ind w:left="5781" w:hanging="360"/>
      </w:pPr>
    </w:lvl>
    <w:lvl w:ilvl="5" w:tplc="080A001B" w:tentative="1">
      <w:start w:val="1"/>
      <w:numFmt w:val="lowerRoman"/>
      <w:lvlText w:val="%6."/>
      <w:lvlJc w:val="right"/>
      <w:pPr>
        <w:ind w:left="6501" w:hanging="180"/>
      </w:pPr>
    </w:lvl>
    <w:lvl w:ilvl="6" w:tplc="080A000F" w:tentative="1">
      <w:start w:val="1"/>
      <w:numFmt w:val="decimal"/>
      <w:lvlText w:val="%7."/>
      <w:lvlJc w:val="left"/>
      <w:pPr>
        <w:ind w:left="7221" w:hanging="360"/>
      </w:pPr>
    </w:lvl>
    <w:lvl w:ilvl="7" w:tplc="080A0019" w:tentative="1">
      <w:start w:val="1"/>
      <w:numFmt w:val="lowerLetter"/>
      <w:lvlText w:val="%8."/>
      <w:lvlJc w:val="left"/>
      <w:pPr>
        <w:ind w:left="7941" w:hanging="360"/>
      </w:pPr>
    </w:lvl>
    <w:lvl w:ilvl="8" w:tplc="080A001B" w:tentative="1">
      <w:start w:val="1"/>
      <w:numFmt w:val="lowerRoman"/>
      <w:lvlText w:val="%9."/>
      <w:lvlJc w:val="right"/>
      <w:pPr>
        <w:ind w:left="8661" w:hanging="180"/>
      </w:pPr>
    </w:lvl>
  </w:abstractNum>
  <w:abstractNum w:abstractNumId="4" w15:restartNumberingAfterBreak="0">
    <w:nsid w:val="09E97007"/>
    <w:multiLevelType w:val="hybridMultilevel"/>
    <w:tmpl w:val="2E0CD8D0"/>
    <w:lvl w:ilvl="0" w:tplc="A798E24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680A14"/>
    <w:multiLevelType w:val="hybridMultilevel"/>
    <w:tmpl w:val="E51E65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6A26EF"/>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A84D19"/>
    <w:multiLevelType w:val="hybridMultilevel"/>
    <w:tmpl w:val="F1ECA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681A7D"/>
    <w:multiLevelType w:val="hybridMultilevel"/>
    <w:tmpl w:val="51D26EA8"/>
    <w:lvl w:ilvl="0" w:tplc="B05E8C0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FC2CCE"/>
    <w:multiLevelType w:val="hybridMultilevel"/>
    <w:tmpl w:val="51E43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7A69AA"/>
    <w:multiLevelType w:val="hybridMultilevel"/>
    <w:tmpl w:val="D3B8D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0208CD"/>
    <w:multiLevelType w:val="hybridMultilevel"/>
    <w:tmpl w:val="ABD4687E"/>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EFC4476"/>
    <w:multiLevelType w:val="hybridMultilevel"/>
    <w:tmpl w:val="7048E1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B7440A"/>
    <w:multiLevelType w:val="hybridMultilevel"/>
    <w:tmpl w:val="DCAC4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F21E25"/>
    <w:multiLevelType w:val="hybridMultilevel"/>
    <w:tmpl w:val="219E0558"/>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1"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1E09FB"/>
    <w:multiLevelType w:val="hybridMultilevel"/>
    <w:tmpl w:val="488A4FCA"/>
    <w:lvl w:ilvl="0" w:tplc="8A28831A">
      <w:start w:val="1"/>
      <w:numFmt w:val="decimal"/>
      <w:lvlText w:val="%1)"/>
      <w:lvlJc w:val="left"/>
      <w:pPr>
        <w:ind w:left="1080" w:hanging="720"/>
      </w:pPr>
      <w:rPr>
        <w:rFonts w:ascii="Arial" w:eastAsia="Calibri" w:hAnsi="Arial" w:cs="Arial"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C209B4"/>
    <w:multiLevelType w:val="hybridMultilevel"/>
    <w:tmpl w:val="E6029B22"/>
    <w:lvl w:ilvl="0" w:tplc="4022D0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A23572"/>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D9D6289"/>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012948"/>
    <w:multiLevelType w:val="hybridMultilevel"/>
    <w:tmpl w:val="F15610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E962FA"/>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4F9B416B"/>
    <w:multiLevelType w:val="hybridMultilevel"/>
    <w:tmpl w:val="E0EC78F6"/>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241DF1"/>
    <w:multiLevelType w:val="hybridMultilevel"/>
    <w:tmpl w:val="CCAA1E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A87281"/>
    <w:multiLevelType w:val="hybridMultilevel"/>
    <w:tmpl w:val="6D6893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AE50CA"/>
    <w:multiLevelType w:val="hybridMultilevel"/>
    <w:tmpl w:val="2CB4524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5931646B"/>
    <w:multiLevelType w:val="hybridMultilevel"/>
    <w:tmpl w:val="3224E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9" w15:restartNumberingAfterBreak="0">
    <w:nsid w:val="5D34623A"/>
    <w:multiLevelType w:val="hybridMultilevel"/>
    <w:tmpl w:val="3FC008D0"/>
    <w:lvl w:ilvl="0" w:tplc="F3FA6254">
      <w:start w:val="2"/>
      <w:numFmt w:val="decimal"/>
      <w:lvlText w:val="%1."/>
      <w:lvlJc w:val="left"/>
      <w:pPr>
        <w:ind w:left="144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61C16371"/>
    <w:multiLevelType w:val="hybridMultilevel"/>
    <w:tmpl w:val="907A2B28"/>
    <w:lvl w:ilvl="0" w:tplc="F99EECE4">
      <w:start w:val="1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2B751D5"/>
    <w:multiLevelType w:val="hybridMultilevel"/>
    <w:tmpl w:val="3812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64EB4F47"/>
    <w:multiLevelType w:val="hybridMultilevel"/>
    <w:tmpl w:val="47A25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1FA5391"/>
    <w:multiLevelType w:val="hybridMultilevel"/>
    <w:tmpl w:val="5136E5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7" w15:restartNumberingAfterBreak="0">
    <w:nsid w:val="733D497F"/>
    <w:multiLevelType w:val="hybridMultilevel"/>
    <w:tmpl w:val="F7285442"/>
    <w:lvl w:ilvl="0" w:tplc="7E8062C8">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8193120"/>
    <w:multiLevelType w:val="hybridMultilevel"/>
    <w:tmpl w:val="79EE4598"/>
    <w:lvl w:ilvl="0" w:tplc="8560472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9" w15:restartNumberingAfterBreak="0">
    <w:nsid w:val="7F2323CD"/>
    <w:multiLevelType w:val="hybridMultilevel"/>
    <w:tmpl w:val="306C2B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6"/>
  </w:num>
  <w:num w:numId="3">
    <w:abstractNumId w:val="14"/>
  </w:num>
  <w:num w:numId="4">
    <w:abstractNumId w:val="25"/>
  </w:num>
  <w:num w:numId="5">
    <w:abstractNumId w:val="21"/>
  </w:num>
  <w:num w:numId="6">
    <w:abstractNumId w:val="43"/>
  </w:num>
  <w:num w:numId="7">
    <w:abstractNumId w:val="7"/>
  </w:num>
  <w:num w:numId="8">
    <w:abstractNumId w:val="40"/>
  </w:num>
  <w:num w:numId="9">
    <w:abstractNumId w:val="1"/>
  </w:num>
  <w:num w:numId="10">
    <w:abstractNumId w:val="45"/>
  </w:num>
  <w:num w:numId="11">
    <w:abstractNumId w:val="17"/>
  </w:num>
  <w:num w:numId="12">
    <w:abstractNumId w:val="19"/>
  </w:num>
  <w:num w:numId="13">
    <w:abstractNumId w:val="49"/>
  </w:num>
  <w:num w:numId="14">
    <w:abstractNumId w:val="24"/>
  </w:num>
  <w:num w:numId="15">
    <w:abstractNumId w:val="6"/>
  </w:num>
  <w:num w:numId="16">
    <w:abstractNumId w:val="47"/>
  </w:num>
  <w:num w:numId="17">
    <w:abstractNumId w:val="22"/>
  </w:num>
  <w:num w:numId="18">
    <w:abstractNumId w:val="26"/>
  </w:num>
  <w:num w:numId="19">
    <w:abstractNumId w:val="33"/>
  </w:num>
  <w:num w:numId="20">
    <w:abstractNumId w:val="29"/>
  </w:num>
  <w:num w:numId="21">
    <w:abstractNumId w:val="13"/>
  </w:num>
  <w:num w:numId="22">
    <w:abstractNumId w:val="42"/>
  </w:num>
  <w:num w:numId="23">
    <w:abstractNumId w:val="15"/>
  </w:num>
  <w:num w:numId="24">
    <w:abstractNumId w:val="3"/>
  </w:num>
  <w:num w:numId="25">
    <w:abstractNumId w:val="39"/>
  </w:num>
  <w:num w:numId="26">
    <w:abstractNumId w:val="4"/>
  </w:num>
  <w:num w:numId="27">
    <w:abstractNumId w:val="44"/>
  </w:num>
  <w:num w:numId="28">
    <w:abstractNumId w:val="5"/>
  </w:num>
  <w:num w:numId="29">
    <w:abstractNumId w:val="20"/>
  </w:num>
  <w:num w:numId="30">
    <w:abstractNumId w:val="16"/>
  </w:num>
  <w:num w:numId="31">
    <w:abstractNumId w:val="31"/>
  </w:num>
  <w:num w:numId="32">
    <w:abstractNumId w:val="34"/>
  </w:num>
  <w:num w:numId="33">
    <w:abstractNumId w:val="46"/>
  </w:num>
  <w:num w:numId="34">
    <w:abstractNumId w:val="35"/>
  </w:num>
  <w:num w:numId="35">
    <w:abstractNumId w:val="32"/>
  </w:num>
  <w:num w:numId="36">
    <w:abstractNumId w:val="23"/>
  </w:num>
  <w:num w:numId="37">
    <w:abstractNumId w:val="11"/>
  </w:num>
  <w:num w:numId="38">
    <w:abstractNumId w:val="8"/>
  </w:num>
  <w:num w:numId="39">
    <w:abstractNumId w:val="48"/>
  </w:num>
  <w:num w:numId="40">
    <w:abstractNumId w:val="41"/>
  </w:num>
  <w:num w:numId="41">
    <w:abstractNumId w:val="18"/>
  </w:num>
  <w:num w:numId="42">
    <w:abstractNumId w:val="30"/>
  </w:num>
  <w:num w:numId="43">
    <w:abstractNumId w:val="28"/>
  </w:num>
  <w:num w:numId="44">
    <w:abstractNumId w:val="37"/>
  </w:num>
  <w:num w:numId="45">
    <w:abstractNumId w:val="12"/>
  </w:num>
  <w:num w:numId="46">
    <w:abstractNumId w:val="2"/>
  </w:num>
  <w:num w:numId="47">
    <w:abstractNumId w:val="10"/>
  </w:num>
  <w:num w:numId="48">
    <w:abstractNumId w:val="9"/>
  </w:num>
  <w:num w:numId="49">
    <w:abstractNumId w:val="0"/>
  </w:num>
  <w:num w:numId="5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5DE"/>
    <w:rsid w:val="000035AE"/>
    <w:rsid w:val="00004CA2"/>
    <w:rsid w:val="0000625E"/>
    <w:rsid w:val="000064FC"/>
    <w:rsid w:val="0001074E"/>
    <w:rsid w:val="00012A5F"/>
    <w:rsid w:val="000151E0"/>
    <w:rsid w:val="000163E2"/>
    <w:rsid w:val="00017BE1"/>
    <w:rsid w:val="00020A18"/>
    <w:rsid w:val="00021709"/>
    <w:rsid w:val="00021E8D"/>
    <w:rsid w:val="000239D7"/>
    <w:rsid w:val="00023C79"/>
    <w:rsid w:val="000252E9"/>
    <w:rsid w:val="00025532"/>
    <w:rsid w:val="00026705"/>
    <w:rsid w:val="00026D94"/>
    <w:rsid w:val="00030E35"/>
    <w:rsid w:val="000314E8"/>
    <w:rsid w:val="0003341C"/>
    <w:rsid w:val="0003385D"/>
    <w:rsid w:val="000343B9"/>
    <w:rsid w:val="00035413"/>
    <w:rsid w:val="000354B7"/>
    <w:rsid w:val="000359D8"/>
    <w:rsid w:val="00035B1B"/>
    <w:rsid w:val="00035F2E"/>
    <w:rsid w:val="00036575"/>
    <w:rsid w:val="00036B8A"/>
    <w:rsid w:val="00041731"/>
    <w:rsid w:val="00041BCD"/>
    <w:rsid w:val="000423C7"/>
    <w:rsid w:val="00042E1D"/>
    <w:rsid w:val="0004471E"/>
    <w:rsid w:val="00045FD8"/>
    <w:rsid w:val="00047F41"/>
    <w:rsid w:val="00051F37"/>
    <w:rsid w:val="00053351"/>
    <w:rsid w:val="00055938"/>
    <w:rsid w:val="00055948"/>
    <w:rsid w:val="0005705D"/>
    <w:rsid w:val="00057073"/>
    <w:rsid w:val="00060CD1"/>
    <w:rsid w:val="000646E3"/>
    <w:rsid w:val="00064748"/>
    <w:rsid w:val="000667E0"/>
    <w:rsid w:val="00066DF5"/>
    <w:rsid w:val="00070B97"/>
    <w:rsid w:val="00071462"/>
    <w:rsid w:val="00071A99"/>
    <w:rsid w:val="000752EF"/>
    <w:rsid w:val="00075D7A"/>
    <w:rsid w:val="0007730D"/>
    <w:rsid w:val="00077347"/>
    <w:rsid w:val="00077788"/>
    <w:rsid w:val="00083058"/>
    <w:rsid w:val="0008542A"/>
    <w:rsid w:val="00087017"/>
    <w:rsid w:val="00087498"/>
    <w:rsid w:val="00087514"/>
    <w:rsid w:val="00090EBA"/>
    <w:rsid w:val="000912A6"/>
    <w:rsid w:val="00091682"/>
    <w:rsid w:val="00094E67"/>
    <w:rsid w:val="0009762A"/>
    <w:rsid w:val="00097EF0"/>
    <w:rsid w:val="000A0D0B"/>
    <w:rsid w:val="000A1C9A"/>
    <w:rsid w:val="000A1E1F"/>
    <w:rsid w:val="000A351A"/>
    <w:rsid w:val="000A4EC4"/>
    <w:rsid w:val="000A515A"/>
    <w:rsid w:val="000A577A"/>
    <w:rsid w:val="000A5B28"/>
    <w:rsid w:val="000A6651"/>
    <w:rsid w:val="000A7C0E"/>
    <w:rsid w:val="000B1437"/>
    <w:rsid w:val="000B2B61"/>
    <w:rsid w:val="000B2CE3"/>
    <w:rsid w:val="000B2FE2"/>
    <w:rsid w:val="000B3FFD"/>
    <w:rsid w:val="000B5351"/>
    <w:rsid w:val="000B7B5A"/>
    <w:rsid w:val="000C1B34"/>
    <w:rsid w:val="000C1F29"/>
    <w:rsid w:val="000C29FF"/>
    <w:rsid w:val="000C3FF6"/>
    <w:rsid w:val="000C4453"/>
    <w:rsid w:val="000C54A3"/>
    <w:rsid w:val="000C7623"/>
    <w:rsid w:val="000C7714"/>
    <w:rsid w:val="000C77C6"/>
    <w:rsid w:val="000C7C04"/>
    <w:rsid w:val="000D0395"/>
    <w:rsid w:val="000D07EC"/>
    <w:rsid w:val="000D3A03"/>
    <w:rsid w:val="000D4D96"/>
    <w:rsid w:val="000D6BE2"/>
    <w:rsid w:val="000D7676"/>
    <w:rsid w:val="000D795B"/>
    <w:rsid w:val="000E08B8"/>
    <w:rsid w:val="000E133C"/>
    <w:rsid w:val="000E1C85"/>
    <w:rsid w:val="000E48C2"/>
    <w:rsid w:val="000E5076"/>
    <w:rsid w:val="000E59A1"/>
    <w:rsid w:val="000F1BBF"/>
    <w:rsid w:val="000F2EB3"/>
    <w:rsid w:val="000F4A82"/>
    <w:rsid w:val="000F56A8"/>
    <w:rsid w:val="000F71B5"/>
    <w:rsid w:val="000F7FE2"/>
    <w:rsid w:val="0010152C"/>
    <w:rsid w:val="00101832"/>
    <w:rsid w:val="00103A1C"/>
    <w:rsid w:val="00104E08"/>
    <w:rsid w:val="00107249"/>
    <w:rsid w:val="001073CC"/>
    <w:rsid w:val="001079AD"/>
    <w:rsid w:val="00107A49"/>
    <w:rsid w:val="00110202"/>
    <w:rsid w:val="001110FC"/>
    <w:rsid w:val="00112892"/>
    <w:rsid w:val="00114D4B"/>
    <w:rsid w:val="00114DDF"/>
    <w:rsid w:val="00115AAD"/>
    <w:rsid w:val="00124762"/>
    <w:rsid w:val="00126630"/>
    <w:rsid w:val="00127CCA"/>
    <w:rsid w:val="00130642"/>
    <w:rsid w:val="001306E4"/>
    <w:rsid w:val="00130BA7"/>
    <w:rsid w:val="00136083"/>
    <w:rsid w:val="00136B81"/>
    <w:rsid w:val="00141F78"/>
    <w:rsid w:val="00143967"/>
    <w:rsid w:val="00147E1D"/>
    <w:rsid w:val="00150789"/>
    <w:rsid w:val="00151D19"/>
    <w:rsid w:val="00152866"/>
    <w:rsid w:val="00153F8E"/>
    <w:rsid w:val="001543BC"/>
    <w:rsid w:val="0015575F"/>
    <w:rsid w:val="001569BB"/>
    <w:rsid w:val="00161160"/>
    <w:rsid w:val="00161FC4"/>
    <w:rsid w:val="00163B98"/>
    <w:rsid w:val="00164D22"/>
    <w:rsid w:val="00166139"/>
    <w:rsid w:val="001667F0"/>
    <w:rsid w:val="00167F89"/>
    <w:rsid w:val="001701C4"/>
    <w:rsid w:val="00170E0A"/>
    <w:rsid w:val="00172089"/>
    <w:rsid w:val="001723BF"/>
    <w:rsid w:val="0017530C"/>
    <w:rsid w:val="0017555E"/>
    <w:rsid w:val="00175974"/>
    <w:rsid w:val="00177A27"/>
    <w:rsid w:val="00180BA9"/>
    <w:rsid w:val="00181791"/>
    <w:rsid w:val="00183275"/>
    <w:rsid w:val="00183ADD"/>
    <w:rsid w:val="00184FBA"/>
    <w:rsid w:val="00186B63"/>
    <w:rsid w:val="001870FE"/>
    <w:rsid w:val="001911CC"/>
    <w:rsid w:val="001934EE"/>
    <w:rsid w:val="001978F1"/>
    <w:rsid w:val="00197DA4"/>
    <w:rsid w:val="001A0542"/>
    <w:rsid w:val="001A1810"/>
    <w:rsid w:val="001A2131"/>
    <w:rsid w:val="001A2613"/>
    <w:rsid w:val="001A2A37"/>
    <w:rsid w:val="001A2FF3"/>
    <w:rsid w:val="001A373A"/>
    <w:rsid w:val="001A7913"/>
    <w:rsid w:val="001B3256"/>
    <w:rsid w:val="001B5099"/>
    <w:rsid w:val="001B51A5"/>
    <w:rsid w:val="001B59CA"/>
    <w:rsid w:val="001B6BDC"/>
    <w:rsid w:val="001C06E4"/>
    <w:rsid w:val="001C085B"/>
    <w:rsid w:val="001C0C3F"/>
    <w:rsid w:val="001C2128"/>
    <w:rsid w:val="001C304B"/>
    <w:rsid w:val="001C56FB"/>
    <w:rsid w:val="001C731A"/>
    <w:rsid w:val="001D0631"/>
    <w:rsid w:val="001D064E"/>
    <w:rsid w:val="001D54C7"/>
    <w:rsid w:val="001D6129"/>
    <w:rsid w:val="001D63C6"/>
    <w:rsid w:val="001D7D03"/>
    <w:rsid w:val="001E1C02"/>
    <w:rsid w:val="001E1E7C"/>
    <w:rsid w:val="001E39C4"/>
    <w:rsid w:val="001E5309"/>
    <w:rsid w:val="001E64BE"/>
    <w:rsid w:val="001F18E5"/>
    <w:rsid w:val="001F1B46"/>
    <w:rsid w:val="001F1F7D"/>
    <w:rsid w:val="001F20AB"/>
    <w:rsid w:val="001F2412"/>
    <w:rsid w:val="001F2CA8"/>
    <w:rsid w:val="001F501F"/>
    <w:rsid w:val="001F515B"/>
    <w:rsid w:val="0020054B"/>
    <w:rsid w:val="00201E21"/>
    <w:rsid w:val="00204C2A"/>
    <w:rsid w:val="00205361"/>
    <w:rsid w:val="00210B59"/>
    <w:rsid w:val="00212FE4"/>
    <w:rsid w:val="00213D2C"/>
    <w:rsid w:val="002155B0"/>
    <w:rsid w:val="00215922"/>
    <w:rsid w:val="00217AF2"/>
    <w:rsid w:val="00220538"/>
    <w:rsid w:val="00220958"/>
    <w:rsid w:val="00221545"/>
    <w:rsid w:val="00221D2C"/>
    <w:rsid w:val="00222F65"/>
    <w:rsid w:val="00223D0B"/>
    <w:rsid w:val="00225A44"/>
    <w:rsid w:val="00225FCB"/>
    <w:rsid w:val="00231269"/>
    <w:rsid w:val="0023264F"/>
    <w:rsid w:val="00233285"/>
    <w:rsid w:val="0023380E"/>
    <w:rsid w:val="002339A2"/>
    <w:rsid w:val="00233F88"/>
    <w:rsid w:val="00235FB4"/>
    <w:rsid w:val="00236E44"/>
    <w:rsid w:val="00241DDC"/>
    <w:rsid w:val="002440EB"/>
    <w:rsid w:val="00244EEF"/>
    <w:rsid w:val="00247F45"/>
    <w:rsid w:val="00251066"/>
    <w:rsid w:val="00251C63"/>
    <w:rsid w:val="002556CA"/>
    <w:rsid w:val="00255927"/>
    <w:rsid w:val="00256193"/>
    <w:rsid w:val="0026164E"/>
    <w:rsid w:val="0026271B"/>
    <w:rsid w:val="002629E7"/>
    <w:rsid w:val="002657BB"/>
    <w:rsid w:val="0026683E"/>
    <w:rsid w:val="00267670"/>
    <w:rsid w:val="00267A6D"/>
    <w:rsid w:val="002712E4"/>
    <w:rsid w:val="0027232C"/>
    <w:rsid w:val="00275382"/>
    <w:rsid w:val="00276F2E"/>
    <w:rsid w:val="002817BA"/>
    <w:rsid w:val="00281EF2"/>
    <w:rsid w:val="00283308"/>
    <w:rsid w:val="00286DC8"/>
    <w:rsid w:val="00290C42"/>
    <w:rsid w:val="002911CC"/>
    <w:rsid w:val="0029231D"/>
    <w:rsid w:val="002937C6"/>
    <w:rsid w:val="00293DE5"/>
    <w:rsid w:val="00294C51"/>
    <w:rsid w:val="00295078"/>
    <w:rsid w:val="00295C72"/>
    <w:rsid w:val="00295DE7"/>
    <w:rsid w:val="00297AB0"/>
    <w:rsid w:val="002A0448"/>
    <w:rsid w:val="002A2FDD"/>
    <w:rsid w:val="002A6CC7"/>
    <w:rsid w:val="002B0776"/>
    <w:rsid w:val="002B0A1D"/>
    <w:rsid w:val="002B0EF8"/>
    <w:rsid w:val="002B1708"/>
    <w:rsid w:val="002B2B69"/>
    <w:rsid w:val="002B393B"/>
    <w:rsid w:val="002B45EF"/>
    <w:rsid w:val="002B4950"/>
    <w:rsid w:val="002B56ED"/>
    <w:rsid w:val="002B62AF"/>
    <w:rsid w:val="002B7622"/>
    <w:rsid w:val="002C0C63"/>
    <w:rsid w:val="002C0F5C"/>
    <w:rsid w:val="002C4011"/>
    <w:rsid w:val="002C43FE"/>
    <w:rsid w:val="002C4537"/>
    <w:rsid w:val="002C4BC2"/>
    <w:rsid w:val="002C4EBB"/>
    <w:rsid w:val="002C4F45"/>
    <w:rsid w:val="002C6154"/>
    <w:rsid w:val="002C7992"/>
    <w:rsid w:val="002C7B5D"/>
    <w:rsid w:val="002D07B6"/>
    <w:rsid w:val="002D0971"/>
    <w:rsid w:val="002D46BF"/>
    <w:rsid w:val="002D508B"/>
    <w:rsid w:val="002E3A07"/>
    <w:rsid w:val="002E4EC0"/>
    <w:rsid w:val="002E5744"/>
    <w:rsid w:val="002E6172"/>
    <w:rsid w:val="002E6B74"/>
    <w:rsid w:val="002E73B4"/>
    <w:rsid w:val="002F14ED"/>
    <w:rsid w:val="002F1C4D"/>
    <w:rsid w:val="002F2653"/>
    <w:rsid w:val="002F3A84"/>
    <w:rsid w:val="002F411A"/>
    <w:rsid w:val="002F5A90"/>
    <w:rsid w:val="002F652D"/>
    <w:rsid w:val="002F700E"/>
    <w:rsid w:val="002F74CE"/>
    <w:rsid w:val="002F773A"/>
    <w:rsid w:val="002F78E8"/>
    <w:rsid w:val="003002F7"/>
    <w:rsid w:val="00302359"/>
    <w:rsid w:val="00302787"/>
    <w:rsid w:val="00302C06"/>
    <w:rsid w:val="00302FBC"/>
    <w:rsid w:val="003036DD"/>
    <w:rsid w:val="00306B09"/>
    <w:rsid w:val="0030711C"/>
    <w:rsid w:val="0031046F"/>
    <w:rsid w:val="0031090D"/>
    <w:rsid w:val="00312F96"/>
    <w:rsid w:val="00313AFB"/>
    <w:rsid w:val="00314023"/>
    <w:rsid w:val="00314587"/>
    <w:rsid w:val="003156AE"/>
    <w:rsid w:val="00321D72"/>
    <w:rsid w:val="00322AE2"/>
    <w:rsid w:val="00323623"/>
    <w:rsid w:val="00323995"/>
    <w:rsid w:val="00323CFF"/>
    <w:rsid w:val="0033030C"/>
    <w:rsid w:val="0033087F"/>
    <w:rsid w:val="003339C3"/>
    <w:rsid w:val="00333C7C"/>
    <w:rsid w:val="003349F4"/>
    <w:rsid w:val="00335047"/>
    <w:rsid w:val="00336346"/>
    <w:rsid w:val="003404F0"/>
    <w:rsid w:val="00340B86"/>
    <w:rsid w:val="0034164E"/>
    <w:rsid w:val="00345118"/>
    <w:rsid w:val="00345781"/>
    <w:rsid w:val="00346CC6"/>
    <w:rsid w:val="00347274"/>
    <w:rsid w:val="00350D39"/>
    <w:rsid w:val="00351CB7"/>
    <w:rsid w:val="00352B4E"/>
    <w:rsid w:val="00352FCD"/>
    <w:rsid w:val="003537DE"/>
    <w:rsid w:val="003543B2"/>
    <w:rsid w:val="003555AA"/>
    <w:rsid w:val="003557C1"/>
    <w:rsid w:val="00355B75"/>
    <w:rsid w:val="0035716F"/>
    <w:rsid w:val="0036086E"/>
    <w:rsid w:val="00361521"/>
    <w:rsid w:val="003633DD"/>
    <w:rsid w:val="00363BA1"/>
    <w:rsid w:val="003655C3"/>
    <w:rsid w:val="00366326"/>
    <w:rsid w:val="00366C6B"/>
    <w:rsid w:val="0036735C"/>
    <w:rsid w:val="00367CE5"/>
    <w:rsid w:val="00371FC9"/>
    <w:rsid w:val="0037225D"/>
    <w:rsid w:val="003729E8"/>
    <w:rsid w:val="00374729"/>
    <w:rsid w:val="00374C7D"/>
    <w:rsid w:val="003779E9"/>
    <w:rsid w:val="0038071A"/>
    <w:rsid w:val="00382014"/>
    <w:rsid w:val="00382699"/>
    <w:rsid w:val="003934CA"/>
    <w:rsid w:val="00394018"/>
    <w:rsid w:val="00396A6F"/>
    <w:rsid w:val="00397AE0"/>
    <w:rsid w:val="003A11DD"/>
    <w:rsid w:val="003A19EE"/>
    <w:rsid w:val="003A2B96"/>
    <w:rsid w:val="003A5A6E"/>
    <w:rsid w:val="003A6186"/>
    <w:rsid w:val="003A7A6D"/>
    <w:rsid w:val="003A7E31"/>
    <w:rsid w:val="003B62A2"/>
    <w:rsid w:val="003B72E9"/>
    <w:rsid w:val="003C4A79"/>
    <w:rsid w:val="003C5460"/>
    <w:rsid w:val="003C55F5"/>
    <w:rsid w:val="003C5A54"/>
    <w:rsid w:val="003D00F8"/>
    <w:rsid w:val="003D1883"/>
    <w:rsid w:val="003D18A4"/>
    <w:rsid w:val="003D489B"/>
    <w:rsid w:val="003D48A3"/>
    <w:rsid w:val="003D5E12"/>
    <w:rsid w:val="003D61B0"/>
    <w:rsid w:val="003D76FE"/>
    <w:rsid w:val="003E0A67"/>
    <w:rsid w:val="003E2873"/>
    <w:rsid w:val="003E5DB7"/>
    <w:rsid w:val="003E6D0E"/>
    <w:rsid w:val="003F0247"/>
    <w:rsid w:val="003F09F0"/>
    <w:rsid w:val="003F2BA9"/>
    <w:rsid w:val="003F3041"/>
    <w:rsid w:val="003F3496"/>
    <w:rsid w:val="003F52B0"/>
    <w:rsid w:val="003F52C2"/>
    <w:rsid w:val="003F58C3"/>
    <w:rsid w:val="003F5CBA"/>
    <w:rsid w:val="003F6B88"/>
    <w:rsid w:val="003F733C"/>
    <w:rsid w:val="003F7BD3"/>
    <w:rsid w:val="0040233B"/>
    <w:rsid w:val="00404666"/>
    <w:rsid w:val="004053FB"/>
    <w:rsid w:val="00410650"/>
    <w:rsid w:val="004106C1"/>
    <w:rsid w:val="004126F7"/>
    <w:rsid w:val="004139E9"/>
    <w:rsid w:val="004140B9"/>
    <w:rsid w:val="00414AE6"/>
    <w:rsid w:val="00414EE8"/>
    <w:rsid w:val="0042006D"/>
    <w:rsid w:val="0042327C"/>
    <w:rsid w:val="00423786"/>
    <w:rsid w:val="00423D1D"/>
    <w:rsid w:val="00424241"/>
    <w:rsid w:val="00431366"/>
    <w:rsid w:val="00431E02"/>
    <w:rsid w:val="0043317E"/>
    <w:rsid w:val="00433345"/>
    <w:rsid w:val="00434264"/>
    <w:rsid w:val="0043442A"/>
    <w:rsid w:val="00436503"/>
    <w:rsid w:val="0043669C"/>
    <w:rsid w:val="004402E2"/>
    <w:rsid w:val="00441BF3"/>
    <w:rsid w:val="004436ED"/>
    <w:rsid w:val="00443FE0"/>
    <w:rsid w:val="004440AC"/>
    <w:rsid w:val="004443A2"/>
    <w:rsid w:val="00444919"/>
    <w:rsid w:val="0044547C"/>
    <w:rsid w:val="00446BB3"/>
    <w:rsid w:val="00450869"/>
    <w:rsid w:val="00450F57"/>
    <w:rsid w:val="00451F5B"/>
    <w:rsid w:val="00453028"/>
    <w:rsid w:val="00453918"/>
    <w:rsid w:val="004542CF"/>
    <w:rsid w:val="00455768"/>
    <w:rsid w:val="00456E2C"/>
    <w:rsid w:val="00457077"/>
    <w:rsid w:val="00457FC7"/>
    <w:rsid w:val="00461B3D"/>
    <w:rsid w:val="00462197"/>
    <w:rsid w:val="00462417"/>
    <w:rsid w:val="00464624"/>
    <w:rsid w:val="00465E62"/>
    <w:rsid w:val="004677F9"/>
    <w:rsid w:val="004716B0"/>
    <w:rsid w:val="004716C4"/>
    <w:rsid w:val="00472460"/>
    <w:rsid w:val="0047616F"/>
    <w:rsid w:val="0047775E"/>
    <w:rsid w:val="00482683"/>
    <w:rsid w:val="00482731"/>
    <w:rsid w:val="0048286C"/>
    <w:rsid w:val="00482FF1"/>
    <w:rsid w:val="00483A0F"/>
    <w:rsid w:val="00484625"/>
    <w:rsid w:val="0048589D"/>
    <w:rsid w:val="004879E2"/>
    <w:rsid w:val="00487F15"/>
    <w:rsid w:val="004912A0"/>
    <w:rsid w:val="004914EE"/>
    <w:rsid w:val="004928DE"/>
    <w:rsid w:val="00493E2F"/>
    <w:rsid w:val="00493F81"/>
    <w:rsid w:val="00494CB5"/>
    <w:rsid w:val="004954D8"/>
    <w:rsid w:val="0049576C"/>
    <w:rsid w:val="004967BB"/>
    <w:rsid w:val="004A0292"/>
    <w:rsid w:val="004A0EA8"/>
    <w:rsid w:val="004A14D9"/>
    <w:rsid w:val="004A21F6"/>
    <w:rsid w:val="004A2265"/>
    <w:rsid w:val="004A4B61"/>
    <w:rsid w:val="004A6EFE"/>
    <w:rsid w:val="004B1858"/>
    <w:rsid w:val="004B2540"/>
    <w:rsid w:val="004B3D11"/>
    <w:rsid w:val="004B455B"/>
    <w:rsid w:val="004B58C3"/>
    <w:rsid w:val="004B675F"/>
    <w:rsid w:val="004B72C5"/>
    <w:rsid w:val="004B7A1B"/>
    <w:rsid w:val="004C08BF"/>
    <w:rsid w:val="004C3804"/>
    <w:rsid w:val="004C45A2"/>
    <w:rsid w:val="004C56DE"/>
    <w:rsid w:val="004C6C1E"/>
    <w:rsid w:val="004C7629"/>
    <w:rsid w:val="004C7701"/>
    <w:rsid w:val="004D0A26"/>
    <w:rsid w:val="004D0EE4"/>
    <w:rsid w:val="004D482C"/>
    <w:rsid w:val="004D5AC0"/>
    <w:rsid w:val="004D5FEF"/>
    <w:rsid w:val="004D6770"/>
    <w:rsid w:val="004D764F"/>
    <w:rsid w:val="004E1EBF"/>
    <w:rsid w:val="004E27AD"/>
    <w:rsid w:val="004E40F5"/>
    <w:rsid w:val="004E4987"/>
    <w:rsid w:val="004E585B"/>
    <w:rsid w:val="004F1094"/>
    <w:rsid w:val="004F227C"/>
    <w:rsid w:val="004F3B64"/>
    <w:rsid w:val="004F5243"/>
    <w:rsid w:val="005000FC"/>
    <w:rsid w:val="00500247"/>
    <w:rsid w:val="005037D5"/>
    <w:rsid w:val="00505B26"/>
    <w:rsid w:val="0050606E"/>
    <w:rsid w:val="00507449"/>
    <w:rsid w:val="005078E2"/>
    <w:rsid w:val="0051018D"/>
    <w:rsid w:val="005104CE"/>
    <w:rsid w:val="00511092"/>
    <w:rsid w:val="00511602"/>
    <w:rsid w:val="005134B4"/>
    <w:rsid w:val="00513C7D"/>
    <w:rsid w:val="005158DE"/>
    <w:rsid w:val="005164B6"/>
    <w:rsid w:val="00516E6A"/>
    <w:rsid w:val="00520010"/>
    <w:rsid w:val="00520301"/>
    <w:rsid w:val="005206C8"/>
    <w:rsid w:val="005218EA"/>
    <w:rsid w:val="00521EE1"/>
    <w:rsid w:val="00523390"/>
    <w:rsid w:val="00523435"/>
    <w:rsid w:val="0052414D"/>
    <w:rsid w:val="005245C4"/>
    <w:rsid w:val="0052725A"/>
    <w:rsid w:val="005276A7"/>
    <w:rsid w:val="0053002A"/>
    <w:rsid w:val="00531ABD"/>
    <w:rsid w:val="00532D92"/>
    <w:rsid w:val="00533DC5"/>
    <w:rsid w:val="00534304"/>
    <w:rsid w:val="00535560"/>
    <w:rsid w:val="0053609F"/>
    <w:rsid w:val="00541397"/>
    <w:rsid w:val="005413A9"/>
    <w:rsid w:val="00541AEE"/>
    <w:rsid w:val="00541BA8"/>
    <w:rsid w:val="00542D8A"/>
    <w:rsid w:val="00544117"/>
    <w:rsid w:val="005446DA"/>
    <w:rsid w:val="00544DBC"/>
    <w:rsid w:val="00544E0A"/>
    <w:rsid w:val="00544F9E"/>
    <w:rsid w:val="00546B33"/>
    <w:rsid w:val="00546D9F"/>
    <w:rsid w:val="00550E9A"/>
    <w:rsid w:val="00551261"/>
    <w:rsid w:val="005515DC"/>
    <w:rsid w:val="00551BA4"/>
    <w:rsid w:val="00552D59"/>
    <w:rsid w:val="005556E4"/>
    <w:rsid w:val="00556A81"/>
    <w:rsid w:val="00557F71"/>
    <w:rsid w:val="005624EC"/>
    <w:rsid w:val="00564711"/>
    <w:rsid w:val="00565483"/>
    <w:rsid w:val="0056588E"/>
    <w:rsid w:val="00571391"/>
    <w:rsid w:val="00571D92"/>
    <w:rsid w:val="00573949"/>
    <w:rsid w:val="00573ECF"/>
    <w:rsid w:val="00577287"/>
    <w:rsid w:val="0057738E"/>
    <w:rsid w:val="0057776A"/>
    <w:rsid w:val="005777E0"/>
    <w:rsid w:val="00581F39"/>
    <w:rsid w:val="0058269D"/>
    <w:rsid w:val="0058439D"/>
    <w:rsid w:val="00585149"/>
    <w:rsid w:val="00585376"/>
    <w:rsid w:val="00585C24"/>
    <w:rsid w:val="00586825"/>
    <w:rsid w:val="0058743A"/>
    <w:rsid w:val="005875A9"/>
    <w:rsid w:val="005921E5"/>
    <w:rsid w:val="00592755"/>
    <w:rsid w:val="00593DB7"/>
    <w:rsid w:val="00594366"/>
    <w:rsid w:val="00594BC5"/>
    <w:rsid w:val="00595381"/>
    <w:rsid w:val="005954E9"/>
    <w:rsid w:val="005A0040"/>
    <w:rsid w:val="005A232E"/>
    <w:rsid w:val="005A323B"/>
    <w:rsid w:val="005A4A35"/>
    <w:rsid w:val="005A6845"/>
    <w:rsid w:val="005A7C3F"/>
    <w:rsid w:val="005B087C"/>
    <w:rsid w:val="005B112F"/>
    <w:rsid w:val="005B6938"/>
    <w:rsid w:val="005B6F32"/>
    <w:rsid w:val="005B7350"/>
    <w:rsid w:val="005C5799"/>
    <w:rsid w:val="005C5929"/>
    <w:rsid w:val="005D0EF3"/>
    <w:rsid w:val="005D117C"/>
    <w:rsid w:val="005D1DF5"/>
    <w:rsid w:val="005D45A0"/>
    <w:rsid w:val="005D6415"/>
    <w:rsid w:val="005D7248"/>
    <w:rsid w:val="005E0300"/>
    <w:rsid w:val="005E15A3"/>
    <w:rsid w:val="005E234E"/>
    <w:rsid w:val="005E35A0"/>
    <w:rsid w:val="005E4A3D"/>
    <w:rsid w:val="005E4F05"/>
    <w:rsid w:val="005E5859"/>
    <w:rsid w:val="005E5DC1"/>
    <w:rsid w:val="005E6474"/>
    <w:rsid w:val="005E67EC"/>
    <w:rsid w:val="005F178D"/>
    <w:rsid w:val="005F2060"/>
    <w:rsid w:val="005F44D2"/>
    <w:rsid w:val="005F4C5D"/>
    <w:rsid w:val="005F4DCE"/>
    <w:rsid w:val="005F53FC"/>
    <w:rsid w:val="005F5725"/>
    <w:rsid w:val="005F5800"/>
    <w:rsid w:val="00600733"/>
    <w:rsid w:val="006010BF"/>
    <w:rsid w:val="00601296"/>
    <w:rsid w:val="00601B42"/>
    <w:rsid w:val="006031FE"/>
    <w:rsid w:val="00603E10"/>
    <w:rsid w:val="00604741"/>
    <w:rsid w:val="006047FC"/>
    <w:rsid w:val="006048D2"/>
    <w:rsid w:val="00604979"/>
    <w:rsid w:val="0060516C"/>
    <w:rsid w:val="00605233"/>
    <w:rsid w:val="006077EB"/>
    <w:rsid w:val="006079C9"/>
    <w:rsid w:val="006100A1"/>
    <w:rsid w:val="006104BE"/>
    <w:rsid w:val="00611F9E"/>
    <w:rsid w:val="0061214B"/>
    <w:rsid w:val="006143B9"/>
    <w:rsid w:val="00614DBE"/>
    <w:rsid w:val="0061521D"/>
    <w:rsid w:val="006156C2"/>
    <w:rsid w:val="0061663A"/>
    <w:rsid w:val="006168AB"/>
    <w:rsid w:val="00620899"/>
    <w:rsid w:val="00621DEF"/>
    <w:rsid w:val="00623DDC"/>
    <w:rsid w:val="00623EA3"/>
    <w:rsid w:val="006240A2"/>
    <w:rsid w:val="00624BDB"/>
    <w:rsid w:val="00625AFD"/>
    <w:rsid w:val="00625E1B"/>
    <w:rsid w:val="00627B5D"/>
    <w:rsid w:val="00627DE4"/>
    <w:rsid w:val="006302FD"/>
    <w:rsid w:val="0063047C"/>
    <w:rsid w:val="006305DC"/>
    <w:rsid w:val="00631C13"/>
    <w:rsid w:val="006325BB"/>
    <w:rsid w:val="00633AB7"/>
    <w:rsid w:val="00634485"/>
    <w:rsid w:val="006345A0"/>
    <w:rsid w:val="006354DC"/>
    <w:rsid w:val="00635FC2"/>
    <w:rsid w:val="00637C16"/>
    <w:rsid w:val="00641ACA"/>
    <w:rsid w:val="006445D2"/>
    <w:rsid w:val="0064661F"/>
    <w:rsid w:val="00647094"/>
    <w:rsid w:val="006505D9"/>
    <w:rsid w:val="00655B83"/>
    <w:rsid w:val="00655F33"/>
    <w:rsid w:val="00656C59"/>
    <w:rsid w:val="006619ED"/>
    <w:rsid w:val="006647A8"/>
    <w:rsid w:val="00666655"/>
    <w:rsid w:val="006747B5"/>
    <w:rsid w:val="00675974"/>
    <w:rsid w:val="00676EF6"/>
    <w:rsid w:val="00677213"/>
    <w:rsid w:val="00677D09"/>
    <w:rsid w:val="006803E8"/>
    <w:rsid w:val="00682656"/>
    <w:rsid w:val="00683A2C"/>
    <w:rsid w:val="00683EAC"/>
    <w:rsid w:val="00684EF6"/>
    <w:rsid w:val="00685046"/>
    <w:rsid w:val="00686279"/>
    <w:rsid w:val="00686A8A"/>
    <w:rsid w:val="00686B80"/>
    <w:rsid w:val="006878A4"/>
    <w:rsid w:val="00690A3D"/>
    <w:rsid w:val="00691B06"/>
    <w:rsid w:val="00695056"/>
    <w:rsid w:val="006954F2"/>
    <w:rsid w:val="006957B8"/>
    <w:rsid w:val="006A03CD"/>
    <w:rsid w:val="006A06FE"/>
    <w:rsid w:val="006A17D0"/>
    <w:rsid w:val="006A189D"/>
    <w:rsid w:val="006A42D4"/>
    <w:rsid w:val="006A4E98"/>
    <w:rsid w:val="006A737B"/>
    <w:rsid w:val="006A77F3"/>
    <w:rsid w:val="006A7829"/>
    <w:rsid w:val="006B13E3"/>
    <w:rsid w:val="006B2A9B"/>
    <w:rsid w:val="006B2BA6"/>
    <w:rsid w:val="006B3E26"/>
    <w:rsid w:val="006B432D"/>
    <w:rsid w:val="006B4A50"/>
    <w:rsid w:val="006B4B65"/>
    <w:rsid w:val="006B537E"/>
    <w:rsid w:val="006B6513"/>
    <w:rsid w:val="006C0620"/>
    <w:rsid w:val="006C065D"/>
    <w:rsid w:val="006C1A47"/>
    <w:rsid w:val="006C1A73"/>
    <w:rsid w:val="006C24A5"/>
    <w:rsid w:val="006C24CD"/>
    <w:rsid w:val="006C42A7"/>
    <w:rsid w:val="006C60B5"/>
    <w:rsid w:val="006C7D68"/>
    <w:rsid w:val="006D16CB"/>
    <w:rsid w:val="006D1A5E"/>
    <w:rsid w:val="006D25FC"/>
    <w:rsid w:val="006D2F39"/>
    <w:rsid w:val="006D3F2C"/>
    <w:rsid w:val="006D64F9"/>
    <w:rsid w:val="006D7A2C"/>
    <w:rsid w:val="006E0D87"/>
    <w:rsid w:val="006E13E8"/>
    <w:rsid w:val="006E1421"/>
    <w:rsid w:val="006E25B6"/>
    <w:rsid w:val="006E34B6"/>
    <w:rsid w:val="006E5FB5"/>
    <w:rsid w:val="006E6278"/>
    <w:rsid w:val="006E6389"/>
    <w:rsid w:val="006E65F1"/>
    <w:rsid w:val="006E662E"/>
    <w:rsid w:val="006E69AA"/>
    <w:rsid w:val="006F1C74"/>
    <w:rsid w:val="006F30F8"/>
    <w:rsid w:val="006F3144"/>
    <w:rsid w:val="006F3CA9"/>
    <w:rsid w:val="006F5B9E"/>
    <w:rsid w:val="006F6E1B"/>
    <w:rsid w:val="00700C41"/>
    <w:rsid w:val="00701BE4"/>
    <w:rsid w:val="00702CB3"/>
    <w:rsid w:val="00702F14"/>
    <w:rsid w:val="00703E92"/>
    <w:rsid w:val="00704C3C"/>
    <w:rsid w:val="007061DF"/>
    <w:rsid w:val="00706475"/>
    <w:rsid w:val="007112A9"/>
    <w:rsid w:val="00711B09"/>
    <w:rsid w:val="00712516"/>
    <w:rsid w:val="007147C0"/>
    <w:rsid w:val="0071646D"/>
    <w:rsid w:val="00716CE1"/>
    <w:rsid w:val="007227F1"/>
    <w:rsid w:val="0072358C"/>
    <w:rsid w:val="00726FA5"/>
    <w:rsid w:val="00730313"/>
    <w:rsid w:val="00730BC4"/>
    <w:rsid w:val="00731D9B"/>
    <w:rsid w:val="00731F23"/>
    <w:rsid w:val="00733CB7"/>
    <w:rsid w:val="007343D5"/>
    <w:rsid w:val="00734A8B"/>
    <w:rsid w:val="00735210"/>
    <w:rsid w:val="007352AB"/>
    <w:rsid w:val="00735B0D"/>
    <w:rsid w:val="00736C06"/>
    <w:rsid w:val="007401BB"/>
    <w:rsid w:val="00740BCB"/>
    <w:rsid w:val="00740E5C"/>
    <w:rsid w:val="007417EA"/>
    <w:rsid w:val="00741FEA"/>
    <w:rsid w:val="0074244D"/>
    <w:rsid w:val="007446D8"/>
    <w:rsid w:val="00744736"/>
    <w:rsid w:val="00746F1A"/>
    <w:rsid w:val="00750F05"/>
    <w:rsid w:val="00751311"/>
    <w:rsid w:val="00751395"/>
    <w:rsid w:val="00751E19"/>
    <w:rsid w:val="0075239A"/>
    <w:rsid w:val="00757243"/>
    <w:rsid w:val="00757444"/>
    <w:rsid w:val="00757F23"/>
    <w:rsid w:val="00764B6A"/>
    <w:rsid w:val="007677C8"/>
    <w:rsid w:val="00767912"/>
    <w:rsid w:val="007709DE"/>
    <w:rsid w:val="00770CC8"/>
    <w:rsid w:val="00770E29"/>
    <w:rsid w:val="00771111"/>
    <w:rsid w:val="0077203A"/>
    <w:rsid w:val="0077266E"/>
    <w:rsid w:val="00773601"/>
    <w:rsid w:val="00773EA1"/>
    <w:rsid w:val="007753ED"/>
    <w:rsid w:val="00775CB2"/>
    <w:rsid w:val="0077689F"/>
    <w:rsid w:val="007811DC"/>
    <w:rsid w:val="00782D4B"/>
    <w:rsid w:val="00782DD9"/>
    <w:rsid w:val="007830E3"/>
    <w:rsid w:val="00784021"/>
    <w:rsid w:val="00785112"/>
    <w:rsid w:val="00787DB5"/>
    <w:rsid w:val="00794305"/>
    <w:rsid w:val="007958CD"/>
    <w:rsid w:val="00796ED5"/>
    <w:rsid w:val="007A02EB"/>
    <w:rsid w:val="007A11F1"/>
    <w:rsid w:val="007A35F6"/>
    <w:rsid w:val="007A4E83"/>
    <w:rsid w:val="007A5F1A"/>
    <w:rsid w:val="007A7693"/>
    <w:rsid w:val="007B4CA8"/>
    <w:rsid w:val="007B5B76"/>
    <w:rsid w:val="007B7166"/>
    <w:rsid w:val="007B755C"/>
    <w:rsid w:val="007C025F"/>
    <w:rsid w:val="007C09AA"/>
    <w:rsid w:val="007C0AFD"/>
    <w:rsid w:val="007C20AF"/>
    <w:rsid w:val="007C2204"/>
    <w:rsid w:val="007C3D29"/>
    <w:rsid w:val="007C3E67"/>
    <w:rsid w:val="007C4021"/>
    <w:rsid w:val="007C4F2D"/>
    <w:rsid w:val="007C6783"/>
    <w:rsid w:val="007C6937"/>
    <w:rsid w:val="007C74F2"/>
    <w:rsid w:val="007C7E5A"/>
    <w:rsid w:val="007D0C6E"/>
    <w:rsid w:val="007D112D"/>
    <w:rsid w:val="007D13D5"/>
    <w:rsid w:val="007D1598"/>
    <w:rsid w:val="007D331E"/>
    <w:rsid w:val="007D4945"/>
    <w:rsid w:val="007D55DE"/>
    <w:rsid w:val="007D5B23"/>
    <w:rsid w:val="007D7334"/>
    <w:rsid w:val="007E07A7"/>
    <w:rsid w:val="007E1EB2"/>
    <w:rsid w:val="007E24F8"/>
    <w:rsid w:val="007E3963"/>
    <w:rsid w:val="007E64E0"/>
    <w:rsid w:val="007E6A21"/>
    <w:rsid w:val="007F1525"/>
    <w:rsid w:val="007F18A3"/>
    <w:rsid w:val="007F36DE"/>
    <w:rsid w:val="007F528B"/>
    <w:rsid w:val="007F61DA"/>
    <w:rsid w:val="00800475"/>
    <w:rsid w:val="00800611"/>
    <w:rsid w:val="00800DDC"/>
    <w:rsid w:val="00801983"/>
    <w:rsid w:val="00801D34"/>
    <w:rsid w:val="00805A48"/>
    <w:rsid w:val="008063E2"/>
    <w:rsid w:val="00806A83"/>
    <w:rsid w:val="00807739"/>
    <w:rsid w:val="008100C2"/>
    <w:rsid w:val="00810126"/>
    <w:rsid w:val="00810A48"/>
    <w:rsid w:val="00810EC7"/>
    <w:rsid w:val="00811637"/>
    <w:rsid w:val="00814930"/>
    <w:rsid w:val="0081609E"/>
    <w:rsid w:val="00820139"/>
    <w:rsid w:val="008207CA"/>
    <w:rsid w:val="008223A5"/>
    <w:rsid w:val="008228A2"/>
    <w:rsid w:val="008235DE"/>
    <w:rsid w:val="008254D3"/>
    <w:rsid w:val="00825CA4"/>
    <w:rsid w:val="00827352"/>
    <w:rsid w:val="00830B87"/>
    <w:rsid w:val="00832A75"/>
    <w:rsid w:val="008331EF"/>
    <w:rsid w:val="00833271"/>
    <w:rsid w:val="0083402A"/>
    <w:rsid w:val="00835546"/>
    <w:rsid w:val="00835741"/>
    <w:rsid w:val="008367D9"/>
    <w:rsid w:val="00836AD8"/>
    <w:rsid w:val="00837520"/>
    <w:rsid w:val="00837706"/>
    <w:rsid w:val="00840982"/>
    <w:rsid w:val="008422A0"/>
    <w:rsid w:val="0084270E"/>
    <w:rsid w:val="00842C37"/>
    <w:rsid w:val="00843C46"/>
    <w:rsid w:val="008442E6"/>
    <w:rsid w:val="00844945"/>
    <w:rsid w:val="0084543B"/>
    <w:rsid w:val="00845701"/>
    <w:rsid w:val="00846E76"/>
    <w:rsid w:val="0084711A"/>
    <w:rsid w:val="00851F8C"/>
    <w:rsid w:val="008520A2"/>
    <w:rsid w:val="00852CE9"/>
    <w:rsid w:val="00855F8A"/>
    <w:rsid w:val="00856585"/>
    <w:rsid w:val="00856F7A"/>
    <w:rsid w:val="00857279"/>
    <w:rsid w:val="0085736B"/>
    <w:rsid w:val="00857B52"/>
    <w:rsid w:val="00860608"/>
    <w:rsid w:val="00861B32"/>
    <w:rsid w:val="00861DD8"/>
    <w:rsid w:val="008665F8"/>
    <w:rsid w:val="00867C9A"/>
    <w:rsid w:val="008701A1"/>
    <w:rsid w:val="0087119D"/>
    <w:rsid w:val="008718F3"/>
    <w:rsid w:val="0087246B"/>
    <w:rsid w:val="00872D3B"/>
    <w:rsid w:val="00873B3E"/>
    <w:rsid w:val="00874685"/>
    <w:rsid w:val="00874DC9"/>
    <w:rsid w:val="0087561C"/>
    <w:rsid w:val="00875E79"/>
    <w:rsid w:val="00876615"/>
    <w:rsid w:val="0088137B"/>
    <w:rsid w:val="00882131"/>
    <w:rsid w:val="0088510A"/>
    <w:rsid w:val="00885CAF"/>
    <w:rsid w:val="00885CB3"/>
    <w:rsid w:val="008860BB"/>
    <w:rsid w:val="00886BFC"/>
    <w:rsid w:val="00887493"/>
    <w:rsid w:val="008900BC"/>
    <w:rsid w:val="00890A84"/>
    <w:rsid w:val="0089164B"/>
    <w:rsid w:val="00891778"/>
    <w:rsid w:val="00891E4A"/>
    <w:rsid w:val="00892AFC"/>
    <w:rsid w:val="00893303"/>
    <w:rsid w:val="0089436A"/>
    <w:rsid w:val="00895C62"/>
    <w:rsid w:val="00895D92"/>
    <w:rsid w:val="0089728F"/>
    <w:rsid w:val="008A0C05"/>
    <w:rsid w:val="008A0CFD"/>
    <w:rsid w:val="008A42B0"/>
    <w:rsid w:val="008A4982"/>
    <w:rsid w:val="008A6085"/>
    <w:rsid w:val="008A663F"/>
    <w:rsid w:val="008A7BE3"/>
    <w:rsid w:val="008B0803"/>
    <w:rsid w:val="008B1273"/>
    <w:rsid w:val="008B36C5"/>
    <w:rsid w:val="008B542E"/>
    <w:rsid w:val="008B590E"/>
    <w:rsid w:val="008B5987"/>
    <w:rsid w:val="008B5BE2"/>
    <w:rsid w:val="008C04B3"/>
    <w:rsid w:val="008C0694"/>
    <w:rsid w:val="008C06D5"/>
    <w:rsid w:val="008C3158"/>
    <w:rsid w:val="008C3963"/>
    <w:rsid w:val="008C4CFE"/>
    <w:rsid w:val="008D033C"/>
    <w:rsid w:val="008D0B33"/>
    <w:rsid w:val="008D0D25"/>
    <w:rsid w:val="008D1526"/>
    <w:rsid w:val="008D2273"/>
    <w:rsid w:val="008D4B2A"/>
    <w:rsid w:val="008D75E7"/>
    <w:rsid w:val="008E094D"/>
    <w:rsid w:val="008E176A"/>
    <w:rsid w:val="008E2822"/>
    <w:rsid w:val="008E2982"/>
    <w:rsid w:val="008E4713"/>
    <w:rsid w:val="008E4F15"/>
    <w:rsid w:val="008E5BC1"/>
    <w:rsid w:val="008E7698"/>
    <w:rsid w:val="008E7D60"/>
    <w:rsid w:val="008F0F17"/>
    <w:rsid w:val="008F2EE4"/>
    <w:rsid w:val="008F2F75"/>
    <w:rsid w:val="008F3161"/>
    <w:rsid w:val="008F355E"/>
    <w:rsid w:val="008F4C62"/>
    <w:rsid w:val="008F5E3B"/>
    <w:rsid w:val="008F7D25"/>
    <w:rsid w:val="00900226"/>
    <w:rsid w:val="00900C8D"/>
    <w:rsid w:val="009012C6"/>
    <w:rsid w:val="00901D57"/>
    <w:rsid w:val="009052E1"/>
    <w:rsid w:val="00905A0D"/>
    <w:rsid w:val="0090665D"/>
    <w:rsid w:val="00911559"/>
    <w:rsid w:val="00914FDF"/>
    <w:rsid w:val="0091599A"/>
    <w:rsid w:val="00917EB1"/>
    <w:rsid w:val="00921109"/>
    <w:rsid w:val="00921436"/>
    <w:rsid w:val="009239BB"/>
    <w:rsid w:val="0092433B"/>
    <w:rsid w:val="00926B57"/>
    <w:rsid w:val="00930350"/>
    <w:rsid w:val="00930F79"/>
    <w:rsid w:val="00931EF0"/>
    <w:rsid w:val="00932CFF"/>
    <w:rsid w:val="00932F08"/>
    <w:rsid w:val="00935A0D"/>
    <w:rsid w:val="00936419"/>
    <w:rsid w:val="00936ACA"/>
    <w:rsid w:val="00936B1D"/>
    <w:rsid w:val="00940FFE"/>
    <w:rsid w:val="009411A0"/>
    <w:rsid w:val="00942DF7"/>
    <w:rsid w:val="00943AA5"/>
    <w:rsid w:val="00943B74"/>
    <w:rsid w:val="0094486F"/>
    <w:rsid w:val="009449F8"/>
    <w:rsid w:val="00944CA2"/>
    <w:rsid w:val="009455B4"/>
    <w:rsid w:val="009458C7"/>
    <w:rsid w:val="0094714C"/>
    <w:rsid w:val="009472B3"/>
    <w:rsid w:val="0094732C"/>
    <w:rsid w:val="00947905"/>
    <w:rsid w:val="00947F35"/>
    <w:rsid w:val="009500DD"/>
    <w:rsid w:val="00953315"/>
    <w:rsid w:val="009573BD"/>
    <w:rsid w:val="0096079C"/>
    <w:rsid w:val="0096089C"/>
    <w:rsid w:val="00962E4E"/>
    <w:rsid w:val="00964E79"/>
    <w:rsid w:val="00964F37"/>
    <w:rsid w:val="00966C2B"/>
    <w:rsid w:val="00967C2E"/>
    <w:rsid w:val="00971134"/>
    <w:rsid w:val="0097222B"/>
    <w:rsid w:val="00974437"/>
    <w:rsid w:val="00975A2A"/>
    <w:rsid w:val="00975B6D"/>
    <w:rsid w:val="00975EB9"/>
    <w:rsid w:val="009763B8"/>
    <w:rsid w:val="00977454"/>
    <w:rsid w:val="00981F51"/>
    <w:rsid w:val="00982C6E"/>
    <w:rsid w:val="009837CB"/>
    <w:rsid w:val="009858EF"/>
    <w:rsid w:val="0099075B"/>
    <w:rsid w:val="00990E7A"/>
    <w:rsid w:val="00991EC7"/>
    <w:rsid w:val="00992009"/>
    <w:rsid w:val="009925EC"/>
    <w:rsid w:val="009969DF"/>
    <w:rsid w:val="009A00BC"/>
    <w:rsid w:val="009A01AE"/>
    <w:rsid w:val="009A0F6D"/>
    <w:rsid w:val="009A2FF6"/>
    <w:rsid w:val="009A34EE"/>
    <w:rsid w:val="009A3ADA"/>
    <w:rsid w:val="009A52D1"/>
    <w:rsid w:val="009A5CBF"/>
    <w:rsid w:val="009A78A9"/>
    <w:rsid w:val="009B08DD"/>
    <w:rsid w:val="009B206B"/>
    <w:rsid w:val="009B299F"/>
    <w:rsid w:val="009B29BB"/>
    <w:rsid w:val="009B55C4"/>
    <w:rsid w:val="009B5CBA"/>
    <w:rsid w:val="009B6C33"/>
    <w:rsid w:val="009B6EF8"/>
    <w:rsid w:val="009C3731"/>
    <w:rsid w:val="009C4E6E"/>
    <w:rsid w:val="009C4FE0"/>
    <w:rsid w:val="009C5252"/>
    <w:rsid w:val="009C64B7"/>
    <w:rsid w:val="009C6A35"/>
    <w:rsid w:val="009C6EDF"/>
    <w:rsid w:val="009D00FC"/>
    <w:rsid w:val="009D040F"/>
    <w:rsid w:val="009D2860"/>
    <w:rsid w:val="009D4854"/>
    <w:rsid w:val="009D5847"/>
    <w:rsid w:val="009D605C"/>
    <w:rsid w:val="009D6900"/>
    <w:rsid w:val="009D7497"/>
    <w:rsid w:val="009E03BE"/>
    <w:rsid w:val="009E11BB"/>
    <w:rsid w:val="009E1E5F"/>
    <w:rsid w:val="009E2222"/>
    <w:rsid w:val="009E2235"/>
    <w:rsid w:val="009E25E5"/>
    <w:rsid w:val="009E2EEE"/>
    <w:rsid w:val="009E30D5"/>
    <w:rsid w:val="009E4D74"/>
    <w:rsid w:val="009E68BB"/>
    <w:rsid w:val="009E7036"/>
    <w:rsid w:val="009E7593"/>
    <w:rsid w:val="009F07F4"/>
    <w:rsid w:val="009F19E6"/>
    <w:rsid w:val="009F35A7"/>
    <w:rsid w:val="009F4D23"/>
    <w:rsid w:val="009F704F"/>
    <w:rsid w:val="00A00110"/>
    <w:rsid w:val="00A003D4"/>
    <w:rsid w:val="00A00BC6"/>
    <w:rsid w:val="00A011D2"/>
    <w:rsid w:val="00A014EE"/>
    <w:rsid w:val="00A01634"/>
    <w:rsid w:val="00A02992"/>
    <w:rsid w:val="00A037CB"/>
    <w:rsid w:val="00A0469A"/>
    <w:rsid w:val="00A075F7"/>
    <w:rsid w:val="00A12D3A"/>
    <w:rsid w:val="00A13008"/>
    <w:rsid w:val="00A14237"/>
    <w:rsid w:val="00A17D0D"/>
    <w:rsid w:val="00A20F7B"/>
    <w:rsid w:val="00A21417"/>
    <w:rsid w:val="00A23601"/>
    <w:rsid w:val="00A25070"/>
    <w:rsid w:val="00A25AF8"/>
    <w:rsid w:val="00A27150"/>
    <w:rsid w:val="00A27A70"/>
    <w:rsid w:val="00A32A88"/>
    <w:rsid w:val="00A32DF4"/>
    <w:rsid w:val="00A33202"/>
    <w:rsid w:val="00A35622"/>
    <w:rsid w:val="00A36ED5"/>
    <w:rsid w:val="00A41054"/>
    <w:rsid w:val="00A41E44"/>
    <w:rsid w:val="00A42D27"/>
    <w:rsid w:val="00A43472"/>
    <w:rsid w:val="00A43B64"/>
    <w:rsid w:val="00A4679F"/>
    <w:rsid w:val="00A51D2C"/>
    <w:rsid w:val="00A52C18"/>
    <w:rsid w:val="00A5404F"/>
    <w:rsid w:val="00A55E21"/>
    <w:rsid w:val="00A56379"/>
    <w:rsid w:val="00A57AFC"/>
    <w:rsid w:val="00A6220A"/>
    <w:rsid w:val="00A62E75"/>
    <w:rsid w:val="00A67754"/>
    <w:rsid w:val="00A717E4"/>
    <w:rsid w:val="00A744CF"/>
    <w:rsid w:val="00A76FB1"/>
    <w:rsid w:val="00A81140"/>
    <w:rsid w:val="00A81EA7"/>
    <w:rsid w:val="00A850E0"/>
    <w:rsid w:val="00A87615"/>
    <w:rsid w:val="00A900E2"/>
    <w:rsid w:val="00A91095"/>
    <w:rsid w:val="00A92027"/>
    <w:rsid w:val="00A9276F"/>
    <w:rsid w:val="00A94713"/>
    <w:rsid w:val="00A9555B"/>
    <w:rsid w:val="00A95947"/>
    <w:rsid w:val="00A96BC3"/>
    <w:rsid w:val="00A96EE6"/>
    <w:rsid w:val="00A97959"/>
    <w:rsid w:val="00AA0B37"/>
    <w:rsid w:val="00AA19A7"/>
    <w:rsid w:val="00AA25E4"/>
    <w:rsid w:val="00AA2C2B"/>
    <w:rsid w:val="00AA37FC"/>
    <w:rsid w:val="00AA44B0"/>
    <w:rsid w:val="00AA4B65"/>
    <w:rsid w:val="00AA57EF"/>
    <w:rsid w:val="00AA5F5D"/>
    <w:rsid w:val="00AB1659"/>
    <w:rsid w:val="00AB1B06"/>
    <w:rsid w:val="00AB3F5E"/>
    <w:rsid w:val="00AB4396"/>
    <w:rsid w:val="00AB6036"/>
    <w:rsid w:val="00AB61CC"/>
    <w:rsid w:val="00AB66B7"/>
    <w:rsid w:val="00AB66F0"/>
    <w:rsid w:val="00AB7491"/>
    <w:rsid w:val="00AC17F2"/>
    <w:rsid w:val="00AC20D8"/>
    <w:rsid w:val="00AC3EA4"/>
    <w:rsid w:val="00AC46E5"/>
    <w:rsid w:val="00AC6E31"/>
    <w:rsid w:val="00AC74AC"/>
    <w:rsid w:val="00AD1D3D"/>
    <w:rsid w:val="00AD3308"/>
    <w:rsid w:val="00AD59C1"/>
    <w:rsid w:val="00AD5C04"/>
    <w:rsid w:val="00AD6050"/>
    <w:rsid w:val="00AE013D"/>
    <w:rsid w:val="00AE0AB9"/>
    <w:rsid w:val="00AE111D"/>
    <w:rsid w:val="00AE34E5"/>
    <w:rsid w:val="00AF0251"/>
    <w:rsid w:val="00AF16F8"/>
    <w:rsid w:val="00AF200E"/>
    <w:rsid w:val="00AF203D"/>
    <w:rsid w:val="00AF299E"/>
    <w:rsid w:val="00AF2AD6"/>
    <w:rsid w:val="00AF4BD7"/>
    <w:rsid w:val="00AF55A6"/>
    <w:rsid w:val="00AF65A0"/>
    <w:rsid w:val="00B0060F"/>
    <w:rsid w:val="00B01D6B"/>
    <w:rsid w:val="00B02C37"/>
    <w:rsid w:val="00B03CE2"/>
    <w:rsid w:val="00B058C7"/>
    <w:rsid w:val="00B06BA1"/>
    <w:rsid w:val="00B11E6A"/>
    <w:rsid w:val="00B131D6"/>
    <w:rsid w:val="00B1640C"/>
    <w:rsid w:val="00B16FF2"/>
    <w:rsid w:val="00B21982"/>
    <w:rsid w:val="00B25866"/>
    <w:rsid w:val="00B25A6F"/>
    <w:rsid w:val="00B25BC6"/>
    <w:rsid w:val="00B33C2F"/>
    <w:rsid w:val="00B35432"/>
    <w:rsid w:val="00B362EF"/>
    <w:rsid w:val="00B373AD"/>
    <w:rsid w:val="00B41299"/>
    <w:rsid w:val="00B41343"/>
    <w:rsid w:val="00B4134E"/>
    <w:rsid w:val="00B42B2D"/>
    <w:rsid w:val="00B441CE"/>
    <w:rsid w:val="00B44DA3"/>
    <w:rsid w:val="00B5061D"/>
    <w:rsid w:val="00B5114C"/>
    <w:rsid w:val="00B518F7"/>
    <w:rsid w:val="00B51A2C"/>
    <w:rsid w:val="00B5328A"/>
    <w:rsid w:val="00B5510F"/>
    <w:rsid w:val="00B55D36"/>
    <w:rsid w:val="00B55FEC"/>
    <w:rsid w:val="00B61DD1"/>
    <w:rsid w:val="00B623CE"/>
    <w:rsid w:val="00B63188"/>
    <w:rsid w:val="00B662AD"/>
    <w:rsid w:val="00B72ACE"/>
    <w:rsid w:val="00B7332C"/>
    <w:rsid w:val="00B73BC0"/>
    <w:rsid w:val="00B74C18"/>
    <w:rsid w:val="00B76358"/>
    <w:rsid w:val="00B81EA4"/>
    <w:rsid w:val="00B82000"/>
    <w:rsid w:val="00B84265"/>
    <w:rsid w:val="00B86E05"/>
    <w:rsid w:val="00B91560"/>
    <w:rsid w:val="00B91A02"/>
    <w:rsid w:val="00B91C28"/>
    <w:rsid w:val="00B92B46"/>
    <w:rsid w:val="00B92E1C"/>
    <w:rsid w:val="00B95DFB"/>
    <w:rsid w:val="00B96729"/>
    <w:rsid w:val="00BA00A9"/>
    <w:rsid w:val="00BA0426"/>
    <w:rsid w:val="00BA1B7A"/>
    <w:rsid w:val="00BA2A2B"/>
    <w:rsid w:val="00BA3674"/>
    <w:rsid w:val="00BA36A5"/>
    <w:rsid w:val="00BA69F4"/>
    <w:rsid w:val="00BA7F80"/>
    <w:rsid w:val="00BB07CB"/>
    <w:rsid w:val="00BB0CC2"/>
    <w:rsid w:val="00BB1A72"/>
    <w:rsid w:val="00BB2546"/>
    <w:rsid w:val="00BB37FC"/>
    <w:rsid w:val="00BB6202"/>
    <w:rsid w:val="00BB7698"/>
    <w:rsid w:val="00BB78FC"/>
    <w:rsid w:val="00BC134A"/>
    <w:rsid w:val="00BC15AB"/>
    <w:rsid w:val="00BC250E"/>
    <w:rsid w:val="00BC30AA"/>
    <w:rsid w:val="00BC3FE1"/>
    <w:rsid w:val="00BC4A24"/>
    <w:rsid w:val="00BC63BC"/>
    <w:rsid w:val="00BC6602"/>
    <w:rsid w:val="00BC6991"/>
    <w:rsid w:val="00BC7267"/>
    <w:rsid w:val="00BD000E"/>
    <w:rsid w:val="00BD0947"/>
    <w:rsid w:val="00BD1191"/>
    <w:rsid w:val="00BD1625"/>
    <w:rsid w:val="00BD1943"/>
    <w:rsid w:val="00BD1BDB"/>
    <w:rsid w:val="00BD24F0"/>
    <w:rsid w:val="00BD3280"/>
    <w:rsid w:val="00BD3667"/>
    <w:rsid w:val="00BD3AD2"/>
    <w:rsid w:val="00BD3B66"/>
    <w:rsid w:val="00BD428D"/>
    <w:rsid w:val="00BD6BED"/>
    <w:rsid w:val="00BD7483"/>
    <w:rsid w:val="00BE0E74"/>
    <w:rsid w:val="00BE226E"/>
    <w:rsid w:val="00BE3B2F"/>
    <w:rsid w:val="00BE64C8"/>
    <w:rsid w:val="00BE67A1"/>
    <w:rsid w:val="00BE7600"/>
    <w:rsid w:val="00BF0748"/>
    <w:rsid w:val="00BF1BE1"/>
    <w:rsid w:val="00BF330A"/>
    <w:rsid w:val="00BF469C"/>
    <w:rsid w:val="00BF5E75"/>
    <w:rsid w:val="00BF6B39"/>
    <w:rsid w:val="00C00D3D"/>
    <w:rsid w:val="00C0130F"/>
    <w:rsid w:val="00C033E4"/>
    <w:rsid w:val="00C0590E"/>
    <w:rsid w:val="00C05937"/>
    <w:rsid w:val="00C06929"/>
    <w:rsid w:val="00C06C84"/>
    <w:rsid w:val="00C1122F"/>
    <w:rsid w:val="00C1337F"/>
    <w:rsid w:val="00C134E5"/>
    <w:rsid w:val="00C13832"/>
    <w:rsid w:val="00C16490"/>
    <w:rsid w:val="00C16C13"/>
    <w:rsid w:val="00C16CC0"/>
    <w:rsid w:val="00C17535"/>
    <w:rsid w:val="00C1778D"/>
    <w:rsid w:val="00C20E42"/>
    <w:rsid w:val="00C22635"/>
    <w:rsid w:val="00C22842"/>
    <w:rsid w:val="00C23048"/>
    <w:rsid w:val="00C2325C"/>
    <w:rsid w:val="00C23621"/>
    <w:rsid w:val="00C265CC"/>
    <w:rsid w:val="00C273AE"/>
    <w:rsid w:val="00C3109F"/>
    <w:rsid w:val="00C372C1"/>
    <w:rsid w:val="00C400E5"/>
    <w:rsid w:val="00C407AD"/>
    <w:rsid w:val="00C428CE"/>
    <w:rsid w:val="00C4317A"/>
    <w:rsid w:val="00C433CE"/>
    <w:rsid w:val="00C46981"/>
    <w:rsid w:val="00C472F7"/>
    <w:rsid w:val="00C47D1B"/>
    <w:rsid w:val="00C503FF"/>
    <w:rsid w:val="00C505E8"/>
    <w:rsid w:val="00C515D8"/>
    <w:rsid w:val="00C51B23"/>
    <w:rsid w:val="00C53782"/>
    <w:rsid w:val="00C53E72"/>
    <w:rsid w:val="00C546A6"/>
    <w:rsid w:val="00C54BE5"/>
    <w:rsid w:val="00C552F0"/>
    <w:rsid w:val="00C56A45"/>
    <w:rsid w:val="00C57553"/>
    <w:rsid w:val="00C6012D"/>
    <w:rsid w:val="00C6294D"/>
    <w:rsid w:val="00C636D0"/>
    <w:rsid w:val="00C639AC"/>
    <w:rsid w:val="00C64A26"/>
    <w:rsid w:val="00C673D1"/>
    <w:rsid w:val="00C716E5"/>
    <w:rsid w:val="00C74C5A"/>
    <w:rsid w:val="00C7768B"/>
    <w:rsid w:val="00C77CD0"/>
    <w:rsid w:val="00C80153"/>
    <w:rsid w:val="00C8083C"/>
    <w:rsid w:val="00C80F64"/>
    <w:rsid w:val="00C80F8C"/>
    <w:rsid w:val="00C8162E"/>
    <w:rsid w:val="00C818EC"/>
    <w:rsid w:val="00C81D68"/>
    <w:rsid w:val="00C81EC9"/>
    <w:rsid w:val="00C828BE"/>
    <w:rsid w:val="00C82C57"/>
    <w:rsid w:val="00C84585"/>
    <w:rsid w:val="00C866A8"/>
    <w:rsid w:val="00C87926"/>
    <w:rsid w:val="00C90A72"/>
    <w:rsid w:val="00C91A3F"/>
    <w:rsid w:val="00C92091"/>
    <w:rsid w:val="00C92FA3"/>
    <w:rsid w:val="00C94EA7"/>
    <w:rsid w:val="00C95E47"/>
    <w:rsid w:val="00C96CDD"/>
    <w:rsid w:val="00C97E22"/>
    <w:rsid w:val="00CA30DF"/>
    <w:rsid w:val="00CA3918"/>
    <w:rsid w:val="00CA456C"/>
    <w:rsid w:val="00CA460D"/>
    <w:rsid w:val="00CA66DF"/>
    <w:rsid w:val="00CA693E"/>
    <w:rsid w:val="00CA7476"/>
    <w:rsid w:val="00CA7C1E"/>
    <w:rsid w:val="00CB2A57"/>
    <w:rsid w:val="00CB3974"/>
    <w:rsid w:val="00CB5B27"/>
    <w:rsid w:val="00CC0C5D"/>
    <w:rsid w:val="00CC0D8C"/>
    <w:rsid w:val="00CC0EE1"/>
    <w:rsid w:val="00CC22DD"/>
    <w:rsid w:val="00CC2BF2"/>
    <w:rsid w:val="00CC30A8"/>
    <w:rsid w:val="00CC5E23"/>
    <w:rsid w:val="00CC77E3"/>
    <w:rsid w:val="00CD2AE3"/>
    <w:rsid w:val="00CD4A97"/>
    <w:rsid w:val="00CD57CA"/>
    <w:rsid w:val="00CD7C46"/>
    <w:rsid w:val="00CE1592"/>
    <w:rsid w:val="00CE1DC1"/>
    <w:rsid w:val="00CE1EEB"/>
    <w:rsid w:val="00CE4301"/>
    <w:rsid w:val="00CE46FC"/>
    <w:rsid w:val="00CE4AA8"/>
    <w:rsid w:val="00CE5C2C"/>
    <w:rsid w:val="00CE657B"/>
    <w:rsid w:val="00CF3A3D"/>
    <w:rsid w:val="00CF3B1B"/>
    <w:rsid w:val="00CF67F8"/>
    <w:rsid w:val="00CF6971"/>
    <w:rsid w:val="00CF6B0F"/>
    <w:rsid w:val="00CF6C29"/>
    <w:rsid w:val="00D01EDC"/>
    <w:rsid w:val="00D027E3"/>
    <w:rsid w:val="00D035FA"/>
    <w:rsid w:val="00D04D9D"/>
    <w:rsid w:val="00D11533"/>
    <w:rsid w:val="00D11A30"/>
    <w:rsid w:val="00D12E08"/>
    <w:rsid w:val="00D14D6E"/>
    <w:rsid w:val="00D16EAC"/>
    <w:rsid w:val="00D171FD"/>
    <w:rsid w:val="00D17DCA"/>
    <w:rsid w:val="00D20D2F"/>
    <w:rsid w:val="00D21513"/>
    <w:rsid w:val="00D236C3"/>
    <w:rsid w:val="00D24764"/>
    <w:rsid w:val="00D24A5F"/>
    <w:rsid w:val="00D269B7"/>
    <w:rsid w:val="00D278A7"/>
    <w:rsid w:val="00D31B06"/>
    <w:rsid w:val="00D31BFC"/>
    <w:rsid w:val="00D32B0F"/>
    <w:rsid w:val="00D32B38"/>
    <w:rsid w:val="00D33B5C"/>
    <w:rsid w:val="00D3529A"/>
    <w:rsid w:val="00D35C16"/>
    <w:rsid w:val="00D371C6"/>
    <w:rsid w:val="00D372B2"/>
    <w:rsid w:val="00D4136B"/>
    <w:rsid w:val="00D41D70"/>
    <w:rsid w:val="00D42123"/>
    <w:rsid w:val="00D42175"/>
    <w:rsid w:val="00D42497"/>
    <w:rsid w:val="00D43439"/>
    <w:rsid w:val="00D47351"/>
    <w:rsid w:val="00D50580"/>
    <w:rsid w:val="00D50CDF"/>
    <w:rsid w:val="00D518E8"/>
    <w:rsid w:val="00D5257F"/>
    <w:rsid w:val="00D5288E"/>
    <w:rsid w:val="00D53645"/>
    <w:rsid w:val="00D547F7"/>
    <w:rsid w:val="00D5723A"/>
    <w:rsid w:val="00D63076"/>
    <w:rsid w:val="00D645CD"/>
    <w:rsid w:val="00D649B8"/>
    <w:rsid w:val="00D66740"/>
    <w:rsid w:val="00D67822"/>
    <w:rsid w:val="00D7015C"/>
    <w:rsid w:val="00D70B6F"/>
    <w:rsid w:val="00D71585"/>
    <w:rsid w:val="00D72B26"/>
    <w:rsid w:val="00D72B99"/>
    <w:rsid w:val="00D7492A"/>
    <w:rsid w:val="00D75214"/>
    <w:rsid w:val="00D77B71"/>
    <w:rsid w:val="00D83CE5"/>
    <w:rsid w:val="00D86460"/>
    <w:rsid w:val="00D87104"/>
    <w:rsid w:val="00D8734E"/>
    <w:rsid w:val="00D90342"/>
    <w:rsid w:val="00D90475"/>
    <w:rsid w:val="00D91FB9"/>
    <w:rsid w:val="00D9245C"/>
    <w:rsid w:val="00D9483F"/>
    <w:rsid w:val="00D9488E"/>
    <w:rsid w:val="00D950A6"/>
    <w:rsid w:val="00D956AA"/>
    <w:rsid w:val="00D95EF8"/>
    <w:rsid w:val="00DA0B14"/>
    <w:rsid w:val="00DA0B77"/>
    <w:rsid w:val="00DA299A"/>
    <w:rsid w:val="00DA3DF7"/>
    <w:rsid w:val="00DA4C11"/>
    <w:rsid w:val="00DA63C9"/>
    <w:rsid w:val="00DB2606"/>
    <w:rsid w:val="00DC10E2"/>
    <w:rsid w:val="00DC215D"/>
    <w:rsid w:val="00DC25F8"/>
    <w:rsid w:val="00DC2CBF"/>
    <w:rsid w:val="00DC3E83"/>
    <w:rsid w:val="00DC6492"/>
    <w:rsid w:val="00DC752F"/>
    <w:rsid w:val="00DD0067"/>
    <w:rsid w:val="00DD0FEA"/>
    <w:rsid w:val="00DD1B85"/>
    <w:rsid w:val="00DD324F"/>
    <w:rsid w:val="00DD36E9"/>
    <w:rsid w:val="00DD43B7"/>
    <w:rsid w:val="00DD4EA2"/>
    <w:rsid w:val="00DD747F"/>
    <w:rsid w:val="00DE03DC"/>
    <w:rsid w:val="00DE0BC1"/>
    <w:rsid w:val="00DE1D18"/>
    <w:rsid w:val="00DE71E4"/>
    <w:rsid w:val="00DE7834"/>
    <w:rsid w:val="00DE7F9A"/>
    <w:rsid w:val="00DF0AB0"/>
    <w:rsid w:val="00DF0B40"/>
    <w:rsid w:val="00DF0D44"/>
    <w:rsid w:val="00DF1223"/>
    <w:rsid w:val="00DF134A"/>
    <w:rsid w:val="00DF13C0"/>
    <w:rsid w:val="00DF3014"/>
    <w:rsid w:val="00DF3CE0"/>
    <w:rsid w:val="00E01862"/>
    <w:rsid w:val="00E0197E"/>
    <w:rsid w:val="00E020A1"/>
    <w:rsid w:val="00E023C9"/>
    <w:rsid w:val="00E03758"/>
    <w:rsid w:val="00E05C70"/>
    <w:rsid w:val="00E07911"/>
    <w:rsid w:val="00E07E01"/>
    <w:rsid w:val="00E1164E"/>
    <w:rsid w:val="00E1303E"/>
    <w:rsid w:val="00E136DD"/>
    <w:rsid w:val="00E13DE6"/>
    <w:rsid w:val="00E16244"/>
    <w:rsid w:val="00E162C7"/>
    <w:rsid w:val="00E16369"/>
    <w:rsid w:val="00E16AC1"/>
    <w:rsid w:val="00E207FE"/>
    <w:rsid w:val="00E20B6F"/>
    <w:rsid w:val="00E21052"/>
    <w:rsid w:val="00E21313"/>
    <w:rsid w:val="00E2306B"/>
    <w:rsid w:val="00E2538E"/>
    <w:rsid w:val="00E270D7"/>
    <w:rsid w:val="00E31F0E"/>
    <w:rsid w:val="00E33369"/>
    <w:rsid w:val="00E3406A"/>
    <w:rsid w:val="00E34890"/>
    <w:rsid w:val="00E34F35"/>
    <w:rsid w:val="00E3504C"/>
    <w:rsid w:val="00E36E31"/>
    <w:rsid w:val="00E36F5E"/>
    <w:rsid w:val="00E4041D"/>
    <w:rsid w:val="00E41A85"/>
    <w:rsid w:val="00E423B1"/>
    <w:rsid w:val="00E430A9"/>
    <w:rsid w:val="00E4335D"/>
    <w:rsid w:val="00E45F6B"/>
    <w:rsid w:val="00E46FEC"/>
    <w:rsid w:val="00E471F2"/>
    <w:rsid w:val="00E47425"/>
    <w:rsid w:val="00E501D4"/>
    <w:rsid w:val="00E5268B"/>
    <w:rsid w:val="00E5452C"/>
    <w:rsid w:val="00E54F16"/>
    <w:rsid w:val="00E5532F"/>
    <w:rsid w:val="00E55E95"/>
    <w:rsid w:val="00E619AC"/>
    <w:rsid w:val="00E61E9D"/>
    <w:rsid w:val="00E62DB9"/>
    <w:rsid w:val="00E640ED"/>
    <w:rsid w:val="00E64143"/>
    <w:rsid w:val="00E6514E"/>
    <w:rsid w:val="00E66AC9"/>
    <w:rsid w:val="00E66CA0"/>
    <w:rsid w:val="00E67912"/>
    <w:rsid w:val="00E71476"/>
    <w:rsid w:val="00E7373D"/>
    <w:rsid w:val="00E74DD4"/>
    <w:rsid w:val="00E74EB3"/>
    <w:rsid w:val="00E7510A"/>
    <w:rsid w:val="00E774D6"/>
    <w:rsid w:val="00E805C5"/>
    <w:rsid w:val="00E81221"/>
    <w:rsid w:val="00E8169E"/>
    <w:rsid w:val="00E82030"/>
    <w:rsid w:val="00E82A53"/>
    <w:rsid w:val="00E83AF0"/>
    <w:rsid w:val="00E85BA8"/>
    <w:rsid w:val="00E86E4F"/>
    <w:rsid w:val="00E87ACA"/>
    <w:rsid w:val="00E906D5"/>
    <w:rsid w:val="00E941D8"/>
    <w:rsid w:val="00E954B7"/>
    <w:rsid w:val="00E95D22"/>
    <w:rsid w:val="00EA058C"/>
    <w:rsid w:val="00EA4CD3"/>
    <w:rsid w:val="00EA6925"/>
    <w:rsid w:val="00EA6D71"/>
    <w:rsid w:val="00EB0094"/>
    <w:rsid w:val="00EB1551"/>
    <w:rsid w:val="00EB1965"/>
    <w:rsid w:val="00EB29D3"/>
    <w:rsid w:val="00EB3E96"/>
    <w:rsid w:val="00EB4AF6"/>
    <w:rsid w:val="00EB57EC"/>
    <w:rsid w:val="00EB5BD5"/>
    <w:rsid w:val="00EB648C"/>
    <w:rsid w:val="00EC0103"/>
    <w:rsid w:val="00EC35B4"/>
    <w:rsid w:val="00EC692E"/>
    <w:rsid w:val="00ED0EC6"/>
    <w:rsid w:val="00ED3020"/>
    <w:rsid w:val="00ED4629"/>
    <w:rsid w:val="00ED4E84"/>
    <w:rsid w:val="00ED7CAF"/>
    <w:rsid w:val="00ED7D9E"/>
    <w:rsid w:val="00EE2C63"/>
    <w:rsid w:val="00EE6497"/>
    <w:rsid w:val="00EE6BB3"/>
    <w:rsid w:val="00EF00D9"/>
    <w:rsid w:val="00EF079E"/>
    <w:rsid w:val="00EF07E6"/>
    <w:rsid w:val="00EF0E89"/>
    <w:rsid w:val="00EF35FA"/>
    <w:rsid w:val="00EF4435"/>
    <w:rsid w:val="00EF4632"/>
    <w:rsid w:val="00F00AB6"/>
    <w:rsid w:val="00F00CD5"/>
    <w:rsid w:val="00F00D29"/>
    <w:rsid w:val="00F00FD2"/>
    <w:rsid w:val="00F02049"/>
    <w:rsid w:val="00F0373D"/>
    <w:rsid w:val="00F04F66"/>
    <w:rsid w:val="00F069F1"/>
    <w:rsid w:val="00F117C8"/>
    <w:rsid w:val="00F12A0E"/>
    <w:rsid w:val="00F16720"/>
    <w:rsid w:val="00F172EE"/>
    <w:rsid w:val="00F179D8"/>
    <w:rsid w:val="00F20655"/>
    <w:rsid w:val="00F2098F"/>
    <w:rsid w:val="00F2152D"/>
    <w:rsid w:val="00F23DD7"/>
    <w:rsid w:val="00F25EC1"/>
    <w:rsid w:val="00F300EF"/>
    <w:rsid w:val="00F301C6"/>
    <w:rsid w:val="00F30F7B"/>
    <w:rsid w:val="00F31853"/>
    <w:rsid w:val="00F322EA"/>
    <w:rsid w:val="00F32BCB"/>
    <w:rsid w:val="00F3329C"/>
    <w:rsid w:val="00F34176"/>
    <w:rsid w:val="00F36A7B"/>
    <w:rsid w:val="00F36AFB"/>
    <w:rsid w:val="00F4023E"/>
    <w:rsid w:val="00F41380"/>
    <w:rsid w:val="00F414B3"/>
    <w:rsid w:val="00F4347B"/>
    <w:rsid w:val="00F4528B"/>
    <w:rsid w:val="00F45839"/>
    <w:rsid w:val="00F4715B"/>
    <w:rsid w:val="00F47385"/>
    <w:rsid w:val="00F47EF8"/>
    <w:rsid w:val="00F5164C"/>
    <w:rsid w:val="00F51DE7"/>
    <w:rsid w:val="00F533A1"/>
    <w:rsid w:val="00F54B18"/>
    <w:rsid w:val="00F552FA"/>
    <w:rsid w:val="00F55F1B"/>
    <w:rsid w:val="00F567A8"/>
    <w:rsid w:val="00F574F8"/>
    <w:rsid w:val="00F576E4"/>
    <w:rsid w:val="00F57A46"/>
    <w:rsid w:val="00F600F2"/>
    <w:rsid w:val="00F6065B"/>
    <w:rsid w:val="00F63C1F"/>
    <w:rsid w:val="00F65156"/>
    <w:rsid w:val="00F66BB3"/>
    <w:rsid w:val="00F70291"/>
    <w:rsid w:val="00F702B4"/>
    <w:rsid w:val="00F72656"/>
    <w:rsid w:val="00F743AF"/>
    <w:rsid w:val="00F75810"/>
    <w:rsid w:val="00F75C2B"/>
    <w:rsid w:val="00F75ED7"/>
    <w:rsid w:val="00F80729"/>
    <w:rsid w:val="00F80996"/>
    <w:rsid w:val="00F81192"/>
    <w:rsid w:val="00F82380"/>
    <w:rsid w:val="00F84BAA"/>
    <w:rsid w:val="00F84D35"/>
    <w:rsid w:val="00F8725D"/>
    <w:rsid w:val="00F87384"/>
    <w:rsid w:val="00F907B2"/>
    <w:rsid w:val="00F92058"/>
    <w:rsid w:val="00F92E0C"/>
    <w:rsid w:val="00F944D7"/>
    <w:rsid w:val="00F95493"/>
    <w:rsid w:val="00F96A7D"/>
    <w:rsid w:val="00F973D9"/>
    <w:rsid w:val="00F97F78"/>
    <w:rsid w:val="00FA0EC0"/>
    <w:rsid w:val="00FA43A4"/>
    <w:rsid w:val="00FA499D"/>
    <w:rsid w:val="00FA5129"/>
    <w:rsid w:val="00FA62D8"/>
    <w:rsid w:val="00FA6B38"/>
    <w:rsid w:val="00FA7A9E"/>
    <w:rsid w:val="00FA7B5A"/>
    <w:rsid w:val="00FA7FF8"/>
    <w:rsid w:val="00FB0735"/>
    <w:rsid w:val="00FB1D39"/>
    <w:rsid w:val="00FB48D6"/>
    <w:rsid w:val="00FB59B6"/>
    <w:rsid w:val="00FB622A"/>
    <w:rsid w:val="00FC3122"/>
    <w:rsid w:val="00FC3695"/>
    <w:rsid w:val="00FC4060"/>
    <w:rsid w:val="00FC698F"/>
    <w:rsid w:val="00FD0471"/>
    <w:rsid w:val="00FD1DE6"/>
    <w:rsid w:val="00FD1E9A"/>
    <w:rsid w:val="00FD3477"/>
    <w:rsid w:val="00FD4ADA"/>
    <w:rsid w:val="00FD6EAB"/>
    <w:rsid w:val="00FD7CD2"/>
    <w:rsid w:val="00FE021A"/>
    <w:rsid w:val="00FE1A69"/>
    <w:rsid w:val="00FE1B57"/>
    <w:rsid w:val="00FE1F79"/>
    <w:rsid w:val="00FE43BA"/>
    <w:rsid w:val="00FE5006"/>
    <w:rsid w:val="00FE517E"/>
    <w:rsid w:val="00FE5219"/>
    <w:rsid w:val="00FE6C02"/>
    <w:rsid w:val="00FE71F9"/>
    <w:rsid w:val="00FF0383"/>
    <w:rsid w:val="00FF5688"/>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customStyle="1" w:styleId="j">
    <w:name w:val="j"/>
    <w:basedOn w:val="Normal"/>
    <w:rsid w:val="007D331E"/>
    <w:pPr>
      <w:spacing w:before="100" w:beforeAutospacing="1" w:after="100" w:afterAutospacing="1"/>
    </w:pPr>
    <w:rPr>
      <w:lang w:val="es-MX" w:eastAsia="es-MX"/>
    </w:rPr>
  </w:style>
  <w:style w:type="table" w:styleId="Tabladelista1clara-nfasis1">
    <w:name w:val="List Table 1 Light Accent 1"/>
    <w:basedOn w:val="Tablanormal"/>
    <w:uiPriority w:val="46"/>
    <w:rsid w:val="00A850E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73611658">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2017958">
      <w:bodyDiv w:val="1"/>
      <w:marLeft w:val="0"/>
      <w:marRight w:val="0"/>
      <w:marTop w:val="0"/>
      <w:marBottom w:val="0"/>
      <w:divBdr>
        <w:top w:val="none" w:sz="0" w:space="0" w:color="auto"/>
        <w:left w:val="none" w:sz="0" w:space="0" w:color="auto"/>
        <w:bottom w:val="none" w:sz="0" w:space="0" w:color="auto"/>
        <w:right w:val="none" w:sz="0" w:space="0" w:color="auto"/>
      </w:divBdr>
      <w:divsChild>
        <w:div w:id="143743725">
          <w:marLeft w:val="864"/>
          <w:marRight w:val="0"/>
          <w:marTop w:val="0"/>
          <w:marBottom w:val="78"/>
          <w:divBdr>
            <w:top w:val="none" w:sz="0" w:space="0" w:color="auto"/>
            <w:left w:val="none" w:sz="0" w:space="0" w:color="auto"/>
            <w:bottom w:val="none" w:sz="0" w:space="0" w:color="auto"/>
            <w:right w:val="none" w:sz="0" w:space="0" w:color="auto"/>
          </w:divBdr>
        </w:div>
        <w:div w:id="1662074745">
          <w:marLeft w:val="1296"/>
          <w:marRight w:val="0"/>
          <w:marTop w:val="0"/>
          <w:marBottom w:val="78"/>
          <w:divBdr>
            <w:top w:val="none" w:sz="0" w:space="0" w:color="auto"/>
            <w:left w:val="none" w:sz="0" w:space="0" w:color="auto"/>
            <w:bottom w:val="none" w:sz="0" w:space="0" w:color="auto"/>
            <w:right w:val="none" w:sz="0" w:space="0" w:color="auto"/>
          </w:divBdr>
        </w:div>
        <w:div w:id="521936119">
          <w:marLeft w:val="1296"/>
          <w:marRight w:val="0"/>
          <w:marTop w:val="0"/>
          <w:marBottom w:val="78"/>
          <w:divBdr>
            <w:top w:val="none" w:sz="0" w:space="0" w:color="auto"/>
            <w:left w:val="none" w:sz="0" w:space="0" w:color="auto"/>
            <w:bottom w:val="none" w:sz="0" w:space="0" w:color="auto"/>
            <w:right w:val="none" w:sz="0" w:space="0" w:color="auto"/>
          </w:divBdr>
        </w:div>
        <w:div w:id="1105616200">
          <w:marLeft w:val="1296"/>
          <w:marRight w:val="0"/>
          <w:marTop w:val="0"/>
          <w:marBottom w:val="78"/>
          <w:divBdr>
            <w:top w:val="none" w:sz="0" w:space="0" w:color="auto"/>
            <w:left w:val="none" w:sz="0" w:space="0" w:color="auto"/>
            <w:bottom w:val="none" w:sz="0" w:space="0" w:color="auto"/>
            <w:right w:val="none" w:sz="0" w:space="0" w:color="auto"/>
          </w:divBdr>
        </w:div>
        <w:div w:id="756708680">
          <w:marLeft w:val="864"/>
          <w:marRight w:val="0"/>
          <w:marTop w:val="0"/>
          <w:marBottom w:val="78"/>
          <w:divBdr>
            <w:top w:val="none" w:sz="0" w:space="0" w:color="auto"/>
            <w:left w:val="none" w:sz="0" w:space="0" w:color="auto"/>
            <w:bottom w:val="none" w:sz="0" w:space="0" w:color="auto"/>
            <w:right w:val="none" w:sz="0" w:space="0" w:color="auto"/>
          </w:divBdr>
        </w:div>
        <w:div w:id="1759403008">
          <w:marLeft w:val="1296"/>
          <w:marRight w:val="0"/>
          <w:marTop w:val="0"/>
          <w:marBottom w:val="78"/>
          <w:divBdr>
            <w:top w:val="none" w:sz="0" w:space="0" w:color="auto"/>
            <w:left w:val="none" w:sz="0" w:space="0" w:color="auto"/>
            <w:bottom w:val="none" w:sz="0" w:space="0" w:color="auto"/>
            <w:right w:val="none" w:sz="0" w:space="0" w:color="auto"/>
          </w:divBdr>
        </w:div>
        <w:div w:id="26420766">
          <w:marLeft w:val="1296"/>
          <w:marRight w:val="0"/>
          <w:marTop w:val="0"/>
          <w:marBottom w:val="78"/>
          <w:divBdr>
            <w:top w:val="none" w:sz="0" w:space="0" w:color="auto"/>
            <w:left w:val="none" w:sz="0" w:space="0" w:color="auto"/>
            <w:bottom w:val="none" w:sz="0" w:space="0" w:color="auto"/>
            <w:right w:val="none" w:sz="0" w:space="0" w:color="auto"/>
          </w:divBdr>
        </w:div>
        <w:div w:id="1643386857">
          <w:marLeft w:val="1296"/>
          <w:marRight w:val="0"/>
          <w:marTop w:val="0"/>
          <w:marBottom w:val="78"/>
          <w:divBdr>
            <w:top w:val="none" w:sz="0" w:space="0" w:color="auto"/>
            <w:left w:val="none" w:sz="0" w:space="0" w:color="auto"/>
            <w:bottom w:val="none" w:sz="0" w:space="0" w:color="auto"/>
            <w:right w:val="none" w:sz="0" w:space="0" w:color="auto"/>
          </w:divBdr>
        </w:div>
        <w:div w:id="1500734029">
          <w:marLeft w:val="864"/>
          <w:marRight w:val="0"/>
          <w:marTop w:val="0"/>
          <w:marBottom w:val="78"/>
          <w:divBdr>
            <w:top w:val="none" w:sz="0" w:space="0" w:color="auto"/>
            <w:left w:val="none" w:sz="0" w:space="0" w:color="auto"/>
            <w:bottom w:val="none" w:sz="0" w:space="0" w:color="auto"/>
            <w:right w:val="none" w:sz="0" w:space="0" w:color="auto"/>
          </w:divBdr>
        </w:div>
        <w:div w:id="1062751842">
          <w:marLeft w:val="1296"/>
          <w:marRight w:val="0"/>
          <w:marTop w:val="0"/>
          <w:marBottom w:val="78"/>
          <w:divBdr>
            <w:top w:val="none" w:sz="0" w:space="0" w:color="auto"/>
            <w:left w:val="none" w:sz="0" w:space="0" w:color="auto"/>
            <w:bottom w:val="none" w:sz="0" w:space="0" w:color="auto"/>
            <w:right w:val="none" w:sz="0" w:space="0" w:color="auto"/>
          </w:divBdr>
        </w:div>
        <w:div w:id="869684606">
          <w:marLeft w:val="1296"/>
          <w:marRight w:val="0"/>
          <w:marTop w:val="0"/>
          <w:marBottom w:val="78"/>
          <w:divBdr>
            <w:top w:val="none" w:sz="0" w:space="0" w:color="auto"/>
            <w:left w:val="none" w:sz="0" w:space="0" w:color="auto"/>
            <w:bottom w:val="none" w:sz="0" w:space="0" w:color="auto"/>
            <w:right w:val="none" w:sz="0" w:space="0" w:color="auto"/>
          </w:divBdr>
        </w:div>
        <w:div w:id="1804887172">
          <w:marLeft w:val="1296"/>
          <w:marRight w:val="0"/>
          <w:marTop w:val="0"/>
          <w:marBottom w:val="78"/>
          <w:divBdr>
            <w:top w:val="none" w:sz="0" w:space="0" w:color="auto"/>
            <w:left w:val="none" w:sz="0" w:space="0" w:color="auto"/>
            <w:bottom w:val="none" w:sz="0" w:space="0" w:color="auto"/>
            <w:right w:val="none" w:sz="0" w:space="0" w:color="auto"/>
          </w:divBdr>
        </w:div>
        <w:div w:id="940452805">
          <w:marLeft w:val="864"/>
          <w:marRight w:val="0"/>
          <w:marTop w:val="0"/>
          <w:marBottom w:val="78"/>
          <w:divBdr>
            <w:top w:val="none" w:sz="0" w:space="0" w:color="auto"/>
            <w:left w:val="none" w:sz="0" w:space="0" w:color="auto"/>
            <w:bottom w:val="none" w:sz="0" w:space="0" w:color="auto"/>
            <w:right w:val="none" w:sz="0" w:space="0" w:color="auto"/>
          </w:divBdr>
        </w:div>
        <w:div w:id="1000935305">
          <w:marLeft w:val="1296"/>
          <w:marRight w:val="0"/>
          <w:marTop w:val="0"/>
          <w:marBottom w:val="78"/>
          <w:divBdr>
            <w:top w:val="none" w:sz="0" w:space="0" w:color="auto"/>
            <w:left w:val="none" w:sz="0" w:space="0" w:color="auto"/>
            <w:bottom w:val="none" w:sz="0" w:space="0" w:color="auto"/>
            <w:right w:val="none" w:sz="0" w:space="0" w:color="auto"/>
          </w:divBdr>
        </w:div>
        <w:div w:id="71702912">
          <w:marLeft w:val="1296"/>
          <w:marRight w:val="0"/>
          <w:marTop w:val="0"/>
          <w:marBottom w:val="78"/>
          <w:divBdr>
            <w:top w:val="none" w:sz="0" w:space="0" w:color="auto"/>
            <w:left w:val="none" w:sz="0" w:space="0" w:color="auto"/>
            <w:bottom w:val="none" w:sz="0" w:space="0" w:color="auto"/>
            <w:right w:val="none" w:sz="0" w:space="0" w:color="auto"/>
          </w:divBdr>
        </w:div>
        <w:div w:id="1391928054">
          <w:marLeft w:val="1296"/>
          <w:marRight w:val="0"/>
          <w:marTop w:val="0"/>
          <w:marBottom w:val="78"/>
          <w:divBdr>
            <w:top w:val="none" w:sz="0" w:space="0" w:color="auto"/>
            <w:left w:val="none" w:sz="0" w:space="0" w:color="auto"/>
            <w:bottom w:val="none" w:sz="0" w:space="0" w:color="auto"/>
            <w:right w:val="none" w:sz="0" w:space="0" w:color="auto"/>
          </w:divBdr>
        </w:div>
        <w:div w:id="1091437262">
          <w:marLeft w:val="1296"/>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9834456">
      <w:bodyDiv w:val="1"/>
      <w:marLeft w:val="0"/>
      <w:marRight w:val="0"/>
      <w:marTop w:val="0"/>
      <w:marBottom w:val="0"/>
      <w:divBdr>
        <w:top w:val="none" w:sz="0" w:space="0" w:color="auto"/>
        <w:left w:val="none" w:sz="0" w:space="0" w:color="auto"/>
        <w:bottom w:val="none" w:sz="0" w:space="0" w:color="auto"/>
        <w:right w:val="none" w:sz="0" w:space="0" w:color="auto"/>
      </w:divBdr>
      <w:divsChild>
        <w:div w:id="1671982052">
          <w:marLeft w:val="0"/>
          <w:marRight w:val="0"/>
          <w:marTop w:val="0"/>
          <w:marBottom w:val="82"/>
          <w:divBdr>
            <w:top w:val="none" w:sz="0" w:space="0" w:color="auto"/>
            <w:left w:val="none" w:sz="0" w:space="0" w:color="auto"/>
            <w:bottom w:val="none" w:sz="0" w:space="0" w:color="auto"/>
            <w:right w:val="none" w:sz="0" w:space="0" w:color="auto"/>
          </w:divBdr>
        </w:div>
        <w:div w:id="533927803">
          <w:marLeft w:val="864"/>
          <w:marRight w:val="0"/>
          <w:marTop w:val="0"/>
          <w:marBottom w:val="82"/>
          <w:divBdr>
            <w:top w:val="none" w:sz="0" w:space="0" w:color="auto"/>
            <w:left w:val="none" w:sz="0" w:space="0" w:color="auto"/>
            <w:bottom w:val="none" w:sz="0" w:space="0" w:color="auto"/>
            <w:right w:val="none" w:sz="0" w:space="0" w:color="auto"/>
          </w:divBdr>
        </w:div>
        <w:div w:id="1188788155">
          <w:marLeft w:val="864"/>
          <w:marRight w:val="0"/>
          <w:marTop w:val="0"/>
          <w:marBottom w:val="82"/>
          <w:divBdr>
            <w:top w:val="none" w:sz="0" w:space="0" w:color="auto"/>
            <w:left w:val="none" w:sz="0" w:space="0" w:color="auto"/>
            <w:bottom w:val="none" w:sz="0" w:space="0" w:color="auto"/>
            <w:right w:val="none" w:sz="0" w:space="0" w:color="auto"/>
          </w:divBdr>
        </w:div>
        <w:div w:id="1907302060">
          <w:marLeft w:val="864"/>
          <w:marRight w:val="0"/>
          <w:marTop w:val="0"/>
          <w:marBottom w:val="82"/>
          <w:divBdr>
            <w:top w:val="none" w:sz="0" w:space="0" w:color="auto"/>
            <w:left w:val="none" w:sz="0" w:space="0" w:color="auto"/>
            <w:bottom w:val="none" w:sz="0" w:space="0" w:color="auto"/>
            <w:right w:val="none" w:sz="0" w:space="0" w:color="auto"/>
          </w:divBdr>
        </w:div>
        <w:div w:id="1095441705">
          <w:marLeft w:val="864"/>
          <w:marRight w:val="0"/>
          <w:marTop w:val="0"/>
          <w:marBottom w:val="82"/>
          <w:divBdr>
            <w:top w:val="none" w:sz="0" w:space="0" w:color="auto"/>
            <w:left w:val="none" w:sz="0" w:space="0" w:color="auto"/>
            <w:bottom w:val="none" w:sz="0" w:space="0" w:color="auto"/>
            <w:right w:val="none" w:sz="0" w:space="0" w:color="auto"/>
          </w:divBdr>
        </w:div>
        <w:div w:id="876237357">
          <w:marLeft w:val="864"/>
          <w:marRight w:val="0"/>
          <w:marTop w:val="0"/>
          <w:marBottom w:val="82"/>
          <w:divBdr>
            <w:top w:val="none" w:sz="0" w:space="0" w:color="auto"/>
            <w:left w:val="none" w:sz="0" w:space="0" w:color="auto"/>
            <w:bottom w:val="none" w:sz="0" w:space="0" w:color="auto"/>
            <w:right w:val="none" w:sz="0" w:space="0" w:color="auto"/>
          </w:divBdr>
        </w:div>
        <w:div w:id="600190385">
          <w:marLeft w:val="864"/>
          <w:marRight w:val="0"/>
          <w:marTop w:val="0"/>
          <w:marBottom w:val="82"/>
          <w:divBdr>
            <w:top w:val="none" w:sz="0" w:space="0" w:color="auto"/>
            <w:left w:val="none" w:sz="0" w:space="0" w:color="auto"/>
            <w:bottom w:val="none" w:sz="0" w:space="0" w:color="auto"/>
            <w:right w:val="none" w:sz="0" w:space="0" w:color="auto"/>
          </w:divBdr>
        </w:div>
        <w:div w:id="1905140360">
          <w:marLeft w:val="864"/>
          <w:marRight w:val="0"/>
          <w:marTop w:val="0"/>
          <w:marBottom w:val="82"/>
          <w:divBdr>
            <w:top w:val="none" w:sz="0" w:space="0" w:color="auto"/>
            <w:left w:val="none" w:sz="0" w:space="0" w:color="auto"/>
            <w:bottom w:val="none" w:sz="0" w:space="0" w:color="auto"/>
            <w:right w:val="none" w:sz="0" w:space="0" w:color="auto"/>
          </w:divBdr>
        </w:div>
      </w:divsChild>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18412551">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3717117">
      <w:bodyDiv w:val="1"/>
      <w:marLeft w:val="0"/>
      <w:marRight w:val="0"/>
      <w:marTop w:val="0"/>
      <w:marBottom w:val="0"/>
      <w:divBdr>
        <w:top w:val="none" w:sz="0" w:space="0" w:color="auto"/>
        <w:left w:val="none" w:sz="0" w:space="0" w:color="auto"/>
        <w:bottom w:val="none" w:sz="0" w:space="0" w:color="auto"/>
        <w:right w:val="none" w:sz="0" w:space="0" w:color="auto"/>
      </w:divBdr>
    </w:div>
    <w:div w:id="1951929547">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183718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7498.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mex.org.mx/saimex/solicitud/downloadAttach/359478.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59925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599173.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588F-5057-4441-BDD5-9F745526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3068</TotalTime>
  <Pages>19</Pages>
  <Words>4254</Words>
  <Characters>23401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289</cp:revision>
  <cp:lastPrinted>2018-08-30T13:33:00Z</cp:lastPrinted>
  <dcterms:created xsi:type="dcterms:W3CDTF">2017-04-19T17:29:00Z</dcterms:created>
  <dcterms:modified xsi:type="dcterms:W3CDTF">2019-02-19T00:00:00Z</dcterms:modified>
</cp:coreProperties>
</file>