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9BA" w:rsidRPr="002F7D34" w:rsidRDefault="001259BA" w:rsidP="001259BA">
      <w:pPr>
        <w:rPr>
          <w:sz w:val="24"/>
          <w:szCs w:val="24"/>
        </w:rPr>
      </w:pPr>
    </w:p>
    <w:p w:rsidR="001259BA" w:rsidRPr="002F7D34" w:rsidRDefault="001259BA" w:rsidP="001259BA">
      <w:pPr>
        <w:spacing w:before="240" w:after="240" w:line="360" w:lineRule="auto"/>
        <w:jc w:val="right"/>
        <w:rPr>
          <w:rFonts w:ascii="Palatino Linotype" w:hAnsi="Palatino Linotype"/>
          <w:b/>
          <w:sz w:val="24"/>
          <w:szCs w:val="24"/>
        </w:rPr>
      </w:pPr>
      <w:r>
        <w:rPr>
          <w:rFonts w:ascii="Palatino Linotype" w:hAnsi="Palatino Linotype"/>
          <w:b/>
          <w:sz w:val="24"/>
          <w:szCs w:val="24"/>
        </w:rPr>
        <w:t xml:space="preserve">Metepec, México, </w:t>
      </w:r>
      <w:r w:rsidR="00A413C1">
        <w:rPr>
          <w:rFonts w:ascii="Palatino Linotype" w:hAnsi="Palatino Linotype"/>
          <w:b/>
          <w:sz w:val="24"/>
          <w:szCs w:val="24"/>
        </w:rPr>
        <w:t>Enero 21 de 2019</w:t>
      </w:r>
    </w:p>
    <w:p w:rsidR="001259BA" w:rsidRPr="002F7D34" w:rsidRDefault="001259BA" w:rsidP="001259BA">
      <w:pPr>
        <w:spacing w:before="240" w:after="240" w:line="360" w:lineRule="auto"/>
        <w:jc w:val="both"/>
        <w:rPr>
          <w:rFonts w:ascii="Palatino Linotype" w:hAnsi="Palatino Linotype"/>
          <w:sz w:val="24"/>
          <w:szCs w:val="24"/>
        </w:rPr>
      </w:pPr>
      <w:r>
        <w:rPr>
          <w:rFonts w:ascii="Palatino Linotype" w:hAnsi="Palatino Linotype"/>
          <w:b/>
          <w:sz w:val="24"/>
          <w:szCs w:val="24"/>
        </w:rPr>
        <w:t>VOTO</w:t>
      </w:r>
      <w:r w:rsidRPr="002F7D34">
        <w:rPr>
          <w:rFonts w:ascii="Palatino Linotype" w:hAnsi="Palatino Linotype"/>
          <w:b/>
          <w:sz w:val="24"/>
          <w:szCs w:val="24"/>
        </w:rPr>
        <w:t xml:space="preserve"> </w:t>
      </w:r>
      <w:r>
        <w:rPr>
          <w:rFonts w:ascii="Palatino Linotype" w:hAnsi="Palatino Linotype"/>
          <w:b/>
          <w:sz w:val="24"/>
          <w:szCs w:val="24"/>
        </w:rPr>
        <w:t xml:space="preserve">DISIDENTE </w:t>
      </w:r>
      <w:r w:rsidRPr="002F7D34">
        <w:rPr>
          <w:rFonts w:ascii="Palatino Linotype" w:hAnsi="Palatino Linotype"/>
          <w:b/>
          <w:sz w:val="24"/>
          <w:szCs w:val="24"/>
        </w:rPr>
        <w:t xml:space="preserve">QUE FORMULA EL COMISIONADO JAVIER MARTÍNEZ CRUZ, EN RELACIÓN CON LA RESOLUCIÓN DICTADA POR EL PLENO DEL INSTITUTO DE TRANSPARENCIA, ACCESO A LA INFORMACIÓN PÚBLICA Y PROTECCIÓN DE DATOS PERSONALES DEL ESTADO DE MÉXICO Y MUNICIPIOS, EN LA </w:t>
      </w:r>
      <w:r w:rsidR="00A413C1">
        <w:rPr>
          <w:rFonts w:ascii="Palatino Linotype" w:hAnsi="Palatino Linotype"/>
          <w:b/>
          <w:sz w:val="24"/>
          <w:szCs w:val="24"/>
        </w:rPr>
        <w:t>SEGUNDA</w:t>
      </w:r>
      <w:r w:rsidRPr="002F7D34">
        <w:rPr>
          <w:rFonts w:ascii="Palatino Linotype" w:hAnsi="Palatino Linotype"/>
          <w:b/>
          <w:sz w:val="24"/>
          <w:szCs w:val="24"/>
        </w:rPr>
        <w:t xml:space="preserve"> SESIÓN ORDINARIA DEL </w:t>
      </w:r>
      <w:r w:rsidR="00A413C1">
        <w:rPr>
          <w:rFonts w:ascii="Palatino Linotype" w:hAnsi="Palatino Linotype"/>
          <w:b/>
          <w:sz w:val="24"/>
          <w:szCs w:val="24"/>
        </w:rPr>
        <w:t>DIECISÉIS DE ENERO DE DOS MIL DIECINUEVE</w:t>
      </w:r>
      <w:r w:rsidRPr="002F7D34">
        <w:rPr>
          <w:rFonts w:ascii="Palatino Linotype" w:hAnsi="Palatino Linotype"/>
          <w:b/>
          <w:sz w:val="24"/>
          <w:szCs w:val="24"/>
        </w:rPr>
        <w:t xml:space="preserve">, EN EL RECURSO DE REVISIÓN </w:t>
      </w:r>
      <w:r w:rsidR="00A413C1">
        <w:rPr>
          <w:rFonts w:ascii="Palatino Linotype" w:hAnsi="Palatino Linotype"/>
          <w:b/>
          <w:bCs/>
          <w:sz w:val="24"/>
          <w:szCs w:val="24"/>
        </w:rPr>
        <w:t>04161</w:t>
      </w:r>
      <w:r w:rsidR="007928CE">
        <w:rPr>
          <w:rFonts w:ascii="Palatino Linotype" w:hAnsi="Palatino Linotype"/>
          <w:b/>
          <w:bCs/>
          <w:sz w:val="24"/>
          <w:szCs w:val="24"/>
        </w:rPr>
        <w:t>/INFOEM/AD</w:t>
      </w:r>
      <w:r>
        <w:rPr>
          <w:rFonts w:ascii="Palatino Linotype" w:hAnsi="Palatino Linotype"/>
          <w:b/>
          <w:bCs/>
          <w:sz w:val="24"/>
          <w:szCs w:val="24"/>
        </w:rPr>
        <w:t>/RR/2018</w:t>
      </w:r>
      <w:r w:rsidRPr="002F7D34">
        <w:rPr>
          <w:rFonts w:ascii="Palatino Linotype" w:hAnsi="Palatino Linotype"/>
          <w:b/>
          <w:bCs/>
          <w:sz w:val="24"/>
          <w:szCs w:val="24"/>
        </w:rPr>
        <w:t>.</w:t>
      </w:r>
    </w:p>
    <w:p w:rsidR="001259BA" w:rsidRPr="002F7D34" w:rsidRDefault="001259BA" w:rsidP="001259BA">
      <w:pPr>
        <w:spacing w:before="240" w:after="240" w:line="360" w:lineRule="auto"/>
        <w:jc w:val="both"/>
        <w:rPr>
          <w:rFonts w:ascii="Palatino Linotype" w:hAnsi="Palatino Linotype"/>
          <w:sz w:val="24"/>
          <w:szCs w:val="24"/>
        </w:rPr>
      </w:pPr>
      <w:r w:rsidRPr="002F7D34">
        <w:rPr>
          <w:rFonts w:ascii="Palatino Linotype" w:hAnsi="Palatino Linotype"/>
          <w:sz w:val="24"/>
          <w:szCs w:val="24"/>
        </w:rPr>
        <w:t xml:space="preserve">El Pleno del Instituto de Transparencia, Acceso a la Información Pública y Protección de Datos Personales del Estado de México resolvió </w:t>
      </w:r>
      <w:r>
        <w:rPr>
          <w:rFonts w:ascii="Palatino Linotype" w:hAnsi="Palatino Linotype"/>
          <w:sz w:val="24"/>
          <w:szCs w:val="24"/>
        </w:rPr>
        <w:t xml:space="preserve">por mayoría de votos, </w:t>
      </w:r>
      <w:r w:rsidRPr="002F7D34">
        <w:rPr>
          <w:rFonts w:ascii="Palatino Linotype" w:hAnsi="Palatino Linotype"/>
          <w:sz w:val="24"/>
          <w:szCs w:val="24"/>
        </w:rPr>
        <w:t xml:space="preserve">la resolución relativa al recurso de revisión </w:t>
      </w:r>
      <w:r w:rsidR="00A413C1">
        <w:rPr>
          <w:rFonts w:ascii="Palatino Linotype" w:hAnsi="Palatino Linotype" w:cs="Arial"/>
          <w:b/>
          <w:bCs/>
          <w:sz w:val="24"/>
          <w:szCs w:val="24"/>
          <w:lang w:eastAsia="es-MX"/>
        </w:rPr>
        <w:t>04161</w:t>
      </w:r>
      <w:r w:rsidR="007928CE">
        <w:rPr>
          <w:rFonts w:ascii="Palatino Linotype" w:hAnsi="Palatino Linotype" w:cs="Arial"/>
          <w:b/>
          <w:bCs/>
          <w:sz w:val="24"/>
          <w:szCs w:val="24"/>
          <w:lang w:eastAsia="es-MX"/>
        </w:rPr>
        <w:t>/INFOEM/AD</w:t>
      </w:r>
      <w:r w:rsidRPr="00A413C1">
        <w:rPr>
          <w:rFonts w:ascii="Palatino Linotype" w:hAnsi="Palatino Linotype" w:cs="Arial"/>
          <w:b/>
          <w:bCs/>
          <w:sz w:val="24"/>
          <w:szCs w:val="24"/>
          <w:lang w:eastAsia="es-MX"/>
        </w:rPr>
        <w:t>/RR/2018</w:t>
      </w:r>
      <w:r w:rsidRPr="002F7D34">
        <w:rPr>
          <w:rFonts w:ascii="Palatino Linotype" w:hAnsi="Palatino Linotype" w:cs="Arial"/>
          <w:bCs/>
          <w:sz w:val="24"/>
          <w:szCs w:val="24"/>
          <w:lang w:eastAsia="es-MX"/>
        </w:rPr>
        <w:t xml:space="preserve"> </w:t>
      </w:r>
      <w:r>
        <w:rPr>
          <w:rFonts w:ascii="Palatino Linotype" w:hAnsi="Palatino Linotype"/>
          <w:sz w:val="24"/>
          <w:szCs w:val="24"/>
        </w:rPr>
        <w:t xml:space="preserve">que presentó </w:t>
      </w:r>
      <w:r w:rsidR="00A413C1">
        <w:rPr>
          <w:rFonts w:ascii="Palatino Linotype" w:hAnsi="Palatino Linotype"/>
          <w:sz w:val="24"/>
          <w:szCs w:val="24"/>
        </w:rPr>
        <w:t>el Comisionado</w:t>
      </w:r>
      <w:r>
        <w:rPr>
          <w:rFonts w:ascii="Palatino Linotype" w:hAnsi="Palatino Linotype"/>
          <w:sz w:val="24"/>
          <w:szCs w:val="24"/>
        </w:rPr>
        <w:t xml:space="preserve"> </w:t>
      </w:r>
      <w:r w:rsidR="00A413C1">
        <w:rPr>
          <w:rFonts w:ascii="Palatino Linotype" w:hAnsi="Palatino Linotype"/>
          <w:sz w:val="24"/>
          <w:szCs w:val="24"/>
        </w:rPr>
        <w:t>Luis Gustavo Parra Noriega</w:t>
      </w:r>
      <w:r w:rsidRPr="002F7D34">
        <w:rPr>
          <w:rFonts w:ascii="Palatino Linotype" w:hAnsi="Palatino Linotype"/>
          <w:sz w:val="24"/>
          <w:szCs w:val="24"/>
        </w:rPr>
        <w:t xml:space="preserve">, respecto de la cual, </w:t>
      </w:r>
      <w:r>
        <w:rPr>
          <w:rFonts w:ascii="Palatino Linotype" w:hAnsi="Palatino Linotype"/>
          <w:sz w:val="24"/>
          <w:szCs w:val="24"/>
        </w:rPr>
        <w:t xml:space="preserve">el suscrito, formula </w:t>
      </w:r>
      <w:r>
        <w:rPr>
          <w:rFonts w:ascii="Palatino Linotype" w:hAnsi="Palatino Linotype"/>
          <w:b/>
          <w:sz w:val="24"/>
          <w:szCs w:val="24"/>
        </w:rPr>
        <w:t>VOTO DISIDENTE</w:t>
      </w:r>
      <w:r w:rsidRPr="002F7D34">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1259BA" w:rsidRPr="002F7D34" w:rsidRDefault="001259BA" w:rsidP="001259BA">
      <w:pPr>
        <w:spacing w:before="240" w:line="360" w:lineRule="auto"/>
        <w:jc w:val="both"/>
        <w:rPr>
          <w:rFonts w:ascii="Palatino Linotype" w:hAnsi="Palatino Linotype"/>
          <w:sz w:val="24"/>
          <w:szCs w:val="24"/>
        </w:rPr>
      </w:pPr>
      <w:r>
        <w:rPr>
          <w:rFonts w:ascii="Palatino Linotype" w:hAnsi="Palatino Linotype"/>
          <w:sz w:val="24"/>
          <w:szCs w:val="24"/>
        </w:rPr>
        <w:t>Previa emisión del presente voto</w:t>
      </w:r>
      <w:r w:rsidRPr="002F7D34">
        <w:rPr>
          <w:rFonts w:ascii="Palatino Linotype" w:hAnsi="Palatino Linotype"/>
          <w:sz w:val="24"/>
          <w:szCs w:val="24"/>
        </w:rPr>
        <w:t xml:space="preserve">, cabe precisar que la materia en que radicó el recurso de revisión, fue en que </w:t>
      </w:r>
      <w:r w:rsidR="00A413C1">
        <w:rPr>
          <w:rFonts w:ascii="Palatino Linotype" w:hAnsi="Palatino Linotype"/>
          <w:sz w:val="24"/>
          <w:szCs w:val="24"/>
        </w:rPr>
        <w:t>se proporcionara por parte del</w:t>
      </w:r>
      <w:r>
        <w:rPr>
          <w:rFonts w:ascii="Palatino Linotype" w:hAnsi="Palatino Linotype"/>
          <w:sz w:val="24"/>
          <w:szCs w:val="24"/>
        </w:rPr>
        <w:t xml:space="preserve"> </w:t>
      </w:r>
      <w:r w:rsidR="00A413C1" w:rsidRPr="00A413C1">
        <w:rPr>
          <w:rFonts w:ascii="Palatino Linotype" w:hAnsi="Palatino Linotype"/>
          <w:sz w:val="24"/>
          <w:szCs w:val="24"/>
        </w:rPr>
        <w:t>Instituto de Seguridad Social del Estado de México y Municipios</w:t>
      </w:r>
      <w:r>
        <w:rPr>
          <w:rFonts w:ascii="Palatino Linotype" w:hAnsi="Palatino Linotype"/>
          <w:sz w:val="24"/>
          <w:szCs w:val="24"/>
        </w:rPr>
        <w:t xml:space="preserve"> lo siguiente:</w:t>
      </w:r>
    </w:p>
    <w:p w:rsidR="005F4726" w:rsidRPr="005F4726" w:rsidRDefault="001259BA" w:rsidP="005F4726">
      <w:pPr>
        <w:spacing w:before="100" w:beforeAutospacing="1" w:after="100" w:afterAutospacing="1" w:line="240" w:lineRule="auto"/>
        <w:ind w:left="851" w:right="851"/>
        <w:jc w:val="both"/>
        <w:rPr>
          <w:rFonts w:ascii="Palatino Linotype" w:hAnsi="Palatino Linotype"/>
          <w:i/>
          <w:sz w:val="24"/>
          <w:szCs w:val="24"/>
        </w:rPr>
      </w:pPr>
      <w:r w:rsidRPr="004E352B">
        <w:rPr>
          <w:rFonts w:ascii="Palatino Linotype" w:hAnsi="Palatino Linotype"/>
          <w:i/>
          <w:sz w:val="24"/>
          <w:szCs w:val="24"/>
        </w:rPr>
        <w:t>“</w:t>
      </w:r>
      <w:r w:rsidR="00A413C1" w:rsidRPr="00A413C1">
        <w:rPr>
          <w:rFonts w:ascii="Palatino Linotype" w:hAnsi="Palatino Linotype"/>
          <w:bCs/>
          <w:i/>
          <w:sz w:val="24"/>
          <w:szCs w:val="24"/>
          <w:lang w:val="es-ES"/>
        </w:rPr>
        <w:t xml:space="preserve">SOLICITO COPIA SIMPLE DE TODAS LAS NOTAS DE ATENCIÓN EN URGENCIAS DEL CENTRO MÉDICO LIC. </w:t>
      </w:r>
      <w:r w:rsidR="00A413C1" w:rsidRPr="00A413C1">
        <w:rPr>
          <w:rFonts w:ascii="Palatino Linotype" w:hAnsi="Palatino Linotype"/>
          <w:bCs/>
          <w:i/>
          <w:sz w:val="24"/>
          <w:szCs w:val="24"/>
          <w:lang w:val="es-ES"/>
        </w:rPr>
        <w:lastRenderedPageBreak/>
        <w:t xml:space="preserve">ARTURO MONTIEL ROJAS DE MI HERMANA </w:t>
      </w:r>
      <w:r w:rsidR="00E0345E">
        <w:rPr>
          <w:rFonts w:ascii="Palatino Linotype" w:hAnsi="Palatino Linotype"/>
          <w:bCs/>
          <w:i/>
          <w:sz w:val="24"/>
          <w:szCs w:val="24"/>
          <w:lang w:val="es-ES"/>
        </w:rPr>
        <w:t>XXXXXXXXXX XXXXXXXXXXXXXXX</w:t>
      </w:r>
      <w:r w:rsidR="00A413C1" w:rsidRPr="00A413C1">
        <w:rPr>
          <w:rFonts w:ascii="Palatino Linotype" w:hAnsi="Palatino Linotype"/>
          <w:bCs/>
          <w:i/>
          <w:sz w:val="24"/>
          <w:szCs w:val="24"/>
          <w:lang w:val="es-ES"/>
        </w:rPr>
        <w:t xml:space="preserve">, CON CLAVE ISSEMYM </w:t>
      </w:r>
      <w:r w:rsidR="00E0345E">
        <w:rPr>
          <w:rFonts w:ascii="Palatino Linotype" w:hAnsi="Palatino Linotype"/>
          <w:bCs/>
          <w:i/>
          <w:sz w:val="24"/>
          <w:szCs w:val="24"/>
          <w:lang w:val="es-ES"/>
        </w:rPr>
        <w:t>XXXXXX</w:t>
      </w:r>
      <w:bookmarkStart w:id="0" w:name="_GoBack"/>
      <w:bookmarkEnd w:id="0"/>
      <w:r w:rsidR="00A413C1" w:rsidRPr="00A413C1">
        <w:rPr>
          <w:rFonts w:ascii="Palatino Linotype" w:hAnsi="Palatino Linotype"/>
          <w:bCs/>
          <w:i/>
          <w:sz w:val="24"/>
          <w:szCs w:val="24"/>
          <w:lang w:val="es-ES"/>
        </w:rPr>
        <w:t xml:space="preserve"> QUIEN FALLECIO EN AGOSTO DEL PRESENTE AÑO. ADJUNTO CREDENCIAL PARA VOTAR, ACTAS DE NACIMIENTO DE AMBOS, DESIGNACION DE BENEFICIARIO Y POLIZA DE SEGURO LA CUAL ME DESIGNA COMO BENEFICIARIO. LO ANTERIOR PARA COBRAR UN SEGURO</w:t>
      </w:r>
      <w:r w:rsidRPr="004E352B">
        <w:rPr>
          <w:rFonts w:ascii="Palatino Linotype" w:hAnsi="Palatino Linotype"/>
          <w:i/>
          <w:sz w:val="24"/>
          <w:szCs w:val="24"/>
        </w:rPr>
        <w:t>” (Sic)</w:t>
      </w:r>
    </w:p>
    <w:p w:rsidR="005F4726" w:rsidRDefault="005F4726" w:rsidP="001259BA">
      <w:pPr>
        <w:spacing w:before="240" w:after="240" w:line="360" w:lineRule="auto"/>
        <w:jc w:val="both"/>
        <w:rPr>
          <w:rFonts w:ascii="Palatino Linotype" w:eastAsia="Calibri" w:hAnsi="Palatino Linotype" w:cs="Arial"/>
          <w:color w:val="000000" w:themeColor="text1"/>
          <w:sz w:val="24"/>
          <w:szCs w:val="24"/>
          <w:lang w:val="es-ES"/>
        </w:rPr>
      </w:pPr>
      <w:r>
        <w:rPr>
          <w:rFonts w:ascii="Palatino Linotype" w:eastAsia="Calibri" w:hAnsi="Palatino Linotype" w:cs="Arial"/>
          <w:color w:val="000000" w:themeColor="text1"/>
          <w:sz w:val="24"/>
          <w:szCs w:val="24"/>
          <w:lang w:val="es-ES"/>
        </w:rPr>
        <w:t>Adjuntando copia simple de documentos que acreditan su parentesco.</w:t>
      </w:r>
    </w:p>
    <w:p w:rsidR="005F4726" w:rsidRPr="005F4726" w:rsidRDefault="005F4726" w:rsidP="005F4726">
      <w:pPr>
        <w:spacing w:line="360" w:lineRule="auto"/>
        <w:ind w:right="334"/>
        <w:jc w:val="both"/>
        <w:rPr>
          <w:rFonts w:ascii="Palatino Linotype" w:hAnsi="Palatino Linotype" w:cs="Arial"/>
          <w:sz w:val="24"/>
        </w:rPr>
      </w:pPr>
      <w:r w:rsidRPr="005F4726">
        <w:rPr>
          <w:rFonts w:ascii="Palatino Linotype" w:hAnsi="Palatino Linotype" w:cs="Arial"/>
          <w:sz w:val="24"/>
        </w:rPr>
        <w:t xml:space="preserve">De las constancias que integran el recurso de revisión al rubro indicado se advierte que en fecha </w:t>
      </w:r>
      <w:r w:rsidRPr="005F4726">
        <w:rPr>
          <w:rFonts w:ascii="Palatino Linotype" w:hAnsi="Palatino Linotype" w:cs="Arial"/>
          <w:bCs/>
          <w:sz w:val="24"/>
          <w:lang w:val="es-ES"/>
        </w:rPr>
        <w:t>cuatro de octubre de dos mil dieciocho</w:t>
      </w:r>
      <w:r w:rsidRPr="005F4726">
        <w:rPr>
          <w:rFonts w:ascii="Palatino Linotype" w:hAnsi="Palatino Linotype" w:cs="Arial"/>
          <w:sz w:val="24"/>
        </w:rPr>
        <w:t xml:space="preserve">, </w:t>
      </w:r>
      <w:r w:rsidRPr="005F4726">
        <w:rPr>
          <w:rFonts w:ascii="Palatino Linotype" w:hAnsi="Palatino Linotype" w:cs="Arial"/>
          <w:b/>
          <w:sz w:val="24"/>
        </w:rPr>
        <w:t xml:space="preserve">el Sujeto Obligado </w:t>
      </w:r>
      <w:r w:rsidRPr="005F4726">
        <w:rPr>
          <w:rFonts w:ascii="Palatino Linotype" w:hAnsi="Palatino Linotype" w:cs="Arial"/>
          <w:sz w:val="24"/>
        </w:rPr>
        <w:t xml:space="preserve">solicitó aclaración, en los términos siguientes: </w:t>
      </w:r>
    </w:p>
    <w:p w:rsidR="005F4726" w:rsidRPr="005F4726" w:rsidRDefault="005F4726" w:rsidP="005F4726">
      <w:pPr>
        <w:spacing w:before="100" w:beforeAutospacing="1" w:after="100" w:afterAutospacing="1" w:line="240" w:lineRule="auto"/>
        <w:ind w:left="851" w:right="851"/>
        <w:jc w:val="both"/>
        <w:rPr>
          <w:rFonts w:ascii="Palatino Linotype" w:eastAsia="Calibri" w:hAnsi="Palatino Linotype" w:cs="Arial"/>
          <w:bCs/>
          <w:i/>
          <w:color w:val="000000" w:themeColor="text1"/>
          <w:sz w:val="24"/>
          <w:szCs w:val="24"/>
        </w:rPr>
      </w:pPr>
      <w:r w:rsidRPr="005F4726">
        <w:rPr>
          <w:rFonts w:ascii="Palatino Linotype" w:eastAsia="Calibri" w:hAnsi="Palatino Linotype" w:cs="Arial"/>
          <w:bCs/>
          <w:i/>
          <w:color w:val="000000" w:themeColor="text1"/>
          <w:sz w:val="24"/>
          <w:szCs w:val="24"/>
        </w:rPr>
        <w:t>“En este sentido, se solicita al particular presente ante la Unidad de Transparencia el documento a través del cual acredite la representación de la C. […], toda vez que tratándose de datos personales concernientes a personas fallecidas o de quienes hayan sido declaradas judicialmente su presunción de muerte, la persona que acredite tener legalmente la representación de conformidad con las leyes aplicables, podrá ejercer los derechos ARCO; siempre que el titular de los derechos 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rsidR="005F4726" w:rsidRPr="005F4726" w:rsidRDefault="005F4726" w:rsidP="005F4726">
      <w:pPr>
        <w:spacing w:before="100" w:beforeAutospacing="1" w:after="100" w:afterAutospacing="1" w:line="240" w:lineRule="auto"/>
        <w:ind w:left="851" w:right="851"/>
        <w:jc w:val="both"/>
        <w:rPr>
          <w:rFonts w:ascii="Palatino Linotype" w:eastAsia="Calibri" w:hAnsi="Palatino Linotype" w:cs="Arial"/>
          <w:bCs/>
          <w:i/>
          <w:color w:val="000000" w:themeColor="text1"/>
          <w:sz w:val="24"/>
          <w:szCs w:val="24"/>
        </w:rPr>
      </w:pPr>
      <w:r w:rsidRPr="005F4726">
        <w:rPr>
          <w:rFonts w:ascii="Palatino Linotype" w:eastAsia="Calibri" w:hAnsi="Palatino Linotype" w:cs="Arial"/>
          <w:bCs/>
          <w:i/>
          <w:color w:val="000000" w:themeColor="text1"/>
          <w:sz w:val="24"/>
          <w:szCs w:val="24"/>
        </w:rPr>
        <w:t xml:space="preserve">Es importante señalar que en apego al artículo 107 de la Ley de Protección de Datos Personales en Posesión de Sujetos Obligados del Estado de México y Municipios, podrá complementar la solicitud de acceso a datos a través del Sistema de Acceso, Rectificación, Cancelación y Oposición de Datos </w:t>
      </w:r>
      <w:r w:rsidRPr="005F4726">
        <w:rPr>
          <w:rFonts w:ascii="Palatino Linotype" w:eastAsia="Calibri" w:hAnsi="Palatino Linotype" w:cs="Arial"/>
          <w:bCs/>
          <w:i/>
          <w:color w:val="000000" w:themeColor="text1"/>
          <w:sz w:val="24"/>
          <w:szCs w:val="24"/>
        </w:rPr>
        <w:lastRenderedPageBreak/>
        <w:t>Personales del Estado de México denominado SARCOEM; sin embargo, una vez que sean desahogados los requerimientos anteriormente mencionados, y de encontrarse la información solicitada en los archivos del Instituto de Seguridad Social del Estado de México y Municipios, cuando la Unidad de Transparencia le notifique la disponibilidad de su información, considerando que señala en su solicitud de información como modalidad de entrega: "Copias fotostáticas (con costo)", debido a que la información solicitada se vincula con datos personales y de acceso exclusivo a quienes acrediten ser sus titulares o sus representantes; deberá presentarse con su identificación oficial vigente con fotografía, así como con los documentos antes señalados, ante el Módulo de Acceso de este organismo auxiliar ubicado en Avenida Hidalgo Poniente No. 600, planta baja, Colonia La Merced, C.P. 50080, Toluca, Estado de México, en días hábiles de lunes a viernes de 9:00 a 18:00 horas.</w:t>
      </w:r>
    </w:p>
    <w:p w:rsidR="005F4726" w:rsidRPr="005F4726" w:rsidRDefault="005F4726" w:rsidP="005F4726">
      <w:pPr>
        <w:spacing w:before="100" w:beforeAutospacing="1" w:after="100" w:afterAutospacing="1" w:line="240" w:lineRule="auto"/>
        <w:ind w:left="851" w:right="851"/>
        <w:jc w:val="both"/>
        <w:rPr>
          <w:rFonts w:ascii="Palatino Linotype" w:eastAsia="Calibri" w:hAnsi="Palatino Linotype" w:cs="Arial"/>
          <w:bCs/>
          <w:i/>
          <w:color w:val="000000" w:themeColor="text1"/>
          <w:sz w:val="24"/>
          <w:szCs w:val="24"/>
        </w:rPr>
      </w:pPr>
      <w:r w:rsidRPr="005F4726">
        <w:rPr>
          <w:rFonts w:ascii="Palatino Linotype" w:eastAsia="Calibri" w:hAnsi="Palatino Linotype" w:cs="Arial"/>
          <w:bCs/>
          <w:i/>
          <w:color w:val="000000" w:themeColor="text1"/>
          <w:sz w:val="24"/>
          <w:szCs w:val="24"/>
        </w:rPr>
        <w:t>[…]</w:t>
      </w:r>
    </w:p>
    <w:p w:rsidR="005F4726" w:rsidRPr="005F4726" w:rsidRDefault="005F4726" w:rsidP="005F4726">
      <w:pPr>
        <w:spacing w:before="100" w:beforeAutospacing="1" w:after="100" w:afterAutospacing="1" w:line="240" w:lineRule="auto"/>
        <w:ind w:left="851" w:right="851"/>
        <w:jc w:val="both"/>
        <w:rPr>
          <w:rFonts w:ascii="Palatino Linotype" w:eastAsia="Calibri" w:hAnsi="Palatino Linotype" w:cs="Arial"/>
          <w:bCs/>
          <w:i/>
          <w:color w:val="000000" w:themeColor="text1"/>
          <w:sz w:val="24"/>
          <w:szCs w:val="24"/>
        </w:rPr>
      </w:pPr>
      <w:r w:rsidRPr="005F4726">
        <w:rPr>
          <w:rFonts w:ascii="Palatino Linotype" w:eastAsia="Calibri" w:hAnsi="Palatino Linotype" w:cs="Arial"/>
          <w:bCs/>
          <w:i/>
          <w:color w:val="000000" w:themeColor="text1"/>
          <w:sz w:val="24"/>
          <w:szCs w:val="24"/>
        </w:rPr>
        <w:t>Señalamiento al solicitante de que cuenta con un término de diez días hábiles, contados a partir del día hábil siguiente al que surta sus efectos la notificación respectiva, para desahogar la prevención.</w:t>
      </w:r>
    </w:p>
    <w:p w:rsidR="005F4726" w:rsidRPr="005F4726" w:rsidRDefault="005F4726" w:rsidP="005F4726">
      <w:pPr>
        <w:spacing w:before="100" w:beforeAutospacing="1" w:after="100" w:afterAutospacing="1" w:line="240" w:lineRule="auto"/>
        <w:ind w:left="851" w:right="851"/>
        <w:jc w:val="both"/>
        <w:rPr>
          <w:rFonts w:ascii="Palatino Linotype" w:eastAsia="Calibri" w:hAnsi="Palatino Linotype" w:cs="Arial"/>
          <w:bCs/>
          <w:i/>
          <w:color w:val="000000" w:themeColor="text1"/>
          <w:sz w:val="24"/>
          <w:szCs w:val="24"/>
        </w:rPr>
      </w:pPr>
      <w:r w:rsidRPr="005F4726">
        <w:rPr>
          <w:rFonts w:ascii="Palatino Linotype" w:eastAsia="Calibri" w:hAnsi="Palatino Linotype" w:cs="Arial"/>
          <w:bCs/>
          <w:i/>
          <w:color w:val="000000" w:themeColor="text1"/>
          <w:sz w:val="24"/>
          <w:szCs w:val="24"/>
        </w:rPr>
        <w:t>Con fundamento en el artículo 111 de la Ley de Protección de Datos Personales en Posesión de Sujetos Obligados del Estado de México y Municipios; así como en los artículos 57 y 58 de los Lineamientos citados, se informa al particular que podrá desahogar los requerimientos ordenados en un término de diez días hábiles, contados a partir del día hábil siguiente de la presente notificación.</w:t>
      </w:r>
    </w:p>
    <w:p w:rsidR="005F4726" w:rsidRPr="005F4726" w:rsidRDefault="005F4726" w:rsidP="005F4726">
      <w:pPr>
        <w:spacing w:before="100" w:beforeAutospacing="1" w:after="100" w:afterAutospacing="1" w:line="240" w:lineRule="auto"/>
        <w:ind w:left="851" w:right="851"/>
        <w:jc w:val="both"/>
        <w:rPr>
          <w:rFonts w:ascii="Palatino Linotype" w:eastAsia="Calibri" w:hAnsi="Palatino Linotype" w:cs="Arial"/>
          <w:bCs/>
          <w:i/>
          <w:color w:val="000000" w:themeColor="text1"/>
          <w:sz w:val="24"/>
          <w:szCs w:val="24"/>
        </w:rPr>
      </w:pPr>
      <w:r w:rsidRPr="005F4726">
        <w:rPr>
          <w:rFonts w:ascii="Palatino Linotype" w:eastAsia="Calibri" w:hAnsi="Palatino Linotype" w:cs="Arial"/>
          <w:b/>
          <w:bCs/>
          <w:i/>
          <w:color w:val="000000" w:themeColor="text1"/>
          <w:sz w:val="24"/>
          <w:szCs w:val="24"/>
        </w:rPr>
        <w:t>f)</w:t>
      </w:r>
      <w:r w:rsidRPr="005F4726">
        <w:rPr>
          <w:rFonts w:ascii="Palatino Linotype" w:eastAsia="Calibri" w:hAnsi="Palatino Linotype" w:cs="Arial"/>
          <w:bCs/>
          <w:i/>
          <w:color w:val="000000" w:themeColor="text1"/>
          <w:sz w:val="24"/>
          <w:szCs w:val="24"/>
        </w:rPr>
        <w:t xml:space="preserve"> Apercibimiento de que, para el caso de no desahogar la prevención, se tendrá por no presentada la solicitud, quedando a salvo los derechos del titular o su representante para presentar nuevamente su solicitud.</w:t>
      </w:r>
    </w:p>
    <w:p w:rsidR="001259BA" w:rsidRPr="00EF09A2" w:rsidRDefault="001259BA" w:rsidP="001259BA">
      <w:pPr>
        <w:spacing w:before="240" w:after="240" w:line="360" w:lineRule="auto"/>
        <w:jc w:val="both"/>
        <w:rPr>
          <w:rFonts w:ascii="Palatino Linotype" w:eastAsia="Calibri" w:hAnsi="Palatino Linotype" w:cs="Arial"/>
          <w:color w:val="000000" w:themeColor="text1"/>
          <w:sz w:val="24"/>
          <w:szCs w:val="24"/>
          <w:lang w:val="es-ES"/>
        </w:rPr>
      </w:pPr>
      <w:r w:rsidRPr="002F7D34">
        <w:rPr>
          <w:rFonts w:ascii="Palatino Linotype" w:eastAsia="Calibri" w:hAnsi="Palatino Linotype" w:cs="Arial"/>
          <w:color w:val="000000" w:themeColor="text1"/>
          <w:sz w:val="24"/>
          <w:szCs w:val="24"/>
          <w:lang w:val="es-ES"/>
        </w:rPr>
        <w:t xml:space="preserve">Posteriormente el Sujeto Obligado </w:t>
      </w:r>
      <w:r>
        <w:rPr>
          <w:rFonts w:ascii="Palatino Linotype" w:eastAsia="Calibri" w:hAnsi="Palatino Linotype" w:cs="Arial"/>
          <w:color w:val="000000" w:themeColor="text1"/>
          <w:sz w:val="24"/>
          <w:szCs w:val="24"/>
          <w:lang w:val="es-ES"/>
        </w:rPr>
        <w:t xml:space="preserve">menciona </w:t>
      </w:r>
      <w:r w:rsidR="005F4726">
        <w:rPr>
          <w:rFonts w:ascii="Palatino Linotype" w:eastAsia="Calibri" w:hAnsi="Palatino Linotype" w:cs="Arial"/>
          <w:color w:val="000000" w:themeColor="text1"/>
          <w:sz w:val="24"/>
          <w:szCs w:val="24"/>
          <w:lang w:val="es-ES"/>
        </w:rPr>
        <w:t>que al no presentarse la aclaración por parte del recurrente, la solicitud se tenía por no presentada.</w:t>
      </w:r>
    </w:p>
    <w:p w:rsidR="001259BA" w:rsidRPr="00B052CF" w:rsidRDefault="001259BA" w:rsidP="001259BA">
      <w:pPr>
        <w:spacing w:before="100" w:beforeAutospacing="1" w:after="100" w:afterAutospacing="1" w:line="360" w:lineRule="auto"/>
        <w:jc w:val="both"/>
        <w:rPr>
          <w:rFonts w:ascii="Palatino Linotype" w:eastAsia="Calibri" w:hAnsi="Palatino Linotype" w:cs="Arial"/>
          <w:sz w:val="24"/>
          <w:szCs w:val="24"/>
          <w:lang w:val="es-ES" w:eastAsia="es-ES"/>
        </w:rPr>
      </w:pPr>
      <w:r>
        <w:rPr>
          <w:rFonts w:ascii="Palatino Linotype" w:eastAsia="Calibri" w:hAnsi="Palatino Linotype" w:cs="Arial"/>
          <w:color w:val="000000" w:themeColor="text1"/>
          <w:sz w:val="24"/>
          <w:szCs w:val="24"/>
          <w:lang w:val="es-ES"/>
        </w:rPr>
        <w:lastRenderedPageBreak/>
        <w:t>En seguida, la parte recurrente</w:t>
      </w:r>
      <w:r w:rsidR="005F4726">
        <w:rPr>
          <w:rFonts w:ascii="Palatino Linotype" w:eastAsia="Calibri" w:hAnsi="Palatino Linotype" w:cs="Arial"/>
          <w:color w:val="000000" w:themeColor="text1"/>
          <w:sz w:val="24"/>
          <w:szCs w:val="24"/>
          <w:lang w:val="es-ES"/>
        </w:rPr>
        <w:t xml:space="preserve"> se inconforma</w:t>
      </w:r>
      <w:r>
        <w:rPr>
          <w:rFonts w:ascii="Palatino Linotype" w:eastAsia="Calibri" w:hAnsi="Palatino Linotype" w:cs="Arial"/>
          <w:color w:val="000000" w:themeColor="text1"/>
          <w:sz w:val="24"/>
          <w:szCs w:val="24"/>
          <w:lang w:val="es-ES"/>
        </w:rPr>
        <w:t xml:space="preserve">, </w:t>
      </w:r>
      <w:r w:rsidR="005F4726">
        <w:rPr>
          <w:rFonts w:ascii="Palatino Linotype" w:eastAsia="Calibri" w:hAnsi="Palatino Linotype" w:cs="Arial"/>
          <w:color w:val="000000" w:themeColor="text1"/>
          <w:sz w:val="24"/>
          <w:szCs w:val="24"/>
          <w:lang w:val="es-ES"/>
        </w:rPr>
        <w:t xml:space="preserve">argumentando que </w:t>
      </w:r>
      <w:r w:rsidR="007928CE">
        <w:rPr>
          <w:rFonts w:ascii="Palatino Linotype" w:eastAsia="Calibri" w:hAnsi="Palatino Linotype" w:cs="Arial"/>
          <w:color w:val="000000" w:themeColor="text1"/>
          <w:sz w:val="24"/>
          <w:szCs w:val="24"/>
          <w:lang w:val="es-ES"/>
        </w:rPr>
        <w:t xml:space="preserve">son los únicos documentos oficiales con los que se puede manejar la voluntad de la </w:t>
      </w:r>
      <w:r w:rsidR="007928CE" w:rsidRPr="007928CE">
        <w:rPr>
          <w:rFonts w:ascii="Palatino Linotype" w:eastAsia="Calibri" w:hAnsi="Palatino Linotype" w:cs="Arial"/>
          <w:i/>
          <w:color w:val="000000" w:themeColor="text1"/>
          <w:sz w:val="24"/>
          <w:szCs w:val="24"/>
          <w:lang w:val="es-ES"/>
        </w:rPr>
        <w:t xml:space="preserve">de </w:t>
      </w:r>
      <w:proofErr w:type="spellStart"/>
      <w:r w:rsidR="007928CE" w:rsidRPr="007928CE">
        <w:rPr>
          <w:rFonts w:ascii="Palatino Linotype" w:eastAsia="Calibri" w:hAnsi="Palatino Linotype" w:cs="Arial"/>
          <w:i/>
          <w:color w:val="000000" w:themeColor="text1"/>
          <w:sz w:val="24"/>
          <w:szCs w:val="24"/>
          <w:lang w:val="es-ES"/>
        </w:rPr>
        <w:t>cujus</w:t>
      </w:r>
      <w:proofErr w:type="spellEnd"/>
    </w:p>
    <w:p w:rsidR="001259BA" w:rsidRPr="007928CE" w:rsidRDefault="007928CE" w:rsidP="007928CE">
      <w:pPr>
        <w:spacing w:before="100" w:beforeAutospacing="1" w:after="100" w:afterAutospacing="1" w:line="360" w:lineRule="auto"/>
        <w:jc w:val="both"/>
        <w:rPr>
          <w:rFonts w:ascii="Palatino Linotype" w:hAnsi="Palatino Linotype"/>
          <w:sz w:val="24"/>
        </w:rPr>
      </w:pPr>
      <w:r w:rsidRPr="007928CE">
        <w:rPr>
          <w:rFonts w:ascii="Palatino Linotype" w:hAnsi="Palatino Linotype"/>
          <w:sz w:val="24"/>
          <w:lang w:val="es-ES_tradnl"/>
        </w:rPr>
        <w:t>En este sentido</w:t>
      </w:r>
      <w:r>
        <w:rPr>
          <w:rFonts w:ascii="Palatino Linotype" w:hAnsi="Palatino Linotype"/>
          <w:sz w:val="24"/>
          <w:lang w:val="es-ES_tradnl"/>
        </w:rPr>
        <w:t>,</w:t>
      </w:r>
      <w:r w:rsidRPr="007928CE">
        <w:rPr>
          <w:rFonts w:ascii="Palatino Linotype" w:hAnsi="Palatino Linotype"/>
          <w:sz w:val="24"/>
          <w:lang w:val="es-ES_tradnl"/>
        </w:rPr>
        <w:t xml:space="preserve"> </w:t>
      </w:r>
      <w:r>
        <w:rPr>
          <w:rFonts w:ascii="Palatino Linotype" w:hAnsi="Palatino Linotype"/>
          <w:sz w:val="24"/>
          <w:lang w:val="es-ES_tradnl"/>
        </w:rPr>
        <w:t>es importante</w:t>
      </w:r>
      <w:r w:rsidRPr="007928CE">
        <w:rPr>
          <w:rFonts w:ascii="Palatino Linotype" w:hAnsi="Palatino Linotype"/>
          <w:sz w:val="24"/>
          <w:lang w:val="es-ES_tradnl"/>
        </w:rPr>
        <w:t xml:space="preserve"> mencionar que del análisis realizado a las constancias que integran el recurso de revisión al rubro indicado se aprecia que en fecha </w:t>
      </w:r>
      <w:r w:rsidRPr="007928CE">
        <w:rPr>
          <w:rFonts w:ascii="Palatino Linotype" w:hAnsi="Palatino Linotype"/>
          <w:bCs/>
          <w:sz w:val="24"/>
          <w:lang w:val="es-ES_tradnl"/>
        </w:rPr>
        <w:t>seis de noviembre de dos mil dieciocho</w:t>
      </w:r>
      <w:r w:rsidRPr="007928CE">
        <w:rPr>
          <w:rFonts w:ascii="Palatino Linotype" w:hAnsi="Palatino Linotype"/>
          <w:sz w:val="24"/>
          <w:lang w:val="es-ES_tradnl"/>
        </w:rPr>
        <w:t xml:space="preserve"> se emitió acuerdo de admisión del recurso de revisión, resaltando que con fundamento</w:t>
      </w:r>
      <w:r w:rsidRPr="007928CE">
        <w:rPr>
          <w:rFonts w:ascii="Palatino Linotype" w:hAnsi="Palatino Linotype"/>
          <w:sz w:val="24"/>
        </w:rPr>
        <w:t xml:space="preserve"> en los artículos 131 y 132, de la Ley de Protección de Datos Personales en Posesión de Sujetos Obligados del Estado de México y Municipios, se acordó conceder a las partes un término de siete días hábiles para que manifestaran, por cualquier medio, su voluntad de conciliar en el presente recurso, circunstancia que sucedió en el presente asunto</w:t>
      </w:r>
      <w:r>
        <w:rPr>
          <w:rFonts w:ascii="Palatino Linotype" w:hAnsi="Palatino Linotype"/>
          <w:sz w:val="24"/>
        </w:rPr>
        <w:t>.</w:t>
      </w:r>
    </w:p>
    <w:p w:rsidR="001259BA" w:rsidRDefault="007928CE" w:rsidP="007928CE">
      <w:pPr>
        <w:spacing w:before="100" w:beforeAutospacing="1" w:after="100" w:afterAutospacing="1" w:line="360" w:lineRule="auto"/>
        <w:jc w:val="both"/>
        <w:rPr>
          <w:rFonts w:ascii="Palatino Linotype" w:hAnsi="Palatino Linotype"/>
          <w:sz w:val="24"/>
        </w:rPr>
      </w:pPr>
      <w:r w:rsidRPr="007928CE">
        <w:rPr>
          <w:rFonts w:ascii="Palatino Linotype" w:hAnsi="Palatino Linotype"/>
          <w:sz w:val="24"/>
        </w:rPr>
        <w:t xml:space="preserve">Posteriormente </w:t>
      </w:r>
      <w:r>
        <w:rPr>
          <w:rFonts w:ascii="Palatino Linotype" w:hAnsi="Palatino Linotype"/>
          <w:sz w:val="24"/>
        </w:rPr>
        <w:t xml:space="preserve">se </w:t>
      </w:r>
      <w:r w:rsidRPr="007928CE">
        <w:rPr>
          <w:rFonts w:ascii="Palatino Linotype" w:hAnsi="Palatino Linotype"/>
          <w:sz w:val="24"/>
          <w:lang w:val="es-ES_tradnl"/>
        </w:rPr>
        <w:t xml:space="preserve">fijo día y hora para la celebración de la audiencia de conciliación, </w:t>
      </w:r>
      <w:r w:rsidRPr="007928CE">
        <w:rPr>
          <w:rFonts w:ascii="Palatino Linotype" w:hAnsi="Palatino Linotype"/>
          <w:sz w:val="24"/>
        </w:rPr>
        <w:t xml:space="preserve">misma que se desarrolló </w:t>
      </w:r>
      <w:r w:rsidR="00A10620">
        <w:rPr>
          <w:rFonts w:ascii="Palatino Linotype" w:hAnsi="Palatino Linotype"/>
          <w:sz w:val="24"/>
        </w:rPr>
        <w:t>en las instalaciones de este Órgano Garante, en donde en términos generales se hizo constar lo siguiente:</w:t>
      </w:r>
    </w:p>
    <w:p w:rsidR="00A10620" w:rsidRPr="00A10620" w:rsidRDefault="00A10620" w:rsidP="00A10620">
      <w:pPr>
        <w:spacing w:before="100" w:beforeAutospacing="1" w:after="100" w:afterAutospacing="1" w:line="240" w:lineRule="auto"/>
        <w:ind w:left="851" w:right="851"/>
        <w:jc w:val="both"/>
        <w:rPr>
          <w:rFonts w:ascii="Palatino Linotype" w:hAnsi="Palatino Linotype"/>
          <w:b/>
          <w:bCs/>
          <w:i/>
          <w:sz w:val="24"/>
        </w:rPr>
      </w:pPr>
      <w:r w:rsidRPr="00A10620">
        <w:rPr>
          <w:rFonts w:ascii="Palatino Linotype" w:hAnsi="Palatino Linotype"/>
          <w:b/>
          <w:bCs/>
          <w:i/>
          <w:sz w:val="24"/>
        </w:rPr>
        <w:t>[…]</w:t>
      </w:r>
    </w:p>
    <w:p w:rsidR="00A10620" w:rsidRPr="00A10620" w:rsidRDefault="00A10620" w:rsidP="00A10620">
      <w:pPr>
        <w:spacing w:before="100" w:beforeAutospacing="1" w:after="100" w:afterAutospacing="1" w:line="240" w:lineRule="auto"/>
        <w:ind w:left="851" w:right="851"/>
        <w:jc w:val="both"/>
        <w:rPr>
          <w:rFonts w:ascii="Palatino Linotype" w:hAnsi="Palatino Linotype"/>
          <w:bCs/>
          <w:i/>
          <w:sz w:val="24"/>
        </w:rPr>
      </w:pPr>
      <w:r w:rsidRPr="00A10620">
        <w:rPr>
          <w:rFonts w:ascii="Palatino Linotype" w:hAnsi="Palatino Linotype"/>
          <w:bCs/>
          <w:i/>
          <w:sz w:val="24"/>
        </w:rPr>
        <w:t xml:space="preserve">[El Particular manifiesta] Es su voluntad dirimir la controversia de mérito mediante la celebración de un acuerdo de conciliación, estableciendo como antecedente que, los documentos anexos a la solicitud de acceso a datos personales son todas las documentales con las que cuenta para acreditar el interés de acceder a las notas médicas de su hermana fallecida, a saber: Clave </w:t>
      </w:r>
      <w:proofErr w:type="spellStart"/>
      <w:r w:rsidRPr="00A10620">
        <w:rPr>
          <w:rFonts w:ascii="Palatino Linotype" w:hAnsi="Palatino Linotype"/>
          <w:bCs/>
          <w:i/>
          <w:sz w:val="24"/>
        </w:rPr>
        <w:t>ISSEMyM</w:t>
      </w:r>
      <w:proofErr w:type="spellEnd"/>
      <w:r w:rsidRPr="00A10620">
        <w:rPr>
          <w:rFonts w:ascii="Palatino Linotype" w:hAnsi="Palatino Linotype"/>
          <w:bCs/>
          <w:i/>
          <w:sz w:val="24"/>
        </w:rPr>
        <w:t>, actas de nacimiento de ambos, designación de beneficiarios, póliza de seguro y acta de defunción-</w:t>
      </w:r>
    </w:p>
    <w:p w:rsidR="00A10620" w:rsidRPr="00A10620" w:rsidRDefault="00A10620" w:rsidP="00A10620">
      <w:pPr>
        <w:spacing w:before="100" w:beforeAutospacing="1" w:after="100" w:afterAutospacing="1" w:line="240" w:lineRule="auto"/>
        <w:ind w:left="851" w:right="851"/>
        <w:jc w:val="both"/>
        <w:rPr>
          <w:rFonts w:ascii="Palatino Linotype" w:hAnsi="Palatino Linotype"/>
          <w:bCs/>
          <w:i/>
          <w:sz w:val="24"/>
        </w:rPr>
      </w:pPr>
      <w:r w:rsidRPr="00A10620">
        <w:rPr>
          <w:rFonts w:ascii="Palatino Linotype" w:hAnsi="Palatino Linotype"/>
          <w:bCs/>
          <w:i/>
          <w:sz w:val="24"/>
        </w:rPr>
        <w:t>[…]</w:t>
      </w:r>
    </w:p>
    <w:p w:rsidR="00A10620" w:rsidRPr="00A10620" w:rsidRDefault="00A10620" w:rsidP="00A10620">
      <w:pPr>
        <w:spacing w:before="100" w:beforeAutospacing="1" w:after="100" w:afterAutospacing="1" w:line="240" w:lineRule="auto"/>
        <w:ind w:left="851" w:right="851"/>
        <w:jc w:val="both"/>
        <w:rPr>
          <w:rFonts w:ascii="Palatino Linotype" w:hAnsi="Palatino Linotype"/>
          <w:bCs/>
          <w:i/>
          <w:sz w:val="24"/>
        </w:rPr>
      </w:pPr>
      <w:r w:rsidRPr="00A10620">
        <w:rPr>
          <w:rFonts w:ascii="Palatino Linotype" w:hAnsi="Palatino Linotype"/>
          <w:bCs/>
          <w:i/>
          <w:sz w:val="24"/>
        </w:rPr>
        <w:lastRenderedPageBreak/>
        <w:t>El Instituto de Seguridad Social del Estado de México y Municipios se encuentra en toda la disposición de satisfacer la pretensión del ahora recurrente, con base en las documentales con las que cuenta el Particular, pues una vez que se tuvieron a la vista se advierte un interés jurídico para acceder a las notas médicas de su hermana fallecida; asimismo, hace de conocimiento del ahora Recurrente que, adicional a las notas médicas, cuenta con un disco compacto que contiene Radiografía de Tórax y Tomografía Axial Computarizada, mismo que se proporcionará junto con los documentos requeridos; por otro lado, indica al particular que la información referida tiene un costo por su reproducción en copia simple y disco compacto.</w:t>
      </w:r>
    </w:p>
    <w:p w:rsidR="00A10620" w:rsidRPr="00A10620" w:rsidRDefault="00A10620" w:rsidP="00A10620">
      <w:pPr>
        <w:spacing w:before="100" w:beforeAutospacing="1" w:after="100" w:afterAutospacing="1" w:line="240" w:lineRule="auto"/>
        <w:ind w:left="851" w:right="851"/>
        <w:jc w:val="both"/>
        <w:rPr>
          <w:rFonts w:ascii="Palatino Linotype" w:hAnsi="Palatino Linotype"/>
          <w:bCs/>
          <w:i/>
          <w:sz w:val="24"/>
        </w:rPr>
      </w:pPr>
      <w:r w:rsidRPr="00A10620">
        <w:rPr>
          <w:rFonts w:ascii="Palatino Linotype" w:hAnsi="Palatino Linotype"/>
          <w:bCs/>
          <w:i/>
          <w:sz w:val="24"/>
        </w:rPr>
        <w:t>[…]</w:t>
      </w:r>
    </w:p>
    <w:p w:rsidR="00A10620" w:rsidRPr="00A10620" w:rsidRDefault="00A10620" w:rsidP="00A10620">
      <w:pPr>
        <w:spacing w:before="100" w:beforeAutospacing="1" w:after="100" w:afterAutospacing="1" w:line="240" w:lineRule="auto"/>
        <w:ind w:left="851" w:right="851"/>
        <w:jc w:val="both"/>
        <w:rPr>
          <w:rFonts w:ascii="Palatino Linotype" w:hAnsi="Palatino Linotype"/>
          <w:bCs/>
          <w:i/>
          <w:sz w:val="24"/>
        </w:rPr>
      </w:pPr>
      <w:r w:rsidRPr="00A10620">
        <w:rPr>
          <w:rFonts w:ascii="Palatino Linotype" w:hAnsi="Palatino Linotype"/>
          <w:b/>
          <w:bCs/>
          <w:i/>
          <w:sz w:val="24"/>
        </w:rPr>
        <w:t>ACUERDO CONCILIATORIO.</w:t>
      </w:r>
      <w:r w:rsidRPr="00A10620">
        <w:rPr>
          <w:rFonts w:ascii="Palatino Linotype" w:hAnsi="Palatino Linotype"/>
          <w:bCs/>
          <w:i/>
          <w:sz w:val="24"/>
        </w:rPr>
        <w:t xml:space="preserve"> De conformidad con lo dispuesto en los artículos 131 y 132, fracción V de la Ley de Protección de Datos Personales en Posesión de los Sujetos Obligados del Estado de México y Municipios, se hace constar que, considerando los hechos señalados y las propuestas formuladas por las partes se conviene celebrar un acuerdo en los siguientes términos:</w:t>
      </w:r>
    </w:p>
    <w:p w:rsidR="00A10620" w:rsidRPr="00A10620" w:rsidRDefault="00A10620" w:rsidP="00A10620">
      <w:pPr>
        <w:spacing w:before="100" w:beforeAutospacing="1" w:after="100" w:afterAutospacing="1" w:line="240" w:lineRule="auto"/>
        <w:ind w:left="851" w:right="851"/>
        <w:jc w:val="both"/>
        <w:rPr>
          <w:rFonts w:ascii="Palatino Linotype" w:hAnsi="Palatino Linotype"/>
          <w:bCs/>
          <w:i/>
          <w:sz w:val="24"/>
          <w:lang w:val="es-ES_tradnl"/>
        </w:rPr>
      </w:pPr>
      <w:r w:rsidRPr="00A10620">
        <w:rPr>
          <w:rFonts w:ascii="Palatino Linotype" w:hAnsi="Palatino Linotype"/>
          <w:bCs/>
          <w:i/>
          <w:sz w:val="24"/>
        </w:rPr>
        <w:t>l. El ahora Recurrente se compromete a presentar en original los documentos exhibidos en la presente conciliación, a saber, actas de nacimiento de ambos, designación de beneficiarios que obra en la póliza de seguro, acta de defunción de la titular de los datos personales, así como realizar el pago de derechos por reproducción de la información en copia simple y un disco compacto, que da un total de $239 (doscientos treinta y nueve pesos 00/100 M.N).</w:t>
      </w:r>
    </w:p>
    <w:p w:rsidR="00A10620" w:rsidRPr="00A10620" w:rsidRDefault="00A10620" w:rsidP="00A10620">
      <w:pPr>
        <w:spacing w:before="100" w:beforeAutospacing="1" w:after="100" w:afterAutospacing="1" w:line="240" w:lineRule="auto"/>
        <w:ind w:left="851" w:right="851"/>
        <w:jc w:val="both"/>
        <w:rPr>
          <w:rFonts w:ascii="Palatino Linotype" w:hAnsi="Palatino Linotype"/>
          <w:bCs/>
          <w:i/>
          <w:sz w:val="24"/>
          <w:lang w:val="es-ES_tradnl"/>
        </w:rPr>
      </w:pPr>
      <w:r w:rsidRPr="00A10620">
        <w:rPr>
          <w:rFonts w:ascii="Palatino Linotype" w:hAnsi="Palatino Linotype"/>
          <w:bCs/>
          <w:i/>
          <w:sz w:val="24"/>
        </w:rPr>
        <w:t xml:space="preserve">2. El Sujeto Obligado, una vez realizado el pago y teniendo a la vista las documentales citadas en el numeral anterior, se compromete a proporcionar al particular las notas médicas en un total de ciento diecisiete hojas, de las cuales veinte se entregan de forma gratuita, y las tomografías en disco compacto. Además, se compromete a exhibir ante este Instituto el </w:t>
      </w:r>
      <w:r w:rsidRPr="00A10620">
        <w:rPr>
          <w:rFonts w:ascii="Palatino Linotype" w:hAnsi="Palatino Linotype"/>
          <w:bCs/>
          <w:i/>
          <w:sz w:val="24"/>
        </w:rPr>
        <w:lastRenderedPageBreak/>
        <w:t>documento que acuse de recibido el Recurrente al momento de acudir por la información, así como un oficio en el que se dé por enterado a este Instituto el cumplimiento del presente acuerdo, dentro de los diez días hábiles contados a partir del día siguiente de la celebración de la presente audiencia de conciliación.</w:t>
      </w:r>
    </w:p>
    <w:p w:rsidR="00A10620" w:rsidRPr="00A10620" w:rsidRDefault="00A10620" w:rsidP="00A10620">
      <w:pPr>
        <w:spacing w:before="100" w:beforeAutospacing="1" w:after="100" w:afterAutospacing="1" w:line="240" w:lineRule="auto"/>
        <w:ind w:left="851" w:right="851"/>
        <w:jc w:val="both"/>
        <w:rPr>
          <w:rFonts w:ascii="Palatino Linotype" w:hAnsi="Palatino Linotype"/>
          <w:bCs/>
          <w:i/>
          <w:sz w:val="24"/>
        </w:rPr>
      </w:pPr>
      <w:r w:rsidRPr="00A10620">
        <w:rPr>
          <w:rFonts w:ascii="Palatino Linotype" w:hAnsi="Palatino Linotype"/>
          <w:bCs/>
          <w:i/>
          <w:sz w:val="24"/>
        </w:rPr>
        <w:t>Tomando en consideración el convenio al que han llegado voluntariamente las partes, el presente recurso de revisión se dará por concluido en caso de que aquellas cumplan con los extremos y términos convenidos; mismos que tendrá efectos vinculantes; en situación contraria; es decir, para el caso en que las partes incumplan, respectivamente, con los extremos y términos acordados, el convenio aquí alcanzado se tendrá por incumplido y se continuará con el procedimiento.</w:t>
      </w:r>
    </w:p>
    <w:p w:rsidR="00A10620" w:rsidRPr="00A10620" w:rsidRDefault="00A10620" w:rsidP="00A10620">
      <w:pPr>
        <w:spacing w:before="100" w:beforeAutospacing="1" w:after="100" w:afterAutospacing="1" w:line="240" w:lineRule="auto"/>
        <w:ind w:left="851" w:right="851"/>
        <w:jc w:val="both"/>
        <w:rPr>
          <w:rFonts w:ascii="Palatino Linotype" w:hAnsi="Palatino Linotype"/>
          <w:bCs/>
          <w:i/>
          <w:sz w:val="24"/>
        </w:rPr>
      </w:pPr>
      <w:r w:rsidRPr="00A10620">
        <w:rPr>
          <w:rFonts w:ascii="Palatino Linotype" w:hAnsi="Palatino Linotype"/>
          <w:bCs/>
          <w:i/>
          <w:sz w:val="24"/>
        </w:rPr>
        <w:t>Lo anterior, con fundamento en el artículo 132, fracción VI, de la Ley de Protección de Datos Personales en Posesión de Sujetos Obligados del Estado de México y Municipios.</w:t>
      </w:r>
    </w:p>
    <w:p w:rsidR="00A10620" w:rsidRPr="00A10620" w:rsidRDefault="00A10620" w:rsidP="00A10620">
      <w:pPr>
        <w:spacing w:before="100" w:beforeAutospacing="1" w:after="100" w:afterAutospacing="1" w:line="240" w:lineRule="auto"/>
        <w:ind w:left="851" w:right="851"/>
        <w:jc w:val="both"/>
        <w:rPr>
          <w:rFonts w:ascii="Palatino Linotype" w:hAnsi="Palatino Linotype"/>
          <w:bCs/>
          <w:i/>
          <w:sz w:val="24"/>
          <w:lang w:val="es-ES_tradnl"/>
        </w:rPr>
      </w:pPr>
      <w:r w:rsidRPr="00A10620">
        <w:rPr>
          <w:rFonts w:ascii="Palatino Linotype" w:hAnsi="Palatino Linotype"/>
          <w:bCs/>
          <w:i/>
          <w:sz w:val="24"/>
        </w:rPr>
        <w:t>[…]</w:t>
      </w:r>
    </w:p>
    <w:p w:rsidR="00A10620" w:rsidRDefault="00A10620" w:rsidP="007928CE">
      <w:pPr>
        <w:spacing w:before="100" w:beforeAutospacing="1" w:after="100" w:afterAutospacing="1" w:line="360" w:lineRule="auto"/>
        <w:jc w:val="both"/>
        <w:rPr>
          <w:rFonts w:ascii="Palatino Linotype" w:hAnsi="Palatino Linotype"/>
          <w:sz w:val="24"/>
        </w:rPr>
      </w:pPr>
      <w:r>
        <w:rPr>
          <w:rFonts w:ascii="Palatino Linotype" w:hAnsi="Palatino Linotype"/>
          <w:sz w:val="24"/>
        </w:rPr>
        <w:t>Derivado de las actuaciones en el expediente al rubro indicado la Ponencia que resolvió, determinó lo siguiente:</w:t>
      </w:r>
    </w:p>
    <w:p w:rsidR="00A10620" w:rsidRPr="00A10620" w:rsidRDefault="00A10620" w:rsidP="00A10620">
      <w:pPr>
        <w:spacing w:before="100" w:beforeAutospacing="1" w:after="100" w:afterAutospacing="1" w:line="240" w:lineRule="auto"/>
        <w:ind w:left="851" w:right="851"/>
        <w:jc w:val="both"/>
        <w:rPr>
          <w:rFonts w:ascii="Palatino Linotype" w:hAnsi="Palatino Linotype"/>
          <w:i/>
          <w:sz w:val="24"/>
          <w:lang w:val="es-ES_tradnl"/>
        </w:rPr>
      </w:pPr>
      <w:r>
        <w:rPr>
          <w:rFonts w:ascii="Palatino Linotype" w:hAnsi="Palatino Linotype"/>
          <w:b/>
          <w:i/>
          <w:sz w:val="24"/>
          <w:lang w:val="es-ES"/>
        </w:rPr>
        <w:t>“</w:t>
      </w:r>
      <w:r w:rsidRPr="00A10620">
        <w:rPr>
          <w:rFonts w:ascii="Palatino Linotype" w:hAnsi="Palatino Linotype"/>
          <w:b/>
          <w:i/>
          <w:sz w:val="24"/>
          <w:lang w:val="es-ES"/>
        </w:rPr>
        <w:t>PRIMERO</w:t>
      </w:r>
      <w:r w:rsidRPr="00A10620">
        <w:rPr>
          <w:rFonts w:ascii="Palatino Linotype" w:hAnsi="Palatino Linotype"/>
          <w:i/>
          <w:sz w:val="24"/>
          <w:lang w:val="es-ES"/>
        </w:rPr>
        <w:t xml:space="preserve">. </w:t>
      </w:r>
      <w:r w:rsidRPr="00A10620">
        <w:rPr>
          <w:rFonts w:ascii="Palatino Linotype" w:hAnsi="Palatino Linotype"/>
          <w:i/>
          <w:sz w:val="24"/>
          <w:lang w:val="es-ES_tradnl"/>
        </w:rPr>
        <w:t xml:space="preserve">Se </w:t>
      </w:r>
      <w:r w:rsidRPr="00A10620">
        <w:rPr>
          <w:rFonts w:ascii="Palatino Linotype" w:hAnsi="Palatino Linotype"/>
          <w:b/>
          <w:i/>
          <w:sz w:val="24"/>
          <w:lang w:val="es-ES_tradnl"/>
        </w:rPr>
        <w:t xml:space="preserve">SOBRESEE </w:t>
      </w:r>
      <w:r w:rsidRPr="00A10620">
        <w:rPr>
          <w:rFonts w:ascii="Palatino Linotype" w:hAnsi="Palatino Linotype"/>
          <w:i/>
          <w:sz w:val="24"/>
          <w:lang w:val="es-ES_tradnl"/>
        </w:rPr>
        <w:t>el Recurso de Revisión</w:t>
      </w:r>
      <w:r w:rsidRPr="00A10620">
        <w:rPr>
          <w:rFonts w:ascii="Palatino Linotype" w:hAnsi="Palatino Linotype"/>
          <w:b/>
          <w:i/>
          <w:sz w:val="24"/>
          <w:lang w:val="es-ES_tradnl"/>
        </w:rPr>
        <w:t xml:space="preserve"> </w:t>
      </w:r>
      <w:r w:rsidRPr="00A10620">
        <w:rPr>
          <w:rFonts w:ascii="Palatino Linotype" w:hAnsi="Palatino Linotype"/>
          <w:i/>
          <w:sz w:val="24"/>
          <w:lang w:val="es-ES_tradnl"/>
        </w:rPr>
        <w:t xml:space="preserve">número </w:t>
      </w:r>
      <w:r w:rsidRPr="00A10620">
        <w:rPr>
          <w:rFonts w:ascii="Palatino Linotype" w:hAnsi="Palatino Linotype"/>
          <w:i/>
          <w:sz w:val="24"/>
          <w:lang w:val="es-ES"/>
        </w:rPr>
        <w:t xml:space="preserve">04161/INFOEM/AD/RR/2018 </w:t>
      </w:r>
      <w:r w:rsidRPr="00A10620">
        <w:rPr>
          <w:rFonts w:ascii="Palatino Linotype" w:hAnsi="Palatino Linotype"/>
          <w:b/>
          <w:i/>
          <w:sz w:val="24"/>
          <w:lang w:val="es-ES_tradnl"/>
        </w:rPr>
        <w:t>porque al haberse dado cumplimiento al acuerdo conciliatorio, el Recurso de Revisión quedó sin materia</w:t>
      </w:r>
      <w:r w:rsidRPr="00A10620">
        <w:rPr>
          <w:rFonts w:ascii="Palatino Linotype" w:hAnsi="Palatino Linotype"/>
          <w:i/>
          <w:sz w:val="24"/>
          <w:lang w:val="es-ES_tradnl"/>
        </w:rPr>
        <w:t xml:space="preserve"> en términos del Considerando </w:t>
      </w:r>
      <w:r w:rsidRPr="00A10620">
        <w:rPr>
          <w:rFonts w:ascii="Palatino Linotype" w:hAnsi="Palatino Linotype"/>
          <w:b/>
          <w:i/>
          <w:sz w:val="24"/>
          <w:lang w:val="es-ES_tradnl"/>
        </w:rPr>
        <w:t>SEGUNDO</w:t>
      </w:r>
      <w:r w:rsidRPr="00A10620">
        <w:rPr>
          <w:rFonts w:ascii="Palatino Linotype" w:hAnsi="Palatino Linotype"/>
          <w:i/>
          <w:sz w:val="24"/>
          <w:lang w:val="es-ES_tradnl"/>
        </w:rPr>
        <w:t xml:space="preserve"> de la presente resolución.</w:t>
      </w:r>
      <w:r>
        <w:rPr>
          <w:rFonts w:ascii="Palatino Linotype" w:hAnsi="Palatino Linotype"/>
          <w:i/>
          <w:sz w:val="24"/>
          <w:lang w:val="es-ES_tradnl"/>
        </w:rPr>
        <w:t>” (Sic.)</w:t>
      </w:r>
    </w:p>
    <w:p w:rsidR="00652448" w:rsidRDefault="00652448" w:rsidP="00621236">
      <w:pPr>
        <w:spacing w:before="100" w:beforeAutospacing="1" w:after="100" w:afterAutospacing="1" w:line="360" w:lineRule="auto"/>
        <w:jc w:val="both"/>
        <w:rPr>
          <w:rFonts w:ascii="Palatino Linotype" w:hAnsi="Palatino Linotype"/>
          <w:sz w:val="24"/>
          <w:szCs w:val="24"/>
        </w:rPr>
      </w:pPr>
      <w:r w:rsidRPr="00652448">
        <w:rPr>
          <w:rFonts w:ascii="Palatino Linotype" w:hAnsi="Palatino Linotype"/>
          <w:sz w:val="24"/>
          <w:szCs w:val="24"/>
        </w:rPr>
        <w:t xml:space="preserve">De manera previa considero pertinente hacer mención que en el recurso de revisión materia del presente voto se </w:t>
      </w:r>
      <w:r w:rsidR="00621236">
        <w:rPr>
          <w:rFonts w:ascii="Palatino Linotype" w:hAnsi="Palatino Linotype"/>
          <w:sz w:val="24"/>
          <w:szCs w:val="24"/>
        </w:rPr>
        <w:t>dio acceso</w:t>
      </w:r>
      <w:r w:rsidRPr="00652448">
        <w:rPr>
          <w:rFonts w:ascii="Palatino Linotype" w:hAnsi="Palatino Linotype"/>
          <w:sz w:val="24"/>
          <w:szCs w:val="24"/>
        </w:rPr>
        <w:t xml:space="preserve"> a </w:t>
      </w:r>
      <w:r w:rsidR="00C91386">
        <w:rPr>
          <w:rFonts w:ascii="Palatino Linotype" w:hAnsi="Palatino Linotype"/>
          <w:sz w:val="24"/>
          <w:szCs w:val="24"/>
        </w:rPr>
        <w:t xml:space="preserve">las notas </w:t>
      </w:r>
      <w:r w:rsidR="00621236">
        <w:rPr>
          <w:rFonts w:ascii="Palatino Linotype" w:hAnsi="Palatino Linotype"/>
          <w:sz w:val="24"/>
          <w:szCs w:val="24"/>
        </w:rPr>
        <w:t>médicas</w:t>
      </w:r>
      <w:r w:rsidR="00C91386">
        <w:rPr>
          <w:rFonts w:ascii="Palatino Linotype" w:hAnsi="Palatino Linotype"/>
          <w:sz w:val="24"/>
          <w:szCs w:val="24"/>
        </w:rPr>
        <w:t xml:space="preserve"> de urgencias de la </w:t>
      </w:r>
      <w:r w:rsidR="00C91386" w:rsidRPr="00C91386">
        <w:rPr>
          <w:rFonts w:ascii="Palatino Linotype" w:hAnsi="Palatino Linotype"/>
          <w:i/>
          <w:sz w:val="24"/>
          <w:szCs w:val="24"/>
        </w:rPr>
        <w:t xml:space="preserve">de </w:t>
      </w:r>
      <w:proofErr w:type="spellStart"/>
      <w:r w:rsidR="00C91386" w:rsidRPr="00C91386">
        <w:rPr>
          <w:rFonts w:ascii="Palatino Linotype" w:hAnsi="Palatino Linotype"/>
          <w:i/>
          <w:sz w:val="24"/>
          <w:szCs w:val="24"/>
        </w:rPr>
        <w:lastRenderedPageBreak/>
        <w:t>cujus</w:t>
      </w:r>
      <w:proofErr w:type="spellEnd"/>
      <w:r w:rsidR="00C91386">
        <w:rPr>
          <w:rFonts w:ascii="Palatino Linotype" w:hAnsi="Palatino Linotype"/>
          <w:sz w:val="24"/>
          <w:szCs w:val="24"/>
        </w:rPr>
        <w:t>,</w:t>
      </w:r>
      <w:r w:rsidRPr="00652448">
        <w:rPr>
          <w:rFonts w:ascii="Palatino Linotype" w:hAnsi="Palatino Linotype"/>
          <w:sz w:val="24"/>
          <w:szCs w:val="24"/>
        </w:rPr>
        <w:t xml:space="preserve"> motivo por el cual, </w:t>
      </w:r>
      <w:r w:rsidR="00C91386">
        <w:rPr>
          <w:rFonts w:ascii="Palatino Linotype" w:hAnsi="Palatino Linotype"/>
          <w:sz w:val="24"/>
          <w:szCs w:val="24"/>
        </w:rPr>
        <w:t>es oportuno y de esencial importancia mencionar que se entiende por dicho concepto:</w:t>
      </w:r>
    </w:p>
    <w:p w:rsidR="00C91386" w:rsidRDefault="00C91386" w:rsidP="00621236">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En primer término, las notas de urgencias están integradas por los siguientes documentos:</w:t>
      </w:r>
    </w:p>
    <w:p w:rsidR="00C91386" w:rsidRPr="00C91386" w:rsidRDefault="00C91386" w:rsidP="00C91386">
      <w:pPr>
        <w:pStyle w:val="Prrafodelista"/>
        <w:numPr>
          <w:ilvl w:val="0"/>
          <w:numId w:val="5"/>
        </w:numPr>
        <w:spacing w:before="240" w:line="360" w:lineRule="auto"/>
        <w:jc w:val="both"/>
        <w:rPr>
          <w:rFonts w:ascii="Palatino Linotype" w:hAnsi="Palatino Linotype"/>
          <w:sz w:val="24"/>
          <w:szCs w:val="24"/>
        </w:rPr>
      </w:pPr>
      <w:r w:rsidRPr="00C91386">
        <w:rPr>
          <w:rFonts w:ascii="Palatino Linotype" w:hAnsi="Palatino Linotype"/>
          <w:sz w:val="24"/>
          <w:szCs w:val="24"/>
        </w:rPr>
        <w:t>Nota inicial</w:t>
      </w:r>
    </w:p>
    <w:p w:rsidR="00C91386" w:rsidRPr="00C91386" w:rsidRDefault="00C91386" w:rsidP="00C91386">
      <w:pPr>
        <w:pStyle w:val="Prrafodelista"/>
        <w:numPr>
          <w:ilvl w:val="0"/>
          <w:numId w:val="5"/>
        </w:numPr>
        <w:spacing w:before="240" w:line="360" w:lineRule="auto"/>
        <w:jc w:val="both"/>
        <w:rPr>
          <w:rFonts w:ascii="Palatino Linotype" w:hAnsi="Palatino Linotype"/>
          <w:sz w:val="24"/>
          <w:szCs w:val="24"/>
        </w:rPr>
      </w:pPr>
      <w:r w:rsidRPr="00C91386">
        <w:rPr>
          <w:rFonts w:ascii="Palatino Linotype" w:hAnsi="Palatino Linotype"/>
          <w:sz w:val="24"/>
          <w:szCs w:val="24"/>
        </w:rPr>
        <w:t>Nota de evolución</w:t>
      </w:r>
    </w:p>
    <w:p w:rsidR="00C91386" w:rsidRPr="00C91386" w:rsidRDefault="00C91386" w:rsidP="00C91386">
      <w:pPr>
        <w:pStyle w:val="Prrafodelista"/>
        <w:numPr>
          <w:ilvl w:val="0"/>
          <w:numId w:val="5"/>
        </w:numPr>
        <w:spacing w:before="240" w:line="360" w:lineRule="auto"/>
        <w:jc w:val="both"/>
        <w:rPr>
          <w:rFonts w:ascii="Palatino Linotype" w:hAnsi="Palatino Linotype"/>
          <w:sz w:val="24"/>
          <w:szCs w:val="24"/>
        </w:rPr>
      </w:pPr>
      <w:r w:rsidRPr="00C91386">
        <w:rPr>
          <w:rFonts w:ascii="Palatino Linotype" w:hAnsi="Palatino Linotype"/>
          <w:sz w:val="24"/>
          <w:szCs w:val="24"/>
        </w:rPr>
        <w:t>Interconsulta</w:t>
      </w:r>
    </w:p>
    <w:p w:rsidR="00C91386" w:rsidRPr="00C91386" w:rsidRDefault="00C91386" w:rsidP="00C91386">
      <w:pPr>
        <w:pStyle w:val="Prrafodelista"/>
        <w:numPr>
          <w:ilvl w:val="0"/>
          <w:numId w:val="5"/>
        </w:numPr>
        <w:spacing w:before="240" w:line="360" w:lineRule="auto"/>
        <w:jc w:val="both"/>
        <w:rPr>
          <w:rFonts w:ascii="Palatino Linotype" w:hAnsi="Palatino Linotype"/>
          <w:sz w:val="24"/>
          <w:szCs w:val="24"/>
        </w:rPr>
      </w:pPr>
      <w:r w:rsidRPr="00C91386">
        <w:rPr>
          <w:rFonts w:ascii="Palatino Linotype" w:hAnsi="Palatino Linotype"/>
          <w:sz w:val="24"/>
          <w:szCs w:val="24"/>
        </w:rPr>
        <w:t>Referencia/traslado</w:t>
      </w:r>
    </w:p>
    <w:p w:rsidR="00C91386" w:rsidRDefault="00C91386" w:rsidP="00652448">
      <w:pPr>
        <w:spacing w:before="240" w:line="360" w:lineRule="auto"/>
        <w:contextualSpacing/>
        <w:jc w:val="both"/>
        <w:rPr>
          <w:rFonts w:ascii="Palatino Linotype" w:hAnsi="Palatino Linotype"/>
          <w:sz w:val="24"/>
          <w:szCs w:val="24"/>
        </w:rPr>
      </w:pPr>
      <w:r>
        <w:rPr>
          <w:rFonts w:ascii="Palatino Linotype" w:hAnsi="Palatino Linotype"/>
          <w:sz w:val="24"/>
          <w:szCs w:val="24"/>
        </w:rPr>
        <w:t>Así también pueden contener:</w:t>
      </w:r>
    </w:p>
    <w:p w:rsidR="00C91386" w:rsidRPr="00C91386" w:rsidRDefault="00C91386" w:rsidP="00C91386">
      <w:pPr>
        <w:pStyle w:val="Prrafodelista"/>
        <w:numPr>
          <w:ilvl w:val="0"/>
          <w:numId w:val="6"/>
        </w:numPr>
        <w:spacing w:before="240" w:line="360" w:lineRule="auto"/>
        <w:jc w:val="both"/>
        <w:rPr>
          <w:rFonts w:ascii="Palatino Linotype" w:hAnsi="Palatino Linotype"/>
          <w:sz w:val="24"/>
          <w:szCs w:val="24"/>
        </w:rPr>
      </w:pPr>
      <w:r w:rsidRPr="00C91386">
        <w:rPr>
          <w:rFonts w:ascii="Palatino Linotype" w:hAnsi="Palatino Linotype"/>
          <w:sz w:val="24"/>
          <w:szCs w:val="24"/>
        </w:rPr>
        <w:t>Motivo de consulta</w:t>
      </w:r>
    </w:p>
    <w:p w:rsidR="00C91386" w:rsidRPr="00C91386" w:rsidRDefault="00C91386" w:rsidP="00C91386">
      <w:pPr>
        <w:pStyle w:val="Prrafodelista"/>
        <w:numPr>
          <w:ilvl w:val="0"/>
          <w:numId w:val="6"/>
        </w:numPr>
        <w:spacing w:before="240" w:line="360" w:lineRule="auto"/>
        <w:jc w:val="both"/>
        <w:rPr>
          <w:rFonts w:ascii="Palatino Linotype" w:hAnsi="Palatino Linotype"/>
          <w:sz w:val="24"/>
          <w:szCs w:val="24"/>
        </w:rPr>
      </w:pPr>
      <w:r w:rsidRPr="00C91386">
        <w:rPr>
          <w:rFonts w:ascii="Palatino Linotype" w:hAnsi="Palatino Linotype"/>
          <w:sz w:val="24"/>
          <w:szCs w:val="24"/>
        </w:rPr>
        <w:t>Estado mental del paciente</w:t>
      </w:r>
    </w:p>
    <w:p w:rsidR="00C91386" w:rsidRPr="00C91386" w:rsidRDefault="00C91386" w:rsidP="00C91386">
      <w:pPr>
        <w:pStyle w:val="Prrafodelista"/>
        <w:numPr>
          <w:ilvl w:val="0"/>
          <w:numId w:val="6"/>
        </w:numPr>
        <w:spacing w:before="240" w:line="360" w:lineRule="auto"/>
        <w:jc w:val="both"/>
        <w:rPr>
          <w:rFonts w:ascii="Palatino Linotype" w:hAnsi="Palatino Linotype"/>
          <w:sz w:val="24"/>
          <w:szCs w:val="24"/>
        </w:rPr>
      </w:pPr>
      <w:r w:rsidRPr="00C91386">
        <w:rPr>
          <w:rFonts w:ascii="Palatino Linotype" w:hAnsi="Palatino Linotype"/>
          <w:sz w:val="24"/>
          <w:szCs w:val="24"/>
        </w:rPr>
        <w:t>Se menciona el destino del paciente después de la atención de urgencias</w:t>
      </w:r>
    </w:p>
    <w:p w:rsidR="00C91386" w:rsidRPr="00C91386" w:rsidRDefault="00C91386" w:rsidP="00C91386">
      <w:pPr>
        <w:pStyle w:val="Prrafodelista"/>
        <w:numPr>
          <w:ilvl w:val="0"/>
          <w:numId w:val="6"/>
        </w:numPr>
        <w:spacing w:before="240" w:line="360" w:lineRule="auto"/>
        <w:jc w:val="both"/>
        <w:rPr>
          <w:rFonts w:ascii="Palatino Linotype" w:hAnsi="Palatino Linotype"/>
          <w:sz w:val="24"/>
          <w:szCs w:val="24"/>
        </w:rPr>
      </w:pPr>
      <w:r w:rsidRPr="00C91386">
        <w:rPr>
          <w:rFonts w:ascii="Palatino Linotype" w:hAnsi="Palatino Linotype"/>
          <w:sz w:val="24"/>
          <w:szCs w:val="24"/>
        </w:rPr>
        <w:t>Se precisan los procedimientos en el área de urgencias</w:t>
      </w:r>
    </w:p>
    <w:p w:rsidR="00C91386" w:rsidRDefault="00C91386" w:rsidP="00652448">
      <w:pPr>
        <w:spacing w:before="240" w:line="360" w:lineRule="auto"/>
        <w:contextualSpacing/>
        <w:jc w:val="both"/>
        <w:rPr>
          <w:rFonts w:ascii="Palatino Linotype" w:hAnsi="Palatino Linotype"/>
          <w:sz w:val="24"/>
          <w:szCs w:val="24"/>
        </w:rPr>
      </w:pPr>
      <w:r>
        <w:rPr>
          <w:rFonts w:ascii="Palatino Linotype" w:hAnsi="Palatino Linotype"/>
          <w:sz w:val="24"/>
          <w:szCs w:val="24"/>
        </w:rPr>
        <w:t xml:space="preserve">Lo anterior establecido en el documento de la Comisión Estatal de Conciliación y Arbitraje Médico del Estado de Nayarit, disponible en </w:t>
      </w:r>
      <w:r w:rsidRPr="00C91386">
        <w:rPr>
          <w:rFonts w:ascii="Palatino Linotype" w:hAnsi="Palatino Linotype"/>
          <w:sz w:val="24"/>
          <w:szCs w:val="24"/>
        </w:rPr>
        <w:t>http</w:t>
      </w:r>
      <w:proofErr w:type="gramStart"/>
      <w:r w:rsidRPr="00C91386">
        <w:rPr>
          <w:rFonts w:ascii="Palatino Linotype" w:hAnsi="Palatino Linotype"/>
          <w:sz w:val="24"/>
          <w:szCs w:val="24"/>
        </w:rPr>
        <w:t>:/</w:t>
      </w:r>
      <w:proofErr w:type="gramEnd"/>
      <w:r w:rsidRPr="00C91386">
        <w:rPr>
          <w:rFonts w:ascii="Palatino Linotype" w:hAnsi="Palatino Linotype"/>
          <w:sz w:val="24"/>
          <w:szCs w:val="24"/>
        </w:rPr>
        <w:t>/www.conamed.gob.mx/comisiones_estatales/coesamed_nayarit/publicaciones/pdf/expediente_clinico.pdf</w:t>
      </w:r>
      <w:r>
        <w:rPr>
          <w:rFonts w:ascii="Palatino Linotype" w:hAnsi="Palatino Linotype"/>
          <w:sz w:val="24"/>
          <w:szCs w:val="24"/>
        </w:rPr>
        <w:t xml:space="preserve">, así también como en la </w:t>
      </w:r>
      <w:r w:rsidR="00621236">
        <w:rPr>
          <w:rFonts w:ascii="Palatino Linotype" w:hAnsi="Palatino Linotype"/>
          <w:sz w:val="24"/>
          <w:szCs w:val="24"/>
        </w:rPr>
        <w:t>Norma</w:t>
      </w:r>
      <w:r w:rsidRPr="00C91386">
        <w:rPr>
          <w:rFonts w:ascii="Palatino Linotype" w:hAnsi="Palatino Linotype"/>
          <w:sz w:val="24"/>
          <w:szCs w:val="24"/>
        </w:rPr>
        <w:t xml:space="preserve"> Oficial Mexicana NOM-004-SSA3-2012, Del expediente clínico</w:t>
      </w:r>
      <w:r>
        <w:rPr>
          <w:rFonts w:ascii="Palatino Linotype" w:hAnsi="Palatino Linotype"/>
          <w:sz w:val="24"/>
          <w:szCs w:val="24"/>
        </w:rPr>
        <w:t>.</w:t>
      </w:r>
    </w:p>
    <w:p w:rsidR="00C91386" w:rsidRPr="00652448" w:rsidRDefault="00C91386" w:rsidP="00652448">
      <w:pPr>
        <w:spacing w:before="240" w:line="360" w:lineRule="auto"/>
        <w:contextualSpacing/>
        <w:jc w:val="both"/>
        <w:rPr>
          <w:rFonts w:ascii="Palatino Linotype" w:hAnsi="Palatino Linotype"/>
          <w:sz w:val="24"/>
          <w:szCs w:val="24"/>
        </w:rPr>
      </w:pPr>
    </w:p>
    <w:p w:rsidR="00C91386" w:rsidRDefault="00C91386" w:rsidP="00652448">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Es relevante</w:t>
      </w:r>
      <w:r w:rsidR="00652448" w:rsidRPr="00652448">
        <w:rPr>
          <w:rFonts w:ascii="Palatino Linotype" w:hAnsi="Palatino Linotype" w:cs="Arial"/>
          <w:sz w:val="24"/>
          <w:szCs w:val="24"/>
        </w:rPr>
        <w:t xml:space="preserve"> mencionar que los servicios de atención médica de los establecimientos de carácter público, social y privado, están obl</w:t>
      </w:r>
      <w:r>
        <w:rPr>
          <w:rFonts w:ascii="Palatino Linotype" w:hAnsi="Palatino Linotype" w:cs="Arial"/>
          <w:sz w:val="24"/>
          <w:szCs w:val="24"/>
        </w:rPr>
        <w:t>igados a integrar y conservar un</w:t>
      </w:r>
      <w:r w:rsidR="00652448" w:rsidRPr="00652448">
        <w:rPr>
          <w:rFonts w:ascii="Palatino Linotype" w:hAnsi="Palatino Linotype" w:cs="Arial"/>
          <w:sz w:val="24"/>
          <w:szCs w:val="24"/>
        </w:rPr>
        <w:t> </w:t>
      </w:r>
      <w:r w:rsidR="00652448" w:rsidRPr="00652448">
        <w:rPr>
          <w:rFonts w:ascii="Palatino Linotype" w:hAnsi="Palatino Linotype" w:cs="Arial"/>
          <w:i/>
          <w:iCs/>
          <w:sz w:val="24"/>
          <w:szCs w:val="24"/>
        </w:rPr>
        <w:t>Expediente Clínico</w:t>
      </w:r>
      <w:r w:rsidR="00652448" w:rsidRPr="00652448">
        <w:rPr>
          <w:rFonts w:ascii="Palatino Linotype" w:hAnsi="Palatino Linotype" w:cs="Arial"/>
          <w:sz w:val="24"/>
          <w:szCs w:val="24"/>
        </w:rPr>
        <w:t xml:space="preserve">. </w:t>
      </w:r>
      <w:r>
        <w:rPr>
          <w:rFonts w:ascii="Palatino Linotype" w:hAnsi="Palatino Linotype" w:cs="Arial"/>
          <w:sz w:val="24"/>
          <w:szCs w:val="24"/>
        </w:rPr>
        <w:t>Documento en el cual obraría la información requerida en la solicitud de información.</w:t>
      </w:r>
    </w:p>
    <w:p w:rsidR="00652448" w:rsidRPr="00652448" w:rsidRDefault="00652448" w:rsidP="00652448">
      <w:pPr>
        <w:spacing w:before="240" w:after="240" w:line="360" w:lineRule="auto"/>
        <w:jc w:val="both"/>
        <w:rPr>
          <w:rFonts w:ascii="Palatino Linotype" w:hAnsi="Palatino Linotype" w:cs="Arial"/>
          <w:sz w:val="24"/>
          <w:szCs w:val="24"/>
        </w:rPr>
      </w:pPr>
      <w:r w:rsidRPr="00652448">
        <w:rPr>
          <w:rFonts w:ascii="Palatino Linotype" w:hAnsi="Palatino Linotype" w:cs="Arial"/>
          <w:sz w:val="24"/>
          <w:szCs w:val="24"/>
        </w:rPr>
        <w:t xml:space="preserve">Los establecimientos serán solidariamente responsables respecto del cumplimiento de esta obligación, por parte del personal que preste sus servicios en los mismos, independientemente de la forma en que fuere contratado dicho personal, </w:t>
      </w:r>
      <w:r w:rsidR="00C91386">
        <w:rPr>
          <w:rFonts w:ascii="Palatino Linotype" w:hAnsi="Palatino Linotype" w:cs="Arial"/>
          <w:sz w:val="24"/>
          <w:szCs w:val="24"/>
        </w:rPr>
        <w:t>d</w:t>
      </w:r>
      <w:r w:rsidRPr="00652448">
        <w:rPr>
          <w:rFonts w:ascii="Palatino Linotype" w:hAnsi="Palatino Linotype" w:cs="Arial"/>
          <w:sz w:val="24"/>
          <w:szCs w:val="24"/>
        </w:rPr>
        <w:t xml:space="preserve">e donde todo </w:t>
      </w:r>
      <w:r w:rsidRPr="00652448">
        <w:rPr>
          <w:rFonts w:ascii="Palatino Linotype" w:hAnsi="Palatino Linotype" w:cs="Arial"/>
          <w:i/>
          <w:iCs/>
          <w:sz w:val="24"/>
          <w:szCs w:val="24"/>
        </w:rPr>
        <w:t>expediente Clínico</w:t>
      </w:r>
      <w:r w:rsidRPr="00652448">
        <w:rPr>
          <w:rFonts w:ascii="Palatino Linotype" w:hAnsi="Palatino Linotype" w:cs="Arial"/>
          <w:sz w:val="24"/>
          <w:szCs w:val="24"/>
        </w:rPr>
        <w:t>, deberá tener los siguientes datos generales: Tipo, nombre y domicilio del establecimiento y en su caso, nombre de la Institución a la que pertenece; en su caso, la razón y denominación social del propietario o concesionario y, nombre, sexo, edad y domicilio del paciente, es de agregar que el expediente clínico se integra por toda la información generada por la atención médica brindada al paciente, el expediente clínico se encuentra formado por los siguientes apartados:</w:t>
      </w:r>
    </w:p>
    <w:p w:rsidR="00652448" w:rsidRPr="00652448" w:rsidRDefault="00652448" w:rsidP="00652448">
      <w:pPr>
        <w:numPr>
          <w:ilvl w:val="0"/>
          <w:numId w:val="4"/>
        </w:numPr>
        <w:spacing w:before="240" w:after="240" w:line="360" w:lineRule="auto"/>
        <w:contextualSpacing/>
        <w:jc w:val="both"/>
        <w:rPr>
          <w:rFonts w:ascii="Palatino Linotype" w:eastAsia="Calibri" w:hAnsi="Palatino Linotype" w:cs="Arial"/>
          <w:b/>
          <w:sz w:val="24"/>
          <w:szCs w:val="24"/>
          <w:lang w:val="es-ES" w:eastAsia="es-ES"/>
        </w:rPr>
      </w:pPr>
      <w:r w:rsidRPr="00652448">
        <w:rPr>
          <w:rFonts w:ascii="Palatino Linotype" w:eastAsia="Calibri" w:hAnsi="Palatino Linotype" w:cs="Arial"/>
          <w:b/>
          <w:sz w:val="24"/>
          <w:szCs w:val="24"/>
          <w:shd w:val="clear" w:color="auto" w:fill="E5E5E5"/>
          <w:lang w:val="es-ES" w:eastAsia="es-ES"/>
        </w:rPr>
        <w:t>Historia Clínica y Notas Medicas</w:t>
      </w:r>
    </w:p>
    <w:p w:rsidR="00652448" w:rsidRPr="00652448" w:rsidRDefault="00652448" w:rsidP="00652448">
      <w:pPr>
        <w:numPr>
          <w:ilvl w:val="0"/>
          <w:numId w:val="4"/>
        </w:numPr>
        <w:spacing w:before="240" w:after="240" w:line="360" w:lineRule="auto"/>
        <w:contextualSpacing/>
        <w:jc w:val="both"/>
        <w:rPr>
          <w:rFonts w:ascii="Palatino Linotype" w:eastAsia="Calibri" w:hAnsi="Palatino Linotype" w:cs="Arial"/>
          <w:sz w:val="24"/>
          <w:szCs w:val="24"/>
          <w:lang w:val="es-ES" w:eastAsia="es-ES"/>
        </w:rPr>
      </w:pPr>
      <w:r w:rsidRPr="00652448">
        <w:rPr>
          <w:rFonts w:ascii="Palatino Linotype" w:eastAsia="Calibri" w:hAnsi="Palatino Linotype" w:cs="Arial"/>
          <w:sz w:val="24"/>
          <w:szCs w:val="24"/>
          <w:shd w:val="clear" w:color="auto" w:fill="E5E5E5"/>
          <w:lang w:val="es-ES" w:eastAsia="es-ES"/>
        </w:rPr>
        <w:t>Resultados de laboratorio realizados en el Instituto.</w:t>
      </w:r>
    </w:p>
    <w:p w:rsidR="00652448" w:rsidRPr="00652448" w:rsidRDefault="00652448" w:rsidP="00652448">
      <w:pPr>
        <w:numPr>
          <w:ilvl w:val="0"/>
          <w:numId w:val="4"/>
        </w:numPr>
        <w:spacing w:before="240" w:after="240" w:line="360" w:lineRule="auto"/>
        <w:contextualSpacing/>
        <w:jc w:val="both"/>
        <w:rPr>
          <w:rFonts w:ascii="Palatino Linotype" w:eastAsia="Calibri" w:hAnsi="Palatino Linotype" w:cs="Arial"/>
          <w:sz w:val="24"/>
          <w:szCs w:val="24"/>
          <w:lang w:val="es-ES" w:eastAsia="es-ES"/>
        </w:rPr>
      </w:pPr>
      <w:r w:rsidRPr="00652448">
        <w:rPr>
          <w:rFonts w:ascii="Palatino Linotype" w:eastAsia="Calibri" w:hAnsi="Palatino Linotype" w:cs="Arial"/>
          <w:sz w:val="24"/>
          <w:szCs w:val="24"/>
          <w:shd w:val="clear" w:color="auto" w:fill="E5E5E5"/>
          <w:lang w:val="es-ES" w:eastAsia="es-ES"/>
        </w:rPr>
        <w:t>Resultados de estudio de gabinete realizados en el Instituto.</w:t>
      </w:r>
    </w:p>
    <w:p w:rsidR="00652448" w:rsidRPr="00652448" w:rsidRDefault="00652448" w:rsidP="00652448">
      <w:pPr>
        <w:numPr>
          <w:ilvl w:val="0"/>
          <w:numId w:val="4"/>
        </w:numPr>
        <w:spacing w:before="240" w:after="240" w:line="360" w:lineRule="auto"/>
        <w:contextualSpacing/>
        <w:jc w:val="both"/>
        <w:rPr>
          <w:rFonts w:ascii="Palatino Linotype" w:eastAsia="Calibri" w:hAnsi="Palatino Linotype" w:cs="Arial"/>
          <w:sz w:val="24"/>
          <w:szCs w:val="24"/>
          <w:lang w:val="es-ES" w:eastAsia="es-ES"/>
        </w:rPr>
      </w:pPr>
      <w:r w:rsidRPr="00652448">
        <w:rPr>
          <w:rFonts w:ascii="Palatino Linotype" w:eastAsia="Calibri" w:hAnsi="Palatino Linotype" w:cs="Arial"/>
          <w:sz w:val="24"/>
          <w:szCs w:val="24"/>
          <w:shd w:val="clear" w:color="auto" w:fill="E5E5E5"/>
          <w:lang w:val="es-ES" w:eastAsia="es-ES"/>
        </w:rPr>
        <w:t>Hojas de Trabajo Social.</w:t>
      </w:r>
    </w:p>
    <w:p w:rsidR="00652448" w:rsidRPr="00652448" w:rsidRDefault="00652448" w:rsidP="00652448">
      <w:pPr>
        <w:numPr>
          <w:ilvl w:val="0"/>
          <w:numId w:val="4"/>
        </w:numPr>
        <w:spacing w:before="240" w:after="240" w:line="360" w:lineRule="auto"/>
        <w:contextualSpacing/>
        <w:jc w:val="both"/>
        <w:rPr>
          <w:rFonts w:ascii="Palatino Linotype" w:eastAsia="Calibri" w:hAnsi="Palatino Linotype" w:cs="Arial"/>
          <w:sz w:val="24"/>
          <w:szCs w:val="24"/>
          <w:lang w:val="es-ES" w:eastAsia="es-ES"/>
        </w:rPr>
      </w:pPr>
      <w:r w:rsidRPr="00652448">
        <w:rPr>
          <w:rFonts w:ascii="Palatino Linotype" w:eastAsia="Calibri" w:hAnsi="Palatino Linotype" w:cs="Arial"/>
          <w:sz w:val="24"/>
          <w:szCs w:val="24"/>
          <w:shd w:val="clear" w:color="auto" w:fill="E5E5E5"/>
          <w:lang w:val="es-ES" w:eastAsia="es-ES"/>
        </w:rPr>
        <w:t>Otros Documentos: (</w:t>
      </w:r>
      <w:r w:rsidRPr="00652448">
        <w:rPr>
          <w:rFonts w:ascii="Palatino Linotype" w:eastAsia="Calibri" w:hAnsi="Palatino Linotype" w:cs="Arial"/>
          <w:i/>
          <w:sz w:val="24"/>
          <w:szCs w:val="24"/>
          <w:shd w:val="clear" w:color="auto" w:fill="E5E5E5"/>
          <w:lang w:val="es-ES" w:eastAsia="es-ES"/>
        </w:rPr>
        <w:t>Hoja de datos de egreso</w:t>
      </w:r>
      <w:r w:rsidRPr="00652448">
        <w:rPr>
          <w:rFonts w:ascii="Palatino Linotype" w:eastAsia="Calibri" w:hAnsi="Palatino Linotype" w:cs="Arial"/>
          <w:i/>
          <w:sz w:val="24"/>
          <w:szCs w:val="24"/>
          <w:lang w:val="es-ES" w:eastAsia="es-ES"/>
        </w:rPr>
        <w:t xml:space="preserve">, </w:t>
      </w:r>
      <w:r w:rsidRPr="00652448">
        <w:rPr>
          <w:rFonts w:ascii="Palatino Linotype" w:eastAsia="Calibri" w:hAnsi="Palatino Linotype" w:cs="Arial"/>
          <w:i/>
          <w:sz w:val="24"/>
          <w:szCs w:val="24"/>
          <w:shd w:val="clear" w:color="auto" w:fill="E5E5E5"/>
          <w:lang w:val="es-ES" w:eastAsia="es-ES"/>
        </w:rPr>
        <w:t>Hoja de enfermería</w:t>
      </w:r>
      <w:r w:rsidRPr="00652448">
        <w:rPr>
          <w:rFonts w:ascii="Palatino Linotype" w:eastAsia="Calibri" w:hAnsi="Palatino Linotype" w:cs="Arial"/>
          <w:i/>
          <w:sz w:val="24"/>
          <w:szCs w:val="24"/>
          <w:lang w:val="es-ES" w:eastAsia="es-ES"/>
        </w:rPr>
        <w:t xml:space="preserve">, </w:t>
      </w:r>
      <w:r w:rsidRPr="00652448">
        <w:rPr>
          <w:rFonts w:ascii="Palatino Linotype" w:eastAsia="Calibri" w:hAnsi="Palatino Linotype" w:cs="Arial"/>
          <w:i/>
          <w:sz w:val="24"/>
          <w:szCs w:val="24"/>
          <w:shd w:val="clear" w:color="auto" w:fill="E5E5E5"/>
          <w:lang w:val="es-ES" w:eastAsia="es-ES"/>
        </w:rPr>
        <w:t>Hoja de indicaciones médicas</w:t>
      </w:r>
      <w:r w:rsidRPr="00652448">
        <w:rPr>
          <w:rFonts w:ascii="Palatino Linotype" w:eastAsia="Calibri" w:hAnsi="Palatino Linotype" w:cs="Arial"/>
          <w:sz w:val="24"/>
          <w:szCs w:val="24"/>
          <w:shd w:val="clear" w:color="auto" w:fill="E5E5E5"/>
          <w:lang w:val="es-ES" w:eastAsia="es-ES"/>
        </w:rPr>
        <w:t>, etcétera)</w:t>
      </w:r>
    </w:p>
    <w:p w:rsidR="00652448" w:rsidRPr="00652448" w:rsidRDefault="00652448" w:rsidP="00C91386">
      <w:pPr>
        <w:spacing w:before="100" w:beforeAutospacing="1" w:after="100" w:afterAutospacing="1" w:line="360" w:lineRule="auto"/>
        <w:jc w:val="both"/>
        <w:rPr>
          <w:rFonts w:ascii="Palatino Linotype" w:hAnsi="Palatino Linotype"/>
          <w:sz w:val="24"/>
          <w:szCs w:val="24"/>
        </w:rPr>
      </w:pPr>
      <w:r w:rsidRPr="00652448">
        <w:rPr>
          <w:rFonts w:ascii="Palatino Linotype" w:hAnsi="Palatino Linotype"/>
          <w:sz w:val="24"/>
          <w:szCs w:val="24"/>
        </w:rPr>
        <w:t xml:space="preserve">Una vez precisado lo anterior, debe mencionarse que no se comparte </w:t>
      </w:r>
      <w:r w:rsidR="0048635D">
        <w:rPr>
          <w:rFonts w:ascii="Palatino Linotype" w:hAnsi="Palatino Linotype"/>
          <w:sz w:val="24"/>
          <w:szCs w:val="24"/>
        </w:rPr>
        <w:t>el acuerdo de conciliación que trae como consecuencia el sobreseimiento</w:t>
      </w:r>
      <w:r w:rsidRPr="00652448">
        <w:rPr>
          <w:rFonts w:ascii="Palatino Linotype" w:hAnsi="Palatino Linotype"/>
          <w:sz w:val="24"/>
          <w:szCs w:val="24"/>
        </w:rPr>
        <w:t xml:space="preserve">, lo anterior es así en virtud de que si bien es cierto la Ley de Protección de Datos Personales vigente en </w:t>
      </w:r>
      <w:r w:rsidRPr="00652448">
        <w:rPr>
          <w:rFonts w:ascii="Palatino Linotype" w:hAnsi="Palatino Linotype"/>
          <w:sz w:val="24"/>
          <w:szCs w:val="24"/>
        </w:rPr>
        <w:lastRenderedPageBreak/>
        <w:t xml:space="preserve">la entidad federativa contempla en los artículos 131 y 132 la conciliación, no obstante lo anterior, en primer momento considero pertinente precisar en qué consiste la figura jurídica </w:t>
      </w:r>
      <w:r w:rsidR="00C91386">
        <w:rPr>
          <w:rFonts w:ascii="Palatino Linotype" w:hAnsi="Palatino Linotype"/>
          <w:sz w:val="24"/>
          <w:szCs w:val="24"/>
        </w:rPr>
        <w:t>referida</w:t>
      </w:r>
      <w:r w:rsidRPr="00652448">
        <w:rPr>
          <w:rFonts w:ascii="Palatino Linotype" w:hAnsi="Palatino Linotype"/>
          <w:sz w:val="24"/>
          <w:szCs w:val="24"/>
        </w:rPr>
        <w:t xml:space="preserve">: </w:t>
      </w:r>
    </w:p>
    <w:p w:rsidR="00A86CD9" w:rsidRDefault="00652448" w:rsidP="00A86CD9">
      <w:pPr>
        <w:numPr>
          <w:ilvl w:val="0"/>
          <w:numId w:val="1"/>
        </w:numPr>
        <w:spacing w:before="100" w:beforeAutospacing="1" w:after="100" w:afterAutospacing="1" w:line="360" w:lineRule="auto"/>
        <w:jc w:val="both"/>
        <w:rPr>
          <w:rFonts w:ascii="Palatino Linotype" w:hAnsi="Palatino Linotype"/>
          <w:sz w:val="24"/>
          <w:szCs w:val="24"/>
          <w:lang w:val="es-ES"/>
        </w:rPr>
      </w:pPr>
      <w:r w:rsidRPr="00652448">
        <w:rPr>
          <w:rFonts w:ascii="Palatino Linotype" w:eastAsia="Times New Roman" w:hAnsi="Palatino Linotype" w:cs="Times New Roman"/>
          <w:b/>
          <w:sz w:val="24"/>
          <w:szCs w:val="24"/>
          <w:lang w:val="es-ES" w:eastAsia="es-MX"/>
        </w:rPr>
        <w:t>Conciliación:</w:t>
      </w:r>
      <w:r w:rsidRPr="00652448">
        <w:rPr>
          <w:rFonts w:ascii="Palatino Linotype" w:eastAsia="Times New Roman" w:hAnsi="Palatino Linotype" w:cs="Times New Roman"/>
          <w:sz w:val="24"/>
          <w:szCs w:val="24"/>
          <w:lang w:val="es-ES" w:eastAsia="es-MX"/>
        </w:rPr>
        <w:t xml:space="preserve"> Proceso en el que uno o más conciliadores asisten a los interesados facilitándoles el diálogo y proponiendo soluciones legales, equitativas y justas al conflicto </w:t>
      </w:r>
      <w:r w:rsidRPr="00652448">
        <w:rPr>
          <w:rFonts w:ascii="Palatino Linotype" w:eastAsia="Times New Roman" w:hAnsi="Palatino Linotype" w:cs="Times New Roman"/>
          <w:i/>
          <w:sz w:val="24"/>
          <w:szCs w:val="24"/>
          <w:lang w:val="es-ES" w:eastAsia="es-MX"/>
        </w:rPr>
        <w:t>(Ley de Mediación, Conciliación y Promoción de la Paz Social para el Estado de México</w:t>
      </w:r>
      <w:r w:rsidRPr="00652448">
        <w:rPr>
          <w:rFonts w:ascii="Palatino Linotype" w:eastAsia="Times New Roman" w:hAnsi="Palatino Linotype" w:cs="Times New Roman"/>
          <w:sz w:val="24"/>
          <w:szCs w:val="24"/>
          <w:lang w:val="es-ES" w:eastAsia="es-MX"/>
        </w:rPr>
        <w:t>)</w:t>
      </w:r>
    </w:p>
    <w:p w:rsidR="00652448" w:rsidRPr="00652448" w:rsidRDefault="00652448" w:rsidP="00A86CD9">
      <w:pPr>
        <w:spacing w:before="100" w:beforeAutospacing="1" w:after="100" w:afterAutospacing="1" w:line="360" w:lineRule="auto"/>
        <w:jc w:val="both"/>
        <w:rPr>
          <w:rFonts w:ascii="Palatino Linotype" w:hAnsi="Palatino Linotype"/>
          <w:sz w:val="24"/>
          <w:szCs w:val="24"/>
          <w:lang w:val="es-ES"/>
        </w:rPr>
      </w:pPr>
      <w:r w:rsidRPr="00652448">
        <w:rPr>
          <w:rFonts w:ascii="Palatino Linotype" w:eastAsia="Times New Roman" w:hAnsi="Palatino Linotype" w:cs="Times New Roman"/>
          <w:sz w:val="24"/>
          <w:szCs w:val="24"/>
          <w:lang w:eastAsia="es-MX"/>
        </w:rPr>
        <w:t>Al respecto es de suma importancia mencionar que el Reglamento del Centro de Mediación y Conciliación del Poder Judicial del Estado de México refiere que la conciliación se rige por los principios de voluntariedad, gratuidad, neutralidad, confidencialidad e imparcialidad.</w:t>
      </w:r>
    </w:p>
    <w:p w:rsidR="00652448" w:rsidRPr="00652448" w:rsidRDefault="00652448" w:rsidP="00A86CD9">
      <w:pPr>
        <w:numPr>
          <w:ilvl w:val="0"/>
          <w:numId w:val="1"/>
        </w:numPr>
        <w:shd w:val="clear" w:color="auto" w:fill="FFFFFF"/>
        <w:spacing w:before="100" w:beforeAutospacing="1" w:after="100" w:afterAutospacing="1" w:line="360" w:lineRule="auto"/>
        <w:ind w:left="0"/>
        <w:jc w:val="both"/>
        <w:rPr>
          <w:rFonts w:ascii="Palatino Linotype" w:eastAsia="Times New Roman" w:hAnsi="Palatino Linotype" w:cs="Times New Roman"/>
          <w:sz w:val="24"/>
          <w:szCs w:val="24"/>
          <w:lang w:val="es-ES" w:eastAsia="es-MX"/>
        </w:rPr>
      </w:pPr>
      <w:r w:rsidRPr="00652448">
        <w:rPr>
          <w:rFonts w:ascii="Palatino Linotype" w:eastAsia="Times New Roman" w:hAnsi="Palatino Linotype" w:cs="Times New Roman"/>
          <w:sz w:val="24"/>
          <w:szCs w:val="24"/>
          <w:lang w:val="es-ES" w:eastAsia="es-MX"/>
        </w:rPr>
        <w:t>Principio de voluntariedad: La conciliación son voluntarias por lo que no podrán ser impuestas a persona alguna.</w:t>
      </w:r>
    </w:p>
    <w:p w:rsidR="00652448" w:rsidRPr="00652448" w:rsidRDefault="00652448" w:rsidP="00652448">
      <w:pPr>
        <w:numPr>
          <w:ilvl w:val="0"/>
          <w:numId w:val="1"/>
        </w:numPr>
        <w:shd w:val="clear" w:color="auto" w:fill="FFFFFF"/>
        <w:spacing w:after="0" w:line="360" w:lineRule="auto"/>
        <w:contextualSpacing/>
        <w:jc w:val="both"/>
        <w:rPr>
          <w:rFonts w:ascii="Palatino Linotype" w:eastAsia="Times New Roman" w:hAnsi="Palatino Linotype" w:cs="Times New Roman"/>
          <w:sz w:val="24"/>
          <w:szCs w:val="24"/>
          <w:lang w:val="es-ES" w:eastAsia="es-MX"/>
        </w:rPr>
      </w:pPr>
      <w:r w:rsidRPr="00652448">
        <w:rPr>
          <w:rFonts w:ascii="Palatino Linotype" w:eastAsia="Times New Roman" w:hAnsi="Palatino Linotype" w:cs="Times New Roman"/>
          <w:sz w:val="24"/>
          <w:szCs w:val="24"/>
          <w:lang w:val="es-ES" w:eastAsia="es-MX"/>
        </w:rPr>
        <w:t>Principio de gratuidad: La conciliación es un servicio totalmente. No cobrará retribución alguna por la prestación de sus servicios. Queda prohibida toda clase de dádiva o gratificación.</w:t>
      </w:r>
    </w:p>
    <w:p w:rsidR="00652448" w:rsidRPr="00652448" w:rsidRDefault="00652448" w:rsidP="00652448">
      <w:pPr>
        <w:numPr>
          <w:ilvl w:val="0"/>
          <w:numId w:val="1"/>
        </w:numPr>
        <w:shd w:val="clear" w:color="auto" w:fill="FFFFFF"/>
        <w:spacing w:after="0" w:line="360" w:lineRule="auto"/>
        <w:contextualSpacing/>
        <w:jc w:val="both"/>
        <w:rPr>
          <w:rFonts w:ascii="Palatino Linotype" w:eastAsia="Times New Roman" w:hAnsi="Palatino Linotype" w:cs="Times New Roman"/>
          <w:sz w:val="24"/>
          <w:szCs w:val="24"/>
          <w:lang w:val="es-ES" w:eastAsia="es-MX"/>
        </w:rPr>
      </w:pPr>
      <w:r w:rsidRPr="00652448">
        <w:rPr>
          <w:rFonts w:ascii="Palatino Linotype" w:eastAsia="Times New Roman" w:hAnsi="Palatino Linotype" w:cs="Times New Roman"/>
          <w:sz w:val="24"/>
          <w:szCs w:val="24"/>
          <w:lang w:val="es-ES" w:eastAsia="es-MX"/>
        </w:rPr>
        <w:t>Principio de neutralidad: Los conciliadores no deben hacer alianza con ninguno de los participantes en conflicto.</w:t>
      </w:r>
    </w:p>
    <w:p w:rsidR="00652448" w:rsidRPr="00652448" w:rsidRDefault="00652448" w:rsidP="00652448">
      <w:pPr>
        <w:numPr>
          <w:ilvl w:val="0"/>
          <w:numId w:val="1"/>
        </w:numPr>
        <w:shd w:val="clear" w:color="auto" w:fill="FFFFFF"/>
        <w:spacing w:after="0" w:line="360" w:lineRule="auto"/>
        <w:contextualSpacing/>
        <w:jc w:val="both"/>
        <w:rPr>
          <w:rFonts w:ascii="Palatino Linotype" w:eastAsia="Times New Roman" w:hAnsi="Palatino Linotype" w:cs="Times New Roman"/>
          <w:sz w:val="24"/>
          <w:szCs w:val="24"/>
          <w:lang w:val="es-ES" w:eastAsia="es-MX"/>
        </w:rPr>
      </w:pPr>
      <w:r w:rsidRPr="00652448">
        <w:rPr>
          <w:rFonts w:ascii="Palatino Linotype" w:eastAsia="Times New Roman" w:hAnsi="Palatino Linotype" w:cs="Times New Roman"/>
          <w:sz w:val="24"/>
          <w:szCs w:val="24"/>
          <w:lang w:val="es-ES" w:eastAsia="es-MX"/>
        </w:rPr>
        <w:t>Principio de confidencialidad: No debe divulgarse lo ocurrido dentro de los procesos de mediación o conciliación, excepto con el consentimiento de la totalidad de los participantes involucrados.</w:t>
      </w:r>
    </w:p>
    <w:p w:rsidR="00652448" w:rsidRPr="00652448" w:rsidRDefault="00652448" w:rsidP="00A86CD9">
      <w:pPr>
        <w:numPr>
          <w:ilvl w:val="0"/>
          <w:numId w:val="1"/>
        </w:numPr>
        <w:shd w:val="clear" w:color="auto" w:fill="FFFFFF"/>
        <w:spacing w:before="100" w:beforeAutospacing="1" w:after="100" w:afterAutospacing="1" w:line="360" w:lineRule="auto"/>
        <w:jc w:val="both"/>
        <w:rPr>
          <w:rFonts w:ascii="Palatino Linotype" w:eastAsia="Times New Roman" w:hAnsi="Palatino Linotype" w:cs="Times New Roman"/>
          <w:sz w:val="24"/>
          <w:szCs w:val="24"/>
          <w:lang w:val="es-ES" w:eastAsia="es-MX"/>
        </w:rPr>
      </w:pPr>
      <w:r w:rsidRPr="00652448">
        <w:rPr>
          <w:rFonts w:ascii="Palatino Linotype" w:eastAsia="Times New Roman" w:hAnsi="Palatino Linotype" w:cs="Times New Roman"/>
          <w:sz w:val="24"/>
          <w:szCs w:val="24"/>
          <w:lang w:val="es-ES" w:eastAsia="es-MX"/>
        </w:rPr>
        <w:lastRenderedPageBreak/>
        <w:t>Principio de imparcialidad: El mediador-conciliador asignado a un determinado asunto, no debe actuar a favor o en contra de alguno de los participantes en conflicto.</w:t>
      </w:r>
    </w:p>
    <w:p w:rsidR="00652448" w:rsidRPr="00652448" w:rsidRDefault="00652448" w:rsidP="00A86CD9">
      <w:pPr>
        <w:shd w:val="clear" w:color="auto" w:fill="FFFFFF"/>
        <w:spacing w:before="100" w:beforeAutospacing="1" w:after="100" w:afterAutospacing="1" w:line="360" w:lineRule="auto"/>
        <w:jc w:val="both"/>
        <w:rPr>
          <w:rFonts w:ascii="Palatino Linotype" w:eastAsia="Times New Roman" w:hAnsi="Palatino Linotype" w:cs="Times New Roman"/>
          <w:sz w:val="24"/>
          <w:szCs w:val="24"/>
          <w:lang w:eastAsia="es-MX"/>
        </w:rPr>
      </w:pPr>
      <w:r w:rsidRPr="00652448">
        <w:rPr>
          <w:rFonts w:ascii="Palatino Linotype" w:eastAsia="Times New Roman" w:hAnsi="Palatino Linotype" w:cs="Times New Roman"/>
          <w:sz w:val="24"/>
          <w:szCs w:val="24"/>
          <w:lang w:eastAsia="es-MX"/>
        </w:rPr>
        <w:t>Es de agregar que en el procedimiento de conciliación encontramos la existencia de un conciliador, que es la persona, con nombramiento oficial, capacitada para facilitar la comunicación y en su caso, proponer una solución a las partes que intervienen en una controversia, el cual tiene las obligaciones siguientes:</w:t>
      </w:r>
    </w:p>
    <w:p w:rsidR="00652448" w:rsidRPr="00652448" w:rsidRDefault="00652448" w:rsidP="00652448">
      <w:pPr>
        <w:numPr>
          <w:ilvl w:val="0"/>
          <w:numId w:val="2"/>
        </w:numPr>
        <w:shd w:val="clear" w:color="auto" w:fill="FFFFFF"/>
        <w:spacing w:after="0" w:line="360" w:lineRule="auto"/>
        <w:contextualSpacing/>
        <w:jc w:val="both"/>
        <w:rPr>
          <w:rFonts w:ascii="Palatino Linotype" w:eastAsia="Times New Roman" w:hAnsi="Palatino Linotype" w:cs="Times New Roman"/>
          <w:sz w:val="24"/>
          <w:szCs w:val="24"/>
          <w:lang w:val="es-ES" w:eastAsia="es-MX"/>
        </w:rPr>
      </w:pPr>
      <w:r w:rsidRPr="00652448">
        <w:rPr>
          <w:rFonts w:ascii="Palatino Linotype" w:eastAsia="Times New Roman" w:hAnsi="Palatino Linotype" w:cs="Times New Roman"/>
          <w:sz w:val="24"/>
          <w:szCs w:val="24"/>
          <w:lang w:val="es-ES" w:eastAsia="es-MX"/>
        </w:rPr>
        <w:t>Desarrollar su función imparcial y neutralmente;</w:t>
      </w:r>
    </w:p>
    <w:p w:rsidR="00652448" w:rsidRPr="00652448" w:rsidRDefault="00652448" w:rsidP="00652448">
      <w:pPr>
        <w:numPr>
          <w:ilvl w:val="0"/>
          <w:numId w:val="2"/>
        </w:numPr>
        <w:shd w:val="clear" w:color="auto" w:fill="FFFFFF"/>
        <w:spacing w:after="0" w:line="360" w:lineRule="auto"/>
        <w:contextualSpacing/>
        <w:jc w:val="both"/>
        <w:rPr>
          <w:rFonts w:ascii="Palatino Linotype" w:eastAsia="Times New Roman" w:hAnsi="Palatino Linotype" w:cs="Times New Roman"/>
          <w:sz w:val="24"/>
          <w:szCs w:val="24"/>
          <w:lang w:val="es-ES" w:eastAsia="es-MX"/>
        </w:rPr>
      </w:pPr>
      <w:r w:rsidRPr="00652448">
        <w:rPr>
          <w:rFonts w:ascii="Palatino Linotype" w:eastAsia="Times New Roman" w:hAnsi="Palatino Linotype" w:cs="Times New Roman"/>
          <w:sz w:val="24"/>
          <w:szCs w:val="24"/>
          <w:lang w:val="es-ES" w:eastAsia="es-MX"/>
        </w:rPr>
        <w:t>Realizar la conciliación en la forma y términos establecidos en el presente reglamento y demás disposiciones aplicables;</w:t>
      </w:r>
    </w:p>
    <w:p w:rsidR="00652448" w:rsidRPr="0048635D" w:rsidRDefault="00652448" w:rsidP="00652448">
      <w:pPr>
        <w:numPr>
          <w:ilvl w:val="0"/>
          <w:numId w:val="2"/>
        </w:numPr>
        <w:shd w:val="clear" w:color="auto" w:fill="FFFFFF"/>
        <w:spacing w:after="0" w:line="360" w:lineRule="auto"/>
        <w:contextualSpacing/>
        <w:jc w:val="both"/>
        <w:rPr>
          <w:rFonts w:ascii="Palatino Linotype" w:eastAsia="Times New Roman" w:hAnsi="Palatino Linotype" w:cs="Times New Roman"/>
          <w:b/>
          <w:sz w:val="24"/>
          <w:szCs w:val="24"/>
          <w:u w:val="single"/>
          <w:lang w:val="es-ES" w:eastAsia="es-MX"/>
        </w:rPr>
      </w:pPr>
      <w:r w:rsidRPr="0048635D">
        <w:rPr>
          <w:rFonts w:ascii="Palatino Linotype" w:eastAsia="Times New Roman" w:hAnsi="Palatino Linotype" w:cs="Times New Roman"/>
          <w:b/>
          <w:sz w:val="24"/>
          <w:szCs w:val="24"/>
          <w:u w:val="single"/>
          <w:lang w:val="es-ES" w:eastAsia="es-MX"/>
        </w:rPr>
        <w:t>Vigilar que en el trámite de conciliación no se afecten derechos de terceros o intereses de menores o incapaces</w:t>
      </w:r>
    </w:p>
    <w:p w:rsidR="00652448" w:rsidRPr="00652448" w:rsidRDefault="00652448" w:rsidP="00652448">
      <w:pPr>
        <w:numPr>
          <w:ilvl w:val="0"/>
          <w:numId w:val="2"/>
        </w:numPr>
        <w:shd w:val="clear" w:color="auto" w:fill="FFFFFF"/>
        <w:spacing w:after="0" w:line="360" w:lineRule="auto"/>
        <w:contextualSpacing/>
        <w:jc w:val="both"/>
        <w:rPr>
          <w:rFonts w:ascii="Palatino Linotype" w:eastAsia="Times New Roman" w:hAnsi="Palatino Linotype" w:cs="Times New Roman"/>
          <w:sz w:val="24"/>
          <w:szCs w:val="24"/>
          <w:lang w:val="es-ES" w:eastAsia="es-MX"/>
        </w:rPr>
      </w:pPr>
      <w:r w:rsidRPr="00652448">
        <w:rPr>
          <w:rFonts w:ascii="Palatino Linotype" w:eastAsia="Times New Roman" w:hAnsi="Palatino Linotype" w:cs="Times New Roman"/>
          <w:sz w:val="24"/>
          <w:szCs w:val="24"/>
          <w:lang w:val="es-ES" w:eastAsia="es-MX"/>
        </w:rPr>
        <w:t>Cerciorarse de que los interesados tengan correcto entendimiento del proceso y alcances de la conciliación desde su inicio hasta su conclusión.</w:t>
      </w:r>
    </w:p>
    <w:p w:rsidR="00652448" w:rsidRPr="00652448" w:rsidRDefault="00652448" w:rsidP="00652448">
      <w:pPr>
        <w:numPr>
          <w:ilvl w:val="0"/>
          <w:numId w:val="2"/>
        </w:numPr>
        <w:shd w:val="clear" w:color="auto" w:fill="FFFFFF"/>
        <w:spacing w:after="0" w:line="360" w:lineRule="auto"/>
        <w:contextualSpacing/>
        <w:jc w:val="both"/>
        <w:rPr>
          <w:rFonts w:ascii="Palatino Linotype" w:eastAsia="Times New Roman" w:hAnsi="Palatino Linotype" w:cs="Times New Roman"/>
          <w:sz w:val="24"/>
          <w:szCs w:val="24"/>
          <w:lang w:val="es-ES" w:eastAsia="es-MX"/>
        </w:rPr>
      </w:pPr>
      <w:r w:rsidRPr="00652448">
        <w:rPr>
          <w:rFonts w:ascii="Palatino Linotype" w:eastAsia="Times New Roman" w:hAnsi="Palatino Linotype" w:cs="Times New Roman"/>
          <w:sz w:val="24"/>
          <w:szCs w:val="24"/>
          <w:lang w:val="es-ES" w:eastAsia="es-MX"/>
        </w:rPr>
        <w:t>Cerciorarse que la voluntad de los interesados no sufra algún vicio del consentimiento;</w:t>
      </w:r>
    </w:p>
    <w:p w:rsidR="00652448" w:rsidRPr="00652448" w:rsidRDefault="00652448" w:rsidP="00652448">
      <w:pPr>
        <w:numPr>
          <w:ilvl w:val="0"/>
          <w:numId w:val="2"/>
        </w:numPr>
        <w:shd w:val="clear" w:color="auto" w:fill="FFFFFF"/>
        <w:spacing w:after="0" w:line="360" w:lineRule="auto"/>
        <w:contextualSpacing/>
        <w:jc w:val="both"/>
        <w:rPr>
          <w:rFonts w:ascii="Palatino Linotype" w:eastAsia="Times New Roman" w:hAnsi="Palatino Linotype" w:cs="Times New Roman"/>
          <w:sz w:val="24"/>
          <w:szCs w:val="24"/>
          <w:lang w:val="es-ES" w:eastAsia="es-MX"/>
        </w:rPr>
      </w:pPr>
      <w:r w:rsidRPr="00652448">
        <w:rPr>
          <w:rFonts w:ascii="Palatino Linotype" w:eastAsia="Times New Roman" w:hAnsi="Palatino Linotype" w:cs="Times New Roman"/>
          <w:sz w:val="24"/>
          <w:szCs w:val="24"/>
          <w:lang w:val="es-ES" w:eastAsia="es-MX"/>
        </w:rPr>
        <w:t>Facilitar la comunicación directa de los interesados;</w:t>
      </w:r>
    </w:p>
    <w:p w:rsidR="00652448" w:rsidRPr="00652448" w:rsidRDefault="00652448" w:rsidP="00652448">
      <w:pPr>
        <w:numPr>
          <w:ilvl w:val="0"/>
          <w:numId w:val="2"/>
        </w:numPr>
        <w:shd w:val="clear" w:color="auto" w:fill="FFFFFF"/>
        <w:spacing w:after="0" w:line="360" w:lineRule="auto"/>
        <w:contextualSpacing/>
        <w:jc w:val="both"/>
        <w:rPr>
          <w:rFonts w:ascii="Palatino Linotype" w:eastAsia="Times New Roman" w:hAnsi="Palatino Linotype" w:cs="Times New Roman"/>
          <w:sz w:val="24"/>
          <w:szCs w:val="24"/>
          <w:lang w:val="es-ES" w:eastAsia="es-MX"/>
        </w:rPr>
      </w:pPr>
      <w:r w:rsidRPr="00652448">
        <w:rPr>
          <w:rFonts w:ascii="Palatino Linotype" w:eastAsia="Times New Roman" w:hAnsi="Palatino Linotype" w:cs="Times New Roman"/>
          <w:sz w:val="24"/>
          <w:szCs w:val="24"/>
          <w:lang w:val="es-ES" w:eastAsia="es-MX"/>
        </w:rPr>
        <w:t xml:space="preserve">Propiciar una satisfactoria composición de intereses, mediante el consentimiento informado de las partes; y </w:t>
      </w:r>
    </w:p>
    <w:p w:rsidR="00652448" w:rsidRPr="00BE6053" w:rsidRDefault="00652448" w:rsidP="00652448">
      <w:pPr>
        <w:numPr>
          <w:ilvl w:val="0"/>
          <w:numId w:val="2"/>
        </w:numPr>
        <w:shd w:val="clear" w:color="auto" w:fill="FFFFFF"/>
        <w:spacing w:after="0" w:line="360" w:lineRule="auto"/>
        <w:contextualSpacing/>
        <w:jc w:val="both"/>
        <w:rPr>
          <w:rFonts w:ascii="Palatino Linotype" w:eastAsia="Times New Roman" w:hAnsi="Palatino Linotype" w:cs="Times New Roman"/>
          <w:sz w:val="24"/>
          <w:szCs w:val="24"/>
          <w:lang w:val="es-ES" w:eastAsia="es-MX"/>
        </w:rPr>
      </w:pPr>
      <w:r w:rsidRPr="00BE6053">
        <w:rPr>
          <w:rFonts w:ascii="Palatino Linotype" w:eastAsia="Times New Roman" w:hAnsi="Palatino Linotype" w:cs="Times New Roman"/>
          <w:sz w:val="24"/>
          <w:szCs w:val="24"/>
          <w:lang w:val="es-ES" w:eastAsia="es-MX"/>
        </w:rPr>
        <w:lastRenderedPageBreak/>
        <w:t>Acatar las demás disposiciones contenidas en las leyes, reglamentos, manuales, circulares, oficios y acuerdos relativos al servicio de la mediación o conciliación extrajudicial.</w:t>
      </w:r>
    </w:p>
    <w:p w:rsidR="0048635D" w:rsidRDefault="0048635D" w:rsidP="0048635D">
      <w:pPr>
        <w:shd w:val="clear" w:color="auto" w:fill="FFFFFF"/>
        <w:spacing w:before="100" w:beforeAutospacing="1" w:after="100" w:afterAutospacing="1" w:line="360" w:lineRule="auto"/>
        <w:jc w:val="both"/>
        <w:rPr>
          <w:rFonts w:ascii="Palatino Linotype" w:eastAsia="Times New Roman" w:hAnsi="Palatino Linotype" w:cs="Times New Roman"/>
          <w:sz w:val="24"/>
          <w:szCs w:val="23"/>
          <w:lang w:eastAsia="es-MX"/>
        </w:rPr>
      </w:pPr>
      <w:r>
        <w:rPr>
          <w:rFonts w:ascii="Palatino Linotype" w:eastAsia="Times New Roman" w:hAnsi="Palatino Linotype" w:cs="Times New Roman"/>
          <w:sz w:val="24"/>
          <w:szCs w:val="23"/>
          <w:lang w:eastAsia="es-MX"/>
        </w:rPr>
        <w:t>Precisado lo anterior, bajo la perspectiva que se sigue, si bien la conciliación es el proceso de solución de conflictos de manera amistosa en donde las partes intentan y en su caso resuelven sus controversias y la participación del tercero, es decir, del conciliador, solamente se limita a entablar una conversación recta, careciendo de facultades para decir la situación final, pero si tiene la facultad y obligación de cerciorarse que los derechos humanos sean adecuadamente  defendidos, caso contrario, seria nula la implementación de dicha figura, sustenta lo anterior el argumento vertido en la sentencia del 21 de enero de 1994 en el caso Caballero Delgado y Santana, de la Corte Interamericana de Derechos Humanos que a la letra dice:</w:t>
      </w:r>
    </w:p>
    <w:p w:rsidR="0048635D" w:rsidRPr="00652448" w:rsidRDefault="0048635D" w:rsidP="0048635D">
      <w:pPr>
        <w:shd w:val="clear" w:color="auto" w:fill="FFFFFF"/>
        <w:spacing w:before="100" w:beforeAutospacing="1" w:after="100" w:afterAutospacing="1" w:line="240" w:lineRule="auto"/>
        <w:ind w:left="851" w:right="851"/>
        <w:jc w:val="both"/>
        <w:rPr>
          <w:rFonts w:ascii="Palatino Linotype" w:eastAsia="Times New Roman" w:hAnsi="Palatino Linotype" w:cs="Times New Roman"/>
          <w:i/>
          <w:szCs w:val="23"/>
          <w:lang w:eastAsia="es-MX"/>
        </w:rPr>
      </w:pPr>
      <w:r w:rsidRPr="006113E0">
        <w:rPr>
          <w:rFonts w:ascii="Palatino Linotype" w:eastAsia="Times New Roman" w:hAnsi="Palatino Linotype" w:cs="Times New Roman"/>
          <w:i/>
          <w:szCs w:val="23"/>
          <w:lang w:eastAsia="es-MX"/>
        </w:rPr>
        <w:t xml:space="preserve">“En un procedimiento de solución amistosa es indispensable la intervención y decisión de las partes involucradas . . . (la Comisión) solamente podría sugerir a las partes entablar las conversaciones enderezadas a la solución amistosa pero no podría, por carecer de poder para ello, decidirla. La Comisión debe propiciar el acercamiento pero sus resultados no dependen de ella. </w:t>
      </w:r>
      <w:r w:rsidRPr="0048635D">
        <w:rPr>
          <w:rFonts w:ascii="Palatino Linotype" w:eastAsia="Times New Roman" w:hAnsi="Palatino Linotype" w:cs="Times New Roman"/>
          <w:b/>
          <w:i/>
          <w:szCs w:val="23"/>
          <w:lang w:eastAsia="es-MX"/>
        </w:rPr>
        <w:t>De alcanzarse el acuerdo debe ella cerciorarse de que los derechos humanos hayan sido adecuadamente defendido</w:t>
      </w:r>
      <w:r w:rsidRPr="006113E0">
        <w:rPr>
          <w:rFonts w:ascii="Palatino Linotype" w:eastAsia="Times New Roman" w:hAnsi="Palatino Linotype" w:cs="Times New Roman"/>
          <w:i/>
          <w:szCs w:val="23"/>
          <w:lang w:eastAsia="es-MX"/>
        </w:rPr>
        <w:t>”</w:t>
      </w:r>
    </w:p>
    <w:p w:rsidR="0048635D" w:rsidRDefault="0048635D" w:rsidP="0048635D">
      <w:pPr>
        <w:shd w:val="clear" w:color="auto" w:fill="FFFFFF"/>
        <w:spacing w:before="100" w:beforeAutospacing="1" w:after="100" w:afterAutospacing="1" w:line="360" w:lineRule="auto"/>
        <w:jc w:val="both"/>
        <w:rPr>
          <w:rFonts w:ascii="Palatino Linotype" w:eastAsia="Times New Roman" w:hAnsi="Palatino Linotype" w:cs="Times New Roman"/>
          <w:sz w:val="24"/>
          <w:szCs w:val="23"/>
          <w:lang w:eastAsia="es-MX"/>
        </w:rPr>
      </w:pPr>
      <w:r>
        <w:rPr>
          <w:rFonts w:ascii="Palatino Linotype" w:eastAsia="Times New Roman" w:hAnsi="Palatino Linotype" w:cs="Times New Roman"/>
          <w:sz w:val="24"/>
          <w:szCs w:val="23"/>
          <w:lang w:eastAsia="es-MX"/>
        </w:rPr>
        <w:t xml:space="preserve">En ese entendido, para que sea una verdadera conciliación efectiva y equilibrada se deben cumplir dos requisitos esenciales </w:t>
      </w:r>
    </w:p>
    <w:p w:rsidR="0048635D" w:rsidRDefault="0048635D" w:rsidP="0048635D">
      <w:pPr>
        <w:shd w:val="clear" w:color="auto" w:fill="FFFFFF"/>
        <w:spacing w:before="100" w:beforeAutospacing="1" w:after="100" w:afterAutospacing="1" w:line="360" w:lineRule="auto"/>
        <w:jc w:val="both"/>
        <w:rPr>
          <w:rFonts w:ascii="Palatino Linotype" w:eastAsia="Times New Roman" w:hAnsi="Palatino Linotype" w:cs="Times New Roman"/>
          <w:sz w:val="24"/>
          <w:szCs w:val="23"/>
          <w:lang w:eastAsia="es-MX"/>
        </w:rPr>
      </w:pPr>
      <w:r w:rsidRPr="006113E0">
        <w:rPr>
          <w:rFonts w:ascii="Palatino Linotype" w:eastAsia="Times New Roman" w:hAnsi="Palatino Linotype" w:cs="Times New Roman"/>
          <w:sz w:val="24"/>
          <w:szCs w:val="23"/>
          <w:lang w:eastAsia="es-MX"/>
        </w:rPr>
        <w:lastRenderedPageBreak/>
        <w:t xml:space="preserve">a) que estén "precisadas suficientemente las posiciones y pretensiones de las partes", lo que significa que el procedimiento solo puede iniciarse después que el gobierno haya dado respuesta expresa a la denuncia; y, </w:t>
      </w:r>
    </w:p>
    <w:p w:rsidR="0048635D" w:rsidRDefault="0048635D" w:rsidP="0048635D">
      <w:pPr>
        <w:shd w:val="clear" w:color="auto" w:fill="FFFFFF"/>
        <w:spacing w:before="100" w:beforeAutospacing="1" w:after="100" w:afterAutospacing="1" w:line="360" w:lineRule="auto"/>
        <w:jc w:val="both"/>
        <w:rPr>
          <w:rFonts w:ascii="Palatino Linotype" w:eastAsia="Times New Roman" w:hAnsi="Palatino Linotype" w:cs="Times New Roman"/>
          <w:sz w:val="24"/>
          <w:szCs w:val="23"/>
          <w:lang w:eastAsia="es-MX"/>
        </w:rPr>
      </w:pPr>
      <w:r w:rsidRPr="006113E0">
        <w:rPr>
          <w:rFonts w:ascii="Palatino Linotype" w:eastAsia="Times New Roman" w:hAnsi="Palatino Linotype" w:cs="Times New Roman"/>
          <w:sz w:val="24"/>
          <w:szCs w:val="23"/>
          <w:lang w:eastAsia="es-MX"/>
        </w:rPr>
        <w:t>b) que a juicio de la</w:t>
      </w:r>
      <w:r w:rsidRPr="006113E0">
        <w:t xml:space="preserve"> </w:t>
      </w:r>
      <w:r w:rsidRPr="006113E0">
        <w:rPr>
          <w:rFonts w:ascii="Palatino Linotype" w:eastAsia="Times New Roman" w:hAnsi="Palatino Linotype" w:cs="Times New Roman"/>
          <w:sz w:val="24"/>
          <w:szCs w:val="23"/>
          <w:lang w:eastAsia="es-MX"/>
        </w:rPr>
        <w:t>Comisión "el asunto por su naturaleza sea susceptible de solucionarse mediante el pro</w:t>
      </w:r>
      <w:r>
        <w:rPr>
          <w:rFonts w:ascii="Palatino Linotype" w:eastAsia="Times New Roman" w:hAnsi="Palatino Linotype" w:cs="Times New Roman"/>
          <w:sz w:val="24"/>
          <w:szCs w:val="23"/>
          <w:lang w:eastAsia="es-MX"/>
        </w:rPr>
        <w:t>cedimiento de solución amistosa”</w:t>
      </w:r>
    </w:p>
    <w:p w:rsidR="0048635D" w:rsidRDefault="0048635D" w:rsidP="00652448">
      <w:pPr>
        <w:shd w:val="clear" w:color="auto" w:fill="FFFFFF"/>
        <w:spacing w:before="100" w:beforeAutospacing="1" w:after="100" w:afterAutospacing="1" w:line="360" w:lineRule="auto"/>
        <w:jc w:val="both"/>
        <w:rPr>
          <w:rFonts w:ascii="Palatino Linotype" w:eastAsia="Times New Roman" w:hAnsi="Palatino Linotype" w:cs="Times New Roman"/>
          <w:sz w:val="24"/>
          <w:szCs w:val="23"/>
          <w:lang w:eastAsia="es-MX"/>
        </w:rPr>
      </w:pPr>
      <w:r>
        <w:rPr>
          <w:rFonts w:ascii="Palatino Linotype" w:eastAsia="Times New Roman" w:hAnsi="Palatino Linotype" w:cs="Times New Roman"/>
          <w:sz w:val="24"/>
          <w:szCs w:val="23"/>
          <w:lang w:eastAsia="es-MX"/>
        </w:rPr>
        <w:t xml:space="preserve">Es decir, sin estos dos requisitos </w:t>
      </w:r>
      <w:r w:rsidRPr="007269FA">
        <w:rPr>
          <w:rFonts w:ascii="Palatino Linotype" w:eastAsia="Times New Roman" w:hAnsi="Palatino Linotype" w:cs="Times New Roman"/>
          <w:i/>
          <w:sz w:val="24"/>
          <w:szCs w:val="23"/>
          <w:lang w:eastAsia="es-MX"/>
        </w:rPr>
        <w:t>sine que non</w:t>
      </w:r>
      <w:r>
        <w:rPr>
          <w:rFonts w:ascii="Palatino Linotype" w:eastAsia="Times New Roman" w:hAnsi="Palatino Linotype" w:cs="Times New Roman"/>
          <w:sz w:val="24"/>
          <w:szCs w:val="23"/>
          <w:lang w:eastAsia="es-MX"/>
        </w:rPr>
        <w:t>, sería complicado sustentar a la conciliación como un elemento contundente en la resolución de conflictos y al visualizar el contexto en el que resolvió el presente asunto, no se dejó claro que ambas situaciones se hayan comprobado.</w:t>
      </w:r>
    </w:p>
    <w:p w:rsidR="004F4FE7" w:rsidRDefault="00652448" w:rsidP="00652448">
      <w:pPr>
        <w:shd w:val="clear" w:color="auto" w:fill="FFFFFF"/>
        <w:spacing w:before="100" w:beforeAutospacing="1" w:after="100" w:afterAutospacing="1" w:line="360" w:lineRule="auto"/>
        <w:jc w:val="both"/>
        <w:rPr>
          <w:rFonts w:ascii="Palatino Linotype" w:eastAsia="Times New Roman" w:hAnsi="Palatino Linotype" w:cs="Times New Roman"/>
          <w:sz w:val="24"/>
          <w:szCs w:val="23"/>
          <w:lang w:eastAsia="es-MX"/>
        </w:rPr>
      </w:pPr>
      <w:r w:rsidRPr="00BE6053">
        <w:rPr>
          <w:rFonts w:ascii="Palatino Linotype" w:eastAsia="Times New Roman" w:hAnsi="Palatino Linotype" w:cs="Times New Roman"/>
          <w:sz w:val="24"/>
          <w:szCs w:val="23"/>
          <w:lang w:eastAsia="es-MX"/>
        </w:rPr>
        <w:t>Al respecto d</w:t>
      </w:r>
      <w:r w:rsidR="004F4FE7" w:rsidRPr="00BE6053">
        <w:rPr>
          <w:rFonts w:ascii="Palatino Linotype" w:eastAsia="Times New Roman" w:hAnsi="Palatino Linotype" w:cs="Times New Roman"/>
          <w:sz w:val="24"/>
          <w:szCs w:val="23"/>
          <w:lang w:eastAsia="es-MX"/>
        </w:rPr>
        <w:t>ebe precisarse que en el caso</w:t>
      </w:r>
      <w:r w:rsidRPr="00BE6053">
        <w:rPr>
          <w:rFonts w:ascii="Palatino Linotype" w:eastAsia="Times New Roman" w:hAnsi="Palatino Linotype" w:cs="Times New Roman"/>
          <w:sz w:val="24"/>
          <w:szCs w:val="23"/>
          <w:lang w:eastAsia="es-MX"/>
        </w:rPr>
        <w:t xml:space="preserve"> concreto, si bien es cierto se llegó a un acue</w:t>
      </w:r>
      <w:r w:rsidR="00A86CD9" w:rsidRPr="00BE6053">
        <w:rPr>
          <w:rFonts w:ascii="Palatino Linotype" w:eastAsia="Times New Roman" w:hAnsi="Palatino Linotype" w:cs="Times New Roman"/>
          <w:sz w:val="24"/>
          <w:szCs w:val="23"/>
          <w:lang w:eastAsia="es-MX"/>
        </w:rPr>
        <w:t>rdo conciliatorio en el que el S</w:t>
      </w:r>
      <w:r w:rsidRPr="00BE6053">
        <w:rPr>
          <w:rFonts w:ascii="Palatino Linotype" w:eastAsia="Times New Roman" w:hAnsi="Palatino Linotype" w:cs="Times New Roman"/>
          <w:sz w:val="24"/>
          <w:szCs w:val="23"/>
          <w:lang w:eastAsia="es-MX"/>
        </w:rPr>
        <w:t>ujeto Obligado se comprometió</w:t>
      </w:r>
      <w:r w:rsidRPr="00652448">
        <w:rPr>
          <w:rFonts w:ascii="Palatino Linotype" w:eastAsia="Times New Roman" w:hAnsi="Palatino Linotype" w:cs="Times New Roman"/>
          <w:sz w:val="24"/>
          <w:szCs w:val="23"/>
          <w:lang w:eastAsia="es-MX"/>
        </w:rPr>
        <w:t xml:space="preserve"> entregar la información requerida, previo pago de los derechos correspondientes, sin embargo</w:t>
      </w:r>
      <w:r w:rsidR="0048635D">
        <w:rPr>
          <w:rFonts w:ascii="Palatino Linotype" w:eastAsia="Times New Roman" w:hAnsi="Palatino Linotype" w:cs="Times New Roman"/>
          <w:sz w:val="24"/>
          <w:szCs w:val="23"/>
          <w:lang w:eastAsia="es-MX"/>
        </w:rPr>
        <w:t>,</w:t>
      </w:r>
      <w:r w:rsidRPr="00652448">
        <w:rPr>
          <w:rFonts w:ascii="Palatino Linotype" w:eastAsia="Times New Roman" w:hAnsi="Palatino Linotype" w:cs="Times New Roman"/>
          <w:sz w:val="24"/>
          <w:szCs w:val="23"/>
          <w:lang w:eastAsia="es-MX"/>
        </w:rPr>
        <w:t xml:space="preserve"> a consideración del suscrito, </w:t>
      </w:r>
      <w:r w:rsidR="004F4FE7">
        <w:rPr>
          <w:rFonts w:ascii="Palatino Linotype" w:eastAsia="Times New Roman" w:hAnsi="Palatino Linotype" w:cs="Times New Roman"/>
          <w:sz w:val="24"/>
          <w:szCs w:val="23"/>
          <w:lang w:eastAsia="es-MX"/>
        </w:rPr>
        <w:t>siendo que</w:t>
      </w:r>
      <w:r w:rsidRPr="00652448">
        <w:rPr>
          <w:rFonts w:ascii="Palatino Linotype" w:eastAsia="Times New Roman" w:hAnsi="Palatino Linotype" w:cs="Times New Roman"/>
          <w:sz w:val="24"/>
          <w:szCs w:val="23"/>
          <w:lang w:eastAsia="es-MX"/>
        </w:rPr>
        <w:t xml:space="preserve"> </w:t>
      </w:r>
      <w:r w:rsidR="0048635D">
        <w:rPr>
          <w:rFonts w:ascii="Palatino Linotype" w:eastAsia="Times New Roman" w:hAnsi="Palatino Linotype" w:cs="Times New Roman"/>
          <w:sz w:val="24"/>
          <w:szCs w:val="23"/>
          <w:lang w:eastAsia="es-MX"/>
        </w:rPr>
        <w:t xml:space="preserve">el Instituto funge como </w:t>
      </w:r>
      <w:r w:rsidR="004F4FE7">
        <w:rPr>
          <w:rFonts w:ascii="Palatino Linotype" w:eastAsia="Times New Roman" w:hAnsi="Palatino Linotype" w:cs="Times New Roman"/>
          <w:sz w:val="24"/>
          <w:szCs w:val="23"/>
          <w:lang w:eastAsia="es-MX"/>
        </w:rPr>
        <w:t xml:space="preserve">conciliador debe determinar si dicho acuerdo de arreglo guarda congruencia con los derechos humanos, debió entrar al fondo del asunto y determinar si no se violentaban derechos humanos y se cumplían con los principios rectores del procedimiento de conciliación, así también como determinar puntualmente si </w:t>
      </w:r>
      <w:r w:rsidR="00EF109B">
        <w:rPr>
          <w:rFonts w:ascii="Palatino Linotype" w:eastAsia="Times New Roman" w:hAnsi="Palatino Linotype" w:cs="Times New Roman"/>
          <w:sz w:val="24"/>
          <w:szCs w:val="23"/>
          <w:lang w:eastAsia="es-MX"/>
        </w:rPr>
        <w:t>se acreditaba</w:t>
      </w:r>
      <w:r w:rsidR="004F4FE7">
        <w:rPr>
          <w:rFonts w:ascii="Palatino Linotype" w:eastAsia="Times New Roman" w:hAnsi="Palatino Linotype" w:cs="Times New Roman"/>
          <w:sz w:val="24"/>
          <w:szCs w:val="23"/>
          <w:lang w:eastAsia="es-MX"/>
        </w:rPr>
        <w:t xml:space="preserve"> un verdadero interés legítimo, dado que al no hacerlo de </w:t>
      </w:r>
      <w:r w:rsidR="004F4FE7" w:rsidRPr="004F4FE7">
        <w:rPr>
          <w:rFonts w:ascii="Palatino Linotype" w:eastAsia="Times New Roman" w:hAnsi="Palatino Linotype" w:cs="Times New Roman"/>
          <w:i/>
          <w:sz w:val="24"/>
          <w:szCs w:val="23"/>
          <w:lang w:eastAsia="es-MX"/>
        </w:rPr>
        <w:t>iure</w:t>
      </w:r>
      <w:r w:rsidR="004F4FE7">
        <w:rPr>
          <w:rFonts w:ascii="Palatino Linotype" w:eastAsia="Times New Roman" w:hAnsi="Palatino Linotype" w:cs="Times New Roman"/>
          <w:sz w:val="24"/>
          <w:szCs w:val="23"/>
          <w:lang w:eastAsia="es-MX"/>
        </w:rPr>
        <w:t>, se puede caer en un exceso del derecho y no delimitar de manera correcta la efectividad del derecho en cuestión.</w:t>
      </w:r>
    </w:p>
    <w:p w:rsidR="00BE6053" w:rsidRDefault="00BE6053" w:rsidP="00652448">
      <w:pPr>
        <w:shd w:val="clear" w:color="auto" w:fill="FFFFFF"/>
        <w:spacing w:before="100" w:beforeAutospacing="1" w:after="100" w:afterAutospacing="1" w:line="360" w:lineRule="auto"/>
        <w:jc w:val="both"/>
        <w:rPr>
          <w:rFonts w:ascii="Palatino Linotype" w:eastAsia="Times New Roman" w:hAnsi="Palatino Linotype" w:cs="Times New Roman"/>
          <w:sz w:val="24"/>
          <w:szCs w:val="23"/>
          <w:lang w:eastAsia="es-MX"/>
        </w:rPr>
      </w:pPr>
      <w:r w:rsidRPr="007269FA">
        <w:rPr>
          <w:rFonts w:ascii="Palatino Linotype" w:eastAsia="Times New Roman" w:hAnsi="Palatino Linotype" w:cs="Times New Roman"/>
          <w:sz w:val="24"/>
          <w:szCs w:val="23"/>
          <w:lang w:eastAsia="es-MX"/>
        </w:rPr>
        <w:lastRenderedPageBreak/>
        <w:t>En ese orden de ideas, y bajo los argumentos que anteceden es que se debe seguir en todo momento los principios de la conciliación de los cuales ya se han hecho mención y que en el procedimiento de conciliación del presente asunto, no se siguieron a cabalidad.</w:t>
      </w:r>
    </w:p>
    <w:p w:rsidR="00652448" w:rsidRDefault="00EF109B" w:rsidP="00652448">
      <w:pPr>
        <w:shd w:val="clear" w:color="auto" w:fill="FFFFFF"/>
        <w:spacing w:before="100" w:beforeAutospacing="1" w:after="100" w:afterAutospacing="1" w:line="360" w:lineRule="auto"/>
        <w:jc w:val="both"/>
        <w:rPr>
          <w:rFonts w:ascii="Palatino Linotype" w:eastAsia="Times New Roman" w:hAnsi="Palatino Linotype" w:cs="Times New Roman"/>
          <w:sz w:val="24"/>
          <w:szCs w:val="23"/>
          <w:lang w:eastAsia="es-MX"/>
        </w:rPr>
      </w:pPr>
      <w:r>
        <w:rPr>
          <w:rFonts w:ascii="Palatino Linotype" w:eastAsia="Times New Roman" w:hAnsi="Palatino Linotype" w:cs="Times New Roman"/>
          <w:sz w:val="24"/>
          <w:szCs w:val="23"/>
          <w:lang w:eastAsia="es-MX"/>
        </w:rPr>
        <w:t xml:space="preserve">En esa perspectiva es de suma importancia no perder </w:t>
      </w:r>
      <w:r w:rsidR="00652448" w:rsidRPr="00652448">
        <w:rPr>
          <w:rFonts w:ascii="Palatino Linotype" w:eastAsia="Times New Roman" w:hAnsi="Palatino Linotype" w:cs="Times New Roman"/>
          <w:sz w:val="24"/>
          <w:szCs w:val="23"/>
          <w:lang w:eastAsia="es-MX"/>
        </w:rPr>
        <w:t>de vista que en el presente asunto se pretende acceder a derechos de un tercero</w:t>
      </w:r>
      <w:r w:rsidR="00A86CD9" w:rsidRPr="00AD71E4">
        <w:rPr>
          <w:rFonts w:ascii="Palatino Linotype" w:eastAsia="Times New Roman" w:hAnsi="Palatino Linotype" w:cs="Times New Roman"/>
          <w:sz w:val="24"/>
          <w:szCs w:val="23"/>
          <w:lang w:eastAsia="es-MX"/>
        </w:rPr>
        <w:t xml:space="preserve"> </w:t>
      </w:r>
      <w:r w:rsidR="00652448" w:rsidRPr="00652448">
        <w:rPr>
          <w:rFonts w:ascii="Palatino Linotype" w:eastAsia="Times New Roman" w:hAnsi="Palatino Linotype" w:cs="Times New Roman"/>
          <w:sz w:val="24"/>
          <w:szCs w:val="23"/>
          <w:lang w:eastAsia="es-MX"/>
        </w:rPr>
        <w:t>(</w:t>
      </w:r>
      <w:r w:rsidR="00652448" w:rsidRPr="00652448">
        <w:rPr>
          <w:rFonts w:ascii="Palatino Linotype" w:eastAsia="Times New Roman" w:hAnsi="Palatino Linotype" w:cs="Times New Roman"/>
          <w:i/>
          <w:sz w:val="24"/>
          <w:szCs w:val="23"/>
          <w:lang w:eastAsia="es-MX"/>
        </w:rPr>
        <w:t>persona fallecida</w:t>
      </w:r>
      <w:r w:rsidR="00652448" w:rsidRPr="00652448">
        <w:rPr>
          <w:rFonts w:ascii="Palatino Linotype" w:eastAsia="Times New Roman" w:hAnsi="Palatino Linotype" w:cs="Times New Roman"/>
          <w:sz w:val="24"/>
          <w:szCs w:val="23"/>
          <w:lang w:eastAsia="es-MX"/>
        </w:rPr>
        <w:t xml:space="preserve">), es decir, </w:t>
      </w:r>
      <w:r w:rsidR="00A86CD9" w:rsidRPr="00AD71E4">
        <w:rPr>
          <w:rFonts w:ascii="Palatino Linotype" w:eastAsia="Times New Roman" w:hAnsi="Palatino Linotype" w:cs="Times New Roman"/>
          <w:sz w:val="24"/>
          <w:szCs w:val="23"/>
          <w:lang w:eastAsia="es-MX"/>
        </w:rPr>
        <w:t>el recurrente</w:t>
      </w:r>
      <w:r w:rsidR="00652448" w:rsidRPr="00652448">
        <w:rPr>
          <w:rFonts w:ascii="Palatino Linotype" w:eastAsia="Times New Roman" w:hAnsi="Palatino Linotype" w:cs="Times New Roman"/>
          <w:sz w:val="24"/>
          <w:szCs w:val="23"/>
          <w:lang w:eastAsia="es-MX"/>
        </w:rPr>
        <w:t xml:space="preserve"> si bien refiere ser </w:t>
      </w:r>
      <w:r w:rsidR="00A86CD9" w:rsidRPr="00AD71E4">
        <w:rPr>
          <w:rFonts w:ascii="Palatino Linotype" w:eastAsia="Times New Roman" w:hAnsi="Palatino Linotype" w:cs="Times New Roman"/>
          <w:sz w:val="24"/>
          <w:szCs w:val="23"/>
          <w:lang w:eastAsia="es-MX"/>
        </w:rPr>
        <w:t>beneficiario</w:t>
      </w:r>
      <w:r w:rsidR="00652448" w:rsidRPr="00652448">
        <w:rPr>
          <w:rFonts w:ascii="Palatino Linotype" w:eastAsia="Times New Roman" w:hAnsi="Palatino Linotype" w:cs="Times New Roman"/>
          <w:sz w:val="24"/>
          <w:szCs w:val="23"/>
          <w:lang w:eastAsia="es-MX"/>
        </w:rPr>
        <w:t xml:space="preserve"> de una póliza de seguro, los datos contenidos en el expediente clínico requerido no pertenecen </w:t>
      </w:r>
      <w:r w:rsidR="00A86CD9" w:rsidRPr="00AD71E4">
        <w:rPr>
          <w:rFonts w:ascii="Palatino Linotype" w:eastAsia="Times New Roman" w:hAnsi="Palatino Linotype" w:cs="Times New Roman"/>
          <w:sz w:val="24"/>
          <w:szCs w:val="23"/>
          <w:lang w:eastAsia="es-MX"/>
        </w:rPr>
        <w:t>a</w:t>
      </w:r>
      <w:r>
        <w:rPr>
          <w:rFonts w:ascii="Palatino Linotype" w:eastAsia="Times New Roman" w:hAnsi="Palatino Linotype" w:cs="Times New Roman"/>
          <w:sz w:val="24"/>
          <w:szCs w:val="23"/>
          <w:lang w:eastAsia="es-MX"/>
        </w:rPr>
        <w:t xml:space="preserve"> este, es decir, </w:t>
      </w:r>
      <w:r w:rsidRPr="00EF109B">
        <w:rPr>
          <w:rFonts w:ascii="Palatino Linotype" w:eastAsia="Times New Roman" w:hAnsi="Palatino Linotype" w:cs="Times New Roman"/>
          <w:b/>
          <w:sz w:val="24"/>
          <w:szCs w:val="23"/>
          <w:u w:val="single"/>
          <w:lang w:eastAsia="es-MX"/>
        </w:rPr>
        <w:t>no es titular del derecho al que se le dio acceso</w:t>
      </w:r>
      <w:r>
        <w:rPr>
          <w:rFonts w:ascii="Palatino Linotype" w:eastAsia="Times New Roman" w:hAnsi="Palatino Linotype" w:cs="Times New Roman"/>
          <w:sz w:val="24"/>
          <w:szCs w:val="23"/>
          <w:lang w:eastAsia="es-MX"/>
        </w:rPr>
        <w:t>.</w:t>
      </w:r>
    </w:p>
    <w:p w:rsidR="00BE6053" w:rsidRDefault="007269FA" w:rsidP="007269FA">
      <w:pPr>
        <w:shd w:val="clear" w:color="auto" w:fill="FFFFFF"/>
        <w:spacing w:before="100" w:beforeAutospacing="1" w:after="100" w:afterAutospacing="1" w:line="360" w:lineRule="auto"/>
        <w:jc w:val="both"/>
        <w:rPr>
          <w:rFonts w:ascii="Palatino Linotype" w:eastAsia="Times New Roman" w:hAnsi="Palatino Linotype" w:cs="Times New Roman"/>
          <w:sz w:val="24"/>
          <w:szCs w:val="23"/>
          <w:lang w:eastAsia="es-MX"/>
        </w:rPr>
      </w:pPr>
      <w:r w:rsidRPr="00652448">
        <w:rPr>
          <w:rFonts w:ascii="Palatino Linotype" w:eastAsia="Times New Roman" w:hAnsi="Palatino Linotype" w:cs="Times New Roman"/>
          <w:sz w:val="24"/>
          <w:szCs w:val="23"/>
          <w:lang w:eastAsia="es-MX"/>
        </w:rPr>
        <w:t xml:space="preserve">Por otra parte, se debió determinarse cuál era el contenido del expediente clínico en comento, lo anterior, para determinar si era pertinente otorgar el acceso total a los documentos que </w:t>
      </w:r>
      <w:r w:rsidR="00EF109B">
        <w:rPr>
          <w:rFonts w:ascii="Palatino Linotype" w:eastAsia="Times New Roman" w:hAnsi="Palatino Linotype" w:cs="Times New Roman"/>
          <w:sz w:val="24"/>
          <w:szCs w:val="23"/>
          <w:lang w:eastAsia="es-MX"/>
        </w:rPr>
        <w:t>lo integran</w:t>
      </w:r>
      <w:r w:rsidRPr="00652448">
        <w:rPr>
          <w:rFonts w:ascii="Palatino Linotype" w:eastAsia="Times New Roman" w:hAnsi="Palatino Linotype" w:cs="Times New Roman"/>
          <w:sz w:val="24"/>
          <w:szCs w:val="23"/>
          <w:lang w:eastAsia="es-MX"/>
        </w:rPr>
        <w:t>, o solo a parte del mismo, toda vez que no se debe perder de vista que dichas documentales contienen información relacionadas con el estado salud de una persona distinta a la</w:t>
      </w:r>
      <w:r w:rsidR="00EF109B">
        <w:rPr>
          <w:rFonts w:ascii="Palatino Linotype" w:eastAsia="Times New Roman" w:hAnsi="Palatino Linotype" w:cs="Times New Roman"/>
          <w:sz w:val="24"/>
          <w:szCs w:val="23"/>
          <w:lang w:eastAsia="es-MX"/>
        </w:rPr>
        <w:t xml:space="preserve"> parte</w:t>
      </w:r>
      <w:r w:rsidRPr="00652448">
        <w:rPr>
          <w:rFonts w:ascii="Palatino Linotype" w:eastAsia="Times New Roman" w:hAnsi="Palatino Linotype" w:cs="Times New Roman"/>
          <w:sz w:val="24"/>
          <w:szCs w:val="23"/>
          <w:lang w:eastAsia="es-MX"/>
        </w:rPr>
        <w:t xml:space="preserve"> recurrente, que de hacerse públicas pueden atentar el honor del titular de los datos solicitados, motivo por el cual y tom</w:t>
      </w:r>
      <w:r>
        <w:rPr>
          <w:rFonts w:ascii="Palatino Linotype" w:eastAsia="Times New Roman" w:hAnsi="Palatino Linotype" w:cs="Times New Roman"/>
          <w:sz w:val="24"/>
          <w:szCs w:val="23"/>
          <w:lang w:eastAsia="es-MX"/>
        </w:rPr>
        <w:t>ando en cuenta que este Órgano G</w:t>
      </w:r>
      <w:r w:rsidRPr="00652448">
        <w:rPr>
          <w:rFonts w:ascii="Palatino Linotype" w:eastAsia="Times New Roman" w:hAnsi="Palatino Linotype" w:cs="Times New Roman"/>
          <w:sz w:val="24"/>
          <w:szCs w:val="23"/>
          <w:lang w:eastAsia="es-MX"/>
        </w:rPr>
        <w:t>arante es el encargo de velar por la protección de datos personales, el actuar, de este Instituto en el presente asunto debió ser más participe en el procedimiento en comento.</w:t>
      </w:r>
    </w:p>
    <w:p w:rsidR="00BE6053" w:rsidRDefault="00BE6053" w:rsidP="007269FA">
      <w:pPr>
        <w:shd w:val="clear" w:color="auto" w:fill="FFFFFF"/>
        <w:spacing w:before="100" w:beforeAutospacing="1" w:after="100" w:afterAutospacing="1" w:line="360" w:lineRule="auto"/>
        <w:jc w:val="both"/>
        <w:rPr>
          <w:rFonts w:ascii="Palatino Linotype" w:eastAsia="Times New Roman" w:hAnsi="Palatino Linotype" w:cs="Times New Roman"/>
          <w:sz w:val="24"/>
          <w:szCs w:val="23"/>
          <w:lang w:eastAsia="es-MX"/>
        </w:rPr>
      </w:pPr>
      <w:r>
        <w:rPr>
          <w:rFonts w:ascii="Palatino Linotype" w:eastAsia="Times New Roman" w:hAnsi="Palatino Linotype" w:cs="Times New Roman"/>
          <w:sz w:val="24"/>
          <w:szCs w:val="23"/>
          <w:lang w:eastAsia="es-MX"/>
        </w:rPr>
        <w:t xml:space="preserve">En relación con lo anterior, teniendo como referente lo expuesto por el Tribunal Europeo de Derechos Humanos, en la </w:t>
      </w:r>
      <w:r w:rsidRPr="00BE6053">
        <w:rPr>
          <w:rFonts w:ascii="Palatino Linotype" w:eastAsia="Times New Roman" w:hAnsi="Palatino Linotype" w:cs="Times New Roman"/>
          <w:i/>
          <w:sz w:val="24"/>
          <w:szCs w:val="23"/>
          <w:lang w:eastAsia="es-MX"/>
        </w:rPr>
        <w:t xml:space="preserve">sentencia Axel </w:t>
      </w:r>
      <w:proofErr w:type="spellStart"/>
      <w:r w:rsidRPr="00BE6053">
        <w:rPr>
          <w:rFonts w:ascii="Palatino Linotype" w:eastAsia="Times New Roman" w:hAnsi="Palatino Linotype" w:cs="Times New Roman"/>
          <w:i/>
          <w:sz w:val="24"/>
          <w:szCs w:val="23"/>
          <w:lang w:eastAsia="es-MX"/>
        </w:rPr>
        <w:t>Springer</w:t>
      </w:r>
      <w:proofErr w:type="spellEnd"/>
      <w:r>
        <w:rPr>
          <w:rFonts w:ascii="Palatino Linotype" w:eastAsia="Times New Roman" w:hAnsi="Palatino Linotype" w:cs="Times New Roman"/>
          <w:sz w:val="24"/>
          <w:szCs w:val="23"/>
          <w:lang w:eastAsia="es-MX"/>
        </w:rPr>
        <w:t xml:space="preserve">, la cual establece los siguientes criterios sobre la intimidad e imagen; </w:t>
      </w:r>
      <w:r w:rsidRPr="00BE6053">
        <w:rPr>
          <w:rFonts w:ascii="Palatino Linotype" w:eastAsia="Times New Roman" w:hAnsi="Palatino Linotype" w:cs="Times New Roman"/>
          <w:sz w:val="24"/>
          <w:szCs w:val="23"/>
          <w:lang w:eastAsia="es-MX"/>
        </w:rPr>
        <w:t xml:space="preserve">a) contribución a un debate de </w:t>
      </w:r>
      <w:r w:rsidRPr="00BE6053">
        <w:rPr>
          <w:rFonts w:ascii="Palatino Linotype" w:eastAsia="Times New Roman" w:hAnsi="Palatino Linotype" w:cs="Times New Roman"/>
          <w:sz w:val="24"/>
          <w:szCs w:val="23"/>
          <w:lang w:eastAsia="es-MX"/>
        </w:rPr>
        <w:lastRenderedPageBreak/>
        <w:t>interés general; b) popularidad de la persona afectada y objeto del reportaje; c) conducta previa de la persona afectada; d) método de obtención de la información y su veracidad; e) contenido, forma y consecuencias de la publicación; f) severidad de la sanción impuesta; y g) conclusión global</w:t>
      </w:r>
      <w:r>
        <w:rPr>
          <w:rFonts w:ascii="Palatino Linotype" w:eastAsia="Times New Roman" w:hAnsi="Palatino Linotype" w:cs="Times New Roman"/>
          <w:sz w:val="24"/>
          <w:szCs w:val="23"/>
          <w:lang w:eastAsia="es-MX"/>
        </w:rPr>
        <w:t>.</w:t>
      </w:r>
    </w:p>
    <w:p w:rsidR="00BE6053" w:rsidRDefault="00BE6053" w:rsidP="007269FA">
      <w:pPr>
        <w:shd w:val="clear" w:color="auto" w:fill="FFFFFF"/>
        <w:spacing w:before="100" w:beforeAutospacing="1" w:after="100" w:afterAutospacing="1" w:line="360" w:lineRule="auto"/>
        <w:jc w:val="both"/>
        <w:rPr>
          <w:rFonts w:ascii="Palatino Linotype" w:eastAsia="Times New Roman" w:hAnsi="Palatino Linotype" w:cs="Times New Roman"/>
          <w:sz w:val="24"/>
          <w:szCs w:val="23"/>
          <w:lang w:eastAsia="es-MX"/>
        </w:rPr>
      </w:pPr>
      <w:r>
        <w:rPr>
          <w:rFonts w:ascii="Palatino Linotype" w:eastAsia="Times New Roman" w:hAnsi="Palatino Linotype" w:cs="Times New Roman"/>
          <w:sz w:val="24"/>
          <w:szCs w:val="23"/>
          <w:lang w:eastAsia="es-MX"/>
        </w:rPr>
        <w:t>Los elementos antes mencionados, son referentes para que se puedan en todo caso exponer los datos de una persona fallecida, si estos no se agotan no hay razones suficientes para hacerlo.</w:t>
      </w:r>
    </w:p>
    <w:p w:rsidR="001259BA" w:rsidRPr="007269FA" w:rsidRDefault="007269FA" w:rsidP="007269FA">
      <w:pPr>
        <w:shd w:val="clear" w:color="auto" w:fill="FFFFFF"/>
        <w:spacing w:before="100" w:beforeAutospacing="1" w:after="100" w:afterAutospacing="1" w:line="360" w:lineRule="auto"/>
        <w:jc w:val="both"/>
        <w:rPr>
          <w:rFonts w:ascii="Palatino Linotype" w:eastAsia="Times New Roman" w:hAnsi="Palatino Linotype" w:cs="Times New Roman"/>
          <w:sz w:val="24"/>
          <w:szCs w:val="23"/>
          <w:lang w:eastAsia="es-MX"/>
        </w:rPr>
      </w:pPr>
      <w:r>
        <w:rPr>
          <w:rFonts w:ascii="Palatino Linotype" w:eastAsia="Times New Roman" w:hAnsi="Palatino Linotype" w:cs="Times New Roman"/>
          <w:sz w:val="24"/>
          <w:szCs w:val="23"/>
          <w:lang w:eastAsia="es-MX"/>
        </w:rPr>
        <w:t>L</w:t>
      </w:r>
      <w:r w:rsidRPr="00652448">
        <w:rPr>
          <w:rFonts w:ascii="Palatino Linotype" w:hAnsi="Palatino Linotype"/>
          <w:sz w:val="24"/>
          <w:szCs w:val="23"/>
        </w:rPr>
        <w:t>o</w:t>
      </w:r>
      <w:r w:rsidR="00652448" w:rsidRPr="00652448">
        <w:rPr>
          <w:rFonts w:ascii="Palatino Linotype" w:hAnsi="Palatino Linotype"/>
          <w:sz w:val="24"/>
          <w:szCs w:val="23"/>
        </w:rPr>
        <w:t xml:space="preserve"> anterior, son razones suficientes para la emisión y presentación del presente Voto </w:t>
      </w:r>
      <w:r>
        <w:rPr>
          <w:rFonts w:ascii="Palatino Linotype" w:hAnsi="Palatino Linotype"/>
          <w:sz w:val="24"/>
          <w:szCs w:val="23"/>
        </w:rPr>
        <w:t>Disidente</w:t>
      </w:r>
      <w:r w:rsidR="00652448" w:rsidRPr="00652448">
        <w:rPr>
          <w:rFonts w:ascii="Palatino Linotype" w:hAnsi="Palatino Linotype"/>
          <w:sz w:val="24"/>
          <w:szCs w:val="23"/>
        </w:rPr>
        <w:t xml:space="preserve"> relacionado con la resolución del recurso de revisión referido.</w:t>
      </w:r>
    </w:p>
    <w:tbl>
      <w:tblPr>
        <w:tblStyle w:val="Tablaconcuadrcula1"/>
        <w:tblpPr w:leftFromText="141" w:rightFromText="141" w:vertAnchor="text" w:horzAnchor="margin" w:tblpXSpec="center"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1259BA" w:rsidRPr="00BF7F6A" w:rsidTr="00D032FF">
        <w:trPr>
          <w:trHeight w:val="809"/>
        </w:trPr>
        <w:tc>
          <w:tcPr>
            <w:tcW w:w="4396" w:type="dxa"/>
          </w:tcPr>
          <w:p w:rsidR="001259BA" w:rsidRPr="00BF7F6A" w:rsidRDefault="001259BA" w:rsidP="00D032FF">
            <w:pPr>
              <w:spacing w:after="160"/>
              <w:jc w:val="center"/>
              <w:rPr>
                <w:rFonts w:ascii="Palatino Linotype" w:hAnsi="Palatino Linotype"/>
                <w:b/>
                <w:sz w:val="24"/>
                <w:szCs w:val="24"/>
              </w:rPr>
            </w:pPr>
          </w:p>
          <w:p w:rsidR="001259BA" w:rsidRPr="00BF7F6A" w:rsidRDefault="001259BA" w:rsidP="00D032FF">
            <w:pPr>
              <w:jc w:val="center"/>
              <w:rPr>
                <w:rFonts w:ascii="Palatino Linotype" w:hAnsi="Palatino Linotype"/>
                <w:b/>
                <w:sz w:val="24"/>
                <w:szCs w:val="24"/>
              </w:rPr>
            </w:pPr>
            <w:r>
              <w:rPr>
                <w:rFonts w:ascii="Palatino Linotype" w:hAnsi="Palatino Linotype"/>
                <w:b/>
                <w:sz w:val="24"/>
                <w:szCs w:val="24"/>
              </w:rPr>
              <w:t>Javier Martínez Cruz</w:t>
            </w:r>
          </w:p>
        </w:tc>
      </w:tr>
      <w:tr w:rsidR="001259BA" w:rsidRPr="00BF7F6A" w:rsidTr="00D032FF">
        <w:trPr>
          <w:trHeight w:val="319"/>
        </w:trPr>
        <w:tc>
          <w:tcPr>
            <w:tcW w:w="4396" w:type="dxa"/>
          </w:tcPr>
          <w:p w:rsidR="001259BA" w:rsidRPr="00BF7F6A" w:rsidRDefault="001259BA" w:rsidP="00D032FF">
            <w:pPr>
              <w:jc w:val="center"/>
              <w:rPr>
                <w:rFonts w:ascii="Palatino Linotype" w:hAnsi="Palatino Linotype"/>
                <w:b/>
                <w:sz w:val="24"/>
                <w:szCs w:val="24"/>
              </w:rPr>
            </w:pPr>
            <w:r>
              <w:rPr>
                <w:rFonts w:ascii="Palatino Linotype" w:hAnsi="Palatino Linotype"/>
                <w:b/>
                <w:sz w:val="24"/>
                <w:szCs w:val="24"/>
              </w:rPr>
              <w:t>Comisionado</w:t>
            </w:r>
          </w:p>
          <w:p w:rsidR="001259BA" w:rsidRPr="00BF7F6A" w:rsidRDefault="001259BA" w:rsidP="00D032FF">
            <w:pPr>
              <w:spacing w:after="160"/>
              <w:jc w:val="center"/>
              <w:rPr>
                <w:rFonts w:ascii="Palatino Linotype" w:hAnsi="Palatino Linotype"/>
                <w:b/>
                <w:sz w:val="24"/>
                <w:szCs w:val="24"/>
              </w:rPr>
            </w:pPr>
            <w:r w:rsidRPr="00BF7F6A">
              <w:rPr>
                <w:rFonts w:ascii="Palatino Linotype" w:hAnsi="Palatino Linotype"/>
                <w:b/>
                <w:sz w:val="24"/>
                <w:szCs w:val="24"/>
              </w:rPr>
              <w:t>(Rúbrica)</w:t>
            </w:r>
          </w:p>
          <w:p w:rsidR="001259BA" w:rsidRPr="00BF7F6A" w:rsidRDefault="001259BA" w:rsidP="00D032FF">
            <w:pPr>
              <w:spacing w:after="160"/>
              <w:jc w:val="center"/>
              <w:rPr>
                <w:rFonts w:ascii="Palatino Linotype" w:hAnsi="Palatino Linotype"/>
                <w:sz w:val="24"/>
                <w:szCs w:val="24"/>
              </w:rPr>
            </w:pPr>
          </w:p>
        </w:tc>
      </w:tr>
    </w:tbl>
    <w:p w:rsidR="001259BA" w:rsidRPr="00BF7F6A" w:rsidRDefault="001259BA" w:rsidP="001259BA">
      <w:pPr>
        <w:spacing w:after="0" w:line="360" w:lineRule="auto"/>
        <w:jc w:val="both"/>
        <w:rPr>
          <w:rFonts w:ascii="Palatino Linotype" w:hAnsi="Palatino Linotype"/>
        </w:rPr>
      </w:pPr>
    </w:p>
    <w:p w:rsidR="001259BA" w:rsidRPr="002F7D34" w:rsidRDefault="001259BA" w:rsidP="001259BA">
      <w:pPr>
        <w:spacing w:before="240" w:after="0" w:line="360" w:lineRule="auto"/>
        <w:jc w:val="both"/>
        <w:rPr>
          <w:rFonts w:ascii="Palatino Linotype" w:hAnsi="Palatino Linotype" w:cs="Arial"/>
          <w:sz w:val="24"/>
          <w:szCs w:val="24"/>
        </w:rPr>
      </w:pPr>
    </w:p>
    <w:p w:rsidR="00E47452" w:rsidRDefault="00CA0259"/>
    <w:sectPr w:rsidR="00E4745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259" w:rsidRDefault="00CA0259" w:rsidP="001259BA">
      <w:pPr>
        <w:spacing w:after="0" w:line="240" w:lineRule="auto"/>
      </w:pPr>
      <w:r>
        <w:separator/>
      </w:r>
    </w:p>
  </w:endnote>
  <w:endnote w:type="continuationSeparator" w:id="0">
    <w:p w:rsidR="00CA0259" w:rsidRDefault="00CA0259" w:rsidP="0012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E65" w:rsidRDefault="00CA0259"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CA0259"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CA0259"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CA0259"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CA0259"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E555F0" w:rsidRPr="00B7621A" w:rsidRDefault="00A27FBA" w:rsidP="00E555F0">
    <w:pPr>
      <w:tabs>
        <w:tab w:val="center" w:pos="4419"/>
        <w:tab w:val="right" w:pos="8838"/>
      </w:tabs>
      <w:spacing w:after="0" w:line="240" w:lineRule="auto"/>
      <w:jc w:val="right"/>
      <w:rPr>
        <w:rFonts w:ascii="Calibri" w:eastAsia="Calibri" w:hAnsi="Calibri" w:cs="Times New Roman"/>
      </w:rPr>
    </w:pPr>
    <w:r w:rsidRPr="00B7621A">
      <w:rPr>
        <w:rFonts w:ascii="Arial" w:eastAsia="Calibri" w:hAnsi="Arial" w:cs="Arial"/>
        <w:b/>
        <w:bCs/>
        <w:sz w:val="20"/>
        <w:szCs w:val="20"/>
        <w:lang w:val="es-ES" w:eastAsia="es-ES"/>
      </w:rPr>
      <w:t xml:space="preserve">Página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PAGE</w:instrText>
    </w:r>
    <w:r w:rsidRPr="00B7621A">
      <w:rPr>
        <w:rFonts w:ascii="Arial" w:eastAsia="Calibri" w:hAnsi="Arial" w:cs="Arial"/>
        <w:b/>
        <w:bCs/>
        <w:sz w:val="20"/>
        <w:szCs w:val="20"/>
        <w:lang w:val="es-ES" w:eastAsia="es-ES"/>
      </w:rPr>
      <w:fldChar w:fldCharType="separate"/>
    </w:r>
    <w:r w:rsidR="00E0345E">
      <w:rPr>
        <w:rFonts w:ascii="Arial" w:eastAsia="Calibri" w:hAnsi="Arial" w:cs="Arial"/>
        <w:b/>
        <w:bCs/>
        <w:noProof/>
        <w:sz w:val="20"/>
        <w:szCs w:val="20"/>
        <w:lang w:val="es-ES" w:eastAsia="es-ES"/>
      </w:rPr>
      <w:t>14</w:t>
    </w:r>
    <w:r w:rsidRPr="00B7621A">
      <w:rPr>
        <w:rFonts w:ascii="Arial" w:eastAsia="Calibri" w:hAnsi="Arial" w:cs="Arial"/>
        <w:b/>
        <w:bCs/>
        <w:sz w:val="20"/>
        <w:szCs w:val="20"/>
        <w:lang w:val="es-ES" w:eastAsia="es-ES"/>
      </w:rPr>
      <w:fldChar w:fldCharType="end"/>
    </w:r>
    <w:r w:rsidRPr="00B7621A">
      <w:rPr>
        <w:rFonts w:ascii="Arial" w:eastAsia="Calibri" w:hAnsi="Arial" w:cs="Arial"/>
        <w:sz w:val="20"/>
        <w:szCs w:val="20"/>
        <w:lang w:val="es-ES" w:eastAsia="es-ES"/>
      </w:rPr>
      <w:t xml:space="preserve"> de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NUMPAGES</w:instrText>
    </w:r>
    <w:r w:rsidRPr="00B7621A">
      <w:rPr>
        <w:rFonts w:ascii="Arial" w:eastAsia="Calibri" w:hAnsi="Arial" w:cs="Arial"/>
        <w:b/>
        <w:bCs/>
        <w:sz w:val="20"/>
        <w:szCs w:val="20"/>
        <w:lang w:val="es-ES" w:eastAsia="es-ES"/>
      </w:rPr>
      <w:fldChar w:fldCharType="separate"/>
    </w:r>
    <w:r w:rsidR="00E0345E">
      <w:rPr>
        <w:rFonts w:ascii="Arial" w:eastAsia="Calibri" w:hAnsi="Arial" w:cs="Arial"/>
        <w:b/>
        <w:bCs/>
        <w:noProof/>
        <w:sz w:val="20"/>
        <w:szCs w:val="20"/>
        <w:lang w:val="es-ES" w:eastAsia="es-ES"/>
      </w:rPr>
      <w:t>14</w:t>
    </w:r>
    <w:r w:rsidRPr="00B7621A">
      <w:rPr>
        <w:rFonts w:ascii="Arial" w:eastAsia="Calibri" w:hAnsi="Arial" w:cs="Arial"/>
        <w:b/>
        <w:bCs/>
        <w:sz w:val="20"/>
        <w:szCs w:val="20"/>
        <w:lang w:val="es-ES" w:eastAsia="es-ES"/>
      </w:rPr>
      <w:fldChar w:fldCharType="end"/>
    </w:r>
  </w:p>
  <w:p w:rsidR="00E555F0" w:rsidRDefault="00CA02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259" w:rsidRDefault="00CA0259" w:rsidP="001259BA">
      <w:pPr>
        <w:spacing w:after="0" w:line="240" w:lineRule="auto"/>
      </w:pPr>
      <w:r>
        <w:separator/>
      </w:r>
    </w:p>
  </w:footnote>
  <w:footnote w:type="continuationSeparator" w:id="0">
    <w:p w:rsidR="00CA0259" w:rsidRDefault="00CA0259" w:rsidP="00125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FA" w:rsidRPr="00FD1289" w:rsidRDefault="00CA0259" w:rsidP="00247AFA">
    <w:pPr>
      <w:pStyle w:val="Encabezado"/>
      <w:jc w:val="right"/>
      <w:rPr>
        <w:rFonts w:ascii="Palatino Linotype" w:hAnsi="Palatino Linotype"/>
        <w:b/>
        <w:sz w:val="24"/>
        <w:szCs w:val="24"/>
      </w:rPr>
    </w:pPr>
    <w:r>
      <w:rPr>
        <w:rFonts w:ascii="Palatino Linotype" w:hAnsi="Palatino Linotype"/>
        <w:b/>
        <w:noProof/>
        <w:sz w:val="2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83.15pt;margin-top:-118.9pt;width:598.5pt;height:779.25pt;z-index:-251658752;mso-position-horizontal-relative:margin;mso-position-vertical-relative:margin" o:allowincell="f">
          <v:imagedata r:id="rId1" o:title="fondo opinion particular"/>
          <w10:wrap anchorx="margin" anchory="margin"/>
        </v:shape>
      </w:pict>
    </w:r>
    <w:r w:rsidR="00A27FBA">
      <w:rPr>
        <w:rFonts w:ascii="Palatino Linotype" w:hAnsi="Palatino Linotype"/>
        <w:b/>
        <w:sz w:val="24"/>
      </w:rPr>
      <w:t>VOTO</w:t>
    </w:r>
    <w:r w:rsidR="00A27FBA" w:rsidRPr="00216F55">
      <w:rPr>
        <w:rFonts w:ascii="Palatino Linotype" w:hAnsi="Palatino Linotype"/>
        <w:b/>
        <w:sz w:val="28"/>
        <w:szCs w:val="24"/>
      </w:rPr>
      <w:t xml:space="preserve"> </w:t>
    </w:r>
    <w:r w:rsidR="00A27FBA">
      <w:rPr>
        <w:rFonts w:ascii="Palatino Linotype" w:hAnsi="Palatino Linotype"/>
        <w:b/>
        <w:sz w:val="24"/>
        <w:szCs w:val="24"/>
      </w:rPr>
      <w:t>DISIDENTE</w:t>
    </w:r>
  </w:p>
  <w:p w:rsidR="004D1CAC" w:rsidRPr="009D3E65" w:rsidRDefault="00A27FBA" w:rsidP="004D1CAC">
    <w:pPr>
      <w:pStyle w:val="Encabezado"/>
      <w:jc w:val="right"/>
      <w:rPr>
        <w:rFonts w:ascii="Palatino Linotype" w:hAnsi="Palatino Linotype" w:cs="Arial"/>
        <w:b/>
        <w:bCs/>
        <w:sz w:val="24"/>
        <w:szCs w:val="24"/>
        <w:lang w:eastAsia="es-MX"/>
      </w:rPr>
    </w:pPr>
    <w:r w:rsidRPr="00FD1289">
      <w:rPr>
        <w:rFonts w:ascii="Palatino Linotype" w:hAnsi="Palatino Linotype"/>
        <w:b/>
        <w:sz w:val="24"/>
        <w:szCs w:val="24"/>
      </w:rPr>
      <w:t xml:space="preserve">RECURSO DE REVISIÓN </w:t>
    </w:r>
    <w:r w:rsidR="00A413C1">
      <w:rPr>
        <w:rFonts w:ascii="Palatino Linotype" w:hAnsi="Palatino Linotype" w:cs="Arial"/>
        <w:b/>
        <w:bCs/>
        <w:sz w:val="24"/>
        <w:szCs w:val="24"/>
        <w:lang w:eastAsia="es-MX"/>
      </w:rPr>
      <w:t>04161</w:t>
    </w:r>
    <w:r>
      <w:rPr>
        <w:rFonts w:ascii="Palatino Linotype" w:hAnsi="Palatino Linotype" w:cs="Arial"/>
        <w:b/>
        <w:bCs/>
        <w:sz w:val="24"/>
        <w:szCs w:val="24"/>
        <w:lang w:eastAsia="es-MX"/>
      </w:rPr>
      <w:t>/IN</w:t>
    </w:r>
    <w:r w:rsidR="007928CE">
      <w:rPr>
        <w:rFonts w:ascii="Palatino Linotype" w:hAnsi="Palatino Linotype" w:cs="Arial"/>
        <w:b/>
        <w:bCs/>
        <w:sz w:val="24"/>
        <w:szCs w:val="24"/>
        <w:lang w:eastAsia="es-MX"/>
      </w:rPr>
      <w:t>FOEM/AD</w:t>
    </w:r>
    <w:r>
      <w:rPr>
        <w:rFonts w:ascii="Palatino Linotype" w:hAnsi="Palatino Linotype" w:cs="Arial"/>
        <w:b/>
        <w:bCs/>
        <w:sz w:val="24"/>
        <w:szCs w:val="24"/>
        <w:lang w:eastAsia="es-MX"/>
      </w:rPr>
      <w:t>/RR/2018</w:t>
    </w:r>
  </w:p>
  <w:p w:rsidR="00247AFA" w:rsidRDefault="00CA0259">
    <w:pPr>
      <w:pStyle w:val="Encabezado"/>
    </w:pPr>
  </w:p>
  <w:p w:rsidR="004D1CAC" w:rsidRDefault="00CA0259">
    <w:pPr>
      <w:pStyle w:val="Encabezado"/>
    </w:pPr>
  </w:p>
  <w:p w:rsidR="004D1CAC" w:rsidRDefault="00CA0259">
    <w:pPr>
      <w:pStyle w:val="Encabezado"/>
    </w:pPr>
  </w:p>
  <w:p w:rsidR="00CD62F6" w:rsidRDefault="00CA02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72"/>
    <w:multiLevelType w:val="hybridMultilevel"/>
    <w:tmpl w:val="3C18D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20C1D"/>
    <w:multiLevelType w:val="hybridMultilevel"/>
    <w:tmpl w:val="A7A4DBC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CE126B"/>
    <w:multiLevelType w:val="hybridMultilevel"/>
    <w:tmpl w:val="770C9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F04DA1"/>
    <w:multiLevelType w:val="hybridMultilevel"/>
    <w:tmpl w:val="AF9A3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ACB09E6"/>
    <w:multiLevelType w:val="hybridMultilevel"/>
    <w:tmpl w:val="6C3E1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4E4473"/>
    <w:multiLevelType w:val="hybridMultilevel"/>
    <w:tmpl w:val="7D5A7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BA"/>
    <w:rsid w:val="00084D7A"/>
    <w:rsid w:val="000D7091"/>
    <w:rsid w:val="001259BA"/>
    <w:rsid w:val="00135DC4"/>
    <w:rsid w:val="0048635D"/>
    <w:rsid w:val="004F4FE7"/>
    <w:rsid w:val="005F4726"/>
    <w:rsid w:val="006113E0"/>
    <w:rsid w:val="00621236"/>
    <w:rsid w:val="00652448"/>
    <w:rsid w:val="006F56A5"/>
    <w:rsid w:val="007269FA"/>
    <w:rsid w:val="007928CE"/>
    <w:rsid w:val="007C29E4"/>
    <w:rsid w:val="00851F6B"/>
    <w:rsid w:val="008648C5"/>
    <w:rsid w:val="00A10620"/>
    <w:rsid w:val="00A27FBA"/>
    <w:rsid w:val="00A413C1"/>
    <w:rsid w:val="00A86CD9"/>
    <w:rsid w:val="00AD71E4"/>
    <w:rsid w:val="00BE6053"/>
    <w:rsid w:val="00C91386"/>
    <w:rsid w:val="00C9423E"/>
    <w:rsid w:val="00CA0259"/>
    <w:rsid w:val="00E0345E"/>
    <w:rsid w:val="00EF109B"/>
    <w:rsid w:val="00F53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5CDFD75-19C3-46AF-BCF2-5D22A45C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9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59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59BA"/>
  </w:style>
  <w:style w:type="paragraph" w:styleId="Piedepgina">
    <w:name w:val="footer"/>
    <w:basedOn w:val="Normal"/>
    <w:link w:val="PiedepginaCar"/>
    <w:uiPriority w:val="99"/>
    <w:unhideWhenUsed/>
    <w:rsid w:val="001259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59B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1259BA"/>
    <w:rPr>
      <w:rFonts w:ascii="Times New Roman" w:eastAsia="Calibri"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1259BA"/>
    <w:pPr>
      <w:spacing w:after="0" w:line="240" w:lineRule="auto"/>
    </w:pPr>
    <w:rPr>
      <w:rFonts w:ascii="Times New Roman" w:eastAsia="Calibri" w:hAnsi="Times New Roman" w:cs="Times New Roman"/>
      <w:sz w:val="20"/>
      <w:szCs w:val="20"/>
      <w:lang w:val="es-ES" w:eastAsia="es-ES"/>
    </w:rPr>
  </w:style>
  <w:style w:type="character" w:customStyle="1" w:styleId="TextonotapieCar1">
    <w:name w:val="Texto nota pie Car1"/>
    <w:basedOn w:val="Fuentedeprrafopredeter"/>
    <w:uiPriority w:val="99"/>
    <w:semiHidden/>
    <w:rsid w:val="001259B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259BA"/>
    <w:rPr>
      <w:vertAlign w:val="superscript"/>
    </w:rPr>
  </w:style>
  <w:style w:type="table" w:customStyle="1" w:styleId="Tablaconcuadrcula1">
    <w:name w:val="Tabla con cuadrícula1"/>
    <w:basedOn w:val="Tablanormal"/>
    <w:next w:val="Tablaconcuadrcula"/>
    <w:uiPriority w:val="39"/>
    <w:rsid w:val="0012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2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91386"/>
    <w:pPr>
      <w:ind w:left="720"/>
      <w:contextualSpacing/>
    </w:pPr>
  </w:style>
  <w:style w:type="character" w:styleId="Hipervnculo">
    <w:name w:val="Hyperlink"/>
    <w:basedOn w:val="Fuentedeprrafopredeter"/>
    <w:uiPriority w:val="99"/>
    <w:unhideWhenUsed/>
    <w:rsid w:val="00C91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3066</Words>
  <Characters>16863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cp:revision>
  <dcterms:created xsi:type="dcterms:W3CDTF">2019-02-27T22:56:00Z</dcterms:created>
  <dcterms:modified xsi:type="dcterms:W3CDTF">2019-03-12T19:10:00Z</dcterms:modified>
</cp:coreProperties>
</file>