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D9B" w:rsidRPr="00AD2A55" w:rsidRDefault="00157D9B" w:rsidP="00A3006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081BA3">
        <w:rPr>
          <w:rFonts w:ascii="Palatino Linotype" w:eastAsia="Times New Roman" w:hAnsi="Palatino Linotype" w:cs="Arial"/>
          <w:color w:val="000000"/>
          <w:sz w:val="24"/>
          <w:szCs w:val="24"/>
          <w:lang w:eastAsia="es-MX"/>
        </w:rPr>
        <w:t xml:space="preserve"> doce de diciembre </w:t>
      </w:r>
      <w:r w:rsidRPr="00CC3652">
        <w:rPr>
          <w:rFonts w:ascii="Palatino Linotype" w:eastAsia="Times New Roman" w:hAnsi="Palatino Linotype" w:cs="Arial"/>
          <w:color w:val="000000"/>
          <w:sz w:val="24"/>
          <w:szCs w:val="24"/>
          <w:lang w:eastAsia="es-MX"/>
        </w:rPr>
        <w:t>de dos mil dieciocho.</w:t>
      </w:r>
    </w:p>
    <w:p w:rsidR="00157D9B" w:rsidRPr="00AD2A55" w:rsidRDefault="00157D9B" w:rsidP="00A30060">
      <w:pPr>
        <w:shd w:val="clear" w:color="auto" w:fill="FFFFFF"/>
        <w:spacing w:after="0" w:line="360" w:lineRule="auto"/>
        <w:jc w:val="both"/>
        <w:rPr>
          <w:rFonts w:ascii="Palatino Linotype" w:eastAsia="Times New Roman" w:hAnsi="Palatino Linotype" w:cs="Arial"/>
          <w:color w:val="000000"/>
          <w:sz w:val="24"/>
          <w:szCs w:val="24"/>
          <w:lang w:eastAsia="es-MX"/>
        </w:rPr>
      </w:pPr>
    </w:p>
    <w:p w:rsidR="00157D9B" w:rsidRPr="00AD2A55" w:rsidRDefault="00157D9B" w:rsidP="00A3006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4250</w:t>
      </w:r>
      <w:r w:rsidRPr="008E426F">
        <w:rPr>
          <w:rFonts w:ascii="Palatino Linotype" w:hAnsi="Palatino Linotype" w:cs="Arial"/>
          <w:b/>
          <w:bCs/>
          <w:sz w:val="24"/>
          <w:szCs w:val="24"/>
          <w:lang w:eastAsia="es-MX"/>
        </w:rPr>
        <w:t>/INFOEM/IP/RR/2018</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la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763B30">
        <w:rPr>
          <w:rFonts w:ascii="Palatino Linotype" w:hAnsi="Palatino Linotype" w:cs="Arial"/>
          <w:b/>
          <w:sz w:val="24"/>
          <w:szCs w:val="24"/>
        </w:rPr>
        <w:t>XXXXXXXXXXXXXXXXXXXXXX</w:t>
      </w:r>
      <w:bookmarkStart w:id="0" w:name="_GoBack"/>
      <w:bookmarkEnd w:id="0"/>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sidRPr="00E842F3">
        <w:rPr>
          <w:rFonts w:ascii="Palatino Linotype" w:hAnsi="Palatino Linotype" w:cs="Arial"/>
          <w:b/>
          <w:sz w:val="24"/>
          <w:szCs w:val="24"/>
        </w:rPr>
        <w:t xml:space="preserve">Ayuntamiento de </w:t>
      </w:r>
      <w:r>
        <w:rPr>
          <w:rFonts w:ascii="Palatino Linotype" w:hAnsi="Palatino Linotype" w:cs="Arial"/>
          <w:b/>
          <w:sz w:val="24"/>
          <w:szCs w:val="24"/>
        </w:rPr>
        <w:t>Sultepec</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57D9B" w:rsidRPr="00AD2A55" w:rsidRDefault="00157D9B" w:rsidP="00A30060">
      <w:pPr>
        <w:tabs>
          <w:tab w:val="left" w:pos="6960"/>
        </w:tabs>
        <w:spacing w:after="0" w:line="360" w:lineRule="auto"/>
        <w:jc w:val="both"/>
        <w:rPr>
          <w:rFonts w:ascii="Palatino Linotype" w:hAnsi="Palatino Linotype" w:cs="Arial"/>
          <w:sz w:val="24"/>
          <w:szCs w:val="24"/>
        </w:rPr>
      </w:pPr>
    </w:p>
    <w:p w:rsidR="00157D9B" w:rsidRPr="007763F3" w:rsidRDefault="00157D9B" w:rsidP="00A3006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57D9B" w:rsidRPr="00D23436" w:rsidRDefault="00157D9B" w:rsidP="00A30060">
      <w:pPr>
        <w:spacing w:after="0" w:line="360" w:lineRule="auto"/>
        <w:rPr>
          <w:rFonts w:ascii="Palatino Linotype" w:hAnsi="Palatino Linotype" w:cs="Arial"/>
          <w:b/>
          <w:sz w:val="24"/>
          <w:szCs w:val="24"/>
        </w:rPr>
      </w:pPr>
    </w:p>
    <w:p w:rsidR="00157D9B" w:rsidRPr="007763F3" w:rsidRDefault="00157D9B" w:rsidP="00A3006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157D9B" w:rsidRPr="00AD2A55" w:rsidRDefault="00157D9B" w:rsidP="00A300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treinta y uno de octubre de dos mil dieciocho</w:t>
      </w:r>
      <w:r w:rsidRPr="00AD2A55">
        <w:rPr>
          <w:rFonts w:ascii="Palatino Linotype" w:hAnsi="Palatino Linotype" w:cs="Arial"/>
          <w:sz w:val="24"/>
          <w:szCs w:val="24"/>
        </w:rPr>
        <w:t xml:space="preserve">, </w:t>
      </w:r>
      <w:r>
        <w:rPr>
          <w:rFonts w:ascii="Palatino Linotype" w:hAnsi="Palatino Linotype" w:cs="Arial"/>
          <w:b/>
          <w:sz w:val="24"/>
          <w:szCs w:val="24"/>
        </w:rPr>
        <w:t>la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157D9B">
        <w:rPr>
          <w:rFonts w:ascii="Palatino Linotype" w:hAnsi="Palatino Linotype" w:cs="Arial"/>
          <w:b/>
          <w:sz w:val="24"/>
          <w:szCs w:val="24"/>
        </w:rPr>
        <w:t>00027/SULTEPEC/IP/2018</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57D9B" w:rsidRPr="00AD2A55" w:rsidRDefault="00157D9B" w:rsidP="00A30060">
      <w:pPr>
        <w:spacing w:after="0" w:line="360" w:lineRule="auto"/>
        <w:ind w:left="851" w:right="850"/>
        <w:jc w:val="both"/>
        <w:rPr>
          <w:rFonts w:ascii="Palatino Linotype" w:hAnsi="Palatino Linotype" w:cs="Arial"/>
          <w:i/>
          <w:sz w:val="20"/>
          <w:szCs w:val="24"/>
        </w:rPr>
      </w:pPr>
    </w:p>
    <w:p w:rsidR="00157D9B" w:rsidRDefault="00157D9B" w:rsidP="00A30060">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157D9B">
        <w:rPr>
          <w:rFonts w:ascii="Palatino Linotype" w:eastAsia="Times New Roman" w:hAnsi="Palatino Linotype" w:cs="Times New Roman"/>
          <w:i/>
          <w:lang w:eastAsia="es-MX"/>
        </w:rPr>
        <w:t>SOLICITO SEA PROPORCIONADOS LOS RECIBOS DE NOMINA O DOCUMENTO QUE ACREDITE LA REMUNERACIÓN DE LOS MESES AGOSTO Y SEPTIEMBRE DEL AÑO 2018 QUE PERCIBE EL PRESIDENTE MUNICIPAL, SINDICO Y REGIDORES EN VERSIÓN PUBLICA, ESTO CON LA FINALIDAD DE UN TRABAJO DE INVESTIGACIÓN DE LA UNIVERSIDAD. DEL H. AYUNTAMIENTO DE SULTEPEC (REFLEJANDO ASI EL SALARIO BRUTO Y NETO MENSUAL)</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157D9B" w:rsidRDefault="00157D9B" w:rsidP="00A3006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57D9B" w:rsidRPr="00AD2A55" w:rsidRDefault="00157D9B" w:rsidP="00A30060">
      <w:pPr>
        <w:tabs>
          <w:tab w:val="left" w:pos="5647"/>
        </w:tabs>
        <w:spacing w:after="0" w:line="360" w:lineRule="auto"/>
        <w:ind w:right="850"/>
        <w:jc w:val="both"/>
        <w:rPr>
          <w:rFonts w:ascii="Palatino Linotype" w:hAnsi="Palatino Linotype"/>
          <w:color w:val="000000"/>
          <w:sz w:val="24"/>
          <w:szCs w:val="24"/>
        </w:rPr>
      </w:pPr>
      <w:r w:rsidRPr="007763F3">
        <w:rPr>
          <w:rFonts w:ascii="Palatino Linotype" w:eastAsia="Times New Roman" w:hAnsi="Palatino Linotype" w:cs="Times New Roman"/>
          <w:b/>
          <w:sz w:val="24"/>
          <w:szCs w:val="24"/>
          <w:lang w:val="es-ES_tradnl" w:eastAsia="es-ES"/>
        </w:rPr>
        <w:lastRenderedPageBreak/>
        <w:t>Modalidad de entrega:</w:t>
      </w:r>
      <w:r w:rsidRPr="00AD2A55">
        <w:rPr>
          <w:rFonts w:ascii="Palatino Linotype" w:eastAsia="Times New Roman" w:hAnsi="Palatino Linotype" w:cs="Times New Roman"/>
          <w:sz w:val="24"/>
          <w:szCs w:val="24"/>
          <w:lang w:val="es-ES_tradnl" w:eastAsia="es-ES"/>
        </w:rPr>
        <w:t xml:space="preserve"> </w:t>
      </w:r>
      <w:r>
        <w:rPr>
          <w:rFonts w:ascii="Palatino Linotype" w:hAnsi="Palatino Linotype"/>
          <w:color w:val="000000"/>
          <w:sz w:val="24"/>
          <w:szCs w:val="24"/>
        </w:rPr>
        <w:t>A</w:t>
      </w:r>
      <w:r w:rsidRPr="00AD2A55">
        <w:rPr>
          <w:rFonts w:ascii="Palatino Linotype" w:hAnsi="Palatino Linotype"/>
          <w:color w:val="000000"/>
          <w:sz w:val="24"/>
          <w:szCs w:val="24"/>
        </w:rPr>
        <w:t xml:space="preserve"> través del </w:t>
      </w:r>
      <w:r w:rsidRPr="00AD2A55">
        <w:rPr>
          <w:rFonts w:ascii="Palatino Linotype" w:hAnsi="Palatino Linotype"/>
          <w:b/>
          <w:color w:val="000000"/>
          <w:sz w:val="24"/>
          <w:szCs w:val="24"/>
        </w:rPr>
        <w:t>SAIMEX</w:t>
      </w:r>
      <w:r w:rsidRPr="00AD2A55">
        <w:rPr>
          <w:rFonts w:ascii="Palatino Linotype" w:hAnsi="Palatino Linotype"/>
          <w:color w:val="000000"/>
          <w:sz w:val="24"/>
          <w:szCs w:val="24"/>
        </w:rPr>
        <w:t>.</w:t>
      </w:r>
    </w:p>
    <w:p w:rsidR="00157D9B" w:rsidRDefault="00157D9B" w:rsidP="00A30060">
      <w:pPr>
        <w:spacing w:after="0" w:line="360" w:lineRule="auto"/>
        <w:jc w:val="both"/>
        <w:rPr>
          <w:rFonts w:ascii="Palatino Linotype" w:hAnsi="Palatino Linotype" w:cs="Arial"/>
          <w:b/>
          <w:sz w:val="24"/>
          <w:szCs w:val="24"/>
        </w:rPr>
      </w:pPr>
    </w:p>
    <w:p w:rsidR="00157D9B" w:rsidRPr="007763F3" w:rsidRDefault="00157D9B" w:rsidP="00A3006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157D9B" w:rsidRDefault="00157D9B" w:rsidP="00A300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seis de noviembre de dos mil dieciocho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157D9B" w:rsidRDefault="00157D9B" w:rsidP="00A30060">
      <w:pPr>
        <w:spacing w:after="0" w:line="240" w:lineRule="auto"/>
        <w:jc w:val="both"/>
        <w:rPr>
          <w:rFonts w:ascii="Palatino Linotype" w:hAnsi="Palatino Linotype" w:cs="Arial"/>
          <w:sz w:val="24"/>
          <w:szCs w:val="24"/>
        </w:rPr>
      </w:pPr>
    </w:p>
    <w:p w:rsidR="00157D9B" w:rsidRPr="00910619" w:rsidRDefault="00157D9B" w:rsidP="00A30060">
      <w:pPr>
        <w:spacing w:after="0" w:line="240" w:lineRule="auto"/>
        <w:ind w:left="567" w:right="567"/>
        <w:jc w:val="both"/>
        <w:rPr>
          <w:rFonts w:ascii="Palatino Linotype" w:hAnsi="Palatino Linotype"/>
          <w:i/>
          <w:color w:val="000000"/>
        </w:rPr>
      </w:pPr>
      <w:r>
        <w:rPr>
          <w:rFonts w:ascii="Palatino Linotype" w:eastAsia="Times New Roman" w:hAnsi="Palatino Linotype" w:cs="Times New Roman"/>
          <w:i/>
          <w:lang w:eastAsia="es-MX"/>
        </w:rPr>
        <w:t>“</w:t>
      </w:r>
      <w:r w:rsidRPr="00157D9B">
        <w:rPr>
          <w:rFonts w:ascii="Palatino Linotype" w:eastAsia="Times New Roman" w:hAnsi="Palatino Linotype" w:cs="Times New Roman"/>
          <w:i/>
          <w:lang w:eastAsia="es-MX"/>
        </w:rPr>
        <w:t>Buenos días, anexo archivo adjunto enviándolo a su correo personal y así mismo dando respuesta a su petición en el cual usted puede guiarse y encontrar la información solicita. Agradezco su amable atención a la presente.</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157D9B" w:rsidRDefault="00157D9B" w:rsidP="00A30060">
      <w:pPr>
        <w:spacing w:after="0" w:line="360" w:lineRule="auto"/>
        <w:jc w:val="both"/>
        <w:rPr>
          <w:rFonts w:ascii="Palatino Linotype" w:hAnsi="Palatino Linotype" w:cs="Arial"/>
          <w:sz w:val="24"/>
          <w:szCs w:val="24"/>
        </w:rPr>
      </w:pPr>
    </w:p>
    <w:p w:rsidR="00157D9B" w:rsidRPr="007763F3" w:rsidRDefault="00157D9B" w:rsidP="00A3006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157D9B" w:rsidRDefault="00157D9B" w:rsidP="00A300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la</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seis de noviembre de dos mil dieciocho</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4250</w:t>
      </w:r>
      <w:r w:rsidRPr="00F607C3">
        <w:rPr>
          <w:rFonts w:ascii="Palatino Linotype" w:hAnsi="Palatino Linotype" w:cs="Arial"/>
          <w:b/>
          <w:bCs/>
          <w:sz w:val="24"/>
          <w:szCs w:val="24"/>
          <w:lang w:eastAsia="es-MX"/>
        </w:rPr>
        <w:t>/INFOEM/IP/RR/2018</w:t>
      </w:r>
      <w:r w:rsidRPr="00AD2A55">
        <w:rPr>
          <w:rFonts w:ascii="Palatino Linotype" w:hAnsi="Palatino Linotype" w:cs="Arial"/>
          <w:sz w:val="24"/>
          <w:szCs w:val="24"/>
        </w:rPr>
        <w:t>, en el cual aduce, las siguientes manifestaciones:</w:t>
      </w:r>
    </w:p>
    <w:p w:rsidR="00157D9B" w:rsidRPr="00AD2A55" w:rsidRDefault="00157D9B" w:rsidP="00A30060">
      <w:pPr>
        <w:spacing w:after="0" w:line="360" w:lineRule="auto"/>
        <w:jc w:val="both"/>
        <w:rPr>
          <w:rFonts w:ascii="Palatino Linotype" w:hAnsi="Palatino Linotype" w:cs="Arial"/>
          <w:sz w:val="24"/>
          <w:szCs w:val="24"/>
        </w:rPr>
      </w:pPr>
    </w:p>
    <w:p w:rsidR="00157D9B" w:rsidRDefault="00157D9B" w:rsidP="00A30060">
      <w:pPr>
        <w:pStyle w:val="Prrafodelista"/>
        <w:spacing w:line="360" w:lineRule="auto"/>
        <w:ind w:left="0"/>
        <w:jc w:val="both"/>
        <w:rPr>
          <w:rFonts w:ascii="Palatino Linotype" w:hAnsi="Palatino Linotype" w:cs="Arial"/>
          <w:b/>
        </w:rPr>
      </w:pPr>
      <w:r w:rsidRPr="008B6600">
        <w:rPr>
          <w:rFonts w:ascii="Palatino Linotype" w:hAnsi="Palatino Linotype" w:cs="Arial"/>
          <w:b/>
        </w:rPr>
        <w:t>Acto Impugnado:</w:t>
      </w:r>
    </w:p>
    <w:p w:rsidR="00157D9B" w:rsidRPr="007F0B4B" w:rsidRDefault="00157D9B" w:rsidP="00A30060">
      <w:pPr>
        <w:pStyle w:val="Prrafodelista"/>
        <w:spacing w:line="360" w:lineRule="auto"/>
        <w:ind w:left="720"/>
        <w:jc w:val="both"/>
        <w:rPr>
          <w:rFonts w:ascii="Palatino Linotype" w:hAnsi="Palatino Linotype" w:cs="Arial"/>
          <w:b/>
          <w:sz w:val="22"/>
        </w:rPr>
      </w:pPr>
    </w:p>
    <w:p w:rsidR="00157D9B" w:rsidRPr="008B6600" w:rsidRDefault="00157D9B" w:rsidP="00A30060">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Pr="00157D9B">
        <w:rPr>
          <w:rFonts w:ascii="Palatino Linotype" w:eastAsia="Times New Roman" w:hAnsi="Palatino Linotype" w:cs="Times New Roman"/>
          <w:i/>
          <w:lang w:eastAsia="es-MX"/>
        </w:rPr>
        <w:t xml:space="preserve">De conformidad con el artículo 179 fracciones VI y VIII de la Ley de Transparencia y Acceso a la Información Pública del Estado de México y Municipios, interpongo recurso de revisión en contra de los sujetos obligados de la información solicitada, toda vez que se da respuesta mediante correo electrónico y no en este medio como fue que se solicitó, asimismo debido a que se me responde con una Gaceta que no refleja la informaciñon solicitada, motivo por el cual, solicito amablemente se me brinde la INFORMACIÓN DE CARACTER PUBLICA EN EL MEDIO QUE SE SOLICITÓ Y LA INFORMACIÓN QUE REFLEJE LO QUE SOLICITÉ EN UN INICIO ESTO ES: "SOLICITO SEA PROPORCIONADOS LOS RECIBOS DE NOMINA O DOCUMENTO QUE ACREDITE LA REMUNERACIÓN DE LOS MESES AGOSTO Y SEPTIEMBRE DEL AÑO 2018 QUE PERCIBE EL PRESIDENTE MUNICIPAL, SINDICO Y </w:t>
      </w:r>
      <w:r w:rsidRPr="00157D9B">
        <w:rPr>
          <w:rFonts w:ascii="Palatino Linotype" w:eastAsia="Times New Roman" w:hAnsi="Palatino Linotype" w:cs="Times New Roman"/>
          <w:i/>
          <w:lang w:eastAsia="es-MX"/>
        </w:rPr>
        <w:lastRenderedPageBreak/>
        <w:t>REGIDORES EN VERSIÓN PUBLICA, ESTO CON LA FINALIDAD DE UN TRABAJO DE INVESTIGACIÓN DE LA UNIVERSIDAD. DEL H. AYUNTAMIENTO DE SULTEPEC (REFLEJANDO ASI EL SALARIO BRUTO Y NETO MENSUAL)"</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157D9B" w:rsidRPr="00AD2A55" w:rsidRDefault="00157D9B" w:rsidP="00A30060">
      <w:pPr>
        <w:spacing w:after="0" w:line="360" w:lineRule="auto"/>
        <w:ind w:left="851" w:right="850"/>
        <w:jc w:val="center"/>
        <w:rPr>
          <w:rFonts w:ascii="Palatino Linotype" w:eastAsia="Times New Roman" w:hAnsi="Palatino Linotype" w:cs="Times New Roman"/>
          <w:i/>
          <w:sz w:val="24"/>
          <w:szCs w:val="24"/>
          <w:lang w:eastAsia="es-MX"/>
        </w:rPr>
      </w:pPr>
    </w:p>
    <w:p w:rsidR="00157D9B" w:rsidRDefault="00157D9B" w:rsidP="00A30060">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157D9B" w:rsidRDefault="00157D9B" w:rsidP="00A30060">
      <w:pPr>
        <w:tabs>
          <w:tab w:val="left" w:pos="851"/>
        </w:tabs>
        <w:spacing w:after="0" w:line="240" w:lineRule="auto"/>
        <w:ind w:left="851" w:right="850"/>
        <w:jc w:val="both"/>
        <w:rPr>
          <w:rFonts w:ascii="Palatino Linotype" w:hAnsi="Palatino Linotype" w:cs="Arial"/>
          <w:i/>
        </w:rPr>
      </w:pPr>
    </w:p>
    <w:p w:rsidR="00157D9B" w:rsidRDefault="00157D9B" w:rsidP="00A30060">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157D9B">
        <w:rPr>
          <w:rFonts w:ascii="Palatino Linotype" w:hAnsi="Palatino Linotype"/>
          <w:i/>
          <w:color w:val="000000"/>
        </w:rPr>
        <w:t>NO SE ME BRINDÓ LA INFORMACIÑON SOLICITADA NI EL MEDIO EN EL QUE SE ME DIO CONTESTACIÓN FUE EL SOLICITADO.</w:t>
      </w:r>
      <w:r>
        <w:rPr>
          <w:rFonts w:ascii="Palatino Linotype" w:hAnsi="Palatino Linotype"/>
          <w:i/>
          <w:color w:val="000000"/>
        </w:rPr>
        <w:t>” (s</w:t>
      </w:r>
      <w:r w:rsidRPr="008E433F">
        <w:rPr>
          <w:rFonts w:ascii="Palatino Linotype" w:hAnsi="Palatino Linotype"/>
          <w:i/>
          <w:color w:val="000000"/>
        </w:rPr>
        <w:t>ic)</w:t>
      </w:r>
    </w:p>
    <w:p w:rsidR="00157D9B" w:rsidRDefault="00157D9B" w:rsidP="00A30060">
      <w:pPr>
        <w:spacing w:after="0" w:line="360" w:lineRule="auto"/>
        <w:jc w:val="both"/>
        <w:rPr>
          <w:rFonts w:ascii="Palatino Linotype" w:hAnsi="Palatino Linotype" w:cs="Arial"/>
          <w:sz w:val="24"/>
          <w:szCs w:val="24"/>
        </w:rPr>
      </w:pPr>
    </w:p>
    <w:p w:rsidR="003E27AA" w:rsidRPr="003E27AA" w:rsidRDefault="003E27AA"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advierte que el ahora </w:t>
      </w:r>
      <w:r>
        <w:rPr>
          <w:rFonts w:ascii="Palatino Linotype" w:hAnsi="Palatino Linotype" w:cs="Arial"/>
          <w:b/>
          <w:sz w:val="24"/>
          <w:szCs w:val="24"/>
        </w:rPr>
        <w:t>recurrente</w:t>
      </w:r>
      <w:r>
        <w:rPr>
          <w:rFonts w:ascii="Palatino Linotype" w:hAnsi="Palatino Linotype" w:cs="Arial"/>
          <w:sz w:val="24"/>
          <w:szCs w:val="24"/>
        </w:rPr>
        <w:t xml:space="preserve"> adjunto los archivos “</w:t>
      </w:r>
      <w:r w:rsidRPr="003E27AA">
        <w:rPr>
          <w:rFonts w:ascii="Palatino Linotype" w:hAnsi="Palatino Linotype" w:cs="Arial"/>
          <w:sz w:val="24"/>
          <w:szCs w:val="24"/>
        </w:rPr>
        <w:t>saldos.pdf</w:t>
      </w:r>
      <w:r>
        <w:rPr>
          <w:rFonts w:ascii="Palatino Linotype" w:hAnsi="Palatino Linotype" w:cs="Arial"/>
          <w:sz w:val="24"/>
          <w:szCs w:val="24"/>
        </w:rPr>
        <w:t>,“ y “</w:t>
      </w:r>
      <w:r w:rsidRPr="003E27AA">
        <w:rPr>
          <w:rFonts w:ascii="Palatino Linotype" w:hAnsi="Palatino Linotype" w:cs="Arial"/>
          <w:sz w:val="24"/>
          <w:szCs w:val="24"/>
        </w:rPr>
        <w:t>Captura de pantalla 2018-11-06 a la(s) 13.12.02.png</w:t>
      </w:r>
      <w:r>
        <w:rPr>
          <w:rFonts w:ascii="Palatino Linotype" w:hAnsi="Palatino Linotype" w:cs="Arial"/>
          <w:sz w:val="24"/>
          <w:szCs w:val="24"/>
        </w:rPr>
        <w:t xml:space="preserve">”, los cuales al ser del conocimiento de las partes no se insertan en este apartado, sin embargo serán objeto de estudio en párrafos </w:t>
      </w:r>
      <w:r w:rsidR="007C453D">
        <w:rPr>
          <w:rFonts w:ascii="Palatino Linotype" w:hAnsi="Palatino Linotype" w:cs="Arial"/>
          <w:sz w:val="24"/>
          <w:szCs w:val="24"/>
        </w:rPr>
        <w:t>posteriores</w:t>
      </w:r>
      <w:r>
        <w:rPr>
          <w:rFonts w:ascii="Palatino Linotype" w:hAnsi="Palatino Linotype" w:cs="Arial"/>
          <w:sz w:val="24"/>
          <w:szCs w:val="24"/>
        </w:rPr>
        <w:t>.</w:t>
      </w:r>
    </w:p>
    <w:p w:rsidR="003E27AA" w:rsidRPr="00157D9B" w:rsidRDefault="003E27AA" w:rsidP="00A30060">
      <w:pPr>
        <w:spacing w:after="0" w:line="360" w:lineRule="auto"/>
        <w:jc w:val="both"/>
        <w:rPr>
          <w:rFonts w:ascii="Palatino Linotype" w:hAnsi="Palatino Linotype" w:cs="Arial"/>
          <w:sz w:val="24"/>
          <w:szCs w:val="24"/>
        </w:rPr>
      </w:pPr>
    </w:p>
    <w:p w:rsidR="00157D9B" w:rsidRPr="008B6600" w:rsidRDefault="00157D9B" w:rsidP="00A3006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157D9B" w:rsidRPr="00AD2A55" w:rsidRDefault="00157D9B" w:rsidP="00A300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treinta de doce de noviembre de dos mil dieciocho</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157D9B" w:rsidRDefault="00157D9B" w:rsidP="00A30060">
      <w:pPr>
        <w:spacing w:after="0" w:line="360" w:lineRule="auto"/>
        <w:jc w:val="both"/>
        <w:rPr>
          <w:rFonts w:ascii="Palatino Linotype" w:hAnsi="Palatino Linotype" w:cs="Arial"/>
          <w:sz w:val="24"/>
          <w:szCs w:val="24"/>
        </w:rPr>
      </w:pPr>
    </w:p>
    <w:p w:rsidR="00157D9B" w:rsidRPr="008B6600" w:rsidRDefault="00157D9B" w:rsidP="00A3006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157D9B" w:rsidRDefault="00157D9B"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 igual manera, se hace constar </w:t>
      </w:r>
      <w:r>
        <w:rPr>
          <w:rFonts w:ascii="Palatino Linotype" w:hAnsi="Palatino Linotype" w:cs="Arial"/>
          <w:sz w:val="24"/>
          <w:szCs w:val="24"/>
        </w:rPr>
        <w:lastRenderedPageBreak/>
        <w:t xml:space="preserve">que </w:t>
      </w:r>
      <w:r>
        <w:rPr>
          <w:rFonts w:ascii="Palatino Linotype" w:hAnsi="Palatino Linotype" w:cs="Arial"/>
          <w:b/>
          <w:sz w:val="24"/>
          <w:szCs w:val="24"/>
        </w:rPr>
        <w:t xml:space="preserve">la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57D9B" w:rsidRDefault="00157D9B" w:rsidP="00A30060">
      <w:pPr>
        <w:spacing w:after="0" w:line="360" w:lineRule="auto"/>
        <w:jc w:val="both"/>
        <w:rPr>
          <w:rFonts w:ascii="Palatino Linotype" w:hAnsi="Palatino Linotype" w:cs="Arial"/>
          <w:sz w:val="24"/>
          <w:szCs w:val="24"/>
        </w:rPr>
      </w:pPr>
    </w:p>
    <w:p w:rsidR="00157D9B" w:rsidRDefault="00157D9B" w:rsidP="00A3006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con fecha veintitrés de noviembre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57D9B" w:rsidRDefault="00157D9B" w:rsidP="00A30060">
      <w:pPr>
        <w:spacing w:after="0" w:line="360" w:lineRule="auto"/>
        <w:jc w:val="both"/>
        <w:rPr>
          <w:rFonts w:ascii="Palatino Linotype" w:hAnsi="Palatino Linotype" w:cs="Arial"/>
          <w:sz w:val="24"/>
          <w:szCs w:val="24"/>
        </w:rPr>
      </w:pPr>
    </w:p>
    <w:p w:rsidR="00157D9B" w:rsidRPr="008B6600" w:rsidRDefault="00157D9B" w:rsidP="00A3006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57D9B" w:rsidRPr="00AD2A55" w:rsidRDefault="00157D9B" w:rsidP="00A30060">
      <w:pPr>
        <w:spacing w:after="0" w:line="360" w:lineRule="auto"/>
        <w:jc w:val="center"/>
        <w:rPr>
          <w:rFonts w:ascii="Palatino Linotype" w:hAnsi="Palatino Linotype" w:cs="Arial"/>
          <w:b/>
          <w:sz w:val="24"/>
          <w:szCs w:val="24"/>
        </w:rPr>
      </w:pPr>
    </w:p>
    <w:p w:rsidR="00157D9B" w:rsidRPr="00600F1D" w:rsidRDefault="00157D9B" w:rsidP="00A3006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57D9B" w:rsidRPr="00AD2A55" w:rsidRDefault="00157D9B" w:rsidP="00A300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157D9B" w:rsidRDefault="00157D9B" w:rsidP="00A30060">
      <w:pPr>
        <w:spacing w:after="0" w:line="360" w:lineRule="auto"/>
        <w:jc w:val="both"/>
        <w:rPr>
          <w:rFonts w:ascii="Palatino Linotype" w:hAnsi="Palatino Linotype" w:cs="Arial"/>
          <w:sz w:val="24"/>
          <w:szCs w:val="24"/>
        </w:rPr>
      </w:pPr>
    </w:p>
    <w:p w:rsidR="00157D9B" w:rsidRPr="00600F1D" w:rsidRDefault="00157D9B" w:rsidP="00A3006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157D9B" w:rsidRDefault="00157D9B" w:rsidP="00A3006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70D1A" w:rsidRPr="00AD2A55" w:rsidRDefault="00270D1A" w:rsidP="00A30060">
      <w:pPr>
        <w:pStyle w:val="Prrafodelista"/>
        <w:autoSpaceDE w:val="0"/>
        <w:autoSpaceDN w:val="0"/>
        <w:adjustRightInd w:val="0"/>
        <w:spacing w:line="360" w:lineRule="auto"/>
        <w:ind w:left="0"/>
        <w:jc w:val="both"/>
        <w:rPr>
          <w:rFonts w:ascii="Palatino Linotype" w:hAnsi="Palatino Linotype" w:cs="Arial"/>
        </w:rPr>
      </w:pPr>
    </w:p>
    <w:p w:rsidR="00157D9B" w:rsidRPr="00600F1D" w:rsidRDefault="00157D9B" w:rsidP="00A3006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157D9B" w:rsidRDefault="00157D9B" w:rsidP="00A3006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57D9B" w:rsidRPr="00AD2A55" w:rsidRDefault="00157D9B" w:rsidP="00A30060">
      <w:pPr>
        <w:autoSpaceDE w:val="0"/>
        <w:autoSpaceDN w:val="0"/>
        <w:adjustRightInd w:val="0"/>
        <w:spacing w:after="0" w:line="360" w:lineRule="auto"/>
        <w:jc w:val="both"/>
        <w:rPr>
          <w:rFonts w:ascii="Palatino Linotype" w:hAnsi="Palatino Linotype" w:cs="Arial"/>
          <w:sz w:val="24"/>
          <w:szCs w:val="24"/>
        </w:rPr>
      </w:pPr>
    </w:p>
    <w:p w:rsidR="00157D9B" w:rsidRPr="00AD2A55" w:rsidRDefault="00157D9B" w:rsidP="00A30060">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57D9B" w:rsidRPr="00AD2A55" w:rsidRDefault="00157D9B" w:rsidP="00A30060">
      <w:pPr>
        <w:pStyle w:val="Prrafodelista"/>
        <w:autoSpaceDE w:val="0"/>
        <w:autoSpaceDN w:val="0"/>
        <w:adjustRightInd w:val="0"/>
        <w:spacing w:line="360" w:lineRule="auto"/>
        <w:ind w:left="0"/>
        <w:jc w:val="both"/>
        <w:rPr>
          <w:rFonts w:ascii="Palatino Linotype" w:hAnsi="Palatino Linotype" w:cs="Arial"/>
        </w:rPr>
      </w:pPr>
    </w:p>
    <w:p w:rsidR="00157D9B" w:rsidRPr="00AD2A55" w:rsidRDefault="00157D9B" w:rsidP="00A3006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157D9B" w:rsidRPr="00AD2A55" w:rsidRDefault="00157D9B" w:rsidP="00A30060">
      <w:pPr>
        <w:pStyle w:val="Prrafodelista"/>
        <w:autoSpaceDE w:val="0"/>
        <w:autoSpaceDN w:val="0"/>
        <w:adjustRightInd w:val="0"/>
        <w:spacing w:line="360" w:lineRule="auto"/>
        <w:ind w:left="0"/>
        <w:jc w:val="both"/>
        <w:rPr>
          <w:rFonts w:ascii="Palatino Linotype" w:hAnsi="Palatino Linotype" w:cs="Arial"/>
        </w:rPr>
      </w:pP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157D9B" w:rsidRPr="00AD2A55" w:rsidRDefault="00157D9B" w:rsidP="00A3006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157D9B" w:rsidRPr="00AD2A55" w:rsidRDefault="00157D9B" w:rsidP="00A30060">
      <w:pPr>
        <w:pStyle w:val="Prrafodelista"/>
        <w:autoSpaceDE w:val="0"/>
        <w:autoSpaceDN w:val="0"/>
        <w:adjustRightInd w:val="0"/>
        <w:spacing w:line="360" w:lineRule="auto"/>
        <w:ind w:right="850"/>
        <w:jc w:val="both"/>
        <w:rPr>
          <w:rFonts w:ascii="Palatino Linotype" w:hAnsi="Palatino Linotype" w:cs="Arial"/>
          <w:i/>
        </w:rPr>
      </w:pPr>
    </w:p>
    <w:p w:rsidR="00157D9B" w:rsidRPr="00AD2A55" w:rsidRDefault="00157D9B" w:rsidP="00A3006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270D1A" w:rsidRPr="00AD2A55" w:rsidRDefault="00270D1A" w:rsidP="00A30060">
      <w:pPr>
        <w:autoSpaceDE w:val="0"/>
        <w:autoSpaceDN w:val="0"/>
        <w:adjustRightInd w:val="0"/>
        <w:spacing w:after="0" w:line="360" w:lineRule="auto"/>
        <w:jc w:val="both"/>
        <w:rPr>
          <w:rFonts w:ascii="Palatino Linotype" w:hAnsi="Palatino Linotype" w:cs="Arial"/>
          <w:sz w:val="24"/>
          <w:szCs w:val="24"/>
        </w:rPr>
      </w:pPr>
    </w:p>
    <w:p w:rsidR="00157D9B" w:rsidRPr="00600F1D" w:rsidRDefault="00157D9B" w:rsidP="00A30060">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157D9B" w:rsidRDefault="00157D9B" w:rsidP="00A3006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57D9B" w:rsidRPr="00AD2A55" w:rsidRDefault="00157D9B" w:rsidP="00A30060">
      <w:pPr>
        <w:autoSpaceDE w:val="0"/>
        <w:autoSpaceDN w:val="0"/>
        <w:adjustRightInd w:val="0"/>
        <w:spacing w:after="0" w:line="360" w:lineRule="auto"/>
        <w:jc w:val="both"/>
        <w:rPr>
          <w:rFonts w:ascii="Palatino Linotype" w:hAnsi="Palatino Linotype" w:cs="Arial"/>
          <w:sz w:val="24"/>
          <w:szCs w:val="24"/>
        </w:rPr>
      </w:pPr>
    </w:p>
    <w:p w:rsidR="00157D9B" w:rsidRDefault="00157D9B" w:rsidP="00A3006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157D9B" w:rsidRDefault="00157D9B" w:rsidP="00A30060">
      <w:pPr>
        <w:tabs>
          <w:tab w:val="left" w:pos="709"/>
        </w:tabs>
        <w:spacing w:after="0" w:line="360" w:lineRule="auto"/>
        <w:jc w:val="both"/>
        <w:rPr>
          <w:rFonts w:ascii="Palatino Linotype" w:hAnsi="Palatino Linotype"/>
          <w:sz w:val="24"/>
          <w:szCs w:val="24"/>
        </w:rPr>
      </w:pPr>
    </w:p>
    <w:p w:rsidR="00157D9B" w:rsidRDefault="00157D9B" w:rsidP="00A30060">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Así, tenemos en un primer plano de estudio el texto de la solicitud de información, que fue plasmada por l</w:t>
      </w:r>
      <w:r>
        <w:rPr>
          <w:rFonts w:ascii="Palatino Linotype" w:hAnsi="Palatino Linotype"/>
          <w:sz w:val="24"/>
          <w:szCs w:val="24"/>
        </w:rPr>
        <w:t>a</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w:t>
      </w:r>
      <w:r w:rsidR="00600F1D">
        <w:rPr>
          <w:rFonts w:ascii="Palatino Linotype" w:hAnsi="Palatino Linotype"/>
          <w:sz w:val="24"/>
          <w:szCs w:val="24"/>
        </w:rPr>
        <w:t xml:space="preserve"> de los meses agosto y septiembre de 2018,</w:t>
      </w:r>
      <w:r w:rsidRPr="0053687A">
        <w:rPr>
          <w:rFonts w:ascii="Palatino Linotype" w:hAnsi="Palatino Linotype"/>
          <w:sz w:val="24"/>
          <w:szCs w:val="24"/>
        </w:rPr>
        <w:t xml:space="preserve"> </w:t>
      </w:r>
      <w:r w:rsidR="00600F1D">
        <w:rPr>
          <w:rFonts w:ascii="Palatino Linotype" w:hAnsi="Palatino Linotype"/>
          <w:sz w:val="24"/>
          <w:szCs w:val="24"/>
        </w:rPr>
        <w:t>los recibos de nómina o documento que acredite las remuneraciones de:</w:t>
      </w:r>
    </w:p>
    <w:p w:rsidR="00157D9B" w:rsidRDefault="00157D9B" w:rsidP="00A30060">
      <w:pPr>
        <w:spacing w:after="0" w:line="360" w:lineRule="auto"/>
        <w:jc w:val="both"/>
        <w:rPr>
          <w:rFonts w:ascii="Palatino Linotype" w:hAnsi="Palatino Linotype" w:cs="Arial"/>
          <w:sz w:val="24"/>
          <w:szCs w:val="24"/>
        </w:rPr>
      </w:pPr>
    </w:p>
    <w:p w:rsidR="00157D9B" w:rsidRDefault="00600F1D" w:rsidP="00A30060">
      <w:pPr>
        <w:pStyle w:val="Prrafodelista"/>
        <w:numPr>
          <w:ilvl w:val="0"/>
          <w:numId w:val="3"/>
        </w:numPr>
        <w:spacing w:line="360" w:lineRule="auto"/>
        <w:jc w:val="both"/>
        <w:rPr>
          <w:rFonts w:ascii="Palatino Linotype" w:hAnsi="Palatino Linotype" w:cs="Arial"/>
        </w:rPr>
      </w:pPr>
      <w:r>
        <w:rPr>
          <w:rFonts w:ascii="Palatino Linotype" w:hAnsi="Palatino Linotype" w:cs="Arial"/>
        </w:rPr>
        <w:t>Presidente Municipal;</w:t>
      </w:r>
    </w:p>
    <w:p w:rsidR="00600F1D" w:rsidRDefault="00600F1D" w:rsidP="00A30060">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Síndico; y </w:t>
      </w:r>
    </w:p>
    <w:p w:rsidR="00600F1D" w:rsidRPr="00082517" w:rsidRDefault="00600F1D" w:rsidP="00A30060">
      <w:pPr>
        <w:pStyle w:val="Prrafodelista"/>
        <w:numPr>
          <w:ilvl w:val="0"/>
          <w:numId w:val="3"/>
        </w:numPr>
        <w:spacing w:line="360" w:lineRule="auto"/>
        <w:jc w:val="both"/>
        <w:rPr>
          <w:rFonts w:ascii="Palatino Linotype" w:hAnsi="Palatino Linotype" w:cs="Arial"/>
        </w:rPr>
      </w:pPr>
      <w:r>
        <w:rPr>
          <w:rFonts w:ascii="Palatino Linotype" w:hAnsi="Palatino Linotype" w:cs="Arial"/>
        </w:rPr>
        <w:t>Regidores</w:t>
      </w:r>
    </w:p>
    <w:p w:rsidR="00157D9B" w:rsidRDefault="00157D9B" w:rsidP="00A30060">
      <w:pPr>
        <w:spacing w:after="0" w:line="360" w:lineRule="auto"/>
        <w:jc w:val="both"/>
        <w:rPr>
          <w:rFonts w:ascii="Palatino Linotype" w:hAnsi="Palatino Linotype" w:cs="Arial"/>
          <w:sz w:val="24"/>
          <w:szCs w:val="24"/>
        </w:rPr>
      </w:pPr>
    </w:p>
    <w:p w:rsidR="00157D9B" w:rsidRPr="00F61983" w:rsidRDefault="00157D9B"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w:t>
      </w:r>
      <w:r w:rsidR="0055507B">
        <w:rPr>
          <w:rFonts w:ascii="Palatino Linotype" w:hAnsi="Palatino Linotype" w:cs="Arial"/>
          <w:sz w:val="24"/>
          <w:szCs w:val="24"/>
        </w:rPr>
        <w:t>señalando que fue enviada al correo personal</w:t>
      </w:r>
      <w:r w:rsidR="00FF2299">
        <w:rPr>
          <w:rFonts w:ascii="Palatino Linotype" w:hAnsi="Palatino Linotype" w:cs="Arial"/>
          <w:sz w:val="24"/>
          <w:szCs w:val="24"/>
        </w:rPr>
        <w:t xml:space="preserve"> del solicitante; no obstante lo anterior, es dable recordarle al </w:t>
      </w:r>
      <w:r w:rsidR="00FF2299">
        <w:rPr>
          <w:rFonts w:ascii="Palatino Linotype" w:hAnsi="Palatino Linotype" w:cs="Arial"/>
          <w:b/>
          <w:sz w:val="24"/>
          <w:szCs w:val="24"/>
        </w:rPr>
        <w:t xml:space="preserve">sujeto obligado </w:t>
      </w:r>
      <w:r w:rsidR="00FF2299">
        <w:rPr>
          <w:rFonts w:ascii="Palatino Linotype" w:hAnsi="Palatino Linotype" w:cs="Arial"/>
          <w:sz w:val="24"/>
          <w:szCs w:val="24"/>
        </w:rPr>
        <w:t xml:space="preserve">que debe sujetar su actuar conforme al procedimiento establecido en el Título Séptimo de la Ley de Transparencia y Acceso a la Información Pública del Estado de México y Municipios, </w:t>
      </w:r>
      <w:r w:rsidR="00F61983">
        <w:rPr>
          <w:rFonts w:ascii="Palatino Linotype" w:hAnsi="Palatino Linotype" w:cs="Arial"/>
          <w:sz w:val="24"/>
          <w:szCs w:val="24"/>
        </w:rPr>
        <w:t xml:space="preserve">toda vez que el ahora </w:t>
      </w:r>
      <w:r w:rsidR="00F61983">
        <w:rPr>
          <w:rFonts w:ascii="Palatino Linotype" w:hAnsi="Palatino Linotype" w:cs="Arial"/>
          <w:b/>
          <w:sz w:val="24"/>
          <w:szCs w:val="24"/>
        </w:rPr>
        <w:t>recurrente</w:t>
      </w:r>
      <w:r w:rsidR="00F61983">
        <w:rPr>
          <w:rFonts w:ascii="Palatino Linotype" w:hAnsi="Palatino Linotype" w:cs="Arial"/>
          <w:sz w:val="24"/>
          <w:szCs w:val="24"/>
        </w:rPr>
        <w:t xml:space="preserve"> preciso como modalidad de entrega </w:t>
      </w:r>
      <w:r w:rsidR="00F61983">
        <w:rPr>
          <w:rFonts w:ascii="Palatino Linotype" w:hAnsi="Palatino Linotype" w:cs="Arial"/>
          <w:i/>
          <w:sz w:val="24"/>
          <w:szCs w:val="24"/>
        </w:rPr>
        <w:t>“a través del SAIMEX”,</w:t>
      </w:r>
      <w:r w:rsidR="00F61983">
        <w:rPr>
          <w:rFonts w:ascii="Palatino Linotype" w:hAnsi="Palatino Linotype" w:cs="Arial"/>
          <w:sz w:val="24"/>
          <w:szCs w:val="24"/>
        </w:rPr>
        <w:t xml:space="preserve"> por lo que se acredita que el </w:t>
      </w:r>
      <w:r w:rsidR="00F61983">
        <w:rPr>
          <w:rFonts w:ascii="Palatino Linotype" w:hAnsi="Palatino Linotype" w:cs="Arial"/>
          <w:b/>
          <w:sz w:val="24"/>
          <w:szCs w:val="24"/>
        </w:rPr>
        <w:t>sujeto obligado</w:t>
      </w:r>
      <w:r w:rsidR="00F61983">
        <w:rPr>
          <w:rFonts w:ascii="Palatino Linotype" w:hAnsi="Palatino Linotype" w:cs="Arial"/>
          <w:sz w:val="24"/>
          <w:szCs w:val="24"/>
        </w:rPr>
        <w:t xml:space="preserve"> incumple al hacer entrega de la in</w:t>
      </w:r>
      <w:r w:rsidR="009B4794">
        <w:rPr>
          <w:rFonts w:ascii="Palatino Linotype" w:hAnsi="Palatino Linotype" w:cs="Arial"/>
          <w:sz w:val="24"/>
          <w:szCs w:val="24"/>
        </w:rPr>
        <w:t xml:space="preserve">formación en una modalidad diferente, aunado a que este Órgano Garante no advierte que haya hecho entrega de forma correcta y completa de la información. </w:t>
      </w:r>
    </w:p>
    <w:p w:rsidR="00157D9B" w:rsidRDefault="00157D9B" w:rsidP="00A30060">
      <w:pPr>
        <w:spacing w:after="0" w:line="360" w:lineRule="auto"/>
        <w:jc w:val="both"/>
        <w:rPr>
          <w:rFonts w:ascii="Palatino Linotype" w:hAnsi="Palatino Linotype" w:cs="Arial"/>
          <w:sz w:val="24"/>
          <w:szCs w:val="24"/>
        </w:rPr>
      </w:pPr>
    </w:p>
    <w:p w:rsidR="007C453D" w:rsidRDefault="00157D9B" w:rsidP="00A3006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Vista la respuesta proporcionada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la </w:t>
      </w:r>
      <w:r>
        <w:rPr>
          <w:rFonts w:ascii="Palatino Linotype" w:hAnsi="Palatino Linotype" w:cs="Arial"/>
          <w:b/>
          <w:sz w:val="24"/>
          <w:szCs w:val="24"/>
        </w:rPr>
        <w:t xml:space="preserve">recurrente </w:t>
      </w:r>
      <w:r>
        <w:rPr>
          <w:rFonts w:ascii="Palatino Linotype" w:hAnsi="Palatino Linotype" w:cs="Arial"/>
          <w:sz w:val="24"/>
          <w:szCs w:val="24"/>
        </w:rPr>
        <w:t xml:space="preserve">hace valer como </w:t>
      </w:r>
      <w:r w:rsidR="007C453D">
        <w:rPr>
          <w:rFonts w:ascii="Palatino Linotype" w:hAnsi="Palatino Linotype" w:cs="Arial"/>
          <w:b/>
          <w:sz w:val="24"/>
          <w:szCs w:val="24"/>
        </w:rPr>
        <w:t>acto impugnado</w:t>
      </w:r>
      <w:r w:rsidR="007C453D">
        <w:rPr>
          <w:rFonts w:ascii="Palatino Linotype" w:hAnsi="Palatino Linotype" w:cs="Arial"/>
          <w:sz w:val="24"/>
          <w:szCs w:val="24"/>
        </w:rPr>
        <w:t xml:space="preserve"> que el </w:t>
      </w:r>
      <w:r w:rsidR="007C453D">
        <w:rPr>
          <w:rFonts w:ascii="Palatino Linotype" w:hAnsi="Palatino Linotype" w:cs="Arial"/>
          <w:b/>
          <w:sz w:val="24"/>
          <w:szCs w:val="24"/>
        </w:rPr>
        <w:t xml:space="preserve">sujeto obligado </w:t>
      </w:r>
      <w:r w:rsidR="007C453D">
        <w:rPr>
          <w:rFonts w:ascii="Palatino Linotype" w:hAnsi="Palatino Linotype" w:cs="Arial"/>
          <w:sz w:val="24"/>
          <w:szCs w:val="24"/>
        </w:rPr>
        <w:t xml:space="preserve">da respuesta por un medio que no fue solicitado, asimismo que respondió por medio de una Gaceta de Gobierno; y como </w:t>
      </w:r>
      <w:r w:rsidR="007C453D">
        <w:rPr>
          <w:rFonts w:ascii="Palatino Linotype" w:hAnsi="Palatino Linotype" w:cs="Arial"/>
          <w:b/>
          <w:sz w:val="24"/>
          <w:szCs w:val="24"/>
        </w:rPr>
        <w:t>razones o motivos de inconformidad</w:t>
      </w:r>
      <w:r w:rsidR="007C453D">
        <w:rPr>
          <w:rFonts w:ascii="Palatino Linotype" w:hAnsi="Palatino Linotype" w:cs="Arial"/>
          <w:sz w:val="24"/>
          <w:szCs w:val="24"/>
        </w:rPr>
        <w:t xml:space="preserve"> que no se brindó la información peticionada ni en el medio solicitado.</w:t>
      </w:r>
    </w:p>
    <w:p w:rsidR="00270D1A" w:rsidRPr="007C453D" w:rsidRDefault="00270D1A" w:rsidP="00A30060">
      <w:pPr>
        <w:tabs>
          <w:tab w:val="left" w:pos="709"/>
        </w:tabs>
        <w:spacing w:after="0" w:line="360" w:lineRule="auto"/>
        <w:jc w:val="both"/>
        <w:rPr>
          <w:rFonts w:ascii="Palatino Linotype" w:hAnsi="Palatino Linotype" w:cs="Arial"/>
          <w:sz w:val="24"/>
          <w:szCs w:val="24"/>
        </w:rPr>
      </w:pPr>
    </w:p>
    <w:p w:rsidR="00157D9B" w:rsidRDefault="00157D9B" w:rsidP="00A30060">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 xml:space="preserve">ferirnos al acto impugnado por la </w:t>
      </w:r>
      <w:r>
        <w:rPr>
          <w:rFonts w:ascii="Palatino Linotype" w:hAnsi="Palatino Linotype" w:cs="Arial"/>
          <w:b/>
          <w:sz w:val="24"/>
          <w:szCs w:val="24"/>
        </w:rPr>
        <w:t>r</w:t>
      </w:r>
      <w:r w:rsidRPr="00786182">
        <w:rPr>
          <w:rFonts w:ascii="Palatino Linotype" w:hAnsi="Palatino Linotype" w:cs="Arial"/>
          <w:b/>
          <w:sz w:val="24"/>
          <w:szCs w:val="24"/>
        </w:rPr>
        <w:t>ecurrente</w:t>
      </w:r>
      <w:r w:rsidRPr="00786182">
        <w:rPr>
          <w:rFonts w:ascii="Palatino Linotype" w:hAnsi="Palatino Linotype" w:cs="Arial"/>
          <w:sz w:val="24"/>
          <w:szCs w:val="24"/>
        </w:rPr>
        <w:t xml:space="preserve">, concatenado con los </w:t>
      </w:r>
      <w:r w:rsidRPr="007C453D">
        <w:rPr>
          <w:rFonts w:ascii="Palatino Linotype" w:hAnsi="Palatino Linotype" w:cs="Arial"/>
          <w:b/>
          <w:sz w:val="24"/>
          <w:szCs w:val="24"/>
        </w:rPr>
        <w:t>motivos o razones de inconformidad</w:t>
      </w:r>
      <w:r w:rsidRPr="00786182">
        <w:rPr>
          <w:rFonts w:ascii="Palatino Linotype" w:hAnsi="Palatino Linotype" w:cs="Arial"/>
          <w:sz w:val="24"/>
          <w:szCs w:val="24"/>
        </w:rPr>
        <w:t xml:space="preserve"> emitidos, se distingue que se adolece, de forma toral, </w:t>
      </w:r>
      <w:r>
        <w:rPr>
          <w:rFonts w:ascii="Palatino Linotype" w:hAnsi="Palatino Linotype" w:cs="Arial"/>
          <w:sz w:val="24"/>
          <w:szCs w:val="24"/>
        </w:rPr>
        <w:t xml:space="preserve">respecto </w:t>
      </w:r>
      <w:r w:rsidR="007C453D">
        <w:rPr>
          <w:rFonts w:ascii="Palatino Linotype" w:hAnsi="Palatino Linotype" w:cs="Arial"/>
          <w:sz w:val="24"/>
          <w:szCs w:val="24"/>
        </w:rPr>
        <w:t>de la entrega de la información que no corresponde con lo peticionado, así como la entrega o puesta a disposición en una modalidad distinta a la peticionada</w:t>
      </w:r>
      <w:r w:rsidRPr="00786182">
        <w:rPr>
          <w:rFonts w:ascii="Palatino Linotype" w:hAnsi="Palatino Linotype" w:cs="Arial"/>
          <w:sz w:val="24"/>
          <w:szCs w:val="24"/>
        </w:rPr>
        <w:t>, actualizando con ello lo establecido en la</w:t>
      </w:r>
      <w:r w:rsidR="007C453D">
        <w:rPr>
          <w:rFonts w:ascii="Palatino Linotype" w:hAnsi="Palatino Linotype" w:cs="Arial"/>
          <w:sz w:val="24"/>
          <w:szCs w:val="24"/>
        </w:rPr>
        <w:t>s</w:t>
      </w:r>
      <w:r w:rsidRPr="00786182">
        <w:rPr>
          <w:rFonts w:ascii="Palatino Linotype" w:hAnsi="Palatino Linotype" w:cs="Arial"/>
          <w:sz w:val="24"/>
          <w:szCs w:val="24"/>
        </w:rPr>
        <w:t xml:space="preserve"> fracci</w:t>
      </w:r>
      <w:r w:rsidR="007C453D">
        <w:rPr>
          <w:rFonts w:ascii="Palatino Linotype" w:hAnsi="Palatino Linotype" w:cs="Arial"/>
          <w:sz w:val="24"/>
          <w:szCs w:val="24"/>
        </w:rPr>
        <w:t>ones V</w:t>
      </w:r>
      <w:r w:rsidRPr="00786182">
        <w:rPr>
          <w:rFonts w:ascii="Palatino Linotype" w:hAnsi="Palatino Linotype" w:cs="Arial"/>
          <w:sz w:val="24"/>
          <w:szCs w:val="24"/>
        </w:rPr>
        <w:t>I</w:t>
      </w:r>
      <w:r w:rsidR="007C453D">
        <w:rPr>
          <w:rFonts w:ascii="Palatino Linotype" w:hAnsi="Palatino Linotype" w:cs="Arial"/>
          <w:sz w:val="24"/>
          <w:szCs w:val="24"/>
        </w:rPr>
        <w:t xml:space="preserve"> y VIII</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157D9B" w:rsidRDefault="00157D9B" w:rsidP="00A30060">
      <w:pPr>
        <w:spacing w:after="0" w:line="360" w:lineRule="auto"/>
        <w:jc w:val="both"/>
        <w:rPr>
          <w:rFonts w:ascii="Palatino Linotype" w:hAnsi="Palatino Linotype" w:cs="Arial"/>
          <w:sz w:val="24"/>
          <w:szCs w:val="24"/>
        </w:rPr>
      </w:pPr>
    </w:p>
    <w:p w:rsidR="00157D9B" w:rsidRPr="00F439C3" w:rsidRDefault="00157D9B" w:rsidP="00A30060">
      <w:pPr>
        <w:spacing w:after="0" w:line="360" w:lineRule="auto"/>
        <w:jc w:val="both"/>
        <w:rPr>
          <w:rFonts w:ascii="Palatino Linotype" w:hAnsi="Palatino Linotype" w:cs="Arial"/>
          <w:b/>
          <w:sz w:val="24"/>
          <w:szCs w:val="24"/>
        </w:rPr>
      </w:pPr>
      <w:r w:rsidRPr="009D1C03">
        <w:rPr>
          <w:rFonts w:ascii="Palatino Linotype" w:hAnsi="Palatino Linotype" w:cs="Arial"/>
          <w:sz w:val="24"/>
          <w:szCs w:val="24"/>
        </w:rPr>
        <w:t xml:space="preserve">Dicho lo anterior, considerando la información requerida por </w:t>
      </w:r>
      <w:r>
        <w:rPr>
          <w:rFonts w:ascii="Palatino Linotype" w:hAnsi="Palatino Linotype" w:cs="Arial"/>
          <w:sz w:val="24"/>
          <w:szCs w:val="24"/>
        </w:rPr>
        <w:t xml:space="preserve">la </w:t>
      </w:r>
      <w:r w:rsidRPr="00171E9F">
        <w:rPr>
          <w:rFonts w:ascii="Palatino Linotype" w:hAnsi="Palatino Linotype" w:cs="Arial"/>
          <w:b/>
          <w:sz w:val="24"/>
          <w:szCs w:val="24"/>
        </w:rPr>
        <w:t>recurrente</w:t>
      </w:r>
      <w:r>
        <w:rPr>
          <w:rFonts w:ascii="Palatino Linotype" w:hAnsi="Palatino Linotype" w:cs="Arial"/>
          <w:sz w:val="24"/>
          <w:szCs w:val="24"/>
        </w:rPr>
        <w:t xml:space="preserve"> </w:t>
      </w:r>
      <w:r w:rsidRPr="009D1C03">
        <w:rPr>
          <w:rFonts w:ascii="Palatino Linotype" w:hAnsi="Palatino Linotype" w:cs="Arial"/>
          <w:sz w:val="24"/>
          <w:szCs w:val="24"/>
        </w:rPr>
        <w:t xml:space="preserve">en su solicitud de información, así como la respuesta a la misma, </w:t>
      </w:r>
      <w:r>
        <w:rPr>
          <w:rFonts w:ascii="Palatino Linotype" w:hAnsi="Palatino Linotype" w:cs="Arial"/>
          <w:sz w:val="24"/>
          <w:szCs w:val="24"/>
        </w:rPr>
        <w:t xml:space="preserve">(las cuales se tienen aquí por reproducidas como si a la letra se insertasen, en obvio de repeticiones innecesarias), </w:t>
      </w:r>
      <w:r w:rsidRPr="009D1C03">
        <w:rPr>
          <w:rFonts w:ascii="Palatino Linotype" w:hAnsi="Palatino Linotype" w:cs="Arial"/>
          <w:sz w:val="24"/>
          <w:szCs w:val="24"/>
        </w:rPr>
        <w:t>se establece que la materia de estudio se centrará en</w:t>
      </w:r>
      <w:r>
        <w:rPr>
          <w:rFonts w:ascii="Palatino Linotype" w:hAnsi="Palatino Linotype" w:cs="Arial"/>
          <w:sz w:val="24"/>
          <w:szCs w:val="24"/>
        </w:rPr>
        <w:t xml:space="preserve"> determinar si la información </w:t>
      </w:r>
      <w:r w:rsidR="00F439C3">
        <w:rPr>
          <w:rFonts w:ascii="Palatino Linotype" w:hAnsi="Palatino Linotype" w:cs="Arial"/>
          <w:sz w:val="24"/>
          <w:szCs w:val="24"/>
        </w:rPr>
        <w:t xml:space="preserve">que hizo entrega el </w:t>
      </w:r>
      <w:r w:rsidR="00F439C3">
        <w:rPr>
          <w:rFonts w:ascii="Palatino Linotype" w:hAnsi="Palatino Linotype" w:cs="Arial"/>
          <w:b/>
          <w:sz w:val="24"/>
          <w:szCs w:val="24"/>
        </w:rPr>
        <w:t>sujeto obligado</w:t>
      </w:r>
      <w:r w:rsidR="00F439C3">
        <w:rPr>
          <w:rFonts w:ascii="Palatino Linotype" w:hAnsi="Palatino Linotype" w:cs="Arial"/>
          <w:sz w:val="24"/>
          <w:szCs w:val="24"/>
        </w:rPr>
        <w:t xml:space="preserve"> satisface el derecho de acceso a la información de la </w:t>
      </w:r>
      <w:r w:rsidR="00F439C3">
        <w:rPr>
          <w:rFonts w:ascii="Palatino Linotype" w:hAnsi="Palatino Linotype" w:cs="Arial"/>
          <w:b/>
          <w:sz w:val="24"/>
          <w:szCs w:val="24"/>
        </w:rPr>
        <w:t>recurrente.</w:t>
      </w:r>
    </w:p>
    <w:p w:rsidR="00157D9B" w:rsidRDefault="00157D9B" w:rsidP="00A30060">
      <w:pPr>
        <w:spacing w:after="0" w:line="360" w:lineRule="auto"/>
        <w:jc w:val="both"/>
        <w:rPr>
          <w:rFonts w:ascii="Palatino Linotype" w:hAnsi="Palatino Linotype" w:cs="Arial"/>
          <w:sz w:val="24"/>
          <w:szCs w:val="24"/>
        </w:rPr>
      </w:pPr>
    </w:p>
    <w:p w:rsidR="00F439C3" w:rsidRDefault="00F439C3"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ha quedado señalado anteriormente, en el apartado de respuesta del </w:t>
      </w:r>
      <w:r>
        <w:rPr>
          <w:rFonts w:ascii="Palatino Linotype" w:hAnsi="Palatino Linotype" w:cs="Arial"/>
          <w:b/>
          <w:sz w:val="24"/>
          <w:szCs w:val="24"/>
        </w:rPr>
        <w:t>sujeto obligado</w:t>
      </w:r>
      <w:r>
        <w:rPr>
          <w:rFonts w:ascii="Palatino Linotype" w:hAnsi="Palatino Linotype" w:cs="Arial"/>
          <w:sz w:val="24"/>
          <w:szCs w:val="24"/>
        </w:rPr>
        <w:t xml:space="preserve"> no consta evidencia de la información entregada, sin embargo el </w:t>
      </w:r>
      <w:r>
        <w:rPr>
          <w:rFonts w:ascii="Palatino Linotype" w:hAnsi="Palatino Linotype" w:cs="Arial"/>
          <w:b/>
          <w:sz w:val="24"/>
          <w:szCs w:val="24"/>
        </w:rPr>
        <w:t>recurrente</w:t>
      </w:r>
      <w:r>
        <w:rPr>
          <w:rFonts w:ascii="Palatino Linotype" w:hAnsi="Palatino Linotype" w:cs="Arial"/>
          <w:sz w:val="24"/>
          <w:szCs w:val="24"/>
        </w:rPr>
        <w:t xml:space="preserve"> al interponer el presente recurso de revisión, remitió los archivos “</w:t>
      </w:r>
      <w:r w:rsidRPr="003E27AA">
        <w:rPr>
          <w:rFonts w:ascii="Palatino Linotype" w:hAnsi="Palatino Linotype" w:cs="Arial"/>
          <w:sz w:val="24"/>
          <w:szCs w:val="24"/>
        </w:rPr>
        <w:t>saldos.pdf</w:t>
      </w:r>
      <w:r>
        <w:rPr>
          <w:rFonts w:ascii="Palatino Linotype" w:hAnsi="Palatino Linotype" w:cs="Arial"/>
          <w:sz w:val="24"/>
          <w:szCs w:val="24"/>
        </w:rPr>
        <w:t>,“ y “</w:t>
      </w:r>
      <w:r w:rsidRPr="003E27AA">
        <w:rPr>
          <w:rFonts w:ascii="Palatino Linotype" w:hAnsi="Palatino Linotype" w:cs="Arial"/>
          <w:sz w:val="24"/>
          <w:szCs w:val="24"/>
        </w:rPr>
        <w:t>Captura de pantalla 2018-11-06 a la(s) 13.12.02.png</w:t>
      </w:r>
      <w:r>
        <w:rPr>
          <w:rFonts w:ascii="Palatino Linotype" w:hAnsi="Palatino Linotype" w:cs="Arial"/>
          <w:sz w:val="24"/>
          <w:szCs w:val="24"/>
        </w:rPr>
        <w:t xml:space="preserve">”, </w:t>
      </w:r>
      <w:r w:rsidR="002C747C">
        <w:rPr>
          <w:rFonts w:ascii="Palatino Linotype" w:hAnsi="Palatino Linotype" w:cs="Arial"/>
          <w:sz w:val="24"/>
          <w:szCs w:val="24"/>
        </w:rPr>
        <w:t>los cuales se procede a su estudio:</w:t>
      </w:r>
    </w:p>
    <w:p w:rsidR="002C747C" w:rsidRDefault="002C747C" w:rsidP="00A30060">
      <w:pPr>
        <w:spacing w:after="0" w:line="360" w:lineRule="auto"/>
        <w:jc w:val="both"/>
        <w:rPr>
          <w:rFonts w:ascii="Palatino Linotype" w:hAnsi="Palatino Linotype" w:cs="Arial"/>
          <w:sz w:val="24"/>
          <w:szCs w:val="24"/>
        </w:rPr>
      </w:pPr>
    </w:p>
    <w:p w:rsidR="002C747C" w:rsidRDefault="002C747C" w:rsidP="00A30060">
      <w:pPr>
        <w:pStyle w:val="Prrafodelista"/>
        <w:numPr>
          <w:ilvl w:val="0"/>
          <w:numId w:val="7"/>
        </w:numPr>
        <w:spacing w:line="360" w:lineRule="auto"/>
        <w:jc w:val="both"/>
        <w:rPr>
          <w:rFonts w:ascii="Palatino Linotype" w:hAnsi="Palatino Linotype" w:cs="Arial"/>
        </w:rPr>
      </w:pPr>
      <w:r w:rsidRPr="003E27AA">
        <w:rPr>
          <w:rFonts w:ascii="Palatino Linotype" w:hAnsi="Palatino Linotype" w:cs="Arial"/>
        </w:rPr>
        <w:t>Captura de pantalla 2018-11-06 a la(s) 13.12.02.png</w:t>
      </w:r>
      <w:r>
        <w:rPr>
          <w:rFonts w:ascii="Palatino Linotype" w:hAnsi="Palatino Linotype" w:cs="Arial"/>
        </w:rPr>
        <w:t xml:space="preserve">: como su nombre lo indica consiste en la captura de pantalla del correo electrónico enviado por el </w:t>
      </w:r>
      <w:r>
        <w:rPr>
          <w:rFonts w:ascii="Palatino Linotype" w:hAnsi="Palatino Linotype" w:cs="Arial"/>
          <w:b/>
        </w:rPr>
        <w:t xml:space="preserve">sujeto obligado </w:t>
      </w:r>
      <w:r>
        <w:rPr>
          <w:rFonts w:ascii="Palatino Linotype" w:hAnsi="Palatino Linotype" w:cs="Arial"/>
        </w:rPr>
        <w:t xml:space="preserve">al entonces </w:t>
      </w:r>
      <w:r>
        <w:rPr>
          <w:rFonts w:ascii="Palatino Linotype" w:hAnsi="Palatino Linotype" w:cs="Arial"/>
          <w:b/>
        </w:rPr>
        <w:t xml:space="preserve">solicitante, </w:t>
      </w:r>
      <w:r>
        <w:rPr>
          <w:rFonts w:ascii="Palatino Linotype" w:hAnsi="Palatino Linotype" w:cs="Arial"/>
        </w:rPr>
        <w:t>el cual contiene el archivo adjunto “saldos.pdf”.</w:t>
      </w:r>
    </w:p>
    <w:p w:rsidR="002C747C" w:rsidRPr="002C747C" w:rsidRDefault="002C747C" w:rsidP="00A30060">
      <w:pPr>
        <w:pStyle w:val="Prrafodelista"/>
        <w:numPr>
          <w:ilvl w:val="0"/>
          <w:numId w:val="7"/>
        </w:numPr>
        <w:spacing w:line="360" w:lineRule="auto"/>
        <w:jc w:val="both"/>
        <w:rPr>
          <w:rFonts w:ascii="Palatino Linotype" w:hAnsi="Palatino Linotype" w:cs="Arial"/>
        </w:rPr>
      </w:pPr>
      <w:r w:rsidRPr="003E27AA">
        <w:rPr>
          <w:rFonts w:ascii="Palatino Linotype" w:hAnsi="Palatino Linotype" w:cs="Arial"/>
        </w:rPr>
        <w:t>saldos.pdf</w:t>
      </w:r>
      <w:r>
        <w:rPr>
          <w:rFonts w:ascii="Palatino Linotype" w:hAnsi="Palatino Linotype" w:cs="Arial"/>
        </w:rPr>
        <w:t>: el cual consiste en el Periódico Oficial Gaceta del Gobierno de fecha veinticinco de febrero de dos mil dieciséis, que contiene “Recomendaciones para instrumentar las disposiciones normativas de las remuneraciones de los servidores públicos de los Municipios del Estado de México, advirtiéndose que en su página 6 (seis) establece un cuadro que recomienda los rangos salariales de</w:t>
      </w:r>
      <w:r w:rsidR="00AE58A6">
        <w:rPr>
          <w:rFonts w:ascii="Palatino Linotype" w:hAnsi="Palatino Linotype" w:cs="Arial"/>
        </w:rPr>
        <w:t xml:space="preserve"> l</w:t>
      </w:r>
      <w:r>
        <w:rPr>
          <w:rFonts w:ascii="Palatino Linotype" w:hAnsi="Palatino Linotype" w:cs="Arial"/>
        </w:rPr>
        <w:t>os Presidentes Municipales</w:t>
      </w:r>
      <w:r w:rsidR="00AE58A6">
        <w:rPr>
          <w:rFonts w:ascii="Palatino Linotype" w:hAnsi="Palatino Linotype" w:cs="Arial"/>
        </w:rPr>
        <w:t>.</w:t>
      </w:r>
    </w:p>
    <w:p w:rsidR="00F439C3" w:rsidRDefault="00F439C3" w:rsidP="00A30060">
      <w:pPr>
        <w:spacing w:after="0" w:line="360" w:lineRule="auto"/>
        <w:jc w:val="both"/>
        <w:rPr>
          <w:rFonts w:ascii="Palatino Linotype" w:hAnsi="Palatino Linotype" w:cs="Arial"/>
          <w:sz w:val="24"/>
          <w:szCs w:val="24"/>
        </w:rPr>
      </w:pPr>
    </w:p>
    <w:p w:rsidR="00F439C3" w:rsidRPr="00AE58A6" w:rsidRDefault="00AE58A6"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hecho estudio de la información remitida se acredita que el </w:t>
      </w:r>
      <w:r>
        <w:rPr>
          <w:rFonts w:ascii="Palatino Linotype" w:hAnsi="Palatino Linotype" w:cs="Arial"/>
          <w:b/>
          <w:sz w:val="24"/>
          <w:szCs w:val="24"/>
        </w:rPr>
        <w:t>sujeto obligado</w:t>
      </w:r>
      <w:r>
        <w:rPr>
          <w:rFonts w:ascii="Palatino Linotype" w:hAnsi="Palatino Linotype" w:cs="Arial"/>
          <w:sz w:val="24"/>
          <w:szCs w:val="24"/>
        </w:rPr>
        <w:t xml:space="preserve"> no hizo entrega de la información peticionada, ya que de forma clara y precisa el </w:t>
      </w:r>
      <w:r>
        <w:rPr>
          <w:rFonts w:ascii="Palatino Linotype" w:hAnsi="Palatino Linotype" w:cs="Arial"/>
          <w:b/>
          <w:sz w:val="24"/>
          <w:szCs w:val="24"/>
        </w:rPr>
        <w:t>recurrente</w:t>
      </w:r>
      <w:r>
        <w:rPr>
          <w:rFonts w:ascii="Palatino Linotype" w:hAnsi="Palatino Linotype" w:cs="Arial"/>
          <w:sz w:val="24"/>
          <w:szCs w:val="24"/>
        </w:rPr>
        <w:t xml:space="preserve"> peticiona le sean entregados los recibos de nómina o cualquier documento que contenga las remuneraciones de los meses de agosto y septiembre de dos mil dieciocho del Presidente Municipal, Sindico y Regidores.</w:t>
      </w:r>
    </w:p>
    <w:p w:rsidR="00F439C3" w:rsidRDefault="00F439C3" w:rsidP="00A30060">
      <w:pPr>
        <w:spacing w:after="0" w:line="360" w:lineRule="auto"/>
        <w:jc w:val="both"/>
        <w:rPr>
          <w:rFonts w:ascii="Palatino Linotype" w:hAnsi="Palatino Linotype" w:cs="Arial"/>
          <w:sz w:val="24"/>
          <w:szCs w:val="24"/>
        </w:rPr>
      </w:pPr>
    </w:p>
    <w:p w:rsidR="00AE58A6" w:rsidRDefault="00AE58A6" w:rsidP="00A30060">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t>En primer lugar es necesario señalar el contenido del artículo 16 de la Ley Orgánica Municipal del Estado de México, el cual establece lo siguiente:</w:t>
      </w:r>
    </w:p>
    <w:p w:rsidR="00AE58A6" w:rsidRDefault="00AE58A6" w:rsidP="00A30060">
      <w:pPr>
        <w:tabs>
          <w:tab w:val="left" w:pos="709"/>
        </w:tabs>
        <w:spacing w:after="0" w:line="360" w:lineRule="auto"/>
        <w:jc w:val="both"/>
        <w:rPr>
          <w:rFonts w:ascii="Palatino Linotype" w:hAnsi="Palatino Linotype" w:cs="Arial"/>
          <w:bCs/>
          <w:sz w:val="24"/>
          <w:szCs w:val="24"/>
        </w:rPr>
      </w:pPr>
    </w:p>
    <w:p w:rsidR="00AE58A6" w:rsidRPr="006500FB" w:rsidRDefault="00AE58A6" w:rsidP="00A30060">
      <w:pPr>
        <w:tabs>
          <w:tab w:val="left" w:pos="709"/>
        </w:tabs>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r w:rsidRPr="00B92CEF">
        <w:rPr>
          <w:rFonts w:ascii="Palatino Linotype" w:hAnsi="Palatino Linotype" w:cs="Arial"/>
          <w:b/>
          <w:bCs/>
          <w:i/>
          <w:szCs w:val="24"/>
        </w:rPr>
        <w:t>Artículo 16</w:t>
      </w:r>
      <w:r w:rsidRPr="006500FB">
        <w:rPr>
          <w:rFonts w:ascii="Palatino Linotype" w:hAnsi="Palatino Linotype" w:cs="Arial"/>
          <w:bCs/>
          <w:i/>
          <w:szCs w:val="24"/>
        </w:rPr>
        <w:t>.- Los Ayuntamientos se renovarán cada tres años, iniciarán su periodo el 1</w:t>
      </w:r>
      <w:r>
        <w:rPr>
          <w:rFonts w:ascii="Palatino Linotype" w:hAnsi="Palatino Linotype" w:cs="Arial"/>
          <w:bCs/>
          <w:i/>
          <w:szCs w:val="24"/>
        </w:rPr>
        <w:t xml:space="preserve"> </w:t>
      </w:r>
      <w:r w:rsidRPr="006500FB">
        <w:rPr>
          <w:rFonts w:ascii="Palatino Linotype" w:hAnsi="Palatino Linotype" w:cs="Arial"/>
          <w:bCs/>
          <w:i/>
          <w:szCs w:val="24"/>
        </w:rPr>
        <w:t>de enero del año inmediato siguiente al de las elecciones municipales ordinarias y</w:t>
      </w:r>
      <w:r>
        <w:rPr>
          <w:rFonts w:ascii="Palatino Linotype" w:hAnsi="Palatino Linotype" w:cs="Arial"/>
          <w:bCs/>
          <w:i/>
          <w:szCs w:val="24"/>
        </w:rPr>
        <w:t xml:space="preserve"> </w:t>
      </w:r>
      <w:r w:rsidRPr="006500FB">
        <w:rPr>
          <w:rFonts w:ascii="Palatino Linotype" w:hAnsi="Palatino Linotype" w:cs="Arial"/>
          <w:bCs/>
          <w:i/>
          <w:szCs w:val="24"/>
        </w:rPr>
        <w:t>concluirán el 31 de diciembre del año de las elecciones para su renovación; y se</w:t>
      </w:r>
      <w:r>
        <w:rPr>
          <w:rFonts w:ascii="Palatino Linotype" w:hAnsi="Palatino Linotype" w:cs="Arial"/>
          <w:bCs/>
          <w:i/>
          <w:szCs w:val="24"/>
        </w:rPr>
        <w:t xml:space="preserve"> </w:t>
      </w:r>
      <w:r w:rsidRPr="006500FB">
        <w:rPr>
          <w:rFonts w:ascii="Palatino Linotype" w:hAnsi="Palatino Linotype" w:cs="Arial"/>
          <w:bCs/>
          <w:i/>
          <w:szCs w:val="24"/>
        </w:rPr>
        <w:t>integrarán por:</w:t>
      </w:r>
    </w:p>
    <w:p w:rsidR="00AE58A6" w:rsidRPr="006500FB" w:rsidRDefault="00AE58A6" w:rsidP="00A30060">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 xml:space="preserve">I. Un presidente, </w:t>
      </w:r>
      <w:r w:rsidRPr="00151198">
        <w:rPr>
          <w:rFonts w:ascii="Palatino Linotype" w:hAnsi="Palatino Linotype" w:cs="Arial"/>
          <w:bCs/>
          <w:i/>
          <w:szCs w:val="24"/>
        </w:rPr>
        <w:t>un síndico</w:t>
      </w:r>
      <w:r w:rsidRPr="006500FB">
        <w:rPr>
          <w:rFonts w:ascii="Palatino Linotype" w:hAnsi="Palatino Linotype" w:cs="Arial"/>
          <w:bCs/>
          <w:i/>
          <w:szCs w:val="24"/>
        </w:rPr>
        <w:t xml:space="preserve"> y seis regidores, electos por planilla según el principio de</w:t>
      </w:r>
      <w:r>
        <w:rPr>
          <w:rFonts w:ascii="Palatino Linotype" w:hAnsi="Palatino Linotype" w:cs="Arial"/>
          <w:bCs/>
          <w:i/>
          <w:szCs w:val="24"/>
        </w:rPr>
        <w:t xml:space="preserve"> </w:t>
      </w:r>
      <w:r w:rsidRPr="006500FB">
        <w:rPr>
          <w:rFonts w:ascii="Palatino Linotype" w:hAnsi="Palatino Linotype" w:cs="Arial"/>
          <w:bCs/>
          <w:i/>
          <w:szCs w:val="24"/>
        </w:rPr>
        <w:t>mayoría relativa y hasta cuatro regidores designados según el principio de representación</w:t>
      </w:r>
      <w:r>
        <w:rPr>
          <w:rFonts w:ascii="Palatino Linotype" w:hAnsi="Palatino Linotype" w:cs="Arial"/>
          <w:bCs/>
          <w:i/>
          <w:szCs w:val="24"/>
        </w:rPr>
        <w:t xml:space="preserve"> </w:t>
      </w:r>
      <w:r w:rsidRPr="006500FB">
        <w:rPr>
          <w:rFonts w:ascii="Palatino Linotype" w:hAnsi="Palatino Linotype" w:cs="Arial"/>
          <w:bCs/>
          <w:i/>
          <w:szCs w:val="24"/>
        </w:rPr>
        <w:t>proporcional, cuando se trate de municipios que tengan una población de menos de 150</w:t>
      </w:r>
      <w:r>
        <w:rPr>
          <w:rFonts w:ascii="Palatino Linotype" w:hAnsi="Palatino Linotype" w:cs="Arial"/>
          <w:bCs/>
          <w:i/>
          <w:szCs w:val="24"/>
        </w:rPr>
        <w:t xml:space="preserve"> </w:t>
      </w:r>
      <w:r w:rsidRPr="006500FB">
        <w:rPr>
          <w:rFonts w:ascii="Palatino Linotype" w:hAnsi="Palatino Linotype" w:cs="Arial"/>
          <w:bCs/>
          <w:i/>
          <w:szCs w:val="24"/>
        </w:rPr>
        <w:t>mil habitantes;</w:t>
      </w:r>
    </w:p>
    <w:p w:rsidR="00AE58A6" w:rsidRPr="006500FB" w:rsidRDefault="00AE58A6" w:rsidP="00A30060">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II. Un presidente</w:t>
      </w:r>
      <w:r w:rsidRPr="00151198">
        <w:rPr>
          <w:rFonts w:ascii="Palatino Linotype" w:hAnsi="Palatino Linotype" w:cs="Arial"/>
          <w:bCs/>
          <w:i/>
          <w:szCs w:val="24"/>
        </w:rPr>
        <w:t>, un síndico</w:t>
      </w:r>
      <w:r w:rsidRPr="006500FB">
        <w:rPr>
          <w:rFonts w:ascii="Palatino Linotype" w:hAnsi="Palatino Linotype" w:cs="Arial"/>
          <w:bCs/>
          <w:i/>
          <w:szCs w:val="24"/>
        </w:rPr>
        <w:t xml:space="preserve"> y siete regidores, electos por planilla según el principio de</w:t>
      </w:r>
      <w:r>
        <w:rPr>
          <w:rFonts w:ascii="Palatino Linotype" w:hAnsi="Palatino Linotype" w:cs="Arial"/>
          <w:bCs/>
          <w:i/>
          <w:szCs w:val="24"/>
        </w:rPr>
        <w:t xml:space="preserve"> </w:t>
      </w:r>
      <w:r w:rsidRPr="006500FB">
        <w:rPr>
          <w:rFonts w:ascii="Palatino Linotype" w:hAnsi="Palatino Linotype" w:cs="Arial"/>
          <w:bCs/>
          <w:i/>
          <w:szCs w:val="24"/>
        </w:rPr>
        <w:t>mayoría relativa y hasta seis regidores designados según el principio de representación</w:t>
      </w:r>
      <w:r>
        <w:rPr>
          <w:rFonts w:ascii="Palatino Linotype" w:hAnsi="Palatino Linotype" w:cs="Arial"/>
          <w:bCs/>
          <w:i/>
          <w:szCs w:val="24"/>
        </w:rPr>
        <w:t xml:space="preserve"> </w:t>
      </w:r>
      <w:r w:rsidRPr="006500FB">
        <w:rPr>
          <w:rFonts w:ascii="Palatino Linotype" w:hAnsi="Palatino Linotype" w:cs="Arial"/>
          <w:bCs/>
          <w:i/>
          <w:szCs w:val="24"/>
        </w:rPr>
        <w:t>proporcional, cuando se trate de municipios que tengan una población de más de 150 mil</w:t>
      </w:r>
      <w:r>
        <w:rPr>
          <w:rFonts w:ascii="Palatino Linotype" w:hAnsi="Palatino Linotype" w:cs="Arial"/>
          <w:bCs/>
          <w:i/>
          <w:szCs w:val="24"/>
        </w:rPr>
        <w:t xml:space="preserve"> </w:t>
      </w:r>
      <w:r w:rsidRPr="006500FB">
        <w:rPr>
          <w:rFonts w:ascii="Palatino Linotype" w:hAnsi="Palatino Linotype" w:cs="Arial"/>
          <w:bCs/>
          <w:i/>
          <w:szCs w:val="24"/>
        </w:rPr>
        <w:t>y menos de 500 mil habitantes;</w:t>
      </w:r>
    </w:p>
    <w:p w:rsidR="00AE58A6" w:rsidRPr="006500FB" w:rsidRDefault="00AE58A6" w:rsidP="00A30060">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 xml:space="preserve">III. Un presidente, </w:t>
      </w:r>
      <w:r w:rsidRPr="00151198">
        <w:rPr>
          <w:rFonts w:ascii="Palatino Linotype" w:hAnsi="Palatino Linotype" w:cs="Arial"/>
          <w:bCs/>
          <w:i/>
          <w:szCs w:val="24"/>
        </w:rPr>
        <w:t>dos síndicos</w:t>
      </w:r>
      <w:r w:rsidRPr="006500FB">
        <w:rPr>
          <w:rFonts w:ascii="Palatino Linotype" w:hAnsi="Palatino Linotype" w:cs="Arial"/>
          <w:bCs/>
          <w:i/>
          <w:szCs w:val="24"/>
        </w:rPr>
        <w:t xml:space="preserve"> y nueve regidores, electos por planilla según el principio</w:t>
      </w:r>
      <w:r>
        <w:rPr>
          <w:rFonts w:ascii="Palatino Linotype" w:hAnsi="Palatino Linotype" w:cs="Arial"/>
          <w:bCs/>
          <w:i/>
          <w:szCs w:val="24"/>
        </w:rPr>
        <w:t xml:space="preserve"> </w:t>
      </w:r>
      <w:r w:rsidRPr="006500FB">
        <w:rPr>
          <w:rFonts w:ascii="Palatino Linotype" w:hAnsi="Palatino Linotype" w:cs="Arial"/>
          <w:bCs/>
          <w:i/>
          <w:szCs w:val="24"/>
        </w:rPr>
        <w:t>de mayoría relativa. Habrá un síndico y hasta siete regidores según el principio de</w:t>
      </w:r>
      <w:r>
        <w:rPr>
          <w:rFonts w:ascii="Palatino Linotype" w:hAnsi="Palatino Linotype" w:cs="Arial"/>
          <w:bCs/>
          <w:i/>
          <w:szCs w:val="24"/>
        </w:rPr>
        <w:t xml:space="preserve"> </w:t>
      </w:r>
      <w:r w:rsidRPr="006500FB">
        <w:rPr>
          <w:rFonts w:ascii="Palatino Linotype" w:hAnsi="Palatino Linotype" w:cs="Arial"/>
          <w:bCs/>
          <w:i/>
          <w:szCs w:val="24"/>
        </w:rPr>
        <w:t>representación proporcional, cuando se trate de municipios que tengan una población de</w:t>
      </w:r>
      <w:r>
        <w:rPr>
          <w:rFonts w:ascii="Palatino Linotype" w:hAnsi="Palatino Linotype" w:cs="Arial"/>
          <w:bCs/>
          <w:i/>
          <w:szCs w:val="24"/>
        </w:rPr>
        <w:t xml:space="preserve"> </w:t>
      </w:r>
      <w:r w:rsidRPr="006500FB">
        <w:rPr>
          <w:rFonts w:ascii="Palatino Linotype" w:hAnsi="Palatino Linotype" w:cs="Arial"/>
          <w:bCs/>
          <w:i/>
          <w:szCs w:val="24"/>
        </w:rPr>
        <w:t>más de 500 mil y menos de un millón de habitantes; y</w:t>
      </w:r>
    </w:p>
    <w:p w:rsidR="00AE58A6" w:rsidRDefault="00AE58A6" w:rsidP="00A30060">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 xml:space="preserve">IV. Un presidente, </w:t>
      </w:r>
      <w:r w:rsidRPr="00151198">
        <w:rPr>
          <w:rFonts w:ascii="Palatino Linotype" w:hAnsi="Palatino Linotype" w:cs="Arial"/>
          <w:bCs/>
          <w:i/>
          <w:szCs w:val="24"/>
        </w:rPr>
        <w:t>dos síndicos</w:t>
      </w:r>
      <w:r w:rsidRPr="006500FB">
        <w:rPr>
          <w:rFonts w:ascii="Palatino Linotype" w:hAnsi="Palatino Linotype" w:cs="Arial"/>
          <w:bCs/>
          <w:i/>
          <w:szCs w:val="24"/>
        </w:rPr>
        <w:t xml:space="preserve"> y once regidores, electos por planilla según el principio de</w:t>
      </w:r>
      <w:r>
        <w:rPr>
          <w:rFonts w:ascii="Palatino Linotype" w:hAnsi="Palatino Linotype" w:cs="Arial"/>
          <w:bCs/>
          <w:i/>
          <w:szCs w:val="24"/>
        </w:rPr>
        <w:t xml:space="preserve"> </w:t>
      </w:r>
      <w:r w:rsidRPr="006500FB">
        <w:rPr>
          <w:rFonts w:ascii="Palatino Linotype" w:hAnsi="Palatino Linotype" w:cs="Arial"/>
          <w:bCs/>
          <w:i/>
          <w:szCs w:val="24"/>
        </w:rPr>
        <w:t>mayoría relativa y un síndico y hasta ocho regidores designados por el principio de</w:t>
      </w:r>
      <w:r>
        <w:rPr>
          <w:rFonts w:ascii="Palatino Linotype" w:hAnsi="Palatino Linotype" w:cs="Arial"/>
          <w:bCs/>
          <w:i/>
          <w:szCs w:val="24"/>
        </w:rPr>
        <w:t xml:space="preserve"> </w:t>
      </w:r>
      <w:r w:rsidRPr="006500FB">
        <w:rPr>
          <w:rFonts w:ascii="Palatino Linotype" w:hAnsi="Palatino Linotype" w:cs="Arial"/>
          <w:bCs/>
          <w:i/>
          <w:szCs w:val="24"/>
        </w:rPr>
        <w:t>representación proporcional, cuando se trate de municipios que tengan una población de</w:t>
      </w:r>
      <w:r>
        <w:rPr>
          <w:rFonts w:ascii="Palatino Linotype" w:hAnsi="Palatino Linotype" w:cs="Arial"/>
          <w:bCs/>
          <w:i/>
          <w:szCs w:val="24"/>
        </w:rPr>
        <w:t xml:space="preserve"> más de un millón de habitantes.” (sic)</w:t>
      </w:r>
    </w:p>
    <w:p w:rsidR="00AE58A6" w:rsidRDefault="00AE58A6" w:rsidP="00A30060">
      <w:pPr>
        <w:tabs>
          <w:tab w:val="left" w:pos="709"/>
        </w:tabs>
        <w:spacing w:after="0" w:line="240" w:lineRule="auto"/>
        <w:ind w:left="567" w:right="567"/>
        <w:jc w:val="right"/>
        <w:rPr>
          <w:rFonts w:ascii="Palatino Linotype" w:hAnsi="Palatino Linotype" w:cs="Arial"/>
          <w:bCs/>
          <w:i/>
          <w:szCs w:val="24"/>
        </w:rPr>
      </w:pPr>
    </w:p>
    <w:p w:rsidR="00AE58A6" w:rsidRPr="006500FB" w:rsidRDefault="00AE58A6" w:rsidP="00A30060">
      <w:pPr>
        <w:tabs>
          <w:tab w:val="left" w:pos="709"/>
        </w:tabs>
        <w:spacing w:after="0" w:line="240" w:lineRule="auto"/>
        <w:ind w:left="567" w:right="567"/>
        <w:jc w:val="both"/>
        <w:rPr>
          <w:rFonts w:ascii="Palatino Linotype" w:hAnsi="Palatino Linotype" w:cs="Arial"/>
          <w:bCs/>
          <w:i/>
          <w:szCs w:val="24"/>
        </w:rPr>
      </w:pPr>
    </w:p>
    <w:p w:rsidR="00AE58A6" w:rsidRDefault="00AE58A6" w:rsidP="00A30060">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t>Del ordenamiento citado, claramente se observa que establece la forma de integración de los ayuntamientos, señalando que se tendrá un</w:t>
      </w:r>
      <w:r w:rsidR="00151198">
        <w:rPr>
          <w:rFonts w:ascii="Palatino Linotype" w:hAnsi="Palatino Linotype" w:cs="Arial"/>
          <w:bCs/>
          <w:sz w:val="24"/>
          <w:szCs w:val="24"/>
        </w:rPr>
        <w:t xml:space="preserve"> Presidente Municipal, </w:t>
      </w:r>
      <w:r w:rsidR="00270D1A">
        <w:rPr>
          <w:rFonts w:ascii="Palatino Linotype" w:hAnsi="Palatino Linotype" w:cs="Arial"/>
          <w:bCs/>
          <w:sz w:val="24"/>
          <w:szCs w:val="24"/>
        </w:rPr>
        <w:t>Síndico</w:t>
      </w:r>
      <w:r w:rsidR="00151198">
        <w:rPr>
          <w:rFonts w:ascii="Palatino Linotype" w:hAnsi="Palatino Linotype" w:cs="Arial"/>
          <w:bCs/>
          <w:sz w:val="24"/>
          <w:szCs w:val="24"/>
        </w:rPr>
        <w:t xml:space="preserve"> y Regidores</w:t>
      </w:r>
      <w:r>
        <w:rPr>
          <w:rFonts w:ascii="Palatino Linotype" w:hAnsi="Palatino Linotype" w:cs="Arial"/>
          <w:bCs/>
          <w:sz w:val="24"/>
          <w:szCs w:val="24"/>
        </w:rPr>
        <w:t xml:space="preserve">, atendiendo al número de </w:t>
      </w:r>
      <w:r w:rsidR="00151198">
        <w:rPr>
          <w:rFonts w:ascii="Palatino Linotype" w:hAnsi="Palatino Linotype" w:cs="Arial"/>
          <w:bCs/>
          <w:sz w:val="24"/>
          <w:szCs w:val="24"/>
        </w:rPr>
        <w:t xml:space="preserve">habitantes </w:t>
      </w:r>
      <w:r>
        <w:rPr>
          <w:rFonts w:ascii="Palatino Linotype" w:hAnsi="Palatino Linotype" w:cs="Arial"/>
          <w:bCs/>
          <w:sz w:val="24"/>
          <w:szCs w:val="24"/>
        </w:rPr>
        <w:t>que forman parte de su población.</w:t>
      </w:r>
    </w:p>
    <w:p w:rsidR="00AE58A6" w:rsidRDefault="00AE58A6" w:rsidP="00A30060">
      <w:pPr>
        <w:tabs>
          <w:tab w:val="left" w:pos="709"/>
        </w:tabs>
        <w:spacing w:after="0" w:line="360" w:lineRule="auto"/>
        <w:jc w:val="both"/>
        <w:rPr>
          <w:rFonts w:ascii="Palatino Linotype" w:hAnsi="Palatino Linotype" w:cs="Arial"/>
          <w:bCs/>
          <w:sz w:val="24"/>
          <w:szCs w:val="24"/>
        </w:rPr>
      </w:pPr>
    </w:p>
    <w:p w:rsidR="00AE58A6" w:rsidRDefault="00AE58A6" w:rsidP="00A30060">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Ahora bien el Bando Municipal 2018 del H. Ayuntamiento de </w:t>
      </w:r>
      <w:r w:rsidR="00151198">
        <w:rPr>
          <w:rFonts w:ascii="Palatino Linotype" w:hAnsi="Palatino Linotype" w:cs="Arial"/>
          <w:bCs/>
          <w:sz w:val="24"/>
          <w:szCs w:val="24"/>
        </w:rPr>
        <w:t>Sultepec</w:t>
      </w:r>
      <w:r>
        <w:rPr>
          <w:rFonts w:ascii="Palatino Linotype" w:hAnsi="Palatino Linotype" w:cs="Arial"/>
          <w:bCs/>
          <w:sz w:val="24"/>
          <w:szCs w:val="24"/>
        </w:rPr>
        <w:t>, contempla en su</w:t>
      </w:r>
      <w:r w:rsidR="00270D1A">
        <w:rPr>
          <w:rFonts w:ascii="Palatino Linotype" w:hAnsi="Palatino Linotype" w:cs="Arial"/>
          <w:bCs/>
          <w:sz w:val="24"/>
          <w:szCs w:val="24"/>
        </w:rPr>
        <w:t>s</w:t>
      </w:r>
      <w:r>
        <w:rPr>
          <w:rFonts w:ascii="Palatino Linotype" w:hAnsi="Palatino Linotype" w:cs="Arial"/>
          <w:bCs/>
          <w:sz w:val="24"/>
          <w:szCs w:val="24"/>
        </w:rPr>
        <w:t xml:space="preserve"> artículo</w:t>
      </w:r>
      <w:r w:rsidR="00151198">
        <w:rPr>
          <w:rFonts w:ascii="Palatino Linotype" w:hAnsi="Palatino Linotype" w:cs="Arial"/>
          <w:bCs/>
          <w:sz w:val="24"/>
          <w:szCs w:val="24"/>
        </w:rPr>
        <w:t>s 22 y 23</w:t>
      </w:r>
      <w:r>
        <w:rPr>
          <w:rFonts w:ascii="Palatino Linotype" w:hAnsi="Palatino Linotype" w:cs="Arial"/>
          <w:bCs/>
          <w:sz w:val="24"/>
          <w:szCs w:val="24"/>
        </w:rPr>
        <w:t xml:space="preserve"> la integración de su Gobierno, como se aprecia en las líneas siguientes:</w:t>
      </w:r>
    </w:p>
    <w:p w:rsidR="00AE58A6" w:rsidRDefault="00AE58A6" w:rsidP="00A30060">
      <w:pPr>
        <w:tabs>
          <w:tab w:val="left" w:pos="709"/>
        </w:tabs>
        <w:spacing w:after="0" w:line="360" w:lineRule="auto"/>
        <w:jc w:val="both"/>
        <w:rPr>
          <w:rFonts w:ascii="Palatino Linotype" w:hAnsi="Palatino Linotype" w:cs="Arial"/>
          <w:bCs/>
          <w:sz w:val="24"/>
          <w:szCs w:val="24"/>
        </w:rPr>
      </w:pPr>
    </w:p>
    <w:p w:rsidR="00151198" w:rsidRDefault="00AE58A6" w:rsidP="00A30060">
      <w:pPr>
        <w:tabs>
          <w:tab w:val="left" w:pos="709"/>
        </w:tabs>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r w:rsidR="00151198" w:rsidRPr="00151198">
        <w:rPr>
          <w:rFonts w:ascii="Palatino Linotype" w:hAnsi="Palatino Linotype" w:cs="Arial"/>
          <w:b/>
          <w:bCs/>
          <w:i/>
          <w:szCs w:val="24"/>
        </w:rPr>
        <w:t>Artículo 22.-</w:t>
      </w:r>
      <w:r w:rsidR="00151198" w:rsidRPr="00151198">
        <w:rPr>
          <w:rFonts w:ascii="Palatino Linotype" w:hAnsi="Palatino Linotype" w:cs="Arial"/>
          <w:bCs/>
          <w:i/>
          <w:szCs w:val="24"/>
        </w:rPr>
        <w:t xml:space="preserve"> </w:t>
      </w:r>
      <w:r w:rsidR="00151198" w:rsidRPr="00151198">
        <w:rPr>
          <w:rFonts w:ascii="Palatino Linotype" w:hAnsi="Palatino Linotype" w:cs="Arial"/>
          <w:bCs/>
          <w:i/>
          <w:szCs w:val="24"/>
          <w:u w:val="single"/>
        </w:rPr>
        <w:t>El Gobierno del Municipio de Sultepec, está depositado en un cuerpo colegiado que se denomina Ayuntamiento</w:t>
      </w:r>
      <w:r w:rsidR="00151198" w:rsidRPr="00151198">
        <w:rPr>
          <w:rFonts w:ascii="Palatino Linotype" w:hAnsi="Palatino Linotype" w:cs="Arial"/>
          <w:bCs/>
          <w:i/>
          <w:szCs w:val="24"/>
        </w:rPr>
        <w:t>, y en un órgano ejecutivo</w:t>
      </w:r>
      <w:r w:rsidR="00151198">
        <w:rPr>
          <w:rFonts w:ascii="Palatino Linotype" w:hAnsi="Palatino Linotype" w:cs="Arial"/>
          <w:bCs/>
          <w:i/>
          <w:szCs w:val="24"/>
        </w:rPr>
        <w:t xml:space="preserve"> </w:t>
      </w:r>
      <w:r w:rsidR="00151198" w:rsidRPr="00151198">
        <w:rPr>
          <w:rFonts w:ascii="Palatino Linotype" w:hAnsi="Palatino Linotype" w:cs="Arial"/>
          <w:bCs/>
          <w:i/>
          <w:szCs w:val="24"/>
        </w:rPr>
        <w:t>depositado en un Presidente Municipal.</w:t>
      </w:r>
    </w:p>
    <w:p w:rsidR="00151198" w:rsidRPr="00151198" w:rsidRDefault="00151198" w:rsidP="00A30060">
      <w:pPr>
        <w:tabs>
          <w:tab w:val="left" w:pos="709"/>
        </w:tabs>
        <w:spacing w:after="0" w:line="240" w:lineRule="auto"/>
        <w:ind w:left="567" w:right="567"/>
        <w:jc w:val="both"/>
        <w:rPr>
          <w:rFonts w:ascii="Palatino Linotype" w:hAnsi="Palatino Linotype" w:cs="Arial"/>
          <w:bCs/>
          <w:i/>
          <w:szCs w:val="24"/>
        </w:rPr>
      </w:pPr>
    </w:p>
    <w:p w:rsidR="00AE58A6" w:rsidRDefault="00151198" w:rsidP="00A30060">
      <w:pPr>
        <w:tabs>
          <w:tab w:val="left" w:pos="709"/>
        </w:tabs>
        <w:spacing w:after="0" w:line="240" w:lineRule="auto"/>
        <w:ind w:left="567" w:right="567"/>
        <w:jc w:val="both"/>
        <w:rPr>
          <w:rFonts w:ascii="Palatino Linotype" w:hAnsi="Palatino Linotype" w:cs="Arial"/>
          <w:bCs/>
          <w:i/>
          <w:szCs w:val="24"/>
        </w:rPr>
      </w:pPr>
      <w:r w:rsidRPr="00151198">
        <w:rPr>
          <w:rFonts w:ascii="Palatino Linotype" w:hAnsi="Palatino Linotype" w:cs="Arial"/>
          <w:b/>
          <w:bCs/>
          <w:i/>
          <w:szCs w:val="24"/>
        </w:rPr>
        <w:t>Artículo 23.-</w:t>
      </w:r>
      <w:r w:rsidRPr="00151198">
        <w:rPr>
          <w:rFonts w:ascii="Palatino Linotype" w:hAnsi="Palatino Linotype" w:cs="Arial"/>
          <w:bCs/>
          <w:i/>
          <w:szCs w:val="24"/>
        </w:rPr>
        <w:t xml:space="preserve"> El ayuntamiento es una Asamblea deliberante integrada por </w:t>
      </w:r>
      <w:r w:rsidRPr="0036573B">
        <w:rPr>
          <w:rFonts w:ascii="Palatino Linotype" w:hAnsi="Palatino Linotype" w:cs="Arial"/>
          <w:b/>
          <w:bCs/>
          <w:i/>
          <w:szCs w:val="24"/>
          <w:u w:val="single"/>
        </w:rPr>
        <w:t>un Presidente Municipal, Un Síndico Municipal y seis regidores</w:t>
      </w:r>
      <w:r w:rsidRPr="00151198">
        <w:rPr>
          <w:rFonts w:ascii="Palatino Linotype" w:hAnsi="Palatino Linotype" w:cs="Arial"/>
          <w:bCs/>
          <w:i/>
          <w:szCs w:val="24"/>
        </w:rPr>
        <w:t xml:space="preserve"> electos por mayoría</w:t>
      </w:r>
      <w:r>
        <w:rPr>
          <w:rFonts w:ascii="Palatino Linotype" w:hAnsi="Palatino Linotype" w:cs="Arial"/>
          <w:bCs/>
          <w:i/>
          <w:szCs w:val="24"/>
        </w:rPr>
        <w:t xml:space="preserve"> </w:t>
      </w:r>
      <w:r w:rsidRPr="00151198">
        <w:rPr>
          <w:rFonts w:ascii="Palatino Linotype" w:hAnsi="Palatino Linotype" w:cs="Arial"/>
          <w:bCs/>
          <w:i/>
          <w:szCs w:val="24"/>
        </w:rPr>
        <w:t>relativa y hasta cuatro regidores designados según el principio de</w:t>
      </w:r>
      <w:r>
        <w:rPr>
          <w:rFonts w:ascii="Palatino Linotype" w:hAnsi="Palatino Linotype" w:cs="Arial"/>
          <w:bCs/>
          <w:i/>
          <w:szCs w:val="24"/>
        </w:rPr>
        <w:t xml:space="preserve"> </w:t>
      </w:r>
      <w:r w:rsidRPr="00151198">
        <w:rPr>
          <w:rFonts w:ascii="Palatino Linotype" w:hAnsi="Palatino Linotype" w:cs="Arial"/>
          <w:bCs/>
          <w:i/>
          <w:szCs w:val="24"/>
        </w:rPr>
        <w:t>representación proporcional.</w:t>
      </w:r>
      <w:r w:rsidR="00AE58A6" w:rsidRPr="00151198">
        <w:rPr>
          <w:rFonts w:ascii="Palatino Linotype" w:hAnsi="Palatino Linotype" w:cs="Arial"/>
          <w:bCs/>
          <w:i/>
          <w:szCs w:val="24"/>
        </w:rPr>
        <w:t>” (sic)</w:t>
      </w:r>
    </w:p>
    <w:p w:rsidR="00151198" w:rsidRPr="00151198" w:rsidRDefault="00151198" w:rsidP="00A30060">
      <w:pPr>
        <w:tabs>
          <w:tab w:val="left" w:pos="709"/>
        </w:tabs>
        <w:spacing w:after="0" w:line="240" w:lineRule="auto"/>
        <w:ind w:left="567" w:right="567"/>
        <w:jc w:val="both"/>
        <w:rPr>
          <w:rFonts w:ascii="Palatino Linotype" w:hAnsi="Palatino Linotype" w:cs="Arial"/>
          <w:bCs/>
          <w:i/>
          <w:szCs w:val="24"/>
        </w:rPr>
      </w:pPr>
    </w:p>
    <w:p w:rsidR="00AE58A6" w:rsidRPr="00151198" w:rsidRDefault="00AE58A6" w:rsidP="00A30060">
      <w:pPr>
        <w:tabs>
          <w:tab w:val="left" w:pos="709"/>
        </w:tabs>
        <w:spacing w:after="0" w:line="240" w:lineRule="auto"/>
        <w:ind w:left="567" w:right="567"/>
        <w:jc w:val="right"/>
        <w:rPr>
          <w:rFonts w:ascii="Palatino Linotype" w:hAnsi="Palatino Linotype" w:cs="Arial"/>
          <w:bCs/>
          <w:szCs w:val="24"/>
        </w:rPr>
      </w:pPr>
      <w:r w:rsidRPr="00151198">
        <w:rPr>
          <w:rFonts w:ascii="Palatino Linotype" w:hAnsi="Palatino Linotype" w:cs="Arial"/>
          <w:bCs/>
          <w:szCs w:val="24"/>
        </w:rPr>
        <w:t>(Énfasis añadido)</w:t>
      </w:r>
    </w:p>
    <w:p w:rsidR="00AE58A6" w:rsidRPr="006500FB" w:rsidRDefault="00AE58A6" w:rsidP="00A30060">
      <w:pPr>
        <w:tabs>
          <w:tab w:val="left" w:pos="709"/>
        </w:tabs>
        <w:spacing w:after="0" w:line="360" w:lineRule="auto"/>
        <w:jc w:val="both"/>
        <w:rPr>
          <w:rFonts w:ascii="Palatino Linotype" w:hAnsi="Palatino Linotype" w:cs="Arial"/>
          <w:bCs/>
          <w:sz w:val="24"/>
          <w:szCs w:val="24"/>
        </w:rPr>
      </w:pPr>
    </w:p>
    <w:p w:rsidR="00AE58A6" w:rsidRDefault="00AE58A6" w:rsidP="00A30060">
      <w:pPr>
        <w:tabs>
          <w:tab w:val="left" w:pos="0"/>
        </w:tabs>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Como se desprende del artículo transcrito, se acredita que efectivamente dentro del gobierno del </w:t>
      </w:r>
      <w:r>
        <w:rPr>
          <w:rFonts w:ascii="Palatino Linotype" w:hAnsi="Palatino Linotype" w:cs="Arial"/>
          <w:b/>
          <w:bCs/>
          <w:sz w:val="24"/>
          <w:szCs w:val="24"/>
        </w:rPr>
        <w:t xml:space="preserve">sujeto obligado </w:t>
      </w:r>
      <w:r>
        <w:rPr>
          <w:rFonts w:ascii="Palatino Linotype" w:hAnsi="Palatino Linotype" w:cs="Arial"/>
          <w:bCs/>
          <w:sz w:val="24"/>
          <w:szCs w:val="24"/>
        </w:rPr>
        <w:t xml:space="preserve">Ayuntamiento de </w:t>
      </w:r>
      <w:r w:rsidR="00C16161">
        <w:rPr>
          <w:rFonts w:ascii="Palatino Linotype" w:hAnsi="Palatino Linotype" w:cs="Arial"/>
          <w:bCs/>
          <w:sz w:val="24"/>
          <w:szCs w:val="24"/>
        </w:rPr>
        <w:t>Sultepec</w:t>
      </w:r>
      <w:r>
        <w:rPr>
          <w:rFonts w:ascii="Palatino Linotype" w:hAnsi="Palatino Linotype" w:cs="Arial"/>
          <w:bCs/>
          <w:sz w:val="24"/>
          <w:szCs w:val="24"/>
        </w:rPr>
        <w:t>, se encuentra</w:t>
      </w:r>
      <w:r w:rsidR="00C16161">
        <w:rPr>
          <w:rFonts w:ascii="Palatino Linotype" w:hAnsi="Palatino Linotype" w:cs="Arial"/>
          <w:bCs/>
          <w:sz w:val="24"/>
          <w:szCs w:val="24"/>
        </w:rPr>
        <w:t xml:space="preserve">n contemplados un Presidente Municipal, un Síndico y seis Regidores, </w:t>
      </w:r>
      <w:r w:rsidR="009F3FF9">
        <w:rPr>
          <w:rFonts w:ascii="Palatino Linotype" w:hAnsi="Palatino Linotype" w:cs="Arial"/>
          <w:bCs/>
          <w:sz w:val="24"/>
          <w:szCs w:val="24"/>
        </w:rPr>
        <w:t xml:space="preserve">por ello partiendo de </w:t>
      </w:r>
      <w:r w:rsidRPr="00D04557">
        <w:rPr>
          <w:rFonts w:ascii="Palatino Linotype" w:hAnsi="Palatino Linotype" w:cs="Arial"/>
          <w:sz w:val="24"/>
          <w:szCs w:val="24"/>
        </w:rPr>
        <w:t>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AE58A6" w:rsidRPr="00D04557" w:rsidRDefault="00AE58A6" w:rsidP="00A30060">
      <w:pPr>
        <w:autoSpaceDE w:val="0"/>
        <w:autoSpaceDN w:val="0"/>
        <w:adjustRightInd w:val="0"/>
        <w:spacing w:after="0" w:line="360" w:lineRule="auto"/>
        <w:jc w:val="both"/>
        <w:rPr>
          <w:rFonts w:ascii="Palatino Linotype" w:hAnsi="Palatino Linotype" w:cs="Arial"/>
          <w:sz w:val="24"/>
          <w:szCs w:val="24"/>
        </w:rPr>
      </w:pP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i/>
          <w:szCs w:val="24"/>
        </w:rPr>
        <w:t>“</w:t>
      </w:r>
      <w:r w:rsidRPr="003B2E17">
        <w:rPr>
          <w:rFonts w:ascii="Palatino Linotype" w:hAnsi="Palatino Linotype" w:cs="Arial"/>
          <w:b/>
          <w:i/>
          <w:szCs w:val="24"/>
        </w:rPr>
        <w:t>Artículo 7. El Estado de México garantizará el efectivo acceso de toda persona a la información en posesión de cualquier entidad,</w:t>
      </w:r>
      <w:r w:rsidRPr="003B2E17">
        <w:rPr>
          <w:rFonts w:ascii="Palatino Linotype" w:hAnsi="Palatino Linotype" w:cs="Arial"/>
          <w:i/>
          <w:szCs w:val="24"/>
        </w:rPr>
        <w:t xml:space="preserve"> autoridad, órgano y organismo de los poderes Ejecutivo, Legislativo y Judicial, órganos autónomos, partidos políticos, fideicomisos y fondos públicos, así como de cualquier persona física, jurídico colectiva o sindicato </w:t>
      </w:r>
      <w:r w:rsidRPr="003B2E17">
        <w:rPr>
          <w:rFonts w:ascii="Palatino Linotype" w:hAnsi="Palatino Linotype" w:cs="Arial"/>
          <w:b/>
          <w:i/>
          <w:szCs w:val="24"/>
        </w:rPr>
        <w:t>que reciba y ejerza recursos públicos</w:t>
      </w:r>
      <w:r w:rsidRPr="003B2E17">
        <w:rPr>
          <w:rFonts w:ascii="Palatino Linotype" w:hAnsi="Palatino Linotype" w:cs="Arial"/>
          <w:i/>
          <w:szCs w:val="24"/>
        </w:rPr>
        <w:t xml:space="preserve"> o realice actos de autoridad </w:t>
      </w:r>
      <w:r w:rsidRPr="003B2E17">
        <w:rPr>
          <w:rFonts w:ascii="Palatino Linotype" w:hAnsi="Palatino Linotype" w:cs="Arial"/>
          <w:b/>
          <w:i/>
          <w:szCs w:val="24"/>
        </w:rPr>
        <w:t>en el ámbito de competencia del Estado de México y sus municipios</w:t>
      </w:r>
      <w:r w:rsidRPr="003B2E17">
        <w:rPr>
          <w:rFonts w:ascii="Palatino Linotype" w:hAnsi="Palatino Linotype" w:cs="Arial"/>
          <w:i/>
          <w:szCs w:val="24"/>
        </w:rPr>
        <w:t>.</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b/>
          <w:i/>
          <w:szCs w:val="24"/>
        </w:rPr>
        <w:t>Artículo 23.</w:t>
      </w:r>
      <w:r w:rsidRPr="003B2E17">
        <w:rPr>
          <w:rFonts w:ascii="Palatino Linotype" w:hAnsi="Palatino Linotype" w:cs="Arial"/>
          <w:i/>
          <w:szCs w:val="24"/>
        </w:rPr>
        <w:t xml:space="preserve"> Son sujetos obligados a transparentar y permitir el acceso a su información y proteger los datos personales que obren en su poder:</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i/>
          <w:szCs w:val="24"/>
        </w:rPr>
        <w:t>…</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b/>
          <w:i/>
          <w:szCs w:val="24"/>
        </w:rPr>
        <w:t>IV. Los ayuntamientos</w:t>
      </w:r>
      <w:r w:rsidRPr="003B2E17">
        <w:rPr>
          <w:rFonts w:ascii="Palatino Linotype" w:hAnsi="Palatino Linotype" w:cs="Arial"/>
          <w:i/>
          <w:szCs w:val="24"/>
        </w:rPr>
        <w:t xml:space="preserve"> y las dependencias, organismos, órganos y entidades de la administración municipal;</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i/>
          <w:szCs w:val="24"/>
        </w:rPr>
        <w:t>…</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b/>
          <w:i/>
          <w:szCs w:val="24"/>
        </w:rPr>
      </w:pPr>
      <w:r w:rsidRPr="003B2E17">
        <w:rPr>
          <w:rFonts w:ascii="Palatino Linotype" w:hAnsi="Palatino Linotype" w:cs="Arial"/>
          <w:b/>
          <w:i/>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E58A6" w:rsidRPr="009F3FF9"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9F3FF9">
        <w:rPr>
          <w:rFonts w:ascii="Palatino Linotype" w:hAnsi="Palatino Linotype" w:cs="Arial"/>
          <w:i/>
          <w:szCs w:val="24"/>
        </w:rPr>
        <w:t>Los servidores públicos deberán transparentar sus acciones así como garantizar y respetar el derecho de acceso a la información pública.</w:t>
      </w:r>
    </w:p>
    <w:p w:rsidR="00AE58A6" w:rsidRPr="009F3FF9" w:rsidRDefault="00AE58A6" w:rsidP="00A30060">
      <w:pPr>
        <w:autoSpaceDE w:val="0"/>
        <w:autoSpaceDN w:val="0"/>
        <w:adjustRightInd w:val="0"/>
        <w:spacing w:after="0" w:line="240" w:lineRule="auto"/>
        <w:ind w:left="567" w:right="567"/>
        <w:jc w:val="right"/>
        <w:rPr>
          <w:rFonts w:ascii="Palatino Linotype" w:hAnsi="Palatino Linotype" w:cs="Arial"/>
          <w:szCs w:val="24"/>
        </w:rPr>
      </w:pPr>
      <w:r w:rsidRPr="009F3FF9">
        <w:rPr>
          <w:rFonts w:ascii="Palatino Linotype" w:hAnsi="Palatino Linotype" w:cs="Arial"/>
          <w:szCs w:val="24"/>
        </w:rPr>
        <w:t>(Énfasis añadido)</w:t>
      </w:r>
    </w:p>
    <w:p w:rsidR="00AE58A6" w:rsidRPr="00B83ECA" w:rsidRDefault="00AE58A6" w:rsidP="00A30060">
      <w:pPr>
        <w:autoSpaceDE w:val="0"/>
        <w:autoSpaceDN w:val="0"/>
        <w:adjustRightInd w:val="0"/>
        <w:spacing w:after="0" w:line="360" w:lineRule="auto"/>
        <w:ind w:left="567" w:right="284"/>
        <w:jc w:val="both"/>
        <w:rPr>
          <w:rFonts w:ascii="Palatino Linotype" w:hAnsi="Palatino Linotype" w:cs="Arial"/>
          <w:szCs w:val="24"/>
        </w:rPr>
      </w:pPr>
    </w:p>
    <w:p w:rsidR="00AE58A6" w:rsidRDefault="00AE58A6" w:rsidP="00A30060">
      <w:pPr>
        <w:autoSpaceDE w:val="0"/>
        <w:autoSpaceDN w:val="0"/>
        <w:adjustRightInd w:val="0"/>
        <w:spacing w:after="0" w:line="360" w:lineRule="auto"/>
        <w:jc w:val="both"/>
        <w:rPr>
          <w:rFonts w:ascii="Palatino Linotype" w:hAnsi="Palatino Linotype" w:cs="Arial"/>
          <w:sz w:val="24"/>
          <w:szCs w:val="24"/>
        </w:rPr>
      </w:pPr>
      <w:r w:rsidRPr="00D04557">
        <w:rPr>
          <w:rFonts w:ascii="Palatino Linotype" w:hAnsi="Palatino Linotype" w:cs="Arial"/>
          <w:sz w:val="24"/>
          <w:szCs w:val="24"/>
        </w:rPr>
        <w:t xml:space="preserve">En esa tesitura, es de suma importancia señalar que de acuerdo a las obligaciones de transparencia comunes que le son atribuibles al </w:t>
      </w:r>
      <w:r w:rsidR="009F3FF9" w:rsidRPr="009F3FF9">
        <w:rPr>
          <w:rFonts w:ascii="Palatino Linotype" w:hAnsi="Palatino Linotype" w:cs="Arial"/>
          <w:b/>
          <w:sz w:val="24"/>
          <w:szCs w:val="24"/>
        </w:rPr>
        <w:t>sujeto o</w:t>
      </w:r>
      <w:r w:rsidRPr="009F3FF9">
        <w:rPr>
          <w:rFonts w:ascii="Palatino Linotype" w:hAnsi="Palatino Linotype" w:cs="Arial"/>
          <w:b/>
          <w:sz w:val="24"/>
          <w:szCs w:val="24"/>
        </w:rPr>
        <w:t>bligado</w:t>
      </w:r>
      <w:r w:rsidRPr="00D04557">
        <w:rPr>
          <w:rFonts w:ascii="Palatino Linotype" w:hAnsi="Palatino Linotype" w:cs="Arial"/>
          <w:sz w:val="24"/>
          <w:szCs w:val="24"/>
        </w:rPr>
        <w:t xml:space="preserve"> de conformidad</w:t>
      </w:r>
      <w:r>
        <w:rPr>
          <w:rFonts w:ascii="Palatino Linotype" w:hAnsi="Palatino Linotype" w:cs="Arial"/>
          <w:sz w:val="24"/>
          <w:szCs w:val="24"/>
        </w:rPr>
        <w:t xml:space="preserve"> </w:t>
      </w:r>
      <w:r w:rsidRPr="00D04557">
        <w:rPr>
          <w:rFonts w:ascii="Palatino Linotype" w:hAnsi="Palatino Linotype" w:cs="Arial"/>
          <w:sz w:val="24"/>
          <w:szCs w:val="24"/>
        </w:rPr>
        <w:t>con el artículo 92, fracción VIII de la Ley de Transparencia y Acceso a la Información Pública del Estado de México y Municipios, éste debe contar con los recibos de nómina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AE58A6" w:rsidRPr="00D04557" w:rsidRDefault="00AE58A6" w:rsidP="00A30060">
      <w:pPr>
        <w:autoSpaceDE w:val="0"/>
        <w:autoSpaceDN w:val="0"/>
        <w:adjustRightInd w:val="0"/>
        <w:spacing w:after="0" w:line="360" w:lineRule="auto"/>
        <w:jc w:val="both"/>
        <w:rPr>
          <w:rFonts w:ascii="Palatino Linotype" w:hAnsi="Palatino Linotype" w:cs="Arial"/>
          <w:sz w:val="24"/>
          <w:szCs w:val="24"/>
        </w:rPr>
      </w:pP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b/>
          <w:i/>
          <w:szCs w:val="24"/>
        </w:rPr>
      </w:pPr>
      <w:r w:rsidRPr="003B2E17">
        <w:rPr>
          <w:rFonts w:ascii="Palatino Linotype" w:hAnsi="Palatino Linotype" w:cs="Arial"/>
          <w:b/>
          <w:i/>
          <w:szCs w:val="24"/>
        </w:rPr>
        <w:t xml:space="preserve">“Artículo 92. </w:t>
      </w:r>
      <w:r w:rsidRPr="005C7EA6">
        <w:rPr>
          <w:rFonts w:ascii="Palatino Linotype" w:hAnsi="Palatino Linotype" w:cs="Arial"/>
          <w:i/>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i/>
          <w:szCs w:val="24"/>
        </w:rPr>
        <w:t>…</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b/>
          <w:i/>
          <w:szCs w:val="24"/>
        </w:rPr>
        <w:t>VIII. La remuneración bruta y neta de todos los servidores públicos de base o de confianza, de todas las percepciones,</w:t>
      </w:r>
      <w:r w:rsidRPr="003B2E17">
        <w:rPr>
          <w:rFonts w:ascii="Palatino Linotype" w:hAnsi="Palatino Linotype" w:cs="Arial"/>
          <w:i/>
          <w:szCs w:val="24"/>
        </w:rPr>
        <w:t xml:space="preserve"> incluyendo sueldos, prestaciones, gratificaciones, primas, comisiones, dietas, bonos, estímulos, ingresos y sistemas de compensación, señalando la periodicidad de dicha remuneración;”</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Cs w:val="24"/>
        </w:rPr>
      </w:pPr>
      <w:r w:rsidRPr="003B2E17">
        <w:rPr>
          <w:rFonts w:ascii="Palatino Linotype" w:hAnsi="Palatino Linotype" w:cs="Arial"/>
          <w:i/>
          <w:szCs w:val="24"/>
        </w:rPr>
        <w:t xml:space="preserve"> …</w:t>
      </w:r>
    </w:p>
    <w:p w:rsidR="00AE58A6" w:rsidRPr="00270D1A" w:rsidRDefault="00AE58A6" w:rsidP="00A30060">
      <w:pPr>
        <w:autoSpaceDE w:val="0"/>
        <w:autoSpaceDN w:val="0"/>
        <w:adjustRightInd w:val="0"/>
        <w:spacing w:after="0" w:line="240" w:lineRule="auto"/>
        <w:ind w:left="567" w:right="567"/>
        <w:jc w:val="right"/>
        <w:rPr>
          <w:rFonts w:ascii="Palatino Linotype" w:hAnsi="Palatino Linotype" w:cs="Arial"/>
          <w:szCs w:val="24"/>
        </w:rPr>
      </w:pPr>
      <w:r w:rsidRPr="00270D1A">
        <w:rPr>
          <w:rFonts w:ascii="Palatino Linotype" w:hAnsi="Palatino Linotype" w:cs="Arial"/>
          <w:szCs w:val="24"/>
        </w:rPr>
        <w:t>(Énfasis añadido)</w:t>
      </w:r>
    </w:p>
    <w:p w:rsidR="00AE58A6" w:rsidRPr="007A44C7" w:rsidRDefault="00AE58A6" w:rsidP="00A30060">
      <w:pPr>
        <w:autoSpaceDE w:val="0"/>
        <w:autoSpaceDN w:val="0"/>
        <w:adjustRightInd w:val="0"/>
        <w:spacing w:after="0" w:line="360" w:lineRule="auto"/>
        <w:ind w:left="567" w:right="284"/>
        <w:jc w:val="both"/>
        <w:rPr>
          <w:rFonts w:ascii="Palatino Linotype" w:hAnsi="Palatino Linotype" w:cs="Arial"/>
          <w:szCs w:val="24"/>
        </w:rPr>
      </w:pPr>
    </w:p>
    <w:p w:rsidR="00AE58A6" w:rsidRPr="00D04557" w:rsidRDefault="00AE58A6" w:rsidP="00A30060">
      <w:pPr>
        <w:autoSpaceDE w:val="0"/>
        <w:autoSpaceDN w:val="0"/>
        <w:adjustRightInd w:val="0"/>
        <w:spacing w:after="0" w:line="360" w:lineRule="auto"/>
        <w:jc w:val="both"/>
        <w:rPr>
          <w:rFonts w:ascii="Palatino Linotype" w:hAnsi="Palatino Linotype" w:cs="Arial"/>
          <w:sz w:val="24"/>
          <w:szCs w:val="24"/>
        </w:rPr>
      </w:pPr>
      <w:r w:rsidRPr="00D04557">
        <w:rPr>
          <w:rFonts w:ascii="Palatino Linotype" w:hAnsi="Palatino Linotype" w:cs="Arial"/>
          <w:sz w:val="24"/>
          <w:szCs w:val="24"/>
        </w:rPr>
        <w:t>Sirve de sustento por analogía, para justificar la publicidad sobre los datos relativos a los montos por concept</w:t>
      </w:r>
      <w:r>
        <w:rPr>
          <w:rFonts w:ascii="Palatino Linotype" w:hAnsi="Palatino Linotype" w:cs="Arial"/>
          <w:sz w:val="24"/>
          <w:szCs w:val="24"/>
        </w:rPr>
        <w:t>o de pago de las remuneraciones</w:t>
      </w:r>
      <w:r w:rsidRPr="00D04557">
        <w:rPr>
          <w:rFonts w:ascii="Palatino Linotype" w:hAnsi="Palatino Linotype" w:cs="Arial"/>
          <w:sz w:val="24"/>
          <w:szCs w:val="24"/>
        </w:rPr>
        <w:t xml:space="preserve"> los criterios 01/2003 y 02/2003 emitidos por el Comité de Acceso a la Información Pública y Protección de Datos Personales de la Suprema Corte de Justicia de la Nación que a continuación se citan: </w:t>
      </w:r>
    </w:p>
    <w:p w:rsidR="00AE58A6" w:rsidRDefault="00AE58A6" w:rsidP="00A30060">
      <w:pPr>
        <w:autoSpaceDE w:val="0"/>
        <w:autoSpaceDN w:val="0"/>
        <w:adjustRightInd w:val="0"/>
        <w:spacing w:after="0" w:line="240" w:lineRule="auto"/>
        <w:ind w:left="567" w:right="567"/>
        <w:jc w:val="both"/>
        <w:rPr>
          <w:rFonts w:ascii="Palatino Linotype" w:hAnsi="Palatino Linotype" w:cs="Arial"/>
          <w:i/>
          <w:sz w:val="20"/>
          <w:szCs w:val="24"/>
        </w:rPr>
      </w:pP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 w:val="20"/>
          <w:szCs w:val="24"/>
        </w:rPr>
      </w:pPr>
      <w:r w:rsidRPr="003B2E17">
        <w:rPr>
          <w:rFonts w:ascii="Palatino Linotype" w:hAnsi="Palatino Linotype" w:cs="Arial"/>
          <w:b/>
          <w:i/>
          <w:sz w:val="20"/>
          <w:szCs w:val="24"/>
        </w:rPr>
        <w:t>INGRESOS DE LOS SERVIDORES PÚBLICOS. CONSTITUYEN INFORMACIÓN PÚBLICA AÚN Y CUANDO SU DIFUSIÓN PUEDE AFECTAR LA VIDA O LA SEGURIDAD DE AQUELLOS.</w:t>
      </w:r>
      <w:r w:rsidRPr="003B2E17">
        <w:rPr>
          <w:rFonts w:ascii="Palatino Linotype" w:hAnsi="Palatino Linotype" w:cs="Arial"/>
          <w:i/>
          <w:sz w:val="20"/>
          <w:szCs w:val="24"/>
        </w:rPr>
        <w:t xml:space="preserve"> </w:t>
      </w:r>
      <w:r w:rsidRPr="003B2E17">
        <w:rPr>
          <w:rFonts w:ascii="Palatino Linotype" w:hAnsi="Palatino Linotype" w:cs="Arial"/>
          <w:i/>
          <w:sz w:val="20"/>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3B2E17">
        <w:rPr>
          <w:rFonts w:ascii="Palatino Linotype" w:hAnsi="Palatino Linotype" w:cs="Arial"/>
          <w:i/>
          <w:sz w:val="20"/>
          <w:szCs w:val="24"/>
        </w:rPr>
        <w:t xml:space="preserve"> ello no obsta para reconocer que el legislador estableció en el artículo 7 de ese mismo ordenamiento que la referida información, como una obligación de trasparencia, </w:t>
      </w:r>
      <w:r w:rsidRPr="003B2E17">
        <w:rPr>
          <w:rFonts w:ascii="Palatino Linotype" w:hAnsi="Palatino Linotype" w:cs="Arial"/>
          <w:b/>
          <w:i/>
          <w:sz w:val="20"/>
          <w:szCs w:val="24"/>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 w:val="20"/>
          <w:szCs w:val="24"/>
        </w:rPr>
      </w:pP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b/>
          <w:i/>
          <w:sz w:val="20"/>
          <w:szCs w:val="24"/>
        </w:rPr>
      </w:pP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 w:val="20"/>
          <w:szCs w:val="24"/>
        </w:rPr>
      </w:pPr>
      <w:r w:rsidRPr="003B2E17">
        <w:rPr>
          <w:rFonts w:ascii="Palatino Linotype" w:hAnsi="Palatino Linotype" w:cs="Arial"/>
          <w:b/>
          <w:i/>
          <w:sz w:val="20"/>
          <w:szCs w:val="24"/>
        </w:rPr>
        <w:t>INGRESOS DE LOS SERVIDORES PÚBLICOS, SON INFORMACIÓN PÚBLICA AÚN Y CUANDO CONSTITUYEN DATOS PERSONALES QUE SE REFIEREN AL PATRIMONIO DE AQUÉLLOS.</w:t>
      </w:r>
      <w:r w:rsidRPr="003B2E17">
        <w:rPr>
          <w:rFonts w:ascii="Palatino Linotype" w:hAnsi="Palatino Linotype" w:cs="Arial"/>
          <w:i/>
          <w:sz w:val="20"/>
          <w:szCs w:val="24"/>
        </w:rPr>
        <w:t xml:space="preserve"> De la interpretación sistemática de lo previsto en los artículos 3º, fracción II; 7º, 9º y 18, fracción II, de la Ley Federal de Transparencia y Acceso a la Información Pública Gubernamental </w:t>
      </w:r>
      <w:r w:rsidRPr="003B2E17">
        <w:rPr>
          <w:rFonts w:ascii="Palatino Linotype" w:hAnsi="Palatino Linotype" w:cs="Arial"/>
          <w:i/>
          <w:sz w:val="20"/>
          <w:szCs w:val="24"/>
          <w:u w:val="single"/>
        </w:rPr>
        <w:t>se advierte que no constituye información confidencial la relativa a los ingresos que reciben los servidores públicos, ya que aun y cuando se trata de datos personales relativos a su patrimonio</w:t>
      </w:r>
      <w:r w:rsidRPr="003B2E17">
        <w:rPr>
          <w:rFonts w:ascii="Palatino Linotype" w:hAnsi="Palatino Linotype" w:cs="Arial"/>
          <w:i/>
          <w:sz w:val="20"/>
          <w:szCs w:val="24"/>
        </w:rPr>
        <w:t xml:space="preserve">, para su difusión no se requiere consentimiento de aquellos, </w:t>
      </w:r>
      <w:r w:rsidRPr="003B2E17">
        <w:rPr>
          <w:rFonts w:ascii="Palatino Linotype" w:hAnsi="Palatino Linotype" w:cs="Arial"/>
          <w:b/>
          <w:i/>
          <w:sz w:val="20"/>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3B2E17">
        <w:rPr>
          <w:rFonts w:ascii="Palatino Linotype" w:hAnsi="Palatino Linotype" w:cs="Arial"/>
          <w:i/>
          <w:sz w:val="20"/>
          <w:szCs w:val="24"/>
        </w:rPr>
        <w:t>”</w:t>
      </w:r>
    </w:p>
    <w:p w:rsidR="00AE58A6" w:rsidRPr="003B2E17" w:rsidRDefault="00AE58A6" w:rsidP="00A30060">
      <w:pPr>
        <w:autoSpaceDE w:val="0"/>
        <w:autoSpaceDN w:val="0"/>
        <w:adjustRightInd w:val="0"/>
        <w:spacing w:after="0" w:line="240" w:lineRule="auto"/>
        <w:ind w:left="567" w:right="567"/>
        <w:jc w:val="both"/>
        <w:rPr>
          <w:rFonts w:ascii="Palatino Linotype" w:hAnsi="Palatino Linotype" w:cs="Arial"/>
          <w:i/>
          <w:sz w:val="20"/>
          <w:szCs w:val="24"/>
        </w:rPr>
      </w:pPr>
    </w:p>
    <w:p w:rsidR="00AE58A6" w:rsidRPr="009F3FF9" w:rsidRDefault="00AE58A6" w:rsidP="00A30060">
      <w:pPr>
        <w:autoSpaceDE w:val="0"/>
        <w:autoSpaceDN w:val="0"/>
        <w:adjustRightInd w:val="0"/>
        <w:spacing w:after="0" w:line="240" w:lineRule="auto"/>
        <w:ind w:left="567" w:right="567"/>
        <w:jc w:val="right"/>
        <w:rPr>
          <w:rFonts w:ascii="Palatino Linotype" w:hAnsi="Palatino Linotype" w:cs="Arial"/>
          <w:sz w:val="20"/>
          <w:szCs w:val="24"/>
        </w:rPr>
      </w:pPr>
      <w:r w:rsidRPr="009F3FF9">
        <w:rPr>
          <w:rFonts w:ascii="Palatino Linotype" w:hAnsi="Palatino Linotype" w:cs="Arial"/>
          <w:sz w:val="20"/>
          <w:szCs w:val="24"/>
        </w:rPr>
        <w:t>(Énfasis añadido)</w:t>
      </w:r>
    </w:p>
    <w:p w:rsidR="00AE58A6" w:rsidRDefault="00AE58A6" w:rsidP="00A30060">
      <w:pPr>
        <w:autoSpaceDE w:val="0"/>
        <w:autoSpaceDN w:val="0"/>
        <w:adjustRightInd w:val="0"/>
        <w:spacing w:after="0" w:line="360" w:lineRule="auto"/>
        <w:jc w:val="both"/>
        <w:rPr>
          <w:rFonts w:ascii="Palatino Linotype" w:hAnsi="Palatino Linotype" w:cs="Arial"/>
          <w:sz w:val="24"/>
          <w:szCs w:val="24"/>
        </w:rPr>
      </w:pPr>
    </w:p>
    <w:p w:rsidR="00AE58A6" w:rsidRDefault="00AE58A6" w:rsidP="00A30060">
      <w:pPr>
        <w:spacing w:after="0" w:line="360" w:lineRule="auto"/>
        <w:ind w:right="51"/>
        <w:jc w:val="both"/>
        <w:rPr>
          <w:rFonts w:ascii="Palatino Linotype" w:hAnsi="Palatino Linotype" w:cs="Arial"/>
          <w:sz w:val="24"/>
          <w:szCs w:val="24"/>
        </w:rPr>
      </w:pPr>
      <w:r w:rsidRPr="00325B61">
        <w:rPr>
          <w:rFonts w:ascii="Palatino Linotype" w:hAnsi="Palatino Linotype" w:cs="Arial"/>
          <w:sz w:val="24"/>
          <w:szCs w:val="24"/>
        </w:rPr>
        <w:t>Ahora bien, debe precisarse que si bien es cierto, en nuestra legislación no existe como tal una definición de “</w:t>
      </w:r>
      <w:r>
        <w:rPr>
          <w:rFonts w:ascii="Palatino Linotype" w:hAnsi="Palatino Linotype" w:cs="Arial"/>
          <w:sz w:val="24"/>
          <w:szCs w:val="24"/>
        </w:rPr>
        <w:t xml:space="preserve">recibos de </w:t>
      </w:r>
      <w:r w:rsidRPr="00325B61">
        <w:rPr>
          <w:rFonts w:ascii="Palatino Linotype" w:hAnsi="Palatino Linotype" w:cs="Arial"/>
          <w:sz w:val="24"/>
          <w:szCs w:val="24"/>
        </w:rPr>
        <w:t>nómina”</w:t>
      </w:r>
      <w:r>
        <w:rPr>
          <w:rFonts w:ascii="Palatino Linotype" w:hAnsi="Palatino Linotype" w:cs="Arial"/>
          <w:sz w:val="24"/>
          <w:szCs w:val="24"/>
        </w:rPr>
        <w:t xml:space="preserve"> como tal</w:t>
      </w:r>
      <w:r w:rsidRPr="00325B61">
        <w:rPr>
          <w:rFonts w:ascii="Palatino Linotype" w:hAnsi="Palatino Linotype" w:cs="Arial"/>
          <w:sz w:val="24"/>
          <w:szCs w:val="24"/>
        </w:rPr>
        <w:t>,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9F3FF9" w:rsidRPr="00CB3522" w:rsidRDefault="009F3FF9" w:rsidP="00A30060">
      <w:pPr>
        <w:spacing w:after="0" w:line="360" w:lineRule="auto"/>
        <w:ind w:right="51"/>
        <w:jc w:val="both"/>
        <w:rPr>
          <w:rFonts w:ascii="Palatino Linotype" w:hAnsi="Palatino Linotype" w:cs="Arial"/>
          <w:sz w:val="24"/>
          <w:szCs w:val="24"/>
        </w:rPr>
      </w:pPr>
    </w:p>
    <w:p w:rsidR="00AE58A6" w:rsidRPr="00CB3522" w:rsidRDefault="00AE58A6" w:rsidP="00A30060">
      <w:pPr>
        <w:pStyle w:val="Prrafodelista"/>
        <w:ind w:left="567" w:right="567"/>
        <w:jc w:val="both"/>
        <w:rPr>
          <w:rFonts w:ascii="Palatino Linotype" w:hAnsi="Palatino Linotype" w:cs="Arial"/>
          <w:i/>
          <w:sz w:val="22"/>
          <w:szCs w:val="22"/>
        </w:rPr>
      </w:pPr>
      <w:r w:rsidRPr="00CB3522">
        <w:rPr>
          <w:rFonts w:ascii="Palatino Linotype" w:hAnsi="Palatino Linotype" w:cs="Arial"/>
          <w:b/>
          <w:i/>
          <w:sz w:val="22"/>
          <w:szCs w:val="22"/>
        </w:rPr>
        <w:t>“NÓMINA</w:t>
      </w:r>
      <w:r w:rsidRPr="00CB3522">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AE58A6" w:rsidRPr="00CB3522" w:rsidRDefault="00AE58A6" w:rsidP="00A30060">
      <w:pPr>
        <w:spacing w:after="0" w:line="360" w:lineRule="auto"/>
        <w:ind w:right="51"/>
        <w:jc w:val="both"/>
        <w:rPr>
          <w:rFonts w:ascii="Palatino Linotype" w:hAnsi="Palatino Linotype" w:cs="Arial"/>
          <w:sz w:val="24"/>
          <w:szCs w:val="24"/>
        </w:rPr>
      </w:pPr>
    </w:p>
    <w:p w:rsidR="00AE58A6" w:rsidRDefault="00AE58A6" w:rsidP="00A30060">
      <w:pPr>
        <w:spacing w:after="0" w:line="360" w:lineRule="auto"/>
        <w:ind w:right="51"/>
        <w:jc w:val="both"/>
        <w:rPr>
          <w:rFonts w:ascii="Palatino Linotype" w:hAnsi="Palatino Linotype" w:cs="Arial"/>
          <w:sz w:val="24"/>
          <w:szCs w:val="24"/>
        </w:rPr>
      </w:pPr>
      <w:r w:rsidRPr="00CB3522">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AE58A6" w:rsidRPr="00CB3522" w:rsidRDefault="00AE58A6" w:rsidP="00A30060">
      <w:pPr>
        <w:spacing w:after="0" w:line="360" w:lineRule="auto"/>
        <w:ind w:right="51"/>
        <w:jc w:val="both"/>
        <w:rPr>
          <w:rFonts w:ascii="Palatino Linotype" w:hAnsi="Palatino Linotype" w:cs="Arial"/>
          <w:sz w:val="24"/>
          <w:szCs w:val="24"/>
        </w:rPr>
      </w:pPr>
    </w:p>
    <w:p w:rsidR="00AE58A6" w:rsidRPr="000757AB" w:rsidRDefault="00AE58A6" w:rsidP="00A30060">
      <w:pPr>
        <w:pStyle w:val="Textosinformato"/>
        <w:tabs>
          <w:tab w:val="right" w:leader="dot" w:pos="8505"/>
        </w:tabs>
        <w:ind w:left="567" w:right="567"/>
        <w:jc w:val="both"/>
        <w:rPr>
          <w:rFonts w:ascii="Palatino Linotype" w:eastAsia="MS Mincho" w:hAnsi="Palatino Linotype" w:cs="Arial"/>
          <w:b/>
          <w:i/>
          <w:sz w:val="22"/>
          <w:szCs w:val="24"/>
        </w:rPr>
      </w:pPr>
      <w:r w:rsidRPr="000757AB">
        <w:rPr>
          <w:rFonts w:ascii="Palatino Linotype" w:eastAsia="MS Mincho" w:hAnsi="Palatino Linotype" w:cs="Arial"/>
          <w:b/>
          <w:bCs/>
          <w:i/>
          <w:sz w:val="22"/>
          <w:szCs w:val="24"/>
        </w:rPr>
        <w:t>“Artículo 804.-</w:t>
      </w:r>
      <w:r w:rsidRPr="000757AB">
        <w:rPr>
          <w:rFonts w:ascii="Palatino Linotype" w:eastAsia="MS Mincho" w:hAnsi="Palatino Linotype" w:cs="Arial"/>
          <w:i/>
          <w:sz w:val="22"/>
          <w:szCs w:val="24"/>
        </w:rPr>
        <w:t xml:space="preserve"> </w:t>
      </w:r>
      <w:r w:rsidRPr="000757AB">
        <w:rPr>
          <w:rFonts w:ascii="Palatino Linotype" w:eastAsia="MS Mincho" w:hAnsi="Palatino Linotype" w:cs="Arial"/>
          <w:b/>
          <w:i/>
          <w:sz w:val="22"/>
          <w:szCs w:val="24"/>
        </w:rPr>
        <w:t>El patrón tiene obligación de conservar y exhibir en juicio los documentos que a continuación se precisan:</w:t>
      </w:r>
    </w:p>
    <w:p w:rsidR="00AE58A6" w:rsidRPr="000757AB" w:rsidRDefault="00AE58A6" w:rsidP="00A30060">
      <w:pPr>
        <w:pStyle w:val="Textosinformato"/>
        <w:tabs>
          <w:tab w:val="right" w:leader="dot" w:pos="8505"/>
        </w:tabs>
        <w:ind w:left="567" w:right="567"/>
        <w:jc w:val="both"/>
        <w:rPr>
          <w:rFonts w:ascii="Palatino Linotype" w:eastAsia="MS Mincho" w:hAnsi="Palatino Linotype" w:cs="Arial"/>
          <w:i/>
          <w:sz w:val="22"/>
          <w:szCs w:val="24"/>
        </w:rPr>
      </w:pPr>
      <w:r w:rsidRPr="000757AB">
        <w:rPr>
          <w:rFonts w:ascii="Palatino Linotype" w:eastAsia="MS Mincho" w:hAnsi="Palatino Linotype" w:cs="Arial"/>
          <w:i/>
          <w:sz w:val="22"/>
          <w:szCs w:val="24"/>
        </w:rPr>
        <w:t>…</w:t>
      </w:r>
    </w:p>
    <w:p w:rsidR="00AE58A6" w:rsidRPr="000757AB" w:rsidRDefault="00AE58A6" w:rsidP="00A30060">
      <w:pPr>
        <w:pStyle w:val="Textosinformato"/>
        <w:tabs>
          <w:tab w:val="right" w:leader="dot" w:pos="8505"/>
        </w:tabs>
        <w:ind w:left="567" w:right="567"/>
        <w:jc w:val="both"/>
        <w:rPr>
          <w:rFonts w:ascii="Palatino Linotype" w:eastAsia="MS Mincho" w:hAnsi="Palatino Linotype" w:cs="Arial"/>
          <w:i/>
          <w:sz w:val="22"/>
          <w:szCs w:val="24"/>
          <w:u w:val="single"/>
        </w:rPr>
      </w:pPr>
      <w:r w:rsidRPr="000757AB">
        <w:rPr>
          <w:rFonts w:ascii="Palatino Linotype" w:eastAsia="MS Mincho" w:hAnsi="Palatino Linotype" w:cs="Arial"/>
          <w:b/>
          <w:i/>
          <w:sz w:val="22"/>
          <w:szCs w:val="24"/>
        </w:rPr>
        <w:t>II.</w:t>
      </w:r>
      <w:r w:rsidRPr="000757AB">
        <w:rPr>
          <w:rFonts w:ascii="Palatino Linotype" w:eastAsia="MS Mincho" w:hAnsi="Palatino Linotype" w:cs="Arial"/>
          <w:i/>
          <w:sz w:val="22"/>
          <w:szCs w:val="24"/>
        </w:rPr>
        <w:t xml:space="preserve"> </w:t>
      </w:r>
      <w:r w:rsidRPr="00657C29">
        <w:rPr>
          <w:rFonts w:ascii="Palatino Linotype" w:eastAsia="MS Mincho" w:hAnsi="Palatino Linotype" w:cs="Arial"/>
          <w:i/>
          <w:sz w:val="22"/>
          <w:szCs w:val="24"/>
        </w:rPr>
        <w:t>Listas</w:t>
      </w:r>
      <w:r w:rsidRPr="00657C29">
        <w:rPr>
          <w:rFonts w:ascii="Palatino Linotype" w:eastAsia="MS Mincho" w:hAnsi="Palatino Linotype" w:cs="Arial"/>
          <w:b/>
          <w:i/>
          <w:sz w:val="22"/>
          <w:szCs w:val="24"/>
        </w:rPr>
        <w:t xml:space="preserve"> </w:t>
      </w:r>
      <w:r w:rsidRPr="00657C29">
        <w:rPr>
          <w:rFonts w:ascii="Palatino Linotype" w:eastAsia="MS Mincho" w:hAnsi="Palatino Linotype" w:cs="Arial"/>
          <w:i/>
          <w:sz w:val="22"/>
          <w:szCs w:val="24"/>
        </w:rPr>
        <w:t>de raya</w:t>
      </w:r>
      <w:r w:rsidRPr="000757AB">
        <w:rPr>
          <w:rFonts w:ascii="Palatino Linotype" w:eastAsia="MS Mincho" w:hAnsi="Palatino Linotype" w:cs="Arial"/>
          <w:i/>
          <w:sz w:val="22"/>
          <w:szCs w:val="24"/>
        </w:rPr>
        <w:t xml:space="preserve"> o </w:t>
      </w:r>
      <w:r w:rsidRPr="00824597">
        <w:rPr>
          <w:rFonts w:ascii="Palatino Linotype" w:eastAsia="MS Mincho" w:hAnsi="Palatino Linotype" w:cs="Arial"/>
          <w:i/>
          <w:sz w:val="22"/>
          <w:szCs w:val="24"/>
        </w:rPr>
        <w:t>nómina de personal</w:t>
      </w:r>
      <w:r w:rsidRPr="000757AB">
        <w:rPr>
          <w:rFonts w:ascii="Palatino Linotype" w:eastAsia="MS Mincho" w:hAnsi="Palatino Linotype" w:cs="Arial"/>
          <w:i/>
          <w:sz w:val="22"/>
          <w:szCs w:val="24"/>
        </w:rPr>
        <w:t xml:space="preserve">, cuando se lleven en el centro de trabajo; o </w:t>
      </w:r>
      <w:r w:rsidRPr="000757AB">
        <w:rPr>
          <w:rFonts w:ascii="Palatino Linotype" w:eastAsia="MS Mincho" w:hAnsi="Palatino Linotype" w:cs="Arial"/>
          <w:b/>
          <w:i/>
          <w:sz w:val="22"/>
          <w:szCs w:val="24"/>
          <w:u w:val="single"/>
        </w:rPr>
        <w:t>recibos de pagos de salarios</w:t>
      </w:r>
      <w:r w:rsidRPr="000757AB">
        <w:rPr>
          <w:rFonts w:ascii="Palatino Linotype" w:eastAsia="MS Mincho" w:hAnsi="Palatino Linotype" w:cs="Arial"/>
          <w:i/>
          <w:sz w:val="22"/>
          <w:szCs w:val="24"/>
          <w:u w:val="single"/>
        </w:rPr>
        <w:t>;</w:t>
      </w:r>
    </w:p>
    <w:p w:rsidR="00AE58A6" w:rsidRPr="000757AB" w:rsidRDefault="00AE58A6" w:rsidP="00A30060">
      <w:pPr>
        <w:pStyle w:val="Textosinformato"/>
        <w:tabs>
          <w:tab w:val="right" w:leader="dot" w:pos="8505"/>
        </w:tabs>
        <w:ind w:left="567" w:right="567"/>
        <w:jc w:val="both"/>
        <w:rPr>
          <w:rFonts w:ascii="Palatino Linotype" w:eastAsia="MS Mincho" w:hAnsi="Palatino Linotype" w:cs="Arial"/>
          <w:i/>
          <w:sz w:val="22"/>
          <w:szCs w:val="24"/>
        </w:rPr>
      </w:pPr>
      <w:r w:rsidRPr="000757AB">
        <w:rPr>
          <w:rFonts w:ascii="Palatino Linotype" w:eastAsia="MS Mincho" w:hAnsi="Palatino Linotype" w:cs="Arial"/>
          <w:i/>
          <w:sz w:val="22"/>
          <w:szCs w:val="24"/>
        </w:rPr>
        <w:t>…</w:t>
      </w:r>
    </w:p>
    <w:p w:rsidR="00AE58A6" w:rsidRDefault="00AE58A6" w:rsidP="00A30060">
      <w:pPr>
        <w:pStyle w:val="Texto"/>
        <w:tabs>
          <w:tab w:val="right" w:leader="dot" w:pos="8505"/>
        </w:tabs>
        <w:spacing w:after="0" w:line="240" w:lineRule="auto"/>
        <w:ind w:left="567" w:right="567" w:firstLine="0"/>
        <w:rPr>
          <w:rFonts w:ascii="Palatino Linotype" w:hAnsi="Palatino Linotype"/>
          <w:i/>
          <w:sz w:val="22"/>
          <w:szCs w:val="24"/>
        </w:rPr>
      </w:pPr>
      <w:r w:rsidRPr="000757AB">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AE58A6" w:rsidRPr="00B52C0F" w:rsidRDefault="00AE58A6" w:rsidP="00A30060">
      <w:pPr>
        <w:pStyle w:val="Texto"/>
        <w:tabs>
          <w:tab w:val="right" w:leader="dot" w:pos="8505"/>
        </w:tabs>
        <w:spacing w:after="0" w:line="240" w:lineRule="auto"/>
        <w:ind w:left="567" w:right="567" w:firstLine="0"/>
        <w:jc w:val="right"/>
        <w:rPr>
          <w:rFonts w:ascii="Palatino Linotype" w:hAnsi="Palatino Linotype"/>
          <w:sz w:val="22"/>
          <w:szCs w:val="24"/>
        </w:rPr>
      </w:pPr>
      <w:r w:rsidRPr="00B52C0F">
        <w:rPr>
          <w:rFonts w:ascii="Palatino Linotype" w:hAnsi="Palatino Linotype"/>
          <w:sz w:val="22"/>
          <w:szCs w:val="24"/>
        </w:rPr>
        <w:t>(Énfasis añadido)</w:t>
      </w:r>
    </w:p>
    <w:p w:rsidR="00AE58A6" w:rsidRPr="00CB3522" w:rsidRDefault="00AE58A6" w:rsidP="00A30060">
      <w:pPr>
        <w:spacing w:after="0" w:line="360" w:lineRule="auto"/>
        <w:ind w:right="51"/>
        <w:jc w:val="both"/>
        <w:rPr>
          <w:rFonts w:ascii="Palatino Linotype" w:hAnsi="Palatino Linotype" w:cs="Arial"/>
          <w:sz w:val="24"/>
          <w:szCs w:val="24"/>
        </w:rPr>
      </w:pPr>
    </w:p>
    <w:p w:rsidR="00E806BF" w:rsidRDefault="00E806BF" w:rsidP="00A3006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rsidR="00E806BF" w:rsidRPr="009235AB" w:rsidRDefault="00E806BF" w:rsidP="00A30060">
      <w:pPr>
        <w:pStyle w:val="Prrafodelista"/>
        <w:spacing w:line="360" w:lineRule="auto"/>
        <w:ind w:left="0"/>
        <w:jc w:val="both"/>
        <w:rPr>
          <w:rFonts w:ascii="Palatino Linotype" w:hAnsi="Palatino Linotype" w:cs="Arial"/>
        </w:rPr>
      </w:pPr>
    </w:p>
    <w:p w:rsidR="00E806BF" w:rsidRPr="00E806BF" w:rsidRDefault="00E806BF" w:rsidP="00A30060">
      <w:pPr>
        <w:spacing w:after="0" w:line="240" w:lineRule="auto"/>
        <w:ind w:left="567" w:right="567"/>
        <w:jc w:val="both"/>
        <w:rPr>
          <w:rFonts w:ascii="Palatino Linotype" w:hAnsi="Palatino Linotype"/>
          <w:i/>
          <w:szCs w:val="24"/>
        </w:rPr>
      </w:pPr>
      <w:r w:rsidRPr="00E806BF">
        <w:rPr>
          <w:rFonts w:ascii="Palatino Linotype" w:hAnsi="Palatino Linotype"/>
          <w:b/>
          <w:i/>
          <w:szCs w:val="24"/>
        </w:rPr>
        <w:t>Artículo 147</w:t>
      </w:r>
      <w:r w:rsidRPr="00E806BF">
        <w:rPr>
          <w:rFonts w:ascii="Palatino Linotype" w:hAnsi="Palatino Linotype"/>
          <w:i/>
          <w:szCs w:val="24"/>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E806BF">
        <w:rPr>
          <w:rFonts w:ascii="Palatino Linotype" w:hAnsi="Palatino Linotype"/>
          <w:b/>
          <w:i/>
          <w:szCs w:val="24"/>
          <w:u w:val="single"/>
        </w:rPr>
        <w:t>los miembros de los ayuntamientos</w:t>
      </w:r>
      <w:r w:rsidRPr="00E806BF">
        <w:rPr>
          <w:rFonts w:ascii="Palatino Linotype" w:hAnsi="Palatino Linotype"/>
          <w:i/>
          <w:szCs w:val="24"/>
        </w:rPr>
        <w:t xml:space="preserve"> y demás servidores públicos municipales recibirán una retribución adecuada e irrenunciable por el desempeño de su empleo, cargo o comisión, que será determinada </w:t>
      </w:r>
      <w:r w:rsidRPr="00E806BF">
        <w:rPr>
          <w:rFonts w:ascii="Palatino Linotype" w:hAnsi="Palatino Linotype"/>
          <w:b/>
          <w:i/>
          <w:szCs w:val="24"/>
          <w:u w:val="single"/>
        </w:rPr>
        <w:t>en el presupuesto de egresos</w:t>
      </w:r>
      <w:r w:rsidRPr="00E806BF">
        <w:rPr>
          <w:rFonts w:ascii="Palatino Linotype" w:hAnsi="Palatino Linotype"/>
          <w:i/>
          <w:szCs w:val="24"/>
        </w:rPr>
        <w:t xml:space="preserve"> que corresponda. </w:t>
      </w:r>
      <w:r w:rsidRPr="00E806BF">
        <w:rPr>
          <w:rFonts w:ascii="Palatino Linotype" w:hAnsi="Palatino Linotype"/>
          <w:b/>
          <w:i/>
          <w:szCs w:val="24"/>
        </w:rPr>
        <w:t>Las remuneraciones</w:t>
      </w:r>
      <w:r w:rsidRPr="00E806BF">
        <w:rPr>
          <w:rFonts w:ascii="Palatino Linotype" w:hAnsi="Palatino Linotype"/>
          <w:i/>
          <w:szCs w:val="24"/>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E806BF">
        <w:rPr>
          <w:rFonts w:ascii="Palatino Linotype" w:hAnsi="Palatino Linotype"/>
          <w:b/>
          <w:i/>
          <w:szCs w:val="24"/>
        </w:rPr>
        <w:t>La remuneración será determinada anual y equitativamente</w:t>
      </w:r>
      <w:r w:rsidRPr="00E806BF">
        <w:rPr>
          <w:rFonts w:ascii="Palatino Linotype" w:hAnsi="Palatino Linotype"/>
          <w:i/>
          <w:szCs w:val="24"/>
        </w:rPr>
        <w:t xml:space="preserve"> en el Presupuesto de Egresos correspondiente bajo las bases siguientes: </w:t>
      </w:r>
    </w:p>
    <w:p w:rsidR="00E806BF" w:rsidRPr="00E806BF" w:rsidRDefault="00E806BF" w:rsidP="00A30060">
      <w:pPr>
        <w:pStyle w:val="Prrafodelista"/>
        <w:ind w:left="567" w:right="567"/>
        <w:jc w:val="both"/>
        <w:rPr>
          <w:rFonts w:ascii="Palatino Linotype" w:hAnsi="Palatino Linotype"/>
          <w:i/>
          <w:sz w:val="22"/>
        </w:rPr>
      </w:pPr>
      <w:r w:rsidRPr="00E806BF">
        <w:rPr>
          <w:rFonts w:ascii="Palatino Linotype" w:hAnsi="Palatino Linotype"/>
          <w:i/>
          <w:sz w:val="22"/>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E806BF" w:rsidRPr="00E806BF" w:rsidRDefault="00E806BF" w:rsidP="00A30060">
      <w:pPr>
        <w:pStyle w:val="Prrafodelista"/>
        <w:ind w:left="567" w:right="567"/>
        <w:jc w:val="both"/>
        <w:rPr>
          <w:rFonts w:ascii="Palatino Linotype" w:hAnsi="Palatino Linotype" w:cs="Arial"/>
          <w:bCs/>
          <w:i/>
          <w:sz w:val="22"/>
        </w:rPr>
      </w:pPr>
      <w:r w:rsidRPr="00E806BF">
        <w:rPr>
          <w:rFonts w:ascii="Palatino Linotype" w:hAnsi="Palatino Linotype" w:cs="Arial"/>
          <w:bCs/>
          <w:i/>
          <w:sz w:val="22"/>
        </w:rPr>
        <w:t>(…)</w:t>
      </w:r>
    </w:p>
    <w:p w:rsidR="00E806BF" w:rsidRPr="00E806BF" w:rsidRDefault="00E806BF" w:rsidP="00A30060">
      <w:pPr>
        <w:pStyle w:val="Prrafodelista"/>
        <w:ind w:left="567" w:right="567"/>
        <w:rPr>
          <w:rFonts w:ascii="Palatino Linotype" w:hAnsi="Palatino Linotype" w:cs="Arial"/>
          <w:bCs/>
          <w:i/>
          <w:sz w:val="22"/>
        </w:rPr>
      </w:pPr>
      <w:r w:rsidRPr="00E806BF">
        <w:rPr>
          <w:rFonts w:ascii="Palatino Linotype" w:hAnsi="Palatino Linotype"/>
          <w:i/>
          <w:sz w:val="22"/>
        </w:rPr>
        <w:t xml:space="preserve">V. Las remuneraciones y sus tabuladores </w:t>
      </w:r>
      <w:r w:rsidRPr="00E806BF">
        <w:rPr>
          <w:rFonts w:ascii="Palatino Linotype" w:hAnsi="Palatino Linotype"/>
          <w:b/>
          <w:i/>
          <w:sz w:val="22"/>
        </w:rPr>
        <w:t>serán públicos</w:t>
      </w:r>
      <w:r w:rsidRPr="00E806BF">
        <w:rPr>
          <w:rFonts w:ascii="Palatino Linotype" w:hAnsi="Palatino Linotype"/>
          <w:i/>
          <w:sz w:val="22"/>
        </w:rPr>
        <w:t>, y deberán especificar y diferenciar la totalidad de sus elementos fijos y variables tanto en efectivo como en especie.</w:t>
      </w:r>
    </w:p>
    <w:p w:rsidR="00E806BF" w:rsidRPr="009235AB" w:rsidRDefault="00E806BF" w:rsidP="00A30060">
      <w:pPr>
        <w:pStyle w:val="Prrafodelista"/>
        <w:spacing w:line="360" w:lineRule="auto"/>
        <w:ind w:left="851"/>
        <w:jc w:val="both"/>
        <w:rPr>
          <w:rFonts w:ascii="Palatino Linotype" w:hAnsi="Palatino Linotype" w:cs="Arial"/>
        </w:rPr>
      </w:pPr>
    </w:p>
    <w:p w:rsidR="00E806BF" w:rsidRPr="009235AB" w:rsidRDefault="00E806BF" w:rsidP="00A30060">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rsidR="00E806BF" w:rsidRPr="009235AB" w:rsidRDefault="00E806BF" w:rsidP="00A30060">
      <w:pPr>
        <w:pStyle w:val="Prrafodelista"/>
        <w:spacing w:line="360" w:lineRule="auto"/>
        <w:ind w:left="567" w:right="567"/>
        <w:jc w:val="both"/>
        <w:rPr>
          <w:rFonts w:ascii="Palatino Linotype" w:hAnsi="Palatino Linotype" w:cs="Arial"/>
        </w:rPr>
      </w:pPr>
    </w:p>
    <w:p w:rsidR="00E806BF" w:rsidRPr="00E806BF" w:rsidRDefault="00E806BF" w:rsidP="00A30060">
      <w:pPr>
        <w:pStyle w:val="Prrafodelista"/>
        <w:ind w:left="567" w:right="567"/>
        <w:jc w:val="both"/>
        <w:rPr>
          <w:rFonts w:ascii="Palatino Linotype" w:hAnsi="Palatino Linotype" w:cs="Arial"/>
          <w:bCs/>
          <w:i/>
          <w:sz w:val="22"/>
        </w:rPr>
      </w:pPr>
      <w:r w:rsidRPr="00E806BF">
        <w:rPr>
          <w:rFonts w:ascii="Palatino Linotype" w:hAnsi="Palatino Linotype" w:cs="Arial"/>
          <w:b/>
          <w:bCs/>
          <w:i/>
          <w:sz w:val="22"/>
        </w:rPr>
        <w:t>Artículo 3.-</w:t>
      </w:r>
      <w:r w:rsidRPr="00E806BF">
        <w:rPr>
          <w:rFonts w:ascii="Palatino Linotype" w:hAnsi="Palatino Linotype" w:cs="Arial"/>
          <w:bCs/>
          <w:i/>
          <w:sz w:val="22"/>
        </w:rPr>
        <w:t xml:space="preserve"> Para efectos de este Código, Ley de Ingresos del Estado y del Presupuesto de Egresos se entenderá por:</w:t>
      </w:r>
    </w:p>
    <w:p w:rsidR="00E806BF" w:rsidRPr="00E806BF" w:rsidRDefault="00E806BF" w:rsidP="00A30060">
      <w:pPr>
        <w:pStyle w:val="Prrafodelista"/>
        <w:ind w:left="567" w:right="567"/>
        <w:jc w:val="both"/>
        <w:rPr>
          <w:rFonts w:ascii="Palatino Linotype" w:hAnsi="Palatino Linotype" w:cs="Arial"/>
          <w:bCs/>
          <w:i/>
          <w:sz w:val="22"/>
        </w:rPr>
      </w:pPr>
      <w:r w:rsidRPr="00E806BF">
        <w:rPr>
          <w:rFonts w:ascii="Palatino Linotype" w:hAnsi="Palatino Linotype" w:cs="Arial"/>
          <w:bCs/>
          <w:i/>
          <w:sz w:val="22"/>
        </w:rPr>
        <w:t>(…)</w:t>
      </w:r>
    </w:p>
    <w:p w:rsidR="00E806BF" w:rsidRPr="00E806BF" w:rsidRDefault="00E806BF" w:rsidP="00A30060">
      <w:pPr>
        <w:pStyle w:val="Prrafodelista"/>
        <w:ind w:left="567" w:right="567"/>
        <w:jc w:val="both"/>
        <w:rPr>
          <w:rFonts w:ascii="Palatino Linotype" w:hAnsi="Palatino Linotype"/>
          <w:b/>
          <w:i/>
          <w:sz w:val="22"/>
        </w:rPr>
      </w:pPr>
      <w:r w:rsidRPr="00E806BF">
        <w:rPr>
          <w:rFonts w:ascii="Palatino Linotype" w:hAnsi="Palatino Linotype"/>
          <w:b/>
          <w:i/>
          <w:sz w:val="22"/>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E806BF" w:rsidRPr="00E806BF" w:rsidRDefault="00E806BF" w:rsidP="00A30060">
      <w:pPr>
        <w:pStyle w:val="Prrafodelista"/>
        <w:ind w:left="567" w:right="567"/>
        <w:jc w:val="right"/>
        <w:rPr>
          <w:rFonts w:ascii="Palatino Linotype" w:hAnsi="Palatino Linotype"/>
          <w:sz w:val="22"/>
        </w:rPr>
      </w:pPr>
      <w:r w:rsidRPr="00E806BF">
        <w:rPr>
          <w:rFonts w:ascii="Palatino Linotype" w:hAnsi="Palatino Linotype"/>
          <w:sz w:val="22"/>
        </w:rPr>
        <w:t>(Énfasis añadido)</w:t>
      </w:r>
    </w:p>
    <w:p w:rsidR="00E806BF" w:rsidRPr="009235AB" w:rsidRDefault="00E806BF" w:rsidP="00A30060">
      <w:pPr>
        <w:pStyle w:val="Prrafodelista"/>
        <w:spacing w:line="360" w:lineRule="auto"/>
        <w:ind w:left="0"/>
        <w:jc w:val="both"/>
        <w:rPr>
          <w:rFonts w:ascii="Palatino Linotype" w:hAnsi="Palatino Linotype" w:cs="Arial"/>
        </w:rPr>
      </w:pPr>
    </w:p>
    <w:p w:rsidR="00E806BF" w:rsidRPr="009235AB" w:rsidRDefault="00E806BF" w:rsidP="00A30060">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E806BF" w:rsidRDefault="00E806BF" w:rsidP="00A30060">
      <w:pPr>
        <w:spacing w:after="0" w:line="360" w:lineRule="auto"/>
        <w:ind w:right="51"/>
        <w:jc w:val="both"/>
        <w:rPr>
          <w:rFonts w:ascii="Palatino Linotype" w:hAnsi="Palatino Linotype" w:cs="Arial"/>
          <w:sz w:val="24"/>
          <w:szCs w:val="24"/>
        </w:rPr>
      </w:pPr>
    </w:p>
    <w:p w:rsidR="00AE58A6" w:rsidRPr="00CB3522" w:rsidRDefault="00B52C0F" w:rsidP="00A30060">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T</w:t>
      </w:r>
      <w:r w:rsidR="00AE58A6" w:rsidRPr="00CB3522">
        <w:rPr>
          <w:rFonts w:ascii="Palatino Linotype" w:hAnsi="Palatino Linotype" w:cs="Arial"/>
          <w:sz w:val="24"/>
          <w:szCs w:val="24"/>
        </w:rPr>
        <w:t>ratándose de servidores públicos de los Municipios la Ley del Trabajo de los Servidores Públicos del Estado y Municipios, en su artículo 220-K fracciones II y IV y último párrafo, establecen lo siguiente:</w:t>
      </w:r>
    </w:p>
    <w:p w:rsidR="00AE58A6" w:rsidRPr="00CB3522" w:rsidRDefault="00AE58A6" w:rsidP="00A30060">
      <w:pPr>
        <w:spacing w:after="0" w:line="360" w:lineRule="auto"/>
        <w:ind w:right="51"/>
        <w:jc w:val="both"/>
        <w:rPr>
          <w:rFonts w:ascii="Palatino Linotype" w:hAnsi="Palatino Linotype" w:cs="Arial"/>
          <w:sz w:val="24"/>
          <w:szCs w:val="24"/>
        </w:rPr>
      </w:pPr>
    </w:p>
    <w:p w:rsidR="00AE58A6" w:rsidRPr="000757AB" w:rsidRDefault="00AE58A6" w:rsidP="00A30060">
      <w:pPr>
        <w:tabs>
          <w:tab w:val="left" w:pos="9072"/>
        </w:tabs>
        <w:spacing w:after="0" w:line="240" w:lineRule="auto"/>
        <w:ind w:left="567" w:right="567"/>
        <w:jc w:val="both"/>
        <w:rPr>
          <w:rFonts w:ascii="Palatino Linotype" w:eastAsia="Times New Roman" w:hAnsi="Palatino Linotype"/>
          <w:bCs/>
          <w:i/>
        </w:rPr>
      </w:pPr>
      <w:r w:rsidRPr="000757AB">
        <w:rPr>
          <w:rFonts w:ascii="Palatino Linotype" w:eastAsia="Times New Roman" w:hAnsi="Palatino Linotype"/>
          <w:b/>
          <w:bCs/>
          <w:i/>
        </w:rPr>
        <w:t>“ARTÍCULO 220 K.-</w:t>
      </w:r>
      <w:r w:rsidRPr="000757AB">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AE58A6" w:rsidRPr="000757AB" w:rsidRDefault="00AE58A6" w:rsidP="00A30060">
      <w:pPr>
        <w:tabs>
          <w:tab w:val="left" w:pos="9072"/>
        </w:tabs>
        <w:spacing w:after="0" w:line="240" w:lineRule="auto"/>
        <w:ind w:left="567" w:right="567"/>
        <w:jc w:val="both"/>
        <w:rPr>
          <w:rFonts w:ascii="Palatino Linotype" w:eastAsia="Times New Roman" w:hAnsi="Palatino Linotype"/>
          <w:bCs/>
          <w:i/>
        </w:rPr>
      </w:pPr>
      <w:r w:rsidRPr="000757AB">
        <w:rPr>
          <w:rFonts w:ascii="Palatino Linotype" w:eastAsia="Times New Roman" w:hAnsi="Palatino Linotype"/>
          <w:b/>
          <w:bCs/>
          <w:i/>
        </w:rPr>
        <w:t>(…</w:t>
      </w:r>
      <w:r w:rsidRPr="000757AB">
        <w:rPr>
          <w:rFonts w:ascii="Palatino Linotype" w:eastAsia="Times New Roman" w:hAnsi="Palatino Linotype"/>
          <w:bCs/>
          <w:i/>
        </w:rPr>
        <w:t>)</w:t>
      </w:r>
    </w:p>
    <w:p w:rsidR="00AE58A6" w:rsidRPr="000757AB" w:rsidRDefault="00AE58A6" w:rsidP="00A30060">
      <w:pPr>
        <w:tabs>
          <w:tab w:val="left" w:pos="9072"/>
        </w:tabs>
        <w:spacing w:after="0" w:line="240" w:lineRule="auto"/>
        <w:ind w:left="567" w:right="567"/>
        <w:jc w:val="both"/>
        <w:rPr>
          <w:rFonts w:ascii="Palatino Linotype" w:eastAsia="Times New Roman" w:hAnsi="Palatino Linotype"/>
          <w:bCs/>
          <w:i/>
        </w:rPr>
      </w:pPr>
      <w:r w:rsidRPr="000757AB">
        <w:rPr>
          <w:rFonts w:ascii="Palatino Linotype" w:eastAsia="Times New Roman" w:hAnsi="Palatino Linotype"/>
          <w:b/>
          <w:bCs/>
          <w:i/>
        </w:rPr>
        <w:t>II.</w:t>
      </w:r>
      <w:r w:rsidRPr="000757AB">
        <w:rPr>
          <w:rFonts w:ascii="Palatino Linotype" w:eastAsia="Times New Roman" w:hAnsi="Palatino Linotype"/>
          <w:bCs/>
          <w:i/>
        </w:rPr>
        <w:t xml:space="preserve"> </w:t>
      </w:r>
      <w:r w:rsidRPr="000757AB">
        <w:rPr>
          <w:rFonts w:ascii="Palatino Linotype" w:eastAsia="Times New Roman" w:hAnsi="Palatino Linotype"/>
          <w:b/>
          <w:bCs/>
          <w:i/>
        </w:rPr>
        <w:t>Recibos de pagos de salarios</w:t>
      </w:r>
      <w:r w:rsidRPr="000757AB">
        <w:rPr>
          <w:rFonts w:ascii="Palatino Linotype" w:eastAsia="Times New Roman" w:hAnsi="Palatino Linotype"/>
          <w:bCs/>
          <w:i/>
        </w:rPr>
        <w:t xml:space="preserve"> o las constancias documentales del pago de salario cuando sea por depósito o mediante información electrónica;</w:t>
      </w:r>
    </w:p>
    <w:p w:rsidR="00AE58A6" w:rsidRPr="000757AB" w:rsidRDefault="00AE58A6" w:rsidP="00A30060">
      <w:pPr>
        <w:tabs>
          <w:tab w:val="left" w:pos="9072"/>
        </w:tabs>
        <w:spacing w:after="0" w:line="240" w:lineRule="auto"/>
        <w:ind w:left="567" w:right="567"/>
        <w:jc w:val="both"/>
        <w:rPr>
          <w:rFonts w:ascii="Palatino Linotype" w:eastAsia="Times New Roman" w:hAnsi="Palatino Linotype"/>
          <w:bCs/>
          <w:i/>
        </w:rPr>
      </w:pPr>
      <w:r w:rsidRPr="000757AB">
        <w:rPr>
          <w:rFonts w:ascii="Palatino Linotype" w:eastAsia="Times New Roman" w:hAnsi="Palatino Linotype"/>
          <w:b/>
          <w:bCs/>
          <w:i/>
        </w:rPr>
        <w:t>(…)</w:t>
      </w:r>
    </w:p>
    <w:p w:rsidR="00AE58A6" w:rsidRDefault="00AE58A6" w:rsidP="00A30060">
      <w:pPr>
        <w:tabs>
          <w:tab w:val="left" w:pos="9072"/>
        </w:tabs>
        <w:spacing w:after="0" w:line="240" w:lineRule="auto"/>
        <w:ind w:left="567" w:right="567"/>
        <w:jc w:val="both"/>
        <w:rPr>
          <w:rFonts w:ascii="Palatino Linotype" w:eastAsia="Times New Roman" w:hAnsi="Palatino Linotype"/>
          <w:b/>
          <w:bCs/>
          <w:i/>
        </w:rPr>
      </w:pPr>
      <w:r w:rsidRPr="000757AB">
        <w:rPr>
          <w:rFonts w:ascii="Palatino Linotype" w:eastAsia="Times New Roman" w:hAnsi="Palatino Linotype"/>
          <w:b/>
          <w:bCs/>
          <w:i/>
        </w:rPr>
        <w:t>IV.</w:t>
      </w:r>
      <w:r w:rsidRPr="000757AB">
        <w:rPr>
          <w:rFonts w:ascii="Palatino Linotype" w:eastAsia="Times New Roman" w:hAnsi="Palatino Linotype"/>
          <w:bCs/>
          <w:i/>
        </w:rPr>
        <w:t xml:space="preserve"> </w:t>
      </w:r>
      <w:r w:rsidRPr="000757AB">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AE58A6" w:rsidRPr="000757AB" w:rsidRDefault="00AE58A6" w:rsidP="00A30060">
      <w:pPr>
        <w:tabs>
          <w:tab w:val="left" w:pos="9072"/>
        </w:tabs>
        <w:spacing w:after="0" w:line="240" w:lineRule="auto"/>
        <w:ind w:left="567" w:right="567"/>
        <w:jc w:val="both"/>
        <w:rPr>
          <w:rFonts w:ascii="Palatino Linotype" w:eastAsia="Times New Roman" w:hAnsi="Palatino Linotype"/>
          <w:b/>
          <w:bCs/>
          <w:i/>
        </w:rPr>
      </w:pPr>
    </w:p>
    <w:p w:rsidR="00AE58A6" w:rsidRDefault="00AE58A6" w:rsidP="00A30060">
      <w:pPr>
        <w:tabs>
          <w:tab w:val="left" w:pos="9072"/>
        </w:tabs>
        <w:spacing w:after="0" w:line="240" w:lineRule="auto"/>
        <w:ind w:left="567" w:right="567"/>
        <w:jc w:val="both"/>
        <w:rPr>
          <w:rFonts w:ascii="Palatino Linotype" w:eastAsia="Times New Roman" w:hAnsi="Palatino Linotype"/>
          <w:bCs/>
          <w:i/>
        </w:rPr>
      </w:pPr>
      <w:r w:rsidRPr="000757AB">
        <w:rPr>
          <w:rFonts w:ascii="Palatino Linotype" w:eastAsia="Times New Roman" w:hAnsi="Palatino Linotype"/>
          <w:b/>
          <w:bCs/>
          <w:i/>
        </w:rPr>
        <w:t>Los documentos señalados en la fracción I de este artículo, deberán conservarse mientras dure la relación laboral y hasta un año después;</w:t>
      </w:r>
      <w:r w:rsidRPr="000757AB">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AE58A6" w:rsidRPr="000757AB" w:rsidRDefault="00AE58A6" w:rsidP="00A30060">
      <w:pPr>
        <w:tabs>
          <w:tab w:val="left" w:pos="9072"/>
        </w:tabs>
        <w:spacing w:after="0" w:line="240" w:lineRule="auto"/>
        <w:ind w:left="567" w:right="567"/>
        <w:jc w:val="both"/>
        <w:rPr>
          <w:rFonts w:ascii="Palatino Linotype" w:eastAsia="Times New Roman" w:hAnsi="Palatino Linotype"/>
          <w:bCs/>
          <w:i/>
        </w:rPr>
      </w:pPr>
    </w:p>
    <w:p w:rsidR="00AE58A6" w:rsidRPr="000757AB" w:rsidRDefault="00AE58A6" w:rsidP="00A30060">
      <w:pPr>
        <w:tabs>
          <w:tab w:val="left" w:pos="9072"/>
        </w:tabs>
        <w:spacing w:after="0" w:line="240" w:lineRule="auto"/>
        <w:ind w:left="567" w:right="567"/>
        <w:jc w:val="both"/>
        <w:rPr>
          <w:rFonts w:ascii="Palatino Linotype" w:eastAsia="Times New Roman" w:hAnsi="Palatino Linotype"/>
          <w:bCs/>
          <w:i/>
        </w:rPr>
      </w:pPr>
      <w:r w:rsidRPr="000757AB">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AE58A6" w:rsidRDefault="00AE58A6" w:rsidP="00A30060">
      <w:pPr>
        <w:spacing w:after="0" w:line="240" w:lineRule="auto"/>
        <w:ind w:left="567" w:right="567"/>
        <w:jc w:val="both"/>
        <w:rPr>
          <w:rFonts w:ascii="Palatino Linotype" w:eastAsia="Times New Roman" w:hAnsi="Palatino Linotype"/>
          <w:bCs/>
          <w:i/>
        </w:rPr>
      </w:pPr>
      <w:r w:rsidRPr="000757AB">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w:t>
      </w:r>
      <w:r>
        <w:rPr>
          <w:rFonts w:ascii="Palatino Linotype" w:eastAsia="Times New Roman" w:hAnsi="Palatino Linotype"/>
          <w:bCs/>
          <w:i/>
        </w:rPr>
        <w:t xml:space="preserve"> (</w:t>
      </w:r>
      <w:r w:rsidRPr="000757AB">
        <w:rPr>
          <w:rFonts w:ascii="Palatino Linotype" w:eastAsia="Times New Roman" w:hAnsi="Palatino Linotype"/>
          <w:bCs/>
          <w:i/>
        </w:rPr>
        <w:t>Sic)</w:t>
      </w:r>
    </w:p>
    <w:p w:rsidR="00AE58A6" w:rsidRPr="00270D1A" w:rsidRDefault="00AE58A6" w:rsidP="00A30060">
      <w:pPr>
        <w:spacing w:after="0" w:line="240" w:lineRule="auto"/>
        <w:ind w:left="567" w:right="567"/>
        <w:jc w:val="right"/>
        <w:rPr>
          <w:rFonts w:ascii="Palatino Linotype" w:hAnsi="Palatino Linotype"/>
        </w:rPr>
      </w:pPr>
      <w:r w:rsidRPr="00270D1A">
        <w:rPr>
          <w:rFonts w:ascii="Palatino Linotype" w:hAnsi="Palatino Linotype"/>
        </w:rPr>
        <w:t>(Énfasis añadido).</w:t>
      </w:r>
    </w:p>
    <w:p w:rsidR="00AE58A6" w:rsidRPr="00CB3522" w:rsidRDefault="00AE58A6" w:rsidP="00A30060">
      <w:pPr>
        <w:spacing w:after="0" w:line="360" w:lineRule="auto"/>
        <w:ind w:right="51"/>
        <w:jc w:val="both"/>
        <w:rPr>
          <w:rFonts w:ascii="Palatino Linotype" w:hAnsi="Palatino Linotype" w:cs="Arial"/>
          <w:sz w:val="24"/>
          <w:szCs w:val="24"/>
        </w:rPr>
      </w:pPr>
    </w:p>
    <w:p w:rsidR="00AE58A6" w:rsidRPr="00CB3522" w:rsidRDefault="00270D1A" w:rsidP="00A30060">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síntesis, </w:t>
      </w:r>
      <w:r w:rsidR="00AE58A6" w:rsidRPr="00CB3522">
        <w:rPr>
          <w:rFonts w:ascii="Palatino Linotype" w:hAnsi="Palatino Linotype" w:cs="Arial"/>
          <w:sz w:val="24"/>
          <w:szCs w:val="24"/>
        </w:rPr>
        <w:t xml:space="preserve">toda institución o dependencia pública del Estado de México </w:t>
      </w:r>
      <w:r w:rsidR="00AE58A6" w:rsidRPr="00325B61">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00AE58A6" w:rsidRPr="00CB3522">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4D5899" w:rsidRPr="009235AB" w:rsidRDefault="004D5899" w:rsidP="00A30060">
      <w:pPr>
        <w:spacing w:after="0" w:line="360" w:lineRule="auto"/>
        <w:jc w:val="both"/>
        <w:rPr>
          <w:rFonts w:ascii="Palatino Linotype" w:hAnsi="Palatino Linotype" w:cs="Arial"/>
          <w:i/>
          <w:sz w:val="24"/>
          <w:szCs w:val="24"/>
          <w:lang w:eastAsia="es-MX"/>
        </w:rPr>
      </w:pPr>
      <w:r w:rsidRPr="009235AB">
        <w:rPr>
          <w:rFonts w:ascii="Palatino Linotype" w:eastAsia="Times New Roman" w:hAnsi="Palatino Linotype" w:cs="Arial"/>
          <w:sz w:val="24"/>
          <w:szCs w:val="24"/>
        </w:rPr>
        <w:t xml:space="preserve">Además, la </w:t>
      </w:r>
      <w:r w:rsidRPr="009235AB">
        <w:rPr>
          <w:rFonts w:ascii="Palatino Linotype" w:eastAsia="Times New Roman" w:hAnsi="Palatino Linotype" w:cs="Arial"/>
          <w:b/>
          <w:sz w:val="24"/>
          <w:szCs w:val="24"/>
        </w:rPr>
        <w:t>Ley Orgánica Municipal del Estado de México</w:t>
      </w:r>
      <w:r w:rsidRPr="009235AB">
        <w:rPr>
          <w:rFonts w:ascii="Palatino Linotype" w:eastAsia="Times New Roman" w:hAnsi="Palatino Linotype" w:cs="Arial"/>
          <w:sz w:val="24"/>
          <w:szCs w:val="24"/>
        </w:rPr>
        <w:t xml:space="preserve"> en el artículo 31 fracción XIX establece como atribución de los Ayuntamientos aprobar su </w:t>
      </w:r>
      <w:r w:rsidRPr="009235AB">
        <w:rPr>
          <w:rFonts w:ascii="Palatino Linotype" w:eastAsia="Times New Roman" w:hAnsi="Palatino Linotype" w:cs="Arial"/>
          <w:b/>
          <w:sz w:val="24"/>
          <w:szCs w:val="24"/>
          <w:u w:val="single"/>
        </w:rPr>
        <w:t>Presupuesto de Egresos</w:t>
      </w:r>
      <w:r w:rsidRPr="009235AB">
        <w:rPr>
          <w:rFonts w:ascii="Palatino Linotype" w:eastAsia="Times New Roman" w:hAnsi="Palatino Linotype" w:cs="Arial"/>
          <w:sz w:val="24"/>
          <w:szCs w:val="24"/>
        </w:rPr>
        <w:t>, y al hacerlo deberán señalar “</w:t>
      </w:r>
      <w:r w:rsidRPr="009235AB">
        <w:rPr>
          <w:rFonts w:ascii="Palatino Linotype" w:hAnsi="Palatino Linotype"/>
          <w:b/>
          <w:i/>
          <w:sz w:val="24"/>
          <w:szCs w:val="24"/>
          <w:u w:val="single"/>
        </w:rPr>
        <w:t>la remuneración</w:t>
      </w:r>
      <w:r w:rsidRPr="009235AB">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9235AB">
        <w:rPr>
          <w:rFonts w:ascii="Palatino Linotype" w:hAnsi="Palatino Linotype"/>
          <w:sz w:val="24"/>
          <w:szCs w:val="24"/>
        </w:rPr>
        <w:t>“ y además</w:t>
      </w:r>
      <w:r w:rsidRPr="009235AB">
        <w:rPr>
          <w:rFonts w:ascii="Palatino Linotype" w:eastAsia="Times New Roman" w:hAnsi="Palatino Linotype" w:cs="Arial"/>
          <w:sz w:val="24"/>
          <w:szCs w:val="24"/>
        </w:rPr>
        <w:t xml:space="preserve"> “</w:t>
      </w:r>
      <w:r w:rsidRPr="009235AB">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9235AB">
        <w:rPr>
          <w:rFonts w:ascii="Palatino Linotype" w:hAnsi="Palatino Linotype"/>
          <w:b/>
          <w:i/>
          <w:sz w:val="24"/>
          <w:szCs w:val="24"/>
        </w:rPr>
        <w:t>serán determinadas anualmente en el presupuesto de egresos</w:t>
      </w:r>
      <w:r w:rsidRPr="009235AB">
        <w:rPr>
          <w:rFonts w:ascii="Palatino Linotype" w:hAnsi="Palatino Linotype"/>
          <w:i/>
          <w:sz w:val="24"/>
          <w:szCs w:val="24"/>
        </w:rPr>
        <w:t xml:space="preserve"> correspondiente y se sujetarán a los lineamientos legales establecidos para todos los servidores públicos municipales</w:t>
      </w:r>
      <w:r w:rsidRPr="009235AB">
        <w:rPr>
          <w:rFonts w:ascii="Palatino Linotype" w:hAnsi="Palatino Linotype"/>
          <w:sz w:val="24"/>
          <w:szCs w:val="24"/>
        </w:rPr>
        <w:t>”.</w:t>
      </w:r>
      <w:r w:rsidRPr="009235AB">
        <w:rPr>
          <w:rFonts w:ascii="Palatino Linotype" w:hAnsi="Palatino Linotype"/>
          <w:i/>
          <w:sz w:val="24"/>
          <w:szCs w:val="24"/>
        </w:rPr>
        <w:t>(…)</w:t>
      </w:r>
    </w:p>
    <w:p w:rsidR="004D5899" w:rsidRPr="00BB36C5" w:rsidRDefault="004D5899" w:rsidP="00A30060">
      <w:pPr>
        <w:pStyle w:val="Prrafodelista"/>
        <w:spacing w:line="360" w:lineRule="auto"/>
        <w:ind w:left="0"/>
        <w:jc w:val="both"/>
        <w:rPr>
          <w:rFonts w:ascii="Palatino Linotype" w:hAnsi="Palatino Linotype" w:cs="Arial"/>
        </w:rPr>
      </w:pPr>
    </w:p>
    <w:p w:rsidR="004D5899" w:rsidRPr="009235AB" w:rsidRDefault="004D5899" w:rsidP="00A30060">
      <w:pPr>
        <w:autoSpaceDE w:val="0"/>
        <w:autoSpaceDN w:val="0"/>
        <w:adjustRightInd w:val="0"/>
        <w:spacing w:after="0" w:line="360" w:lineRule="auto"/>
        <w:ind w:right="49"/>
        <w:contextualSpacing/>
        <w:jc w:val="both"/>
        <w:rPr>
          <w:rFonts w:ascii="Palatino Linotype" w:hAnsi="Palatino Linotype"/>
          <w:color w:val="000000" w:themeColor="text1"/>
          <w:sz w:val="24"/>
          <w:szCs w:val="24"/>
        </w:rPr>
      </w:pPr>
      <w:r w:rsidRPr="002F61E5">
        <w:rPr>
          <w:rFonts w:ascii="Palatino Linotype" w:eastAsia="Times New Roman" w:hAnsi="Palatino Linotype" w:cs="Arial"/>
          <w:color w:val="000000" w:themeColor="text1"/>
          <w:sz w:val="24"/>
          <w:szCs w:val="24"/>
          <w:lang w:val="es-ES" w:eastAsia="es-MX"/>
        </w:rPr>
        <w:t xml:space="preserve">Del ordenamiento legal citado se desprende que las remuneraciones se encuentran contenidas tanto en el presupuesto de egresos como en el informe mensual que se envía al Órgano Superior de </w:t>
      </w:r>
      <w:r w:rsidRPr="00535F46">
        <w:rPr>
          <w:rFonts w:ascii="Palatino Linotype" w:eastAsia="Times New Roman" w:hAnsi="Palatino Linotype" w:cs="Arial"/>
          <w:color w:val="000000" w:themeColor="text1"/>
          <w:sz w:val="24"/>
          <w:szCs w:val="24"/>
          <w:lang w:val="es-ES" w:eastAsia="es-MX"/>
        </w:rPr>
        <w:t>Fiscalización, y que dichas facultades son conf</w:t>
      </w:r>
      <w:r>
        <w:rPr>
          <w:rFonts w:ascii="Palatino Linotype" w:eastAsia="Times New Roman" w:hAnsi="Palatino Linotype" w:cs="Arial"/>
          <w:color w:val="000000" w:themeColor="text1"/>
          <w:sz w:val="24"/>
          <w:szCs w:val="24"/>
          <w:lang w:val="es-ES" w:eastAsia="es-MX"/>
        </w:rPr>
        <w:t>eridas a la Tesorería Municipal</w:t>
      </w:r>
      <w:r w:rsidRPr="002F61E5">
        <w:rPr>
          <w:rFonts w:ascii="Palatino Linotype" w:hAnsi="Palatino Linotype"/>
          <w:color w:val="000000" w:themeColor="text1"/>
          <w:sz w:val="24"/>
          <w:szCs w:val="24"/>
        </w:rPr>
        <w:t>.</w:t>
      </w:r>
    </w:p>
    <w:p w:rsidR="004D5899" w:rsidRPr="00CB3522" w:rsidRDefault="004D5899" w:rsidP="00A30060">
      <w:pPr>
        <w:spacing w:after="0" w:line="360" w:lineRule="auto"/>
        <w:ind w:right="51"/>
        <w:jc w:val="both"/>
        <w:rPr>
          <w:rFonts w:ascii="Palatino Linotype" w:hAnsi="Palatino Linotype" w:cs="Arial"/>
          <w:sz w:val="24"/>
          <w:szCs w:val="24"/>
        </w:rPr>
      </w:pPr>
    </w:p>
    <w:p w:rsidR="00AE58A6" w:rsidRDefault="009377B3" w:rsidP="00A30060">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S</w:t>
      </w:r>
      <w:r w:rsidR="00AE58A6" w:rsidRPr="005D5E44">
        <w:rPr>
          <w:rFonts w:ascii="Palatino Linotype" w:hAnsi="Palatino Linotype" w:cs="Arial"/>
          <w:sz w:val="24"/>
          <w:szCs w:val="24"/>
        </w:rPr>
        <w:t>i bien es cierto</w:t>
      </w:r>
      <w:r w:rsidR="00270D1A">
        <w:rPr>
          <w:rFonts w:ascii="Palatino Linotype" w:hAnsi="Palatino Linotype" w:cs="Arial"/>
          <w:sz w:val="24"/>
          <w:szCs w:val="24"/>
        </w:rPr>
        <w:t>,</w:t>
      </w:r>
      <w:r w:rsidR="00AE58A6" w:rsidRPr="005D5E44">
        <w:rPr>
          <w:rFonts w:ascii="Palatino Linotype" w:hAnsi="Palatino Linotype" w:cs="Arial"/>
          <w:sz w:val="24"/>
          <w:szCs w:val="24"/>
        </w:rPr>
        <w:t xml:space="preserv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00DB4494" w:rsidRPr="00DB4494">
        <w:rPr>
          <w:rFonts w:ascii="Palatino Linotype" w:hAnsi="Palatino Linotype" w:cs="Arial"/>
          <w:b/>
          <w:sz w:val="24"/>
          <w:szCs w:val="24"/>
        </w:rPr>
        <w:t>sujeto obligado</w:t>
      </w:r>
      <w:r w:rsidR="00DB4494" w:rsidRPr="005D5E44">
        <w:rPr>
          <w:rFonts w:ascii="Palatino Linotype" w:hAnsi="Palatino Linotype" w:cs="Arial"/>
          <w:sz w:val="24"/>
          <w:szCs w:val="24"/>
        </w:rPr>
        <w:t xml:space="preserve"> </w:t>
      </w:r>
      <w:r w:rsidR="00AE58A6" w:rsidRPr="005D5E44">
        <w:rPr>
          <w:rFonts w:ascii="Palatino Linotype" w:hAnsi="Palatino Linotype" w:cs="Arial"/>
          <w:sz w:val="24"/>
          <w:szCs w:val="24"/>
        </w:rPr>
        <w:t>acredita las remuneraciones al personal y que de acuerdo al uso implantado en la colectividad se denominan “recibos de nómina”.</w:t>
      </w:r>
      <w:r w:rsidR="00AE58A6">
        <w:rPr>
          <w:rFonts w:ascii="Palatino Linotype" w:hAnsi="Palatino Linotype" w:cs="Arial"/>
          <w:sz w:val="24"/>
          <w:szCs w:val="24"/>
        </w:rPr>
        <w:t xml:space="preserve"> </w:t>
      </w:r>
      <w:r w:rsidR="00AE58A6" w:rsidRPr="005D5E44">
        <w:rPr>
          <w:rFonts w:ascii="Palatino Linotype" w:hAnsi="Palatino Linotype" w:cs="Arial"/>
          <w:sz w:val="24"/>
          <w:szCs w:val="24"/>
        </w:rPr>
        <w:t>Una vez puntualizado lo anterior, se colige que los recibos de nómina contienen la información relativa a las remuneraciones de los servidores públicos en este sentido.</w:t>
      </w:r>
      <w:r w:rsidR="00AE58A6">
        <w:rPr>
          <w:rFonts w:ascii="Palatino Linotype" w:hAnsi="Palatino Linotype" w:cs="Arial"/>
          <w:sz w:val="24"/>
          <w:szCs w:val="24"/>
        </w:rPr>
        <w:t xml:space="preserve"> </w:t>
      </w:r>
    </w:p>
    <w:p w:rsidR="00AE58A6" w:rsidRDefault="00AE58A6" w:rsidP="00A30060">
      <w:pPr>
        <w:autoSpaceDE w:val="0"/>
        <w:autoSpaceDN w:val="0"/>
        <w:adjustRightInd w:val="0"/>
        <w:spacing w:after="0" w:line="360" w:lineRule="auto"/>
        <w:jc w:val="both"/>
        <w:rPr>
          <w:rFonts w:ascii="Palatino Linotype" w:hAnsi="Palatino Linotype" w:cs="Arial"/>
          <w:sz w:val="24"/>
          <w:szCs w:val="24"/>
        </w:rPr>
      </w:pPr>
    </w:p>
    <w:p w:rsidR="00AE58A6" w:rsidRDefault="00AE58A6" w:rsidP="00A3006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Además de lo anterior, conviene mencionar que </w:t>
      </w:r>
      <w:r w:rsidRPr="00533746">
        <w:rPr>
          <w:rFonts w:ascii="Palatino Linotype" w:hAnsi="Palatino Linotype" w:cs="Arial"/>
          <w:sz w:val="24"/>
          <w:szCs w:val="24"/>
        </w:rPr>
        <w:t xml:space="preserve">de acuerdo a los </w:t>
      </w:r>
      <w:r w:rsidRPr="004D5899">
        <w:rPr>
          <w:rFonts w:ascii="Palatino Linotype" w:hAnsi="Palatino Linotype" w:cs="Arial"/>
          <w:b/>
          <w:sz w:val="24"/>
          <w:szCs w:val="24"/>
        </w:rPr>
        <w:t>Lineamientos para la elaboración y Presentación del Informe Mensual 2018</w:t>
      </w:r>
      <w:r w:rsidRPr="00270D1A">
        <w:rPr>
          <w:rFonts w:ascii="Palatino Linotype" w:hAnsi="Palatino Linotype" w:cs="Arial"/>
          <w:sz w:val="24"/>
          <w:szCs w:val="24"/>
        </w:rPr>
        <w:t>, emitidos por el</w:t>
      </w:r>
      <w:r w:rsidRPr="00FB4AF9">
        <w:rPr>
          <w:rFonts w:ascii="Palatino Linotype" w:hAnsi="Palatino Linotype" w:cs="Arial"/>
          <w:sz w:val="24"/>
          <w:szCs w:val="24"/>
        </w:rPr>
        <w:t xml:space="preserve"> </w:t>
      </w:r>
      <w:r>
        <w:rPr>
          <w:rFonts w:ascii="Palatino Linotype" w:hAnsi="Palatino Linotype" w:cs="Arial"/>
          <w:sz w:val="24"/>
          <w:szCs w:val="24"/>
        </w:rPr>
        <w:t xml:space="preserve">Órgano </w:t>
      </w:r>
      <w:r w:rsidRPr="00FB4AF9">
        <w:rPr>
          <w:rFonts w:ascii="Palatino Linotype" w:hAnsi="Palatino Linotype" w:cs="Arial"/>
          <w:sz w:val="24"/>
          <w:szCs w:val="24"/>
        </w:rPr>
        <w:t xml:space="preserve">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w:t>
      </w:r>
      <w:r w:rsidRPr="00E27A17">
        <w:rPr>
          <w:rFonts w:ascii="Palatino Linotype" w:hAnsi="Palatino Linotype" w:cs="Arial"/>
          <w:sz w:val="24"/>
          <w:szCs w:val="24"/>
        </w:rPr>
        <w:t>fiscalizable de que se trate, correspondiente a un periodo determinado; de tal manera, dichos formatos constituyen un soporte documental de que</w:t>
      </w:r>
      <w:r>
        <w:rPr>
          <w:rFonts w:ascii="Palatino Linotype" w:hAnsi="Palatino Linotype" w:cs="Arial"/>
          <w:sz w:val="24"/>
          <w:szCs w:val="24"/>
        </w:rPr>
        <w:t xml:space="preserve"> la información solicitada por e</w:t>
      </w:r>
      <w:r w:rsidRPr="00E27A17">
        <w:rPr>
          <w:rFonts w:ascii="Palatino Linotype" w:hAnsi="Palatino Linotype" w:cs="Arial"/>
          <w:sz w:val="24"/>
          <w:szCs w:val="24"/>
        </w:rPr>
        <w:t>l recurrente obra en los archivos del Sujeto Obligado, como se advierte a continuación:</w:t>
      </w:r>
    </w:p>
    <w:p w:rsidR="00AE58A6" w:rsidRDefault="00AE58A6" w:rsidP="00A30060">
      <w:pPr>
        <w:autoSpaceDE w:val="0"/>
        <w:autoSpaceDN w:val="0"/>
        <w:adjustRightInd w:val="0"/>
        <w:spacing w:after="0" w:line="360" w:lineRule="auto"/>
        <w:jc w:val="both"/>
        <w:rPr>
          <w:rFonts w:ascii="Palatino Linotype" w:hAnsi="Palatino Linotype" w:cs="Arial"/>
          <w:sz w:val="24"/>
          <w:szCs w:val="24"/>
        </w:rPr>
      </w:pPr>
    </w:p>
    <w:p w:rsidR="00AE58A6" w:rsidRDefault="00AE58A6" w:rsidP="00A3006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C6780F8" wp14:editId="19CB660A">
            <wp:extent cx="5760720" cy="31419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141980"/>
                    </a:xfrm>
                    <a:prstGeom prst="rect">
                      <a:avLst/>
                    </a:prstGeom>
                  </pic:spPr>
                </pic:pic>
              </a:graphicData>
            </a:graphic>
          </wp:inline>
        </w:drawing>
      </w:r>
    </w:p>
    <w:p w:rsidR="004D5899" w:rsidRPr="009235AB" w:rsidRDefault="004D5899" w:rsidP="00A3006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De </w:t>
      </w:r>
      <w:r w:rsidRPr="007E16D2">
        <w:rPr>
          <w:rFonts w:ascii="Palatino Linotype" w:hAnsi="Palatino Linotype" w:cs="Arial"/>
        </w:rPr>
        <w:t xml:space="preserve">lo anteriormente expuesto, este Instituto advierte que en </w:t>
      </w:r>
      <w:r>
        <w:rPr>
          <w:rFonts w:ascii="Palatino Linotype" w:hAnsi="Palatino Linotype" w:cs="Arial"/>
        </w:rPr>
        <w:t>los</w:t>
      </w:r>
      <w:r w:rsidRPr="007E16D2">
        <w:rPr>
          <w:rFonts w:ascii="Palatino Linotype" w:hAnsi="Palatino Linotype" w:cs="Arial"/>
        </w:rPr>
        <w:t xml:space="preserve"> </w:t>
      </w:r>
      <w:r>
        <w:rPr>
          <w:rFonts w:ascii="Palatino Linotype" w:hAnsi="Palatino Linotype" w:cs="Arial"/>
        </w:rPr>
        <w:t xml:space="preserve">recibos de </w:t>
      </w:r>
      <w:r w:rsidRPr="007E16D2">
        <w:rPr>
          <w:rFonts w:ascii="Palatino Linotype" w:hAnsi="Palatino Linotype" w:cs="Arial"/>
        </w:rPr>
        <w:t xml:space="preserve">nómina </w:t>
      </w:r>
      <w:r>
        <w:rPr>
          <w:rFonts w:ascii="Palatino Linotype" w:hAnsi="Palatino Linotype" w:cs="Arial"/>
        </w:rPr>
        <w:t>o</w:t>
      </w:r>
      <w:r w:rsidRPr="007E16D2">
        <w:rPr>
          <w:rFonts w:ascii="Palatino Linotype" w:hAnsi="Palatino Linotype" w:cs="Arial"/>
        </w:rPr>
        <w:t xml:space="preserve"> recibos de pagos de salarios</w:t>
      </w:r>
      <w:r>
        <w:rPr>
          <w:rFonts w:ascii="Palatino Linotype" w:hAnsi="Palatino Linotype" w:cs="Arial"/>
        </w:rPr>
        <w:t xml:space="preserve">, así como los emitidos </w:t>
      </w:r>
      <w:r w:rsidRPr="004C038C">
        <w:rPr>
          <w:rFonts w:ascii="Palatino Linotype" w:hAnsi="Palatino Linotype"/>
          <w:lang w:val="es-ES_tradnl"/>
        </w:rPr>
        <w:t>por motivo de gratificaciones o bonos</w:t>
      </w:r>
      <w:r w:rsidRPr="007E16D2">
        <w:rPr>
          <w:rFonts w:ascii="Palatino Linotype" w:hAnsi="Palatino Linotype" w:cs="Arial"/>
        </w:rPr>
        <w:t xml:space="preserve"> es donde se registran las remuneraciones otorgadas a los servidores públicos, las cuales de acuerdo con</w:t>
      </w:r>
      <w:r w:rsidRPr="009235AB">
        <w:rPr>
          <w:rFonts w:ascii="Palatino Linotype" w:hAnsi="Palatino Linotype" w:cs="Arial"/>
        </w:rPr>
        <w:t xml:space="preserve"> los artículos 127 de la </w:t>
      </w:r>
      <w:r w:rsidRPr="009235AB">
        <w:rPr>
          <w:rFonts w:ascii="Palatino Linotype" w:hAnsi="Palatino Linotype" w:cs="Arial"/>
          <w:b/>
        </w:rPr>
        <w:t>Constitución Política de los Estados Unidos Mexicanos</w:t>
      </w:r>
      <w:r w:rsidRPr="009235AB">
        <w:rPr>
          <w:rFonts w:ascii="Palatino Linotype" w:hAnsi="Palatino Linotype" w:cs="Arial"/>
        </w:rPr>
        <w:t xml:space="preserve"> y 3, fracción XXXII del </w:t>
      </w:r>
      <w:r w:rsidRPr="009235AB">
        <w:rPr>
          <w:rFonts w:ascii="Palatino Linotype" w:hAnsi="Palatino Linotype" w:cs="Arial"/>
          <w:b/>
        </w:rPr>
        <w:t>Código Financiero del Estado de México y Municipios</w:t>
      </w:r>
      <w:r w:rsidRPr="009235AB">
        <w:rPr>
          <w:rFonts w:ascii="Palatino Linotype" w:hAnsi="Palatino Linotype" w:cs="Arial"/>
        </w:rPr>
        <w:t>, constituyen toda percepción o pagos por concepto de sueldo, co</w:t>
      </w:r>
      <w:r>
        <w:rPr>
          <w:rFonts w:ascii="Palatino Linotype" w:hAnsi="Palatino Linotype" w:cs="Arial"/>
        </w:rPr>
        <w:t>mpensaciones, gratificaciones, bonos,</w:t>
      </w:r>
      <w:r w:rsidRPr="009235AB">
        <w:rPr>
          <w:rFonts w:ascii="Palatino Linotype" w:hAnsi="Palatino Linotype" w:cs="Arial"/>
        </w:rPr>
        <w:t>y cualquier otra prestación que se entregue a los servidores públicos por su trabajo.</w:t>
      </w:r>
    </w:p>
    <w:p w:rsidR="004D5899" w:rsidRPr="009235AB" w:rsidRDefault="004D5899" w:rsidP="00A30060">
      <w:pPr>
        <w:pStyle w:val="Prrafodelista"/>
        <w:spacing w:line="360" w:lineRule="auto"/>
        <w:ind w:left="851"/>
        <w:jc w:val="both"/>
        <w:rPr>
          <w:rFonts w:ascii="Palatino Linotype" w:hAnsi="Palatino Linotype" w:cs="Arial"/>
        </w:rPr>
      </w:pPr>
    </w:p>
    <w:p w:rsidR="004D5899" w:rsidRDefault="004D5899" w:rsidP="00A30060">
      <w:pPr>
        <w:pStyle w:val="Prrafodelista"/>
        <w:spacing w:line="360" w:lineRule="auto"/>
        <w:ind w:left="0"/>
        <w:jc w:val="both"/>
        <w:rPr>
          <w:rFonts w:ascii="Palatino Linotype" w:hAnsi="Palatino Linotype" w:cs="Arial"/>
        </w:rPr>
      </w:pPr>
      <w:r w:rsidRPr="009235AB">
        <w:rPr>
          <w:rFonts w:ascii="Palatino Linotype" w:hAnsi="Palatino Linotype" w:cs="Arial"/>
        </w:rPr>
        <w:t>Bajo dichas consideraciones, se reitera que l</w:t>
      </w:r>
      <w:r>
        <w:rPr>
          <w:rFonts w:ascii="Palatino Linotype" w:hAnsi="Palatino Linotype" w:cs="Arial"/>
        </w:rPr>
        <w:t>os</w:t>
      </w:r>
      <w:r w:rsidRPr="009235AB">
        <w:rPr>
          <w:rFonts w:ascii="Palatino Linotype" w:hAnsi="Palatino Linotype" w:cs="Arial"/>
        </w:rPr>
        <w:t xml:space="preserve"> </w:t>
      </w:r>
      <w:r>
        <w:rPr>
          <w:rFonts w:ascii="Palatino Linotype" w:hAnsi="Palatino Linotype" w:cs="Arial"/>
        </w:rPr>
        <w:t xml:space="preserve">recibos de </w:t>
      </w:r>
      <w:r w:rsidRPr="009235AB">
        <w:rPr>
          <w:rFonts w:ascii="Palatino Linotype" w:hAnsi="Palatino Linotype" w:cs="Arial"/>
        </w:rPr>
        <w:t>nómina correspondiente</w:t>
      </w:r>
      <w:r>
        <w:rPr>
          <w:rFonts w:ascii="Palatino Linotype" w:hAnsi="Palatino Linotype" w:cs="Arial"/>
        </w:rPr>
        <w:t>s</w:t>
      </w:r>
      <w:r w:rsidRPr="009235AB">
        <w:rPr>
          <w:rFonts w:ascii="Palatino Linotype" w:hAnsi="Palatino Linotype" w:cs="Arial"/>
        </w:rPr>
        <w:t xml:space="preserve"> deberá</w:t>
      </w:r>
      <w:r>
        <w:rPr>
          <w:rFonts w:ascii="Palatino Linotype" w:hAnsi="Palatino Linotype" w:cs="Arial"/>
        </w:rPr>
        <w:t>n</w:t>
      </w:r>
      <w:r w:rsidRPr="009235AB">
        <w:rPr>
          <w:rFonts w:ascii="Palatino Linotype" w:hAnsi="Palatino Linotype" w:cs="Arial"/>
        </w:rPr>
        <w:t xml:space="preserve">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4D5899" w:rsidRPr="009235AB" w:rsidRDefault="004D5899" w:rsidP="00A30060">
      <w:pPr>
        <w:pStyle w:val="Prrafodelista"/>
        <w:spacing w:line="360" w:lineRule="auto"/>
        <w:ind w:left="0"/>
        <w:jc w:val="both"/>
        <w:rPr>
          <w:rFonts w:ascii="Palatino Linotype" w:hAnsi="Palatino Linotype" w:cs="Arial"/>
        </w:rPr>
      </w:pPr>
    </w:p>
    <w:p w:rsidR="004D5899" w:rsidRPr="009235AB" w:rsidRDefault="004D5899" w:rsidP="008B7CAC">
      <w:pPr>
        <w:spacing w:after="0" w:line="240" w:lineRule="auto"/>
        <w:ind w:left="567" w:right="567"/>
        <w:jc w:val="both"/>
        <w:rPr>
          <w:rFonts w:ascii="Palatino Linotype" w:hAnsi="Palatino Linotype"/>
          <w:i/>
          <w:sz w:val="24"/>
          <w:szCs w:val="24"/>
        </w:rPr>
      </w:pPr>
      <w:r w:rsidRPr="009235AB">
        <w:rPr>
          <w:rFonts w:ascii="Palatino Linotype" w:hAnsi="Palatino Linotype"/>
          <w:i/>
          <w:sz w:val="24"/>
          <w:szCs w:val="24"/>
        </w:rPr>
        <w:t xml:space="preserve">19. Percepciones: Se anotarán las percepciones que se le hacen llegar al empleado solamente. </w:t>
      </w:r>
    </w:p>
    <w:p w:rsidR="004D5899" w:rsidRPr="009235AB" w:rsidRDefault="004D5899" w:rsidP="008B7CAC">
      <w:pPr>
        <w:spacing w:after="0" w:line="240" w:lineRule="auto"/>
        <w:ind w:left="567" w:right="567"/>
        <w:jc w:val="both"/>
        <w:rPr>
          <w:rFonts w:ascii="Palatino Linotype" w:hAnsi="Palatino Linotype" w:cs="Arial"/>
          <w:i/>
          <w:sz w:val="24"/>
          <w:szCs w:val="24"/>
        </w:rPr>
      </w:pPr>
      <w:r w:rsidRPr="009235AB">
        <w:rPr>
          <w:rFonts w:ascii="Palatino Linotype" w:hAnsi="Palatino Linotype"/>
          <w:i/>
          <w:sz w:val="24"/>
          <w:szCs w:val="24"/>
        </w:rPr>
        <w:t>20. Deducciones: Se anotarán las deducciones correspondientes al empleado solamente.</w:t>
      </w:r>
    </w:p>
    <w:p w:rsidR="004D5899" w:rsidRDefault="004D5899" w:rsidP="00A30060">
      <w:pPr>
        <w:pStyle w:val="Prrafodelista"/>
        <w:spacing w:line="360" w:lineRule="auto"/>
        <w:ind w:left="0"/>
        <w:jc w:val="both"/>
        <w:rPr>
          <w:rFonts w:ascii="Palatino Linotype" w:hAnsi="Palatino Linotype" w:cs="Arial"/>
        </w:rPr>
      </w:pPr>
    </w:p>
    <w:p w:rsidR="004D5899" w:rsidRPr="009235AB" w:rsidRDefault="004D5899" w:rsidP="00A3006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9235AB">
        <w:rPr>
          <w:rFonts w:ascii="Palatino Linotype" w:hAnsi="Palatino Linotype" w:cs="Arial"/>
          <w:b/>
        </w:rPr>
        <w:t>SUJETO OBLIGADO</w:t>
      </w:r>
      <w:r w:rsidRPr="009235AB">
        <w:rPr>
          <w:rFonts w:ascii="Palatino Linotype" w:hAnsi="Palatino Linotype" w:cs="Arial"/>
        </w:rPr>
        <w:t xml:space="preserve"> de generar y entregar los formatos contenidos en los diferentes discos que integran los informes mensuales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rsidR="004D5899" w:rsidRPr="009235AB" w:rsidRDefault="004D5899" w:rsidP="00A30060">
      <w:pPr>
        <w:pStyle w:val="Prrafodelista"/>
        <w:spacing w:line="360" w:lineRule="auto"/>
        <w:ind w:left="851"/>
        <w:jc w:val="both"/>
        <w:rPr>
          <w:rFonts w:ascii="Palatino Linotype" w:hAnsi="Palatino Linotype" w:cs="Arial"/>
        </w:rPr>
      </w:pPr>
    </w:p>
    <w:p w:rsidR="004D5899" w:rsidRPr="009235AB" w:rsidRDefault="004D5899" w:rsidP="00A3006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rsidR="004D5899" w:rsidRPr="009235AB" w:rsidRDefault="004D5899" w:rsidP="00A30060">
      <w:pPr>
        <w:pStyle w:val="Prrafodelista"/>
        <w:spacing w:line="360" w:lineRule="auto"/>
        <w:ind w:left="851"/>
        <w:jc w:val="both"/>
        <w:rPr>
          <w:rFonts w:ascii="Palatino Linotype" w:hAnsi="Palatino Linotype" w:cs="Arial"/>
        </w:rPr>
      </w:pPr>
    </w:p>
    <w:p w:rsidR="004D5899" w:rsidRPr="009235AB" w:rsidRDefault="004D5899" w:rsidP="008B7CAC">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4D5899" w:rsidRPr="009235AB" w:rsidRDefault="004D5899" w:rsidP="008B7CAC">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rsidR="004D5899" w:rsidRPr="009235AB" w:rsidRDefault="004D5899" w:rsidP="008B7CAC">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4D5899" w:rsidRDefault="004D5899" w:rsidP="00A30060">
      <w:pPr>
        <w:pStyle w:val="Prrafodelista"/>
        <w:spacing w:line="360" w:lineRule="auto"/>
        <w:ind w:left="0"/>
        <w:jc w:val="both"/>
        <w:rPr>
          <w:rFonts w:ascii="Palatino Linotype" w:hAnsi="Palatino Linotype" w:cs="Arial"/>
        </w:rPr>
      </w:pPr>
    </w:p>
    <w:p w:rsidR="004D5899" w:rsidRDefault="004D5899" w:rsidP="00A3006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rsidR="004D5899" w:rsidRPr="009235AB" w:rsidRDefault="004D5899" w:rsidP="00A30060">
      <w:pPr>
        <w:pStyle w:val="Prrafodelista"/>
        <w:spacing w:line="360" w:lineRule="auto"/>
        <w:ind w:left="0"/>
        <w:jc w:val="both"/>
        <w:rPr>
          <w:rFonts w:ascii="Palatino Linotype" w:hAnsi="Palatino Linotype" w:cs="Arial"/>
        </w:rPr>
      </w:pPr>
    </w:p>
    <w:p w:rsidR="004D5899" w:rsidRDefault="004D5899" w:rsidP="008B7CAC">
      <w:pPr>
        <w:spacing w:after="0" w:line="240" w:lineRule="auto"/>
        <w:ind w:left="567" w:right="567"/>
        <w:jc w:val="both"/>
        <w:rPr>
          <w:rFonts w:ascii="Palatino Linotype" w:hAnsi="Palatino Linotype"/>
          <w:i/>
          <w:sz w:val="24"/>
          <w:szCs w:val="24"/>
        </w:rPr>
      </w:pPr>
      <w:r>
        <w:rPr>
          <w:rFonts w:ascii="Palatino Linotype" w:hAnsi="Palatino Linotype"/>
          <w:i/>
          <w:sz w:val="24"/>
          <w:szCs w:val="24"/>
        </w:rPr>
        <w:t>“</w:t>
      </w:r>
      <w:r w:rsidRPr="00CE3289">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D5899" w:rsidRPr="009235AB" w:rsidRDefault="004D5899" w:rsidP="008B7CAC">
      <w:pPr>
        <w:spacing w:after="0" w:line="240" w:lineRule="auto"/>
        <w:ind w:left="567" w:right="567"/>
        <w:jc w:val="both"/>
        <w:rPr>
          <w:rFonts w:ascii="Palatino Linotype" w:hAnsi="Palatino Linotype"/>
          <w:i/>
          <w:sz w:val="24"/>
          <w:szCs w:val="24"/>
        </w:rPr>
      </w:pPr>
      <w:r w:rsidRPr="009235AB">
        <w:rPr>
          <w:rFonts w:ascii="Palatino Linotype" w:hAnsi="Palatino Linotype"/>
          <w:i/>
          <w:sz w:val="24"/>
          <w:szCs w:val="24"/>
        </w:rPr>
        <w:t>(…)</w:t>
      </w:r>
    </w:p>
    <w:p w:rsidR="004D5899" w:rsidRPr="00CE3289" w:rsidRDefault="004D5899" w:rsidP="008B7CAC">
      <w:pPr>
        <w:spacing w:after="0" w:line="240" w:lineRule="auto"/>
        <w:ind w:left="567" w:right="567"/>
        <w:jc w:val="both"/>
        <w:rPr>
          <w:rFonts w:ascii="Palatino Linotype" w:hAnsi="Palatino Linotype"/>
          <w:i/>
          <w:sz w:val="24"/>
          <w:szCs w:val="24"/>
        </w:rPr>
      </w:pPr>
      <w:r w:rsidRPr="00CE3289">
        <w:rPr>
          <w:rFonts w:ascii="Palatino Linotype" w:hAnsi="Palatino Linotype"/>
          <w:i/>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sz w:val="24"/>
          <w:szCs w:val="24"/>
        </w:rPr>
        <w:t>”</w:t>
      </w:r>
    </w:p>
    <w:p w:rsidR="004D5899" w:rsidRDefault="004D5899" w:rsidP="00A30060">
      <w:pPr>
        <w:spacing w:after="0" w:line="360" w:lineRule="auto"/>
        <w:jc w:val="both"/>
        <w:rPr>
          <w:rFonts w:ascii="Palatino Linotype" w:hAnsi="Palatino Linotype" w:cs="Arial"/>
          <w:sz w:val="24"/>
          <w:szCs w:val="24"/>
        </w:rPr>
      </w:pPr>
    </w:p>
    <w:p w:rsidR="004D5899" w:rsidRDefault="004D5899" w:rsidP="00A30060">
      <w:pPr>
        <w:spacing w:after="0" w:line="360" w:lineRule="auto"/>
        <w:jc w:val="both"/>
        <w:rPr>
          <w:rFonts w:ascii="Palatino Linotype" w:hAnsi="Palatino Linotype" w:cs="Arial"/>
          <w:sz w:val="24"/>
          <w:szCs w:val="24"/>
        </w:rPr>
      </w:pPr>
      <w:r w:rsidRPr="009235AB">
        <w:rPr>
          <w:rFonts w:ascii="Palatino Linotype" w:hAnsi="Palatino Linotype" w:cs="Arial"/>
          <w:sz w:val="24"/>
          <w:szCs w:val="24"/>
        </w:rPr>
        <w:t xml:space="preserve">En este sentido, la Ley de Transparencia y Acceso a la Información Pública del Estado de México y Municipios refiere que los </w:t>
      </w:r>
      <w:r w:rsidRPr="009235AB">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9235AB">
        <w:rPr>
          <w:rFonts w:ascii="Palatino Linotype" w:hAnsi="Palatino Linotype" w:cs="Arial"/>
          <w:b/>
          <w:sz w:val="24"/>
          <w:szCs w:val="24"/>
          <w:u w:val="single"/>
        </w:rPr>
        <w:t>las remuneraciones</w:t>
      </w:r>
      <w:r w:rsidRPr="009235AB">
        <w:rPr>
          <w:rFonts w:ascii="Palatino Linotype" w:hAnsi="Palatino Linotype" w:cs="Arial"/>
          <w:sz w:val="24"/>
          <w:szCs w:val="24"/>
        </w:rPr>
        <w:t xml:space="preserve"> que perciban los servidores públicos de acuerdo con lo establecido en el </w:t>
      </w:r>
      <w:r w:rsidRPr="009235AB">
        <w:rPr>
          <w:rFonts w:ascii="Palatino Linotype" w:hAnsi="Palatino Linotype" w:cs="Arial"/>
          <w:b/>
          <w:sz w:val="24"/>
          <w:szCs w:val="24"/>
        </w:rPr>
        <w:t>Código Financiero del Estado de México y Municipios</w:t>
      </w:r>
      <w:r w:rsidRPr="009235AB">
        <w:rPr>
          <w:rFonts w:ascii="Palatino Linotype" w:hAnsi="Palatino Linotype" w:cs="Arial"/>
          <w:sz w:val="24"/>
          <w:szCs w:val="24"/>
        </w:rPr>
        <w:t xml:space="preserve">. </w:t>
      </w:r>
    </w:p>
    <w:p w:rsidR="004D5899" w:rsidRPr="009235AB" w:rsidRDefault="004D5899" w:rsidP="00A30060">
      <w:pPr>
        <w:spacing w:after="0" w:line="360" w:lineRule="auto"/>
        <w:jc w:val="both"/>
        <w:rPr>
          <w:rFonts w:ascii="Palatino Linotype" w:hAnsi="Palatino Linotype" w:cs="Arial"/>
          <w:sz w:val="24"/>
          <w:szCs w:val="24"/>
        </w:rPr>
      </w:pPr>
    </w:p>
    <w:p w:rsidR="004D5899" w:rsidRDefault="004D5899" w:rsidP="00A30060">
      <w:pPr>
        <w:pStyle w:val="Prrafodelista"/>
        <w:spacing w:line="360" w:lineRule="auto"/>
        <w:ind w:left="0"/>
        <w:jc w:val="both"/>
        <w:rPr>
          <w:rFonts w:ascii="Palatino Linotype" w:eastAsia="Arial Unicode MS" w:hAnsi="Palatino Linotype" w:cs="Arial"/>
        </w:rPr>
      </w:pPr>
      <w:r w:rsidRPr="007C38D9">
        <w:rPr>
          <w:rFonts w:ascii="Palatino Linotype" w:hAnsi="Palatino Linotype" w:cs="Arial"/>
        </w:rPr>
        <w:t xml:space="preserve">De lo anterior expuesto se deduce que dicha información </w:t>
      </w:r>
      <w:r w:rsidRPr="007C38D9">
        <w:rPr>
          <w:rFonts w:ascii="Palatino Linotype" w:hAnsi="Palatino Linotype" w:cs="Arial"/>
          <w:b/>
          <w:u w:val="single"/>
        </w:rPr>
        <w:t>ya se encuentra digitalizada</w:t>
      </w:r>
      <w:r w:rsidRPr="007C38D9">
        <w:rPr>
          <w:rFonts w:ascii="Palatino Linotype" w:hAnsi="Palatino Linotype" w:cs="Arial"/>
        </w:rPr>
        <w:t xml:space="preserve">, por el </w:t>
      </w:r>
      <w:r w:rsidRPr="007C38D9">
        <w:rPr>
          <w:rFonts w:ascii="Palatino Linotype" w:hAnsi="Palatino Linotype" w:cs="Arial"/>
          <w:b/>
        </w:rPr>
        <w:t xml:space="preserve">SUJETO OBLIGADO, </w:t>
      </w:r>
      <w:r w:rsidRPr="007C38D9">
        <w:rPr>
          <w:rFonts w:ascii="Palatino Linotype" w:hAnsi="Palatino Linotype" w:cs="Arial"/>
        </w:rPr>
        <w:t xml:space="preserve">por lo que es dable ordenar </w:t>
      </w:r>
      <w:r>
        <w:rPr>
          <w:rFonts w:ascii="Palatino Linotype" w:hAnsi="Palatino Linotype" w:cs="Arial"/>
        </w:rPr>
        <w:t>m</w:t>
      </w:r>
      <w:r w:rsidRPr="007C38D9">
        <w:rPr>
          <w:rFonts w:ascii="Palatino Linotype" w:hAnsi="Palatino Linotype" w:cs="Arial"/>
        </w:rPr>
        <w:t>ediante la modalidad solicitada, es decir, vía SAIMEX, conforme a las razones antes expuestas en la presente resolución</w:t>
      </w:r>
      <w:r>
        <w:rPr>
          <w:rFonts w:ascii="Palatino Linotype" w:hAnsi="Palatino Linotype" w:cs="Arial"/>
        </w:rPr>
        <w:t>, la nómina de los servidores públicos del municipio por la temporalidad expuesta en líneas anteriores, por ende</w:t>
      </w:r>
      <w:r w:rsidRPr="003E3F84">
        <w:rPr>
          <w:rFonts w:ascii="Palatino Linotype" w:hAnsi="Palatino Linotype" w:cs="Arial"/>
        </w:rPr>
        <w:t xml:space="preserve">, se ordena al Sujeto Obligado la entrega en </w:t>
      </w:r>
      <w:r w:rsidRPr="00E3665F">
        <w:rPr>
          <w:rFonts w:ascii="Palatino Linotype" w:hAnsi="Palatino Linotype" w:cs="Arial"/>
          <w:b/>
        </w:rPr>
        <w:t>versión pública</w:t>
      </w:r>
      <w:r w:rsidRPr="003E3F84">
        <w:rPr>
          <w:rFonts w:ascii="Palatino Linotype" w:hAnsi="Palatino Linotype" w:cs="Arial"/>
        </w:rPr>
        <w:t xml:space="preserve"> </w:t>
      </w:r>
      <w:r>
        <w:rPr>
          <w:rFonts w:ascii="Palatino Linotype" w:hAnsi="Palatino Linotype" w:cs="Arial"/>
        </w:rPr>
        <w:t xml:space="preserve">(de la cual se hará el estudio más adelante), </w:t>
      </w:r>
      <w:r w:rsidRPr="003E3F84">
        <w:rPr>
          <w:rFonts w:ascii="Palatino Linotype" w:hAnsi="Palatino Linotype" w:cs="Arial"/>
        </w:rPr>
        <w:t>de la</w:t>
      </w:r>
      <w:r>
        <w:rPr>
          <w:rFonts w:ascii="Palatino Linotype" w:hAnsi="Palatino Linotype" w:cs="Arial"/>
        </w:rPr>
        <w:t>s</w:t>
      </w:r>
      <w:r w:rsidRPr="003E3F84">
        <w:rPr>
          <w:rFonts w:ascii="Palatino Linotype" w:hAnsi="Palatino Linotype" w:cs="Arial"/>
        </w:rPr>
        <w:t xml:space="preserve"> nómina</w:t>
      </w:r>
      <w:r>
        <w:rPr>
          <w:rFonts w:ascii="Palatino Linotype" w:hAnsi="Palatino Linotype" w:cs="Arial"/>
        </w:rPr>
        <w:t>s</w:t>
      </w:r>
      <w:r w:rsidRPr="003E3F84">
        <w:rPr>
          <w:rFonts w:ascii="Palatino Linotype" w:hAnsi="Palatino Linotype" w:cs="Arial"/>
        </w:rPr>
        <w:t xml:space="preserve"> </w:t>
      </w:r>
      <w:r>
        <w:rPr>
          <w:rFonts w:ascii="Palatino Linotype" w:hAnsi="Palatino Linotype" w:cs="Arial"/>
        </w:rPr>
        <w:t>antes referidas.</w:t>
      </w:r>
    </w:p>
    <w:p w:rsidR="00C908F3" w:rsidRDefault="00C908F3" w:rsidP="00A30060">
      <w:pPr>
        <w:autoSpaceDE w:val="0"/>
        <w:autoSpaceDN w:val="0"/>
        <w:adjustRightInd w:val="0"/>
        <w:spacing w:after="0" w:line="360" w:lineRule="auto"/>
        <w:jc w:val="both"/>
        <w:rPr>
          <w:rFonts w:ascii="Palatino Linotype" w:hAnsi="Palatino Linotype" w:cs="Arial"/>
          <w:sz w:val="24"/>
          <w:szCs w:val="24"/>
        </w:rPr>
      </w:pPr>
    </w:p>
    <w:p w:rsidR="00AE58A6" w:rsidRDefault="00AE58A6" w:rsidP="00A30060">
      <w:pPr>
        <w:autoSpaceDE w:val="0"/>
        <w:autoSpaceDN w:val="0"/>
        <w:adjustRightInd w:val="0"/>
        <w:spacing w:after="0" w:line="360" w:lineRule="auto"/>
        <w:jc w:val="both"/>
        <w:rPr>
          <w:rFonts w:ascii="Palatino Linotype" w:hAnsi="Palatino Linotype" w:cs="Arial"/>
          <w:sz w:val="24"/>
          <w:szCs w:val="24"/>
        </w:rPr>
      </w:pPr>
      <w:r w:rsidRPr="005023B0">
        <w:rPr>
          <w:rFonts w:ascii="Palatino Linotype" w:hAnsi="Palatino Linotype" w:cs="Arial"/>
          <w:sz w:val="24"/>
          <w:szCs w:val="24"/>
        </w:rPr>
        <w:t xml:space="preserve">Ante lo expuesto, este Instituto advierte que respecto a la </w:t>
      </w:r>
      <w:r>
        <w:rPr>
          <w:rFonts w:ascii="Palatino Linotype" w:hAnsi="Palatino Linotype" w:cs="Arial"/>
          <w:sz w:val="24"/>
          <w:szCs w:val="24"/>
        </w:rPr>
        <w:t xml:space="preserve">información peticionada al </w:t>
      </w:r>
      <w:r>
        <w:rPr>
          <w:rFonts w:ascii="Palatino Linotype" w:hAnsi="Palatino Linotype" w:cs="Arial"/>
          <w:b/>
          <w:sz w:val="24"/>
          <w:szCs w:val="24"/>
        </w:rPr>
        <w:t>sujeto obligado,</w:t>
      </w:r>
      <w:r>
        <w:rPr>
          <w:rFonts w:ascii="Palatino Linotype" w:hAnsi="Palatino Linotype" w:cs="Arial"/>
          <w:sz w:val="24"/>
          <w:szCs w:val="24"/>
        </w:rPr>
        <w:t xml:space="preserve"> </w:t>
      </w:r>
      <w:r w:rsidRPr="005023B0">
        <w:rPr>
          <w:rFonts w:ascii="Palatino Linotype" w:hAnsi="Palatino Linotype" w:cs="Arial"/>
          <w:sz w:val="24"/>
          <w:szCs w:val="24"/>
        </w:rPr>
        <w:t>debe contar con los recibos por los pagos de nómina o pagos en los cuales se registran las remuneraciones otorgadas a</w:t>
      </w:r>
      <w:r>
        <w:rPr>
          <w:rFonts w:ascii="Palatino Linotype" w:hAnsi="Palatino Linotype" w:cs="Arial"/>
          <w:sz w:val="24"/>
          <w:szCs w:val="24"/>
        </w:rPr>
        <w:t xml:space="preserve">l </w:t>
      </w:r>
      <w:r w:rsidR="00C908F3">
        <w:rPr>
          <w:rFonts w:ascii="Palatino Linotype" w:hAnsi="Palatino Linotype" w:cs="Arial"/>
          <w:sz w:val="24"/>
          <w:szCs w:val="24"/>
        </w:rPr>
        <w:t xml:space="preserve">Presidente Municipal, Síndico y Regidores </w:t>
      </w:r>
      <w:r>
        <w:rPr>
          <w:rFonts w:ascii="Palatino Linotype" w:hAnsi="Palatino Linotype" w:cs="Arial"/>
          <w:sz w:val="24"/>
          <w:szCs w:val="24"/>
        </w:rPr>
        <w:t xml:space="preserve">del H. Ayuntamiento de </w:t>
      </w:r>
      <w:r w:rsidR="00C908F3">
        <w:rPr>
          <w:rFonts w:ascii="Palatino Linotype" w:hAnsi="Palatino Linotype" w:cs="Arial"/>
          <w:sz w:val="24"/>
          <w:szCs w:val="24"/>
        </w:rPr>
        <w:t>Sultepec, de los meses de agosto y septiembre de dos mil dieciocho.</w:t>
      </w:r>
    </w:p>
    <w:p w:rsidR="00157D9B" w:rsidRDefault="00157D9B" w:rsidP="00A30060">
      <w:pPr>
        <w:spacing w:after="0" w:line="360" w:lineRule="auto"/>
        <w:jc w:val="both"/>
        <w:rPr>
          <w:rFonts w:ascii="Palatino Linotype" w:hAnsi="Palatino Linotype" w:cs="Arial"/>
          <w:sz w:val="24"/>
          <w:szCs w:val="24"/>
        </w:rPr>
      </w:pPr>
    </w:p>
    <w:p w:rsidR="00157D9B" w:rsidRPr="00385EE5" w:rsidRDefault="00157D9B" w:rsidP="00A30060">
      <w:pPr>
        <w:pStyle w:val="Prrafodelista"/>
        <w:numPr>
          <w:ilvl w:val="0"/>
          <w:numId w:val="2"/>
        </w:numPr>
        <w:spacing w:line="360" w:lineRule="auto"/>
        <w:ind w:right="141"/>
        <w:jc w:val="both"/>
        <w:rPr>
          <w:rFonts w:ascii="Palatino Linotype" w:hAnsi="Palatino Linotype"/>
          <w:b/>
          <w:i/>
          <w:color w:val="000000"/>
        </w:rPr>
      </w:pPr>
      <w:r w:rsidRPr="00385EE5">
        <w:rPr>
          <w:rFonts w:ascii="Palatino Linotype" w:hAnsi="Palatino Linotype"/>
          <w:b/>
          <w:i/>
          <w:color w:val="000000"/>
        </w:rPr>
        <w:t>De la Versión Pública</w:t>
      </w:r>
    </w:p>
    <w:p w:rsidR="00157D9B" w:rsidRPr="000D1C68" w:rsidRDefault="00157D9B" w:rsidP="00A30060">
      <w:pPr>
        <w:spacing w:after="0" w:line="360" w:lineRule="auto"/>
        <w:jc w:val="both"/>
        <w:rPr>
          <w:rFonts w:ascii="Palatino Linotype" w:hAnsi="Palatino Linotype" w:cs="Arial"/>
          <w:sz w:val="24"/>
          <w:szCs w:val="24"/>
        </w:rPr>
      </w:pPr>
    </w:p>
    <w:p w:rsidR="00157D9B" w:rsidRPr="000D1C68" w:rsidRDefault="00157D9B" w:rsidP="00A30060">
      <w:pPr>
        <w:spacing w:after="0" w:line="360" w:lineRule="auto"/>
        <w:ind w:right="49"/>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En el supuesto de realizar la entrega de la información solicitada que se ordena, este Órgano Garante al no contar con elementos que determinen su contenido, y en aras de garantizar los derechos de Protección de datos personales de los particulares, ya que e</w:t>
      </w:r>
      <w:r w:rsidRPr="000D1C68">
        <w:rPr>
          <w:rFonts w:ascii="Palatino Linotype" w:eastAsia="MS Mincho" w:hAnsi="Palatino Linotype" w:cstheme="majorBidi"/>
          <w:sz w:val="24"/>
          <w:szCs w:val="24"/>
        </w:rPr>
        <w:t>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57D9B" w:rsidRPr="000D1C68" w:rsidRDefault="00157D9B" w:rsidP="00A30060">
      <w:pPr>
        <w:spacing w:after="0" w:line="360" w:lineRule="auto"/>
        <w:ind w:right="49"/>
        <w:contextualSpacing/>
        <w:jc w:val="both"/>
        <w:rPr>
          <w:rFonts w:ascii="Palatino Linotype" w:eastAsia="MS Mincho" w:hAnsi="Palatino Linotype" w:cstheme="majorBidi"/>
          <w:sz w:val="24"/>
          <w:szCs w:val="24"/>
        </w:rPr>
      </w:pPr>
    </w:p>
    <w:p w:rsidR="00157D9B" w:rsidRPr="000D1C68" w:rsidRDefault="00157D9B" w:rsidP="00A30060">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 xml:space="preserve">Por ello, los </w:t>
      </w:r>
      <w:r w:rsidRPr="003F45EB">
        <w:rPr>
          <w:rFonts w:ascii="Palatino Linotype" w:eastAsia="MS Mincho" w:hAnsi="Palatino Linotype" w:cstheme="majorBidi"/>
          <w:b/>
          <w:sz w:val="24"/>
          <w:szCs w:val="24"/>
        </w:rPr>
        <w:t>sujetos obligados</w:t>
      </w:r>
      <w:r w:rsidRPr="000D1C68">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57D9B" w:rsidRPr="000D1C68" w:rsidRDefault="00157D9B" w:rsidP="00A30060">
      <w:pPr>
        <w:spacing w:after="0" w:line="360" w:lineRule="auto"/>
        <w:ind w:right="49"/>
        <w:contextualSpacing/>
        <w:jc w:val="both"/>
        <w:rPr>
          <w:rFonts w:ascii="Palatino Linotype" w:eastAsia="MS Mincho" w:hAnsi="Palatino Linotype" w:cstheme="majorBidi"/>
          <w:sz w:val="24"/>
          <w:szCs w:val="24"/>
        </w:rPr>
      </w:pPr>
    </w:p>
    <w:p w:rsidR="00157D9B" w:rsidRPr="000D1C68" w:rsidRDefault="00157D9B" w:rsidP="00A30060">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57D9B" w:rsidRPr="000D1C68" w:rsidRDefault="00157D9B" w:rsidP="00A30060">
      <w:pPr>
        <w:spacing w:after="0" w:line="360" w:lineRule="auto"/>
        <w:ind w:right="49"/>
        <w:contextualSpacing/>
        <w:jc w:val="both"/>
        <w:rPr>
          <w:rFonts w:ascii="Palatino Linotype" w:eastAsia="MS Mincho" w:hAnsi="Palatino Linotype" w:cstheme="majorBidi"/>
          <w:sz w:val="24"/>
          <w:szCs w:val="24"/>
        </w:rPr>
      </w:pPr>
    </w:p>
    <w:p w:rsidR="00157D9B"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D1C68">
        <w:rPr>
          <w:rFonts w:ascii="Palatino Linotype" w:hAnsi="Palatino Linotype" w:cs="Arial"/>
          <w:b/>
          <w:sz w:val="24"/>
          <w:szCs w:val="24"/>
        </w:rPr>
        <w:t>Registro Federal de Contribuyentes</w:t>
      </w:r>
      <w:r w:rsidRPr="000D1C68">
        <w:rPr>
          <w:rFonts w:ascii="Palatino Linotype" w:hAnsi="Palatino Linotype" w:cs="Arial"/>
          <w:sz w:val="24"/>
          <w:szCs w:val="24"/>
        </w:rPr>
        <w:t xml:space="preserve"> (RFC), la </w:t>
      </w:r>
      <w:r w:rsidRPr="000D1C68">
        <w:rPr>
          <w:rFonts w:ascii="Palatino Linotype" w:hAnsi="Palatino Linotype" w:cs="Arial"/>
          <w:b/>
          <w:sz w:val="24"/>
          <w:szCs w:val="24"/>
        </w:rPr>
        <w:t>Clave Única de Registro de Población</w:t>
      </w:r>
      <w:r w:rsidRPr="000D1C68">
        <w:rPr>
          <w:rFonts w:ascii="Palatino Linotype" w:hAnsi="Palatino Linotype" w:cs="Arial"/>
          <w:sz w:val="24"/>
          <w:szCs w:val="24"/>
        </w:rPr>
        <w:t xml:space="preserve"> (CURP), la </w:t>
      </w:r>
      <w:r w:rsidRPr="000D1C68">
        <w:rPr>
          <w:rFonts w:ascii="Palatino Linotype" w:hAnsi="Palatino Linotype" w:cs="Arial"/>
          <w:b/>
          <w:sz w:val="24"/>
          <w:szCs w:val="24"/>
        </w:rPr>
        <w:t>Clave de cualquier tipo de seguridad social</w:t>
      </w:r>
      <w:r w:rsidRPr="000D1C68">
        <w:rPr>
          <w:rFonts w:ascii="Palatino Linotype" w:hAnsi="Palatino Linotype" w:cs="Arial"/>
          <w:sz w:val="24"/>
          <w:szCs w:val="24"/>
        </w:rPr>
        <w:t xml:space="preserve"> (ISSEMYM, u otros).</w:t>
      </w:r>
    </w:p>
    <w:p w:rsidR="00157D9B" w:rsidRDefault="00157D9B" w:rsidP="00A30060">
      <w:pPr>
        <w:tabs>
          <w:tab w:val="left" w:pos="8647"/>
        </w:tabs>
        <w:spacing w:after="0" w:line="360" w:lineRule="auto"/>
        <w:ind w:right="51"/>
        <w:jc w:val="both"/>
        <w:rPr>
          <w:rFonts w:ascii="Palatino Linotype" w:hAnsi="Palatino Linotype" w:cs="Arial"/>
          <w:sz w:val="24"/>
          <w:szCs w:val="24"/>
        </w:rPr>
      </w:pP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p>
    <w:p w:rsidR="00157D9B"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Lo anterior,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 a través del Criterio 19/17, el cual es del tenor siguiente:</w:t>
      </w:r>
    </w:p>
    <w:p w:rsidR="00BB5470" w:rsidRDefault="00BB5470" w:rsidP="00A30060">
      <w:pPr>
        <w:tabs>
          <w:tab w:val="left" w:pos="8647"/>
        </w:tabs>
        <w:spacing w:after="0" w:line="360" w:lineRule="auto"/>
        <w:ind w:right="51"/>
        <w:jc w:val="both"/>
        <w:rPr>
          <w:rFonts w:ascii="Palatino Linotype" w:hAnsi="Palatino Linotype" w:cs="Arial"/>
          <w:sz w:val="24"/>
          <w:szCs w:val="24"/>
        </w:rPr>
      </w:pPr>
    </w:p>
    <w:p w:rsidR="00157D9B" w:rsidRPr="000D1C68" w:rsidRDefault="00157D9B" w:rsidP="00A30060">
      <w:pPr>
        <w:tabs>
          <w:tab w:val="left" w:pos="8647"/>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Registro Federal de Contribuyentes (RFC) de personas físicas. </w:t>
      </w:r>
      <w:r w:rsidRPr="000D1C6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157D9B" w:rsidRPr="000D1C68" w:rsidRDefault="00157D9B" w:rsidP="00A30060">
      <w:pPr>
        <w:tabs>
          <w:tab w:val="left" w:pos="8647"/>
        </w:tabs>
        <w:spacing w:after="0" w:line="240" w:lineRule="auto"/>
        <w:ind w:left="567" w:right="567"/>
        <w:jc w:val="both"/>
        <w:rPr>
          <w:rFonts w:ascii="Palatino Linotype" w:hAnsi="Palatino Linotype" w:cs="Arial"/>
          <w:b/>
          <w:bCs/>
          <w:i/>
        </w:rPr>
      </w:pPr>
    </w:p>
    <w:p w:rsidR="00157D9B" w:rsidRPr="00FF68D7" w:rsidRDefault="00157D9B" w:rsidP="00A30060">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Resoluciones:</w:t>
      </w:r>
    </w:p>
    <w:p w:rsidR="00157D9B" w:rsidRPr="00FF68D7" w:rsidRDefault="00157D9B" w:rsidP="00A30060">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0189/17. Morena. 08 de febrero de 2017. Por unanimidad. Comisionado Ponente Joel Salas Suárez.</w:t>
      </w:r>
    </w:p>
    <w:p w:rsidR="00157D9B" w:rsidRPr="00FF68D7" w:rsidRDefault="00157D9B" w:rsidP="00A30060">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 xml:space="preserve">RRA 0677/17. Universidad Nacional Autónoma de México. 08 de marzo de 2017. Por unanimidad. Comisionado Ponente Rosendoevgueni Monterrey Chepov. </w:t>
      </w:r>
    </w:p>
    <w:p w:rsidR="00157D9B" w:rsidRPr="00FF68D7" w:rsidRDefault="00157D9B" w:rsidP="00A30060">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1564/17. Tribunal Electoral del Poder Judicial de la Federación. 26 de abril de 2017. Por unanimidad. Comisionado Ponente Oscar Mauricio Guerra Ford.</w:t>
      </w: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p>
    <w:p w:rsidR="00157D9B"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p>
    <w:p w:rsidR="00157D9B"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Argumento que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w:t>
      </w:r>
      <w:r>
        <w:rPr>
          <w:rFonts w:ascii="Palatino Linotype" w:hAnsi="Palatino Linotype" w:cs="Arial"/>
          <w:sz w:val="24"/>
          <w:szCs w:val="24"/>
        </w:rPr>
        <w:t>,</w:t>
      </w:r>
      <w:r w:rsidRPr="00B01034">
        <w:rPr>
          <w:rFonts w:ascii="Palatino Linotype" w:hAnsi="Palatino Linotype" w:cs="Arial"/>
          <w:bCs/>
          <w:sz w:val="24"/>
          <w:szCs w:val="24"/>
        </w:rPr>
        <w:t xml:space="preserve"> conforme al</w:t>
      </w:r>
      <w:r w:rsidRPr="000D1C68">
        <w:rPr>
          <w:rFonts w:ascii="Palatino Linotype" w:hAnsi="Palatino Linotype" w:cs="Arial"/>
          <w:b/>
          <w:bCs/>
          <w:sz w:val="24"/>
          <w:szCs w:val="24"/>
        </w:rPr>
        <w:t xml:space="preserve"> </w:t>
      </w:r>
      <w:r w:rsidRPr="000D1C68">
        <w:rPr>
          <w:rFonts w:ascii="Palatino Linotype" w:hAnsi="Palatino Linotype" w:cs="Arial"/>
          <w:sz w:val="24"/>
          <w:szCs w:val="24"/>
        </w:rPr>
        <w:t xml:space="preserve">criterio número 18/17, el cual refiere: </w:t>
      </w: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p>
    <w:p w:rsidR="00157D9B" w:rsidRPr="000D1C68" w:rsidRDefault="00157D9B" w:rsidP="00A30060">
      <w:pPr>
        <w:tabs>
          <w:tab w:val="left" w:pos="8222"/>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“Clave Única de Registro de Población (CURP). </w:t>
      </w:r>
      <w:r w:rsidRPr="000D1C68">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57D9B" w:rsidRPr="000D1C68" w:rsidRDefault="00157D9B" w:rsidP="00A30060">
      <w:pPr>
        <w:tabs>
          <w:tab w:val="left" w:pos="8222"/>
        </w:tabs>
        <w:spacing w:after="0" w:line="240" w:lineRule="auto"/>
        <w:ind w:left="567" w:right="567"/>
        <w:jc w:val="both"/>
        <w:rPr>
          <w:rFonts w:ascii="Palatino Linotype" w:hAnsi="Palatino Linotype" w:cs="Arial"/>
          <w:b/>
          <w:bCs/>
          <w:i/>
        </w:rPr>
      </w:pPr>
    </w:p>
    <w:p w:rsidR="00157D9B" w:rsidRPr="00741D03" w:rsidRDefault="00157D9B" w:rsidP="00A30060">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Resoluciones:</w:t>
      </w:r>
    </w:p>
    <w:p w:rsidR="00157D9B" w:rsidRPr="00741D03" w:rsidRDefault="00157D9B" w:rsidP="00A30060">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RRA 3995/16. Secretaría de la Defensa Nacional. 1 de febrero de 2017. Por unanimidad. Comisionado Ponente Rosendoevgueni Monterrey Chepov.</w:t>
      </w:r>
    </w:p>
    <w:p w:rsidR="00157D9B" w:rsidRPr="00741D03" w:rsidRDefault="00157D9B" w:rsidP="00A30060">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 xml:space="preserve">RRA 0937/17. Senado de la República. 15 de marzo de 2017. Por unanimidad. Comisionada Ponente Ximena Puente de la Mora. </w:t>
      </w:r>
    </w:p>
    <w:p w:rsidR="00157D9B" w:rsidRPr="00741D03" w:rsidRDefault="00157D9B" w:rsidP="00A30060">
      <w:pPr>
        <w:tabs>
          <w:tab w:val="left" w:pos="8222"/>
        </w:tabs>
        <w:spacing w:after="0" w:line="240" w:lineRule="auto"/>
        <w:ind w:left="567" w:right="567"/>
        <w:jc w:val="both"/>
        <w:rPr>
          <w:rFonts w:ascii="Palatino Linotype" w:hAnsi="Palatino Linotype" w:cs="Arial"/>
          <w:i/>
          <w:sz w:val="20"/>
        </w:rPr>
      </w:pPr>
      <w:r w:rsidRPr="00741D03">
        <w:rPr>
          <w:rFonts w:ascii="Palatino Linotype" w:hAnsi="Palatino Linotype" w:cs="Arial"/>
          <w:bCs/>
          <w:i/>
          <w:sz w:val="20"/>
        </w:rPr>
        <w:t>RRA 0478/17. Secretaría de Relaciones Exteriores. 26 de abril de 2017. Por unanimidad. Comisionada Ponente Areli Cano Guadiana.</w:t>
      </w:r>
      <w:r w:rsidRPr="00741D03">
        <w:rPr>
          <w:rFonts w:ascii="Palatino Linotype" w:hAnsi="Palatino Linotype" w:cs="Arial"/>
          <w:i/>
          <w:sz w:val="20"/>
        </w:rPr>
        <w:t>” (Sic)</w:t>
      </w:r>
    </w:p>
    <w:p w:rsidR="00157D9B" w:rsidRPr="000D1C68" w:rsidRDefault="00157D9B" w:rsidP="00A30060">
      <w:pPr>
        <w:pStyle w:val="Prrafodelista"/>
        <w:autoSpaceDE w:val="0"/>
        <w:autoSpaceDN w:val="0"/>
        <w:adjustRightInd w:val="0"/>
        <w:spacing w:line="360" w:lineRule="auto"/>
        <w:ind w:left="0"/>
        <w:contextualSpacing/>
        <w:jc w:val="both"/>
        <w:rPr>
          <w:rFonts w:ascii="Palatino Linotype" w:hAnsi="Palatino Linotype" w:cs="Arial"/>
        </w:rPr>
      </w:pPr>
    </w:p>
    <w:p w:rsidR="00157D9B" w:rsidRPr="000D1C68" w:rsidRDefault="00157D9B" w:rsidP="00A30060">
      <w:pPr>
        <w:pStyle w:val="Prrafodelista"/>
        <w:autoSpaceDE w:val="0"/>
        <w:autoSpaceDN w:val="0"/>
        <w:adjustRightInd w:val="0"/>
        <w:spacing w:line="360" w:lineRule="auto"/>
        <w:ind w:left="0"/>
        <w:contextualSpacing/>
        <w:jc w:val="both"/>
        <w:rPr>
          <w:rFonts w:ascii="Palatino Linotype" w:hAnsi="Palatino Linotype" w:cs="Arial"/>
        </w:rPr>
      </w:pPr>
      <w:r w:rsidRPr="000D1C68">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57D9B" w:rsidRPr="000D1C68" w:rsidRDefault="00157D9B" w:rsidP="00A30060">
      <w:pPr>
        <w:pStyle w:val="Prrafodelista"/>
        <w:autoSpaceDE w:val="0"/>
        <w:autoSpaceDN w:val="0"/>
        <w:adjustRightInd w:val="0"/>
        <w:spacing w:line="360" w:lineRule="auto"/>
        <w:ind w:left="0"/>
        <w:contextualSpacing/>
        <w:jc w:val="both"/>
        <w:rPr>
          <w:rFonts w:ascii="Palatino Linotype" w:hAnsi="Palatino Linotype" w:cs="Arial"/>
        </w:rPr>
      </w:pPr>
    </w:p>
    <w:p w:rsidR="00157D9B"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p>
    <w:p w:rsidR="00157D9B" w:rsidRPr="000D1C68" w:rsidRDefault="00157D9B" w:rsidP="00A30060">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De este modo, en las versiones públicas de los documentos que se ordena su entrega se deben testar tanto números de las cuentas bancarias,</w:t>
      </w:r>
      <w:r>
        <w:rPr>
          <w:rFonts w:ascii="Palatino Linotype" w:hAnsi="Palatino Linotype" w:cs="Arial"/>
          <w:sz w:val="24"/>
          <w:szCs w:val="24"/>
        </w:rPr>
        <w:t xml:space="preserve"> las</w:t>
      </w:r>
      <w:r w:rsidRPr="000D1C68">
        <w:rPr>
          <w:rFonts w:ascii="Palatino Linotype" w:hAnsi="Palatino Linotype" w:cs="Arial"/>
          <w:sz w:val="24"/>
          <w:szCs w:val="24"/>
        </w:rPr>
        <w:t xml:space="preserve"> clabes</w:t>
      </w:r>
      <w:r>
        <w:rPr>
          <w:rFonts w:ascii="Palatino Linotype" w:hAnsi="Palatino Linotype" w:cs="Arial"/>
          <w:sz w:val="24"/>
          <w:szCs w:val="24"/>
        </w:rPr>
        <w:t xml:space="preserve"> interbancarias</w:t>
      </w:r>
      <w:r w:rsidRPr="000D1C68">
        <w:rPr>
          <w:rFonts w:ascii="Palatino Linotype" w:hAnsi="Palatino Linotype" w:cs="Arial"/>
          <w:sz w:val="24"/>
          <w:szCs w:val="24"/>
        </w:rPr>
        <w:t>, como el sello digital y su correspondiente cadena original</w:t>
      </w:r>
      <w:r>
        <w:rPr>
          <w:rFonts w:ascii="Palatino Linotype" w:hAnsi="Palatino Linotype" w:cs="Arial"/>
          <w:sz w:val="24"/>
          <w:szCs w:val="24"/>
        </w:rPr>
        <w:t>, en el caso de que la información sea de particulares</w:t>
      </w:r>
      <w:r w:rsidRPr="000D1C68">
        <w:rPr>
          <w:rFonts w:ascii="Palatino Linotype" w:hAnsi="Palatino Linotype" w:cs="Arial"/>
          <w:sz w:val="24"/>
          <w:szCs w:val="24"/>
        </w:rPr>
        <w:t>; si es que se desprende esta información; en caso contrario, los documentos deben entregarse en forma íntegra.</w:t>
      </w:r>
    </w:p>
    <w:p w:rsidR="00157D9B" w:rsidRPr="000D1C68" w:rsidRDefault="00157D9B" w:rsidP="00A30060">
      <w:pPr>
        <w:autoSpaceDE w:val="0"/>
        <w:autoSpaceDN w:val="0"/>
        <w:adjustRightInd w:val="0"/>
        <w:spacing w:after="0" w:line="276" w:lineRule="auto"/>
        <w:ind w:right="284"/>
        <w:jc w:val="both"/>
        <w:rPr>
          <w:rFonts w:ascii="Palatino Linotype" w:hAnsi="Palatino Linotype" w:cs="Arial"/>
          <w:i/>
          <w:szCs w:val="24"/>
        </w:rPr>
      </w:pPr>
    </w:p>
    <w:p w:rsidR="00157D9B" w:rsidRPr="000D1C68" w:rsidRDefault="00157D9B" w:rsidP="00A30060">
      <w:pPr>
        <w:autoSpaceDE w:val="0"/>
        <w:autoSpaceDN w:val="0"/>
        <w:adjustRightInd w:val="0"/>
        <w:spacing w:after="0" w:line="276" w:lineRule="auto"/>
        <w:ind w:right="284"/>
        <w:jc w:val="both"/>
        <w:rPr>
          <w:rFonts w:ascii="Palatino Linotype" w:hAnsi="Palatino Linotype" w:cs="Arial"/>
          <w:i/>
          <w:szCs w:val="24"/>
        </w:rPr>
      </w:pPr>
      <w:r w:rsidRPr="000D1C68">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57D9B" w:rsidRPr="000D1C68" w:rsidRDefault="00157D9B" w:rsidP="00A30060">
      <w:pPr>
        <w:spacing w:after="0"/>
        <w:rPr>
          <w:lang w:val="es-ES" w:eastAsia="es-ES"/>
        </w:rPr>
      </w:pP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r w:rsidRPr="00354BEF">
        <w:rPr>
          <w:rFonts w:ascii="Palatino Linotype" w:eastAsia="Times New Roman" w:hAnsi="Palatino Linotype" w:cs="Arial"/>
          <w:b/>
          <w:i/>
          <w:iCs/>
          <w:color w:val="222222"/>
          <w:lang w:eastAsia="es-MX"/>
        </w:rPr>
        <w:t>Cuarto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D1C68">
        <w:rPr>
          <w:rFonts w:ascii="Palatino Linotype" w:eastAsia="Times New Roman" w:hAnsi="Palatino Linotype" w:cs="Arial"/>
          <w:i/>
          <w:iCs/>
          <w:color w:val="222222"/>
          <w:lang w:eastAsia="es-MX"/>
        </w:rPr>
        <w:t>, en tanto estas últimas no contravengan lo dispuesto en la Ley General.</w:t>
      </w: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Quinto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D1C68">
        <w:rPr>
          <w:rFonts w:ascii="Palatino Linotype" w:eastAsia="Times New Roman" w:hAnsi="Palatino Linotype" w:cs="Arial"/>
          <w:i/>
          <w:iCs/>
          <w:color w:val="222222"/>
          <w:sz w:val="24"/>
          <w:szCs w:val="24"/>
          <w:u w:val="single"/>
          <w:lang w:eastAsia="es-MX"/>
        </w:rPr>
        <w:t xml:space="preserve"> </w:t>
      </w:r>
      <w:r w:rsidRPr="000D1C68">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D1C68">
        <w:rPr>
          <w:rFonts w:ascii="Palatino Linotype" w:eastAsia="Times New Roman" w:hAnsi="Palatino Linotype" w:cs="Arial"/>
          <w:i/>
          <w:iCs/>
          <w:color w:val="222222"/>
          <w:lang w:eastAsia="es-MX"/>
        </w:rPr>
        <w:t>, observando lo dispuesto en la Ley General y las demás disposiciones aplicables en la materia.</w:t>
      </w: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Octavo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D1C68">
        <w:rPr>
          <w:rFonts w:ascii="Palatino Linotype" w:eastAsia="Times New Roman" w:hAnsi="Palatino Linotype" w:cs="Arial"/>
          <w:i/>
          <w:iCs/>
          <w:color w:val="222222"/>
          <w:lang w:eastAsia="es-MX"/>
        </w:rPr>
        <w:t>.</w:t>
      </w: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D1C68">
        <w:rPr>
          <w:rFonts w:ascii="Palatino Linotype" w:eastAsia="Times New Roman" w:hAnsi="Palatino Linotype" w:cs="Arial"/>
          <w:i/>
          <w:iCs/>
          <w:color w:val="222222"/>
          <w:lang w:eastAsia="es-MX"/>
        </w:rPr>
        <w:t>.</w:t>
      </w: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D1C68">
        <w:rPr>
          <w:rFonts w:ascii="Palatino Linotype" w:eastAsia="Times New Roman" w:hAnsi="Palatino Linotype" w:cs="Arial"/>
          <w:i/>
          <w:iCs/>
          <w:color w:val="222222"/>
          <w:lang w:eastAsia="es-MX"/>
        </w:rPr>
        <w:t>…</w:t>
      </w:r>
    </w:p>
    <w:p w:rsidR="00157D9B" w:rsidRPr="00354BEF" w:rsidRDefault="00157D9B" w:rsidP="00A30060">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354BEF">
        <w:rPr>
          <w:rFonts w:ascii="Palatino Linotype" w:eastAsia="Times New Roman" w:hAnsi="Palatino Linotype" w:cs="Arial"/>
          <w:b/>
          <w:i/>
          <w:iCs/>
          <w:color w:val="222222"/>
          <w:lang w:eastAsia="es-MX"/>
        </w:rPr>
        <w:t>DE LA INFORMACIÓN CONFIDENCIAL</w:t>
      </w:r>
    </w:p>
    <w:p w:rsidR="00157D9B" w:rsidRPr="000D1C68" w:rsidRDefault="00157D9B" w:rsidP="00A30060">
      <w:pPr>
        <w:shd w:val="clear" w:color="auto" w:fill="FFFFFF"/>
        <w:spacing w:after="0" w:line="240" w:lineRule="auto"/>
        <w:ind w:left="567" w:right="567"/>
        <w:jc w:val="both"/>
        <w:rPr>
          <w:rFonts w:ascii="Palatino Linotype" w:eastAsia="Times New Roman" w:hAnsi="Palatino Linotype" w:cs="Arial"/>
          <w:lang w:eastAsia="es-MX"/>
        </w:rPr>
      </w:pPr>
      <w:r w:rsidRPr="00354BEF">
        <w:rPr>
          <w:rFonts w:ascii="Palatino Linotype" w:eastAsia="Times New Roman" w:hAnsi="Palatino Linotype" w:cs="Arial"/>
          <w:b/>
          <w:i/>
          <w:iCs/>
          <w:lang w:eastAsia="es-MX"/>
        </w:rPr>
        <w:t>Trigésimo octavo</w:t>
      </w:r>
      <w:r w:rsidRPr="000D1C68">
        <w:rPr>
          <w:rFonts w:ascii="Palatino Linotype" w:eastAsia="Times New Roman" w:hAnsi="Palatino Linotype" w:cs="Arial"/>
          <w:i/>
          <w:iCs/>
          <w:lang w:eastAsia="es-MX"/>
        </w:rPr>
        <w:t>. Se considera información confidencial:</w:t>
      </w:r>
    </w:p>
    <w:p w:rsidR="00157D9B" w:rsidRPr="000D1C68" w:rsidRDefault="00157D9B" w:rsidP="00A30060">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D1C68">
        <w:rPr>
          <w:rFonts w:ascii="Palatino Linotype" w:eastAsia="Times New Roman" w:hAnsi="Palatino Linotype" w:cs="Arial"/>
          <w:i/>
          <w:iCs/>
          <w:lang w:eastAsia="es-MX"/>
        </w:rPr>
        <w:t>I.</w:t>
      </w:r>
      <w:r w:rsidRPr="000D1C68">
        <w:rPr>
          <w:rFonts w:ascii="Palatino Linotype" w:eastAsia="Times New Roman" w:hAnsi="Palatino Linotype" w:cs="Arial"/>
          <w:i/>
          <w:iCs/>
          <w:lang w:eastAsia="es-MX"/>
        </w:rPr>
        <w:tab/>
      </w:r>
      <w:r w:rsidRPr="000D1C68">
        <w:rPr>
          <w:rFonts w:ascii="Palatino Linotype" w:eastAsia="Times New Roman" w:hAnsi="Palatino Linotype" w:cs="Arial"/>
          <w:i/>
          <w:iCs/>
          <w:u w:val="single"/>
          <w:lang w:eastAsia="es-MX"/>
        </w:rPr>
        <w:t>Los datos personales en los términos de la norma aplicable</w:t>
      </w:r>
      <w:r w:rsidRPr="000D1C68">
        <w:rPr>
          <w:rFonts w:ascii="Palatino Linotype" w:eastAsia="Times New Roman" w:hAnsi="Palatino Linotype" w:cs="Arial"/>
          <w:i/>
          <w:iCs/>
          <w:lang w:eastAsia="es-MX"/>
        </w:rPr>
        <w:t>;</w:t>
      </w:r>
    </w:p>
    <w:p w:rsidR="00157D9B" w:rsidRPr="000D1C68" w:rsidRDefault="00157D9B" w:rsidP="00A3006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w:t>
      </w:r>
      <w:r w:rsidRPr="000D1C68">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57D9B" w:rsidRPr="000D1C68" w:rsidRDefault="00157D9B" w:rsidP="00A3006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III…</w:t>
      </w:r>
    </w:p>
    <w:p w:rsidR="00157D9B" w:rsidRPr="000D1C68" w:rsidRDefault="00157D9B" w:rsidP="00A3006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157D9B" w:rsidRPr="00992F2E" w:rsidRDefault="00157D9B" w:rsidP="00A30060">
      <w:pPr>
        <w:shd w:val="clear" w:color="auto" w:fill="FFFFFF"/>
        <w:spacing w:after="0" w:line="240" w:lineRule="auto"/>
        <w:ind w:left="567" w:right="567"/>
        <w:jc w:val="right"/>
        <w:rPr>
          <w:rFonts w:ascii="Palatino Linotype" w:eastAsia="Times New Roman" w:hAnsi="Palatino Linotype" w:cs="Arial"/>
          <w:iCs/>
          <w:lang w:eastAsia="es-MX"/>
        </w:rPr>
      </w:pPr>
      <w:r w:rsidRPr="00992F2E">
        <w:rPr>
          <w:rFonts w:ascii="Palatino Linotype" w:eastAsia="Times New Roman" w:hAnsi="Palatino Linotype" w:cs="Arial"/>
          <w:iCs/>
          <w:lang w:eastAsia="es-MX"/>
        </w:rPr>
        <w:t>(Énfasis añadido)</w:t>
      </w:r>
    </w:p>
    <w:p w:rsidR="00157D9B" w:rsidRDefault="00157D9B" w:rsidP="00A30060">
      <w:pPr>
        <w:autoSpaceDE w:val="0"/>
        <w:autoSpaceDN w:val="0"/>
        <w:adjustRightInd w:val="0"/>
        <w:spacing w:after="0" w:line="360" w:lineRule="auto"/>
        <w:jc w:val="both"/>
        <w:rPr>
          <w:rFonts w:ascii="Palatino Linotype" w:hAnsi="Palatino Linotype" w:cs="Arial"/>
          <w:bCs/>
          <w:sz w:val="24"/>
          <w:szCs w:val="24"/>
        </w:rPr>
      </w:pPr>
    </w:p>
    <w:p w:rsidR="00157D9B" w:rsidRDefault="00157D9B" w:rsidP="00A30060">
      <w:pPr>
        <w:autoSpaceDE w:val="0"/>
        <w:autoSpaceDN w:val="0"/>
        <w:adjustRightInd w:val="0"/>
        <w:spacing w:after="0" w:line="360" w:lineRule="auto"/>
        <w:jc w:val="both"/>
        <w:rPr>
          <w:rFonts w:ascii="Palatino Linotype" w:hAnsi="Palatino Linotype"/>
          <w:sz w:val="24"/>
          <w:szCs w:val="24"/>
        </w:rPr>
      </w:pPr>
      <w:r w:rsidRPr="000D1C68">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D1C68">
        <w:rPr>
          <w:rFonts w:ascii="Palatino Linotype" w:hAnsi="Palatino Linotype"/>
          <w:sz w:val="24"/>
          <w:szCs w:val="24"/>
        </w:rPr>
        <w:t xml:space="preserve">información se debe señalar el artículo, fracción, inciso, párrafo o numeral de la ley o tratado internacional suscrito por el Estado </w:t>
      </w:r>
      <w:r>
        <w:rPr>
          <w:rFonts w:ascii="Palatino Linotype" w:hAnsi="Palatino Linotype"/>
          <w:sz w:val="24"/>
          <w:szCs w:val="24"/>
        </w:rPr>
        <w:t>Me</w:t>
      </w:r>
      <w:r w:rsidRPr="000D1C68">
        <w:rPr>
          <w:rFonts w:ascii="Palatino Linotype" w:hAnsi="Palatino Linotype"/>
          <w:sz w:val="24"/>
          <w:szCs w:val="24"/>
        </w:rPr>
        <w:t>xicano que expresamente le otorga el carácter de reservada o confidencial.</w:t>
      </w:r>
    </w:p>
    <w:p w:rsidR="00157D9B" w:rsidRPr="000D1C68" w:rsidRDefault="00157D9B" w:rsidP="00A30060">
      <w:pPr>
        <w:autoSpaceDE w:val="0"/>
        <w:autoSpaceDN w:val="0"/>
        <w:adjustRightInd w:val="0"/>
        <w:spacing w:after="0" w:line="360" w:lineRule="auto"/>
        <w:jc w:val="both"/>
        <w:rPr>
          <w:rFonts w:ascii="Palatino Linotype" w:hAnsi="Palatino Linotype"/>
          <w:color w:val="2E2E2E"/>
          <w:sz w:val="24"/>
          <w:szCs w:val="24"/>
        </w:rPr>
      </w:pPr>
    </w:p>
    <w:p w:rsidR="00157D9B" w:rsidRDefault="00157D9B" w:rsidP="00A30060">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Así, los Acuerdos de Clasificación emitidos por los Comités de Transparencia de los </w:t>
      </w:r>
      <w:r w:rsidRPr="00354BEF">
        <w:rPr>
          <w:rFonts w:ascii="Palatino Linotype" w:hAnsi="Palatino Linotype" w:cs="Arial"/>
          <w:b/>
          <w:bCs/>
          <w:sz w:val="24"/>
          <w:szCs w:val="24"/>
        </w:rPr>
        <w:t>sujetos obligados</w:t>
      </w:r>
      <w:r w:rsidRPr="000D1C68">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157D9B" w:rsidRPr="000D1C68" w:rsidRDefault="00157D9B" w:rsidP="00A30060">
      <w:pPr>
        <w:autoSpaceDE w:val="0"/>
        <w:autoSpaceDN w:val="0"/>
        <w:adjustRightInd w:val="0"/>
        <w:spacing w:after="0" w:line="360" w:lineRule="auto"/>
        <w:jc w:val="both"/>
        <w:rPr>
          <w:rFonts w:ascii="Palatino Linotype" w:hAnsi="Palatino Linotype" w:cs="Arial"/>
          <w:bCs/>
          <w:sz w:val="24"/>
          <w:szCs w:val="24"/>
        </w:rPr>
      </w:pPr>
    </w:p>
    <w:p w:rsidR="00157D9B" w:rsidRDefault="00157D9B" w:rsidP="00A30060">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908F3" w:rsidRDefault="00C908F3" w:rsidP="00A30060">
      <w:pPr>
        <w:autoSpaceDE w:val="0"/>
        <w:autoSpaceDN w:val="0"/>
        <w:adjustRightInd w:val="0"/>
        <w:spacing w:after="0" w:line="360" w:lineRule="auto"/>
        <w:jc w:val="both"/>
        <w:rPr>
          <w:rFonts w:ascii="Palatino Linotype" w:hAnsi="Palatino Linotype" w:cs="Arial"/>
          <w:bCs/>
          <w:sz w:val="24"/>
          <w:szCs w:val="24"/>
        </w:rPr>
      </w:pPr>
    </w:p>
    <w:p w:rsidR="00157D9B" w:rsidRPr="000D1C68" w:rsidRDefault="00157D9B" w:rsidP="00A30060">
      <w:pPr>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57D9B" w:rsidRPr="000D1C68" w:rsidRDefault="00157D9B" w:rsidP="00A30060">
      <w:pPr>
        <w:spacing w:after="0" w:line="360" w:lineRule="auto"/>
        <w:jc w:val="both"/>
        <w:rPr>
          <w:rFonts w:ascii="Palatino Linotype" w:hAnsi="Palatino Linotype" w:cs="Arial"/>
          <w:bCs/>
          <w:sz w:val="24"/>
          <w:szCs w:val="24"/>
        </w:rPr>
      </w:pPr>
    </w:p>
    <w:p w:rsidR="00157D9B" w:rsidRPr="000D1C68" w:rsidRDefault="00157D9B" w:rsidP="00A30060">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D1C68">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D1C68">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D1C68">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D1C68">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D1C68">
        <w:rPr>
          <w:rFonts w:ascii="Palatino Linotype" w:hAnsi="Palatino Linotype" w:cs="Arial"/>
          <w:bCs/>
          <w:i/>
          <w:iCs/>
        </w:rPr>
        <w:t xml:space="preserve"> del que se deduzca la relación de pertenencia lógica de los hechos al derecho invocado, que es la subsunción.”</w:t>
      </w:r>
    </w:p>
    <w:p w:rsidR="00157D9B" w:rsidRPr="000D1C68" w:rsidRDefault="00157D9B" w:rsidP="00A30060">
      <w:pPr>
        <w:spacing w:after="0" w:line="240" w:lineRule="auto"/>
        <w:ind w:left="567" w:right="567"/>
        <w:jc w:val="both"/>
        <w:rPr>
          <w:rFonts w:ascii="Palatino Linotype" w:hAnsi="Palatino Linotype" w:cs="Arial"/>
          <w:bCs/>
          <w:i/>
          <w:iCs/>
        </w:rPr>
      </w:pPr>
    </w:p>
    <w:p w:rsidR="00157D9B" w:rsidRPr="008B7CAC" w:rsidRDefault="00157D9B" w:rsidP="00A30060">
      <w:pPr>
        <w:spacing w:after="0" w:line="240" w:lineRule="auto"/>
        <w:ind w:left="567" w:right="567"/>
        <w:jc w:val="right"/>
        <w:rPr>
          <w:rFonts w:ascii="Palatino Linotype" w:hAnsi="Palatino Linotype" w:cs="Arial"/>
          <w:bCs/>
          <w:iCs/>
        </w:rPr>
      </w:pPr>
      <w:r w:rsidRPr="008B7CAC">
        <w:rPr>
          <w:rFonts w:ascii="Palatino Linotype" w:hAnsi="Palatino Linotype" w:cs="Arial"/>
          <w:bCs/>
          <w:iCs/>
        </w:rPr>
        <w:t>(Énfasis añadido)</w:t>
      </w:r>
    </w:p>
    <w:p w:rsidR="00157D9B" w:rsidRPr="000D1C68" w:rsidRDefault="00157D9B" w:rsidP="00A30060">
      <w:pPr>
        <w:spacing w:after="0" w:line="240" w:lineRule="auto"/>
        <w:ind w:left="567" w:right="567"/>
        <w:jc w:val="both"/>
        <w:rPr>
          <w:rFonts w:ascii="Palatino Linotype" w:hAnsi="Palatino Linotype" w:cs="Arial"/>
          <w:bCs/>
          <w:i/>
          <w:iCs/>
        </w:rPr>
      </w:pPr>
    </w:p>
    <w:p w:rsidR="00157D9B" w:rsidRPr="000D1C68" w:rsidRDefault="00157D9B" w:rsidP="00A30060">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FUNDAMENTACION Y MOTIVACION. </w:t>
      </w:r>
      <w:r w:rsidRPr="000D1C68">
        <w:rPr>
          <w:rFonts w:ascii="Palatino Linotype" w:hAnsi="Palatino Linotype" w:cs="Arial"/>
          <w:bCs/>
          <w:i/>
          <w:iCs/>
        </w:rPr>
        <w:t>La debida fundamentación y motivación legal, deben entenderse, por lo primero</w:t>
      </w:r>
      <w:r w:rsidRPr="000D1C68">
        <w:rPr>
          <w:rFonts w:ascii="Palatino Linotype" w:hAnsi="Palatino Linotype" w:cs="Arial"/>
          <w:b/>
          <w:bCs/>
          <w:i/>
          <w:iCs/>
        </w:rPr>
        <w:t xml:space="preserve">, </w:t>
      </w:r>
      <w:r w:rsidRPr="000D1C68">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D1C68">
        <w:rPr>
          <w:rFonts w:ascii="Palatino Linotype" w:hAnsi="Palatino Linotype" w:cs="Arial"/>
          <w:bCs/>
          <w:i/>
          <w:iCs/>
        </w:rPr>
        <w:t xml:space="preserve"> legal invocada como fundamento.”(sic)</w:t>
      </w:r>
    </w:p>
    <w:p w:rsidR="00157D9B" w:rsidRPr="000D1C68" w:rsidRDefault="00157D9B" w:rsidP="00A30060">
      <w:pPr>
        <w:spacing w:after="0" w:line="240" w:lineRule="auto"/>
        <w:ind w:left="567" w:right="567"/>
        <w:jc w:val="both"/>
        <w:rPr>
          <w:rFonts w:ascii="Palatino Linotype" w:hAnsi="Palatino Linotype" w:cs="Arial"/>
          <w:bCs/>
          <w:i/>
          <w:iCs/>
        </w:rPr>
      </w:pPr>
    </w:p>
    <w:p w:rsidR="00157D9B" w:rsidRPr="008B7CAC" w:rsidRDefault="00157D9B" w:rsidP="00A30060">
      <w:pPr>
        <w:spacing w:after="0" w:line="240" w:lineRule="auto"/>
        <w:ind w:left="567" w:right="567"/>
        <w:jc w:val="right"/>
        <w:rPr>
          <w:rFonts w:ascii="Palatino Linotype" w:hAnsi="Palatino Linotype" w:cs="Arial"/>
          <w:bCs/>
          <w:iCs/>
        </w:rPr>
      </w:pPr>
      <w:r w:rsidRPr="008B7CAC">
        <w:rPr>
          <w:rFonts w:ascii="Palatino Linotype" w:hAnsi="Palatino Linotype" w:cs="Arial"/>
          <w:bCs/>
          <w:iCs/>
        </w:rPr>
        <w:t>(Énfasis añadido)</w:t>
      </w:r>
    </w:p>
    <w:p w:rsidR="00157D9B" w:rsidRPr="000D1C68" w:rsidRDefault="00157D9B" w:rsidP="00A30060">
      <w:pPr>
        <w:spacing w:after="0" w:line="240" w:lineRule="auto"/>
        <w:ind w:right="567"/>
        <w:jc w:val="both"/>
        <w:rPr>
          <w:rFonts w:ascii="Palatino Linotype" w:hAnsi="Palatino Linotype" w:cs="Arial"/>
          <w:bCs/>
          <w:i/>
          <w:iCs/>
        </w:rPr>
      </w:pPr>
    </w:p>
    <w:p w:rsidR="00157D9B" w:rsidRPr="000D1C68" w:rsidRDefault="00157D9B" w:rsidP="00A30060">
      <w:pPr>
        <w:spacing w:after="0" w:line="360" w:lineRule="auto"/>
        <w:jc w:val="both"/>
        <w:rPr>
          <w:rFonts w:ascii="Palatino Linotype" w:hAnsi="Palatino Linotype" w:cs="Arial"/>
          <w:bCs/>
          <w:i/>
          <w:iCs/>
        </w:rPr>
      </w:pPr>
      <w:r w:rsidRPr="000D1C68">
        <w:rPr>
          <w:rFonts w:ascii="Palatino Linotype" w:eastAsia="Calibri" w:hAnsi="Palatino Linotype" w:cs="Arial"/>
          <w:sz w:val="24"/>
          <w:szCs w:val="24"/>
        </w:rPr>
        <w:t xml:space="preserve">Entonces, el </w:t>
      </w:r>
      <w:r w:rsidRPr="00354BEF">
        <w:rPr>
          <w:rFonts w:ascii="Palatino Linotype" w:eastAsia="Calibri" w:hAnsi="Palatino Linotype" w:cs="Arial"/>
          <w:b/>
          <w:sz w:val="24"/>
          <w:szCs w:val="24"/>
        </w:rPr>
        <w:t>sujeto obligado</w:t>
      </w:r>
      <w:r w:rsidRPr="000D1C68">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157D9B" w:rsidRDefault="00157D9B" w:rsidP="00A30060">
      <w:pPr>
        <w:spacing w:after="0" w:line="360" w:lineRule="auto"/>
        <w:jc w:val="both"/>
        <w:rPr>
          <w:rFonts w:ascii="Palatino Linotype" w:hAnsi="Palatino Linotype" w:cs="Arial"/>
          <w:sz w:val="24"/>
          <w:szCs w:val="24"/>
        </w:rPr>
      </w:pPr>
    </w:p>
    <w:p w:rsidR="00157D9B" w:rsidRDefault="00157D9B" w:rsidP="00A30060">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la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 xml:space="preserve">REVOCA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C908F3" w:rsidRPr="00C908F3">
        <w:rPr>
          <w:rFonts w:ascii="Palatino Linotype" w:hAnsi="Palatino Linotype" w:cs="Arial"/>
          <w:b/>
          <w:sz w:val="24"/>
          <w:szCs w:val="24"/>
        </w:rPr>
        <w:t>00027/SULTEPEC/IP/2018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157D9B" w:rsidRPr="00B52CA5" w:rsidRDefault="00157D9B" w:rsidP="00A30060">
      <w:pPr>
        <w:spacing w:after="0" w:line="360" w:lineRule="auto"/>
        <w:jc w:val="both"/>
        <w:rPr>
          <w:rFonts w:ascii="Arial" w:hAnsi="Arial" w:cs="Arial"/>
          <w:b/>
          <w:bCs/>
          <w:color w:val="333333"/>
          <w:sz w:val="24"/>
          <w:szCs w:val="24"/>
        </w:rPr>
      </w:pPr>
    </w:p>
    <w:p w:rsidR="00157D9B" w:rsidRDefault="00157D9B" w:rsidP="00A30060">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157D9B" w:rsidRDefault="00157D9B" w:rsidP="00A30060">
      <w:pPr>
        <w:spacing w:after="0" w:line="360" w:lineRule="auto"/>
        <w:jc w:val="both"/>
        <w:rPr>
          <w:rFonts w:ascii="Palatino Linotype" w:hAnsi="Palatino Linotype"/>
          <w:sz w:val="24"/>
          <w:szCs w:val="24"/>
        </w:rPr>
      </w:pPr>
    </w:p>
    <w:p w:rsidR="00157D9B" w:rsidRPr="006A5AC2" w:rsidRDefault="00157D9B" w:rsidP="00A30060">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157D9B" w:rsidRPr="00C62308" w:rsidRDefault="00157D9B" w:rsidP="00A30060">
      <w:pPr>
        <w:spacing w:after="0" w:line="360" w:lineRule="auto"/>
        <w:jc w:val="center"/>
        <w:rPr>
          <w:rFonts w:ascii="Palatino Linotype" w:eastAsia="Times New Roman" w:hAnsi="Palatino Linotype"/>
          <w:b/>
          <w:bCs/>
          <w:spacing w:val="60"/>
          <w:sz w:val="18"/>
          <w:szCs w:val="24"/>
          <w:lang w:val="es-ES_tradnl"/>
        </w:rPr>
      </w:pPr>
    </w:p>
    <w:p w:rsidR="00157D9B" w:rsidRDefault="00157D9B" w:rsidP="00A3006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REVOCA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w:t>
      </w:r>
      <w:r w:rsidR="00C908F3">
        <w:rPr>
          <w:rFonts w:ascii="Palatino Linotype" w:hAnsi="Palatino Linotype" w:cs="Arial"/>
          <w:sz w:val="24"/>
          <w:szCs w:val="24"/>
        </w:rPr>
        <w:t xml:space="preserve"> a la solicitud de información </w:t>
      </w:r>
      <w:r w:rsidR="00C908F3" w:rsidRPr="00C908F3">
        <w:rPr>
          <w:rFonts w:ascii="Palatino Linotype" w:hAnsi="Palatino Linotype" w:cs="Arial"/>
          <w:sz w:val="24"/>
          <w:szCs w:val="24"/>
        </w:rPr>
        <w:t>00027/SULTEPEC/IP/2018</w:t>
      </w:r>
      <w:r w:rsidR="00C908F3">
        <w:rPr>
          <w:rFonts w:ascii="Palatino Linotype" w:hAnsi="Palatino Linotype" w:cs="Arial"/>
          <w:sz w:val="24"/>
          <w:szCs w:val="24"/>
        </w:rPr>
        <w:t>,</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la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157D9B" w:rsidRDefault="00157D9B" w:rsidP="00A30060">
      <w:pPr>
        <w:autoSpaceDE w:val="0"/>
        <w:autoSpaceDN w:val="0"/>
        <w:adjustRightInd w:val="0"/>
        <w:spacing w:after="0" w:line="360" w:lineRule="auto"/>
        <w:ind w:right="49"/>
        <w:jc w:val="both"/>
        <w:rPr>
          <w:rFonts w:ascii="Palatino Linotype" w:hAnsi="Palatino Linotype" w:cs="Arial"/>
          <w:sz w:val="24"/>
          <w:szCs w:val="24"/>
        </w:rPr>
      </w:pPr>
    </w:p>
    <w:p w:rsidR="00157D9B" w:rsidRPr="00BC41AE" w:rsidRDefault="00157D9B" w:rsidP="00A3006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w:t>
      </w:r>
      <w:r>
        <w:rPr>
          <w:rFonts w:ascii="Palatino Linotype" w:hAnsi="Palatino Linotype" w:cs="Arial"/>
          <w:sz w:val="24"/>
          <w:szCs w:val="24"/>
        </w:rPr>
        <w:t xml:space="preserve"> </w:t>
      </w:r>
      <w:r w:rsidRPr="00DC76CD">
        <w:rPr>
          <w:rFonts w:ascii="Palatino Linotype" w:hAnsi="Palatino Linotype" w:cs="Arial"/>
          <w:sz w:val="24"/>
          <w:szCs w:val="24"/>
        </w:rPr>
        <w:t>l</w:t>
      </w:r>
      <w:r>
        <w:rPr>
          <w:rFonts w:ascii="Palatino Linotype" w:hAnsi="Palatino Linotype" w:cs="Arial"/>
          <w:sz w:val="24"/>
          <w:szCs w:val="24"/>
        </w:rPr>
        <w:t>a</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004D70D4">
        <w:rPr>
          <w:rFonts w:ascii="Palatino Linotype" w:hAnsi="Palatino Linotype" w:cs="Arial"/>
          <w:b/>
          <w:sz w:val="24"/>
          <w:szCs w:val="24"/>
        </w:rPr>
        <w:t xml:space="preserve"> </w:t>
      </w:r>
      <w:r w:rsidR="004D70D4" w:rsidRPr="004D70D4">
        <w:rPr>
          <w:rFonts w:ascii="Palatino Linotype" w:hAnsi="Palatino Linotype" w:cs="Arial"/>
          <w:sz w:val="24"/>
          <w:szCs w:val="24"/>
        </w:rPr>
        <w:t>y</w:t>
      </w:r>
      <w:r w:rsidRPr="00BC41AE">
        <w:rPr>
          <w:rFonts w:ascii="Palatino Linotype" w:hAnsi="Palatino Linotype" w:cs="Arial"/>
          <w:sz w:val="24"/>
          <w:szCs w:val="24"/>
        </w:rPr>
        <w:t xml:space="preserve"> en versión pública,</w:t>
      </w:r>
      <w:r w:rsidR="004D70D4">
        <w:rPr>
          <w:rFonts w:ascii="Palatino Linotype" w:hAnsi="Palatino Linotype" w:cs="Arial"/>
          <w:sz w:val="24"/>
          <w:szCs w:val="24"/>
        </w:rPr>
        <w:t xml:space="preserve"> </w:t>
      </w:r>
      <w:r w:rsidR="008B7CAC">
        <w:rPr>
          <w:rFonts w:ascii="Palatino Linotype" w:hAnsi="Palatino Linotype" w:cs="Arial"/>
          <w:sz w:val="24"/>
          <w:szCs w:val="24"/>
        </w:rPr>
        <w:t xml:space="preserve">de </w:t>
      </w:r>
      <w:r w:rsidR="004D70D4">
        <w:rPr>
          <w:rFonts w:ascii="Palatino Linotype" w:hAnsi="Palatino Linotype" w:cs="Arial"/>
          <w:sz w:val="24"/>
          <w:szCs w:val="24"/>
        </w:rPr>
        <w:t>los recibos de nómina de los meses de agosto y septiembre de dos mil dieciocho, de los servidores públicos siguientes:</w:t>
      </w:r>
    </w:p>
    <w:p w:rsidR="00157D9B" w:rsidRPr="00BC41AE" w:rsidRDefault="00157D9B" w:rsidP="00A30060">
      <w:pPr>
        <w:autoSpaceDE w:val="0"/>
        <w:autoSpaceDN w:val="0"/>
        <w:adjustRightInd w:val="0"/>
        <w:spacing w:after="0" w:line="360" w:lineRule="auto"/>
        <w:ind w:right="49"/>
        <w:jc w:val="both"/>
        <w:rPr>
          <w:rFonts w:ascii="Palatino Linotype" w:hAnsi="Palatino Linotype" w:cs="Arial"/>
          <w:sz w:val="24"/>
          <w:szCs w:val="24"/>
        </w:rPr>
      </w:pPr>
    </w:p>
    <w:p w:rsidR="004D70D4" w:rsidRDefault="004D70D4" w:rsidP="00A30060">
      <w:pPr>
        <w:pStyle w:val="Prrafodelista"/>
        <w:numPr>
          <w:ilvl w:val="0"/>
          <w:numId w:val="8"/>
        </w:numPr>
        <w:spacing w:line="360" w:lineRule="auto"/>
        <w:jc w:val="both"/>
        <w:rPr>
          <w:rFonts w:ascii="Palatino Linotype" w:hAnsi="Palatino Linotype" w:cs="Arial"/>
        </w:rPr>
      </w:pPr>
      <w:r>
        <w:rPr>
          <w:rFonts w:ascii="Palatino Linotype" w:hAnsi="Palatino Linotype" w:cs="Arial"/>
        </w:rPr>
        <w:t>Presidente Municipal;</w:t>
      </w:r>
    </w:p>
    <w:p w:rsidR="004D70D4" w:rsidRDefault="004D70D4" w:rsidP="00A30060">
      <w:pPr>
        <w:pStyle w:val="Prrafodelista"/>
        <w:numPr>
          <w:ilvl w:val="0"/>
          <w:numId w:val="8"/>
        </w:numPr>
        <w:spacing w:line="360" w:lineRule="auto"/>
        <w:jc w:val="both"/>
        <w:rPr>
          <w:rFonts w:ascii="Palatino Linotype" w:hAnsi="Palatino Linotype" w:cs="Arial"/>
        </w:rPr>
      </w:pPr>
      <w:r>
        <w:rPr>
          <w:rFonts w:ascii="Palatino Linotype" w:hAnsi="Palatino Linotype" w:cs="Arial"/>
        </w:rPr>
        <w:t xml:space="preserve">Síndico; y </w:t>
      </w:r>
    </w:p>
    <w:p w:rsidR="004D70D4" w:rsidRPr="00082517" w:rsidRDefault="004D70D4" w:rsidP="00A30060">
      <w:pPr>
        <w:pStyle w:val="Prrafodelista"/>
        <w:numPr>
          <w:ilvl w:val="0"/>
          <w:numId w:val="8"/>
        </w:numPr>
        <w:spacing w:line="360" w:lineRule="auto"/>
        <w:jc w:val="both"/>
        <w:rPr>
          <w:rFonts w:ascii="Palatino Linotype" w:hAnsi="Palatino Linotype" w:cs="Arial"/>
        </w:rPr>
      </w:pPr>
      <w:r>
        <w:rPr>
          <w:rFonts w:ascii="Palatino Linotype" w:hAnsi="Palatino Linotype" w:cs="Arial"/>
        </w:rPr>
        <w:t>Regidores</w:t>
      </w:r>
    </w:p>
    <w:p w:rsidR="00157D9B" w:rsidRPr="004D70D4" w:rsidRDefault="00157D9B" w:rsidP="00A30060">
      <w:pPr>
        <w:pStyle w:val="Prrafodelista"/>
        <w:spacing w:line="360" w:lineRule="auto"/>
        <w:ind w:left="709"/>
        <w:jc w:val="both"/>
        <w:rPr>
          <w:rFonts w:ascii="Palatino Linotype" w:hAnsi="Palatino Linotype" w:cs="Arial"/>
        </w:rPr>
      </w:pPr>
    </w:p>
    <w:p w:rsidR="00157D9B" w:rsidRPr="004D70D4" w:rsidRDefault="004D70D4"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Para lo cual</w:t>
      </w:r>
      <w:r w:rsidR="00157D9B" w:rsidRPr="004D70D4">
        <w:rPr>
          <w:rFonts w:ascii="Palatino Linotype" w:hAnsi="Palatino Linotype" w:cs="Arial"/>
          <w:sz w:val="24"/>
          <w:szCs w:val="24"/>
        </w:rPr>
        <w:t xml:space="preserve">, deberá notificar a la </w:t>
      </w:r>
      <w:r w:rsidR="00157D9B" w:rsidRPr="004D70D4">
        <w:rPr>
          <w:rFonts w:ascii="Palatino Linotype" w:hAnsi="Palatino Linotype" w:cs="Arial"/>
          <w:b/>
          <w:sz w:val="24"/>
          <w:szCs w:val="24"/>
        </w:rPr>
        <w:t>recurrente</w:t>
      </w:r>
      <w:r w:rsidR="00157D9B" w:rsidRPr="004D70D4">
        <w:rPr>
          <w:rFonts w:ascii="Palatino Linotype" w:hAnsi="Palatino Linotype" w:cs="Arial"/>
          <w:sz w:val="24"/>
          <w:szCs w:val="24"/>
        </w:rPr>
        <w:t xml:space="preserve"> el Acuerdo de Clasificación de la información que apruebe el Comité de Transparencia con motivo de la versión pública, en términos de lo señalado en el Considerando </w:t>
      </w:r>
      <w:r w:rsidR="00157D9B" w:rsidRPr="004D70D4">
        <w:rPr>
          <w:rFonts w:ascii="Palatino Linotype" w:hAnsi="Palatino Linotype" w:cs="Arial"/>
          <w:b/>
          <w:sz w:val="24"/>
          <w:szCs w:val="24"/>
        </w:rPr>
        <w:t>CUARTO</w:t>
      </w:r>
      <w:r w:rsidR="00157D9B" w:rsidRPr="004D70D4">
        <w:rPr>
          <w:rFonts w:ascii="Palatino Linotype" w:hAnsi="Palatino Linotype" w:cs="Arial"/>
          <w:sz w:val="24"/>
          <w:szCs w:val="24"/>
        </w:rPr>
        <w:t xml:space="preserve"> y en los artículos 49, fracción VIII, 132, fracción II de la Ley de Transparencia y Acceso a la Información Pública del Estado de México y Municipios y demás normatividades aplicables. </w:t>
      </w:r>
    </w:p>
    <w:p w:rsidR="00157D9B" w:rsidRPr="00907D37" w:rsidRDefault="00157D9B" w:rsidP="00A3006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157D9B" w:rsidRPr="00256F8C" w:rsidRDefault="00157D9B" w:rsidP="00A30060">
      <w:pPr>
        <w:autoSpaceDE w:val="0"/>
        <w:autoSpaceDN w:val="0"/>
        <w:adjustRightInd w:val="0"/>
        <w:spacing w:after="0" w:line="360" w:lineRule="auto"/>
        <w:ind w:right="49"/>
        <w:jc w:val="both"/>
        <w:rPr>
          <w:rFonts w:ascii="Palatino Linotype" w:hAnsi="Palatino Linotype" w:cs="Arial"/>
          <w:b/>
          <w:sz w:val="16"/>
          <w:szCs w:val="24"/>
        </w:rPr>
      </w:pPr>
    </w:p>
    <w:p w:rsidR="00157D9B" w:rsidRDefault="00157D9B" w:rsidP="00A3006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 la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4D70D4" w:rsidRDefault="004D70D4" w:rsidP="00A30060">
      <w:pPr>
        <w:autoSpaceDE w:val="0"/>
        <w:autoSpaceDN w:val="0"/>
        <w:adjustRightInd w:val="0"/>
        <w:spacing w:after="0" w:line="360" w:lineRule="auto"/>
        <w:ind w:right="49"/>
        <w:jc w:val="both"/>
        <w:rPr>
          <w:rFonts w:ascii="Palatino Linotype" w:hAnsi="Palatino Linotype" w:cs="Arial"/>
          <w:sz w:val="24"/>
          <w:szCs w:val="24"/>
        </w:rPr>
      </w:pPr>
    </w:p>
    <w:p w:rsidR="00157D9B" w:rsidRDefault="00157D9B" w:rsidP="00A300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8B7CAC">
        <w:rPr>
          <w:rFonts w:ascii="Palatino Linotype" w:hAnsi="Palatino Linotype" w:cs="Arial"/>
          <w:sz w:val="24"/>
          <w:szCs w:val="24"/>
        </w:rPr>
        <w:t>CUADRAGÉSIMA SEXTA</w:t>
      </w:r>
      <w:r>
        <w:rPr>
          <w:rFonts w:ascii="Palatino Linotype" w:hAnsi="Palatino Linotype" w:cs="Arial"/>
          <w:sz w:val="24"/>
          <w:szCs w:val="24"/>
        </w:rPr>
        <w:t xml:space="preserve"> SESIÓN ORDINARIA CELEBRADA EL </w:t>
      </w:r>
      <w:r w:rsidR="008B7CAC">
        <w:rPr>
          <w:rFonts w:ascii="Palatino Linotype" w:hAnsi="Palatino Linotype" w:cs="Arial"/>
          <w:sz w:val="24"/>
          <w:szCs w:val="24"/>
        </w:rPr>
        <w:t xml:space="preserve">DOCE DE DICIEMBRE </w:t>
      </w:r>
      <w:r>
        <w:rPr>
          <w:rFonts w:ascii="Palatino Linotype" w:hAnsi="Palatino Linotype" w:cs="Arial"/>
          <w:sz w:val="24"/>
          <w:szCs w:val="24"/>
        </w:rPr>
        <w:t>DE DOS MIL DIECIOCHO, ANTE EL SECRETARIO TÉCNICO DEL PLENO, ALEXIS TAPIA RAMÍREZ. --------------------------------------------------------------------------------------------------</w:t>
      </w:r>
    </w:p>
    <w:p w:rsidR="00157D9B" w:rsidRDefault="00157D9B"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7D9B" w:rsidRDefault="00157D9B"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7D9B" w:rsidRDefault="00157D9B"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7D9B" w:rsidRDefault="00157D9B" w:rsidP="00A3006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57D9B" w:rsidTr="00AE58A6">
        <w:trPr>
          <w:jc w:val="center"/>
        </w:trPr>
        <w:tc>
          <w:tcPr>
            <w:tcW w:w="9062" w:type="dxa"/>
            <w:gridSpan w:val="2"/>
          </w:tcPr>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r>
              <w:rPr>
                <w:rFonts w:ascii="Palatino Linotype" w:hAnsi="Palatino Linotype"/>
                <w:b/>
              </w:rPr>
              <w:t>Zulema Martínez Sánchez</w:t>
            </w:r>
          </w:p>
          <w:p w:rsidR="00157D9B" w:rsidRDefault="00157D9B" w:rsidP="00A30060">
            <w:pPr>
              <w:pStyle w:val="Sinespaciado"/>
              <w:jc w:val="center"/>
              <w:rPr>
                <w:rFonts w:ascii="Palatino Linotype" w:hAnsi="Palatino Linotype"/>
              </w:rPr>
            </w:pPr>
            <w:r>
              <w:rPr>
                <w:rFonts w:ascii="Palatino Linotype" w:hAnsi="Palatino Linotype"/>
              </w:rPr>
              <w:t>Comisionada Presidenta</w:t>
            </w:r>
          </w:p>
          <w:p w:rsidR="00157D9B" w:rsidRDefault="00157D9B" w:rsidP="00A30060">
            <w:pPr>
              <w:pStyle w:val="Sinespaciado"/>
              <w:jc w:val="center"/>
              <w:rPr>
                <w:rFonts w:ascii="Palatino Linotype" w:hAnsi="Palatino Linotype"/>
              </w:rPr>
            </w:pPr>
            <w:r>
              <w:rPr>
                <w:rFonts w:ascii="Palatino Linotype" w:hAnsi="Palatino Linotype"/>
              </w:rPr>
              <w:t>(Rúbrica)</w:t>
            </w:r>
          </w:p>
          <w:p w:rsidR="00157D9B" w:rsidRDefault="00157D9B" w:rsidP="00A30060">
            <w:pPr>
              <w:pStyle w:val="Sinespaciado"/>
              <w:jc w:val="center"/>
              <w:rPr>
                <w:rFonts w:ascii="Palatino Linotype" w:hAnsi="Palatino Linotype"/>
              </w:rPr>
            </w:pPr>
            <w:r>
              <w:rPr>
                <w:rFonts w:ascii="Palatino Linotype" w:hAnsi="Palatino Linotype"/>
                <w:color w:val="FFFFFF" w:themeColor="background1"/>
              </w:rPr>
              <w:t>(Rúbrica)</w:t>
            </w:r>
          </w:p>
        </w:tc>
      </w:tr>
      <w:tr w:rsidR="00157D9B" w:rsidTr="00AE58A6">
        <w:trPr>
          <w:jc w:val="center"/>
        </w:trPr>
        <w:tc>
          <w:tcPr>
            <w:tcW w:w="4531" w:type="dxa"/>
          </w:tcPr>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r>
              <w:rPr>
                <w:rFonts w:ascii="Palatino Linotype" w:hAnsi="Palatino Linotype"/>
                <w:b/>
              </w:rPr>
              <w:t>Eva Abaid Yapur</w:t>
            </w:r>
          </w:p>
          <w:p w:rsidR="00157D9B" w:rsidRDefault="00157D9B" w:rsidP="00A30060">
            <w:pPr>
              <w:pStyle w:val="Sinespaciado"/>
              <w:jc w:val="center"/>
              <w:rPr>
                <w:rFonts w:ascii="Palatino Linotype" w:hAnsi="Palatino Linotype"/>
              </w:rPr>
            </w:pPr>
            <w:r>
              <w:rPr>
                <w:rFonts w:ascii="Palatino Linotype" w:hAnsi="Palatino Linotype"/>
              </w:rPr>
              <w:t>Comisionada</w:t>
            </w:r>
          </w:p>
          <w:p w:rsidR="00157D9B" w:rsidRDefault="00157D9B" w:rsidP="00A30060">
            <w:pPr>
              <w:pStyle w:val="Sinespaciado"/>
              <w:jc w:val="center"/>
              <w:rPr>
                <w:rFonts w:ascii="Palatino Linotype" w:hAnsi="Palatino Linotype"/>
              </w:rPr>
            </w:pPr>
            <w:r>
              <w:rPr>
                <w:rFonts w:ascii="Palatino Linotype" w:hAnsi="Palatino Linotype"/>
              </w:rPr>
              <w:t>(Rúbrica)</w:t>
            </w:r>
          </w:p>
          <w:p w:rsidR="00157D9B" w:rsidRDefault="00157D9B" w:rsidP="00A30060">
            <w:pPr>
              <w:pStyle w:val="Sinespaciado"/>
              <w:spacing w:line="276" w:lineRule="auto"/>
              <w:jc w:val="center"/>
              <w:rPr>
                <w:rFonts w:ascii="Palatino Linotype" w:hAnsi="Palatino Linotype"/>
              </w:rPr>
            </w:pPr>
          </w:p>
          <w:p w:rsidR="00157D9B" w:rsidRDefault="00157D9B" w:rsidP="00A30060">
            <w:pPr>
              <w:pStyle w:val="Sinespaciado"/>
              <w:spacing w:line="276" w:lineRule="auto"/>
              <w:jc w:val="center"/>
              <w:rPr>
                <w:rFonts w:ascii="Palatino Linotype" w:hAnsi="Palatino Linotype"/>
              </w:rPr>
            </w:pPr>
          </w:p>
          <w:p w:rsidR="00157D9B" w:rsidRDefault="00157D9B" w:rsidP="00A30060">
            <w:pPr>
              <w:pStyle w:val="Sinespaciado"/>
              <w:spacing w:line="276" w:lineRule="auto"/>
              <w:jc w:val="center"/>
              <w:rPr>
                <w:rFonts w:ascii="Palatino Linotype" w:hAnsi="Palatino Linotype"/>
              </w:rPr>
            </w:pPr>
          </w:p>
          <w:p w:rsidR="00157D9B" w:rsidRDefault="00157D9B" w:rsidP="00A30060">
            <w:pPr>
              <w:pStyle w:val="Sinespaciado"/>
              <w:spacing w:line="276" w:lineRule="auto"/>
              <w:jc w:val="center"/>
              <w:rPr>
                <w:rFonts w:ascii="Palatino Linotype" w:hAnsi="Palatino Linotype"/>
              </w:rPr>
            </w:pPr>
          </w:p>
          <w:p w:rsidR="00157D9B" w:rsidRDefault="00157D9B" w:rsidP="00A30060">
            <w:pPr>
              <w:pStyle w:val="Sinespaciado"/>
              <w:spacing w:line="276" w:lineRule="auto"/>
              <w:jc w:val="center"/>
              <w:rPr>
                <w:rFonts w:ascii="Palatino Linotype" w:hAnsi="Palatino Linotype"/>
              </w:rPr>
            </w:pPr>
          </w:p>
          <w:p w:rsidR="00157D9B" w:rsidRDefault="00157D9B" w:rsidP="00A30060">
            <w:pPr>
              <w:pStyle w:val="Sinespaciado"/>
              <w:spacing w:line="276" w:lineRule="auto"/>
              <w:jc w:val="center"/>
              <w:rPr>
                <w:rFonts w:ascii="Palatino Linotype" w:hAnsi="Palatino Linotype"/>
                <w:b/>
              </w:rPr>
            </w:pPr>
            <w:r>
              <w:rPr>
                <w:rFonts w:ascii="Palatino Linotype" w:hAnsi="Palatino Linotype"/>
                <w:b/>
              </w:rPr>
              <w:t>Javier Martínez Cruz</w:t>
            </w:r>
          </w:p>
          <w:p w:rsidR="00157D9B" w:rsidRDefault="00157D9B" w:rsidP="00A30060">
            <w:pPr>
              <w:pStyle w:val="Sinespaciado"/>
              <w:spacing w:line="276" w:lineRule="auto"/>
              <w:jc w:val="center"/>
              <w:rPr>
                <w:rFonts w:ascii="Palatino Linotype" w:hAnsi="Palatino Linotype"/>
              </w:rPr>
            </w:pPr>
            <w:r>
              <w:rPr>
                <w:rFonts w:ascii="Palatino Linotype" w:hAnsi="Palatino Linotype"/>
              </w:rPr>
              <w:t>Comisionado</w:t>
            </w:r>
          </w:p>
          <w:p w:rsidR="00157D9B" w:rsidRDefault="00157D9B" w:rsidP="00A30060">
            <w:pPr>
              <w:pStyle w:val="Sinespaciado"/>
              <w:spacing w:line="276" w:lineRule="auto"/>
              <w:jc w:val="center"/>
              <w:rPr>
                <w:rFonts w:ascii="Palatino Linotype" w:hAnsi="Palatino Linotype"/>
              </w:rPr>
            </w:pPr>
            <w:r>
              <w:rPr>
                <w:rFonts w:ascii="Palatino Linotype" w:hAnsi="Palatino Linotype"/>
              </w:rPr>
              <w:t>(Rúbrica)</w:t>
            </w:r>
          </w:p>
          <w:p w:rsidR="00157D9B" w:rsidRDefault="00157D9B" w:rsidP="00A30060">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r>
              <w:rPr>
                <w:rFonts w:ascii="Palatino Linotype" w:hAnsi="Palatino Linotype"/>
                <w:b/>
              </w:rPr>
              <w:t>José Guadalupe Luna Hernández</w:t>
            </w:r>
          </w:p>
          <w:p w:rsidR="00157D9B" w:rsidRDefault="00157D9B" w:rsidP="00A30060">
            <w:pPr>
              <w:pStyle w:val="Sinespaciado"/>
              <w:jc w:val="center"/>
              <w:rPr>
                <w:rFonts w:ascii="Palatino Linotype" w:hAnsi="Palatino Linotype"/>
              </w:rPr>
            </w:pPr>
            <w:r>
              <w:rPr>
                <w:rFonts w:ascii="Palatino Linotype" w:hAnsi="Palatino Linotype"/>
              </w:rPr>
              <w:t>Comisionado</w:t>
            </w:r>
          </w:p>
          <w:p w:rsidR="00157D9B" w:rsidRDefault="00157D9B" w:rsidP="00A30060">
            <w:pPr>
              <w:pStyle w:val="Sinespaciado"/>
              <w:jc w:val="center"/>
              <w:rPr>
                <w:rFonts w:ascii="Palatino Linotype" w:hAnsi="Palatino Linotype"/>
              </w:rPr>
            </w:pPr>
            <w:r>
              <w:rPr>
                <w:rFonts w:ascii="Palatino Linotype" w:hAnsi="Palatino Linotype"/>
              </w:rPr>
              <w:t>(Rúbrica)</w:t>
            </w:r>
          </w:p>
          <w:p w:rsidR="00157D9B" w:rsidRDefault="00157D9B" w:rsidP="00A30060">
            <w:pPr>
              <w:pStyle w:val="Sinespaciado"/>
              <w:jc w:val="center"/>
              <w:rPr>
                <w:rFonts w:ascii="Palatino Linotype" w:hAnsi="Palatino Linotype"/>
              </w:rPr>
            </w:pPr>
          </w:p>
          <w:p w:rsidR="00157D9B" w:rsidRDefault="00157D9B" w:rsidP="00A30060">
            <w:pPr>
              <w:pStyle w:val="Sinespaciado"/>
              <w:jc w:val="center"/>
              <w:rPr>
                <w:rFonts w:ascii="Palatino Linotype" w:hAnsi="Palatino Linotype"/>
              </w:rPr>
            </w:pPr>
          </w:p>
          <w:p w:rsidR="00157D9B" w:rsidRDefault="00157D9B" w:rsidP="00A30060">
            <w:pPr>
              <w:pStyle w:val="Sinespaciado"/>
              <w:jc w:val="center"/>
              <w:rPr>
                <w:rFonts w:ascii="Palatino Linotype" w:hAnsi="Palatino Linotype"/>
              </w:rPr>
            </w:pPr>
          </w:p>
          <w:p w:rsidR="00157D9B" w:rsidRDefault="00157D9B" w:rsidP="00A30060">
            <w:pPr>
              <w:pStyle w:val="Sinespaciado"/>
              <w:jc w:val="center"/>
              <w:rPr>
                <w:rFonts w:ascii="Palatino Linotype" w:hAnsi="Palatino Linotype"/>
              </w:rPr>
            </w:pPr>
          </w:p>
          <w:p w:rsidR="00157D9B" w:rsidRDefault="00157D9B" w:rsidP="00A30060">
            <w:pPr>
              <w:pStyle w:val="Sinespaciado"/>
              <w:jc w:val="center"/>
              <w:rPr>
                <w:rFonts w:ascii="Palatino Linotype" w:hAnsi="Palatino Linotype"/>
              </w:rPr>
            </w:pPr>
          </w:p>
          <w:p w:rsidR="00157D9B" w:rsidRDefault="00157D9B" w:rsidP="00A30060">
            <w:pPr>
              <w:pStyle w:val="Sinespaciado"/>
              <w:jc w:val="center"/>
              <w:rPr>
                <w:rFonts w:ascii="Palatino Linotype" w:hAnsi="Palatino Linotype"/>
              </w:rPr>
            </w:pPr>
          </w:p>
          <w:p w:rsidR="00157D9B" w:rsidRDefault="00157D9B" w:rsidP="00A30060">
            <w:pPr>
              <w:pStyle w:val="Sinespaciado"/>
              <w:spacing w:line="276" w:lineRule="auto"/>
              <w:jc w:val="center"/>
              <w:rPr>
                <w:rFonts w:ascii="Palatino Linotype" w:hAnsi="Palatino Linotype"/>
                <w:b/>
              </w:rPr>
            </w:pPr>
            <w:r>
              <w:rPr>
                <w:rFonts w:ascii="Palatino Linotype" w:hAnsi="Palatino Linotype"/>
                <w:b/>
              </w:rPr>
              <w:t>Luis Gustavo Parra Noriega</w:t>
            </w:r>
          </w:p>
          <w:p w:rsidR="00157D9B" w:rsidRDefault="00157D9B" w:rsidP="00A30060">
            <w:pPr>
              <w:pStyle w:val="Sinespaciado"/>
              <w:spacing w:line="276" w:lineRule="auto"/>
              <w:jc w:val="center"/>
              <w:rPr>
                <w:rFonts w:ascii="Palatino Linotype" w:hAnsi="Palatino Linotype"/>
              </w:rPr>
            </w:pPr>
            <w:r>
              <w:rPr>
                <w:rFonts w:ascii="Palatino Linotype" w:hAnsi="Palatino Linotype"/>
              </w:rPr>
              <w:t xml:space="preserve">Comisionado </w:t>
            </w:r>
          </w:p>
          <w:p w:rsidR="00157D9B" w:rsidRDefault="00157D9B" w:rsidP="00A30060">
            <w:pPr>
              <w:pStyle w:val="Sinespaciado"/>
              <w:spacing w:line="276" w:lineRule="auto"/>
              <w:jc w:val="center"/>
              <w:rPr>
                <w:rFonts w:ascii="Palatino Linotype" w:hAnsi="Palatino Linotype"/>
              </w:rPr>
            </w:pPr>
            <w:r>
              <w:rPr>
                <w:rFonts w:ascii="Palatino Linotype" w:hAnsi="Palatino Linotype"/>
              </w:rPr>
              <w:t>(Rúbrica)</w:t>
            </w:r>
          </w:p>
          <w:p w:rsidR="00157D9B" w:rsidRDefault="00157D9B" w:rsidP="00A30060">
            <w:pPr>
              <w:pStyle w:val="Sinespaciado"/>
              <w:jc w:val="center"/>
              <w:rPr>
                <w:rFonts w:ascii="Palatino Linotype" w:hAnsi="Palatino Linotype"/>
              </w:rPr>
            </w:pPr>
            <w:r>
              <w:rPr>
                <w:rFonts w:ascii="Palatino Linotype" w:hAnsi="Palatino Linotype"/>
                <w:color w:val="FFFFFF" w:themeColor="background1"/>
              </w:rPr>
              <w:t>(Rúbrica)</w:t>
            </w:r>
          </w:p>
        </w:tc>
      </w:tr>
      <w:tr w:rsidR="00157D9B" w:rsidTr="00AE58A6">
        <w:trPr>
          <w:jc w:val="center"/>
        </w:trPr>
        <w:tc>
          <w:tcPr>
            <w:tcW w:w="9062" w:type="dxa"/>
            <w:gridSpan w:val="2"/>
          </w:tcPr>
          <w:p w:rsidR="00157D9B" w:rsidRDefault="00157D9B" w:rsidP="00A30060">
            <w:pPr>
              <w:pStyle w:val="Sinespaciado"/>
              <w:rPr>
                <w:rFonts w:ascii="Palatino Linotype" w:hAnsi="Palatino Linotype"/>
              </w:rPr>
            </w:pPr>
          </w:p>
        </w:tc>
      </w:tr>
      <w:tr w:rsidR="00157D9B" w:rsidTr="00AE58A6">
        <w:trPr>
          <w:jc w:val="center"/>
        </w:trPr>
        <w:tc>
          <w:tcPr>
            <w:tcW w:w="9062" w:type="dxa"/>
            <w:gridSpan w:val="2"/>
          </w:tcPr>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B52ED2" w:rsidRDefault="00B52ED2"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p>
          <w:p w:rsidR="00157D9B" w:rsidRDefault="00157D9B" w:rsidP="00A30060">
            <w:pPr>
              <w:pStyle w:val="Sinespaciado"/>
              <w:jc w:val="center"/>
              <w:rPr>
                <w:rFonts w:ascii="Palatino Linotype" w:hAnsi="Palatino Linotype"/>
                <w:b/>
              </w:rPr>
            </w:pPr>
            <w:r>
              <w:rPr>
                <w:rFonts w:ascii="Palatino Linotype" w:hAnsi="Palatino Linotype"/>
                <w:b/>
              </w:rPr>
              <w:t>Alexis Tapia Ramírez</w:t>
            </w:r>
          </w:p>
          <w:p w:rsidR="00157D9B" w:rsidRDefault="00157D9B" w:rsidP="00A30060">
            <w:pPr>
              <w:pStyle w:val="Sinespaciado"/>
              <w:jc w:val="center"/>
              <w:rPr>
                <w:rFonts w:ascii="Palatino Linotype" w:hAnsi="Palatino Linotype"/>
              </w:rPr>
            </w:pPr>
            <w:r>
              <w:rPr>
                <w:rFonts w:ascii="Palatino Linotype" w:hAnsi="Palatino Linotype"/>
              </w:rPr>
              <w:t>Secretario Técnico del Pleno</w:t>
            </w:r>
          </w:p>
          <w:p w:rsidR="00157D9B" w:rsidRPr="00B52ED2" w:rsidRDefault="00157D9B" w:rsidP="00A30060">
            <w:pPr>
              <w:pStyle w:val="Sinespaciado"/>
              <w:jc w:val="center"/>
              <w:rPr>
                <w:rFonts w:ascii="Palatino Linotype" w:hAnsi="Palatino Linotype"/>
              </w:rPr>
            </w:pPr>
            <w:r w:rsidRPr="00B52ED2">
              <w:rPr>
                <w:rFonts w:ascii="Palatino Linotype" w:hAnsi="Palatino Linotype"/>
              </w:rPr>
              <w:t>(Rúbrica)</w:t>
            </w:r>
            <w:r w:rsidRPr="00B52ED2">
              <w:rPr>
                <w:rFonts w:ascii="Palatino Linotype" w:hAnsi="Palatino Linotype"/>
                <w:color w:val="FFFFFF" w:themeColor="background1"/>
              </w:rPr>
              <w:t>)</w:t>
            </w:r>
          </w:p>
        </w:tc>
      </w:tr>
    </w:tbl>
    <w:p w:rsidR="00157D9B" w:rsidRPr="006A5AC2" w:rsidRDefault="00157D9B" w:rsidP="00A30060">
      <w:pPr>
        <w:spacing w:after="0" w:line="360" w:lineRule="auto"/>
        <w:jc w:val="both"/>
        <w:rPr>
          <w:rFonts w:ascii="Palatino Linotype" w:hAnsi="Palatino Linotype" w:cs="Arial"/>
          <w:sz w:val="4"/>
          <w:szCs w:val="24"/>
        </w:rPr>
      </w:pPr>
    </w:p>
    <w:p w:rsidR="00157D9B" w:rsidRPr="00B36966" w:rsidRDefault="00157D9B" w:rsidP="00A30060">
      <w:pPr>
        <w:spacing w:after="0" w:line="240" w:lineRule="auto"/>
        <w:jc w:val="both"/>
        <w:rPr>
          <w:rFonts w:ascii="Palatino Linotype" w:hAnsi="Palatino Linotype" w:cs="Arial"/>
          <w:sz w:val="2"/>
          <w:szCs w:val="20"/>
        </w:rPr>
      </w:pPr>
    </w:p>
    <w:p w:rsidR="00157D9B" w:rsidRPr="006A5AC2" w:rsidRDefault="00157D9B" w:rsidP="00A30060">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8B7CAC">
        <w:rPr>
          <w:rFonts w:ascii="Palatino Linotype" w:hAnsi="Palatino Linotype" w:cs="Arial"/>
          <w:sz w:val="16"/>
          <w:szCs w:val="20"/>
        </w:rPr>
        <w:t>doce de diciembre de dos mil dieciocho</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9C44A5">
        <w:rPr>
          <w:rFonts w:ascii="Palatino Linotype" w:hAnsi="Palatino Linotype" w:cs="Arial"/>
          <w:bCs/>
          <w:sz w:val="16"/>
          <w:szCs w:val="20"/>
          <w:lang w:eastAsia="es-MX"/>
        </w:rPr>
        <w:t>42</w:t>
      </w:r>
      <w:r w:rsidR="00926928">
        <w:rPr>
          <w:rFonts w:ascii="Palatino Linotype" w:hAnsi="Palatino Linotype" w:cs="Arial"/>
          <w:bCs/>
          <w:sz w:val="16"/>
          <w:szCs w:val="20"/>
          <w:lang w:eastAsia="es-MX"/>
        </w:rPr>
        <w:t>50</w:t>
      </w:r>
      <w:r w:rsidRPr="006A5AC2">
        <w:rPr>
          <w:rFonts w:ascii="Palatino Linotype" w:hAnsi="Palatino Linotype" w:cs="Arial"/>
          <w:bCs/>
          <w:sz w:val="16"/>
          <w:szCs w:val="20"/>
          <w:lang w:eastAsia="es-MX"/>
        </w:rPr>
        <w:t>/INFOEM/IP/RR/2018</w:t>
      </w:r>
      <w:r w:rsidRPr="006A5AC2">
        <w:rPr>
          <w:rFonts w:ascii="Palatino Linotype" w:hAnsi="Palatino Linotype" w:cs="Arial"/>
          <w:sz w:val="16"/>
          <w:szCs w:val="20"/>
        </w:rPr>
        <w:t>.</w:t>
      </w:r>
    </w:p>
    <w:p w:rsidR="009657D8" w:rsidRDefault="00157D9B" w:rsidP="00B52ED2">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9657D8" w:rsidSect="00AE58A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E3E" w:rsidRDefault="004D6E3E" w:rsidP="00157D9B">
      <w:pPr>
        <w:spacing w:after="0" w:line="240" w:lineRule="auto"/>
      </w:pPr>
      <w:r>
        <w:separator/>
      </w:r>
    </w:p>
  </w:endnote>
  <w:endnote w:type="continuationSeparator" w:id="0">
    <w:p w:rsidR="004D6E3E" w:rsidRDefault="004D6E3E" w:rsidP="0015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E58A6" w:rsidRPr="002D6DD8" w:rsidRDefault="00AE58A6" w:rsidP="00AE58A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3B30">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63B30">
              <w:rPr>
                <w:rFonts w:ascii="Palatino Linotype" w:hAnsi="Palatino Linotype"/>
                <w:bCs/>
                <w:noProof/>
                <w:sz w:val="20"/>
              </w:rPr>
              <w:t>32</w:t>
            </w:r>
            <w:r>
              <w:rPr>
                <w:rFonts w:ascii="Palatino Linotype" w:hAnsi="Palatino Linotype"/>
                <w:bCs/>
                <w:noProof/>
                <w:sz w:val="20"/>
              </w:rPr>
              <w:fldChar w:fldCharType="end"/>
            </w:r>
          </w:p>
        </w:sdtContent>
      </w:sdt>
    </w:sdtContent>
  </w:sdt>
  <w:p w:rsidR="00AE58A6" w:rsidRDefault="00AE58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8A6" w:rsidRPr="000B69FA" w:rsidRDefault="00AE58A6" w:rsidP="00AE58A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3B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63B30">
      <w:rPr>
        <w:rFonts w:ascii="Palatino Linotype" w:hAnsi="Palatino Linotype"/>
        <w:bCs/>
        <w:noProof/>
        <w:sz w:val="20"/>
      </w:rPr>
      <w:t>32</w:t>
    </w:r>
    <w:r>
      <w:rPr>
        <w:rFonts w:ascii="Palatino Linotype" w:hAnsi="Palatino Linotype"/>
        <w:bCs/>
        <w:noProof/>
        <w:sz w:val="20"/>
      </w:rPr>
      <w:fldChar w:fldCharType="end"/>
    </w:r>
  </w:p>
  <w:p w:rsidR="00AE58A6" w:rsidRDefault="00AE58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E3E" w:rsidRDefault="004D6E3E" w:rsidP="00157D9B">
      <w:pPr>
        <w:spacing w:after="0" w:line="240" w:lineRule="auto"/>
      </w:pPr>
      <w:r>
        <w:separator/>
      </w:r>
    </w:p>
  </w:footnote>
  <w:footnote w:type="continuationSeparator" w:id="0">
    <w:p w:rsidR="004D6E3E" w:rsidRDefault="004D6E3E" w:rsidP="00157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AE58A6" w:rsidTr="00AE58A6">
      <w:trPr>
        <w:trHeight w:val="227"/>
      </w:trPr>
      <w:tc>
        <w:tcPr>
          <w:tcW w:w="4962" w:type="dxa"/>
          <w:hideMark/>
        </w:tcPr>
        <w:p w:rsidR="00AE58A6" w:rsidRDefault="00AE58A6" w:rsidP="00AE58A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AE58A6" w:rsidRDefault="00AE58A6" w:rsidP="00157D9B">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4250</w:t>
          </w:r>
          <w:r w:rsidRPr="003C4519">
            <w:rPr>
              <w:rFonts w:ascii="Palatino Linotype" w:hAnsi="Palatino Linotype" w:cs="Arial"/>
              <w:bCs/>
              <w:sz w:val="24"/>
              <w:lang w:eastAsia="es-MX"/>
            </w:rPr>
            <w:t>/INFOEM/IP/RR/2018</w:t>
          </w:r>
        </w:p>
      </w:tc>
    </w:tr>
    <w:tr w:rsidR="00AE58A6" w:rsidTr="00AE58A6">
      <w:trPr>
        <w:trHeight w:val="242"/>
      </w:trPr>
      <w:tc>
        <w:tcPr>
          <w:tcW w:w="4962" w:type="dxa"/>
          <w:hideMark/>
        </w:tcPr>
        <w:p w:rsidR="00AE58A6" w:rsidRDefault="00AE58A6" w:rsidP="00AE58A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AE58A6" w:rsidRDefault="00AE58A6" w:rsidP="00157D9B">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Sultepec</w:t>
          </w:r>
        </w:p>
      </w:tc>
    </w:tr>
    <w:tr w:rsidR="00AE58A6" w:rsidTr="00AE58A6">
      <w:trPr>
        <w:trHeight w:val="342"/>
      </w:trPr>
      <w:tc>
        <w:tcPr>
          <w:tcW w:w="4962" w:type="dxa"/>
          <w:hideMark/>
        </w:tcPr>
        <w:p w:rsidR="00AE58A6" w:rsidRDefault="00AE58A6" w:rsidP="00AE58A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AE58A6" w:rsidRDefault="00AE58A6" w:rsidP="00AE58A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E58A6" w:rsidRPr="00AE046A" w:rsidRDefault="00AE58A6" w:rsidP="00AE58A6">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E58A6" w:rsidTr="00AE58A6">
      <w:trPr>
        <w:trHeight w:val="227"/>
      </w:trPr>
      <w:tc>
        <w:tcPr>
          <w:tcW w:w="5104" w:type="dxa"/>
          <w:hideMark/>
        </w:tcPr>
        <w:p w:rsidR="00AE58A6" w:rsidRDefault="00AE58A6" w:rsidP="00AE58A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E58A6" w:rsidRDefault="00AE58A6" w:rsidP="00157D9B">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4250</w:t>
          </w:r>
          <w:r w:rsidRPr="008E426F">
            <w:rPr>
              <w:rFonts w:ascii="Palatino Linotype" w:hAnsi="Palatino Linotype" w:cs="Arial"/>
              <w:bCs/>
              <w:sz w:val="24"/>
              <w:lang w:eastAsia="es-MX"/>
            </w:rPr>
            <w:t>/INFOEM/IP/RR/2018</w:t>
          </w:r>
        </w:p>
      </w:tc>
    </w:tr>
    <w:tr w:rsidR="00AE58A6" w:rsidTr="00AE58A6">
      <w:trPr>
        <w:trHeight w:val="242"/>
      </w:trPr>
      <w:tc>
        <w:tcPr>
          <w:tcW w:w="5104" w:type="dxa"/>
          <w:hideMark/>
        </w:tcPr>
        <w:p w:rsidR="00AE58A6" w:rsidRDefault="00AE58A6" w:rsidP="00AE58A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E58A6" w:rsidRDefault="00AE58A6" w:rsidP="00157D9B">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Sultepec</w:t>
          </w:r>
        </w:p>
      </w:tc>
    </w:tr>
    <w:tr w:rsidR="00AE58A6" w:rsidTr="00AE58A6">
      <w:trPr>
        <w:trHeight w:val="342"/>
      </w:trPr>
      <w:tc>
        <w:tcPr>
          <w:tcW w:w="5104" w:type="dxa"/>
        </w:tcPr>
        <w:p w:rsidR="00AE58A6" w:rsidRDefault="00AE58A6" w:rsidP="00AE58A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E58A6" w:rsidRPr="003D23D7" w:rsidRDefault="00763B30" w:rsidP="00157D9B">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AE58A6" w:rsidTr="00AE58A6">
      <w:trPr>
        <w:trHeight w:val="342"/>
      </w:trPr>
      <w:tc>
        <w:tcPr>
          <w:tcW w:w="5104" w:type="dxa"/>
        </w:tcPr>
        <w:p w:rsidR="00AE58A6" w:rsidRDefault="00AE58A6" w:rsidP="00AE58A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E58A6" w:rsidRDefault="00AE58A6" w:rsidP="00AE58A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E58A6" w:rsidRPr="00C222C0" w:rsidRDefault="00AE58A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A74A7"/>
    <w:multiLevelType w:val="hybridMultilevel"/>
    <w:tmpl w:val="0E96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C208E"/>
    <w:multiLevelType w:val="hybridMultilevel"/>
    <w:tmpl w:val="288A7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60171D"/>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E80880"/>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2244E7"/>
    <w:multiLevelType w:val="hybridMultilevel"/>
    <w:tmpl w:val="3080E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FE136B"/>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9B"/>
    <w:rsid w:val="00081BA3"/>
    <w:rsid w:val="00141C2A"/>
    <w:rsid w:val="00151198"/>
    <w:rsid w:val="00157D9B"/>
    <w:rsid w:val="001C21D5"/>
    <w:rsid w:val="002549DB"/>
    <w:rsid w:val="00257DB0"/>
    <w:rsid w:val="00270D1A"/>
    <w:rsid w:val="002C747C"/>
    <w:rsid w:val="0036573B"/>
    <w:rsid w:val="003E27AA"/>
    <w:rsid w:val="00457A62"/>
    <w:rsid w:val="004D5899"/>
    <w:rsid w:val="004D6E3E"/>
    <w:rsid w:val="004D70D4"/>
    <w:rsid w:val="004E0180"/>
    <w:rsid w:val="0051257B"/>
    <w:rsid w:val="0055507B"/>
    <w:rsid w:val="00600F1D"/>
    <w:rsid w:val="006648E2"/>
    <w:rsid w:val="00763B30"/>
    <w:rsid w:val="007C453D"/>
    <w:rsid w:val="007D34E5"/>
    <w:rsid w:val="008B7CAC"/>
    <w:rsid w:val="00926928"/>
    <w:rsid w:val="009377B3"/>
    <w:rsid w:val="009657D8"/>
    <w:rsid w:val="009B4794"/>
    <w:rsid w:val="009C44A5"/>
    <w:rsid w:val="009F3FF9"/>
    <w:rsid w:val="00A30060"/>
    <w:rsid w:val="00AE58A6"/>
    <w:rsid w:val="00B52C0F"/>
    <w:rsid w:val="00B52ED2"/>
    <w:rsid w:val="00BB5470"/>
    <w:rsid w:val="00C16161"/>
    <w:rsid w:val="00C908F3"/>
    <w:rsid w:val="00DB4494"/>
    <w:rsid w:val="00E52BF8"/>
    <w:rsid w:val="00E806BF"/>
    <w:rsid w:val="00F439C3"/>
    <w:rsid w:val="00F50459"/>
    <w:rsid w:val="00F61983"/>
    <w:rsid w:val="00F82CBF"/>
    <w:rsid w:val="00FF22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CE82-E65A-4701-A83A-0C5ED2B4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9B"/>
  </w:style>
  <w:style w:type="paragraph" w:styleId="Ttulo1">
    <w:name w:val="heading 1"/>
    <w:basedOn w:val="Normal"/>
    <w:next w:val="Normal"/>
    <w:link w:val="Ttulo1Car"/>
    <w:uiPriority w:val="9"/>
    <w:qFormat/>
    <w:rsid w:val="00157D9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7D9B"/>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157D9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7D9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7D9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7D9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57D9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7D9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57D9B"/>
  </w:style>
  <w:style w:type="character" w:styleId="Hipervnculo">
    <w:name w:val="Hyperlink"/>
    <w:basedOn w:val="Fuentedeprrafopredeter"/>
    <w:uiPriority w:val="99"/>
    <w:unhideWhenUsed/>
    <w:rsid w:val="00157D9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57D9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7D9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7D9B"/>
    <w:rPr>
      <w:sz w:val="20"/>
      <w:szCs w:val="20"/>
    </w:rPr>
  </w:style>
  <w:style w:type="character" w:customStyle="1" w:styleId="SinespaciadoCar">
    <w:name w:val="Sin espaciado Car"/>
    <w:aliases w:val="Francesa Car"/>
    <w:link w:val="Sinespaciado"/>
    <w:uiPriority w:val="1"/>
    <w:locked/>
    <w:rsid w:val="00157D9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57D9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57D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AE58A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E58A6"/>
    <w:rPr>
      <w:rFonts w:ascii="Courier New" w:eastAsia="Times New Roman" w:hAnsi="Courier New" w:cs="Times New Roman"/>
      <w:sz w:val="20"/>
      <w:szCs w:val="20"/>
      <w:lang w:val="es-ES" w:eastAsia="es-ES"/>
    </w:rPr>
  </w:style>
  <w:style w:type="paragraph" w:customStyle="1" w:styleId="Texto">
    <w:name w:val="Texto"/>
    <w:basedOn w:val="Normal"/>
    <w:link w:val="TextoCar"/>
    <w:rsid w:val="00AE58A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4D589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88867">
      <w:bodyDiv w:val="1"/>
      <w:marLeft w:val="0"/>
      <w:marRight w:val="0"/>
      <w:marTop w:val="0"/>
      <w:marBottom w:val="0"/>
      <w:divBdr>
        <w:top w:val="none" w:sz="0" w:space="0" w:color="auto"/>
        <w:left w:val="none" w:sz="0" w:space="0" w:color="auto"/>
        <w:bottom w:val="none" w:sz="0" w:space="0" w:color="auto"/>
        <w:right w:val="none" w:sz="0" w:space="0" w:color="auto"/>
      </w:divBdr>
    </w:div>
    <w:div w:id="708653770">
      <w:bodyDiv w:val="1"/>
      <w:marLeft w:val="0"/>
      <w:marRight w:val="0"/>
      <w:marTop w:val="0"/>
      <w:marBottom w:val="0"/>
      <w:divBdr>
        <w:top w:val="none" w:sz="0" w:space="0" w:color="auto"/>
        <w:left w:val="none" w:sz="0" w:space="0" w:color="auto"/>
        <w:bottom w:val="none" w:sz="0" w:space="0" w:color="auto"/>
        <w:right w:val="none" w:sz="0" w:space="0" w:color="auto"/>
      </w:divBdr>
    </w:div>
    <w:div w:id="2092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8580</Words>
  <Characters>47191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2019-01-08T23:39:00Z</dcterms:created>
  <dcterms:modified xsi:type="dcterms:W3CDTF">2019-01-08T23:39:00Z</dcterms:modified>
</cp:coreProperties>
</file>