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1DB" w:rsidRPr="0068615F" w:rsidRDefault="005F11DB" w:rsidP="005F11DB">
      <w:pPr>
        <w:spacing w:after="0" w:line="360" w:lineRule="auto"/>
        <w:jc w:val="both"/>
        <w:rPr>
          <w:rFonts w:ascii="Palatino Linotype" w:hAnsi="Palatino Linotype" w:cs="Arial"/>
          <w:b/>
          <w:sz w:val="24"/>
          <w:szCs w:val="24"/>
        </w:rPr>
      </w:pPr>
      <w:r w:rsidRPr="0068615F">
        <w:rPr>
          <w:rFonts w:ascii="Palatino Linotype" w:hAnsi="Palatino Linotype" w:cs="Arial"/>
          <w:b/>
          <w:sz w:val="24"/>
          <w:szCs w:val="24"/>
        </w:rPr>
        <w:t xml:space="preserve">VOTO PARTICULAR </w:t>
      </w:r>
      <w:r w:rsidRPr="00A637EF">
        <w:rPr>
          <w:rFonts w:ascii="Palatino Linotype" w:hAnsi="Palatino Linotype" w:cs="Arial"/>
          <w:b/>
          <w:sz w:val="24"/>
          <w:szCs w:val="24"/>
        </w:rPr>
        <w:t xml:space="preserve">DEL COMISIONADO JOSÉ GUADALUPE LUNA HERNÁNDEZ EN EL RECURSO DE REVISIÓN </w:t>
      </w:r>
      <w:r w:rsidR="00A637EF" w:rsidRPr="00A637EF">
        <w:rPr>
          <w:rFonts w:ascii="Palatino Linotype" w:hAnsi="Palatino Linotype"/>
          <w:b/>
          <w:sz w:val="24"/>
          <w:szCs w:val="24"/>
          <w:lang w:val="es-ES_tradnl"/>
        </w:rPr>
        <w:t>04297/INFOEM/IP/RR/2018, 04298/INFOEM/IP/RR/2018 y 04299/INFOEM/IP/RR/2018</w:t>
      </w:r>
      <w:r w:rsidR="00A637EF">
        <w:rPr>
          <w:rFonts w:ascii="Palatino Linotype" w:hAnsi="Palatino Linotype" w:cs="Arial"/>
          <w:b/>
          <w:sz w:val="24"/>
          <w:szCs w:val="24"/>
        </w:rPr>
        <w:t xml:space="preserve"> acumulados.</w:t>
      </w:r>
    </w:p>
    <w:p w:rsidR="005F11DB" w:rsidRPr="0068615F" w:rsidRDefault="005F11DB" w:rsidP="005F11DB">
      <w:pPr>
        <w:spacing w:after="0" w:line="360" w:lineRule="auto"/>
        <w:jc w:val="both"/>
        <w:rPr>
          <w:rFonts w:ascii="Palatino Linotype" w:hAnsi="Palatino Linotype" w:cs="Arial"/>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La falta de impugnación respecto al resto de los requerimientos que no fueron manifestados en el recurso de revisión, no debe entenderse como actos consentidos.</w:t>
      </w:r>
    </w:p>
    <w:p w:rsidR="005F11DB" w:rsidRPr="0068615F" w:rsidRDefault="005F11DB" w:rsidP="005F11DB">
      <w:pPr>
        <w:spacing w:after="0" w:line="360" w:lineRule="auto"/>
        <w:jc w:val="both"/>
        <w:rPr>
          <w:rFonts w:ascii="Palatino Linotype" w:hAnsi="Palatino Linotype" w:cs="Arial"/>
          <w:i/>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La figura de actos consentidos no debe ser invocada en el derecho humano fundamental de acceder a la información pública gubernamental.</w:t>
      </w:r>
    </w:p>
    <w:p w:rsidR="005F11DB" w:rsidRPr="0068615F" w:rsidRDefault="005F11DB" w:rsidP="005F11DB">
      <w:pPr>
        <w:spacing w:after="0" w:line="360" w:lineRule="auto"/>
        <w:jc w:val="both"/>
        <w:rPr>
          <w:rFonts w:ascii="Palatino Linotype" w:hAnsi="Palatino Linotype" w:cs="Arial"/>
          <w:i/>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El Órgano Garante del derecho de acceso a la información pública no debe imponerles las cargas formales del proceso jurisdiccional a los particulares.</w:t>
      </w:r>
    </w:p>
    <w:p w:rsidR="005F11DB" w:rsidRPr="0068615F" w:rsidRDefault="005F11DB" w:rsidP="005F11DB">
      <w:pPr>
        <w:spacing w:after="0" w:line="360" w:lineRule="auto"/>
        <w:jc w:val="both"/>
        <w:rPr>
          <w:rFonts w:ascii="Palatino Linotype" w:hAnsi="Palatino Linotype" w:cs="Arial"/>
          <w:i/>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Lo que este Órgano Garante realice en materia de suplencia de la queja no afecta la igualdad de las partes sino procura el cumplimiento de los deberes de protección del derecho humano.</w:t>
      </w:r>
    </w:p>
    <w:p w:rsidR="005F11DB" w:rsidRPr="0068615F" w:rsidRDefault="005F11DB" w:rsidP="005F11DB">
      <w:pPr>
        <w:spacing w:after="0" w:line="360" w:lineRule="auto"/>
        <w:jc w:val="both"/>
        <w:rPr>
          <w:rFonts w:ascii="Palatino Linotype" w:hAnsi="Palatino Linotype" w:cs="Arial"/>
          <w:i/>
          <w:szCs w:val="24"/>
        </w:rPr>
      </w:pP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 xml:space="preserve">Restringir el derecho de acceso a la información pública del particular al no ordenar la información </w:t>
      </w:r>
      <w:proofErr w:type="gramStart"/>
      <w:r w:rsidRPr="0068615F">
        <w:rPr>
          <w:rFonts w:ascii="Palatino Linotype" w:hAnsi="Palatino Linotype" w:cs="Arial"/>
          <w:i/>
          <w:szCs w:val="24"/>
        </w:rPr>
        <w:t>solicitada</w:t>
      </w:r>
      <w:proofErr w:type="gramEnd"/>
      <w:r w:rsidRPr="0068615F">
        <w:rPr>
          <w:rFonts w:ascii="Palatino Linotype" w:hAnsi="Palatino Linotype" w:cs="Arial"/>
          <w:i/>
          <w:szCs w:val="24"/>
        </w:rPr>
        <w:t xml:space="preserve"> por no impugnar la falta de entrega de los documentos solicitados, debilita la efectividad de la  garantía de este derecho humano al hacerla depender de un hecho desconocido.</w:t>
      </w:r>
    </w:p>
    <w:p w:rsidR="005F11DB" w:rsidRPr="0068615F" w:rsidRDefault="005F11DB" w:rsidP="005F11DB">
      <w:pPr>
        <w:tabs>
          <w:tab w:val="left" w:pos="922"/>
        </w:tabs>
        <w:spacing w:after="0" w:line="360" w:lineRule="auto"/>
        <w:jc w:val="both"/>
        <w:rPr>
          <w:rFonts w:ascii="Palatino Linotype" w:hAnsi="Palatino Linotype" w:cs="Arial"/>
          <w:i/>
          <w:szCs w:val="24"/>
        </w:rPr>
      </w:pPr>
      <w:r w:rsidRPr="0068615F">
        <w:rPr>
          <w:rFonts w:ascii="Palatino Linotype" w:hAnsi="Palatino Linotype" w:cs="Arial"/>
          <w:i/>
          <w:szCs w:val="24"/>
        </w:rPr>
        <w:tab/>
      </w:r>
    </w:p>
    <w:p w:rsidR="005F11DB" w:rsidRPr="0068615F" w:rsidRDefault="005F11DB" w:rsidP="005F11DB">
      <w:pPr>
        <w:spacing w:after="0" w:line="360" w:lineRule="auto"/>
        <w:jc w:val="both"/>
        <w:rPr>
          <w:rFonts w:ascii="Palatino Linotype" w:hAnsi="Palatino Linotype" w:cs="Arial"/>
          <w:i/>
          <w:szCs w:val="24"/>
        </w:rPr>
      </w:pPr>
      <w:r w:rsidRPr="0068615F">
        <w:rPr>
          <w:rFonts w:ascii="Palatino Linotype" w:hAnsi="Palatino Linotype" w:cs="Arial"/>
          <w:i/>
          <w:szCs w:val="24"/>
        </w:rPr>
        <w:t>Los órganos del Estado, tienen el deber que tienen dentro del margen de sus atribuciones, de prevenir violaciones a los derechos fundamentales.</w:t>
      </w:r>
    </w:p>
    <w:p w:rsidR="005F11DB" w:rsidRPr="0068615F" w:rsidRDefault="005F11DB" w:rsidP="005F11DB">
      <w:pPr>
        <w:spacing w:after="0" w:line="360" w:lineRule="auto"/>
        <w:jc w:val="center"/>
        <w:rPr>
          <w:rFonts w:ascii="Palatino Linotype" w:hAnsi="Palatino Linotype" w:cs="Arial"/>
          <w:b/>
          <w:sz w:val="24"/>
          <w:szCs w:val="24"/>
        </w:rPr>
      </w:pPr>
    </w:p>
    <w:p w:rsidR="00FA35A6" w:rsidRDefault="00FA35A6" w:rsidP="005F11DB">
      <w:pPr>
        <w:spacing w:after="0" w:line="360" w:lineRule="auto"/>
        <w:jc w:val="center"/>
        <w:rPr>
          <w:rFonts w:ascii="Palatino Linotype" w:hAnsi="Palatino Linotype" w:cs="Arial"/>
          <w:b/>
          <w:sz w:val="24"/>
          <w:szCs w:val="24"/>
        </w:rPr>
      </w:pPr>
    </w:p>
    <w:p w:rsidR="005F11DB" w:rsidRPr="0068615F" w:rsidRDefault="005F11DB" w:rsidP="005F11DB">
      <w:pPr>
        <w:spacing w:after="0" w:line="360" w:lineRule="auto"/>
        <w:jc w:val="center"/>
        <w:rPr>
          <w:rFonts w:ascii="Palatino Linotype" w:hAnsi="Palatino Linotype" w:cs="Arial"/>
          <w:b/>
          <w:sz w:val="24"/>
          <w:szCs w:val="24"/>
        </w:rPr>
      </w:pPr>
      <w:r w:rsidRPr="0068615F">
        <w:rPr>
          <w:rFonts w:ascii="Palatino Linotype" w:hAnsi="Palatino Linotype" w:cs="Arial"/>
          <w:b/>
          <w:sz w:val="24"/>
          <w:szCs w:val="24"/>
        </w:rPr>
        <w:lastRenderedPageBreak/>
        <w:t>Índice</w:t>
      </w:r>
    </w:p>
    <w:p w:rsidR="005F11DB" w:rsidRPr="0068615F" w:rsidRDefault="005F11DB" w:rsidP="005F11DB">
      <w:pPr>
        <w:spacing w:after="0" w:line="360" w:lineRule="auto"/>
        <w:jc w:val="both"/>
        <w:rPr>
          <w:rFonts w:ascii="Palatino Linotype" w:hAnsi="Palatino Linotype" w:cs="Arial"/>
          <w:b/>
          <w:sz w:val="24"/>
          <w:szCs w:val="24"/>
        </w:rPr>
      </w:pPr>
    </w:p>
    <w:sdt>
      <w:sdtPr>
        <w:rPr>
          <w:rFonts w:ascii="Palatino Linotype" w:hAnsi="Palatino Linotype"/>
          <w:lang w:val="es-ES"/>
        </w:rPr>
        <w:id w:val="-1625236335"/>
        <w:docPartObj>
          <w:docPartGallery w:val="Table of Contents"/>
          <w:docPartUnique/>
        </w:docPartObj>
      </w:sdtPr>
      <w:sdtEndPr>
        <w:rPr>
          <w:b/>
          <w:bCs/>
        </w:rPr>
      </w:sdtEndPr>
      <w:sdtContent>
        <w:p w:rsidR="00C81948" w:rsidRPr="0068615F" w:rsidRDefault="005F11DB" w:rsidP="00C81948">
          <w:pPr>
            <w:pStyle w:val="TDC1"/>
            <w:tabs>
              <w:tab w:val="right" w:leader="dot" w:pos="8828"/>
            </w:tabs>
            <w:spacing w:line="480" w:lineRule="auto"/>
            <w:rPr>
              <w:rFonts w:ascii="Palatino Linotype" w:eastAsiaTheme="minorEastAsia" w:hAnsi="Palatino Linotype"/>
              <w:noProof/>
              <w:sz w:val="24"/>
              <w:lang w:eastAsia="es-MX"/>
            </w:rPr>
          </w:pPr>
          <w:r w:rsidRPr="0068615F">
            <w:rPr>
              <w:rFonts w:ascii="Palatino Linotype" w:eastAsiaTheme="majorEastAsia" w:hAnsi="Palatino Linotype" w:cstheme="majorBidi"/>
              <w:color w:val="000000" w:themeColor="text1"/>
              <w:sz w:val="24"/>
              <w:szCs w:val="24"/>
              <w:lang w:eastAsia="es-MX"/>
            </w:rPr>
            <w:fldChar w:fldCharType="begin"/>
          </w:r>
          <w:r w:rsidRPr="0068615F">
            <w:rPr>
              <w:rFonts w:ascii="Palatino Linotype" w:hAnsi="Palatino Linotype"/>
              <w:color w:val="000000" w:themeColor="text1"/>
              <w:sz w:val="24"/>
              <w:szCs w:val="24"/>
            </w:rPr>
            <w:instrText xml:space="preserve"> TOC \o "1-3" \h \z \u </w:instrText>
          </w:r>
          <w:r w:rsidRPr="0068615F">
            <w:rPr>
              <w:rFonts w:ascii="Palatino Linotype" w:eastAsiaTheme="majorEastAsia" w:hAnsi="Palatino Linotype" w:cstheme="majorBidi"/>
              <w:color w:val="000000" w:themeColor="text1"/>
              <w:sz w:val="24"/>
              <w:szCs w:val="24"/>
              <w:lang w:eastAsia="es-MX"/>
            </w:rPr>
            <w:fldChar w:fldCharType="separate"/>
          </w:r>
          <w:hyperlink w:anchor="_Toc482005019" w:history="1">
            <w:r w:rsidR="00C81948" w:rsidRPr="0068615F">
              <w:rPr>
                <w:rStyle w:val="Hipervnculo"/>
                <w:rFonts w:ascii="Palatino Linotype" w:hAnsi="Palatino Linotype"/>
                <w:b/>
                <w:noProof/>
                <w:sz w:val="24"/>
              </w:rPr>
              <w:t>I.</w:t>
            </w:r>
            <w:r w:rsidR="00C81948" w:rsidRPr="0068615F">
              <w:rPr>
                <w:rFonts w:ascii="Palatino Linotype" w:eastAsiaTheme="minorEastAsia" w:hAnsi="Palatino Linotype"/>
                <w:noProof/>
                <w:sz w:val="24"/>
                <w:lang w:eastAsia="es-MX"/>
              </w:rPr>
              <w:tab/>
            </w:r>
            <w:r w:rsidR="00C81948" w:rsidRPr="0068615F">
              <w:rPr>
                <w:rStyle w:val="Hipervnculo"/>
                <w:rFonts w:ascii="Palatino Linotype" w:hAnsi="Palatino Linotype"/>
                <w:b/>
                <w:noProof/>
                <w:sz w:val="24"/>
              </w:rPr>
              <w:t>Consideraciones Generales</w:t>
            </w:r>
            <w:r w:rsidR="00C81948" w:rsidRPr="0068615F">
              <w:rPr>
                <w:rFonts w:ascii="Palatino Linotype" w:hAnsi="Palatino Linotype"/>
                <w:noProof/>
                <w:webHidden/>
                <w:sz w:val="24"/>
              </w:rPr>
              <w:tab/>
            </w:r>
            <w:r w:rsidR="00C81948" w:rsidRPr="0068615F">
              <w:rPr>
                <w:rFonts w:ascii="Palatino Linotype" w:hAnsi="Palatino Linotype"/>
                <w:noProof/>
                <w:webHidden/>
                <w:sz w:val="24"/>
              </w:rPr>
              <w:fldChar w:fldCharType="begin"/>
            </w:r>
            <w:r w:rsidR="00C81948" w:rsidRPr="0068615F">
              <w:rPr>
                <w:rFonts w:ascii="Palatino Linotype" w:hAnsi="Palatino Linotype"/>
                <w:noProof/>
                <w:webHidden/>
                <w:sz w:val="24"/>
              </w:rPr>
              <w:instrText xml:space="preserve"> PAGEREF _Toc482005019 \h </w:instrText>
            </w:r>
            <w:r w:rsidR="00C81948" w:rsidRPr="0068615F">
              <w:rPr>
                <w:rFonts w:ascii="Palatino Linotype" w:hAnsi="Palatino Linotype"/>
                <w:noProof/>
                <w:webHidden/>
                <w:sz w:val="24"/>
              </w:rPr>
            </w:r>
            <w:r w:rsidR="00C81948" w:rsidRPr="0068615F">
              <w:rPr>
                <w:rFonts w:ascii="Palatino Linotype" w:hAnsi="Palatino Linotype"/>
                <w:noProof/>
                <w:webHidden/>
                <w:sz w:val="24"/>
              </w:rPr>
              <w:fldChar w:fldCharType="separate"/>
            </w:r>
            <w:r w:rsidR="00EE7E7A">
              <w:rPr>
                <w:rFonts w:ascii="Palatino Linotype" w:hAnsi="Palatino Linotype"/>
                <w:noProof/>
                <w:webHidden/>
                <w:sz w:val="24"/>
              </w:rPr>
              <w:t>3</w:t>
            </w:r>
            <w:r w:rsidR="00C81948" w:rsidRPr="0068615F">
              <w:rPr>
                <w:rFonts w:ascii="Palatino Linotype" w:hAnsi="Palatino Linotype"/>
                <w:noProof/>
                <w:webHidden/>
                <w:sz w:val="24"/>
              </w:rPr>
              <w:fldChar w:fldCharType="end"/>
            </w:r>
          </w:hyperlink>
        </w:p>
        <w:p w:rsidR="00C81948" w:rsidRPr="0068615F" w:rsidRDefault="00C369FA" w:rsidP="00C81948">
          <w:pPr>
            <w:pStyle w:val="TDC1"/>
            <w:tabs>
              <w:tab w:val="right" w:leader="dot" w:pos="8828"/>
            </w:tabs>
            <w:spacing w:line="480" w:lineRule="auto"/>
            <w:rPr>
              <w:rFonts w:ascii="Palatino Linotype" w:eastAsiaTheme="minorEastAsia" w:hAnsi="Palatino Linotype"/>
              <w:noProof/>
              <w:sz w:val="24"/>
              <w:lang w:eastAsia="es-MX"/>
            </w:rPr>
          </w:pPr>
          <w:hyperlink w:anchor="_Toc482005020" w:history="1">
            <w:r w:rsidR="00C81948" w:rsidRPr="0068615F">
              <w:rPr>
                <w:rStyle w:val="Hipervnculo"/>
                <w:rFonts w:ascii="Palatino Linotype" w:hAnsi="Palatino Linotype"/>
                <w:b/>
                <w:noProof/>
                <w:sz w:val="24"/>
              </w:rPr>
              <w:t>II.</w:t>
            </w:r>
            <w:r w:rsidR="00C81948" w:rsidRPr="0068615F">
              <w:rPr>
                <w:rFonts w:ascii="Palatino Linotype" w:eastAsiaTheme="minorEastAsia" w:hAnsi="Palatino Linotype"/>
                <w:noProof/>
                <w:sz w:val="24"/>
                <w:lang w:eastAsia="es-MX"/>
              </w:rPr>
              <w:tab/>
            </w:r>
            <w:r w:rsidR="00C81948" w:rsidRPr="0068615F">
              <w:rPr>
                <w:rStyle w:val="Hipervnculo"/>
                <w:rFonts w:ascii="Palatino Linotype" w:hAnsi="Palatino Linotype"/>
                <w:b/>
                <w:noProof/>
                <w:sz w:val="24"/>
              </w:rPr>
              <w:t>De los requerimientos planteados en el recurso de revisión.</w:t>
            </w:r>
            <w:r w:rsidR="00C81948" w:rsidRPr="0068615F">
              <w:rPr>
                <w:rFonts w:ascii="Palatino Linotype" w:hAnsi="Palatino Linotype"/>
                <w:noProof/>
                <w:webHidden/>
                <w:sz w:val="24"/>
              </w:rPr>
              <w:tab/>
            </w:r>
            <w:r w:rsidR="00C81948" w:rsidRPr="0068615F">
              <w:rPr>
                <w:rFonts w:ascii="Palatino Linotype" w:hAnsi="Palatino Linotype"/>
                <w:noProof/>
                <w:webHidden/>
                <w:sz w:val="24"/>
              </w:rPr>
              <w:fldChar w:fldCharType="begin"/>
            </w:r>
            <w:r w:rsidR="00C81948" w:rsidRPr="0068615F">
              <w:rPr>
                <w:rFonts w:ascii="Palatino Linotype" w:hAnsi="Palatino Linotype"/>
                <w:noProof/>
                <w:webHidden/>
                <w:sz w:val="24"/>
              </w:rPr>
              <w:instrText xml:space="preserve"> PAGEREF _Toc482005020 \h </w:instrText>
            </w:r>
            <w:r w:rsidR="00C81948" w:rsidRPr="0068615F">
              <w:rPr>
                <w:rFonts w:ascii="Palatino Linotype" w:hAnsi="Palatino Linotype"/>
                <w:noProof/>
                <w:webHidden/>
                <w:sz w:val="24"/>
              </w:rPr>
            </w:r>
            <w:r w:rsidR="00C81948" w:rsidRPr="0068615F">
              <w:rPr>
                <w:rFonts w:ascii="Palatino Linotype" w:hAnsi="Palatino Linotype"/>
                <w:noProof/>
                <w:webHidden/>
                <w:sz w:val="24"/>
              </w:rPr>
              <w:fldChar w:fldCharType="separate"/>
            </w:r>
            <w:r w:rsidR="00EE7E7A">
              <w:rPr>
                <w:rFonts w:ascii="Palatino Linotype" w:hAnsi="Palatino Linotype"/>
                <w:noProof/>
                <w:webHidden/>
                <w:sz w:val="24"/>
              </w:rPr>
              <w:t>6</w:t>
            </w:r>
            <w:r w:rsidR="00C81948" w:rsidRPr="0068615F">
              <w:rPr>
                <w:rFonts w:ascii="Palatino Linotype" w:hAnsi="Palatino Linotype"/>
                <w:noProof/>
                <w:webHidden/>
                <w:sz w:val="24"/>
              </w:rPr>
              <w:fldChar w:fldCharType="end"/>
            </w:r>
          </w:hyperlink>
        </w:p>
        <w:p w:rsidR="00C81948" w:rsidRPr="0068615F" w:rsidRDefault="00C369FA" w:rsidP="00C81948">
          <w:pPr>
            <w:pStyle w:val="TDC1"/>
            <w:tabs>
              <w:tab w:val="right" w:leader="dot" w:pos="8828"/>
            </w:tabs>
            <w:spacing w:line="480" w:lineRule="auto"/>
            <w:rPr>
              <w:rFonts w:ascii="Palatino Linotype" w:eastAsiaTheme="minorEastAsia" w:hAnsi="Palatino Linotype"/>
              <w:noProof/>
              <w:sz w:val="24"/>
              <w:lang w:eastAsia="es-MX"/>
            </w:rPr>
          </w:pPr>
          <w:hyperlink w:anchor="_Toc482005021" w:history="1">
            <w:r w:rsidR="00C81948" w:rsidRPr="0068615F">
              <w:rPr>
                <w:rStyle w:val="Hipervnculo"/>
                <w:rFonts w:ascii="Palatino Linotype" w:hAnsi="Palatino Linotype"/>
                <w:b/>
                <w:noProof/>
                <w:sz w:val="24"/>
              </w:rPr>
              <w:t>III.</w:t>
            </w:r>
            <w:r w:rsidR="00C81948" w:rsidRPr="0068615F">
              <w:rPr>
                <w:rFonts w:ascii="Palatino Linotype" w:eastAsiaTheme="minorEastAsia" w:hAnsi="Palatino Linotype"/>
                <w:noProof/>
                <w:sz w:val="24"/>
                <w:lang w:eastAsia="es-MX"/>
              </w:rPr>
              <w:tab/>
            </w:r>
            <w:r w:rsidR="00C81948" w:rsidRPr="0068615F">
              <w:rPr>
                <w:rStyle w:val="Hipervnculo"/>
                <w:rFonts w:ascii="Palatino Linotype" w:hAnsi="Palatino Linotype"/>
                <w:b/>
                <w:noProof/>
                <w:sz w:val="24"/>
              </w:rPr>
              <w:t>Los actos consentidos no deben invocarse en el derecho fundamental de acceder a la información pública gubernamental.</w:t>
            </w:r>
            <w:r w:rsidR="00C81948" w:rsidRPr="0068615F">
              <w:rPr>
                <w:rFonts w:ascii="Palatino Linotype" w:hAnsi="Palatino Linotype"/>
                <w:noProof/>
                <w:webHidden/>
                <w:sz w:val="24"/>
              </w:rPr>
              <w:tab/>
            </w:r>
            <w:r w:rsidR="00C81948" w:rsidRPr="0068615F">
              <w:rPr>
                <w:rFonts w:ascii="Palatino Linotype" w:hAnsi="Palatino Linotype"/>
                <w:noProof/>
                <w:webHidden/>
                <w:sz w:val="24"/>
              </w:rPr>
              <w:fldChar w:fldCharType="begin"/>
            </w:r>
            <w:r w:rsidR="00C81948" w:rsidRPr="0068615F">
              <w:rPr>
                <w:rFonts w:ascii="Palatino Linotype" w:hAnsi="Palatino Linotype"/>
                <w:noProof/>
                <w:webHidden/>
                <w:sz w:val="24"/>
              </w:rPr>
              <w:instrText xml:space="preserve"> PAGEREF _Toc482005021 \h </w:instrText>
            </w:r>
            <w:r w:rsidR="00C81948" w:rsidRPr="0068615F">
              <w:rPr>
                <w:rFonts w:ascii="Palatino Linotype" w:hAnsi="Palatino Linotype"/>
                <w:noProof/>
                <w:webHidden/>
                <w:sz w:val="24"/>
              </w:rPr>
            </w:r>
            <w:r w:rsidR="00C81948" w:rsidRPr="0068615F">
              <w:rPr>
                <w:rFonts w:ascii="Palatino Linotype" w:hAnsi="Palatino Linotype"/>
                <w:noProof/>
                <w:webHidden/>
                <w:sz w:val="24"/>
              </w:rPr>
              <w:fldChar w:fldCharType="separate"/>
            </w:r>
            <w:r w:rsidR="00EE7E7A">
              <w:rPr>
                <w:rFonts w:ascii="Palatino Linotype" w:hAnsi="Palatino Linotype"/>
                <w:noProof/>
                <w:webHidden/>
                <w:sz w:val="24"/>
              </w:rPr>
              <w:t>11</w:t>
            </w:r>
            <w:r w:rsidR="00C81948" w:rsidRPr="0068615F">
              <w:rPr>
                <w:rFonts w:ascii="Palatino Linotype" w:hAnsi="Palatino Linotype"/>
                <w:noProof/>
                <w:webHidden/>
                <w:sz w:val="24"/>
              </w:rPr>
              <w:fldChar w:fldCharType="end"/>
            </w:r>
          </w:hyperlink>
        </w:p>
        <w:p w:rsidR="005F11DB" w:rsidRPr="0068615F" w:rsidRDefault="00A878C0" w:rsidP="00C81948">
          <w:pPr>
            <w:spacing w:line="480" w:lineRule="auto"/>
            <w:rPr>
              <w:rFonts w:ascii="Palatino Linotype" w:hAnsi="Palatino Linotype"/>
            </w:rPr>
          </w:pPr>
          <w:r w:rsidRPr="0068615F">
            <w:rPr>
              <w:rFonts w:ascii="Palatino Linotype" w:hAnsi="Palatino Linotype"/>
              <w:noProof/>
              <w:sz w:val="28"/>
              <w:szCs w:val="24"/>
              <w:lang w:eastAsia="es-MX"/>
            </w:rPr>
            <mc:AlternateContent>
              <mc:Choice Requires="wps">
                <w:drawing>
                  <wp:anchor distT="0" distB="0" distL="114300" distR="114300" simplePos="0" relativeHeight="251659264" behindDoc="0" locked="0" layoutInCell="1" allowOverlap="1" wp14:anchorId="05B7652C" wp14:editId="67B10826">
                    <wp:simplePos x="0" y="0"/>
                    <wp:positionH relativeFrom="column">
                      <wp:posOffset>64267</wp:posOffset>
                    </wp:positionH>
                    <wp:positionV relativeFrom="paragraph">
                      <wp:posOffset>98164</wp:posOffset>
                    </wp:positionV>
                    <wp:extent cx="5503230" cy="2956373"/>
                    <wp:effectExtent l="0" t="0" r="21590" b="34925"/>
                    <wp:wrapNone/>
                    <wp:docPr id="1" name="Conector recto 1"/>
                    <wp:cNvGraphicFramePr/>
                    <a:graphic xmlns:a="http://schemas.openxmlformats.org/drawingml/2006/main">
                      <a:graphicData uri="http://schemas.microsoft.com/office/word/2010/wordprocessingShape">
                        <wps:wsp>
                          <wps:cNvCnPr/>
                          <wps:spPr>
                            <a:xfrm>
                              <a:off x="0" y="0"/>
                              <a:ext cx="5503230" cy="2956373"/>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46B3A"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pt,7.75pt" to="438.4pt,2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" strokecolor="black [3200]" strokeweight=".5pt">
                    <v:stroke dashstyle="longDash" joinstyle="miter"/>
                  </v:line>
                </w:pict>
              </mc:Fallback>
            </mc:AlternateContent>
          </w:r>
          <w:r w:rsidR="005F11DB" w:rsidRPr="0068615F">
            <w:rPr>
              <w:rFonts w:ascii="Palatino Linotype" w:hAnsi="Palatino Linotype"/>
              <w:b/>
              <w:bCs/>
              <w:color w:val="000000" w:themeColor="text1"/>
              <w:sz w:val="24"/>
              <w:szCs w:val="24"/>
              <w:lang w:val="es-ES"/>
            </w:rPr>
            <w:fldChar w:fldCharType="end"/>
          </w:r>
        </w:p>
      </w:sdtContent>
    </w:sdt>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5F11DB" w:rsidRPr="0068615F" w:rsidRDefault="005F11DB" w:rsidP="005F11DB">
      <w:pPr>
        <w:spacing w:after="0" w:line="360" w:lineRule="auto"/>
        <w:jc w:val="both"/>
        <w:rPr>
          <w:rFonts w:ascii="Palatino Linotype" w:hAnsi="Palatino Linotype" w:cs="Arial"/>
          <w:b/>
          <w:sz w:val="24"/>
          <w:szCs w:val="24"/>
        </w:rPr>
      </w:pPr>
    </w:p>
    <w:p w:rsidR="00FA35A6" w:rsidRPr="0068615F" w:rsidRDefault="00FA35A6" w:rsidP="005F11DB">
      <w:pPr>
        <w:spacing w:after="0" w:line="360" w:lineRule="auto"/>
        <w:jc w:val="both"/>
        <w:rPr>
          <w:rFonts w:ascii="Palatino Linotype" w:hAnsi="Palatino Linotype" w:cs="Arial"/>
          <w:b/>
          <w:sz w:val="24"/>
          <w:szCs w:val="24"/>
        </w:rPr>
      </w:pPr>
    </w:p>
    <w:p w:rsidR="00FA35A6" w:rsidRPr="0068615F" w:rsidRDefault="00FA35A6" w:rsidP="005F11DB">
      <w:pPr>
        <w:spacing w:after="0" w:line="360" w:lineRule="auto"/>
        <w:jc w:val="both"/>
        <w:rPr>
          <w:rFonts w:ascii="Palatino Linotype" w:hAnsi="Palatino Linotype" w:cs="Arial"/>
          <w:b/>
          <w:sz w:val="24"/>
          <w:szCs w:val="24"/>
        </w:rPr>
      </w:pPr>
    </w:p>
    <w:p w:rsidR="005F11DB" w:rsidRPr="0068615F" w:rsidRDefault="005F11DB" w:rsidP="005F11DB">
      <w:pPr>
        <w:pStyle w:val="Ttulo1"/>
        <w:numPr>
          <w:ilvl w:val="0"/>
          <w:numId w:val="13"/>
        </w:numPr>
        <w:ind w:hanging="294"/>
        <w:rPr>
          <w:rFonts w:ascii="Palatino Linotype" w:hAnsi="Palatino Linotype"/>
          <w:b/>
          <w:color w:val="000000" w:themeColor="text1"/>
          <w:sz w:val="24"/>
          <w:szCs w:val="24"/>
        </w:rPr>
      </w:pPr>
      <w:bookmarkStart w:id="0" w:name="_Toc482005019"/>
      <w:r w:rsidRPr="0068615F">
        <w:rPr>
          <w:rFonts w:ascii="Palatino Linotype" w:hAnsi="Palatino Linotype"/>
          <w:b/>
          <w:color w:val="000000" w:themeColor="text1"/>
          <w:sz w:val="24"/>
          <w:szCs w:val="24"/>
        </w:rPr>
        <w:lastRenderedPageBreak/>
        <w:t>Consideraciones Generales</w:t>
      </w:r>
      <w:bookmarkEnd w:id="0"/>
    </w:p>
    <w:p w:rsidR="005F11DB" w:rsidRPr="0068615F" w:rsidRDefault="005F11DB" w:rsidP="005F11DB">
      <w:pPr>
        <w:pStyle w:val="Prrafodelista"/>
        <w:spacing w:after="0" w:line="360" w:lineRule="auto"/>
        <w:ind w:left="1080"/>
        <w:jc w:val="both"/>
        <w:rPr>
          <w:rFonts w:ascii="Palatino Linotype" w:hAnsi="Palatino Linotype" w:cs="Arial"/>
          <w:b/>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eastAsia="Times New Roman" w:hAnsi="Palatino Linotype" w:cs="Arial"/>
          <w:sz w:val="24"/>
          <w:szCs w:val="24"/>
          <w:lang w:val="es-ES_tradnl"/>
        </w:rPr>
        <w:t xml:space="preserve">He concurrido con mi </w:t>
      </w:r>
      <w:r w:rsidRPr="0068615F">
        <w:rPr>
          <w:rFonts w:ascii="Palatino Linotype" w:eastAsia="Times New Roman" w:hAnsi="Palatino Linotype" w:cs="Arial"/>
          <w:b/>
          <w:sz w:val="24"/>
          <w:szCs w:val="24"/>
          <w:lang w:val="es-ES_tradnl"/>
        </w:rPr>
        <w:t>voto particular</w:t>
      </w:r>
      <w:r w:rsidRPr="0068615F">
        <w:rPr>
          <w:rFonts w:ascii="Palatino Linotype" w:eastAsia="Times New Roman" w:hAnsi="Palatino Linotype" w:cs="Arial"/>
          <w:sz w:val="24"/>
          <w:szCs w:val="24"/>
          <w:lang w:val="es-ES_tradnl"/>
        </w:rPr>
        <w:t xml:space="preserve"> de la presente resolución emitida </w:t>
      </w:r>
      <w:r w:rsidRPr="0068615F">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A637EF">
        <w:rPr>
          <w:rFonts w:ascii="Palatino Linotype" w:hAnsi="Palatino Linotype" w:cs="Arial"/>
          <w:sz w:val="24"/>
          <w:szCs w:val="24"/>
        </w:rPr>
        <w:t>Cuart</w:t>
      </w:r>
      <w:r w:rsidR="009979C7" w:rsidRPr="0068615F">
        <w:rPr>
          <w:rFonts w:ascii="Palatino Linotype" w:hAnsi="Palatino Linotype" w:cs="Arial"/>
          <w:sz w:val="24"/>
          <w:szCs w:val="24"/>
        </w:rPr>
        <w:t xml:space="preserve">a </w:t>
      </w:r>
      <w:r w:rsidR="00A637EF">
        <w:rPr>
          <w:rFonts w:ascii="Palatino Linotype" w:hAnsi="Palatino Linotype" w:cs="Arial"/>
          <w:sz w:val="24"/>
          <w:szCs w:val="24"/>
        </w:rPr>
        <w:t>S</w:t>
      </w:r>
      <w:r w:rsidRPr="0068615F">
        <w:rPr>
          <w:rFonts w:ascii="Palatino Linotype" w:hAnsi="Palatino Linotype" w:cs="Arial"/>
          <w:sz w:val="24"/>
          <w:szCs w:val="24"/>
        </w:rPr>
        <w:t>esión or</w:t>
      </w:r>
      <w:r w:rsidR="00C81948" w:rsidRPr="0068615F">
        <w:rPr>
          <w:rFonts w:ascii="Palatino Linotype" w:hAnsi="Palatino Linotype" w:cs="Arial"/>
          <w:sz w:val="24"/>
          <w:szCs w:val="24"/>
        </w:rPr>
        <w:t>d</w:t>
      </w:r>
      <w:r w:rsidRPr="0068615F">
        <w:rPr>
          <w:rFonts w:ascii="Palatino Linotype" w:hAnsi="Palatino Linotype" w:cs="Arial"/>
          <w:sz w:val="24"/>
          <w:szCs w:val="24"/>
        </w:rPr>
        <w:t>inaría de</w:t>
      </w:r>
      <w:r w:rsidR="00AE09CF" w:rsidRPr="0068615F">
        <w:rPr>
          <w:rFonts w:ascii="Palatino Linotype" w:hAnsi="Palatino Linotype" w:cs="Arial"/>
          <w:sz w:val="24"/>
          <w:szCs w:val="24"/>
        </w:rPr>
        <w:t xml:space="preserve"> fecha</w:t>
      </w:r>
      <w:r w:rsidR="00696770" w:rsidRPr="0068615F">
        <w:rPr>
          <w:rFonts w:ascii="Palatino Linotype" w:hAnsi="Palatino Linotype" w:cs="Arial"/>
          <w:sz w:val="24"/>
          <w:szCs w:val="24"/>
        </w:rPr>
        <w:t xml:space="preserve"> </w:t>
      </w:r>
      <w:r w:rsidR="00A637EF">
        <w:rPr>
          <w:rFonts w:ascii="Palatino Linotype" w:hAnsi="Palatino Linotype" w:cs="Arial"/>
          <w:sz w:val="24"/>
          <w:szCs w:val="24"/>
        </w:rPr>
        <w:t>treinta</w:t>
      </w:r>
      <w:r w:rsidRPr="0068615F">
        <w:rPr>
          <w:rFonts w:ascii="Palatino Linotype" w:hAnsi="Palatino Linotype" w:cs="Arial"/>
          <w:sz w:val="24"/>
          <w:szCs w:val="24"/>
        </w:rPr>
        <w:t xml:space="preserve"> </w:t>
      </w:r>
      <w:r w:rsidR="00FA35A6" w:rsidRPr="0068615F">
        <w:rPr>
          <w:rFonts w:ascii="Palatino Linotype" w:hAnsi="Palatino Linotype" w:cs="Arial"/>
          <w:sz w:val="24"/>
          <w:szCs w:val="24"/>
        </w:rPr>
        <w:t>(</w:t>
      </w:r>
      <w:r w:rsidR="00A637EF">
        <w:rPr>
          <w:rFonts w:ascii="Palatino Linotype" w:hAnsi="Palatino Linotype" w:cs="Arial"/>
          <w:sz w:val="24"/>
          <w:szCs w:val="24"/>
        </w:rPr>
        <w:t>30</w:t>
      </w:r>
      <w:r w:rsidRPr="0068615F">
        <w:rPr>
          <w:rFonts w:ascii="Palatino Linotype" w:hAnsi="Palatino Linotype" w:cs="Arial"/>
          <w:sz w:val="24"/>
          <w:szCs w:val="24"/>
        </w:rPr>
        <w:t xml:space="preserve">) de </w:t>
      </w:r>
      <w:r w:rsidR="00902DAB" w:rsidRPr="0068615F">
        <w:rPr>
          <w:rFonts w:ascii="Palatino Linotype" w:hAnsi="Palatino Linotype" w:cs="Arial"/>
          <w:sz w:val="24"/>
          <w:szCs w:val="24"/>
        </w:rPr>
        <w:t>e</w:t>
      </w:r>
      <w:r w:rsidR="00FA35A6" w:rsidRPr="0068615F">
        <w:rPr>
          <w:rFonts w:ascii="Palatino Linotype" w:hAnsi="Palatino Linotype" w:cs="Arial"/>
          <w:sz w:val="24"/>
          <w:szCs w:val="24"/>
        </w:rPr>
        <w:t>nero</w:t>
      </w:r>
      <w:r w:rsidR="00D63CE5" w:rsidRPr="0068615F">
        <w:rPr>
          <w:rFonts w:ascii="Palatino Linotype" w:hAnsi="Palatino Linotype" w:cs="Arial"/>
          <w:sz w:val="24"/>
          <w:szCs w:val="24"/>
        </w:rPr>
        <w:t xml:space="preserve"> de dos mil dieciocho</w:t>
      </w:r>
      <w:r w:rsidR="00A637EF">
        <w:rPr>
          <w:rFonts w:ascii="Palatino Linotype" w:hAnsi="Palatino Linotype" w:cs="Arial"/>
          <w:sz w:val="24"/>
          <w:szCs w:val="24"/>
        </w:rPr>
        <w:t xml:space="preserve">, en </w:t>
      </w:r>
      <w:r w:rsidRPr="0068615F">
        <w:rPr>
          <w:rFonts w:ascii="Palatino Linotype" w:hAnsi="Palatino Linotype" w:cs="Arial"/>
          <w:sz w:val="24"/>
          <w:szCs w:val="24"/>
        </w:rPr>
        <w:t>l</w:t>
      </w:r>
      <w:r w:rsidR="00A637EF">
        <w:rPr>
          <w:rFonts w:ascii="Palatino Linotype" w:hAnsi="Palatino Linotype" w:cs="Arial"/>
          <w:sz w:val="24"/>
          <w:szCs w:val="24"/>
        </w:rPr>
        <w:t>os</w:t>
      </w:r>
      <w:r w:rsidRPr="0068615F">
        <w:rPr>
          <w:rFonts w:ascii="Palatino Linotype" w:hAnsi="Palatino Linotype" w:cs="Arial"/>
          <w:sz w:val="24"/>
          <w:szCs w:val="24"/>
        </w:rPr>
        <w:t xml:space="preserve"> recurso</w:t>
      </w:r>
      <w:r w:rsidR="00A637EF">
        <w:rPr>
          <w:rFonts w:ascii="Palatino Linotype" w:hAnsi="Palatino Linotype" w:cs="Arial"/>
          <w:sz w:val="24"/>
          <w:szCs w:val="24"/>
        </w:rPr>
        <w:t>s</w:t>
      </w:r>
      <w:r w:rsidRPr="0068615F">
        <w:rPr>
          <w:rFonts w:ascii="Palatino Linotype" w:hAnsi="Palatino Linotype" w:cs="Arial"/>
          <w:sz w:val="24"/>
          <w:szCs w:val="24"/>
        </w:rPr>
        <w:t xml:space="preserve"> de revisión promovido</w:t>
      </w:r>
      <w:r w:rsidR="00A637EF">
        <w:rPr>
          <w:rFonts w:ascii="Palatino Linotype" w:hAnsi="Palatino Linotype" w:cs="Arial"/>
          <w:sz w:val="24"/>
          <w:szCs w:val="24"/>
        </w:rPr>
        <w:t>s</w:t>
      </w:r>
      <w:r w:rsidRPr="0068615F">
        <w:rPr>
          <w:rFonts w:ascii="Palatino Linotype" w:hAnsi="Palatino Linotype" w:cs="Arial"/>
          <w:sz w:val="24"/>
          <w:szCs w:val="24"/>
        </w:rPr>
        <w:t xml:space="preserve"> en contra de la</w:t>
      </w:r>
      <w:r w:rsidR="00EE7E7A">
        <w:rPr>
          <w:rFonts w:ascii="Palatino Linotype" w:hAnsi="Palatino Linotype" w:cs="Arial"/>
          <w:sz w:val="24"/>
          <w:szCs w:val="24"/>
        </w:rPr>
        <w:t>s</w:t>
      </w:r>
      <w:r w:rsidRPr="0068615F">
        <w:rPr>
          <w:rFonts w:ascii="Palatino Linotype" w:hAnsi="Palatino Linotype" w:cs="Arial"/>
          <w:sz w:val="24"/>
          <w:szCs w:val="24"/>
        </w:rPr>
        <w:t xml:space="preserve"> respuesta</w:t>
      </w:r>
      <w:r w:rsidR="00EE7E7A">
        <w:rPr>
          <w:rFonts w:ascii="Palatino Linotype" w:hAnsi="Palatino Linotype" w:cs="Arial"/>
          <w:sz w:val="24"/>
          <w:szCs w:val="24"/>
        </w:rPr>
        <w:t>s</w:t>
      </w:r>
      <w:r w:rsidRPr="0068615F">
        <w:rPr>
          <w:rFonts w:ascii="Palatino Linotype" w:hAnsi="Palatino Linotype" w:cs="Arial"/>
          <w:sz w:val="24"/>
          <w:szCs w:val="24"/>
        </w:rPr>
        <w:t xml:space="preserve"> de</w:t>
      </w:r>
      <w:r w:rsidR="00A637EF">
        <w:rPr>
          <w:rFonts w:ascii="Palatino Linotype" w:hAnsi="Palatino Linotype" w:cs="Arial"/>
          <w:sz w:val="24"/>
          <w:szCs w:val="24"/>
        </w:rPr>
        <w:t xml:space="preserve"> </w:t>
      </w:r>
      <w:r w:rsidRPr="0068615F">
        <w:rPr>
          <w:rFonts w:ascii="Palatino Linotype" w:hAnsi="Palatino Linotype" w:cs="Arial"/>
          <w:sz w:val="24"/>
          <w:szCs w:val="24"/>
        </w:rPr>
        <w:t>l</w:t>
      </w:r>
      <w:r w:rsidR="00A637EF">
        <w:rPr>
          <w:rFonts w:ascii="Palatino Linotype" w:hAnsi="Palatino Linotype" w:cs="Arial"/>
          <w:sz w:val="24"/>
          <w:szCs w:val="24"/>
        </w:rPr>
        <w:t>a</w:t>
      </w:r>
      <w:r w:rsidRPr="0068615F">
        <w:rPr>
          <w:rFonts w:ascii="Palatino Linotype" w:hAnsi="Palatino Linotype"/>
          <w:sz w:val="24"/>
          <w:szCs w:val="24"/>
        </w:rPr>
        <w:t xml:space="preserve"> </w:t>
      </w:r>
      <w:r w:rsidR="00A637EF">
        <w:rPr>
          <w:rFonts w:ascii="Palatino Linotype" w:hAnsi="Palatino Linotype" w:cs="Arial"/>
          <w:b/>
          <w:sz w:val="24"/>
          <w:szCs w:val="24"/>
        </w:rPr>
        <w:t xml:space="preserve">Universidad Autónoma del </w:t>
      </w:r>
      <w:r w:rsidR="00A637EF" w:rsidRPr="00A637EF">
        <w:rPr>
          <w:rFonts w:ascii="Palatino Linotype" w:hAnsi="Palatino Linotype" w:cs="Arial"/>
          <w:b/>
          <w:sz w:val="24"/>
          <w:szCs w:val="24"/>
        </w:rPr>
        <w:t>Estado de México</w:t>
      </w:r>
      <w:r w:rsidRPr="00A637EF">
        <w:rPr>
          <w:rFonts w:ascii="Palatino Linotype" w:hAnsi="Palatino Linotype" w:cs="Arial"/>
          <w:sz w:val="24"/>
          <w:szCs w:val="24"/>
        </w:rPr>
        <w:t>, procedimiento</w:t>
      </w:r>
      <w:r w:rsidR="00A637EF" w:rsidRPr="00A637EF">
        <w:rPr>
          <w:rFonts w:ascii="Palatino Linotype" w:hAnsi="Palatino Linotype" w:cs="Arial"/>
          <w:sz w:val="24"/>
          <w:szCs w:val="24"/>
        </w:rPr>
        <w:t>s</w:t>
      </w:r>
      <w:r w:rsidRPr="00A637EF">
        <w:rPr>
          <w:rFonts w:ascii="Palatino Linotype" w:hAnsi="Palatino Linotype" w:cs="Arial"/>
          <w:sz w:val="24"/>
          <w:szCs w:val="24"/>
        </w:rPr>
        <w:t xml:space="preserve"> a</w:t>
      </w:r>
      <w:r w:rsidR="00A637EF" w:rsidRPr="00A637EF">
        <w:rPr>
          <w:rFonts w:ascii="Palatino Linotype" w:hAnsi="Palatino Linotype" w:cs="Arial"/>
          <w:sz w:val="24"/>
          <w:szCs w:val="24"/>
        </w:rPr>
        <w:t xml:space="preserve"> </w:t>
      </w:r>
      <w:r w:rsidRPr="00A637EF">
        <w:rPr>
          <w:rFonts w:ascii="Palatino Linotype" w:hAnsi="Palatino Linotype" w:cs="Arial"/>
          <w:sz w:val="24"/>
          <w:szCs w:val="24"/>
        </w:rPr>
        <w:t>l</w:t>
      </w:r>
      <w:r w:rsidR="00A637EF" w:rsidRPr="00A637EF">
        <w:rPr>
          <w:rFonts w:ascii="Palatino Linotype" w:hAnsi="Palatino Linotype" w:cs="Arial"/>
          <w:sz w:val="24"/>
          <w:szCs w:val="24"/>
        </w:rPr>
        <w:t>os</w:t>
      </w:r>
      <w:r w:rsidRPr="00A637EF">
        <w:rPr>
          <w:rFonts w:ascii="Palatino Linotype" w:hAnsi="Palatino Linotype" w:cs="Arial"/>
          <w:sz w:val="24"/>
          <w:szCs w:val="24"/>
        </w:rPr>
        <w:t xml:space="preserve"> que se le</w:t>
      </w:r>
      <w:r w:rsidR="00A637EF" w:rsidRPr="00A637EF">
        <w:rPr>
          <w:rFonts w:ascii="Palatino Linotype" w:hAnsi="Palatino Linotype" w:cs="Arial"/>
          <w:sz w:val="24"/>
          <w:szCs w:val="24"/>
        </w:rPr>
        <w:t xml:space="preserve">s asignó </w:t>
      </w:r>
      <w:r w:rsidRPr="00A637EF">
        <w:rPr>
          <w:rFonts w:ascii="Palatino Linotype" w:hAnsi="Palatino Linotype" w:cs="Arial"/>
          <w:sz w:val="24"/>
          <w:szCs w:val="24"/>
        </w:rPr>
        <w:t>l</w:t>
      </w:r>
      <w:r w:rsidR="00A637EF" w:rsidRPr="00A637EF">
        <w:rPr>
          <w:rFonts w:ascii="Palatino Linotype" w:hAnsi="Palatino Linotype" w:cs="Arial"/>
          <w:sz w:val="24"/>
          <w:szCs w:val="24"/>
        </w:rPr>
        <w:t>os</w:t>
      </w:r>
      <w:r w:rsidRPr="00A637EF">
        <w:rPr>
          <w:rFonts w:ascii="Palatino Linotype" w:hAnsi="Palatino Linotype" w:cs="Arial"/>
          <w:sz w:val="24"/>
          <w:szCs w:val="24"/>
        </w:rPr>
        <w:t xml:space="preserve"> número</w:t>
      </w:r>
      <w:r w:rsidR="00A637EF" w:rsidRPr="00A637EF">
        <w:rPr>
          <w:rFonts w:ascii="Palatino Linotype" w:hAnsi="Palatino Linotype" w:cs="Arial"/>
          <w:sz w:val="24"/>
          <w:szCs w:val="24"/>
        </w:rPr>
        <w:t>s</w:t>
      </w:r>
      <w:r w:rsidRPr="00A637EF">
        <w:rPr>
          <w:rFonts w:ascii="Palatino Linotype" w:hAnsi="Palatino Linotype" w:cs="Arial"/>
          <w:sz w:val="24"/>
          <w:szCs w:val="24"/>
        </w:rPr>
        <w:t xml:space="preserve"> de expediente</w:t>
      </w:r>
      <w:r w:rsidR="00EE7E7A">
        <w:rPr>
          <w:rFonts w:ascii="Palatino Linotype" w:hAnsi="Palatino Linotype" w:cs="Arial"/>
          <w:sz w:val="24"/>
          <w:szCs w:val="24"/>
        </w:rPr>
        <w:t>s</w:t>
      </w:r>
      <w:r w:rsidRPr="00A637EF">
        <w:rPr>
          <w:rFonts w:ascii="Palatino Linotype" w:hAnsi="Palatino Linotype" w:cs="Arial"/>
          <w:sz w:val="24"/>
          <w:szCs w:val="24"/>
        </w:rPr>
        <w:t xml:space="preserve"> </w:t>
      </w:r>
      <w:r w:rsidR="00A637EF" w:rsidRPr="00A637EF">
        <w:rPr>
          <w:rFonts w:ascii="Palatino Linotype" w:hAnsi="Palatino Linotype"/>
          <w:b/>
          <w:sz w:val="24"/>
          <w:szCs w:val="24"/>
          <w:lang w:val="es-ES_tradnl"/>
        </w:rPr>
        <w:t>04297/INFOEM/IP/RR/2018</w:t>
      </w:r>
      <w:r w:rsidR="00A637EF" w:rsidRPr="00A637EF">
        <w:rPr>
          <w:rFonts w:ascii="Palatino Linotype" w:hAnsi="Palatino Linotype"/>
          <w:sz w:val="24"/>
          <w:szCs w:val="24"/>
          <w:lang w:val="es-ES_tradnl"/>
        </w:rPr>
        <w:t>,</w:t>
      </w:r>
      <w:r w:rsidR="00A637EF" w:rsidRPr="00A637EF">
        <w:rPr>
          <w:rFonts w:ascii="Palatino Linotype" w:hAnsi="Palatino Linotype"/>
          <w:b/>
          <w:sz w:val="24"/>
          <w:szCs w:val="24"/>
          <w:lang w:val="es-ES_tradnl"/>
        </w:rPr>
        <w:t xml:space="preserve"> 04298/INFOEM/IP/RR/2018 </w:t>
      </w:r>
      <w:r w:rsidR="00A637EF" w:rsidRPr="00A637EF">
        <w:rPr>
          <w:rFonts w:ascii="Palatino Linotype" w:hAnsi="Palatino Linotype"/>
          <w:sz w:val="24"/>
          <w:szCs w:val="24"/>
          <w:lang w:val="es-ES_tradnl"/>
        </w:rPr>
        <w:t>y</w:t>
      </w:r>
      <w:r w:rsidR="00A637EF" w:rsidRPr="00A637EF">
        <w:rPr>
          <w:rFonts w:ascii="Palatino Linotype" w:hAnsi="Palatino Linotype"/>
          <w:b/>
          <w:sz w:val="24"/>
          <w:szCs w:val="24"/>
          <w:lang w:val="es-ES_tradnl"/>
        </w:rPr>
        <w:t xml:space="preserve"> 04299/INFOEM/IP/RR/2018 acumulados</w:t>
      </w:r>
      <w:r w:rsidRPr="00A637EF">
        <w:rPr>
          <w:rFonts w:ascii="Palatino Linotype" w:hAnsi="Palatino Linotype" w:cs="Arial"/>
          <w:b/>
          <w:sz w:val="24"/>
          <w:szCs w:val="24"/>
        </w:rPr>
        <w:t>.</w:t>
      </w:r>
      <w:r w:rsidRPr="0068615F">
        <w:rPr>
          <w:rFonts w:ascii="Palatino Linotype" w:hAnsi="Palatino Linotype" w:cs="Arial"/>
          <w:sz w:val="24"/>
          <w:szCs w:val="24"/>
        </w:rPr>
        <w:t xml:space="preserve"> </w:t>
      </w:r>
    </w:p>
    <w:p w:rsidR="005F11DB" w:rsidRPr="0068615F" w:rsidRDefault="005F11DB" w:rsidP="005F11DB">
      <w:pPr>
        <w:pStyle w:val="Prrafodelista"/>
        <w:spacing w:after="0" w:line="360" w:lineRule="auto"/>
        <w:ind w:left="426"/>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EE7E7A">
        <w:rPr>
          <w:rFonts w:ascii="Palatino Linotype" w:eastAsia="Times New Roman" w:hAnsi="Palatino Linotype" w:cs="Arial"/>
          <w:sz w:val="24"/>
          <w:szCs w:val="24"/>
          <w:lang w:val="es-ES_tradnl"/>
        </w:rPr>
        <w:t>La</w:t>
      </w:r>
      <w:r w:rsidRPr="0068615F">
        <w:rPr>
          <w:rFonts w:ascii="Palatino Linotype" w:hAnsi="Palatino Linotype" w:cs="Arial"/>
          <w:sz w:val="24"/>
          <w:szCs w:val="24"/>
        </w:rPr>
        <w:t xml:space="preserve"> resolución determina el </w:t>
      </w:r>
      <w:r w:rsidR="00902DAB" w:rsidRPr="0068615F">
        <w:rPr>
          <w:rFonts w:ascii="Palatino Linotype" w:hAnsi="Palatino Linotype" w:cs="Arial"/>
          <w:b/>
          <w:sz w:val="24"/>
          <w:szCs w:val="24"/>
        </w:rPr>
        <w:t>MODIFICA</w:t>
      </w:r>
      <w:r w:rsidR="00D63CE5" w:rsidRPr="0068615F">
        <w:rPr>
          <w:rFonts w:ascii="Palatino Linotype" w:hAnsi="Palatino Linotype" w:cs="Arial"/>
          <w:b/>
          <w:sz w:val="24"/>
          <w:szCs w:val="24"/>
        </w:rPr>
        <w:t>R</w:t>
      </w:r>
      <w:r w:rsidRPr="0068615F">
        <w:rPr>
          <w:rFonts w:ascii="Palatino Linotype" w:hAnsi="Palatino Linotype" w:cs="Arial"/>
          <w:sz w:val="24"/>
          <w:szCs w:val="24"/>
        </w:rPr>
        <w:t xml:space="preserve"> la respuesta, toda vez que el </w:t>
      </w:r>
      <w:r w:rsidR="00EE7E7A">
        <w:rPr>
          <w:rFonts w:ascii="Palatino Linotype" w:hAnsi="Palatino Linotype" w:cs="Arial"/>
          <w:b/>
          <w:sz w:val="24"/>
          <w:szCs w:val="24"/>
        </w:rPr>
        <w:t>Sujeto Obligado</w:t>
      </w:r>
      <w:r w:rsidR="0068615F">
        <w:rPr>
          <w:rFonts w:ascii="Palatino Linotype" w:hAnsi="Palatino Linotype" w:cs="Arial"/>
          <w:sz w:val="24"/>
          <w:szCs w:val="24"/>
        </w:rPr>
        <w:t>, toda vez que colmo</w:t>
      </w:r>
      <w:r w:rsidR="00D63CE5" w:rsidRPr="0068615F">
        <w:rPr>
          <w:rFonts w:ascii="Palatino Linotype" w:hAnsi="Palatino Linotype" w:cs="Arial"/>
          <w:sz w:val="24"/>
          <w:szCs w:val="24"/>
        </w:rPr>
        <w:t xml:space="preserve"> </w:t>
      </w:r>
      <w:r w:rsidR="00902DAB" w:rsidRPr="0068615F">
        <w:rPr>
          <w:rFonts w:ascii="Palatino Linotype" w:hAnsi="Palatino Linotype" w:cs="Arial"/>
          <w:sz w:val="24"/>
          <w:szCs w:val="24"/>
        </w:rPr>
        <w:t xml:space="preserve">parte de </w:t>
      </w:r>
      <w:r w:rsidR="00D63CE5" w:rsidRPr="0068615F">
        <w:rPr>
          <w:rFonts w:ascii="Palatino Linotype" w:hAnsi="Palatino Linotype" w:cs="Arial"/>
          <w:sz w:val="24"/>
          <w:szCs w:val="24"/>
        </w:rPr>
        <w:t>los requerimientos</w:t>
      </w:r>
      <w:r w:rsidR="00AE09CF" w:rsidRPr="0068615F">
        <w:rPr>
          <w:rFonts w:ascii="Palatino Linotype" w:hAnsi="Palatino Linotype" w:cs="Arial"/>
          <w:sz w:val="24"/>
          <w:szCs w:val="24"/>
        </w:rPr>
        <w:t xml:space="preserve"> re</w:t>
      </w:r>
      <w:r w:rsidR="0068615F">
        <w:rPr>
          <w:rFonts w:ascii="Palatino Linotype" w:hAnsi="Palatino Linotype" w:cs="Arial"/>
          <w:sz w:val="24"/>
          <w:szCs w:val="24"/>
        </w:rPr>
        <w:t>queri</w:t>
      </w:r>
      <w:r w:rsidR="00AE09CF" w:rsidRPr="0068615F">
        <w:rPr>
          <w:rFonts w:ascii="Palatino Linotype" w:hAnsi="Palatino Linotype" w:cs="Arial"/>
          <w:sz w:val="24"/>
          <w:szCs w:val="24"/>
        </w:rPr>
        <w:t xml:space="preserve">dos por el particular </w:t>
      </w:r>
      <w:r w:rsidR="00D63CE5" w:rsidRPr="0068615F">
        <w:rPr>
          <w:rFonts w:ascii="Palatino Linotype" w:hAnsi="Palatino Linotype" w:cs="Arial"/>
          <w:sz w:val="24"/>
          <w:szCs w:val="24"/>
        </w:rPr>
        <w:t>en su</w:t>
      </w:r>
      <w:r w:rsidR="00A637EF">
        <w:rPr>
          <w:rFonts w:ascii="Palatino Linotype" w:hAnsi="Palatino Linotype" w:cs="Arial"/>
          <w:sz w:val="24"/>
          <w:szCs w:val="24"/>
        </w:rPr>
        <w:t>s</w:t>
      </w:r>
      <w:r w:rsidR="00D63CE5" w:rsidRPr="0068615F">
        <w:rPr>
          <w:rFonts w:ascii="Palatino Linotype" w:hAnsi="Palatino Linotype" w:cs="Arial"/>
          <w:sz w:val="24"/>
          <w:szCs w:val="24"/>
        </w:rPr>
        <w:t xml:space="preserve"> solicitud</w:t>
      </w:r>
      <w:r w:rsidR="00A637EF">
        <w:rPr>
          <w:rFonts w:ascii="Palatino Linotype" w:hAnsi="Palatino Linotype" w:cs="Arial"/>
          <w:sz w:val="24"/>
          <w:szCs w:val="24"/>
        </w:rPr>
        <w:t>es</w:t>
      </w:r>
      <w:r w:rsidR="00D63CE5" w:rsidRPr="0068615F">
        <w:rPr>
          <w:rFonts w:ascii="Palatino Linotype" w:hAnsi="Palatino Linotype" w:cs="Arial"/>
          <w:sz w:val="24"/>
          <w:szCs w:val="24"/>
        </w:rPr>
        <w:t xml:space="preserve"> de información</w:t>
      </w:r>
      <w:r w:rsidR="00902DAB" w:rsidRPr="0068615F">
        <w:rPr>
          <w:rFonts w:ascii="Palatino Linotype" w:hAnsi="Palatino Linotype" w:cs="Arial"/>
          <w:sz w:val="24"/>
          <w:szCs w:val="24"/>
        </w:rPr>
        <w:t>.</w:t>
      </w:r>
    </w:p>
    <w:p w:rsidR="00756AED" w:rsidRPr="0068615F" w:rsidRDefault="00756AED" w:rsidP="00756AED">
      <w:pPr>
        <w:pStyle w:val="Prrafodelista"/>
        <w:rPr>
          <w:rFonts w:ascii="Palatino Linotype" w:hAnsi="Palatino Linotype" w:cs="Arial"/>
          <w:sz w:val="24"/>
          <w:szCs w:val="24"/>
        </w:rPr>
      </w:pPr>
    </w:p>
    <w:p w:rsidR="009979C7"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EE7E7A">
        <w:rPr>
          <w:rFonts w:ascii="Palatino Linotype" w:eastAsia="Times New Roman" w:hAnsi="Palatino Linotype" w:cs="Arial"/>
          <w:sz w:val="24"/>
          <w:szCs w:val="24"/>
          <w:lang w:val="es-ES_tradnl"/>
        </w:rPr>
        <w:t>Mi</w:t>
      </w:r>
      <w:r w:rsidRPr="0068615F">
        <w:rPr>
          <w:rFonts w:ascii="Palatino Linotype" w:hAnsi="Palatino Linotype" w:cs="Arial"/>
          <w:sz w:val="24"/>
          <w:szCs w:val="24"/>
        </w:rPr>
        <w:t xml:space="preserve"> voto particular se deriva del hecho de que </w:t>
      </w:r>
      <w:r w:rsidR="00D63CE5" w:rsidRPr="0068615F">
        <w:rPr>
          <w:rFonts w:ascii="Palatino Linotype" w:hAnsi="Palatino Linotype" w:cs="Arial"/>
          <w:sz w:val="24"/>
          <w:szCs w:val="24"/>
        </w:rPr>
        <w:t>el hoy recurrente</w:t>
      </w:r>
      <w:r w:rsidRPr="0068615F">
        <w:rPr>
          <w:rFonts w:ascii="Palatino Linotype" w:hAnsi="Palatino Linotype" w:cs="Arial"/>
          <w:b/>
          <w:sz w:val="24"/>
          <w:szCs w:val="24"/>
        </w:rPr>
        <w:t xml:space="preserve"> </w:t>
      </w:r>
      <w:r w:rsidRPr="0068615F">
        <w:rPr>
          <w:rFonts w:ascii="Palatino Linotype" w:hAnsi="Palatino Linotype" w:cs="Arial"/>
          <w:sz w:val="24"/>
          <w:szCs w:val="24"/>
        </w:rPr>
        <w:t xml:space="preserve"> </w:t>
      </w:r>
      <w:r w:rsidR="008E349D" w:rsidRPr="0068615F">
        <w:rPr>
          <w:rFonts w:ascii="Palatino Linotype" w:hAnsi="Palatino Linotype" w:cs="Arial"/>
          <w:sz w:val="24"/>
          <w:szCs w:val="24"/>
        </w:rPr>
        <w:t>dentro de</w:t>
      </w:r>
      <w:r w:rsidR="00756AED" w:rsidRPr="0068615F">
        <w:rPr>
          <w:rFonts w:ascii="Palatino Linotype" w:hAnsi="Palatino Linotype" w:cs="Arial"/>
          <w:sz w:val="24"/>
          <w:szCs w:val="24"/>
        </w:rPr>
        <w:t xml:space="preserve"> sus</w:t>
      </w:r>
      <w:r w:rsidR="00756AED" w:rsidRPr="0068615F">
        <w:rPr>
          <w:rFonts w:ascii="Palatino Linotype" w:hAnsi="Palatino Linotype"/>
          <w:sz w:val="24"/>
          <w:szCs w:val="24"/>
        </w:rPr>
        <w:t xml:space="preserve"> motivo</w:t>
      </w:r>
      <w:r w:rsidR="008E349D" w:rsidRPr="0068615F">
        <w:rPr>
          <w:rFonts w:ascii="Palatino Linotype" w:hAnsi="Palatino Linotype"/>
          <w:sz w:val="24"/>
          <w:szCs w:val="24"/>
        </w:rPr>
        <w:t>s de inconformidad</w:t>
      </w:r>
      <w:r w:rsidR="00756AED" w:rsidRPr="0068615F">
        <w:rPr>
          <w:rFonts w:ascii="Palatino Linotype" w:hAnsi="Palatino Linotype"/>
          <w:sz w:val="24"/>
          <w:szCs w:val="24"/>
        </w:rPr>
        <w:t xml:space="preserve"> </w:t>
      </w:r>
      <w:r w:rsidR="00364F8B" w:rsidRPr="0068615F">
        <w:rPr>
          <w:rFonts w:ascii="Palatino Linotype" w:hAnsi="Palatino Linotype"/>
          <w:sz w:val="24"/>
          <w:szCs w:val="24"/>
        </w:rPr>
        <w:t xml:space="preserve">no expresa razón o motivo de inconformidad en contra de la </w:t>
      </w:r>
      <w:r w:rsidR="004C2C9C" w:rsidRPr="0068615F">
        <w:rPr>
          <w:rFonts w:ascii="Palatino Linotype" w:hAnsi="Palatino Linotype"/>
          <w:sz w:val="24"/>
          <w:szCs w:val="24"/>
        </w:rPr>
        <w:t xml:space="preserve">totalidad de la </w:t>
      </w:r>
      <w:r w:rsidR="00364F8B" w:rsidRPr="0068615F">
        <w:rPr>
          <w:rFonts w:ascii="Palatino Linotype" w:hAnsi="Palatino Linotype"/>
          <w:sz w:val="24"/>
          <w:szCs w:val="24"/>
        </w:rPr>
        <w:t>información que le fue proporcionada a través de la respuesta; en consecuencia</w:t>
      </w:r>
      <w:r w:rsidR="009979C7" w:rsidRPr="0068615F">
        <w:rPr>
          <w:rFonts w:ascii="Palatino Linotype" w:hAnsi="Palatino Linotype"/>
          <w:sz w:val="24"/>
          <w:szCs w:val="24"/>
        </w:rPr>
        <w:t xml:space="preserve"> la Ponencia </w:t>
      </w:r>
      <w:proofErr w:type="spellStart"/>
      <w:r w:rsidR="009979C7" w:rsidRPr="0068615F">
        <w:rPr>
          <w:rFonts w:ascii="Palatino Linotype" w:hAnsi="Palatino Linotype"/>
          <w:sz w:val="24"/>
          <w:szCs w:val="24"/>
        </w:rPr>
        <w:t>resolutora</w:t>
      </w:r>
      <w:proofErr w:type="spellEnd"/>
      <w:r w:rsidR="009979C7" w:rsidRPr="0068615F">
        <w:rPr>
          <w:rFonts w:ascii="Palatino Linotype" w:hAnsi="Palatino Linotype"/>
          <w:sz w:val="24"/>
          <w:szCs w:val="24"/>
        </w:rPr>
        <w:t>, estimo lo siguiente:</w:t>
      </w:r>
    </w:p>
    <w:p w:rsidR="00A637EF" w:rsidRPr="00A637EF" w:rsidRDefault="009979C7" w:rsidP="00A637EF">
      <w:pPr>
        <w:spacing w:before="100" w:beforeAutospacing="1" w:after="100" w:afterAutospacing="1" w:line="360" w:lineRule="auto"/>
        <w:ind w:left="851" w:right="474"/>
        <w:jc w:val="both"/>
        <w:rPr>
          <w:rFonts w:ascii="Palatino Linotype" w:hAnsi="Palatino Linotype" w:cs="Arial"/>
          <w:i/>
        </w:rPr>
      </w:pPr>
      <w:r w:rsidRPr="00A637EF">
        <w:rPr>
          <w:rFonts w:ascii="Palatino Linotype" w:hAnsi="Palatino Linotype"/>
          <w:i/>
        </w:rPr>
        <w:t>“</w:t>
      </w:r>
      <w:r w:rsidR="00A637EF" w:rsidRPr="00A637EF">
        <w:rPr>
          <w:rFonts w:ascii="Palatino Linotype" w:hAnsi="Palatino Linotype" w:cs="Arial"/>
          <w:i/>
        </w:rPr>
        <w:t xml:space="preserve">Primeramente, cabe señalar que </w:t>
      </w:r>
      <w:r w:rsidR="00A637EF" w:rsidRPr="00A637EF">
        <w:rPr>
          <w:rFonts w:ascii="Palatino Linotype" w:hAnsi="Palatino Linotype"/>
          <w:b/>
          <w:i/>
        </w:rPr>
        <w:t>EL RECURRENTE</w:t>
      </w:r>
      <w:r w:rsidR="00A637EF" w:rsidRPr="00A637EF">
        <w:rPr>
          <w:rFonts w:ascii="Palatino Linotype" w:hAnsi="Palatino Linotype"/>
          <w:i/>
        </w:rPr>
        <w:t xml:space="preserve"> </w:t>
      </w:r>
      <w:r w:rsidR="00A637EF" w:rsidRPr="00A637EF">
        <w:rPr>
          <w:rFonts w:ascii="Palatino Linotype" w:hAnsi="Palatino Linotype" w:cs="Arial"/>
          <w:i/>
        </w:rPr>
        <w:t xml:space="preserve">no impugnó todos los rubros vertidos como respuesta por parte del </w:t>
      </w:r>
      <w:r w:rsidR="00EE7E7A">
        <w:rPr>
          <w:rFonts w:ascii="Palatino Linotype" w:hAnsi="Palatino Linotype" w:cs="Arial"/>
          <w:b/>
          <w:i/>
        </w:rPr>
        <w:t>Sujeto Obligado</w:t>
      </w:r>
      <w:r w:rsidR="00A637EF" w:rsidRPr="00A637EF">
        <w:rPr>
          <w:rFonts w:ascii="Palatino Linotype" w:hAnsi="Palatino Linotype" w:cs="Arial"/>
          <w:i/>
        </w:rPr>
        <w:t xml:space="preserve">, ya que puntualmente refiere que se le entregó el nombre de la institución bancaria y el número de cuenta, respecto </w:t>
      </w:r>
      <w:r w:rsidR="00A637EF" w:rsidRPr="00A637EF">
        <w:rPr>
          <w:rFonts w:ascii="Palatino Linotype" w:hAnsi="Palatino Linotype" w:cs="Arial"/>
          <w:i/>
        </w:rPr>
        <w:lastRenderedPageBreak/>
        <w:t xml:space="preserve">de la información relativa a los egresos, en materia de Seguridad Social del año 2016 y no emite pronunciamiento alguno respecto de los </w:t>
      </w:r>
      <w:r w:rsidR="00A637EF" w:rsidRPr="00A637EF">
        <w:rPr>
          <w:rFonts w:ascii="Palatino Linotype" w:eastAsia="Calibri" w:hAnsi="Palatino Linotype" w:cs="Tahoma"/>
          <w:bCs/>
          <w:i/>
          <w:iCs/>
          <w:lang w:eastAsia="es-ES_tradnl"/>
        </w:rPr>
        <w:t xml:space="preserve">comprobantes de depósito, con fechas de depósito el 13 de julio y el 22 de agosto de 2016 que fueron remitidos por </w:t>
      </w:r>
      <w:r w:rsidR="00A637EF" w:rsidRPr="00A637EF">
        <w:rPr>
          <w:rFonts w:ascii="Palatino Linotype" w:eastAsia="Calibri" w:hAnsi="Palatino Linotype" w:cs="Tahoma"/>
          <w:b/>
          <w:bCs/>
          <w:i/>
          <w:iCs/>
          <w:lang w:eastAsia="es-ES_tradnl"/>
        </w:rPr>
        <w:t xml:space="preserve">EL </w:t>
      </w:r>
      <w:r w:rsidR="00EE7E7A">
        <w:rPr>
          <w:rFonts w:ascii="Palatino Linotype" w:eastAsia="Calibri" w:hAnsi="Palatino Linotype" w:cs="Tahoma"/>
          <w:b/>
          <w:bCs/>
          <w:i/>
          <w:iCs/>
          <w:lang w:eastAsia="es-ES_tradnl"/>
        </w:rPr>
        <w:t>Sujeto Obligado</w:t>
      </w:r>
      <w:r w:rsidR="00A637EF" w:rsidRPr="00A637EF">
        <w:rPr>
          <w:rFonts w:ascii="Palatino Linotype" w:hAnsi="Palatino Linotype" w:cs="Arial"/>
          <w:i/>
        </w:rPr>
        <w:t xml:space="preserve">; por tal motivo, la respuesta, respecto a los rubros no combatidos queda intocada, ya que se advierte que se da por satisfecho el requerimiento de información, quedando firmes ante la falta de impugnación en específico, pues se entiende que </w:t>
      </w:r>
      <w:r w:rsidR="00A637EF" w:rsidRPr="00A637EF">
        <w:rPr>
          <w:rFonts w:ascii="Palatino Linotype" w:hAnsi="Palatino Linotype" w:cs="Arial"/>
          <w:b/>
          <w:i/>
        </w:rPr>
        <w:t>EL RECURRENTE</w:t>
      </w:r>
      <w:r w:rsidR="00A637EF" w:rsidRPr="00A637EF">
        <w:rPr>
          <w:rFonts w:ascii="Palatino Linotype" w:hAnsi="Palatino Linotype" w:cs="Arial"/>
          <w:i/>
        </w:rPr>
        <w:t xml:space="preserve"> ésta conforme con la información al no contravenir la misma.</w:t>
      </w:r>
    </w:p>
    <w:p w:rsidR="00A637EF" w:rsidRPr="00A637EF" w:rsidRDefault="00A637EF" w:rsidP="00A637EF">
      <w:pPr>
        <w:spacing w:before="100" w:beforeAutospacing="1" w:after="100" w:afterAutospacing="1" w:line="360" w:lineRule="auto"/>
        <w:ind w:left="851" w:right="474"/>
        <w:jc w:val="both"/>
        <w:rPr>
          <w:rFonts w:ascii="Palatino Linotype" w:hAnsi="Palatino Linotype" w:cs="Arial"/>
          <w:i/>
        </w:rPr>
      </w:pPr>
      <w:r w:rsidRPr="00A637EF">
        <w:rPr>
          <w:rFonts w:ascii="Palatino Linotype" w:hAnsi="Palatino Linotype" w:cs="Arial"/>
          <w:i/>
        </w:rPr>
        <w:t>Sirve de sustento a lo anterior por analogía la tesis jurisprudencial número VI.3o.C. J/60, publicada en el Semanario Judicial de la Federación y su Gaceta bajo el número de registro 176,608 que a la letra dice:</w:t>
      </w:r>
    </w:p>
    <w:p w:rsidR="00A637EF" w:rsidRPr="00A637EF" w:rsidRDefault="00A637EF" w:rsidP="00A637EF">
      <w:pPr>
        <w:shd w:val="clear" w:color="auto" w:fill="FFFFFF"/>
        <w:spacing w:before="100" w:beforeAutospacing="1" w:after="100" w:afterAutospacing="1"/>
        <w:ind w:left="851" w:right="474"/>
        <w:jc w:val="both"/>
        <w:rPr>
          <w:rFonts w:ascii="Arial" w:hAnsi="Arial" w:cs="Arial"/>
          <w:i/>
          <w:sz w:val="19"/>
          <w:szCs w:val="19"/>
        </w:rPr>
      </w:pPr>
      <w:r w:rsidRPr="00A637EF">
        <w:rPr>
          <w:rFonts w:ascii="Palatino Linotype" w:hAnsi="Palatino Linotype" w:cs="Arial"/>
          <w:b/>
          <w:bCs/>
          <w:i/>
          <w:iCs/>
        </w:rPr>
        <w:t>“ACTOS CONSENTIDOS. SON LOS QUE NO SE IMPUGNAN MEDIANTE EL RECURSO IDÓNEO.</w:t>
      </w:r>
      <w:r w:rsidRPr="00A637EF">
        <w:rPr>
          <w:rStyle w:val="apple-converted-space"/>
          <w:rFonts w:ascii="Palatino Linotype" w:hAnsi="Palatino Linotype" w:cs="Arial"/>
          <w:b/>
          <w:bCs/>
          <w:i/>
          <w:iCs/>
        </w:rPr>
        <w:t> </w:t>
      </w:r>
      <w:r w:rsidRPr="00A637EF">
        <w:rPr>
          <w:rFonts w:ascii="Palatino Linotype" w:hAnsi="Palatino Linotype" w:cs="Arial"/>
          <w:i/>
          <w:iCs/>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637EF" w:rsidRPr="00A637EF" w:rsidRDefault="00A637EF" w:rsidP="00A637EF">
      <w:pPr>
        <w:shd w:val="clear" w:color="auto" w:fill="FFFFFF"/>
        <w:spacing w:before="100" w:beforeAutospacing="1" w:after="100" w:afterAutospacing="1" w:line="360" w:lineRule="auto"/>
        <w:ind w:left="851" w:right="474"/>
        <w:jc w:val="both"/>
        <w:rPr>
          <w:rFonts w:ascii="Palatino Linotype" w:hAnsi="Palatino Linotype" w:cs="Arial"/>
          <w:i/>
        </w:rPr>
      </w:pPr>
      <w:r w:rsidRPr="00A637EF">
        <w:rPr>
          <w:rFonts w:ascii="Palatino Linotype" w:hAnsi="Palatino Linotype" w:cs="Arial"/>
          <w:i/>
        </w:rPr>
        <w:t>Lo anterior es así, debido a que, cuando</w:t>
      </w:r>
      <w:r w:rsidRPr="00A637EF">
        <w:rPr>
          <w:rStyle w:val="apple-converted-space"/>
          <w:rFonts w:ascii="Palatino Linotype" w:hAnsi="Palatino Linotype" w:cs="Arial"/>
          <w:i/>
        </w:rPr>
        <w:t> </w:t>
      </w:r>
      <w:r w:rsidRPr="00A637EF">
        <w:rPr>
          <w:rFonts w:ascii="Palatino Linotype" w:hAnsi="Palatino Linotype" w:cs="Arial"/>
          <w:b/>
          <w:bCs/>
          <w:i/>
        </w:rPr>
        <w:t>EL RECURRENTE</w:t>
      </w:r>
      <w:r w:rsidRPr="00A637EF">
        <w:rPr>
          <w:rStyle w:val="apple-converted-space"/>
          <w:rFonts w:ascii="Palatino Linotype" w:hAnsi="Palatino Linotype" w:cs="Arial"/>
          <w:b/>
          <w:bCs/>
          <w:i/>
        </w:rPr>
        <w:t> </w:t>
      </w:r>
      <w:r w:rsidRPr="00A637EF">
        <w:rPr>
          <w:rFonts w:ascii="Palatino Linotype" w:hAnsi="Palatino Linotype" w:cs="Arial"/>
          <w:i/>
        </w:rPr>
        <w:t>impugnó la respuesta del</w:t>
      </w:r>
      <w:r w:rsidRPr="00A637EF">
        <w:rPr>
          <w:rStyle w:val="apple-converted-space"/>
          <w:rFonts w:ascii="Palatino Linotype" w:hAnsi="Palatino Linotype" w:cs="Arial"/>
          <w:i/>
        </w:rPr>
        <w:t> </w:t>
      </w:r>
      <w:r w:rsidR="00EE7E7A">
        <w:rPr>
          <w:rFonts w:ascii="Palatino Linotype" w:hAnsi="Palatino Linotype" w:cs="Arial"/>
          <w:b/>
          <w:bCs/>
          <w:i/>
        </w:rPr>
        <w:t>Sujeto Obligado</w:t>
      </w:r>
      <w:r w:rsidRPr="00A637EF">
        <w:rPr>
          <w:rFonts w:ascii="Palatino Linotype" w:hAnsi="Palatino Linotype" w:cs="Arial"/>
          <w:i/>
        </w:rPr>
        <w:t>, no expresó razón o motivo de inconformidad en contra de todos los rubros solicitados; por lo que, dichos rubros deben declararse atendidos, pues se entiende que</w:t>
      </w:r>
      <w:r w:rsidRPr="00A637EF">
        <w:rPr>
          <w:rStyle w:val="apple-converted-space"/>
          <w:rFonts w:ascii="Palatino Linotype" w:hAnsi="Palatino Linotype" w:cs="Arial"/>
          <w:i/>
        </w:rPr>
        <w:t xml:space="preserve"> </w:t>
      </w:r>
      <w:r w:rsidRPr="00A637EF">
        <w:rPr>
          <w:rFonts w:ascii="Palatino Linotype" w:hAnsi="Palatino Linotype" w:cs="Arial"/>
          <w:b/>
          <w:bCs/>
          <w:i/>
        </w:rPr>
        <w:t>EL RECURRENTE</w:t>
      </w:r>
      <w:r w:rsidRPr="00A637EF">
        <w:rPr>
          <w:rStyle w:val="apple-converted-space"/>
          <w:rFonts w:ascii="Palatino Linotype" w:hAnsi="Palatino Linotype" w:cs="Arial"/>
          <w:i/>
        </w:rPr>
        <w:t xml:space="preserve"> </w:t>
      </w:r>
      <w:r w:rsidRPr="00A637EF">
        <w:rPr>
          <w:rFonts w:ascii="Palatino Linotype" w:hAnsi="Palatino Linotype" w:cs="Arial"/>
          <w:i/>
        </w:rPr>
        <w:t>está conforme con la información al no contravenir la misma.</w:t>
      </w:r>
    </w:p>
    <w:p w:rsidR="00A637EF" w:rsidRPr="00A637EF" w:rsidRDefault="00A637EF" w:rsidP="00A637EF">
      <w:pPr>
        <w:shd w:val="clear" w:color="auto" w:fill="FFFFFF"/>
        <w:spacing w:line="360" w:lineRule="auto"/>
        <w:ind w:left="851" w:right="474"/>
        <w:jc w:val="both"/>
        <w:rPr>
          <w:rFonts w:ascii="Arial" w:hAnsi="Arial" w:cs="Arial"/>
          <w:i/>
        </w:rPr>
      </w:pPr>
      <w:r w:rsidRPr="00A637EF">
        <w:rPr>
          <w:rFonts w:ascii="Palatino Linotype" w:eastAsia="Arial Unicode MS" w:hAnsi="Palatino Linotype" w:cs="Arial"/>
          <w:i/>
        </w:rPr>
        <w:lastRenderedPageBreak/>
        <w:t xml:space="preserve">Consecuentemente, la parte de la respuesta que no fue impugnada debe declararse consentida por </w:t>
      </w:r>
      <w:r w:rsidRPr="00A637EF">
        <w:rPr>
          <w:rFonts w:ascii="Palatino Linotype" w:eastAsia="Arial Unicode MS" w:hAnsi="Palatino Linotype" w:cs="Arial"/>
          <w:b/>
          <w:i/>
        </w:rPr>
        <w:t>EL RECURRENTE</w:t>
      </w:r>
      <w:r w:rsidRPr="00A637EF">
        <w:rPr>
          <w:rFonts w:ascii="Palatino Linotype" w:eastAsia="Arial Unicode MS" w:hAnsi="Palatino Linotype" w:cs="Arial"/>
          <w:i/>
        </w:rPr>
        <w:t>, toda vez que no realizó manifestaciones de inconformidad; por lo que, no pueden producirse efectos jurídicos tendentes a revocar, confirmar o modificar el acto reclamado ya que se infiere su consentimiento ante la falta de impugnación eficaz.</w:t>
      </w:r>
    </w:p>
    <w:p w:rsidR="00A637EF" w:rsidRPr="00A637EF" w:rsidRDefault="00A637EF" w:rsidP="00A637EF">
      <w:pPr>
        <w:shd w:val="clear" w:color="auto" w:fill="FFFFFF"/>
        <w:spacing w:before="100" w:beforeAutospacing="1" w:after="100" w:afterAutospacing="1" w:line="360" w:lineRule="auto"/>
        <w:ind w:left="851" w:right="474"/>
        <w:jc w:val="both"/>
        <w:rPr>
          <w:rFonts w:ascii="Arial" w:hAnsi="Arial" w:cs="Arial"/>
          <w:i/>
        </w:rPr>
      </w:pPr>
      <w:r w:rsidRPr="00A637EF">
        <w:rPr>
          <w:rFonts w:ascii="Palatino Linotype" w:hAnsi="Palatino Linotype" w:cs="Arial"/>
          <w:i/>
        </w:rPr>
        <w:t> Como apoyo a lo anterior, por analogía, la Tesis Jurisprudencial Número 3ª./J.7/91, Publicada en el Semanario Judicial de la Federación y su Gaceta bajo el número de registro 174,177, que establece lo siguiente:</w:t>
      </w:r>
    </w:p>
    <w:p w:rsidR="00A637EF" w:rsidRPr="00A637EF" w:rsidRDefault="00A637EF" w:rsidP="00A637EF">
      <w:pPr>
        <w:shd w:val="clear" w:color="auto" w:fill="FFFFFF"/>
        <w:spacing w:before="100" w:beforeAutospacing="1" w:after="100" w:afterAutospacing="1"/>
        <w:ind w:left="851" w:right="474"/>
        <w:jc w:val="both"/>
        <w:rPr>
          <w:rFonts w:ascii="Palatino Linotype" w:hAnsi="Palatino Linotype" w:cs="Arial"/>
          <w:i/>
          <w:iCs/>
        </w:rPr>
      </w:pPr>
      <w:r w:rsidRPr="00A637EF">
        <w:rPr>
          <w:rFonts w:ascii="Palatino Linotype" w:hAnsi="Palatino Linotype" w:cs="Arial"/>
          <w:b/>
          <w:bCs/>
          <w:i/>
          <w:iCs/>
        </w:rPr>
        <w:t>“REVISIÓN EN AMPARO. LOS RESOLUTIVOS NO COMBATIDOS DEBEN DECLARARSE FIRMES.</w:t>
      </w:r>
      <w:r w:rsidRPr="00A637EF">
        <w:rPr>
          <w:rStyle w:val="apple-converted-space"/>
          <w:rFonts w:ascii="Palatino Linotype" w:hAnsi="Palatino Linotype" w:cs="Arial"/>
          <w:b/>
          <w:bCs/>
          <w:i/>
          <w:iCs/>
        </w:rPr>
        <w:t> </w:t>
      </w:r>
      <w:r w:rsidRPr="00A637EF">
        <w:rPr>
          <w:rFonts w:ascii="Palatino Linotype" w:hAnsi="Palatino Linotype" w:cs="Arial"/>
          <w:i/>
          <w:iCs/>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w:t>
      </w:r>
      <w:r w:rsidRPr="00A637EF">
        <w:rPr>
          <w:rStyle w:val="apple-converted-space"/>
          <w:rFonts w:ascii="Palatino Linotype" w:hAnsi="Palatino Linotype" w:cs="Arial"/>
          <w:i/>
          <w:iCs/>
        </w:rPr>
        <w:t> </w:t>
      </w:r>
      <w:r w:rsidRPr="00A637EF">
        <w:rPr>
          <w:rFonts w:ascii="Palatino Linotype" w:hAnsi="Palatino Linotype" w:cs="Arial"/>
          <w:i/>
          <w:iCs/>
        </w:rPr>
        <w:t>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637EF" w:rsidRPr="00A637EF" w:rsidRDefault="00A637EF" w:rsidP="00A637EF">
      <w:pPr>
        <w:spacing w:before="100" w:beforeAutospacing="1" w:after="100" w:afterAutospacing="1" w:line="360" w:lineRule="auto"/>
        <w:ind w:left="851" w:right="474"/>
        <w:jc w:val="both"/>
        <w:rPr>
          <w:rFonts w:ascii="Palatino Linotype" w:hAnsi="Palatino Linotype" w:cs="Arial"/>
          <w:i/>
          <w:lang w:eastAsia="es-MX"/>
        </w:rPr>
      </w:pPr>
      <w:r w:rsidRPr="00A637EF">
        <w:rPr>
          <w:rFonts w:ascii="Palatino Linotype" w:hAnsi="Palatino Linotype" w:cs="Arial"/>
          <w:i/>
          <w:lang w:eastAsia="es-MX"/>
        </w:rPr>
        <w:t xml:space="preserve">En ese contexto, esta Ponencia considera conveniente analizar los rubros que fueron impugnados por el hoy </w:t>
      </w:r>
      <w:r w:rsidRPr="00A637EF">
        <w:rPr>
          <w:rFonts w:ascii="Palatino Linotype" w:hAnsi="Palatino Linotype" w:cs="Arial"/>
          <w:b/>
          <w:i/>
          <w:lang w:eastAsia="es-MX"/>
        </w:rPr>
        <w:t>RECURRENTE</w:t>
      </w:r>
      <w:r w:rsidRPr="00A637EF">
        <w:rPr>
          <w:rFonts w:ascii="Palatino Linotype" w:hAnsi="Palatino Linotype" w:cs="Arial"/>
          <w:i/>
          <w:lang w:eastAsia="es-MX"/>
        </w:rPr>
        <w:t xml:space="preserve">, a fin de verificar si la respuesta del </w:t>
      </w:r>
      <w:r w:rsidR="00EE7E7A">
        <w:rPr>
          <w:rFonts w:ascii="Palatino Linotype" w:hAnsi="Palatino Linotype" w:cs="Arial"/>
          <w:b/>
          <w:i/>
          <w:lang w:eastAsia="es-MX"/>
        </w:rPr>
        <w:t>Sujeto Obligado</w:t>
      </w:r>
      <w:r w:rsidRPr="00A637EF">
        <w:rPr>
          <w:rFonts w:ascii="Palatino Linotype" w:hAnsi="Palatino Linotype" w:cs="Arial"/>
          <w:i/>
          <w:lang w:eastAsia="es-MX"/>
        </w:rPr>
        <w:t xml:space="preserve"> satisfizo el derecho de acceso a la información pública del particular.</w:t>
      </w:r>
      <w:r w:rsidRPr="00A637EF">
        <w:rPr>
          <w:rFonts w:ascii="Palatino Linotype" w:hAnsi="Palatino Linotype" w:cs="Arial"/>
          <w:i/>
          <w:lang w:eastAsia="es-MX"/>
        </w:rPr>
        <w:t>”</w:t>
      </w:r>
    </w:p>
    <w:p w:rsidR="005F11DB" w:rsidRPr="0068615F" w:rsidRDefault="00364F8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EE7E7A">
        <w:rPr>
          <w:rFonts w:ascii="Palatino Linotype" w:eastAsia="Times New Roman" w:hAnsi="Palatino Linotype" w:cs="Arial"/>
          <w:sz w:val="24"/>
          <w:szCs w:val="24"/>
          <w:lang w:val="es-ES_tradnl"/>
        </w:rPr>
        <w:t>En</w:t>
      </w:r>
      <w:r w:rsidRPr="0068615F">
        <w:rPr>
          <w:rFonts w:ascii="Palatino Linotype" w:hAnsi="Palatino Linotype"/>
          <w:sz w:val="24"/>
          <w:szCs w:val="24"/>
        </w:rPr>
        <w:t xml:space="preserve"> ese tenor, la Ponencia </w:t>
      </w:r>
      <w:proofErr w:type="spellStart"/>
      <w:r w:rsidRPr="0068615F">
        <w:rPr>
          <w:rFonts w:ascii="Palatino Linotype" w:hAnsi="Palatino Linotype"/>
          <w:sz w:val="24"/>
          <w:szCs w:val="24"/>
        </w:rPr>
        <w:t>resolutora</w:t>
      </w:r>
      <w:proofErr w:type="spellEnd"/>
      <w:r w:rsidRPr="0068615F">
        <w:rPr>
          <w:rFonts w:ascii="Palatino Linotype" w:hAnsi="Palatino Linotype"/>
          <w:sz w:val="24"/>
          <w:szCs w:val="24"/>
        </w:rPr>
        <w:t xml:space="preserve"> entonces</w:t>
      </w:r>
      <w:r w:rsidR="00F81422" w:rsidRPr="0068615F">
        <w:rPr>
          <w:rFonts w:ascii="Palatino Linotype" w:hAnsi="Palatino Linotype"/>
          <w:sz w:val="24"/>
          <w:szCs w:val="24"/>
        </w:rPr>
        <w:t xml:space="preserve"> p</w:t>
      </w:r>
      <w:r w:rsidR="005F11DB" w:rsidRPr="0068615F">
        <w:rPr>
          <w:rFonts w:ascii="Palatino Linotype" w:hAnsi="Palatino Linotype" w:cs="Arial"/>
          <w:sz w:val="24"/>
          <w:szCs w:val="24"/>
        </w:rPr>
        <w:t>resum</w:t>
      </w:r>
      <w:r w:rsidRPr="0068615F">
        <w:rPr>
          <w:rFonts w:ascii="Palatino Linotype" w:hAnsi="Palatino Linotype" w:cs="Arial"/>
          <w:sz w:val="24"/>
          <w:szCs w:val="24"/>
        </w:rPr>
        <w:t>e</w:t>
      </w:r>
      <w:r w:rsidR="005F11DB" w:rsidRPr="0068615F">
        <w:rPr>
          <w:rFonts w:ascii="Palatino Linotype" w:hAnsi="Palatino Linotype" w:cs="Arial"/>
          <w:sz w:val="24"/>
          <w:szCs w:val="24"/>
        </w:rPr>
        <w:t xml:space="preserve"> que el ahora recurrente se encuentra conforme con </w:t>
      </w:r>
      <w:r w:rsidR="00A637EF">
        <w:rPr>
          <w:rFonts w:ascii="Palatino Linotype" w:hAnsi="Palatino Linotype" w:cs="Arial"/>
          <w:sz w:val="24"/>
          <w:szCs w:val="24"/>
        </w:rPr>
        <w:t>l</w:t>
      </w:r>
      <w:r w:rsidR="005F11DB" w:rsidRPr="0068615F">
        <w:rPr>
          <w:rFonts w:ascii="Palatino Linotype" w:hAnsi="Palatino Linotype" w:cs="Arial"/>
          <w:sz w:val="24"/>
          <w:szCs w:val="24"/>
        </w:rPr>
        <w:t>a información</w:t>
      </w:r>
      <w:r w:rsidR="00A637EF">
        <w:rPr>
          <w:rFonts w:ascii="Palatino Linotype" w:hAnsi="Palatino Linotype" w:cs="Arial"/>
          <w:sz w:val="24"/>
          <w:szCs w:val="24"/>
        </w:rPr>
        <w:t xml:space="preserve"> no impugnada</w:t>
      </w:r>
      <w:r w:rsidR="005F11DB" w:rsidRPr="0068615F">
        <w:rPr>
          <w:rFonts w:ascii="Palatino Linotype" w:hAnsi="Palatino Linotype" w:cs="Arial"/>
          <w:sz w:val="24"/>
          <w:szCs w:val="24"/>
        </w:rPr>
        <w:t xml:space="preserve"> y al no existir manifestaciones de inconformidad al respecto</w:t>
      </w:r>
      <w:r w:rsidR="005F11DB" w:rsidRPr="0068615F">
        <w:rPr>
          <w:rFonts w:ascii="Palatino Linotype" w:hAnsi="Palatino Linotype"/>
          <w:sz w:val="24"/>
          <w:szCs w:val="24"/>
        </w:rPr>
        <w:t xml:space="preserve"> se haya </w:t>
      </w:r>
      <w:r w:rsidR="005F11DB" w:rsidRPr="0068615F">
        <w:rPr>
          <w:rFonts w:ascii="Palatino Linotype" w:hAnsi="Palatino Linotype" w:cs="Arial"/>
          <w:sz w:val="24"/>
          <w:szCs w:val="24"/>
        </w:rPr>
        <w:t xml:space="preserve">declarado un acto consentido </w:t>
      </w:r>
      <w:r w:rsidR="005F11DB" w:rsidRPr="0068615F">
        <w:rPr>
          <w:rFonts w:ascii="Palatino Linotype" w:hAnsi="Palatino Linotype" w:cs="Arial"/>
          <w:sz w:val="24"/>
          <w:szCs w:val="24"/>
        </w:rPr>
        <w:lastRenderedPageBreak/>
        <w:t xml:space="preserve">por </w:t>
      </w:r>
      <w:r w:rsidR="00261774" w:rsidRPr="0068615F">
        <w:rPr>
          <w:rFonts w:ascii="Palatino Linotype" w:hAnsi="Palatino Linotype" w:cs="Arial"/>
          <w:sz w:val="24"/>
          <w:szCs w:val="24"/>
        </w:rPr>
        <w:t>e</w:t>
      </w:r>
      <w:r w:rsidR="00DA3358" w:rsidRPr="0068615F">
        <w:rPr>
          <w:rFonts w:ascii="Palatino Linotype" w:hAnsi="Palatino Linotype" w:cs="Arial"/>
          <w:sz w:val="24"/>
          <w:szCs w:val="24"/>
        </w:rPr>
        <w:t>l recurrente</w:t>
      </w:r>
      <w:r w:rsidR="005F11DB" w:rsidRPr="0068615F">
        <w:rPr>
          <w:rFonts w:ascii="Palatino Linotype" w:hAnsi="Palatino Linotype" w:cs="Arial"/>
          <w:sz w:val="24"/>
          <w:szCs w:val="24"/>
        </w:rPr>
        <w:t>, y se haya inferido su consentimiento ante la falta de impugnación eficaz.</w:t>
      </w:r>
    </w:p>
    <w:p w:rsidR="005F11DB" w:rsidRPr="0068615F" w:rsidRDefault="005F11DB" w:rsidP="005F11DB">
      <w:pPr>
        <w:pStyle w:val="Prrafodelista"/>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Por tal motivo y e</w:t>
      </w:r>
      <w:r w:rsidR="00C81948" w:rsidRPr="0068615F">
        <w:rPr>
          <w:rFonts w:ascii="Palatino Linotype" w:hAnsi="Palatino Linotype" w:cs="Arial"/>
          <w:sz w:val="24"/>
          <w:szCs w:val="24"/>
        </w:rPr>
        <w:t xml:space="preserve">n términos de lo señalado por el </w:t>
      </w:r>
      <w:r w:rsidRPr="0068615F">
        <w:rPr>
          <w:rFonts w:ascii="Palatino Linotype" w:hAnsi="Palatino Linotype" w:cs="Arial"/>
          <w:sz w:val="24"/>
          <w:szCs w:val="24"/>
        </w:rPr>
        <w:t xml:space="preserve">artículo 14 fracción XI del Reglamento Interior del Instituto de Transparencia y Acceso a la Información Pública del Estado de México y Municipios formulo </w:t>
      </w:r>
      <w:r w:rsidR="00C81948" w:rsidRPr="0068615F">
        <w:rPr>
          <w:rFonts w:ascii="Palatino Linotype" w:hAnsi="Palatino Linotype" w:cs="Arial"/>
          <w:sz w:val="24"/>
          <w:szCs w:val="24"/>
        </w:rPr>
        <w:t>e</w:t>
      </w:r>
      <w:r w:rsidRPr="0068615F">
        <w:rPr>
          <w:rFonts w:ascii="Palatino Linotype" w:hAnsi="Palatino Linotype" w:cs="Arial"/>
          <w:sz w:val="24"/>
          <w:szCs w:val="24"/>
        </w:rPr>
        <w:t xml:space="preserve">l presente voto particular. </w:t>
      </w:r>
    </w:p>
    <w:p w:rsidR="005F11DB" w:rsidRPr="0068615F" w:rsidRDefault="005F11DB" w:rsidP="005F11DB">
      <w:pPr>
        <w:pStyle w:val="Prrafodelista"/>
        <w:rPr>
          <w:rFonts w:ascii="Palatino Linotype" w:hAnsi="Palatino Linotype" w:cs="Arial"/>
          <w:sz w:val="24"/>
          <w:szCs w:val="24"/>
        </w:rPr>
      </w:pPr>
    </w:p>
    <w:p w:rsidR="005F11DB" w:rsidRPr="0068615F" w:rsidRDefault="005F11DB" w:rsidP="005F11DB">
      <w:pPr>
        <w:pStyle w:val="Ttulo1"/>
        <w:numPr>
          <w:ilvl w:val="0"/>
          <w:numId w:val="13"/>
        </w:numPr>
        <w:rPr>
          <w:rFonts w:ascii="Palatino Linotype" w:hAnsi="Palatino Linotype"/>
          <w:b/>
          <w:color w:val="000000" w:themeColor="text1"/>
          <w:sz w:val="24"/>
          <w:szCs w:val="24"/>
        </w:rPr>
      </w:pPr>
      <w:bookmarkStart w:id="1" w:name="_Toc482005020"/>
      <w:r w:rsidRPr="0068615F">
        <w:rPr>
          <w:rFonts w:ascii="Palatino Linotype" w:hAnsi="Palatino Linotype"/>
          <w:b/>
          <w:color w:val="000000" w:themeColor="text1"/>
          <w:sz w:val="24"/>
          <w:szCs w:val="24"/>
        </w:rPr>
        <w:t>De los requerimientos planteados en el recurso de revisión.</w:t>
      </w:r>
      <w:bookmarkEnd w:id="1"/>
    </w:p>
    <w:p w:rsidR="00445AC0" w:rsidRPr="0068615F" w:rsidRDefault="00445AC0" w:rsidP="00445AC0">
      <w:pPr>
        <w:rPr>
          <w:rFonts w:ascii="Palatino Linotype" w:hAnsi="Palatino Linotype"/>
        </w:rPr>
      </w:pPr>
    </w:p>
    <w:p w:rsidR="005F11DB" w:rsidRPr="00A637EF" w:rsidRDefault="00445AC0" w:rsidP="00EE7E7A">
      <w:pPr>
        <w:pStyle w:val="Prrafodelista"/>
        <w:numPr>
          <w:ilvl w:val="0"/>
          <w:numId w:val="8"/>
        </w:numPr>
        <w:spacing w:after="0" w:line="360" w:lineRule="auto"/>
        <w:ind w:left="0" w:firstLine="0"/>
        <w:jc w:val="both"/>
        <w:rPr>
          <w:rFonts w:ascii="Palatino Linotype" w:eastAsia="Times New Roman" w:hAnsi="Palatino Linotype" w:cs="Arial"/>
          <w:sz w:val="24"/>
          <w:szCs w:val="24"/>
        </w:rPr>
      </w:pPr>
      <w:r w:rsidRPr="0068615F">
        <w:rPr>
          <w:rFonts w:ascii="Palatino Linotype" w:hAnsi="Palatino Linotype" w:cs="Arial"/>
          <w:sz w:val="24"/>
          <w:szCs w:val="24"/>
        </w:rPr>
        <w:t>El</w:t>
      </w:r>
      <w:r w:rsidR="009979C7" w:rsidRPr="0068615F">
        <w:rPr>
          <w:rFonts w:ascii="Palatino Linotype" w:hAnsi="Palatino Linotype" w:cs="Arial"/>
          <w:sz w:val="24"/>
          <w:szCs w:val="24"/>
        </w:rPr>
        <w:t xml:space="preserve"> hoy recurrente</w:t>
      </w:r>
      <w:r w:rsidR="005F11DB" w:rsidRPr="0068615F">
        <w:rPr>
          <w:rFonts w:ascii="Palatino Linotype" w:hAnsi="Palatino Linotype" w:cs="Arial"/>
          <w:sz w:val="24"/>
          <w:szCs w:val="24"/>
        </w:rPr>
        <w:t>, mediante solicitud</w:t>
      </w:r>
      <w:r w:rsidR="00EE7E7A">
        <w:rPr>
          <w:rFonts w:ascii="Palatino Linotype" w:hAnsi="Palatino Linotype" w:cs="Arial"/>
          <w:sz w:val="24"/>
          <w:szCs w:val="24"/>
        </w:rPr>
        <w:t>es</w:t>
      </w:r>
      <w:r w:rsidR="005F11DB" w:rsidRPr="0068615F">
        <w:rPr>
          <w:rFonts w:ascii="Palatino Linotype" w:hAnsi="Palatino Linotype" w:cs="Arial"/>
          <w:sz w:val="24"/>
          <w:szCs w:val="24"/>
        </w:rPr>
        <w:t xml:space="preserve"> de acceso a la información requirió la información siguiente: </w:t>
      </w:r>
    </w:p>
    <w:p w:rsidR="00A637EF" w:rsidRPr="00A637EF" w:rsidRDefault="00A637EF" w:rsidP="00A637EF">
      <w:pPr>
        <w:pStyle w:val="Prrafodelista"/>
        <w:spacing w:before="100" w:beforeAutospacing="1" w:after="100" w:afterAutospacing="1" w:line="360" w:lineRule="auto"/>
        <w:ind w:left="567" w:right="474"/>
        <w:jc w:val="both"/>
        <w:rPr>
          <w:rFonts w:ascii="Palatino Linotype" w:hAnsi="Palatino Linotype"/>
          <w:b/>
        </w:rPr>
      </w:pPr>
      <w:r w:rsidRPr="00A637EF">
        <w:rPr>
          <w:rFonts w:ascii="Palatino Linotype" w:hAnsi="Palatino Linotype"/>
          <w:b/>
        </w:rPr>
        <w:t xml:space="preserve">00318/UAEM/IP/2018 </w:t>
      </w:r>
    </w:p>
    <w:p w:rsidR="00A637EF" w:rsidRDefault="00A637EF" w:rsidP="00A637EF">
      <w:pPr>
        <w:pStyle w:val="Prrafodelista"/>
        <w:spacing w:before="100" w:beforeAutospacing="1" w:after="100" w:afterAutospacing="1"/>
        <w:ind w:left="567" w:right="474"/>
        <w:jc w:val="both"/>
        <w:rPr>
          <w:rFonts w:ascii="Palatino Linotype" w:hAnsi="Palatino Linotype"/>
        </w:rPr>
      </w:pPr>
      <w:r w:rsidRPr="00A637EF">
        <w:rPr>
          <w:rFonts w:ascii="Palatino Linotype" w:hAnsi="Palatino Linotype"/>
          <w:i/>
        </w:rPr>
        <w:t>“Nombre de la institución bancaria, número de cuenta bancaria y documento bancario que acredite en dónde tenía la UAEM los montos reportados mensualmente como egresos en Seguridad Social (que se localiza dentro de la cuenta de cuenta Servicios Personales) en los reportes de ingresos y egresos, que tienen como título “Estado de Actividades”. Lo anterior correspondiente cada uno de los meses del año 2016. Además, considerando que en lo anterior solo se encuentra la parte correspondiente al patrón, también se solicita Nombre de la institución bancaria, número de cuenta bancaria y los estados de cuenta que acrediten los montos que se depositaron junto con la parte patronal, para el pago de Seguridad Social, correspondientes a cada uno de los meses del año anteriormente citado. Además, el número de cuenta y nombre del banco en dónde la UAEM ha tenido y tiene lo retenido a los trabajadores antes de que sea depositado al ISSEMYM. ”</w:t>
      </w:r>
      <w:r w:rsidRPr="00A637EF">
        <w:rPr>
          <w:rFonts w:ascii="Palatino Linotype" w:hAnsi="Palatino Linotype"/>
        </w:rPr>
        <w:t xml:space="preserve"> (Sic)</w:t>
      </w:r>
    </w:p>
    <w:p w:rsidR="00A637EF" w:rsidRPr="00A637EF" w:rsidRDefault="00A637EF" w:rsidP="00A637EF">
      <w:pPr>
        <w:pStyle w:val="Prrafodelista"/>
        <w:spacing w:before="100" w:beforeAutospacing="1" w:after="100" w:afterAutospacing="1"/>
        <w:ind w:left="567" w:right="474"/>
        <w:jc w:val="both"/>
        <w:rPr>
          <w:rFonts w:ascii="Palatino Linotype" w:hAnsi="Palatino Linotype"/>
        </w:rPr>
      </w:pPr>
    </w:p>
    <w:p w:rsidR="00A637EF" w:rsidRPr="00A637EF" w:rsidRDefault="00A637EF" w:rsidP="00A637EF">
      <w:pPr>
        <w:pStyle w:val="Prrafodelista"/>
        <w:spacing w:before="100" w:beforeAutospacing="1" w:after="100" w:afterAutospacing="1" w:line="360" w:lineRule="auto"/>
        <w:ind w:left="567" w:right="474"/>
        <w:jc w:val="both"/>
        <w:rPr>
          <w:rFonts w:ascii="Palatino Linotype" w:hAnsi="Palatino Linotype"/>
          <w:b/>
        </w:rPr>
      </w:pPr>
      <w:r w:rsidRPr="00A637EF">
        <w:rPr>
          <w:rFonts w:ascii="Palatino Linotype" w:hAnsi="Palatino Linotype"/>
          <w:b/>
        </w:rPr>
        <w:t>00317/UAEM/IP/2018</w:t>
      </w:r>
    </w:p>
    <w:p w:rsidR="00A637EF" w:rsidRPr="00A637EF" w:rsidRDefault="00A637EF" w:rsidP="00A637EF">
      <w:pPr>
        <w:pStyle w:val="Prrafodelista"/>
        <w:spacing w:before="100" w:beforeAutospacing="1" w:after="100" w:afterAutospacing="1"/>
        <w:ind w:left="567" w:right="474"/>
        <w:jc w:val="both"/>
        <w:rPr>
          <w:rFonts w:ascii="Palatino Linotype" w:hAnsi="Palatino Linotype"/>
        </w:rPr>
      </w:pPr>
      <w:r w:rsidRPr="00A637EF">
        <w:rPr>
          <w:rFonts w:ascii="Palatino Linotype" w:hAnsi="Palatino Linotype"/>
          <w:i/>
        </w:rPr>
        <w:t xml:space="preserve">“Nombre de la institución bancaria, número de cuenta bancaria y documento bancario que acredite en dónde tenía la UAEM los montos reportados mensualmente como egresos en Seguridad Social (que se localiza dentro de la cuenta de cuenta Servicios Personales) </w:t>
      </w:r>
      <w:r w:rsidRPr="00A637EF">
        <w:rPr>
          <w:rFonts w:ascii="Palatino Linotype" w:hAnsi="Palatino Linotype"/>
          <w:i/>
        </w:rPr>
        <w:lastRenderedPageBreak/>
        <w:t>en los reportes de ingresos y egresos, que tienen como título “Estado de Actividades”. Lo anterior correspondiente cada uno de los meses del año 2017. Además, considerando que en lo anterior solo se encuentra la parte correspondiente al patrón, también se solicita Nombre de la institución bancaria, número de cuenta bancaria y los estados de cuenta que acrediten los montos que se depositaron junto con la parte patronal, para el pago de Seguridad Social, correspondientes a cada uno de los meses del año anteriormente citado. Además, el número de cuenta y nombre del banco en dónde la UAEM ha tenido y tiene lo retenido a los trabajadores antes de que sea depositado al ISSEMYM. ”</w:t>
      </w:r>
      <w:r w:rsidRPr="00A637EF">
        <w:rPr>
          <w:rFonts w:ascii="Palatino Linotype" w:hAnsi="Palatino Linotype"/>
        </w:rPr>
        <w:t xml:space="preserve"> (Sic)</w:t>
      </w:r>
    </w:p>
    <w:p w:rsidR="00A637EF" w:rsidRDefault="00A637EF" w:rsidP="00A637EF">
      <w:pPr>
        <w:pStyle w:val="Prrafodelista"/>
        <w:spacing w:before="100" w:beforeAutospacing="1" w:after="100" w:afterAutospacing="1" w:line="360" w:lineRule="auto"/>
        <w:ind w:left="567" w:right="474"/>
        <w:jc w:val="both"/>
        <w:rPr>
          <w:rFonts w:ascii="Palatino Linotype" w:hAnsi="Palatino Linotype"/>
          <w:b/>
        </w:rPr>
      </w:pPr>
    </w:p>
    <w:p w:rsidR="00A637EF" w:rsidRPr="00A637EF" w:rsidRDefault="00A637EF" w:rsidP="00A637EF">
      <w:pPr>
        <w:pStyle w:val="Prrafodelista"/>
        <w:spacing w:before="100" w:beforeAutospacing="1" w:after="100" w:afterAutospacing="1" w:line="360" w:lineRule="auto"/>
        <w:ind w:left="567" w:right="474"/>
        <w:jc w:val="both"/>
        <w:rPr>
          <w:rFonts w:ascii="Palatino Linotype" w:hAnsi="Palatino Linotype"/>
          <w:b/>
        </w:rPr>
      </w:pPr>
      <w:r w:rsidRPr="00A637EF">
        <w:rPr>
          <w:rFonts w:ascii="Palatino Linotype" w:hAnsi="Palatino Linotype"/>
          <w:b/>
        </w:rPr>
        <w:t>00316/UAEM/IP/2018</w:t>
      </w:r>
    </w:p>
    <w:p w:rsidR="00A637EF" w:rsidRPr="00A637EF" w:rsidRDefault="00A637EF" w:rsidP="00A637EF">
      <w:pPr>
        <w:pStyle w:val="Prrafodelista"/>
        <w:spacing w:before="100" w:beforeAutospacing="1" w:after="100" w:afterAutospacing="1"/>
        <w:ind w:left="567" w:right="474"/>
        <w:jc w:val="both"/>
        <w:rPr>
          <w:rFonts w:ascii="Palatino Linotype" w:hAnsi="Palatino Linotype"/>
        </w:rPr>
      </w:pPr>
      <w:r w:rsidRPr="00A637EF">
        <w:rPr>
          <w:rFonts w:ascii="Palatino Linotype" w:hAnsi="Palatino Linotype"/>
          <w:i/>
        </w:rPr>
        <w:t>“Nombre de la institución bancaria, número de cuenta bancaria y documento bancario que acredite en dónde tenía la UAEM los montos reportados mensualmente como egresos en Seguridad Social (que se localiza dentro de la cuenta de cuenta Servicios Personales) en los reportes de ingresos y egresos, que tienen como título “Estado de Actividades”. Lo anterior correspondiente cada uno de los meses del año 2018. Además, considerando que en lo anterior solo se encuentra la parte correspondiente al patrón, también se solicita Nombre de la institución bancaria, número de cuenta bancaria y los estados de cuenta que acrediten los montos que se depositaron junto con la parte patronal, para el pago de Seguridad Social, correspondientes a cada uno de los meses del año anteriormente citado. Además, el número de cuenta y nombre del banco en dónde la UAEM ha tenido y tiene lo retenido a los trabajadores antes de que sea depositado al ISSEMYM.”</w:t>
      </w:r>
      <w:r w:rsidRPr="00A637EF">
        <w:rPr>
          <w:rFonts w:ascii="Palatino Linotype" w:hAnsi="Palatino Linotype"/>
        </w:rPr>
        <w:t xml:space="preserve"> (Sic)</w:t>
      </w:r>
    </w:p>
    <w:p w:rsidR="00A637EF" w:rsidRDefault="00A637EF" w:rsidP="00A637EF">
      <w:pPr>
        <w:pStyle w:val="Prrafodelista"/>
        <w:spacing w:after="0" w:line="360" w:lineRule="auto"/>
        <w:ind w:left="360"/>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En ese sentido, </w:t>
      </w:r>
      <w:r w:rsidR="00445AC0" w:rsidRPr="0068615F">
        <w:rPr>
          <w:rFonts w:ascii="Palatino Linotype" w:hAnsi="Palatino Linotype" w:cs="Arial"/>
          <w:sz w:val="24"/>
          <w:szCs w:val="24"/>
        </w:rPr>
        <w:t>e</w:t>
      </w:r>
      <w:r w:rsidR="009979C7" w:rsidRPr="0068615F">
        <w:rPr>
          <w:rFonts w:ascii="Palatino Linotype" w:hAnsi="Palatino Linotype" w:cs="Arial"/>
          <w:sz w:val="24"/>
          <w:szCs w:val="24"/>
        </w:rPr>
        <w:t>l hoy recurrente</w:t>
      </w:r>
      <w:r w:rsidRPr="0068615F">
        <w:rPr>
          <w:rFonts w:ascii="Palatino Linotype" w:hAnsi="Palatino Linotype" w:cs="Arial"/>
          <w:b/>
          <w:sz w:val="24"/>
          <w:szCs w:val="24"/>
        </w:rPr>
        <w:t xml:space="preserve"> </w:t>
      </w:r>
      <w:r w:rsidRPr="0068615F">
        <w:rPr>
          <w:rFonts w:ascii="Palatino Linotype" w:hAnsi="Palatino Linotype" w:cs="Arial"/>
          <w:sz w:val="24"/>
          <w:szCs w:val="24"/>
        </w:rPr>
        <w:t xml:space="preserve"> manifestó en su</w:t>
      </w:r>
      <w:r w:rsidR="00EE7E7A">
        <w:rPr>
          <w:rFonts w:ascii="Palatino Linotype" w:hAnsi="Palatino Linotype" w:cs="Arial"/>
          <w:sz w:val="24"/>
          <w:szCs w:val="24"/>
        </w:rPr>
        <w:t>s</w:t>
      </w:r>
      <w:r w:rsidRPr="0068615F">
        <w:rPr>
          <w:rFonts w:ascii="Palatino Linotype" w:hAnsi="Palatino Linotype" w:cs="Arial"/>
          <w:sz w:val="24"/>
          <w:szCs w:val="24"/>
        </w:rPr>
        <w:t xml:space="preserve"> recurso</w:t>
      </w:r>
      <w:r w:rsidR="00EE7E7A">
        <w:rPr>
          <w:rFonts w:ascii="Palatino Linotype" w:hAnsi="Palatino Linotype" w:cs="Arial"/>
          <w:sz w:val="24"/>
          <w:szCs w:val="24"/>
        </w:rPr>
        <w:t>s</w:t>
      </w:r>
      <w:r w:rsidRPr="0068615F">
        <w:rPr>
          <w:rFonts w:ascii="Palatino Linotype" w:hAnsi="Palatino Linotype" w:cs="Arial"/>
          <w:sz w:val="24"/>
          <w:szCs w:val="24"/>
        </w:rPr>
        <w:t xml:space="preserve"> de revisión como acto</w:t>
      </w:r>
      <w:r w:rsidR="00EE7E7A">
        <w:rPr>
          <w:rFonts w:ascii="Palatino Linotype" w:hAnsi="Palatino Linotype" w:cs="Arial"/>
          <w:sz w:val="24"/>
          <w:szCs w:val="24"/>
        </w:rPr>
        <w:t>s</w:t>
      </w:r>
      <w:r w:rsidRPr="0068615F">
        <w:rPr>
          <w:rFonts w:ascii="Palatino Linotype" w:hAnsi="Palatino Linotype" w:cs="Arial"/>
          <w:sz w:val="24"/>
          <w:szCs w:val="24"/>
        </w:rPr>
        <w:t xml:space="preserve"> impugnado</w:t>
      </w:r>
      <w:r w:rsidR="00EE7E7A">
        <w:rPr>
          <w:rFonts w:ascii="Palatino Linotype" w:hAnsi="Palatino Linotype" w:cs="Arial"/>
          <w:sz w:val="24"/>
          <w:szCs w:val="24"/>
        </w:rPr>
        <w:t>s</w:t>
      </w:r>
      <w:r w:rsidRPr="0068615F">
        <w:rPr>
          <w:rFonts w:ascii="Palatino Linotype" w:hAnsi="Palatino Linotype" w:cs="Arial"/>
          <w:sz w:val="24"/>
          <w:szCs w:val="24"/>
        </w:rPr>
        <w:t>, y como razones o motivos de inconformidad los siguientes:</w:t>
      </w:r>
    </w:p>
    <w:p w:rsidR="00EE7E7A" w:rsidRPr="00D60870" w:rsidRDefault="00EE7E7A" w:rsidP="00EE7E7A">
      <w:pPr>
        <w:widowControl w:val="0"/>
        <w:autoSpaceDE w:val="0"/>
        <w:autoSpaceDN w:val="0"/>
        <w:adjustRightInd w:val="0"/>
        <w:spacing w:before="100" w:beforeAutospacing="1" w:after="100" w:afterAutospacing="1" w:line="360" w:lineRule="auto"/>
        <w:ind w:right="850"/>
        <w:jc w:val="both"/>
        <w:rPr>
          <w:rFonts w:ascii="Palatino Linotype" w:hAnsi="Palatino Linotype" w:cs="Arial"/>
          <w:b/>
        </w:rPr>
      </w:pPr>
      <w:r w:rsidRPr="00D60870">
        <w:rPr>
          <w:rFonts w:ascii="Palatino Linotype" w:hAnsi="Palatino Linotype" w:cs="Arial"/>
          <w:b/>
        </w:rPr>
        <w:t>04297/INFOEM/IP/RR/2018</w:t>
      </w:r>
    </w:p>
    <w:p w:rsidR="00EE7E7A" w:rsidRPr="00D60870" w:rsidRDefault="00EE7E7A" w:rsidP="00EE7E7A">
      <w:pPr>
        <w:widowControl w:val="0"/>
        <w:autoSpaceDE w:val="0"/>
        <w:autoSpaceDN w:val="0"/>
        <w:adjustRightInd w:val="0"/>
        <w:spacing w:before="100" w:beforeAutospacing="1" w:after="100" w:afterAutospacing="1"/>
        <w:ind w:left="851" w:right="850"/>
        <w:jc w:val="both"/>
        <w:rPr>
          <w:rFonts w:ascii="Palatino Linotype" w:hAnsi="Palatino Linotype" w:cs="Arial"/>
          <w:b/>
          <w:color w:val="000000"/>
        </w:rPr>
      </w:pPr>
      <w:r w:rsidRPr="00D60870">
        <w:rPr>
          <w:rFonts w:ascii="Palatino Linotype" w:hAnsi="Palatino Linotype" w:cs="Arial"/>
          <w:i/>
          <w:color w:val="000000"/>
        </w:rPr>
        <w:t>“La UAEM no entregó la información: Nombre de la institución bancaria, y los estados de cuenta que acrediten los montos que se depositaron junto con la parte patronal, para el pago de Seguridad Social, correspondientes a cada uno de los meses del año 2016.”</w:t>
      </w:r>
      <w:r w:rsidRPr="00D60870">
        <w:rPr>
          <w:rFonts w:ascii="Palatino Linotype" w:hAnsi="Palatino Linotype" w:cs="Arial"/>
          <w:color w:val="000000"/>
        </w:rPr>
        <w:t xml:space="preserve"> (Sic)</w:t>
      </w:r>
    </w:p>
    <w:p w:rsidR="00EE7E7A" w:rsidRPr="00D60870" w:rsidRDefault="00EE7E7A" w:rsidP="00EE7E7A">
      <w:pPr>
        <w:widowControl w:val="0"/>
        <w:autoSpaceDE w:val="0"/>
        <w:autoSpaceDN w:val="0"/>
        <w:adjustRightInd w:val="0"/>
        <w:spacing w:before="100" w:beforeAutospacing="1" w:after="100" w:afterAutospacing="1" w:line="360" w:lineRule="auto"/>
        <w:ind w:right="850"/>
        <w:jc w:val="both"/>
        <w:rPr>
          <w:rFonts w:ascii="Palatino Linotype" w:hAnsi="Palatino Linotype" w:cs="Arial"/>
          <w:b/>
        </w:rPr>
      </w:pPr>
      <w:r w:rsidRPr="00D60870">
        <w:rPr>
          <w:rFonts w:ascii="Palatino Linotype" w:hAnsi="Palatino Linotype" w:cs="Arial"/>
          <w:b/>
        </w:rPr>
        <w:lastRenderedPageBreak/>
        <w:t xml:space="preserve">04298/INFOEM/IP/RR/2018 </w:t>
      </w:r>
    </w:p>
    <w:p w:rsidR="00EE7E7A" w:rsidRPr="00D60870" w:rsidRDefault="00EE7E7A" w:rsidP="00EE7E7A">
      <w:pPr>
        <w:widowControl w:val="0"/>
        <w:autoSpaceDE w:val="0"/>
        <w:autoSpaceDN w:val="0"/>
        <w:adjustRightInd w:val="0"/>
        <w:spacing w:before="100" w:beforeAutospacing="1" w:after="100" w:afterAutospacing="1"/>
        <w:ind w:left="851" w:right="899"/>
        <w:jc w:val="both"/>
        <w:rPr>
          <w:rFonts w:ascii="Palatino Linotype" w:hAnsi="Palatino Linotype" w:cs="Arial"/>
          <w:color w:val="000000"/>
        </w:rPr>
      </w:pPr>
      <w:r w:rsidRPr="00D60870">
        <w:rPr>
          <w:rFonts w:ascii="Palatino Linotype" w:hAnsi="Palatino Linotype" w:cs="Arial"/>
          <w:i/>
          <w:color w:val="000000"/>
        </w:rPr>
        <w:t>“La respuesta de la UAEM "hacemos de su conocimiento que la Universidad Autónoma del Estado de México no ha generado la información que es de su interés, por tanto no es posible dar satisfacción positiva a su pretensión"”</w:t>
      </w:r>
      <w:r w:rsidRPr="00D60870">
        <w:rPr>
          <w:rFonts w:ascii="Palatino Linotype" w:hAnsi="Palatino Linotype" w:cs="Arial"/>
          <w:color w:val="000000"/>
        </w:rPr>
        <w:t xml:space="preserve"> (Sic)</w:t>
      </w:r>
    </w:p>
    <w:p w:rsidR="00EE7E7A" w:rsidRPr="00D60870" w:rsidRDefault="00EE7E7A" w:rsidP="00EE7E7A">
      <w:pPr>
        <w:widowControl w:val="0"/>
        <w:autoSpaceDE w:val="0"/>
        <w:autoSpaceDN w:val="0"/>
        <w:adjustRightInd w:val="0"/>
        <w:spacing w:before="100" w:beforeAutospacing="1" w:after="100" w:afterAutospacing="1" w:line="360" w:lineRule="auto"/>
        <w:ind w:right="899"/>
        <w:jc w:val="both"/>
        <w:rPr>
          <w:rFonts w:ascii="Palatino Linotype" w:hAnsi="Palatino Linotype" w:cs="Arial"/>
          <w:b/>
        </w:rPr>
      </w:pPr>
      <w:r w:rsidRPr="00D60870">
        <w:rPr>
          <w:rFonts w:ascii="Palatino Linotype" w:hAnsi="Palatino Linotype" w:cs="Arial"/>
          <w:b/>
        </w:rPr>
        <w:t>04299/INFOEM/IP/RR/2018</w:t>
      </w:r>
    </w:p>
    <w:p w:rsidR="00EE7E7A" w:rsidRPr="00D60870" w:rsidRDefault="00EE7E7A" w:rsidP="00EE7E7A">
      <w:pPr>
        <w:widowControl w:val="0"/>
        <w:autoSpaceDE w:val="0"/>
        <w:autoSpaceDN w:val="0"/>
        <w:adjustRightInd w:val="0"/>
        <w:spacing w:before="100" w:beforeAutospacing="1" w:after="100" w:afterAutospacing="1"/>
        <w:ind w:left="851" w:right="899"/>
        <w:jc w:val="both"/>
        <w:rPr>
          <w:rFonts w:ascii="Palatino Linotype" w:hAnsi="Palatino Linotype" w:cs="Arial"/>
          <w:color w:val="000000"/>
        </w:rPr>
      </w:pPr>
      <w:r w:rsidRPr="00D60870">
        <w:rPr>
          <w:rFonts w:ascii="Palatino Linotype" w:hAnsi="Palatino Linotype" w:cs="Arial"/>
          <w:i/>
          <w:color w:val="000000"/>
        </w:rPr>
        <w:t>“La UAEM no entregó la información solicitada.”</w:t>
      </w:r>
      <w:r w:rsidRPr="00D60870">
        <w:rPr>
          <w:rFonts w:ascii="Palatino Linotype" w:hAnsi="Palatino Linotype" w:cs="Arial"/>
          <w:color w:val="000000"/>
        </w:rPr>
        <w:t xml:space="preserve"> (Sic)</w:t>
      </w:r>
    </w:p>
    <w:p w:rsidR="00EE7E7A" w:rsidRPr="00D60870" w:rsidRDefault="00EE7E7A" w:rsidP="00EE7E7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D60870">
        <w:rPr>
          <w:rFonts w:ascii="Palatino Linotype" w:hAnsi="Palatino Linotype" w:cs="Arial"/>
        </w:rPr>
        <w:t xml:space="preserve">Asimismo, </w:t>
      </w:r>
      <w:r w:rsidRPr="00D60870">
        <w:rPr>
          <w:rFonts w:ascii="Palatino Linotype" w:hAnsi="Palatino Linotype" w:cs="Arial"/>
          <w:b/>
        </w:rPr>
        <w:t>EL RECURRENTE</w:t>
      </w:r>
      <w:r w:rsidRPr="00D60870">
        <w:rPr>
          <w:rFonts w:ascii="Palatino Linotype" w:hAnsi="Palatino Linotype" w:cs="Arial"/>
        </w:rPr>
        <w:t xml:space="preserve"> expresó como razones o motivos de inconformidad lo siguiente: </w:t>
      </w:r>
    </w:p>
    <w:p w:rsidR="00EE7E7A" w:rsidRPr="00D60870" w:rsidRDefault="00EE7E7A" w:rsidP="00EE7E7A">
      <w:pPr>
        <w:widowControl w:val="0"/>
        <w:autoSpaceDE w:val="0"/>
        <w:autoSpaceDN w:val="0"/>
        <w:adjustRightInd w:val="0"/>
        <w:spacing w:before="100" w:beforeAutospacing="1" w:after="100" w:afterAutospacing="1" w:line="360" w:lineRule="auto"/>
        <w:ind w:right="850"/>
        <w:jc w:val="both"/>
        <w:rPr>
          <w:rFonts w:ascii="Palatino Linotype" w:hAnsi="Palatino Linotype" w:cs="Arial"/>
          <w:b/>
        </w:rPr>
      </w:pPr>
      <w:r w:rsidRPr="00D60870">
        <w:rPr>
          <w:rFonts w:ascii="Palatino Linotype" w:hAnsi="Palatino Linotype" w:cs="Arial"/>
          <w:b/>
        </w:rPr>
        <w:t>04297/INFOEM/IP/RR/2018</w:t>
      </w:r>
    </w:p>
    <w:p w:rsidR="00EE7E7A" w:rsidRPr="00D60870" w:rsidRDefault="00EE7E7A" w:rsidP="00EE7E7A">
      <w:pPr>
        <w:widowControl w:val="0"/>
        <w:autoSpaceDE w:val="0"/>
        <w:autoSpaceDN w:val="0"/>
        <w:adjustRightInd w:val="0"/>
        <w:spacing w:before="100" w:beforeAutospacing="1" w:after="100" w:afterAutospacing="1"/>
        <w:ind w:left="851" w:right="850"/>
        <w:jc w:val="both"/>
        <w:rPr>
          <w:rFonts w:ascii="Palatino Linotype" w:hAnsi="Palatino Linotype" w:cs="Arial"/>
          <w:b/>
          <w:color w:val="000000"/>
        </w:rPr>
      </w:pPr>
      <w:r w:rsidRPr="00D60870">
        <w:rPr>
          <w:rFonts w:ascii="Palatino Linotype" w:hAnsi="Palatino Linotype" w:cs="Arial"/>
          <w:i/>
          <w:color w:val="000000"/>
        </w:rPr>
        <w:t>“La UAEM si dio el nombre de la institución bancaria y el número de cuenta pero intencionalmente no envió los estados de cuenta bancarios de la cuenta 54500032656, de cada uno de los meses del año 2016. Por lo que veo violentado mi derecho al acceso a la información pública y solicito al INFOEM intervenga para que se me garantice el acceso a este derecho.”</w:t>
      </w:r>
      <w:r w:rsidRPr="00D60870">
        <w:rPr>
          <w:rFonts w:ascii="Palatino Linotype" w:hAnsi="Palatino Linotype" w:cs="Arial"/>
          <w:color w:val="000000"/>
        </w:rPr>
        <w:t xml:space="preserve"> (Sic)</w:t>
      </w:r>
    </w:p>
    <w:p w:rsidR="00EE7E7A" w:rsidRPr="00D60870" w:rsidRDefault="00EE7E7A" w:rsidP="00EE7E7A">
      <w:pPr>
        <w:widowControl w:val="0"/>
        <w:autoSpaceDE w:val="0"/>
        <w:autoSpaceDN w:val="0"/>
        <w:adjustRightInd w:val="0"/>
        <w:spacing w:before="100" w:beforeAutospacing="1" w:after="100" w:afterAutospacing="1" w:line="360" w:lineRule="auto"/>
        <w:ind w:right="850"/>
        <w:jc w:val="both"/>
        <w:rPr>
          <w:rFonts w:ascii="Palatino Linotype" w:hAnsi="Palatino Linotype" w:cs="Arial"/>
          <w:b/>
        </w:rPr>
      </w:pPr>
      <w:r w:rsidRPr="00D60870">
        <w:rPr>
          <w:rFonts w:ascii="Palatino Linotype" w:hAnsi="Palatino Linotype" w:cs="Arial"/>
          <w:b/>
        </w:rPr>
        <w:t xml:space="preserve">04298/INFOEM/IP/RR/2018 </w:t>
      </w:r>
    </w:p>
    <w:p w:rsidR="00EE7E7A" w:rsidRPr="00D60870" w:rsidRDefault="00EE7E7A" w:rsidP="00EE7E7A">
      <w:pPr>
        <w:widowControl w:val="0"/>
        <w:autoSpaceDE w:val="0"/>
        <w:autoSpaceDN w:val="0"/>
        <w:adjustRightInd w:val="0"/>
        <w:spacing w:before="100" w:beforeAutospacing="1" w:after="100" w:afterAutospacing="1"/>
        <w:ind w:left="851" w:right="899"/>
        <w:jc w:val="both"/>
        <w:rPr>
          <w:rFonts w:ascii="Palatino Linotype" w:hAnsi="Palatino Linotype" w:cs="Arial"/>
          <w:color w:val="000000"/>
        </w:rPr>
      </w:pPr>
      <w:r w:rsidRPr="00D60870">
        <w:rPr>
          <w:rFonts w:ascii="Palatino Linotype" w:hAnsi="Palatino Linotype" w:cs="Arial"/>
          <w:i/>
          <w:color w:val="000000"/>
        </w:rPr>
        <w:t xml:space="preserve">“Aunque ya es ampliamente conocido, gracias al acceso a la información pública, que la UAEM ha contado con presupuesto para el pago de la seguridad social de sus trabajadores y ha hecho todas las retenciones a ellos, pero no ha realizado la transferencia de esos dineros al ISSEMYM, eso no significa que no tenga el dinero en alguna institución bancaria y que no tenga un número de cuenta. Además mi solicitud de información señala muy claro que requiero: Nombre de la institución bancaria, número de cuenta bancaria y documento bancario que acredite en dónde tenía la UAEM los montos reportados mensualmente como egresos en Seguridad Social (que se localiza dentro de la cuenta de cuenta Servicios Personales) en los </w:t>
      </w:r>
      <w:r w:rsidRPr="00D60870">
        <w:rPr>
          <w:rFonts w:ascii="Palatino Linotype" w:hAnsi="Palatino Linotype" w:cs="Arial"/>
          <w:i/>
          <w:color w:val="000000"/>
        </w:rPr>
        <w:lastRenderedPageBreak/>
        <w:t xml:space="preserve">reportes de ingresos y egresos, que tienen como título “Estado de Actividades”. Lo anterior correspondiente cada uno de los meses del año 2017. Además, considerando que en lo anterior solo se encuentra la parte correspondiente al patrón, también se solicita Nombre de la institución bancaria, número de cuenta bancaria y los estados de cuenta que acrediten los montos que se depositaron junto con la parte patronal, para el pago de Seguridad Social, correspondientes a cada uno de los meses del año anteriormente citado. Además, el número de cuenta y nombre del banco en dónde la UAEM ha tenido y tiene lo retenido a los trabajadores antes de que sea depositado al ISSEMYM." Por lo anterior la respuesta de la UAEM resulta dolosa y falaz pues en los estados de actividades adjuntos a esta inconformidad se podrá constatar que la UAEM reportó en cada uno de los meses del 2017 egresos para el pago de la seguridad social, incluso los documentos están firmados por el rector, contralor y secretario de administración, por lo tanto sí es factible entregar la información solicitada. Incluso si no se hubieran reportado dichos egresos sí es posible decir en que institución bancaria, bajo </w:t>
      </w:r>
      <w:proofErr w:type="spellStart"/>
      <w:r w:rsidRPr="00D60870">
        <w:rPr>
          <w:rFonts w:ascii="Palatino Linotype" w:hAnsi="Palatino Linotype" w:cs="Arial"/>
          <w:i/>
          <w:color w:val="000000"/>
        </w:rPr>
        <w:t>que</w:t>
      </w:r>
      <w:proofErr w:type="spellEnd"/>
      <w:r w:rsidRPr="00D60870">
        <w:rPr>
          <w:rFonts w:ascii="Palatino Linotype" w:hAnsi="Palatino Linotype" w:cs="Arial"/>
          <w:i/>
          <w:color w:val="000000"/>
        </w:rPr>
        <w:t xml:space="preserve"> número de cuenta están esos recursos y por lo tanto también se pueden entregar los historiales bancarios correspondientes a cada mes del años 2017. Solicito nuevamente que la UAEM sea sancionada por proceder en total desapego al marco legal que me garantiza el acceso a la información pública y considerando que no es la primera </w:t>
      </w:r>
      <w:proofErr w:type="spellStart"/>
      <w:r w:rsidRPr="00D60870">
        <w:rPr>
          <w:rFonts w:ascii="Palatino Linotype" w:hAnsi="Palatino Linotype" w:cs="Arial"/>
          <w:i/>
          <w:color w:val="000000"/>
        </w:rPr>
        <w:t>ves</w:t>
      </w:r>
      <w:proofErr w:type="spellEnd"/>
      <w:r w:rsidRPr="00D60870">
        <w:rPr>
          <w:rFonts w:ascii="Palatino Linotype" w:hAnsi="Palatino Linotype" w:cs="Arial"/>
          <w:i/>
          <w:color w:val="000000"/>
        </w:rPr>
        <w:t xml:space="preserve"> que la UAEM tiene conductas tendientes a fortalecer la opacidad y la rendición de cuentas.”</w:t>
      </w:r>
      <w:r w:rsidRPr="00D60870">
        <w:rPr>
          <w:rFonts w:ascii="Palatino Linotype" w:hAnsi="Palatino Linotype" w:cs="Arial"/>
          <w:color w:val="000000"/>
        </w:rPr>
        <w:t xml:space="preserve"> (Sic)</w:t>
      </w:r>
    </w:p>
    <w:p w:rsidR="00EE7E7A" w:rsidRPr="00D60870" w:rsidRDefault="00EE7E7A" w:rsidP="00EE7E7A">
      <w:pPr>
        <w:widowControl w:val="0"/>
        <w:autoSpaceDE w:val="0"/>
        <w:autoSpaceDN w:val="0"/>
        <w:adjustRightInd w:val="0"/>
        <w:spacing w:before="100" w:beforeAutospacing="1" w:after="100" w:afterAutospacing="1" w:line="360" w:lineRule="auto"/>
        <w:ind w:right="899"/>
        <w:jc w:val="both"/>
        <w:rPr>
          <w:rFonts w:ascii="Palatino Linotype" w:hAnsi="Palatino Linotype" w:cs="Arial"/>
          <w:b/>
        </w:rPr>
      </w:pPr>
      <w:r w:rsidRPr="00D60870">
        <w:rPr>
          <w:rFonts w:ascii="Palatino Linotype" w:hAnsi="Palatino Linotype" w:cs="Arial"/>
          <w:b/>
        </w:rPr>
        <w:t>04299/INFOEM/IP/RR/2018</w:t>
      </w:r>
    </w:p>
    <w:p w:rsidR="00EE7E7A" w:rsidRPr="00D60870" w:rsidRDefault="00EE7E7A" w:rsidP="00EE7E7A">
      <w:pPr>
        <w:widowControl w:val="0"/>
        <w:autoSpaceDE w:val="0"/>
        <w:autoSpaceDN w:val="0"/>
        <w:adjustRightInd w:val="0"/>
        <w:spacing w:before="100" w:beforeAutospacing="1" w:after="100" w:afterAutospacing="1"/>
        <w:ind w:left="851" w:right="899"/>
        <w:jc w:val="both"/>
        <w:rPr>
          <w:rFonts w:ascii="Palatino Linotype" w:hAnsi="Palatino Linotype" w:cs="Arial"/>
          <w:color w:val="000000"/>
        </w:rPr>
      </w:pPr>
      <w:r w:rsidRPr="00D60870">
        <w:rPr>
          <w:rFonts w:ascii="Palatino Linotype" w:hAnsi="Palatino Linotype" w:cs="Arial"/>
          <w:i/>
          <w:color w:val="000000"/>
        </w:rPr>
        <w:t xml:space="preserve">“Aunque ya es ampliamente conocido, gracias al acceso a la información pública, que la UAEM ha contado con presupuesto para el pago de la seguridad social de sus trabajadores y ha hecho todas las retenciones a ellos, pero no ha realizado la transferencia de esos dineros al ISSEMYM, eso no significa que no tenga el dinero en alguna institución bancaria y que no tenga un número de cuenta. Además, mi solicitud de información señala muy claro que requiero: Nombre de la institución bancaria, número de cuenta bancaria y documento bancario que acredite en dónde tenía la UAEM los montos reportados mensualmente como egresos en Seguridad Social (que se localiza dentro de la cuenta de cuenta Servicios Personales) en los </w:t>
      </w:r>
      <w:r w:rsidRPr="00D60870">
        <w:rPr>
          <w:rFonts w:ascii="Palatino Linotype" w:hAnsi="Palatino Linotype" w:cs="Arial"/>
          <w:i/>
          <w:color w:val="000000"/>
        </w:rPr>
        <w:lastRenderedPageBreak/>
        <w:t>reportes de ingresos y egresos, que tienen como título “Estado de Actividades”. Lo anterior correspondiente cada uno de los meses del año 2018. Además, considerando que en lo anterior solo se encuentra la parte correspondiente al patrón, también se solicita Nombre de la institución bancaria, número de cuenta bancaria y los estados de cuenta que acrediten los montos que se depositaron junto con la parte patronal, para el pago de Seguridad Social, correspondientes a cada uno de los meses del año anteriormente citado. Además, el número de cuenta y nombre del banco en dónde la UAEM ha tenido y tiene lo retenido a los trabajadores antes de que sea depositado al ISSEMYM." Por lo anterior la respuesta de la UAEM resulta dolosa y falaz pues en los estados de actividades adjuntos a esta inconformidad se podrá constatar que la UAEM reportó en cada uno de los meses del 2018 egresos para el pago de la seguridad social, incluso los documentos están firmados por el rector, contralor y secretario de administración, por lo tanto sí es factible entregar la información solicitada. Incluso si no se hubieran reportado dichos egresos sí es posible decir en que institución bancaria, bajo qué número de cuenta están esos recursos y por lo tanto también se pueden entregar los historiales bancarios correspondientes a cada mes del año 2018. Solicito nuevamente que la UAEM sea sancionada por proceder en total desapego al marco legal que me garantiza el acceso a la información pública y considerando que no es la primera vez que la UAEM tiene conductas tendientes a fortalecer la opacidad y la no rendición de cuentas.”</w:t>
      </w:r>
      <w:r w:rsidRPr="00D60870">
        <w:rPr>
          <w:rFonts w:ascii="Palatino Linotype" w:hAnsi="Palatino Linotype" w:cs="Arial"/>
          <w:color w:val="000000"/>
        </w:rPr>
        <w:t xml:space="preserve"> (Sic)</w:t>
      </w:r>
    </w:p>
    <w:p w:rsidR="00EE7E7A" w:rsidRDefault="00EE7E7A" w:rsidP="00EE7E7A">
      <w:pPr>
        <w:pStyle w:val="Prrafodelista"/>
        <w:tabs>
          <w:tab w:val="left" w:pos="284"/>
        </w:tabs>
        <w:spacing w:after="0" w:line="360" w:lineRule="auto"/>
        <w:ind w:left="360"/>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Si bien es de destacar, pese a la omisión de </w:t>
      </w:r>
      <w:r w:rsidR="00242F86" w:rsidRPr="0068615F">
        <w:rPr>
          <w:rFonts w:ascii="Palatino Linotype" w:hAnsi="Palatino Linotype" w:cs="Arial"/>
          <w:sz w:val="24"/>
          <w:szCs w:val="24"/>
        </w:rPr>
        <w:t xml:space="preserve">pronunciarse de </w:t>
      </w:r>
      <w:r w:rsidR="00EE7E7A">
        <w:rPr>
          <w:rFonts w:ascii="Palatino Linotype" w:hAnsi="Palatino Linotype" w:cs="Arial"/>
          <w:sz w:val="24"/>
          <w:szCs w:val="24"/>
        </w:rPr>
        <w:t>manera puntual de respecto de cada punto de la</w:t>
      </w:r>
      <w:r w:rsidRPr="0068615F">
        <w:rPr>
          <w:rFonts w:ascii="Palatino Linotype" w:hAnsi="Palatino Linotype" w:cs="Arial"/>
          <w:sz w:val="24"/>
          <w:szCs w:val="24"/>
        </w:rPr>
        <w:t xml:space="preserve"> información </w:t>
      </w:r>
      <w:r w:rsidR="00696770" w:rsidRPr="0068615F">
        <w:rPr>
          <w:rFonts w:ascii="Palatino Linotype" w:hAnsi="Palatino Linotype" w:cs="Arial"/>
          <w:sz w:val="24"/>
          <w:szCs w:val="24"/>
        </w:rPr>
        <w:t>entregada</w:t>
      </w:r>
      <w:r w:rsidR="004A4132" w:rsidRPr="0068615F">
        <w:rPr>
          <w:rFonts w:ascii="Palatino Linotype" w:hAnsi="Palatino Linotype" w:cs="Arial"/>
          <w:sz w:val="24"/>
          <w:szCs w:val="24"/>
        </w:rPr>
        <w:t xml:space="preserve"> por parte del </w:t>
      </w:r>
      <w:r w:rsidR="00EE7E7A">
        <w:rPr>
          <w:rFonts w:ascii="Palatino Linotype" w:hAnsi="Palatino Linotype" w:cs="Arial"/>
          <w:sz w:val="24"/>
          <w:szCs w:val="24"/>
        </w:rPr>
        <w:t>Sujeto Obligado</w:t>
      </w:r>
      <w:r w:rsidRPr="0068615F">
        <w:rPr>
          <w:rFonts w:ascii="Palatino Linotype" w:hAnsi="Palatino Linotype" w:cs="Arial"/>
          <w:sz w:val="24"/>
          <w:szCs w:val="24"/>
        </w:rPr>
        <w:t>, fueron invocados los llamados actos consentidos, lo cual considero son innecesarios en el presente caso y además no ha lugar a invocarlos en el derecho humano fundamental de acceder a la información pública gubernamental.</w:t>
      </w:r>
      <w:r w:rsidRPr="0068615F">
        <w:rPr>
          <w:rFonts w:ascii="Palatino Linotype" w:eastAsia="Calibri" w:hAnsi="Palatino Linotype" w:cs="Times New Roman"/>
          <w:sz w:val="24"/>
          <w:szCs w:val="24"/>
          <w:lang w:val="es-ES" w:eastAsia="es-ES"/>
        </w:rPr>
        <w:t xml:space="preserve"> Por lo que la mayoría consideró que la respuesta quedara firme ante la falta de impugnación a ese aspecto específico dentro del recurso de revisión. Asimismo, es </w:t>
      </w:r>
      <w:r w:rsidRPr="0068615F">
        <w:rPr>
          <w:rFonts w:ascii="Palatino Linotype" w:eastAsia="Calibri" w:hAnsi="Palatino Linotype" w:cs="Times New Roman"/>
          <w:sz w:val="24"/>
          <w:szCs w:val="24"/>
          <w:lang w:val="es-ES" w:eastAsia="es-ES"/>
        </w:rPr>
        <w:lastRenderedPageBreak/>
        <w:t xml:space="preserve">de señalar que del análisis realizado, no se discute que el </w:t>
      </w:r>
      <w:r w:rsidR="00EE7E7A">
        <w:rPr>
          <w:rFonts w:ascii="Palatino Linotype" w:eastAsia="Calibri" w:hAnsi="Palatino Linotype" w:cs="Times New Roman"/>
          <w:sz w:val="24"/>
          <w:szCs w:val="24"/>
          <w:lang w:val="es-ES" w:eastAsia="es-ES"/>
        </w:rPr>
        <w:t>Sujeto Obligado</w:t>
      </w:r>
      <w:r w:rsidR="004A4132" w:rsidRPr="0068615F">
        <w:rPr>
          <w:rFonts w:ascii="Palatino Linotype" w:eastAsia="Calibri" w:hAnsi="Palatino Linotype" w:cs="Times New Roman"/>
          <w:sz w:val="24"/>
          <w:szCs w:val="24"/>
          <w:lang w:val="es-ES" w:eastAsia="es-ES"/>
        </w:rPr>
        <w:t xml:space="preserve"> </w:t>
      </w:r>
      <w:r w:rsidRPr="0068615F">
        <w:rPr>
          <w:rFonts w:ascii="Palatino Linotype" w:eastAsia="Calibri" w:hAnsi="Palatino Linotype" w:cs="Times New Roman"/>
          <w:sz w:val="24"/>
          <w:szCs w:val="24"/>
          <w:lang w:val="es-ES" w:eastAsia="es-ES"/>
        </w:rPr>
        <w:t xml:space="preserve">haya dado respuesta en los términos requeridos por </w:t>
      </w:r>
      <w:r w:rsidR="004C2C9C" w:rsidRPr="0068615F">
        <w:rPr>
          <w:rFonts w:ascii="Palatino Linotype" w:eastAsia="Calibri" w:hAnsi="Palatino Linotype" w:cs="Times New Roman"/>
          <w:sz w:val="24"/>
          <w:szCs w:val="24"/>
          <w:lang w:val="es-ES" w:eastAsia="es-ES"/>
        </w:rPr>
        <w:t>el particular</w:t>
      </w:r>
      <w:r w:rsidRPr="0068615F">
        <w:rPr>
          <w:rFonts w:ascii="Palatino Linotype" w:eastAsia="Calibri" w:hAnsi="Palatino Linotype" w:cs="Times New Roman"/>
          <w:sz w:val="24"/>
          <w:szCs w:val="24"/>
          <w:lang w:val="es-ES" w:eastAsia="es-ES"/>
        </w:rPr>
        <w:t xml:space="preserve">, pues se considera, que al no pronunciarse en sus motivos de inconformidad respecto </w:t>
      </w:r>
      <w:r w:rsidRPr="0068615F">
        <w:rPr>
          <w:rFonts w:ascii="Palatino Linotype" w:hAnsi="Palatino Linotype" w:cs="Arial"/>
          <w:sz w:val="24"/>
          <w:szCs w:val="24"/>
        </w:rPr>
        <w:t xml:space="preserve">a </w:t>
      </w:r>
      <w:r w:rsidR="001A5EEA" w:rsidRPr="0068615F">
        <w:rPr>
          <w:rFonts w:ascii="Palatino Linotype" w:hAnsi="Palatino Linotype" w:cs="Arial"/>
          <w:sz w:val="24"/>
          <w:szCs w:val="24"/>
        </w:rPr>
        <w:t>la información de referencia</w:t>
      </w:r>
      <w:r w:rsidRPr="0068615F">
        <w:rPr>
          <w:rFonts w:ascii="Palatino Linotype" w:eastAsia="Calibri" w:hAnsi="Palatino Linotype" w:cs="Times New Roman"/>
          <w:sz w:val="24"/>
          <w:szCs w:val="24"/>
          <w:lang w:val="es-ES" w:eastAsia="es-ES"/>
        </w:rPr>
        <w:t xml:space="preserve">, la ponencia </w:t>
      </w:r>
      <w:proofErr w:type="spellStart"/>
      <w:r w:rsidRPr="0068615F">
        <w:rPr>
          <w:rFonts w:ascii="Palatino Linotype" w:eastAsia="Calibri" w:hAnsi="Palatino Linotype" w:cs="Times New Roman"/>
          <w:sz w:val="24"/>
          <w:szCs w:val="24"/>
          <w:lang w:val="es-ES" w:eastAsia="es-ES"/>
        </w:rPr>
        <w:t>resolutora</w:t>
      </w:r>
      <w:proofErr w:type="spellEnd"/>
      <w:r w:rsidRPr="0068615F">
        <w:rPr>
          <w:rFonts w:ascii="Palatino Linotype" w:eastAsia="Calibri" w:hAnsi="Palatino Linotype" w:cs="Times New Roman"/>
          <w:sz w:val="24"/>
          <w:szCs w:val="24"/>
          <w:lang w:val="es-ES" w:eastAsia="es-ES"/>
        </w:rPr>
        <w:t xml:space="preserve"> estime que dadas las </w:t>
      </w:r>
      <w:r w:rsidRPr="0068615F">
        <w:rPr>
          <w:rFonts w:ascii="Palatino Linotype" w:hAnsi="Palatino Linotype" w:cs="Arial"/>
          <w:sz w:val="24"/>
        </w:rPr>
        <w:t xml:space="preserve">razones o motivos de inconformidad esgrimidas por </w:t>
      </w:r>
      <w:r w:rsidR="00242F86" w:rsidRPr="0068615F">
        <w:rPr>
          <w:rFonts w:ascii="Palatino Linotype" w:eastAsia="Calibri" w:hAnsi="Palatino Linotype" w:cs="Times New Roman"/>
          <w:sz w:val="24"/>
          <w:szCs w:val="24"/>
          <w:lang w:val="es-ES" w:eastAsia="es-ES"/>
        </w:rPr>
        <w:t>el particular</w:t>
      </w:r>
      <w:r w:rsidRPr="0068615F">
        <w:rPr>
          <w:rFonts w:ascii="Palatino Linotype" w:eastAsia="Calibri" w:hAnsi="Palatino Linotype" w:cs="Times New Roman"/>
          <w:b/>
          <w:sz w:val="24"/>
          <w:szCs w:val="24"/>
          <w:lang w:val="es-ES" w:eastAsia="es-ES"/>
        </w:rPr>
        <w:t xml:space="preserve"> </w:t>
      </w:r>
      <w:r w:rsidR="00261774" w:rsidRPr="0068615F">
        <w:rPr>
          <w:rFonts w:ascii="Palatino Linotype" w:hAnsi="Palatino Linotype" w:cs="Arial"/>
          <w:sz w:val="24"/>
        </w:rPr>
        <w:t>este</w:t>
      </w:r>
      <w:r w:rsidRPr="0068615F">
        <w:rPr>
          <w:rFonts w:ascii="Palatino Linotype" w:hAnsi="Palatino Linotype" w:cs="Arial"/>
          <w:sz w:val="24"/>
        </w:rPr>
        <w:t xml:space="preserve"> </w:t>
      </w:r>
      <w:r w:rsidRPr="0068615F">
        <w:rPr>
          <w:rFonts w:ascii="Palatino Linotype" w:hAnsi="Palatino Linotype"/>
          <w:color w:val="000000" w:themeColor="text1"/>
          <w:sz w:val="24"/>
          <w:szCs w:val="24"/>
        </w:rPr>
        <w:t>se encuentra conforme con la documentación que le fue entregada</w:t>
      </w:r>
      <w:r w:rsidRPr="0068615F">
        <w:rPr>
          <w:rFonts w:ascii="Palatino Linotype" w:hAnsi="Palatino Linotype" w:cs="Arial"/>
          <w:sz w:val="24"/>
          <w:szCs w:val="24"/>
        </w:rPr>
        <w:t>,</w:t>
      </w:r>
      <w:r w:rsidRPr="0068615F">
        <w:rPr>
          <w:rFonts w:ascii="Palatino Linotype" w:eastAsia="Calibri" w:hAnsi="Palatino Linotype" w:cs="Times New Roman"/>
          <w:sz w:val="24"/>
          <w:szCs w:val="24"/>
          <w:lang w:val="es-ES" w:eastAsia="es-ES"/>
        </w:rPr>
        <w:t xml:space="preserve"> </w:t>
      </w:r>
      <w:r w:rsidRPr="0068615F">
        <w:rPr>
          <w:rFonts w:ascii="Palatino Linotype" w:hAnsi="Palatino Linotype" w:cs="Arial"/>
          <w:sz w:val="24"/>
          <w:szCs w:val="24"/>
        </w:rPr>
        <w:t>pues como ya se mencionó, se alega que l</w:t>
      </w:r>
      <w:r w:rsidR="004A4132" w:rsidRPr="0068615F">
        <w:rPr>
          <w:rFonts w:ascii="Palatino Linotype" w:hAnsi="Palatino Linotype" w:cs="Arial"/>
          <w:sz w:val="24"/>
          <w:szCs w:val="24"/>
        </w:rPr>
        <w:t>a</w:t>
      </w:r>
      <w:r w:rsidRPr="0068615F">
        <w:rPr>
          <w:rFonts w:ascii="Palatino Linotype" w:hAnsi="Palatino Linotype" w:cs="Arial"/>
          <w:sz w:val="24"/>
          <w:szCs w:val="24"/>
        </w:rPr>
        <w:t xml:space="preserve"> ahora recurrente, no</w:t>
      </w:r>
      <w:r w:rsidRPr="0068615F">
        <w:rPr>
          <w:rFonts w:ascii="Palatino Linotype" w:hAnsi="Palatino Linotype"/>
          <w:color w:val="000000" w:themeColor="text1"/>
          <w:sz w:val="24"/>
          <w:szCs w:val="24"/>
        </w:rPr>
        <w:t xml:space="preserve"> realizó manifestaciones de inconformidad a </w:t>
      </w:r>
      <w:r w:rsidR="00637DAB" w:rsidRPr="0068615F">
        <w:rPr>
          <w:rFonts w:ascii="Palatino Linotype" w:hAnsi="Palatino Linotype"/>
          <w:color w:val="000000" w:themeColor="text1"/>
          <w:sz w:val="24"/>
          <w:szCs w:val="24"/>
        </w:rPr>
        <w:t>la información específica</w:t>
      </w:r>
      <w:r w:rsidRPr="0068615F">
        <w:rPr>
          <w:rFonts w:ascii="Palatino Linotype" w:hAnsi="Palatino Linotype" w:cs="Arial"/>
          <w:sz w:val="24"/>
          <w:szCs w:val="24"/>
        </w:rPr>
        <w:t>.</w:t>
      </w:r>
    </w:p>
    <w:p w:rsidR="009979C7" w:rsidRPr="0068615F" w:rsidRDefault="009979C7" w:rsidP="009979C7">
      <w:pPr>
        <w:pStyle w:val="Prrafodelista"/>
        <w:tabs>
          <w:tab w:val="left" w:pos="284"/>
        </w:tabs>
        <w:spacing w:after="0" w:line="360" w:lineRule="auto"/>
        <w:ind w:left="360"/>
        <w:jc w:val="both"/>
        <w:rPr>
          <w:rFonts w:ascii="Palatino Linotype" w:hAnsi="Palatino Linotype" w:cs="Arial"/>
          <w:sz w:val="24"/>
          <w:szCs w:val="24"/>
        </w:rPr>
      </w:pPr>
    </w:p>
    <w:p w:rsidR="005F11DB" w:rsidRPr="0068615F" w:rsidRDefault="005F11DB" w:rsidP="00242F86">
      <w:pPr>
        <w:pStyle w:val="Ttulo1"/>
        <w:numPr>
          <w:ilvl w:val="0"/>
          <w:numId w:val="13"/>
        </w:numPr>
        <w:ind w:hanging="153"/>
        <w:rPr>
          <w:rFonts w:ascii="Palatino Linotype" w:hAnsi="Palatino Linotype"/>
          <w:b/>
          <w:color w:val="000000" w:themeColor="text1"/>
          <w:sz w:val="24"/>
          <w:szCs w:val="24"/>
        </w:rPr>
      </w:pPr>
      <w:bookmarkStart w:id="2" w:name="_Toc482005021"/>
      <w:r w:rsidRPr="0068615F">
        <w:rPr>
          <w:rFonts w:ascii="Palatino Linotype" w:hAnsi="Palatino Linotype"/>
          <w:b/>
          <w:color w:val="000000" w:themeColor="text1"/>
          <w:sz w:val="24"/>
          <w:szCs w:val="24"/>
        </w:rPr>
        <w:t>Los actos consentidos no deben invocarse en el derecho fundamental de acceder a la información pública gubernamental.</w:t>
      </w:r>
      <w:bookmarkEnd w:id="2"/>
    </w:p>
    <w:p w:rsidR="005F11DB" w:rsidRPr="0068615F" w:rsidRDefault="005F11DB" w:rsidP="005F11DB">
      <w:pPr>
        <w:pStyle w:val="Prrafodelista"/>
        <w:spacing w:after="0" w:line="360" w:lineRule="auto"/>
        <w:ind w:left="1080"/>
        <w:jc w:val="both"/>
        <w:rPr>
          <w:rFonts w:ascii="Palatino Linotype" w:hAnsi="Palatino Linotype" w:cs="Arial"/>
          <w:b/>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68615F">
        <w:rPr>
          <w:rFonts w:ascii="Palatino Linotype" w:hAnsi="Palatino Linotype" w:cs="Arial"/>
          <w:b/>
          <w:sz w:val="24"/>
          <w:szCs w:val="24"/>
        </w:rPr>
        <w:t>acudir a un profesionista del derecho</w:t>
      </w:r>
      <w:r w:rsidRPr="0068615F">
        <w:rPr>
          <w:rFonts w:ascii="Palatino Linotype" w:hAnsi="Palatino Linotype" w:cs="Arial"/>
          <w:sz w:val="24"/>
          <w:szCs w:val="24"/>
        </w:rPr>
        <w:t xml:space="preserve"> para que le asista en la elaboración de su promoción; contrario a ello, nuestro sistema </w:t>
      </w:r>
      <w:r w:rsidRPr="0068615F">
        <w:rPr>
          <w:rFonts w:ascii="Palatino Linotype" w:hAnsi="Palatino Linotype" w:cs="Arial"/>
          <w:sz w:val="24"/>
          <w:szCs w:val="24"/>
        </w:rPr>
        <w:lastRenderedPageBreak/>
        <w:t>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de México y Municipios y del 146 de la Ley General de Transparencia y Acceso a la Información Pública, que contemplan  la figura de la suplencia de la queja.</w:t>
      </w:r>
    </w:p>
    <w:p w:rsidR="005F11DB" w:rsidRPr="0068615F" w:rsidRDefault="005F11DB" w:rsidP="005F11DB">
      <w:pPr>
        <w:pStyle w:val="Prrafodelista"/>
        <w:spacing w:after="0" w:line="360" w:lineRule="auto"/>
        <w:ind w:left="426"/>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La figura de la suplencia de la queja, para Héctor </w:t>
      </w:r>
      <w:proofErr w:type="spellStart"/>
      <w:r w:rsidRPr="0068615F">
        <w:rPr>
          <w:rFonts w:ascii="Palatino Linotype" w:hAnsi="Palatino Linotype" w:cs="Arial"/>
          <w:sz w:val="24"/>
          <w:szCs w:val="24"/>
        </w:rPr>
        <w:t>Fix</w:t>
      </w:r>
      <w:proofErr w:type="spellEnd"/>
      <w:r w:rsidRPr="0068615F">
        <w:rPr>
          <w:rFonts w:ascii="Palatino Linotype" w:hAnsi="Palatino Linotype" w:cs="Arial"/>
          <w:sz w:val="24"/>
          <w:szCs w:val="24"/>
        </w:rPr>
        <w:t xml:space="preserve"> Zamudio  “…puede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68615F">
        <w:rPr>
          <w:rStyle w:val="Refdenotaalpie"/>
          <w:rFonts w:ascii="Palatino Linotype" w:hAnsi="Palatino Linotype" w:cs="Arial"/>
          <w:sz w:val="24"/>
          <w:szCs w:val="24"/>
        </w:rPr>
        <w:footnoteReference w:id="1"/>
      </w:r>
      <w:r w:rsidRPr="0068615F">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68615F">
        <w:rPr>
          <w:rStyle w:val="Refdenotaalpie"/>
          <w:rFonts w:ascii="Palatino Linotype" w:hAnsi="Palatino Linotype" w:cs="Arial"/>
          <w:sz w:val="24"/>
          <w:szCs w:val="24"/>
        </w:rPr>
        <w:footnoteReference w:id="2"/>
      </w:r>
      <w:r w:rsidRPr="0068615F">
        <w:rPr>
          <w:rFonts w:ascii="Palatino Linotype" w:hAnsi="Palatino Linotype" w:cs="Arial"/>
          <w:sz w:val="24"/>
          <w:szCs w:val="24"/>
        </w:rPr>
        <w:t xml:space="preserve"> </w:t>
      </w:r>
    </w:p>
    <w:p w:rsidR="005F11DB" w:rsidRPr="0068615F" w:rsidRDefault="005F11DB" w:rsidP="005F11DB">
      <w:pPr>
        <w:pStyle w:val="Prrafodelista"/>
        <w:spacing w:line="360" w:lineRule="auto"/>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Además es necesario precisar que el presente es un procedimiento cuasi jurisdiccional porque no hay partes en conflicto, por lo tanto lo que este Órgano </w:t>
      </w:r>
      <w:r w:rsidRPr="0068615F">
        <w:rPr>
          <w:rFonts w:ascii="Palatino Linotype" w:hAnsi="Palatino Linotype" w:cs="Arial"/>
          <w:sz w:val="24"/>
          <w:szCs w:val="24"/>
        </w:rPr>
        <w:lastRenderedPageBreak/>
        <w:t>Garante realice en materia de suplencia de la queja no afecta la igualdad de las partes sino procura el cumplimiento de los deberes de protección del derecho humano a partir del criterio que más le favorezca.</w:t>
      </w:r>
    </w:p>
    <w:p w:rsidR="005F11DB" w:rsidRPr="0068615F" w:rsidRDefault="005F11DB" w:rsidP="005F11DB">
      <w:pPr>
        <w:spacing w:after="0" w:line="360" w:lineRule="auto"/>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68615F">
        <w:rPr>
          <w:rFonts w:ascii="Palatino Linotype" w:hAnsi="Palatino Linotype" w:cs="Arial"/>
          <w:b/>
          <w:sz w:val="24"/>
          <w:szCs w:val="24"/>
        </w:rPr>
        <w:t>garantía de los derechos humanos</w:t>
      </w:r>
      <w:r w:rsidRPr="0068615F">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5F11DB" w:rsidRPr="0068615F" w:rsidRDefault="005F11DB" w:rsidP="005F11DB">
      <w:pPr>
        <w:spacing w:after="0" w:line="360" w:lineRule="auto"/>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En este sentido el Dr. Miguel Carbonell ha señalado que:</w:t>
      </w:r>
    </w:p>
    <w:p w:rsidR="005F11DB" w:rsidRPr="0068615F" w:rsidRDefault="005F11DB" w:rsidP="005F11DB">
      <w:pPr>
        <w:pStyle w:val="Prrafodelista"/>
        <w:spacing w:after="0" w:line="360" w:lineRule="auto"/>
        <w:ind w:left="426"/>
        <w:jc w:val="both"/>
        <w:rPr>
          <w:rFonts w:ascii="Palatino Linotype" w:hAnsi="Palatino Linotype" w:cs="Arial"/>
          <w:sz w:val="24"/>
          <w:szCs w:val="24"/>
        </w:rPr>
      </w:pPr>
      <w:r w:rsidRPr="0068615F">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68615F">
        <w:rPr>
          <w:rFonts w:ascii="Palatino Linotype" w:hAnsi="Palatino Linotype" w:cs="Arial"/>
          <w:b/>
          <w:sz w:val="24"/>
          <w:szCs w:val="24"/>
        </w:rPr>
        <w:t>considerando que algún nivel de gobierno tenga obligaciones reforzadas hacia ciertos derechos.</w:t>
      </w:r>
      <w:r w:rsidRPr="0068615F">
        <w:rPr>
          <w:rFonts w:ascii="Palatino Linotype" w:hAnsi="Palatino Linotype" w:cs="Arial"/>
          <w:sz w:val="24"/>
          <w:szCs w:val="24"/>
        </w:rPr>
        <w:t xml:space="preserve"> A partir de tales deberes generales, podemos afirmar que las autoridades de todos los niveles de gobierno también tienen la </w:t>
      </w:r>
      <w:r w:rsidRPr="0068615F">
        <w:rPr>
          <w:rFonts w:ascii="Palatino Linotype" w:hAnsi="Palatino Linotype" w:cs="Arial"/>
          <w:sz w:val="24"/>
          <w:szCs w:val="24"/>
        </w:rPr>
        <w:lastRenderedPageBreak/>
        <w:t xml:space="preserve">obligación positiva de </w:t>
      </w:r>
      <w:r w:rsidRPr="0068615F">
        <w:rPr>
          <w:rFonts w:ascii="Palatino Linotype" w:hAnsi="Palatino Linotype" w:cs="Arial"/>
          <w:b/>
          <w:sz w:val="24"/>
          <w:szCs w:val="24"/>
        </w:rPr>
        <w:t>tomar todas las medidas que sean pertinentes para tutelar y hacer eficaz un derecho</w:t>
      </w:r>
      <w:r w:rsidRPr="0068615F">
        <w:rPr>
          <w:rFonts w:ascii="Palatino Linotype" w:hAnsi="Palatino Linotype" w:cs="Arial"/>
          <w:sz w:val="24"/>
          <w:szCs w:val="24"/>
        </w:rPr>
        <w:t>”.</w:t>
      </w:r>
      <w:r w:rsidRPr="0068615F">
        <w:rPr>
          <w:rStyle w:val="Refdenotaalpie"/>
          <w:rFonts w:ascii="Palatino Linotype" w:hAnsi="Palatino Linotype" w:cs="Arial"/>
          <w:sz w:val="24"/>
          <w:szCs w:val="24"/>
        </w:rPr>
        <w:footnoteReference w:id="3"/>
      </w:r>
    </w:p>
    <w:p w:rsidR="009979C7" w:rsidRPr="0068615F" w:rsidRDefault="009979C7" w:rsidP="005F11DB">
      <w:pPr>
        <w:pStyle w:val="Prrafodelista"/>
        <w:spacing w:after="0" w:line="360" w:lineRule="auto"/>
        <w:ind w:left="426"/>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 Por lo que restringir el derecho de acceso a la información pública del particular</w:t>
      </w:r>
      <w:r w:rsidRPr="0068615F">
        <w:rPr>
          <w:rFonts w:ascii="Palatino Linotype" w:hAnsi="Palatino Linotype" w:cs="Arial"/>
          <w:b/>
          <w:sz w:val="24"/>
          <w:szCs w:val="24"/>
        </w:rPr>
        <w:t xml:space="preserve"> </w:t>
      </w:r>
      <w:r w:rsidRPr="0068615F">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5F11DB" w:rsidRPr="0068615F" w:rsidRDefault="005F11DB" w:rsidP="005F11DB">
      <w:pPr>
        <w:pStyle w:val="Prrafodelista"/>
        <w:spacing w:after="0" w:line="360" w:lineRule="auto"/>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satisfizo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w:t>
      </w:r>
      <w:r w:rsidRPr="0068615F">
        <w:rPr>
          <w:rFonts w:ascii="Palatino Linotype" w:hAnsi="Palatino Linotype" w:cs="Arial"/>
          <w:sz w:val="24"/>
          <w:szCs w:val="24"/>
        </w:rPr>
        <w:lastRenderedPageBreak/>
        <w:t>normas generales reproducidas estrictamente por los jueces, o como el orden pacífico surgido del libre goce y disponibilidad de los derechos individuales, monopolizará el horizonte axiológico de los juristas decimonónicos”.</w:t>
      </w:r>
    </w:p>
    <w:p w:rsidR="005F11DB" w:rsidRPr="0068615F" w:rsidRDefault="005F11DB" w:rsidP="005F11DB">
      <w:pPr>
        <w:pStyle w:val="Prrafodelista"/>
        <w:spacing w:line="360" w:lineRule="auto"/>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68615F">
        <w:rPr>
          <w:rFonts w:ascii="Palatino Linotype" w:hAnsi="Palatino Linotype" w:cs="Arial"/>
          <w:sz w:val="24"/>
          <w:szCs w:val="24"/>
        </w:rPr>
        <w:t>Cotta</w:t>
      </w:r>
      <w:proofErr w:type="spellEnd"/>
      <w:r w:rsidRPr="0068615F">
        <w:rPr>
          <w:rFonts w:ascii="Palatino Linotype" w:hAnsi="Palatino Linotype" w:cs="Arial"/>
          <w:sz w:val="24"/>
          <w:szCs w:val="24"/>
        </w:rPr>
        <w:t xml:space="preserve"> que “la obligatoriedad de la norma depende de la validez de su justificación, que es, por consiguiente el fundamento de aquella”,</w:t>
      </w:r>
      <w:r w:rsidRPr="0068615F">
        <w:rPr>
          <w:rStyle w:val="Refdenotaalpie"/>
          <w:rFonts w:ascii="Palatino Linotype" w:hAnsi="Palatino Linotype" w:cs="Arial"/>
          <w:sz w:val="24"/>
          <w:szCs w:val="24"/>
        </w:rPr>
        <w:footnoteReference w:id="4"/>
      </w:r>
      <w:r w:rsidRPr="0068615F">
        <w:rPr>
          <w:rFonts w:ascii="Palatino Linotype" w:hAnsi="Palatino Linotype" w:cs="Arial"/>
          <w:sz w:val="24"/>
          <w:szCs w:val="24"/>
        </w:rPr>
        <w:t xml:space="preserve"> y no puede existir validez en la aplicación de un criterio que propicia una riesgosa afectación al derecho de acceso a la información.</w:t>
      </w:r>
    </w:p>
    <w:p w:rsidR="005F11DB" w:rsidRPr="0068615F" w:rsidRDefault="005F11DB" w:rsidP="005F11DB">
      <w:pPr>
        <w:pStyle w:val="Prrafodelista"/>
        <w:spacing w:line="360" w:lineRule="auto"/>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w:t>
      </w:r>
      <w:r w:rsidRPr="0068615F">
        <w:rPr>
          <w:rFonts w:ascii="Palatino Linotype" w:hAnsi="Palatino Linotype" w:cs="Arial"/>
          <w:sz w:val="24"/>
          <w:szCs w:val="24"/>
        </w:rPr>
        <w:lastRenderedPageBreak/>
        <w:t xml:space="preserve">o no a la obligación de protegerlos. Ésta puede caracterizarse como </w:t>
      </w:r>
      <w:r w:rsidRPr="0068615F">
        <w:rPr>
          <w:rFonts w:ascii="Palatino Linotype" w:hAnsi="Palatino Linotype" w:cs="Arial"/>
          <w:b/>
          <w:sz w:val="24"/>
          <w:szCs w:val="24"/>
        </w:rPr>
        <w:t>el deber que tienen los órganos del Estado, dentro del margen de sus atribuciones, de prevenir violaciones a los derechos fundamentales,</w:t>
      </w:r>
      <w:r w:rsidRPr="0068615F">
        <w:rPr>
          <w:rFonts w:ascii="Palatino Linotype" w:hAnsi="Palatino Linotype" w:cs="Arial"/>
          <w:sz w:val="24"/>
          <w:szCs w:val="24"/>
        </w:rPr>
        <w:t xml:space="preserve"> ya sea que provengan de una autoridad o de algún particular y, por ello, </w:t>
      </w:r>
      <w:r w:rsidRPr="0068615F">
        <w:rPr>
          <w:rFonts w:ascii="Palatino Linotype" w:hAnsi="Palatino Linotype" w:cs="Arial"/>
          <w:b/>
          <w:sz w:val="24"/>
          <w:szCs w:val="24"/>
        </w:rPr>
        <w:t>debe contarse</w:t>
      </w:r>
      <w:r w:rsidRPr="0068615F">
        <w:rPr>
          <w:rFonts w:ascii="Palatino Linotype" w:hAnsi="Palatino Linotype" w:cs="Arial"/>
          <w:sz w:val="24"/>
          <w:szCs w:val="24"/>
        </w:rPr>
        <w:t xml:space="preserve"> tanto </w:t>
      </w:r>
      <w:r w:rsidRPr="0068615F">
        <w:rPr>
          <w:rFonts w:ascii="Palatino Linotype" w:hAnsi="Palatino Linotype" w:cs="Arial"/>
          <w:b/>
          <w:sz w:val="24"/>
          <w:szCs w:val="24"/>
        </w:rPr>
        <w:t>con mecanismos</w:t>
      </w:r>
      <w:r w:rsidRPr="0068615F">
        <w:rPr>
          <w:rFonts w:ascii="Palatino Linotype" w:hAnsi="Palatino Linotype" w:cs="Arial"/>
          <w:sz w:val="24"/>
          <w:szCs w:val="24"/>
        </w:rPr>
        <w:t xml:space="preserve"> de vigilancia como </w:t>
      </w:r>
      <w:r w:rsidRPr="0068615F">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68615F">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Octubre de 2014, Tomo III, Página: 2840.</w:t>
      </w:r>
    </w:p>
    <w:p w:rsidR="004A4132" w:rsidRPr="0068615F" w:rsidRDefault="004A4132" w:rsidP="004A4132">
      <w:pPr>
        <w:pStyle w:val="Prrafodelista"/>
        <w:spacing w:after="0" w:line="360" w:lineRule="auto"/>
        <w:ind w:left="426"/>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w:t>
      </w:r>
      <w:r w:rsidRPr="0068615F">
        <w:rPr>
          <w:rFonts w:ascii="Palatino Linotype" w:hAnsi="Palatino Linotype" w:cs="Arial"/>
          <w:sz w:val="24"/>
          <w:szCs w:val="24"/>
        </w:rPr>
        <w:lastRenderedPageBreak/>
        <w:t xml:space="preserve">alguno de los requerimientos solicitados, y de la respuesta ofrecida por parte de los </w:t>
      </w:r>
      <w:r w:rsidRPr="0068615F">
        <w:rPr>
          <w:rFonts w:ascii="Palatino Linotype" w:hAnsi="Palatino Linotype" w:cs="Arial"/>
          <w:b/>
          <w:sz w:val="24"/>
          <w:szCs w:val="24"/>
        </w:rPr>
        <w:t>SUJETOS OBLIGADOS</w:t>
      </w:r>
      <w:r w:rsidRPr="0068615F">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5F11DB" w:rsidRPr="0068615F" w:rsidRDefault="005F11DB" w:rsidP="005F11DB">
      <w:pPr>
        <w:pStyle w:val="Prrafodelista"/>
        <w:spacing w:line="360" w:lineRule="auto"/>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 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proofErr w:type="spellStart"/>
      <w:r w:rsidRPr="0068615F">
        <w:rPr>
          <w:rFonts w:ascii="Palatino Linotype" w:hAnsi="Palatino Linotype" w:cs="Arial"/>
          <w:sz w:val="24"/>
          <w:szCs w:val="24"/>
        </w:rPr>
        <w:t>procedibilidad</w:t>
      </w:r>
      <w:proofErr w:type="spellEnd"/>
      <w:r w:rsidRPr="0068615F">
        <w:rPr>
          <w:rFonts w:ascii="Palatino Linotype" w:hAnsi="Palatino Linotype" w:cs="Arial"/>
          <w:sz w:val="24"/>
          <w:szCs w:val="24"/>
        </w:rPr>
        <w:t>, ya que en todo momento nos encontramos ante un derecho más alto que, puede considerarse en los siguientes términos:</w:t>
      </w:r>
    </w:p>
    <w:p w:rsidR="005F11DB" w:rsidRPr="0068615F" w:rsidRDefault="005F11DB" w:rsidP="005F11DB">
      <w:pPr>
        <w:spacing w:after="0" w:line="360" w:lineRule="auto"/>
        <w:ind w:left="1134" w:right="616"/>
        <w:jc w:val="both"/>
        <w:rPr>
          <w:rFonts w:ascii="Palatino Linotype" w:hAnsi="Palatino Linotype" w:cs="Arial"/>
          <w:i/>
          <w:sz w:val="24"/>
          <w:szCs w:val="24"/>
        </w:rPr>
      </w:pPr>
    </w:p>
    <w:p w:rsidR="005F11DB" w:rsidRPr="0068615F" w:rsidRDefault="005F11DB" w:rsidP="00EE7E7A">
      <w:pPr>
        <w:spacing w:after="0" w:line="360" w:lineRule="auto"/>
        <w:ind w:left="567" w:right="616"/>
        <w:jc w:val="both"/>
        <w:rPr>
          <w:rFonts w:ascii="Palatino Linotype" w:hAnsi="Palatino Linotype" w:cs="Arial"/>
          <w:i/>
          <w:sz w:val="24"/>
          <w:szCs w:val="24"/>
        </w:rPr>
      </w:pPr>
      <w:r w:rsidRPr="0068615F">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w:t>
      </w:r>
      <w:r w:rsidRPr="0068615F">
        <w:rPr>
          <w:rFonts w:ascii="Palatino Linotype" w:hAnsi="Palatino Linotype" w:cs="Arial"/>
          <w:i/>
          <w:sz w:val="24"/>
          <w:szCs w:val="24"/>
        </w:rPr>
        <w:lastRenderedPageBreak/>
        <w:t xml:space="preserve">producción del derecho, generados por la heterogeneidad y </w:t>
      </w:r>
      <w:proofErr w:type="spellStart"/>
      <w:r w:rsidRPr="0068615F">
        <w:rPr>
          <w:rFonts w:ascii="Palatino Linotype" w:hAnsi="Palatino Linotype" w:cs="Arial"/>
          <w:i/>
          <w:sz w:val="24"/>
          <w:szCs w:val="24"/>
        </w:rPr>
        <w:t>ocasionalidad</w:t>
      </w:r>
      <w:proofErr w:type="spellEnd"/>
      <w:r w:rsidRPr="0068615F">
        <w:rPr>
          <w:rFonts w:ascii="Palatino Linotype" w:hAnsi="Palatino Linotype" w:cs="Arial"/>
          <w:i/>
          <w:sz w:val="24"/>
          <w:szCs w:val="24"/>
        </w:rPr>
        <w:t xml:space="preserve"> de las presiones sociales que se ejercen sobre el mismo”.</w:t>
      </w:r>
      <w:r w:rsidRPr="0068615F">
        <w:rPr>
          <w:rStyle w:val="Refdenotaalpie"/>
          <w:rFonts w:ascii="Palatino Linotype" w:hAnsi="Palatino Linotype" w:cs="Arial"/>
          <w:i/>
          <w:sz w:val="24"/>
          <w:szCs w:val="24"/>
        </w:rPr>
        <w:footnoteReference w:id="5"/>
      </w:r>
    </w:p>
    <w:p w:rsidR="00261774" w:rsidRPr="0068615F" w:rsidRDefault="00261774" w:rsidP="005F11DB">
      <w:pPr>
        <w:spacing w:after="0" w:line="360" w:lineRule="auto"/>
        <w:ind w:left="1134" w:right="616"/>
        <w:jc w:val="both"/>
        <w:rPr>
          <w:rFonts w:ascii="Palatino Linotype" w:hAnsi="Palatino Linotype" w:cs="Arial"/>
          <w:i/>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5F11DB" w:rsidRPr="0068615F" w:rsidRDefault="005F11DB" w:rsidP="005F11DB">
      <w:pPr>
        <w:pStyle w:val="Prrafodelista"/>
        <w:spacing w:after="0" w:line="360" w:lineRule="auto"/>
        <w:ind w:left="426"/>
        <w:jc w:val="both"/>
        <w:rPr>
          <w:rFonts w:ascii="Palatino Linotype" w:hAnsi="Palatino Linotype" w:cs="Arial"/>
          <w:sz w:val="24"/>
          <w:szCs w:val="24"/>
        </w:rPr>
      </w:pPr>
    </w:p>
    <w:p w:rsidR="005F11DB"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w:t>
      </w:r>
      <w:r w:rsidR="00DA3358" w:rsidRPr="0068615F">
        <w:rPr>
          <w:rFonts w:ascii="Palatino Linotype" w:hAnsi="Palatino Linotype" w:cs="Arial"/>
          <w:sz w:val="24"/>
          <w:szCs w:val="24"/>
        </w:rPr>
        <w:t>la recurrente</w:t>
      </w:r>
      <w:r w:rsidRPr="0068615F">
        <w:rPr>
          <w:rFonts w:ascii="Palatino Linotype" w:hAnsi="Palatino Linotype" w:cs="Arial"/>
          <w:sz w:val="24"/>
          <w:szCs w:val="24"/>
        </w:rPr>
        <w:t xml:space="preserv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w:t>
      </w:r>
      <w:r w:rsidRPr="0068615F">
        <w:rPr>
          <w:rFonts w:ascii="Palatino Linotype" w:hAnsi="Palatino Linotype" w:cs="Arial"/>
          <w:sz w:val="24"/>
          <w:szCs w:val="24"/>
        </w:rPr>
        <w:lastRenderedPageBreak/>
        <w:t>Pública, o bien, no le han sido colmados todos sus requerimientos y omite manifestarse al respecto, por diversos factores que a su alrededor ocurran y le puedan afectar. Además de ser un Órgano Garante, somos un Órgano Revisor y en ese sentido no podemos pasar inadvertido el hecho de no analizar la totalidad de requerimientos solicitados cuando no se pronuncien al respecto, cuando sea evidente que no han sido colmados, en ese sentido no estaríamos garantizando el derecho fundamental.</w:t>
      </w:r>
    </w:p>
    <w:p w:rsidR="00EE7E7A" w:rsidRPr="0068615F" w:rsidRDefault="00EE7E7A" w:rsidP="00EE7E7A">
      <w:pPr>
        <w:pStyle w:val="Prrafodelista"/>
        <w:spacing w:line="360" w:lineRule="auto"/>
        <w:ind w:left="360"/>
        <w:jc w:val="both"/>
        <w:rPr>
          <w:rFonts w:ascii="Palatino Linotype" w:hAnsi="Palatino Linotype" w:cs="Arial"/>
          <w:sz w:val="24"/>
          <w:szCs w:val="24"/>
        </w:rPr>
      </w:pPr>
    </w:p>
    <w:p w:rsidR="005F11DB" w:rsidRPr="0068615F" w:rsidRDefault="005F11DB" w:rsidP="00EE7E7A">
      <w:pPr>
        <w:pStyle w:val="Prrafodelista"/>
        <w:numPr>
          <w:ilvl w:val="0"/>
          <w:numId w:val="8"/>
        </w:numPr>
        <w:spacing w:after="0" w:line="360" w:lineRule="auto"/>
        <w:ind w:left="0" w:firstLine="0"/>
        <w:jc w:val="both"/>
        <w:rPr>
          <w:rFonts w:ascii="Palatino Linotype" w:hAnsi="Palatino Linotype" w:cs="Arial"/>
          <w:sz w:val="24"/>
          <w:szCs w:val="24"/>
        </w:rPr>
      </w:pPr>
      <w:r w:rsidRPr="0068615F">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1A5EEA" w:rsidRPr="0068615F" w:rsidRDefault="001A5EEA" w:rsidP="001A5EEA">
      <w:pPr>
        <w:pStyle w:val="Prrafodelista"/>
        <w:rPr>
          <w:rFonts w:ascii="Palatino Linotype" w:hAnsi="Palatino Linotype" w:cs="Arial"/>
          <w:sz w:val="18"/>
          <w:szCs w:val="24"/>
        </w:rPr>
      </w:pPr>
    </w:p>
    <w:p w:rsidR="00696770" w:rsidRPr="0068615F" w:rsidRDefault="00696770" w:rsidP="001A5EEA">
      <w:pPr>
        <w:pStyle w:val="Prrafodelista"/>
        <w:rPr>
          <w:rFonts w:ascii="Palatino Linotype" w:hAnsi="Palatino Linotype" w:cs="Arial"/>
          <w:sz w:val="18"/>
          <w:szCs w:val="24"/>
        </w:rPr>
      </w:pPr>
    </w:p>
    <w:p w:rsidR="001A5EEA" w:rsidRPr="0068615F" w:rsidRDefault="001A5EEA" w:rsidP="001A5EEA">
      <w:pPr>
        <w:pStyle w:val="Prrafodelista"/>
        <w:spacing w:after="0" w:line="360" w:lineRule="auto"/>
        <w:ind w:left="426"/>
        <w:jc w:val="both"/>
        <w:rPr>
          <w:rFonts w:ascii="Palatino Linotype" w:hAnsi="Palatino Linotype" w:cs="Arial"/>
          <w:sz w:val="2"/>
          <w:szCs w:val="24"/>
        </w:rPr>
      </w:pPr>
    </w:p>
    <w:p w:rsidR="00905D9C" w:rsidRPr="0068615F" w:rsidRDefault="00905D9C" w:rsidP="001A5EEA">
      <w:pPr>
        <w:pStyle w:val="Prrafodelista"/>
        <w:spacing w:after="0" w:line="360" w:lineRule="auto"/>
        <w:ind w:left="426"/>
        <w:jc w:val="both"/>
        <w:rPr>
          <w:rFonts w:ascii="Palatino Linotype" w:hAnsi="Palatino Linotype" w:cs="Arial"/>
          <w:sz w:val="2"/>
          <w:szCs w:val="24"/>
        </w:rPr>
      </w:pPr>
    </w:p>
    <w:p w:rsidR="00905D9C" w:rsidRPr="0068615F" w:rsidRDefault="00905D9C" w:rsidP="001A5EEA">
      <w:pPr>
        <w:pStyle w:val="Prrafodelista"/>
        <w:spacing w:after="0" w:line="360" w:lineRule="auto"/>
        <w:ind w:left="426"/>
        <w:jc w:val="both"/>
        <w:rPr>
          <w:rFonts w:ascii="Palatino Linotype" w:hAnsi="Palatino Linotype" w:cs="Arial"/>
          <w:sz w:val="2"/>
          <w:szCs w:val="24"/>
        </w:rPr>
      </w:pPr>
    </w:p>
    <w:p w:rsidR="00905D9C" w:rsidRPr="0068615F" w:rsidRDefault="00905D9C" w:rsidP="001A5EEA">
      <w:pPr>
        <w:pStyle w:val="Prrafodelista"/>
        <w:spacing w:after="0" w:line="360" w:lineRule="auto"/>
        <w:ind w:left="426"/>
        <w:jc w:val="both"/>
        <w:rPr>
          <w:rFonts w:ascii="Palatino Linotype" w:hAnsi="Palatino Linotype" w:cs="Arial"/>
          <w:sz w:val="2"/>
          <w:szCs w:val="24"/>
        </w:rPr>
      </w:pPr>
    </w:p>
    <w:p w:rsidR="005F11DB" w:rsidRPr="0068615F" w:rsidRDefault="005F11DB" w:rsidP="005F11DB">
      <w:pPr>
        <w:pStyle w:val="Prrafodelista"/>
        <w:spacing w:line="360" w:lineRule="auto"/>
        <w:ind w:left="0"/>
        <w:jc w:val="center"/>
        <w:rPr>
          <w:rFonts w:ascii="Palatino Linotype" w:eastAsia="Calibri" w:hAnsi="Palatino Linotype" w:cs="Arial"/>
          <w:b/>
          <w:sz w:val="24"/>
          <w:szCs w:val="24"/>
        </w:rPr>
      </w:pPr>
      <w:r w:rsidRPr="0068615F">
        <w:rPr>
          <w:rFonts w:ascii="Palatino Linotype" w:eastAsia="Calibri" w:hAnsi="Palatino Linotype" w:cs="Arial"/>
          <w:b/>
          <w:sz w:val="24"/>
          <w:szCs w:val="24"/>
        </w:rPr>
        <w:t>JOSÉ GUADALUPE LUNA HERNÁNDEZ</w:t>
      </w:r>
    </w:p>
    <w:p w:rsidR="005F11DB" w:rsidRPr="0068615F" w:rsidRDefault="005F11DB" w:rsidP="005F11DB">
      <w:pPr>
        <w:pStyle w:val="Prrafodelista"/>
        <w:spacing w:line="360" w:lineRule="auto"/>
        <w:ind w:left="0"/>
        <w:jc w:val="center"/>
        <w:rPr>
          <w:rFonts w:ascii="Palatino Linotype" w:eastAsia="Calibri" w:hAnsi="Palatino Linotype" w:cs="Arial"/>
          <w:b/>
          <w:sz w:val="24"/>
          <w:szCs w:val="24"/>
        </w:rPr>
      </w:pPr>
      <w:r w:rsidRPr="0068615F">
        <w:rPr>
          <w:rFonts w:ascii="Palatino Linotype" w:eastAsia="Calibri" w:hAnsi="Palatino Linotype" w:cs="Arial"/>
          <w:b/>
          <w:sz w:val="24"/>
          <w:szCs w:val="24"/>
        </w:rPr>
        <w:t>COMISIONADO</w:t>
      </w:r>
      <w:bookmarkStart w:id="3" w:name="_GoBack"/>
      <w:bookmarkEnd w:id="3"/>
    </w:p>
    <w:p w:rsidR="00696770" w:rsidRPr="00EE7E7A" w:rsidRDefault="00EE7E7A" w:rsidP="00EE7E7A">
      <w:pPr>
        <w:pStyle w:val="Prrafodelista"/>
        <w:spacing w:line="360" w:lineRule="auto"/>
        <w:ind w:left="0"/>
        <w:jc w:val="center"/>
        <w:rPr>
          <w:rFonts w:ascii="Palatino Linotype" w:eastAsia="Calibri" w:hAnsi="Palatino Linotype" w:cs="Arial"/>
          <w:b/>
          <w:sz w:val="24"/>
          <w:szCs w:val="24"/>
        </w:rPr>
      </w:pPr>
      <w:r w:rsidRPr="00EE7E7A">
        <w:rPr>
          <w:rFonts w:ascii="Palatino Linotype" w:hAnsi="Palatino Linotype"/>
          <w:b/>
          <w:sz w:val="24"/>
          <w:szCs w:val="24"/>
        </w:rPr>
        <w:t>(RÚBRICA)</w:t>
      </w:r>
    </w:p>
    <w:sectPr w:rsidR="00696770" w:rsidRPr="00EE7E7A"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9FA" w:rsidRDefault="00C369FA" w:rsidP="00E82D3D">
      <w:pPr>
        <w:spacing w:after="0" w:line="240" w:lineRule="auto"/>
      </w:pPr>
      <w:r>
        <w:separator/>
      </w:r>
    </w:p>
  </w:endnote>
  <w:endnote w:type="continuationSeparator" w:id="0">
    <w:p w:rsidR="00C369FA" w:rsidRDefault="00C369FA"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BB488C" w:rsidRDefault="00BB488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E7E7A">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E7E7A">
              <w:rPr>
                <w:b/>
                <w:bCs/>
                <w:noProof/>
              </w:rPr>
              <w:t>19</w:t>
            </w:r>
            <w:r>
              <w:rPr>
                <w:b/>
                <w:bCs/>
                <w:sz w:val="24"/>
                <w:szCs w:val="24"/>
              </w:rPr>
              <w:fldChar w:fldCharType="end"/>
            </w:r>
          </w:p>
        </w:sdtContent>
      </w:sdt>
    </w:sdtContent>
  </w:sdt>
  <w:p w:rsidR="00BB488C" w:rsidRDefault="00BB488C"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9FA" w:rsidRDefault="00C369FA" w:rsidP="00E82D3D">
      <w:pPr>
        <w:spacing w:after="0" w:line="240" w:lineRule="auto"/>
      </w:pPr>
      <w:r>
        <w:separator/>
      </w:r>
    </w:p>
  </w:footnote>
  <w:footnote w:type="continuationSeparator" w:id="0">
    <w:p w:rsidR="00C369FA" w:rsidRDefault="00C369FA" w:rsidP="00E82D3D">
      <w:pPr>
        <w:spacing w:after="0" w:line="240" w:lineRule="auto"/>
      </w:pPr>
      <w:r>
        <w:continuationSeparator/>
      </w:r>
    </w:p>
  </w:footnote>
  <w:footnote w:id="1">
    <w:p w:rsidR="005F11DB" w:rsidRDefault="005F11DB" w:rsidP="005F11DB">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5F11DB" w:rsidRDefault="005F11DB" w:rsidP="005F11DB">
      <w:pPr>
        <w:pStyle w:val="Textonotapie"/>
      </w:pPr>
      <w:r>
        <w:rPr>
          <w:rStyle w:val="Refdenotaalpie"/>
        </w:rPr>
        <w:footnoteRef/>
      </w:r>
      <w:r>
        <w:t xml:space="preserve"> </w:t>
      </w:r>
      <w:r w:rsidRPr="00C775C0">
        <w:rPr>
          <w:i/>
        </w:rPr>
        <w:t>Ibídem</w:t>
      </w:r>
      <w:r>
        <w:t>. Pág. 3594.</w:t>
      </w:r>
    </w:p>
  </w:footnote>
  <w:footnote w:id="3">
    <w:p w:rsidR="005F11DB" w:rsidRPr="0068615F" w:rsidRDefault="005F11DB" w:rsidP="005F11DB">
      <w:pPr>
        <w:pStyle w:val="Textonotapie"/>
        <w:jc w:val="both"/>
        <w:rPr>
          <w:rFonts w:ascii="Palatino Linotype" w:hAnsi="Palatino Linotype"/>
        </w:rPr>
      </w:pPr>
      <w:r w:rsidRPr="0068615F">
        <w:rPr>
          <w:rStyle w:val="Refdenotaalpie"/>
          <w:rFonts w:ascii="Palatino Linotype" w:hAnsi="Palatino Linotype"/>
          <w:sz w:val="18"/>
        </w:rPr>
        <w:footnoteRef/>
      </w:r>
      <w:r w:rsidRPr="0068615F">
        <w:rPr>
          <w:rFonts w:ascii="Palatino Linotype" w:hAnsi="Palatino Linotype"/>
          <w:sz w:val="18"/>
        </w:rPr>
        <w:t xml:space="preserve"> CARBONELL, MIGUEL. “Las obligaciones del Estado en el artículo 1º. de la Constitución mexicana” en CARBONELL, Miguel y SALAZAR, Pedro, </w:t>
      </w:r>
      <w:proofErr w:type="spellStart"/>
      <w:r w:rsidRPr="0068615F">
        <w:rPr>
          <w:rFonts w:ascii="Palatino Linotype" w:hAnsi="Palatino Linotype"/>
          <w:sz w:val="18"/>
        </w:rPr>
        <w:t>coords</w:t>
      </w:r>
      <w:proofErr w:type="spellEnd"/>
      <w:r w:rsidRPr="0068615F">
        <w:rPr>
          <w:rFonts w:ascii="Palatino Linotype" w:hAnsi="Palatino Linotype"/>
          <w:sz w:val="18"/>
        </w:rPr>
        <w:t xml:space="preserve">. La reforma constitucional de derechos humanos. 2ª. Edición, México. </w:t>
      </w:r>
      <w:proofErr w:type="spellStart"/>
      <w:r w:rsidRPr="0068615F">
        <w:rPr>
          <w:rFonts w:ascii="Palatino Linotype" w:hAnsi="Palatino Linotype"/>
          <w:sz w:val="18"/>
        </w:rPr>
        <w:t>Coed</w:t>
      </w:r>
      <w:proofErr w:type="spellEnd"/>
      <w:r w:rsidRPr="0068615F">
        <w:rPr>
          <w:rFonts w:ascii="Palatino Linotype" w:hAnsi="Palatino Linotype"/>
          <w:sz w:val="18"/>
        </w:rPr>
        <w:t>. Porrúa e Instituto de Investigaciones Jurídicas de la UNAM, 2012. Pág. 68.</w:t>
      </w:r>
    </w:p>
  </w:footnote>
  <w:footnote w:id="4">
    <w:p w:rsidR="005F11DB" w:rsidRPr="0068615F" w:rsidRDefault="005F11DB" w:rsidP="005F11DB">
      <w:pPr>
        <w:pStyle w:val="Textonotapie"/>
        <w:rPr>
          <w:rFonts w:ascii="Palatino Linotype" w:hAnsi="Palatino Linotype"/>
        </w:rPr>
      </w:pPr>
      <w:r w:rsidRPr="0068615F">
        <w:rPr>
          <w:rStyle w:val="Refdenotaalpie"/>
          <w:rFonts w:ascii="Palatino Linotype" w:hAnsi="Palatino Linotype"/>
        </w:rPr>
        <w:footnoteRef/>
      </w:r>
      <w:r w:rsidRPr="0068615F">
        <w:rPr>
          <w:rFonts w:ascii="Palatino Linotype" w:hAnsi="Palatino Linotype"/>
        </w:rPr>
        <w:t xml:space="preserve"> COTTA, Sergio. </w:t>
      </w:r>
      <w:r w:rsidRPr="0068615F">
        <w:rPr>
          <w:rFonts w:ascii="Palatino Linotype" w:hAnsi="Palatino Linotype"/>
          <w:i/>
        </w:rPr>
        <w:t>Justificación y obligatoriedad de las normas.</w:t>
      </w:r>
      <w:r w:rsidRPr="0068615F">
        <w:rPr>
          <w:rFonts w:ascii="Palatino Linotype" w:hAnsi="Palatino Linotype"/>
        </w:rPr>
        <w:t xml:space="preserve"> Madrid. Ed. </w:t>
      </w:r>
      <w:proofErr w:type="spellStart"/>
      <w:r w:rsidRPr="0068615F">
        <w:rPr>
          <w:rFonts w:ascii="Palatino Linotype" w:hAnsi="Palatino Linotype"/>
        </w:rPr>
        <w:t>Ceura</w:t>
      </w:r>
      <w:proofErr w:type="spellEnd"/>
      <w:r w:rsidRPr="0068615F">
        <w:rPr>
          <w:rFonts w:ascii="Palatino Linotype" w:hAnsi="Palatino Linotype"/>
        </w:rPr>
        <w:t>, 1987. Pág. 10.</w:t>
      </w:r>
    </w:p>
  </w:footnote>
  <w:footnote w:id="5">
    <w:p w:rsidR="005F11DB" w:rsidRDefault="005F11DB" w:rsidP="005F11DB">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C369F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C369FA" w:rsidP="005F11DB">
    <w:pPr>
      <w:pStyle w:val="Encabezado"/>
      <w:tabs>
        <w:tab w:val="clear" w:pos="4419"/>
        <w:tab w:val="clear" w:pos="8838"/>
        <w:tab w:val="left" w:pos="348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r w:rsidR="005F11DB">
      <w:tab/>
    </w:r>
  </w:p>
  <w:p w:rsidR="00BB488C" w:rsidRDefault="00BB488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88C" w:rsidRDefault="00C369F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C41461D"/>
    <w:multiLevelType w:val="hybridMultilevel"/>
    <w:tmpl w:val="0B9CD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641F14"/>
    <w:multiLevelType w:val="hybridMultilevel"/>
    <w:tmpl w:val="C5A629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E688771C"/>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157DB9"/>
    <w:multiLevelType w:val="hybridMultilevel"/>
    <w:tmpl w:val="18640776"/>
    <w:numStyleLink w:val="Estiloimportado2"/>
  </w:abstractNum>
  <w:abstractNum w:abstractNumId="13">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4"/>
  </w:num>
  <w:num w:numId="2">
    <w:abstractNumId w:val="7"/>
  </w:num>
  <w:num w:numId="3">
    <w:abstractNumId w:val="9"/>
  </w:num>
  <w:num w:numId="4">
    <w:abstractNumId w:val="14"/>
  </w:num>
  <w:num w:numId="5">
    <w:abstractNumId w:val="13"/>
  </w:num>
  <w:num w:numId="6">
    <w:abstractNumId w:val="3"/>
  </w:num>
  <w:num w:numId="7">
    <w:abstractNumId w:val="17"/>
  </w:num>
  <w:num w:numId="8">
    <w:abstractNumId w:val="10"/>
  </w:num>
  <w:num w:numId="9">
    <w:abstractNumId w:val="16"/>
  </w:num>
  <w:num w:numId="10">
    <w:abstractNumId w:val="6"/>
  </w:num>
  <w:num w:numId="11">
    <w:abstractNumId w:val="15"/>
  </w:num>
  <w:num w:numId="12">
    <w:abstractNumId w:val="11"/>
  </w:num>
  <w:num w:numId="13">
    <w:abstractNumId w:val="8"/>
  </w:num>
  <w:num w:numId="14">
    <w:abstractNumId w:val="1"/>
  </w:num>
  <w:num w:numId="15">
    <w:abstractNumId w:val="5"/>
  </w:num>
  <w:num w:numId="16">
    <w:abstractNumId w:val="12"/>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8049E"/>
    <w:rsid w:val="00081B7A"/>
    <w:rsid w:val="00096CC2"/>
    <w:rsid w:val="000F0318"/>
    <w:rsid w:val="00102360"/>
    <w:rsid w:val="00117639"/>
    <w:rsid w:val="001240A5"/>
    <w:rsid w:val="001962BF"/>
    <w:rsid w:val="001A5EEA"/>
    <w:rsid w:val="001B19B4"/>
    <w:rsid w:val="00242F86"/>
    <w:rsid w:val="00261774"/>
    <w:rsid w:val="00274496"/>
    <w:rsid w:val="002C3A30"/>
    <w:rsid w:val="002E3ED2"/>
    <w:rsid w:val="002F79FF"/>
    <w:rsid w:val="003258B6"/>
    <w:rsid w:val="00364F8B"/>
    <w:rsid w:val="00384DBA"/>
    <w:rsid w:val="00435095"/>
    <w:rsid w:val="00445AC0"/>
    <w:rsid w:val="0048628E"/>
    <w:rsid w:val="004A4132"/>
    <w:rsid w:val="004C2C9C"/>
    <w:rsid w:val="004D746D"/>
    <w:rsid w:val="005358E1"/>
    <w:rsid w:val="005556CA"/>
    <w:rsid w:val="00574B46"/>
    <w:rsid w:val="005A662E"/>
    <w:rsid w:val="005F11DB"/>
    <w:rsid w:val="005F30BC"/>
    <w:rsid w:val="00617ACF"/>
    <w:rsid w:val="00637DAB"/>
    <w:rsid w:val="00650C05"/>
    <w:rsid w:val="00667BC5"/>
    <w:rsid w:val="0068615F"/>
    <w:rsid w:val="00696770"/>
    <w:rsid w:val="006C353B"/>
    <w:rsid w:val="006D7BCC"/>
    <w:rsid w:val="006F0A01"/>
    <w:rsid w:val="00756AED"/>
    <w:rsid w:val="0077436B"/>
    <w:rsid w:val="00797A31"/>
    <w:rsid w:val="007D037D"/>
    <w:rsid w:val="00807E40"/>
    <w:rsid w:val="00837109"/>
    <w:rsid w:val="00851877"/>
    <w:rsid w:val="008E349D"/>
    <w:rsid w:val="00902DAB"/>
    <w:rsid w:val="00905D9C"/>
    <w:rsid w:val="009175CF"/>
    <w:rsid w:val="009979C7"/>
    <w:rsid w:val="009A2D39"/>
    <w:rsid w:val="009E3210"/>
    <w:rsid w:val="00A44CEB"/>
    <w:rsid w:val="00A637EF"/>
    <w:rsid w:val="00A878C0"/>
    <w:rsid w:val="00AA6385"/>
    <w:rsid w:val="00AE09CF"/>
    <w:rsid w:val="00B378E9"/>
    <w:rsid w:val="00B9285A"/>
    <w:rsid w:val="00BB488C"/>
    <w:rsid w:val="00BC73AE"/>
    <w:rsid w:val="00C369FA"/>
    <w:rsid w:val="00C53D91"/>
    <w:rsid w:val="00C753D8"/>
    <w:rsid w:val="00C81948"/>
    <w:rsid w:val="00CA2B8E"/>
    <w:rsid w:val="00CC7CC1"/>
    <w:rsid w:val="00CF0462"/>
    <w:rsid w:val="00D037CB"/>
    <w:rsid w:val="00D63CE5"/>
    <w:rsid w:val="00D66E73"/>
    <w:rsid w:val="00DA3358"/>
    <w:rsid w:val="00DD14BB"/>
    <w:rsid w:val="00DE7A32"/>
    <w:rsid w:val="00E82D3D"/>
    <w:rsid w:val="00EE7E7A"/>
    <w:rsid w:val="00F30EE8"/>
    <w:rsid w:val="00F81422"/>
    <w:rsid w:val="00FA35A6"/>
    <w:rsid w:val="00FC60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1DB"/>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E7E7A"/>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E7E7A"/>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E7E7A"/>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E7E7A"/>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EE7E7A"/>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E7E7A"/>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E7E7A"/>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E7E7A"/>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INAI"/>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A5EEA"/>
    <w:pPr>
      <w:spacing w:after="100"/>
      <w:ind w:left="426" w:hanging="426"/>
    </w:pPr>
  </w:style>
  <w:style w:type="character" w:styleId="Hipervnculo">
    <w:name w:val="Hyperlink"/>
    <w:aliases w:val="Hipervínculo1,Hipervínculo11,Hipervínculo12,Hipervínculo13,Hipervínculo14,Hipervínculo15"/>
    <w:basedOn w:val="Fuentedeprrafopredeter"/>
    <w:uiPriority w:val="99"/>
    <w:unhideWhenUsed/>
    <w:rsid w:val="00DE7A32"/>
    <w:rPr>
      <w:color w:val="0563C1" w:themeColor="hyperlink"/>
      <w:u w:val="single"/>
    </w:rPr>
  </w:style>
  <w:style w:type="character" w:customStyle="1" w:styleId="SinespaciadoCar">
    <w:name w:val="Sin espaciado Car"/>
    <w:aliases w:val="Francesa Car,INAI Car"/>
    <w:link w:val="Sinespaciado"/>
    <w:uiPriority w:val="1"/>
    <w:locked/>
    <w:rsid w:val="00DE7A32"/>
  </w:style>
  <w:style w:type="paragraph" w:customStyle="1" w:styleId="Cuerpo">
    <w:name w:val="Cuerpo"/>
    <w:rsid w:val="00261774"/>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261774"/>
    <w:rPr>
      <w:lang w:val="es-ES_tradnl"/>
    </w:rPr>
  </w:style>
  <w:style w:type="numbering" w:customStyle="1" w:styleId="Estiloimportado2">
    <w:name w:val="Estilo importado 2"/>
    <w:rsid w:val="00261774"/>
    <w:pPr>
      <w:numPr>
        <w:numId w:val="15"/>
      </w:numPr>
    </w:pPr>
  </w:style>
  <w:style w:type="character" w:customStyle="1" w:styleId="apple-converted-space">
    <w:name w:val="apple-converted-space"/>
    <w:basedOn w:val="Fuentedeprrafopredeter"/>
    <w:rsid w:val="00A637EF"/>
  </w:style>
  <w:style w:type="character" w:customStyle="1" w:styleId="Ttulo2Car">
    <w:name w:val="Título 2 Car"/>
    <w:basedOn w:val="Fuentedeprrafopredeter"/>
    <w:link w:val="Ttulo2"/>
    <w:uiPriority w:val="9"/>
    <w:semiHidden/>
    <w:rsid w:val="00EE7E7A"/>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E7E7A"/>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E7E7A"/>
    <w:rPr>
      <w:rFonts w:eastAsiaTheme="minorEastAsia"/>
      <w:b/>
      <w:bCs/>
      <w:sz w:val="28"/>
      <w:szCs w:val="28"/>
      <w:lang w:val="en-US"/>
    </w:rPr>
  </w:style>
  <w:style w:type="character" w:customStyle="1" w:styleId="Ttulo5Car">
    <w:name w:val="Título 5 Car"/>
    <w:basedOn w:val="Fuentedeprrafopredeter"/>
    <w:link w:val="Ttulo5"/>
    <w:uiPriority w:val="9"/>
    <w:semiHidden/>
    <w:rsid w:val="00EE7E7A"/>
    <w:rPr>
      <w:rFonts w:eastAsiaTheme="minorEastAsia"/>
      <w:b/>
      <w:bCs/>
      <w:i/>
      <w:iCs/>
      <w:sz w:val="26"/>
      <w:szCs w:val="26"/>
      <w:lang w:val="en-US"/>
    </w:rPr>
  </w:style>
  <w:style w:type="character" w:customStyle="1" w:styleId="Ttulo6Car">
    <w:name w:val="Título 6 Car"/>
    <w:basedOn w:val="Fuentedeprrafopredeter"/>
    <w:link w:val="Ttulo6"/>
    <w:rsid w:val="00EE7E7A"/>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E7E7A"/>
    <w:rPr>
      <w:rFonts w:eastAsiaTheme="minorEastAsia"/>
      <w:sz w:val="24"/>
      <w:szCs w:val="24"/>
      <w:lang w:val="en-US"/>
    </w:rPr>
  </w:style>
  <w:style w:type="character" w:customStyle="1" w:styleId="Ttulo8Car">
    <w:name w:val="Título 8 Car"/>
    <w:basedOn w:val="Fuentedeprrafopredeter"/>
    <w:link w:val="Ttulo8"/>
    <w:uiPriority w:val="9"/>
    <w:semiHidden/>
    <w:rsid w:val="00EE7E7A"/>
    <w:rPr>
      <w:rFonts w:eastAsiaTheme="minorEastAsia"/>
      <w:i/>
      <w:iCs/>
      <w:sz w:val="24"/>
      <w:szCs w:val="24"/>
      <w:lang w:val="en-US"/>
    </w:rPr>
  </w:style>
  <w:style w:type="character" w:customStyle="1" w:styleId="Ttulo9Car">
    <w:name w:val="Título 9 Car"/>
    <w:basedOn w:val="Fuentedeprrafopredeter"/>
    <w:link w:val="Ttulo9"/>
    <w:uiPriority w:val="9"/>
    <w:semiHidden/>
    <w:rsid w:val="00EE7E7A"/>
    <w:rPr>
      <w:rFonts w:asciiTheme="majorHAnsi" w:eastAsiaTheme="majorEastAsia" w:hAnsiTheme="majorHAnsi" w:cstheme="majorBidi"/>
      <w:lang w:val="en-US"/>
    </w:rPr>
  </w:style>
  <w:style w:type="paragraph" w:styleId="NormalWeb">
    <w:name w:val="Normal (Web)"/>
    <w:basedOn w:val="Normal"/>
    <w:rsid w:val="00EE7E7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qFormat/>
    <w:rsid w:val="00EE7E7A"/>
    <w:rPr>
      <w:b/>
      <w:bCs/>
    </w:rPr>
  </w:style>
  <w:style w:type="character" w:styleId="Hipervnculovisitado">
    <w:name w:val="FollowedHyperlink"/>
    <w:basedOn w:val="Fuentedeprrafopredeter"/>
    <w:uiPriority w:val="99"/>
    <w:semiHidden/>
    <w:unhideWhenUsed/>
    <w:rsid w:val="00EE7E7A"/>
    <w:rPr>
      <w:color w:val="954F72" w:themeColor="followedHyperlink"/>
      <w:u w:val="single"/>
    </w:rPr>
  </w:style>
  <w:style w:type="paragraph" w:styleId="Textoindependiente2">
    <w:name w:val="Body Text 2"/>
    <w:basedOn w:val="Normal"/>
    <w:link w:val="Textoindependiente2Car"/>
    <w:uiPriority w:val="99"/>
    <w:unhideWhenUsed/>
    <w:rsid w:val="00EE7E7A"/>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EE7E7A"/>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EE7E7A"/>
    <w:rPr>
      <w:sz w:val="16"/>
      <w:szCs w:val="16"/>
    </w:rPr>
  </w:style>
  <w:style w:type="table" w:styleId="Tablaconcuadrcula">
    <w:name w:val="Table Grid"/>
    <w:basedOn w:val="Tablanormal"/>
    <w:uiPriority w:val="59"/>
    <w:rsid w:val="00EE7E7A"/>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EE7E7A"/>
  </w:style>
  <w:style w:type="character" w:styleId="CitaHTML">
    <w:name w:val="HTML Cite"/>
    <w:uiPriority w:val="99"/>
    <w:semiHidden/>
    <w:unhideWhenUsed/>
    <w:rsid w:val="00EE7E7A"/>
    <w:rPr>
      <w:i/>
      <w:iCs/>
    </w:rPr>
  </w:style>
  <w:style w:type="paragraph" w:customStyle="1" w:styleId="lr">
    <w:name w:val="lr"/>
    <w:rsid w:val="00EE7E7A"/>
    <w:pPr>
      <w:spacing w:after="0" w:line="240" w:lineRule="auto"/>
    </w:pPr>
    <w:rPr>
      <w:rFonts w:ascii="Times New Roman" w:eastAsia="Calibri" w:hAnsi="Times New Roman" w:cs="Times New Roman"/>
      <w:sz w:val="24"/>
      <w:szCs w:val="24"/>
      <w:lang w:val="es-ES" w:eastAsia="es-ES"/>
    </w:rPr>
  </w:style>
  <w:style w:type="table" w:styleId="Cuadrculadetablaclara">
    <w:name w:val="Grid Table Light"/>
    <w:basedOn w:val="Tablanormal"/>
    <w:uiPriority w:val="40"/>
    <w:rsid w:val="00EE7E7A"/>
    <w:pPr>
      <w:spacing w:after="0" w:line="240" w:lineRule="auto"/>
    </w:pPr>
    <w:rPr>
      <w:rFonts w:eastAsiaTheme="minorEastAsia"/>
      <w:sz w:val="24"/>
      <w:szCs w:val="24"/>
      <w:lang w:val="es-ES_tradnl" w:eastAsia="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m5212863947045306324gmail-msonormal">
    <w:name w:val="m_5212863947045306324gmail-msonormal"/>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EE7E7A"/>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99"/>
    <w:unhideWhenUsed/>
    <w:rsid w:val="00EE7E7A"/>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uiPriority w:val="99"/>
    <w:rsid w:val="00EE7E7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EE7E7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E7E7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E7E7A"/>
    <w:rPr>
      <w:b/>
      <w:bCs/>
    </w:rPr>
  </w:style>
  <w:style w:type="character" w:customStyle="1" w:styleId="AsuntodelcomentarioCar">
    <w:name w:val="Asunto del comentario Car"/>
    <w:basedOn w:val="TextocomentarioCar"/>
    <w:link w:val="Asuntodelcomentario"/>
    <w:uiPriority w:val="99"/>
    <w:semiHidden/>
    <w:rsid w:val="00EE7E7A"/>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EE7E7A"/>
    <w:rPr>
      <w:color w:val="2B579A"/>
      <w:shd w:val="clear" w:color="auto" w:fill="E6E6E6"/>
    </w:rPr>
  </w:style>
  <w:style w:type="character" w:customStyle="1" w:styleId="Mencionar2">
    <w:name w:val="Mencionar2"/>
    <w:basedOn w:val="Fuentedeprrafopredeter"/>
    <w:uiPriority w:val="99"/>
    <w:semiHidden/>
    <w:unhideWhenUsed/>
    <w:rsid w:val="00EE7E7A"/>
    <w:rPr>
      <w:color w:val="2B579A"/>
      <w:shd w:val="clear" w:color="auto" w:fill="E6E6E6"/>
    </w:rPr>
  </w:style>
  <w:style w:type="character" w:customStyle="1" w:styleId="maestrofonttexto">
    <w:name w:val="maestro_fonttexto"/>
    <w:basedOn w:val="Fuentedeprrafopredeter"/>
    <w:rsid w:val="00EE7E7A"/>
  </w:style>
  <w:style w:type="paragraph" w:styleId="HTMLconformatoprevio">
    <w:name w:val="HTML Preformatted"/>
    <w:basedOn w:val="Normal"/>
    <w:link w:val="HTMLconformatoprevioCar"/>
    <w:uiPriority w:val="99"/>
    <w:semiHidden/>
    <w:unhideWhenUsed/>
    <w:rsid w:val="00EE7E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EE7E7A"/>
    <w:rPr>
      <w:rFonts w:ascii="Courier New" w:eastAsia="Times New Roman" w:hAnsi="Courier New" w:cs="Courier New"/>
      <w:sz w:val="20"/>
      <w:szCs w:val="20"/>
      <w:lang w:eastAsia="es-MX"/>
    </w:rPr>
  </w:style>
  <w:style w:type="character" w:customStyle="1" w:styleId="CharacterStyle1">
    <w:name w:val="Character Style 1"/>
    <w:uiPriority w:val="99"/>
    <w:rsid w:val="00EE7E7A"/>
    <w:rPr>
      <w:sz w:val="20"/>
      <w:szCs w:val="20"/>
    </w:rPr>
  </w:style>
  <w:style w:type="paragraph" w:customStyle="1" w:styleId="Estilo1">
    <w:name w:val="Estilo1"/>
    <w:basedOn w:val="Textoindependiente"/>
    <w:rsid w:val="00EE7E7A"/>
    <w:rPr>
      <w:sz w:val="20"/>
      <w:szCs w:val="20"/>
      <w:lang w:val="es-MX"/>
    </w:rPr>
  </w:style>
  <w:style w:type="paragraph" w:styleId="Lista">
    <w:name w:val="List"/>
    <w:basedOn w:val="Normal"/>
    <w:uiPriority w:val="99"/>
    <w:unhideWhenUsed/>
    <w:rsid w:val="00EE7E7A"/>
    <w:pPr>
      <w:spacing w:after="0" w:line="240" w:lineRule="auto"/>
      <w:ind w:left="283" w:hanging="283"/>
      <w:contextualSpacing/>
    </w:pPr>
    <w:rPr>
      <w:rFonts w:ascii="Times New Roman" w:eastAsia="Times New Roman" w:hAnsi="Times New Roman" w:cs="Times New Roman"/>
      <w:sz w:val="20"/>
      <w:szCs w:val="20"/>
      <w:lang w:val="es-ES" w:eastAsia="es-ES"/>
    </w:rPr>
  </w:style>
  <w:style w:type="paragraph" w:styleId="Lista2">
    <w:name w:val="List 2"/>
    <w:basedOn w:val="Normal"/>
    <w:uiPriority w:val="99"/>
    <w:unhideWhenUsed/>
    <w:rsid w:val="00EE7E7A"/>
    <w:pPr>
      <w:spacing w:after="0" w:line="240" w:lineRule="auto"/>
      <w:ind w:left="566" w:hanging="283"/>
      <w:contextualSpacing/>
    </w:pPr>
    <w:rPr>
      <w:rFonts w:ascii="Times New Roman" w:eastAsia="Times New Roman" w:hAnsi="Times New Roman" w:cs="Times New Roman"/>
      <w:sz w:val="20"/>
      <w:szCs w:val="20"/>
      <w:lang w:val="es-ES" w:eastAsia="es-ES"/>
    </w:rPr>
  </w:style>
  <w:style w:type="paragraph" w:styleId="Lista3">
    <w:name w:val="List 3"/>
    <w:basedOn w:val="Normal"/>
    <w:uiPriority w:val="99"/>
    <w:unhideWhenUsed/>
    <w:rsid w:val="00EE7E7A"/>
    <w:pPr>
      <w:spacing w:after="0" w:line="240" w:lineRule="auto"/>
      <w:ind w:left="849" w:hanging="283"/>
      <w:contextualSpacing/>
    </w:pPr>
    <w:rPr>
      <w:rFonts w:ascii="Times New Roman" w:eastAsia="Times New Roman" w:hAnsi="Times New Roman" w:cs="Times New Roman"/>
      <w:sz w:val="20"/>
      <w:szCs w:val="20"/>
      <w:lang w:val="es-ES" w:eastAsia="es-ES"/>
    </w:rPr>
  </w:style>
  <w:style w:type="paragraph" w:styleId="Lista4">
    <w:name w:val="List 4"/>
    <w:basedOn w:val="Normal"/>
    <w:uiPriority w:val="99"/>
    <w:unhideWhenUsed/>
    <w:rsid w:val="00EE7E7A"/>
    <w:pPr>
      <w:spacing w:after="0" w:line="240" w:lineRule="auto"/>
      <w:ind w:left="1132" w:hanging="283"/>
      <w:contextualSpacing/>
    </w:pPr>
    <w:rPr>
      <w:rFonts w:ascii="Times New Roman" w:eastAsia="Times New Roman" w:hAnsi="Times New Roman" w:cs="Times New Roman"/>
      <w:sz w:val="20"/>
      <w:szCs w:val="20"/>
      <w:lang w:val="es-ES" w:eastAsia="es-ES"/>
    </w:rPr>
  </w:style>
  <w:style w:type="paragraph" w:styleId="Saludo">
    <w:name w:val="Salutation"/>
    <w:basedOn w:val="Normal"/>
    <w:next w:val="Normal"/>
    <w:link w:val="SaludoCar"/>
    <w:uiPriority w:val="99"/>
    <w:unhideWhenUsed/>
    <w:rsid w:val="00EE7E7A"/>
    <w:pPr>
      <w:spacing w:after="0" w:line="240" w:lineRule="auto"/>
    </w:pPr>
    <w:rPr>
      <w:rFonts w:ascii="Times New Roman" w:eastAsia="Times New Roman" w:hAnsi="Times New Roman" w:cs="Times New Roman"/>
      <w:sz w:val="20"/>
      <w:szCs w:val="20"/>
      <w:lang w:val="es-ES" w:eastAsia="es-ES"/>
    </w:rPr>
  </w:style>
  <w:style w:type="character" w:customStyle="1" w:styleId="SaludoCar">
    <w:name w:val="Saludo Car"/>
    <w:basedOn w:val="Fuentedeprrafopredeter"/>
    <w:link w:val="Saludo"/>
    <w:uiPriority w:val="99"/>
    <w:rsid w:val="00EE7E7A"/>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EE7E7A"/>
    <w:pPr>
      <w:numPr>
        <w:numId w:val="18"/>
      </w:numPr>
      <w:spacing w:after="0" w:line="240" w:lineRule="auto"/>
      <w:contextualSpacing/>
    </w:pPr>
    <w:rPr>
      <w:rFonts w:ascii="Times New Roman" w:eastAsia="Times New Roman" w:hAnsi="Times New Roman" w:cs="Times New Roman"/>
      <w:sz w:val="20"/>
      <w:szCs w:val="20"/>
      <w:lang w:val="es-ES" w:eastAsia="es-ES"/>
    </w:rPr>
  </w:style>
  <w:style w:type="paragraph" w:styleId="Puesto">
    <w:name w:val="Title"/>
    <w:basedOn w:val="Normal"/>
    <w:next w:val="Normal"/>
    <w:link w:val="PuestoCar"/>
    <w:uiPriority w:val="10"/>
    <w:qFormat/>
    <w:rsid w:val="00EE7E7A"/>
    <w:pPr>
      <w:spacing w:after="0" w:line="240" w:lineRule="auto"/>
      <w:contextualSpacing/>
    </w:pPr>
    <w:rPr>
      <w:rFonts w:asciiTheme="majorHAnsi" w:eastAsiaTheme="majorEastAsia" w:hAnsiTheme="majorHAnsi" w:cstheme="majorBidi"/>
      <w:spacing w:val="-10"/>
      <w:kern w:val="28"/>
      <w:sz w:val="56"/>
      <w:szCs w:val="56"/>
      <w:lang w:val="es-ES" w:eastAsia="es-ES"/>
    </w:rPr>
  </w:style>
  <w:style w:type="character" w:customStyle="1" w:styleId="PuestoCar">
    <w:name w:val="Puesto Car"/>
    <w:basedOn w:val="Fuentedeprrafopredeter"/>
    <w:link w:val="Puesto"/>
    <w:uiPriority w:val="10"/>
    <w:rsid w:val="00EE7E7A"/>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EE7E7A"/>
    <w:pPr>
      <w:spacing w:after="120" w:line="240" w:lineRule="auto"/>
      <w:ind w:left="283"/>
    </w:pPr>
    <w:rPr>
      <w:rFonts w:ascii="Times New Roman" w:eastAsia="Times New Roman" w:hAnsi="Times New Roman" w:cs="Times New Roman"/>
      <w:sz w:val="20"/>
      <w:szCs w:val="20"/>
      <w:lang w:val="es-ES" w:eastAsia="es-ES"/>
    </w:rPr>
  </w:style>
  <w:style w:type="character" w:customStyle="1" w:styleId="SangradetextonormalCar">
    <w:name w:val="Sangría de texto normal Car"/>
    <w:basedOn w:val="Fuentedeprrafopredeter"/>
    <w:link w:val="Sangradetextonormal"/>
    <w:uiPriority w:val="99"/>
    <w:rsid w:val="00EE7E7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EE7E7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E7E7A"/>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EE7E7A"/>
    <w:rPr>
      <w:color w:val="2B579A"/>
      <w:shd w:val="clear" w:color="auto" w:fill="E6E6E6"/>
    </w:rPr>
  </w:style>
  <w:style w:type="character" w:customStyle="1" w:styleId="Mencionar4">
    <w:name w:val="Mencionar4"/>
    <w:basedOn w:val="Fuentedeprrafopredeter"/>
    <w:uiPriority w:val="99"/>
    <w:semiHidden/>
    <w:unhideWhenUsed/>
    <w:rsid w:val="00EE7E7A"/>
    <w:rPr>
      <w:color w:val="2B579A"/>
      <w:shd w:val="clear" w:color="auto" w:fill="E6E6E6"/>
    </w:rPr>
  </w:style>
  <w:style w:type="character" w:customStyle="1" w:styleId="maestrofonttexto1">
    <w:name w:val="maestro_fonttexto1"/>
    <w:basedOn w:val="Fuentedeprrafopredeter"/>
    <w:rsid w:val="00EE7E7A"/>
    <w:rPr>
      <w:rFonts w:ascii="Arial" w:hAnsi="Arial" w:cs="Arial" w:hint="default"/>
      <w:sz w:val="15"/>
      <w:szCs w:val="15"/>
    </w:rPr>
  </w:style>
  <w:style w:type="paragraph" w:customStyle="1" w:styleId="m1691910221459291997gmail-msolistparagraph">
    <w:name w:val="m_1691910221459291997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1691910221459291997gmail-msofootnotetext">
    <w:name w:val="m_1691910221459291997gmail-msofootnotetext"/>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1691910221459291997gmail-msofootnotereference">
    <w:name w:val="m_1691910221459291997gmail-msofootnotereference"/>
    <w:basedOn w:val="Fuentedeprrafopredeter"/>
    <w:rsid w:val="00EE7E7A"/>
  </w:style>
  <w:style w:type="paragraph" w:customStyle="1" w:styleId="TableParagraph">
    <w:name w:val="Table Paragraph"/>
    <w:basedOn w:val="Normal"/>
    <w:uiPriority w:val="1"/>
    <w:qFormat/>
    <w:rsid w:val="00EE7E7A"/>
    <w:pPr>
      <w:autoSpaceDE w:val="0"/>
      <w:autoSpaceDN w:val="0"/>
      <w:adjustRightInd w:val="0"/>
      <w:spacing w:after="0" w:line="240" w:lineRule="auto"/>
    </w:pPr>
    <w:rPr>
      <w:rFonts w:ascii="Times New Roman" w:hAnsi="Times New Roman" w:cs="Times New Roman"/>
      <w:sz w:val="24"/>
      <w:szCs w:val="24"/>
    </w:rPr>
  </w:style>
  <w:style w:type="paragraph" w:customStyle="1" w:styleId="m-698976158124685028gmail-msolistparagraph">
    <w:name w:val="m_-698976158124685028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default">
    <w:name w:val="m_-698976158124685028gmail-default"/>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EE7E7A"/>
  </w:style>
  <w:style w:type="paragraph" w:customStyle="1" w:styleId="Texto">
    <w:name w:val="Texto"/>
    <w:basedOn w:val="Normal"/>
    <w:link w:val="TextoCar"/>
    <w:rsid w:val="00EE7E7A"/>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EE7E7A"/>
    <w:rPr>
      <w:rFonts w:ascii="Arial" w:eastAsia="Times New Roman" w:hAnsi="Arial" w:cs="Arial"/>
      <w:sz w:val="18"/>
      <w:szCs w:val="18"/>
      <w:lang w:eastAsia="es-ES"/>
    </w:rPr>
  </w:style>
  <w:style w:type="paragraph" w:customStyle="1" w:styleId="q">
    <w:name w:val="q"/>
    <w:basedOn w:val="Normal"/>
    <w:rsid w:val="00EE7E7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EE7E7A"/>
  </w:style>
  <w:style w:type="character" w:customStyle="1" w:styleId="b">
    <w:name w:val="b"/>
    <w:basedOn w:val="Fuentedeprrafopredeter"/>
    <w:rsid w:val="00EE7E7A"/>
  </w:style>
  <w:style w:type="character" w:customStyle="1" w:styleId="k">
    <w:name w:val="k"/>
    <w:basedOn w:val="Fuentedeprrafopredeter"/>
    <w:rsid w:val="00EE7E7A"/>
  </w:style>
  <w:style w:type="character" w:customStyle="1" w:styleId="h">
    <w:name w:val="h"/>
    <w:basedOn w:val="Fuentedeprrafopredeter"/>
    <w:rsid w:val="00EE7E7A"/>
  </w:style>
  <w:style w:type="paragraph" w:customStyle="1" w:styleId="ROMANOS">
    <w:name w:val="ROMANOS"/>
    <w:basedOn w:val="Normal"/>
    <w:link w:val="ROMANOSCar"/>
    <w:rsid w:val="00EE7E7A"/>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EE7E7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0EA83-3744-413C-9BEE-4853A16B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4452</Words>
  <Characters>24486</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2019-01-21T21:32:00Z</cp:lastPrinted>
  <dcterms:created xsi:type="dcterms:W3CDTF">2019-01-22T01:05:00Z</dcterms:created>
  <dcterms:modified xsi:type="dcterms:W3CDTF">2019-02-01T20:53:00Z</dcterms:modified>
</cp:coreProperties>
</file>