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12EE8" w:rsidRDefault="002A5BA4" w:rsidP="00312EE8">
      <w:pPr>
        <w:spacing w:line="360" w:lineRule="auto"/>
        <w:jc w:val="center"/>
        <w:rPr>
          <w:rFonts w:ascii="Palatino Linotype" w:eastAsia="Times New Roman" w:hAnsi="Palatino Linotype" w:cs="Times New Roman"/>
          <w:b/>
        </w:rPr>
      </w:pPr>
      <w:r w:rsidRPr="00312EE8">
        <w:rPr>
          <w:rFonts w:ascii="Palatino Linotype" w:eastAsia="Times New Roman" w:hAnsi="Palatino Linotype" w:cs="Times New Roman"/>
          <w:b/>
        </w:rPr>
        <w:t>LÍNEAS ARGUMENTATIVAS</w:t>
      </w:r>
    </w:p>
    <w:p w:rsidR="006C05CC" w:rsidRPr="00312EE8" w:rsidRDefault="006C05CC" w:rsidP="00312EE8">
      <w:pPr>
        <w:spacing w:line="360" w:lineRule="auto"/>
        <w:rPr>
          <w:rFonts w:ascii="Palatino Linotype" w:eastAsia="Times New Roman" w:hAnsi="Palatino Linotype" w:cs="Times New Roman"/>
          <w:b/>
        </w:rPr>
      </w:pPr>
    </w:p>
    <w:p w:rsidR="00F61DF9" w:rsidRDefault="00332A3E" w:rsidP="00312EE8">
      <w:pPr>
        <w:spacing w:before="240" w:after="240" w:line="360" w:lineRule="auto"/>
        <w:jc w:val="both"/>
        <w:rPr>
          <w:rFonts w:ascii="Palatino Linotype" w:eastAsia="Times New Roman" w:hAnsi="Palatino Linotype" w:cs="Arial"/>
          <w:b/>
          <w:color w:val="000000" w:themeColor="text1"/>
          <w:lang w:val="es-ES" w:eastAsia="es-MX"/>
        </w:rPr>
      </w:pPr>
      <w:r w:rsidRPr="00312EE8">
        <w:rPr>
          <w:rFonts w:ascii="Palatino Linotype" w:hAnsi="Palatino Linotype"/>
          <w:b/>
        </w:rPr>
        <w:t>NEGATIVA FICTA, NO EXISTE PLAZO PERENTORIO PARA INTERPONER EL RECURSO.</w:t>
      </w:r>
      <w:r w:rsidRPr="00312EE8">
        <w:rPr>
          <w:rFonts w:ascii="Palatino Linotype" w:hAnsi="Palatino Linotype"/>
        </w:rPr>
        <w:t xml:space="preserve"> </w:t>
      </w:r>
      <w:r w:rsidRPr="00312EE8">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A37A61" w:rsidRPr="00312EE8">
        <w:rPr>
          <w:rFonts w:ascii="Palatino Linotype" w:eastAsia="Times New Roman" w:hAnsi="Palatino Linotype" w:cs="Arial"/>
          <w:color w:val="000000" w:themeColor="text1"/>
          <w:lang w:val="es-ES" w:eastAsia="es-MX"/>
        </w:rPr>
        <w:t>……………………………………………………….</w:t>
      </w:r>
      <w:r w:rsidR="00A37A61" w:rsidRPr="00312EE8">
        <w:rPr>
          <w:rFonts w:ascii="Palatino Linotype" w:eastAsia="Times New Roman" w:hAnsi="Palatino Linotype" w:cs="Arial"/>
          <w:b/>
          <w:color w:val="000000" w:themeColor="text1"/>
          <w:lang w:val="es-ES" w:eastAsia="es-MX"/>
        </w:rPr>
        <w:t>Párrafo 14</w:t>
      </w:r>
    </w:p>
    <w:p w:rsidR="00312EE8" w:rsidRPr="00312EE8" w:rsidRDefault="00312EE8" w:rsidP="00312EE8">
      <w:pPr>
        <w:spacing w:line="360" w:lineRule="auto"/>
        <w:jc w:val="both"/>
        <w:rPr>
          <w:rFonts w:ascii="Palatino Linotype" w:eastAsia="Times New Roman" w:hAnsi="Palatino Linotype" w:cs="Arial"/>
          <w:b/>
          <w:color w:val="000000" w:themeColor="text1"/>
          <w:lang w:val="es-ES" w:eastAsia="es-MX"/>
        </w:rPr>
      </w:pPr>
    </w:p>
    <w:p w:rsidR="00A37A61" w:rsidRDefault="00A37A61" w:rsidP="00312EE8">
      <w:pPr>
        <w:spacing w:line="360" w:lineRule="auto"/>
        <w:jc w:val="both"/>
        <w:rPr>
          <w:rFonts w:ascii="Palatino Linotype" w:hAnsi="Palatino Linotype"/>
          <w:b/>
        </w:rPr>
      </w:pPr>
      <w:r w:rsidRPr="00312EE8">
        <w:rPr>
          <w:rFonts w:ascii="Palatino Linotype" w:hAnsi="Palatino Linotype"/>
          <w:b/>
        </w:rPr>
        <w:t>DERECHO DE ACCESO A LA INFORMACIÓN PÚBLICA, DOCUMENTOS AD HOC.</w:t>
      </w:r>
      <w:r w:rsidRPr="00312EE8">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sidR="00EF2DFB" w:rsidRPr="00312EE8">
        <w:rPr>
          <w:rFonts w:ascii="Palatino Linotype" w:hAnsi="Palatino Linotype"/>
        </w:rPr>
        <w:t>…………………..</w:t>
      </w:r>
      <w:r w:rsidR="00B87E67" w:rsidRPr="00312EE8">
        <w:rPr>
          <w:rFonts w:ascii="Palatino Linotype" w:hAnsi="Palatino Linotype"/>
          <w:b/>
        </w:rPr>
        <w:t>Párrafo 41</w:t>
      </w:r>
    </w:p>
    <w:p w:rsidR="00312EE8" w:rsidRPr="00312EE8" w:rsidRDefault="00312EE8" w:rsidP="00312EE8">
      <w:pPr>
        <w:spacing w:line="360" w:lineRule="auto"/>
        <w:jc w:val="both"/>
        <w:rPr>
          <w:rFonts w:ascii="Palatino Linotype" w:hAnsi="Palatino Linotype"/>
          <w:b/>
        </w:rPr>
      </w:pPr>
    </w:p>
    <w:p w:rsidR="00951CBD" w:rsidRDefault="00BB29D2" w:rsidP="00312EE8">
      <w:pPr>
        <w:spacing w:before="240" w:after="240" w:line="360" w:lineRule="auto"/>
        <w:jc w:val="both"/>
        <w:rPr>
          <w:rFonts w:ascii="Palatino Linotype" w:hAnsi="Palatino Linotype"/>
        </w:rPr>
      </w:pPr>
      <w:r w:rsidRPr="00312EE8">
        <w:rPr>
          <w:rFonts w:ascii="Palatino Linotype" w:hAnsi="Palatino Linotype"/>
          <w:b/>
        </w:rPr>
        <w:t>SOBRESEIMIENTO, RAZONES PARA SU ACTUALIZACIÓN.</w:t>
      </w:r>
      <w:r w:rsidRPr="00312EE8">
        <w:rPr>
          <w:rFonts w:ascii="Palatino Linotype" w:hAnsi="Palatino Linotype"/>
        </w:rPr>
        <w:t xml:space="preserve"> Para que se actualice el supuesto de sobreseimiento por haberse quedado sin materia el recurso de revisión, es necesario que se analice y determine que la información requerida no podrá ser proporcionada porque de hacerlo, el Sujeto Obligado deberá realizar un documento “ad hoc” y además, la información no guarda relación con la transparencia y rendición de cuentas………….párrafo 46</w:t>
      </w:r>
    </w:p>
    <w:p w:rsidR="00312EE8" w:rsidRPr="00312EE8" w:rsidRDefault="00312EE8" w:rsidP="00312EE8">
      <w:pPr>
        <w:spacing w:before="240" w:after="240" w:line="360" w:lineRule="auto"/>
        <w:jc w:val="both"/>
        <w:rPr>
          <w:rFonts w:ascii="Palatino Linotype" w:hAnsi="Palatino Linotype"/>
        </w:rPr>
      </w:pPr>
    </w:p>
    <w:p w:rsidR="002A5BA4" w:rsidRPr="00312EE8" w:rsidRDefault="008A04AD" w:rsidP="00312EE8">
      <w:pPr>
        <w:tabs>
          <w:tab w:val="center" w:pos="4394"/>
          <w:tab w:val="left" w:pos="5961"/>
        </w:tabs>
        <w:spacing w:before="240" w:after="240" w:line="360" w:lineRule="auto"/>
        <w:rPr>
          <w:rFonts w:ascii="Palatino Linotype" w:hAnsi="Palatino Linotype"/>
        </w:rPr>
      </w:pPr>
      <w:r w:rsidRPr="00312EE8">
        <w:rPr>
          <w:rFonts w:ascii="Palatino Linotype" w:hAnsi="Palatino Linotype"/>
          <w:b/>
        </w:rPr>
        <w:lastRenderedPageBreak/>
        <w:tab/>
      </w:r>
      <w:r w:rsidR="002A5BA4" w:rsidRPr="00312EE8">
        <w:rPr>
          <w:rFonts w:ascii="Palatino Linotype" w:hAnsi="Palatino Linotype"/>
          <w:b/>
        </w:rPr>
        <w:t>Índice</w:t>
      </w:r>
      <w:r w:rsidR="002A5BA4" w:rsidRPr="00312EE8">
        <w:rPr>
          <w:rFonts w:ascii="Palatino Linotype" w:hAnsi="Palatino Linotype"/>
        </w:rPr>
        <w:t>.</w:t>
      </w:r>
      <w:r w:rsidRPr="00312EE8">
        <w:rPr>
          <w:rFonts w:ascii="Palatino Linotype" w:hAnsi="Palatino Linotype"/>
        </w:rPr>
        <w:tab/>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12EE8" w:rsidRDefault="002A5BA4" w:rsidP="00312EE8">
          <w:pPr>
            <w:pStyle w:val="TtulodeTDC"/>
            <w:spacing w:line="360" w:lineRule="auto"/>
          </w:pPr>
        </w:p>
        <w:p w:rsidR="00E752BC" w:rsidRPr="00312EE8" w:rsidRDefault="002A5BA4" w:rsidP="00312EE8">
          <w:pPr>
            <w:pStyle w:val="TDC1"/>
            <w:tabs>
              <w:tab w:val="right" w:leader="dot" w:pos="8779"/>
            </w:tabs>
            <w:spacing w:line="360" w:lineRule="auto"/>
            <w:rPr>
              <w:rFonts w:ascii="Palatino Linotype" w:hAnsi="Palatino Linotype"/>
              <w:noProof/>
              <w:sz w:val="22"/>
              <w:szCs w:val="22"/>
              <w:lang w:val="es-MX" w:eastAsia="es-MX"/>
            </w:rPr>
          </w:pPr>
          <w:r w:rsidRPr="00312EE8">
            <w:rPr>
              <w:rFonts w:ascii="Palatino Linotype" w:hAnsi="Palatino Linotype"/>
              <w:b/>
            </w:rPr>
            <w:fldChar w:fldCharType="begin"/>
          </w:r>
          <w:r w:rsidRPr="00312EE8">
            <w:rPr>
              <w:rFonts w:ascii="Palatino Linotype" w:hAnsi="Palatino Linotype"/>
              <w:b/>
            </w:rPr>
            <w:instrText xml:space="preserve"> TOC \o "1-3" \h \z \u </w:instrText>
          </w:r>
          <w:r w:rsidRPr="00312EE8">
            <w:rPr>
              <w:rFonts w:ascii="Palatino Linotype" w:hAnsi="Palatino Linotype"/>
              <w:b/>
            </w:rPr>
            <w:fldChar w:fldCharType="separate"/>
          </w:r>
          <w:hyperlink w:anchor="_Toc535946909" w:history="1">
            <w:r w:rsidR="00E752BC" w:rsidRPr="00312EE8">
              <w:rPr>
                <w:rStyle w:val="Hipervnculo"/>
                <w:rFonts w:ascii="Palatino Linotype" w:hAnsi="Palatino Linotype"/>
                <w:noProof/>
              </w:rPr>
              <w:t>ANTECEDENTES</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_Toc535946909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3</w:t>
            </w:r>
            <w:r w:rsidR="00E752BC" w:rsidRPr="00312EE8">
              <w:rPr>
                <w:rFonts w:ascii="Palatino Linotype" w:hAnsi="Palatino Linotype"/>
                <w:noProof/>
                <w:webHidden/>
              </w:rPr>
              <w:fldChar w:fldCharType="end"/>
            </w:r>
          </w:hyperlink>
        </w:p>
        <w:p w:rsidR="00E752BC" w:rsidRPr="00312EE8" w:rsidRDefault="007B1D49" w:rsidP="00312EE8">
          <w:pPr>
            <w:pStyle w:val="TDC1"/>
            <w:tabs>
              <w:tab w:val="right" w:leader="dot" w:pos="8779"/>
            </w:tabs>
            <w:spacing w:line="360" w:lineRule="auto"/>
            <w:rPr>
              <w:rFonts w:ascii="Palatino Linotype" w:hAnsi="Palatino Linotype"/>
              <w:noProof/>
              <w:sz w:val="22"/>
              <w:szCs w:val="22"/>
              <w:lang w:val="es-MX" w:eastAsia="es-MX"/>
            </w:rPr>
          </w:pPr>
          <w:hyperlink w:anchor="_Toc535946910" w:history="1">
            <w:r w:rsidR="00E752BC" w:rsidRPr="00312EE8">
              <w:rPr>
                <w:rStyle w:val="Hipervnculo"/>
                <w:rFonts w:ascii="Palatino Linotype" w:hAnsi="Palatino Linotype"/>
                <w:noProof/>
              </w:rPr>
              <w:t>CONSIDERANDO</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_Toc535946910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6</w:t>
            </w:r>
            <w:r w:rsidR="00E752BC" w:rsidRPr="00312EE8">
              <w:rPr>
                <w:rFonts w:ascii="Palatino Linotype" w:hAnsi="Palatino Linotype"/>
                <w:noProof/>
                <w:webHidden/>
              </w:rPr>
              <w:fldChar w:fldCharType="end"/>
            </w:r>
          </w:hyperlink>
        </w:p>
        <w:p w:rsidR="00E752BC" w:rsidRPr="00312EE8" w:rsidRDefault="007B1D49" w:rsidP="00312EE8">
          <w:pPr>
            <w:pStyle w:val="TDC2"/>
            <w:spacing w:line="360" w:lineRule="auto"/>
            <w:rPr>
              <w:rFonts w:ascii="Palatino Linotype" w:hAnsi="Palatino Linotype"/>
              <w:noProof/>
              <w:sz w:val="22"/>
              <w:szCs w:val="22"/>
              <w:lang w:val="es-MX" w:eastAsia="es-MX"/>
            </w:rPr>
          </w:pPr>
          <w:hyperlink w:anchor="_Toc535946911" w:history="1">
            <w:r w:rsidR="00E752BC" w:rsidRPr="00312EE8">
              <w:rPr>
                <w:rStyle w:val="Hipervnculo"/>
                <w:rFonts w:ascii="Palatino Linotype" w:hAnsi="Palatino Linotype"/>
                <w:b/>
                <w:noProof/>
              </w:rPr>
              <w:t>PRIMERO. De la competencia</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_Toc535946911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6</w:t>
            </w:r>
            <w:r w:rsidR="00E752BC" w:rsidRPr="00312EE8">
              <w:rPr>
                <w:rFonts w:ascii="Palatino Linotype" w:hAnsi="Palatino Linotype"/>
                <w:noProof/>
                <w:webHidden/>
              </w:rPr>
              <w:fldChar w:fldCharType="end"/>
            </w:r>
          </w:hyperlink>
        </w:p>
        <w:p w:rsidR="00E752BC" w:rsidRPr="00312EE8" w:rsidRDefault="007B1D49" w:rsidP="00312EE8">
          <w:pPr>
            <w:pStyle w:val="TDC2"/>
            <w:spacing w:line="360" w:lineRule="auto"/>
            <w:rPr>
              <w:rFonts w:ascii="Palatino Linotype" w:hAnsi="Palatino Linotype"/>
              <w:noProof/>
              <w:sz w:val="22"/>
              <w:szCs w:val="22"/>
              <w:lang w:val="es-MX" w:eastAsia="es-MX"/>
            </w:rPr>
          </w:pPr>
          <w:hyperlink w:anchor="_Toc535946912" w:history="1">
            <w:r w:rsidR="00E752BC" w:rsidRPr="00312EE8">
              <w:rPr>
                <w:rStyle w:val="Hipervnculo"/>
                <w:rFonts w:ascii="Palatino Linotype" w:hAnsi="Palatino Linotype"/>
                <w:b/>
                <w:noProof/>
              </w:rPr>
              <w:t>SEGUNDO. De la oportunidad y procedencia.</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_Toc535946912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6</w:t>
            </w:r>
            <w:r w:rsidR="00E752BC" w:rsidRPr="00312EE8">
              <w:rPr>
                <w:rFonts w:ascii="Palatino Linotype" w:hAnsi="Palatino Linotype"/>
                <w:noProof/>
                <w:webHidden/>
              </w:rPr>
              <w:fldChar w:fldCharType="end"/>
            </w:r>
          </w:hyperlink>
        </w:p>
        <w:p w:rsidR="00E752BC" w:rsidRPr="00312EE8" w:rsidRDefault="007B1D49" w:rsidP="00312EE8">
          <w:pPr>
            <w:pStyle w:val="TDC1"/>
            <w:tabs>
              <w:tab w:val="right" w:leader="dot" w:pos="8779"/>
            </w:tabs>
            <w:spacing w:line="360" w:lineRule="auto"/>
            <w:rPr>
              <w:rFonts w:ascii="Palatino Linotype" w:hAnsi="Palatino Linotype"/>
              <w:noProof/>
              <w:sz w:val="22"/>
              <w:szCs w:val="22"/>
              <w:lang w:val="es-MX" w:eastAsia="es-MX"/>
            </w:rPr>
          </w:pPr>
          <w:hyperlink w:anchor="_Toc535946913" w:history="1">
            <w:r w:rsidR="00E752BC" w:rsidRPr="00312EE8">
              <w:rPr>
                <w:rStyle w:val="Hipervnculo"/>
                <w:rFonts w:ascii="Palatino Linotype" w:hAnsi="Palatino Linotype"/>
                <w:noProof/>
              </w:rPr>
              <w:t>TERCERO. Planteamiento de la Litis.</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_Toc535946913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9</w:t>
            </w:r>
            <w:r w:rsidR="00E752BC" w:rsidRPr="00312EE8">
              <w:rPr>
                <w:rFonts w:ascii="Palatino Linotype" w:hAnsi="Palatino Linotype"/>
                <w:noProof/>
                <w:webHidden/>
              </w:rPr>
              <w:fldChar w:fldCharType="end"/>
            </w:r>
          </w:hyperlink>
        </w:p>
        <w:p w:rsidR="00E752BC" w:rsidRPr="00312EE8" w:rsidRDefault="007B1D49" w:rsidP="00312EE8">
          <w:pPr>
            <w:pStyle w:val="TDC2"/>
            <w:spacing w:line="360" w:lineRule="auto"/>
            <w:rPr>
              <w:rFonts w:ascii="Palatino Linotype" w:hAnsi="Palatino Linotype"/>
              <w:noProof/>
              <w:sz w:val="22"/>
              <w:szCs w:val="22"/>
              <w:lang w:val="es-MX" w:eastAsia="es-MX"/>
            </w:rPr>
          </w:pPr>
          <w:hyperlink w:anchor="_Toc535946914" w:history="1">
            <w:r w:rsidR="00E752BC" w:rsidRPr="00312EE8">
              <w:rPr>
                <w:rStyle w:val="Hipervnculo"/>
                <w:rFonts w:ascii="Palatino Linotype" w:hAnsi="Palatino Linotype"/>
                <w:b/>
                <w:noProof/>
              </w:rPr>
              <w:t>CUARTO. Estudio y resolución del asunto</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_Toc535946914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10</w:t>
            </w:r>
            <w:r w:rsidR="00E752BC" w:rsidRPr="00312EE8">
              <w:rPr>
                <w:rFonts w:ascii="Palatino Linotype" w:hAnsi="Palatino Linotype"/>
                <w:noProof/>
                <w:webHidden/>
              </w:rPr>
              <w:fldChar w:fldCharType="end"/>
            </w:r>
          </w:hyperlink>
        </w:p>
        <w:p w:rsidR="00E752BC" w:rsidRPr="00312EE8" w:rsidRDefault="007B1D49" w:rsidP="00312EE8">
          <w:pPr>
            <w:pStyle w:val="TDC3"/>
            <w:tabs>
              <w:tab w:val="left" w:pos="1100"/>
              <w:tab w:val="right" w:leader="dot" w:pos="8779"/>
            </w:tabs>
            <w:spacing w:line="360" w:lineRule="auto"/>
            <w:rPr>
              <w:rFonts w:ascii="Palatino Linotype" w:hAnsi="Palatino Linotype"/>
              <w:noProof/>
              <w:sz w:val="22"/>
              <w:szCs w:val="22"/>
              <w:lang w:val="es-MX" w:eastAsia="es-MX"/>
            </w:rPr>
          </w:pPr>
          <w:hyperlink w:anchor="_Toc535946915" w:history="1">
            <w:r w:rsidR="00E752BC" w:rsidRPr="00312EE8">
              <w:rPr>
                <w:rStyle w:val="Hipervnculo"/>
                <w:rFonts w:ascii="Palatino Linotype" w:hAnsi="Palatino Linotype"/>
                <w:b/>
                <w:noProof/>
              </w:rPr>
              <w:t>A)</w:t>
            </w:r>
            <w:r w:rsidR="00E752BC" w:rsidRPr="00312EE8">
              <w:rPr>
                <w:rFonts w:ascii="Palatino Linotype" w:hAnsi="Palatino Linotype"/>
                <w:noProof/>
                <w:sz w:val="22"/>
                <w:szCs w:val="22"/>
                <w:lang w:val="es-MX" w:eastAsia="es-MX"/>
              </w:rPr>
              <w:tab/>
            </w:r>
            <w:r w:rsidR="00E752BC" w:rsidRPr="00312EE8">
              <w:rPr>
                <w:rStyle w:val="Hipervnculo"/>
                <w:rFonts w:ascii="Palatino Linotype" w:hAnsi="Palatino Linotype"/>
                <w:b/>
                <w:noProof/>
              </w:rPr>
              <w:t>La omisión de atender una solicitud de acceso a la información.</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_Toc535946915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10</w:t>
            </w:r>
            <w:r w:rsidR="00E752BC" w:rsidRPr="00312EE8">
              <w:rPr>
                <w:rFonts w:ascii="Palatino Linotype" w:hAnsi="Palatino Linotype"/>
                <w:noProof/>
                <w:webHidden/>
              </w:rPr>
              <w:fldChar w:fldCharType="end"/>
            </w:r>
          </w:hyperlink>
        </w:p>
        <w:p w:rsidR="00E752BC" w:rsidRPr="00312EE8" w:rsidRDefault="007B1D49" w:rsidP="00312EE8">
          <w:pPr>
            <w:pStyle w:val="TDC2"/>
            <w:tabs>
              <w:tab w:val="left" w:pos="480"/>
            </w:tabs>
            <w:spacing w:line="360" w:lineRule="auto"/>
            <w:rPr>
              <w:rFonts w:ascii="Palatino Linotype" w:hAnsi="Palatino Linotype"/>
              <w:noProof/>
              <w:sz w:val="22"/>
              <w:szCs w:val="22"/>
              <w:lang w:val="es-MX" w:eastAsia="es-MX"/>
            </w:rPr>
          </w:pPr>
          <w:hyperlink w:anchor="_Toc535946916" w:history="1">
            <w:r w:rsidR="00E752BC" w:rsidRPr="00312EE8">
              <w:rPr>
                <w:rStyle w:val="Hipervnculo"/>
                <w:rFonts w:ascii="Palatino Linotype" w:hAnsi="Palatino Linotype"/>
                <w:b/>
                <w:noProof/>
              </w:rPr>
              <w:t>B)</w:t>
            </w:r>
            <w:r w:rsidR="00E752BC" w:rsidRPr="00312EE8">
              <w:rPr>
                <w:rFonts w:ascii="Palatino Linotype" w:hAnsi="Palatino Linotype"/>
                <w:noProof/>
                <w:sz w:val="22"/>
                <w:szCs w:val="22"/>
                <w:lang w:val="es-MX" w:eastAsia="es-MX"/>
              </w:rPr>
              <w:tab/>
            </w:r>
            <w:r w:rsidR="00E752BC" w:rsidRPr="00312EE8">
              <w:rPr>
                <w:rStyle w:val="Hipervnculo"/>
                <w:rFonts w:ascii="Palatino Linotype" w:hAnsi="Palatino Linotype"/>
                <w:b/>
                <w:noProof/>
              </w:rPr>
              <w:t>Del derecho de acceso a la información</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_Toc535946916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15</w:t>
            </w:r>
            <w:r w:rsidR="00E752BC" w:rsidRPr="00312EE8">
              <w:rPr>
                <w:rFonts w:ascii="Palatino Linotype" w:hAnsi="Palatino Linotype"/>
                <w:noProof/>
                <w:webHidden/>
              </w:rPr>
              <w:fldChar w:fldCharType="end"/>
            </w:r>
          </w:hyperlink>
        </w:p>
        <w:p w:rsidR="00E752BC" w:rsidRPr="00312EE8" w:rsidRDefault="007B1D49" w:rsidP="00312EE8">
          <w:pPr>
            <w:pStyle w:val="TDC2"/>
            <w:tabs>
              <w:tab w:val="left" w:pos="480"/>
            </w:tabs>
            <w:spacing w:line="360" w:lineRule="auto"/>
            <w:rPr>
              <w:rFonts w:ascii="Palatino Linotype" w:hAnsi="Palatino Linotype"/>
              <w:noProof/>
              <w:sz w:val="22"/>
              <w:szCs w:val="22"/>
              <w:lang w:val="es-MX" w:eastAsia="es-MX"/>
            </w:rPr>
          </w:pPr>
          <w:hyperlink w:anchor="_Toc535946917" w:history="1">
            <w:r w:rsidR="00E752BC" w:rsidRPr="00746761">
              <w:rPr>
                <w:rStyle w:val="Hipervnculo"/>
                <w:rFonts w:ascii="Palatino Linotype" w:eastAsia="Calibri" w:hAnsi="Palatino Linotype"/>
                <w:b/>
                <w:noProof/>
              </w:rPr>
              <w:t>C)</w:t>
            </w:r>
            <w:r w:rsidR="00E752BC" w:rsidRPr="00746761">
              <w:rPr>
                <w:rFonts w:ascii="Palatino Linotype" w:hAnsi="Palatino Linotype"/>
                <w:noProof/>
                <w:sz w:val="22"/>
                <w:szCs w:val="22"/>
                <w:lang w:val="es-MX" w:eastAsia="es-MX"/>
              </w:rPr>
              <w:tab/>
            </w:r>
            <w:r w:rsidR="00E752BC" w:rsidRPr="00746761">
              <w:rPr>
                <w:rStyle w:val="Hipervnculo"/>
                <w:rFonts w:ascii="Palatino Linotype" w:eastAsia="Calibri" w:hAnsi="Palatino Linotype"/>
                <w:b/>
                <w:noProof/>
              </w:rPr>
              <w:t>Actualización del sobreseimiento.</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_Toc535946917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21</w:t>
            </w:r>
            <w:r w:rsidR="00E752BC" w:rsidRPr="00312EE8">
              <w:rPr>
                <w:rFonts w:ascii="Palatino Linotype" w:hAnsi="Palatino Linotype"/>
                <w:noProof/>
                <w:webHidden/>
              </w:rPr>
              <w:fldChar w:fldCharType="end"/>
            </w:r>
          </w:hyperlink>
        </w:p>
        <w:p w:rsidR="00E752BC" w:rsidRPr="00312EE8" w:rsidRDefault="007B1D49" w:rsidP="00312EE8">
          <w:pPr>
            <w:pStyle w:val="TDC1"/>
            <w:tabs>
              <w:tab w:val="right" w:leader="dot" w:pos="8779"/>
            </w:tabs>
            <w:spacing w:line="360" w:lineRule="auto"/>
            <w:rPr>
              <w:rFonts w:ascii="Palatino Linotype" w:hAnsi="Palatino Linotype"/>
              <w:noProof/>
              <w:sz w:val="22"/>
              <w:szCs w:val="22"/>
              <w:lang w:val="es-MX" w:eastAsia="es-MX"/>
            </w:rPr>
          </w:pPr>
          <w:hyperlink w:anchor="_Toc535946918" w:history="1">
            <w:r w:rsidR="00E752BC" w:rsidRPr="00312EE8">
              <w:rPr>
                <w:rStyle w:val="Hipervnculo"/>
                <w:rFonts w:ascii="Palatino Linotype" w:hAnsi="Palatino Linotype"/>
                <w:noProof/>
              </w:rPr>
              <w:t>QUINTO. Vista a los órganos de control interno</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_Toc535946918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23</w:t>
            </w:r>
            <w:r w:rsidR="00E752BC" w:rsidRPr="00312EE8">
              <w:rPr>
                <w:rFonts w:ascii="Palatino Linotype" w:hAnsi="Palatino Linotype"/>
                <w:noProof/>
                <w:webHidden/>
              </w:rPr>
              <w:fldChar w:fldCharType="end"/>
            </w:r>
          </w:hyperlink>
        </w:p>
        <w:p w:rsidR="00E752BC" w:rsidRPr="00312EE8" w:rsidRDefault="007B1D49" w:rsidP="00312EE8">
          <w:pPr>
            <w:pStyle w:val="TDC1"/>
            <w:tabs>
              <w:tab w:val="right" w:leader="dot" w:pos="8779"/>
            </w:tabs>
            <w:spacing w:line="360" w:lineRule="auto"/>
            <w:rPr>
              <w:rFonts w:ascii="Palatino Linotype" w:hAnsi="Palatino Linotype"/>
              <w:noProof/>
              <w:sz w:val="22"/>
              <w:szCs w:val="22"/>
              <w:lang w:val="es-MX" w:eastAsia="es-MX"/>
            </w:rPr>
          </w:pPr>
          <w:hyperlink w:anchor="_Toc535946919" w:history="1">
            <w:r w:rsidR="00E752BC" w:rsidRPr="00312EE8">
              <w:rPr>
                <w:rStyle w:val="Hipervnculo"/>
                <w:rFonts w:ascii="Palatino Linotype" w:eastAsia="Times New Roman" w:hAnsi="Palatino Linotype" w:cstheme="majorBidi"/>
                <w:b/>
                <w:bCs/>
                <w:noProof/>
              </w:rPr>
              <w:t>R E S O L U T I V O S</w:t>
            </w:r>
            <w:r w:rsidR="00E752BC" w:rsidRPr="00312EE8">
              <w:rPr>
                <w:rFonts w:ascii="Palatino Linotype" w:hAnsi="Palatino Linotype"/>
                <w:noProof/>
                <w:webHidden/>
              </w:rPr>
              <w:tab/>
            </w:r>
            <w:r w:rsidR="00E752BC" w:rsidRPr="00312EE8">
              <w:rPr>
                <w:rFonts w:ascii="Palatino Linotype" w:hAnsi="Palatino Linotype"/>
                <w:noProof/>
                <w:webHidden/>
              </w:rPr>
              <w:fldChar w:fldCharType="begin"/>
            </w:r>
            <w:r w:rsidR="00E752BC" w:rsidRPr="00312EE8">
              <w:rPr>
                <w:rFonts w:ascii="Palatino Linotype" w:hAnsi="Palatino Linotype"/>
                <w:noProof/>
                <w:webHidden/>
              </w:rPr>
              <w:instrText xml:space="preserve"> PAGEREF _Toc535946919 \h </w:instrText>
            </w:r>
            <w:r w:rsidR="00E752BC" w:rsidRPr="00312EE8">
              <w:rPr>
                <w:rFonts w:ascii="Palatino Linotype" w:hAnsi="Palatino Linotype"/>
                <w:noProof/>
                <w:webHidden/>
              </w:rPr>
            </w:r>
            <w:r w:rsidR="00E752BC" w:rsidRPr="00312EE8">
              <w:rPr>
                <w:rFonts w:ascii="Palatino Linotype" w:hAnsi="Palatino Linotype"/>
                <w:noProof/>
                <w:webHidden/>
              </w:rPr>
              <w:fldChar w:fldCharType="separate"/>
            </w:r>
            <w:r w:rsidR="00EC6D05">
              <w:rPr>
                <w:rFonts w:ascii="Palatino Linotype" w:hAnsi="Palatino Linotype"/>
                <w:noProof/>
                <w:webHidden/>
              </w:rPr>
              <w:t>26</w:t>
            </w:r>
            <w:r w:rsidR="00E752BC" w:rsidRPr="00312EE8">
              <w:rPr>
                <w:rFonts w:ascii="Palatino Linotype" w:hAnsi="Palatino Linotype"/>
                <w:noProof/>
                <w:webHidden/>
              </w:rPr>
              <w:fldChar w:fldCharType="end"/>
            </w:r>
          </w:hyperlink>
        </w:p>
        <w:p w:rsidR="002A5BA4" w:rsidRPr="00312EE8" w:rsidRDefault="0006695C" w:rsidP="00312EE8">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53340</wp:posOffset>
                    </wp:positionV>
                    <wp:extent cx="5514975" cy="2447925"/>
                    <wp:effectExtent l="19050" t="19050" r="9525" b="28575"/>
                    <wp:wrapNone/>
                    <wp:docPr id="4" name="Conector recto 4"/>
                    <wp:cNvGraphicFramePr/>
                    <a:graphic xmlns:a="http://schemas.openxmlformats.org/drawingml/2006/main">
                      <a:graphicData uri="http://schemas.microsoft.com/office/word/2010/wordprocessingShape">
                        <wps:wsp>
                          <wps:cNvCnPr/>
                          <wps:spPr>
                            <a:xfrm flipH="1" flipV="1">
                              <a:off x="0" y="0"/>
                              <a:ext cx="5514975" cy="2447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89412"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95pt,4.2pt" to="436.2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" strokecolor="#5b9bd5 [3204]" strokeweight="3pt">
                    <v:stroke joinstyle="miter"/>
                  </v:line>
                </w:pict>
              </mc:Fallback>
            </mc:AlternateContent>
          </w:r>
          <w:r w:rsidR="002A5BA4" w:rsidRPr="00312EE8">
            <w:rPr>
              <w:rFonts w:ascii="Palatino Linotype" w:hAnsi="Palatino Linotype"/>
              <w:b/>
              <w:bCs/>
              <w:lang w:val="es-ES"/>
            </w:rPr>
            <w:fldChar w:fldCharType="end"/>
          </w:r>
        </w:p>
      </w:sdtContent>
    </w:sdt>
    <w:p w:rsidR="00312EE8" w:rsidRDefault="00312EE8" w:rsidP="00312EE8">
      <w:pPr>
        <w:spacing w:before="240" w:after="240" w:line="360" w:lineRule="auto"/>
        <w:jc w:val="both"/>
        <w:rPr>
          <w:rFonts w:ascii="Palatino Linotype" w:hAnsi="Palatino Linotype"/>
        </w:rPr>
      </w:pPr>
    </w:p>
    <w:p w:rsidR="00312EE8" w:rsidRDefault="00312EE8" w:rsidP="00312EE8">
      <w:pPr>
        <w:spacing w:before="240" w:after="240" w:line="360" w:lineRule="auto"/>
        <w:jc w:val="both"/>
        <w:rPr>
          <w:rFonts w:ascii="Palatino Linotype" w:hAnsi="Palatino Linotype"/>
        </w:rPr>
      </w:pPr>
    </w:p>
    <w:p w:rsidR="00312EE8" w:rsidRDefault="00312EE8" w:rsidP="00312EE8">
      <w:pPr>
        <w:spacing w:before="240" w:after="240" w:line="360" w:lineRule="auto"/>
        <w:jc w:val="both"/>
        <w:rPr>
          <w:rFonts w:ascii="Palatino Linotype" w:hAnsi="Palatino Linotype"/>
        </w:rPr>
      </w:pPr>
    </w:p>
    <w:p w:rsidR="002A5BA4" w:rsidRDefault="002A5BA4" w:rsidP="00312EE8">
      <w:pPr>
        <w:spacing w:line="360" w:lineRule="auto"/>
        <w:jc w:val="both"/>
        <w:rPr>
          <w:rFonts w:ascii="Palatino Linotype" w:hAnsi="Palatino Linotype"/>
        </w:rPr>
      </w:pPr>
      <w:r w:rsidRPr="00312EE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87E67" w:rsidRPr="00312EE8">
        <w:rPr>
          <w:rFonts w:ascii="Palatino Linotype" w:hAnsi="Palatino Linotype"/>
        </w:rPr>
        <w:t>treinta</w:t>
      </w:r>
      <w:r w:rsidRPr="00312EE8">
        <w:rPr>
          <w:rFonts w:ascii="Palatino Linotype" w:hAnsi="Palatino Linotype"/>
        </w:rPr>
        <w:t xml:space="preserve"> (</w:t>
      </w:r>
      <w:r w:rsidR="00B87E67" w:rsidRPr="00312EE8">
        <w:rPr>
          <w:rFonts w:ascii="Palatino Linotype" w:hAnsi="Palatino Linotype"/>
        </w:rPr>
        <w:t>30</w:t>
      </w:r>
      <w:r w:rsidRPr="00312EE8">
        <w:rPr>
          <w:rFonts w:ascii="Palatino Linotype" w:hAnsi="Palatino Linotype"/>
        </w:rPr>
        <w:t xml:space="preserve">) de </w:t>
      </w:r>
      <w:r w:rsidR="00267240" w:rsidRPr="00312EE8">
        <w:rPr>
          <w:rFonts w:ascii="Palatino Linotype" w:hAnsi="Palatino Linotype"/>
        </w:rPr>
        <w:t>enero</w:t>
      </w:r>
      <w:r w:rsidRPr="00312EE8">
        <w:rPr>
          <w:rFonts w:ascii="Palatino Linotype" w:hAnsi="Palatino Linotype"/>
        </w:rPr>
        <w:t xml:space="preserve"> de dos mil </w:t>
      </w:r>
      <w:r w:rsidR="000E053C" w:rsidRPr="00312EE8">
        <w:rPr>
          <w:rFonts w:ascii="Palatino Linotype" w:eastAsia="Calibri" w:hAnsi="Palatino Linotype" w:cs="Arial"/>
          <w:lang w:val="es-ES"/>
        </w:rPr>
        <w:t>dieci</w:t>
      </w:r>
      <w:r w:rsidR="00267240" w:rsidRPr="00312EE8">
        <w:rPr>
          <w:rFonts w:ascii="Palatino Linotype" w:eastAsia="Calibri" w:hAnsi="Palatino Linotype" w:cs="Arial"/>
          <w:lang w:val="es-ES"/>
        </w:rPr>
        <w:t>nueve</w:t>
      </w:r>
      <w:r w:rsidR="000404FD" w:rsidRPr="00312EE8">
        <w:rPr>
          <w:rFonts w:ascii="Palatino Linotype" w:hAnsi="Palatino Linotype"/>
        </w:rPr>
        <w:t>.</w:t>
      </w:r>
    </w:p>
    <w:p w:rsidR="00312EE8" w:rsidRPr="00312EE8" w:rsidRDefault="00312EE8" w:rsidP="00312EE8">
      <w:pPr>
        <w:spacing w:line="360" w:lineRule="auto"/>
        <w:jc w:val="both"/>
        <w:rPr>
          <w:rFonts w:ascii="Palatino Linotype" w:hAnsi="Palatino Linotype"/>
        </w:rPr>
      </w:pPr>
    </w:p>
    <w:p w:rsidR="00312EE8" w:rsidRDefault="002A5BA4" w:rsidP="00312EE8">
      <w:pPr>
        <w:spacing w:line="360" w:lineRule="auto"/>
        <w:jc w:val="both"/>
        <w:rPr>
          <w:rFonts w:ascii="Palatino Linotype" w:hAnsi="Palatino Linotype"/>
        </w:rPr>
      </w:pPr>
      <w:r w:rsidRPr="00312EE8">
        <w:rPr>
          <w:rFonts w:ascii="Palatino Linotype" w:hAnsi="Palatino Linotype"/>
          <w:b/>
        </w:rPr>
        <w:t>VISTO</w:t>
      </w:r>
      <w:r w:rsidR="0036196A" w:rsidRPr="00312EE8">
        <w:rPr>
          <w:rFonts w:ascii="Palatino Linotype" w:hAnsi="Palatino Linotype"/>
          <w:b/>
        </w:rPr>
        <w:t xml:space="preserve"> </w:t>
      </w:r>
      <w:r w:rsidR="0036196A" w:rsidRPr="00312EE8">
        <w:rPr>
          <w:rFonts w:ascii="Palatino Linotype" w:hAnsi="Palatino Linotype"/>
        </w:rPr>
        <w:t>el</w:t>
      </w:r>
      <w:r w:rsidRPr="00312EE8">
        <w:rPr>
          <w:rFonts w:ascii="Palatino Linotype" w:hAnsi="Palatino Linotype"/>
        </w:rPr>
        <w:t xml:space="preserve"> </w:t>
      </w:r>
      <w:proofErr w:type="spellStart"/>
      <w:r w:rsidR="00312EE8">
        <w:rPr>
          <w:rFonts w:ascii="Palatino Linotype" w:hAnsi="Palatino Linotype"/>
        </w:rPr>
        <w:t>expedí</w:t>
      </w:r>
      <w:r w:rsidRPr="00312EE8">
        <w:rPr>
          <w:rFonts w:ascii="Palatino Linotype" w:hAnsi="Palatino Linotype"/>
        </w:rPr>
        <w:t>ente</w:t>
      </w:r>
      <w:proofErr w:type="spellEnd"/>
      <w:r w:rsidR="0036196A" w:rsidRPr="00312EE8">
        <w:rPr>
          <w:rFonts w:ascii="Palatino Linotype" w:hAnsi="Palatino Linotype"/>
        </w:rPr>
        <w:t xml:space="preserve"> </w:t>
      </w:r>
      <w:r w:rsidRPr="00312EE8">
        <w:rPr>
          <w:rFonts w:ascii="Palatino Linotype" w:hAnsi="Palatino Linotype"/>
        </w:rPr>
        <w:t xml:space="preserve">electrónico formado con motivo del recurso de revisión </w:t>
      </w:r>
      <w:r w:rsidR="00006214" w:rsidRPr="00312EE8">
        <w:rPr>
          <w:rFonts w:ascii="Palatino Linotype" w:hAnsi="Palatino Linotype"/>
        </w:rPr>
        <w:t>0</w:t>
      </w:r>
      <w:r w:rsidR="00267240" w:rsidRPr="00312EE8">
        <w:rPr>
          <w:rFonts w:ascii="Palatino Linotype" w:hAnsi="Palatino Linotype" w:cs="Arial"/>
          <w:b/>
          <w:bCs/>
        </w:rPr>
        <w:t>4368</w:t>
      </w:r>
      <w:r w:rsidR="008A04AD" w:rsidRPr="00312EE8">
        <w:rPr>
          <w:rFonts w:ascii="Palatino Linotype" w:hAnsi="Palatino Linotype" w:cs="Arial"/>
          <w:b/>
          <w:bCs/>
        </w:rPr>
        <w:t>/</w:t>
      </w:r>
      <w:r w:rsidR="000404FD" w:rsidRPr="00312EE8">
        <w:rPr>
          <w:rFonts w:ascii="Palatino Linotype" w:hAnsi="Palatino Linotype" w:cs="Arial"/>
          <w:b/>
          <w:bCs/>
        </w:rPr>
        <w:t>INFOEM/IP/RR/2018</w:t>
      </w:r>
      <w:r w:rsidR="009A66DF" w:rsidRPr="00312EE8">
        <w:rPr>
          <w:rFonts w:ascii="Palatino Linotype" w:hAnsi="Palatino Linotype" w:cs="Arial"/>
          <w:b/>
          <w:bCs/>
        </w:rPr>
        <w:t xml:space="preserve"> </w:t>
      </w:r>
      <w:r w:rsidRPr="00312EE8">
        <w:rPr>
          <w:rFonts w:ascii="Palatino Linotype" w:hAnsi="Palatino Linotype"/>
        </w:rPr>
        <w:t xml:space="preserve">promovido por </w:t>
      </w:r>
      <w:r w:rsidR="007B1D49" w:rsidRPr="007B1D49">
        <w:rPr>
          <w:rFonts w:ascii="Palatino Linotype" w:hAnsi="Palatino Linotype"/>
          <w:b/>
          <w:szCs w:val="22"/>
          <w:highlight w:val="black"/>
        </w:rPr>
        <w:t>----------------------------</w:t>
      </w:r>
      <w:r w:rsidR="00141DF6" w:rsidRPr="00312EE8">
        <w:rPr>
          <w:rFonts w:ascii="Palatino Linotype" w:hAnsi="Palatino Linotype"/>
          <w:b/>
          <w:sz w:val="22"/>
          <w:szCs w:val="22"/>
        </w:rPr>
        <w:t>,</w:t>
      </w:r>
      <w:r w:rsidRPr="00312EE8">
        <w:rPr>
          <w:rFonts w:ascii="Palatino Linotype" w:hAnsi="Palatino Linotype"/>
          <w:b/>
        </w:rPr>
        <w:t xml:space="preserve"> </w:t>
      </w:r>
      <w:r w:rsidRPr="00312EE8">
        <w:rPr>
          <w:rFonts w:ascii="Palatino Linotype" w:hAnsi="Palatino Linotype" w:cs="Arial"/>
        </w:rPr>
        <w:t xml:space="preserve">en su calidad de </w:t>
      </w:r>
      <w:r w:rsidRPr="00312EE8">
        <w:rPr>
          <w:rFonts w:ascii="Palatino Linotype" w:hAnsi="Palatino Linotype" w:cs="Arial"/>
          <w:b/>
        </w:rPr>
        <w:t>RECURRENTE</w:t>
      </w:r>
      <w:r w:rsidRPr="00312EE8">
        <w:rPr>
          <w:rFonts w:ascii="Palatino Linotype" w:hAnsi="Palatino Linotype" w:cs="Arial"/>
        </w:rPr>
        <w:t xml:space="preserve">, en contra de la </w:t>
      </w:r>
      <w:r w:rsidR="00267240" w:rsidRPr="00312EE8">
        <w:rPr>
          <w:rFonts w:ascii="Palatino Linotype" w:hAnsi="Palatino Linotype" w:cs="Arial"/>
        </w:rPr>
        <w:t xml:space="preserve">falta de </w:t>
      </w:r>
      <w:r w:rsidRPr="00312EE8">
        <w:rPr>
          <w:rFonts w:ascii="Palatino Linotype" w:hAnsi="Palatino Linotype" w:cs="Arial"/>
        </w:rPr>
        <w:t xml:space="preserve">respuesta del </w:t>
      </w:r>
      <w:r w:rsidR="00267240" w:rsidRPr="00312EE8">
        <w:rPr>
          <w:rFonts w:ascii="Palatino Linotype" w:hAnsi="Palatino Linotype" w:cs="Arial"/>
          <w:b/>
        </w:rPr>
        <w:t>Ayuntamiento de San Felipe del Progreso</w:t>
      </w:r>
      <w:r w:rsidRPr="00312EE8">
        <w:rPr>
          <w:rFonts w:ascii="Palatino Linotype" w:hAnsi="Palatino Linotype" w:cs="Arial"/>
        </w:rPr>
        <w:t>,</w:t>
      </w:r>
      <w:r w:rsidRPr="00312EE8">
        <w:rPr>
          <w:rFonts w:ascii="Palatino Linotype" w:hAnsi="Palatino Linotype"/>
          <w:b/>
        </w:rPr>
        <w:t xml:space="preserve"> </w:t>
      </w:r>
      <w:r w:rsidRPr="00312EE8">
        <w:rPr>
          <w:rFonts w:ascii="Palatino Linotype" w:hAnsi="Palatino Linotype"/>
        </w:rPr>
        <w:t>en lo sucesivo el</w:t>
      </w:r>
      <w:r w:rsidRPr="00312EE8">
        <w:rPr>
          <w:rFonts w:ascii="Palatino Linotype" w:hAnsi="Palatino Linotype"/>
          <w:b/>
        </w:rPr>
        <w:t xml:space="preserve"> SUJETO OBLIGADO, </w:t>
      </w:r>
      <w:r w:rsidRPr="00312EE8">
        <w:rPr>
          <w:rFonts w:ascii="Palatino Linotype" w:hAnsi="Palatino Linotype"/>
        </w:rPr>
        <w:t xml:space="preserve">se procede a dictar la presente resolución, con base en los siguientes: </w:t>
      </w:r>
    </w:p>
    <w:p w:rsidR="00312EE8" w:rsidRPr="00312EE8" w:rsidRDefault="00312EE8" w:rsidP="00312EE8">
      <w:pPr>
        <w:spacing w:line="360" w:lineRule="auto"/>
        <w:jc w:val="both"/>
        <w:rPr>
          <w:rFonts w:ascii="Palatino Linotype" w:hAnsi="Palatino Linotype"/>
        </w:rPr>
      </w:pPr>
    </w:p>
    <w:p w:rsidR="002A5BA4" w:rsidRDefault="002A5BA4" w:rsidP="00312EE8">
      <w:pPr>
        <w:pStyle w:val="Ttulo1"/>
        <w:spacing w:before="0" w:line="360" w:lineRule="auto"/>
        <w:jc w:val="center"/>
      </w:pPr>
      <w:bookmarkStart w:id="0" w:name="_Toc535946909"/>
      <w:r w:rsidRPr="00312EE8">
        <w:t>ANTECEDENTES</w:t>
      </w:r>
      <w:bookmarkEnd w:id="0"/>
    </w:p>
    <w:p w:rsidR="00312EE8" w:rsidRPr="00312EE8" w:rsidRDefault="00312EE8" w:rsidP="00312EE8">
      <w:pPr>
        <w:spacing w:line="360" w:lineRule="auto"/>
        <w:rPr>
          <w:lang w:val="es-MX" w:eastAsia="en-US"/>
        </w:rPr>
      </w:pPr>
    </w:p>
    <w:p w:rsidR="00312EE8" w:rsidRDefault="0036196A" w:rsidP="00312EE8">
      <w:pPr>
        <w:pStyle w:val="Prrafodelista"/>
        <w:numPr>
          <w:ilvl w:val="0"/>
          <w:numId w:val="1"/>
        </w:numPr>
        <w:spacing w:line="360" w:lineRule="auto"/>
        <w:ind w:left="0" w:firstLine="0"/>
        <w:jc w:val="both"/>
        <w:rPr>
          <w:rFonts w:ascii="Palatino Linotype" w:eastAsia="Calibri" w:hAnsi="Palatino Linotype" w:cs="Arial"/>
          <w:lang w:val="es-ES"/>
        </w:rPr>
      </w:pPr>
      <w:r w:rsidRPr="00312EE8">
        <w:rPr>
          <w:rFonts w:ascii="Palatino Linotype" w:eastAsia="Calibri" w:hAnsi="Palatino Linotype" w:cs="Arial"/>
          <w:lang w:val="es-ES"/>
        </w:rPr>
        <w:t xml:space="preserve">El </w:t>
      </w:r>
      <w:r w:rsidR="00267240" w:rsidRPr="00312EE8">
        <w:rPr>
          <w:rFonts w:ascii="Palatino Linotype" w:eastAsia="Calibri" w:hAnsi="Palatino Linotype" w:cs="Arial"/>
          <w:lang w:val="es-ES"/>
        </w:rPr>
        <w:t>día diez</w:t>
      </w:r>
      <w:r w:rsidR="00FB61C7" w:rsidRPr="00312EE8">
        <w:rPr>
          <w:rFonts w:ascii="Palatino Linotype" w:eastAsia="Calibri" w:hAnsi="Palatino Linotype" w:cs="Arial"/>
          <w:lang w:val="es-ES"/>
        </w:rPr>
        <w:t xml:space="preserve"> </w:t>
      </w:r>
      <w:r w:rsidR="002A5BA4" w:rsidRPr="00312EE8">
        <w:rPr>
          <w:rFonts w:ascii="Palatino Linotype" w:eastAsia="Calibri" w:hAnsi="Palatino Linotype" w:cs="Arial"/>
          <w:lang w:val="es-ES"/>
        </w:rPr>
        <w:t>(</w:t>
      </w:r>
      <w:r w:rsidR="00267240" w:rsidRPr="00312EE8">
        <w:rPr>
          <w:rFonts w:ascii="Palatino Linotype" w:eastAsia="Calibri" w:hAnsi="Palatino Linotype" w:cs="Arial"/>
          <w:lang w:val="es-ES"/>
        </w:rPr>
        <w:t>10</w:t>
      </w:r>
      <w:r w:rsidR="002A5BA4" w:rsidRPr="00312EE8">
        <w:rPr>
          <w:rFonts w:ascii="Palatino Linotype" w:eastAsia="Calibri" w:hAnsi="Palatino Linotype" w:cs="Arial"/>
          <w:lang w:val="es-ES"/>
        </w:rPr>
        <w:t xml:space="preserve">) de </w:t>
      </w:r>
      <w:r w:rsidR="001E0B7C" w:rsidRPr="00312EE8">
        <w:rPr>
          <w:rFonts w:ascii="Palatino Linotype" w:eastAsia="Calibri" w:hAnsi="Palatino Linotype" w:cs="Arial"/>
          <w:lang w:val="es-ES"/>
        </w:rPr>
        <w:t>septiembre</w:t>
      </w:r>
      <w:r w:rsidR="001358C7" w:rsidRPr="00312EE8">
        <w:rPr>
          <w:rFonts w:ascii="Palatino Linotype" w:eastAsia="Calibri" w:hAnsi="Palatino Linotype" w:cs="Arial"/>
          <w:lang w:val="es-ES"/>
        </w:rPr>
        <w:t xml:space="preserve"> </w:t>
      </w:r>
      <w:r w:rsidR="002A5BA4" w:rsidRPr="00312EE8">
        <w:rPr>
          <w:rFonts w:ascii="Palatino Linotype" w:eastAsia="Calibri" w:hAnsi="Palatino Linotype" w:cs="Arial"/>
          <w:lang w:val="es-ES"/>
        </w:rPr>
        <w:t xml:space="preserve">de dos mil </w:t>
      </w:r>
      <w:r w:rsidR="009A66DF" w:rsidRPr="00312EE8">
        <w:rPr>
          <w:rFonts w:ascii="Palatino Linotype" w:eastAsia="Calibri" w:hAnsi="Palatino Linotype" w:cs="Arial"/>
          <w:lang w:val="es-ES"/>
        </w:rPr>
        <w:t>dieciocho</w:t>
      </w:r>
      <w:r w:rsidR="002A5BA4" w:rsidRPr="00312EE8">
        <w:rPr>
          <w:rFonts w:ascii="Palatino Linotype" w:eastAsia="Calibri" w:hAnsi="Palatino Linotype" w:cs="Arial"/>
          <w:lang w:val="es-ES"/>
        </w:rPr>
        <w:t>,</w:t>
      </w:r>
      <w:r w:rsidR="002A5BA4" w:rsidRPr="00312EE8">
        <w:rPr>
          <w:rFonts w:ascii="Palatino Linotype" w:eastAsia="Calibri" w:hAnsi="Palatino Linotype" w:cs="Times New Roman"/>
          <w:lang w:val="es-ES"/>
        </w:rPr>
        <w:t xml:space="preserve"> </w:t>
      </w:r>
      <w:r w:rsidR="007B1D49" w:rsidRPr="007B1D49">
        <w:rPr>
          <w:rFonts w:ascii="Palatino Linotype" w:hAnsi="Palatino Linotype"/>
          <w:b/>
          <w:szCs w:val="22"/>
          <w:highlight w:val="black"/>
        </w:rPr>
        <w:t>------------------------------</w:t>
      </w:r>
      <w:r w:rsidR="002A5BA4" w:rsidRPr="00312EE8">
        <w:rPr>
          <w:rFonts w:ascii="Palatino Linotype" w:eastAsia="Calibri" w:hAnsi="Palatino Linotype" w:cs="Arial"/>
          <w:lang w:val="es-ES"/>
        </w:rPr>
        <w:t xml:space="preserve">ante el </w:t>
      </w:r>
      <w:r w:rsidR="002A5BA4" w:rsidRPr="00312EE8">
        <w:rPr>
          <w:rFonts w:ascii="Palatino Linotype" w:eastAsia="Calibri" w:hAnsi="Palatino Linotype" w:cs="Arial"/>
          <w:b/>
          <w:lang w:val="es-ES"/>
        </w:rPr>
        <w:t>SUJETO OBLIGADO</w:t>
      </w:r>
      <w:r w:rsidR="002A5BA4" w:rsidRPr="00312EE8">
        <w:rPr>
          <w:rFonts w:ascii="Palatino Linotype" w:eastAsia="Calibri" w:hAnsi="Palatino Linotype" w:cs="Arial"/>
        </w:rPr>
        <w:t xml:space="preserve"> vía </w:t>
      </w:r>
      <w:r w:rsidR="002A5BA4" w:rsidRPr="00312EE8">
        <w:rPr>
          <w:rFonts w:ascii="Palatino Linotype" w:eastAsia="Calibri" w:hAnsi="Palatino Linotype" w:cs="Arial"/>
          <w:lang w:val="es-ES"/>
        </w:rPr>
        <w:t xml:space="preserve">Sistema de Acceso a la Información Mexiquense </w:t>
      </w:r>
      <w:r w:rsidR="00FC5D9F" w:rsidRPr="00312EE8">
        <w:rPr>
          <w:rFonts w:ascii="Palatino Linotype" w:eastAsia="Calibri" w:hAnsi="Palatino Linotype" w:cs="Arial"/>
          <w:lang w:val="es-ES"/>
        </w:rPr>
        <w:t>(</w:t>
      </w:r>
      <w:r w:rsidR="002A5BA4" w:rsidRPr="00312EE8">
        <w:rPr>
          <w:rFonts w:ascii="Palatino Linotype" w:eastAsia="Calibri" w:hAnsi="Palatino Linotype" w:cs="Arial"/>
          <w:b/>
          <w:lang w:val="es-ES"/>
        </w:rPr>
        <w:t>SAIMEX</w:t>
      </w:r>
      <w:r w:rsidR="00FC5D9F" w:rsidRPr="00312EE8">
        <w:rPr>
          <w:rFonts w:ascii="Palatino Linotype" w:eastAsia="Calibri" w:hAnsi="Palatino Linotype" w:cs="Arial"/>
          <w:b/>
          <w:lang w:val="es-ES"/>
        </w:rPr>
        <w:t>)</w:t>
      </w:r>
      <w:r w:rsidR="002A5BA4" w:rsidRPr="00312EE8">
        <w:rPr>
          <w:rFonts w:ascii="Palatino Linotype" w:eastAsia="Calibri" w:hAnsi="Palatino Linotype" w:cs="Arial"/>
          <w:lang w:val="es-ES"/>
        </w:rPr>
        <w:t>, presentó la solicitud de información pública registrada</w:t>
      </w:r>
      <w:r w:rsidRPr="00312EE8">
        <w:rPr>
          <w:rFonts w:ascii="Palatino Linotype" w:eastAsia="Calibri" w:hAnsi="Palatino Linotype" w:cs="Arial"/>
          <w:lang w:val="es-ES"/>
        </w:rPr>
        <w:t xml:space="preserve"> bajo el número</w:t>
      </w:r>
      <w:r w:rsidR="002A5BA4" w:rsidRPr="00312EE8">
        <w:rPr>
          <w:rFonts w:ascii="Palatino Linotype" w:eastAsia="Calibri" w:hAnsi="Palatino Linotype" w:cs="Arial"/>
          <w:lang w:val="es-ES"/>
        </w:rPr>
        <w:t xml:space="preserve"> </w:t>
      </w:r>
      <w:r w:rsidR="000E053C" w:rsidRPr="00312EE8">
        <w:rPr>
          <w:rFonts w:ascii="Palatino Linotype" w:eastAsia="Times New Roman" w:hAnsi="Palatino Linotype" w:cs="Arial"/>
          <w:b/>
          <w:lang w:val="es-ES"/>
        </w:rPr>
        <w:t xml:space="preserve"> </w:t>
      </w:r>
      <w:r w:rsidR="00380994" w:rsidRPr="00312EE8">
        <w:rPr>
          <w:rFonts w:ascii="Palatino Linotype" w:eastAsia="Times New Roman" w:hAnsi="Palatino Linotype" w:cs="Arial"/>
          <w:b/>
          <w:lang w:val="es-ES"/>
        </w:rPr>
        <w:t>00055</w:t>
      </w:r>
      <w:r w:rsidR="008A04AD" w:rsidRPr="00312EE8">
        <w:rPr>
          <w:rFonts w:ascii="Palatino Linotype" w:eastAsia="Times New Roman" w:hAnsi="Palatino Linotype" w:cs="Arial"/>
          <w:b/>
          <w:lang w:val="es-ES"/>
        </w:rPr>
        <w:t>/</w:t>
      </w:r>
      <w:r w:rsidR="00380994" w:rsidRPr="00312EE8">
        <w:rPr>
          <w:rFonts w:ascii="Palatino Linotype" w:eastAsia="Times New Roman" w:hAnsi="Palatino Linotype" w:cs="Arial"/>
          <w:b/>
          <w:lang w:val="es-ES"/>
        </w:rPr>
        <w:t>FELIPRO</w:t>
      </w:r>
      <w:r w:rsidR="00006214" w:rsidRPr="00312EE8">
        <w:rPr>
          <w:rFonts w:ascii="Palatino Linotype" w:eastAsia="Times New Roman" w:hAnsi="Palatino Linotype" w:cs="Arial"/>
          <w:b/>
          <w:lang w:val="es-ES"/>
        </w:rPr>
        <w:t>/</w:t>
      </w:r>
      <w:r w:rsidR="000E053C" w:rsidRPr="00312EE8">
        <w:rPr>
          <w:rFonts w:ascii="Palatino Linotype" w:eastAsia="Times New Roman" w:hAnsi="Palatino Linotype" w:cs="Arial"/>
          <w:b/>
          <w:lang w:val="es-ES"/>
        </w:rPr>
        <w:t xml:space="preserve">IP/2018 </w:t>
      </w:r>
      <w:r w:rsidR="002A5BA4" w:rsidRPr="00312EE8">
        <w:rPr>
          <w:rFonts w:ascii="Palatino Linotype" w:eastAsia="Calibri" w:hAnsi="Palatino Linotype" w:cs="Arial"/>
          <w:lang w:val="es-ES"/>
        </w:rPr>
        <w:t>mediante la</w:t>
      </w:r>
      <w:r w:rsidR="00FB61C7" w:rsidRPr="00312EE8">
        <w:rPr>
          <w:rFonts w:ascii="Palatino Linotype" w:eastAsia="Calibri" w:hAnsi="Palatino Linotype" w:cs="Arial"/>
          <w:lang w:val="es-ES"/>
        </w:rPr>
        <w:t xml:space="preserve"> </w:t>
      </w:r>
      <w:r w:rsidR="002A5BA4" w:rsidRPr="00312EE8">
        <w:rPr>
          <w:rFonts w:ascii="Palatino Linotype" w:eastAsia="Calibri" w:hAnsi="Palatino Linotype" w:cs="Arial"/>
          <w:lang w:val="es-ES"/>
        </w:rPr>
        <w:t>cual</w:t>
      </w:r>
      <w:r w:rsidRPr="00312EE8">
        <w:rPr>
          <w:rFonts w:ascii="Palatino Linotype" w:eastAsia="Calibri" w:hAnsi="Palatino Linotype" w:cs="Arial"/>
          <w:lang w:val="es-ES"/>
        </w:rPr>
        <w:t xml:space="preserve"> </w:t>
      </w:r>
      <w:r w:rsidR="000E053C" w:rsidRPr="00312EE8">
        <w:rPr>
          <w:rFonts w:ascii="Palatino Linotype" w:eastAsia="Calibri" w:hAnsi="Palatino Linotype" w:cs="Arial"/>
          <w:lang w:val="es-ES"/>
        </w:rPr>
        <w:t>solicitó lo siguiente:</w:t>
      </w:r>
    </w:p>
    <w:p w:rsidR="0006695C" w:rsidRPr="00312EE8" w:rsidRDefault="0006695C" w:rsidP="0006695C">
      <w:pPr>
        <w:pStyle w:val="Prrafodelista"/>
        <w:spacing w:line="360" w:lineRule="auto"/>
        <w:ind w:left="0"/>
        <w:jc w:val="both"/>
        <w:rPr>
          <w:rFonts w:ascii="Palatino Linotype" w:eastAsia="Calibri" w:hAnsi="Palatino Linotype" w:cs="Arial"/>
          <w:lang w:val="es-ES"/>
        </w:rPr>
      </w:pPr>
    </w:p>
    <w:p w:rsidR="000E053C" w:rsidRDefault="009B69B4" w:rsidP="0006695C">
      <w:pPr>
        <w:spacing w:line="360" w:lineRule="auto"/>
        <w:ind w:left="567" w:right="567"/>
        <w:jc w:val="both"/>
        <w:rPr>
          <w:rFonts w:ascii="Palatino Linotype" w:eastAsia="Calibri" w:hAnsi="Palatino Linotype" w:cs="Arial"/>
          <w:i/>
          <w:sz w:val="22"/>
          <w:lang w:val="es-ES"/>
        </w:rPr>
      </w:pPr>
      <w:r w:rsidRPr="00312EE8">
        <w:rPr>
          <w:rFonts w:ascii="Palatino Linotype" w:eastAsia="Calibri" w:hAnsi="Palatino Linotype" w:cs="Arial"/>
          <w:i/>
          <w:sz w:val="22"/>
          <w:lang w:val="es-ES"/>
        </w:rPr>
        <w:t xml:space="preserve"> </w:t>
      </w:r>
      <w:r w:rsidR="000E053C" w:rsidRPr="00312EE8">
        <w:rPr>
          <w:rFonts w:ascii="Palatino Linotype" w:eastAsia="Calibri" w:hAnsi="Palatino Linotype" w:cs="Arial"/>
          <w:i/>
          <w:sz w:val="22"/>
          <w:lang w:val="es-ES"/>
        </w:rPr>
        <w:t>“</w:t>
      </w:r>
      <w:r w:rsidR="00267240" w:rsidRPr="00312EE8">
        <w:rPr>
          <w:rFonts w:ascii="Palatino Linotype" w:eastAsia="Calibri" w:hAnsi="Palatino Linotype" w:cs="Arial"/>
          <w:i/>
          <w:sz w:val="22"/>
          <w:lang w:val="es-ES"/>
        </w:rPr>
        <w:t xml:space="preserve">número de personal administrativo que tiene como residencia oficial (INE) los municipios de </w:t>
      </w:r>
      <w:proofErr w:type="spellStart"/>
      <w:r w:rsidR="00267240" w:rsidRPr="00312EE8">
        <w:rPr>
          <w:rFonts w:ascii="Palatino Linotype" w:eastAsia="Calibri" w:hAnsi="Palatino Linotype" w:cs="Arial"/>
          <w:i/>
          <w:sz w:val="22"/>
          <w:lang w:val="es-ES"/>
        </w:rPr>
        <w:t>Temascalcingo</w:t>
      </w:r>
      <w:proofErr w:type="spellEnd"/>
      <w:r w:rsidR="00267240" w:rsidRPr="00312EE8">
        <w:rPr>
          <w:rFonts w:ascii="Palatino Linotype" w:eastAsia="Calibri" w:hAnsi="Palatino Linotype" w:cs="Arial"/>
          <w:i/>
          <w:sz w:val="22"/>
          <w:lang w:val="es-ES"/>
        </w:rPr>
        <w:t xml:space="preserve">, </w:t>
      </w:r>
      <w:proofErr w:type="spellStart"/>
      <w:r w:rsidR="00267240" w:rsidRPr="00312EE8">
        <w:rPr>
          <w:rFonts w:ascii="Palatino Linotype" w:eastAsia="Calibri" w:hAnsi="Palatino Linotype" w:cs="Arial"/>
          <w:i/>
          <w:sz w:val="22"/>
          <w:lang w:val="es-ES"/>
        </w:rPr>
        <w:t>Jilotepec</w:t>
      </w:r>
      <w:proofErr w:type="spellEnd"/>
      <w:r w:rsidR="00267240" w:rsidRPr="00312EE8">
        <w:rPr>
          <w:rFonts w:ascii="Palatino Linotype" w:eastAsia="Calibri" w:hAnsi="Palatino Linotype" w:cs="Arial"/>
          <w:i/>
          <w:sz w:val="22"/>
          <w:lang w:val="es-ES"/>
        </w:rPr>
        <w:t xml:space="preserve">, </w:t>
      </w:r>
      <w:proofErr w:type="spellStart"/>
      <w:r w:rsidR="00267240" w:rsidRPr="00312EE8">
        <w:rPr>
          <w:rFonts w:ascii="Palatino Linotype" w:eastAsia="Calibri" w:hAnsi="Palatino Linotype" w:cs="Arial"/>
          <w:i/>
          <w:sz w:val="22"/>
          <w:lang w:val="es-ES"/>
        </w:rPr>
        <w:t>Ixtlahuac</w:t>
      </w:r>
      <w:proofErr w:type="spellEnd"/>
      <w:r w:rsidR="00267240" w:rsidRPr="00312EE8">
        <w:rPr>
          <w:rFonts w:ascii="Palatino Linotype" w:eastAsia="Calibri" w:hAnsi="Palatino Linotype" w:cs="Arial"/>
          <w:i/>
          <w:sz w:val="22"/>
          <w:lang w:val="es-ES"/>
        </w:rPr>
        <w:t xml:space="preserve"> y Atlacomulco</w:t>
      </w:r>
      <w:r w:rsidR="000E053C" w:rsidRPr="00312EE8">
        <w:rPr>
          <w:rFonts w:ascii="Palatino Linotype" w:eastAsia="Calibri" w:hAnsi="Palatino Linotype" w:cs="Arial"/>
          <w:i/>
          <w:sz w:val="22"/>
          <w:lang w:val="es-ES"/>
        </w:rPr>
        <w:t>” (sic)</w:t>
      </w:r>
    </w:p>
    <w:p w:rsidR="0006695C" w:rsidRPr="00312EE8" w:rsidRDefault="0006695C" w:rsidP="0006695C">
      <w:pPr>
        <w:spacing w:line="360" w:lineRule="auto"/>
        <w:ind w:left="567" w:right="567"/>
        <w:jc w:val="both"/>
        <w:rPr>
          <w:rFonts w:ascii="Palatino Linotype" w:eastAsia="Calibri" w:hAnsi="Palatino Linotype" w:cs="Arial"/>
          <w:i/>
          <w:sz w:val="22"/>
          <w:lang w:val="es-ES"/>
        </w:rPr>
      </w:pPr>
    </w:p>
    <w:p w:rsidR="00FC5D9F" w:rsidRPr="00312EE8" w:rsidRDefault="00FC5D9F" w:rsidP="00312EE8">
      <w:pPr>
        <w:pStyle w:val="Prrafodelista"/>
        <w:numPr>
          <w:ilvl w:val="0"/>
          <w:numId w:val="1"/>
        </w:numPr>
        <w:spacing w:line="360" w:lineRule="auto"/>
        <w:ind w:left="0" w:firstLine="0"/>
        <w:jc w:val="both"/>
        <w:rPr>
          <w:rFonts w:ascii="Palatino Linotype" w:eastAsia="Times New Roman" w:hAnsi="Palatino Linotype" w:cs="Arial"/>
          <w:lang w:val="es-ES"/>
        </w:rPr>
      </w:pPr>
      <w:r w:rsidRPr="00312EE8">
        <w:rPr>
          <w:rFonts w:ascii="Palatino Linotype" w:eastAsia="Times New Roman" w:hAnsi="Palatino Linotype" w:cs="Arial"/>
          <w:lang w:val="es-ES"/>
        </w:rPr>
        <w:lastRenderedPageBreak/>
        <w:t>Señaló como modalidad de entrega de la información</w:t>
      </w:r>
      <w:r w:rsidRPr="00312EE8">
        <w:rPr>
          <w:rFonts w:ascii="Palatino Linotype" w:eastAsia="Times New Roman" w:hAnsi="Palatino Linotype" w:cs="Arial"/>
          <w:b/>
          <w:lang w:val="es-ES"/>
        </w:rPr>
        <w:t>:</w:t>
      </w:r>
      <w:r w:rsidRPr="00312EE8">
        <w:rPr>
          <w:rFonts w:ascii="Palatino Linotype" w:eastAsia="Times New Roman" w:hAnsi="Palatino Linotype" w:cs="Arial"/>
          <w:lang w:val="es-ES"/>
        </w:rPr>
        <w:t xml:space="preserve"> a través de</w:t>
      </w:r>
      <w:r w:rsidR="00122084" w:rsidRPr="00312EE8">
        <w:rPr>
          <w:rFonts w:ascii="Palatino Linotype" w:eastAsia="Times New Roman" w:hAnsi="Palatino Linotype" w:cs="Arial"/>
          <w:lang w:val="es-ES"/>
        </w:rPr>
        <w:t xml:space="preserve"> </w:t>
      </w:r>
      <w:r w:rsidR="00122084" w:rsidRPr="00312EE8">
        <w:rPr>
          <w:rFonts w:ascii="Palatino Linotype" w:eastAsia="Times New Roman" w:hAnsi="Palatino Linotype" w:cs="Arial"/>
          <w:b/>
          <w:lang w:val="es-ES"/>
        </w:rPr>
        <w:t>copias certificadas con costo</w:t>
      </w:r>
      <w:r w:rsidRPr="00312EE8">
        <w:rPr>
          <w:rFonts w:ascii="Palatino Linotype" w:eastAsia="Times New Roman" w:hAnsi="Palatino Linotype" w:cs="Arial"/>
          <w:b/>
          <w:lang w:val="es-ES"/>
        </w:rPr>
        <w:t>.</w:t>
      </w:r>
    </w:p>
    <w:p w:rsidR="00FC5D9F" w:rsidRPr="00312EE8" w:rsidRDefault="00FC5D9F" w:rsidP="00312EE8">
      <w:pPr>
        <w:pStyle w:val="Prrafodelista"/>
        <w:spacing w:before="240" w:after="240" w:line="360" w:lineRule="auto"/>
        <w:ind w:left="0"/>
        <w:jc w:val="both"/>
        <w:rPr>
          <w:rFonts w:ascii="Palatino Linotype" w:hAnsi="Palatino Linotype"/>
        </w:rPr>
      </w:pPr>
    </w:p>
    <w:p w:rsidR="008A04AD" w:rsidRPr="00312EE8" w:rsidRDefault="00113499" w:rsidP="00312EE8">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312EE8">
        <w:rPr>
          <w:rFonts w:ascii="Palatino Linotype" w:eastAsia="Calibri" w:hAnsi="Palatino Linotype" w:cs="Times New Roman"/>
          <w:lang w:val="es-ES"/>
        </w:rPr>
        <w:t>El Sujeto Obligado no dio respuesta a la solicitud de acceso a la información.</w:t>
      </w:r>
      <w:r w:rsidRPr="00312EE8">
        <w:rPr>
          <w:rFonts w:ascii="Palatino Linotype" w:eastAsia="Calibri" w:hAnsi="Palatino Linotype" w:cs="Arial"/>
          <w:i/>
          <w:lang w:val="es-AR"/>
        </w:rPr>
        <w:t xml:space="preserve"> </w:t>
      </w:r>
    </w:p>
    <w:p w:rsidR="00113499" w:rsidRPr="00312EE8" w:rsidRDefault="00113499" w:rsidP="00312EE8">
      <w:pPr>
        <w:pStyle w:val="Prrafodelista"/>
        <w:spacing w:line="360" w:lineRule="auto"/>
        <w:rPr>
          <w:rFonts w:ascii="Palatino Linotype" w:eastAsia="Times New Roman" w:hAnsi="Palatino Linotype" w:cs="Arial"/>
          <w:lang w:val="es-ES"/>
        </w:rPr>
      </w:pPr>
    </w:p>
    <w:p w:rsidR="002A5BA4" w:rsidRPr="00312EE8" w:rsidRDefault="002A5BA4" w:rsidP="00312EE8">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312EE8">
        <w:rPr>
          <w:rFonts w:ascii="Palatino Linotype" w:eastAsia="Calibri" w:hAnsi="Palatino Linotype" w:cs="Arial"/>
          <w:lang w:val="es-AR"/>
        </w:rPr>
        <w:t>El</w:t>
      </w:r>
      <w:r w:rsidR="00471954" w:rsidRPr="00312EE8">
        <w:rPr>
          <w:rFonts w:ascii="Palatino Linotype" w:eastAsia="Times New Roman" w:hAnsi="Palatino Linotype" w:cs="Arial"/>
          <w:lang w:val="es-ES"/>
        </w:rPr>
        <w:t xml:space="preserve"> día </w:t>
      </w:r>
      <w:r w:rsidR="00113499" w:rsidRPr="00312EE8">
        <w:rPr>
          <w:rFonts w:ascii="Palatino Linotype" w:eastAsia="Times New Roman" w:hAnsi="Palatino Linotype" w:cs="Arial"/>
          <w:lang w:val="es-ES"/>
        </w:rPr>
        <w:t>dieciséis</w:t>
      </w:r>
      <w:r w:rsidR="00F267D4" w:rsidRPr="00312EE8">
        <w:rPr>
          <w:rFonts w:ascii="Palatino Linotype" w:eastAsia="Times New Roman" w:hAnsi="Palatino Linotype" w:cs="Arial"/>
          <w:lang w:val="es-ES"/>
        </w:rPr>
        <w:t xml:space="preserve"> </w:t>
      </w:r>
      <w:r w:rsidRPr="00312EE8">
        <w:rPr>
          <w:rFonts w:ascii="Palatino Linotype" w:eastAsia="Times New Roman" w:hAnsi="Palatino Linotype" w:cs="Arial"/>
          <w:lang w:val="es-ES"/>
        </w:rPr>
        <w:t>(</w:t>
      </w:r>
      <w:r w:rsidR="00113499" w:rsidRPr="00312EE8">
        <w:rPr>
          <w:rFonts w:ascii="Palatino Linotype" w:eastAsia="Times New Roman" w:hAnsi="Palatino Linotype" w:cs="Arial"/>
          <w:lang w:val="es-ES"/>
        </w:rPr>
        <w:t>16</w:t>
      </w:r>
      <w:r w:rsidRPr="00312EE8">
        <w:rPr>
          <w:rFonts w:ascii="Palatino Linotype" w:eastAsia="Times New Roman" w:hAnsi="Palatino Linotype" w:cs="Arial"/>
          <w:lang w:val="es-ES"/>
        </w:rPr>
        <w:t xml:space="preserve">) de </w:t>
      </w:r>
      <w:r w:rsidR="00113499" w:rsidRPr="00312EE8">
        <w:rPr>
          <w:rFonts w:ascii="Palatino Linotype" w:eastAsia="Times New Roman" w:hAnsi="Palatino Linotype" w:cs="Arial"/>
          <w:lang w:val="es-ES"/>
        </w:rPr>
        <w:t>noviembre</w:t>
      </w:r>
      <w:r w:rsidRPr="00312EE8">
        <w:rPr>
          <w:rFonts w:ascii="Palatino Linotype" w:eastAsia="Times New Roman" w:hAnsi="Palatino Linotype" w:cs="Arial"/>
          <w:lang w:val="es-ES"/>
        </w:rPr>
        <w:t xml:space="preserve"> de dos mil dieci</w:t>
      </w:r>
      <w:r w:rsidR="000E053C" w:rsidRPr="00312EE8">
        <w:rPr>
          <w:rFonts w:ascii="Palatino Linotype" w:eastAsia="Times New Roman" w:hAnsi="Palatino Linotype" w:cs="Arial"/>
          <w:lang w:val="es-ES"/>
        </w:rPr>
        <w:t>ocho</w:t>
      </w:r>
      <w:r w:rsidRPr="00312EE8">
        <w:rPr>
          <w:rFonts w:ascii="Palatino Linotype" w:eastAsia="Times New Roman" w:hAnsi="Palatino Linotype" w:cs="Arial"/>
          <w:lang w:val="es-ES"/>
        </w:rPr>
        <w:t xml:space="preserve">, </w:t>
      </w:r>
      <w:r w:rsidR="00F267D4" w:rsidRPr="00312EE8">
        <w:rPr>
          <w:rFonts w:ascii="Palatino Linotype" w:hAnsi="Palatino Linotype"/>
          <w:b/>
          <w:szCs w:val="22"/>
        </w:rPr>
        <w:t>el particular</w:t>
      </w:r>
      <w:r w:rsidR="00FB61C7" w:rsidRPr="00312EE8">
        <w:rPr>
          <w:rFonts w:ascii="Palatino Linotype" w:eastAsia="Times New Roman" w:hAnsi="Palatino Linotype" w:cs="Arial"/>
          <w:lang w:val="es-ES"/>
        </w:rPr>
        <w:t xml:space="preserve"> interpuso </w:t>
      </w:r>
      <w:r w:rsidR="0036196A" w:rsidRPr="00312EE8">
        <w:rPr>
          <w:rFonts w:ascii="Palatino Linotype" w:eastAsia="Times New Roman" w:hAnsi="Palatino Linotype" w:cs="Arial"/>
          <w:lang w:val="es-ES"/>
        </w:rPr>
        <w:t xml:space="preserve">el </w:t>
      </w:r>
      <w:r w:rsidRPr="00312EE8">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644CCE" w:rsidRPr="00312EE8" w:rsidRDefault="00644CCE" w:rsidP="00312EE8">
      <w:pPr>
        <w:pStyle w:val="Prrafodelista"/>
        <w:spacing w:before="240" w:after="240" w:line="360" w:lineRule="auto"/>
        <w:ind w:left="0"/>
        <w:jc w:val="both"/>
        <w:rPr>
          <w:rFonts w:ascii="Palatino Linotype" w:hAnsi="Palatino Linotype" w:cs="Arial"/>
          <w:i/>
          <w:sz w:val="22"/>
          <w:szCs w:val="22"/>
        </w:rPr>
      </w:pPr>
    </w:p>
    <w:p w:rsidR="00113499" w:rsidRPr="00312EE8" w:rsidRDefault="000E053C" w:rsidP="00312EE8">
      <w:pPr>
        <w:pStyle w:val="Prrafodelista"/>
        <w:numPr>
          <w:ilvl w:val="0"/>
          <w:numId w:val="7"/>
        </w:numPr>
        <w:spacing w:line="360" w:lineRule="auto"/>
        <w:ind w:left="567" w:right="567"/>
        <w:jc w:val="both"/>
        <w:rPr>
          <w:rFonts w:ascii="Palatino Linotype" w:hAnsi="Palatino Linotype"/>
          <w:b/>
        </w:rPr>
      </w:pPr>
      <w:r w:rsidRPr="00312EE8">
        <w:rPr>
          <w:rFonts w:ascii="Palatino Linotype" w:hAnsi="Palatino Linotype"/>
          <w:b/>
        </w:rPr>
        <w:t>Acto impugnado</w:t>
      </w:r>
      <w:r w:rsidR="00113499" w:rsidRPr="00312EE8">
        <w:rPr>
          <w:rFonts w:ascii="Palatino Linotype" w:hAnsi="Palatino Linotype"/>
          <w:b/>
        </w:rPr>
        <w:t>: “</w:t>
      </w:r>
      <w:r w:rsidR="00113499" w:rsidRPr="00312EE8">
        <w:rPr>
          <w:rFonts w:ascii="Palatino Linotype" w:hAnsi="Palatino Linotype"/>
          <w:i/>
          <w:sz w:val="22"/>
        </w:rPr>
        <w:t xml:space="preserve">incumplimiento por parte del sujeto obligado” (sic); y, </w:t>
      </w:r>
    </w:p>
    <w:p w:rsidR="00ED2E65" w:rsidRPr="00312EE8" w:rsidRDefault="000E053C" w:rsidP="00312EE8">
      <w:pPr>
        <w:pStyle w:val="Prrafodelista"/>
        <w:numPr>
          <w:ilvl w:val="0"/>
          <w:numId w:val="7"/>
        </w:numPr>
        <w:spacing w:line="360" w:lineRule="auto"/>
        <w:ind w:left="567" w:right="567"/>
        <w:jc w:val="both"/>
        <w:rPr>
          <w:rFonts w:ascii="Palatino Linotype" w:hAnsi="Palatino Linotype" w:cs="Arial"/>
          <w:i/>
          <w:sz w:val="22"/>
          <w:szCs w:val="22"/>
        </w:rPr>
      </w:pPr>
      <w:r w:rsidRPr="00312EE8">
        <w:rPr>
          <w:rFonts w:ascii="Palatino Linotype" w:hAnsi="Palatino Linotype"/>
          <w:b/>
        </w:rPr>
        <w:t>Razones o Motivos de inconformidad:</w:t>
      </w:r>
      <w:r w:rsidRPr="00312EE8">
        <w:rPr>
          <w:rStyle w:val="Ttulo2Car"/>
          <w:rFonts w:ascii="Palatino Linotype" w:hAnsi="Palatino Linotype"/>
          <w:b/>
          <w:lang w:val="es-ES"/>
        </w:rPr>
        <w:t xml:space="preserve"> </w:t>
      </w:r>
      <w:r w:rsidRPr="00312EE8">
        <w:rPr>
          <w:rFonts w:ascii="Palatino Linotype" w:hAnsi="Palatino Linotype"/>
          <w:i/>
          <w:szCs w:val="22"/>
        </w:rPr>
        <w:t>“</w:t>
      </w:r>
      <w:proofErr w:type="spellStart"/>
      <w:r w:rsidR="00113499" w:rsidRPr="00312EE8">
        <w:rPr>
          <w:rFonts w:ascii="Palatino Linotype" w:hAnsi="Palatino Linotype"/>
          <w:i/>
          <w:sz w:val="22"/>
        </w:rPr>
        <w:t>Incumplieinto</w:t>
      </w:r>
      <w:proofErr w:type="spellEnd"/>
      <w:r w:rsidR="00113499" w:rsidRPr="00312EE8">
        <w:rPr>
          <w:rFonts w:ascii="Palatino Linotype" w:hAnsi="Palatino Linotype"/>
          <w:i/>
          <w:sz w:val="22"/>
        </w:rPr>
        <w:t xml:space="preserve"> y negativa</w:t>
      </w:r>
      <w:r w:rsidRPr="00312EE8">
        <w:rPr>
          <w:rFonts w:ascii="Palatino Linotype" w:hAnsi="Palatino Linotype"/>
          <w:i/>
          <w:sz w:val="22"/>
          <w:szCs w:val="22"/>
        </w:rPr>
        <w:t xml:space="preserve">” </w:t>
      </w:r>
      <w:r w:rsidRPr="00312EE8">
        <w:rPr>
          <w:rFonts w:ascii="Palatino Linotype" w:hAnsi="Palatino Linotype" w:cs="Arial"/>
          <w:i/>
          <w:sz w:val="22"/>
          <w:szCs w:val="22"/>
        </w:rPr>
        <w:t xml:space="preserve">(Sic) </w:t>
      </w:r>
    </w:p>
    <w:p w:rsidR="003B7543" w:rsidRPr="00312EE8" w:rsidRDefault="003B7543" w:rsidP="00312EE8">
      <w:pPr>
        <w:pStyle w:val="Prrafodelista"/>
        <w:spacing w:line="360" w:lineRule="auto"/>
        <w:jc w:val="both"/>
        <w:rPr>
          <w:rFonts w:ascii="Palatino Linotype" w:hAnsi="Palatino Linotype" w:cs="Arial"/>
          <w:szCs w:val="22"/>
        </w:rPr>
      </w:pPr>
    </w:p>
    <w:bookmarkEnd w:id="1"/>
    <w:bookmarkEnd w:id="2"/>
    <w:bookmarkEnd w:id="3"/>
    <w:p w:rsidR="002A5BA4" w:rsidRPr="00312EE8" w:rsidRDefault="002A5BA4" w:rsidP="00312EE8">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12EE8">
        <w:rPr>
          <w:rFonts w:ascii="Palatino Linotype" w:eastAsia="Calibri" w:hAnsi="Palatino Linotype" w:cs="Arial"/>
          <w:lang w:val="es-AR"/>
        </w:rPr>
        <w:t xml:space="preserve"> </w:t>
      </w:r>
      <w:r w:rsidR="0036196A" w:rsidRPr="00312EE8">
        <w:rPr>
          <w:rFonts w:ascii="Palatino Linotype" w:eastAsia="Times New Roman" w:hAnsi="Palatino Linotype" w:cs="Arial"/>
          <w:lang w:val="es-ES"/>
        </w:rPr>
        <w:t>Se registró</w:t>
      </w:r>
      <w:r w:rsidRPr="00312EE8">
        <w:rPr>
          <w:rFonts w:ascii="Palatino Linotype" w:eastAsia="Times New Roman" w:hAnsi="Palatino Linotype" w:cs="Arial"/>
          <w:lang w:val="es-ES"/>
        </w:rPr>
        <w:t xml:space="preserve"> </w:t>
      </w:r>
      <w:r w:rsidR="0036196A" w:rsidRPr="00312EE8">
        <w:rPr>
          <w:rFonts w:ascii="Palatino Linotype" w:eastAsia="Times New Roman" w:hAnsi="Palatino Linotype" w:cs="Arial"/>
          <w:lang w:val="es-ES"/>
        </w:rPr>
        <w:t>el</w:t>
      </w:r>
      <w:r w:rsidRPr="00312EE8">
        <w:rPr>
          <w:rFonts w:ascii="Palatino Linotype" w:eastAsia="Times New Roman" w:hAnsi="Palatino Linotype" w:cs="Arial"/>
          <w:lang w:val="es-ES"/>
        </w:rPr>
        <w:t xml:space="preserve"> recurso de revisión bajo </w:t>
      </w:r>
      <w:r w:rsidR="0036196A" w:rsidRPr="00312EE8">
        <w:rPr>
          <w:rFonts w:ascii="Palatino Linotype" w:eastAsia="Times New Roman" w:hAnsi="Palatino Linotype" w:cs="Arial"/>
          <w:lang w:val="es-ES"/>
        </w:rPr>
        <w:t>el</w:t>
      </w:r>
      <w:r w:rsidRPr="00312EE8">
        <w:rPr>
          <w:rFonts w:ascii="Palatino Linotype" w:eastAsia="Times New Roman" w:hAnsi="Palatino Linotype" w:cs="Arial"/>
          <w:lang w:val="es-ES"/>
        </w:rPr>
        <w:t xml:space="preserve"> número de expediente </w:t>
      </w:r>
      <w:r w:rsidRPr="00312EE8">
        <w:rPr>
          <w:rFonts w:ascii="Palatino Linotype" w:hAnsi="Palatino Linotype" w:cs="Arial"/>
          <w:bCs/>
        </w:rPr>
        <w:t xml:space="preserve">al rubro indicado, asimismo con fundamento en lo dispuesto por el </w:t>
      </w:r>
      <w:r w:rsidRPr="00312EE8">
        <w:rPr>
          <w:rFonts w:ascii="Palatino Linotype" w:eastAsia="Calibri" w:hAnsi="Palatino Linotype" w:cs="Arial"/>
          <w:lang w:val="es-ES"/>
        </w:rPr>
        <w:t xml:space="preserve">artículo 185 fracción I de la </w:t>
      </w:r>
      <w:r w:rsidRPr="00312EE8">
        <w:rPr>
          <w:rFonts w:ascii="Palatino Linotype" w:eastAsia="Calibri" w:hAnsi="Palatino Linotype" w:cs="Arial"/>
          <w:b/>
          <w:lang w:val="es-ES"/>
        </w:rPr>
        <w:t xml:space="preserve">Ley de Transparencia y Acceso a la Información Pública del Estado de México y Municipios </w:t>
      </w:r>
      <w:r w:rsidRPr="00312EE8">
        <w:rPr>
          <w:rFonts w:ascii="Palatino Linotype" w:eastAsia="Times New Roman" w:hAnsi="Palatino Linotype" w:cs="Arial"/>
          <w:lang w:val="es-ES"/>
        </w:rPr>
        <w:t>se turn</w:t>
      </w:r>
      <w:r w:rsidR="0036196A" w:rsidRPr="00312EE8">
        <w:rPr>
          <w:rFonts w:ascii="Palatino Linotype" w:eastAsia="Times New Roman" w:hAnsi="Palatino Linotype" w:cs="Arial"/>
          <w:lang w:val="es-ES"/>
        </w:rPr>
        <w:t>ó</w:t>
      </w:r>
      <w:r w:rsidRPr="00312EE8">
        <w:rPr>
          <w:rFonts w:ascii="Palatino Linotype" w:eastAsia="Times New Roman" w:hAnsi="Palatino Linotype" w:cs="Arial"/>
          <w:lang w:val="es-ES"/>
        </w:rPr>
        <w:t xml:space="preserve"> al </w:t>
      </w:r>
      <w:r w:rsidRPr="00312EE8">
        <w:rPr>
          <w:rFonts w:ascii="Palatino Linotype" w:eastAsia="Times New Roman" w:hAnsi="Palatino Linotype" w:cs="Arial"/>
          <w:b/>
          <w:lang w:val="es-ES"/>
        </w:rPr>
        <w:t xml:space="preserve">Comisionado José Guadalupe Luna Hernández, </w:t>
      </w:r>
      <w:r w:rsidRPr="00312EE8">
        <w:rPr>
          <w:rFonts w:ascii="Palatino Linotype" w:eastAsia="Times New Roman" w:hAnsi="Palatino Linotype" w:cs="Arial"/>
          <w:lang w:val="es-ES"/>
        </w:rPr>
        <w:t xml:space="preserve">con el objeto de </w:t>
      </w:r>
      <w:r w:rsidRPr="00312EE8">
        <w:rPr>
          <w:rFonts w:ascii="Palatino Linotype" w:eastAsia="Times New Roman" w:hAnsi="Palatino Linotype" w:cs="Arial"/>
          <w:lang w:val="es-MX"/>
        </w:rPr>
        <w:t xml:space="preserve">su análisis. </w:t>
      </w:r>
    </w:p>
    <w:p w:rsidR="002A5BA4" w:rsidRPr="00312EE8" w:rsidRDefault="002A5BA4" w:rsidP="00312EE8">
      <w:pPr>
        <w:pStyle w:val="Prrafodelista"/>
        <w:spacing w:line="360" w:lineRule="auto"/>
        <w:ind w:left="0"/>
        <w:rPr>
          <w:rFonts w:ascii="Palatino Linotype" w:hAnsi="Palatino Linotype"/>
          <w:color w:val="000000"/>
          <w:sz w:val="22"/>
          <w:szCs w:val="22"/>
        </w:rPr>
      </w:pPr>
    </w:p>
    <w:p w:rsidR="002A5BA4" w:rsidRPr="00312EE8" w:rsidRDefault="002A5BA4" w:rsidP="00312EE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12EE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13499" w:rsidRPr="00312EE8">
        <w:rPr>
          <w:rFonts w:ascii="Palatino Linotype" w:eastAsia="Calibri" w:hAnsi="Palatino Linotype" w:cs="Arial"/>
          <w:lang w:val="es-ES"/>
        </w:rPr>
        <w:t>veintitrés</w:t>
      </w:r>
      <w:r w:rsidR="00FC5D9F" w:rsidRPr="00312EE8">
        <w:rPr>
          <w:rFonts w:ascii="Palatino Linotype" w:eastAsia="Calibri" w:hAnsi="Palatino Linotype" w:cs="Arial"/>
          <w:lang w:val="es-ES"/>
        </w:rPr>
        <w:t xml:space="preserve"> </w:t>
      </w:r>
      <w:r w:rsidRPr="00312EE8">
        <w:rPr>
          <w:rFonts w:ascii="Palatino Linotype" w:eastAsia="Calibri" w:hAnsi="Palatino Linotype" w:cs="Arial"/>
          <w:lang w:val="es-ES"/>
        </w:rPr>
        <w:t>(</w:t>
      </w:r>
      <w:r w:rsidR="00113499" w:rsidRPr="00312EE8">
        <w:rPr>
          <w:rFonts w:ascii="Palatino Linotype" w:eastAsia="Calibri" w:hAnsi="Palatino Linotype" w:cs="Arial"/>
          <w:lang w:val="es-ES"/>
        </w:rPr>
        <w:t>23</w:t>
      </w:r>
      <w:r w:rsidRPr="00312EE8">
        <w:rPr>
          <w:rFonts w:ascii="Palatino Linotype" w:eastAsia="Calibri" w:hAnsi="Palatino Linotype" w:cs="Arial"/>
          <w:lang w:val="es-ES"/>
        </w:rPr>
        <w:t xml:space="preserve">) de </w:t>
      </w:r>
      <w:r w:rsidR="00113499" w:rsidRPr="00312EE8">
        <w:rPr>
          <w:rFonts w:ascii="Palatino Linotype" w:eastAsia="Calibri" w:hAnsi="Palatino Linotype" w:cs="Arial"/>
          <w:lang w:val="es-ES"/>
        </w:rPr>
        <w:t>noviembre</w:t>
      </w:r>
      <w:r w:rsidR="00241D58" w:rsidRPr="00312EE8">
        <w:rPr>
          <w:rFonts w:ascii="Palatino Linotype" w:eastAsia="Calibri" w:hAnsi="Palatino Linotype" w:cs="Arial"/>
          <w:lang w:val="es-ES"/>
        </w:rPr>
        <w:t xml:space="preserve"> </w:t>
      </w:r>
      <w:r w:rsidRPr="00312EE8">
        <w:rPr>
          <w:rFonts w:ascii="Palatino Linotype" w:eastAsia="Calibri" w:hAnsi="Palatino Linotype" w:cs="Arial"/>
          <w:lang w:val="es-ES"/>
        </w:rPr>
        <w:t xml:space="preserve">de dos mil </w:t>
      </w:r>
      <w:r w:rsidR="000E053C" w:rsidRPr="00312EE8">
        <w:rPr>
          <w:rFonts w:ascii="Palatino Linotype" w:eastAsia="Calibri" w:hAnsi="Palatino Linotype" w:cs="Arial"/>
          <w:lang w:val="es-ES"/>
        </w:rPr>
        <w:t>dieciocho</w:t>
      </w:r>
      <w:r w:rsidRPr="00312EE8">
        <w:rPr>
          <w:rFonts w:ascii="Palatino Linotype" w:eastAsia="Calibri" w:hAnsi="Palatino Linotype" w:cs="Arial"/>
          <w:lang w:val="es-ES"/>
        </w:rPr>
        <w:t xml:space="preserve">, puso a disposición de las partes </w:t>
      </w:r>
      <w:r w:rsidR="0036196A" w:rsidRPr="00312EE8">
        <w:rPr>
          <w:rFonts w:ascii="Palatino Linotype" w:eastAsia="Calibri" w:hAnsi="Palatino Linotype" w:cs="Arial"/>
          <w:lang w:val="es-ES"/>
        </w:rPr>
        <w:t>el</w:t>
      </w:r>
      <w:r w:rsidRPr="00312EE8">
        <w:rPr>
          <w:rFonts w:ascii="Palatino Linotype" w:eastAsia="Calibri" w:hAnsi="Palatino Linotype" w:cs="Arial"/>
          <w:lang w:val="es-ES"/>
        </w:rPr>
        <w:t xml:space="preserve"> expediente electrónico </w:t>
      </w:r>
      <w:r w:rsidRPr="00312EE8">
        <w:rPr>
          <w:rFonts w:ascii="Palatino Linotype" w:eastAsia="Calibri" w:hAnsi="Palatino Linotype" w:cs="Arial"/>
        </w:rPr>
        <w:t xml:space="preserve">vía </w:t>
      </w:r>
      <w:r w:rsidRPr="00312EE8">
        <w:rPr>
          <w:rFonts w:ascii="Palatino Linotype" w:eastAsia="Calibri" w:hAnsi="Palatino Linotype" w:cs="Arial"/>
          <w:b/>
          <w:lang w:val="es-ES"/>
        </w:rPr>
        <w:t xml:space="preserve">SAIMEX </w:t>
      </w:r>
      <w:r w:rsidRPr="00312EE8">
        <w:rPr>
          <w:rFonts w:ascii="Palatino Linotype" w:eastAsia="Calibri" w:hAnsi="Palatino Linotype" w:cs="Arial"/>
          <w:lang w:val="es-ES"/>
        </w:rPr>
        <w:t xml:space="preserve">a efecto de que en un plazo máximo de siete días manifestaran lo que a derecho convinieran, ofrecieran pruebas y alegatos según </w:t>
      </w:r>
      <w:r w:rsidRPr="00312EE8">
        <w:rPr>
          <w:rFonts w:ascii="Palatino Linotype" w:eastAsia="Calibri" w:hAnsi="Palatino Linotype" w:cs="Arial"/>
          <w:lang w:val="es-ES"/>
        </w:rPr>
        <w:lastRenderedPageBreak/>
        <w:t xml:space="preserve">corresponda al caso concreto, de esta forma para que el </w:t>
      </w:r>
      <w:r w:rsidRPr="00312EE8">
        <w:rPr>
          <w:rFonts w:ascii="Palatino Linotype" w:eastAsia="Calibri" w:hAnsi="Palatino Linotype" w:cs="Arial"/>
          <w:b/>
          <w:lang w:val="es-ES"/>
        </w:rPr>
        <w:t>SUJETO OBLIGADO</w:t>
      </w:r>
      <w:r w:rsidR="0036196A" w:rsidRPr="00312EE8">
        <w:rPr>
          <w:rFonts w:ascii="Palatino Linotype" w:eastAsia="Calibri" w:hAnsi="Palatino Linotype" w:cs="Arial"/>
          <w:lang w:val="es-ES"/>
        </w:rPr>
        <w:t xml:space="preserve"> presentara</w:t>
      </w:r>
      <w:r w:rsidR="00500D9A" w:rsidRPr="00312EE8">
        <w:rPr>
          <w:rFonts w:ascii="Palatino Linotype" w:eastAsia="Calibri" w:hAnsi="Palatino Linotype" w:cs="Arial"/>
          <w:lang w:val="es-ES"/>
        </w:rPr>
        <w:t xml:space="preserve"> </w:t>
      </w:r>
      <w:r w:rsidR="0036196A" w:rsidRPr="00312EE8">
        <w:rPr>
          <w:rFonts w:ascii="Palatino Linotype" w:eastAsia="Calibri" w:hAnsi="Palatino Linotype" w:cs="Arial"/>
          <w:lang w:val="es-ES"/>
        </w:rPr>
        <w:t>el Informe</w:t>
      </w:r>
      <w:r w:rsidRPr="00312EE8">
        <w:rPr>
          <w:rFonts w:ascii="Palatino Linotype" w:eastAsia="Calibri" w:hAnsi="Palatino Linotype" w:cs="Arial"/>
          <w:lang w:val="es-ES"/>
        </w:rPr>
        <w:t xml:space="preserve"> Justificado procedente</w:t>
      </w:r>
      <w:r w:rsidR="0036196A" w:rsidRPr="00312EE8">
        <w:rPr>
          <w:rFonts w:ascii="Palatino Linotype" w:eastAsia="Calibri" w:hAnsi="Palatino Linotype" w:cs="Arial"/>
          <w:lang w:val="es-ES"/>
        </w:rPr>
        <w:t>.</w:t>
      </w:r>
      <w:r w:rsidRPr="00312EE8">
        <w:rPr>
          <w:rFonts w:ascii="Palatino Linotype" w:eastAsia="Calibri" w:hAnsi="Palatino Linotype" w:cs="Arial"/>
          <w:lang w:val="es-ES"/>
        </w:rPr>
        <w:t xml:space="preserve">    </w:t>
      </w:r>
    </w:p>
    <w:p w:rsidR="00241D58" w:rsidRPr="00312EE8" w:rsidRDefault="00241D58" w:rsidP="00312EE8">
      <w:pPr>
        <w:pStyle w:val="Prrafodelista"/>
        <w:spacing w:line="360" w:lineRule="auto"/>
        <w:rPr>
          <w:rFonts w:ascii="Palatino Linotype" w:hAnsi="Palatino Linotype"/>
          <w:i/>
          <w:color w:val="000000"/>
          <w:sz w:val="22"/>
          <w:szCs w:val="22"/>
        </w:rPr>
      </w:pPr>
    </w:p>
    <w:p w:rsidR="00113499" w:rsidRPr="00312EE8" w:rsidRDefault="00241D58" w:rsidP="00312EE8">
      <w:pPr>
        <w:pStyle w:val="Prrafodelista"/>
        <w:numPr>
          <w:ilvl w:val="0"/>
          <w:numId w:val="1"/>
        </w:numPr>
        <w:spacing w:before="240" w:after="240" w:line="360" w:lineRule="auto"/>
        <w:ind w:left="0" w:hanging="11"/>
        <w:jc w:val="both"/>
        <w:rPr>
          <w:rFonts w:ascii="Palatino Linotype" w:hAnsi="Palatino Linotype"/>
        </w:rPr>
      </w:pPr>
      <w:r w:rsidRPr="00312EE8">
        <w:rPr>
          <w:rFonts w:ascii="Palatino Linotype" w:eastAsia="Calibri" w:hAnsi="Palatino Linotype" w:cs="Arial"/>
          <w:lang w:val="es-ES"/>
        </w:rPr>
        <w:t xml:space="preserve">El día </w:t>
      </w:r>
      <w:r w:rsidR="00113499" w:rsidRPr="00312EE8">
        <w:rPr>
          <w:rFonts w:ascii="Palatino Linotype" w:eastAsia="Calibri" w:hAnsi="Palatino Linotype" w:cs="Arial"/>
          <w:lang w:val="es-ES"/>
        </w:rPr>
        <w:t>catorce</w:t>
      </w:r>
      <w:r w:rsidRPr="00312EE8">
        <w:rPr>
          <w:rFonts w:ascii="Palatino Linotype" w:eastAsia="Calibri" w:hAnsi="Palatino Linotype" w:cs="Arial"/>
          <w:lang w:val="es-ES"/>
        </w:rPr>
        <w:t xml:space="preserve"> (</w:t>
      </w:r>
      <w:r w:rsidR="00113499" w:rsidRPr="00312EE8">
        <w:rPr>
          <w:rFonts w:ascii="Palatino Linotype" w:eastAsia="Calibri" w:hAnsi="Palatino Linotype" w:cs="Arial"/>
          <w:lang w:val="es-ES"/>
        </w:rPr>
        <w:t>14</w:t>
      </w:r>
      <w:r w:rsidRPr="00312EE8">
        <w:rPr>
          <w:rFonts w:ascii="Palatino Linotype" w:eastAsia="Calibri" w:hAnsi="Palatino Linotype" w:cs="Arial"/>
          <w:lang w:val="es-ES"/>
        </w:rPr>
        <w:t xml:space="preserve">) de </w:t>
      </w:r>
      <w:r w:rsidR="00113499" w:rsidRPr="00312EE8">
        <w:rPr>
          <w:rFonts w:ascii="Palatino Linotype" w:eastAsia="Calibri" w:hAnsi="Palatino Linotype" w:cs="Arial"/>
          <w:lang w:val="es-ES"/>
        </w:rPr>
        <w:t>diciembre de dos mil dieciocho</w:t>
      </w:r>
      <w:r w:rsidRPr="00312EE8">
        <w:rPr>
          <w:rFonts w:ascii="Palatino Linotype" w:eastAsia="Calibri" w:hAnsi="Palatino Linotype" w:cs="Arial"/>
          <w:lang w:val="es-ES"/>
        </w:rPr>
        <w:t xml:space="preserve">, el Sujeto Obligado rindió su informe justificado </w:t>
      </w:r>
      <w:r w:rsidR="00113499" w:rsidRPr="00312EE8">
        <w:rPr>
          <w:rFonts w:ascii="Palatino Linotype" w:eastAsia="Calibri" w:hAnsi="Palatino Linotype" w:cs="Arial"/>
          <w:lang w:val="es-ES"/>
        </w:rPr>
        <w:t xml:space="preserve">mediante el documento electrónico denominado </w:t>
      </w:r>
      <w:r w:rsidR="00113499" w:rsidRPr="00312EE8">
        <w:rPr>
          <w:rFonts w:ascii="Palatino Linotype" w:eastAsia="Calibri" w:hAnsi="Palatino Linotype" w:cs="Arial"/>
          <w:b/>
          <w:i/>
          <w:sz w:val="22"/>
          <w:lang w:val="es-ES"/>
        </w:rPr>
        <w:t xml:space="preserve">OFICIO 2016 transparencia </w:t>
      </w:r>
      <w:r w:rsidR="007B1D49" w:rsidRPr="007B1D49">
        <w:rPr>
          <w:rFonts w:ascii="Palatino Linotype" w:eastAsia="Calibri" w:hAnsi="Palatino Linotype" w:cs="Arial"/>
          <w:b/>
          <w:i/>
          <w:sz w:val="22"/>
          <w:highlight w:val="black"/>
          <w:lang w:val="es-ES"/>
        </w:rPr>
        <w:t>----------------------------------</w:t>
      </w:r>
      <w:r w:rsidR="00113499" w:rsidRPr="00312EE8">
        <w:rPr>
          <w:rFonts w:ascii="Palatino Linotype" w:eastAsia="Calibri" w:hAnsi="Palatino Linotype" w:cs="Arial"/>
          <w:b/>
          <w:i/>
          <w:sz w:val="22"/>
          <w:lang w:val="es-ES"/>
        </w:rPr>
        <w:t xml:space="preserve"> 55 .</w:t>
      </w:r>
      <w:proofErr w:type="spellStart"/>
      <w:r w:rsidR="00113499" w:rsidRPr="00312EE8">
        <w:rPr>
          <w:rFonts w:ascii="Palatino Linotype" w:eastAsia="Calibri" w:hAnsi="Palatino Linotype" w:cs="Arial"/>
          <w:b/>
          <w:i/>
          <w:sz w:val="22"/>
          <w:lang w:val="es-ES"/>
        </w:rPr>
        <w:t>pdf</w:t>
      </w:r>
      <w:proofErr w:type="spellEnd"/>
      <w:r w:rsidR="00113499" w:rsidRPr="00312EE8">
        <w:rPr>
          <w:rFonts w:ascii="Palatino Linotype" w:eastAsia="Calibri" w:hAnsi="Palatino Linotype" w:cs="Arial"/>
          <w:b/>
          <w:i/>
          <w:sz w:val="22"/>
          <w:lang w:val="es-ES"/>
        </w:rPr>
        <w:t xml:space="preserve">, </w:t>
      </w:r>
      <w:r w:rsidR="00113499" w:rsidRPr="00312EE8">
        <w:rPr>
          <w:rFonts w:ascii="Palatino Linotype" w:eastAsia="Calibri" w:hAnsi="Palatino Linotype" w:cs="Arial"/>
          <w:lang w:val="es-ES"/>
        </w:rPr>
        <w:t>el cual consta de una foja con fecha de uno (1) de noviembre de dos mil dieciocho, suscrito por el Titular de la Unidad de Transparencia y Acceso a la Información Pública</w:t>
      </w:r>
      <w:r w:rsidR="00E752BC" w:rsidRPr="00312EE8">
        <w:rPr>
          <w:rFonts w:ascii="Palatino Linotype" w:eastAsia="Calibri" w:hAnsi="Palatino Linotype" w:cs="Arial"/>
          <w:b/>
          <w:i/>
          <w:sz w:val="22"/>
          <w:lang w:val="es-ES"/>
        </w:rPr>
        <w:t xml:space="preserve">, </w:t>
      </w:r>
      <w:r w:rsidR="00113499" w:rsidRPr="00312EE8">
        <w:rPr>
          <w:rFonts w:ascii="Palatino Linotype" w:eastAsia="Calibri" w:hAnsi="Palatino Linotype" w:cs="Arial"/>
          <w:lang w:val="es-ES"/>
        </w:rPr>
        <w:t xml:space="preserve">sin embargo, </w:t>
      </w:r>
      <w:r w:rsidR="00E752BC" w:rsidRPr="00312EE8">
        <w:rPr>
          <w:rFonts w:ascii="Palatino Linotype" w:eastAsia="Calibri" w:hAnsi="Palatino Linotype" w:cs="Arial"/>
          <w:lang w:val="es-ES"/>
        </w:rPr>
        <w:t xml:space="preserve">no se hará de su conocimiento por los fundamentos plasmados en el considerando </w:t>
      </w:r>
      <w:r w:rsidR="00113499" w:rsidRPr="00312EE8">
        <w:rPr>
          <w:rFonts w:ascii="Palatino Linotype" w:eastAsia="Calibri" w:hAnsi="Palatino Linotype" w:cs="Arial"/>
          <w:b/>
          <w:lang w:val="es-ES"/>
        </w:rPr>
        <w:t>CUARTO</w:t>
      </w:r>
      <w:r w:rsidR="00113499" w:rsidRPr="00312EE8">
        <w:rPr>
          <w:rFonts w:ascii="Palatino Linotype" w:eastAsia="Calibri" w:hAnsi="Palatino Linotype" w:cs="Arial"/>
          <w:lang w:val="es-ES"/>
        </w:rPr>
        <w:t xml:space="preserve"> de la presente resolución.</w:t>
      </w:r>
    </w:p>
    <w:p w:rsidR="00113499" w:rsidRPr="00312EE8" w:rsidRDefault="00113499" w:rsidP="00312EE8">
      <w:pPr>
        <w:pStyle w:val="Prrafodelista"/>
        <w:spacing w:line="360" w:lineRule="auto"/>
        <w:rPr>
          <w:rFonts w:ascii="Palatino Linotype" w:eastAsia="Calibri" w:hAnsi="Palatino Linotype" w:cs="Arial"/>
          <w:lang w:val="es-ES"/>
        </w:rPr>
      </w:pPr>
    </w:p>
    <w:p w:rsidR="002A5BA4" w:rsidRPr="0006695C" w:rsidRDefault="002A5BA4" w:rsidP="00312EE8">
      <w:pPr>
        <w:pStyle w:val="Prrafodelista"/>
        <w:numPr>
          <w:ilvl w:val="0"/>
          <w:numId w:val="1"/>
        </w:numPr>
        <w:spacing w:line="360" w:lineRule="auto"/>
        <w:ind w:left="0" w:hanging="11"/>
        <w:jc w:val="both"/>
        <w:rPr>
          <w:rFonts w:ascii="Palatino Linotype" w:hAnsi="Palatino Linotype"/>
          <w:b/>
          <w:u w:val="single"/>
        </w:rPr>
      </w:pPr>
      <w:r w:rsidRPr="00312EE8">
        <w:rPr>
          <w:rFonts w:ascii="Palatino Linotype" w:hAnsi="Palatino Linotype"/>
        </w:rPr>
        <w:t>El Comisionado Ponente decretó el cierre de instrucción</w:t>
      </w:r>
      <w:r w:rsidRPr="00312EE8">
        <w:rPr>
          <w:rFonts w:ascii="Palatino Linotype" w:hAnsi="Palatino Linotype" w:cs="Arial"/>
        </w:rPr>
        <w:t xml:space="preserve"> </w:t>
      </w:r>
      <w:r w:rsidRPr="00312EE8">
        <w:rPr>
          <w:rFonts w:ascii="Palatino Linotype" w:hAnsi="Palatino Linotype"/>
        </w:rPr>
        <w:t xml:space="preserve">mediante </w:t>
      </w:r>
      <w:r w:rsidR="00763B5A" w:rsidRPr="00312EE8">
        <w:rPr>
          <w:rFonts w:ascii="Palatino Linotype" w:hAnsi="Palatino Linotype"/>
        </w:rPr>
        <w:t>el</w:t>
      </w:r>
      <w:r w:rsidR="00500D9A" w:rsidRPr="00312EE8">
        <w:rPr>
          <w:rFonts w:ascii="Palatino Linotype" w:hAnsi="Palatino Linotype"/>
        </w:rPr>
        <w:t xml:space="preserve"> </w:t>
      </w:r>
      <w:r w:rsidRPr="00312EE8">
        <w:rPr>
          <w:rFonts w:ascii="Palatino Linotype" w:hAnsi="Palatino Linotype"/>
        </w:rPr>
        <w:t xml:space="preserve">acuerdo de fecha </w:t>
      </w:r>
      <w:r w:rsidR="00113499" w:rsidRPr="00312EE8">
        <w:rPr>
          <w:rFonts w:ascii="Palatino Linotype" w:hAnsi="Palatino Linotype"/>
        </w:rPr>
        <w:t>quince</w:t>
      </w:r>
      <w:r w:rsidR="00500D9A" w:rsidRPr="00312EE8">
        <w:rPr>
          <w:rFonts w:ascii="Palatino Linotype" w:hAnsi="Palatino Linotype"/>
        </w:rPr>
        <w:t xml:space="preserve"> (</w:t>
      </w:r>
      <w:r w:rsidR="00113499" w:rsidRPr="00312EE8">
        <w:rPr>
          <w:rFonts w:ascii="Palatino Linotype" w:hAnsi="Palatino Linotype"/>
        </w:rPr>
        <w:t>15</w:t>
      </w:r>
      <w:r w:rsidR="00500D9A" w:rsidRPr="00312EE8">
        <w:rPr>
          <w:rFonts w:ascii="Palatino Linotype" w:hAnsi="Palatino Linotype"/>
        </w:rPr>
        <w:t xml:space="preserve">) de </w:t>
      </w:r>
      <w:r w:rsidR="00113499" w:rsidRPr="00312EE8">
        <w:rPr>
          <w:rFonts w:ascii="Palatino Linotype" w:hAnsi="Palatino Linotype"/>
        </w:rPr>
        <w:t>enero</w:t>
      </w:r>
      <w:r w:rsidR="00500D9A" w:rsidRPr="00312EE8">
        <w:rPr>
          <w:rFonts w:ascii="Palatino Linotype" w:hAnsi="Palatino Linotype"/>
        </w:rPr>
        <w:t xml:space="preserve"> de dos mil </w:t>
      </w:r>
      <w:r w:rsidR="000E053C" w:rsidRPr="00312EE8">
        <w:rPr>
          <w:rFonts w:ascii="Palatino Linotype" w:eastAsia="Calibri" w:hAnsi="Palatino Linotype" w:cs="Arial"/>
          <w:lang w:val="es-ES"/>
        </w:rPr>
        <w:t>dieci</w:t>
      </w:r>
      <w:r w:rsidR="00113499" w:rsidRPr="00312EE8">
        <w:rPr>
          <w:rFonts w:ascii="Palatino Linotype" w:eastAsia="Calibri" w:hAnsi="Palatino Linotype" w:cs="Arial"/>
          <w:lang w:val="es-ES"/>
        </w:rPr>
        <w:t>nueve</w:t>
      </w:r>
      <w:r w:rsidRPr="00312EE8">
        <w:rPr>
          <w:rFonts w:ascii="Palatino Linotype" w:hAnsi="Palatino Linotype"/>
        </w:rPr>
        <w:t xml:space="preserve">, </w:t>
      </w:r>
      <w:r w:rsidR="00581ED0" w:rsidRPr="00312EE8">
        <w:rPr>
          <w:rFonts w:ascii="Palatino Linotype" w:hAnsi="Palatino Linotype"/>
        </w:rPr>
        <w:t>as</w:t>
      </w:r>
      <w:r w:rsidR="005B6DDE" w:rsidRPr="00312EE8">
        <w:rPr>
          <w:rFonts w:ascii="Palatino Linotype" w:hAnsi="Palatino Linotype"/>
        </w:rPr>
        <w:t>imismo, en fecha diecisiete (17) de enero de dos mil diecinueve se notificó e</w:t>
      </w:r>
      <w:r w:rsidR="00581ED0" w:rsidRPr="00312EE8">
        <w:rPr>
          <w:rFonts w:ascii="Palatino Linotype" w:hAnsi="Palatino Linotype"/>
        </w:rPr>
        <w:t>l acuerdo de ampliación de termino para resolver a efecto de un mejor proveer en el expediente en que se actúa, por lo que ordenó turnar el expediente a resolución, misma que ahora se pronuncia;</w:t>
      </w:r>
      <w:r w:rsidR="00581ED0" w:rsidRPr="00312EE8">
        <w:rPr>
          <w:rFonts w:ascii="Palatino Linotype" w:hAnsi="Palatino Linotype" w:cs="Arial"/>
          <w:color w:val="000000" w:themeColor="text1"/>
        </w:rPr>
        <w:t xml:space="preserve"> y  - - </w:t>
      </w:r>
    </w:p>
    <w:p w:rsidR="0006695C" w:rsidRPr="0006695C" w:rsidRDefault="0006695C" w:rsidP="0006695C">
      <w:pPr>
        <w:pStyle w:val="Prrafodelista"/>
        <w:rPr>
          <w:rFonts w:ascii="Palatino Linotype" w:hAnsi="Palatino Linotype"/>
          <w:b/>
          <w:u w:val="single"/>
        </w:rPr>
      </w:pPr>
    </w:p>
    <w:p w:rsidR="0006695C" w:rsidRPr="0006695C" w:rsidRDefault="0006695C" w:rsidP="0006695C">
      <w:pPr>
        <w:spacing w:line="360" w:lineRule="auto"/>
        <w:jc w:val="both"/>
        <w:rPr>
          <w:rFonts w:ascii="Palatino Linotype" w:hAnsi="Palatino Linotype"/>
          <w:b/>
          <w:u w:val="single"/>
        </w:rPr>
      </w:pPr>
    </w:p>
    <w:p w:rsidR="003F5A1B" w:rsidRDefault="003F5A1B" w:rsidP="00312EE8">
      <w:pPr>
        <w:pStyle w:val="Prrafodelista"/>
        <w:spacing w:before="240" w:after="240" w:line="360" w:lineRule="auto"/>
        <w:ind w:left="0"/>
        <w:jc w:val="both"/>
        <w:rPr>
          <w:rFonts w:ascii="Palatino Linotype" w:eastAsia="Calibri" w:hAnsi="Palatino Linotype" w:cs="Arial"/>
          <w:lang w:val="es-ES"/>
        </w:rPr>
      </w:pPr>
    </w:p>
    <w:p w:rsidR="0006695C" w:rsidRPr="00312EE8" w:rsidRDefault="0006695C" w:rsidP="00312EE8">
      <w:pPr>
        <w:pStyle w:val="Prrafodelista"/>
        <w:spacing w:before="240" w:after="240" w:line="360" w:lineRule="auto"/>
        <w:ind w:left="0"/>
        <w:jc w:val="both"/>
        <w:rPr>
          <w:rFonts w:ascii="Palatino Linotype" w:eastAsia="Calibri" w:hAnsi="Palatino Linotype" w:cs="Arial"/>
          <w:lang w:val="es-ES"/>
        </w:rPr>
      </w:pPr>
    </w:p>
    <w:p w:rsidR="002A5BA4" w:rsidRPr="00312EE8" w:rsidRDefault="002A5BA4" w:rsidP="00312EE8">
      <w:pPr>
        <w:pStyle w:val="Ttulo1"/>
        <w:spacing w:line="360" w:lineRule="auto"/>
        <w:jc w:val="center"/>
        <w:rPr>
          <w:b w:val="0"/>
          <w:szCs w:val="24"/>
        </w:rPr>
      </w:pPr>
      <w:bookmarkStart w:id="4" w:name="_Toc535946910"/>
      <w:r w:rsidRPr="00312EE8">
        <w:rPr>
          <w:szCs w:val="24"/>
        </w:rPr>
        <w:lastRenderedPageBreak/>
        <w:t>CONSIDERANDO</w:t>
      </w:r>
      <w:bookmarkEnd w:id="4"/>
      <w:r w:rsidR="005E6C51" w:rsidRPr="00312EE8">
        <w:rPr>
          <w:szCs w:val="24"/>
        </w:rPr>
        <w:t xml:space="preserve"> </w:t>
      </w:r>
    </w:p>
    <w:p w:rsidR="002A5BA4" w:rsidRPr="00312EE8" w:rsidRDefault="002A5BA4" w:rsidP="00312EE8">
      <w:pPr>
        <w:spacing w:line="360" w:lineRule="auto"/>
        <w:rPr>
          <w:rFonts w:ascii="Palatino Linotype" w:hAnsi="Palatino Linotype"/>
          <w:lang w:val="es-MX" w:eastAsia="en-US"/>
        </w:rPr>
      </w:pPr>
    </w:p>
    <w:p w:rsidR="002A5BA4" w:rsidRPr="00312EE8" w:rsidRDefault="002A5BA4" w:rsidP="00312EE8">
      <w:pPr>
        <w:pStyle w:val="Ttulo2"/>
        <w:spacing w:line="360" w:lineRule="auto"/>
        <w:rPr>
          <w:rFonts w:ascii="Palatino Linotype" w:hAnsi="Palatino Linotype"/>
          <w:b/>
          <w:bCs/>
          <w:color w:val="auto"/>
          <w:spacing w:val="60"/>
          <w:sz w:val="24"/>
        </w:rPr>
      </w:pPr>
      <w:bookmarkStart w:id="5" w:name="_Toc535946911"/>
      <w:r w:rsidRPr="00312EE8">
        <w:rPr>
          <w:rFonts w:ascii="Palatino Linotype" w:hAnsi="Palatino Linotype"/>
          <w:b/>
          <w:color w:val="auto"/>
          <w:sz w:val="24"/>
        </w:rPr>
        <w:t>PRIMERO. De la competencia</w:t>
      </w:r>
      <w:bookmarkEnd w:id="5"/>
    </w:p>
    <w:p w:rsidR="002A5BA4" w:rsidRPr="00312EE8" w:rsidRDefault="002A5BA4" w:rsidP="00312EE8">
      <w:pPr>
        <w:pStyle w:val="Prrafodelista"/>
        <w:numPr>
          <w:ilvl w:val="0"/>
          <w:numId w:val="1"/>
        </w:numPr>
        <w:spacing w:before="240" w:after="240" w:line="360" w:lineRule="auto"/>
        <w:ind w:left="0" w:firstLine="0"/>
        <w:jc w:val="both"/>
        <w:rPr>
          <w:rFonts w:ascii="Palatino Linotype" w:hAnsi="Palatino Linotype"/>
        </w:rPr>
      </w:pPr>
      <w:r w:rsidRPr="00312EE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2EE8">
        <w:rPr>
          <w:rFonts w:ascii="Palatino Linotype" w:eastAsia="Calibri" w:hAnsi="Palatino Linotype" w:cs="Times New Roman"/>
          <w:b/>
          <w:lang w:val="es-ES"/>
        </w:rPr>
        <w:t>Constitución Política de los Estados Unidos Mexicanos</w:t>
      </w:r>
      <w:r w:rsidRPr="00312EE8">
        <w:rPr>
          <w:rFonts w:ascii="Palatino Linotype" w:eastAsia="Calibri" w:hAnsi="Palatino Linotype" w:cs="Times New Roman"/>
          <w:lang w:val="es-ES"/>
        </w:rPr>
        <w:t xml:space="preserve">; 5, párrafos </w:t>
      </w:r>
      <w:r w:rsidRPr="00312EE8">
        <w:rPr>
          <w:rFonts w:ascii="Palatino Linotype" w:hAnsi="Palatino Linotype" w:cs="Arial"/>
          <w:bCs/>
          <w:color w:val="222222"/>
          <w:lang w:val="es-ES"/>
        </w:rPr>
        <w:t xml:space="preserve">vigésimo, vigésimo primero y vigésimo segundo </w:t>
      </w:r>
      <w:r w:rsidRPr="00312EE8">
        <w:rPr>
          <w:rFonts w:ascii="Palatino Linotype" w:eastAsia="Calibri" w:hAnsi="Palatino Linotype" w:cs="Times New Roman"/>
          <w:lang w:val="es-ES"/>
        </w:rPr>
        <w:t xml:space="preserve">fracciones IV y V de la </w:t>
      </w:r>
      <w:r w:rsidRPr="00312EE8">
        <w:rPr>
          <w:rFonts w:ascii="Palatino Linotype" w:eastAsia="Calibri" w:hAnsi="Palatino Linotype" w:cs="Times New Roman"/>
          <w:b/>
          <w:lang w:val="es-ES"/>
        </w:rPr>
        <w:t>Constitución Política del Estado Libre y Soberano de México</w:t>
      </w:r>
      <w:r w:rsidRPr="00312EE8">
        <w:rPr>
          <w:rFonts w:ascii="Palatino Linotype" w:eastAsia="Calibri" w:hAnsi="Palatino Linotype" w:cs="Times New Roman"/>
          <w:lang w:val="es-ES"/>
        </w:rPr>
        <w:t xml:space="preserve">; artículos 1, 2 fracción II, 13, 29, 36 fracciones I y II, 176, 178, 179, 181 párrafo tercero y 185 </w:t>
      </w:r>
      <w:r w:rsidRPr="00312EE8">
        <w:rPr>
          <w:rFonts w:ascii="Palatino Linotype" w:eastAsia="Calibri" w:hAnsi="Palatino Linotype" w:cs="Arial"/>
          <w:lang w:val="es-ES"/>
        </w:rPr>
        <w:t xml:space="preserve">de la </w:t>
      </w:r>
      <w:r w:rsidRPr="00312EE8">
        <w:rPr>
          <w:rFonts w:ascii="Palatino Linotype" w:eastAsia="Calibri" w:hAnsi="Palatino Linotype" w:cs="Arial"/>
          <w:b/>
          <w:lang w:val="es-ES"/>
        </w:rPr>
        <w:t>Ley de Transparencia y Acceso a la Información Pública del Estado de México y Municipios</w:t>
      </w:r>
      <w:r w:rsidRPr="00312EE8">
        <w:rPr>
          <w:rFonts w:ascii="Palatino Linotype" w:eastAsia="Calibri" w:hAnsi="Palatino Linotype" w:cs="Arial"/>
          <w:lang w:val="es-ES"/>
        </w:rPr>
        <w:t xml:space="preserve">; y 7, 9 fracciones I y XXIV, y 11 del </w:t>
      </w:r>
      <w:r w:rsidRPr="00312EE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12EE8">
        <w:rPr>
          <w:rFonts w:ascii="Palatino Linotype" w:hAnsi="Palatino Linotype"/>
        </w:rPr>
        <w:t>.</w:t>
      </w:r>
    </w:p>
    <w:p w:rsidR="00A53B90" w:rsidRPr="00312EE8" w:rsidRDefault="00A53B90" w:rsidP="00312EE8">
      <w:pPr>
        <w:pStyle w:val="Prrafodelista"/>
        <w:spacing w:line="360" w:lineRule="auto"/>
        <w:ind w:left="0"/>
        <w:jc w:val="both"/>
        <w:rPr>
          <w:rFonts w:ascii="Palatino Linotype" w:hAnsi="Palatino Linotype"/>
        </w:rPr>
      </w:pPr>
    </w:p>
    <w:p w:rsidR="002A5BA4" w:rsidRDefault="002A5BA4" w:rsidP="00312EE8">
      <w:pPr>
        <w:pStyle w:val="Ttulo2"/>
        <w:spacing w:line="360" w:lineRule="auto"/>
        <w:rPr>
          <w:rFonts w:ascii="Palatino Linotype" w:hAnsi="Palatino Linotype"/>
          <w:b/>
          <w:color w:val="auto"/>
          <w:sz w:val="24"/>
        </w:rPr>
      </w:pPr>
      <w:bookmarkStart w:id="6" w:name="_Toc535946912"/>
      <w:r w:rsidRPr="00312EE8">
        <w:rPr>
          <w:rFonts w:ascii="Palatino Linotype" w:hAnsi="Palatino Linotype"/>
          <w:b/>
          <w:color w:val="auto"/>
          <w:sz w:val="24"/>
        </w:rPr>
        <w:t>SEGUNDO. De la oportunidad y procedencia.</w:t>
      </w:r>
      <w:bookmarkEnd w:id="6"/>
    </w:p>
    <w:p w:rsidR="00312EE8" w:rsidRPr="00312EE8" w:rsidRDefault="00312EE8" w:rsidP="00312EE8">
      <w:pPr>
        <w:rPr>
          <w:rFonts w:ascii="Palatino Linotype" w:hAnsi="Palatino Linotype"/>
          <w:lang w:val="es-MX" w:eastAsia="en-US"/>
        </w:rPr>
      </w:pPr>
    </w:p>
    <w:p w:rsidR="005358CE" w:rsidRPr="00312EE8" w:rsidRDefault="005358CE" w:rsidP="00312EE8">
      <w:pPr>
        <w:pStyle w:val="Prrafodelista"/>
        <w:numPr>
          <w:ilvl w:val="0"/>
          <w:numId w:val="1"/>
        </w:numPr>
        <w:spacing w:line="360" w:lineRule="auto"/>
        <w:ind w:left="0" w:firstLine="0"/>
        <w:jc w:val="both"/>
        <w:rPr>
          <w:rFonts w:ascii="Palatino Linotype" w:eastAsia="Times New Roman" w:hAnsi="Palatino Linotype" w:cs="Arial"/>
          <w:color w:val="000000"/>
        </w:rPr>
      </w:pPr>
      <w:bookmarkStart w:id="7" w:name="_Toc486525253"/>
      <w:r w:rsidRPr="00312EE8">
        <w:rPr>
          <w:rFonts w:ascii="Palatino Linotype" w:eastAsia="Calibri" w:hAnsi="Palatino Linotype" w:cs="Arial"/>
          <w:lang w:val="es-ES"/>
        </w:rPr>
        <w:t xml:space="preserve">Es de precisar, que la Ley de Transparencia y Acceso a la Información Pública del Estado de México y Municipios, en el artículo </w:t>
      </w:r>
      <w:r w:rsidRPr="00312EE8">
        <w:rPr>
          <w:rFonts w:ascii="Palatino Linotype" w:eastAsia="Calibri" w:hAnsi="Palatino Linotype" w:cs="Arial"/>
          <w:b/>
          <w:lang w:val="es-ES"/>
        </w:rPr>
        <w:t>178</w:t>
      </w:r>
      <w:r w:rsidRPr="00312EE8">
        <w:rPr>
          <w:rFonts w:ascii="Palatino Linotype" w:eastAsia="Calibri" w:hAnsi="Palatino Linotype" w:cs="Arial"/>
          <w:lang w:val="es-ES"/>
        </w:rPr>
        <w:t xml:space="preserve"> describe la procedencia del recurso de revisión, asimismo señala que el plazo del </w:t>
      </w:r>
      <w:r w:rsidRPr="00312EE8">
        <w:rPr>
          <w:rFonts w:ascii="Palatino Linotype" w:eastAsia="Calibri" w:hAnsi="Palatino Linotype" w:cs="Arial"/>
          <w:b/>
          <w:lang w:val="es-ES"/>
        </w:rPr>
        <w:t>SUJETO OBLIGADO</w:t>
      </w:r>
      <w:r w:rsidRPr="00312EE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w:t>
      </w:r>
      <w:r w:rsidRPr="00312EE8">
        <w:rPr>
          <w:rFonts w:ascii="Palatino Linotype" w:eastAsia="Calibri" w:hAnsi="Palatino Linotype" w:cs="Arial"/>
          <w:lang w:val="es-ES"/>
        </w:rPr>
        <w:lastRenderedPageBreak/>
        <w:t>cuando no entregue la respuesta a la solicitud dentro del plazo previsto en la Ley, la solicitud se entenderá negada y el solicitante podrá interponer el recurso de revisión previsto en el ordenamiento en cita.</w:t>
      </w:r>
    </w:p>
    <w:p w:rsidR="005358CE" w:rsidRPr="00312EE8" w:rsidRDefault="005358CE" w:rsidP="00312EE8">
      <w:pPr>
        <w:pStyle w:val="Prrafodelista"/>
        <w:spacing w:before="240" w:after="240" w:line="360" w:lineRule="auto"/>
        <w:ind w:left="0"/>
        <w:jc w:val="both"/>
        <w:rPr>
          <w:rFonts w:ascii="Palatino Linotype" w:eastAsia="Times New Roman" w:hAnsi="Palatino Linotype" w:cs="Arial"/>
          <w:color w:val="000000"/>
        </w:rPr>
      </w:pPr>
      <w:r w:rsidRPr="00312EE8">
        <w:rPr>
          <w:rFonts w:ascii="Palatino Linotype" w:eastAsia="Calibri" w:hAnsi="Palatino Linotype" w:cs="Arial"/>
          <w:lang w:val="es-ES"/>
        </w:rPr>
        <w:t xml:space="preserve">  </w:t>
      </w:r>
    </w:p>
    <w:p w:rsidR="005358CE" w:rsidRPr="00312EE8" w:rsidRDefault="005358CE" w:rsidP="00312EE8">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312EE8">
        <w:rPr>
          <w:rFonts w:ascii="Palatino Linotype" w:eastAsia="Calibri" w:hAnsi="Palatino Linotype" w:cs="Arial"/>
          <w:lang w:val="es-ES"/>
        </w:rPr>
        <w:t xml:space="preserve">Por ende, se constituye la figura jurídica de la </w:t>
      </w:r>
      <w:r w:rsidRPr="00312EE8">
        <w:rPr>
          <w:rFonts w:ascii="Palatino Linotype" w:eastAsia="Calibri" w:hAnsi="Palatino Linotype" w:cs="Arial"/>
          <w:i/>
          <w:lang w:val="es-ES"/>
        </w:rPr>
        <w:t>negativa ficta</w:t>
      </w:r>
      <w:r w:rsidRPr="00312EE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12EE8">
        <w:rPr>
          <w:rFonts w:ascii="Palatino Linotype" w:eastAsia="Calibri" w:hAnsi="Palatino Linotype" w:cs="Arial"/>
          <w:b/>
          <w:lang w:val="es-ES"/>
        </w:rPr>
        <w:t>178</w:t>
      </w:r>
      <w:r w:rsidRPr="00312EE8">
        <w:rPr>
          <w:rFonts w:ascii="Palatino Linotype" w:eastAsia="Calibri" w:hAnsi="Palatino Linotype" w:cs="Arial"/>
          <w:lang w:val="es-ES"/>
        </w:rPr>
        <w:t xml:space="preserve"> segundo párrafo de </w:t>
      </w:r>
      <w:r w:rsidRPr="00312EE8">
        <w:rPr>
          <w:rFonts w:ascii="Palatino Linotype" w:eastAsia="Calibri" w:hAnsi="Palatino Linotype" w:cs="Arial"/>
          <w:b/>
          <w:lang w:val="es-ES"/>
        </w:rPr>
        <w:t>Ley de Transparencia y Acceso a la Información Pública del Estado de México y Municipios</w:t>
      </w:r>
      <w:r w:rsidRPr="00312EE8">
        <w:rPr>
          <w:rFonts w:ascii="Palatino Linotype" w:eastAsia="Calibri" w:hAnsi="Palatino Linotype" w:cs="Times New Roman"/>
          <w:color w:val="000000"/>
          <w:shd w:val="clear" w:color="auto" w:fill="FFFFFF"/>
          <w:lang w:val="es-MX" w:eastAsia="en-US"/>
        </w:rPr>
        <w:t xml:space="preserve">, que dispone; ante la falta de respuesta del </w:t>
      </w:r>
      <w:r w:rsidRPr="00312EE8">
        <w:rPr>
          <w:rFonts w:ascii="Palatino Linotype" w:eastAsia="Calibri" w:hAnsi="Palatino Linotype" w:cs="Times New Roman"/>
          <w:b/>
          <w:color w:val="000000"/>
          <w:shd w:val="clear" w:color="auto" w:fill="FFFFFF"/>
          <w:lang w:val="es-MX" w:eastAsia="en-US"/>
        </w:rPr>
        <w:t>SUJETO OBLIGADO,</w:t>
      </w:r>
      <w:r w:rsidRPr="00312EE8">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312EE8">
        <w:rPr>
          <w:rFonts w:ascii="Palatino Linotype" w:eastAsia="Calibri" w:hAnsi="Palatino Linotype" w:cs="Times New Roman"/>
          <w:b/>
          <w:color w:val="000000"/>
          <w:shd w:val="clear" w:color="auto" w:fill="FFFFFF"/>
          <w:lang w:val="es-MX" w:eastAsia="en-US"/>
        </w:rPr>
        <w:t xml:space="preserve">podrá ser interpuesto en cualquier momento. </w:t>
      </w:r>
    </w:p>
    <w:p w:rsidR="005358CE" w:rsidRPr="00312EE8" w:rsidRDefault="005358CE" w:rsidP="00312EE8">
      <w:pPr>
        <w:pStyle w:val="Prrafodelista"/>
        <w:spacing w:line="360" w:lineRule="auto"/>
        <w:ind w:left="0"/>
        <w:rPr>
          <w:rFonts w:ascii="Palatino Linotype" w:eastAsia="Times New Roman" w:hAnsi="Palatino Linotype" w:cs="Arial"/>
          <w:color w:val="000000"/>
        </w:rPr>
      </w:pPr>
    </w:p>
    <w:p w:rsidR="00312EE8" w:rsidRPr="0006695C" w:rsidRDefault="005358CE" w:rsidP="0006695C">
      <w:pPr>
        <w:pStyle w:val="Prrafodelista"/>
        <w:numPr>
          <w:ilvl w:val="0"/>
          <w:numId w:val="1"/>
        </w:numPr>
        <w:spacing w:line="360" w:lineRule="auto"/>
        <w:ind w:left="0" w:firstLine="0"/>
        <w:jc w:val="both"/>
        <w:rPr>
          <w:rFonts w:ascii="Palatino Linotype" w:eastAsia="Times New Roman" w:hAnsi="Palatino Linotype" w:cs="Arial"/>
          <w:color w:val="000000"/>
        </w:rPr>
      </w:pPr>
      <w:r w:rsidRPr="00312EE8">
        <w:rPr>
          <w:rFonts w:ascii="Palatino Linotype" w:eastAsia="Calibri" w:hAnsi="Palatino Linotype" w:cs="Arial"/>
          <w:lang w:val="es-ES"/>
        </w:rPr>
        <w:t xml:space="preserve">Por lo que, tratándose de la </w:t>
      </w:r>
      <w:r w:rsidRPr="00312EE8">
        <w:rPr>
          <w:rFonts w:ascii="Palatino Linotype" w:eastAsia="Calibri" w:hAnsi="Palatino Linotype" w:cs="Arial"/>
          <w:i/>
          <w:lang w:val="es-ES"/>
        </w:rPr>
        <w:t>negativa ficta</w:t>
      </w:r>
      <w:r w:rsidRPr="00312EE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312EE8">
        <w:rPr>
          <w:rFonts w:ascii="Palatino Linotype" w:eastAsia="Calibri" w:hAnsi="Palatino Linotype" w:cs="Arial"/>
          <w:lang w:val="es-ES"/>
        </w:rPr>
        <w:lastRenderedPageBreak/>
        <w:t xml:space="preserve">mil quince, relativo a la interposición del recurso de revisión en cualquier tiempo cuando exista </w:t>
      </w:r>
      <w:r w:rsidRPr="00312EE8">
        <w:rPr>
          <w:rFonts w:ascii="Palatino Linotype" w:eastAsia="Calibri" w:hAnsi="Palatino Linotype" w:cs="Arial"/>
          <w:i/>
          <w:lang w:val="es-ES"/>
        </w:rPr>
        <w:t>negativa ficta</w:t>
      </w:r>
      <w:r w:rsidRPr="00312EE8">
        <w:rPr>
          <w:rFonts w:ascii="Palatino Linotype" w:eastAsia="Calibri" w:hAnsi="Palatino Linotype" w:cs="Arial"/>
          <w:lang w:val="es-ES"/>
        </w:rPr>
        <w:t>, que señala:</w:t>
      </w:r>
    </w:p>
    <w:p w:rsidR="00312EE8" w:rsidRDefault="00312EE8" w:rsidP="00312EE8">
      <w:pPr>
        <w:spacing w:line="360" w:lineRule="auto"/>
        <w:ind w:left="567" w:right="567"/>
        <w:jc w:val="center"/>
        <w:rPr>
          <w:rFonts w:ascii="Palatino Linotype" w:eastAsia="Calibri" w:hAnsi="Palatino Linotype" w:cs="Arial"/>
          <w:sz w:val="22"/>
          <w:szCs w:val="22"/>
          <w:lang w:val="es-ES"/>
        </w:rPr>
      </w:pPr>
    </w:p>
    <w:p w:rsidR="005358CE" w:rsidRPr="00312EE8" w:rsidRDefault="005358CE" w:rsidP="00312EE8">
      <w:pPr>
        <w:spacing w:line="360" w:lineRule="auto"/>
        <w:ind w:left="567" w:right="567"/>
        <w:jc w:val="center"/>
        <w:rPr>
          <w:rFonts w:ascii="Palatino Linotype" w:eastAsia="Calibri" w:hAnsi="Palatino Linotype" w:cs="Arial"/>
          <w:sz w:val="22"/>
          <w:szCs w:val="22"/>
          <w:lang w:val="es-ES"/>
        </w:rPr>
      </w:pPr>
      <w:r w:rsidRPr="00312EE8">
        <w:rPr>
          <w:rFonts w:ascii="Palatino Linotype" w:eastAsia="Calibri" w:hAnsi="Palatino Linotype" w:cs="Arial"/>
          <w:sz w:val="22"/>
          <w:szCs w:val="22"/>
          <w:lang w:val="es-ES"/>
        </w:rPr>
        <w:t>Criterio 0001-15</w:t>
      </w:r>
    </w:p>
    <w:p w:rsidR="005358CE" w:rsidRDefault="005358CE" w:rsidP="00312EE8">
      <w:pPr>
        <w:spacing w:line="360" w:lineRule="auto"/>
        <w:ind w:left="567" w:right="567"/>
        <w:jc w:val="both"/>
        <w:rPr>
          <w:rFonts w:ascii="Palatino Linotype" w:eastAsia="Calibri" w:hAnsi="Palatino Linotype" w:cs="Arial"/>
          <w:i/>
          <w:sz w:val="22"/>
          <w:szCs w:val="22"/>
          <w:lang w:val="es-ES"/>
        </w:rPr>
      </w:pPr>
      <w:r w:rsidRPr="00312EE8">
        <w:rPr>
          <w:rFonts w:ascii="Palatino Linotype" w:eastAsia="Calibri" w:hAnsi="Palatino Linotype" w:cs="Arial"/>
          <w:b/>
          <w:i/>
          <w:sz w:val="22"/>
          <w:szCs w:val="22"/>
          <w:lang w:val="es-ES"/>
        </w:rPr>
        <w:t>NEGATIVA FICTA. PLAZO PARA INTERPONER EL RECURSO DE REVISIÓN TRATÁNDOSE DE.</w:t>
      </w:r>
      <w:r w:rsidRPr="00312EE8">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12EE8" w:rsidRPr="00312EE8" w:rsidRDefault="00312EE8" w:rsidP="00312EE8">
      <w:pPr>
        <w:spacing w:line="360" w:lineRule="auto"/>
        <w:ind w:left="567" w:right="567"/>
        <w:jc w:val="both"/>
        <w:rPr>
          <w:rFonts w:ascii="Palatino Linotype" w:eastAsia="Calibri" w:hAnsi="Palatino Linotype" w:cs="Arial"/>
          <w:b/>
          <w:i/>
          <w:sz w:val="22"/>
          <w:szCs w:val="22"/>
          <w:lang w:val="es-ES"/>
        </w:rPr>
      </w:pPr>
    </w:p>
    <w:p w:rsidR="005358CE" w:rsidRPr="00312EE8" w:rsidRDefault="005358CE" w:rsidP="00312EE8">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312EE8">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w:t>
      </w:r>
      <w:r w:rsidRPr="00312EE8">
        <w:rPr>
          <w:rFonts w:ascii="Palatino Linotype" w:eastAsia="Times New Roman" w:hAnsi="Palatino Linotype" w:cs="Arial"/>
          <w:color w:val="000000" w:themeColor="text1"/>
          <w:lang w:val="es-ES" w:eastAsia="es-MX"/>
        </w:rPr>
        <w:lastRenderedPageBreak/>
        <w:t xml:space="preserve">día en tanto, no se emita la respuesta a la que esté impuesto el </w:t>
      </w:r>
      <w:r w:rsidRPr="00312EE8">
        <w:rPr>
          <w:rFonts w:ascii="Palatino Linotype" w:eastAsia="Times New Roman" w:hAnsi="Palatino Linotype" w:cs="Arial"/>
          <w:b/>
          <w:color w:val="000000" w:themeColor="text1"/>
          <w:lang w:val="es-ES" w:eastAsia="es-MX"/>
        </w:rPr>
        <w:t>SUJETO OBLIGADO</w:t>
      </w:r>
      <w:r w:rsidRPr="00312EE8">
        <w:rPr>
          <w:rFonts w:ascii="Palatino Linotype" w:eastAsia="Times New Roman" w:hAnsi="Palatino Linotype" w:cs="Arial"/>
          <w:color w:val="000000" w:themeColor="text1"/>
          <w:lang w:val="es-ES" w:eastAsia="es-MX"/>
        </w:rPr>
        <w:t>.</w:t>
      </w:r>
    </w:p>
    <w:p w:rsidR="005358CE" w:rsidRPr="00312EE8" w:rsidRDefault="005358CE" w:rsidP="00312EE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5358CE" w:rsidRPr="00312EE8" w:rsidRDefault="005358CE" w:rsidP="00312EE8">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312EE8">
        <w:rPr>
          <w:rFonts w:ascii="Palatino Linotype" w:hAnsi="Palatino Linotype"/>
        </w:rPr>
        <w:t>Por consiguiente, tratándose</w:t>
      </w:r>
      <w:r w:rsidRPr="00312EE8">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5358CE" w:rsidRPr="00312EE8" w:rsidRDefault="005358CE" w:rsidP="00312EE8">
      <w:pPr>
        <w:pStyle w:val="Prrafodelista"/>
        <w:spacing w:line="360" w:lineRule="auto"/>
        <w:rPr>
          <w:rFonts w:ascii="Palatino Linotype" w:eastAsia="Times New Roman" w:hAnsi="Palatino Linotype" w:cs="Arial"/>
          <w:color w:val="000000" w:themeColor="text1"/>
          <w:lang w:val="es-ES" w:eastAsia="es-MX"/>
        </w:rPr>
      </w:pPr>
    </w:p>
    <w:p w:rsidR="005358CE" w:rsidRPr="00312EE8" w:rsidRDefault="005358CE" w:rsidP="00312EE8">
      <w:pPr>
        <w:pStyle w:val="Prrafodelista"/>
        <w:numPr>
          <w:ilvl w:val="0"/>
          <w:numId w:val="1"/>
        </w:numPr>
        <w:spacing w:line="360" w:lineRule="auto"/>
        <w:ind w:left="0" w:right="49" w:firstLine="0"/>
        <w:jc w:val="both"/>
        <w:rPr>
          <w:rFonts w:ascii="Palatino Linotype" w:hAnsi="Palatino Linotype"/>
        </w:rPr>
      </w:pPr>
      <w:r w:rsidRPr="00312EE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358CE" w:rsidRPr="00312EE8" w:rsidRDefault="005358CE" w:rsidP="00312EE8">
      <w:pPr>
        <w:pStyle w:val="Prrafodelista"/>
        <w:spacing w:line="360" w:lineRule="auto"/>
        <w:ind w:left="0"/>
        <w:jc w:val="both"/>
        <w:rPr>
          <w:rFonts w:ascii="Palatino Linotype" w:eastAsia="Times New Roman" w:hAnsi="Palatino Linotype" w:cs="Arial"/>
          <w:color w:val="000000" w:themeColor="text1"/>
          <w:lang w:val="es-ES" w:eastAsia="es-MX"/>
        </w:rPr>
      </w:pPr>
    </w:p>
    <w:p w:rsidR="002A5BA4" w:rsidRPr="00312EE8" w:rsidRDefault="002A5BA4" w:rsidP="00312EE8">
      <w:pPr>
        <w:pStyle w:val="Ttulo1"/>
        <w:spacing w:before="0" w:line="360" w:lineRule="auto"/>
      </w:pPr>
      <w:bookmarkStart w:id="8" w:name="_Toc535946913"/>
      <w:r w:rsidRPr="00312EE8">
        <w:t xml:space="preserve">TERCERO. </w:t>
      </w:r>
      <w:bookmarkEnd w:id="7"/>
      <w:r w:rsidR="005358CE" w:rsidRPr="00312EE8">
        <w:t>Planteamiento de la Litis.</w:t>
      </w:r>
      <w:bookmarkEnd w:id="8"/>
    </w:p>
    <w:p w:rsidR="000D4D66" w:rsidRPr="00312EE8" w:rsidRDefault="000D4D66" w:rsidP="00312EE8">
      <w:pPr>
        <w:spacing w:line="360" w:lineRule="auto"/>
        <w:rPr>
          <w:rFonts w:ascii="Palatino Linotype" w:hAnsi="Palatino Linotype"/>
          <w:lang w:val="es-MX" w:eastAsia="es-MX"/>
        </w:rPr>
      </w:pPr>
    </w:p>
    <w:p w:rsidR="000D4D66" w:rsidRPr="00312EE8" w:rsidRDefault="000D4D66" w:rsidP="00312EE8">
      <w:pPr>
        <w:pStyle w:val="Prrafodelista"/>
        <w:numPr>
          <w:ilvl w:val="0"/>
          <w:numId w:val="1"/>
        </w:numPr>
        <w:spacing w:line="360" w:lineRule="auto"/>
        <w:ind w:left="0" w:firstLine="0"/>
        <w:rPr>
          <w:rFonts w:ascii="Palatino Linotype" w:hAnsi="Palatino Linotype"/>
          <w:lang w:val="es-MX" w:eastAsia="es-MX"/>
        </w:rPr>
      </w:pPr>
      <w:r w:rsidRPr="00312EE8">
        <w:rPr>
          <w:rFonts w:ascii="Palatino Linotype" w:hAnsi="Palatino Linotype"/>
          <w:lang w:val="es-MX" w:eastAsia="es-MX"/>
        </w:rPr>
        <w:t xml:space="preserve">Se solicitó el número de personas adscritas al Ayuntamiento de </w:t>
      </w:r>
      <w:r w:rsidR="00360632" w:rsidRPr="00312EE8">
        <w:rPr>
          <w:rFonts w:ascii="Palatino Linotype" w:hAnsi="Palatino Linotype"/>
          <w:lang w:val="es-MX" w:eastAsia="es-MX"/>
        </w:rPr>
        <w:t xml:space="preserve">San Felipe el Progreso que tienen residencia oficial de los municipios de </w:t>
      </w:r>
      <w:proofErr w:type="spellStart"/>
      <w:r w:rsidR="00360632" w:rsidRPr="00312EE8">
        <w:rPr>
          <w:rFonts w:ascii="Palatino Linotype" w:hAnsi="Palatino Linotype"/>
          <w:lang w:val="es-MX" w:eastAsia="es-MX"/>
        </w:rPr>
        <w:t>Temascalcingo</w:t>
      </w:r>
      <w:proofErr w:type="spellEnd"/>
      <w:r w:rsidR="00360632" w:rsidRPr="00312EE8">
        <w:rPr>
          <w:rFonts w:ascii="Palatino Linotype" w:hAnsi="Palatino Linotype"/>
          <w:lang w:val="es-MX" w:eastAsia="es-MX"/>
        </w:rPr>
        <w:t xml:space="preserve">, </w:t>
      </w:r>
      <w:proofErr w:type="spellStart"/>
      <w:r w:rsidR="00360632" w:rsidRPr="00312EE8">
        <w:rPr>
          <w:rFonts w:ascii="Palatino Linotype" w:hAnsi="Palatino Linotype"/>
          <w:lang w:val="es-MX" w:eastAsia="es-MX"/>
        </w:rPr>
        <w:t>Jilotepec</w:t>
      </w:r>
      <w:proofErr w:type="spellEnd"/>
      <w:r w:rsidR="00360632" w:rsidRPr="00312EE8">
        <w:rPr>
          <w:rFonts w:ascii="Palatino Linotype" w:hAnsi="Palatino Linotype"/>
          <w:lang w:val="es-MX" w:eastAsia="es-MX"/>
        </w:rPr>
        <w:t xml:space="preserve">, </w:t>
      </w:r>
      <w:proofErr w:type="spellStart"/>
      <w:r w:rsidR="00360632" w:rsidRPr="00312EE8">
        <w:rPr>
          <w:rFonts w:ascii="Palatino Linotype" w:hAnsi="Palatino Linotype"/>
          <w:lang w:val="es-MX" w:eastAsia="es-MX"/>
        </w:rPr>
        <w:t>Ixtlahuac</w:t>
      </w:r>
      <w:proofErr w:type="spellEnd"/>
      <w:r w:rsidR="00360632" w:rsidRPr="00312EE8">
        <w:rPr>
          <w:rFonts w:ascii="Palatino Linotype" w:hAnsi="Palatino Linotype"/>
          <w:lang w:val="es-MX" w:eastAsia="es-MX"/>
        </w:rPr>
        <w:t xml:space="preserve"> y Atlacomulco.</w:t>
      </w:r>
    </w:p>
    <w:p w:rsidR="00360632" w:rsidRPr="00312EE8" w:rsidRDefault="00360632" w:rsidP="00312EE8">
      <w:pPr>
        <w:pStyle w:val="Prrafodelista"/>
        <w:spacing w:line="360" w:lineRule="auto"/>
        <w:ind w:left="0"/>
        <w:jc w:val="both"/>
        <w:rPr>
          <w:rFonts w:ascii="Palatino Linotype" w:hAnsi="Palatino Linotype"/>
          <w:lang w:val="es-MX" w:eastAsia="es-MX"/>
        </w:rPr>
      </w:pPr>
    </w:p>
    <w:p w:rsidR="00360632" w:rsidRPr="00312EE8" w:rsidRDefault="00360632" w:rsidP="00312EE8">
      <w:pPr>
        <w:pStyle w:val="Prrafodelista"/>
        <w:numPr>
          <w:ilvl w:val="0"/>
          <w:numId w:val="1"/>
        </w:numPr>
        <w:spacing w:line="360" w:lineRule="auto"/>
        <w:ind w:left="0" w:firstLine="0"/>
        <w:rPr>
          <w:rFonts w:ascii="Palatino Linotype" w:hAnsi="Palatino Linotype"/>
          <w:lang w:val="es-MX" w:eastAsia="es-MX"/>
        </w:rPr>
      </w:pPr>
      <w:r w:rsidRPr="00312EE8">
        <w:rPr>
          <w:rFonts w:ascii="Palatino Linotype" w:hAnsi="Palatino Linotype"/>
          <w:lang w:val="es-MX" w:eastAsia="es-MX"/>
        </w:rPr>
        <w:t>EL Sujeto Obligado no respondió a la solicitud de acceso a la información.</w:t>
      </w:r>
    </w:p>
    <w:p w:rsidR="00360632" w:rsidRPr="00312EE8" w:rsidRDefault="00360632" w:rsidP="00312EE8">
      <w:pPr>
        <w:pStyle w:val="Prrafodelista"/>
        <w:spacing w:line="360" w:lineRule="auto"/>
        <w:rPr>
          <w:rFonts w:ascii="Palatino Linotype" w:hAnsi="Palatino Linotype"/>
          <w:lang w:val="es-MX" w:eastAsia="es-MX"/>
        </w:rPr>
      </w:pPr>
    </w:p>
    <w:p w:rsidR="00360632" w:rsidRPr="00312EE8" w:rsidRDefault="00360632" w:rsidP="00312EE8">
      <w:pPr>
        <w:pStyle w:val="Prrafodelista"/>
        <w:numPr>
          <w:ilvl w:val="0"/>
          <w:numId w:val="1"/>
        </w:numPr>
        <w:spacing w:line="360" w:lineRule="auto"/>
        <w:ind w:left="0" w:firstLine="0"/>
        <w:rPr>
          <w:rFonts w:ascii="Palatino Linotype" w:hAnsi="Palatino Linotype"/>
          <w:lang w:val="es-MX" w:eastAsia="es-MX"/>
        </w:rPr>
      </w:pPr>
      <w:r w:rsidRPr="00312EE8">
        <w:rPr>
          <w:rFonts w:ascii="Palatino Linotype" w:hAnsi="Palatino Linotype"/>
          <w:lang w:val="es-MX" w:eastAsia="es-MX"/>
        </w:rPr>
        <w:lastRenderedPageBreak/>
        <w:t>La inconformidad del recurrente se basó en la negativa r incumplimiento por parte del Sujeto Obligado.</w:t>
      </w:r>
    </w:p>
    <w:p w:rsidR="00360632" w:rsidRPr="00312EE8" w:rsidRDefault="00360632" w:rsidP="00312EE8">
      <w:pPr>
        <w:pStyle w:val="Prrafodelista"/>
        <w:spacing w:line="360" w:lineRule="auto"/>
        <w:rPr>
          <w:rFonts w:ascii="Palatino Linotype" w:hAnsi="Palatino Linotype"/>
          <w:lang w:val="es-MX" w:eastAsia="es-MX"/>
        </w:rPr>
      </w:pPr>
    </w:p>
    <w:p w:rsidR="00360632" w:rsidRPr="00312EE8" w:rsidRDefault="00360632" w:rsidP="00312EE8">
      <w:pPr>
        <w:pStyle w:val="Prrafodelista"/>
        <w:numPr>
          <w:ilvl w:val="0"/>
          <w:numId w:val="1"/>
        </w:numPr>
        <w:spacing w:line="360" w:lineRule="auto"/>
        <w:ind w:left="0" w:firstLine="0"/>
        <w:jc w:val="both"/>
        <w:rPr>
          <w:rFonts w:ascii="Palatino Linotype" w:eastAsia="MS Mincho" w:hAnsi="Palatino Linotype" w:cs="Arial"/>
        </w:rPr>
      </w:pPr>
      <w:r w:rsidRPr="00312EE8">
        <w:rPr>
          <w:rFonts w:ascii="Palatino Linotype" w:eastAsia="Times New Roman" w:hAnsi="Palatino Linotype" w:cs="Arial"/>
        </w:rPr>
        <w:t xml:space="preserve">En dichas condiciones, la </w:t>
      </w:r>
      <w:proofErr w:type="spellStart"/>
      <w:r w:rsidRPr="00312EE8">
        <w:rPr>
          <w:rFonts w:ascii="Palatino Linotype" w:eastAsia="Times New Roman" w:hAnsi="Palatino Linotype" w:cs="Arial"/>
          <w:i/>
        </w:rPr>
        <w:t>litis</w:t>
      </w:r>
      <w:proofErr w:type="spellEnd"/>
      <w:r w:rsidRPr="00312EE8">
        <w:rPr>
          <w:rFonts w:ascii="Palatino Linotype" w:eastAsia="Times New Roman" w:hAnsi="Palatino Linotype" w:cs="Arial"/>
        </w:rPr>
        <w:t xml:space="preserve"> a resolver en este recurso se circunscribe a determinar si </w:t>
      </w:r>
      <w:r w:rsidRPr="00312EE8">
        <w:rPr>
          <w:rFonts w:ascii="Palatino Linotype" w:eastAsia="MS Mincho" w:hAnsi="Palatino Linotype" w:cs="Arial"/>
        </w:rPr>
        <w:t>se actualiza la causal de procedencia prevista en el artículo 179, fracciones VII de la Ley de Transparencia y Acceso a la Información Pública del Estado de México y Municipios.</w:t>
      </w:r>
    </w:p>
    <w:p w:rsidR="00360632" w:rsidRPr="00312EE8" w:rsidRDefault="00360632" w:rsidP="00312EE8">
      <w:pPr>
        <w:pStyle w:val="Prrafodelista"/>
        <w:spacing w:line="360" w:lineRule="auto"/>
        <w:ind w:left="0"/>
        <w:rPr>
          <w:rFonts w:ascii="Palatino Linotype" w:hAnsi="Palatino Linotype"/>
          <w:lang w:val="es-MX" w:eastAsia="es-MX"/>
        </w:rPr>
      </w:pPr>
    </w:p>
    <w:p w:rsidR="00360632" w:rsidRPr="00312EE8" w:rsidRDefault="00360632" w:rsidP="00312EE8">
      <w:pPr>
        <w:pStyle w:val="Ttulo2"/>
        <w:spacing w:line="360" w:lineRule="auto"/>
        <w:rPr>
          <w:rFonts w:ascii="Palatino Linotype" w:hAnsi="Palatino Linotype"/>
          <w:b/>
          <w:color w:val="auto"/>
          <w:sz w:val="24"/>
        </w:rPr>
      </w:pPr>
      <w:bookmarkStart w:id="9" w:name="_Toc535946914"/>
      <w:r w:rsidRPr="00312EE8">
        <w:rPr>
          <w:rFonts w:ascii="Palatino Linotype" w:hAnsi="Palatino Linotype"/>
          <w:b/>
          <w:color w:val="auto"/>
          <w:sz w:val="24"/>
        </w:rPr>
        <w:t>CUARTO. Estudio y resolución del asunto</w:t>
      </w:r>
      <w:bookmarkEnd w:id="9"/>
    </w:p>
    <w:p w:rsidR="000D4D66" w:rsidRPr="00312EE8" w:rsidRDefault="000D4D66" w:rsidP="00312EE8">
      <w:pPr>
        <w:spacing w:line="360" w:lineRule="auto"/>
        <w:rPr>
          <w:rFonts w:ascii="Palatino Linotype" w:hAnsi="Palatino Linotype"/>
          <w:lang w:val="es-MX" w:eastAsia="es-MX"/>
        </w:rPr>
      </w:pPr>
    </w:p>
    <w:p w:rsidR="000D4D66" w:rsidRPr="00312EE8" w:rsidRDefault="000D4D66" w:rsidP="00312EE8">
      <w:pPr>
        <w:pStyle w:val="Ttulo3"/>
        <w:numPr>
          <w:ilvl w:val="0"/>
          <w:numId w:val="3"/>
        </w:numPr>
        <w:spacing w:line="360" w:lineRule="auto"/>
        <w:rPr>
          <w:rFonts w:ascii="Palatino Linotype" w:hAnsi="Palatino Linotype"/>
          <w:b/>
        </w:rPr>
      </w:pPr>
      <w:bookmarkStart w:id="10" w:name="_Toc535946915"/>
      <w:r w:rsidRPr="00312EE8">
        <w:rPr>
          <w:rFonts w:ascii="Palatino Linotype" w:hAnsi="Palatino Linotype"/>
          <w:b/>
          <w:color w:val="auto"/>
        </w:rPr>
        <w:t>La omisión de atender una solicitud de acceso a la información.</w:t>
      </w:r>
      <w:bookmarkEnd w:id="10"/>
    </w:p>
    <w:p w:rsidR="000D4D66" w:rsidRPr="00312EE8" w:rsidRDefault="000D4D66" w:rsidP="00312EE8">
      <w:pPr>
        <w:spacing w:line="360" w:lineRule="auto"/>
        <w:rPr>
          <w:rFonts w:ascii="Palatino Linotype" w:hAnsi="Palatino Linotype"/>
          <w:lang w:val="es-MX" w:eastAsia="en-US"/>
        </w:rPr>
      </w:pPr>
    </w:p>
    <w:p w:rsidR="000D4D66" w:rsidRPr="00312EE8" w:rsidRDefault="000D4D66" w:rsidP="00312EE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12EE8">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312EE8">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312EE8">
        <w:rPr>
          <w:rStyle w:val="Refdenotaalpie"/>
          <w:rFonts w:ascii="Palatino Linotype" w:hAnsi="Palatino Linotype" w:cs="Helvetica"/>
          <w:i/>
          <w:sz w:val="22"/>
          <w:szCs w:val="23"/>
          <w:shd w:val="clear" w:color="auto" w:fill="FFFFFF"/>
        </w:rPr>
        <w:footnoteReference w:id="1"/>
      </w:r>
      <w:r w:rsidRPr="00312EE8">
        <w:rPr>
          <w:rFonts w:ascii="Palatino Linotype" w:hAnsi="Palatino Linotype" w:cs="Helvetica"/>
          <w:szCs w:val="23"/>
          <w:shd w:val="clear" w:color="auto" w:fill="FFFFFF"/>
        </w:rPr>
        <w:t>, por lo tanto, como el mismo ordenamiento refiere que “</w:t>
      </w:r>
      <w:r w:rsidRPr="00312EE8">
        <w:rPr>
          <w:rFonts w:ascii="Palatino Linotype" w:hAnsi="Palatino Linotype"/>
          <w:i/>
          <w:sz w:val="22"/>
          <w:szCs w:val="20"/>
        </w:rPr>
        <w:t xml:space="preserve">Toda persona tiene derecho al libre acceso a información plural y oportuna, así como a buscar, recibir y difundir información e ideas de toda </w:t>
      </w:r>
      <w:r w:rsidRPr="00312EE8">
        <w:rPr>
          <w:rFonts w:ascii="Palatino Linotype" w:hAnsi="Palatino Linotype"/>
          <w:i/>
          <w:sz w:val="22"/>
          <w:szCs w:val="20"/>
        </w:rPr>
        <w:lastRenderedPageBreak/>
        <w:t>índole por cualquier medio de expresión.”</w:t>
      </w:r>
      <w:r w:rsidRPr="00312EE8">
        <w:rPr>
          <w:rStyle w:val="Refdenotaalpie"/>
          <w:rFonts w:ascii="Palatino Linotype" w:hAnsi="Palatino Linotype"/>
          <w:i/>
          <w:sz w:val="22"/>
          <w:szCs w:val="20"/>
        </w:rPr>
        <w:footnoteReference w:id="2"/>
      </w:r>
      <w:r w:rsidRPr="00312EE8">
        <w:rPr>
          <w:rFonts w:ascii="Palatino Linotype" w:hAnsi="Palatino Linotype"/>
          <w:i/>
          <w:sz w:val="22"/>
          <w:szCs w:val="20"/>
        </w:rPr>
        <w:t xml:space="preserve">,  </w:t>
      </w:r>
      <w:r w:rsidRPr="00312EE8">
        <w:rPr>
          <w:rFonts w:ascii="Palatino Linotype" w:hAnsi="Palatino Linotype"/>
          <w:sz w:val="22"/>
          <w:szCs w:val="20"/>
        </w:rPr>
        <w:t>se e</w:t>
      </w:r>
      <w:r w:rsidRPr="00312EE8">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312EE8">
        <w:rPr>
          <w:rFonts w:ascii="Palatino Linotype" w:hAnsi="Palatino Linotype" w:cs="Helvetica"/>
          <w:b/>
          <w:szCs w:val="23"/>
          <w:shd w:val="clear" w:color="auto" w:fill="FFFFFF"/>
        </w:rPr>
        <w:t>promover, proteger, respetar y garantizar</w:t>
      </w:r>
      <w:r w:rsidRPr="00312EE8">
        <w:rPr>
          <w:rFonts w:ascii="Palatino Linotype" w:hAnsi="Palatino Linotype" w:cs="Helvetica"/>
          <w:szCs w:val="23"/>
          <w:shd w:val="clear" w:color="auto" w:fill="FFFFFF"/>
        </w:rPr>
        <w:t xml:space="preserve"> el libre acceso a la información.</w:t>
      </w:r>
    </w:p>
    <w:p w:rsidR="000D4D66" w:rsidRPr="00312EE8" w:rsidRDefault="000D4D66" w:rsidP="00312EE8">
      <w:pPr>
        <w:pStyle w:val="Prrafodelista"/>
        <w:spacing w:line="360" w:lineRule="auto"/>
        <w:ind w:left="0" w:right="49"/>
        <w:jc w:val="both"/>
        <w:rPr>
          <w:rFonts w:ascii="Palatino Linotype" w:eastAsia="Times New Roman" w:hAnsi="Palatino Linotype" w:cs="Arial"/>
          <w:color w:val="000000"/>
        </w:rPr>
      </w:pPr>
    </w:p>
    <w:p w:rsidR="000D4D66" w:rsidRPr="00312EE8" w:rsidRDefault="000D4D66" w:rsidP="00312EE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12EE8">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312EE8">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312EE8">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312EE8">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312EE8">
        <w:rPr>
          <w:rStyle w:val="Refdenotaalpie"/>
          <w:rFonts w:ascii="Palatino Linotype" w:hAnsi="Palatino Linotype" w:cs="Helvetica"/>
          <w:i/>
          <w:sz w:val="22"/>
          <w:szCs w:val="23"/>
          <w:shd w:val="clear" w:color="auto" w:fill="FFFFFF"/>
        </w:rPr>
        <w:footnoteReference w:id="3"/>
      </w:r>
      <w:r w:rsidRPr="00312EE8">
        <w:rPr>
          <w:rFonts w:ascii="Palatino Linotype" w:hAnsi="Palatino Linotype" w:cs="Helvetica"/>
          <w:i/>
          <w:sz w:val="22"/>
          <w:szCs w:val="23"/>
          <w:shd w:val="clear" w:color="auto" w:fill="FFFFFF"/>
        </w:rPr>
        <w:t xml:space="preserve"> </w:t>
      </w:r>
      <w:r w:rsidRPr="00312EE8">
        <w:rPr>
          <w:rFonts w:ascii="Palatino Linotype" w:hAnsi="Palatino Linotype" w:cs="Helvetica"/>
          <w:szCs w:val="23"/>
          <w:shd w:val="clear" w:color="auto" w:fill="FFFFFF"/>
        </w:rPr>
        <w:t>siendo el recurso de revisión.</w:t>
      </w:r>
    </w:p>
    <w:p w:rsidR="000D4D66" w:rsidRPr="00312EE8" w:rsidRDefault="000D4D66" w:rsidP="00312EE8">
      <w:pPr>
        <w:pStyle w:val="Prrafodelista"/>
        <w:spacing w:line="360" w:lineRule="auto"/>
        <w:rPr>
          <w:rFonts w:ascii="Palatino Linotype" w:eastAsia="Times New Roman" w:hAnsi="Palatino Linotype" w:cs="Arial"/>
          <w:color w:val="000000"/>
        </w:rPr>
      </w:pPr>
    </w:p>
    <w:p w:rsidR="000D4D66" w:rsidRPr="00312EE8" w:rsidRDefault="000D4D66" w:rsidP="00312EE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12EE8">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312EE8">
        <w:rPr>
          <w:rFonts w:ascii="Palatino Linotype" w:hAnsi="Palatino Linotype" w:cs="Arial"/>
          <w:lang w:val="es-MX"/>
        </w:rPr>
        <w:t xml:space="preserve">del </w:t>
      </w:r>
      <w:r w:rsidRPr="00312EE8">
        <w:rPr>
          <w:rFonts w:ascii="Palatino Linotype" w:hAnsi="Palatino Linotype" w:cs="Arial"/>
          <w:b/>
          <w:u w:val="single"/>
          <w:lang w:val="es-MX"/>
        </w:rPr>
        <w:t>soporte documental</w:t>
      </w:r>
      <w:r w:rsidRPr="00312EE8">
        <w:rPr>
          <w:rFonts w:ascii="Palatino Linotype" w:hAnsi="Palatino Linotype" w:cs="Arial"/>
          <w:lang w:val="es-MX"/>
        </w:rPr>
        <w:t xml:space="preserve"> que el </w:t>
      </w:r>
      <w:r w:rsidRPr="00312EE8">
        <w:rPr>
          <w:rFonts w:ascii="Palatino Linotype" w:hAnsi="Palatino Linotype" w:cs="Arial"/>
          <w:b/>
          <w:lang w:val="es-MX"/>
        </w:rPr>
        <w:t>Sujeto Obligado</w:t>
      </w:r>
      <w:r w:rsidRPr="00312EE8">
        <w:rPr>
          <w:rFonts w:ascii="Palatino Linotype" w:hAnsi="Palatino Linotype" w:cs="Arial"/>
          <w:lang w:val="es-MX"/>
        </w:rPr>
        <w:t xml:space="preserve"> posee, genera o administra en el ejercicio de sus atribuciones, es decir, para respetar adecuadamente el derecho se necesita que </w:t>
      </w:r>
      <w:r w:rsidRPr="00312EE8">
        <w:rPr>
          <w:rFonts w:ascii="Palatino Linotype" w:hAnsi="Palatino Linotype" w:cs="Arial"/>
          <w:lang w:val="es-MX"/>
        </w:rPr>
        <w:lastRenderedPageBreak/>
        <w:t>haga entrega de la información requerida o explique el procedimiento preciso que debe realizar la persona para acceder a la información en cuestión.</w:t>
      </w:r>
    </w:p>
    <w:p w:rsidR="000D4D66" w:rsidRPr="00312EE8" w:rsidRDefault="000D4D66" w:rsidP="00312EE8">
      <w:pPr>
        <w:pStyle w:val="Prrafodelista"/>
        <w:autoSpaceDE w:val="0"/>
        <w:autoSpaceDN w:val="0"/>
        <w:adjustRightInd w:val="0"/>
        <w:spacing w:line="360" w:lineRule="auto"/>
        <w:ind w:left="0"/>
        <w:jc w:val="both"/>
        <w:rPr>
          <w:rFonts w:ascii="Palatino Linotype" w:hAnsi="Palatino Linotype"/>
        </w:rPr>
      </w:pPr>
    </w:p>
    <w:p w:rsidR="000D4D66" w:rsidRPr="00312EE8" w:rsidRDefault="000D4D66" w:rsidP="00312EE8">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312EE8">
        <w:rPr>
          <w:rFonts w:ascii="Palatino Linotype" w:hAnsi="Palatino Linotype"/>
        </w:rPr>
        <w:t>Bajo ese tenor y de acuerdo con el artículo 166 primer párrafo de la</w:t>
      </w:r>
      <w:r w:rsidRPr="00312EE8">
        <w:rPr>
          <w:rFonts w:ascii="Palatino Linotype" w:hAnsi="Palatino Linotype"/>
          <w:lang w:val="es-MX" w:eastAsia="en-US"/>
        </w:rPr>
        <w:t xml:space="preserve"> </w:t>
      </w:r>
      <w:r w:rsidRPr="00312EE8">
        <w:rPr>
          <w:rFonts w:ascii="Palatino Linotype" w:hAnsi="Palatino Linotype"/>
          <w:b/>
        </w:rPr>
        <w:t xml:space="preserve">Ley de Transparencia y Acceso a la Información Pública del Estado de México y Municipios, </w:t>
      </w:r>
      <w:r w:rsidRPr="00312EE8">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0D4D66" w:rsidRPr="00312EE8" w:rsidRDefault="000D4D66" w:rsidP="00312EE8">
      <w:pPr>
        <w:pStyle w:val="Prrafodelista"/>
        <w:autoSpaceDE w:val="0"/>
        <w:autoSpaceDN w:val="0"/>
        <w:adjustRightInd w:val="0"/>
        <w:spacing w:line="360" w:lineRule="auto"/>
        <w:ind w:left="0"/>
        <w:jc w:val="both"/>
        <w:rPr>
          <w:rFonts w:ascii="Palatino Linotype" w:hAnsi="Palatino Linotype"/>
          <w:b/>
        </w:rPr>
      </w:pPr>
    </w:p>
    <w:p w:rsidR="000D4D66" w:rsidRPr="00312EE8" w:rsidRDefault="000D4D66" w:rsidP="00312EE8">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312EE8">
        <w:rPr>
          <w:rFonts w:ascii="Palatino Linotype" w:hAnsi="Palatino Linotype"/>
          <w:b/>
          <w:i/>
          <w:color w:val="000000" w:themeColor="text1"/>
          <w:sz w:val="22"/>
          <w:szCs w:val="22"/>
        </w:rPr>
        <w:t>Artículo 166.</w:t>
      </w:r>
      <w:r w:rsidRPr="00312EE8">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rsidR="000D4D66" w:rsidRPr="00312EE8" w:rsidRDefault="000D4D66" w:rsidP="00312EE8">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312EE8">
        <w:rPr>
          <w:rFonts w:ascii="Palatino Linotype" w:hAnsi="Palatino Linotype"/>
          <w:b/>
          <w:i/>
          <w:color w:val="000000" w:themeColor="text1"/>
          <w:sz w:val="22"/>
          <w:szCs w:val="22"/>
        </w:rPr>
        <w:t>…</w:t>
      </w:r>
    </w:p>
    <w:p w:rsidR="000D4D66" w:rsidRPr="00312EE8" w:rsidRDefault="000D4D66" w:rsidP="00312EE8">
      <w:pPr>
        <w:pStyle w:val="Prrafodelista"/>
        <w:autoSpaceDE w:val="0"/>
        <w:autoSpaceDN w:val="0"/>
        <w:adjustRightInd w:val="0"/>
        <w:spacing w:line="360" w:lineRule="auto"/>
        <w:ind w:left="0"/>
        <w:jc w:val="both"/>
        <w:rPr>
          <w:rFonts w:ascii="Palatino Linotype" w:hAnsi="Palatino Linotype"/>
        </w:rPr>
      </w:pPr>
    </w:p>
    <w:p w:rsidR="000D4D66" w:rsidRPr="00312EE8" w:rsidRDefault="000D4D66" w:rsidP="00312EE8">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312EE8">
        <w:rPr>
          <w:rFonts w:ascii="Palatino Linotype" w:eastAsia="Times New Roman" w:hAnsi="Palatino Linotype" w:cs="Arial"/>
          <w:color w:val="000000" w:themeColor="text1"/>
          <w:lang w:eastAsia="es-MX"/>
        </w:rPr>
        <w:t xml:space="preserve">Además, el derecho a la información es la </w:t>
      </w:r>
      <w:r w:rsidRPr="00312EE8">
        <w:rPr>
          <w:rFonts w:ascii="Palatino Linotype" w:eastAsia="MS Mincho" w:hAnsi="Palatino Linotype" w:cs="Times New Roman"/>
          <w:i/>
        </w:rPr>
        <w:t>igualdad de oportunidades para recibir, buscar e impartir información</w:t>
      </w:r>
      <w:r w:rsidRPr="00312EE8">
        <w:rPr>
          <w:rStyle w:val="Refdenotaalpie"/>
          <w:rFonts w:ascii="Palatino Linotype" w:eastAsia="MS Mincho" w:hAnsi="Palatino Linotype" w:cs="Times New Roman"/>
          <w:i/>
        </w:rPr>
        <w:footnoteReference w:id="4"/>
      </w:r>
      <w:r w:rsidRPr="00312EE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312EE8">
        <w:rPr>
          <w:rFonts w:ascii="Palatino Linotype" w:eastAsia="MS Mincho" w:hAnsi="Palatino Linotype" w:cs="Times New Roman"/>
          <w:i/>
        </w:rPr>
        <w:lastRenderedPageBreak/>
        <w:t>federal, estatal y municipal</w:t>
      </w:r>
      <w:r w:rsidRPr="00312EE8">
        <w:rPr>
          <w:rStyle w:val="Refdenotaalpie"/>
          <w:rFonts w:ascii="Palatino Linotype" w:eastAsia="MS Mincho" w:hAnsi="Palatino Linotype" w:cs="Times New Roman"/>
        </w:rPr>
        <w:footnoteReference w:id="5"/>
      </w:r>
      <w:r w:rsidRPr="00312EE8">
        <w:rPr>
          <w:rFonts w:ascii="Palatino Linotype" w:eastAsia="MS Mincho" w:hAnsi="Palatino Linotype" w:cs="Times New Roman"/>
          <w:i/>
        </w:rPr>
        <w:t xml:space="preserve"> </w:t>
      </w:r>
      <w:r w:rsidRPr="00312EE8">
        <w:rPr>
          <w:rFonts w:ascii="Palatino Linotype" w:eastAsia="MS Mincho" w:hAnsi="Palatino Linotype" w:cs="Times New Roman"/>
        </w:rPr>
        <w:t xml:space="preserve">que se constituye como una herramienta fundamental para </w:t>
      </w:r>
      <w:r w:rsidRPr="00312EE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12EE8">
        <w:rPr>
          <w:rStyle w:val="Refdenotaalpie"/>
          <w:rFonts w:ascii="Palatino Linotype" w:eastAsia="MS Mincho" w:hAnsi="Palatino Linotype" w:cs="Times New Roman"/>
          <w:i/>
        </w:rPr>
        <w:footnoteReference w:id="6"/>
      </w:r>
      <w:r w:rsidRPr="00312EE8">
        <w:rPr>
          <w:rFonts w:ascii="Palatino Linotype" w:eastAsia="MS Mincho" w:hAnsi="Palatino Linotype" w:cs="Times New Roman"/>
        </w:rPr>
        <w:t>fomentando</w:t>
      </w:r>
      <w:r w:rsidRPr="00312EE8">
        <w:rPr>
          <w:rFonts w:ascii="Palatino Linotype" w:eastAsia="MS Mincho" w:hAnsi="Palatino Linotype" w:cs="Times New Roman"/>
          <w:i/>
        </w:rPr>
        <w:t xml:space="preserve"> la transparencia de las actividades estatales y</w:t>
      </w:r>
      <w:r w:rsidRPr="00312EE8">
        <w:rPr>
          <w:rFonts w:ascii="Palatino Linotype" w:eastAsia="MS Mincho" w:hAnsi="Palatino Linotype" w:cs="Times New Roman"/>
        </w:rPr>
        <w:t xml:space="preserve"> promoviendo</w:t>
      </w:r>
      <w:r w:rsidRPr="00312EE8">
        <w:rPr>
          <w:rFonts w:ascii="Palatino Linotype" w:eastAsia="MS Mincho" w:hAnsi="Palatino Linotype" w:cs="Times New Roman"/>
          <w:i/>
        </w:rPr>
        <w:t xml:space="preserve"> la responsabilidad de los funcionarios sobre su gestión pública</w:t>
      </w:r>
      <w:r w:rsidRPr="00312EE8">
        <w:rPr>
          <w:rStyle w:val="Refdenotaalpie"/>
          <w:rFonts w:ascii="Palatino Linotype" w:eastAsia="MS Mincho" w:hAnsi="Palatino Linotype" w:cs="Times New Roman"/>
          <w:i/>
        </w:rPr>
        <w:footnoteReference w:id="7"/>
      </w:r>
      <w:r w:rsidRPr="00312EE8">
        <w:rPr>
          <w:rFonts w:ascii="Palatino Linotype" w:eastAsia="MS Mincho" w:hAnsi="Palatino Linotype" w:cs="Times New Roman"/>
          <w:i/>
        </w:rPr>
        <w:t xml:space="preserve"> </w:t>
      </w:r>
      <w:r w:rsidRPr="00312EE8">
        <w:rPr>
          <w:rFonts w:ascii="Palatino Linotype" w:eastAsia="MS Mincho" w:hAnsi="Palatino Linotype" w:cs="Times New Roman"/>
        </w:rPr>
        <w:t>que permite</w:t>
      </w:r>
      <w:r w:rsidRPr="00312EE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12EE8">
        <w:rPr>
          <w:rStyle w:val="Refdenotaalpie"/>
          <w:rFonts w:ascii="Palatino Linotype" w:eastAsia="MS Mincho" w:hAnsi="Palatino Linotype" w:cs="Times New Roman"/>
          <w:i/>
        </w:rPr>
        <w:footnoteReference w:id="8"/>
      </w:r>
      <w:r w:rsidRPr="00312EE8">
        <w:rPr>
          <w:rFonts w:ascii="Palatino Linotype" w:eastAsia="MS Mincho" w:hAnsi="Palatino Linotype" w:cs="Times New Roman"/>
        </w:rPr>
        <w:t xml:space="preserve"> ”.</w:t>
      </w:r>
    </w:p>
    <w:p w:rsidR="000D4D66" w:rsidRPr="00312EE8" w:rsidRDefault="000D4D66" w:rsidP="00312EE8">
      <w:pPr>
        <w:pStyle w:val="Prrafodelista"/>
        <w:autoSpaceDE w:val="0"/>
        <w:autoSpaceDN w:val="0"/>
        <w:adjustRightInd w:val="0"/>
        <w:spacing w:before="240" w:after="360" w:line="360" w:lineRule="auto"/>
        <w:ind w:left="0"/>
        <w:jc w:val="both"/>
        <w:rPr>
          <w:rFonts w:ascii="Palatino Linotype" w:hAnsi="Palatino Linotype"/>
        </w:rPr>
      </w:pPr>
    </w:p>
    <w:p w:rsidR="000D4D66" w:rsidRPr="00312EE8" w:rsidRDefault="000D4D66" w:rsidP="00312EE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12EE8">
        <w:rPr>
          <w:rFonts w:ascii="Palatino Linotype" w:hAnsi="Palatino Linotype" w:cs="Arial"/>
        </w:rPr>
        <w:t xml:space="preserve">Ahora bien para entender los alcances de la información pública se considera importante citar el criterio </w:t>
      </w:r>
      <w:r w:rsidRPr="00312EE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12EE8">
        <w:rPr>
          <w:rFonts w:ascii="Palatino Linotype" w:hAnsi="Palatino Linotype" w:cs="Arial"/>
        </w:rPr>
        <w:t>cuyo rubro y texto dispone:</w:t>
      </w:r>
    </w:p>
    <w:p w:rsidR="000D4D66" w:rsidRDefault="000D4D66" w:rsidP="00312EE8">
      <w:pPr>
        <w:pStyle w:val="Prrafodelista"/>
        <w:autoSpaceDE w:val="0"/>
        <w:autoSpaceDN w:val="0"/>
        <w:adjustRightInd w:val="0"/>
        <w:spacing w:line="360" w:lineRule="auto"/>
        <w:ind w:left="0"/>
        <w:jc w:val="both"/>
        <w:rPr>
          <w:rFonts w:ascii="Palatino Linotype" w:hAnsi="Palatino Linotype" w:cs="Arial"/>
          <w:lang w:val="es-MX"/>
        </w:rPr>
      </w:pPr>
    </w:p>
    <w:p w:rsidR="0006695C" w:rsidRDefault="0006695C" w:rsidP="00312EE8">
      <w:pPr>
        <w:pStyle w:val="Prrafodelista"/>
        <w:autoSpaceDE w:val="0"/>
        <w:autoSpaceDN w:val="0"/>
        <w:adjustRightInd w:val="0"/>
        <w:spacing w:line="360" w:lineRule="auto"/>
        <w:ind w:left="0"/>
        <w:jc w:val="both"/>
        <w:rPr>
          <w:rFonts w:ascii="Palatino Linotype" w:hAnsi="Palatino Linotype" w:cs="Arial"/>
          <w:lang w:val="es-MX"/>
        </w:rPr>
      </w:pPr>
    </w:p>
    <w:p w:rsidR="0006695C" w:rsidRPr="00312EE8" w:rsidRDefault="0006695C" w:rsidP="00312EE8">
      <w:pPr>
        <w:pStyle w:val="Prrafodelista"/>
        <w:autoSpaceDE w:val="0"/>
        <w:autoSpaceDN w:val="0"/>
        <w:adjustRightInd w:val="0"/>
        <w:spacing w:line="360" w:lineRule="auto"/>
        <w:ind w:left="0"/>
        <w:jc w:val="both"/>
        <w:rPr>
          <w:rFonts w:ascii="Palatino Linotype" w:hAnsi="Palatino Linotype" w:cs="Arial"/>
          <w:lang w:val="es-MX"/>
        </w:rPr>
      </w:pPr>
    </w:p>
    <w:p w:rsidR="000D4D66" w:rsidRPr="00312EE8" w:rsidRDefault="000D4D66" w:rsidP="00312EE8">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12EE8">
        <w:rPr>
          <w:rFonts w:ascii="Palatino Linotype" w:hAnsi="Palatino Linotype" w:cs="Arial"/>
          <w:b/>
          <w:i/>
          <w:sz w:val="22"/>
          <w:szCs w:val="22"/>
          <w:lang w:val="es-MX" w:eastAsia="es-MX"/>
        </w:rPr>
        <w:t>“CRITERIO 0002-11</w:t>
      </w:r>
    </w:p>
    <w:p w:rsidR="000D4D66" w:rsidRPr="00312EE8" w:rsidRDefault="000D4D66" w:rsidP="00312E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12EE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312EE8">
        <w:rPr>
          <w:rFonts w:ascii="Palatino Linotype" w:hAnsi="Palatino Linotype" w:cs="Arial"/>
          <w:b/>
          <w:bCs/>
          <w:i/>
          <w:sz w:val="22"/>
          <w:szCs w:val="22"/>
          <w:lang w:val="es-MX" w:eastAsia="es-MX"/>
        </w:rPr>
        <w:t xml:space="preserve">V, XV, Y XVI, </w:t>
      </w:r>
      <w:r w:rsidRPr="00312EE8">
        <w:rPr>
          <w:rFonts w:ascii="Palatino Linotype" w:hAnsi="Palatino Linotype" w:cs="Arial"/>
          <w:b/>
          <w:i/>
          <w:sz w:val="22"/>
          <w:szCs w:val="22"/>
          <w:lang w:val="es-MX" w:eastAsia="es-MX"/>
        </w:rPr>
        <w:t>3, 4,11 Y 41.</w:t>
      </w:r>
      <w:r w:rsidRPr="00312EE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4D66" w:rsidRPr="00312EE8" w:rsidRDefault="000D4D66" w:rsidP="00312E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12EE8">
        <w:rPr>
          <w:rFonts w:ascii="Palatino Linotype" w:hAnsi="Palatino Linotype" w:cs="Arial"/>
          <w:i/>
          <w:sz w:val="22"/>
          <w:szCs w:val="22"/>
          <w:lang w:val="es-MX" w:eastAsia="es-MX"/>
        </w:rPr>
        <w:t>En consecuencia el acceso a la información se refiere a que se cumplan cualquiera de los siguientes tres supuestos:</w:t>
      </w:r>
    </w:p>
    <w:p w:rsidR="000D4D66" w:rsidRPr="00312EE8" w:rsidRDefault="000D4D66" w:rsidP="00312E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12EE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0D4D66" w:rsidRPr="00312EE8" w:rsidRDefault="000D4D66" w:rsidP="00312E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12EE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0D4D66" w:rsidRDefault="000D4D66" w:rsidP="00312EE8">
      <w:pPr>
        <w:spacing w:line="360" w:lineRule="auto"/>
        <w:ind w:left="567" w:right="567"/>
        <w:jc w:val="both"/>
        <w:rPr>
          <w:rFonts w:ascii="Palatino Linotype" w:hAnsi="Palatino Linotype" w:cs="Arial"/>
          <w:i/>
          <w:sz w:val="22"/>
          <w:szCs w:val="22"/>
          <w:lang w:val="es-MX" w:eastAsia="es-MX"/>
        </w:rPr>
      </w:pPr>
      <w:r w:rsidRPr="00312EE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312EE8" w:rsidRPr="00312EE8" w:rsidRDefault="00312EE8" w:rsidP="00312EE8">
      <w:pPr>
        <w:spacing w:line="360" w:lineRule="auto"/>
        <w:ind w:left="567" w:right="567"/>
        <w:jc w:val="both"/>
        <w:rPr>
          <w:rFonts w:ascii="Palatino Linotype" w:hAnsi="Palatino Linotype" w:cs="Arial"/>
          <w:i/>
          <w:color w:val="000000" w:themeColor="text1"/>
          <w:szCs w:val="22"/>
        </w:rPr>
      </w:pPr>
    </w:p>
    <w:p w:rsidR="000D4D66" w:rsidRPr="00312EE8" w:rsidRDefault="000D4D66" w:rsidP="00312EE8">
      <w:pPr>
        <w:pStyle w:val="Prrafodelista"/>
        <w:numPr>
          <w:ilvl w:val="0"/>
          <w:numId w:val="1"/>
        </w:numPr>
        <w:spacing w:line="360" w:lineRule="auto"/>
        <w:ind w:left="0" w:firstLine="0"/>
        <w:jc w:val="both"/>
        <w:rPr>
          <w:rFonts w:ascii="Palatino Linotype" w:hAnsi="Palatino Linotype" w:cs="Arial"/>
          <w:i/>
          <w:color w:val="000000" w:themeColor="text1"/>
        </w:rPr>
      </w:pPr>
      <w:r w:rsidRPr="00312EE8">
        <w:rPr>
          <w:rFonts w:ascii="Palatino Linotype" w:hAnsi="Palatino Linotype"/>
          <w:color w:val="000000" w:themeColor="text1"/>
        </w:rPr>
        <w:t>En esa virtud, el</w:t>
      </w:r>
      <w:r w:rsidRPr="00312EE8">
        <w:rPr>
          <w:rStyle w:val="apple-converted-space"/>
          <w:rFonts w:ascii="Palatino Linotype" w:hAnsi="Palatino Linotype"/>
          <w:color w:val="000000" w:themeColor="text1"/>
        </w:rPr>
        <w:t xml:space="preserve"> </w:t>
      </w:r>
      <w:r w:rsidRPr="00312EE8">
        <w:rPr>
          <w:rFonts w:ascii="Palatino Linotype" w:hAnsi="Palatino Linotype"/>
          <w:b/>
          <w:bCs/>
          <w:color w:val="000000" w:themeColor="text1"/>
        </w:rPr>
        <w:t>Sujeto Obligado</w:t>
      </w:r>
      <w:r w:rsidRPr="00312EE8">
        <w:rPr>
          <w:rStyle w:val="apple-converted-space"/>
          <w:rFonts w:ascii="Palatino Linotype" w:hAnsi="Palatino Linotype"/>
          <w:color w:val="000000" w:themeColor="text1"/>
        </w:rPr>
        <w:t xml:space="preserve"> </w:t>
      </w:r>
      <w:r w:rsidRPr="00312EE8">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0D4D66" w:rsidRPr="00312EE8" w:rsidRDefault="000D4D66" w:rsidP="00312EE8">
      <w:pPr>
        <w:pStyle w:val="Prrafodelista"/>
        <w:spacing w:line="360" w:lineRule="auto"/>
        <w:ind w:left="0"/>
        <w:jc w:val="both"/>
        <w:rPr>
          <w:rFonts w:ascii="Palatino Linotype" w:hAnsi="Palatino Linotype" w:cs="Arial"/>
          <w:i/>
          <w:color w:val="000000" w:themeColor="text1"/>
        </w:rPr>
      </w:pPr>
    </w:p>
    <w:p w:rsidR="000D4D66" w:rsidRPr="00312EE8" w:rsidRDefault="000D4D66" w:rsidP="00312EE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12EE8">
        <w:rPr>
          <w:rFonts w:ascii="Palatino Linotype" w:hAnsi="Palatino Linotype"/>
          <w:color w:val="000000" w:themeColor="text1"/>
        </w:rPr>
        <w:lastRenderedPageBreak/>
        <w:t xml:space="preserve">Robustece lo anterior expuesto el primer párrafo del artículo 160 de la </w:t>
      </w:r>
      <w:r w:rsidRPr="00312EE8">
        <w:rPr>
          <w:rFonts w:ascii="Palatino Linotype" w:hAnsi="Palatino Linotype"/>
          <w:b/>
        </w:rPr>
        <w:t xml:space="preserve">Ley de Transparencia y Acceso a la Información Pública del Estado de México y Municipios, </w:t>
      </w:r>
      <w:r w:rsidRPr="00312EE8">
        <w:rPr>
          <w:rFonts w:ascii="Palatino Linotype" w:hAnsi="Palatino Linotype" w:cs="Tahoma"/>
        </w:rPr>
        <w:t>que a la letra dispone:</w:t>
      </w:r>
    </w:p>
    <w:p w:rsidR="000D4D66" w:rsidRDefault="000D4D66" w:rsidP="00312EE8">
      <w:pPr>
        <w:pStyle w:val="Prrafodelista"/>
        <w:spacing w:before="240" w:after="360" w:line="360" w:lineRule="auto"/>
        <w:ind w:left="0"/>
        <w:jc w:val="both"/>
        <w:rPr>
          <w:rFonts w:ascii="Palatino Linotype" w:hAnsi="Palatino Linotype" w:cs="Arial"/>
          <w:color w:val="000000" w:themeColor="text1"/>
        </w:rPr>
      </w:pPr>
    </w:p>
    <w:p w:rsidR="00312EE8" w:rsidRPr="00312EE8" w:rsidRDefault="00312EE8" w:rsidP="00312EE8">
      <w:pPr>
        <w:pStyle w:val="Prrafodelista"/>
        <w:spacing w:before="240" w:after="360" w:line="360" w:lineRule="auto"/>
        <w:ind w:left="0"/>
        <w:jc w:val="both"/>
        <w:rPr>
          <w:rFonts w:ascii="Palatino Linotype" w:hAnsi="Palatino Linotype" w:cs="Arial"/>
          <w:color w:val="000000" w:themeColor="text1"/>
        </w:rPr>
      </w:pPr>
    </w:p>
    <w:p w:rsidR="000D4D66" w:rsidRPr="00312EE8" w:rsidRDefault="000D4D66" w:rsidP="00312EE8">
      <w:pPr>
        <w:pStyle w:val="Prrafodelista"/>
        <w:spacing w:before="240" w:after="360" w:line="360" w:lineRule="auto"/>
        <w:ind w:left="567" w:right="567"/>
        <w:jc w:val="both"/>
        <w:rPr>
          <w:rFonts w:ascii="Palatino Linotype" w:hAnsi="Palatino Linotype" w:cs="Arial"/>
          <w:i/>
          <w:sz w:val="22"/>
          <w:szCs w:val="22"/>
          <w:lang w:val="es-MX"/>
        </w:rPr>
      </w:pPr>
      <w:r w:rsidRPr="00312EE8">
        <w:rPr>
          <w:rFonts w:ascii="Palatino Linotype" w:hAnsi="Palatino Linotype"/>
          <w:b/>
          <w:i/>
          <w:sz w:val="22"/>
          <w:szCs w:val="22"/>
        </w:rPr>
        <w:t>Artículo 160.</w:t>
      </w:r>
      <w:r w:rsidRPr="00312EE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D4D66" w:rsidRPr="00312EE8" w:rsidRDefault="000D4D66" w:rsidP="00312EE8">
      <w:pPr>
        <w:pStyle w:val="Prrafodelista"/>
        <w:spacing w:before="240" w:after="360" w:line="360" w:lineRule="auto"/>
        <w:ind w:left="0"/>
        <w:jc w:val="both"/>
        <w:rPr>
          <w:rFonts w:ascii="Palatino Linotype" w:hAnsi="Palatino Linotype" w:cs="Arial"/>
          <w:color w:val="000000" w:themeColor="text1"/>
        </w:rPr>
      </w:pPr>
    </w:p>
    <w:p w:rsidR="000D4D66" w:rsidRPr="00312EE8" w:rsidRDefault="000D4D66" w:rsidP="00312EE8">
      <w:pPr>
        <w:pStyle w:val="Prrafodelista"/>
        <w:numPr>
          <w:ilvl w:val="0"/>
          <w:numId w:val="1"/>
        </w:numPr>
        <w:spacing w:line="360" w:lineRule="auto"/>
        <w:ind w:left="0" w:firstLine="0"/>
        <w:jc w:val="both"/>
        <w:rPr>
          <w:rFonts w:ascii="Palatino Linotype" w:hAnsi="Palatino Linotype" w:cs="Arial"/>
          <w:i/>
          <w:color w:val="000000" w:themeColor="text1"/>
        </w:rPr>
      </w:pPr>
      <w:r w:rsidRPr="00312EE8">
        <w:rPr>
          <w:rFonts w:ascii="Palatino Linotype" w:eastAsia="Times New Roman" w:hAnsi="Palatino Linotype" w:cs="Arial"/>
          <w:bCs/>
          <w:color w:val="000000" w:themeColor="text1"/>
          <w:lang w:val="es-ES"/>
        </w:rPr>
        <w:t xml:space="preserve">Por ello, el </w:t>
      </w:r>
      <w:r w:rsidRPr="00312EE8">
        <w:rPr>
          <w:rFonts w:ascii="Palatino Linotype" w:eastAsia="Times New Roman" w:hAnsi="Palatino Linotype" w:cs="Arial"/>
          <w:b/>
          <w:bCs/>
          <w:color w:val="000000" w:themeColor="text1"/>
          <w:lang w:val="es-ES"/>
        </w:rPr>
        <w:t>Sujeto Obligado</w:t>
      </w:r>
      <w:r w:rsidRPr="00312EE8">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312EE8" w:rsidRPr="00312EE8" w:rsidRDefault="00312EE8" w:rsidP="00312EE8">
      <w:pPr>
        <w:pStyle w:val="Prrafodelista"/>
        <w:spacing w:line="360" w:lineRule="auto"/>
        <w:ind w:left="0"/>
        <w:jc w:val="both"/>
        <w:rPr>
          <w:rFonts w:ascii="Palatino Linotype" w:hAnsi="Palatino Linotype" w:cs="Arial"/>
          <w:i/>
          <w:color w:val="000000" w:themeColor="text1"/>
        </w:rPr>
      </w:pPr>
    </w:p>
    <w:p w:rsidR="00107170" w:rsidRPr="00312EE8" w:rsidRDefault="00107170" w:rsidP="00312EE8">
      <w:pPr>
        <w:pStyle w:val="Ttulo2"/>
        <w:numPr>
          <w:ilvl w:val="0"/>
          <w:numId w:val="3"/>
        </w:numPr>
        <w:spacing w:before="0" w:line="360" w:lineRule="auto"/>
        <w:rPr>
          <w:rFonts w:ascii="Palatino Linotype" w:hAnsi="Palatino Linotype"/>
          <w:b/>
          <w:color w:val="auto"/>
          <w:sz w:val="24"/>
        </w:rPr>
      </w:pPr>
      <w:bookmarkStart w:id="11" w:name="_Toc535946916"/>
      <w:bookmarkStart w:id="12" w:name="_Toc522709486"/>
      <w:bookmarkStart w:id="13" w:name="_Toc452722829"/>
      <w:bookmarkStart w:id="14" w:name="_Toc454373811"/>
      <w:bookmarkStart w:id="15" w:name="_Toc476675991"/>
      <w:r w:rsidRPr="00312EE8">
        <w:rPr>
          <w:rFonts w:ascii="Palatino Linotype" w:hAnsi="Palatino Linotype"/>
          <w:b/>
          <w:color w:val="auto"/>
          <w:sz w:val="24"/>
        </w:rPr>
        <w:t>Del derecho de acceso a la información</w:t>
      </w:r>
      <w:bookmarkEnd w:id="11"/>
    </w:p>
    <w:bookmarkEnd w:id="12"/>
    <w:p w:rsidR="008044D2" w:rsidRPr="00312EE8" w:rsidRDefault="008044D2" w:rsidP="00312EE8">
      <w:pPr>
        <w:spacing w:line="360" w:lineRule="auto"/>
        <w:rPr>
          <w:rFonts w:ascii="Palatino Linotype" w:hAnsi="Palatino Linotype"/>
          <w:lang w:val="es-MX" w:eastAsia="en-US"/>
        </w:rPr>
      </w:pPr>
    </w:p>
    <w:p w:rsidR="000F27CF" w:rsidRPr="0006695C" w:rsidRDefault="00107170"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 xml:space="preserve">El derecho de acceso a la información encuentra su finalidad en el quehacer gubernamental principalmente, puesto que puede verse como una herramienta para que toda persona sin necesidad de acreditar su identidad o su interés jurídico </w:t>
      </w:r>
      <w:r w:rsidRPr="00312EE8">
        <w:rPr>
          <w:rFonts w:ascii="Palatino Linotype" w:eastAsia="Calibri" w:hAnsi="Palatino Linotype" w:cs="Arial"/>
        </w:rPr>
        <w:lastRenderedPageBreak/>
        <w:t xml:space="preserve">pueda acceder a toda aquella información que sea generada, poseída o administrada por los Sujetos Obligados </w:t>
      </w:r>
      <w:r w:rsidR="000F27CF" w:rsidRPr="00312EE8">
        <w:rPr>
          <w:rFonts w:ascii="Palatino Linotype" w:eastAsia="Calibri" w:hAnsi="Palatino Linotype" w:cs="Arial"/>
        </w:rPr>
        <w:t>en apego al</w:t>
      </w:r>
      <w:r w:rsidRPr="00312EE8">
        <w:rPr>
          <w:rFonts w:ascii="Palatino Linotype" w:eastAsia="Calibri" w:hAnsi="Palatino Linotype" w:cs="Arial"/>
        </w:rPr>
        <w:t xml:space="preserve"> principio de máxima publicidad </w:t>
      </w:r>
      <w:r w:rsidRPr="00312EE8">
        <w:rPr>
          <w:rFonts w:ascii="Palatino Linotype" w:hAnsi="Palatino Linotype"/>
          <w:lang w:val="es-ES"/>
        </w:rPr>
        <w:t>contenido en el artículo 9 fracción VII de la Ley de Transparencia y Acceso a la Información Pública, así como de conformidad con los artículos 4 y 12 de la misma normatividad</w:t>
      </w:r>
      <w:r w:rsidR="000F27CF" w:rsidRPr="00312EE8">
        <w:rPr>
          <w:rFonts w:ascii="Palatino Linotype" w:hAnsi="Palatino Linotype"/>
          <w:lang w:val="es-ES"/>
        </w:rPr>
        <w:t>.</w:t>
      </w:r>
    </w:p>
    <w:p w:rsidR="0006695C" w:rsidRPr="00312EE8" w:rsidRDefault="0006695C" w:rsidP="0006695C">
      <w:pPr>
        <w:pStyle w:val="Prrafodelista"/>
        <w:spacing w:line="360" w:lineRule="auto"/>
        <w:ind w:left="0"/>
        <w:jc w:val="both"/>
        <w:rPr>
          <w:rFonts w:ascii="Palatino Linotype" w:eastAsia="Calibri" w:hAnsi="Palatino Linotype" w:cs="Arial"/>
        </w:rPr>
      </w:pPr>
    </w:p>
    <w:p w:rsidR="000F27CF" w:rsidRPr="00312EE8" w:rsidRDefault="000F27CF"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hAnsi="Palatino Linotype"/>
          <w:lang w:val="es-ES"/>
        </w:rPr>
        <w:t xml:space="preserve">Ahora bien, de la información solicitada se tiene que el particular requiere conocer cuántos servidores públicos adscritos al Ayuntamiento de San Felipe del Progreso, tienen residencia oficial en los Municipios de </w:t>
      </w:r>
      <w:proofErr w:type="spellStart"/>
      <w:r w:rsidRPr="00312EE8">
        <w:rPr>
          <w:rFonts w:ascii="Palatino Linotype" w:hAnsi="Palatino Linotype"/>
          <w:lang w:val="es-MX" w:eastAsia="es-MX"/>
        </w:rPr>
        <w:t>Temascalcingo</w:t>
      </w:r>
      <w:proofErr w:type="spellEnd"/>
      <w:r w:rsidRPr="00312EE8">
        <w:rPr>
          <w:rFonts w:ascii="Palatino Linotype" w:hAnsi="Palatino Linotype"/>
          <w:lang w:val="es-MX" w:eastAsia="es-MX"/>
        </w:rPr>
        <w:t xml:space="preserve">, </w:t>
      </w:r>
      <w:proofErr w:type="spellStart"/>
      <w:r w:rsidRPr="00312EE8">
        <w:rPr>
          <w:rFonts w:ascii="Palatino Linotype" w:hAnsi="Palatino Linotype"/>
          <w:lang w:val="es-MX" w:eastAsia="es-MX"/>
        </w:rPr>
        <w:t>Jilotepec</w:t>
      </w:r>
      <w:proofErr w:type="spellEnd"/>
      <w:r w:rsidRPr="00312EE8">
        <w:rPr>
          <w:rFonts w:ascii="Palatino Linotype" w:hAnsi="Palatino Linotype"/>
          <w:lang w:val="es-MX" w:eastAsia="es-MX"/>
        </w:rPr>
        <w:t>, Ixtlahuaca y Atlacomulco</w:t>
      </w:r>
      <w:r w:rsidR="008C05FF" w:rsidRPr="00312EE8">
        <w:rPr>
          <w:rFonts w:ascii="Palatino Linotype" w:hAnsi="Palatino Linotype"/>
          <w:lang w:val="es-MX" w:eastAsia="es-MX"/>
        </w:rPr>
        <w:t>.</w:t>
      </w:r>
    </w:p>
    <w:p w:rsidR="008C05FF" w:rsidRPr="00312EE8" w:rsidRDefault="008C05FF" w:rsidP="00312EE8">
      <w:pPr>
        <w:pStyle w:val="Prrafodelista"/>
        <w:spacing w:line="360" w:lineRule="auto"/>
        <w:rPr>
          <w:rFonts w:ascii="Palatino Linotype" w:eastAsia="Calibri" w:hAnsi="Palatino Linotype" w:cs="Arial"/>
        </w:rPr>
      </w:pPr>
    </w:p>
    <w:p w:rsidR="008C05FF" w:rsidRPr="00312EE8" w:rsidRDefault="008C05FF"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 xml:space="preserve">Tomando como referencia la Constitución Política de los Estados Unidos Mexicanos, el primer párrafo del artículo primero establece que, </w:t>
      </w:r>
      <w:r w:rsidRPr="00312EE8">
        <w:rPr>
          <w:rFonts w:ascii="Palatino Linotype" w:eastAsia="Calibri" w:hAnsi="Palatino Linotype" w:cs="Arial"/>
          <w:i/>
        </w:rPr>
        <w:t xml:space="preserve">todas las personas gozarán de los derechos humanos reconocidos en la constitución y en los tratados internacionales de los que el Estado Mexicano sea parte, así como de las garantías para su protección. </w:t>
      </w:r>
      <w:r w:rsidRPr="00312EE8">
        <w:rPr>
          <w:rFonts w:ascii="Palatino Linotype" w:eastAsia="Calibri" w:hAnsi="Palatino Linotype" w:cs="Arial"/>
        </w:rPr>
        <w:t xml:space="preserve">Mientras que primer párrafo, del artículo 123, del mismo ordenamiento legal dispone que </w:t>
      </w:r>
      <w:r w:rsidRPr="00312EE8">
        <w:rPr>
          <w:rFonts w:ascii="Palatino Linotype" w:eastAsia="Calibri" w:hAnsi="Palatino Linotype" w:cs="Arial"/>
          <w:i/>
        </w:rPr>
        <w:t>toda persona tiene derecho al trabajo digno y socialmente útil.</w:t>
      </w:r>
    </w:p>
    <w:p w:rsidR="008C05FF" w:rsidRPr="00312EE8" w:rsidRDefault="008C05FF" w:rsidP="00312EE8">
      <w:pPr>
        <w:pStyle w:val="Prrafodelista"/>
        <w:spacing w:line="360" w:lineRule="auto"/>
        <w:rPr>
          <w:rFonts w:ascii="Palatino Linotype" w:eastAsia="Calibri" w:hAnsi="Palatino Linotype" w:cs="Arial"/>
        </w:rPr>
      </w:pPr>
    </w:p>
    <w:p w:rsidR="008C05FF" w:rsidRPr="00312EE8" w:rsidRDefault="008C05FF"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 xml:space="preserve">Es así que, por mandato constitucional todas las personas tienen derecho a un trabajo digno, además de que </w:t>
      </w:r>
      <w:r w:rsidR="00960782" w:rsidRPr="00312EE8">
        <w:rPr>
          <w:rFonts w:ascii="Palatino Linotype" w:eastAsia="Calibri" w:hAnsi="Palatino Linotype" w:cs="Arial"/>
        </w:rPr>
        <w:t>este</w:t>
      </w:r>
      <w:r w:rsidRPr="00312EE8">
        <w:rPr>
          <w:rFonts w:ascii="Palatino Linotype" w:eastAsia="Calibri" w:hAnsi="Palatino Linotype" w:cs="Arial"/>
        </w:rPr>
        <w:t xml:space="preserve"> derecho se encuentra protegido por una garantía</w:t>
      </w:r>
      <w:r w:rsidR="00960782" w:rsidRPr="00312EE8">
        <w:rPr>
          <w:rFonts w:ascii="Palatino Linotype" w:eastAsia="Calibri" w:hAnsi="Palatino Linotype" w:cs="Arial"/>
        </w:rPr>
        <w:t>,</w:t>
      </w:r>
      <w:r w:rsidRPr="00312EE8">
        <w:rPr>
          <w:rFonts w:ascii="Palatino Linotype" w:eastAsia="Calibri" w:hAnsi="Palatino Linotype" w:cs="Arial"/>
        </w:rPr>
        <w:t xml:space="preserve"> para que las autoridades en el ámbito de sus competencias, lo promuevan, </w:t>
      </w:r>
      <w:r w:rsidRPr="00312EE8">
        <w:rPr>
          <w:rFonts w:ascii="Palatino Linotype" w:eastAsia="Calibri" w:hAnsi="Palatino Linotype" w:cs="Arial"/>
        </w:rPr>
        <w:lastRenderedPageBreak/>
        <w:t xml:space="preserve">respeten, </w:t>
      </w:r>
      <w:r w:rsidR="00B647B5" w:rsidRPr="00312EE8">
        <w:rPr>
          <w:rFonts w:ascii="Palatino Linotype" w:eastAsia="Calibri" w:hAnsi="Palatino Linotype" w:cs="Arial"/>
        </w:rPr>
        <w:t>protejan y garanticen, de conformidad con los principios de universalidad, interdependencia, indivisibilidad y progresividad.</w:t>
      </w:r>
    </w:p>
    <w:p w:rsidR="00B647B5" w:rsidRPr="00312EE8" w:rsidRDefault="00B647B5" w:rsidP="00312EE8">
      <w:pPr>
        <w:pStyle w:val="Prrafodelista"/>
        <w:spacing w:line="360" w:lineRule="auto"/>
        <w:rPr>
          <w:rFonts w:ascii="Palatino Linotype" w:eastAsia="Calibri" w:hAnsi="Palatino Linotype" w:cs="Arial"/>
        </w:rPr>
      </w:pPr>
    </w:p>
    <w:p w:rsidR="0006695C" w:rsidRPr="0006695C" w:rsidRDefault="00B647B5" w:rsidP="0006695C">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 xml:space="preserve">Robusteciendo lo anterior, tenemos que el artículo 5to Constitucional en el primer párrafo dispone </w:t>
      </w:r>
      <w:r w:rsidRPr="00312EE8">
        <w:rPr>
          <w:rFonts w:ascii="Palatino Linotype" w:eastAsia="Calibri" w:hAnsi="Palatino Linotype" w:cs="Arial"/>
          <w:i/>
          <w:sz w:val="22"/>
        </w:rPr>
        <w:t xml:space="preserve">a ninguna persona podrá impedirse que se dedique a la profesión, industria, comercio o </w:t>
      </w:r>
      <w:r w:rsidRPr="00312EE8">
        <w:rPr>
          <w:rFonts w:ascii="Palatino Linotype" w:eastAsia="Calibri" w:hAnsi="Palatino Linotype" w:cs="Arial"/>
          <w:b/>
          <w:i/>
          <w:sz w:val="22"/>
        </w:rPr>
        <w:t>trabajo que le acomode, siendo lícitos</w:t>
      </w:r>
      <w:r w:rsidRPr="00312EE8">
        <w:rPr>
          <w:rFonts w:ascii="Palatino Linotype" w:eastAsia="Calibri" w:hAnsi="Palatino Linotype" w:cs="Arial"/>
          <w:b/>
          <w:i/>
        </w:rPr>
        <w:t>.</w:t>
      </w:r>
      <w:r w:rsidR="00960782" w:rsidRPr="00312EE8">
        <w:rPr>
          <w:rFonts w:ascii="Palatino Linotype" w:eastAsia="Calibri" w:hAnsi="Palatino Linotype" w:cs="Arial"/>
          <w:b/>
          <w:i/>
        </w:rPr>
        <w:t xml:space="preserve"> </w:t>
      </w:r>
      <w:r w:rsidR="00960782" w:rsidRPr="00312EE8">
        <w:rPr>
          <w:rFonts w:ascii="Palatino Linotype" w:eastAsia="Calibri" w:hAnsi="Palatino Linotype" w:cs="Arial"/>
        </w:rPr>
        <w:t>Es así que, a ninguna persona podrá restringirse el derecho a tener un trabajo digno, siempre y cuando éste sea lícito. Cualquier persona es libre de obtener un empleo en donde quiera que se encuentre sin que sea un impedimento su residencia.</w:t>
      </w:r>
    </w:p>
    <w:p w:rsidR="00960782" w:rsidRPr="00312EE8" w:rsidRDefault="00960782" w:rsidP="00312EE8">
      <w:pPr>
        <w:pStyle w:val="Prrafodelista"/>
        <w:spacing w:line="360" w:lineRule="auto"/>
        <w:rPr>
          <w:rFonts w:ascii="Palatino Linotype" w:eastAsia="Calibri" w:hAnsi="Palatino Linotype" w:cs="Arial"/>
        </w:rPr>
      </w:pPr>
    </w:p>
    <w:p w:rsidR="00960782" w:rsidRPr="00312EE8" w:rsidRDefault="00960782"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Sólo en casos excepcionales, la ley establece que ciertas personas para ocupar un cargo de elección popular, por ejemplo deberán residir en determinado lugar, o bien, ser vecinos. Sin embargo, solo en aquellos casos será posible conocer su lugar de residencia, para poder verificar que efectivamente cumplieron con los requisitos que el propio cargo exige.</w:t>
      </w:r>
    </w:p>
    <w:p w:rsidR="00960782" w:rsidRPr="00312EE8" w:rsidRDefault="00960782" w:rsidP="00312EE8">
      <w:pPr>
        <w:pStyle w:val="Prrafodelista"/>
        <w:spacing w:line="360" w:lineRule="auto"/>
        <w:rPr>
          <w:rFonts w:ascii="Palatino Linotype" w:eastAsia="Calibri" w:hAnsi="Palatino Linotype" w:cs="Arial"/>
        </w:rPr>
      </w:pPr>
    </w:p>
    <w:p w:rsidR="00960782" w:rsidRPr="00312EE8" w:rsidRDefault="00960782"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El lugar de residencia de una persona debe entenderse como un dato personal, toda vez que a través de la divulgación de esta información podría vulnerarse la privacidad del titular, además de que dicha información en estricto sentido nada abona a la transparencia y rendición de cuentas.</w:t>
      </w:r>
    </w:p>
    <w:p w:rsidR="00960782" w:rsidRPr="00312EE8" w:rsidRDefault="00960782" w:rsidP="00312EE8">
      <w:pPr>
        <w:pStyle w:val="Prrafodelista"/>
        <w:spacing w:line="360" w:lineRule="auto"/>
        <w:rPr>
          <w:rFonts w:ascii="Palatino Linotype" w:eastAsia="Calibri" w:hAnsi="Palatino Linotype" w:cs="Arial"/>
        </w:rPr>
      </w:pPr>
    </w:p>
    <w:p w:rsidR="000C2A78" w:rsidRPr="00312EE8" w:rsidRDefault="00960782"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lastRenderedPageBreak/>
        <w:t xml:space="preserve">Como se ha dicho anteriormente, el acceso a la información tiene como objetivo la transparencia sobre el quehacer gubernamental y </w:t>
      </w:r>
      <w:r w:rsidR="00B9745A" w:rsidRPr="00312EE8">
        <w:rPr>
          <w:rFonts w:ascii="Palatino Linotype" w:eastAsia="Calibri" w:hAnsi="Palatino Linotype" w:cs="Arial"/>
        </w:rPr>
        <w:t>de aquellas personas que reciban o ejerzan recursos públicos y/o personas que ejerzan actos de autoridad. Puede verse como medio de control ciudadano para calificar las acciones realizadas por las autoridades y poder evaluar su desempeño o formular opiniones informadas.</w:t>
      </w:r>
      <w:r w:rsidR="000C2A78" w:rsidRPr="00312EE8">
        <w:rPr>
          <w:rFonts w:ascii="Palatino Linotype" w:eastAsia="Calibri" w:hAnsi="Palatino Linotype" w:cs="Arial"/>
        </w:rPr>
        <w:t xml:space="preserve"> Sin embargo, la información que requirió el particular no puede ser entregada aún y cuando se refiera a información estadística, puesto que –</w:t>
      </w:r>
      <w:r w:rsidR="000C2A78" w:rsidRPr="00312EE8">
        <w:rPr>
          <w:rFonts w:ascii="Palatino Linotype" w:eastAsia="Calibri" w:hAnsi="Palatino Linotype" w:cs="Arial"/>
          <w:i/>
        </w:rPr>
        <w:t xml:space="preserve">se reitera- </w:t>
      </w:r>
      <w:r w:rsidR="000C2A78" w:rsidRPr="00312EE8">
        <w:rPr>
          <w:rFonts w:ascii="Palatino Linotype" w:eastAsia="Calibri" w:hAnsi="Palatino Linotype" w:cs="Arial"/>
        </w:rPr>
        <w:t xml:space="preserve"> a nada abona a la transparencia y rendición de cuentas, toda vez que el lugar de residencia es un tema que se aleja de lo que es la materia de la transparencia, además de que residir dentro fuera de los límites territoriales del Ayuntamiento de San Felipe del Progreso en nada interfiere con las actividades que desempeña cada servidor público.</w:t>
      </w:r>
    </w:p>
    <w:p w:rsidR="00215595" w:rsidRPr="00312EE8" w:rsidRDefault="00215595" w:rsidP="00312EE8">
      <w:pPr>
        <w:pStyle w:val="Prrafodelista"/>
        <w:spacing w:line="360" w:lineRule="auto"/>
        <w:rPr>
          <w:rFonts w:ascii="Palatino Linotype" w:eastAsia="Calibri" w:hAnsi="Palatino Linotype" w:cs="Arial"/>
        </w:rPr>
      </w:pPr>
    </w:p>
    <w:p w:rsidR="00215595" w:rsidRPr="00312EE8" w:rsidRDefault="00215595"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 xml:space="preserve">Además, no debemos perder de vista que la Ley de Transparencia y Acceso a la Información Pública del Estado de México y Municipios es muy clara y precisa al indicar que los Sujetos Obligados </w:t>
      </w:r>
      <w:r w:rsidR="00392EB9" w:rsidRPr="00312EE8">
        <w:rPr>
          <w:rFonts w:ascii="Palatino Linotype" w:eastAsia="Calibri" w:hAnsi="Palatino Linotype" w:cs="Arial"/>
        </w:rPr>
        <w:t>deben actuar conforme al principio de máxima publicidad</w:t>
      </w:r>
      <w:r w:rsidR="00392EB9" w:rsidRPr="00312EE8">
        <w:rPr>
          <w:rStyle w:val="Refdenotaalpie"/>
          <w:rFonts w:ascii="Palatino Linotype" w:eastAsia="Calibri" w:hAnsi="Palatino Linotype" w:cs="Arial"/>
        </w:rPr>
        <w:footnoteReference w:id="9"/>
      </w:r>
      <w:r w:rsidR="00392EB9" w:rsidRPr="00312EE8">
        <w:rPr>
          <w:rFonts w:ascii="Palatino Linotype" w:eastAsia="Calibri" w:hAnsi="Palatino Linotype" w:cs="Arial"/>
        </w:rPr>
        <w:t xml:space="preserve"> y hacer pública toda aquella información que se encuentre en su posesión. No obstante, la misma normatividad, en el artículo 12 establece lo siguiente:</w:t>
      </w:r>
    </w:p>
    <w:p w:rsidR="00392EB9" w:rsidRPr="00312EE8" w:rsidRDefault="00392EB9" w:rsidP="00312EE8">
      <w:pPr>
        <w:pStyle w:val="Prrafodelista"/>
        <w:spacing w:line="360" w:lineRule="auto"/>
        <w:rPr>
          <w:rFonts w:ascii="Palatino Linotype" w:eastAsia="Calibri" w:hAnsi="Palatino Linotype" w:cs="Arial"/>
        </w:rPr>
      </w:pPr>
    </w:p>
    <w:p w:rsidR="00392EB9" w:rsidRPr="00312EE8" w:rsidRDefault="00392EB9" w:rsidP="00312EE8">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312EE8">
        <w:rPr>
          <w:rFonts w:ascii="Palatino Linotype" w:eastAsiaTheme="minorHAnsi" w:hAnsi="Palatino Linotype" w:cs="Bookman Old Style,Bold"/>
          <w:b/>
          <w:bCs/>
          <w:i/>
          <w:sz w:val="22"/>
          <w:szCs w:val="20"/>
          <w:lang w:val="es-MX" w:eastAsia="en-US"/>
        </w:rPr>
        <w:t xml:space="preserve">Artículo 12. </w:t>
      </w:r>
      <w:r w:rsidRPr="00312EE8">
        <w:rPr>
          <w:rFonts w:ascii="Palatino Linotype" w:eastAsiaTheme="minorHAnsi" w:hAnsi="Palatino Linotype" w:cs="Bookman Old Style"/>
          <w:i/>
          <w:sz w:val="22"/>
          <w:szCs w:val="20"/>
          <w:lang w:val="es-MX" w:eastAsia="en-US"/>
        </w:rPr>
        <w:t>Quienes generen, recopilen, administren, manejen, procesen, archiven o conserven información pública serán responsables de la misma en los términos de las disposiciones jurídicas aplicables.</w:t>
      </w:r>
    </w:p>
    <w:p w:rsidR="00392EB9" w:rsidRPr="00312EE8" w:rsidRDefault="00392EB9" w:rsidP="00312EE8">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rsidR="00392EB9" w:rsidRPr="00312EE8" w:rsidRDefault="00392EB9" w:rsidP="00312EE8">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312EE8">
        <w:rPr>
          <w:rFonts w:ascii="Palatino Linotype" w:eastAsiaTheme="minorHAnsi" w:hAnsi="Palatino Linotype" w:cs="Bookman Old Style"/>
          <w:i/>
          <w:sz w:val="22"/>
          <w:szCs w:val="20"/>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2EB9" w:rsidRPr="00312EE8" w:rsidRDefault="00392EB9" w:rsidP="00312EE8">
      <w:pPr>
        <w:autoSpaceDE w:val="0"/>
        <w:autoSpaceDN w:val="0"/>
        <w:adjustRightInd w:val="0"/>
        <w:spacing w:line="360" w:lineRule="auto"/>
        <w:ind w:right="567"/>
        <w:jc w:val="both"/>
        <w:rPr>
          <w:rFonts w:ascii="Palatino Linotype" w:eastAsiaTheme="minorHAnsi" w:hAnsi="Palatino Linotype" w:cs="Bookman Old Style"/>
          <w:i/>
          <w:sz w:val="22"/>
          <w:szCs w:val="20"/>
          <w:lang w:val="es-MX" w:eastAsia="en-US"/>
        </w:rPr>
      </w:pPr>
    </w:p>
    <w:p w:rsidR="00392EB9" w:rsidRPr="00312EE8" w:rsidRDefault="00392EB9" w:rsidP="00312EE8">
      <w:pPr>
        <w:pStyle w:val="Prrafodelista"/>
        <w:numPr>
          <w:ilvl w:val="0"/>
          <w:numId w:val="1"/>
        </w:numPr>
        <w:autoSpaceDE w:val="0"/>
        <w:autoSpaceDN w:val="0"/>
        <w:adjustRightInd w:val="0"/>
        <w:spacing w:line="360" w:lineRule="auto"/>
        <w:ind w:left="0" w:right="567" w:firstLine="0"/>
        <w:jc w:val="both"/>
        <w:rPr>
          <w:rFonts w:ascii="Palatino Linotype" w:eastAsia="Calibri" w:hAnsi="Palatino Linotype" w:cs="Arial"/>
          <w:i/>
          <w:sz w:val="28"/>
        </w:rPr>
      </w:pPr>
      <w:r w:rsidRPr="00312EE8">
        <w:rPr>
          <w:rFonts w:ascii="Palatino Linotype" w:eastAsia="Calibri" w:hAnsi="Palatino Linotype" w:cs="Arial"/>
        </w:rPr>
        <w:t>Los Sujetos Obligados únicamente entregarán la información que obre en sus archivos y en el estado en el que se encuentre, no cuentan con la obligación de generarla conforme al interés del solicitante</w:t>
      </w:r>
      <w:r w:rsidR="00007A23" w:rsidRPr="00312EE8">
        <w:rPr>
          <w:rFonts w:ascii="Palatino Linotype" w:eastAsia="Calibri" w:hAnsi="Palatino Linotype" w:cs="Arial"/>
        </w:rPr>
        <w:t xml:space="preserve">. En cuanto a la información que solicitó el particular, se tiene que el Sujeto Obligado no cuenta con fuente obligacional para generar la información al grado de detalle que se requirió, por lo que se entiende que, para estar en posibilidades de proporcionar lo solicitado, se debió realizar una búsqueda en los archivos de cada servidor público y, posteriormente transferir la información a un documento, lo que la ley </w:t>
      </w:r>
      <w:r w:rsidR="00007A23" w:rsidRPr="00312EE8">
        <w:rPr>
          <w:rFonts w:ascii="Palatino Linotype" w:eastAsia="Calibri" w:hAnsi="Palatino Linotype" w:cs="Arial"/>
          <w:b/>
        </w:rPr>
        <w:t xml:space="preserve">NO </w:t>
      </w:r>
      <w:r w:rsidR="00007A23" w:rsidRPr="00312EE8">
        <w:rPr>
          <w:rFonts w:ascii="Palatino Linotype" w:eastAsia="Calibri" w:hAnsi="Palatino Linotype" w:cs="Arial"/>
        </w:rPr>
        <w:t>establece como obligación.</w:t>
      </w:r>
    </w:p>
    <w:p w:rsidR="00007A23" w:rsidRPr="00312EE8" w:rsidRDefault="00007A23" w:rsidP="00312EE8">
      <w:pPr>
        <w:pStyle w:val="Prrafodelista"/>
        <w:autoSpaceDE w:val="0"/>
        <w:autoSpaceDN w:val="0"/>
        <w:adjustRightInd w:val="0"/>
        <w:spacing w:line="360" w:lineRule="auto"/>
        <w:ind w:left="0" w:right="567"/>
        <w:jc w:val="both"/>
        <w:rPr>
          <w:rFonts w:ascii="Palatino Linotype" w:eastAsia="Calibri" w:hAnsi="Palatino Linotype" w:cs="Arial"/>
          <w:i/>
          <w:sz w:val="28"/>
        </w:rPr>
      </w:pPr>
    </w:p>
    <w:p w:rsidR="00007A23" w:rsidRPr="00312EE8" w:rsidRDefault="00007A23" w:rsidP="00312EE8">
      <w:pPr>
        <w:pStyle w:val="Prrafodelista"/>
        <w:numPr>
          <w:ilvl w:val="0"/>
          <w:numId w:val="1"/>
        </w:numPr>
        <w:autoSpaceDE w:val="0"/>
        <w:autoSpaceDN w:val="0"/>
        <w:adjustRightInd w:val="0"/>
        <w:spacing w:line="360" w:lineRule="auto"/>
        <w:ind w:left="0" w:right="567" w:firstLine="0"/>
        <w:jc w:val="both"/>
        <w:rPr>
          <w:rFonts w:ascii="Palatino Linotype" w:eastAsia="Calibri" w:hAnsi="Palatino Linotype" w:cs="Arial"/>
          <w:i/>
          <w:sz w:val="28"/>
        </w:rPr>
      </w:pPr>
      <w:r w:rsidRPr="00312EE8">
        <w:rPr>
          <w:rFonts w:ascii="Palatino Linotype" w:eastAsia="Calibri" w:hAnsi="Palatino Linotype" w:cs="Arial"/>
        </w:rPr>
        <w:lastRenderedPageBreak/>
        <w:t>Entregar la información tal como fue solicitada excede el ejercicio fundamental del acceso a la información, pues obliga a las autoridades a generar nuevos documentos para satisfacer los requerimientos.</w:t>
      </w:r>
    </w:p>
    <w:p w:rsidR="00392EB9" w:rsidRPr="00312EE8" w:rsidRDefault="00392EB9" w:rsidP="00312EE8">
      <w:pPr>
        <w:autoSpaceDE w:val="0"/>
        <w:autoSpaceDN w:val="0"/>
        <w:adjustRightInd w:val="0"/>
        <w:spacing w:line="360" w:lineRule="auto"/>
        <w:ind w:right="567"/>
        <w:jc w:val="both"/>
        <w:rPr>
          <w:rFonts w:ascii="Palatino Linotype" w:eastAsia="Calibri" w:hAnsi="Palatino Linotype" w:cs="Arial"/>
          <w:i/>
          <w:sz w:val="28"/>
        </w:rPr>
      </w:pPr>
    </w:p>
    <w:p w:rsidR="00007A23" w:rsidRPr="00312EE8" w:rsidRDefault="00007A23" w:rsidP="00312EE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12EE8">
        <w:rPr>
          <w:rFonts w:ascii="Palatino Linotype" w:hAnsi="Palatino Linotype"/>
          <w:color w:val="000000"/>
          <w:szCs w:val="22"/>
        </w:rPr>
        <w:t xml:space="preserve">Robustece lo anterior </w:t>
      </w:r>
      <w:r w:rsidRPr="00312EE8">
        <w:rPr>
          <w:rFonts w:ascii="Palatino Linotype" w:hAnsi="Palatino Linotype" w:cs="Arial"/>
        </w:rPr>
        <w:t>el criterio 13/17 de la Segunda Época emitido por el Instituto Nacional de Transparencia, Acceso a la Información y Protección de Datos personales:</w:t>
      </w:r>
    </w:p>
    <w:p w:rsidR="00312EE8" w:rsidRPr="00312EE8" w:rsidRDefault="00312EE8" w:rsidP="00312EE8">
      <w:pPr>
        <w:pStyle w:val="Prrafodelista"/>
        <w:rPr>
          <w:rFonts w:ascii="Palatino Linotype" w:eastAsia="Times New Roman" w:hAnsi="Palatino Linotype" w:cs="Arial"/>
          <w:color w:val="000000"/>
        </w:rPr>
      </w:pPr>
    </w:p>
    <w:p w:rsidR="00312EE8" w:rsidRPr="00312EE8" w:rsidRDefault="00312EE8" w:rsidP="00312EE8">
      <w:pPr>
        <w:pStyle w:val="Prrafodelista"/>
        <w:spacing w:line="360" w:lineRule="auto"/>
        <w:ind w:left="0" w:right="49"/>
        <w:jc w:val="both"/>
        <w:rPr>
          <w:rFonts w:ascii="Palatino Linotype" w:eastAsia="Times New Roman" w:hAnsi="Palatino Linotype" w:cs="Arial"/>
          <w:color w:val="000000"/>
        </w:rPr>
      </w:pPr>
    </w:p>
    <w:p w:rsidR="00007A23" w:rsidRPr="00312EE8" w:rsidRDefault="00007A23" w:rsidP="00312EE8">
      <w:pPr>
        <w:pStyle w:val="Prrafodelista"/>
        <w:tabs>
          <w:tab w:val="left" w:pos="2430"/>
        </w:tabs>
        <w:spacing w:line="360" w:lineRule="auto"/>
        <w:ind w:left="567" w:right="565"/>
        <w:jc w:val="both"/>
        <w:rPr>
          <w:rFonts w:ascii="Palatino Linotype" w:hAnsi="Palatino Linotype" w:cs="Arial"/>
          <w:i/>
          <w:sz w:val="22"/>
        </w:rPr>
      </w:pPr>
      <w:r w:rsidRPr="00312EE8">
        <w:rPr>
          <w:rFonts w:ascii="Palatino Linotype" w:hAnsi="Palatino Linotype" w:cs="Arial"/>
          <w:b/>
          <w:bCs/>
          <w:i/>
          <w:sz w:val="22"/>
        </w:rPr>
        <w:t>No existe obligación de elaborar documentos ad hoc para atender las solicitudes de acceso a la información</w:t>
      </w:r>
      <w:r w:rsidRPr="00312EE8">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7A23" w:rsidRPr="00312EE8" w:rsidRDefault="00007A23" w:rsidP="00312EE8">
      <w:pPr>
        <w:spacing w:line="360" w:lineRule="auto"/>
        <w:ind w:left="567" w:right="565"/>
        <w:jc w:val="both"/>
        <w:rPr>
          <w:rFonts w:ascii="Palatino Linotype" w:hAnsi="Palatino Linotype" w:cs="Arial"/>
          <w:i/>
          <w:sz w:val="22"/>
        </w:rPr>
      </w:pPr>
      <w:r w:rsidRPr="00312EE8">
        <w:rPr>
          <w:rFonts w:ascii="Palatino Linotype" w:hAnsi="Palatino Linotype" w:cs="Arial"/>
          <w:i/>
          <w:sz w:val="22"/>
        </w:rPr>
        <w:t>Resoluciones:</w:t>
      </w:r>
    </w:p>
    <w:p w:rsidR="00007A23" w:rsidRPr="00312EE8" w:rsidRDefault="00007A23" w:rsidP="00312EE8">
      <w:pPr>
        <w:spacing w:line="360" w:lineRule="auto"/>
        <w:ind w:left="567" w:right="565"/>
        <w:jc w:val="both"/>
        <w:rPr>
          <w:rFonts w:ascii="Palatino Linotype" w:hAnsi="Palatino Linotype" w:cs="Arial"/>
          <w:i/>
          <w:sz w:val="22"/>
        </w:rPr>
      </w:pPr>
      <w:r w:rsidRPr="00312EE8">
        <w:rPr>
          <w:rFonts w:ascii="Palatino Linotype" w:hAnsi="Palatino Linotype" w:cs="Arial"/>
          <w:i/>
          <w:sz w:val="22"/>
        </w:rPr>
        <w:t>•</w:t>
      </w:r>
      <w:r w:rsidRPr="00312EE8">
        <w:rPr>
          <w:rFonts w:ascii="Palatino Linotype" w:hAnsi="Palatino Linotype" w:cs="Arial"/>
          <w:i/>
          <w:sz w:val="22"/>
        </w:rPr>
        <w:tab/>
        <w:t>RRA 0050/16. Instituto Nacional para la Evaluación de la Educación. 13 julio de 2016. Por unanimidad. Comisionado Ponente: Francisco Javier Acuña Llamas.</w:t>
      </w:r>
    </w:p>
    <w:p w:rsidR="00007A23" w:rsidRPr="00312EE8" w:rsidRDefault="00007A23" w:rsidP="00312EE8">
      <w:pPr>
        <w:spacing w:line="360" w:lineRule="auto"/>
        <w:ind w:left="567" w:right="565"/>
        <w:jc w:val="both"/>
        <w:rPr>
          <w:rFonts w:ascii="Palatino Linotype" w:hAnsi="Palatino Linotype" w:cs="Arial"/>
          <w:i/>
          <w:sz w:val="22"/>
        </w:rPr>
      </w:pPr>
      <w:r w:rsidRPr="00312EE8">
        <w:rPr>
          <w:rFonts w:ascii="Palatino Linotype" w:hAnsi="Palatino Linotype" w:cs="Arial"/>
          <w:i/>
          <w:sz w:val="22"/>
        </w:rPr>
        <w:lastRenderedPageBreak/>
        <w:t>•</w:t>
      </w:r>
      <w:r w:rsidRPr="00312EE8">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007A23" w:rsidRPr="00312EE8" w:rsidRDefault="00007A23" w:rsidP="00312EE8">
      <w:pPr>
        <w:spacing w:line="360" w:lineRule="auto"/>
        <w:ind w:left="567" w:right="565"/>
        <w:jc w:val="both"/>
        <w:rPr>
          <w:rFonts w:ascii="Palatino Linotype" w:hAnsi="Palatino Linotype" w:cs="Arial"/>
          <w:i/>
          <w:sz w:val="22"/>
        </w:rPr>
      </w:pPr>
      <w:r w:rsidRPr="00312EE8">
        <w:rPr>
          <w:rFonts w:ascii="Palatino Linotype" w:hAnsi="Palatino Linotype" w:cs="Arial"/>
          <w:i/>
          <w:sz w:val="22"/>
        </w:rPr>
        <w:t>•</w:t>
      </w:r>
      <w:r w:rsidRPr="00312EE8">
        <w:rPr>
          <w:rFonts w:ascii="Palatino Linotype" w:hAnsi="Palatino Linotype" w:cs="Arial"/>
          <w:i/>
          <w:sz w:val="22"/>
        </w:rPr>
        <w:tab/>
        <w:t>RRA 1889/16. Secretaría de Hacienda y Crédito Público. 05 de octubre de 2016. Por unanimidad. Comisionada Ponente. Ximena Puente de la Mora.</w:t>
      </w:r>
    </w:p>
    <w:p w:rsidR="00007A23" w:rsidRPr="00312EE8" w:rsidRDefault="00007A23" w:rsidP="00312EE8">
      <w:pPr>
        <w:autoSpaceDE w:val="0"/>
        <w:autoSpaceDN w:val="0"/>
        <w:adjustRightInd w:val="0"/>
        <w:spacing w:line="360" w:lineRule="auto"/>
        <w:ind w:right="567"/>
        <w:jc w:val="both"/>
        <w:rPr>
          <w:rFonts w:ascii="Palatino Linotype" w:eastAsia="Calibri" w:hAnsi="Palatino Linotype" w:cs="Arial"/>
          <w:i/>
          <w:sz w:val="28"/>
        </w:rPr>
      </w:pPr>
    </w:p>
    <w:p w:rsidR="00B87E67" w:rsidRPr="00312EE8" w:rsidRDefault="00B87E67"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hAnsi="Palatino Linotype"/>
        </w:rPr>
        <w:t>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sidR="00312EE8">
        <w:rPr>
          <w:rFonts w:ascii="Palatino Linotype" w:hAnsi="Palatino Linotype"/>
        </w:rPr>
        <w:t>.</w:t>
      </w:r>
    </w:p>
    <w:p w:rsidR="00312EE8" w:rsidRPr="00312EE8" w:rsidRDefault="00312EE8" w:rsidP="00312EE8">
      <w:pPr>
        <w:pStyle w:val="Prrafodelista"/>
        <w:spacing w:line="360" w:lineRule="auto"/>
        <w:ind w:left="0"/>
        <w:jc w:val="both"/>
        <w:rPr>
          <w:rFonts w:ascii="Palatino Linotype" w:eastAsia="Calibri" w:hAnsi="Palatino Linotype" w:cs="Arial"/>
        </w:rPr>
      </w:pPr>
    </w:p>
    <w:p w:rsidR="00215595" w:rsidRPr="00312EE8" w:rsidRDefault="00007A23"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Es así que se advierte que, el requerimiento del particular va encaminado a obligar al Ayuntamiento a generar un documento “ad hoc”, situación que no es dable de acuerdo a la normatividad en materia. No obstante, aún y cuando se pudiera generar un documento para colmar el derecho accionado, la materia de la solicitud se aleja de la transparencia y rendición de cuentas.</w:t>
      </w:r>
    </w:p>
    <w:p w:rsidR="00007A23" w:rsidRPr="00312EE8" w:rsidRDefault="00007A23" w:rsidP="00312EE8">
      <w:pPr>
        <w:spacing w:line="360" w:lineRule="auto"/>
        <w:rPr>
          <w:rFonts w:ascii="Palatino Linotype" w:eastAsia="Calibri" w:hAnsi="Palatino Linotype" w:cs="Arial"/>
        </w:rPr>
      </w:pPr>
    </w:p>
    <w:p w:rsidR="00215595" w:rsidRPr="00312EE8" w:rsidRDefault="00215595" w:rsidP="00312EE8">
      <w:pPr>
        <w:pStyle w:val="Ttulo2"/>
        <w:numPr>
          <w:ilvl w:val="0"/>
          <w:numId w:val="3"/>
        </w:numPr>
        <w:spacing w:line="360" w:lineRule="auto"/>
        <w:rPr>
          <w:rFonts w:ascii="Palatino Linotype" w:eastAsia="Calibri" w:hAnsi="Palatino Linotype"/>
          <w:b/>
          <w:color w:val="auto"/>
          <w:sz w:val="24"/>
        </w:rPr>
      </w:pPr>
      <w:bookmarkStart w:id="16" w:name="_Toc535946917"/>
      <w:r w:rsidRPr="00312EE8">
        <w:rPr>
          <w:rFonts w:ascii="Palatino Linotype" w:eastAsia="Calibri" w:hAnsi="Palatino Linotype"/>
          <w:b/>
          <w:color w:val="auto"/>
          <w:sz w:val="24"/>
        </w:rPr>
        <w:t>Actualización del sobreseimiento.</w:t>
      </w:r>
      <w:bookmarkEnd w:id="16"/>
    </w:p>
    <w:p w:rsidR="000C2A78" w:rsidRPr="00312EE8" w:rsidRDefault="000C2A78" w:rsidP="00312EE8">
      <w:pPr>
        <w:pStyle w:val="Prrafodelista"/>
        <w:spacing w:line="360" w:lineRule="auto"/>
        <w:rPr>
          <w:rFonts w:ascii="Palatino Linotype" w:eastAsia="Calibri" w:hAnsi="Palatino Linotype" w:cs="Arial"/>
        </w:rPr>
      </w:pPr>
    </w:p>
    <w:p w:rsidR="00215595" w:rsidRPr="00312EE8" w:rsidRDefault="00215595"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eastAsia="Calibri" w:hAnsi="Palatino Linotype" w:cs="Arial"/>
        </w:rPr>
        <w:t>Por lo anterior, este Órgano Garante determina que la información que requiere el particular no puede ser atendida por medio del ejercicio del derecho de acceso a la informaci</w:t>
      </w:r>
      <w:r w:rsidR="00007A23" w:rsidRPr="00312EE8">
        <w:rPr>
          <w:rFonts w:ascii="Palatino Linotype" w:eastAsia="Calibri" w:hAnsi="Palatino Linotype" w:cs="Arial"/>
        </w:rPr>
        <w:t>ón por las siguientes razones:</w:t>
      </w:r>
    </w:p>
    <w:p w:rsidR="00007A23" w:rsidRPr="00312EE8" w:rsidRDefault="00007A23" w:rsidP="00312EE8">
      <w:pPr>
        <w:pStyle w:val="Prrafodelista"/>
        <w:spacing w:line="360" w:lineRule="auto"/>
        <w:ind w:left="0"/>
        <w:jc w:val="both"/>
        <w:rPr>
          <w:rFonts w:ascii="Palatino Linotype" w:eastAsia="Calibri" w:hAnsi="Palatino Linotype" w:cs="Arial"/>
        </w:rPr>
      </w:pPr>
    </w:p>
    <w:p w:rsidR="00007A23" w:rsidRPr="00312EE8" w:rsidRDefault="006D59E2" w:rsidP="00312EE8">
      <w:pPr>
        <w:pStyle w:val="Prrafodelista"/>
        <w:numPr>
          <w:ilvl w:val="0"/>
          <w:numId w:val="6"/>
        </w:numPr>
        <w:spacing w:line="360" w:lineRule="auto"/>
        <w:jc w:val="both"/>
        <w:rPr>
          <w:rFonts w:ascii="Palatino Linotype" w:eastAsia="Calibri" w:hAnsi="Palatino Linotype" w:cs="Arial"/>
        </w:rPr>
      </w:pPr>
      <w:r w:rsidRPr="00312EE8">
        <w:rPr>
          <w:rFonts w:ascii="Palatino Linotype" w:eastAsia="Calibri" w:hAnsi="Palatino Linotype" w:cs="Arial"/>
        </w:rPr>
        <w:t>Para atender la solicitud es necesario generar un documento</w:t>
      </w:r>
      <w:r w:rsidR="00007A23" w:rsidRPr="00312EE8">
        <w:rPr>
          <w:rFonts w:ascii="Palatino Linotype" w:eastAsia="Calibri" w:hAnsi="Palatino Linotype" w:cs="Arial"/>
        </w:rPr>
        <w:t xml:space="preserve"> “ad hoc”; y,</w:t>
      </w:r>
    </w:p>
    <w:p w:rsidR="00007A23" w:rsidRPr="00312EE8" w:rsidRDefault="00007A23" w:rsidP="00312EE8">
      <w:pPr>
        <w:pStyle w:val="Prrafodelista"/>
        <w:numPr>
          <w:ilvl w:val="0"/>
          <w:numId w:val="6"/>
        </w:numPr>
        <w:spacing w:line="360" w:lineRule="auto"/>
        <w:jc w:val="both"/>
        <w:rPr>
          <w:rFonts w:ascii="Palatino Linotype" w:eastAsia="Calibri" w:hAnsi="Palatino Linotype" w:cs="Arial"/>
        </w:rPr>
      </w:pPr>
      <w:r w:rsidRPr="00312EE8">
        <w:rPr>
          <w:rFonts w:ascii="Palatino Linotype" w:eastAsia="Calibri" w:hAnsi="Palatino Linotype" w:cs="Arial"/>
        </w:rPr>
        <w:t>La información requerida no es materia de transparencia y rendición de cuentas.</w:t>
      </w:r>
    </w:p>
    <w:p w:rsidR="00007A23" w:rsidRPr="00312EE8" w:rsidRDefault="00007A23" w:rsidP="00312EE8">
      <w:pPr>
        <w:spacing w:line="360" w:lineRule="auto"/>
        <w:jc w:val="both"/>
        <w:rPr>
          <w:rFonts w:ascii="Palatino Linotype" w:eastAsia="Calibri" w:hAnsi="Palatino Linotype" w:cs="Arial"/>
        </w:rPr>
      </w:pPr>
    </w:p>
    <w:p w:rsidR="00007A23" w:rsidRPr="00312EE8" w:rsidRDefault="00007A23" w:rsidP="00312EE8">
      <w:pPr>
        <w:pStyle w:val="Prrafodelista"/>
        <w:numPr>
          <w:ilvl w:val="0"/>
          <w:numId w:val="1"/>
        </w:numPr>
        <w:spacing w:line="360" w:lineRule="auto"/>
        <w:ind w:left="0" w:firstLine="0"/>
        <w:jc w:val="both"/>
        <w:rPr>
          <w:rFonts w:ascii="Palatino Linotype" w:eastAsia="Calibri" w:hAnsi="Palatino Linotype" w:cs="Arial"/>
        </w:rPr>
      </w:pPr>
      <w:r w:rsidRPr="00312EE8">
        <w:rPr>
          <w:rFonts w:ascii="Palatino Linotype" w:hAnsi="Palatino Linotype"/>
          <w:lang w:val="es-ES"/>
        </w:rPr>
        <w:t xml:space="preserve">Con base en lo anterior, </w:t>
      </w:r>
      <w:r w:rsidR="001D769C" w:rsidRPr="00312EE8">
        <w:rPr>
          <w:rFonts w:ascii="Palatino Linotype" w:hAnsi="Palatino Linotype"/>
          <w:lang w:val="es-ES"/>
        </w:rPr>
        <w:t>es que este Órgano Garante determina que los requerimientos planteados por la parte recurrente no son materia del derecho de acceso a la información.</w:t>
      </w:r>
    </w:p>
    <w:p w:rsidR="001D769C" w:rsidRPr="00312EE8" w:rsidRDefault="001D769C" w:rsidP="00312EE8">
      <w:pPr>
        <w:pStyle w:val="Prrafodelista"/>
        <w:spacing w:line="360" w:lineRule="auto"/>
        <w:ind w:left="0"/>
        <w:jc w:val="both"/>
        <w:rPr>
          <w:rFonts w:ascii="Palatino Linotype" w:eastAsia="Calibri" w:hAnsi="Palatino Linotype" w:cs="Arial"/>
        </w:rPr>
      </w:pPr>
    </w:p>
    <w:p w:rsidR="006D59E2" w:rsidRPr="00312EE8" w:rsidRDefault="001D769C" w:rsidP="00312EE8">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312EE8">
        <w:rPr>
          <w:rFonts w:ascii="Palatino Linotype" w:eastAsia="Times New Roman" w:hAnsi="Palatino Linotype" w:cs="Arial"/>
          <w:lang w:val="es-ES"/>
        </w:rPr>
        <w:t xml:space="preserve">En esta tesitura se entiende que el Sujeto Obligado si bien no respondió la solicitud de acceso a la información, también lo es que derivado del análisis </w:t>
      </w:r>
      <w:r w:rsidR="006D59E2" w:rsidRPr="00312EE8">
        <w:rPr>
          <w:rFonts w:ascii="Palatino Linotype" w:eastAsia="Times New Roman" w:hAnsi="Palatino Linotype" w:cs="Arial"/>
          <w:lang w:val="es-ES"/>
        </w:rPr>
        <w:t>de lo requerido, no es materia del derecho de acceso a la información.</w:t>
      </w:r>
    </w:p>
    <w:p w:rsidR="00BB29D2" w:rsidRPr="00312EE8" w:rsidRDefault="00BB29D2" w:rsidP="00312EE8">
      <w:pPr>
        <w:pStyle w:val="Prrafodelista"/>
        <w:spacing w:line="360" w:lineRule="auto"/>
        <w:rPr>
          <w:rFonts w:ascii="Palatino Linotype" w:eastAsia="Times New Roman" w:hAnsi="Palatino Linotype" w:cs="Arial"/>
          <w:lang w:val="es-ES"/>
        </w:rPr>
      </w:pPr>
    </w:p>
    <w:p w:rsidR="00BB29D2" w:rsidRPr="00312EE8" w:rsidRDefault="00BB29D2" w:rsidP="00312EE8">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312EE8">
        <w:rPr>
          <w:rFonts w:ascii="Palatino Linotype" w:hAnsi="Palatino Linotype"/>
        </w:rPr>
        <w:t>Por lo anteriormente expuesto, es necesario hacer de conocimiento al particular que resultan inatendibles los motivos de inconformidad que arguye el recurrente en su medio de impugnación que fue materia de estudio y se actualiza la causal de sobreseimiento contenida en el artículo 192 fracción V.</w:t>
      </w:r>
    </w:p>
    <w:p w:rsidR="008040B3" w:rsidRPr="00312EE8" w:rsidRDefault="008040B3" w:rsidP="00312EE8">
      <w:pPr>
        <w:pStyle w:val="Prrafodelista"/>
        <w:spacing w:before="240" w:after="240" w:line="360" w:lineRule="auto"/>
        <w:ind w:left="0" w:right="49"/>
        <w:jc w:val="both"/>
        <w:rPr>
          <w:rFonts w:ascii="Palatino Linotype" w:eastAsia="Times New Roman" w:hAnsi="Palatino Linotype" w:cs="Arial"/>
          <w:lang w:val="es-ES"/>
        </w:rPr>
      </w:pPr>
    </w:p>
    <w:p w:rsidR="006D59E2" w:rsidRPr="00312EE8" w:rsidRDefault="00BB29D2" w:rsidP="00312EE8">
      <w:pPr>
        <w:pStyle w:val="Prrafodelista"/>
        <w:numPr>
          <w:ilvl w:val="0"/>
          <w:numId w:val="1"/>
        </w:numPr>
        <w:spacing w:line="360" w:lineRule="auto"/>
        <w:ind w:left="0" w:right="49" w:firstLine="0"/>
        <w:jc w:val="both"/>
        <w:rPr>
          <w:rFonts w:ascii="Palatino Linotype" w:eastAsia="Times New Roman" w:hAnsi="Palatino Linotype" w:cs="Arial"/>
          <w:lang w:val="es-ES"/>
        </w:rPr>
      </w:pPr>
      <w:r w:rsidRPr="00312EE8">
        <w:rPr>
          <w:rFonts w:ascii="Palatino Linotype" w:hAnsi="Palatino Linotype"/>
        </w:rPr>
        <w:t xml:space="preserve">Para que se actualice el supuesto de sobreseimiento por haberse quedado sin materia el recurso de revisión, es necesario que se analice y determine que la información requerida no podrá ser proporcionada porque de hacerlo, el Sujeto </w:t>
      </w:r>
      <w:r w:rsidRPr="00312EE8">
        <w:rPr>
          <w:rFonts w:ascii="Palatino Linotype" w:hAnsi="Palatino Linotype"/>
        </w:rPr>
        <w:lastRenderedPageBreak/>
        <w:t>Obligado deberá realizar un documento “ad hoc” y además, la información no guarda relación con la transparencia y rendición de cuentas.</w:t>
      </w:r>
    </w:p>
    <w:p w:rsidR="00312EE8" w:rsidRPr="00312EE8" w:rsidRDefault="00312EE8" w:rsidP="00312EE8">
      <w:pPr>
        <w:pStyle w:val="Prrafodelista"/>
        <w:spacing w:line="360" w:lineRule="auto"/>
        <w:ind w:left="0" w:right="49"/>
        <w:jc w:val="both"/>
        <w:rPr>
          <w:rFonts w:ascii="Palatino Linotype" w:eastAsia="Times New Roman" w:hAnsi="Palatino Linotype" w:cs="Arial"/>
          <w:lang w:val="es-ES"/>
        </w:rPr>
      </w:pPr>
    </w:p>
    <w:p w:rsidR="00312EE8" w:rsidRPr="0006695C" w:rsidRDefault="00360632" w:rsidP="0006695C">
      <w:pPr>
        <w:pStyle w:val="Ttulo1"/>
        <w:spacing w:before="0" w:line="360" w:lineRule="auto"/>
        <w:rPr>
          <w:color w:val="000000" w:themeColor="text1"/>
          <w:szCs w:val="24"/>
        </w:rPr>
      </w:pPr>
      <w:bookmarkStart w:id="17" w:name="_Toc486525259"/>
      <w:bookmarkStart w:id="18" w:name="_Toc520970063"/>
      <w:bookmarkStart w:id="19" w:name="_Toc527655143"/>
      <w:bookmarkStart w:id="20" w:name="_Toc535946918"/>
      <w:r w:rsidRPr="00312EE8">
        <w:rPr>
          <w:color w:val="000000" w:themeColor="text1"/>
          <w:szCs w:val="24"/>
        </w:rPr>
        <w:t>QUINTO. Vista a los órganos de control interno</w:t>
      </w:r>
      <w:bookmarkEnd w:id="17"/>
      <w:bookmarkEnd w:id="18"/>
      <w:bookmarkEnd w:id="19"/>
      <w:bookmarkEnd w:id="20"/>
      <w:r w:rsidR="00312EE8">
        <w:rPr>
          <w:color w:val="000000" w:themeColor="text1"/>
          <w:szCs w:val="24"/>
        </w:rPr>
        <w:t>.</w:t>
      </w:r>
    </w:p>
    <w:p w:rsidR="00360632" w:rsidRPr="00312EE8" w:rsidRDefault="0006695C" w:rsidP="00312EE8">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Es necesario resa</w:t>
      </w:r>
      <w:r w:rsidR="00360632" w:rsidRPr="00312EE8">
        <w:rPr>
          <w:rFonts w:ascii="Palatino Linotype" w:hAnsi="Palatino Linotype"/>
        </w:rPr>
        <w:t xml:space="preserve">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360632" w:rsidRPr="00312EE8">
        <w:rPr>
          <w:rFonts w:ascii="Palatino Linotype" w:hAnsi="Palatino Linotype"/>
          <w:b/>
        </w:rPr>
        <w:t>SUJETO OBLIGADO</w:t>
      </w:r>
      <w:r w:rsidR="00360632" w:rsidRPr="00312EE8">
        <w:rPr>
          <w:rFonts w:ascii="Palatino Linotype" w:hAnsi="Palatino Linotype"/>
        </w:rPr>
        <w:t>.</w:t>
      </w:r>
    </w:p>
    <w:p w:rsidR="00360632" w:rsidRPr="00312EE8" w:rsidRDefault="00360632" w:rsidP="00312EE8">
      <w:pPr>
        <w:pStyle w:val="Prrafodelista"/>
        <w:spacing w:line="360" w:lineRule="auto"/>
        <w:ind w:left="0"/>
        <w:rPr>
          <w:rFonts w:ascii="Palatino Linotype" w:hAnsi="Palatino Linotype"/>
        </w:rPr>
      </w:pPr>
    </w:p>
    <w:p w:rsidR="00360632" w:rsidRDefault="00360632" w:rsidP="00312EE8">
      <w:pPr>
        <w:pStyle w:val="Prrafodelista"/>
        <w:numPr>
          <w:ilvl w:val="0"/>
          <w:numId w:val="1"/>
        </w:numPr>
        <w:spacing w:before="240" w:after="240" w:line="360" w:lineRule="auto"/>
        <w:ind w:left="0" w:firstLine="0"/>
        <w:jc w:val="both"/>
        <w:rPr>
          <w:rFonts w:ascii="Palatino Linotype" w:hAnsi="Palatino Linotype"/>
        </w:rPr>
      </w:pPr>
      <w:r w:rsidRPr="00312EE8">
        <w:rPr>
          <w:rFonts w:ascii="Palatino Linotype" w:hAnsi="Palatino Linotype"/>
        </w:rPr>
        <w:t>Por ello, es conveniente señalar la fracción X, del artículo 36, de la Ley de Transparencia y Acceso a la Información Pública del Estado de México y Municipios, que establece:</w:t>
      </w:r>
    </w:p>
    <w:p w:rsidR="00312EE8" w:rsidRPr="00312EE8" w:rsidRDefault="00312EE8" w:rsidP="00312EE8">
      <w:pPr>
        <w:pStyle w:val="Prrafodelista"/>
        <w:spacing w:line="360" w:lineRule="auto"/>
        <w:ind w:left="0"/>
        <w:jc w:val="both"/>
        <w:rPr>
          <w:rFonts w:ascii="Palatino Linotype" w:hAnsi="Palatino Linotype"/>
        </w:rPr>
      </w:pP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Artículo 36. El Instituto tendrá, en el ámbito de su competencia, las siguientes atribuciones:</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 xml:space="preserve">X. Hacer del conocimiento del órgano de control interno o equivalente de cada Sujeto Obligado las infracciones a esta Ley; </w:t>
      </w:r>
    </w:p>
    <w:p w:rsidR="00360632"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w:t>
      </w:r>
    </w:p>
    <w:p w:rsidR="00312EE8" w:rsidRPr="00312EE8" w:rsidRDefault="00312EE8" w:rsidP="00312EE8">
      <w:pPr>
        <w:spacing w:line="360" w:lineRule="auto"/>
        <w:ind w:left="567" w:right="567"/>
        <w:contextualSpacing/>
        <w:jc w:val="both"/>
        <w:rPr>
          <w:rFonts w:ascii="Palatino Linotype" w:hAnsi="Palatino Linotype"/>
          <w:i/>
          <w:sz w:val="22"/>
        </w:rPr>
      </w:pPr>
    </w:p>
    <w:p w:rsidR="00360632" w:rsidRDefault="00360632" w:rsidP="00312EE8">
      <w:pPr>
        <w:pStyle w:val="Prrafodelista"/>
        <w:numPr>
          <w:ilvl w:val="0"/>
          <w:numId w:val="1"/>
        </w:numPr>
        <w:spacing w:line="360" w:lineRule="auto"/>
        <w:ind w:left="0" w:firstLine="0"/>
        <w:jc w:val="both"/>
        <w:rPr>
          <w:rFonts w:ascii="Palatino Linotype" w:eastAsia="MS Mincho" w:hAnsi="Palatino Linotype" w:cs="Arial"/>
        </w:rPr>
      </w:pPr>
      <w:r w:rsidRPr="00312EE8">
        <w:rPr>
          <w:rFonts w:ascii="Palatino Linotype" w:hAnsi="Palatino Linotype"/>
        </w:rPr>
        <w:t xml:space="preserve">Asimismo, este Pleno hará del conocimiento del órgano de control de este Instituto de las infracciones en que el </w:t>
      </w:r>
      <w:r w:rsidRPr="00312EE8">
        <w:rPr>
          <w:rFonts w:ascii="Palatino Linotype" w:hAnsi="Palatino Linotype"/>
          <w:b/>
        </w:rPr>
        <w:t>SUJETO OBLIGADO</w:t>
      </w:r>
      <w:r w:rsidRPr="00312EE8">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12EE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312EE8" w:rsidRPr="00312EE8" w:rsidRDefault="00312EE8" w:rsidP="00312EE8">
      <w:pPr>
        <w:pStyle w:val="Prrafodelista"/>
        <w:spacing w:line="360" w:lineRule="auto"/>
        <w:ind w:left="0"/>
        <w:jc w:val="both"/>
        <w:rPr>
          <w:rFonts w:ascii="Palatino Linotype" w:eastAsia="MS Mincho" w:hAnsi="Palatino Linotype" w:cs="Arial"/>
        </w:rPr>
      </w:pPr>
    </w:p>
    <w:p w:rsidR="00360632" w:rsidRPr="00312EE8" w:rsidRDefault="00360632" w:rsidP="00312EE8">
      <w:pPr>
        <w:spacing w:line="360" w:lineRule="auto"/>
        <w:ind w:left="567" w:right="567"/>
        <w:jc w:val="both"/>
        <w:rPr>
          <w:rFonts w:ascii="Palatino Linotype" w:hAnsi="Palatino Linotype"/>
          <w:i/>
          <w:sz w:val="22"/>
          <w:szCs w:val="22"/>
        </w:rPr>
      </w:pPr>
      <w:r w:rsidRPr="00312EE8">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60632" w:rsidRPr="0006695C" w:rsidRDefault="00360632" w:rsidP="00312EE8">
      <w:pPr>
        <w:spacing w:line="360" w:lineRule="auto"/>
        <w:ind w:left="567" w:right="567"/>
        <w:contextualSpacing/>
        <w:jc w:val="both"/>
        <w:rPr>
          <w:rFonts w:ascii="Palatino Linotype" w:hAnsi="Palatino Linotype"/>
          <w:i/>
          <w:sz w:val="12"/>
        </w:rPr>
      </w:pP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I. Cualquier acto u omisión que provoque la suspensión o deficiencia en la atención de las solicitudes de información;</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II. La falta de respuesta a las solicitudes de información en los plazos señalados en la normatividad aplicable;</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t>…</w:t>
      </w:r>
    </w:p>
    <w:p w:rsidR="00360632" w:rsidRPr="00312EE8" w:rsidRDefault="00360632" w:rsidP="00312EE8">
      <w:pPr>
        <w:spacing w:line="360" w:lineRule="auto"/>
        <w:ind w:left="567" w:right="567"/>
        <w:contextualSpacing/>
        <w:jc w:val="both"/>
        <w:rPr>
          <w:rFonts w:ascii="Palatino Linotype" w:hAnsi="Palatino Linotype"/>
          <w:i/>
          <w:sz w:val="22"/>
        </w:rPr>
      </w:pPr>
      <w:r w:rsidRPr="00312EE8">
        <w:rPr>
          <w:rFonts w:ascii="Palatino Linotype" w:hAnsi="Palatino Linotype"/>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60632" w:rsidRPr="0006695C" w:rsidRDefault="00360632" w:rsidP="00312EE8">
      <w:pPr>
        <w:pStyle w:val="Prrafodelista"/>
        <w:spacing w:line="360" w:lineRule="auto"/>
        <w:rPr>
          <w:rFonts w:ascii="Palatino Linotype" w:hAnsi="Palatino Linotype"/>
          <w:lang w:val="es-ES"/>
        </w:rPr>
      </w:pPr>
    </w:p>
    <w:p w:rsidR="00360632" w:rsidRPr="00312EE8" w:rsidRDefault="00360632" w:rsidP="00312EE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12EE8">
        <w:rPr>
          <w:rFonts w:ascii="Palatino Linotype" w:hAnsi="Palatino Linotype"/>
        </w:rPr>
        <w:t xml:space="preserve">Por lo anteriormente expuesto y fundado este </w:t>
      </w:r>
      <w:r w:rsidRPr="00312EE8">
        <w:rPr>
          <w:rFonts w:ascii="Palatino Linotype" w:hAnsi="Palatino Linotype"/>
          <w:b/>
        </w:rPr>
        <w:t>ÓRGANO GARANTE</w:t>
      </w:r>
      <w:r w:rsidRPr="00312EE8">
        <w:rPr>
          <w:rFonts w:ascii="Palatino Linotype" w:hAnsi="Palatino Linotype"/>
        </w:rPr>
        <w:t xml:space="preserve"> emite los siguientes:</w:t>
      </w:r>
    </w:p>
    <w:p w:rsidR="00360632" w:rsidRDefault="0006695C" w:rsidP="00312EE8">
      <w:pPr>
        <w:pStyle w:val="Prrafodelista"/>
        <w:tabs>
          <w:tab w:val="left" w:pos="851"/>
        </w:tabs>
        <w:spacing w:line="360" w:lineRule="auto"/>
        <w:ind w:left="0"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47624</wp:posOffset>
                </wp:positionV>
                <wp:extent cx="5543550" cy="5286375"/>
                <wp:effectExtent l="19050" t="19050" r="19050" b="28575"/>
                <wp:wrapNone/>
                <wp:docPr id="5" name="Conector recto 5"/>
                <wp:cNvGraphicFramePr/>
                <a:graphic xmlns:a="http://schemas.openxmlformats.org/drawingml/2006/main">
                  <a:graphicData uri="http://schemas.microsoft.com/office/word/2010/wordprocessingShape">
                    <wps:wsp>
                      <wps:cNvCnPr/>
                      <wps:spPr>
                        <a:xfrm>
                          <a:off x="0" y="0"/>
                          <a:ext cx="5543550" cy="52863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5FFB6"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3.75pt" to="437.7pt,4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" strokecolor="#5b9bd5 [3204]" strokeweight="3pt">
                <v:stroke joinstyle="miter"/>
              </v:line>
            </w:pict>
          </mc:Fallback>
        </mc:AlternateContent>
      </w: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Default="0006695C" w:rsidP="00312EE8">
      <w:pPr>
        <w:pStyle w:val="Prrafodelista"/>
        <w:tabs>
          <w:tab w:val="left" w:pos="851"/>
        </w:tabs>
        <w:spacing w:line="360" w:lineRule="auto"/>
        <w:ind w:left="0" w:right="49"/>
        <w:jc w:val="both"/>
        <w:rPr>
          <w:rFonts w:ascii="Palatino Linotype" w:hAnsi="Palatino Linotype"/>
          <w:lang w:val="es-ES"/>
        </w:rPr>
      </w:pPr>
    </w:p>
    <w:p w:rsidR="0006695C" w:rsidRPr="00312EE8" w:rsidRDefault="0006695C" w:rsidP="00312EE8">
      <w:pPr>
        <w:pStyle w:val="Prrafodelista"/>
        <w:tabs>
          <w:tab w:val="left" w:pos="851"/>
        </w:tabs>
        <w:spacing w:line="360" w:lineRule="auto"/>
        <w:ind w:left="0" w:right="49"/>
        <w:jc w:val="both"/>
        <w:rPr>
          <w:rFonts w:ascii="Palatino Linotype" w:hAnsi="Palatino Linotype"/>
          <w:lang w:val="es-ES"/>
        </w:rPr>
      </w:pPr>
    </w:p>
    <w:p w:rsidR="00951CBD" w:rsidRDefault="002A5BA4" w:rsidP="00312EE8">
      <w:pPr>
        <w:keepNext/>
        <w:keepLines/>
        <w:spacing w:line="360" w:lineRule="auto"/>
        <w:jc w:val="center"/>
        <w:outlineLvl w:val="0"/>
        <w:rPr>
          <w:rFonts w:ascii="Palatino Linotype" w:eastAsia="Times New Roman" w:hAnsi="Palatino Linotype" w:cstheme="majorBidi"/>
          <w:b/>
          <w:bCs/>
        </w:rPr>
      </w:pPr>
      <w:bookmarkStart w:id="21" w:name="_Toc447699324"/>
      <w:bookmarkStart w:id="22" w:name="_Toc445745148"/>
      <w:bookmarkStart w:id="23" w:name="_Toc486525261"/>
      <w:bookmarkStart w:id="24" w:name="_Toc535946919"/>
      <w:r w:rsidRPr="00312EE8">
        <w:rPr>
          <w:rFonts w:ascii="Palatino Linotype" w:eastAsia="Times New Roman" w:hAnsi="Palatino Linotype" w:cstheme="majorBidi"/>
          <w:b/>
          <w:bCs/>
        </w:rPr>
        <w:lastRenderedPageBreak/>
        <w:t>R E S O L U T I V O S</w:t>
      </w:r>
      <w:bookmarkEnd w:id="21"/>
      <w:bookmarkEnd w:id="22"/>
      <w:bookmarkEnd w:id="23"/>
      <w:bookmarkEnd w:id="24"/>
    </w:p>
    <w:p w:rsidR="0006695C" w:rsidRPr="0006695C" w:rsidRDefault="0006695C" w:rsidP="00312EE8">
      <w:pPr>
        <w:keepNext/>
        <w:keepLines/>
        <w:spacing w:line="360" w:lineRule="auto"/>
        <w:jc w:val="center"/>
        <w:outlineLvl w:val="0"/>
        <w:rPr>
          <w:rFonts w:ascii="Palatino Linotype" w:eastAsia="Times New Roman" w:hAnsi="Palatino Linotype" w:cstheme="majorBidi"/>
          <w:b/>
          <w:bCs/>
          <w:sz w:val="12"/>
        </w:rPr>
      </w:pPr>
    </w:p>
    <w:p w:rsidR="0006695C" w:rsidRDefault="00007A23" w:rsidP="0006695C">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25" w:name="_Toc450120669"/>
      <w:bookmarkStart w:id="26" w:name="_Toc460947011"/>
      <w:r w:rsidRPr="00312EE8">
        <w:rPr>
          <w:rFonts w:ascii="Palatino Linotype" w:eastAsia="Times New Roman" w:hAnsi="Palatino Linotype" w:cs="Arial"/>
          <w:b/>
        </w:rPr>
        <w:t xml:space="preserve">PRIMERO. </w:t>
      </w:r>
      <w:r w:rsidRPr="00312EE8">
        <w:rPr>
          <w:rFonts w:ascii="Palatino Linotype" w:hAnsi="Palatino Linotype"/>
        </w:rPr>
        <w:t xml:space="preserve">Se </w:t>
      </w:r>
      <w:r w:rsidRPr="00312EE8">
        <w:rPr>
          <w:rFonts w:ascii="Palatino Linotype" w:hAnsi="Palatino Linotype"/>
          <w:b/>
        </w:rPr>
        <w:t>SOBRESEE</w:t>
      </w:r>
      <w:r w:rsidRPr="00312EE8">
        <w:rPr>
          <w:rFonts w:ascii="Palatino Linotype" w:hAnsi="Palatino Linotype"/>
        </w:rPr>
        <w:t xml:space="preserve"> el recurso de revisión número </w:t>
      </w:r>
      <w:r w:rsidRPr="00312EE8">
        <w:rPr>
          <w:rFonts w:ascii="Palatino Linotype" w:hAnsi="Palatino Linotype"/>
          <w:b/>
        </w:rPr>
        <w:t>0</w:t>
      </w:r>
      <w:r w:rsidR="001D769C" w:rsidRPr="00312EE8">
        <w:rPr>
          <w:rFonts w:ascii="Palatino Linotype" w:hAnsi="Palatino Linotype"/>
          <w:b/>
        </w:rPr>
        <w:t>4368</w:t>
      </w:r>
      <w:r w:rsidRPr="00312EE8">
        <w:rPr>
          <w:rFonts w:ascii="Palatino Linotype" w:hAnsi="Palatino Linotype"/>
          <w:b/>
        </w:rPr>
        <w:t xml:space="preserve">/INFOEM/IP/RR/2018 </w:t>
      </w:r>
      <w:r w:rsidRPr="00312EE8">
        <w:rPr>
          <w:rFonts w:ascii="Palatino Linotype" w:hAnsi="Palatino Linotype"/>
        </w:rPr>
        <w:t>por quedarse sin materia</w:t>
      </w:r>
      <w:r w:rsidRPr="00312EE8">
        <w:rPr>
          <w:rFonts w:ascii="Palatino Linotype" w:hAnsi="Palatino Linotype"/>
          <w:b/>
        </w:rPr>
        <w:t xml:space="preserve"> </w:t>
      </w:r>
      <w:r w:rsidRPr="00312EE8">
        <w:rPr>
          <w:rFonts w:ascii="Palatino Linotype" w:hAnsi="Palatino Linotype"/>
        </w:rPr>
        <w:t xml:space="preserve">en términos del Considerando </w:t>
      </w:r>
      <w:r w:rsidRPr="00312EE8">
        <w:rPr>
          <w:rFonts w:ascii="Palatino Linotype" w:hAnsi="Palatino Linotype"/>
          <w:b/>
        </w:rPr>
        <w:t>CUARTO</w:t>
      </w:r>
      <w:r w:rsidRPr="00312EE8">
        <w:rPr>
          <w:rFonts w:ascii="Palatino Linotype" w:hAnsi="Palatino Linotype"/>
        </w:rPr>
        <w:t xml:space="preserve"> de la presente resolución.</w:t>
      </w:r>
    </w:p>
    <w:p w:rsidR="0006695C" w:rsidRPr="0006695C" w:rsidRDefault="0006695C" w:rsidP="0006695C">
      <w:pPr>
        <w:pStyle w:val="Prrafodelista"/>
        <w:widowControl w:val="0"/>
        <w:tabs>
          <w:tab w:val="left" w:pos="1701"/>
        </w:tabs>
        <w:autoSpaceDE w:val="0"/>
        <w:autoSpaceDN w:val="0"/>
        <w:adjustRightInd w:val="0"/>
        <w:spacing w:line="360" w:lineRule="auto"/>
        <w:ind w:left="0"/>
        <w:jc w:val="both"/>
        <w:rPr>
          <w:rFonts w:ascii="Palatino Linotype" w:hAnsi="Palatino Linotype"/>
          <w:sz w:val="12"/>
        </w:rPr>
      </w:pPr>
    </w:p>
    <w:p w:rsidR="00007A23" w:rsidRDefault="00007A23" w:rsidP="0006695C">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312EE8">
        <w:rPr>
          <w:rFonts w:ascii="Palatino Linotype" w:eastAsia="Times New Roman" w:hAnsi="Palatino Linotype" w:cs="Arial"/>
          <w:b/>
        </w:rPr>
        <w:t>SEGUNDO.</w:t>
      </w:r>
      <w:bookmarkEnd w:id="27"/>
      <w:bookmarkEnd w:id="28"/>
      <w:bookmarkEnd w:id="29"/>
      <w:bookmarkEnd w:id="30"/>
      <w:bookmarkEnd w:id="31"/>
      <w:bookmarkEnd w:id="32"/>
      <w:bookmarkEnd w:id="33"/>
      <w:bookmarkEnd w:id="34"/>
      <w:bookmarkEnd w:id="35"/>
      <w:r w:rsidRPr="00312EE8">
        <w:rPr>
          <w:rStyle w:val="Ttulo2Car"/>
          <w:rFonts w:ascii="Palatino Linotype" w:hAnsi="Palatino Linotype"/>
          <w:b/>
          <w:color w:val="000000" w:themeColor="text1"/>
          <w:sz w:val="24"/>
        </w:rPr>
        <w:t xml:space="preserve"> </w:t>
      </w:r>
      <w:r w:rsidRPr="00312EE8">
        <w:rPr>
          <w:rFonts w:ascii="Palatino Linotype" w:eastAsia="MS Mincho" w:hAnsi="Palatino Linotype" w:cs="Arial"/>
          <w:b/>
          <w:bCs/>
          <w:color w:val="000000" w:themeColor="text1"/>
          <w:shd w:val="clear" w:color="auto" w:fill="FFFFFF"/>
        </w:rPr>
        <w:t xml:space="preserve">Remítase </w:t>
      </w:r>
      <w:r w:rsidRPr="00312EE8">
        <w:rPr>
          <w:rFonts w:ascii="Palatino Linotype" w:eastAsia="MS Mincho" w:hAnsi="Palatino Linotype" w:cs="Times New Roman"/>
          <w:color w:val="000000" w:themeColor="text1"/>
          <w:shd w:val="clear" w:color="auto" w:fill="FFFFFF"/>
        </w:rPr>
        <w:t>al Titular de la Unidad de Transparencia del</w:t>
      </w:r>
      <w:r w:rsidRPr="00312EE8">
        <w:rPr>
          <w:rFonts w:ascii="Palatino Linotype" w:eastAsia="MS Mincho" w:hAnsi="Palatino Linotype" w:cs="Times New Roman"/>
          <w:b/>
          <w:bCs/>
          <w:color w:val="000000" w:themeColor="text1"/>
          <w:shd w:val="clear" w:color="auto" w:fill="FFFFFF"/>
        </w:rPr>
        <w:t xml:space="preserve"> SUJETO OBLIGADO</w:t>
      </w:r>
      <w:r w:rsidRPr="00312EE8">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06695C" w:rsidRPr="0006695C" w:rsidRDefault="0006695C" w:rsidP="0006695C">
      <w:pPr>
        <w:shd w:val="clear" w:color="auto" w:fill="FFFFFF"/>
        <w:spacing w:line="360" w:lineRule="auto"/>
        <w:jc w:val="both"/>
        <w:rPr>
          <w:rStyle w:val="Ttulo2Car"/>
          <w:rFonts w:ascii="Palatino Linotype" w:hAnsi="Palatino Linotype"/>
          <w:b/>
          <w:color w:val="000000" w:themeColor="text1"/>
          <w:sz w:val="12"/>
        </w:rPr>
      </w:pPr>
    </w:p>
    <w:p w:rsidR="00007A23" w:rsidRPr="00312EE8" w:rsidRDefault="00007A23" w:rsidP="00312EE8">
      <w:pPr>
        <w:shd w:val="clear" w:color="auto" w:fill="FFFFFF"/>
        <w:spacing w:line="360" w:lineRule="auto"/>
        <w:jc w:val="both"/>
        <w:rPr>
          <w:rFonts w:ascii="Palatino Linotype" w:hAnsi="Palatino Linotype"/>
        </w:rPr>
      </w:pPr>
      <w:bookmarkStart w:id="36" w:name="_Toc460947013"/>
      <w:bookmarkEnd w:id="25"/>
      <w:bookmarkEnd w:id="26"/>
      <w:r w:rsidRPr="00312EE8">
        <w:rPr>
          <w:rFonts w:ascii="Palatino Linotype" w:eastAsia="Times New Roman" w:hAnsi="Palatino Linotype" w:cs="Arial"/>
          <w:b/>
        </w:rPr>
        <w:t xml:space="preserve">TERCERO. </w:t>
      </w:r>
      <w:r w:rsidRPr="00312EE8">
        <w:rPr>
          <w:rFonts w:ascii="Palatino Linotype" w:eastAsia="Times New Roman" w:hAnsi="Palatino Linotype" w:cs="Times New Roman"/>
          <w:b/>
          <w:bCs/>
          <w:color w:val="222222"/>
          <w:lang w:val="es-ES"/>
        </w:rPr>
        <w:t>Notifíquese a</w:t>
      </w:r>
      <w:r w:rsidRPr="00312EE8">
        <w:rPr>
          <w:rFonts w:ascii="Palatino Linotype" w:hAnsi="Palatino Linotype"/>
          <w:b/>
        </w:rPr>
        <w:t xml:space="preserve"> </w:t>
      </w:r>
      <w:r w:rsidR="007B1D49" w:rsidRPr="007B1D49">
        <w:rPr>
          <w:rFonts w:ascii="Palatino Linotype" w:hAnsi="Palatino Linotype"/>
          <w:b/>
          <w:szCs w:val="22"/>
          <w:highlight w:val="black"/>
        </w:rPr>
        <w:t>-----------------------------</w:t>
      </w:r>
      <w:r w:rsidR="001D769C" w:rsidRPr="00312EE8">
        <w:rPr>
          <w:rFonts w:ascii="Palatino Linotype" w:hAnsi="Palatino Linotype"/>
        </w:rPr>
        <w:t xml:space="preserve"> </w:t>
      </w:r>
      <w:r w:rsidRPr="00312EE8">
        <w:rPr>
          <w:rFonts w:ascii="Palatino Linotype" w:hAnsi="Palatino Linotype"/>
        </w:rPr>
        <w:t>la presente resolución.</w:t>
      </w:r>
    </w:p>
    <w:p w:rsidR="00007A23" w:rsidRPr="0006695C" w:rsidRDefault="00007A23" w:rsidP="00312EE8">
      <w:pPr>
        <w:shd w:val="clear" w:color="auto" w:fill="FFFFFF"/>
        <w:spacing w:line="360" w:lineRule="auto"/>
        <w:jc w:val="both"/>
        <w:rPr>
          <w:rFonts w:ascii="Palatino Linotype" w:hAnsi="Palatino Linotype"/>
          <w:sz w:val="12"/>
        </w:rPr>
      </w:pPr>
    </w:p>
    <w:bookmarkEnd w:id="36"/>
    <w:p w:rsidR="00007A23" w:rsidRPr="00312EE8" w:rsidRDefault="00007A23" w:rsidP="00312EE8">
      <w:pPr>
        <w:shd w:val="clear" w:color="auto" w:fill="FFFFFF"/>
        <w:spacing w:line="360" w:lineRule="auto"/>
        <w:jc w:val="both"/>
        <w:rPr>
          <w:rFonts w:ascii="Palatino Linotype" w:eastAsia="MS Mincho" w:hAnsi="Palatino Linotype" w:cs="Times New Roman"/>
          <w:lang w:val="es-ES"/>
        </w:rPr>
      </w:pPr>
      <w:r w:rsidRPr="00312EE8">
        <w:rPr>
          <w:rFonts w:ascii="Palatino Linotype" w:eastAsia="MS Mincho" w:hAnsi="Palatino Linotype" w:cs="Times New Roman"/>
          <w:b/>
          <w:lang w:val="es-MX"/>
        </w:rPr>
        <w:t>CUARTO.</w:t>
      </w:r>
      <w:r w:rsidRPr="00312EE8">
        <w:rPr>
          <w:rFonts w:ascii="Palatino Linotype" w:eastAsia="MS Mincho" w:hAnsi="Palatino Linotype" w:cs="Times New Roman"/>
          <w:lang w:val="es-MX"/>
        </w:rPr>
        <w:t xml:space="preserve"> </w:t>
      </w:r>
      <w:r w:rsidRPr="00312EE8">
        <w:rPr>
          <w:rFonts w:ascii="Palatino Linotype" w:eastAsia="MS Mincho" w:hAnsi="Palatino Linotype" w:cs="Times New Roman"/>
          <w:lang w:val="es-ES"/>
        </w:rPr>
        <w:t xml:space="preserve">Se hace del conocimiento de </w:t>
      </w:r>
      <w:r w:rsidR="007B1D49" w:rsidRPr="007B1D49">
        <w:rPr>
          <w:rFonts w:ascii="Palatino Linotype" w:hAnsi="Palatino Linotype"/>
          <w:b/>
          <w:szCs w:val="22"/>
          <w:highlight w:val="black"/>
        </w:rPr>
        <w:t>-------------------</w:t>
      </w:r>
      <w:r w:rsidR="007B1D49">
        <w:rPr>
          <w:rFonts w:ascii="Palatino Linotype" w:hAnsi="Palatino Linotype"/>
          <w:b/>
          <w:szCs w:val="22"/>
          <w:highlight w:val="black"/>
        </w:rPr>
        <w:t>--</w:t>
      </w:r>
      <w:bookmarkStart w:id="37" w:name="_GoBack"/>
      <w:bookmarkEnd w:id="37"/>
      <w:r w:rsidR="007B1D49" w:rsidRPr="007B1D49">
        <w:rPr>
          <w:rFonts w:ascii="Palatino Linotype" w:hAnsi="Palatino Linotype"/>
          <w:b/>
          <w:szCs w:val="22"/>
          <w:highlight w:val="black"/>
        </w:rPr>
        <w:t>---------</w:t>
      </w:r>
      <w:r w:rsidRPr="00312EE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2EE8">
        <w:rPr>
          <w:rFonts w:ascii="Palatino Linotype" w:eastAsia="MS Mincho" w:hAnsi="Palatino Linotype" w:cs="Times New Roman"/>
          <w:bCs/>
          <w:lang w:val="es-ES"/>
        </w:rPr>
        <w:t>vía juicio de amparo</w:t>
      </w:r>
      <w:r w:rsidRPr="00312EE8">
        <w:rPr>
          <w:rFonts w:ascii="Palatino Linotype" w:eastAsia="MS Mincho" w:hAnsi="Palatino Linotype" w:cs="Times New Roman"/>
          <w:lang w:val="es-ES"/>
        </w:rPr>
        <w:t> en los términos de las leyes aplicables.</w:t>
      </w:r>
    </w:p>
    <w:p w:rsidR="00E752BC" w:rsidRPr="0006695C" w:rsidRDefault="00E752BC" w:rsidP="00312EE8">
      <w:pPr>
        <w:shd w:val="clear" w:color="auto" w:fill="FFFFFF"/>
        <w:spacing w:line="360" w:lineRule="auto"/>
        <w:jc w:val="both"/>
        <w:rPr>
          <w:rFonts w:ascii="Palatino Linotype" w:eastAsia="MS Mincho" w:hAnsi="Palatino Linotype" w:cs="Times New Roman"/>
          <w:sz w:val="12"/>
          <w:lang w:val="es-ES"/>
        </w:rPr>
      </w:pPr>
    </w:p>
    <w:p w:rsidR="00E752BC" w:rsidRPr="00312EE8" w:rsidRDefault="00E752BC" w:rsidP="00312EE8">
      <w:pPr>
        <w:shd w:val="clear" w:color="auto" w:fill="FFFFFF"/>
        <w:spacing w:line="360" w:lineRule="auto"/>
        <w:jc w:val="both"/>
        <w:rPr>
          <w:rFonts w:ascii="Palatino Linotype" w:eastAsia="MS Mincho" w:hAnsi="Palatino Linotype" w:cs="Times New Roman"/>
          <w:lang w:val="es-ES"/>
        </w:rPr>
      </w:pPr>
      <w:r w:rsidRPr="00312EE8">
        <w:rPr>
          <w:rFonts w:ascii="Palatino Linotype" w:eastAsia="MS Mincho" w:hAnsi="Palatino Linotype" w:cs="Times New Roman"/>
          <w:b/>
          <w:lang w:val="es-ES"/>
        </w:rPr>
        <w:t>QUINTO.</w:t>
      </w:r>
      <w:r w:rsidRPr="00312EE8">
        <w:rPr>
          <w:rFonts w:ascii="Palatino Linotype" w:eastAsia="MS Mincho" w:hAnsi="Palatino Linotype" w:cs="Times New Roman"/>
          <w:lang w:val="es-ES"/>
        </w:rPr>
        <w:t xml:space="preserve">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del considerando </w:t>
      </w:r>
      <w:r w:rsidRPr="00312EE8">
        <w:rPr>
          <w:rFonts w:ascii="Palatino Linotype" w:eastAsia="MS Mincho" w:hAnsi="Palatino Linotype" w:cs="Times New Roman"/>
          <w:b/>
          <w:lang w:val="es-ES"/>
        </w:rPr>
        <w:t>QUINTO.</w:t>
      </w:r>
    </w:p>
    <w:bookmarkEnd w:id="13"/>
    <w:bookmarkEnd w:id="14"/>
    <w:bookmarkEnd w:id="15"/>
    <w:p w:rsidR="0006695C" w:rsidRDefault="0006695C" w:rsidP="0006695C">
      <w:pPr>
        <w:shd w:val="clear" w:color="auto" w:fill="FFFFFF"/>
        <w:spacing w:line="360" w:lineRule="auto"/>
        <w:jc w:val="both"/>
        <w:rPr>
          <w:rFonts w:ascii="Palatino Linotype" w:hAnsi="Palatino Linotype"/>
        </w:rPr>
      </w:pPr>
      <w:r w:rsidRPr="00DE1F8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DÍA TREINTA (30) DE ENERO DE DOS MIL DIECINUEVE, ANTE EL SECRETARIO TÉCNICO DEL PLENO ALEXIS TAPIA RAMÍREZ.</w:t>
      </w:r>
    </w:p>
    <w:p w:rsidR="0006695C" w:rsidRDefault="0006695C" w:rsidP="0006695C">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23495</wp:posOffset>
                </wp:positionV>
                <wp:extent cx="5562600" cy="4648200"/>
                <wp:effectExtent l="19050" t="19050" r="19050" b="19050"/>
                <wp:wrapNone/>
                <wp:docPr id="3" name="Conector recto 3"/>
                <wp:cNvGraphicFramePr/>
                <a:graphic xmlns:a="http://schemas.openxmlformats.org/drawingml/2006/main">
                  <a:graphicData uri="http://schemas.microsoft.com/office/word/2010/wordprocessingShape">
                    <wps:wsp>
                      <wps:cNvCnPr/>
                      <wps:spPr>
                        <a:xfrm flipH="1" flipV="1">
                          <a:off x="0" y="0"/>
                          <a:ext cx="5562600" cy="4648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7DBD1" id="Conector recto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85pt" to="439.95pt,3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" strokecolor="#5b9bd5 [3204]" strokeweight="3pt">
                <v:stroke joinstyle="miter"/>
              </v:line>
            </w:pict>
          </mc:Fallback>
        </mc:AlternateContent>
      </w: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Default="0006695C" w:rsidP="0006695C">
      <w:pPr>
        <w:shd w:val="clear" w:color="auto" w:fill="FFFFFF"/>
        <w:spacing w:line="360" w:lineRule="auto"/>
        <w:jc w:val="both"/>
        <w:rPr>
          <w:rFonts w:ascii="Palatino Linotype" w:hAnsi="Palatino Linotype"/>
        </w:rPr>
      </w:pPr>
    </w:p>
    <w:p w:rsidR="0006695C" w:rsidRPr="00DE1F88" w:rsidRDefault="0006695C" w:rsidP="0006695C">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06695C" w:rsidRPr="00DE1F88" w:rsidTr="001F548E">
        <w:trPr>
          <w:jc w:val="center"/>
        </w:trPr>
        <w:tc>
          <w:tcPr>
            <w:tcW w:w="10368" w:type="dxa"/>
            <w:gridSpan w:val="2"/>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p>
          <w:p w:rsidR="0006695C" w:rsidRDefault="0006695C" w:rsidP="001F548E">
            <w:pPr>
              <w:spacing w:line="276" w:lineRule="auto"/>
              <w:jc w:val="center"/>
              <w:rPr>
                <w:rFonts w:ascii="Palatino Linotype" w:hAnsi="Palatino Linotype" w:cs="Arial"/>
                <w:b/>
              </w:rPr>
            </w:pPr>
          </w:p>
          <w:p w:rsidR="0006695C"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Zulema Martínez Sánchez</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rPr>
              <w:t>Comisionada Presidenta</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 xml:space="preserve">(RÚBRICA) </w:t>
            </w:r>
          </w:p>
          <w:p w:rsidR="0006695C" w:rsidRPr="00DE1F88" w:rsidRDefault="0006695C" w:rsidP="001F548E">
            <w:pPr>
              <w:spacing w:line="276" w:lineRule="auto"/>
              <w:jc w:val="center"/>
              <w:rPr>
                <w:rFonts w:ascii="Palatino Linotype" w:hAnsi="Palatino Linotype" w:cs="Arial"/>
                <w:b/>
              </w:rPr>
            </w:pPr>
          </w:p>
        </w:tc>
      </w:tr>
      <w:tr w:rsidR="0006695C" w:rsidRPr="00DE1F88" w:rsidTr="001F548E">
        <w:trPr>
          <w:jc w:val="center"/>
        </w:trPr>
        <w:tc>
          <w:tcPr>
            <w:tcW w:w="5184" w:type="dxa"/>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 xml:space="preserve">Eva </w:t>
            </w:r>
            <w:proofErr w:type="spellStart"/>
            <w:r w:rsidRPr="00DE1F88">
              <w:rPr>
                <w:rFonts w:ascii="Palatino Linotype" w:hAnsi="Palatino Linotype" w:cs="Arial"/>
                <w:b/>
              </w:rPr>
              <w:t>Abaid</w:t>
            </w:r>
            <w:proofErr w:type="spellEnd"/>
            <w:r w:rsidRPr="00DE1F88">
              <w:rPr>
                <w:rFonts w:ascii="Palatino Linotype" w:hAnsi="Palatino Linotype" w:cs="Arial"/>
                <w:b/>
              </w:rPr>
              <w:t xml:space="preserve"> </w:t>
            </w:r>
            <w:proofErr w:type="spellStart"/>
            <w:r w:rsidRPr="00DE1F88">
              <w:rPr>
                <w:rFonts w:ascii="Palatino Linotype" w:hAnsi="Palatino Linotype" w:cs="Arial"/>
                <w:b/>
              </w:rPr>
              <w:t>Yapur</w:t>
            </w:r>
            <w:proofErr w:type="spellEnd"/>
          </w:p>
          <w:p w:rsidR="0006695C" w:rsidRPr="00DE1F88" w:rsidRDefault="0006695C" w:rsidP="001F548E">
            <w:pPr>
              <w:spacing w:line="276" w:lineRule="auto"/>
              <w:jc w:val="center"/>
              <w:rPr>
                <w:rFonts w:ascii="Palatino Linotype" w:hAnsi="Palatino Linotype" w:cs="Arial"/>
              </w:rPr>
            </w:pPr>
            <w:r w:rsidRPr="00DE1F88">
              <w:rPr>
                <w:rFonts w:ascii="Palatino Linotype" w:hAnsi="Palatino Linotype" w:cs="Arial"/>
              </w:rPr>
              <w:t>Comisionada</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José Guadalupe Luna Hernández</w:t>
            </w:r>
          </w:p>
          <w:p w:rsidR="0006695C" w:rsidRPr="00DE1F88" w:rsidRDefault="0006695C" w:rsidP="001F548E">
            <w:pPr>
              <w:spacing w:line="276" w:lineRule="auto"/>
              <w:jc w:val="center"/>
              <w:rPr>
                <w:rFonts w:ascii="Palatino Linotype" w:hAnsi="Palatino Linotype" w:cs="Arial"/>
              </w:rPr>
            </w:pPr>
            <w:r w:rsidRPr="00DE1F88">
              <w:rPr>
                <w:rFonts w:ascii="Palatino Linotype" w:hAnsi="Palatino Linotype" w:cs="Arial"/>
              </w:rPr>
              <w:t>Comisionado</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(RÚBRICA)</w:t>
            </w:r>
          </w:p>
          <w:p w:rsidR="0006695C" w:rsidRPr="00DE1F88" w:rsidRDefault="0006695C" w:rsidP="001F548E">
            <w:pPr>
              <w:spacing w:line="276" w:lineRule="auto"/>
              <w:jc w:val="center"/>
              <w:rPr>
                <w:rFonts w:ascii="Palatino Linotype" w:hAnsi="Palatino Linotype" w:cs="Arial"/>
                <w:b/>
              </w:rPr>
            </w:pPr>
          </w:p>
        </w:tc>
      </w:tr>
      <w:tr w:rsidR="0006695C" w:rsidRPr="00DE1F88" w:rsidTr="001F548E">
        <w:trPr>
          <w:jc w:val="center"/>
        </w:trPr>
        <w:tc>
          <w:tcPr>
            <w:tcW w:w="5184" w:type="dxa"/>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Javier Martínez Cruz</w:t>
            </w:r>
          </w:p>
          <w:p w:rsidR="0006695C" w:rsidRPr="00DE1F88" w:rsidRDefault="0006695C" w:rsidP="001F548E">
            <w:pPr>
              <w:spacing w:line="276" w:lineRule="auto"/>
              <w:jc w:val="center"/>
              <w:rPr>
                <w:rFonts w:ascii="Palatino Linotype" w:hAnsi="Palatino Linotype" w:cs="Arial"/>
              </w:rPr>
            </w:pPr>
            <w:r w:rsidRPr="00DE1F88">
              <w:rPr>
                <w:rFonts w:ascii="Palatino Linotype" w:hAnsi="Palatino Linotype" w:cs="Arial"/>
              </w:rPr>
              <w:t>Comisionado</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Luis Gustavo Parra Noriega</w:t>
            </w:r>
          </w:p>
          <w:p w:rsidR="0006695C" w:rsidRPr="00DE1F88" w:rsidRDefault="0006695C" w:rsidP="001F548E">
            <w:pPr>
              <w:spacing w:line="276" w:lineRule="auto"/>
              <w:jc w:val="center"/>
              <w:rPr>
                <w:rFonts w:ascii="Palatino Linotype" w:hAnsi="Palatino Linotype" w:cs="Arial"/>
              </w:rPr>
            </w:pPr>
            <w:r w:rsidRPr="00DE1F88">
              <w:rPr>
                <w:rFonts w:ascii="Palatino Linotype" w:hAnsi="Palatino Linotype" w:cs="Arial"/>
              </w:rPr>
              <w:t>Comisionado</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(RÚBRICA)</w:t>
            </w:r>
          </w:p>
        </w:tc>
      </w:tr>
      <w:tr w:rsidR="0006695C" w:rsidRPr="00DE1F88" w:rsidTr="001F548E">
        <w:trPr>
          <w:jc w:val="center"/>
        </w:trPr>
        <w:tc>
          <w:tcPr>
            <w:tcW w:w="10368" w:type="dxa"/>
            <w:gridSpan w:val="2"/>
          </w:tcPr>
          <w:p w:rsidR="0006695C" w:rsidRPr="00DE1F88" w:rsidRDefault="0006695C" w:rsidP="001F548E">
            <w:pPr>
              <w:spacing w:line="276" w:lineRule="auto"/>
              <w:jc w:val="center"/>
              <w:rPr>
                <w:rFonts w:ascii="Palatino Linotype" w:hAnsi="Palatino Linotype" w:cs="Arial"/>
                <w:b/>
              </w:rPr>
            </w:pPr>
          </w:p>
          <w:p w:rsidR="0006695C" w:rsidRPr="00DE1F88" w:rsidRDefault="0006695C" w:rsidP="001F548E">
            <w:pPr>
              <w:spacing w:line="276" w:lineRule="auto"/>
              <w:rPr>
                <w:rFonts w:ascii="Palatino Linotype" w:hAnsi="Palatino Linotype" w:cs="Arial"/>
                <w:b/>
              </w:rPr>
            </w:pP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Alexis Tapia Ramírez</w:t>
            </w:r>
          </w:p>
          <w:p w:rsidR="0006695C" w:rsidRPr="00DE1F88" w:rsidRDefault="0006695C" w:rsidP="001F548E">
            <w:pPr>
              <w:spacing w:line="276" w:lineRule="auto"/>
              <w:jc w:val="center"/>
              <w:rPr>
                <w:rFonts w:ascii="Palatino Linotype" w:hAnsi="Palatino Linotype" w:cs="Arial"/>
              </w:rPr>
            </w:pPr>
            <w:r w:rsidRPr="00DE1F88">
              <w:rPr>
                <w:rFonts w:ascii="Palatino Linotype" w:hAnsi="Palatino Linotype" w:cs="Arial"/>
              </w:rPr>
              <w:t>Secretario Técnico del Pleno</w:t>
            </w:r>
          </w:p>
          <w:p w:rsidR="0006695C" w:rsidRPr="00DE1F88" w:rsidRDefault="0006695C" w:rsidP="001F548E">
            <w:pPr>
              <w:spacing w:line="276" w:lineRule="auto"/>
              <w:jc w:val="center"/>
              <w:rPr>
                <w:rFonts w:ascii="Palatino Linotype" w:hAnsi="Palatino Linotype" w:cs="Arial"/>
                <w:b/>
              </w:rPr>
            </w:pPr>
            <w:r w:rsidRPr="00DE1F88">
              <w:rPr>
                <w:rFonts w:ascii="Palatino Linotype" w:hAnsi="Palatino Linotype" w:cs="Arial"/>
                <w:b/>
              </w:rPr>
              <w:t>(RÚBRICA)</w:t>
            </w:r>
          </w:p>
          <w:p w:rsidR="0006695C" w:rsidRPr="00DE1F88" w:rsidRDefault="0006695C" w:rsidP="001F548E">
            <w:pPr>
              <w:spacing w:line="276" w:lineRule="auto"/>
              <w:rPr>
                <w:rFonts w:ascii="Palatino Linotype" w:hAnsi="Palatino Linotype" w:cs="Arial"/>
              </w:rPr>
            </w:pPr>
          </w:p>
        </w:tc>
      </w:tr>
    </w:tbl>
    <w:p w:rsidR="0006695C" w:rsidRPr="00DE1F88" w:rsidRDefault="0006695C" w:rsidP="0006695C">
      <w:pPr>
        <w:spacing w:line="360" w:lineRule="auto"/>
        <w:jc w:val="both"/>
        <w:rPr>
          <w:rFonts w:ascii="Palatino Linotype" w:eastAsia="Times New Roman" w:hAnsi="Palatino Linotype" w:cs="Arial"/>
          <w:color w:val="000000" w:themeColor="text1"/>
        </w:rPr>
      </w:pPr>
    </w:p>
    <w:p w:rsidR="0006695C" w:rsidRPr="00DE1F88" w:rsidRDefault="0006695C" w:rsidP="0006695C">
      <w:pPr>
        <w:spacing w:line="360" w:lineRule="auto"/>
        <w:jc w:val="both"/>
        <w:rPr>
          <w:rFonts w:ascii="Palatino Linotype" w:eastAsia="MS Mincho" w:hAnsi="Palatino Linotype" w:cs="Times New Roman"/>
          <w:lang w:val="es-ES"/>
        </w:rPr>
      </w:pPr>
      <w:r w:rsidRPr="00DE1F88">
        <w:rPr>
          <w:rFonts w:ascii="Palatino Linotype" w:eastAsia="Times New Roman" w:hAnsi="Palatino Linotype" w:cs="Arial"/>
          <w:color w:val="000000" w:themeColor="text1"/>
        </w:rPr>
        <w:t xml:space="preserve">Esta hoja corresponde a la resolución de fecha treinta (30) de enero de dos mil diecinueve, emitida en el recurso de revisión </w:t>
      </w:r>
      <w:r>
        <w:rPr>
          <w:rFonts w:ascii="Palatino Linotype" w:hAnsi="Palatino Linotype" w:cs="Arial"/>
          <w:b/>
          <w:bCs/>
        </w:rPr>
        <w:t>04368</w:t>
      </w:r>
      <w:r w:rsidRPr="00DE1F88">
        <w:rPr>
          <w:rFonts w:ascii="Palatino Linotype" w:hAnsi="Palatino Linotype" w:cs="Arial"/>
          <w:b/>
          <w:bCs/>
        </w:rPr>
        <w:t>/INFOEM/IP/RR/2018.</w:t>
      </w:r>
    </w:p>
    <w:p w:rsidR="002248D3" w:rsidRPr="00312EE8" w:rsidRDefault="002248D3" w:rsidP="0006695C">
      <w:pPr>
        <w:shd w:val="clear" w:color="auto" w:fill="FFFFFF"/>
        <w:spacing w:before="240" w:after="360" w:line="360" w:lineRule="auto"/>
        <w:jc w:val="both"/>
        <w:rPr>
          <w:rFonts w:ascii="Palatino Linotype" w:hAnsi="Palatino Linotype"/>
        </w:rPr>
      </w:pPr>
    </w:p>
    <w:sectPr w:rsidR="002248D3" w:rsidRPr="00312EE8" w:rsidSect="00312EE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49" w:rsidRDefault="00CD0549" w:rsidP="008B6F5F">
      <w:r>
        <w:separator/>
      </w:r>
    </w:p>
  </w:endnote>
  <w:endnote w:type="continuationSeparator" w:id="0">
    <w:p w:rsidR="00CD0549" w:rsidRDefault="00CD054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37A61" w:rsidRPr="000A2541" w:rsidRDefault="00A37A6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B1D49">
              <w:rPr>
                <w:rFonts w:ascii="Palatino Linotype" w:hAnsi="Palatino Linotype"/>
                <w:b/>
                <w:bCs/>
                <w:noProof/>
              </w:rPr>
              <w:t>27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B1D49">
              <w:rPr>
                <w:rFonts w:ascii="Palatino Linotype" w:hAnsi="Palatino Linotype"/>
                <w:b/>
                <w:bCs/>
                <w:noProof/>
              </w:rPr>
              <w:t>28</w:t>
            </w:r>
            <w:r w:rsidRPr="000A2541">
              <w:rPr>
                <w:rFonts w:ascii="Palatino Linotype" w:hAnsi="Palatino Linotype"/>
                <w:b/>
                <w:bCs/>
              </w:rPr>
              <w:fldChar w:fldCharType="end"/>
            </w:r>
          </w:p>
        </w:sdtContent>
      </w:sdt>
    </w:sdtContent>
  </w:sdt>
  <w:p w:rsidR="00A37A61" w:rsidRDefault="00A37A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A61" w:rsidRPr="00883450" w:rsidRDefault="00A37A6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1D49" w:rsidRPr="007B1D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1D49" w:rsidRPr="007B1D49">
      <w:rPr>
        <w:rFonts w:ascii="Palatino Linotype" w:hAnsi="Palatino Linotype"/>
        <w:noProof/>
        <w:sz w:val="22"/>
        <w:szCs w:val="22"/>
        <w:lang w:val="es-ES"/>
      </w:rPr>
      <w:t>28</w:t>
    </w:r>
    <w:r w:rsidRPr="00883450">
      <w:rPr>
        <w:rFonts w:ascii="Palatino Linotype" w:hAnsi="Palatino Linotype"/>
        <w:sz w:val="22"/>
        <w:szCs w:val="22"/>
      </w:rPr>
      <w:fldChar w:fldCharType="end"/>
    </w:r>
  </w:p>
  <w:p w:rsidR="00A37A61" w:rsidRPr="00883450" w:rsidRDefault="00A37A6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49" w:rsidRDefault="00CD0549" w:rsidP="008B6F5F">
      <w:r>
        <w:separator/>
      </w:r>
    </w:p>
  </w:footnote>
  <w:footnote w:type="continuationSeparator" w:id="0">
    <w:p w:rsidR="00CD0549" w:rsidRDefault="00CD0549" w:rsidP="008B6F5F">
      <w:r>
        <w:continuationSeparator/>
      </w:r>
    </w:p>
  </w:footnote>
  <w:footnote w:id="1">
    <w:p w:rsidR="00A37A61" w:rsidRDefault="00A37A61" w:rsidP="000D4D66">
      <w:pPr>
        <w:pStyle w:val="Textonotapie"/>
      </w:pPr>
      <w:r>
        <w:rPr>
          <w:rStyle w:val="Refdenotaalpie"/>
        </w:rPr>
        <w:footnoteRef/>
      </w:r>
      <w:r>
        <w:t xml:space="preserve"> Tercer párrafo, artículo 1º, Constitución Política de los Estados Unidos Mexicanos.</w:t>
      </w:r>
    </w:p>
  </w:footnote>
  <w:footnote w:id="2">
    <w:p w:rsidR="00A37A61" w:rsidRDefault="00A37A61" w:rsidP="000D4D66">
      <w:pPr>
        <w:pStyle w:val="Textonotapie"/>
      </w:pPr>
      <w:r>
        <w:rPr>
          <w:rStyle w:val="Refdenotaalpie"/>
        </w:rPr>
        <w:footnoteRef/>
      </w:r>
      <w:r>
        <w:t xml:space="preserve"> Segundo Párrafo, artículo 6º, Constitución Política de los Estados Unidos Mexicanos.</w:t>
      </w:r>
    </w:p>
  </w:footnote>
  <w:footnote w:id="3">
    <w:p w:rsidR="00A37A61" w:rsidRDefault="00A37A61" w:rsidP="000D4D66">
      <w:pPr>
        <w:pStyle w:val="Textonotapie"/>
      </w:pPr>
      <w:r>
        <w:rPr>
          <w:rStyle w:val="Refdenotaalpie"/>
        </w:rPr>
        <w:footnoteRef/>
      </w:r>
      <w:r>
        <w:t xml:space="preserve"> Artículo 176, Ley de Transparencia y Acceso a la Información Pública del Estado de México y Municipios.</w:t>
      </w:r>
    </w:p>
  </w:footnote>
  <w:footnote w:id="4">
    <w:p w:rsidR="00A37A61" w:rsidRDefault="00A37A61" w:rsidP="000D4D66">
      <w:pPr>
        <w:pStyle w:val="Textonotapie"/>
      </w:pPr>
      <w:r>
        <w:rPr>
          <w:rStyle w:val="Refdenotaalpie"/>
        </w:rPr>
        <w:footnoteRef/>
      </w:r>
      <w:r>
        <w:t xml:space="preserve"> Convención Americana sobre Derechos Humanos. Artículo 13.</w:t>
      </w:r>
    </w:p>
  </w:footnote>
  <w:footnote w:id="5">
    <w:p w:rsidR="00A37A61" w:rsidRDefault="00A37A61" w:rsidP="000D4D66">
      <w:pPr>
        <w:pStyle w:val="Textonotapie"/>
      </w:pPr>
      <w:r>
        <w:rPr>
          <w:rStyle w:val="Refdenotaalpie"/>
        </w:rPr>
        <w:footnoteRef/>
      </w:r>
      <w:r>
        <w:t xml:space="preserve"> Constitución Política de los Estados Unidos Mexicanos. Artículo sexto, sección A, Fracción I.</w:t>
      </w:r>
    </w:p>
  </w:footnote>
  <w:footnote w:id="6">
    <w:p w:rsidR="00A37A61" w:rsidRDefault="00A37A61" w:rsidP="000D4D6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A37A61" w:rsidRDefault="00A37A61" w:rsidP="000D4D66">
      <w:pPr>
        <w:pStyle w:val="Textonotapie"/>
      </w:pPr>
      <w:r>
        <w:rPr>
          <w:rStyle w:val="Refdenotaalpie"/>
        </w:rPr>
        <w:footnoteRef/>
      </w:r>
      <w:r>
        <w:t xml:space="preserve"> Ibídem. Párr. 87.</w:t>
      </w:r>
    </w:p>
  </w:footnote>
  <w:footnote w:id="8">
    <w:p w:rsidR="00A37A61" w:rsidRDefault="00A37A61" w:rsidP="000D4D6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392EB9" w:rsidRPr="00392EB9" w:rsidRDefault="00392EB9" w:rsidP="00392EB9">
      <w:pPr>
        <w:pStyle w:val="Textonotapie"/>
        <w:jc w:val="both"/>
        <w:rPr>
          <w:lang w:val="es-MX"/>
        </w:rPr>
      </w:pPr>
      <w:r>
        <w:rPr>
          <w:rStyle w:val="Refdenotaalpie"/>
        </w:rPr>
        <w:footnoteRef/>
      </w:r>
      <w:r>
        <w:t xml:space="preserve"> Ley de Transparencia y Acceso a la Información Pública del Estado de México y Municipios. </w:t>
      </w:r>
      <w:r w:rsidRPr="00392EB9">
        <w:rPr>
          <w:lang w:val="es-MX"/>
        </w:rPr>
        <w:t xml:space="preserve">Artículo 9. </w:t>
      </w:r>
      <w:r>
        <w:rPr>
          <w:lang w:val="es-MX"/>
        </w:rPr>
        <w:t>...</w:t>
      </w:r>
    </w:p>
    <w:p w:rsidR="00392EB9" w:rsidRPr="00392EB9" w:rsidRDefault="00392EB9" w:rsidP="00392EB9">
      <w:pPr>
        <w:autoSpaceDE w:val="0"/>
        <w:autoSpaceDN w:val="0"/>
        <w:adjustRightInd w:val="0"/>
        <w:jc w:val="both"/>
        <w:rPr>
          <w:lang w:val="es-MX"/>
        </w:rPr>
      </w:pPr>
      <w:r w:rsidRPr="00392EB9">
        <w:rPr>
          <w:sz w:val="20"/>
          <w:szCs w:val="20"/>
          <w:lang w:val="es-MX"/>
        </w:rPr>
        <w:t>VII. Máxima Publicidad</w:t>
      </w:r>
      <w:r w:rsidRPr="00392EB9">
        <w:rPr>
          <w:rFonts w:eastAsiaTheme="minorHAnsi" w:cs="Bookman Old Style"/>
          <w:sz w:val="20"/>
          <w:szCs w:val="20"/>
          <w:lang w:val="es-MX" w:eastAsia="en-U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37A61" w:rsidRPr="00EF13C1" w:rsidTr="00646380">
      <w:trPr>
        <w:trHeight w:val="138"/>
        <w:jc w:val="right"/>
      </w:trPr>
      <w:tc>
        <w:tcPr>
          <w:tcW w:w="2552" w:type="dxa"/>
          <w:vAlign w:val="center"/>
        </w:tcPr>
        <w:p w:rsidR="00A37A61" w:rsidRPr="00EF13C1" w:rsidRDefault="00A37A6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37A61" w:rsidRPr="00EF13C1" w:rsidRDefault="00A37A61"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04368/INFOEM/IP/RR/2018 </w:t>
          </w:r>
        </w:p>
      </w:tc>
    </w:tr>
    <w:tr w:rsidR="00A37A61" w:rsidRPr="00EF13C1" w:rsidTr="00646380">
      <w:trPr>
        <w:trHeight w:val="233"/>
        <w:jc w:val="right"/>
      </w:trPr>
      <w:tc>
        <w:tcPr>
          <w:tcW w:w="2552" w:type="dxa"/>
          <w:vAlign w:val="center"/>
        </w:tcPr>
        <w:p w:rsidR="00A37A61" w:rsidRPr="00EF13C1" w:rsidRDefault="00A37A61" w:rsidP="00646380">
          <w:pPr>
            <w:rPr>
              <w:rFonts w:ascii="Palatino Linotype" w:hAnsi="Palatino Linotype"/>
              <w:b/>
              <w:sz w:val="22"/>
              <w:szCs w:val="22"/>
            </w:rPr>
          </w:pPr>
        </w:p>
      </w:tc>
      <w:tc>
        <w:tcPr>
          <w:tcW w:w="3826" w:type="dxa"/>
          <w:vAlign w:val="center"/>
        </w:tcPr>
        <w:p w:rsidR="00A37A61" w:rsidRPr="00EF13C1" w:rsidRDefault="00A37A61" w:rsidP="00141DF6">
          <w:pPr>
            <w:pStyle w:val="Encabezado"/>
            <w:jc w:val="center"/>
            <w:rPr>
              <w:rFonts w:ascii="Palatino Linotype" w:hAnsi="Palatino Linotype"/>
              <w:b/>
              <w:sz w:val="22"/>
              <w:szCs w:val="22"/>
            </w:rPr>
          </w:pPr>
        </w:p>
      </w:tc>
    </w:tr>
    <w:tr w:rsidR="00A37A61" w:rsidRPr="00EF13C1" w:rsidTr="00646380">
      <w:trPr>
        <w:trHeight w:val="321"/>
        <w:jc w:val="right"/>
      </w:trPr>
      <w:tc>
        <w:tcPr>
          <w:tcW w:w="2552" w:type="dxa"/>
          <w:vAlign w:val="center"/>
        </w:tcPr>
        <w:p w:rsidR="00A37A61" w:rsidRPr="00EF13C1" w:rsidRDefault="00A37A6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37A61" w:rsidRPr="00EF13C1" w:rsidRDefault="00A37A61" w:rsidP="00FB61C7">
          <w:pPr>
            <w:pStyle w:val="Encabezado"/>
            <w:jc w:val="right"/>
            <w:rPr>
              <w:rFonts w:ascii="Palatino Linotype" w:hAnsi="Palatino Linotype"/>
              <w:b/>
              <w:sz w:val="22"/>
              <w:szCs w:val="22"/>
            </w:rPr>
          </w:pPr>
          <w:r>
            <w:rPr>
              <w:rFonts w:ascii="Palatino Linotype" w:hAnsi="Palatino Linotype"/>
              <w:b/>
              <w:bCs/>
              <w:sz w:val="22"/>
              <w:szCs w:val="22"/>
            </w:rPr>
            <w:t>Ayuntamiento de San Felipe del Progreso</w:t>
          </w:r>
          <w:r w:rsidRPr="00EF13C1">
            <w:rPr>
              <w:rFonts w:ascii="Palatino Linotype" w:hAnsi="Palatino Linotype"/>
              <w:b/>
              <w:sz w:val="22"/>
              <w:szCs w:val="22"/>
            </w:rPr>
            <w:t xml:space="preserve">    </w:t>
          </w:r>
        </w:p>
      </w:tc>
    </w:tr>
    <w:tr w:rsidR="00A37A61" w:rsidRPr="00EF13C1" w:rsidTr="00646380">
      <w:trPr>
        <w:trHeight w:val="321"/>
        <w:jc w:val="right"/>
      </w:trPr>
      <w:tc>
        <w:tcPr>
          <w:tcW w:w="2552" w:type="dxa"/>
          <w:vAlign w:val="center"/>
        </w:tcPr>
        <w:p w:rsidR="00A37A61" w:rsidRPr="00EF13C1" w:rsidRDefault="00A37A6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37A61" w:rsidRPr="00EF13C1" w:rsidRDefault="00A37A6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37A61" w:rsidRDefault="00A37A6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37A61" w:rsidRPr="00182113" w:rsidTr="00141DF6">
      <w:trPr>
        <w:trHeight w:val="138"/>
      </w:trPr>
      <w:tc>
        <w:tcPr>
          <w:tcW w:w="2532" w:type="dxa"/>
          <w:vAlign w:val="center"/>
        </w:tcPr>
        <w:p w:rsidR="00A37A61" w:rsidRPr="00EF13C1" w:rsidRDefault="00A37A6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37A61" w:rsidRPr="008A04AD" w:rsidRDefault="00A37A61" w:rsidP="008A04A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04368/INFOEM/IP/RR/2018</w:t>
          </w:r>
        </w:p>
      </w:tc>
      <w:tc>
        <w:tcPr>
          <w:tcW w:w="2532" w:type="dxa"/>
          <w:vAlign w:val="center"/>
        </w:tcPr>
        <w:p w:rsidR="00A37A61" w:rsidRPr="00182113" w:rsidRDefault="00A37A61" w:rsidP="00141DF6">
          <w:pPr>
            <w:rPr>
              <w:rFonts w:ascii="Palatino Linotype" w:hAnsi="Palatino Linotype"/>
              <w:b/>
              <w:sz w:val="22"/>
              <w:szCs w:val="22"/>
            </w:rPr>
          </w:pPr>
        </w:p>
      </w:tc>
      <w:tc>
        <w:tcPr>
          <w:tcW w:w="236" w:type="dxa"/>
          <w:vAlign w:val="center"/>
        </w:tcPr>
        <w:p w:rsidR="00A37A61" w:rsidRPr="00182113" w:rsidRDefault="00A37A61" w:rsidP="00141DF6">
          <w:pPr>
            <w:pStyle w:val="Encabezado"/>
            <w:jc w:val="center"/>
            <w:rPr>
              <w:rFonts w:ascii="Palatino Linotype" w:hAnsi="Palatino Linotype"/>
              <w:b/>
              <w:sz w:val="22"/>
              <w:szCs w:val="22"/>
            </w:rPr>
          </w:pPr>
        </w:p>
      </w:tc>
      <w:tc>
        <w:tcPr>
          <w:tcW w:w="3261" w:type="dxa"/>
          <w:vAlign w:val="center"/>
        </w:tcPr>
        <w:p w:rsidR="00A37A61" w:rsidRPr="00182113" w:rsidRDefault="00A37A61" w:rsidP="00141DF6">
          <w:pPr>
            <w:pStyle w:val="Encabezado"/>
            <w:rPr>
              <w:rFonts w:ascii="Palatino Linotype" w:hAnsi="Palatino Linotype"/>
              <w:b/>
              <w:sz w:val="22"/>
              <w:szCs w:val="22"/>
            </w:rPr>
          </w:pPr>
        </w:p>
      </w:tc>
    </w:tr>
    <w:tr w:rsidR="00A37A61" w:rsidRPr="00182113" w:rsidTr="00141DF6">
      <w:trPr>
        <w:trHeight w:val="227"/>
      </w:trPr>
      <w:tc>
        <w:tcPr>
          <w:tcW w:w="2532" w:type="dxa"/>
          <w:vAlign w:val="center"/>
        </w:tcPr>
        <w:p w:rsidR="00A37A61" w:rsidRPr="00EF13C1" w:rsidRDefault="00A37A6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37A61" w:rsidRPr="00EF13C1" w:rsidRDefault="007B1D49" w:rsidP="00141DF6">
          <w:pPr>
            <w:pStyle w:val="Encabezado"/>
            <w:jc w:val="right"/>
            <w:rPr>
              <w:rFonts w:ascii="Palatino Linotype" w:hAnsi="Palatino Linotype"/>
              <w:b/>
              <w:sz w:val="22"/>
              <w:szCs w:val="22"/>
            </w:rPr>
          </w:pPr>
          <w:r w:rsidRPr="007B1D49">
            <w:rPr>
              <w:rFonts w:ascii="Palatino Linotype" w:hAnsi="Palatino Linotype"/>
              <w:b/>
              <w:sz w:val="22"/>
              <w:szCs w:val="22"/>
              <w:highlight w:val="black"/>
            </w:rPr>
            <w:t>------------------------------------</w:t>
          </w:r>
        </w:p>
      </w:tc>
      <w:tc>
        <w:tcPr>
          <w:tcW w:w="2532" w:type="dxa"/>
          <w:vAlign w:val="center"/>
        </w:tcPr>
        <w:p w:rsidR="00A37A61" w:rsidRPr="00182113" w:rsidRDefault="00A37A61" w:rsidP="00141DF6">
          <w:pPr>
            <w:rPr>
              <w:rFonts w:ascii="Palatino Linotype" w:hAnsi="Palatino Linotype"/>
              <w:b/>
              <w:sz w:val="22"/>
              <w:szCs w:val="22"/>
            </w:rPr>
          </w:pPr>
        </w:p>
      </w:tc>
      <w:tc>
        <w:tcPr>
          <w:tcW w:w="236" w:type="dxa"/>
          <w:vAlign w:val="center"/>
        </w:tcPr>
        <w:p w:rsidR="00A37A61" w:rsidRPr="00182113" w:rsidRDefault="00A37A61" w:rsidP="00141DF6">
          <w:pPr>
            <w:pStyle w:val="Encabezado"/>
            <w:jc w:val="center"/>
            <w:rPr>
              <w:rFonts w:ascii="Palatino Linotype" w:hAnsi="Palatino Linotype"/>
              <w:b/>
              <w:sz w:val="22"/>
              <w:szCs w:val="22"/>
            </w:rPr>
          </w:pPr>
        </w:p>
      </w:tc>
      <w:tc>
        <w:tcPr>
          <w:tcW w:w="3261" w:type="dxa"/>
          <w:vAlign w:val="center"/>
        </w:tcPr>
        <w:p w:rsidR="00A37A61" w:rsidRPr="00182113" w:rsidRDefault="00A37A61" w:rsidP="00141DF6">
          <w:pPr>
            <w:pStyle w:val="Encabezado"/>
            <w:rPr>
              <w:rFonts w:ascii="Palatino Linotype" w:hAnsi="Palatino Linotype"/>
              <w:b/>
              <w:sz w:val="22"/>
              <w:szCs w:val="22"/>
            </w:rPr>
          </w:pPr>
        </w:p>
      </w:tc>
    </w:tr>
    <w:tr w:rsidR="00A37A61" w:rsidRPr="00182113" w:rsidTr="00141DF6">
      <w:trPr>
        <w:trHeight w:val="232"/>
      </w:trPr>
      <w:tc>
        <w:tcPr>
          <w:tcW w:w="2532" w:type="dxa"/>
          <w:vAlign w:val="center"/>
        </w:tcPr>
        <w:p w:rsidR="00A37A61" w:rsidRPr="00EF13C1" w:rsidRDefault="00A37A6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37A61" w:rsidRPr="00EF13C1" w:rsidRDefault="00A37A61" w:rsidP="00FB61C7">
          <w:pPr>
            <w:pStyle w:val="Encabezado"/>
            <w:jc w:val="right"/>
            <w:rPr>
              <w:rFonts w:ascii="Palatino Linotype" w:hAnsi="Palatino Linotype"/>
              <w:b/>
              <w:sz w:val="22"/>
              <w:szCs w:val="22"/>
            </w:rPr>
          </w:pPr>
          <w:r>
            <w:rPr>
              <w:rFonts w:ascii="Palatino Linotype" w:hAnsi="Palatino Linotype"/>
              <w:b/>
              <w:bCs/>
              <w:sz w:val="22"/>
              <w:szCs w:val="22"/>
            </w:rPr>
            <w:t>Ayuntamiento de San Felipe del Progreso</w:t>
          </w:r>
          <w:r w:rsidRPr="00EF13C1">
            <w:rPr>
              <w:rFonts w:ascii="Palatino Linotype" w:hAnsi="Palatino Linotype"/>
              <w:b/>
              <w:sz w:val="22"/>
              <w:szCs w:val="22"/>
            </w:rPr>
            <w:t xml:space="preserve"> </w:t>
          </w:r>
        </w:p>
      </w:tc>
      <w:tc>
        <w:tcPr>
          <w:tcW w:w="2532" w:type="dxa"/>
          <w:vAlign w:val="center"/>
        </w:tcPr>
        <w:p w:rsidR="00A37A61" w:rsidRPr="00182113" w:rsidRDefault="00A37A61" w:rsidP="00141DF6">
          <w:pPr>
            <w:rPr>
              <w:rFonts w:ascii="Palatino Linotype" w:hAnsi="Palatino Linotype"/>
              <w:b/>
              <w:sz w:val="22"/>
              <w:szCs w:val="22"/>
            </w:rPr>
          </w:pPr>
        </w:p>
      </w:tc>
      <w:tc>
        <w:tcPr>
          <w:tcW w:w="236" w:type="dxa"/>
          <w:vAlign w:val="center"/>
        </w:tcPr>
        <w:p w:rsidR="00A37A61" w:rsidRPr="00182113" w:rsidRDefault="00A37A61" w:rsidP="00141DF6">
          <w:pPr>
            <w:pStyle w:val="Encabezado"/>
            <w:jc w:val="center"/>
            <w:rPr>
              <w:rFonts w:ascii="Palatino Linotype" w:hAnsi="Palatino Linotype"/>
              <w:b/>
              <w:sz w:val="22"/>
              <w:szCs w:val="22"/>
            </w:rPr>
          </w:pPr>
        </w:p>
      </w:tc>
      <w:tc>
        <w:tcPr>
          <w:tcW w:w="3261" w:type="dxa"/>
          <w:vAlign w:val="center"/>
        </w:tcPr>
        <w:p w:rsidR="00A37A61" w:rsidRPr="00182113" w:rsidRDefault="00A37A61" w:rsidP="00141DF6">
          <w:pPr>
            <w:pStyle w:val="Encabezado"/>
            <w:rPr>
              <w:rFonts w:ascii="Palatino Linotype" w:hAnsi="Palatino Linotype"/>
              <w:b/>
              <w:sz w:val="22"/>
              <w:szCs w:val="22"/>
            </w:rPr>
          </w:pPr>
        </w:p>
      </w:tc>
    </w:tr>
    <w:tr w:rsidR="00A37A61" w:rsidRPr="00182113" w:rsidTr="00141DF6">
      <w:trPr>
        <w:trHeight w:val="320"/>
      </w:trPr>
      <w:tc>
        <w:tcPr>
          <w:tcW w:w="2532" w:type="dxa"/>
          <w:vAlign w:val="center"/>
        </w:tcPr>
        <w:p w:rsidR="00A37A61" w:rsidRPr="00EF13C1" w:rsidRDefault="00A37A6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37A61" w:rsidRPr="00EF13C1" w:rsidRDefault="00A37A6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37A61" w:rsidRPr="00182113" w:rsidRDefault="00A37A61" w:rsidP="00141DF6">
          <w:pPr>
            <w:rPr>
              <w:rFonts w:ascii="Palatino Linotype" w:hAnsi="Palatino Linotype"/>
              <w:b/>
              <w:sz w:val="22"/>
              <w:szCs w:val="22"/>
            </w:rPr>
          </w:pPr>
        </w:p>
      </w:tc>
      <w:tc>
        <w:tcPr>
          <w:tcW w:w="236" w:type="dxa"/>
          <w:vAlign w:val="center"/>
        </w:tcPr>
        <w:p w:rsidR="00A37A61" w:rsidRPr="00182113" w:rsidRDefault="00A37A61" w:rsidP="00141DF6">
          <w:pPr>
            <w:pStyle w:val="Encabezado"/>
            <w:jc w:val="center"/>
            <w:rPr>
              <w:rFonts w:ascii="Palatino Linotype" w:hAnsi="Palatino Linotype"/>
              <w:b/>
              <w:sz w:val="22"/>
              <w:szCs w:val="22"/>
            </w:rPr>
          </w:pPr>
        </w:p>
      </w:tc>
      <w:tc>
        <w:tcPr>
          <w:tcW w:w="3261" w:type="dxa"/>
          <w:vAlign w:val="center"/>
        </w:tcPr>
        <w:p w:rsidR="00A37A61" w:rsidRPr="00182113" w:rsidRDefault="00A37A61" w:rsidP="00141DF6">
          <w:pPr>
            <w:pStyle w:val="Encabezado"/>
            <w:rPr>
              <w:rFonts w:ascii="Palatino Linotype" w:hAnsi="Palatino Linotype"/>
              <w:b/>
              <w:sz w:val="22"/>
              <w:szCs w:val="22"/>
            </w:rPr>
          </w:pPr>
        </w:p>
      </w:tc>
    </w:tr>
  </w:tbl>
  <w:p w:rsidR="00A37A61" w:rsidRDefault="00A37A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FE1D8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95575B"/>
    <w:multiLevelType w:val="hybridMultilevel"/>
    <w:tmpl w:val="25B28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DE47552"/>
    <w:multiLevelType w:val="hybridMultilevel"/>
    <w:tmpl w:val="DF322FAA"/>
    <w:lvl w:ilvl="0" w:tplc="DC60F626">
      <w:start w:val="1"/>
      <w:numFmt w:val="lowerLetter"/>
      <w:lvlText w:val="%1)"/>
      <w:lvlJc w:val="left"/>
      <w:pPr>
        <w:ind w:left="1287" w:hanging="360"/>
      </w:pPr>
      <w:rPr>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07A23"/>
    <w:rsid w:val="000129FA"/>
    <w:rsid w:val="0003201F"/>
    <w:rsid w:val="00032ED4"/>
    <w:rsid w:val="000404FD"/>
    <w:rsid w:val="0004254D"/>
    <w:rsid w:val="00045CB1"/>
    <w:rsid w:val="00045D8E"/>
    <w:rsid w:val="00045F60"/>
    <w:rsid w:val="000471A3"/>
    <w:rsid w:val="000550E9"/>
    <w:rsid w:val="000557F1"/>
    <w:rsid w:val="0006695C"/>
    <w:rsid w:val="00070AB2"/>
    <w:rsid w:val="0007491E"/>
    <w:rsid w:val="00076560"/>
    <w:rsid w:val="00077369"/>
    <w:rsid w:val="00093A14"/>
    <w:rsid w:val="000A2541"/>
    <w:rsid w:val="000A79E0"/>
    <w:rsid w:val="000C1226"/>
    <w:rsid w:val="000C2A78"/>
    <w:rsid w:val="000C37A1"/>
    <w:rsid w:val="000D3694"/>
    <w:rsid w:val="000D4D66"/>
    <w:rsid w:val="000E053C"/>
    <w:rsid w:val="000E4F0E"/>
    <w:rsid w:val="000F27CF"/>
    <w:rsid w:val="000F29B1"/>
    <w:rsid w:val="000F3174"/>
    <w:rsid w:val="00100FB3"/>
    <w:rsid w:val="00101488"/>
    <w:rsid w:val="001019CA"/>
    <w:rsid w:val="00101C48"/>
    <w:rsid w:val="00105A38"/>
    <w:rsid w:val="00107170"/>
    <w:rsid w:val="00113499"/>
    <w:rsid w:val="00122084"/>
    <w:rsid w:val="001308F8"/>
    <w:rsid w:val="001336BF"/>
    <w:rsid w:val="001358C7"/>
    <w:rsid w:val="00140005"/>
    <w:rsid w:val="00141DF6"/>
    <w:rsid w:val="001520C4"/>
    <w:rsid w:val="0015312A"/>
    <w:rsid w:val="00166171"/>
    <w:rsid w:val="001A556A"/>
    <w:rsid w:val="001C0763"/>
    <w:rsid w:val="001C1F82"/>
    <w:rsid w:val="001C41F3"/>
    <w:rsid w:val="001D1986"/>
    <w:rsid w:val="001D57A9"/>
    <w:rsid w:val="001D5D25"/>
    <w:rsid w:val="001D5E22"/>
    <w:rsid w:val="001D5F4A"/>
    <w:rsid w:val="001D732D"/>
    <w:rsid w:val="001D769C"/>
    <w:rsid w:val="001E0B7C"/>
    <w:rsid w:val="001F1A61"/>
    <w:rsid w:val="001F6878"/>
    <w:rsid w:val="001F7C7C"/>
    <w:rsid w:val="001F7F9C"/>
    <w:rsid w:val="00213EBA"/>
    <w:rsid w:val="00215595"/>
    <w:rsid w:val="00217C04"/>
    <w:rsid w:val="0022089E"/>
    <w:rsid w:val="00220C8D"/>
    <w:rsid w:val="0022251B"/>
    <w:rsid w:val="002248D3"/>
    <w:rsid w:val="00231FF4"/>
    <w:rsid w:val="00241D58"/>
    <w:rsid w:val="00262949"/>
    <w:rsid w:val="00266D19"/>
    <w:rsid w:val="00266F04"/>
    <w:rsid w:val="00267240"/>
    <w:rsid w:val="002770B1"/>
    <w:rsid w:val="00281117"/>
    <w:rsid w:val="0028509D"/>
    <w:rsid w:val="0028558C"/>
    <w:rsid w:val="00286987"/>
    <w:rsid w:val="002A146D"/>
    <w:rsid w:val="002A5BA4"/>
    <w:rsid w:val="002A6858"/>
    <w:rsid w:val="002C51AA"/>
    <w:rsid w:val="002D2177"/>
    <w:rsid w:val="002D6DA0"/>
    <w:rsid w:val="002E2041"/>
    <w:rsid w:val="002F1198"/>
    <w:rsid w:val="002F37F6"/>
    <w:rsid w:val="00302FF6"/>
    <w:rsid w:val="003031CF"/>
    <w:rsid w:val="00312EE8"/>
    <w:rsid w:val="00320B7F"/>
    <w:rsid w:val="00323479"/>
    <w:rsid w:val="00323568"/>
    <w:rsid w:val="00324CF1"/>
    <w:rsid w:val="00332A3E"/>
    <w:rsid w:val="003337B5"/>
    <w:rsid w:val="00334853"/>
    <w:rsid w:val="0033655A"/>
    <w:rsid w:val="0034610D"/>
    <w:rsid w:val="00352F58"/>
    <w:rsid w:val="00353233"/>
    <w:rsid w:val="00360632"/>
    <w:rsid w:val="0036196A"/>
    <w:rsid w:val="00380994"/>
    <w:rsid w:val="00385622"/>
    <w:rsid w:val="00392EB9"/>
    <w:rsid w:val="00397772"/>
    <w:rsid w:val="003A081B"/>
    <w:rsid w:val="003A2D5F"/>
    <w:rsid w:val="003A3A45"/>
    <w:rsid w:val="003A3AD9"/>
    <w:rsid w:val="003A75A4"/>
    <w:rsid w:val="003B0404"/>
    <w:rsid w:val="003B1CF3"/>
    <w:rsid w:val="003B7543"/>
    <w:rsid w:val="003C2170"/>
    <w:rsid w:val="003C53A5"/>
    <w:rsid w:val="003C7AB3"/>
    <w:rsid w:val="003D59AE"/>
    <w:rsid w:val="003F5A1B"/>
    <w:rsid w:val="003F688E"/>
    <w:rsid w:val="0041566F"/>
    <w:rsid w:val="0042411F"/>
    <w:rsid w:val="00443AB0"/>
    <w:rsid w:val="00457010"/>
    <w:rsid w:val="00457FE4"/>
    <w:rsid w:val="0046240B"/>
    <w:rsid w:val="0046559A"/>
    <w:rsid w:val="00471954"/>
    <w:rsid w:val="00483E81"/>
    <w:rsid w:val="00490A69"/>
    <w:rsid w:val="004A18C9"/>
    <w:rsid w:val="004A2970"/>
    <w:rsid w:val="004A52A6"/>
    <w:rsid w:val="004B5E61"/>
    <w:rsid w:val="004C6DD1"/>
    <w:rsid w:val="004C775C"/>
    <w:rsid w:val="004D60FB"/>
    <w:rsid w:val="004E1E1B"/>
    <w:rsid w:val="004E7667"/>
    <w:rsid w:val="004F4A55"/>
    <w:rsid w:val="004F6C8A"/>
    <w:rsid w:val="00500D9A"/>
    <w:rsid w:val="00501A06"/>
    <w:rsid w:val="0050618A"/>
    <w:rsid w:val="005061AF"/>
    <w:rsid w:val="0050721C"/>
    <w:rsid w:val="00513071"/>
    <w:rsid w:val="00513336"/>
    <w:rsid w:val="00514FEA"/>
    <w:rsid w:val="00516B1D"/>
    <w:rsid w:val="0052012D"/>
    <w:rsid w:val="00524962"/>
    <w:rsid w:val="005358CE"/>
    <w:rsid w:val="005540A0"/>
    <w:rsid w:val="00557159"/>
    <w:rsid w:val="005620BD"/>
    <w:rsid w:val="00562D40"/>
    <w:rsid w:val="00566907"/>
    <w:rsid w:val="00581ED0"/>
    <w:rsid w:val="00582D95"/>
    <w:rsid w:val="00584FE8"/>
    <w:rsid w:val="005865FB"/>
    <w:rsid w:val="005933EC"/>
    <w:rsid w:val="005A1327"/>
    <w:rsid w:val="005B02E5"/>
    <w:rsid w:val="005B0AB7"/>
    <w:rsid w:val="005B36A7"/>
    <w:rsid w:val="005B3C42"/>
    <w:rsid w:val="005B4973"/>
    <w:rsid w:val="005B6DDE"/>
    <w:rsid w:val="005D1828"/>
    <w:rsid w:val="005D31E4"/>
    <w:rsid w:val="005E10C3"/>
    <w:rsid w:val="005E6C51"/>
    <w:rsid w:val="005F3711"/>
    <w:rsid w:val="005F53F8"/>
    <w:rsid w:val="00604915"/>
    <w:rsid w:val="006155B9"/>
    <w:rsid w:val="00627D94"/>
    <w:rsid w:val="00630DD2"/>
    <w:rsid w:val="00644191"/>
    <w:rsid w:val="00644CCE"/>
    <w:rsid w:val="00646380"/>
    <w:rsid w:val="0065568B"/>
    <w:rsid w:val="00660D0F"/>
    <w:rsid w:val="006740AD"/>
    <w:rsid w:val="006801ED"/>
    <w:rsid w:val="00693768"/>
    <w:rsid w:val="00695DD2"/>
    <w:rsid w:val="006A5CB3"/>
    <w:rsid w:val="006B1CCF"/>
    <w:rsid w:val="006B22CF"/>
    <w:rsid w:val="006B2892"/>
    <w:rsid w:val="006C05CC"/>
    <w:rsid w:val="006C084A"/>
    <w:rsid w:val="006C5530"/>
    <w:rsid w:val="006D33D3"/>
    <w:rsid w:val="006D4191"/>
    <w:rsid w:val="006D59E2"/>
    <w:rsid w:val="006E4CE1"/>
    <w:rsid w:val="006E5B19"/>
    <w:rsid w:val="006E7D30"/>
    <w:rsid w:val="007064B0"/>
    <w:rsid w:val="0071694F"/>
    <w:rsid w:val="007215DD"/>
    <w:rsid w:val="00733FCE"/>
    <w:rsid w:val="007401AD"/>
    <w:rsid w:val="00746761"/>
    <w:rsid w:val="007473A6"/>
    <w:rsid w:val="00763B5A"/>
    <w:rsid w:val="00781DC6"/>
    <w:rsid w:val="0079161C"/>
    <w:rsid w:val="00796727"/>
    <w:rsid w:val="00796D7E"/>
    <w:rsid w:val="007A649F"/>
    <w:rsid w:val="007B1D49"/>
    <w:rsid w:val="007B2240"/>
    <w:rsid w:val="007B40B0"/>
    <w:rsid w:val="007D3913"/>
    <w:rsid w:val="007D75A9"/>
    <w:rsid w:val="007F27B2"/>
    <w:rsid w:val="007F7C18"/>
    <w:rsid w:val="00801CB0"/>
    <w:rsid w:val="008040B3"/>
    <w:rsid w:val="008044D2"/>
    <w:rsid w:val="0080537C"/>
    <w:rsid w:val="00811F2A"/>
    <w:rsid w:val="00821599"/>
    <w:rsid w:val="00826DBC"/>
    <w:rsid w:val="00833125"/>
    <w:rsid w:val="00835853"/>
    <w:rsid w:val="00840B4F"/>
    <w:rsid w:val="00840C2D"/>
    <w:rsid w:val="008427BB"/>
    <w:rsid w:val="00843D41"/>
    <w:rsid w:val="00844254"/>
    <w:rsid w:val="00854168"/>
    <w:rsid w:val="008628C0"/>
    <w:rsid w:val="00872FF9"/>
    <w:rsid w:val="00873B93"/>
    <w:rsid w:val="008905DD"/>
    <w:rsid w:val="00897A58"/>
    <w:rsid w:val="008A04AD"/>
    <w:rsid w:val="008A7076"/>
    <w:rsid w:val="008B1DC5"/>
    <w:rsid w:val="008B384A"/>
    <w:rsid w:val="008B48E5"/>
    <w:rsid w:val="008B575A"/>
    <w:rsid w:val="008B6A29"/>
    <w:rsid w:val="008B6F5F"/>
    <w:rsid w:val="008C05FF"/>
    <w:rsid w:val="008C1660"/>
    <w:rsid w:val="008E1098"/>
    <w:rsid w:val="008E78E7"/>
    <w:rsid w:val="008F6153"/>
    <w:rsid w:val="00900598"/>
    <w:rsid w:val="00903EC6"/>
    <w:rsid w:val="00911593"/>
    <w:rsid w:val="00916C74"/>
    <w:rsid w:val="0092505E"/>
    <w:rsid w:val="0094562A"/>
    <w:rsid w:val="00945BEB"/>
    <w:rsid w:val="00951CBD"/>
    <w:rsid w:val="00954B5F"/>
    <w:rsid w:val="00960782"/>
    <w:rsid w:val="00970964"/>
    <w:rsid w:val="00970F94"/>
    <w:rsid w:val="00976E5F"/>
    <w:rsid w:val="0097749D"/>
    <w:rsid w:val="009A2140"/>
    <w:rsid w:val="009A30B5"/>
    <w:rsid w:val="009A66DF"/>
    <w:rsid w:val="009A7ACE"/>
    <w:rsid w:val="009A7CAC"/>
    <w:rsid w:val="009B240E"/>
    <w:rsid w:val="009B44BB"/>
    <w:rsid w:val="009B69B4"/>
    <w:rsid w:val="009C06E9"/>
    <w:rsid w:val="009C234C"/>
    <w:rsid w:val="009C4F32"/>
    <w:rsid w:val="009C5BE9"/>
    <w:rsid w:val="009C6BDB"/>
    <w:rsid w:val="009D018F"/>
    <w:rsid w:val="009E0DA2"/>
    <w:rsid w:val="009E13EE"/>
    <w:rsid w:val="00A0157E"/>
    <w:rsid w:val="00A077DA"/>
    <w:rsid w:val="00A349F8"/>
    <w:rsid w:val="00A37A61"/>
    <w:rsid w:val="00A47352"/>
    <w:rsid w:val="00A516EA"/>
    <w:rsid w:val="00A53B90"/>
    <w:rsid w:val="00A701FC"/>
    <w:rsid w:val="00A77D46"/>
    <w:rsid w:val="00A9637C"/>
    <w:rsid w:val="00A97E35"/>
    <w:rsid w:val="00AC6FC5"/>
    <w:rsid w:val="00AD18EB"/>
    <w:rsid w:val="00AD2117"/>
    <w:rsid w:val="00AF0D0E"/>
    <w:rsid w:val="00B01CEF"/>
    <w:rsid w:val="00B1149A"/>
    <w:rsid w:val="00B16FB2"/>
    <w:rsid w:val="00B247C4"/>
    <w:rsid w:val="00B258AA"/>
    <w:rsid w:val="00B25D9B"/>
    <w:rsid w:val="00B34623"/>
    <w:rsid w:val="00B35F35"/>
    <w:rsid w:val="00B37C23"/>
    <w:rsid w:val="00B5361E"/>
    <w:rsid w:val="00B647B5"/>
    <w:rsid w:val="00B727A2"/>
    <w:rsid w:val="00B748C3"/>
    <w:rsid w:val="00B82B69"/>
    <w:rsid w:val="00B87E67"/>
    <w:rsid w:val="00B91D5C"/>
    <w:rsid w:val="00B93017"/>
    <w:rsid w:val="00B967AF"/>
    <w:rsid w:val="00B9745A"/>
    <w:rsid w:val="00BB29D2"/>
    <w:rsid w:val="00BB7073"/>
    <w:rsid w:val="00BB7618"/>
    <w:rsid w:val="00BC259E"/>
    <w:rsid w:val="00BE7859"/>
    <w:rsid w:val="00C11558"/>
    <w:rsid w:val="00C12980"/>
    <w:rsid w:val="00C306D3"/>
    <w:rsid w:val="00C30FC8"/>
    <w:rsid w:val="00C36247"/>
    <w:rsid w:val="00C366FF"/>
    <w:rsid w:val="00C509A4"/>
    <w:rsid w:val="00C57119"/>
    <w:rsid w:val="00C61C2B"/>
    <w:rsid w:val="00C627DF"/>
    <w:rsid w:val="00C63AA8"/>
    <w:rsid w:val="00C70625"/>
    <w:rsid w:val="00C7267B"/>
    <w:rsid w:val="00C82ADE"/>
    <w:rsid w:val="00C87DFC"/>
    <w:rsid w:val="00C9324B"/>
    <w:rsid w:val="00C946FB"/>
    <w:rsid w:val="00C9484F"/>
    <w:rsid w:val="00C9794C"/>
    <w:rsid w:val="00CA7849"/>
    <w:rsid w:val="00CB23B9"/>
    <w:rsid w:val="00CC1066"/>
    <w:rsid w:val="00CD0549"/>
    <w:rsid w:val="00CD5823"/>
    <w:rsid w:val="00CD59BA"/>
    <w:rsid w:val="00CD7FAD"/>
    <w:rsid w:val="00CE6928"/>
    <w:rsid w:val="00CE7DC8"/>
    <w:rsid w:val="00CF26CE"/>
    <w:rsid w:val="00CF71EA"/>
    <w:rsid w:val="00CF79AF"/>
    <w:rsid w:val="00D12BAB"/>
    <w:rsid w:val="00D330D5"/>
    <w:rsid w:val="00D35DE2"/>
    <w:rsid w:val="00D376E1"/>
    <w:rsid w:val="00D41D69"/>
    <w:rsid w:val="00D60E06"/>
    <w:rsid w:val="00D6467C"/>
    <w:rsid w:val="00D70F0F"/>
    <w:rsid w:val="00D75159"/>
    <w:rsid w:val="00D7583A"/>
    <w:rsid w:val="00D81F95"/>
    <w:rsid w:val="00DA618C"/>
    <w:rsid w:val="00DB787B"/>
    <w:rsid w:val="00DC6E1F"/>
    <w:rsid w:val="00DD6696"/>
    <w:rsid w:val="00DD764A"/>
    <w:rsid w:val="00DE11CF"/>
    <w:rsid w:val="00DE422B"/>
    <w:rsid w:val="00E02044"/>
    <w:rsid w:val="00E17F9A"/>
    <w:rsid w:val="00E23805"/>
    <w:rsid w:val="00E25808"/>
    <w:rsid w:val="00E26E35"/>
    <w:rsid w:val="00E30414"/>
    <w:rsid w:val="00E37012"/>
    <w:rsid w:val="00E55AA1"/>
    <w:rsid w:val="00E60198"/>
    <w:rsid w:val="00E60771"/>
    <w:rsid w:val="00E632D0"/>
    <w:rsid w:val="00E64135"/>
    <w:rsid w:val="00E6663B"/>
    <w:rsid w:val="00E752BC"/>
    <w:rsid w:val="00E81879"/>
    <w:rsid w:val="00E902B8"/>
    <w:rsid w:val="00E9214E"/>
    <w:rsid w:val="00EA5687"/>
    <w:rsid w:val="00EB1032"/>
    <w:rsid w:val="00EC1FDB"/>
    <w:rsid w:val="00EC6D05"/>
    <w:rsid w:val="00ED2E65"/>
    <w:rsid w:val="00EF292B"/>
    <w:rsid w:val="00EF2DFB"/>
    <w:rsid w:val="00F2115E"/>
    <w:rsid w:val="00F267D4"/>
    <w:rsid w:val="00F30C67"/>
    <w:rsid w:val="00F31162"/>
    <w:rsid w:val="00F36670"/>
    <w:rsid w:val="00F375F4"/>
    <w:rsid w:val="00F44913"/>
    <w:rsid w:val="00F55213"/>
    <w:rsid w:val="00F61DF9"/>
    <w:rsid w:val="00F629AE"/>
    <w:rsid w:val="00F66D06"/>
    <w:rsid w:val="00F700EF"/>
    <w:rsid w:val="00F71EFE"/>
    <w:rsid w:val="00F762E7"/>
    <w:rsid w:val="00F811F5"/>
    <w:rsid w:val="00F816E8"/>
    <w:rsid w:val="00F83A82"/>
    <w:rsid w:val="00F86CA4"/>
    <w:rsid w:val="00F9171F"/>
    <w:rsid w:val="00F94E9E"/>
    <w:rsid w:val="00FA07D6"/>
    <w:rsid w:val="00FA204E"/>
    <w:rsid w:val="00FB2A10"/>
    <w:rsid w:val="00FB4F8E"/>
    <w:rsid w:val="00FB61C7"/>
    <w:rsid w:val="00FC2CB4"/>
    <w:rsid w:val="00FC5D9F"/>
    <w:rsid w:val="00FD1926"/>
    <w:rsid w:val="00FE4AB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56BC28-41E6-400E-AE0B-2AA694C9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7A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2"/>
      </w:numPr>
    </w:pPr>
  </w:style>
  <w:style w:type="character" w:customStyle="1" w:styleId="Ttulo4Car">
    <w:name w:val="Título 4 Car"/>
    <w:basedOn w:val="Fuentedeprrafopredeter"/>
    <w:link w:val="Ttulo4"/>
    <w:uiPriority w:val="9"/>
    <w:rsid w:val="00007A23"/>
    <w:rPr>
      <w:rFonts w:asciiTheme="majorHAnsi" w:eastAsiaTheme="majorEastAsia" w:hAnsiTheme="majorHAnsi" w:cstheme="majorBidi"/>
      <w:i/>
      <w:iCs/>
      <w:color w:val="2E74B5" w:themeColor="accent1" w:themeShade="BF"/>
      <w:sz w:val="24"/>
      <w:szCs w:val="24"/>
      <w:lang w:val="es-ES_tradnl" w:eastAsia="es-ES"/>
    </w:rPr>
  </w:style>
  <w:style w:type="paragraph" w:styleId="Lista2">
    <w:name w:val="List 2"/>
    <w:basedOn w:val="Normal"/>
    <w:uiPriority w:val="99"/>
    <w:unhideWhenUsed/>
    <w:rsid w:val="00007A23"/>
    <w:pPr>
      <w:ind w:left="566" w:hanging="283"/>
      <w:contextualSpacing/>
    </w:pPr>
  </w:style>
  <w:style w:type="paragraph" w:styleId="Listaconvietas2">
    <w:name w:val="List Bullet 2"/>
    <w:basedOn w:val="Normal"/>
    <w:uiPriority w:val="99"/>
    <w:unhideWhenUsed/>
    <w:rsid w:val="00007A23"/>
    <w:pPr>
      <w:numPr>
        <w:numId w:val="5"/>
      </w:numPr>
      <w:contextualSpacing/>
    </w:pPr>
  </w:style>
  <w:style w:type="paragraph" w:styleId="Textoindependiente">
    <w:name w:val="Body Text"/>
    <w:basedOn w:val="Normal"/>
    <w:link w:val="TextoindependienteCar"/>
    <w:uiPriority w:val="99"/>
    <w:unhideWhenUsed/>
    <w:rsid w:val="00007A23"/>
    <w:pPr>
      <w:spacing w:after="120"/>
    </w:pPr>
  </w:style>
  <w:style w:type="character" w:customStyle="1" w:styleId="TextoindependienteCar">
    <w:name w:val="Texto independiente Car"/>
    <w:basedOn w:val="Fuentedeprrafopredeter"/>
    <w:link w:val="Textoindependiente"/>
    <w:uiPriority w:val="99"/>
    <w:rsid w:val="00007A23"/>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07A23"/>
    <w:pPr>
      <w:spacing w:after="120"/>
      <w:ind w:left="283"/>
    </w:pPr>
  </w:style>
  <w:style w:type="character" w:customStyle="1" w:styleId="SangradetextonormalCar">
    <w:name w:val="Sangría de texto normal Car"/>
    <w:basedOn w:val="Fuentedeprrafopredeter"/>
    <w:link w:val="Sangradetextonormal"/>
    <w:uiPriority w:val="99"/>
    <w:rsid w:val="00007A2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07A2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7A2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066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95C"/>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01551332">
      <w:bodyDiv w:val="1"/>
      <w:marLeft w:val="0"/>
      <w:marRight w:val="0"/>
      <w:marTop w:val="0"/>
      <w:marBottom w:val="0"/>
      <w:divBdr>
        <w:top w:val="none" w:sz="0" w:space="0" w:color="auto"/>
        <w:left w:val="none" w:sz="0" w:space="0" w:color="auto"/>
        <w:bottom w:val="none" w:sz="0" w:space="0" w:color="auto"/>
        <w:right w:val="none" w:sz="0" w:space="0" w:color="auto"/>
      </w:divBdr>
    </w:div>
    <w:div w:id="571963068">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1660500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969979">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6976470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2696-93F8-4D17-8389-B05FD2DC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4971</Words>
  <Characters>27344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2019-02-05T17:58:00Z</cp:lastPrinted>
  <dcterms:created xsi:type="dcterms:W3CDTF">2019-02-01T02:41:00Z</dcterms:created>
  <dcterms:modified xsi:type="dcterms:W3CDTF">2019-03-14T16:37:00Z</dcterms:modified>
</cp:coreProperties>
</file>