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50A73" w14:textId="77777777" w:rsidR="00D60578" w:rsidRDefault="00D60578" w:rsidP="00F72CA9">
      <w:pPr>
        <w:tabs>
          <w:tab w:val="left" w:pos="7371"/>
        </w:tabs>
        <w:spacing w:line="360" w:lineRule="auto"/>
        <w:jc w:val="both"/>
        <w:rPr>
          <w:rFonts w:ascii="Palatino Linotype" w:hAnsi="Palatino Linotype" w:cs="Tahoma"/>
          <w:bCs/>
          <w:sz w:val="22"/>
          <w:szCs w:val="24"/>
        </w:rPr>
      </w:pPr>
    </w:p>
    <w:p w14:paraId="2A3E8AE3" w14:textId="2E62CC98" w:rsidR="00994396" w:rsidRPr="004059FB" w:rsidRDefault="00994396" w:rsidP="00F72CA9">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FD5810">
        <w:rPr>
          <w:rFonts w:ascii="Palatino Linotype" w:hAnsi="Palatino Linotype" w:cs="Tahoma"/>
          <w:bCs/>
          <w:sz w:val="22"/>
          <w:szCs w:val="24"/>
        </w:rPr>
        <w:t>trece</w:t>
      </w:r>
      <w:r w:rsidR="00C87071">
        <w:rPr>
          <w:rFonts w:ascii="Palatino Linotype" w:hAnsi="Palatino Linotype" w:cs="Tahoma"/>
          <w:bCs/>
          <w:sz w:val="22"/>
          <w:szCs w:val="24"/>
        </w:rPr>
        <w:t xml:space="preserve"> de febrero de dos mil diecinueve</w:t>
      </w:r>
      <w:r w:rsidRPr="004059FB">
        <w:rPr>
          <w:rFonts w:ascii="Palatino Linotype" w:hAnsi="Palatino Linotype" w:cs="Tahoma"/>
          <w:bCs/>
          <w:sz w:val="22"/>
          <w:szCs w:val="24"/>
        </w:rPr>
        <w:t>.</w:t>
      </w:r>
    </w:p>
    <w:p w14:paraId="3C62E747" w14:textId="77777777" w:rsidR="00B31222" w:rsidRPr="004059FB" w:rsidRDefault="00B31222" w:rsidP="00F72CA9">
      <w:pPr>
        <w:spacing w:line="360" w:lineRule="auto"/>
        <w:rPr>
          <w:rFonts w:ascii="Palatino Linotype" w:hAnsi="Palatino Linotype" w:cs="Tahoma"/>
          <w:bCs/>
          <w:sz w:val="22"/>
          <w:szCs w:val="24"/>
        </w:rPr>
      </w:pPr>
    </w:p>
    <w:p w14:paraId="394F6D34" w14:textId="08CDAA24" w:rsidR="00B31222" w:rsidRPr="004059FB" w:rsidRDefault="00994396" w:rsidP="00F72CA9">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1171BD" w:rsidRPr="00FD5810">
        <w:rPr>
          <w:rFonts w:ascii="Palatino Linotype" w:hAnsi="Palatino Linotype" w:cs="Tahoma"/>
          <w:b/>
          <w:bCs/>
          <w:color w:val="0D0D0D" w:themeColor="text1" w:themeTint="F2"/>
          <w:sz w:val="22"/>
          <w:szCs w:val="24"/>
        </w:rPr>
        <w:t>0</w:t>
      </w:r>
      <w:r w:rsidR="004F0C1F" w:rsidRPr="00FD5810">
        <w:rPr>
          <w:rFonts w:ascii="Palatino Linotype" w:hAnsi="Palatino Linotype" w:cs="Tahoma"/>
          <w:b/>
          <w:bCs/>
          <w:color w:val="0D0D0D" w:themeColor="text1" w:themeTint="F2"/>
          <w:sz w:val="22"/>
          <w:szCs w:val="24"/>
        </w:rPr>
        <w:t>4376</w:t>
      </w:r>
      <w:r w:rsidR="001171BD" w:rsidRPr="00FD5810">
        <w:rPr>
          <w:rFonts w:ascii="Palatino Linotype" w:hAnsi="Palatino Linotype" w:cs="Tahoma"/>
          <w:b/>
          <w:bCs/>
          <w:color w:val="0D0D0D" w:themeColor="text1" w:themeTint="F2"/>
          <w:sz w:val="22"/>
          <w:szCs w:val="24"/>
        </w:rPr>
        <w:t>/INFOEM/IP/RR/2018</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 </w:t>
      </w:r>
      <w:r w:rsidR="00827960" w:rsidRPr="00404A66">
        <w:rPr>
          <w:rFonts w:ascii="Palatino Linotype" w:hAnsi="Palatino Linotype" w:cs="Tahoma"/>
          <w:b/>
          <w:bCs/>
          <w:color w:val="0D0D0D" w:themeColor="text1" w:themeTint="F2"/>
          <w:sz w:val="22"/>
          <w:szCs w:val="24"/>
          <w:highlight w:val="black"/>
        </w:rPr>
        <w:t>XXXXX</w:t>
      </w:r>
      <w:r w:rsidR="00404A66" w:rsidRPr="00404A66">
        <w:rPr>
          <w:rFonts w:ascii="Palatino Linotype" w:hAnsi="Palatino Linotype" w:cs="Tahoma"/>
          <w:b/>
          <w:bCs/>
          <w:color w:val="0D0D0D" w:themeColor="text1" w:themeTint="F2"/>
          <w:sz w:val="22"/>
          <w:szCs w:val="24"/>
          <w:highlight w:val="black"/>
        </w:rPr>
        <w:t>XXXXXX</w:t>
      </w:r>
      <w:r w:rsidRPr="00404A66">
        <w:rPr>
          <w:rFonts w:ascii="Palatino Linotype" w:hAnsi="Palatino Linotype" w:cs="Tahoma"/>
          <w:bCs/>
          <w:color w:val="0D0D0D" w:themeColor="text1" w:themeTint="F2"/>
          <w:sz w:val="22"/>
          <w:szCs w:val="24"/>
          <w:highlight w:val="black"/>
        </w:rPr>
        <w:t>,</w:t>
      </w:r>
      <w:bookmarkStart w:id="0" w:name="_GoBack"/>
      <w:bookmarkEnd w:id="0"/>
      <w:r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FD5810">
        <w:rPr>
          <w:rFonts w:ascii="Palatino Linotype" w:hAnsi="Palatino Linotype" w:cs="Tahoma"/>
          <w:b/>
          <w:bCs/>
          <w:color w:val="0D0D0D" w:themeColor="text1" w:themeTint="F2"/>
          <w:sz w:val="22"/>
          <w:szCs w:val="24"/>
        </w:rPr>
        <w:t>Sujeto Obligado</w:t>
      </w:r>
      <w:r w:rsidR="002060B4" w:rsidRPr="00FD5810">
        <w:rPr>
          <w:rFonts w:ascii="Palatino Linotype" w:hAnsi="Palatino Linotype" w:cs="Tahoma"/>
          <w:b/>
          <w:bCs/>
          <w:color w:val="0D0D0D" w:themeColor="text1" w:themeTint="F2"/>
          <w:sz w:val="22"/>
          <w:szCs w:val="24"/>
        </w:rPr>
        <w:t>,</w:t>
      </w:r>
      <w:r w:rsidR="00F41B19" w:rsidRPr="00FD5810">
        <w:rPr>
          <w:rFonts w:ascii="Palatino Linotype" w:hAnsi="Palatino Linotype" w:cs="Tahoma"/>
          <w:b/>
          <w:bCs/>
          <w:color w:val="0D0D0D" w:themeColor="text1" w:themeTint="F2"/>
          <w:sz w:val="22"/>
          <w:szCs w:val="24"/>
        </w:rPr>
        <w:t xml:space="preserve"> </w:t>
      </w:r>
      <w:r w:rsidR="001171BD" w:rsidRPr="00FD5810">
        <w:rPr>
          <w:rFonts w:ascii="Palatino Linotype" w:hAnsi="Palatino Linotype" w:cs="Tahoma"/>
          <w:b/>
          <w:bCs/>
          <w:color w:val="0D0D0D" w:themeColor="text1" w:themeTint="F2"/>
          <w:sz w:val="22"/>
          <w:szCs w:val="24"/>
        </w:rPr>
        <w:t>Instituto de Seguridad Social del Estado de México y Municipios</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371D38A3" w14:textId="77777777" w:rsidR="00735915" w:rsidRPr="004059FB" w:rsidRDefault="00735915" w:rsidP="00F72CA9">
      <w:pPr>
        <w:spacing w:line="360" w:lineRule="auto"/>
        <w:rPr>
          <w:rFonts w:ascii="Palatino Linotype" w:hAnsi="Palatino Linotype" w:cs="Tahoma"/>
          <w:sz w:val="22"/>
          <w:szCs w:val="24"/>
        </w:rPr>
      </w:pPr>
    </w:p>
    <w:p w14:paraId="77128966" w14:textId="77777777" w:rsidR="00B31222" w:rsidRPr="004059FB" w:rsidRDefault="00B31222" w:rsidP="00F72CA9">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D2DF323" w14:textId="77777777" w:rsidR="00B31222" w:rsidRPr="004059FB" w:rsidRDefault="00B31222" w:rsidP="00F72CA9">
      <w:pPr>
        <w:pStyle w:val="Prrafodelista"/>
        <w:tabs>
          <w:tab w:val="left" w:pos="567"/>
        </w:tabs>
        <w:spacing w:line="360" w:lineRule="auto"/>
        <w:ind w:left="0"/>
        <w:contextualSpacing w:val="0"/>
        <w:jc w:val="both"/>
        <w:rPr>
          <w:rFonts w:ascii="Palatino Linotype" w:hAnsi="Palatino Linotype" w:cs="Tahoma"/>
        </w:rPr>
      </w:pPr>
    </w:p>
    <w:p w14:paraId="06D53A8B" w14:textId="77777777" w:rsidR="00DC1594" w:rsidRPr="004059FB" w:rsidRDefault="00B31222" w:rsidP="00F72CA9">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 Presentación de la</w:t>
      </w:r>
      <w:r w:rsidR="00D01F75" w:rsidRPr="004059FB">
        <w:rPr>
          <w:rFonts w:ascii="Palatino Linotype" w:hAnsi="Palatino Linotype" w:cs="Tahoma"/>
          <w:b/>
        </w:rPr>
        <w:t>s</w:t>
      </w:r>
      <w:r w:rsidRPr="004059FB">
        <w:rPr>
          <w:rFonts w:ascii="Palatino Linotype" w:hAnsi="Palatino Linotype" w:cs="Tahoma"/>
          <w:b/>
        </w:rPr>
        <w:t xml:space="preserve"> solicitud</w:t>
      </w:r>
      <w:r w:rsidR="00D01F75" w:rsidRPr="004059FB">
        <w:rPr>
          <w:rFonts w:ascii="Palatino Linotype" w:hAnsi="Palatino Linotype" w:cs="Tahoma"/>
          <w:b/>
        </w:rPr>
        <w:t>es</w:t>
      </w:r>
      <w:r w:rsidRPr="004059FB">
        <w:rPr>
          <w:rFonts w:ascii="Palatino Linotype" w:hAnsi="Palatino Linotype" w:cs="Tahoma"/>
          <w:b/>
        </w:rPr>
        <w:t xml:space="preserve"> de información. </w:t>
      </w:r>
    </w:p>
    <w:p w14:paraId="3D339C25" w14:textId="77777777" w:rsidR="00DC1594" w:rsidRPr="004059FB" w:rsidRDefault="00DC1594" w:rsidP="00F72CA9">
      <w:pPr>
        <w:pStyle w:val="Prrafodelista"/>
        <w:tabs>
          <w:tab w:val="left" w:pos="567"/>
        </w:tabs>
        <w:spacing w:line="360" w:lineRule="auto"/>
        <w:ind w:left="0"/>
        <w:contextualSpacing w:val="0"/>
        <w:jc w:val="both"/>
        <w:rPr>
          <w:rFonts w:ascii="Palatino Linotype" w:hAnsi="Palatino Linotype" w:cs="Tahoma"/>
        </w:rPr>
      </w:pPr>
    </w:p>
    <w:p w14:paraId="7FFA1360" w14:textId="77777777" w:rsidR="00B31222" w:rsidRPr="004059FB" w:rsidRDefault="00AA417B" w:rsidP="00F72CA9">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4F0C1F">
        <w:rPr>
          <w:rFonts w:ascii="Palatino Linotype" w:hAnsi="Palatino Linotype" w:cs="Tahoma"/>
        </w:rPr>
        <w:t>veintitrés de octubre</w:t>
      </w:r>
      <w:r w:rsidR="00C87071">
        <w:rPr>
          <w:rFonts w:ascii="Palatino Linotype" w:hAnsi="Palatino Linotype" w:cs="Tahoma"/>
        </w:rPr>
        <w:t xml:space="preserve"> de dos mil dieciocho</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1171BD" w:rsidRPr="004059FB">
        <w:rPr>
          <w:rFonts w:ascii="Palatino Linotype" w:hAnsi="Palatino Linotype" w:cs="Tahoma"/>
        </w:rPr>
        <w:t>Instituto de Seguridad Social del Estado de México y Municipios</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7C64535" w14:textId="77777777" w:rsidR="00637179" w:rsidRPr="004059FB" w:rsidRDefault="00637179" w:rsidP="00F72CA9">
      <w:pPr>
        <w:pStyle w:val="Prrafodelista"/>
        <w:tabs>
          <w:tab w:val="left" w:pos="567"/>
        </w:tabs>
        <w:spacing w:line="360" w:lineRule="auto"/>
        <w:ind w:left="0"/>
        <w:contextualSpacing w:val="0"/>
        <w:jc w:val="both"/>
        <w:rPr>
          <w:rFonts w:ascii="Palatino Linotype" w:hAnsi="Palatino Linotype" w:cs="Tahoma"/>
        </w:rPr>
      </w:pPr>
    </w:p>
    <w:p w14:paraId="4C59DB7E" w14:textId="77777777" w:rsidR="00D01F75" w:rsidRPr="004059FB" w:rsidRDefault="00D01F75" w:rsidP="00F72CA9">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2E46576D" w14:textId="77777777" w:rsidR="00D01F75" w:rsidRPr="004059FB" w:rsidRDefault="004F0C1F" w:rsidP="00F72CA9">
      <w:pPr>
        <w:tabs>
          <w:tab w:val="left" w:pos="4667"/>
        </w:tabs>
        <w:spacing w:line="360" w:lineRule="auto"/>
        <w:ind w:left="567" w:right="567"/>
        <w:jc w:val="both"/>
        <w:rPr>
          <w:rFonts w:ascii="Palatino Linotype" w:hAnsi="Palatino Linotype" w:cs="Tahoma"/>
          <w:bCs/>
        </w:rPr>
      </w:pPr>
      <w:r w:rsidRPr="004F0C1F">
        <w:rPr>
          <w:rFonts w:ascii="Palatino Linotype" w:hAnsi="Palatino Linotype" w:cs="Tahoma"/>
          <w:bCs/>
        </w:rPr>
        <w:t xml:space="preserve">BUEN DÍA, SOLICITO LA SIGUIENTE INFORMACIÓN: - MONTO ACTUAL BAJO ADMINISTRACIÓN POR AFORE XXI EN INFORME ISSEMYM E ISSEMYM1. - ESTUDIO ACTUARIAL DE PENSIONES Y PASIVO DEL ISSEMYM. - MONTO ACTUAL BAJO ADMINISTRACIÓN POR INTERACCIONES A NOMBRE DEL ISSEMYM. - RENDIMIENTO DE TODO LO ADMINISTRADO DE LOS ÚLTIMOS CINCO AÑOS </w:t>
      </w:r>
      <w:r w:rsidRPr="004F0C1F">
        <w:rPr>
          <w:rFonts w:ascii="Palatino Linotype" w:hAnsi="Palatino Linotype" w:cs="Tahoma"/>
          <w:bCs/>
        </w:rPr>
        <w:lastRenderedPageBreak/>
        <w:t>CON COMISIÓN DESGLOSADA. - NÚMERO DE AFILIACIONES TOTALES ACTUALIZADO. - DIVISIÓN DEL BENEFICIO DEFINIDO Y DE CONTRIBUCIÓN DEFINIDA.</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5B94C497" w14:textId="77777777" w:rsidR="00D01F75" w:rsidRPr="004059FB" w:rsidRDefault="00D01F75" w:rsidP="00F72CA9">
      <w:pPr>
        <w:tabs>
          <w:tab w:val="left" w:pos="4667"/>
        </w:tabs>
        <w:spacing w:line="360" w:lineRule="auto"/>
        <w:ind w:left="567" w:right="567"/>
        <w:jc w:val="both"/>
        <w:rPr>
          <w:rFonts w:ascii="Palatino Linotype" w:hAnsi="Palatino Linotype" w:cs="Tahoma"/>
          <w:bCs/>
        </w:rPr>
      </w:pPr>
    </w:p>
    <w:p w14:paraId="7546C672" w14:textId="77777777" w:rsidR="00D01F75" w:rsidRPr="004059FB" w:rsidRDefault="00D01F75" w:rsidP="00F72CA9">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3737EB57" w14:textId="77777777" w:rsidR="00D01F75" w:rsidRPr="004059FB" w:rsidRDefault="00E64BD9" w:rsidP="00F72CA9">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774C400B" w14:textId="77777777" w:rsidR="00C87071" w:rsidRDefault="00C87071" w:rsidP="00F72CA9">
      <w:pPr>
        <w:pStyle w:val="Prrafodelista"/>
        <w:tabs>
          <w:tab w:val="left" w:pos="567"/>
        </w:tabs>
        <w:spacing w:line="360" w:lineRule="auto"/>
        <w:ind w:left="0"/>
        <w:contextualSpacing w:val="0"/>
        <w:jc w:val="both"/>
        <w:rPr>
          <w:rFonts w:ascii="Palatino Linotype" w:hAnsi="Palatino Linotype" w:cs="Tahoma"/>
        </w:rPr>
      </w:pPr>
    </w:p>
    <w:p w14:paraId="4341E539" w14:textId="77777777" w:rsidR="00AA5A86" w:rsidRPr="004059FB" w:rsidRDefault="006C1B1D" w:rsidP="00F72CA9">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5203A608" w14:textId="77777777" w:rsidR="00AA5A86" w:rsidRPr="004059FB" w:rsidRDefault="00AA5A86" w:rsidP="00F72CA9">
      <w:pPr>
        <w:autoSpaceDE w:val="0"/>
        <w:autoSpaceDN w:val="0"/>
        <w:adjustRightInd w:val="0"/>
        <w:spacing w:line="360" w:lineRule="auto"/>
        <w:jc w:val="both"/>
        <w:rPr>
          <w:rFonts w:ascii="Palatino Linotype" w:hAnsi="Palatino Linotype" w:cs="Tahoma"/>
          <w:b/>
          <w:sz w:val="22"/>
          <w:szCs w:val="24"/>
        </w:rPr>
      </w:pPr>
    </w:p>
    <w:p w14:paraId="71055114" w14:textId="77777777" w:rsidR="00CC285C" w:rsidRPr="004059FB" w:rsidRDefault="00E43A0F" w:rsidP="00F72CA9">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4F0C1F">
        <w:rPr>
          <w:rFonts w:ascii="Palatino Linotype" w:hAnsi="Palatino Linotype" w:cs="Tahoma"/>
          <w:sz w:val="22"/>
          <w:szCs w:val="24"/>
        </w:rPr>
        <w:t>catorce</w:t>
      </w:r>
      <w:r w:rsidR="009D7B52">
        <w:rPr>
          <w:rFonts w:ascii="Palatino Linotype" w:hAnsi="Palatino Linotype" w:cs="Tahoma"/>
          <w:sz w:val="22"/>
          <w:szCs w:val="24"/>
        </w:rPr>
        <w:t xml:space="preserve"> de noviembre</w:t>
      </w:r>
      <w:r w:rsidRPr="004059FB">
        <w:rPr>
          <w:rFonts w:ascii="Palatino Linotype" w:hAnsi="Palatino Linotype" w:cs="Tahoma"/>
          <w:sz w:val="22"/>
          <w:szCs w:val="24"/>
        </w:rPr>
        <w:t xml:space="preserve"> de dos mil dieciocho, </w:t>
      </w:r>
      <w:r w:rsidR="009D7B52">
        <w:rPr>
          <w:rFonts w:ascii="Palatino Linotype" w:hAnsi="Palatino Linotype" w:cs="Tahoma"/>
          <w:sz w:val="22"/>
          <w:szCs w:val="24"/>
        </w:rPr>
        <w:t>el</w:t>
      </w:r>
      <w:r w:rsidR="004A6ECB" w:rsidRPr="004059FB">
        <w:rPr>
          <w:rFonts w:ascii="Palatino Linotype" w:hAnsi="Palatino Linotype" w:cs="Tahoma"/>
          <w:sz w:val="22"/>
          <w:szCs w:val="24"/>
        </w:rPr>
        <w:t xml:space="preserve"> Responsable</w:t>
      </w:r>
      <w:r w:rsidR="009D7B52">
        <w:rPr>
          <w:rFonts w:ascii="Palatino Linotype" w:hAnsi="Palatino Linotype" w:cs="Tahoma"/>
          <w:sz w:val="22"/>
          <w:szCs w:val="24"/>
        </w:rPr>
        <w:t xml:space="preserve"> y Titular</w:t>
      </w:r>
      <w:r w:rsidR="004A6ECB" w:rsidRPr="004059FB">
        <w:rPr>
          <w:rFonts w:ascii="Palatino Linotype" w:hAnsi="Palatino Linotype" w:cs="Tahoma"/>
          <w:sz w:val="22"/>
          <w:szCs w:val="24"/>
        </w:rPr>
        <w:t xml:space="preserve"> de la </w:t>
      </w:r>
      <w:r w:rsidRPr="004059FB">
        <w:rPr>
          <w:rFonts w:ascii="Palatino Linotype" w:hAnsi="Palatino Linotype" w:cs="Tahoma"/>
          <w:sz w:val="22"/>
          <w:szCs w:val="24"/>
        </w:rPr>
        <w:t xml:space="preserve">Unidad de Transparencia del </w:t>
      </w:r>
      <w:r w:rsidR="001171BD" w:rsidRPr="004059FB">
        <w:rPr>
          <w:rFonts w:ascii="Palatino Linotype" w:hAnsi="Palatino Linotype" w:cs="Tahoma"/>
          <w:sz w:val="22"/>
          <w:szCs w:val="24"/>
        </w:rPr>
        <w:t>Instituto de Seguridad Social del Estado de México y Municipios</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xiquense (SAIMEX), la respuesta, a través del oficio 203F 80000-UT-</w:t>
      </w:r>
      <w:r w:rsidR="009D7B52">
        <w:rPr>
          <w:rFonts w:ascii="Palatino Linotype" w:hAnsi="Palatino Linotype" w:cs="Tahoma"/>
          <w:sz w:val="22"/>
          <w:szCs w:val="24"/>
        </w:rPr>
        <w:t>1168</w:t>
      </w:r>
      <w:r w:rsidR="003C5C01" w:rsidRPr="004059FB">
        <w:rPr>
          <w:rFonts w:ascii="Palatino Linotype" w:hAnsi="Palatino Linotype" w:cs="Tahoma"/>
          <w:sz w:val="22"/>
          <w:szCs w:val="24"/>
        </w:rPr>
        <w:t xml:space="preserve">/2018, del </w:t>
      </w:r>
      <w:r w:rsidR="009D7B52">
        <w:rPr>
          <w:rFonts w:ascii="Palatino Linotype" w:hAnsi="Palatino Linotype" w:cs="Tahoma"/>
          <w:sz w:val="22"/>
          <w:szCs w:val="24"/>
        </w:rPr>
        <w:t>veinte del mismo mes y año</w:t>
      </w:r>
      <w:r w:rsidR="003C5C01" w:rsidRPr="004059FB">
        <w:rPr>
          <w:rFonts w:ascii="Palatino Linotype" w:hAnsi="Palatino Linotype" w:cs="Tahoma"/>
          <w:sz w:val="22"/>
          <w:szCs w:val="24"/>
        </w:rPr>
        <w:t>, en los siguientes términos:</w:t>
      </w:r>
    </w:p>
    <w:p w14:paraId="740453BD" w14:textId="77777777" w:rsidR="003C5C01" w:rsidRPr="004059FB" w:rsidRDefault="003C5C01" w:rsidP="00F72CA9">
      <w:pPr>
        <w:autoSpaceDE w:val="0"/>
        <w:autoSpaceDN w:val="0"/>
        <w:adjustRightInd w:val="0"/>
        <w:spacing w:line="360" w:lineRule="auto"/>
        <w:jc w:val="both"/>
        <w:rPr>
          <w:rFonts w:ascii="Palatino Linotype" w:hAnsi="Palatino Linotype" w:cs="Tahoma"/>
          <w:sz w:val="22"/>
          <w:szCs w:val="24"/>
        </w:rPr>
      </w:pPr>
    </w:p>
    <w:p w14:paraId="650D7404" w14:textId="77777777" w:rsidR="003C5C01" w:rsidRPr="004059FB" w:rsidRDefault="003C5C01" w:rsidP="00F72CA9">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w:t>
      </w:r>
    </w:p>
    <w:p w14:paraId="5028AF1E" w14:textId="77777777" w:rsidR="009D7B52" w:rsidRDefault="009D7B52" w:rsidP="00F72CA9">
      <w:pPr>
        <w:tabs>
          <w:tab w:val="left" w:pos="4667"/>
        </w:tabs>
        <w:spacing w:line="360" w:lineRule="auto"/>
        <w:ind w:left="567" w:right="567"/>
        <w:jc w:val="both"/>
        <w:rPr>
          <w:rFonts w:ascii="Palatino Linotype" w:hAnsi="Palatino Linotype" w:cs="Tahoma"/>
          <w:bCs/>
        </w:rPr>
      </w:pPr>
      <w:r w:rsidRPr="009D7B52">
        <w:rPr>
          <w:rFonts w:ascii="Palatino Linotype" w:hAnsi="Palatino Linotype" w:cs="Tahoma"/>
          <w:bCs/>
        </w:rPr>
        <w:t>Con fundamento en los artículos 4, 12, 16 y 161 de la Ley de Transparencia y Acceso a la</w:t>
      </w:r>
      <w:r>
        <w:rPr>
          <w:rFonts w:ascii="Palatino Linotype" w:hAnsi="Palatino Linotype" w:cs="Tahoma"/>
          <w:bCs/>
        </w:rPr>
        <w:t xml:space="preserve"> I</w:t>
      </w:r>
      <w:r w:rsidRPr="009D7B52">
        <w:rPr>
          <w:rFonts w:ascii="Palatino Linotype" w:hAnsi="Palatino Linotype" w:cs="Tahoma"/>
          <w:bCs/>
        </w:rPr>
        <w:t xml:space="preserve">nformación Pública del Estado de México y Municipios, de acuerdo </w:t>
      </w:r>
      <w:r w:rsidR="004F0C1F" w:rsidRPr="004F0C1F">
        <w:rPr>
          <w:rFonts w:ascii="Palatino Linotype" w:hAnsi="Palatino Linotype" w:cs="Tahoma"/>
          <w:bCs/>
        </w:rPr>
        <w:t>a lo comunicado por los Servidores Públicos Habilitados de la Coordinación de Prestaciones y Seguridad Social y de Finanzas, se informa a la particular que:</w:t>
      </w:r>
    </w:p>
    <w:p w14:paraId="43D300CB" w14:textId="77777777" w:rsidR="004F0C1F" w:rsidRDefault="004F0C1F" w:rsidP="00F72CA9">
      <w:pPr>
        <w:tabs>
          <w:tab w:val="left" w:pos="4667"/>
        </w:tabs>
        <w:spacing w:line="360" w:lineRule="auto"/>
        <w:ind w:left="567" w:right="567"/>
        <w:jc w:val="both"/>
        <w:rPr>
          <w:rFonts w:ascii="Palatino Linotype" w:hAnsi="Palatino Linotype" w:cs="Tahoma"/>
          <w:bCs/>
        </w:rPr>
      </w:pPr>
    </w:p>
    <w:p w14:paraId="10D23EFF" w14:textId="77777777" w:rsidR="004F0C1F" w:rsidRPr="004F0C1F" w:rsidRDefault="004F0C1F" w:rsidP="00F72CA9">
      <w:pPr>
        <w:tabs>
          <w:tab w:val="left" w:pos="4667"/>
        </w:tabs>
        <w:spacing w:line="360" w:lineRule="auto"/>
        <w:ind w:left="567" w:right="567"/>
        <w:jc w:val="distribute"/>
        <w:rPr>
          <w:rFonts w:ascii="Palatino Linotype" w:hAnsi="Palatino Linotype" w:cs="Tahoma"/>
          <w:i/>
        </w:rPr>
      </w:pPr>
      <w:r w:rsidRPr="004F0C1F">
        <w:rPr>
          <w:rFonts w:ascii="Palatino Linotype" w:hAnsi="Palatino Linotype" w:cs="Tahoma"/>
        </w:rPr>
        <w:t>Con relac</w:t>
      </w:r>
      <w:r>
        <w:rPr>
          <w:rFonts w:ascii="Palatino Linotype" w:hAnsi="Palatino Linotype" w:cs="Tahoma"/>
        </w:rPr>
        <w:t xml:space="preserve">ión a: </w:t>
      </w:r>
      <w:r w:rsidRPr="004F0C1F">
        <w:rPr>
          <w:rFonts w:ascii="Palatino Linotype" w:hAnsi="Palatino Linotype" w:cs="Tahoma"/>
          <w:i/>
        </w:rPr>
        <w:t>‘... MONTO ACTUAL BAJO ADMINISTRACIÓN POR AFORE XXI EN</w:t>
      </w:r>
    </w:p>
    <w:p w14:paraId="6CC7688B" w14:textId="77777777" w:rsidR="004F0C1F" w:rsidRPr="004F0C1F" w:rsidRDefault="004F0C1F" w:rsidP="00F72CA9">
      <w:pPr>
        <w:tabs>
          <w:tab w:val="left" w:pos="4667"/>
        </w:tabs>
        <w:spacing w:line="360" w:lineRule="auto"/>
        <w:ind w:left="567" w:right="567"/>
        <w:jc w:val="distribute"/>
        <w:rPr>
          <w:rFonts w:ascii="Palatino Linotype" w:hAnsi="Palatino Linotype" w:cs="Tahoma"/>
        </w:rPr>
      </w:pPr>
      <w:r w:rsidRPr="004F0C1F">
        <w:rPr>
          <w:rFonts w:ascii="Palatino Linotype" w:hAnsi="Palatino Linotype" w:cs="Tahoma"/>
          <w:i/>
        </w:rPr>
        <w:t>INFORME ISSEMYM E ISSEMYM1</w:t>
      </w:r>
      <w:r w:rsidR="003864E7">
        <w:rPr>
          <w:rFonts w:ascii="Palatino Linotype" w:hAnsi="Palatino Linotype" w:cs="Tahoma"/>
          <w:i/>
        </w:rPr>
        <w:t>..</w:t>
      </w:r>
      <w:r w:rsidRPr="004F0C1F">
        <w:rPr>
          <w:rFonts w:ascii="Palatino Linotype" w:hAnsi="Palatino Linotype" w:cs="Tahoma"/>
          <w:i/>
        </w:rPr>
        <w:t>.</w:t>
      </w:r>
      <w:r w:rsidR="003864E7">
        <w:rPr>
          <w:rFonts w:ascii="Palatino Linotype" w:hAnsi="Palatino Linotype" w:cs="Tahoma"/>
          <w:i/>
        </w:rPr>
        <w:t>’</w:t>
      </w:r>
      <w:r w:rsidRPr="004F0C1F">
        <w:rPr>
          <w:rFonts w:ascii="Palatino Linotype" w:hAnsi="Palatino Linotype" w:cs="Tahoma"/>
          <w:i/>
        </w:rPr>
        <w:t>(SIC)</w:t>
      </w:r>
      <w:r w:rsidRPr="004F0C1F">
        <w:rPr>
          <w:rFonts w:ascii="Palatino Linotype" w:hAnsi="Palatino Linotype" w:cs="Tahoma"/>
        </w:rPr>
        <w:t xml:space="preserve">, al cierre de junio de 2018 el monto </w:t>
      </w:r>
      <w:r w:rsidR="003864E7">
        <w:rPr>
          <w:rFonts w:ascii="Palatino Linotype" w:hAnsi="Palatino Linotype" w:cs="Tahoma"/>
        </w:rPr>
        <w:t>administrado por Afore XX</w:t>
      </w:r>
      <w:r w:rsidRPr="004F0C1F">
        <w:rPr>
          <w:rFonts w:ascii="Palatino Linotype" w:hAnsi="Palatino Linotype" w:cs="Tahoma"/>
        </w:rPr>
        <w:t>I Banorte</w:t>
      </w:r>
      <w:r w:rsidR="003864E7">
        <w:rPr>
          <w:rFonts w:ascii="Palatino Linotype" w:hAnsi="Palatino Linotype" w:cs="Tahoma"/>
        </w:rPr>
        <w:t xml:space="preserve"> a través de las </w:t>
      </w:r>
      <w:proofErr w:type="spellStart"/>
      <w:r w:rsidR="003864E7">
        <w:rPr>
          <w:rFonts w:ascii="Palatino Linotype" w:hAnsi="Palatino Linotype" w:cs="Tahoma"/>
        </w:rPr>
        <w:t>Siefores</w:t>
      </w:r>
      <w:proofErr w:type="spellEnd"/>
      <w:r w:rsidR="003864E7">
        <w:rPr>
          <w:rFonts w:ascii="Palatino Linotype" w:hAnsi="Palatino Linotype" w:cs="Tahoma"/>
        </w:rPr>
        <w:t xml:space="preserve"> ISSEMYM e 1</w:t>
      </w:r>
      <w:r w:rsidRPr="004F0C1F">
        <w:rPr>
          <w:rFonts w:ascii="Palatino Linotype" w:hAnsi="Palatino Linotype" w:cs="Tahoma"/>
        </w:rPr>
        <w:t>SSEMYM es de</w:t>
      </w:r>
    </w:p>
    <w:p w14:paraId="39028745" w14:textId="77777777" w:rsidR="004F0C1F" w:rsidRPr="004F0C1F" w:rsidRDefault="004F0C1F" w:rsidP="00F72CA9">
      <w:pPr>
        <w:tabs>
          <w:tab w:val="left" w:pos="4667"/>
        </w:tabs>
        <w:spacing w:line="360" w:lineRule="auto"/>
        <w:ind w:left="567" w:right="567"/>
        <w:jc w:val="both"/>
        <w:rPr>
          <w:rFonts w:ascii="Palatino Linotype" w:hAnsi="Palatino Linotype" w:cs="Tahoma"/>
        </w:rPr>
      </w:pPr>
      <w:r w:rsidRPr="004F0C1F">
        <w:rPr>
          <w:rFonts w:ascii="Palatino Linotype" w:hAnsi="Palatino Linotype" w:cs="Tahoma"/>
        </w:rPr>
        <w:t>$ 1</w:t>
      </w:r>
      <w:r w:rsidR="003864E7">
        <w:rPr>
          <w:rFonts w:ascii="Palatino Linotype" w:hAnsi="Palatino Linotype" w:cs="Tahoma"/>
        </w:rPr>
        <w:t>1, 687, 104,848.44 (o</w:t>
      </w:r>
      <w:r w:rsidRPr="004F0C1F">
        <w:rPr>
          <w:rFonts w:ascii="Palatino Linotype" w:hAnsi="Palatino Linotype" w:cs="Tahoma"/>
        </w:rPr>
        <w:t>nce billones seiscientos ochenta y siete millones ciento cuatro mil</w:t>
      </w:r>
    </w:p>
    <w:p w14:paraId="310C35C3" w14:textId="77777777" w:rsidR="004F0C1F" w:rsidRDefault="003864E7" w:rsidP="00F72CA9">
      <w:pPr>
        <w:tabs>
          <w:tab w:val="left" w:pos="4667"/>
        </w:tabs>
        <w:spacing w:line="360" w:lineRule="auto"/>
        <w:ind w:left="567" w:right="567"/>
        <w:jc w:val="both"/>
        <w:rPr>
          <w:rFonts w:ascii="Palatino Linotype" w:hAnsi="Palatino Linotype" w:cs="Tahoma"/>
        </w:rPr>
      </w:pPr>
      <w:r w:rsidRPr="004F0C1F">
        <w:rPr>
          <w:rFonts w:ascii="Palatino Linotype" w:hAnsi="Palatino Linotype" w:cs="Tahoma"/>
        </w:rPr>
        <w:t>Ochocientos</w:t>
      </w:r>
      <w:r w:rsidR="004F0C1F" w:rsidRPr="004F0C1F">
        <w:rPr>
          <w:rFonts w:ascii="Palatino Linotype" w:hAnsi="Palatino Linotype" w:cs="Tahoma"/>
        </w:rPr>
        <w:t xml:space="preserve"> cuarenta y ocho pesos 44/100 M.N.), mismo que fue publicado en la Gaceta de</w:t>
      </w:r>
      <w:r>
        <w:rPr>
          <w:rFonts w:ascii="Palatino Linotype" w:hAnsi="Palatino Linotype" w:cs="Tahoma"/>
        </w:rPr>
        <w:t xml:space="preserve"> </w:t>
      </w:r>
      <w:r w:rsidR="004F0C1F" w:rsidRPr="004F0C1F">
        <w:rPr>
          <w:rFonts w:ascii="Palatino Linotype" w:hAnsi="Palatino Linotype" w:cs="Tahoma"/>
        </w:rPr>
        <w:t>Gobierno del Estado de México el 31 de agosto del presente año.</w:t>
      </w:r>
    </w:p>
    <w:p w14:paraId="3C774F8F" w14:textId="77777777" w:rsidR="003864E7" w:rsidRDefault="003864E7" w:rsidP="00F72CA9">
      <w:pPr>
        <w:tabs>
          <w:tab w:val="left" w:pos="4667"/>
        </w:tabs>
        <w:spacing w:line="360" w:lineRule="auto"/>
        <w:ind w:left="567" w:right="567"/>
        <w:jc w:val="both"/>
        <w:rPr>
          <w:rFonts w:ascii="Palatino Linotype" w:hAnsi="Palatino Linotype" w:cs="Tahoma"/>
        </w:rPr>
      </w:pPr>
      <w:r>
        <w:rPr>
          <w:rFonts w:ascii="Palatino Linotype" w:hAnsi="Palatino Linotype" w:cs="Tahoma"/>
        </w:rPr>
        <w:lastRenderedPageBreak/>
        <w:t xml:space="preserve">Respecto a: </w:t>
      </w:r>
      <w:r w:rsidRPr="003864E7">
        <w:rPr>
          <w:rFonts w:ascii="Palatino Linotype" w:hAnsi="Palatino Linotype" w:cs="Tahoma"/>
          <w:i/>
        </w:rPr>
        <w:t>‘... ESTUDIO ACTUAR/AL DE PENSIONES Y PASIVO DEL ISSEMYM...’ (SIC)</w:t>
      </w:r>
      <w:r>
        <w:rPr>
          <w:rFonts w:ascii="Palatino Linotype" w:hAnsi="Palatino Linotype" w:cs="Tahoma"/>
        </w:rPr>
        <w:t>, se hace de su conocimiento que</w:t>
      </w:r>
      <w:r w:rsidRPr="003864E7">
        <w:rPr>
          <w:rFonts w:ascii="Palatino Linotype" w:hAnsi="Palatino Linotype" w:cs="Tahoma"/>
        </w:rPr>
        <w:t>, el informe sobre estudios actuariales del instituto, se</w:t>
      </w:r>
      <w:r>
        <w:rPr>
          <w:rFonts w:ascii="Palatino Linotype" w:hAnsi="Palatino Linotype" w:cs="Tahoma"/>
        </w:rPr>
        <w:t xml:space="preserve"> </w:t>
      </w:r>
      <w:r w:rsidRPr="003864E7">
        <w:rPr>
          <w:rFonts w:ascii="Palatino Linotype" w:hAnsi="Palatino Linotype" w:cs="Tahoma"/>
        </w:rPr>
        <w:t>encuentra publicado en la Gaceta</w:t>
      </w:r>
      <w:r>
        <w:rPr>
          <w:rFonts w:ascii="Palatino Linotype" w:hAnsi="Palatino Linotype" w:cs="Tahoma"/>
        </w:rPr>
        <w:t xml:space="preserve"> del Gobierno del Estado de Méx</w:t>
      </w:r>
      <w:r w:rsidRPr="003864E7">
        <w:rPr>
          <w:rFonts w:ascii="Palatino Linotype" w:hAnsi="Palatino Linotype" w:cs="Tahoma"/>
        </w:rPr>
        <w:t>ico, en el decreto Número</w:t>
      </w:r>
      <w:r>
        <w:rPr>
          <w:rFonts w:ascii="Palatino Linotype" w:hAnsi="Palatino Linotype" w:cs="Tahoma"/>
        </w:rPr>
        <w:t xml:space="preserve"> 268 ‘</w:t>
      </w:r>
      <w:r w:rsidRPr="003864E7">
        <w:rPr>
          <w:rFonts w:ascii="Palatino Linotype" w:hAnsi="Palatino Linotype" w:cs="Tahoma"/>
        </w:rPr>
        <w:t>Por el que se aprueba el Presupuesto de Egresos del Gobierno del Estado de México</w:t>
      </w:r>
      <w:r>
        <w:rPr>
          <w:rFonts w:ascii="Palatino Linotype" w:hAnsi="Palatino Linotype" w:cs="Tahoma"/>
        </w:rPr>
        <w:t xml:space="preserve"> </w:t>
      </w:r>
      <w:r w:rsidRPr="003864E7">
        <w:rPr>
          <w:rFonts w:ascii="Palatino Linotype" w:hAnsi="Palatino Linotype" w:cs="Tahoma"/>
        </w:rPr>
        <w:t>para el Ejercicio Fiscal del año 2018</w:t>
      </w:r>
      <w:r>
        <w:rPr>
          <w:rFonts w:ascii="Palatino Linotype" w:hAnsi="Palatino Linotype" w:cs="Tahoma"/>
        </w:rPr>
        <w:t>’</w:t>
      </w:r>
      <w:r w:rsidRPr="003864E7">
        <w:rPr>
          <w:rFonts w:ascii="Palatino Linotype" w:hAnsi="Palatino Linotype" w:cs="Tahoma"/>
        </w:rPr>
        <w:t>, mismo que se pon</w:t>
      </w:r>
      <w:r>
        <w:rPr>
          <w:rFonts w:ascii="Palatino Linotype" w:hAnsi="Palatino Linotype" w:cs="Tahoma"/>
        </w:rPr>
        <w:t>e a su disposición en el Anexo1.</w:t>
      </w:r>
    </w:p>
    <w:p w14:paraId="4833F2FF" w14:textId="77777777" w:rsidR="004F0C1F" w:rsidRDefault="004F0C1F" w:rsidP="00F72CA9">
      <w:pPr>
        <w:tabs>
          <w:tab w:val="left" w:pos="4667"/>
        </w:tabs>
        <w:spacing w:line="360" w:lineRule="auto"/>
        <w:ind w:left="567" w:right="567"/>
        <w:jc w:val="both"/>
        <w:rPr>
          <w:rFonts w:ascii="Palatino Linotype" w:hAnsi="Palatino Linotype" w:cs="Tahoma"/>
        </w:rPr>
      </w:pPr>
    </w:p>
    <w:p w14:paraId="0BFDF682" w14:textId="77777777" w:rsidR="003864E7" w:rsidRPr="003864E7" w:rsidRDefault="003864E7" w:rsidP="00F72CA9">
      <w:pPr>
        <w:tabs>
          <w:tab w:val="left" w:pos="4667"/>
        </w:tabs>
        <w:spacing w:line="360" w:lineRule="auto"/>
        <w:ind w:left="567" w:right="567"/>
        <w:jc w:val="both"/>
        <w:rPr>
          <w:rFonts w:ascii="Palatino Linotype" w:hAnsi="Palatino Linotype" w:cs="Tahoma"/>
        </w:rPr>
      </w:pPr>
      <w:r w:rsidRPr="003864E7">
        <w:rPr>
          <w:rFonts w:ascii="Palatino Linotype" w:hAnsi="Palatino Linotype" w:cs="Tahoma"/>
        </w:rPr>
        <w:t xml:space="preserve">En lo que respecta a: </w:t>
      </w:r>
      <w:r w:rsidRPr="003864E7">
        <w:rPr>
          <w:rFonts w:ascii="Palatino Linotype" w:hAnsi="Palatino Linotype" w:cs="Tahoma"/>
          <w:i/>
        </w:rPr>
        <w:t>‘…MONTO ACTUAL BAJO ADMINISTRACIÓN POR</w:t>
      </w:r>
      <w:r>
        <w:rPr>
          <w:rFonts w:ascii="Palatino Linotype" w:hAnsi="Palatino Linotype" w:cs="Tahoma"/>
          <w:i/>
        </w:rPr>
        <w:t xml:space="preserve"> </w:t>
      </w:r>
      <w:r w:rsidRPr="003864E7">
        <w:rPr>
          <w:rFonts w:ascii="Palatino Linotype" w:hAnsi="Palatino Linotype" w:cs="Tahoma"/>
          <w:i/>
        </w:rPr>
        <w:t>INTE</w:t>
      </w:r>
      <w:r>
        <w:rPr>
          <w:rFonts w:ascii="Palatino Linotype" w:hAnsi="Palatino Linotype" w:cs="Tahoma"/>
          <w:i/>
        </w:rPr>
        <w:t>RACCIONES A NOMBRE DEL ISSEMYM.</w:t>
      </w:r>
      <w:r w:rsidRPr="003864E7">
        <w:rPr>
          <w:rFonts w:ascii="Palatino Linotype" w:hAnsi="Palatino Linotype" w:cs="Tahoma"/>
          <w:i/>
        </w:rPr>
        <w:t>..</w:t>
      </w:r>
      <w:r>
        <w:rPr>
          <w:rFonts w:ascii="Palatino Linotype" w:hAnsi="Palatino Linotype" w:cs="Tahoma"/>
          <w:i/>
        </w:rPr>
        <w:t xml:space="preserve">’ </w:t>
      </w:r>
      <w:r w:rsidRPr="003864E7">
        <w:rPr>
          <w:rFonts w:ascii="Palatino Linotype" w:hAnsi="Palatino Linotype" w:cs="Tahoma"/>
          <w:i/>
        </w:rPr>
        <w:t>(SIC),</w:t>
      </w:r>
      <w:r w:rsidRPr="003864E7">
        <w:rPr>
          <w:rFonts w:ascii="Palatino Linotype" w:hAnsi="Palatino Linotype" w:cs="Tahoma"/>
        </w:rPr>
        <w:t xml:space="preserve"> se le envía la resolución número</w:t>
      </w:r>
    </w:p>
    <w:p w14:paraId="28E692D9" w14:textId="77777777" w:rsidR="003864E7" w:rsidRDefault="003864E7" w:rsidP="00F72CA9">
      <w:pPr>
        <w:tabs>
          <w:tab w:val="left" w:pos="4667"/>
        </w:tabs>
        <w:spacing w:line="360" w:lineRule="auto"/>
        <w:ind w:left="567" w:right="567"/>
        <w:jc w:val="both"/>
        <w:rPr>
          <w:rFonts w:ascii="Palatino Linotype" w:hAnsi="Palatino Linotype" w:cs="Tahoma"/>
        </w:rPr>
      </w:pPr>
      <w:r w:rsidRPr="003864E7">
        <w:rPr>
          <w:rFonts w:ascii="Palatino Linotype" w:hAnsi="Palatino Linotype" w:cs="Tahoma"/>
        </w:rPr>
        <w:t>CT/ISSEMYM-A02-47E/2018, emitida por el Comité de Transparenci</w:t>
      </w:r>
      <w:r w:rsidRPr="003864E7">
        <w:rPr>
          <w:rFonts w:ascii="Palatino Linotype" w:hAnsi="Palatino Linotype" w:cs="Tahoma"/>
          <w:u w:val="single"/>
        </w:rPr>
        <w:t>a</w:t>
      </w:r>
      <w:r w:rsidRPr="003864E7">
        <w:rPr>
          <w:rFonts w:ascii="Palatino Linotype" w:hAnsi="Palatino Linotype" w:cs="Tahoma"/>
        </w:rPr>
        <w:t xml:space="preserve"> del Instituto de</w:t>
      </w:r>
      <w:r>
        <w:rPr>
          <w:rFonts w:ascii="Palatino Linotype" w:hAnsi="Palatino Linotype" w:cs="Tahoma"/>
        </w:rPr>
        <w:t xml:space="preserve"> </w:t>
      </w:r>
      <w:r w:rsidRPr="003864E7">
        <w:rPr>
          <w:rFonts w:ascii="Palatino Linotype" w:hAnsi="Palatino Linotype" w:cs="Tahoma"/>
        </w:rPr>
        <w:t>Seguridad del Estado de México y Municipios, mediante la cual se clasifica como</w:t>
      </w:r>
      <w:r>
        <w:rPr>
          <w:rFonts w:ascii="Palatino Linotype" w:hAnsi="Palatino Linotype" w:cs="Tahoma"/>
        </w:rPr>
        <w:t xml:space="preserve"> </w:t>
      </w:r>
      <w:r w:rsidRPr="003864E7">
        <w:rPr>
          <w:rFonts w:ascii="Palatino Linotype" w:hAnsi="Palatino Linotype" w:cs="Tahoma"/>
        </w:rPr>
        <w:t>confidencial la información relacionada con el monto administrado por interacciones a</w:t>
      </w:r>
      <w:r>
        <w:rPr>
          <w:rFonts w:ascii="Palatino Linotype" w:hAnsi="Palatino Linotype" w:cs="Tahoma"/>
        </w:rPr>
        <w:t xml:space="preserve"> nombre del ISSEM</w:t>
      </w:r>
      <w:r w:rsidRPr="003864E7">
        <w:rPr>
          <w:rFonts w:ascii="Palatino Linotype" w:hAnsi="Palatino Linotype" w:cs="Tahoma"/>
        </w:rPr>
        <w:t>yM , lo anterior, con fundamento en los artículos 3 fraccione s XXI, 24</w:t>
      </w:r>
      <w:r>
        <w:rPr>
          <w:rFonts w:ascii="Palatino Linotype" w:hAnsi="Palatino Linotype" w:cs="Tahoma"/>
        </w:rPr>
        <w:t xml:space="preserve"> </w:t>
      </w:r>
      <w:r w:rsidRPr="003864E7">
        <w:rPr>
          <w:rFonts w:ascii="Palatino Linotype" w:hAnsi="Palatino Linotype" w:cs="Tahoma"/>
        </w:rPr>
        <w:t>f</w:t>
      </w:r>
      <w:r>
        <w:rPr>
          <w:rFonts w:ascii="Palatino Linotype" w:hAnsi="Palatino Linotype" w:cs="Tahoma"/>
        </w:rPr>
        <w:t>ra</w:t>
      </w:r>
      <w:r w:rsidRPr="003864E7">
        <w:rPr>
          <w:rFonts w:ascii="Palatino Linotype" w:hAnsi="Palatino Linotype" w:cs="Tahoma"/>
        </w:rPr>
        <w:t xml:space="preserve">cción VI y 143 fracción </w:t>
      </w:r>
      <w:r>
        <w:rPr>
          <w:rFonts w:ascii="Palatino Linotype" w:hAnsi="Palatino Linotype" w:cs="Tahoma"/>
        </w:rPr>
        <w:t>II de la Ley de Transparen</w:t>
      </w:r>
      <w:r w:rsidRPr="003864E7">
        <w:rPr>
          <w:rFonts w:ascii="Palatino Linotype" w:hAnsi="Palatino Linotype" w:cs="Tahoma"/>
        </w:rPr>
        <w:t>cia y Acceso a la Información Pública del</w:t>
      </w:r>
      <w:r>
        <w:rPr>
          <w:rFonts w:ascii="Palatino Linotype" w:hAnsi="Palatino Linotype" w:cs="Tahoma"/>
        </w:rPr>
        <w:t xml:space="preserve"> </w:t>
      </w:r>
      <w:r w:rsidRPr="003864E7">
        <w:rPr>
          <w:rFonts w:ascii="Palatino Linotype" w:hAnsi="Palatino Linotype" w:cs="Tahoma"/>
        </w:rPr>
        <w:t>Estado de</w:t>
      </w:r>
      <w:r>
        <w:rPr>
          <w:rFonts w:ascii="Palatino Linotype" w:hAnsi="Palatino Linotype" w:cs="Tahoma"/>
        </w:rPr>
        <w:t xml:space="preserve"> México, así como, el artículo ‘</w:t>
      </w:r>
      <w:r w:rsidRPr="003864E7">
        <w:rPr>
          <w:rFonts w:ascii="Palatino Linotype" w:hAnsi="Palatino Linotype" w:cs="Tahoma"/>
        </w:rPr>
        <w:t>142 de la Le y de Instituciones de Crédito, que</w:t>
      </w:r>
      <w:r>
        <w:rPr>
          <w:rFonts w:ascii="Palatino Linotype" w:hAnsi="Palatino Linotype" w:cs="Tahoma"/>
        </w:rPr>
        <w:t xml:space="preserve"> indi</w:t>
      </w:r>
      <w:r w:rsidRPr="003864E7">
        <w:rPr>
          <w:rFonts w:ascii="Palatino Linotype" w:hAnsi="Palatino Linotype" w:cs="Tahoma"/>
        </w:rPr>
        <w:t xml:space="preserve">ca: </w:t>
      </w:r>
      <w:r>
        <w:rPr>
          <w:rFonts w:ascii="Palatino Linotype" w:hAnsi="Palatino Linotype" w:cs="Tahoma"/>
        </w:rPr>
        <w:t>‘</w:t>
      </w:r>
      <w:r w:rsidRPr="003864E7">
        <w:rPr>
          <w:rFonts w:ascii="Palatino Linotype" w:hAnsi="Palatino Linotype" w:cs="Tahoma"/>
        </w:rPr>
        <w:t>La información y documentación relativa a las operaciones y servicios a que se</w:t>
      </w:r>
      <w:r>
        <w:rPr>
          <w:rFonts w:ascii="Palatino Linotype" w:hAnsi="Palatino Linotype" w:cs="Tahoma"/>
        </w:rPr>
        <w:t xml:space="preserve"> </w:t>
      </w:r>
      <w:r w:rsidRPr="003864E7">
        <w:rPr>
          <w:rFonts w:ascii="Palatino Linotype" w:hAnsi="Palatino Linotype" w:cs="Tahoma"/>
        </w:rPr>
        <w:t>refiere el artículo 46 de la presen</w:t>
      </w:r>
      <w:r>
        <w:rPr>
          <w:rFonts w:ascii="Palatino Linotype" w:hAnsi="Palatino Linotype" w:cs="Tahoma"/>
        </w:rPr>
        <w:t>te Ley, tendrá carácter confide</w:t>
      </w:r>
      <w:r w:rsidRPr="003864E7">
        <w:rPr>
          <w:rFonts w:ascii="Palatino Linotype" w:hAnsi="Palatino Linotype" w:cs="Tahoma"/>
        </w:rPr>
        <w:t>ncial, por lo que las</w:t>
      </w:r>
      <w:r>
        <w:rPr>
          <w:rFonts w:ascii="Palatino Linotype" w:hAnsi="Palatino Linotype" w:cs="Tahoma"/>
        </w:rPr>
        <w:t xml:space="preserve"> </w:t>
      </w:r>
      <w:r w:rsidRPr="003864E7">
        <w:rPr>
          <w:rFonts w:ascii="Palatino Linotype" w:hAnsi="Palatino Linotype" w:cs="Tahoma"/>
        </w:rPr>
        <w:t>instituciones de crédito, en protección del derecho a la privacidad de sus clientes y usuarios</w:t>
      </w:r>
      <w:r>
        <w:rPr>
          <w:rFonts w:ascii="Palatino Linotype" w:hAnsi="Palatino Linotype" w:cs="Tahoma"/>
        </w:rPr>
        <w:t xml:space="preserve"> </w:t>
      </w:r>
      <w:r w:rsidRPr="003864E7">
        <w:rPr>
          <w:rFonts w:ascii="Palatino Linotype" w:hAnsi="Palatino Linotype" w:cs="Tahoma"/>
        </w:rPr>
        <w:t>que en este artículo se establece, en ningún caso podrán dar noticias o información de los</w:t>
      </w:r>
      <w:r>
        <w:rPr>
          <w:rFonts w:ascii="Palatino Linotype" w:hAnsi="Palatino Linotype" w:cs="Tahoma"/>
        </w:rPr>
        <w:t xml:space="preserve"> </w:t>
      </w:r>
      <w:r w:rsidRPr="003864E7">
        <w:rPr>
          <w:rFonts w:ascii="Palatino Linotype" w:hAnsi="Palatino Linotype" w:cs="Tahoma"/>
        </w:rPr>
        <w:t>depósitos, operaciones o servicios, incluyendo los previstos en la fracción XV del citado</w:t>
      </w:r>
      <w:r>
        <w:rPr>
          <w:rFonts w:ascii="Palatino Linotype" w:hAnsi="Palatino Linotype" w:cs="Tahoma"/>
        </w:rPr>
        <w:t xml:space="preserve"> </w:t>
      </w:r>
      <w:r w:rsidRPr="003864E7">
        <w:rPr>
          <w:rFonts w:ascii="Palatino Linotype" w:hAnsi="Palatino Linotype" w:cs="Tahoma"/>
        </w:rPr>
        <w:t>artículo 46, sino al depositante, deudor, titular, beneficiario, fideicomitente , fideicomisario,</w:t>
      </w:r>
      <w:r>
        <w:rPr>
          <w:rFonts w:ascii="Palatino Linotype" w:hAnsi="Palatino Linotype" w:cs="Tahoma"/>
        </w:rPr>
        <w:t xml:space="preserve"> </w:t>
      </w:r>
      <w:r w:rsidRPr="003864E7">
        <w:rPr>
          <w:rFonts w:ascii="Palatino Linotype" w:hAnsi="Palatino Linotype" w:cs="Tahoma"/>
        </w:rPr>
        <w:t>comitente o mandante, a sus representantes legales o a quienes tengan otorgado poder</w:t>
      </w:r>
      <w:r>
        <w:rPr>
          <w:rFonts w:ascii="Palatino Linotype" w:hAnsi="Palatino Linotype" w:cs="Tahoma"/>
        </w:rPr>
        <w:t xml:space="preserve"> </w:t>
      </w:r>
      <w:r w:rsidRPr="003864E7">
        <w:rPr>
          <w:rFonts w:ascii="Palatino Linotype" w:hAnsi="Palatino Linotype" w:cs="Tahoma"/>
        </w:rPr>
        <w:t>para disponer de la cuenta o para intervenir en la operación o servicio</w:t>
      </w:r>
      <w:r>
        <w:rPr>
          <w:rFonts w:ascii="Palatino Linotype" w:hAnsi="Palatino Linotype" w:cs="Tahoma"/>
        </w:rPr>
        <w:t>’</w:t>
      </w:r>
      <w:r w:rsidRPr="003864E7">
        <w:rPr>
          <w:rFonts w:ascii="Palatino Linotype" w:hAnsi="Palatino Linotype" w:cs="Tahoma"/>
        </w:rPr>
        <w:t xml:space="preserve"> , por lo que no es</w:t>
      </w:r>
      <w:r>
        <w:rPr>
          <w:rFonts w:ascii="Palatino Linotype" w:hAnsi="Palatino Linotype" w:cs="Tahoma"/>
        </w:rPr>
        <w:t xml:space="preserve"> </w:t>
      </w:r>
      <w:r w:rsidRPr="003864E7">
        <w:rPr>
          <w:rFonts w:ascii="Palatino Linotype" w:hAnsi="Palatino Linotype" w:cs="Tahoma"/>
        </w:rPr>
        <w:t>posible otorgarle la información solicitada.</w:t>
      </w:r>
    </w:p>
    <w:p w14:paraId="309C5C76" w14:textId="77777777" w:rsidR="003864E7" w:rsidRDefault="003864E7" w:rsidP="00F72CA9">
      <w:pPr>
        <w:tabs>
          <w:tab w:val="left" w:pos="4667"/>
        </w:tabs>
        <w:spacing w:line="360" w:lineRule="auto"/>
        <w:ind w:left="567" w:right="567"/>
        <w:jc w:val="both"/>
        <w:rPr>
          <w:rFonts w:ascii="Palatino Linotype" w:hAnsi="Palatino Linotype" w:cs="Tahoma"/>
        </w:rPr>
      </w:pPr>
    </w:p>
    <w:p w14:paraId="7993D53C" w14:textId="77777777" w:rsidR="004A6ECB" w:rsidRDefault="003864E7" w:rsidP="00F72CA9">
      <w:pPr>
        <w:tabs>
          <w:tab w:val="left" w:pos="4667"/>
        </w:tabs>
        <w:spacing w:line="360" w:lineRule="auto"/>
        <w:ind w:left="567" w:right="567"/>
        <w:jc w:val="both"/>
        <w:rPr>
          <w:rFonts w:ascii="Palatino Linotype" w:hAnsi="Palatino Linotype" w:cs="Tahoma"/>
        </w:rPr>
      </w:pPr>
      <w:r w:rsidRPr="003864E7">
        <w:rPr>
          <w:rFonts w:ascii="Palatino Linotype" w:hAnsi="Palatino Linotype" w:cs="Tahoma"/>
        </w:rPr>
        <w:t>Así mismo,</w:t>
      </w:r>
      <w:r>
        <w:rPr>
          <w:rFonts w:ascii="Palatino Linotype" w:hAnsi="Palatino Linotype" w:cs="Tahoma"/>
        </w:rPr>
        <w:t xml:space="preserve"> en relación a: </w:t>
      </w:r>
      <w:r w:rsidRPr="003864E7">
        <w:rPr>
          <w:rFonts w:ascii="Palatino Linotype" w:hAnsi="Palatino Linotype" w:cs="Tahoma"/>
          <w:i/>
        </w:rPr>
        <w:t>‘... RENDIMIENTO DE TODO LO ADMINISTRADO DE LOS</w:t>
      </w:r>
      <w:r>
        <w:rPr>
          <w:rFonts w:ascii="Palatino Linotype" w:hAnsi="Palatino Linotype" w:cs="Tahoma"/>
          <w:i/>
        </w:rPr>
        <w:t xml:space="preserve"> </w:t>
      </w:r>
      <w:r w:rsidRPr="003864E7">
        <w:rPr>
          <w:rFonts w:ascii="Palatino Linotype" w:hAnsi="Palatino Linotype" w:cs="Tahoma"/>
          <w:i/>
        </w:rPr>
        <w:t>ÚLTIMOS CINCO AÑOS CON COMISIÓN DESGLOSADA...</w:t>
      </w:r>
      <w:r>
        <w:rPr>
          <w:rFonts w:ascii="Palatino Linotype" w:hAnsi="Palatino Linotype" w:cs="Tahoma"/>
          <w:i/>
        </w:rPr>
        <w:t>’</w:t>
      </w:r>
      <w:r w:rsidRPr="003864E7">
        <w:rPr>
          <w:rFonts w:ascii="Palatino Linotype" w:hAnsi="Palatino Linotype" w:cs="Tahoma"/>
          <w:i/>
        </w:rPr>
        <w:t xml:space="preserve"> (SIC), </w:t>
      </w:r>
      <w:r w:rsidRPr="003864E7">
        <w:rPr>
          <w:rFonts w:ascii="Palatino Linotype" w:hAnsi="Palatino Linotype" w:cs="Tahoma"/>
        </w:rPr>
        <w:t xml:space="preserve">se proporciona la información solicitada en la siguiente tabla: </w:t>
      </w:r>
    </w:p>
    <w:p w14:paraId="37684BBE" w14:textId="77777777" w:rsidR="003864E7" w:rsidRDefault="003864E7" w:rsidP="00F72CA9">
      <w:pPr>
        <w:tabs>
          <w:tab w:val="left" w:pos="4667"/>
        </w:tabs>
        <w:spacing w:line="360" w:lineRule="auto"/>
        <w:ind w:left="567" w:right="567"/>
        <w:jc w:val="both"/>
        <w:rPr>
          <w:rFonts w:ascii="Palatino Linotype" w:hAnsi="Palatino Linotype" w:cs="Tahoma"/>
        </w:rPr>
      </w:pPr>
      <w:r>
        <w:rPr>
          <w:noProof/>
          <w:lang w:eastAsia="es-MX"/>
        </w:rPr>
        <w:lastRenderedPageBreak/>
        <w:drawing>
          <wp:inline distT="0" distB="0" distL="0" distR="0" wp14:anchorId="0F64208E" wp14:editId="0F41AF5F">
            <wp:extent cx="5019675" cy="1324852"/>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48396" cy="1332432"/>
                    </a:xfrm>
                    <a:prstGeom prst="rect">
                      <a:avLst/>
                    </a:prstGeom>
                  </pic:spPr>
                </pic:pic>
              </a:graphicData>
            </a:graphic>
          </wp:inline>
        </w:drawing>
      </w:r>
    </w:p>
    <w:p w14:paraId="372E960F" w14:textId="77777777" w:rsidR="003864E7" w:rsidRDefault="003864E7" w:rsidP="00F72CA9">
      <w:pPr>
        <w:tabs>
          <w:tab w:val="left" w:pos="4667"/>
        </w:tabs>
        <w:spacing w:line="360" w:lineRule="auto"/>
        <w:ind w:left="567" w:right="567"/>
        <w:jc w:val="both"/>
        <w:rPr>
          <w:rFonts w:ascii="Palatino Linotype" w:hAnsi="Palatino Linotype" w:cs="Tahoma"/>
        </w:rPr>
      </w:pPr>
    </w:p>
    <w:p w14:paraId="113F95B8" w14:textId="77777777" w:rsidR="003864E7" w:rsidRDefault="003864E7" w:rsidP="00F72CA9">
      <w:pPr>
        <w:tabs>
          <w:tab w:val="left" w:pos="4667"/>
        </w:tabs>
        <w:spacing w:line="360" w:lineRule="auto"/>
        <w:ind w:left="567" w:right="567"/>
        <w:jc w:val="both"/>
        <w:rPr>
          <w:rFonts w:ascii="Palatino Linotype" w:hAnsi="Palatino Linotype" w:cs="Tahoma"/>
        </w:rPr>
      </w:pPr>
      <w:r w:rsidRPr="003864E7">
        <w:rPr>
          <w:rFonts w:ascii="Palatino Linotype" w:hAnsi="Palatino Linotype" w:cs="Tahoma"/>
        </w:rPr>
        <w:t xml:space="preserve">Por otra parte, en lo </w:t>
      </w:r>
      <w:r>
        <w:rPr>
          <w:rFonts w:ascii="Palatino Linotype" w:hAnsi="Palatino Linotype" w:cs="Tahoma"/>
        </w:rPr>
        <w:t>referente a: ‘</w:t>
      </w:r>
      <w:r w:rsidRPr="003864E7">
        <w:rPr>
          <w:rFonts w:ascii="Palatino Linotype" w:hAnsi="Palatino Linotype" w:cs="Tahoma"/>
        </w:rPr>
        <w:t xml:space="preserve">... </w:t>
      </w:r>
      <w:r w:rsidRPr="003864E7">
        <w:rPr>
          <w:rFonts w:ascii="Palatino Linotype" w:hAnsi="Palatino Linotype" w:cs="Tahoma"/>
          <w:i/>
          <w:iCs/>
        </w:rPr>
        <w:t>DIVISIÓN DEL BENEFICIO DEFINIDO Y DE</w:t>
      </w:r>
      <w:r>
        <w:rPr>
          <w:rFonts w:ascii="Palatino Linotype" w:hAnsi="Palatino Linotype" w:cs="Tahoma"/>
          <w:i/>
          <w:iCs/>
        </w:rPr>
        <w:t xml:space="preserve"> </w:t>
      </w:r>
      <w:r w:rsidRPr="003864E7">
        <w:rPr>
          <w:rFonts w:ascii="Palatino Linotype" w:hAnsi="Palatino Linotype" w:cs="Tahoma"/>
          <w:i/>
          <w:iCs/>
        </w:rPr>
        <w:t>CONTRIBUCIÓN DEFINIDA...</w:t>
      </w:r>
      <w:r>
        <w:rPr>
          <w:rFonts w:ascii="Palatino Linotype" w:hAnsi="Palatino Linotype" w:cs="Tahoma"/>
          <w:i/>
          <w:iCs/>
        </w:rPr>
        <w:t>’</w:t>
      </w:r>
      <w:r w:rsidRPr="003864E7">
        <w:rPr>
          <w:rFonts w:ascii="Palatino Linotype" w:hAnsi="Palatino Linotype" w:cs="Tahoma"/>
          <w:i/>
          <w:iCs/>
        </w:rPr>
        <w:t xml:space="preserve">, </w:t>
      </w:r>
      <w:r w:rsidRPr="003864E7">
        <w:rPr>
          <w:rFonts w:ascii="Palatino Linotype" w:hAnsi="Palatino Linotype" w:cs="Tahoma"/>
        </w:rPr>
        <w:t xml:space="preserve">se le </w:t>
      </w:r>
      <w:r>
        <w:rPr>
          <w:rFonts w:ascii="Palatino Linotype" w:hAnsi="Palatino Linotype" w:cs="Tahoma"/>
        </w:rPr>
        <w:t>comu</w:t>
      </w:r>
      <w:r w:rsidRPr="003864E7">
        <w:rPr>
          <w:rFonts w:ascii="Palatino Linotype" w:hAnsi="Palatino Linotype" w:cs="Tahoma"/>
        </w:rPr>
        <w:t>nica que el instituto cuenta con un sistema a mixto</w:t>
      </w:r>
      <w:r>
        <w:rPr>
          <w:rFonts w:ascii="Palatino Linotype" w:hAnsi="Palatino Linotype" w:cs="Tahoma"/>
        </w:rPr>
        <w:t xml:space="preserve"> </w:t>
      </w:r>
      <w:r w:rsidRPr="003864E7">
        <w:rPr>
          <w:rFonts w:ascii="Palatino Linotype" w:hAnsi="Palatino Linotype" w:cs="Tahoma"/>
        </w:rPr>
        <w:t xml:space="preserve">de pensiones, en el cual, el beneficio definido corresponde a el Sistema Solidario de </w:t>
      </w:r>
      <w:r>
        <w:rPr>
          <w:rFonts w:ascii="Palatino Linotype" w:hAnsi="Palatino Linotype" w:cs="Tahoma"/>
        </w:rPr>
        <w:t>Rep</w:t>
      </w:r>
      <w:r w:rsidRPr="003864E7">
        <w:rPr>
          <w:rFonts w:ascii="Palatino Linotype" w:hAnsi="Palatino Linotype" w:cs="Tahoma"/>
        </w:rPr>
        <w:t>arto y</w:t>
      </w:r>
      <w:r>
        <w:rPr>
          <w:rFonts w:ascii="Palatino Linotype" w:hAnsi="Palatino Linotype" w:cs="Tahoma"/>
        </w:rPr>
        <w:t xml:space="preserve"> </w:t>
      </w:r>
      <w:r w:rsidRPr="003864E7">
        <w:rPr>
          <w:rFonts w:ascii="Palatino Linotype" w:hAnsi="Palatino Linotype" w:cs="Tahoma"/>
        </w:rPr>
        <w:t>la contribución definida está relacionada a el Sistema de Capitalización Individualizada.</w:t>
      </w:r>
    </w:p>
    <w:p w14:paraId="4F5F6645" w14:textId="77777777" w:rsidR="003864E7" w:rsidRDefault="003864E7" w:rsidP="00F72CA9">
      <w:pPr>
        <w:tabs>
          <w:tab w:val="left" w:pos="4667"/>
        </w:tabs>
        <w:spacing w:line="360" w:lineRule="auto"/>
        <w:ind w:left="567" w:right="567"/>
        <w:jc w:val="both"/>
        <w:rPr>
          <w:rFonts w:ascii="Palatino Linotype" w:hAnsi="Palatino Linotype" w:cs="Tahoma"/>
        </w:rPr>
      </w:pPr>
    </w:p>
    <w:p w14:paraId="19E34846" w14:textId="77777777" w:rsidR="003864E7" w:rsidRDefault="003864E7" w:rsidP="00F72CA9">
      <w:pPr>
        <w:tabs>
          <w:tab w:val="left" w:pos="4667"/>
        </w:tabs>
        <w:spacing w:line="360" w:lineRule="auto"/>
        <w:ind w:left="567" w:right="567"/>
        <w:jc w:val="both"/>
        <w:rPr>
          <w:rFonts w:ascii="Palatino Linotype" w:hAnsi="Palatino Linotype" w:cs="Tahoma"/>
        </w:rPr>
      </w:pPr>
      <w:r w:rsidRPr="003864E7">
        <w:rPr>
          <w:rFonts w:ascii="Palatino Linotype" w:hAnsi="Palatino Linotype" w:cs="Tahoma"/>
        </w:rPr>
        <w:t xml:space="preserve">Finalmente, en cuanto a: </w:t>
      </w:r>
      <w:r>
        <w:rPr>
          <w:rFonts w:ascii="Palatino Linotype" w:hAnsi="Palatino Linotype" w:cs="Tahoma"/>
          <w:i/>
          <w:iCs/>
        </w:rPr>
        <w:t>‘</w:t>
      </w:r>
      <w:r w:rsidRPr="003864E7">
        <w:rPr>
          <w:rFonts w:ascii="Palatino Linotype" w:hAnsi="Palatino Linotype" w:cs="Tahoma"/>
          <w:i/>
          <w:iCs/>
        </w:rPr>
        <w:t>... NÚMERO DE A</w:t>
      </w:r>
      <w:r>
        <w:rPr>
          <w:rFonts w:ascii="Palatino Linotype" w:hAnsi="Palatino Linotype" w:cs="Tahoma"/>
          <w:i/>
          <w:iCs/>
        </w:rPr>
        <w:t>FILIACIONES TOTALES ACTUALIZADO</w:t>
      </w:r>
      <w:r w:rsidRPr="003864E7">
        <w:rPr>
          <w:rFonts w:ascii="Palatino Linotype" w:hAnsi="Palatino Linotype" w:cs="Tahoma"/>
          <w:i/>
          <w:iCs/>
        </w:rPr>
        <w:t xml:space="preserve">... </w:t>
      </w:r>
      <w:proofErr w:type="gramStart"/>
      <w:r>
        <w:rPr>
          <w:rFonts w:ascii="Palatino Linotype" w:hAnsi="Palatino Linotype" w:cs="Tahoma"/>
          <w:i/>
          <w:iCs/>
        </w:rPr>
        <w:t xml:space="preserve">‘ </w:t>
      </w:r>
      <w:r w:rsidRPr="003864E7">
        <w:rPr>
          <w:rFonts w:ascii="Palatino Linotype" w:hAnsi="Palatino Linotype" w:cs="Tahoma"/>
          <w:i/>
          <w:iCs/>
        </w:rPr>
        <w:t>(</w:t>
      </w:r>
      <w:proofErr w:type="gramEnd"/>
      <w:r w:rsidRPr="003864E7">
        <w:rPr>
          <w:rFonts w:ascii="Palatino Linotype" w:hAnsi="Palatino Linotype" w:cs="Tahoma"/>
          <w:i/>
          <w:iCs/>
        </w:rPr>
        <w:t>SIC),</w:t>
      </w:r>
      <w:r>
        <w:rPr>
          <w:rFonts w:ascii="Palatino Linotype" w:hAnsi="Palatino Linotype" w:cs="Tahoma"/>
          <w:i/>
          <w:iCs/>
        </w:rPr>
        <w:t xml:space="preserve"> </w:t>
      </w:r>
      <w:r w:rsidRPr="003864E7">
        <w:rPr>
          <w:rFonts w:ascii="Palatino Linotype" w:hAnsi="Palatino Linotype" w:cs="Tahoma"/>
        </w:rPr>
        <w:t>se hace de su conocimiento que, el número de afiliaciones correspondientes al mes de</w:t>
      </w:r>
      <w:r>
        <w:rPr>
          <w:rFonts w:ascii="Palatino Linotype" w:hAnsi="Palatino Linotype" w:cs="Tahoma"/>
        </w:rPr>
        <w:t xml:space="preserve"> </w:t>
      </w:r>
      <w:r w:rsidRPr="003864E7">
        <w:rPr>
          <w:rFonts w:ascii="Palatino Linotype" w:hAnsi="Palatino Linotype" w:cs="Tahoma"/>
        </w:rPr>
        <w:t>septiembre de 2018, se muestran en la siguiente tabla:</w:t>
      </w:r>
    </w:p>
    <w:p w14:paraId="3F586BCA" w14:textId="77777777" w:rsidR="003864E7" w:rsidRDefault="003864E7" w:rsidP="00F72CA9">
      <w:pPr>
        <w:tabs>
          <w:tab w:val="left" w:pos="4667"/>
        </w:tabs>
        <w:spacing w:line="360" w:lineRule="auto"/>
        <w:ind w:left="567" w:right="567"/>
        <w:jc w:val="both"/>
        <w:rPr>
          <w:rFonts w:ascii="Palatino Linotype" w:hAnsi="Palatino Linotype" w:cs="Tahoma"/>
          <w:sz w:val="22"/>
          <w:szCs w:val="24"/>
        </w:rPr>
      </w:pPr>
    </w:p>
    <w:p w14:paraId="3E2BED5D" w14:textId="77777777" w:rsidR="003864E7" w:rsidRDefault="003864E7" w:rsidP="00F72CA9">
      <w:pPr>
        <w:tabs>
          <w:tab w:val="left" w:pos="4667"/>
        </w:tabs>
        <w:spacing w:line="360" w:lineRule="auto"/>
        <w:ind w:left="567" w:right="567"/>
        <w:jc w:val="both"/>
        <w:rPr>
          <w:rFonts w:ascii="Palatino Linotype" w:hAnsi="Palatino Linotype" w:cs="Tahoma"/>
          <w:sz w:val="22"/>
          <w:szCs w:val="24"/>
        </w:rPr>
      </w:pPr>
      <w:r>
        <w:rPr>
          <w:noProof/>
          <w:lang w:eastAsia="es-MX"/>
        </w:rPr>
        <w:drawing>
          <wp:inline distT="0" distB="0" distL="0" distR="0" wp14:anchorId="65F1836F" wp14:editId="7D4C34CD">
            <wp:extent cx="4981575" cy="2874706"/>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4238" cy="2882013"/>
                    </a:xfrm>
                    <a:prstGeom prst="rect">
                      <a:avLst/>
                    </a:prstGeom>
                  </pic:spPr>
                </pic:pic>
              </a:graphicData>
            </a:graphic>
          </wp:inline>
        </w:drawing>
      </w:r>
    </w:p>
    <w:p w14:paraId="363DDF7A" w14:textId="77777777" w:rsidR="003864E7" w:rsidRPr="008475AF" w:rsidRDefault="003864E7" w:rsidP="00F72CA9">
      <w:pPr>
        <w:tabs>
          <w:tab w:val="left" w:pos="4667"/>
        </w:tabs>
        <w:spacing w:line="360" w:lineRule="auto"/>
        <w:ind w:left="567" w:right="567"/>
        <w:jc w:val="both"/>
        <w:rPr>
          <w:rFonts w:ascii="Palatino Linotype" w:hAnsi="Palatino Linotype" w:cs="Tahoma"/>
          <w:b/>
        </w:rPr>
      </w:pPr>
      <w:r w:rsidRPr="008475AF">
        <w:rPr>
          <w:rFonts w:ascii="Palatino Linotype" w:hAnsi="Palatino Linotype" w:cs="Tahoma"/>
          <w:b/>
        </w:rPr>
        <w:lastRenderedPageBreak/>
        <w:t>MODALIDAD DE ENTREGA</w:t>
      </w:r>
    </w:p>
    <w:p w14:paraId="7EB32B3A" w14:textId="77777777" w:rsidR="003864E7" w:rsidRPr="008475AF" w:rsidRDefault="003864E7" w:rsidP="00F72CA9">
      <w:pPr>
        <w:tabs>
          <w:tab w:val="left" w:pos="4667"/>
        </w:tabs>
        <w:spacing w:line="360" w:lineRule="auto"/>
        <w:ind w:left="567" w:right="567"/>
        <w:jc w:val="both"/>
        <w:rPr>
          <w:rFonts w:ascii="Palatino Linotype" w:hAnsi="Palatino Linotype" w:cs="Tahoma"/>
          <w:b/>
        </w:rPr>
      </w:pPr>
    </w:p>
    <w:p w14:paraId="3A8E3D17" w14:textId="77777777" w:rsidR="003864E7" w:rsidRDefault="003864E7" w:rsidP="00F72CA9">
      <w:pPr>
        <w:tabs>
          <w:tab w:val="left" w:pos="4667"/>
        </w:tabs>
        <w:spacing w:line="360" w:lineRule="auto"/>
        <w:ind w:left="567" w:right="567"/>
        <w:jc w:val="both"/>
        <w:rPr>
          <w:rFonts w:ascii="Palatino Linotype" w:hAnsi="Palatino Linotype" w:cs="Tahoma"/>
        </w:rPr>
      </w:pPr>
      <w:r w:rsidRPr="008475AF">
        <w:rPr>
          <w:rFonts w:ascii="Palatino Linotype" w:hAnsi="Palatino Linotype" w:cs="Tahoma"/>
        </w:rPr>
        <w:t>Considerando que requirió como modalidad de entrega de su información a través del</w:t>
      </w:r>
      <w:r w:rsidR="008475AF" w:rsidRPr="008475AF">
        <w:rPr>
          <w:rFonts w:ascii="Palatino Linotype" w:hAnsi="Palatino Linotype" w:cs="Tahoma"/>
        </w:rPr>
        <w:t xml:space="preserve"> </w:t>
      </w:r>
      <w:r w:rsidRPr="008475AF">
        <w:rPr>
          <w:rFonts w:ascii="Palatino Linotype" w:hAnsi="Palatino Linotype" w:cs="Tahoma"/>
        </w:rPr>
        <w:t>SAIMEX; se envía por el mismo medio el presente oficio de respuesta y el acuerdo número</w:t>
      </w:r>
      <w:r w:rsidR="008475AF" w:rsidRPr="008475AF">
        <w:rPr>
          <w:rFonts w:ascii="Palatino Linotype" w:hAnsi="Palatino Linotype" w:cs="Tahoma"/>
        </w:rPr>
        <w:t xml:space="preserve"> </w:t>
      </w:r>
      <w:r w:rsidRPr="008475AF">
        <w:rPr>
          <w:rFonts w:ascii="Palatino Linotype" w:hAnsi="Palatino Linotype" w:cs="Tahoma"/>
        </w:rPr>
        <w:t>CT</w:t>
      </w:r>
      <w:r w:rsidR="008475AF" w:rsidRPr="008475AF">
        <w:rPr>
          <w:rFonts w:ascii="Palatino Linotype" w:hAnsi="Palatino Linotype" w:cs="Tahoma"/>
        </w:rPr>
        <w:t>/ISSEMYM-A02-47</w:t>
      </w:r>
      <w:r w:rsidRPr="008475AF">
        <w:rPr>
          <w:rFonts w:ascii="Palatino Linotype" w:hAnsi="Palatino Linotype" w:cs="Tahoma"/>
        </w:rPr>
        <w:t>E/2018.</w:t>
      </w:r>
    </w:p>
    <w:p w14:paraId="7DCA8048" w14:textId="77777777" w:rsidR="008475AF" w:rsidRPr="008475AF" w:rsidRDefault="008475AF" w:rsidP="00F72CA9">
      <w:pPr>
        <w:tabs>
          <w:tab w:val="left" w:pos="4667"/>
        </w:tabs>
        <w:spacing w:line="360" w:lineRule="auto"/>
        <w:ind w:left="567" w:right="567"/>
        <w:jc w:val="both"/>
        <w:rPr>
          <w:rFonts w:ascii="Palatino Linotype" w:hAnsi="Palatino Linotype" w:cs="Tahoma"/>
        </w:rPr>
      </w:pPr>
      <w:r>
        <w:rPr>
          <w:rFonts w:ascii="Palatino Linotype" w:hAnsi="Palatino Linotype" w:cs="Tahoma"/>
        </w:rPr>
        <w:t>…” (</w:t>
      </w:r>
      <w:r>
        <w:rPr>
          <w:rFonts w:ascii="Palatino Linotype" w:hAnsi="Palatino Linotype" w:cs="Tahoma"/>
          <w:i/>
        </w:rPr>
        <w:t>Sic</w:t>
      </w:r>
      <w:r>
        <w:rPr>
          <w:rFonts w:ascii="Palatino Linotype" w:hAnsi="Palatino Linotype" w:cs="Tahoma"/>
        </w:rPr>
        <w:t>)</w:t>
      </w:r>
    </w:p>
    <w:p w14:paraId="5CA83DB2" w14:textId="77777777" w:rsidR="003864E7" w:rsidRDefault="003864E7" w:rsidP="00F72CA9">
      <w:pPr>
        <w:tabs>
          <w:tab w:val="left" w:pos="4667"/>
        </w:tabs>
        <w:spacing w:line="360" w:lineRule="auto"/>
        <w:ind w:right="567"/>
        <w:jc w:val="both"/>
        <w:rPr>
          <w:rFonts w:ascii="Palatino Linotype" w:hAnsi="Palatino Linotype" w:cs="Tahoma"/>
          <w:sz w:val="22"/>
          <w:szCs w:val="24"/>
        </w:rPr>
      </w:pPr>
    </w:p>
    <w:p w14:paraId="3D53B31A" w14:textId="0F5F7FCB" w:rsidR="008475AF" w:rsidRDefault="008475AF" w:rsidP="00F72CA9">
      <w:pPr>
        <w:tabs>
          <w:tab w:val="left" w:pos="4667"/>
        </w:tabs>
        <w:spacing w:line="360" w:lineRule="auto"/>
        <w:ind w:right="567"/>
        <w:jc w:val="both"/>
        <w:rPr>
          <w:rFonts w:ascii="Palatino Linotype" w:hAnsi="Palatino Linotype" w:cs="Tahoma"/>
          <w:sz w:val="22"/>
          <w:szCs w:val="24"/>
        </w:rPr>
      </w:pPr>
      <w:r>
        <w:rPr>
          <w:rFonts w:ascii="Palatino Linotype" w:hAnsi="Palatino Linotype" w:cs="Tahoma"/>
          <w:sz w:val="22"/>
          <w:szCs w:val="24"/>
        </w:rPr>
        <w:t xml:space="preserve">El </w:t>
      </w:r>
      <w:r w:rsidR="00F63CED">
        <w:rPr>
          <w:rFonts w:ascii="Palatino Linotype" w:hAnsi="Palatino Linotype" w:cs="Tahoma"/>
          <w:sz w:val="22"/>
          <w:szCs w:val="24"/>
        </w:rPr>
        <w:t>S</w:t>
      </w:r>
      <w:r>
        <w:rPr>
          <w:rFonts w:ascii="Palatino Linotype" w:hAnsi="Palatino Linotype" w:cs="Tahoma"/>
          <w:sz w:val="22"/>
          <w:szCs w:val="24"/>
        </w:rPr>
        <w:t>ujeto Obligado adjuntó la digitalización de los siguientes documentos:</w:t>
      </w:r>
    </w:p>
    <w:p w14:paraId="4F0AB354" w14:textId="77777777" w:rsidR="008475AF" w:rsidRDefault="008475AF" w:rsidP="00F72CA9">
      <w:pPr>
        <w:tabs>
          <w:tab w:val="left" w:pos="4667"/>
        </w:tabs>
        <w:spacing w:line="360" w:lineRule="auto"/>
        <w:ind w:right="567"/>
        <w:jc w:val="both"/>
        <w:rPr>
          <w:rFonts w:ascii="Palatino Linotype" w:hAnsi="Palatino Linotype" w:cs="Tahoma"/>
          <w:sz w:val="22"/>
          <w:szCs w:val="24"/>
        </w:rPr>
      </w:pPr>
    </w:p>
    <w:p w14:paraId="688E70E9" w14:textId="77777777" w:rsidR="008475AF" w:rsidRDefault="008475AF" w:rsidP="00F72CA9">
      <w:pPr>
        <w:tabs>
          <w:tab w:val="left" w:pos="4667"/>
        </w:tabs>
        <w:spacing w:line="360" w:lineRule="auto"/>
        <w:ind w:right="567"/>
        <w:jc w:val="both"/>
        <w:rPr>
          <w:rFonts w:ascii="Palatino Linotype" w:hAnsi="Palatino Linotype" w:cs="Tahoma"/>
          <w:sz w:val="22"/>
          <w:szCs w:val="24"/>
        </w:rPr>
      </w:pPr>
      <w:r>
        <w:rPr>
          <w:rFonts w:ascii="Palatino Linotype" w:hAnsi="Palatino Linotype" w:cs="Tahoma"/>
          <w:sz w:val="22"/>
          <w:szCs w:val="24"/>
        </w:rPr>
        <w:t>i) Anexo VIII: Informe sobre Estudios Actuariales del Instituto de Seguridad Social del Estado de México y Municipios.</w:t>
      </w:r>
    </w:p>
    <w:p w14:paraId="3B8E7ADA" w14:textId="77777777" w:rsidR="008475AF" w:rsidRDefault="008475AF" w:rsidP="00F72CA9">
      <w:pPr>
        <w:tabs>
          <w:tab w:val="left" w:pos="4667"/>
        </w:tabs>
        <w:spacing w:line="360" w:lineRule="auto"/>
        <w:ind w:right="567"/>
        <w:jc w:val="both"/>
        <w:rPr>
          <w:rFonts w:ascii="Palatino Linotype" w:hAnsi="Palatino Linotype" w:cs="Tahoma"/>
          <w:sz w:val="22"/>
          <w:szCs w:val="24"/>
        </w:rPr>
      </w:pPr>
    </w:p>
    <w:p w14:paraId="640BDFB9" w14:textId="77777777" w:rsidR="008475AF" w:rsidRDefault="008475AF" w:rsidP="00F72CA9">
      <w:pPr>
        <w:tabs>
          <w:tab w:val="left" w:pos="4667"/>
        </w:tabs>
        <w:spacing w:line="360" w:lineRule="auto"/>
        <w:ind w:right="567"/>
        <w:jc w:val="both"/>
        <w:rPr>
          <w:rFonts w:ascii="Palatino Linotype" w:hAnsi="Palatino Linotype" w:cs="Tahoma"/>
          <w:sz w:val="22"/>
          <w:szCs w:val="24"/>
        </w:rPr>
      </w:pPr>
      <w:r>
        <w:rPr>
          <w:rFonts w:ascii="Palatino Linotype" w:hAnsi="Palatino Linotype" w:cs="Tahoma"/>
          <w:sz w:val="22"/>
          <w:szCs w:val="24"/>
        </w:rPr>
        <w:t>ii) Resolución número CT/</w:t>
      </w:r>
      <w:r w:rsidRPr="008475AF">
        <w:rPr>
          <w:rFonts w:ascii="Palatino Linotype" w:hAnsi="Palatino Linotype" w:cs="Tahoma"/>
          <w:sz w:val="22"/>
          <w:szCs w:val="24"/>
        </w:rPr>
        <w:t>ISSEMYM-A02-47E/2018</w:t>
      </w:r>
      <w:r>
        <w:rPr>
          <w:rFonts w:ascii="Palatino Linotype" w:hAnsi="Palatino Linotype" w:cs="Tahoma"/>
          <w:sz w:val="22"/>
          <w:szCs w:val="24"/>
        </w:rPr>
        <w:t>, del trece de noviembre de dos mil dieciocho, emitida por el Comité de Transparencia del Sujeto Obligado, cuyo contenido es el siguiente:</w:t>
      </w:r>
    </w:p>
    <w:p w14:paraId="3692B6F1" w14:textId="77777777" w:rsidR="008475AF" w:rsidRDefault="008475AF" w:rsidP="00F72CA9">
      <w:pPr>
        <w:tabs>
          <w:tab w:val="left" w:pos="4667"/>
        </w:tabs>
        <w:spacing w:line="360" w:lineRule="auto"/>
        <w:ind w:right="567"/>
        <w:jc w:val="both"/>
        <w:rPr>
          <w:rFonts w:ascii="Palatino Linotype" w:hAnsi="Palatino Linotype" w:cs="Tahoma"/>
          <w:sz w:val="22"/>
          <w:szCs w:val="24"/>
        </w:rPr>
      </w:pPr>
    </w:p>
    <w:p w14:paraId="35810342" w14:textId="77777777" w:rsidR="008475AF" w:rsidRDefault="00B26CFA" w:rsidP="00F72CA9">
      <w:pPr>
        <w:tabs>
          <w:tab w:val="left" w:pos="4667"/>
        </w:tabs>
        <w:spacing w:line="360" w:lineRule="auto"/>
        <w:ind w:left="567" w:right="567"/>
        <w:jc w:val="both"/>
        <w:rPr>
          <w:rFonts w:ascii="Palatino Linotype" w:hAnsi="Palatino Linotype" w:cs="Tahoma"/>
        </w:rPr>
      </w:pPr>
      <w:r>
        <w:rPr>
          <w:rFonts w:ascii="Palatino Linotype" w:hAnsi="Palatino Linotype" w:cs="Tahoma"/>
        </w:rPr>
        <w:t>“…</w:t>
      </w:r>
    </w:p>
    <w:p w14:paraId="3166CE4C" w14:textId="77777777" w:rsidR="00B26CFA" w:rsidRDefault="00292B26" w:rsidP="00F72CA9">
      <w:pPr>
        <w:tabs>
          <w:tab w:val="left" w:pos="4667"/>
        </w:tabs>
        <w:spacing w:line="360" w:lineRule="auto"/>
        <w:ind w:left="567" w:right="567"/>
        <w:jc w:val="center"/>
        <w:rPr>
          <w:rFonts w:ascii="Palatino Linotype" w:hAnsi="Palatino Linotype" w:cs="Tahoma"/>
          <w:b/>
        </w:rPr>
      </w:pPr>
      <w:r>
        <w:rPr>
          <w:rFonts w:ascii="Palatino Linotype" w:hAnsi="Palatino Linotype" w:cs="Tahoma"/>
          <w:b/>
        </w:rPr>
        <w:t>CONSIDERANDOS</w:t>
      </w:r>
    </w:p>
    <w:p w14:paraId="500512D9" w14:textId="77777777" w:rsidR="00292B26" w:rsidRDefault="00292B26" w:rsidP="00F72CA9">
      <w:pPr>
        <w:tabs>
          <w:tab w:val="left" w:pos="4667"/>
        </w:tabs>
        <w:spacing w:line="360" w:lineRule="auto"/>
        <w:ind w:left="567" w:right="567"/>
        <w:jc w:val="center"/>
        <w:rPr>
          <w:rFonts w:ascii="Palatino Linotype" w:hAnsi="Palatino Linotype" w:cs="Tahoma"/>
          <w:b/>
        </w:rPr>
      </w:pPr>
    </w:p>
    <w:p w14:paraId="6DB0F57B" w14:textId="77777777" w:rsidR="00292B26" w:rsidRDefault="00D132BD" w:rsidP="00F72CA9">
      <w:pPr>
        <w:tabs>
          <w:tab w:val="left" w:pos="4667"/>
        </w:tabs>
        <w:spacing w:line="360" w:lineRule="auto"/>
        <w:ind w:left="567" w:right="567"/>
        <w:jc w:val="both"/>
        <w:rPr>
          <w:rFonts w:ascii="Palatino Linotype" w:hAnsi="Palatino Linotype" w:cs="Tahoma"/>
        </w:rPr>
      </w:pPr>
      <w:r>
        <w:rPr>
          <w:rFonts w:ascii="Palatino Linotype" w:hAnsi="Palatino Linotype" w:cs="Tahoma"/>
        </w:rPr>
        <w:t>I</w:t>
      </w:r>
      <w:r w:rsidR="00292B26" w:rsidRPr="00292B26">
        <w:rPr>
          <w:rFonts w:ascii="Palatino Linotype" w:hAnsi="Palatino Linotype" w:cs="Tahoma"/>
        </w:rPr>
        <w:t>.- Que el Comité de Transparencia del Instituto de Seguridad Socia l del Estado de México y Municipios, es</w:t>
      </w:r>
      <w:r w:rsidR="00292B26">
        <w:rPr>
          <w:rFonts w:ascii="Palatino Linotype" w:hAnsi="Palatino Linotype" w:cs="Tahoma"/>
        </w:rPr>
        <w:t xml:space="preserve"> </w:t>
      </w:r>
      <w:r w:rsidR="00292B26" w:rsidRPr="00292B26">
        <w:rPr>
          <w:rFonts w:ascii="Palatino Linotype" w:hAnsi="Palatino Linotype" w:cs="Tahoma"/>
        </w:rPr>
        <w:t xml:space="preserve">competente para conocer y resolver el presente asunto en términos de lo </w:t>
      </w:r>
      <w:r w:rsidR="00292B26">
        <w:rPr>
          <w:rFonts w:ascii="Palatino Linotype" w:hAnsi="Palatino Linotype" w:cs="Tahoma"/>
        </w:rPr>
        <w:t>ordenado en los artículos 46, 4</w:t>
      </w:r>
      <w:r w:rsidR="00292B26" w:rsidRPr="00292B26">
        <w:rPr>
          <w:rFonts w:ascii="Palatino Linotype" w:hAnsi="Palatino Linotype" w:cs="Tahoma"/>
        </w:rPr>
        <w:t>7 ,</w:t>
      </w:r>
      <w:r w:rsidR="00292B26">
        <w:rPr>
          <w:rFonts w:ascii="Palatino Linotype" w:hAnsi="Palatino Linotype" w:cs="Tahoma"/>
        </w:rPr>
        <w:t xml:space="preserve"> </w:t>
      </w:r>
      <w:r w:rsidR="00292B26" w:rsidRPr="00292B26">
        <w:rPr>
          <w:rFonts w:ascii="Palatino Linotype" w:hAnsi="Palatino Linotype" w:cs="Tahoma"/>
        </w:rPr>
        <w:t>49 fracciones VIII , IX y XII de la Ley de Transparencia y Acceso a la Información Pública del Estado de</w:t>
      </w:r>
      <w:r w:rsidR="00292B26">
        <w:rPr>
          <w:rFonts w:ascii="Palatino Linotype" w:hAnsi="Palatino Linotype" w:cs="Tahoma"/>
        </w:rPr>
        <w:t xml:space="preserve"> </w:t>
      </w:r>
      <w:r w:rsidR="00292B26" w:rsidRPr="00292B26">
        <w:rPr>
          <w:rFonts w:ascii="Palatino Linotype" w:hAnsi="Palatino Linotype" w:cs="Tahoma"/>
        </w:rPr>
        <w:t>México y Municipios; y que sesionó el trece de noviembre del año en curso , para efectuar el análisis de la</w:t>
      </w:r>
      <w:r w:rsidR="00292B26">
        <w:rPr>
          <w:rFonts w:ascii="Palatino Linotype" w:hAnsi="Palatino Linotype" w:cs="Tahoma"/>
        </w:rPr>
        <w:t xml:space="preserve"> </w:t>
      </w:r>
      <w:r w:rsidR="00292B26" w:rsidRPr="00292B26">
        <w:rPr>
          <w:rFonts w:ascii="Palatino Linotype" w:hAnsi="Palatino Linotype" w:cs="Tahoma"/>
        </w:rPr>
        <w:t>solicitud con número de folio 00640/ ISSEMYM / IP / 2018 , mediante la cual se requiere información en los</w:t>
      </w:r>
      <w:r w:rsidR="00292B26">
        <w:rPr>
          <w:rFonts w:ascii="Palatino Linotype" w:hAnsi="Palatino Linotype" w:cs="Tahoma"/>
        </w:rPr>
        <w:t xml:space="preserve"> </w:t>
      </w:r>
      <w:r w:rsidR="00292B26" w:rsidRPr="00292B26">
        <w:rPr>
          <w:rFonts w:ascii="Palatino Linotype" w:hAnsi="Palatino Linotype" w:cs="Tahoma"/>
        </w:rPr>
        <w:t xml:space="preserve">siguientes términos; </w:t>
      </w:r>
    </w:p>
    <w:p w14:paraId="38C66A0B" w14:textId="77777777" w:rsidR="00292B26" w:rsidRDefault="00292B26" w:rsidP="00F72CA9">
      <w:pPr>
        <w:tabs>
          <w:tab w:val="left" w:pos="4667"/>
        </w:tabs>
        <w:spacing w:line="360" w:lineRule="auto"/>
        <w:ind w:left="567" w:right="567"/>
        <w:jc w:val="both"/>
        <w:rPr>
          <w:rFonts w:ascii="Palatino Linotype" w:hAnsi="Palatino Linotype" w:cs="Tahoma"/>
        </w:rPr>
      </w:pPr>
    </w:p>
    <w:p w14:paraId="2EDEF34D" w14:textId="77777777" w:rsidR="00292B26" w:rsidRDefault="00292B26" w:rsidP="00F72CA9">
      <w:pPr>
        <w:tabs>
          <w:tab w:val="left" w:pos="4667"/>
        </w:tabs>
        <w:spacing w:line="360" w:lineRule="auto"/>
        <w:ind w:left="567" w:right="567"/>
        <w:jc w:val="center"/>
        <w:rPr>
          <w:rFonts w:ascii="Palatino Linotype" w:hAnsi="Palatino Linotype" w:cs="Tahoma"/>
        </w:rPr>
      </w:pPr>
      <w:r>
        <w:rPr>
          <w:rFonts w:ascii="Palatino Linotype" w:hAnsi="Palatino Linotype" w:cs="Tahoma"/>
        </w:rPr>
        <w:lastRenderedPageBreak/>
        <w:t>[Se reproduce la solicitud de información de mérito]</w:t>
      </w:r>
    </w:p>
    <w:p w14:paraId="3A289981" w14:textId="77777777" w:rsidR="00292B26" w:rsidRDefault="00292B26" w:rsidP="00F72CA9">
      <w:pPr>
        <w:tabs>
          <w:tab w:val="left" w:pos="4667"/>
        </w:tabs>
        <w:spacing w:line="360" w:lineRule="auto"/>
        <w:ind w:left="567" w:right="567"/>
        <w:jc w:val="center"/>
        <w:rPr>
          <w:rFonts w:ascii="Palatino Linotype" w:hAnsi="Palatino Linotype" w:cs="Tahoma"/>
        </w:rPr>
      </w:pPr>
    </w:p>
    <w:p w14:paraId="4295BD1C" w14:textId="77777777" w:rsidR="00292B26" w:rsidRDefault="00292B26" w:rsidP="00F72CA9">
      <w:pPr>
        <w:tabs>
          <w:tab w:val="left" w:pos="4667"/>
        </w:tabs>
        <w:spacing w:line="360" w:lineRule="auto"/>
        <w:ind w:left="567" w:right="567"/>
        <w:jc w:val="both"/>
        <w:rPr>
          <w:rFonts w:ascii="Palatino Linotype" w:hAnsi="Palatino Linotype" w:cs="Tahoma"/>
        </w:rPr>
      </w:pPr>
      <w:r>
        <w:rPr>
          <w:rFonts w:ascii="Palatino Linotype" w:hAnsi="Palatino Linotype" w:cs="Tahoma"/>
        </w:rPr>
        <w:t>II</w:t>
      </w:r>
      <w:r w:rsidRPr="00292B26">
        <w:rPr>
          <w:rFonts w:ascii="Palatino Linotype" w:hAnsi="Palatino Linotype" w:cs="Tahoma"/>
        </w:rPr>
        <w:t xml:space="preserve">.- Que el Reglamento Interior del Instituto de Seguridad Social del Estado de México y </w:t>
      </w:r>
      <w:r>
        <w:rPr>
          <w:rFonts w:ascii="Palatino Linotype" w:hAnsi="Palatino Linotype" w:cs="Tahoma"/>
        </w:rPr>
        <w:t>Municipios</w:t>
      </w:r>
      <w:r w:rsidRPr="00292B26">
        <w:rPr>
          <w:rFonts w:ascii="Palatino Linotype" w:hAnsi="Palatino Linotype" w:cs="Tahoma"/>
        </w:rPr>
        <w:t>,</w:t>
      </w:r>
      <w:r>
        <w:rPr>
          <w:rFonts w:ascii="Palatino Linotype" w:hAnsi="Palatino Linotype" w:cs="Tahoma"/>
        </w:rPr>
        <w:t xml:space="preserve"> </w:t>
      </w:r>
      <w:r w:rsidRPr="00292B26">
        <w:rPr>
          <w:rFonts w:ascii="Palatino Linotype" w:hAnsi="Palatino Linotype" w:cs="Tahoma"/>
        </w:rPr>
        <w:t>publicado en la Gaceta del Gobierno el ocho de septiembre del año dos mil nueve, establece en su artículo</w:t>
      </w:r>
      <w:r>
        <w:rPr>
          <w:rFonts w:ascii="Palatino Linotype" w:hAnsi="Palatino Linotype" w:cs="Tahoma"/>
        </w:rPr>
        <w:t xml:space="preserve"> </w:t>
      </w:r>
      <w:r w:rsidRPr="00292B26">
        <w:rPr>
          <w:rFonts w:ascii="Palatino Linotype" w:hAnsi="Palatino Linotype" w:cs="Tahoma"/>
        </w:rPr>
        <w:t>21 fracción 1, que corresponde a la Coordinación</w:t>
      </w:r>
      <w:r>
        <w:rPr>
          <w:rFonts w:ascii="Palatino Linotype" w:hAnsi="Palatino Linotype" w:cs="Tahoma"/>
        </w:rPr>
        <w:t xml:space="preserve"> de Finanzas: ‘</w:t>
      </w:r>
      <w:r w:rsidRPr="00292B26">
        <w:rPr>
          <w:rFonts w:ascii="Palatino Linotype" w:hAnsi="Palatino Linotype" w:cs="Tahoma"/>
        </w:rPr>
        <w:t>Planear, organizar, integrar, controlar y evaluar</w:t>
      </w:r>
      <w:r>
        <w:rPr>
          <w:rFonts w:ascii="Palatino Linotype" w:hAnsi="Palatino Linotype" w:cs="Tahoma"/>
        </w:rPr>
        <w:t xml:space="preserve"> </w:t>
      </w:r>
      <w:r w:rsidRPr="00292B26">
        <w:rPr>
          <w:rFonts w:ascii="Palatino Linotype" w:hAnsi="Palatino Linotype" w:cs="Tahoma"/>
        </w:rPr>
        <w:t>los ingresos y egresos de los fondos y valores del Instituto.</w:t>
      </w:r>
      <w:r>
        <w:rPr>
          <w:rFonts w:ascii="Palatino Linotype" w:hAnsi="Palatino Linotype" w:cs="Tahoma"/>
        </w:rPr>
        <w:t>’</w:t>
      </w:r>
      <w:r w:rsidRPr="00292B26">
        <w:rPr>
          <w:rFonts w:ascii="Palatino Linotype" w:hAnsi="Palatino Linotype" w:cs="Tahoma"/>
        </w:rPr>
        <w:t xml:space="preserve"> así mismo, el Manual General de Organización</w:t>
      </w:r>
      <w:r>
        <w:rPr>
          <w:rFonts w:ascii="Palatino Linotype" w:hAnsi="Palatino Linotype" w:cs="Tahoma"/>
        </w:rPr>
        <w:t xml:space="preserve"> </w:t>
      </w:r>
      <w:r w:rsidRPr="00292B26">
        <w:rPr>
          <w:rFonts w:ascii="Palatino Linotype" w:hAnsi="Palatino Linotype" w:cs="Tahoma"/>
        </w:rPr>
        <w:t>del Instituto de Seguridad Social del Estado de México y Municipios, publicado en la Gaceta del Gobierno el</w:t>
      </w:r>
      <w:r>
        <w:rPr>
          <w:rFonts w:ascii="Palatino Linotype" w:hAnsi="Palatino Linotype" w:cs="Tahoma"/>
        </w:rPr>
        <w:t xml:space="preserve"> </w:t>
      </w:r>
      <w:r w:rsidRPr="00292B26">
        <w:rPr>
          <w:rFonts w:ascii="Palatino Linotype" w:hAnsi="Palatino Linotype" w:cs="Tahoma"/>
        </w:rPr>
        <w:t>veinticinco de junio de dos mil quince, en el numeral 203F50000</w:t>
      </w:r>
      <w:r>
        <w:rPr>
          <w:rFonts w:ascii="Palatino Linotype" w:hAnsi="Palatino Linotype" w:cs="Tahoma"/>
        </w:rPr>
        <w:t xml:space="preserve"> </w:t>
      </w:r>
      <w:r w:rsidRPr="00292B26">
        <w:rPr>
          <w:rFonts w:ascii="Palatino Linotype" w:hAnsi="Palatino Linotype" w:cs="Tahoma"/>
        </w:rPr>
        <w:t>guion</w:t>
      </w:r>
      <w:r>
        <w:rPr>
          <w:rFonts w:ascii="Palatino Linotype" w:hAnsi="Palatino Linotype" w:cs="Tahoma"/>
        </w:rPr>
        <w:t xml:space="preserve"> primero</w:t>
      </w:r>
      <w:r w:rsidRPr="00292B26">
        <w:rPr>
          <w:rFonts w:ascii="Palatino Linotype" w:hAnsi="Palatino Linotype" w:cs="Tahoma"/>
        </w:rPr>
        <w:t>, establece entre otras</w:t>
      </w:r>
      <w:r>
        <w:rPr>
          <w:rFonts w:ascii="Palatino Linotype" w:hAnsi="Palatino Linotype" w:cs="Tahoma"/>
        </w:rPr>
        <w:t xml:space="preserve"> funciones: ‘</w:t>
      </w:r>
      <w:r w:rsidRPr="00292B26">
        <w:rPr>
          <w:rFonts w:ascii="Palatino Linotype" w:hAnsi="Palatino Linotype" w:cs="Tahoma"/>
        </w:rPr>
        <w:t>Planear, dirigir y controlar los ingresos de los fondos y custodia de valores que se tengan en el</w:t>
      </w:r>
      <w:r>
        <w:rPr>
          <w:rFonts w:ascii="Palatino Linotype" w:hAnsi="Palatino Linotype" w:cs="Tahoma"/>
        </w:rPr>
        <w:t xml:space="preserve"> </w:t>
      </w:r>
      <w:r w:rsidRPr="00292B26">
        <w:rPr>
          <w:rFonts w:ascii="Palatino Linotype" w:hAnsi="Palatino Linotype" w:cs="Tahoma"/>
        </w:rPr>
        <w:t>Instituto, así como el manejo de las inversiones, y de los egresos derivados de las actividades propias del</w:t>
      </w:r>
      <w:r>
        <w:rPr>
          <w:rFonts w:ascii="Palatino Linotype" w:hAnsi="Palatino Linotype" w:cs="Tahoma"/>
        </w:rPr>
        <w:t xml:space="preserve"> mismo</w:t>
      </w:r>
      <w:r w:rsidRPr="00292B26">
        <w:rPr>
          <w:rFonts w:ascii="Palatino Linotype" w:hAnsi="Palatino Linotype" w:cs="Tahoma"/>
        </w:rPr>
        <w:t>.</w:t>
      </w:r>
      <w:r>
        <w:rPr>
          <w:rFonts w:ascii="Palatino Linotype" w:hAnsi="Palatino Linotype" w:cs="Tahoma"/>
        </w:rPr>
        <w:t>’</w:t>
      </w:r>
      <w:r w:rsidRPr="00292B26">
        <w:rPr>
          <w:rFonts w:ascii="Palatino Linotype" w:hAnsi="Palatino Linotype" w:cs="Tahoma"/>
        </w:rPr>
        <w:t>, lo que le otorga atribuciones para atender la presente solicitud</w:t>
      </w:r>
      <w:r>
        <w:rPr>
          <w:rFonts w:ascii="Palatino Linotype" w:hAnsi="Palatino Linotype" w:cs="Tahoma"/>
        </w:rPr>
        <w:t>.</w:t>
      </w:r>
    </w:p>
    <w:p w14:paraId="0584AD72" w14:textId="77777777" w:rsidR="00292B26" w:rsidRDefault="00292B26" w:rsidP="00F72CA9">
      <w:pPr>
        <w:tabs>
          <w:tab w:val="left" w:pos="4667"/>
        </w:tabs>
        <w:spacing w:line="360" w:lineRule="auto"/>
        <w:ind w:left="567" w:right="567"/>
        <w:jc w:val="both"/>
        <w:rPr>
          <w:rFonts w:ascii="Palatino Linotype" w:hAnsi="Palatino Linotype" w:cs="Tahoma"/>
        </w:rPr>
      </w:pPr>
    </w:p>
    <w:p w14:paraId="4DFEB2D3" w14:textId="77777777" w:rsidR="00292B26" w:rsidRDefault="00292B26" w:rsidP="00F72CA9">
      <w:pPr>
        <w:tabs>
          <w:tab w:val="left" w:pos="4667"/>
        </w:tabs>
        <w:spacing w:line="360" w:lineRule="auto"/>
        <w:ind w:left="567" w:right="567"/>
        <w:jc w:val="both"/>
        <w:rPr>
          <w:rFonts w:ascii="Palatino Linotype" w:hAnsi="Palatino Linotype" w:cs="Tahoma"/>
        </w:rPr>
      </w:pPr>
      <w:r>
        <w:rPr>
          <w:rFonts w:ascii="Palatino Linotype" w:hAnsi="Palatino Linotype" w:cs="Tahoma"/>
        </w:rPr>
        <w:t>III</w:t>
      </w:r>
      <w:r w:rsidRPr="00292B26">
        <w:rPr>
          <w:rFonts w:ascii="Palatino Linotype" w:hAnsi="Palatino Linotype" w:cs="Tahoma"/>
        </w:rPr>
        <w:t>.- Que con fundamento en los artículos 46 y 49 fracciones VIII, IX y XII de la Ley de Transparencia y Acceso</w:t>
      </w:r>
      <w:r>
        <w:rPr>
          <w:rFonts w:ascii="Palatino Linotype" w:hAnsi="Palatino Linotype" w:cs="Tahoma"/>
        </w:rPr>
        <w:t xml:space="preserve"> </w:t>
      </w:r>
      <w:r w:rsidRPr="00292B26">
        <w:rPr>
          <w:rFonts w:ascii="Palatino Linotype" w:hAnsi="Palatino Linotype" w:cs="Tahoma"/>
        </w:rPr>
        <w:t>a la Información Pública del Estado de México y Municipios, el Comité de Transparencia del Instituto de</w:t>
      </w:r>
      <w:r>
        <w:rPr>
          <w:rFonts w:ascii="Palatino Linotype" w:hAnsi="Palatino Linotype" w:cs="Tahoma"/>
        </w:rPr>
        <w:t xml:space="preserve"> </w:t>
      </w:r>
      <w:r w:rsidRPr="00292B26">
        <w:rPr>
          <w:rFonts w:ascii="Palatino Linotype" w:hAnsi="Palatino Linotype" w:cs="Tahoma"/>
        </w:rPr>
        <w:t>Seguridad Social del Estado de México y Municipios, llevó a cabo el análisis de la solicitud de información</w:t>
      </w:r>
      <w:r>
        <w:rPr>
          <w:rFonts w:ascii="Palatino Linotype" w:hAnsi="Palatino Linotype" w:cs="Tahoma"/>
        </w:rPr>
        <w:t xml:space="preserve"> </w:t>
      </w:r>
      <w:r w:rsidRPr="00292B26">
        <w:rPr>
          <w:rFonts w:ascii="Palatino Linotype" w:hAnsi="Palatino Linotype" w:cs="Tahoma"/>
        </w:rPr>
        <w:t>concluyendo lo siguiente</w:t>
      </w:r>
      <w:r>
        <w:rPr>
          <w:rFonts w:ascii="Palatino Linotype" w:hAnsi="Palatino Linotype" w:cs="Tahoma"/>
        </w:rPr>
        <w:t>:</w:t>
      </w:r>
    </w:p>
    <w:p w14:paraId="3F1F1C46" w14:textId="77777777" w:rsidR="00292B26" w:rsidRDefault="00292B26" w:rsidP="00F72CA9">
      <w:pPr>
        <w:tabs>
          <w:tab w:val="left" w:pos="4667"/>
        </w:tabs>
        <w:spacing w:line="360" w:lineRule="auto"/>
        <w:ind w:left="567" w:right="567"/>
        <w:jc w:val="both"/>
        <w:rPr>
          <w:rFonts w:ascii="Palatino Linotype" w:hAnsi="Palatino Linotype" w:cs="Tahoma"/>
        </w:rPr>
      </w:pPr>
    </w:p>
    <w:p w14:paraId="278C782E" w14:textId="77777777" w:rsidR="00292B26" w:rsidRDefault="00292B26" w:rsidP="00F72CA9">
      <w:pPr>
        <w:tabs>
          <w:tab w:val="left" w:pos="4667"/>
        </w:tabs>
        <w:spacing w:line="360" w:lineRule="auto"/>
        <w:ind w:left="567" w:right="567"/>
        <w:jc w:val="both"/>
        <w:rPr>
          <w:rFonts w:ascii="Palatino Linotype" w:hAnsi="Palatino Linotype" w:cs="Tahoma"/>
        </w:rPr>
      </w:pPr>
      <w:r w:rsidRPr="00292B26">
        <w:rPr>
          <w:rFonts w:ascii="Palatino Linotype" w:hAnsi="Palatino Linotype" w:cs="Tahoma"/>
        </w:rPr>
        <w:t>Ahora bien, del análisis de la información con la cual se daría respuesta a la solicitud de información referida</w:t>
      </w:r>
      <w:r>
        <w:rPr>
          <w:rFonts w:ascii="Palatino Linotype" w:hAnsi="Palatino Linotype" w:cs="Tahoma"/>
        </w:rPr>
        <w:t xml:space="preserve"> </w:t>
      </w:r>
      <w:r w:rsidRPr="00292B26">
        <w:rPr>
          <w:rFonts w:ascii="Palatino Linotype" w:hAnsi="Palatino Linotype" w:cs="Tahoma"/>
        </w:rPr>
        <w:t>en este punto, se advierte que proporcionar el monto actual bajo administración por interacciones a nombre</w:t>
      </w:r>
      <w:r>
        <w:rPr>
          <w:rFonts w:ascii="Palatino Linotype" w:hAnsi="Palatino Linotype" w:cs="Tahoma"/>
        </w:rPr>
        <w:t xml:space="preserve"> </w:t>
      </w:r>
      <w:r w:rsidRPr="00292B26">
        <w:rPr>
          <w:rFonts w:ascii="Palatino Linotype" w:hAnsi="Palatino Linotype" w:cs="Tahoma"/>
        </w:rPr>
        <w:t>del ISSEMyM, vulnera el derecho a la privacidad e intimidad de los titulares de la información, por lo que este</w:t>
      </w:r>
      <w:r>
        <w:rPr>
          <w:rFonts w:ascii="Palatino Linotype" w:hAnsi="Palatino Linotype" w:cs="Tahoma"/>
        </w:rPr>
        <w:t xml:space="preserve"> </w:t>
      </w:r>
      <w:r w:rsidRPr="00292B26">
        <w:rPr>
          <w:rFonts w:ascii="Palatino Linotype" w:hAnsi="Palatino Linotype" w:cs="Tahoma"/>
        </w:rPr>
        <w:t>adquiere el carácter de información confidencial, ello en virtud de que la difusión de la información podría</w:t>
      </w:r>
      <w:r>
        <w:rPr>
          <w:rFonts w:ascii="Palatino Linotype" w:hAnsi="Palatino Linotype" w:cs="Tahoma"/>
        </w:rPr>
        <w:t xml:space="preserve"> c</w:t>
      </w:r>
      <w:r w:rsidRPr="00292B26">
        <w:rPr>
          <w:rFonts w:ascii="Palatino Linotype" w:hAnsi="Palatino Linotype" w:cs="Tahoma"/>
        </w:rPr>
        <w:t>ausar un daño.</w:t>
      </w:r>
    </w:p>
    <w:p w14:paraId="52EB52E1" w14:textId="77777777" w:rsidR="00292B26" w:rsidRDefault="00292B26" w:rsidP="00F72CA9">
      <w:pPr>
        <w:tabs>
          <w:tab w:val="left" w:pos="4667"/>
        </w:tabs>
        <w:spacing w:line="360" w:lineRule="auto"/>
        <w:ind w:left="567" w:right="567"/>
        <w:jc w:val="both"/>
        <w:rPr>
          <w:rFonts w:ascii="Palatino Linotype" w:hAnsi="Palatino Linotype" w:cs="Tahoma"/>
        </w:rPr>
      </w:pPr>
    </w:p>
    <w:p w14:paraId="28D7573C" w14:textId="77777777" w:rsidR="00292B26" w:rsidRDefault="00292B26" w:rsidP="00F72CA9">
      <w:pPr>
        <w:tabs>
          <w:tab w:val="left" w:pos="4667"/>
        </w:tabs>
        <w:spacing w:line="360" w:lineRule="auto"/>
        <w:ind w:left="567" w:right="567"/>
        <w:jc w:val="both"/>
        <w:rPr>
          <w:rFonts w:ascii="Palatino Linotype" w:hAnsi="Palatino Linotype" w:cs="Tahoma"/>
        </w:rPr>
      </w:pPr>
      <w:r w:rsidRPr="00292B26">
        <w:rPr>
          <w:rFonts w:ascii="Palatino Linotype" w:hAnsi="Palatino Linotype" w:cs="Tahoma"/>
        </w:rPr>
        <w:t xml:space="preserve">Por lo anterior, con fundamento en los artículos 3 fracciones XXI, 24 fracción VI y 143 fracción </w:t>
      </w:r>
      <w:r>
        <w:rPr>
          <w:rFonts w:ascii="Palatino Linotype" w:hAnsi="Palatino Linotype" w:cs="Tahoma"/>
        </w:rPr>
        <w:t>II</w:t>
      </w:r>
      <w:r w:rsidRPr="00292B26">
        <w:rPr>
          <w:rFonts w:ascii="Palatino Linotype" w:hAnsi="Palatino Linotype" w:cs="Tahoma"/>
        </w:rPr>
        <w:t xml:space="preserve"> de la Ley de</w:t>
      </w:r>
      <w:r>
        <w:rPr>
          <w:rFonts w:ascii="Palatino Linotype" w:hAnsi="Palatino Linotype" w:cs="Tahoma"/>
        </w:rPr>
        <w:t xml:space="preserve"> </w:t>
      </w:r>
      <w:r w:rsidRPr="00292B26">
        <w:rPr>
          <w:rFonts w:ascii="Palatino Linotype" w:hAnsi="Palatino Linotype" w:cs="Tahoma"/>
        </w:rPr>
        <w:t xml:space="preserve">Transparencia y Acceso a la Información Pública del Estado de </w:t>
      </w:r>
      <w:r w:rsidRPr="00292B26">
        <w:rPr>
          <w:rFonts w:ascii="Palatino Linotype" w:hAnsi="Palatino Linotype" w:cs="Tahoma"/>
        </w:rPr>
        <w:lastRenderedPageBreak/>
        <w:t>México, así como, el artículo 142 de la Ley</w:t>
      </w:r>
      <w:r>
        <w:rPr>
          <w:rFonts w:ascii="Palatino Linotype" w:hAnsi="Palatino Linotype" w:cs="Tahoma"/>
        </w:rPr>
        <w:t xml:space="preserve"> </w:t>
      </w:r>
      <w:r w:rsidRPr="00292B26">
        <w:rPr>
          <w:rFonts w:ascii="Palatino Linotype" w:hAnsi="Palatino Linotype" w:cs="Tahoma"/>
        </w:rPr>
        <w:t>de Instituciones de Crédito; este Comité de Transparencia, estima que se realiza la clasificación de la</w:t>
      </w:r>
      <w:r>
        <w:rPr>
          <w:rFonts w:ascii="Palatino Linotype" w:hAnsi="Palatino Linotype" w:cs="Tahoma"/>
        </w:rPr>
        <w:t xml:space="preserve"> </w:t>
      </w:r>
      <w:r w:rsidRPr="00292B26">
        <w:rPr>
          <w:rFonts w:ascii="Palatino Linotype" w:hAnsi="Palatino Linotype" w:cs="Tahoma"/>
        </w:rPr>
        <w:t xml:space="preserve">información como confidencial, lo anterior, por los motivos y razones expuestos en el Considerando </w:t>
      </w:r>
      <w:r>
        <w:rPr>
          <w:rFonts w:ascii="Palatino Linotype" w:hAnsi="Palatino Linotype" w:cs="Tahoma"/>
        </w:rPr>
        <w:t>III</w:t>
      </w:r>
      <w:r w:rsidRPr="00292B26">
        <w:rPr>
          <w:rFonts w:ascii="Palatino Linotype" w:hAnsi="Palatino Linotype" w:cs="Tahoma"/>
        </w:rPr>
        <w:t xml:space="preserve"> de la</w:t>
      </w:r>
      <w:r>
        <w:rPr>
          <w:rFonts w:ascii="Palatino Linotype" w:hAnsi="Palatino Linotype" w:cs="Tahoma"/>
        </w:rPr>
        <w:t xml:space="preserve"> </w:t>
      </w:r>
      <w:r w:rsidRPr="00292B26">
        <w:rPr>
          <w:rFonts w:ascii="Palatino Linotype" w:hAnsi="Palatino Linotype" w:cs="Tahoma"/>
        </w:rPr>
        <w:t>presente resolució</w:t>
      </w:r>
      <w:r>
        <w:rPr>
          <w:rFonts w:ascii="Palatino Linotype" w:hAnsi="Palatino Linotype" w:cs="Tahoma"/>
        </w:rPr>
        <w:t>n</w:t>
      </w:r>
    </w:p>
    <w:p w14:paraId="683A55F0" w14:textId="77777777" w:rsidR="00292B26" w:rsidRDefault="00292B26" w:rsidP="00F72CA9">
      <w:pPr>
        <w:tabs>
          <w:tab w:val="left" w:pos="4667"/>
        </w:tabs>
        <w:spacing w:line="360" w:lineRule="auto"/>
        <w:ind w:left="567" w:right="567"/>
        <w:jc w:val="both"/>
        <w:rPr>
          <w:rFonts w:ascii="Palatino Linotype" w:hAnsi="Palatino Linotype" w:cs="Tahoma"/>
        </w:rPr>
      </w:pPr>
    </w:p>
    <w:p w14:paraId="20FFBA6C" w14:textId="77777777" w:rsidR="00292B26" w:rsidRDefault="00BD29E9" w:rsidP="00F72CA9">
      <w:pPr>
        <w:tabs>
          <w:tab w:val="left" w:pos="4667"/>
        </w:tabs>
        <w:spacing w:line="360" w:lineRule="auto"/>
        <w:ind w:left="567" w:right="567"/>
        <w:jc w:val="both"/>
        <w:rPr>
          <w:rFonts w:ascii="Palatino Linotype" w:hAnsi="Palatino Linotype" w:cs="Tahoma"/>
        </w:rPr>
      </w:pPr>
      <w:r w:rsidRPr="00BD29E9">
        <w:rPr>
          <w:rFonts w:ascii="Palatino Linotype" w:hAnsi="Palatino Linotype" w:cs="Tahoma"/>
        </w:rPr>
        <w:t>Efectuadas las determinaciones correspondientes,</w:t>
      </w:r>
      <w:r>
        <w:rPr>
          <w:rFonts w:ascii="Palatino Linotype" w:hAnsi="Palatino Linotype" w:cs="Tahoma"/>
        </w:rPr>
        <w:t xml:space="preserve"> el Comité de Transparen</w:t>
      </w:r>
      <w:r w:rsidRPr="00BD29E9">
        <w:rPr>
          <w:rFonts w:ascii="Palatino Linotype" w:hAnsi="Palatino Linotype" w:cs="Tahoma"/>
        </w:rPr>
        <w:t>cia del Instituto de Seguridad</w:t>
      </w:r>
      <w:r>
        <w:rPr>
          <w:rFonts w:ascii="Palatino Linotype" w:hAnsi="Palatino Linotype" w:cs="Tahoma"/>
        </w:rPr>
        <w:t xml:space="preserve"> </w:t>
      </w:r>
      <w:r w:rsidRPr="00BD29E9">
        <w:rPr>
          <w:rFonts w:ascii="Palatino Linotype" w:hAnsi="Palatino Linotype" w:cs="Tahoma"/>
        </w:rPr>
        <w:t>Soc</w:t>
      </w:r>
      <w:r>
        <w:rPr>
          <w:rFonts w:ascii="Palatino Linotype" w:hAnsi="Palatino Linotype" w:cs="Tahoma"/>
        </w:rPr>
        <w:t>ial del Estado de Mé</w:t>
      </w:r>
      <w:r w:rsidRPr="00BD29E9">
        <w:rPr>
          <w:rFonts w:ascii="Palatino Linotype" w:hAnsi="Palatino Linotype" w:cs="Tahoma"/>
        </w:rPr>
        <w:t>xico y Municip</w:t>
      </w:r>
      <w:r>
        <w:rPr>
          <w:rFonts w:ascii="Palatino Linotype" w:hAnsi="Palatino Linotype" w:cs="Tahoma"/>
        </w:rPr>
        <w:t>ios, acordó por unanimidad aprobar en todos sus términ</w:t>
      </w:r>
      <w:r w:rsidRPr="00BD29E9">
        <w:rPr>
          <w:rFonts w:ascii="Palatino Linotype" w:hAnsi="Palatino Linotype" w:cs="Tahoma"/>
        </w:rPr>
        <w:t>os la</w:t>
      </w:r>
      <w:r>
        <w:rPr>
          <w:rFonts w:ascii="Palatino Linotype" w:hAnsi="Palatino Linotype" w:cs="Tahoma"/>
        </w:rPr>
        <w:t xml:space="preserve"> </w:t>
      </w:r>
      <w:r w:rsidRPr="00BD29E9">
        <w:rPr>
          <w:rFonts w:ascii="Palatino Linotype" w:hAnsi="Palatino Linotype" w:cs="Tahoma"/>
        </w:rPr>
        <w:t>resolución presentada por la Unidad de Transparencia, so licitando realizar las acciones necesarias para</w:t>
      </w:r>
      <w:r>
        <w:rPr>
          <w:rFonts w:ascii="Palatino Linotype" w:hAnsi="Palatino Linotype" w:cs="Tahoma"/>
        </w:rPr>
        <w:t xml:space="preserve"> </w:t>
      </w:r>
      <w:r w:rsidRPr="00BD29E9">
        <w:rPr>
          <w:rFonts w:ascii="Palatino Linotype" w:hAnsi="Palatino Linotype" w:cs="Tahoma"/>
        </w:rPr>
        <w:t>cumplimentarla en apego a la Ley de Transparencia y Acceso a la Informació</w:t>
      </w:r>
      <w:r>
        <w:rPr>
          <w:rFonts w:ascii="Palatino Linotype" w:hAnsi="Palatino Linotype" w:cs="Tahoma"/>
        </w:rPr>
        <w:t>n Pública del Estado de Méx</w:t>
      </w:r>
      <w:r w:rsidRPr="00BD29E9">
        <w:rPr>
          <w:rFonts w:ascii="Palatino Linotype" w:hAnsi="Palatino Linotype" w:cs="Tahoma"/>
        </w:rPr>
        <w:t>ico</w:t>
      </w:r>
      <w:r>
        <w:rPr>
          <w:rFonts w:ascii="Palatino Linotype" w:hAnsi="Palatino Linotype" w:cs="Tahoma"/>
        </w:rPr>
        <w:t xml:space="preserve"> </w:t>
      </w:r>
      <w:r w:rsidRPr="00BD29E9">
        <w:rPr>
          <w:rFonts w:ascii="Palatino Linotype" w:hAnsi="Palatino Linotype" w:cs="Tahoma"/>
        </w:rPr>
        <w:t>y Municipios y a los Lineam</w:t>
      </w:r>
      <w:r>
        <w:rPr>
          <w:rFonts w:ascii="Palatino Linotype" w:hAnsi="Palatino Linotype" w:cs="Tahoma"/>
        </w:rPr>
        <w:t>ientos aplicables en la materia</w:t>
      </w:r>
      <w:r w:rsidRPr="00BD29E9">
        <w:rPr>
          <w:rFonts w:ascii="Palatino Linotype" w:hAnsi="Palatino Linotype" w:cs="Tahoma"/>
        </w:rPr>
        <w:t>. En este sentido, con base a los razonamientos</w:t>
      </w:r>
      <w:r>
        <w:rPr>
          <w:rFonts w:ascii="Palatino Linotype" w:hAnsi="Palatino Linotype" w:cs="Tahoma"/>
        </w:rPr>
        <w:t xml:space="preserve"> </w:t>
      </w:r>
      <w:r w:rsidRPr="00BD29E9">
        <w:rPr>
          <w:rFonts w:ascii="Palatino Linotype" w:hAnsi="Palatino Linotype" w:cs="Tahoma"/>
        </w:rPr>
        <w:t>expuestos y debidamente fundados y motivados se</w:t>
      </w:r>
      <w:r>
        <w:rPr>
          <w:rFonts w:ascii="Palatino Linotype" w:hAnsi="Palatino Linotype" w:cs="Tahoma"/>
        </w:rPr>
        <w:t>:</w:t>
      </w:r>
    </w:p>
    <w:p w14:paraId="0D9F79BC" w14:textId="77777777" w:rsidR="00BD29E9" w:rsidRDefault="00BD29E9" w:rsidP="00F72CA9">
      <w:pPr>
        <w:tabs>
          <w:tab w:val="left" w:pos="4667"/>
        </w:tabs>
        <w:spacing w:line="360" w:lineRule="auto"/>
        <w:ind w:left="567" w:right="567"/>
        <w:jc w:val="both"/>
        <w:rPr>
          <w:rFonts w:ascii="Palatino Linotype" w:hAnsi="Palatino Linotype" w:cs="Tahoma"/>
        </w:rPr>
      </w:pPr>
    </w:p>
    <w:p w14:paraId="3A0DD320" w14:textId="77777777" w:rsidR="00BD29E9" w:rsidRDefault="00BD29E9" w:rsidP="00F72CA9">
      <w:pPr>
        <w:tabs>
          <w:tab w:val="left" w:pos="4667"/>
        </w:tabs>
        <w:spacing w:line="360" w:lineRule="auto"/>
        <w:ind w:left="567" w:right="567"/>
        <w:jc w:val="center"/>
        <w:rPr>
          <w:rFonts w:ascii="Palatino Linotype" w:hAnsi="Palatino Linotype" w:cs="Tahoma"/>
          <w:b/>
        </w:rPr>
      </w:pPr>
      <w:r>
        <w:rPr>
          <w:rFonts w:ascii="Palatino Linotype" w:hAnsi="Palatino Linotype" w:cs="Tahoma"/>
          <w:b/>
        </w:rPr>
        <w:t>RESUELVE</w:t>
      </w:r>
    </w:p>
    <w:p w14:paraId="3F694472" w14:textId="77777777" w:rsidR="00BD29E9" w:rsidRDefault="00BD29E9" w:rsidP="00F72CA9">
      <w:pPr>
        <w:tabs>
          <w:tab w:val="left" w:pos="4667"/>
        </w:tabs>
        <w:spacing w:line="360" w:lineRule="auto"/>
        <w:ind w:left="567" w:right="567"/>
        <w:jc w:val="center"/>
        <w:rPr>
          <w:rFonts w:ascii="Palatino Linotype" w:hAnsi="Palatino Linotype" w:cs="Tahoma"/>
          <w:b/>
        </w:rPr>
      </w:pPr>
    </w:p>
    <w:p w14:paraId="4473B0BD" w14:textId="77777777" w:rsidR="00BD29E9" w:rsidRDefault="00BD29E9" w:rsidP="00F72CA9">
      <w:pPr>
        <w:tabs>
          <w:tab w:val="left" w:pos="4667"/>
        </w:tabs>
        <w:spacing w:line="360" w:lineRule="auto"/>
        <w:ind w:left="567" w:right="567"/>
        <w:jc w:val="both"/>
        <w:rPr>
          <w:rFonts w:ascii="Palatino Linotype" w:hAnsi="Palatino Linotype" w:cs="Tahoma"/>
          <w:b/>
        </w:rPr>
      </w:pPr>
      <w:r w:rsidRPr="00BD29E9">
        <w:rPr>
          <w:rFonts w:ascii="Palatino Linotype" w:hAnsi="Palatino Linotype" w:cs="Tahoma"/>
          <w:b/>
        </w:rPr>
        <w:t xml:space="preserve">PRIMERO.- </w:t>
      </w:r>
      <w:r w:rsidRPr="00BD29E9">
        <w:rPr>
          <w:rFonts w:ascii="Palatino Linotype" w:hAnsi="Palatino Linotype" w:cs="Tahoma"/>
        </w:rPr>
        <w:t xml:space="preserve">con fundamento en los artículos 3 fracciones XXI, 24 fracción VI y 143 fracción </w:t>
      </w:r>
      <w:r>
        <w:rPr>
          <w:rFonts w:ascii="Palatino Linotype" w:hAnsi="Palatino Linotype" w:cs="Tahoma"/>
        </w:rPr>
        <w:t>II</w:t>
      </w:r>
      <w:r w:rsidRPr="00BD29E9">
        <w:rPr>
          <w:rFonts w:ascii="Palatino Linotype" w:hAnsi="Palatino Linotype" w:cs="Tahoma"/>
        </w:rPr>
        <w:t xml:space="preserve"> de la Ley de</w:t>
      </w:r>
      <w:r>
        <w:rPr>
          <w:rFonts w:ascii="Palatino Linotype" w:hAnsi="Palatino Linotype" w:cs="Tahoma"/>
        </w:rPr>
        <w:t xml:space="preserve"> </w:t>
      </w:r>
      <w:r w:rsidRPr="00BD29E9">
        <w:rPr>
          <w:rFonts w:ascii="Palatino Linotype" w:hAnsi="Palatino Linotype" w:cs="Tahoma"/>
        </w:rPr>
        <w:t xml:space="preserve">Transparencia </w:t>
      </w:r>
      <w:r>
        <w:rPr>
          <w:rFonts w:ascii="Palatino Linotype" w:hAnsi="Palatino Linotype" w:cs="Tahoma"/>
        </w:rPr>
        <w:t>y Acceso a la Información Públi</w:t>
      </w:r>
      <w:r w:rsidRPr="00BD29E9">
        <w:rPr>
          <w:rFonts w:ascii="Palatino Linotype" w:hAnsi="Palatino Linotype" w:cs="Tahoma"/>
        </w:rPr>
        <w:t>c</w:t>
      </w:r>
      <w:r>
        <w:rPr>
          <w:rFonts w:ascii="Palatino Linotype" w:hAnsi="Palatino Linotype" w:cs="Tahoma"/>
        </w:rPr>
        <w:t>a del Estado de México, así como, el artículo 14</w:t>
      </w:r>
      <w:r w:rsidRPr="00BD29E9">
        <w:rPr>
          <w:rFonts w:ascii="Palatino Linotype" w:hAnsi="Palatino Linotype" w:cs="Tahoma"/>
        </w:rPr>
        <w:t>2 de la Ley</w:t>
      </w:r>
      <w:r>
        <w:rPr>
          <w:rFonts w:ascii="Palatino Linotype" w:hAnsi="Palatino Linotype" w:cs="Tahoma"/>
        </w:rPr>
        <w:t xml:space="preserve"> </w:t>
      </w:r>
      <w:r w:rsidRPr="00BD29E9">
        <w:rPr>
          <w:rFonts w:ascii="Palatino Linotype" w:hAnsi="Palatino Linotype" w:cs="Tahoma"/>
        </w:rPr>
        <w:t>de Instituciones de Crédito, este Comité d</w:t>
      </w:r>
      <w:r>
        <w:rPr>
          <w:rFonts w:ascii="Palatino Linotype" w:hAnsi="Palatino Linotype" w:cs="Tahoma"/>
        </w:rPr>
        <w:t>e</w:t>
      </w:r>
      <w:r w:rsidRPr="00BD29E9">
        <w:rPr>
          <w:rFonts w:ascii="Palatino Linotype" w:hAnsi="Palatino Linotype" w:cs="Tahoma"/>
        </w:rPr>
        <w:t xml:space="preserve"> Transparencia, </w:t>
      </w:r>
      <w:r w:rsidRPr="00BD29E9">
        <w:rPr>
          <w:rFonts w:ascii="Palatino Linotype" w:hAnsi="Palatino Linotype" w:cs="Tahoma"/>
          <w:b/>
        </w:rPr>
        <w:t>clasifica como confidencial la información</w:t>
      </w:r>
      <w:r>
        <w:rPr>
          <w:rFonts w:ascii="Palatino Linotype" w:hAnsi="Palatino Linotype" w:cs="Tahoma"/>
          <w:b/>
        </w:rPr>
        <w:t xml:space="preserve"> </w:t>
      </w:r>
      <w:r w:rsidRPr="00BD29E9">
        <w:rPr>
          <w:rFonts w:ascii="Palatino Linotype" w:hAnsi="Palatino Linotype" w:cs="Tahoma"/>
          <w:b/>
        </w:rPr>
        <w:t>relacionada con el monto actual bajo administración por interacciones a nombre del ISSEMyM.</w:t>
      </w:r>
    </w:p>
    <w:p w14:paraId="25502F02" w14:textId="77777777" w:rsidR="008475AF" w:rsidRPr="008475AF" w:rsidRDefault="008475AF" w:rsidP="00F72CA9">
      <w:pPr>
        <w:tabs>
          <w:tab w:val="left" w:pos="4667"/>
        </w:tabs>
        <w:spacing w:line="360" w:lineRule="auto"/>
        <w:ind w:left="567" w:right="567"/>
        <w:jc w:val="both"/>
        <w:rPr>
          <w:rFonts w:ascii="Palatino Linotype" w:hAnsi="Palatino Linotype" w:cs="Tahoma"/>
        </w:rPr>
      </w:pPr>
      <w:r>
        <w:rPr>
          <w:rFonts w:ascii="Palatino Linotype" w:hAnsi="Palatino Linotype" w:cs="Tahoma"/>
        </w:rPr>
        <w:t>…” (</w:t>
      </w:r>
      <w:r>
        <w:rPr>
          <w:rFonts w:ascii="Palatino Linotype" w:hAnsi="Palatino Linotype" w:cs="Tahoma"/>
          <w:i/>
        </w:rPr>
        <w:t>Sic</w:t>
      </w:r>
      <w:r>
        <w:rPr>
          <w:rFonts w:ascii="Palatino Linotype" w:hAnsi="Palatino Linotype" w:cs="Tahoma"/>
        </w:rPr>
        <w:t>)</w:t>
      </w:r>
    </w:p>
    <w:p w14:paraId="10282C3B" w14:textId="77777777" w:rsidR="008475AF" w:rsidRPr="003864E7" w:rsidRDefault="008475AF" w:rsidP="00F72CA9">
      <w:pPr>
        <w:tabs>
          <w:tab w:val="left" w:pos="4667"/>
        </w:tabs>
        <w:spacing w:line="360" w:lineRule="auto"/>
        <w:ind w:right="567"/>
        <w:jc w:val="both"/>
        <w:rPr>
          <w:rFonts w:ascii="Palatino Linotype" w:hAnsi="Palatino Linotype" w:cs="Tahoma"/>
          <w:sz w:val="22"/>
          <w:szCs w:val="24"/>
        </w:rPr>
      </w:pPr>
    </w:p>
    <w:p w14:paraId="7035985D" w14:textId="77777777" w:rsidR="00587F23" w:rsidRPr="004059FB" w:rsidRDefault="003850E8" w:rsidP="00F72CA9">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53232C2F" w14:textId="77777777" w:rsidR="00587F23" w:rsidRPr="004059FB" w:rsidRDefault="00587F23" w:rsidP="00F72CA9">
      <w:pPr>
        <w:autoSpaceDE w:val="0"/>
        <w:autoSpaceDN w:val="0"/>
        <w:adjustRightInd w:val="0"/>
        <w:spacing w:line="360" w:lineRule="auto"/>
        <w:jc w:val="both"/>
        <w:rPr>
          <w:rFonts w:ascii="Palatino Linotype" w:hAnsi="Palatino Linotype" w:cs="Tahoma"/>
          <w:b/>
          <w:sz w:val="22"/>
          <w:szCs w:val="24"/>
        </w:rPr>
      </w:pPr>
    </w:p>
    <w:p w14:paraId="0762DF6B" w14:textId="77777777" w:rsidR="00BE4843" w:rsidRPr="004059FB" w:rsidRDefault="004E401B" w:rsidP="00F72CA9">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BD29E9">
        <w:rPr>
          <w:rFonts w:ascii="Palatino Linotype" w:hAnsi="Palatino Linotype" w:cs="Tahoma"/>
          <w:sz w:val="22"/>
          <w:szCs w:val="24"/>
        </w:rPr>
        <w:t>veinte</w:t>
      </w:r>
      <w:r w:rsidR="003850E8">
        <w:rPr>
          <w:rFonts w:ascii="Palatino Linotype" w:hAnsi="Palatino Linotype" w:cs="Tahoma"/>
          <w:sz w:val="22"/>
          <w:szCs w:val="24"/>
        </w:rPr>
        <w:t xml:space="preserve"> de noviembre</w:t>
      </w:r>
      <w:r w:rsidR="00C25238" w:rsidRPr="004059FB">
        <w:rPr>
          <w:rFonts w:ascii="Palatino Linotype" w:hAnsi="Palatino Linotype" w:cs="Tahoma"/>
          <w:sz w:val="22"/>
          <w:szCs w:val="24"/>
        </w:rPr>
        <w:t xml:space="preserve"> de dos mil dieciocho,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 xml:space="preserve">isión interpuesto </w:t>
      </w:r>
      <w:r w:rsidR="003850E8">
        <w:rPr>
          <w:rFonts w:ascii="Palatino Linotype" w:hAnsi="Palatino Linotype" w:cs="Tahoma"/>
          <w:sz w:val="22"/>
          <w:szCs w:val="24"/>
        </w:rPr>
        <w:lastRenderedPageBreak/>
        <w:t>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7721C543" w14:textId="77777777" w:rsidR="00C25238" w:rsidRPr="004059FB" w:rsidRDefault="00C25238" w:rsidP="00F72CA9">
      <w:pPr>
        <w:autoSpaceDE w:val="0"/>
        <w:autoSpaceDN w:val="0"/>
        <w:adjustRightInd w:val="0"/>
        <w:spacing w:line="360" w:lineRule="auto"/>
        <w:jc w:val="both"/>
        <w:rPr>
          <w:rFonts w:ascii="Palatino Linotype" w:hAnsi="Palatino Linotype" w:cs="Tahoma"/>
          <w:bCs/>
          <w:sz w:val="24"/>
          <w:szCs w:val="24"/>
        </w:rPr>
      </w:pPr>
    </w:p>
    <w:p w14:paraId="6599A0C9" w14:textId="77777777" w:rsidR="00C25238" w:rsidRPr="004059FB" w:rsidRDefault="00B727C5" w:rsidP="00F72CA9">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51BA2C30" w14:textId="77777777" w:rsidR="00CD3A5D" w:rsidRPr="004059FB" w:rsidRDefault="006E4FCB" w:rsidP="00F72CA9">
      <w:pPr>
        <w:autoSpaceDE w:val="0"/>
        <w:autoSpaceDN w:val="0"/>
        <w:adjustRightInd w:val="0"/>
        <w:spacing w:line="360" w:lineRule="auto"/>
        <w:ind w:left="567" w:right="567"/>
        <w:jc w:val="both"/>
        <w:rPr>
          <w:rFonts w:ascii="Palatino Linotype" w:hAnsi="Palatino Linotype" w:cs="Tahoma"/>
          <w:i/>
        </w:rPr>
      </w:pPr>
      <w:r w:rsidRPr="006E4FCB">
        <w:rPr>
          <w:rFonts w:ascii="Palatino Linotype" w:hAnsi="Palatino Linotype" w:cs="Tahoma"/>
        </w:rPr>
        <w:t>La respuesta proporcionada por el ISSEMyM y el acuerdo del Comité de Transparencia.</w:t>
      </w:r>
      <w:r w:rsidR="00B727C5" w:rsidRPr="004059FB">
        <w:rPr>
          <w:rFonts w:ascii="Palatino Linotype" w:hAnsi="Palatino Linotype" w:cs="Tahoma"/>
        </w:rPr>
        <w:t>”</w:t>
      </w:r>
      <w:r w:rsidR="00092475" w:rsidRPr="004059FB">
        <w:rPr>
          <w:rFonts w:ascii="Palatino Linotype" w:hAnsi="Palatino Linotype" w:cs="Tahoma"/>
        </w:rPr>
        <w:t xml:space="preserve"> </w:t>
      </w:r>
    </w:p>
    <w:p w14:paraId="6E3E203A" w14:textId="77777777" w:rsidR="000313A7" w:rsidRPr="004059FB" w:rsidRDefault="000313A7" w:rsidP="00F72CA9">
      <w:pPr>
        <w:autoSpaceDE w:val="0"/>
        <w:autoSpaceDN w:val="0"/>
        <w:adjustRightInd w:val="0"/>
        <w:spacing w:line="360" w:lineRule="auto"/>
        <w:ind w:left="567" w:right="567"/>
        <w:jc w:val="both"/>
        <w:rPr>
          <w:rFonts w:ascii="Palatino Linotype" w:hAnsi="Palatino Linotype" w:cs="Tahoma"/>
          <w:sz w:val="24"/>
        </w:rPr>
      </w:pPr>
    </w:p>
    <w:p w14:paraId="60673566" w14:textId="77777777" w:rsidR="00C25238" w:rsidRPr="004059FB" w:rsidRDefault="00B727C5" w:rsidP="00F72CA9">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72786C48" w14:textId="77777777" w:rsidR="00B31222" w:rsidRPr="004059FB" w:rsidRDefault="006E4FCB" w:rsidP="00F72CA9">
      <w:pPr>
        <w:autoSpaceDE w:val="0"/>
        <w:autoSpaceDN w:val="0"/>
        <w:adjustRightInd w:val="0"/>
        <w:spacing w:line="360" w:lineRule="auto"/>
        <w:ind w:left="567" w:right="567"/>
        <w:jc w:val="both"/>
        <w:rPr>
          <w:rFonts w:ascii="Palatino Linotype" w:hAnsi="Palatino Linotype" w:cs="Tahoma"/>
        </w:rPr>
      </w:pPr>
      <w:r w:rsidRPr="006E4FCB">
        <w:rPr>
          <w:rFonts w:ascii="Palatino Linotype" w:hAnsi="Palatino Linotype" w:cs="Tahoma"/>
        </w:rPr>
        <w:t xml:space="preserve">Respecto de la parte que clasificaron como confidencial (“MONTO ACTUAL BAJO ADMINISTRACIÓN POR INTERACCIONES A NOMBRE DE ISSEMYM”), se requiere que se proporcione la información solicitada, toda vez que considero que no existe motivo para dicha clasificación. Si bien es cierto que el artículo 142 de la Ley de Instituciones de Crédito señala que la información y documentación relativa a las operaciones y servicios a que se refiere el artículo 46, tendrá carácter confidencial, dicho artículo señala que dicha restricción es “en protección del derecho a la privacidad de sus clientes y usuarios”. En este sentido, se requiere “MONTO ACTUAL BAJO ADMINISTRACIÓN POR INTERACCIONES A NOMBRE DE ISSEMYM”, lo cual no implica la entrega de información privada de clientes y usuarios, sino información que es de interés general de la población, tanto derechohabientes como ciudadanos en ejercicio del derecho de acceso a la información. La autoridad hace referencia a unos Lineamientos aplicables en la materia. Suponiendo que se trate de los lineamientos generales en materia de clasificación y desclasificación de información, éstos señalan en su artículo Cuadragésimo segundo, penúltimo párrafo que “Cuando en un sujeto obligado concurra tanto el carácter de institución bancaria o cuenta habiente, en operaciones que involucren recursos públicos, no podrán clasificar la información relativa a operaciones bancarias”. Por lo anterior, se solicita al </w:t>
      </w:r>
      <w:proofErr w:type="spellStart"/>
      <w:r w:rsidRPr="006E4FCB">
        <w:rPr>
          <w:rFonts w:ascii="Palatino Linotype" w:hAnsi="Palatino Linotype" w:cs="Tahoma"/>
        </w:rPr>
        <w:t>Infoem</w:t>
      </w:r>
      <w:proofErr w:type="spellEnd"/>
      <w:r w:rsidRPr="006E4FCB">
        <w:rPr>
          <w:rFonts w:ascii="Palatino Linotype" w:hAnsi="Palatino Linotype" w:cs="Tahoma"/>
        </w:rPr>
        <w:t xml:space="preserve"> que ordene la entrega de la información solicitada, pues la misma no viola la privacidad de los derechohabientes del ISSEMyM, además de ser de interés público.</w:t>
      </w:r>
      <w:r w:rsidR="00B727C5" w:rsidRPr="004059FB">
        <w:rPr>
          <w:rFonts w:ascii="Palatino Linotype" w:hAnsi="Palatino Linotype" w:cs="Tahoma"/>
        </w:rPr>
        <w:t>”</w:t>
      </w:r>
      <w:r w:rsidR="006C1B1D" w:rsidRPr="004059FB">
        <w:rPr>
          <w:rFonts w:ascii="Palatino Linotype" w:hAnsi="Palatino Linotype" w:cs="Tahoma"/>
        </w:rPr>
        <w:t xml:space="preserve"> </w:t>
      </w:r>
    </w:p>
    <w:p w14:paraId="10DF0B62" w14:textId="77777777" w:rsidR="004E401B" w:rsidRPr="006E4FCB" w:rsidRDefault="006E4FCB" w:rsidP="00F72CA9">
      <w:pPr>
        <w:spacing w:line="360" w:lineRule="auto"/>
        <w:jc w:val="both"/>
        <w:rPr>
          <w:rFonts w:ascii="Palatino Linotype" w:hAnsi="Palatino Linotype" w:cs="Tahoma"/>
          <w:sz w:val="22"/>
          <w:szCs w:val="24"/>
        </w:rPr>
      </w:pPr>
      <w:r>
        <w:rPr>
          <w:rFonts w:ascii="Palatino Linotype" w:hAnsi="Palatino Linotype" w:cs="Tahoma"/>
          <w:sz w:val="22"/>
          <w:szCs w:val="24"/>
        </w:rPr>
        <w:lastRenderedPageBreak/>
        <w:t>El Solicitante adjuntó un escrito libre, cuyo contenido es en los mismos términos del acto impugnado y razones y motivos de la inconformidad, previamente señalados.</w:t>
      </w:r>
    </w:p>
    <w:p w14:paraId="57C46094" w14:textId="77777777" w:rsidR="006E4FCB" w:rsidRPr="004059FB" w:rsidRDefault="006E4FCB" w:rsidP="00F72CA9">
      <w:pPr>
        <w:spacing w:line="360" w:lineRule="auto"/>
        <w:jc w:val="both"/>
        <w:rPr>
          <w:rFonts w:ascii="Palatino Linotype" w:hAnsi="Palatino Linotype" w:cs="Tahoma"/>
          <w:b/>
          <w:sz w:val="22"/>
          <w:szCs w:val="24"/>
        </w:rPr>
      </w:pPr>
    </w:p>
    <w:p w14:paraId="23B9ED87" w14:textId="77777777" w:rsidR="00B31222" w:rsidRPr="004059FB" w:rsidRDefault="003850E8" w:rsidP="00F72CA9">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2EDA0CC4" w14:textId="77777777" w:rsidR="00E445DA" w:rsidRPr="004059FB" w:rsidRDefault="00E445DA" w:rsidP="00F72CA9">
      <w:pPr>
        <w:spacing w:line="360" w:lineRule="auto"/>
        <w:jc w:val="both"/>
        <w:rPr>
          <w:rFonts w:ascii="Palatino Linotype" w:eastAsia="Batang" w:hAnsi="Palatino Linotype" w:cs="Tahoma"/>
          <w:b/>
          <w:bCs/>
          <w:sz w:val="22"/>
          <w:szCs w:val="24"/>
        </w:rPr>
      </w:pPr>
    </w:p>
    <w:p w14:paraId="7E2881EF" w14:textId="5DB648AA" w:rsidR="00BE4843" w:rsidRPr="004059FB" w:rsidRDefault="00A90F9B" w:rsidP="00F72CA9">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6E4FCB">
        <w:rPr>
          <w:rFonts w:ascii="Palatino Linotype" w:eastAsia="Batang" w:hAnsi="Palatino Linotype" w:cs="Tahoma"/>
          <w:bCs/>
          <w:sz w:val="22"/>
          <w:szCs w:val="22"/>
        </w:rPr>
        <w:t>veinte</w:t>
      </w:r>
      <w:r w:rsidR="003850E8">
        <w:rPr>
          <w:rFonts w:ascii="Palatino Linotype" w:eastAsia="Batang" w:hAnsi="Palatino Linotype" w:cs="Tahoma"/>
          <w:bCs/>
          <w:sz w:val="22"/>
          <w:szCs w:val="22"/>
        </w:rPr>
        <w:t xml:space="preserve"> de noviembre</w:t>
      </w:r>
      <w:r w:rsidR="00BE4843" w:rsidRPr="004059FB">
        <w:rPr>
          <w:rFonts w:ascii="Palatino Linotype" w:eastAsia="Batang" w:hAnsi="Palatino Linotype" w:cs="Tahoma"/>
          <w:bCs/>
          <w:sz w:val="22"/>
          <w:szCs w:val="22"/>
        </w:rPr>
        <w:t xml:space="preserve"> de dos mil dieciocho,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0</w:t>
      </w:r>
      <w:r w:rsidR="004F0C1F">
        <w:rPr>
          <w:rFonts w:ascii="Palatino Linotype" w:eastAsia="Batang" w:hAnsi="Palatino Linotype" w:cs="Tahoma"/>
          <w:bCs/>
          <w:sz w:val="22"/>
          <w:szCs w:val="22"/>
        </w:rPr>
        <w:t>4376</w:t>
      </w:r>
      <w:r w:rsidR="00BE4843" w:rsidRPr="004059FB">
        <w:rPr>
          <w:rFonts w:ascii="Palatino Linotype" w:eastAsia="Batang" w:hAnsi="Palatino Linotype" w:cs="Tahoma"/>
          <w:bCs/>
          <w:sz w:val="22"/>
          <w:szCs w:val="22"/>
        </w:rPr>
        <w:t>/INFOEM/IP/RR/2018,</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F63CED">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730D99A5" w14:textId="77777777" w:rsidR="00BE4843" w:rsidRPr="004059FB" w:rsidRDefault="00BE4843" w:rsidP="00F72CA9">
      <w:pPr>
        <w:spacing w:line="360" w:lineRule="auto"/>
        <w:ind w:left="708"/>
        <w:jc w:val="both"/>
        <w:rPr>
          <w:rFonts w:ascii="Palatino Linotype" w:eastAsia="Batang" w:hAnsi="Palatino Linotype" w:cs="Tahoma"/>
          <w:bCs/>
          <w:sz w:val="22"/>
          <w:szCs w:val="24"/>
        </w:rPr>
      </w:pPr>
    </w:p>
    <w:p w14:paraId="6BCC3777" w14:textId="77777777" w:rsidR="00B31222" w:rsidRPr="004059FB" w:rsidRDefault="00625DFB" w:rsidP="00F72CA9">
      <w:pPr>
        <w:spacing w:line="360" w:lineRule="auto"/>
        <w:jc w:val="both"/>
        <w:rPr>
          <w:rFonts w:ascii="Palatino Linotype" w:hAnsi="Palatino Linotype" w:cs="Tahoma"/>
          <w:bCs/>
          <w:sz w:val="22"/>
          <w:szCs w:val="24"/>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6E4FCB">
        <w:rPr>
          <w:rFonts w:ascii="Palatino Linotype" w:eastAsia="Batang" w:hAnsi="Palatino Linotype" w:cs="Tahoma"/>
          <w:bCs/>
          <w:sz w:val="22"/>
          <w:szCs w:val="24"/>
          <w:lang w:val="es-ES_tradnl"/>
        </w:rPr>
        <w:t>veintiséis</w:t>
      </w:r>
      <w:r w:rsidR="003850E8">
        <w:rPr>
          <w:rFonts w:ascii="Palatino Linotype" w:eastAsia="Batang" w:hAnsi="Palatino Linotype" w:cs="Tahoma"/>
          <w:bCs/>
          <w:sz w:val="22"/>
          <w:szCs w:val="24"/>
          <w:lang w:val="es-ES_tradnl"/>
        </w:rPr>
        <w:t xml:space="preserve"> de noviembre</w:t>
      </w:r>
      <w:r w:rsidR="00AE489D" w:rsidRPr="004059FB">
        <w:rPr>
          <w:rFonts w:ascii="Palatino Linotype" w:eastAsia="Batang" w:hAnsi="Palatino Linotype" w:cs="Tahoma"/>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de dos mil dieciocho,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478B90F" w14:textId="77777777" w:rsidR="0061115C" w:rsidRPr="004059FB" w:rsidRDefault="0061115C" w:rsidP="00F72CA9">
      <w:pPr>
        <w:spacing w:line="360" w:lineRule="auto"/>
        <w:jc w:val="both"/>
        <w:rPr>
          <w:rFonts w:ascii="Palatino Linotype" w:hAnsi="Palatino Linotype" w:cs="Tahoma"/>
          <w:bCs/>
          <w:sz w:val="22"/>
          <w:szCs w:val="24"/>
        </w:rPr>
      </w:pPr>
    </w:p>
    <w:p w14:paraId="76602C6B" w14:textId="77777777" w:rsidR="003D5FF4" w:rsidRDefault="004406CF" w:rsidP="00F72CA9">
      <w:pPr>
        <w:spacing w:line="360" w:lineRule="auto"/>
        <w:jc w:val="both"/>
        <w:rPr>
          <w:rFonts w:ascii="Palatino Linotype" w:hAnsi="Palatino Linotype" w:cs="Tahoma"/>
          <w:sz w:val="22"/>
          <w:szCs w:val="22"/>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BE4843" w:rsidRPr="004059FB">
        <w:rPr>
          <w:rFonts w:ascii="Palatino Linotype" w:hAnsi="Palatino Linotype" w:cs="Tahoma"/>
          <w:b/>
          <w:sz w:val="22"/>
          <w:szCs w:val="24"/>
        </w:rPr>
        <w:t xml:space="preserve">Informe justificado del Sujeto Obligado. </w:t>
      </w:r>
      <w:r w:rsidR="00BE4843" w:rsidRPr="004059FB">
        <w:rPr>
          <w:rFonts w:ascii="Palatino Linotype" w:hAnsi="Palatino Linotype" w:cs="Tahoma"/>
          <w:sz w:val="22"/>
          <w:szCs w:val="24"/>
        </w:rPr>
        <w:t xml:space="preserve">El </w:t>
      </w:r>
      <w:r w:rsidR="006E4FCB">
        <w:rPr>
          <w:rFonts w:ascii="Palatino Linotype" w:hAnsi="Palatino Linotype" w:cs="Tahoma"/>
          <w:sz w:val="22"/>
          <w:szCs w:val="24"/>
        </w:rPr>
        <w:t>cinco</w:t>
      </w:r>
      <w:r w:rsidR="00DD48C1">
        <w:rPr>
          <w:rFonts w:ascii="Palatino Linotype" w:hAnsi="Palatino Linotype" w:cs="Tahoma"/>
          <w:sz w:val="22"/>
          <w:szCs w:val="24"/>
        </w:rPr>
        <w:t xml:space="preserve"> de diciembre</w:t>
      </w:r>
      <w:r w:rsidR="00BE4843" w:rsidRPr="004059FB">
        <w:rPr>
          <w:rFonts w:ascii="Palatino Linotype" w:hAnsi="Palatino Linotype" w:cs="Tahoma"/>
          <w:sz w:val="22"/>
          <w:szCs w:val="24"/>
        </w:rPr>
        <w:t xml:space="preserve"> de dos mil dieciocho</w:t>
      </w:r>
      <w:r w:rsidR="003D5FF4" w:rsidRPr="004059FB">
        <w:rPr>
          <w:rFonts w:ascii="Palatino Linotype" w:hAnsi="Palatino Linotype" w:cs="Tahoma"/>
          <w:sz w:val="22"/>
          <w:szCs w:val="24"/>
        </w:rPr>
        <w:t xml:space="preserve">, </w:t>
      </w:r>
      <w:r w:rsidR="003D5FF4" w:rsidRPr="004059FB">
        <w:rPr>
          <w:rFonts w:ascii="Palatino Linotype" w:hAnsi="Palatino Linotype" w:cs="Tahoma"/>
          <w:sz w:val="22"/>
          <w:szCs w:val="22"/>
          <w:lang w:val="es-ES_tradnl"/>
        </w:rPr>
        <w:t xml:space="preserve">se recibió a través del </w:t>
      </w:r>
      <w:r w:rsidR="003D5FF4" w:rsidRPr="004059FB">
        <w:rPr>
          <w:rFonts w:ascii="Palatino Linotype" w:hAnsi="Palatino Linotype" w:cs="Tahoma"/>
          <w:sz w:val="22"/>
          <w:szCs w:val="22"/>
        </w:rPr>
        <w:t>Sistema de Acceso a la Información Mexiquense</w:t>
      </w:r>
      <w:r w:rsidR="003D5FF4" w:rsidRPr="004059FB">
        <w:rPr>
          <w:rFonts w:ascii="Palatino Linotype" w:hAnsi="Palatino Linotype" w:cs="Tahoma"/>
          <w:sz w:val="22"/>
          <w:szCs w:val="22"/>
          <w:lang w:val="es-ES_tradnl"/>
        </w:rPr>
        <w:t xml:space="preserve">, </w:t>
      </w:r>
      <w:r w:rsidR="00DD48C1">
        <w:rPr>
          <w:rFonts w:ascii="Palatino Linotype" w:hAnsi="Palatino Linotype" w:cs="Tahoma"/>
          <w:bCs/>
          <w:iCs/>
          <w:sz w:val="22"/>
          <w:szCs w:val="22"/>
        </w:rPr>
        <w:t>el Informe J</w:t>
      </w:r>
      <w:r w:rsidR="003D5FF4" w:rsidRPr="004059FB">
        <w:rPr>
          <w:rFonts w:ascii="Palatino Linotype" w:hAnsi="Palatino Linotype" w:cs="Tahoma"/>
          <w:bCs/>
          <w:iCs/>
          <w:sz w:val="22"/>
          <w:szCs w:val="22"/>
        </w:rPr>
        <w:t>ustificado</w:t>
      </w:r>
      <w:r w:rsidR="00776811" w:rsidRPr="004059FB">
        <w:rPr>
          <w:rFonts w:ascii="Palatino Linotype" w:hAnsi="Palatino Linotype" w:cs="Tahoma"/>
          <w:bCs/>
          <w:iCs/>
          <w:sz w:val="22"/>
          <w:szCs w:val="22"/>
        </w:rPr>
        <w:t xml:space="preserve"> con número 203F 80000-UT-1</w:t>
      </w:r>
      <w:r w:rsidR="006E4FCB">
        <w:rPr>
          <w:rFonts w:ascii="Palatino Linotype" w:hAnsi="Palatino Linotype" w:cs="Tahoma"/>
          <w:bCs/>
          <w:iCs/>
          <w:sz w:val="22"/>
          <w:szCs w:val="22"/>
        </w:rPr>
        <w:t>252</w:t>
      </w:r>
      <w:r w:rsidR="00776811" w:rsidRPr="004059FB">
        <w:rPr>
          <w:rFonts w:ascii="Palatino Linotype" w:hAnsi="Palatino Linotype" w:cs="Tahoma"/>
          <w:bCs/>
          <w:iCs/>
          <w:sz w:val="22"/>
          <w:szCs w:val="22"/>
        </w:rPr>
        <w:t>/2018, suscrito por el Responsable y Titular de la Unidad de Transparencia</w:t>
      </w:r>
      <w:r w:rsidR="003D5FF4" w:rsidRPr="004059FB">
        <w:rPr>
          <w:rFonts w:ascii="Palatino Linotype" w:hAnsi="Palatino Linotype" w:cs="Tahoma"/>
          <w:bCs/>
          <w:iCs/>
          <w:sz w:val="22"/>
          <w:szCs w:val="22"/>
        </w:rPr>
        <w:t xml:space="preserve"> del Instituto de Seguridad Social del Estado de México y Municipios</w:t>
      </w:r>
      <w:r w:rsidR="00DD48C1">
        <w:rPr>
          <w:rFonts w:ascii="Palatino Linotype" w:hAnsi="Palatino Linotype" w:cs="Tahoma"/>
          <w:bCs/>
          <w:iCs/>
          <w:sz w:val="22"/>
          <w:szCs w:val="22"/>
        </w:rPr>
        <w:t>,</w:t>
      </w:r>
      <w:r w:rsidR="00776811" w:rsidRPr="004059FB">
        <w:rPr>
          <w:rFonts w:ascii="Palatino Linotype" w:hAnsi="Palatino Linotype" w:cs="Tahoma"/>
          <w:bCs/>
          <w:iCs/>
          <w:sz w:val="22"/>
          <w:szCs w:val="22"/>
        </w:rPr>
        <w:t xml:space="preserve"> y dirigido al Comisionado Ponente</w:t>
      </w:r>
      <w:r w:rsidR="003D5FF4" w:rsidRPr="004059FB">
        <w:rPr>
          <w:rFonts w:ascii="Palatino Linotype" w:hAnsi="Palatino Linotype" w:cs="Tahoma"/>
          <w:sz w:val="22"/>
          <w:szCs w:val="22"/>
        </w:rPr>
        <w:t>, que en su parte medular menciona lo siguiente:</w:t>
      </w:r>
    </w:p>
    <w:p w14:paraId="6294F902" w14:textId="77777777" w:rsidR="006E4FCB" w:rsidRDefault="006E4FCB" w:rsidP="00F72CA9">
      <w:pPr>
        <w:spacing w:line="360" w:lineRule="auto"/>
        <w:ind w:left="567" w:right="567"/>
        <w:jc w:val="both"/>
        <w:rPr>
          <w:rFonts w:ascii="Palatino Linotype" w:hAnsi="Palatino Linotype" w:cs="Tahoma"/>
        </w:rPr>
      </w:pPr>
    </w:p>
    <w:p w14:paraId="0821B08D" w14:textId="77777777" w:rsidR="00D756AC" w:rsidRDefault="006E4FCB" w:rsidP="00F72CA9">
      <w:pPr>
        <w:spacing w:line="360" w:lineRule="auto"/>
        <w:ind w:left="567" w:right="567"/>
        <w:jc w:val="both"/>
        <w:rPr>
          <w:rFonts w:ascii="Palatino Linotype" w:hAnsi="Palatino Linotype" w:cs="Tahoma"/>
        </w:rPr>
      </w:pPr>
      <w:r>
        <w:rPr>
          <w:rFonts w:ascii="Palatino Linotype" w:hAnsi="Palatino Linotype" w:cs="Tahoma"/>
        </w:rPr>
        <w:lastRenderedPageBreak/>
        <w:t>“…</w:t>
      </w:r>
    </w:p>
    <w:p w14:paraId="0F7EB724" w14:textId="77777777" w:rsidR="006E4FCB" w:rsidRDefault="006E4FCB" w:rsidP="00F72CA9">
      <w:pPr>
        <w:spacing w:line="360" w:lineRule="auto"/>
        <w:ind w:left="567" w:right="567"/>
        <w:jc w:val="both"/>
        <w:rPr>
          <w:rFonts w:ascii="Palatino Linotype" w:hAnsi="Palatino Linotype" w:cs="Tahoma"/>
        </w:rPr>
      </w:pPr>
      <w:r>
        <w:rPr>
          <w:rFonts w:ascii="Palatino Linotype" w:hAnsi="Palatino Linotype" w:cs="Tahoma"/>
        </w:rPr>
        <w:t>Mediante oficio 203F 50000 CF/1625/2018, el Servidor Público Habilitado de la Coordinación de Finanzas, cambio el sentido de su respuesta, haciendo del conocimiento a esta Unidad de Transparencia que se pidió clasificar como confidencial el monto por interacciones, debido a que está en proceso las ventas de activos de la cartera, por lo tanto, la divulgación de dicha información puede afectar las operaciones en proceso.</w:t>
      </w:r>
    </w:p>
    <w:p w14:paraId="0B44901C" w14:textId="77777777" w:rsidR="006E4FCB" w:rsidRDefault="006E4FCB" w:rsidP="00F72CA9">
      <w:pPr>
        <w:spacing w:line="360" w:lineRule="auto"/>
        <w:ind w:left="567" w:right="567"/>
        <w:jc w:val="center"/>
        <w:rPr>
          <w:rFonts w:ascii="Palatino Linotype" w:hAnsi="Palatino Linotype" w:cs="Tahoma"/>
        </w:rPr>
      </w:pPr>
    </w:p>
    <w:p w14:paraId="60594635" w14:textId="77777777" w:rsidR="00D756AC" w:rsidRDefault="00D756AC" w:rsidP="00F72CA9">
      <w:pPr>
        <w:spacing w:line="360" w:lineRule="auto"/>
        <w:ind w:left="567" w:right="567"/>
        <w:jc w:val="both"/>
        <w:rPr>
          <w:rFonts w:ascii="Palatino Linotype" w:hAnsi="Palatino Linotype" w:cs="Tahoma"/>
        </w:rPr>
      </w:pPr>
      <w:r w:rsidRPr="00D756AC">
        <w:rPr>
          <w:rFonts w:ascii="Palatino Linotype" w:hAnsi="Palatino Linotype" w:cs="Tahoma"/>
        </w:rPr>
        <w:t xml:space="preserve">Finalmente, solicito a usted </w:t>
      </w:r>
      <w:r w:rsidR="006E4FCB">
        <w:rPr>
          <w:rFonts w:ascii="Palatino Linotype" w:hAnsi="Palatino Linotype" w:cs="Tahoma"/>
          <w:b/>
        </w:rPr>
        <w:t>sobreseer</w:t>
      </w:r>
      <w:r w:rsidRPr="00D756AC">
        <w:rPr>
          <w:rFonts w:ascii="Palatino Linotype" w:hAnsi="Palatino Linotype" w:cs="Tahoma"/>
        </w:rPr>
        <w:t xml:space="preserve"> </w:t>
      </w:r>
      <w:r w:rsidR="006E4FCB">
        <w:rPr>
          <w:rFonts w:ascii="Palatino Linotype" w:hAnsi="Palatino Linotype" w:cs="Tahoma"/>
        </w:rPr>
        <w:t xml:space="preserve">el Recurso de Revisión interpuesto en contra de este Instituto, de conformidad con el </w:t>
      </w:r>
      <w:r>
        <w:rPr>
          <w:rFonts w:ascii="Palatino Linotype" w:hAnsi="Palatino Linotype" w:cs="Tahoma"/>
        </w:rPr>
        <w:t>186</w:t>
      </w:r>
      <w:r w:rsidRPr="00D756AC">
        <w:rPr>
          <w:rFonts w:ascii="Palatino Linotype" w:hAnsi="Palatino Linotype" w:cs="Tahoma"/>
        </w:rPr>
        <w:t xml:space="preserve"> fracción </w:t>
      </w:r>
      <w:r w:rsidR="006E4FCB">
        <w:rPr>
          <w:rFonts w:ascii="Palatino Linotype" w:hAnsi="Palatino Linotype" w:cs="Tahoma"/>
        </w:rPr>
        <w:t>I</w:t>
      </w:r>
      <w:r w:rsidRPr="00D756AC">
        <w:rPr>
          <w:rFonts w:ascii="Palatino Linotype" w:hAnsi="Palatino Linotype" w:cs="Tahoma"/>
        </w:rPr>
        <w:t>I de la Ley de Transparencia y Acceso a la</w:t>
      </w:r>
      <w:r>
        <w:rPr>
          <w:rFonts w:ascii="Palatino Linotype" w:hAnsi="Palatino Linotype" w:cs="Tahoma"/>
        </w:rPr>
        <w:t xml:space="preserve"> I</w:t>
      </w:r>
      <w:r w:rsidRPr="00D756AC">
        <w:rPr>
          <w:rFonts w:ascii="Palatino Linotype" w:hAnsi="Palatino Linotype" w:cs="Tahoma"/>
        </w:rPr>
        <w:t>nformación</w:t>
      </w:r>
      <w:r>
        <w:rPr>
          <w:rFonts w:ascii="Palatino Linotype" w:hAnsi="Palatino Linotype" w:cs="Tahoma"/>
        </w:rPr>
        <w:t xml:space="preserve"> Pública del Estado d</w:t>
      </w:r>
      <w:r w:rsidRPr="00D756AC">
        <w:rPr>
          <w:rFonts w:ascii="Palatino Linotype" w:hAnsi="Palatino Linotype" w:cs="Tahoma"/>
        </w:rPr>
        <w:t xml:space="preserve">e México y </w:t>
      </w:r>
      <w:r>
        <w:rPr>
          <w:rFonts w:ascii="Palatino Linotype" w:hAnsi="Palatino Linotype" w:cs="Tahoma"/>
        </w:rPr>
        <w:t>M</w:t>
      </w:r>
      <w:r w:rsidRPr="00D756AC">
        <w:rPr>
          <w:rFonts w:ascii="Palatino Linotype" w:hAnsi="Palatino Linotype" w:cs="Tahoma"/>
        </w:rPr>
        <w:t>unicipios.</w:t>
      </w:r>
    </w:p>
    <w:p w14:paraId="5BE73665" w14:textId="77777777" w:rsidR="00D756AC" w:rsidRPr="00D756AC" w:rsidRDefault="00D756AC" w:rsidP="00F72CA9">
      <w:pPr>
        <w:spacing w:line="360" w:lineRule="auto"/>
        <w:ind w:left="567" w:right="567"/>
        <w:jc w:val="both"/>
        <w:rPr>
          <w:rFonts w:ascii="Palatino Linotype" w:hAnsi="Palatino Linotype" w:cs="Tahoma"/>
        </w:rPr>
      </w:pPr>
    </w:p>
    <w:p w14:paraId="501EA40C" w14:textId="77777777" w:rsidR="00D756AC" w:rsidRDefault="00D756AC" w:rsidP="00F72CA9">
      <w:pPr>
        <w:spacing w:line="360" w:lineRule="auto"/>
        <w:ind w:left="567" w:right="567"/>
        <w:jc w:val="both"/>
        <w:rPr>
          <w:rFonts w:ascii="Palatino Linotype" w:hAnsi="Palatino Linotype" w:cs="Tahoma"/>
        </w:rPr>
      </w:pPr>
      <w:r w:rsidRPr="00D756AC">
        <w:rPr>
          <w:rFonts w:ascii="Palatino Linotype" w:hAnsi="Palatino Linotype" w:cs="Tahoma"/>
        </w:rPr>
        <w:t xml:space="preserve">Adjunto </w:t>
      </w:r>
      <w:r w:rsidR="00725B77">
        <w:rPr>
          <w:rFonts w:ascii="Palatino Linotype" w:hAnsi="Palatino Linotype" w:cs="Tahoma"/>
        </w:rPr>
        <w:t>para pronta referencia</w:t>
      </w:r>
      <w:r w:rsidRPr="00D756AC">
        <w:rPr>
          <w:rFonts w:ascii="Palatino Linotype" w:hAnsi="Palatino Linotype" w:cs="Tahoma"/>
        </w:rPr>
        <w:t xml:space="preserve"> los siguientes documentos:</w:t>
      </w:r>
    </w:p>
    <w:p w14:paraId="428834A7" w14:textId="77777777" w:rsidR="00D756AC" w:rsidRPr="00D756AC" w:rsidRDefault="00D756AC" w:rsidP="00F72CA9">
      <w:pPr>
        <w:spacing w:line="360" w:lineRule="auto"/>
        <w:ind w:left="567" w:right="567"/>
        <w:jc w:val="both"/>
        <w:rPr>
          <w:rFonts w:ascii="Palatino Linotype" w:hAnsi="Palatino Linotype" w:cs="Tahoma"/>
        </w:rPr>
      </w:pPr>
    </w:p>
    <w:p w14:paraId="7E58D1C4" w14:textId="77777777" w:rsidR="00D756AC" w:rsidRDefault="00D756AC" w:rsidP="00F72CA9">
      <w:pPr>
        <w:spacing w:line="360" w:lineRule="auto"/>
        <w:ind w:left="567" w:right="567"/>
        <w:jc w:val="both"/>
        <w:rPr>
          <w:rFonts w:ascii="Palatino Linotype" w:hAnsi="Palatino Linotype" w:cs="Tahoma"/>
        </w:rPr>
      </w:pPr>
      <w:r>
        <w:rPr>
          <w:rFonts w:ascii="Palatino Linotype" w:hAnsi="Palatino Linotype" w:cs="Tahoma"/>
        </w:rPr>
        <w:t xml:space="preserve">a) </w:t>
      </w:r>
      <w:r w:rsidRPr="00D756AC">
        <w:rPr>
          <w:rFonts w:ascii="Palatino Linotype" w:hAnsi="Palatino Linotype" w:cs="Tahoma"/>
        </w:rPr>
        <w:t>Formato de recurso de revisión registrado con el número 0</w:t>
      </w:r>
      <w:r w:rsidR="004F0C1F">
        <w:rPr>
          <w:rFonts w:ascii="Palatino Linotype" w:hAnsi="Palatino Linotype" w:cs="Tahoma"/>
        </w:rPr>
        <w:t>4376</w:t>
      </w:r>
      <w:r w:rsidRPr="00D756AC">
        <w:rPr>
          <w:rFonts w:ascii="Palatino Linotype" w:hAnsi="Palatino Linotype" w:cs="Tahoma"/>
        </w:rPr>
        <w:t>/INFOEN//</w:t>
      </w:r>
      <w:proofErr w:type="spellStart"/>
      <w:r w:rsidRPr="00D756AC">
        <w:rPr>
          <w:rFonts w:ascii="Palatino Linotype" w:hAnsi="Palatino Linotype" w:cs="Tahoma"/>
        </w:rPr>
        <w:t>IPlRR</w:t>
      </w:r>
      <w:proofErr w:type="spellEnd"/>
      <w:r w:rsidRPr="00D756AC">
        <w:rPr>
          <w:rFonts w:ascii="Palatino Linotype" w:hAnsi="Palatino Linotype" w:cs="Tahoma"/>
        </w:rPr>
        <w:t>/2018.</w:t>
      </w:r>
    </w:p>
    <w:p w14:paraId="30744A02" w14:textId="77777777" w:rsidR="0063119B" w:rsidRPr="00D756AC" w:rsidRDefault="0063119B" w:rsidP="00F72CA9">
      <w:pPr>
        <w:spacing w:line="360" w:lineRule="auto"/>
        <w:ind w:right="567"/>
        <w:jc w:val="both"/>
        <w:rPr>
          <w:rFonts w:ascii="Palatino Linotype" w:hAnsi="Palatino Linotype" w:cs="Tahoma"/>
        </w:rPr>
      </w:pPr>
    </w:p>
    <w:p w14:paraId="784807AA" w14:textId="77777777" w:rsidR="00D756AC" w:rsidRDefault="00D756AC" w:rsidP="00F72CA9">
      <w:pPr>
        <w:spacing w:line="360" w:lineRule="auto"/>
        <w:ind w:left="567" w:right="567"/>
        <w:jc w:val="both"/>
        <w:rPr>
          <w:rFonts w:ascii="Palatino Linotype" w:hAnsi="Palatino Linotype" w:cs="Tahoma"/>
        </w:rPr>
      </w:pPr>
      <w:r>
        <w:rPr>
          <w:rFonts w:ascii="Palatino Linotype" w:hAnsi="Palatino Linotype" w:cs="Tahoma"/>
        </w:rPr>
        <w:t xml:space="preserve">b) </w:t>
      </w:r>
      <w:r w:rsidRPr="00D756AC">
        <w:rPr>
          <w:rFonts w:ascii="Palatino Linotype" w:hAnsi="Palatino Linotype" w:cs="Tahoma"/>
        </w:rPr>
        <w:t>Solicitud de información número 0071 6/ISSEMYM/IP/201 B.</w:t>
      </w:r>
    </w:p>
    <w:p w14:paraId="7E5AF5E5" w14:textId="77777777" w:rsidR="0063119B" w:rsidRPr="00D756AC" w:rsidRDefault="0063119B" w:rsidP="00F72CA9">
      <w:pPr>
        <w:spacing w:line="360" w:lineRule="auto"/>
        <w:ind w:left="567" w:right="567"/>
        <w:jc w:val="both"/>
        <w:rPr>
          <w:rFonts w:ascii="Palatino Linotype" w:hAnsi="Palatino Linotype" w:cs="Tahoma"/>
        </w:rPr>
      </w:pPr>
    </w:p>
    <w:p w14:paraId="02985D30" w14:textId="77777777" w:rsidR="00D756AC" w:rsidRDefault="00D756AC" w:rsidP="00F72CA9">
      <w:pPr>
        <w:spacing w:line="360" w:lineRule="auto"/>
        <w:ind w:left="567" w:right="567"/>
        <w:jc w:val="both"/>
        <w:rPr>
          <w:rFonts w:ascii="Palatino Linotype" w:hAnsi="Palatino Linotype" w:cs="Tahoma"/>
        </w:rPr>
      </w:pPr>
      <w:r>
        <w:rPr>
          <w:rFonts w:ascii="Palatino Linotype" w:hAnsi="Palatino Linotype" w:cs="Tahoma"/>
        </w:rPr>
        <w:t xml:space="preserve">c) </w:t>
      </w:r>
      <w:r w:rsidRPr="00D756AC">
        <w:rPr>
          <w:rFonts w:ascii="Palatino Linotype" w:hAnsi="Palatino Linotype" w:cs="Tahoma"/>
        </w:rPr>
        <w:t>Oficio de respuesta número 203F 80000-UT-1168/2A18.</w:t>
      </w:r>
    </w:p>
    <w:p w14:paraId="2A3BABD1" w14:textId="77777777" w:rsidR="003D5FF4" w:rsidRPr="004059FB" w:rsidRDefault="003D5FF4" w:rsidP="00F72CA9">
      <w:pPr>
        <w:spacing w:line="360" w:lineRule="auto"/>
        <w:ind w:left="567" w:right="567"/>
        <w:jc w:val="both"/>
        <w:rPr>
          <w:rFonts w:ascii="Palatino Linotype" w:hAnsi="Palatino Linotype" w:cs="Tahoma"/>
        </w:rPr>
      </w:pPr>
      <w:r w:rsidRPr="004059FB">
        <w:rPr>
          <w:rFonts w:ascii="Palatino Linotype" w:hAnsi="Palatino Linotype" w:cs="Tahoma"/>
        </w:rPr>
        <w:t>…”</w:t>
      </w:r>
    </w:p>
    <w:p w14:paraId="4E3B3F4D" w14:textId="77777777" w:rsidR="003D5FF4" w:rsidRDefault="003D5FF4" w:rsidP="00F72CA9">
      <w:pPr>
        <w:spacing w:line="360" w:lineRule="auto"/>
        <w:jc w:val="both"/>
        <w:rPr>
          <w:rFonts w:ascii="Palatino Linotype" w:hAnsi="Palatino Linotype" w:cs="Tahoma"/>
          <w:sz w:val="22"/>
          <w:szCs w:val="24"/>
        </w:rPr>
      </w:pPr>
    </w:p>
    <w:p w14:paraId="51F85DAA" w14:textId="77777777" w:rsidR="00725B77" w:rsidRPr="004059FB" w:rsidRDefault="00725B77" w:rsidP="00F72CA9">
      <w:pPr>
        <w:spacing w:line="360" w:lineRule="auto"/>
        <w:jc w:val="both"/>
        <w:rPr>
          <w:rFonts w:ascii="Palatino Linotype" w:hAnsi="Palatino Linotype" w:cs="Tahoma"/>
          <w:sz w:val="22"/>
          <w:szCs w:val="24"/>
        </w:rPr>
      </w:pPr>
      <w:r>
        <w:rPr>
          <w:rFonts w:ascii="Palatino Linotype" w:hAnsi="Palatino Linotype" w:cs="Tahoma"/>
          <w:sz w:val="22"/>
          <w:szCs w:val="24"/>
        </w:rPr>
        <w:t>Cabe precisar, que dicho Informe Justificado, no fue puesto a la vista del Particular, pues el Sujeto Obligado reiteró la clasificación de la información.</w:t>
      </w:r>
    </w:p>
    <w:p w14:paraId="402E23CA" w14:textId="77777777" w:rsidR="00575AAE" w:rsidRDefault="00575AAE" w:rsidP="00F72CA9">
      <w:pPr>
        <w:spacing w:line="360" w:lineRule="auto"/>
        <w:jc w:val="both"/>
        <w:rPr>
          <w:rFonts w:ascii="Palatino Linotype" w:hAnsi="Palatino Linotype" w:cs="Tahoma"/>
          <w:b/>
          <w:sz w:val="22"/>
          <w:szCs w:val="24"/>
        </w:rPr>
      </w:pPr>
    </w:p>
    <w:p w14:paraId="451FDED7" w14:textId="77777777" w:rsidR="00E056A5" w:rsidRDefault="00725B77" w:rsidP="00F72CA9">
      <w:pPr>
        <w:spacing w:line="360" w:lineRule="auto"/>
        <w:jc w:val="both"/>
        <w:rPr>
          <w:rFonts w:ascii="Palatino Linotype" w:hAnsi="Palatino Linotype" w:cs="Tahoma"/>
          <w:sz w:val="22"/>
          <w:szCs w:val="22"/>
        </w:rPr>
      </w:pPr>
      <w:r>
        <w:rPr>
          <w:rFonts w:ascii="Palatino Linotype" w:hAnsi="Palatino Linotype" w:cs="Tahoma"/>
          <w:b/>
          <w:sz w:val="22"/>
          <w:szCs w:val="24"/>
        </w:rPr>
        <w:t>d</w:t>
      </w:r>
      <w:r w:rsidR="00575AAE">
        <w:rPr>
          <w:rFonts w:ascii="Palatino Linotype" w:hAnsi="Palatino Linotype" w:cs="Tahoma"/>
          <w:b/>
          <w:sz w:val="22"/>
          <w:szCs w:val="24"/>
        </w:rPr>
        <w:t xml:space="preserve">) </w:t>
      </w:r>
      <w:r w:rsidR="00E056A5">
        <w:rPr>
          <w:rFonts w:ascii="Palatino Linotype" w:hAnsi="Palatino Linotype" w:cs="Tahoma"/>
          <w:b/>
          <w:sz w:val="22"/>
          <w:szCs w:val="22"/>
        </w:rPr>
        <w:t xml:space="preserve">Requerimiento de información adicional: </w:t>
      </w:r>
      <w:r w:rsidR="00E056A5" w:rsidRPr="00241228">
        <w:rPr>
          <w:rFonts w:ascii="Palatino Linotype" w:hAnsi="Palatino Linotype" w:cs="Tahoma"/>
          <w:sz w:val="22"/>
          <w:szCs w:val="22"/>
        </w:rPr>
        <w:t xml:space="preserve">El </w:t>
      </w:r>
      <w:r w:rsidR="00E056A5">
        <w:rPr>
          <w:rFonts w:ascii="Palatino Linotype" w:hAnsi="Palatino Linotype" w:cs="Tahoma"/>
          <w:sz w:val="22"/>
          <w:szCs w:val="22"/>
        </w:rPr>
        <w:t>veintidós de enero</w:t>
      </w:r>
      <w:r w:rsidR="00E056A5" w:rsidRPr="00241228">
        <w:rPr>
          <w:rFonts w:ascii="Palatino Linotype" w:hAnsi="Palatino Linotype" w:cs="Tahoma"/>
          <w:sz w:val="22"/>
          <w:szCs w:val="22"/>
        </w:rPr>
        <w:t xml:space="preserve"> </w:t>
      </w:r>
      <w:r w:rsidR="00E056A5">
        <w:rPr>
          <w:rFonts w:ascii="Palatino Linotype" w:hAnsi="Palatino Linotype" w:cs="Tahoma"/>
          <w:sz w:val="22"/>
          <w:szCs w:val="22"/>
        </w:rPr>
        <w:t>de dos mil diecinueve, se dictó A</w:t>
      </w:r>
      <w:r w:rsidR="00E056A5" w:rsidRPr="00241228">
        <w:rPr>
          <w:rFonts w:ascii="Palatino Linotype" w:hAnsi="Palatino Linotype" w:cs="Tahoma"/>
          <w:sz w:val="22"/>
          <w:szCs w:val="22"/>
        </w:rPr>
        <w:t xml:space="preserve">cuerdo por medio del cual se realizó un requerimiento de información adicional al </w:t>
      </w:r>
      <w:r w:rsidR="00E056A5">
        <w:rPr>
          <w:rFonts w:ascii="Palatino Linotype" w:hAnsi="Palatino Linotype" w:cs="Tahoma"/>
          <w:sz w:val="22"/>
          <w:szCs w:val="22"/>
        </w:rPr>
        <w:t>S</w:t>
      </w:r>
      <w:r w:rsidR="00E056A5" w:rsidRPr="00241228">
        <w:rPr>
          <w:rFonts w:ascii="Palatino Linotype" w:hAnsi="Palatino Linotype" w:cs="Tahoma"/>
          <w:sz w:val="22"/>
          <w:szCs w:val="22"/>
        </w:rPr>
        <w:t xml:space="preserve">ujeto </w:t>
      </w:r>
      <w:r w:rsidR="00E056A5">
        <w:rPr>
          <w:rFonts w:ascii="Palatino Linotype" w:hAnsi="Palatino Linotype" w:cs="Tahoma"/>
          <w:sz w:val="22"/>
          <w:szCs w:val="22"/>
        </w:rPr>
        <w:t>O</w:t>
      </w:r>
      <w:r w:rsidR="00E056A5" w:rsidRPr="00241228">
        <w:rPr>
          <w:rFonts w:ascii="Palatino Linotype" w:hAnsi="Palatino Linotype" w:cs="Tahoma"/>
          <w:sz w:val="22"/>
          <w:szCs w:val="22"/>
        </w:rPr>
        <w:t xml:space="preserve">bligado, de conformidad con los artículos </w:t>
      </w:r>
      <w:r w:rsidR="00E056A5">
        <w:rPr>
          <w:rFonts w:ascii="Palatino Linotype" w:hAnsi="Palatino Linotype" w:cs="Tahoma"/>
          <w:sz w:val="22"/>
          <w:szCs w:val="22"/>
        </w:rPr>
        <w:t xml:space="preserve">14, fracciones I, II, V y XVI del Reglamento Interior del Instituto de Transparencia, Acceso a la Información Pública y Protección de Datos </w:t>
      </w:r>
      <w:r w:rsidR="00E056A5">
        <w:rPr>
          <w:rFonts w:ascii="Palatino Linotype" w:hAnsi="Palatino Linotype" w:cs="Tahoma"/>
          <w:sz w:val="22"/>
          <w:szCs w:val="22"/>
        </w:rPr>
        <w:lastRenderedPageBreak/>
        <w:t>Personales del Estado de México y Municipios</w:t>
      </w:r>
      <w:r w:rsidR="00E056A5" w:rsidRPr="00241228">
        <w:rPr>
          <w:rFonts w:ascii="Palatino Linotype" w:hAnsi="Palatino Linotype" w:cs="Tahoma"/>
          <w:sz w:val="22"/>
          <w:szCs w:val="22"/>
        </w:rPr>
        <w:t xml:space="preserve">, el cual fue notificado </w:t>
      </w:r>
      <w:r w:rsidR="00E056A5">
        <w:rPr>
          <w:rFonts w:ascii="Palatino Linotype" w:hAnsi="Palatino Linotype" w:cs="Tahoma"/>
          <w:sz w:val="22"/>
          <w:szCs w:val="22"/>
        </w:rPr>
        <w:t xml:space="preserve">al </w:t>
      </w:r>
      <w:r w:rsidR="00E056A5" w:rsidRPr="00E056A5">
        <w:rPr>
          <w:rFonts w:ascii="Palatino Linotype" w:hAnsi="Palatino Linotype" w:cs="Tahoma"/>
          <w:sz w:val="22"/>
          <w:szCs w:val="22"/>
        </w:rPr>
        <w:t>Instituto de Seguridad Social del Estado de México y Municipios</w:t>
      </w:r>
      <w:r w:rsidR="00E056A5" w:rsidRPr="00241228">
        <w:rPr>
          <w:rFonts w:ascii="Palatino Linotype" w:hAnsi="Palatino Linotype" w:cs="Tahoma"/>
          <w:sz w:val="22"/>
          <w:szCs w:val="22"/>
        </w:rPr>
        <w:t xml:space="preserve">, el </w:t>
      </w:r>
      <w:r w:rsidR="00E056A5">
        <w:rPr>
          <w:rFonts w:ascii="Palatino Linotype" w:hAnsi="Palatino Linotype" w:cs="Tahoma"/>
          <w:sz w:val="22"/>
          <w:szCs w:val="22"/>
        </w:rPr>
        <w:t>veintitrés</w:t>
      </w:r>
      <w:r w:rsidR="00E056A5" w:rsidRPr="00241228">
        <w:rPr>
          <w:rFonts w:ascii="Palatino Linotype" w:hAnsi="Palatino Linotype" w:cs="Tahoma"/>
          <w:sz w:val="22"/>
          <w:szCs w:val="22"/>
        </w:rPr>
        <w:t xml:space="preserve"> del mismo mes y año, por medio del cual se </w:t>
      </w:r>
      <w:r w:rsidR="00E056A5">
        <w:rPr>
          <w:rFonts w:ascii="Palatino Linotype" w:hAnsi="Palatino Linotype" w:cs="Tahoma"/>
          <w:sz w:val="22"/>
          <w:szCs w:val="22"/>
        </w:rPr>
        <w:t>solicitó aclarara lo siguiente:</w:t>
      </w:r>
    </w:p>
    <w:p w14:paraId="72B4AB81" w14:textId="77777777" w:rsidR="00725B77" w:rsidRDefault="00725B77" w:rsidP="00F72CA9">
      <w:pPr>
        <w:spacing w:line="360" w:lineRule="auto"/>
        <w:jc w:val="both"/>
        <w:rPr>
          <w:rFonts w:ascii="Palatino Linotype" w:hAnsi="Palatino Linotype" w:cs="Tahoma"/>
          <w:b/>
          <w:sz w:val="22"/>
          <w:szCs w:val="24"/>
        </w:rPr>
      </w:pPr>
    </w:p>
    <w:p w14:paraId="1824660F" w14:textId="77777777" w:rsidR="00E056A5" w:rsidRPr="00666FF7" w:rsidRDefault="00E056A5" w:rsidP="00F72CA9">
      <w:pPr>
        <w:spacing w:line="360" w:lineRule="auto"/>
        <w:ind w:left="567" w:right="567"/>
        <w:jc w:val="both"/>
        <w:rPr>
          <w:rFonts w:ascii="Palatino Linotype" w:hAnsi="Palatino Linotype" w:cs="Tahoma"/>
        </w:rPr>
      </w:pPr>
      <w:r w:rsidRPr="00666FF7">
        <w:rPr>
          <w:rFonts w:ascii="Palatino Linotype" w:hAnsi="Palatino Linotype" w:cs="Tahoma"/>
        </w:rPr>
        <w:t>“…</w:t>
      </w:r>
    </w:p>
    <w:p w14:paraId="476BFA08" w14:textId="77777777" w:rsidR="00E056A5" w:rsidRPr="00666FF7" w:rsidRDefault="00E056A5" w:rsidP="00F72CA9">
      <w:pPr>
        <w:pStyle w:val="Prrafodelista"/>
        <w:numPr>
          <w:ilvl w:val="0"/>
          <w:numId w:val="32"/>
        </w:numPr>
        <w:tabs>
          <w:tab w:val="left" w:pos="567"/>
        </w:tabs>
        <w:spacing w:line="360" w:lineRule="auto"/>
        <w:ind w:left="993" w:right="567"/>
        <w:jc w:val="both"/>
        <w:rPr>
          <w:rFonts w:ascii="Palatino Linotype" w:hAnsi="Palatino Linotype" w:cs="Tahoma"/>
          <w:sz w:val="20"/>
          <w:szCs w:val="20"/>
        </w:rPr>
      </w:pPr>
      <w:r w:rsidRPr="00666FF7">
        <w:rPr>
          <w:rFonts w:ascii="Palatino Linotype" w:hAnsi="Palatino Linotype" w:cs="Tahoma"/>
          <w:sz w:val="20"/>
          <w:szCs w:val="20"/>
        </w:rPr>
        <w:t xml:space="preserve">Precise que son las interacciones a nombre del </w:t>
      </w:r>
      <w:r w:rsidRPr="00666FF7">
        <w:rPr>
          <w:rFonts w:ascii="Palatino Linotype" w:eastAsia="Calibri" w:hAnsi="Palatino Linotype" w:cs="Tahoma"/>
          <w:bCs/>
          <w:sz w:val="20"/>
          <w:szCs w:val="20"/>
        </w:rPr>
        <w:t>Instituto de Seguridad Social del Estado de México y Municipio.</w:t>
      </w:r>
    </w:p>
    <w:p w14:paraId="1463E1AC" w14:textId="77777777" w:rsidR="00E056A5" w:rsidRPr="00666FF7" w:rsidRDefault="00E056A5" w:rsidP="00F72CA9">
      <w:pPr>
        <w:pStyle w:val="Prrafodelista"/>
        <w:tabs>
          <w:tab w:val="left" w:pos="567"/>
        </w:tabs>
        <w:spacing w:line="360" w:lineRule="auto"/>
        <w:ind w:left="993" w:right="567"/>
        <w:jc w:val="both"/>
        <w:rPr>
          <w:rFonts w:ascii="Palatino Linotype" w:hAnsi="Palatino Linotype" w:cs="Tahoma"/>
          <w:sz w:val="20"/>
          <w:szCs w:val="20"/>
        </w:rPr>
      </w:pPr>
    </w:p>
    <w:p w14:paraId="56D53204" w14:textId="77777777" w:rsidR="00E056A5" w:rsidRPr="00666FF7" w:rsidRDefault="00E056A5" w:rsidP="00F72CA9">
      <w:pPr>
        <w:pStyle w:val="Prrafodelista"/>
        <w:numPr>
          <w:ilvl w:val="0"/>
          <w:numId w:val="32"/>
        </w:numPr>
        <w:tabs>
          <w:tab w:val="left" w:pos="567"/>
        </w:tabs>
        <w:spacing w:line="360" w:lineRule="auto"/>
        <w:ind w:left="993" w:right="567"/>
        <w:jc w:val="both"/>
        <w:rPr>
          <w:rFonts w:ascii="Palatino Linotype" w:hAnsi="Palatino Linotype" w:cs="Tahoma"/>
          <w:sz w:val="20"/>
          <w:szCs w:val="20"/>
        </w:rPr>
      </w:pPr>
      <w:r w:rsidRPr="00666FF7">
        <w:rPr>
          <w:rFonts w:ascii="Palatino Linotype" w:eastAsia="Calibri" w:hAnsi="Palatino Linotype" w:cs="Tahoma"/>
          <w:bCs/>
          <w:sz w:val="20"/>
          <w:szCs w:val="20"/>
        </w:rPr>
        <w:t xml:space="preserve">Aclare </w:t>
      </w:r>
      <w:r w:rsidR="00666FF7" w:rsidRPr="00666FF7">
        <w:rPr>
          <w:rFonts w:ascii="Palatino Linotype" w:eastAsia="Calibri" w:hAnsi="Palatino Linotype" w:cs="Tahoma"/>
          <w:bCs/>
          <w:sz w:val="20"/>
          <w:szCs w:val="20"/>
        </w:rPr>
        <w:t>cómo</w:t>
      </w:r>
      <w:r w:rsidRPr="00666FF7">
        <w:rPr>
          <w:rFonts w:ascii="Palatino Linotype" w:eastAsia="Calibri" w:hAnsi="Palatino Linotype" w:cs="Tahoma"/>
          <w:bCs/>
          <w:sz w:val="20"/>
          <w:szCs w:val="20"/>
        </w:rPr>
        <w:t xml:space="preserve"> se conforma el monto actual bajo administración por interacciones señaladas en el punto anterior.</w:t>
      </w:r>
    </w:p>
    <w:p w14:paraId="4BEC9593" w14:textId="77777777" w:rsidR="00E056A5" w:rsidRPr="00666FF7" w:rsidRDefault="00E056A5" w:rsidP="00F72CA9">
      <w:pPr>
        <w:pStyle w:val="Prrafodelista"/>
        <w:tabs>
          <w:tab w:val="left" w:pos="567"/>
        </w:tabs>
        <w:spacing w:line="360" w:lineRule="auto"/>
        <w:ind w:left="993" w:right="567"/>
        <w:jc w:val="both"/>
        <w:rPr>
          <w:rFonts w:ascii="Palatino Linotype" w:hAnsi="Palatino Linotype" w:cs="Tahoma"/>
          <w:sz w:val="20"/>
          <w:szCs w:val="20"/>
        </w:rPr>
      </w:pPr>
    </w:p>
    <w:p w14:paraId="4E33053D" w14:textId="77777777" w:rsidR="00E056A5" w:rsidRPr="00666FF7" w:rsidRDefault="00E056A5" w:rsidP="00F72CA9">
      <w:pPr>
        <w:pStyle w:val="Prrafodelista"/>
        <w:numPr>
          <w:ilvl w:val="0"/>
          <w:numId w:val="32"/>
        </w:numPr>
        <w:tabs>
          <w:tab w:val="left" w:pos="567"/>
        </w:tabs>
        <w:spacing w:line="360" w:lineRule="auto"/>
        <w:ind w:left="993" w:right="567"/>
        <w:jc w:val="both"/>
        <w:rPr>
          <w:rFonts w:ascii="Palatino Linotype" w:hAnsi="Palatino Linotype" w:cs="Tahoma"/>
          <w:sz w:val="20"/>
          <w:szCs w:val="20"/>
        </w:rPr>
      </w:pPr>
      <w:r w:rsidRPr="00666FF7">
        <w:rPr>
          <w:rFonts w:ascii="Palatino Linotype" w:hAnsi="Palatino Linotype" w:cs="Tahoma"/>
          <w:sz w:val="20"/>
          <w:szCs w:val="20"/>
        </w:rPr>
        <w:t>Indique si dicho monto, corresponde a recursos públicos.</w:t>
      </w:r>
    </w:p>
    <w:p w14:paraId="165CD106" w14:textId="77777777" w:rsidR="00E056A5" w:rsidRPr="00666FF7" w:rsidRDefault="00E056A5" w:rsidP="00F72CA9">
      <w:pPr>
        <w:pStyle w:val="Prrafodelista"/>
        <w:tabs>
          <w:tab w:val="left" w:pos="567"/>
        </w:tabs>
        <w:spacing w:line="360" w:lineRule="auto"/>
        <w:ind w:left="993" w:right="567"/>
        <w:rPr>
          <w:rFonts w:ascii="Palatino Linotype" w:hAnsi="Palatino Linotype" w:cs="Tahoma"/>
          <w:sz w:val="20"/>
          <w:szCs w:val="20"/>
        </w:rPr>
      </w:pPr>
    </w:p>
    <w:p w14:paraId="01CBA12F" w14:textId="77777777" w:rsidR="00E056A5" w:rsidRPr="00666FF7" w:rsidRDefault="00E056A5" w:rsidP="00F72CA9">
      <w:pPr>
        <w:pStyle w:val="Prrafodelista"/>
        <w:numPr>
          <w:ilvl w:val="0"/>
          <w:numId w:val="32"/>
        </w:numPr>
        <w:tabs>
          <w:tab w:val="left" w:pos="567"/>
        </w:tabs>
        <w:spacing w:line="360" w:lineRule="auto"/>
        <w:ind w:left="993" w:right="567"/>
        <w:jc w:val="both"/>
        <w:rPr>
          <w:rFonts w:ascii="Palatino Linotype" w:hAnsi="Palatino Linotype" w:cs="Tahoma"/>
          <w:sz w:val="20"/>
          <w:szCs w:val="20"/>
        </w:rPr>
      </w:pPr>
      <w:r w:rsidRPr="00666FF7">
        <w:rPr>
          <w:rFonts w:ascii="Palatino Linotype" w:hAnsi="Palatino Linotype" w:cs="Tahoma"/>
          <w:sz w:val="20"/>
          <w:szCs w:val="20"/>
        </w:rPr>
        <w:t>Defina, el tipo de secreto que actualiza la información en comento, en términos del 143, fracción II de la Ley de la materia, a saber, bancario, fiduciario, industrial, comercial, fiscal, bursátil o postal.</w:t>
      </w:r>
    </w:p>
    <w:p w14:paraId="7BF33EEB" w14:textId="77777777" w:rsidR="00E056A5" w:rsidRPr="00666FF7" w:rsidRDefault="00E056A5" w:rsidP="00F72CA9">
      <w:pPr>
        <w:pStyle w:val="Prrafodelista"/>
        <w:tabs>
          <w:tab w:val="left" w:pos="567"/>
        </w:tabs>
        <w:spacing w:line="360" w:lineRule="auto"/>
        <w:ind w:left="993" w:right="567"/>
        <w:rPr>
          <w:rFonts w:ascii="Palatino Linotype" w:hAnsi="Palatino Linotype" w:cs="Tahoma"/>
          <w:sz w:val="20"/>
          <w:szCs w:val="20"/>
        </w:rPr>
      </w:pPr>
    </w:p>
    <w:p w14:paraId="3DC1BC14" w14:textId="77777777" w:rsidR="00E056A5" w:rsidRPr="00666FF7" w:rsidRDefault="00E056A5" w:rsidP="00F72CA9">
      <w:pPr>
        <w:pStyle w:val="Prrafodelista"/>
        <w:numPr>
          <w:ilvl w:val="0"/>
          <w:numId w:val="32"/>
        </w:numPr>
        <w:tabs>
          <w:tab w:val="left" w:pos="567"/>
        </w:tabs>
        <w:spacing w:line="360" w:lineRule="auto"/>
        <w:ind w:left="993" w:right="567"/>
        <w:jc w:val="both"/>
        <w:rPr>
          <w:rFonts w:ascii="Palatino Linotype" w:hAnsi="Palatino Linotype" w:cs="Tahoma"/>
          <w:sz w:val="20"/>
          <w:szCs w:val="20"/>
        </w:rPr>
      </w:pPr>
      <w:r w:rsidRPr="00666FF7">
        <w:rPr>
          <w:rFonts w:ascii="Palatino Linotype" w:hAnsi="Palatino Linotype" w:cs="Tahoma"/>
          <w:sz w:val="20"/>
          <w:szCs w:val="20"/>
        </w:rPr>
        <w:t>Funde y motive la clasificación de la información, conforme a lo establecido en los Lineamientos Generales en Materia de Clasificación y Desclasificación de la Información, así como para la Elaboración de Versiones Públicas.</w:t>
      </w:r>
    </w:p>
    <w:p w14:paraId="4C591BAA" w14:textId="77777777" w:rsidR="00E056A5" w:rsidRPr="00666FF7" w:rsidRDefault="00E056A5" w:rsidP="00F72CA9">
      <w:pPr>
        <w:spacing w:line="360" w:lineRule="auto"/>
        <w:ind w:left="567" w:right="567"/>
        <w:jc w:val="both"/>
        <w:rPr>
          <w:rFonts w:ascii="Palatino Linotype" w:hAnsi="Palatino Linotype" w:cs="Tahoma"/>
        </w:rPr>
      </w:pPr>
      <w:r w:rsidRPr="00666FF7">
        <w:rPr>
          <w:rFonts w:ascii="Palatino Linotype" w:hAnsi="Palatino Linotype" w:cs="Tahoma"/>
        </w:rPr>
        <w:t xml:space="preserve">…” </w:t>
      </w:r>
    </w:p>
    <w:p w14:paraId="11871EC7" w14:textId="77777777" w:rsidR="00725B77" w:rsidRDefault="00725B77" w:rsidP="00F72CA9">
      <w:pPr>
        <w:spacing w:line="360" w:lineRule="auto"/>
        <w:jc w:val="both"/>
        <w:rPr>
          <w:rFonts w:ascii="Palatino Linotype" w:hAnsi="Palatino Linotype" w:cs="Tahoma"/>
          <w:b/>
          <w:sz w:val="22"/>
          <w:szCs w:val="24"/>
        </w:rPr>
      </w:pPr>
    </w:p>
    <w:p w14:paraId="07B47FDA" w14:textId="77777777" w:rsidR="008D4097" w:rsidRDefault="00725B77" w:rsidP="00F72CA9">
      <w:pPr>
        <w:spacing w:line="360" w:lineRule="auto"/>
        <w:jc w:val="both"/>
        <w:rPr>
          <w:rFonts w:ascii="Palatino Linotype" w:hAnsi="Palatino Linotype" w:cs="Tahoma"/>
          <w:b/>
          <w:sz w:val="22"/>
          <w:szCs w:val="22"/>
        </w:rPr>
      </w:pPr>
      <w:r>
        <w:rPr>
          <w:rFonts w:ascii="Palatino Linotype" w:hAnsi="Palatino Linotype" w:cs="Tahoma"/>
          <w:b/>
          <w:sz w:val="22"/>
          <w:szCs w:val="24"/>
        </w:rPr>
        <w:t xml:space="preserve">e) </w:t>
      </w:r>
      <w:r w:rsidR="008D4097" w:rsidRPr="004E591C">
        <w:rPr>
          <w:rFonts w:ascii="Palatino Linotype" w:hAnsi="Palatino Linotype" w:cs="Tahoma"/>
          <w:b/>
          <w:bCs/>
          <w:sz w:val="22"/>
          <w:szCs w:val="24"/>
          <w:lang w:val="es-ES"/>
        </w:rPr>
        <w:t>Ampliación del plazo para resolver: </w:t>
      </w:r>
      <w:r w:rsidR="008D4097" w:rsidRPr="004E591C">
        <w:rPr>
          <w:rFonts w:ascii="Palatino Linotype" w:hAnsi="Palatino Linotype" w:cs="Tahoma"/>
          <w:sz w:val="22"/>
          <w:szCs w:val="24"/>
          <w:lang w:val="es-ES"/>
        </w:rPr>
        <w:t xml:space="preserve">El </w:t>
      </w:r>
      <w:r>
        <w:rPr>
          <w:rFonts w:ascii="Palatino Linotype" w:hAnsi="Palatino Linotype" w:cs="Tahoma"/>
          <w:sz w:val="22"/>
          <w:szCs w:val="24"/>
          <w:lang w:val="es-ES"/>
        </w:rPr>
        <w:t>veintitrés</w:t>
      </w:r>
      <w:r w:rsidR="008D4097">
        <w:rPr>
          <w:rFonts w:ascii="Palatino Linotype" w:hAnsi="Palatino Linotype" w:cs="Tahoma"/>
          <w:sz w:val="22"/>
          <w:szCs w:val="24"/>
          <w:lang w:val="es-ES"/>
        </w:rPr>
        <w:t xml:space="preserve"> de enero de dos mil diecinueve</w:t>
      </w:r>
      <w:r w:rsidR="008D4097"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w:t>
      </w:r>
      <w:r w:rsidR="008D4097" w:rsidRPr="004E591C">
        <w:rPr>
          <w:rFonts w:ascii="Palatino Linotype" w:hAnsi="Palatino Linotype" w:cs="Tahoma"/>
          <w:sz w:val="22"/>
          <w:szCs w:val="24"/>
          <w:lang w:val="es-ES"/>
        </w:rPr>
        <w:lastRenderedPageBreak/>
        <w:t xml:space="preserve">revisión que nos ocupan; acto que fue notificado a las partes, mediante el Sistema de Acceso a la Información Mexiquense (SAIMEX), el </w:t>
      </w:r>
      <w:r w:rsidR="008D4097">
        <w:rPr>
          <w:rFonts w:ascii="Palatino Linotype" w:hAnsi="Palatino Linotype" w:cs="Tahoma"/>
          <w:sz w:val="22"/>
          <w:szCs w:val="24"/>
          <w:lang w:val="es-ES"/>
        </w:rPr>
        <w:t>mismo día</w:t>
      </w:r>
      <w:r w:rsidR="008D4097" w:rsidRPr="004E591C">
        <w:rPr>
          <w:rFonts w:ascii="Palatino Linotype" w:hAnsi="Palatino Linotype" w:cs="Tahoma"/>
          <w:sz w:val="22"/>
          <w:szCs w:val="24"/>
          <w:lang w:val="es-ES"/>
        </w:rPr>
        <w:t>.</w:t>
      </w:r>
    </w:p>
    <w:p w14:paraId="32999394" w14:textId="77777777" w:rsidR="00575AAE" w:rsidRDefault="00575AAE" w:rsidP="00F72CA9">
      <w:pPr>
        <w:spacing w:line="360" w:lineRule="auto"/>
        <w:jc w:val="both"/>
        <w:rPr>
          <w:rFonts w:ascii="Palatino Linotype" w:hAnsi="Palatino Linotype" w:cs="Tahoma"/>
          <w:b/>
          <w:sz w:val="22"/>
          <w:szCs w:val="24"/>
        </w:rPr>
      </w:pPr>
    </w:p>
    <w:p w14:paraId="48BF763F" w14:textId="5218B4E9" w:rsidR="00666FF7" w:rsidRDefault="00575AAE" w:rsidP="00F72CA9">
      <w:pPr>
        <w:spacing w:line="360" w:lineRule="auto"/>
        <w:jc w:val="both"/>
        <w:rPr>
          <w:rFonts w:ascii="Palatino Linotype" w:hAnsi="Palatino Linotype" w:cs="Tahoma"/>
          <w:sz w:val="22"/>
          <w:szCs w:val="24"/>
        </w:rPr>
      </w:pPr>
      <w:r>
        <w:rPr>
          <w:rFonts w:ascii="Palatino Linotype" w:hAnsi="Palatino Linotype" w:cs="Tahoma"/>
          <w:b/>
          <w:sz w:val="22"/>
          <w:szCs w:val="24"/>
        </w:rPr>
        <w:t xml:space="preserve">f) </w:t>
      </w:r>
      <w:r w:rsidR="00666FF7">
        <w:rPr>
          <w:rFonts w:ascii="Palatino Linotype" w:hAnsi="Palatino Linotype" w:cs="Tahoma"/>
          <w:b/>
          <w:sz w:val="22"/>
          <w:szCs w:val="24"/>
        </w:rPr>
        <w:t xml:space="preserve">Desahogo del requerimiento de información adicional. </w:t>
      </w:r>
      <w:r w:rsidR="00666FF7">
        <w:rPr>
          <w:rFonts w:ascii="Palatino Linotype" w:hAnsi="Palatino Linotype" w:cs="Tahoma"/>
          <w:sz w:val="22"/>
          <w:szCs w:val="24"/>
        </w:rPr>
        <w:t xml:space="preserve">El veinticinco de enero de dos mil diecinueve, se recibió en este Instituto, el oficio número 203F 80000-UT-0082/2019, de la misma fecha de recepción, suscrito por el Responsable y Titular de la Unidad de Transparencia del Sujeto Obligado y dirigido al Comisionado Ponente, por medio del cual remite la respuesta del servidor público habilitado de la Coordinación de </w:t>
      </w:r>
      <w:r w:rsidR="00F63CED">
        <w:rPr>
          <w:rFonts w:ascii="Palatino Linotype" w:hAnsi="Palatino Linotype" w:cs="Tahoma"/>
          <w:sz w:val="22"/>
          <w:szCs w:val="24"/>
        </w:rPr>
        <w:t>Finanzas</w:t>
      </w:r>
      <w:r w:rsidR="00666FF7">
        <w:rPr>
          <w:rFonts w:ascii="Palatino Linotype" w:hAnsi="Palatino Linotype" w:cs="Tahoma"/>
          <w:sz w:val="22"/>
          <w:szCs w:val="24"/>
        </w:rPr>
        <w:t>.</w:t>
      </w:r>
    </w:p>
    <w:p w14:paraId="742834C9" w14:textId="77777777" w:rsidR="00666FF7" w:rsidRDefault="00666FF7" w:rsidP="00F72CA9">
      <w:pPr>
        <w:spacing w:line="360" w:lineRule="auto"/>
        <w:jc w:val="both"/>
        <w:rPr>
          <w:rFonts w:ascii="Palatino Linotype" w:hAnsi="Palatino Linotype" w:cs="Tahoma"/>
          <w:sz w:val="22"/>
          <w:szCs w:val="24"/>
        </w:rPr>
      </w:pPr>
    </w:p>
    <w:p w14:paraId="457E046C" w14:textId="7CE265F8" w:rsidR="00666FF7" w:rsidRDefault="00666FF7" w:rsidP="00F72CA9">
      <w:pPr>
        <w:spacing w:line="360" w:lineRule="auto"/>
        <w:jc w:val="both"/>
        <w:rPr>
          <w:rFonts w:ascii="Palatino Linotype" w:hAnsi="Palatino Linotype" w:cs="Tahoma"/>
          <w:sz w:val="22"/>
          <w:szCs w:val="24"/>
        </w:rPr>
      </w:pPr>
      <w:r>
        <w:rPr>
          <w:rFonts w:ascii="Palatino Linotype" w:hAnsi="Palatino Linotype" w:cs="Tahoma"/>
          <w:sz w:val="22"/>
          <w:szCs w:val="24"/>
        </w:rPr>
        <w:t>El Instituto de Seguridad Social del Estado de México y Municipios, anex</w:t>
      </w:r>
      <w:r w:rsidR="00850B8B">
        <w:rPr>
          <w:rFonts w:ascii="Palatino Linotype" w:hAnsi="Palatino Linotype" w:cs="Tahoma"/>
          <w:sz w:val="22"/>
          <w:szCs w:val="24"/>
        </w:rPr>
        <w:t>ó</w:t>
      </w:r>
      <w:r>
        <w:rPr>
          <w:rFonts w:ascii="Palatino Linotype" w:hAnsi="Palatino Linotype" w:cs="Tahoma"/>
          <w:sz w:val="22"/>
          <w:szCs w:val="24"/>
        </w:rPr>
        <w:t xml:space="preserve"> los siguientes documentos:</w:t>
      </w:r>
    </w:p>
    <w:p w14:paraId="0E7C7163" w14:textId="77777777" w:rsidR="00666FF7" w:rsidRDefault="00666FF7" w:rsidP="00F72CA9">
      <w:pPr>
        <w:spacing w:line="360" w:lineRule="auto"/>
        <w:jc w:val="both"/>
        <w:rPr>
          <w:rFonts w:ascii="Palatino Linotype" w:hAnsi="Palatino Linotype" w:cs="Tahoma"/>
          <w:sz w:val="22"/>
          <w:szCs w:val="24"/>
        </w:rPr>
      </w:pPr>
    </w:p>
    <w:p w14:paraId="5716A7BF" w14:textId="77777777" w:rsidR="00666FF7" w:rsidRDefault="00666FF7" w:rsidP="00F72CA9">
      <w:pPr>
        <w:spacing w:line="360" w:lineRule="auto"/>
        <w:jc w:val="both"/>
        <w:rPr>
          <w:rFonts w:ascii="Palatino Linotype" w:hAnsi="Palatino Linotype" w:cs="Tahoma"/>
          <w:sz w:val="22"/>
          <w:szCs w:val="24"/>
        </w:rPr>
      </w:pPr>
      <w:r>
        <w:rPr>
          <w:rFonts w:ascii="Palatino Linotype" w:hAnsi="Palatino Linotype" w:cs="Tahoma"/>
          <w:sz w:val="22"/>
          <w:szCs w:val="24"/>
        </w:rPr>
        <w:t>i) Oficio número 203F 50000 CF/0135/2019, del veinticinco de noviembre de dos mil diecinueve, suscrito por el servidor público habilitado de la Coordinación de Finanzas y dirigido al Responsable y Titular de la Unidad de Transparencia, ambos del sujeto obligado, mediante el cual remite la contestación al requerimiento de información adicional previamente señalado.</w:t>
      </w:r>
    </w:p>
    <w:p w14:paraId="1B2E40DA" w14:textId="77777777" w:rsidR="00666FF7" w:rsidRDefault="00666FF7" w:rsidP="00F72CA9">
      <w:pPr>
        <w:spacing w:line="360" w:lineRule="auto"/>
        <w:jc w:val="both"/>
        <w:rPr>
          <w:rFonts w:ascii="Palatino Linotype" w:hAnsi="Palatino Linotype" w:cs="Tahoma"/>
          <w:sz w:val="22"/>
          <w:szCs w:val="24"/>
        </w:rPr>
      </w:pPr>
    </w:p>
    <w:p w14:paraId="587AA557" w14:textId="77777777" w:rsidR="00666FF7" w:rsidRDefault="00666FF7" w:rsidP="00F72CA9">
      <w:pPr>
        <w:spacing w:line="360" w:lineRule="auto"/>
        <w:jc w:val="both"/>
        <w:rPr>
          <w:rFonts w:ascii="Palatino Linotype" w:hAnsi="Palatino Linotype" w:cs="Tahoma"/>
          <w:sz w:val="22"/>
          <w:szCs w:val="24"/>
        </w:rPr>
      </w:pPr>
      <w:r>
        <w:rPr>
          <w:rFonts w:ascii="Palatino Linotype" w:hAnsi="Palatino Linotype" w:cs="Tahoma"/>
          <w:sz w:val="22"/>
          <w:szCs w:val="24"/>
        </w:rPr>
        <w:t>ii) Oficio número 203F 80000-UT-0082/2019, del veintitrés de enero de dos mil diecinueve, suscrito por el Responsable y Titular de la Unidad de Transparencia y dirigido al servidor público habilitado de la Coordinación de Finanzas, ambos del Ente Recurrido, por medio del cual le requiere que dé respuesta al requerimiento de información adicional.</w:t>
      </w:r>
    </w:p>
    <w:p w14:paraId="7425D2A5" w14:textId="77777777" w:rsidR="00666FF7" w:rsidRDefault="00666FF7" w:rsidP="00F72CA9">
      <w:pPr>
        <w:spacing w:line="360" w:lineRule="auto"/>
        <w:jc w:val="both"/>
        <w:rPr>
          <w:rFonts w:ascii="Palatino Linotype" w:hAnsi="Palatino Linotype" w:cs="Tahoma"/>
          <w:sz w:val="22"/>
          <w:szCs w:val="24"/>
        </w:rPr>
      </w:pPr>
    </w:p>
    <w:p w14:paraId="6A0EEE30" w14:textId="77777777" w:rsidR="00666FF7" w:rsidRDefault="00666FF7" w:rsidP="00F72CA9">
      <w:pPr>
        <w:spacing w:line="360" w:lineRule="auto"/>
        <w:jc w:val="both"/>
        <w:rPr>
          <w:rFonts w:ascii="Palatino Linotype" w:hAnsi="Palatino Linotype" w:cs="Tahoma"/>
          <w:sz w:val="22"/>
          <w:szCs w:val="24"/>
        </w:rPr>
      </w:pPr>
      <w:r>
        <w:rPr>
          <w:rFonts w:ascii="Palatino Linotype" w:hAnsi="Palatino Linotype" w:cs="Tahoma"/>
          <w:sz w:val="22"/>
          <w:szCs w:val="24"/>
        </w:rPr>
        <w:lastRenderedPageBreak/>
        <w:t>ii)</w:t>
      </w:r>
      <w:r w:rsidR="00F72CA9">
        <w:rPr>
          <w:rFonts w:ascii="Palatino Linotype" w:hAnsi="Palatino Linotype" w:cs="Tahoma"/>
          <w:sz w:val="22"/>
          <w:szCs w:val="24"/>
        </w:rPr>
        <w:t xml:space="preserve"> Oficio sin número y sin fecha, emitido por el servidor público habilitado de la Coordinación de Finanzas del Instituto de Seguridad Social del Estado de México y Municipios, cuyo contenido es el siguiente:</w:t>
      </w:r>
    </w:p>
    <w:p w14:paraId="59D49728" w14:textId="77777777" w:rsidR="00F72CA9" w:rsidRDefault="00F72CA9" w:rsidP="00F72CA9">
      <w:pPr>
        <w:spacing w:line="360" w:lineRule="auto"/>
        <w:jc w:val="both"/>
        <w:rPr>
          <w:rFonts w:ascii="Palatino Linotype" w:hAnsi="Palatino Linotype" w:cs="Tahoma"/>
          <w:sz w:val="22"/>
          <w:szCs w:val="24"/>
        </w:rPr>
      </w:pPr>
    </w:p>
    <w:p w14:paraId="4BB7ACB4" w14:textId="77777777" w:rsidR="00F72CA9" w:rsidRPr="00666FF7" w:rsidRDefault="00F72CA9" w:rsidP="00F72CA9">
      <w:pPr>
        <w:spacing w:line="360" w:lineRule="auto"/>
        <w:ind w:left="567" w:right="567"/>
        <w:jc w:val="both"/>
        <w:rPr>
          <w:rFonts w:ascii="Palatino Linotype" w:hAnsi="Palatino Linotype" w:cs="Tahoma"/>
        </w:rPr>
      </w:pPr>
      <w:r w:rsidRPr="00666FF7">
        <w:rPr>
          <w:rFonts w:ascii="Palatino Linotype" w:hAnsi="Palatino Linotype" w:cs="Tahoma"/>
        </w:rPr>
        <w:t>“…</w:t>
      </w:r>
    </w:p>
    <w:p w14:paraId="606940B1" w14:textId="77777777" w:rsidR="00F72CA9" w:rsidRPr="00F72CA9" w:rsidRDefault="00F72CA9" w:rsidP="00F72CA9">
      <w:pPr>
        <w:pStyle w:val="Prrafodelista"/>
        <w:numPr>
          <w:ilvl w:val="0"/>
          <w:numId w:val="34"/>
        </w:numPr>
        <w:tabs>
          <w:tab w:val="left" w:pos="567"/>
        </w:tabs>
        <w:spacing w:line="360" w:lineRule="auto"/>
        <w:ind w:left="993" w:right="567"/>
        <w:jc w:val="both"/>
        <w:rPr>
          <w:rFonts w:ascii="Palatino Linotype" w:hAnsi="Palatino Linotype" w:cs="Tahoma"/>
          <w:b/>
          <w:sz w:val="20"/>
          <w:szCs w:val="20"/>
        </w:rPr>
      </w:pPr>
      <w:r w:rsidRPr="00F72CA9">
        <w:rPr>
          <w:rFonts w:ascii="Palatino Linotype" w:hAnsi="Palatino Linotype" w:cs="Tahoma"/>
          <w:b/>
          <w:sz w:val="20"/>
          <w:szCs w:val="20"/>
        </w:rPr>
        <w:t xml:space="preserve">Precise que son las interacciones a nombre del </w:t>
      </w:r>
      <w:r w:rsidRPr="00F72CA9">
        <w:rPr>
          <w:rFonts w:ascii="Palatino Linotype" w:eastAsia="Calibri" w:hAnsi="Palatino Linotype" w:cs="Tahoma"/>
          <w:b/>
          <w:bCs/>
          <w:sz w:val="20"/>
          <w:szCs w:val="20"/>
        </w:rPr>
        <w:t>Instituto de Seguridad Social del Estado de México y Municipio.</w:t>
      </w:r>
    </w:p>
    <w:p w14:paraId="40E3B532" w14:textId="77777777" w:rsidR="00F72CA9" w:rsidRPr="00F72CA9" w:rsidRDefault="00F72CA9" w:rsidP="00F72CA9">
      <w:pPr>
        <w:pStyle w:val="Prrafodelista"/>
        <w:tabs>
          <w:tab w:val="left" w:pos="567"/>
        </w:tabs>
        <w:spacing w:line="360" w:lineRule="auto"/>
        <w:ind w:left="993" w:right="567"/>
        <w:jc w:val="both"/>
        <w:rPr>
          <w:rFonts w:ascii="Palatino Linotype" w:hAnsi="Palatino Linotype" w:cs="Tahoma"/>
          <w:sz w:val="20"/>
          <w:szCs w:val="20"/>
        </w:rPr>
      </w:pPr>
      <w:r>
        <w:rPr>
          <w:rFonts w:ascii="Palatino Linotype" w:hAnsi="Palatino Linotype" w:cs="Tahoma"/>
          <w:sz w:val="20"/>
          <w:szCs w:val="20"/>
        </w:rPr>
        <w:t>A la fecha no se realizan operaciones financieras con interacciones.</w:t>
      </w:r>
    </w:p>
    <w:p w14:paraId="7AAB1268" w14:textId="77777777" w:rsidR="00F72CA9" w:rsidRPr="00F72CA9" w:rsidRDefault="00F72CA9" w:rsidP="00F72CA9">
      <w:pPr>
        <w:pStyle w:val="Prrafodelista"/>
        <w:tabs>
          <w:tab w:val="left" w:pos="567"/>
        </w:tabs>
        <w:spacing w:line="360" w:lineRule="auto"/>
        <w:ind w:left="993" w:right="567"/>
        <w:jc w:val="both"/>
        <w:rPr>
          <w:rFonts w:ascii="Palatino Linotype" w:hAnsi="Palatino Linotype" w:cs="Tahoma"/>
          <w:b/>
          <w:sz w:val="20"/>
          <w:szCs w:val="20"/>
        </w:rPr>
      </w:pPr>
    </w:p>
    <w:p w14:paraId="0FEE186B" w14:textId="77777777" w:rsidR="00F72CA9" w:rsidRPr="00F72CA9" w:rsidRDefault="00F72CA9" w:rsidP="00F72CA9">
      <w:pPr>
        <w:pStyle w:val="Prrafodelista"/>
        <w:numPr>
          <w:ilvl w:val="0"/>
          <w:numId w:val="34"/>
        </w:numPr>
        <w:tabs>
          <w:tab w:val="left" w:pos="567"/>
        </w:tabs>
        <w:spacing w:line="360" w:lineRule="auto"/>
        <w:ind w:left="993" w:right="567"/>
        <w:jc w:val="both"/>
        <w:rPr>
          <w:rFonts w:ascii="Palatino Linotype" w:hAnsi="Palatino Linotype" w:cs="Tahoma"/>
          <w:b/>
          <w:sz w:val="20"/>
          <w:szCs w:val="20"/>
        </w:rPr>
      </w:pPr>
      <w:r w:rsidRPr="00F72CA9">
        <w:rPr>
          <w:rFonts w:ascii="Palatino Linotype" w:eastAsia="Calibri" w:hAnsi="Palatino Linotype" w:cs="Tahoma"/>
          <w:b/>
          <w:bCs/>
          <w:sz w:val="20"/>
          <w:szCs w:val="20"/>
        </w:rPr>
        <w:t>Aclare cómo se conforma el monto actual bajo administración por interacciones señaladas en el punto anterior.</w:t>
      </w:r>
    </w:p>
    <w:p w14:paraId="3C2B856E" w14:textId="77777777" w:rsidR="00F72CA9" w:rsidRPr="00F72CA9" w:rsidRDefault="00F72CA9" w:rsidP="00F72CA9">
      <w:pPr>
        <w:pStyle w:val="Prrafodelista"/>
        <w:tabs>
          <w:tab w:val="left" w:pos="567"/>
        </w:tabs>
        <w:spacing w:line="360" w:lineRule="auto"/>
        <w:ind w:left="993" w:right="567"/>
        <w:jc w:val="both"/>
        <w:rPr>
          <w:rFonts w:ascii="Palatino Linotype" w:hAnsi="Palatino Linotype" w:cs="Tahoma"/>
          <w:sz w:val="20"/>
          <w:szCs w:val="20"/>
        </w:rPr>
      </w:pPr>
      <w:r>
        <w:rPr>
          <w:rFonts w:ascii="Palatino Linotype" w:hAnsi="Palatino Linotype" w:cs="Tahoma"/>
          <w:sz w:val="20"/>
          <w:szCs w:val="20"/>
        </w:rPr>
        <w:t xml:space="preserve">Actualmente no se cuenta con un monto registrado en Interacciones. </w:t>
      </w:r>
    </w:p>
    <w:p w14:paraId="6CAAAE84" w14:textId="77777777" w:rsidR="00F72CA9" w:rsidRPr="00F72CA9" w:rsidRDefault="00F72CA9" w:rsidP="00F72CA9">
      <w:pPr>
        <w:pStyle w:val="Prrafodelista"/>
        <w:tabs>
          <w:tab w:val="left" w:pos="567"/>
        </w:tabs>
        <w:spacing w:line="360" w:lineRule="auto"/>
        <w:ind w:left="993" w:right="567"/>
        <w:jc w:val="both"/>
        <w:rPr>
          <w:rFonts w:ascii="Palatino Linotype" w:hAnsi="Palatino Linotype" w:cs="Tahoma"/>
          <w:b/>
          <w:sz w:val="20"/>
          <w:szCs w:val="20"/>
        </w:rPr>
      </w:pPr>
    </w:p>
    <w:p w14:paraId="6AF5EAD2" w14:textId="77777777" w:rsidR="00F72CA9" w:rsidRDefault="00F72CA9" w:rsidP="00F72CA9">
      <w:pPr>
        <w:pStyle w:val="Prrafodelista"/>
        <w:numPr>
          <w:ilvl w:val="0"/>
          <w:numId w:val="34"/>
        </w:numPr>
        <w:tabs>
          <w:tab w:val="left" w:pos="567"/>
        </w:tabs>
        <w:spacing w:line="360" w:lineRule="auto"/>
        <w:ind w:left="993" w:right="567"/>
        <w:jc w:val="both"/>
        <w:rPr>
          <w:rFonts w:ascii="Palatino Linotype" w:hAnsi="Palatino Linotype" w:cs="Tahoma"/>
          <w:b/>
          <w:sz w:val="20"/>
          <w:szCs w:val="20"/>
        </w:rPr>
      </w:pPr>
      <w:r w:rsidRPr="00F72CA9">
        <w:rPr>
          <w:rFonts w:ascii="Palatino Linotype" w:hAnsi="Palatino Linotype" w:cs="Tahoma"/>
          <w:b/>
          <w:sz w:val="20"/>
          <w:szCs w:val="20"/>
        </w:rPr>
        <w:t>Indique si dicho monto, corresponde a recursos públicos.</w:t>
      </w:r>
    </w:p>
    <w:p w14:paraId="773E77A4" w14:textId="77777777" w:rsidR="00F72CA9" w:rsidRPr="00F72CA9" w:rsidRDefault="00F72CA9" w:rsidP="00F72CA9">
      <w:pPr>
        <w:pStyle w:val="Prrafodelista"/>
        <w:tabs>
          <w:tab w:val="left" w:pos="567"/>
        </w:tabs>
        <w:spacing w:line="360" w:lineRule="auto"/>
        <w:ind w:left="993" w:right="567"/>
        <w:jc w:val="both"/>
        <w:rPr>
          <w:rFonts w:ascii="Palatino Linotype" w:hAnsi="Palatino Linotype" w:cs="Tahoma"/>
          <w:sz w:val="20"/>
          <w:szCs w:val="20"/>
        </w:rPr>
      </w:pPr>
      <w:r>
        <w:rPr>
          <w:rFonts w:ascii="Palatino Linotype" w:hAnsi="Palatino Linotype" w:cs="Tahoma"/>
          <w:sz w:val="20"/>
          <w:szCs w:val="20"/>
        </w:rPr>
        <w:t>Actualmente no existe ningún monto que corresponde a recursos público.</w:t>
      </w:r>
    </w:p>
    <w:p w14:paraId="3280CA70" w14:textId="77777777" w:rsidR="00F72CA9" w:rsidRPr="00F72CA9" w:rsidRDefault="00F72CA9" w:rsidP="00F72CA9">
      <w:pPr>
        <w:pStyle w:val="Prrafodelista"/>
        <w:tabs>
          <w:tab w:val="left" w:pos="567"/>
        </w:tabs>
        <w:spacing w:line="360" w:lineRule="auto"/>
        <w:ind w:left="993" w:right="567"/>
        <w:rPr>
          <w:rFonts w:ascii="Palatino Linotype" w:hAnsi="Palatino Linotype" w:cs="Tahoma"/>
          <w:b/>
          <w:sz w:val="20"/>
          <w:szCs w:val="20"/>
        </w:rPr>
      </w:pPr>
    </w:p>
    <w:p w14:paraId="11E2E7E8" w14:textId="77777777" w:rsidR="00F72CA9" w:rsidRPr="00F72CA9" w:rsidRDefault="00F72CA9" w:rsidP="00F72CA9">
      <w:pPr>
        <w:pStyle w:val="Prrafodelista"/>
        <w:numPr>
          <w:ilvl w:val="0"/>
          <w:numId w:val="34"/>
        </w:numPr>
        <w:tabs>
          <w:tab w:val="left" w:pos="567"/>
        </w:tabs>
        <w:spacing w:line="360" w:lineRule="auto"/>
        <w:ind w:left="993" w:right="567"/>
        <w:jc w:val="both"/>
        <w:rPr>
          <w:rFonts w:ascii="Palatino Linotype" w:hAnsi="Palatino Linotype" w:cs="Tahoma"/>
          <w:b/>
          <w:sz w:val="20"/>
          <w:szCs w:val="20"/>
        </w:rPr>
      </w:pPr>
      <w:r w:rsidRPr="00F72CA9">
        <w:rPr>
          <w:rFonts w:ascii="Palatino Linotype" w:hAnsi="Palatino Linotype" w:cs="Tahoma"/>
          <w:b/>
          <w:sz w:val="20"/>
          <w:szCs w:val="20"/>
        </w:rPr>
        <w:t>Defina, el tipo de secreto que actualiza la información en comento, en términos del 143, fracción II de la Ley de la materia, a saber, bancario, fiduciario, industrial, comercial, fiscal, bursátil o postal.</w:t>
      </w:r>
    </w:p>
    <w:p w14:paraId="48E7721E" w14:textId="77777777" w:rsidR="00F72CA9" w:rsidRPr="00F72CA9" w:rsidRDefault="00F72CA9" w:rsidP="00F72CA9">
      <w:pPr>
        <w:pStyle w:val="Prrafodelista"/>
        <w:tabs>
          <w:tab w:val="left" w:pos="567"/>
        </w:tabs>
        <w:spacing w:line="360" w:lineRule="auto"/>
        <w:ind w:left="993" w:right="567"/>
        <w:rPr>
          <w:rFonts w:ascii="Palatino Linotype" w:hAnsi="Palatino Linotype" w:cs="Tahoma"/>
          <w:sz w:val="20"/>
          <w:szCs w:val="20"/>
        </w:rPr>
      </w:pPr>
      <w:r>
        <w:rPr>
          <w:rFonts w:ascii="Palatino Linotype" w:hAnsi="Palatino Linotype" w:cs="Tahoma"/>
          <w:sz w:val="20"/>
          <w:szCs w:val="20"/>
        </w:rPr>
        <w:t>Secreto Bancario y Bursátil, en atención a las operaciones financieras que se efectúan ante las Instituciones Financieras.</w:t>
      </w:r>
    </w:p>
    <w:p w14:paraId="7211C3A2" w14:textId="77777777" w:rsidR="00F72CA9" w:rsidRPr="00F72CA9" w:rsidRDefault="00F72CA9" w:rsidP="00F72CA9">
      <w:pPr>
        <w:pStyle w:val="Prrafodelista"/>
        <w:tabs>
          <w:tab w:val="left" w:pos="567"/>
        </w:tabs>
        <w:spacing w:line="360" w:lineRule="auto"/>
        <w:ind w:left="993" w:right="567"/>
        <w:rPr>
          <w:rFonts w:ascii="Palatino Linotype" w:hAnsi="Palatino Linotype" w:cs="Tahoma"/>
          <w:b/>
          <w:sz w:val="20"/>
          <w:szCs w:val="20"/>
        </w:rPr>
      </w:pPr>
    </w:p>
    <w:p w14:paraId="2E8B1CC8" w14:textId="77777777" w:rsidR="00F72CA9" w:rsidRDefault="00F72CA9" w:rsidP="00F72CA9">
      <w:pPr>
        <w:pStyle w:val="Prrafodelista"/>
        <w:numPr>
          <w:ilvl w:val="0"/>
          <w:numId w:val="34"/>
        </w:numPr>
        <w:tabs>
          <w:tab w:val="left" w:pos="567"/>
        </w:tabs>
        <w:spacing w:line="360" w:lineRule="auto"/>
        <w:ind w:left="993" w:right="567"/>
        <w:jc w:val="both"/>
        <w:rPr>
          <w:rFonts w:ascii="Palatino Linotype" w:hAnsi="Palatino Linotype" w:cs="Tahoma"/>
          <w:b/>
          <w:sz w:val="20"/>
          <w:szCs w:val="20"/>
        </w:rPr>
      </w:pPr>
      <w:r w:rsidRPr="00F72CA9">
        <w:rPr>
          <w:rFonts w:ascii="Palatino Linotype" w:hAnsi="Palatino Linotype" w:cs="Tahoma"/>
          <w:b/>
          <w:sz w:val="20"/>
          <w:szCs w:val="20"/>
        </w:rPr>
        <w:t>Funde y motive la clasificación de la información, conforme a lo establecido en los Lineamientos Generales en Materia de Clasificación y Desclasificación de la Información, así como para la Elaboración de Versiones Públicas.</w:t>
      </w:r>
    </w:p>
    <w:p w14:paraId="29DBF31C" w14:textId="77777777" w:rsidR="00F72CA9" w:rsidRPr="00F72CA9" w:rsidRDefault="00F72CA9" w:rsidP="00F72CA9">
      <w:pPr>
        <w:pStyle w:val="Prrafodelista"/>
        <w:tabs>
          <w:tab w:val="left" w:pos="567"/>
        </w:tabs>
        <w:spacing w:line="360" w:lineRule="auto"/>
        <w:ind w:left="993" w:right="567"/>
        <w:jc w:val="both"/>
        <w:rPr>
          <w:rFonts w:ascii="Palatino Linotype" w:hAnsi="Palatino Linotype" w:cs="Tahoma"/>
          <w:sz w:val="20"/>
          <w:szCs w:val="20"/>
        </w:rPr>
      </w:pPr>
      <w:r w:rsidRPr="00F72CA9">
        <w:rPr>
          <w:rFonts w:ascii="Palatino Linotype" w:hAnsi="Palatino Linotype" w:cs="Tahoma"/>
          <w:sz w:val="20"/>
          <w:szCs w:val="20"/>
        </w:rPr>
        <w:t xml:space="preserve">Debido </w:t>
      </w:r>
      <w:r>
        <w:rPr>
          <w:rFonts w:ascii="Palatino Linotype" w:hAnsi="Palatino Linotype" w:cs="Tahoma"/>
          <w:sz w:val="20"/>
          <w:szCs w:val="20"/>
        </w:rPr>
        <w:t>a que actualmente, no se realizan operaciones financieras con interacciones, se omite atender este punto.</w:t>
      </w:r>
    </w:p>
    <w:p w14:paraId="760A3377" w14:textId="77777777" w:rsidR="00F72CA9" w:rsidRPr="00666FF7" w:rsidRDefault="00F72CA9" w:rsidP="00F72CA9">
      <w:pPr>
        <w:spacing w:line="360" w:lineRule="auto"/>
        <w:ind w:left="567" w:right="567"/>
        <w:jc w:val="both"/>
        <w:rPr>
          <w:rFonts w:ascii="Palatino Linotype" w:hAnsi="Palatino Linotype" w:cs="Tahoma"/>
        </w:rPr>
      </w:pPr>
      <w:r w:rsidRPr="00666FF7">
        <w:rPr>
          <w:rFonts w:ascii="Palatino Linotype" w:hAnsi="Palatino Linotype" w:cs="Tahoma"/>
        </w:rPr>
        <w:t xml:space="preserve">…” </w:t>
      </w:r>
    </w:p>
    <w:p w14:paraId="00654236" w14:textId="77777777" w:rsidR="00B31222" w:rsidRPr="004059FB" w:rsidRDefault="00666FF7" w:rsidP="00F72CA9">
      <w:pPr>
        <w:spacing w:line="360" w:lineRule="auto"/>
        <w:jc w:val="both"/>
        <w:rPr>
          <w:rFonts w:ascii="Palatino Linotype" w:hAnsi="Palatino Linotype" w:cs="Tahoma"/>
          <w:sz w:val="22"/>
          <w:szCs w:val="24"/>
        </w:rPr>
      </w:pPr>
      <w:r>
        <w:rPr>
          <w:rFonts w:ascii="Palatino Linotype" w:hAnsi="Palatino Linotype" w:cs="Tahoma"/>
          <w:b/>
          <w:sz w:val="22"/>
          <w:szCs w:val="24"/>
        </w:rPr>
        <w:lastRenderedPageBreak/>
        <w:t xml:space="preserve">g) </w:t>
      </w:r>
      <w:r w:rsidR="00B31222" w:rsidRPr="004059FB">
        <w:rPr>
          <w:rFonts w:ascii="Palatino Linotype" w:hAnsi="Palatino Linotype" w:cs="Tahoma"/>
          <w:b/>
          <w:sz w:val="22"/>
          <w:szCs w:val="24"/>
        </w:rPr>
        <w:t>Cierre de instrucción</w:t>
      </w:r>
      <w:r w:rsidR="008E5077" w:rsidRPr="004059FB">
        <w:rPr>
          <w:rFonts w:ascii="Palatino Linotype" w:hAnsi="Palatino Linotype" w:cs="Tahoma"/>
          <w:b/>
          <w:sz w:val="22"/>
          <w:szCs w:val="24"/>
        </w:rPr>
        <w:t>.</w:t>
      </w:r>
      <w:r w:rsidR="00B31222" w:rsidRPr="004059FB">
        <w:rPr>
          <w:rFonts w:ascii="Palatino Linotype" w:hAnsi="Palatino Linotype" w:cs="Tahoma"/>
          <w:sz w:val="22"/>
          <w:szCs w:val="24"/>
        </w:rPr>
        <w:t xml:space="preserve"> El </w:t>
      </w:r>
      <w:r w:rsidR="00C64A51" w:rsidRPr="004059FB">
        <w:rPr>
          <w:rFonts w:ascii="Palatino Linotype" w:hAnsi="Palatino Linotype" w:cs="Tahoma"/>
          <w:sz w:val="22"/>
          <w:szCs w:val="24"/>
        </w:rPr>
        <w:t xml:space="preserve">treinta y uno de </w:t>
      </w:r>
      <w:r w:rsidR="00575AAE">
        <w:rPr>
          <w:rFonts w:ascii="Palatino Linotype" w:hAnsi="Palatino Linotype" w:cs="Tahoma"/>
          <w:sz w:val="22"/>
          <w:szCs w:val="24"/>
        </w:rPr>
        <w:t>enero de dos mil diecinueve</w:t>
      </w:r>
      <w:r w:rsidR="00B31222" w:rsidRPr="004059FB">
        <w:rPr>
          <w:rFonts w:ascii="Palatino Linotype" w:hAnsi="Palatino Linotype" w:cs="Tahoma"/>
          <w:sz w:val="22"/>
          <w:szCs w:val="24"/>
        </w:rPr>
        <w:t>, al no existir diligencias pendientes por desahogar, se emitió el acuerdo por medio del cual se declaró cerrada la instrucción</w:t>
      </w:r>
      <w:r w:rsidR="008839DA" w:rsidRPr="004059FB">
        <w:rPr>
          <w:rFonts w:ascii="Palatino Linotype" w:hAnsi="Palatino Linotype" w:cs="Tahoma"/>
          <w:sz w:val="22"/>
          <w:szCs w:val="24"/>
        </w:rPr>
        <w:t xml:space="preserve"> y se determinó</w:t>
      </w:r>
      <w:r w:rsidR="00CF43D5" w:rsidRPr="004059FB">
        <w:rPr>
          <w:rFonts w:ascii="Palatino Linotype" w:hAnsi="Palatino Linotype" w:cs="Tahoma"/>
          <w:sz w:val="22"/>
          <w:szCs w:val="24"/>
        </w:rPr>
        <w:t xml:space="preserve"> </w:t>
      </w:r>
      <w:r w:rsidR="008839DA" w:rsidRPr="004059FB">
        <w:rPr>
          <w:rFonts w:ascii="Palatino Linotype" w:hAnsi="Palatino Linotype" w:cs="Tahoma"/>
          <w:sz w:val="22"/>
          <w:szCs w:val="24"/>
        </w:rPr>
        <w:t xml:space="preserve">pasar </w:t>
      </w:r>
      <w:r w:rsidR="00B31222" w:rsidRPr="004059FB">
        <w:rPr>
          <w:rFonts w:ascii="Palatino Linotype" w:hAnsi="Palatino Linotype" w:cs="Tahoma"/>
          <w:sz w:val="22"/>
          <w:szCs w:val="24"/>
        </w:rPr>
        <w:t>el expediente a resolución, en términos de lo dispuesto en los artículos 1</w:t>
      </w:r>
      <w:r w:rsidR="0048519E" w:rsidRPr="004059FB">
        <w:rPr>
          <w:rFonts w:ascii="Palatino Linotype" w:hAnsi="Palatino Linotype" w:cs="Tahoma"/>
          <w:sz w:val="22"/>
          <w:szCs w:val="24"/>
        </w:rPr>
        <w:t>85</w:t>
      </w:r>
      <w:r w:rsidR="00B31222" w:rsidRPr="004059FB">
        <w:rPr>
          <w:rFonts w:ascii="Palatino Linotype" w:hAnsi="Palatino Linotype" w:cs="Tahoma"/>
          <w:sz w:val="22"/>
          <w:szCs w:val="24"/>
        </w:rPr>
        <w:t xml:space="preserve">, fracciones VI y VIII de la Ley </w:t>
      </w:r>
      <w:r w:rsidR="0048519E" w:rsidRPr="004059FB">
        <w:rPr>
          <w:rFonts w:ascii="Palatino Linotype" w:hAnsi="Palatino Linotype" w:cs="Tahoma"/>
          <w:sz w:val="22"/>
          <w:szCs w:val="24"/>
        </w:rPr>
        <w:t>de Transparencia y Acceso a la Información Pública del Estado de México y Municipios</w:t>
      </w:r>
      <w:r w:rsidR="00B31222" w:rsidRPr="004059FB">
        <w:rPr>
          <w:rFonts w:ascii="Palatino Linotype" w:hAnsi="Palatino Linotype" w:cs="Tahoma"/>
          <w:sz w:val="22"/>
          <w:szCs w:val="24"/>
        </w:rPr>
        <w:t xml:space="preserve">, mismo que fue notificado a las partes </w:t>
      </w:r>
      <w:r w:rsidR="0048519E" w:rsidRPr="004059FB">
        <w:rPr>
          <w:rFonts w:ascii="Palatino Linotype" w:hAnsi="Palatino Linotype" w:cs="Tahoma"/>
          <w:sz w:val="22"/>
          <w:szCs w:val="24"/>
        </w:rPr>
        <w:t xml:space="preserve">el mismo día, a través del </w:t>
      </w:r>
      <w:r w:rsidR="000313A7" w:rsidRPr="004059FB">
        <w:rPr>
          <w:rFonts w:ascii="Palatino Linotype" w:hAnsi="Palatino Linotype" w:cs="Tahoma"/>
          <w:sz w:val="22"/>
          <w:lang w:val="es-ES"/>
        </w:rPr>
        <w:t>Sistema de Acceso a la Información Mexiquense (SAIMEX)</w:t>
      </w:r>
      <w:r w:rsidR="006A026A" w:rsidRPr="004059FB">
        <w:rPr>
          <w:rFonts w:ascii="Palatino Linotype" w:hAnsi="Palatino Linotype" w:cs="Tahoma"/>
          <w:sz w:val="22"/>
          <w:szCs w:val="24"/>
        </w:rPr>
        <w:t>.</w:t>
      </w:r>
    </w:p>
    <w:p w14:paraId="47A9CD56" w14:textId="77777777" w:rsidR="00B31222" w:rsidRPr="004059FB" w:rsidRDefault="00B31222" w:rsidP="00F72CA9">
      <w:pPr>
        <w:spacing w:line="360" w:lineRule="auto"/>
        <w:jc w:val="both"/>
        <w:rPr>
          <w:rFonts w:ascii="Palatino Linotype" w:hAnsi="Palatino Linotype" w:cs="Tahoma"/>
          <w:b/>
          <w:sz w:val="22"/>
          <w:szCs w:val="24"/>
        </w:rPr>
      </w:pPr>
    </w:p>
    <w:p w14:paraId="58372D2A" w14:textId="77777777" w:rsidR="004F2D88" w:rsidRPr="004059FB" w:rsidRDefault="004F2D88" w:rsidP="00F72CA9">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57CC9313" w14:textId="77777777" w:rsidR="00A56F39" w:rsidRPr="004059FB" w:rsidRDefault="00A56F39" w:rsidP="00F72CA9">
      <w:pPr>
        <w:spacing w:line="360" w:lineRule="auto"/>
        <w:jc w:val="center"/>
        <w:rPr>
          <w:rFonts w:ascii="Palatino Linotype" w:hAnsi="Palatino Linotype" w:cs="Tahoma"/>
          <w:b/>
          <w:sz w:val="22"/>
          <w:szCs w:val="24"/>
        </w:rPr>
      </w:pPr>
    </w:p>
    <w:p w14:paraId="5E33328B" w14:textId="77777777" w:rsidR="004F2D88" w:rsidRPr="004059FB" w:rsidRDefault="009A620E" w:rsidP="00F72CA9">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6D26D4E3" w14:textId="77777777" w:rsidR="004F2D88" w:rsidRPr="004059FB" w:rsidRDefault="004F2D88" w:rsidP="00F72CA9">
      <w:pPr>
        <w:spacing w:line="360" w:lineRule="auto"/>
        <w:rPr>
          <w:rFonts w:ascii="Palatino Linotype" w:hAnsi="Palatino Linotype" w:cs="Tahoma"/>
          <w:b/>
          <w:sz w:val="22"/>
          <w:szCs w:val="24"/>
          <w:lang w:val="es-ES"/>
        </w:rPr>
      </w:pPr>
    </w:p>
    <w:p w14:paraId="05C1F2DE" w14:textId="77777777" w:rsidR="00B64641" w:rsidRPr="004059FB" w:rsidRDefault="00B64641" w:rsidP="00F72CA9">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7C8EDF6C" w14:textId="77777777" w:rsidR="00B727C5" w:rsidRPr="004059FB" w:rsidRDefault="00B727C5" w:rsidP="00F72CA9">
      <w:pPr>
        <w:autoSpaceDE w:val="0"/>
        <w:autoSpaceDN w:val="0"/>
        <w:adjustRightInd w:val="0"/>
        <w:spacing w:line="360" w:lineRule="auto"/>
        <w:jc w:val="both"/>
        <w:rPr>
          <w:rFonts w:ascii="Palatino Linotype" w:hAnsi="Palatino Linotype" w:cs="Tahoma"/>
          <w:sz w:val="22"/>
          <w:szCs w:val="24"/>
          <w:lang w:val="es-ES"/>
        </w:rPr>
      </w:pPr>
    </w:p>
    <w:p w14:paraId="101E3BF5" w14:textId="77777777" w:rsidR="00436FD3" w:rsidRPr="004059FB" w:rsidRDefault="00436FD3" w:rsidP="00F72CA9">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 xml:space="preserve">del Reglamento Interior del Instituto de </w:t>
      </w:r>
      <w:r w:rsidRPr="004059FB">
        <w:rPr>
          <w:rFonts w:ascii="Palatino Linotype" w:hAnsi="Palatino Linotype" w:cs="Tahoma"/>
          <w:sz w:val="22"/>
          <w:szCs w:val="24"/>
          <w:shd w:val="clear" w:color="auto" w:fill="FFFFFF"/>
        </w:rPr>
        <w:lastRenderedPageBreak/>
        <w:t>Transparencia, Acceso a la Información Pública y Protección de Datos Personales del Estado de México y Municipios.</w:t>
      </w:r>
    </w:p>
    <w:p w14:paraId="72EED415" w14:textId="77777777" w:rsidR="00B727C5" w:rsidRDefault="00B727C5" w:rsidP="00F72CA9">
      <w:pPr>
        <w:spacing w:line="360" w:lineRule="auto"/>
        <w:jc w:val="both"/>
        <w:rPr>
          <w:rFonts w:ascii="Palatino Linotype" w:eastAsia="Calibri" w:hAnsi="Palatino Linotype" w:cs="Tahoma"/>
          <w:bCs/>
          <w:color w:val="000000"/>
          <w:sz w:val="22"/>
          <w:szCs w:val="24"/>
          <w:lang w:val="es-ES" w:eastAsia="es-ES_tradnl"/>
        </w:rPr>
      </w:pPr>
    </w:p>
    <w:p w14:paraId="4F4B1EAB" w14:textId="146EDE25" w:rsidR="00F72CA9" w:rsidRDefault="00F72CA9" w:rsidP="00F72CA9">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7C4CFF70" w14:textId="77777777" w:rsidR="00850B8B" w:rsidRPr="003D5DCE" w:rsidRDefault="00850B8B" w:rsidP="00F72CA9">
      <w:pPr>
        <w:autoSpaceDE w:val="0"/>
        <w:autoSpaceDN w:val="0"/>
        <w:adjustRightInd w:val="0"/>
        <w:spacing w:line="360" w:lineRule="auto"/>
        <w:jc w:val="both"/>
        <w:rPr>
          <w:rFonts w:ascii="Palatino Linotype" w:hAnsi="Palatino Linotype" w:cs="Tahoma"/>
          <w:sz w:val="22"/>
          <w:szCs w:val="22"/>
          <w:lang w:val="es-ES"/>
        </w:rPr>
      </w:pPr>
    </w:p>
    <w:p w14:paraId="0FE45579" w14:textId="77777777" w:rsidR="00F72CA9" w:rsidRPr="003D5DCE" w:rsidRDefault="00F72CA9" w:rsidP="00F72CA9">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45AFC425" w14:textId="77777777" w:rsidR="00F72CA9" w:rsidRPr="003D5DCE" w:rsidRDefault="00F72CA9" w:rsidP="00F72CA9">
      <w:pPr>
        <w:autoSpaceDE w:val="0"/>
        <w:autoSpaceDN w:val="0"/>
        <w:adjustRightInd w:val="0"/>
        <w:spacing w:line="360" w:lineRule="auto"/>
        <w:jc w:val="both"/>
        <w:rPr>
          <w:rFonts w:ascii="Palatino Linotype" w:hAnsi="Palatino Linotype" w:cs="Tahoma"/>
          <w:sz w:val="22"/>
          <w:szCs w:val="22"/>
        </w:rPr>
      </w:pPr>
    </w:p>
    <w:p w14:paraId="03049A55" w14:textId="77777777" w:rsidR="00F72CA9" w:rsidRPr="003D5DCE" w:rsidRDefault="00F72CA9" w:rsidP="00F72CA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62A16F04" w14:textId="77777777" w:rsidR="00F72CA9" w:rsidRPr="003D5DCE" w:rsidRDefault="00F72CA9" w:rsidP="00F72CA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62CD8E0" w14:textId="77777777" w:rsidR="00F72CA9" w:rsidRPr="003D5DCE" w:rsidRDefault="00F72CA9" w:rsidP="00F72CA9">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88F3D9" w14:textId="77777777" w:rsidR="00F72CA9" w:rsidRPr="003D5DCE" w:rsidRDefault="00F72CA9" w:rsidP="00F72CA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DFFA9F1" w14:textId="77777777" w:rsidR="00F72CA9" w:rsidRPr="003D5DCE" w:rsidRDefault="00F72CA9" w:rsidP="00F72CA9">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3D5DCE">
        <w:rPr>
          <w:rFonts w:ascii="Palatino Linotype" w:hAnsi="Palatino Linotype" w:cs="Tahoma"/>
          <w:sz w:val="22"/>
          <w:szCs w:val="24"/>
        </w:rPr>
        <w:lastRenderedPageBreak/>
        <w:t>formó parte del agravio; ni se realizó una consulta o ampliación a los alcances del requerimiento informativo.</w:t>
      </w:r>
    </w:p>
    <w:p w14:paraId="342761C9" w14:textId="77777777" w:rsidR="00F72CA9" w:rsidRPr="003D5DCE" w:rsidRDefault="00F72CA9" w:rsidP="00F72CA9">
      <w:pPr>
        <w:spacing w:line="360" w:lineRule="auto"/>
        <w:jc w:val="both"/>
        <w:rPr>
          <w:rFonts w:ascii="Palatino Linotype" w:hAnsi="Palatino Linotype" w:cs="Tahoma"/>
          <w:sz w:val="22"/>
          <w:szCs w:val="24"/>
        </w:rPr>
      </w:pPr>
    </w:p>
    <w:p w14:paraId="65DF30B0" w14:textId="77777777" w:rsidR="00F72CA9" w:rsidRDefault="00F72CA9" w:rsidP="00F72CA9">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actualizan las causales de procedencia del recurso de revisión señalada en el artículo 179, </w:t>
      </w:r>
      <w:r>
        <w:rPr>
          <w:rFonts w:ascii="Palatino Linotype" w:hAnsi="Palatino Linotype" w:cs="Tahoma"/>
          <w:sz w:val="22"/>
          <w:szCs w:val="24"/>
          <w:lang w:val="es-ES"/>
        </w:rPr>
        <w:t>fracción II</w:t>
      </w:r>
      <w:r w:rsidRPr="003D5DCE">
        <w:rPr>
          <w:rFonts w:ascii="Palatino Linotype" w:hAnsi="Palatino Linotype" w:cs="Tahoma"/>
          <w:sz w:val="22"/>
          <w:szCs w:val="24"/>
          <w:lang w:val="es-ES"/>
        </w:rPr>
        <w:t>, de la Ley en cita, pues la parte Recurrente se inconformó por la clasificación de la información</w:t>
      </w:r>
      <w:r>
        <w:rPr>
          <w:rFonts w:ascii="Palatino Linotype" w:hAnsi="Palatino Linotype" w:cs="Tahoma"/>
          <w:sz w:val="22"/>
          <w:szCs w:val="24"/>
          <w:lang w:val="es-ES"/>
        </w:rPr>
        <w:t>.</w:t>
      </w:r>
    </w:p>
    <w:p w14:paraId="3E5BB385" w14:textId="77777777" w:rsidR="00F72CA9" w:rsidRPr="003D5DCE" w:rsidRDefault="00F72CA9" w:rsidP="00F72CA9">
      <w:pPr>
        <w:spacing w:line="360" w:lineRule="auto"/>
        <w:jc w:val="both"/>
        <w:rPr>
          <w:rFonts w:ascii="Palatino Linotype" w:hAnsi="Palatino Linotype" w:cs="Tahoma"/>
          <w:sz w:val="22"/>
          <w:szCs w:val="24"/>
        </w:rPr>
      </w:pPr>
      <w:r w:rsidRPr="003D5DCE">
        <w:rPr>
          <w:rFonts w:ascii="Palatino Linotype" w:hAnsi="Palatino Linotype" w:cs="Tahoma"/>
          <w:sz w:val="22"/>
          <w:szCs w:val="24"/>
          <w:lang w:val="es-ES"/>
        </w:rPr>
        <w:t> </w:t>
      </w:r>
    </w:p>
    <w:p w14:paraId="5F02B827" w14:textId="77777777" w:rsidR="00F72CA9" w:rsidRPr="003D5DCE" w:rsidRDefault="00F72CA9" w:rsidP="00F72CA9">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65F8AE9" w14:textId="77777777" w:rsidR="00F72CA9" w:rsidRPr="003D5DCE" w:rsidRDefault="00F72CA9" w:rsidP="00F72CA9">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1A60BED9" w14:textId="77777777" w:rsidR="00F72CA9" w:rsidRPr="003D5DCE" w:rsidRDefault="00F72CA9" w:rsidP="00F72CA9">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0C865923" w14:textId="77777777" w:rsidR="00F72CA9" w:rsidRPr="003D5DCE" w:rsidRDefault="00F72CA9" w:rsidP="00F72CA9">
      <w:pPr>
        <w:spacing w:line="360" w:lineRule="auto"/>
        <w:jc w:val="both"/>
        <w:rPr>
          <w:rFonts w:ascii="Palatino Linotype" w:hAnsi="Palatino Linotype" w:cs="Tahoma"/>
          <w:sz w:val="22"/>
          <w:szCs w:val="24"/>
        </w:rPr>
      </w:pPr>
    </w:p>
    <w:p w14:paraId="19164013" w14:textId="77777777" w:rsidR="00F72CA9" w:rsidRPr="003D5DCE" w:rsidRDefault="00F72CA9" w:rsidP="00F72CA9">
      <w:pPr>
        <w:spacing w:line="360" w:lineRule="auto"/>
        <w:jc w:val="both"/>
        <w:rPr>
          <w:rFonts w:ascii="Palatino Linotype" w:hAnsi="Palatino Linotype" w:cs="Tahoma"/>
          <w:sz w:val="22"/>
          <w:szCs w:val="24"/>
        </w:rPr>
      </w:pPr>
      <w:r w:rsidRPr="003D5DC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5A4E0C3" w14:textId="77777777" w:rsidR="00F72CA9" w:rsidRPr="003D5DCE" w:rsidRDefault="00F72CA9" w:rsidP="00F72CA9">
      <w:pPr>
        <w:spacing w:line="360" w:lineRule="auto"/>
        <w:jc w:val="both"/>
        <w:rPr>
          <w:rFonts w:ascii="Palatino Linotype" w:hAnsi="Palatino Linotype" w:cs="Tahoma"/>
          <w:sz w:val="22"/>
          <w:szCs w:val="24"/>
          <w:lang w:val="es-ES"/>
        </w:rPr>
      </w:pPr>
    </w:p>
    <w:p w14:paraId="214F53BC" w14:textId="77777777" w:rsidR="00F72CA9" w:rsidRPr="003D5DCE" w:rsidRDefault="00F72CA9" w:rsidP="00F72CA9">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7B4C244B" w14:textId="1475787F" w:rsidR="00F72CA9" w:rsidRDefault="00FD5810" w:rsidP="00F72CA9">
      <w:pPr>
        <w:spacing w:line="360" w:lineRule="auto"/>
        <w:jc w:val="both"/>
        <w:rPr>
          <w:rFonts w:ascii="Palatino Linotype" w:hAnsi="Palatino Linotype" w:cs="Tahoma"/>
          <w:b/>
          <w:sz w:val="22"/>
          <w:szCs w:val="22"/>
          <w:lang w:val="es-ES"/>
        </w:rPr>
      </w:pPr>
      <w:r>
        <w:rPr>
          <w:rFonts w:ascii="Palatino Linotype" w:hAnsi="Palatino Linotype" w:cs="Tahoma"/>
          <w:b/>
          <w:noProof/>
          <w:sz w:val="22"/>
          <w:szCs w:val="22"/>
          <w:lang w:eastAsia="es-MX"/>
        </w:rPr>
        <mc:AlternateContent>
          <mc:Choice Requires="wps">
            <w:drawing>
              <wp:anchor distT="0" distB="0" distL="114300" distR="114300" simplePos="0" relativeHeight="251659264" behindDoc="0" locked="0" layoutInCell="1" allowOverlap="1" wp14:anchorId="799C55DB" wp14:editId="194484A8">
                <wp:simplePos x="0" y="0"/>
                <wp:positionH relativeFrom="column">
                  <wp:posOffset>29845</wp:posOffset>
                </wp:positionH>
                <wp:positionV relativeFrom="paragraph">
                  <wp:posOffset>123825</wp:posOffset>
                </wp:positionV>
                <wp:extent cx="5734050" cy="10668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73405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C8641"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5pt,9.75pt" to="453.8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" strokecolor="#4472c4 [3204]" strokeweight=".5pt">
                <v:stroke joinstyle="miter"/>
              </v:line>
            </w:pict>
          </mc:Fallback>
        </mc:AlternateContent>
      </w:r>
    </w:p>
    <w:p w14:paraId="2E1D09E0" w14:textId="2B109877" w:rsidR="00BD507E" w:rsidRDefault="00BD507E" w:rsidP="00F72CA9">
      <w:pPr>
        <w:spacing w:line="360" w:lineRule="auto"/>
        <w:jc w:val="both"/>
        <w:rPr>
          <w:rFonts w:ascii="Palatino Linotype" w:hAnsi="Palatino Linotype" w:cs="Tahoma"/>
          <w:b/>
          <w:sz w:val="22"/>
          <w:szCs w:val="22"/>
          <w:lang w:val="es-ES"/>
        </w:rPr>
      </w:pPr>
    </w:p>
    <w:p w14:paraId="36B5C8A6" w14:textId="76DF63B7" w:rsidR="00BD507E" w:rsidRDefault="00BD507E" w:rsidP="00F72CA9">
      <w:pPr>
        <w:spacing w:line="360" w:lineRule="auto"/>
        <w:jc w:val="both"/>
        <w:rPr>
          <w:rFonts w:ascii="Palatino Linotype" w:hAnsi="Palatino Linotype" w:cs="Tahoma"/>
          <w:b/>
          <w:sz w:val="22"/>
          <w:szCs w:val="22"/>
          <w:lang w:val="es-ES"/>
        </w:rPr>
      </w:pPr>
    </w:p>
    <w:p w14:paraId="73015465" w14:textId="77777777" w:rsidR="00BD507E" w:rsidRPr="003D5DCE" w:rsidRDefault="00BD507E" w:rsidP="00F72CA9">
      <w:pPr>
        <w:spacing w:line="360" w:lineRule="auto"/>
        <w:jc w:val="both"/>
        <w:rPr>
          <w:rFonts w:ascii="Palatino Linotype" w:hAnsi="Palatino Linotype" w:cs="Tahoma"/>
          <w:b/>
          <w:sz w:val="22"/>
          <w:szCs w:val="22"/>
          <w:lang w:val="es-ES"/>
        </w:rPr>
      </w:pPr>
    </w:p>
    <w:p w14:paraId="331938A6" w14:textId="77777777" w:rsidR="00F72CA9" w:rsidRPr="003D5DCE" w:rsidRDefault="00F72CA9" w:rsidP="00F72CA9">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lastRenderedPageBreak/>
        <w:t xml:space="preserve">TERCERO. Determinación de la Controversia. </w:t>
      </w:r>
    </w:p>
    <w:p w14:paraId="699F0541" w14:textId="77777777" w:rsidR="00F72CA9" w:rsidRPr="003D5DCE" w:rsidRDefault="00F72CA9" w:rsidP="00F72CA9">
      <w:pPr>
        <w:tabs>
          <w:tab w:val="left" w:pos="4962"/>
        </w:tabs>
        <w:spacing w:line="360" w:lineRule="auto"/>
        <w:jc w:val="both"/>
        <w:rPr>
          <w:rFonts w:ascii="Palatino Linotype" w:eastAsia="Calibri" w:hAnsi="Palatino Linotype" w:cs="Tahoma"/>
          <w:b/>
          <w:iCs/>
          <w:sz w:val="22"/>
          <w:szCs w:val="22"/>
          <w:lang w:val="es-ES" w:eastAsia="es-ES_tradnl"/>
        </w:rPr>
      </w:pPr>
    </w:p>
    <w:p w14:paraId="14997D5C" w14:textId="77777777" w:rsidR="00F72CA9" w:rsidRPr="003D5DCE" w:rsidRDefault="00F72CA9" w:rsidP="00F72CA9">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5F6AF7BB" w14:textId="77777777" w:rsidR="00F72CA9" w:rsidRPr="004059FB" w:rsidRDefault="00F72CA9" w:rsidP="00F72CA9">
      <w:pPr>
        <w:spacing w:line="360" w:lineRule="auto"/>
        <w:jc w:val="both"/>
        <w:rPr>
          <w:rFonts w:ascii="Palatino Linotype" w:eastAsia="Calibri" w:hAnsi="Palatino Linotype" w:cs="Tahoma"/>
          <w:bCs/>
          <w:color w:val="000000"/>
          <w:sz w:val="22"/>
          <w:szCs w:val="24"/>
          <w:lang w:val="es-ES" w:eastAsia="es-ES_tradnl"/>
        </w:rPr>
      </w:pPr>
    </w:p>
    <w:p w14:paraId="25AE9B73" w14:textId="77777777" w:rsidR="00502705" w:rsidRDefault="00502705" w:rsidP="00F72CA9">
      <w:pPr>
        <w:spacing w:line="360" w:lineRule="auto"/>
        <w:jc w:val="both"/>
        <w:rPr>
          <w:rFonts w:ascii="Palatino Linotype" w:eastAsia="Calibri" w:hAnsi="Palatino Linotype" w:cs="Arial"/>
          <w:sz w:val="24"/>
          <w:szCs w:val="24"/>
          <w:lang w:eastAsia="es-MX"/>
        </w:rPr>
      </w:pPr>
      <w:r w:rsidRPr="008C12F2">
        <w:rPr>
          <w:rFonts w:ascii="Palatino Linotype" w:hAnsi="Palatino Linotype" w:cs="Tahoma"/>
          <w:sz w:val="22"/>
          <w:szCs w:val="24"/>
          <w:lang w:eastAsia="es-MX"/>
        </w:rPr>
        <w:t xml:space="preserve">El Particular requirió al Instituto de Seguridad Social del Estado de México y Municipios, la información actual, esto es, a la fecha de la solicitud (veintitrés de octubre de dos mil dieciocho), diversos requerimientos informativos; </w:t>
      </w:r>
      <w:r w:rsidR="008C12F2">
        <w:rPr>
          <w:rFonts w:ascii="Palatino Linotype" w:eastAsia="Calibri" w:hAnsi="Palatino Linotype" w:cs="Arial"/>
          <w:sz w:val="24"/>
          <w:szCs w:val="24"/>
          <w:lang w:eastAsia="es-MX"/>
        </w:rPr>
        <w:t>en ese sentido</w:t>
      </w:r>
      <w:r w:rsidR="008C12F2" w:rsidRPr="008C12F2">
        <w:rPr>
          <w:rFonts w:ascii="Palatino Linotype" w:eastAsia="Calibri" w:hAnsi="Palatino Linotype" w:cs="Arial"/>
          <w:sz w:val="24"/>
          <w:szCs w:val="24"/>
          <w:lang w:eastAsia="es-MX"/>
        </w:rPr>
        <w:t>, para tener claridad en lo solicitado, la respuesta proporcionada</w:t>
      </w:r>
      <w:r w:rsidR="008C12F2">
        <w:rPr>
          <w:rFonts w:ascii="Palatino Linotype" w:eastAsia="Calibri" w:hAnsi="Palatino Linotype" w:cs="Arial"/>
          <w:sz w:val="24"/>
          <w:szCs w:val="24"/>
          <w:lang w:eastAsia="es-MX"/>
        </w:rPr>
        <w:t xml:space="preserve"> y</w:t>
      </w:r>
      <w:r w:rsidR="008C12F2" w:rsidRPr="008C12F2">
        <w:rPr>
          <w:rFonts w:ascii="Palatino Linotype" w:eastAsia="Calibri" w:hAnsi="Palatino Linotype" w:cs="Arial"/>
          <w:sz w:val="24"/>
          <w:szCs w:val="24"/>
          <w:lang w:eastAsia="es-MX"/>
        </w:rPr>
        <w:t xml:space="preserve"> los agravios del solicitante, se desarrolla el siguiente cuadro</w:t>
      </w:r>
      <w:r w:rsidR="008C12F2">
        <w:rPr>
          <w:rFonts w:ascii="Palatino Linotype" w:eastAsia="Calibri" w:hAnsi="Palatino Linotype" w:cs="Arial"/>
          <w:sz w:val="24"/>
          <w:szCs w:val="24"/>
          <w:lang w:eastAsia="es-MX"/>
        </w:rPr>
        <w:t>:</w:t>
      </w:r>
    </w:p>
    <w:p w14:paraId="368E4E70" w14:textId="77777777" w:rsidR="008C12F2" w:rsidRDefault="008C12F2" w:rsidP="00F72CA9">
      <w:pPr>
        <w:spacing w:line="360" w:lineRule="auto"/>
        <w:jc w:val="both"/>
        <w:rPr>
          <w:rFonts w:ascii="Palatino Linotype" w:eastAsia="Calibri" w:hAnsi="Palatino Linotype" w:cs="Arial"/>
          <w:sz w:val="24"/>
          <w:szCs w:val="24"/>
          <w:lang w:eastAsia="es-MX"/>
        </w:rPr>
      </w:pPr>
    </w:p>
    <w:tbl>
      <w:tblPr>
        <w:tblStyle w:val="Tablaconcuadrcula"/>
        <w:tblW w:w="0" w:type="auto"/>
        <w:tblLook w:val="04A0" w:firstRow="1" w:lastRow="0" w:firstColumn="1" w:lastColumn="0" w:noHBand="0" w:noVBand="1"/>
      </w:tblPr>
      <w:tblGrid>
        <w:gridCol w:w="3011"/>
        <w:gridCol w:w="3011"/>
        <w:gridCol w:w="3012"/>
      </w:tblGrid>
      <w:tr w:rsidR="008C12F2" w14:paraId="7DD70077" w14:textId="77777777" w:rsidTr="008C12F2">
        <w:tc>
          <w:tcPr>
            <w:tcW w:w="3011" w:type="dxa"/>
          </w:tcPr>
          <w:p w14:paraId="0C63F95B" w14:textId="77777777" w:rsidR="008C12F2" w:rsidRPr="008C12F2" w:rsidRDefault="008C12F2" w:rsidP="008C12F2">
            <w:pPr>
              <w:spacing w:line="360" w:lineRule="auto"/>
              <w:jc w:val="center"/>
              <w:rPr>
                <w:rFonts w:ascii="Palatino Linotype" w:eastAsia="Calibri" w:hAnsi="Palatino Linotype" w:cs="Arial"/>
                <w:lang w:eastAsia="es-MX"/>
              </w:rPr>
            </w:pPr>
            <w:r w:rsidRPr="008C12F2">
              <w:rPr>
                <w:rFonts w:ascii="Palatino Linotype" w:eastAsia="Calibri" w:hAnsi="Palatino Linotype" w:cs="Arial"/>
                <w:lang w:eastAsia="es-MX"/>
              </w:rPr>
              <w:t>Solicitud</w:t>
            </w:r>
            <w:r w:rsidR="00FB13E3">
              <w:rPr>
                <w:rFonts w:ascii="Palatino Linotype" w:eastAsia="Calibri" w:hAnsi="Palatino Linotype" w:cs="Arial"/>
                <w:lang w:eastAsia="es-MX"/>
              </w:rPr>
              <w:t xml:space="preserve"> de información</w:t>
            </w:r>
          </w:p>
        </w:tc>
        <w:tc>
          <w:tcPr>
            <w:tcW w:w="3011" w:type="dxa"/>
          </w:tcPr>
          <w:p w14:paraId="7261C34A" w14:textId="77777777" w:rsidR="008C12F2" w:rsidRPr="008C12F2" w:rsidRDefault="008C12F2" w:rsidP="00FB13E3">
            <w:pPr>
              <w:spacing w:line="360" w:lineRule="auto"/>
              <w:jc w:val="center"/>
              <w:rPr>
                <w:rFonts w:ascii="Palatino Linotype" w:eastAsia="Calibri" w:hAnsi="Palatino Linotype" w:cs="Arial"/>
                <w:lang w:eastAsia="es-MX"/>
              </w:rPr>
            </w:pPr>
            <w:r w:rsidRPr="008C12F2">
              <w:rPr>
                <w:rFonts w:ascii="Palatino Linotype" w:eastAsia="Calibri" w:hAnsi="Palatino Linotype" w:cs="Arial"/>
                <w:lang w:eastAsia="es-MX"/>
              </w:rPr>
              <w:t xml:space="preserve">Respuesta </w:t>
            </w:r>
            <w:r w:rsidR="00FB13E3">
              <w:rPr>
                <w:rFonts w:ascii="Palatino Linotype" w:eastAsia="Calibri" w:hAnsi="Palatino Linotype" w:cs="Arial"/>
                <w:lang w:eastAsia="es-MX"/>
              </w:rPr>
              <w:t xml:space="preserve">de los </w:t>
            </w:r>
            <w:r w:rsidR="00FB13E3" w:rsidRPr="00FB13E3">
              <w:rPr>
                <w:rFonts w:ascii="Palatino Linotype" w:eastAsia="Calibri" w:hAnsi="Palatino Linotype" w:cs="Arial"/>
                <w:bCs/>
                <w:lang w:val="es-MX" w:eastAsia="es-MX"/>
              </w:rPr>
              <w:t>Servidores Públicos Habilitados de la Coordinación de Prestaciones y Seguridad Social y de Finanzas</w:t>
            </w:r>
          </w:p>
        </w:tc>
        <w:tc>
          <w:tcPr>
            <w:tcW w:w="3012" w:type="dxa"/>
          </w:tcPr>
          <w:p w14:paraId="2B8DE6AB" w14:textId="77777777" w:rsidR="008C12F2" w:rsidRPr="008C12F2" w:rsidRDefault="008C12F2" w:rsidP="008C12F2">
            <w:pPr>
              <w:spacing w:line="360" w:lineRule="auto"/>
              <w:jc w:val="center"/>
              <w:rPr>
                <w:rFonts w:ascii="Palatino Linotype" w:eastAsia="Calibri" w:hAnsi="Palatino Linotype" w:cs="Arial"/>
                <w:lang w:eastAsia="es-MX"/>
              </w:rPr>
            </w:pPr>
            <w:r w:rsidRPr="008C12F2">
              <w:rPr>
                <w:rFonts w:ascii="Palatino Linotype" w:eastAsia="Calibri" w:hAnsi="Palatino Linotype" w:cs="Arial"/>
                <w:lang w:eastAsia="es-MX"/>
              </w:rPr>
              <w:t>Recurso de Revisión</w:t>
            </w:r>
            <w:r w:rsidR="00756824">
              <w:rPr>
                <w:rFonts w:ascii="Palatino Linotype" w:eastAsia="Calibri" w:hAnsi="Palatino Linotype" w:cs="Arial"/>
                <w:lang w:eastAsia="es-MX"/>
              </w:rPr>
              <w:t xml:space="preserve"> interpuesto por el ahora Recurrente</w:t>
            </w:r>
          </w:p>
        </w:tc>
      </w:tr>
      <w:tr w:rsidR="008C12F2" w14:paraId="65217982" w14:textId="77777777" w:rsidTr="008C12F2">
        <w:tc>
          <w:tcPr>
            <w:tcW w:w="3011" w:type="dxa"/>
          </w:tcPr>
          <w:p w14:paraId="3C39C6F9" w14:textId="77777777" w:rsidR="008C12F2" w:rsidRPr="008C12F2" w:rsidRDefault="008C12F2" w:rsidP="00F72CA9">
            <w:pPr>
              <w:spacing w:line="360" w:lineRule="auto"/>
              <w:jc w:val="both"/>
              <w:rPr>
                <w:rFonts w:ascii="Palatino Linotype" w:eastAsia="Calibri" w:hAnsi="Palatino Linotype" w:cs="Arial"/>
                <w:lang w:val="es-MX" w:eastAsia="es-MX"/>
              </w:rPr>
            </w:pPr>
            <w:r w:rsidRPr="008C12F2">
              <w:rPr>
                <w:rFonts w:ascii="Palatino Linotype" w:eastAsia="Calibri" w:hAnsi="Palatino Linotype" w:cs="Arial"/>
                <w:lang w:val="es-MX" w:eastAsia="es-MX"/>
              </w:rPr>
              <w:t>1. Monto bajo administración por Afore XXI, en del Sujeto Obligado</w:t>
            </w:r>
          </w:p>
        </w:tc>
        <w:tc>
          <w:tcPr>
            <w:tcW w:w="3011" w:type="dxa"/>
          </w:tcPr>
          <w:p w14:paraId="0F930E1C" w14:textId="77777777" w:rsidR="00FB13E3" w:rsidRPr="00FB13E3" w:rsidRDefault="00FB13E3" w:rsidP="00FB13E3">
            <w:pPr>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 xml:space="preserve">Al cierre de junio de dos mil dieciocho, el monto administrado por </w:t>
            </w:r>
            <w:r w:rsidRPr="00FB13E3">
              <w:rPr>
                <w:rFonts w:ascii="Palatino Linotype" w:eastAsia="Calibri" w:hAnsi="Palatino Linotype" w:cs="Arial"/>
                <w:lang w:eastAsia="es-MX"/>
              </w:rPr>
              <w:t>Afore XXI B</w:t>
            </w:r>
            <w:r>
              <w:rPr>
                <w:rFonts w:ascii="Palatino Linotype" w:eastAsia="Calibri" w:hAnsi="Palatino Linotype" w:cs="Arial"/>
                <w:lang w:eastAsia="es-MX"/>
              </w:rPr>
              <w:t xml:space="preserve">anorte a través de las </w:t>
            </w:r>
            <w:proofErr w:type="spellStart"/>
            <w:r>
              <w:rPr>
                <w:rFonts w:ascii="Palatino Linotype" w:eastAsia="Calibri" w:hAnsi="Palatino Linotype" w:cs="Arial"/>
                <w:lang w:eastAsia="es-MX"/>
              </w:rPr>
              <w:t>Siefores</w:t>
            </w:r>
            <w:proofErr w:type="spellEnd"/>
            <w:r>
              <w:rPr>
                <w:rFonts w:ascii="Palatino Linotype" w:eastAsia="Calibri" w:hAnsi="Palatino Linotype" w:cs="Arial"/>
                <w:lang w:eastAsia="es-MX"/>
              </w:rPr>
              <w:t xml:space="preserve">, </w:t>
            </w:r>
            <w:r w:rsidRPr="00FB13E3">
              <w:rPr>
                <w:rFonts w:ascii="Palatino Linotype" w:eastAsia="Calibri" w:hAnsi="Palatino Linotype" w:cs="Arial"/>
                <w:lang w:eastAsia="es-MX"/>
              </w:rPr>
              <w:t>es de</w:t>
            </w:r>
            <w:r>
              <w:rPr>
                <w:rFonts w:ascii="Palatino Linotype" w:eastAsia="Calibri" w:hAnsi="Palatino Linotype" w:cs="Arial"/>
                <w:lang w:eastAsia="es-MX"/>
              </w:rPr>
              <w:t xml:space="preserve"> </w:t>
            </w:r>
            <w:r w:rsidRPr="00FB13E3">
              <w:rPr>
                <w:rFonts w:ascii="Palatino Linotype" w:eastAsia="Calibri" w:hAnsi="Palatino Linotype" w:cs="Arial"/>
                <w:lang w:eastAsia="es-MX"/>
              </w:rPr>
              <w:t>$ 11, 687, 104,848.44 (once billones seiscientos ochenta y siete millones ciento cuatro mil</w:t>
            </w:r>
          </w:p>
          <w:p w14:paraId="1790FEDF" w14:textId="77777777" w:rsidR="008C12F2" w:rsidRPr="008C12F2" w:rsidRDefault="00FB13E3" w:rsidP="00FB13E3">
            <w:pPr>
              <w:spacing w:line="360" w:lineRule="auto"/>
              <w:jc w:val="both"/>
              <w:rPr>
                <w:rFonts w:ascii="Palatino Linotype" w:eastAsia="Calibri" w:hAnsi="Palatino Linotype" w:cs="Arial"/>
                <w:lang w:eastAsia="es-MX"/>
              </w:rPr>
            </w:pPr>
            <w:r w:rsidRPr="00FB13E3">
              <w:rPr>
                <w:rFonts w:ascii="Palatino Linotype" w:eastAsia="Calibri" w:hAnsi="Palatino Linotype" w:cs="Arial"/>
                <w:lang w:eastAsia="es-MX"/>
              </w:rPr>
              <w:t>Ochocientos cuarenta y ocho pesos 44/100 M.N.)</w:t>
            </w:r>
            <w:r>
              <w:rPr>
                <w:rFonts w:ascii="Palatino Linotype" w:eastAsia="Calibri" w:hAnsi="Palatino Linotype" w:cs="Arial"/>
                <w:lang w:eastAsia="es-MX"/>
              </w:rPr>
              <w:t>.</w:t>
            </w:r>
          </w:p>
        </w:tc>
        <w:tc>
          <w:tcPr>
            <w:tcW w:w="3012" w:type="dxa"/>
          </w:tcPr>
          <w:p w14:paraId="308E7B6B" w14:textId="77777777" w:rsidR="008C12F2" w:rsidRPr="008C12F2" w:rsidRDefault="00756824" w:rsidP="00756824">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No emitió agravio</w:t>
            </w:r>
          </w:p>
        </w:tc>
      </w:tr>
    </w:tbl>
    <w:p w14:paraId="33493498" w14:textId="77777777" w:rsidR="00FC4AFC" w:rsidRDefault="00FC4AFC">
      <w:r>
        <w:br w:type="page"/>
      </w:r>
    </w:p>
    <w:tbl>
      <w:tblPr>
        <w:tblStyle w:val="Tablaconcuadrcula"/>
        <w:tblW w:w="0" w:type="auto"/>
        <w:tblLook w:val="04A0" w:firstRow="1" w:lastRow="0" w:firstColumn="1" w:lastColumn="0" w:noHBand="0" w:noVBand="1"/>
      </w:tblPr>
      <w:tblGrid>
        <w:gridCol w:w="3011"/>
        <w:gridCol w:w="3011"/>
        <w:gridCol w:w="3012"/>
      </w:tblGrid>
      <w:tr w:rsidR="00FC4AFC" w14:paraId="6360ECE4" w14:textId="77777777" w:rsidTr="008C12F2">
        <w:tc>
          <w:tcPr>
            <w:tcW w:w="3011" w:type="dxa"/>
          </w:tcPr>
          <w:p w14:paraId="7A5B61C9" w14:textId="186CE23D" w:rsidR="00FC4AFC" w:rsidRPr="008C12F2" w:rsidRDefault="00FC4AFC" w:rsidP="00FC4AFC">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lastRenderedPageBreak/>
              <w:t>Solicitud</w:t>
            </w:r>
          </w:p>
        </w:tc>
        <w:tc>
          <w:tcPr>
            <w:tcW w:w="3011" w:type="dxa"/>
          </w:tcPr>
          <w:p w14:paraId="1EC34765" w14:textId="5F446127" w:rsidR="00FC4AFC" w:rsidRDefault="00FC4AFC" w:rsidP="00FC4AFC">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Respuesta</w:t>
            </w:r>
          </w:p>
        </w:tc>
        <w:tc>
          <w:tcPr>
            <w:tcW w:w="3012" w:type="dxa"/>
          </w:tcPr>
          <w:p w14:paraId="4496AC68" w14:textId="5D4FF1C7" w:rsidR="00FC4AFC" w:rsidRDefault="00FC4AFC" w:rsidP="00756824">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Recurso</w:t>
            </w:r>
          </w:p>
        </w:tc>
      </w:tr>
      <w:tr w:rsidR="008C12F2" w14:paraId="772CC218" w14:textId="77777777" w:rsidTr="008C12F2">
        <w:tc>
          <w:tcPr>
            <w:tcW w:w="3011" w:type="dxa"/>
          </w:tcPr>
          <w:p w14:paraId="503F4E90" w14:textId="7149B247" w:rsidR="008C12F2" w:rsidRPr="008C12F2" w:rsidRDefault="008C12F2" w:rsidP="008C12F2">
            <w:pPr>
              <w:spacing w:line="360" w:lineRule="auto"/>
              <w:jc w:val="both"/>
              <w:rPr>
                <w:rFonts w:ascii="Palatino Linotype" w:eastAsia="Calibri" w:hAnsi="Palatino Linotype" w:cs="Arial"/>
                <w:lang w:eastAsia="es-MX"/>
              </w:rPr>
            </w:pPr>
            <w:r w:rsidRPr="008C12F2">
              <w:rPr>
                <w:rFonts w:ascii="Palatino Linotype" w:eastAsia="Calibri" w:hAnsi="Palatino Linotype" w:cs="Arial"/>
                <w:lang w:eastAsia="es-MX"/>
              </w:rPr>
              <w:t>2.</w:t>
            </w:r>
            <w:r w:rsidRPr="008C12F2">
              <w:rPr>
                <w:rFonts w:ascii="Palatino Linotype" w:hAnsi="Palatino Linotype" w:cs="Tahoma"/>
                <w:lang w:val="es-MX" w:eastAsia="es-MX"/>
              </w:rPr>
              <w:t xml:space="preserve"> Estudio Actuarial de pensiones y pasivos</w:t>
            </w:r>
          </w:p>
        </w:tc>
        <w:tc>
          <w:tcPr>
            <w:tcW w:w="3011" w:type="dxa"/>
          </w:tcPr>
          <w:p w14:paraId="27B5B817" w14:textId="77777777" w:rsidR="008C12F2" w:rsidRPr="008C12F2" w:rsidRDefault="00FB13E3" w:rsidP="00F72CA9">
            <w:pPr>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Entregó el Informe de Estudios Actuariales del Instituto de Seguridad Social del Estado de México, publicado en el Presupuesto de Egresos del Gobierno del Estado de México para el Ejercicio Fiscal del dos mil dieciocho.</w:t>
            </w:r>
          </w:p>
        </w:tc>
        <w:tc>
          <w:tcPr>
            <w:tcW w:w="3012" w:type="dxa"/>
          </w:tcPr>
          <w:p w14:paraId="016412AA" w14:textId="77777777" w:rsidR="008C12F2" w:rsidRPr="008C12F2" w:rsidRDefault="00756824" w:rsidP="00756824">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No emitió agravio</w:t>
            </w:r>
          </w:p>
        </w:tc>
      </w:tr>
      <w:tr w:rsidR="008C12F2" w14:paraId="14CB243E" w14:textId="77777777" w:rsidTr="008C12F2">
        <w:tc>
          <w:tcPr>
            <w:tcW w:w="3011" w:type="dxa"/>
          </w:tcPr>
          <w:p w14:paraId="0B1F17B9" w14:textId="77777777" w:rsidR="008C12F2" w:rsidRPr="008C12F2" w:rsidRDefault="008C12F2" w:rsidP="00FB13E3">
            <w:pPr>
              <w:spacing w:line="360" w:lineRule="auto"/>
              <w:jc w:val="both"/>
              <w:rPr>
                <w:rFonts w:ascii="Palatino Linotype" w:eastAsia="Calibri" w:hAnsi="Palatino Linotype" w:cs="Arial"/>
                <w:lang w:eastAsia="es-MX"/>
              </w:rPr>
            </w:pPr>
            <w:r w:rsidRPr="008C12F2">
              <w:rPr>
                <w:rFonts w:ascii="Palatino Linotype" w:eastAsia="Calibri" w:hAnsi="Palatino Linotype" w:cs="Arial"/>
                <w:lang w:eastAsia="es-MX"/>
              </w:rPr>
              <w:t xml:space="preserve">3. </w:t>
            </w:r>
            <w:r w:rsidRPr="008C12F2">
              <w:rPr>
                <w:rFonts w:ascii="Palatino Linotype" w:eastAsia="Calibri" w:hAnsi="Palatino Linotype" w:cs="Arial"/>
                <w:lang w:val="es-MX" w:eastAsia="es-MX"/>
              </w:rPr>
              <w:t xml:space="preserve">Monto bajo administración </w:t>
            </w:r>
            <w:r w:rsidR="00FB13E3">
              <w:rPr>
                <w:rFonts w:ascii="Palatino Linotype" w:eastAsia="Calibri" w:hAnsi="Palatino Linotype" w:cs="Arial"/>
                <w:lang w:val="es-MX" w:eastAsia="es-MX"/>
              </w:rPr>
              <w:t>por interacciones, a nombre del Sujeto Obligado</w:t>
            </w:r>
          </w:p>
        </w:tc>
        <w:tc>
          <w:tcPr>
            <w:tcW w:w="3011" w:type="dxa"/>
          </w:tcPr>
          <w:p w14:paraId="42DDBCBE" w14:textId="77777777" w:rsidR="008C12F2" w:rsidRPr="008C12F2" w:rsidRDefault="00FB13E3" w:rsidP="00FB13E3">
            <w:pPr>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 xml:space="preserve">Proporcionó la Resolución número </w:t>
            </w:r>
            <w:r w:rsidRPr="00FB13E3">
              <w:rPr>
                <w:rFonts w:ascii="Palatino Linotype" w:eastAsia="Calibri" w:hAnsi="Palatino Linotype" w:cs="Arial"/>
                <w:lang w:val="es-MX" w:eastAsia="es-MX"/>
              </w:rPr>
              <w:t xml:space="preserve">CT/ISSEMYM-A02-47E/2018, emitida por </w:t>
            </w:r>
            <w:r>
              <w:rPr>
                <w:rFonts w:ascii="Palatino Linotype" w:eastAsia="Calibri" w:hAnsi="Palatino Linotype" w:cs="Arial"/>
                <w:lang w:val="es-MX" w:eastAsia="es-MX"/>
              </w:rPr>
              <w:t>su</w:t>
            </w:r>
            <w:r w:rsidRPr="00FB13E3">
              <w:rPr>
                <w:rFonts w:ascii="Palatino Linotype" w:eastAsia="Calibri" w:hAnsi="Palatino Linotype" w:cs="Arial"/>
                <w:lang w:val="es-MX" w:eastAsia="es-MX"/>
              </w:rPr>
              <w:t xml:space="preserve"> Comité de Transparenci</w:t>
            </w:r>
            <w:r>
              <w:rPr>
                <w:rFonts w:ascii="Palatino Linotype" w:eastAsia="Calibri" w:hAnsi="Palatino Linotype" w:cs="Arial"/>
                <w:lang w:val="es-MX" w:eastAsia="es-MX"/>
              </w:rPr>
              <w:t>a, mediante el cual clasifica como confidencial la información relacionada con lo requerido, términos del artículo 143, fracción II, de la Ley de la materia, con relación al 142 de la Ley de Instituciones de Crédito.</w:t>
            </w:r>
          </w:p>
        </w:tc>
        <w:tc>
          <w:tcPr>
            <w:tcW w:w="3012" w:type="dxa"/>
          </w:tcPr>
          <w:p w14:paraId="4F9EA921" w14:textId="77777777" w:rsidR="008C12F2" w:rsidRPr="008C12F2" w:rsidRDefault="00756824" w:rsidP="00F72CA9">
            <w:pPr>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Se inconformó por la clasificación del monto actual bajo administración por interacciones a nombre del Ente Recurrido, además señaló que la información no violaba la privacidad de los derechohabientes, además que era de interés público.</w:t>
            </w:r>
          </w:p>
        </w:tc>
      </w:tr>
      <w:tr w:rsidR="008C12F2" w14:paraId="65CF21C8" w14:textId="77777777" w:rsidTr="008C12F2">
        <w:tc>
          <w:tcPr>
            <w:tcW w:w="3011" w:type="dxa"/>
          </w:tcPr>
          <w:p w14:paraId="503A1C6A" w14:textId="77777777" w:rsidR="008C12F2" w:rsidRPr="008C12F2" w:rsidRDefault="008C12F2" w:rsidP="00F72CA9">
            <w:pPr>
              <w:spacing w:line="360" w:lineRule="auto"/>
              <w:jc w:val="both"/>
              <w:rPr>
                <w:rFonts w:ascii="Palatino Linotype" w:hAnsi="Palatino Linotype" w:cs="Tahoma"/>
                <w:lang w:eastAsia="es-MX"/>
              </w:rPr>
            </w:pPr>
            <w:r w:rsidRPr="008C12F2">
              <w:rPr>
                <w:rFonts w:ascii="Palatino Linotype" w:eastAsia="Calibri" w:hAnsi="Palatino Linotype" w:cs="Arial"/>
                <w:lang w:eastAsia="es-MX"/>
              </w:rPr>
              <w:t>4.</w:t>
            </w:r>
            <w:r w:rsidRPr="008C12F2">
              <w:rPr>
                <w:rFonts w:ascii="Palatino Linotype" w:hAnsi="Palatino Linotype" w:cs="Tahoma"/>
                <w:lang w:eastAsia="es-MX"/>
              </w:rPr>
              <w:t xml:space="preserve"> Rendimiento de todo lo administrado de los últimos cinco años, con comisi</w:t>
            </w:r>
            <w:r>
              <w:rPr>
                <w:rFonts w:ascii="Palatino Linotype" w:hAnsi="Palatino Linotype" w:cs="Tahoma"/>
                <w:lang w:eastAsia="es-MX"/>
              </w:rPr>
              <w:t>ón desglosada</w:t>
            </w:r>
          </w:p>
        </w:tc>
        <w:tc>
          <w:tcPr>
            <w:tcW w:w="3011" w:type="dxa"/>
          </w:tcPr>
          <w:p w14:paraId="6060E9B2" w14:textId="77777777" w:rsidR="008C12F2" w:rsidRPr="008C12F2" w:rsidRDefault="00FB13E3" w:rsidP="00FB13E3">
            <w:pPr>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Proporcionó una tabla con el rendimiento nominal neto y la comisión cobrada, del dos mil trece a junio de dos mil dieciocho.</w:t>
            </w:r>
          </w:p>
        </w:tc>
        <w:tc>
          <w:tcPr>
            <w:tcW w:w="3012" w:type="dxa"/>
          </w:tcPr>
          <w:p w14:paraId="00F22DAE" w14:textId="77777777" w:rsidR="008C12F2" w:rsidRPr="008C12F2" w:rsidRDefault="00756824" w:rsidP="00756824">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No emitió agravio</w:t>
            </w:r>
          </w:p>
        </w:tc>
      </w:tr>
    </w:tbl>
    <w:p w14:paraId="5DFAD427" w14:textId="77777777" w:rsidR="00FC4AFC" w:rsidRDefault="00FC4AFC">
      <w:r>
        <w:br w:type="page"/>
      </w:r>
    </w:p>
    <w:tbl>
      <w:tblPr>
        <w:tblStyle w:val="Tablaconcuadrcula"/>
        <w:tblW w:w="0" w:type="auto"/>
        <w:tblLook w:val="04A0" w:firstRow="1" w:lastRow="0" w:firstColumn="1" w:lastColumn="0" w:noHBand="0" w:noVBand="1"/>
      </w:tblPr>
      <w:tblGrid>
        <w:gridCol w:w="3011"/>
        <w:gridCol w:w="3011"/>
        <w:gridCol w:w="3012"/>
      </w:tblGrid>
      <w:tr w:rsidR="00FC4AFC" w14:paraId="58874498" w14:textId="77777777" w:rsidTr="008C12F2">
        <w:tc>
          <w:tcPr>
            <w:tcW w:w="3011" w:type="dxa"/>
          </w:tcPr>
          <w:p w14:paraId="7E3F5DFB" w14:textId="22E6C56B" w:rsidR="00FC4AFC" w:rsidRPr="008C12F2" w:rsidRDefault="00FC4AFC" w:rsidP="00FC4AFC">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lastRenderedPageBreak/>
              <w:t>Solicitud</w:t>
            </w:r>
          </w:p>
        </w:tc>
        <w:tc>
          <w:tcPr>
            <w:tcW w:w="3011" w:type="dxa"/>
          </w:tcPr>
          <w:p w14:paraId="60055D65" w14:textId="0A304D80" w:rsidR="00FC4AFC" w:rsidRDefault="00FC4AFC" w:rsidP="00FC4AFC">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Respuesta</w:t>
            </w:r>
          </w:p>
        </w:tc>
        <w:tc>
          <w:tcPr>
            <w:tcW w:w="3012" w:type="dxa"/>
          </w:tcPr>
          <w:p w14:paraId="48DCC53B" w14:textId="7A19E0BE" w:rsidR="00FC4AFC" w:rsidRDefault="00FC4AFC" w:rsidP="00FC4AFC">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Recurso</w:t>
            </w:r>
          </w:p>
        </w:tc>
      </w:tr>
      <w:tr w:rsidR="008C12F2" w14:paraId="03D9D4FE" w14:textId="77777777" w:rsidTr="008C12F2">
        <w:tc>
          <w:tcPr>
            <w:tcW w:w="3011" w:type="dxa"/>
          </w:tcPr>
          <w:p w14:paraId="564FF0FD" w14:textId="1A738D27" w:rsidR="008C12F2" w:rsidRPr="008C12F2" w:rsidRDefault="008C12F2" w:rsidP="00F72CA9">
            <w:pPr>
              <w:spacing w:line="360" w:lineRule="auto"/>
              <w:jc w:val="both"/>
              <w:rPr>
                <w:rFonts w:ascii="Palatino Linotype" w:eastAsia="Calibri" w:hAnsi="Palatino Linotype" w:cs="Arial"/>
                <w:lang w:eastAsia="es-MX"/>
              </w:rPr>
            </w:pPr>
            <w:r w:rsidRPr="008C12F2">
              <w:rPr>
                <w:rFonts w:ascii="Palatino Linotype" w:eastAsia="Calibri" w:hAnsi="Palatino Linotype" w:cs="Arial"/>
                <w:lang w:eastAsia="es-MX"/>
              </w:rPr>
              <w:t>5.</w:t>
            </w:r>
            <w:r>
              <w:rPr>
                <w:rFonts w:ascii="Palatino Linotype" w:eastAsia="Calibri" w:hAnsi="Palatino Linotype" w:cs="Arial"/>
                <w:lang w:eastAsia="es-MX"/>
              </w:rPr>
              <w:t xml:space="preserve"> Número de afiliaciones totales</w:t>
            </w:r>
          </w:p>
        </w:tc>
        <w:tc>
          <w:tcPr>
            <w:tcW w:w="3011" w:type="dxa"/>
          </w:tcPr>
          <w:p w14:paraId="53DCFE77" w14:textId="77777777" w:rsidR="008C12F2" w:rsidRPr="008C12F2" w:rsidRDefault="00756824" w:rsidP="00F72CA9">
            <w:pPr>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Proporcionó el número de afiliaciones correspondientes al mes de septiembre de dos mil dieciocho, a través de dos tablas.</w:t>
            </w:r>
          </w:p>
        </w:tc>
        <w:tc>
          <w:tcPr>
            <w:tcW w:w="3012" w:type="dxa"/>
          </w:tcPr>
          <w:p w14:paraId="601AEBED" w14:textId="77777777" w:rsidR="008C12F2" w:rsidRPr="008C12F2" w:rsidRDefault="00756824" w:rsidP="00756824">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No emitió agravio</w:t>
            </w:r>
          </w:p>
        </w:tc>
      </w:tr>
      <w:tr w:rsidR="008C12F2" w14:paraId="45CA2C15" w14:textId="77777777" w:rsidTr="008C12F2">
        <w:tc>
          <w:tcPr>
            <w:tcW w:w="3011" w:type="dxa"/>
          </w:tcPr>
          <w:p w14:paraId="56CCCB58" w14:textId="77777777" w:rsidR="008C12F2" w:rsidRPr="008C12F2" w:rsidRDefault="008C12F2" w:rsidP="00F72CA9">
            <w:pPr>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6. División del beneficio definido y contribución definida.</w:t>
            </w:r>
          </w:p>
        </w:tc>
        <w:tc>
          <w:tcPr>
            <w:tcW w:w="3011" w:type="dxa"/>
          </w:tcPr>
          <w:p w14:paraId="09A1DC38" w14:textId="77777777" w:rsidR="008C12F2" w:rsidRPr="008C12F2" w:rsidRDefault="00FB13E3" w:rsidP="00F72CA9">
            <w:pPr>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Señaló que cuenta con un sistema mixto de pensiones, en el cual, el beneficio definido corresponde a el Sistema Solidario de Reparto y la contribución definida está relacionada al Sistema de Capitalización Individualizada.</w:t>
            </w:r>
          </w:p>
        </w:tc>
        <w:tc>
          <w:tcPr>
            <w:tcW w:w="3012" w:type="dxa"/>
          </w:tcPr>
          <w:p w14:paraId="2189FD61" w14:textId="77777777" w:rsidR="008C12F2" w:rsidRPr="008C12F2" w:rsidRDefault="00756824" w:rsidP="00756824">
            <w:pPr>
              <w:spacing w:line="360" w:lineRule="auto"/>
              <w:jc w:val="center"/>
              <w:rPr>
                <w:rFonts w:ascii="Palatino Linotype" w:eastAsia="Calibri" w:hAnsi="Palatino Linotype" w:cs="Arial"/>
                <w:lang w:eastAsia="es-MX"/>
              </w:rPr>
            </w:pPr>
            <w:r>
              <w:rPr>
                <w:rFonts w:ascii="Palatino Linotype" w:eastAsia="Calibri" w:hAnsi="Palatino Linotype" w:cs="Arial"/>
                <w:lang w:eastAsia="es-MX"/>
              </w:rPr>
              <w:t>No emitió agravio</w:t>
            </w:r>
          </w:p>
        </w:tc>
      </w:tr>
    </w:tbl>
    <w:p w14:paraId="780A0428" w14:textId="77777777" w:rsidR="00F72CA9" w:rsidRDefault="00F72CA9" w:rsidP="00F72CA9">
      <w:pPr>
        <w:spacing w:line="360" w:lineRule="auto"/>
        <w:jc w:val="both"/>
        <w:rPr>
          <w:rFonts w:ascii="Palatino Linotype" w:hAnsi="Palatino Linotype" w:cs="Tahoma"/>
          <w:sz w:val="22"/>
          <w:szCs w:val="24"/>
          <w:lang w:eastAsia="es-MX"/>
        </w:rPr>
      </w:pPr>
    </w:p>
    <w:p w14:paraId="334E6D44" w14:textId="77777777" w:rsidR="00756824" w:rsidRPr="00736C21" w:rsidRDefault="00756824" w:rsidP="00756824">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En ese orden de ideas, por lo que hace a los puntos 1, 2 y del 4 al 6, no se hará</w:t>
      </w:r>
      <w:r w:rsidRPr="00736C21">
        <w:rPr>
          <w:rFonts w:ascii="Palatino Linotype" w:eastAsia="Calibri" w:hAnsi="Palatino Linotype" w:cs="Tahoma"/>
          <w:iCs/>
          <w:sz w:val="22"/>
          <w:szCs w:val="22"/>
          <w:lang w:val="es-ES" w:eastAsia="es-ES_tradnl"/>
        </w:rPr>
        <w:t xml:space="preserve"> pronunciamiento alguno de conformidad con el artículo 195 </w:t>
      </w:r>
      <w:r w:rsidRPr="00736C21">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36C21">
        <w:rPr>
          <w:rFonts w:ascii="Palatino Linotype" w:eastAsia="Calibri" w:hAnsi="Palatino Linotype" w:cs="Tahoma"/>
          <w:b/>
          <w:iCs/>
          <w:sz w:val="22"/>
          <w:szCs w:val="22"/>
          <w:lang w:eastAsia="es-ES_tradnl"/>
        </w:rPr>
        <w:t>los actos que se hayan consentido tácitamente,</w:t>
      </w:r>
      <w:r w:rsidRPr="00736C21">
        <w:rPr>
          <w:rFonts w:ascii="Palatino Linotype" w:eastAsia="Calibri" w:hAnsi="Palatino Linotype" w:cs="Tahoma"/>
          <w:iCs/>
          <w:sz w:val="22"/>
          <w:szCs w:val="22"/>
          <w:lang w:eastAsia="es-ES_tradnl"/>
        </w:rPr>
        <w:t xml:space="preserve"> entendiéndose por </w:t>
      </w:r>
      <w:r>
        <w:rPr>
          <w:rFonts w:ascii="Palatino Linotype" w:eastAsia="Calibri" w:hAnsi="Palatino Linotype" w:cs="Tahoma"/>
          <w:iCs/>
          <w:sz w:val="22"/>
          <w:szCs w:val="22"/>
          <w:lang w:eastAsia="es-ES_tradnl"/>
        </w:rPr>
        <w:t>e</w:t>
      </w:r>
      <w:r w:rsidRPr="00736C21">
        <w:rPr>
          <w:rFonts w:ascii="Palatino Linotype" w:eastAsia="Calibri" w:hAnsi="Palatino Linotype" w:cs="Tahoma"/>
          <w:iCs/>
          <w:sz w:val="22"/>
          <w:szCs w:val="22"/>
          <w:lang w:eastAsia="es-ES_tradnl"/>
        </w:rPr>
        <w:t>stos cuando el recurso no se haya promovido en el plazo señalado para el efecto.</w:t>
      </w:r>
    </w:p>
    <w:p w14:paraId="62C2918F" w14:textId="77777777" w:rsidR="00756824" w:rsidRDefault="00756824" w:rsidP="00756824">
      <w:pPr>
        <w:tabs>
          <w:tab w:val="left" w:pos="4962"/>
        </w:tabs>
        <w:spacing w:line="360" w:lineRule="auto"/>
        <w:jc w:val="both"/>
        <w:rPr>
          <w:rFonts w:ascii="Palatino Linotype" w:eastAsia="Calibri" w:hAnsi="Palatino Linotype" w:cs="Tahoma"/>
          <w:iCs/>
          <w:sz w:val="22"/>
          <w:szCs w:val="22"/>
          <w:lang w:val="es-ES" w:eastAsia="es-ES_tradnl"/>
        </w:rPr>
      </w:pPr>
    </w:p>
    <w:p w14:paraId="5D56FC34" w14:textId="77777777" w:rsidR="00756824" w:rsidRPr="004059FB" w:rsidRDefault="00756824" w:rsidP="00756824">
      <w:pPr>
        <w:spacing w:line="360" w:lineRule="auto"/>
        <w:jc w:val="both"/>
        <w:rPr>
          <w:rFonts w:ascii="Palatino Linotype" w:hAnsi="Palatino Linotype" w:cs="Tahoma"/>
          <w:sz w:val="22"/>
          <w:szCs w:val="22"/>
        </w:rPr>
      </w:pPr>
      <w:r w:rsidRPr="004059FB">
        <w:rPr>
          <w:rFonts w:ascii="Palatino Linotype" w:hAnsi="Palatino Linotype" w:cs="Tahoma"/>
          <w:sz w:val="22"/>
          <w:szCs w:val="22"/>
        </w:rPr>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1" w:name="m_1691910221459291997__ftnref1"/>
      <w:r w:rsidRPr="004059FB">
        <w:rPr>
          <w:rFonts w:ascii="Palatino Linotype" w:hAnsi="Palatino Linotype" w:cs="Tahoma"/>
          <w:sz w:val="22"/>
          <w:szCs w:val="22"/>
        </w:rPr>
        <w:t> Tesis VI.2o. J/21, emitida en la novena época, por el Segundo Tribunal Colegiado del Sexto Circuito, publicada en la Gaceta del Semanario Judicial de la Federación en agosto de 1995, página 291</w:t>
      </w:r>
      <w:r>
        <w:rPr>
          <w:rFonts w:ascii="Palatino Linotype" w:hAnsi="Palatino Linotype" w:cs="Tahoma"/>
          <w:sz w:val="22"/>
          <w:szCs w:val="22"/>
        </w:rPr>
        <w:t>,</w:t>
      </w:r>
      <w:r w:rsidRPr="004059FB">
        <w:rPr>
          <w:rFonts w:ascii="Palatino Linotype" w:hAnsi="Palatino Linotype" w:cs="Tahoma"/>
          <w:sz w:val="22"/>
          <w:szCs w:val="22"/>
        </w:rPr>
        <w:t xml:space="preserve"> número de registro </w:t>
      </w:r>
      <w:r w:rsidRPr="004059FB">
        <w:rPr>
          <w:rFonts w:ascii="Palatino Linotype" w:hAnsi="Palatino Linotype" w:cs="Tahoma"/>
          <w:sz w:val="22"/>
          <w:szCs w:val="22"/>
        </w:rPr>
        <w:lastRenderedPageBreak/>
        <w:t xml:space="preserve">204707, </w:t>
      </w:r>
      <w:bookmarkEnd w:id="1"/>
      <w:r w:rsidRPr="004059FB">
        <w:rPr>
          <w:rFonts w:ascii="Palatino Linotype" w:hAnsi="Palatino Linotype" w:cs="Tahoma"/>
          <w:sz w:val="22"/>
          <w:szCs w:val="22"/>
        </w:rPr>
        <w:t>del que se desprende que cuando no se reclaman los actos de autoridad en la vía y plazos establec</w:t>
      </w:r>
      <w:r w:rsidR="001C2EB6">
        <w:rPr>
          <w:rFonts w:ascii="Palatino Linotype" w:hAnsi="Palatino Linotype" w:cs="Tahoma"/>
          <w:sz w:val="22"/>
          <w:szCs w:val="22"/>
        </w:rPr>
        <w:t>idos en la Ley, se presume que el P</w:t>
      </w:r>
      <w:r w:rsidRPr="004059FB">
        <w:rPr>
          <w:rFonts w:ascii="Palatino Linotype" w:hAnsi="Palatino Linotype" w:cs="Tahoma"/>
          <w:sz w:val="22"/>
          <w:szCs w:val="22"/>
        </w:rPr>
        <w:t>articular está conforme con los mismos.</w:t>
      </w:r>
    </w:p>
    <w:p w14:paraId="6D164E40" w14:textId="77777777" w:rsidR="00756824" w:rsidRDefault="00756824" w:rsidP="00756824">
      <w:pPr>
        <w:tabs>
          <w:tab w:val="left" w:pos="4962"/>
        </w:tabs>
        <w:spacing w:line="360" w:lineRule="auto"/>
        <w:jc w:val="both"/>
        <w:rPr>
          <w:rFonts w:ascii="Palatino Linotype" w:eastAsia="Calibri" w:hAnsi="Palatino Linotype" w:cs="Tahoma"/>
          <w:iCs/>
          <w:sz w:val="22"/>
          <w:szCs w:val="22"/>
          <w:lang w:val="es-ES" w:eastAsia="es-ES_tradnl"/>
        </w:rPr>
      </w:pPr>
    </w:p>
    <w:p w14:paraId="0BC4D4A8" w14:textId="77777777" w:rsidR="00756824" w:rsidRPr="004059FB" w:rsidRDefault="00756824" w:rsidP="00756824">
      <w:pPr>
        <w:spacing w:line="360" w:lineRule="auto"/>
        <w:jc w:val="both"/>
        <w:rPr>
          <w:rFonts w:ascii="Palatino Linotype" w:hAnsi="Palatino Linotype" w:cs="Tahoma"/>
          <w:b/>
          <w:sz w:val="22"/>
          <w:szCs w:val="22"/>
        </w:rPr>
      </w:pPr>
      <w:r>
        <w:rPr>
          <w:rFonts w:ascii="Palatino Linotype" w:hAnsi="Palatino Linotype" w:cs="Tahoma"/>
          <w:sz w:val="22"/>
          <w:szCs w:val="22"/>
        </w:rPr>
        <w:t>De acuerdo con el criterio en comento</w:t>
      </w:r>
      <w:r w:rsidRPr="004059FB">
        <w:rPr>
          <w:rFonts w:ascii="Palatino Linotype" w:hAnsi="Palatino Linotype" w:cs="Tahoma"/>
          <w:sz w:val="22"/>
          <w:szCs w:val="22"/>
        </w:rPr>
        <w:t xml:space="preserve">, en el caso de que </w:t>
      </w:r>
      <w:r w:rsidR="001C2EB6">
        <w:rPr>
          <w:rFonts w:ascii="Palatino Linotype" w:hAnsi="Palatino Linotype" w:cs="Tahoma"/>
          <w:sz w:val="22"/>
          <w:szCs w:val="22"/>
        </w:rPr>
        <w:t>el</w:t>
      </w:r>
      <w:r>
        <w:rPr>
          <w:rFonts w:ascii="Palatino Linotype" w:hAnsi="Palatino Linotype" w:cs="Tahoma"/>
          <w:sz w:val="22"/>
          <w:szCs w:val="22"/>
        </w:rPr>
        <w:t xml:space="preserve"> S</w:t>
      </w:r>
      <w:r w:rsidRPr="004059FB">
        <w:rPr>
          <w:rFonts w:ascii="Palatino Linotype" w:hAnsi="Palatino Linotype" w:cs="Tahoma"/>
          <w:sz w:val="22"/>
          <w:szCs w:val="22"/>
        </w:rPr>
        <w:t>olicitante no haya manifestado su inconformidad en contra del acto en su totalidad o en cualquiera de sus partes, se tendrá por consentido al no haber realizado argumento alguno que formulara un agravio en su contra, por lo que, en la especie, se v</w:t>
      </w:r>
      <w:r>
        <w:rPr>
          <w:rFonts w:ascii="Palatino Linotype" w:hAnsi="Palatino Linotype" w:cs="Tahoma"/>
          <w:sz w:val="22"/>
          <w:szCs w:val="22"/>
        </w:rPr>
        <w:t>a</w:t>
      </w:r>
      <w:r w:rsidRPr="004059FB">
        <w:rPr>
          <w:rFonts w:ascii="Palatino Linotype" w:hAnsi="Palatino Linotype" w:cs="Tahoma"/>
          <w:sz w:val="22"/>
          <w:szCs w:val="22"/>
        </w:rPr>
        <w:t>lida la respuesta respecto de los puntos no controvertidos y se arriba a la conclusión de que estos</w:t>
      </w:r>
      <w:r w:rsidRPr="004059FB">
        <w:rPr>
          <w:rFonts w:ascii="Palatino Linotype" w:hAnsi="Palatino Linotype" w:cs="Tahoma"/>
          <w:b/>
          <w:sz w:val="22"/>
          <w:szCs w:val="22"/>
        </w:rPr>
        <w:t xml:space="preserve"> quedaron firmes.</w:t>
      </w:r>
    </w:p>
    <w:p w14:paraId="191ED79F" w14:textId="77777777" w:rsidR="00756824" w:rsidRDefault="00756824" w:rsidP="00756824">
      <w:pPr>
        <w:tabs>
          <w:tab w:val="left" w:pos="4962"/>
        </w:tabs>
        <w:spacing w:line="360" w:lineRule="auto"/>
        <w:jc w:val="both"/>
        <w:rPr>
          <w:rFonts w:ascii="Palatino Linotype" w:eastAsia="Calibri" w:hAnsi="Palatino Linotype" w:cs="Tahoma"/>
          <w:b/>
          <w:iCs/>
          <w:sz w:val="22"/>
          <w:szCs w:val="22"/>
          <w:lang w:val="es-ES" w:eastAsia="es-ES_tradnl"/>
        </w:rPr>
      </w:pPr>
    </w:p>
    <w:p w14:paraId="4F42B724" w14:textId="77777777" w:rsidR="00F72CA9" w:rsidRDefault="00756824" w:rsidP="00756824">
      <w:pPr>
        <w:spacing w:line="360" w:lineRule="auto"/>
        <w:jc w:val="both"/>
        <w:rPr>
          <w:rFonts w:ascii="Palatino Linotype" w:hAnsi="Palatino Linotype" w:cs="Tahoma"/>
          <w:sz w:val="22"/>
          <w:szCs w:val="24"/>
          <w:lang w:eastAsia="es-MX"/>
        </w:rPr>
      </w:pPr>
      <w:r>
        <w:rPr>
          <w:rFonts w:ascii="Palatino Linotype" w:eastAsia="Calibri" w:hAnsi="Palatino Linotype" w:cs="Tahoma"/>
          <w:iCs/>
          <w:sz w:val="22"/>
          <w:szCs w:val="22"/>
          <w:lang w:val="es-ES" w:eastAsia="es-ES_tradnl"/>
        </w:rPr>
        <w:t xml:space="preserve">Por lo expuesto, en el presente caso, la inconformidad </w:t>
      </w:r>
      <w:r w:rsidR="00061029">
        <w:rPr>
          <w:rFonts w:ascii="Palatino Linotype" w:eastAsia="Calibri" w:hAnsi="Palatino Linotype" w:cs="Tahoma"/>
          <w:iCs/>
          <w:sz w:val="22"/>
          <w:szCs w:val="22"/>
          <w:lang w:val="es-ES" w:eastAsia="es-ES_tradnl"/>
        </w:rPr>
        <w:t>del</w:t>
      </w:r>
      <w:r>
        <w:rPr>
          <w:rFonts w:ascii="Palatino Linotype" w:eastAsia="Calibri" w:hAnsi="Palatino Linotype" w:cs="Tahoma"/>
          <w:iCs/>
          <w:sz w:val="22"/>
          <w:szCs w:val="22"/>
          <w:lang w:val="es-ES" w:eastAsia="es-ES_tradnl"/>
        </w:rPr>
        <w:t xml:space="preserve"> ahora Recurrente radica con la </w:t>
      </w:r>
      <w:r w:rsidR="002E17FE">
        <w:rPr>
          <w:rFonts w:ascii="Palatino Linotype" w:eastAsia="Calibri" w:hAnsi="Palatino Linotype" w:cs="Tahoma"/>
          <w:iCs/>
          <w:sz w:val="22"/>
          <w:szCs w:val="22"/>
          <w:lang w:val="es-ES" w:eastAsia="es-ES_tradnl"/>
        </w:rPr>
        <w:t>confidencialidad de la información que atiende el punto 3 de la solicitud</w:t>
      </w:r>
      <w:r>
        <w:rPr>
          <w:rFonts w:ascii="Palatino Linotype" w:eastAsia="Calibri" w:hAnsi="Palatino Linotype" w:cs="Tahoma"/>
          <w:iCs/>
          <w:sz w:val="22"/>
          <w:szCs w:val="22"/>
          <w:lang w:val="es-ES" w:eastAsia="es-ES_tradnl"/>
        </w:rPr>
        <w:t xml:space="preserve">, lo cual constituye una causal de procedencia del Recurso de Revisión, en términos del artículo 179, fracción </w:t>
      </w:r>
      <w:r w:rsidR="002E17FE">
        <w:rPr>
          <w:rFonts w:ascii="Palatino Linotype" w:eastAsia="Calibri" w:hAnsi="Palatino Linotype" w:cs="Tahoma"/>
          <w:iCs/>
          <w:sz w:val="22"/>
          <w:szCs w:val="22"/>
          <w:lang w:val="es-ES" w:eastAsia="es-ES_tradnl"/>
        </w:rPr>
        <w:t>II,</w:t>
      </w:r>
      <w:r>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Pr="004059FB">
        <w:rPr>
          <w:rFonts w:ascii="Palatino Linotype" w:hAnsi="Palatino Linotype" w:cs="Tahoma"/>
          <w:sz w:val="22"/>
          <w:szCs w:val="22"/>
          <w:lang w:val="es-ES"/>
        </w:rPr>
        <w:t xml:space="preserve">Así las cosas, una vez admitido y notificado el Recurso de Revisión a las partes, el </w:t>
      </w:r>
      <w:r w:rsidR="002E17FE">
        <w:rPr>
          <w:rFonts w:ascii="Palatino Linotype" w:hAnsi="Palatino Linotype" w:cs="Tahoma"/>
          <w:sz w:val="22"/>
          <w:szCs w:val="22"/>
          <w:lang w:val="es-ES"/>
        </w:rPr>
        <w:t>Instituto de Seguridad Social del Estado de México y Municipios, reiteró la clasificación de la información y además, precisó que estaba en proceso las ventas de activó que estaba en proceso las ventas de activos de cartera, por lo que, la divulgación de lo requerido podía afectar las operaciones en proceso.</w:t>
      </w:r>
    </w:p>
    <w:p w14:paraId="4D78CBC0" w14:textId="77777777" w:rsidR="00F72CA9" w:rsidRPr="002E17FE" w:rsidRDefault="00F72CA9" w:rsidP="00F72CA9">
      <w:pPr>
        <w:spacing w:line="360" w:lineRule="auto"/>
        <w:jc w:val="both"/>
        <w:rPr>
          <w:rFonts w:ascii="Palatino Linotype" w:hAnsi="Palatino Linotype" w:cs="Tahoma"/>
          <w:lang w:eastAsia="es-MX"/>
        </w:rPr>
      </w:pPr>
    </w:p>
    <w:p w14:paraId="2E2D5F44" w14:textId="77777777" w:rsidR="002E17FE" w:rsidRPr="002E17FE" w:rsidRDefault="002E17FE" w:rsidP="002E17FE">
      <w:pPr>
        <w:spacing w:line="276" w:lineRule="auto"/>
        <w:jc w:val="both"/>
        <w:rPr>
          <w:rFonts w:ascii="Palatino Linotype" w:hAnsi="Palatino Linotype" w:cs="Arial"/>
          <w:color w:val="000000"/>
          <w:sz w:val="22"/>
          <w:szCs w:val="22"/>
          <w:lang w:val="es-ES"/>
        </w:rPr>
      </w:pPr>
      <w:r w:rsidRPr="002E17FE">
        <w:rPr>
          <w:rFonts w:ascii="Palatino Linotype" w:hAnsi="Palatino Linotype" w:cs="Arial"/>
          <w:color w:val="000000"/>
          <w:sz w:val="22"/>
          <w:szCs w:val="22"/>
          <w:lang w:val="es-ES"/>
        </w:rPr>
        <w:t>Finalmente, se realizó un requerimien</w:t>
      </w:r>
      <w:r>
        <w:rPr>
          <w:rFonts w:ascii="Palatino Linotype" w:hAnsi="Palatino Linotype" w:cs="Arial"/>
          <w:color w:val="000000"/>
          <w:sz w:val="22"/>
          <w:szCs w:val="22"/>
          <w:lang w:val="es-ES"/>
        </w:rPr>
        <w:t>to de información adicional al Ente R</w:t>
      </w:r>
      <w:r w:rsidRPr="002E17FE">
        <w:rPr>
          <w:rFonts w:ascii="Palatino Linotype" w:hAnsi="Palatino Linotype" w:cs="Arial"/>
          <w:color w:val="000000"/>
          <w:sz w:val="22"/>
          <w:szCs w:val="22"/>
          <w:lang w:val="es-ES"/>
        </w:rPr>
        <w:t>ecurrido, conforme a lo siguiente:</w:t>
      </w:r>
    </w:p>
    <w:p w14:paraId="1DAC775E" w14:textId="77777777" w:rsidR="002E17FE" w:rsidRPr="002E17FE" w:rsidRDefault="002E17FE" w:rsidP="002E17FE">
      <w:pPr>
        <w:spacing w:line="276" w:lineRule="auto"/>
        <w:jc w:val="both"/>
        <w:rPr>
          <w:rFonts w:ascii="Palatino Linotype" w:hAnsi="Palatino Linotype" w:cs="Arial"/>
          <w:color w:val="000000"/>
          <w:lang w:val="es-ES"/>
        </w:rPr>
      </w:pPr>
    </w:p>
    <w:tbl>
      <w:tblPr>
        <w:tblStyle w:val="Tablaconcuadrcula1"/>
        <w:tblW w:w="0" w:type="auto"/>
        <w:tblLook w:val="04A0" w:firstRow="1" w:lastRow="0" w:firstColumn="1" w:lastColumn="0" w:noHBand="0" w:noVBand="1"/>
      </w:tblPr>
      <w:tblGrid>
        <w:gridCol w:w="4522"/>
        <w:gridCol w:w="4512"/>
      </w:tblGrid>
      <w:tr w:rsidR="002E17FE" w:rsidRPr="002E17FE" w14:paraId="1674DB60" w14:textId="77777777" w:rsidTr="00FC4AFC">
        <w:tc>
          <w:tcPr>
            <w:tcW w:w="4522" w:type="dxa"/>
          </w:tcPr>
          <w:p w14:paraId="7C6C0572" w14:textId="77777777" w:rsidR="002E17FE" w:rsidRPr="002E17FE" w:rsidRDefault="002E17FE" w:rsidP="002E17FE">
            <w:pPr>
              <w:spacing w:line="276" w:lineRule="auto"/>
              <w:jc w:val="center"/>
              <w:rPr>
                <w:rFonts w:ascii="Palatino Linotype" w:hAnsi="Palatino Linotype" w:cs="Arial"/>
                <w:b/>
                <w:color w:val="000000"/>
              </w:rPr>
            </w:pPr>
            <w:r w:rsidRPr="002E17FE">
              <w:rPr>
                <w:rFonts w:ascii="Palatino Linotype" w:hAnsi="Palatino Linotype" w:cs="Arial"/>
                <w:b/>
                <w:color w:val="000000"/>
              </w:rPr>
              <w:t>Requerimiento de información adicional</w:t>
            </w:r>
          </w:p>
        </w:tc>
        <w:tc>
          <w:tcPr>
            <w:tcW w:w="4512" w:type="dxa"/>
          </w:tcPr>
          <w:p w14:paraId="5719DE60" w14:textId="77777777" w:rsidR="002E17FE" w:rsidRPr="002E17FE" w:rsidRDefault="002E17FE" w:rsidP="002E17FE">
            <w:pPr>
              <w:spacing w:line="276" w:lineRule="auto"/>
              <w:jc w:val="center"/>
              <w:rPr>
                <w:rFonts w:ascii="Palatino Linotype" w:hAnsi="Palatino Linotype" w:cs="Arial"/>
                <w:b/>
                <w:color w:val="000000"/>
              </w:rPr>
            </w:pPr>
            <w:r w:rsidRPr="002E17FE">
              <w:rPr>
                <w:rFonts w:ascii="Palatino Linotype" w:hAnsi="Palatino Linotype" w:cs="Arial"/>
                <w:b/>
                <w:color w:val="000000"/>
              </w:rPr>
              <w:t xml:space="preserve">Respuesta </w:t>
            </w:r>
            <w:r>
              <w:rPr>
                <w:rFonts w:ascii="Palatino Linotype" w:hAnsi="Palatino Linotype" w:cs="Arial"/>
                <w:b/>
                <w:color w:val="000000"/>
              </w:rPr>
              <w:t>de la Coordinación de Finanzas</w:t>
            </w:r>
          </w:p>
        </w:tc>
      </w:tr>
      <w:tr w:rsidR="002E17FE" w:rsidRPr="002E17FE" w14:paraId="4532ED4E" w14:textId="77777777" w:rsidTr="00FC4AFC">
        <w:tc>
          <w:tcPr>
            <w:tcW w:w="4522" w:type="dxa"/>
          </w:tcPr>
          <w:p w14:paraId="2FAAD85F" w14:textId="77777777" w:rsidR="002E17FE" w:rsidRDefault="002E17FE" w:rsidP="002E17FE">
            <w:pPr>
              <w:spacing w:line="276" w:lineRule="auto"/>
              <w:jc w:val="both"/>
              <w:rPr>
                <w:rFonts w:ascii="Palatino Linotype" w:hAnsi="Palatino Linotype" w:cs="Arial"/>
                <w:color w:val="000000"/>
              </w:rPr>
            </w:pPr>
            <w:r w:rsidRPr="002E17FE">
              <w:rPr>
                <w:rFonts w:ascii="Palatino Linotype" w:hAnsi="Palatino Linotype" w:cs="Arial"/>
                <w:color w:val="000000"/>
              </w:rPr>
              <w:t>1.-Precise que son las interacciones a nombre del Instituto de Seguridad Social del Estado de México y Municipio.</w:t>
            </w:r>
          </w:p>
          <w:p w14:paraId="1C10A4D4" w14:textId="77777777" w:rsidR="00FC4AFC" w:rsidRPr="002E17FE" w:rsidRDefault="00FC4AFC" w:rsidP="002E17FE">
            <w:pPr>
              <w:spacing w:line="276" w:lineRule="auto"/>
              <w:jc w:val="both"/>
              <w:rPr>
                <w:rFonts w:ascii="Palatino Linotype" w:hAnsi="Palatino Linotype" w:cs="Arial"/>
                <w:color w:val="000000"/>
              </w:rPr>
            </w:pPr>
          </w:p>
        </w:tc>
        <w:tc>
          <w:tcPr>
            <w:tcW w:w="4512" w:type="dxa"/>
          </w:tcPr>
          <w:p w14:paraId="45902046" w14:textId="77777777" w:rsidR="002E17FE" w:rsidRPr="002E17FE" w:rsidRDefault="002E17FE" w:rsidP="002E17FE">
            <w:pPr>
              <w:spacing w:line="276" w:lineRule="auto"/>
              <w:jc w:val="both"/>
              <w:rPr>
                <w:rFonts w:ascii="Palatino Linotype" w:hAnsi="Palatino Linotype" w:cs="Arial"/>
                <w:color w:val="000000"/>
              </w:rPr>
            </w:pPr>
            <w:r>
              <w:rPr>
                <w:rFonts w:ascii="Palatino Linotype" w:hAnsi="Palatino Linotype" w:cs="Arial"/>
                <w:color w:val="000000"/>
              </w:rPr>
              <w:t>Aclaró</w:t>
            </w:r>
            <w:r w:rsidRPr="002E17FE">
              <w:rPr>
                <w:rFonts w:ascii="Palatino Linotype" w:hAnsi="Palatino Linotype" w:cs="Arial"/>
                <w:color w:val="000000"/>
              </w:rPr>
              <w:t xml:space="preserve"> que </w:t>
            </w:r>
            <w:r>
              <w:rPr>
                <w:rFonts w:ascii="Palatino Linotype" w:hAnsi="Palatino Linotype" w:cs="Arial"/>
                <w:color w:val="000000"/>
              </w:rPr>
              <w:t>a la fecha no realizan operaciones financieras con interacciones.</w:t>
            </w:r>
          </w:p>
        </w:tc>
      </w:tr>
    </w:tbl>
    <w:p w14:paraId="671E583A" w14:textId="77777777" w:rsidR="00FC4AFC" w:rsidRDefault="00FC4AFC">
      <w:r>
        <w:br w:type="page"/>
      </w:r>
    </w:p>
    <w:p w14:paraId="122BA6CE" w14:textId="77777777" w:rsidR="00FC4AFC" w:rsidRDefault="00FC4AFC"/>
    <w:tbl>
      <w:tblPr>
        <w:tblStyle w:val="Tablaconcuadrcula1"/>
        <w:tblW w:w="0" w:type="auto"/>
        <w:tblLook w:val="04A0" w:firstRow="1" w:lastRow="0" w:firstColumn="1" w:lastColumn="0" w:noHBand="0" w:noVBand="1"/>
      </w:tblPr>
      <w:tblGrid>
        <w:gridCol w:w="4522"/>
        <w:gridCol w:w="4512"/>
      </w:tblGrid>
      <w:tr w:rsidR="00FC4AFC" w:rsidRPr="002E17FE" w14:paraId="7E15B672" w14:textId="77777777" w:rsidTr="00FC4AFC">
        <w:tc>
          <w:tcPr>
            <w:tcW w:w="4522" w:type="dxa"/>
          </w:tcPr>
          <w:p w14:paraId="1DC6D1F8" w14:textId="5931D0A6" w:rsidR="00FC4AFC" w:rsidRPr="002E17FE" w:rsidRDefault="00FC4AFC" w:rsidP="00FC4AFC">
            <w:pPr>
              <w:spacing w:line="276" w:lineRule="auto"/>
              <w:jc w:val="both"/>
              <w:rPr>
                <w:rFonts w:ascii="Palatino Linotype" w:hAnsi="Palatino Linotype" w:cs="Arial"/>
                <w:color w:val="000000"/>
              </w:rPr>
            </w:pPr>
            <w:r w:rsidRPr="002E17FE">
              <w:rPr>
                <w:rFonts w:ascii="Palatino Linotype" w:hAnsi="Palatino Linotype" w:cs="Arial"/>
                <w:b/>
                <w:color w:val="000000"/>
              </w:rPr>
              <w:t>Requerimiento de información adicional</w:t>
            </w:r>
          </w:p>
        </w:tc>
        <w:tc>
          <w:tcPr>
            <w:tcW w:w="4512" w:type="dxa"/>
          </w:tcPr>
          <w:p w14:paraId="6F71DC1A" w14:textId="70B48A7D" w:rsidR="00FC4AFC" w:rsidRDefault="00FC4AFC" w:rsidP="00FC4AFC">
            <w:pPr>
              <w:spacing w:line="276" w:lineRule="auto"/>
              <w:jc w:val="both"/>
              <w:rPr>
                <w:rFonts w:ascii="Palatino Linotype" w:hAnsi="Palatino Linotype" w:cs="Arial"/>
                <w:color w:val="000000"/>
              </w:rPr>
            </w:pPr>
            <w:r w:rsidRPr="002E17FE">
              <w:rPr>
                <w:rFonts w:ascii="Palatino Linotype" w:hAnsi="Palatino Linotype" w:cs="Arial"/>
                <w:b/>
                <w:color w:val="000000"/>
              </w:rPr>
              <w:t xml:space="preserve">Respuesta </w:t>
            </w:r>
            <w:r>
              <w:rPr>
                <w:rFonts w:ascii="Palatino Linotype" w:hAnsi="Palatino Linotype" w:cs="Arial"/>
                <w:b/>
                <w:color w:val="000000"/>
              </w:rPr>
              <w:t>de la Coordinación de Finanzas</w:t>
            </w:r>
          </w:p>
        </w:tc>
      </w:tr>
      <w:tr w:rsidR="002E17FE" w:rsidRPr="002E17FE" w14:paraId="54934CFB" w14:textId="77777777" w:rsidTr="00FC4AFC">
        <w:tc>
          <w:tcPr>
            <w:tcW w:w="4522" w:type="dxa"/>
          </w:tcPr>
          <w:p w14:paraId="483B7C71" w14:textId="77777777" w:rsidR="002E17FE" w:rsidRDefault="002E17FE" w:rsidP="002E17FE">
            <w:pPr>
              <w:spacing w:line="276" w:lineRule="auto"/>
              <w:jc w:val="both"/>
              <w:rPr>
                <w:rFonts w:ascii="Palatino Linotype" w:hAnsi="Palatino Linotype" w:cs="Arial"/>
                <w:color w:val="000000"/>
              </w:rPr>
            </w:pPr>
            <w:r w:rsidRPr="002E17FE">
              <w:rPr>
                <w:rFonts w:ascii="Palatino Linotype" w:hAnsi="Palatino Linotype" w:cs="Arial"/>
                <w:color w:val="000000"/>
              </w:rPr>
              <w:t>2.- Aclare cómo se conforma el monto actual bajo administración por interacciones señaladas en el punto anterior.</w:t>
            </w:r>
          </w:p>
          <w:p w14:paraId="4DC694F0" w14:textId="77777777" w:rsidR="00FC4AFC" w:rsidRPr="002E17FE" w:rsidRDefault="00FC4AFC" w:rsidP="002E17FE">
            <w:pPr>
              <w:spacing w:line="276" w:lineRule="auto"/>
              <w:jc w:val="both"/>
              <w:rPr>
                <w:rFonts w:ascii="Palatino Linotype" w:hAnsi="Palatino Linotype" w:cs="Arial"/>
                <w:color w:val="000000"/>
              </w:rPr>
            </w:pPr>
          </w:p>
        </w:tc>
        <w:tc>
          <w:tcPr>
            <w:tcW w:w="4512" w:type="dxa"/>
          </w:tcPr>
          <w:p w14:paraId="564C9F97" w14:textId="77777777" w:rsidR="002E17FE" w:rsidRPr="002E17FE" w:rsidRDefault="002E17FE" w:rsidP="002E17FE">
            <w:pPr>
              <w:spacing w:line="276" w:lineRule="auto"/>
              <w:jc w:val="both"/>
              <w:rPr>
                <w:rFonts w:ascii="Palatino Linotype" w:hAnsi="Palatino Linotype" w:cs="Arial"/>
                <w:color w:val="000000"/>
              </w:rPr>
            </w:pPr>
            <w:r>
              <w:rPr>
                <w:rFonts w:ascii="Palatino Linotype" w:hAnsi="Palatino Linotype" w:cs="Arial"/>
                <w:color w:val="000000"/>
              </w:rPr>
              <w:t>Indicó que actualmente no se cuenta con un monto registrado en Interacciones,</w:t>
            </w:r>
          </w:p>
        </w:tc>
      </w:tr>
      <w:tr w:rsidR="002E17FE" w:rsidRPr="002E17FE" w14:paraId="57C66971" w14:textId="77777777" w:rsidTr="00FC4AFC">
        <w:tc>
          <w:tcPr>
            <w:tcW w:w="4522" w:type="dxa"/>
          </w:tcPr>
          <w:p w14:paraId="2D21E347" w14:textId="77777777" w:rsidR="002E17FE" w:rsidRDefault="002E17FE" w:rsidP="002E17FE">
            <w:pPr>
              <w:spacing w:line="276" w:lineRule="auto"/>
              <w:jc w:val="both"/>
              <w:rPr>
                <w:rFonts w:ascii="Palatino Linotype" w:hAnsi="Palatino Linotype" w:cs="Arial"/>
                <w:color w:val="000000"/>
              </w:rPr>
            </w:pPr>
            <w:r w:rsidRPr="002E17FE">
              <w:rPr>
                <w:rFonts w:ascii="Palatino Linotype" w:hAnsi="Palatino Linotype" w:cs="Arial"/>
                <w:color w:val="000000"/>
              </w:rPr>
              <w:t>3. Indique si dicho monto, corresponde a recursos públicos.</w:t>
            </w:r>
          </w:p>
          <w:p w14:paraId="31FD0CF4" w14:textId="77777777" w:rsidR="00FC4AFC" w:rsidRPr="002E17FE" w:rsidRDefault="00FC4AFC" w:rsidP="002E17FE">
            <w:pPr>
              <w:spacing w:line="276" w:lineRule="auto"/>
              <w:jc w:val="both"/>
              <w:rPr>
                <w:rFonts w:ascii="Palatino Linotype" w:hAnsi="Palatino Linotype" w:cs="Arial"/>
                <w:color w:val="000000"/>
              </w:rPr>
            </w:pPr>
          </w:p>
        </w:tc>
        <w:tc>
          <w:tcPr>
            <w:tcW w:w="4512" w:type="dxa"/>
          </w:tcPr>
          <w:p w14:paraId="53E6C953" w14:textId="77777777" w:rsidR="002E17FE" w:rsidRPr="002E17FE" w:rsidRDefault="002E17FE" w:rsidP="002E17FE">
            <w:pPr>
              <w:spacing w:line="276" w:lineRule="auto"/>
              <w:jc w:val="both"/>
              <w:rPr>
                <w:rFonts w:ascii="Palatino Linotype" w:hAnsi="Palatino Linotype" w:cs="Arial"/>
                <w:color w:val="000000"/>
              </w:rPr>
            </w:pPr>
            <w:r>
              <w:rPr>
                <w:rFonts w:ascii="Palatino Linotype" w:hAnsi="Palatino Linotype" w:cs="Arial"/>
                <w:color w:val="000000"/>
              </w:rPr>
              <w:t>Precisó que no existe ningún monto que corresponda a recursos públicos.</w:t>
            </w:r>
          </w:p>
        </w:tc>
      </w:tr>
      <w:tr w:rsidR="002E17FE" w:rsidRPr="002E17FE" w14:paraId="0A57CE4B" w14:textId="77777777" w:rsidTr="00FC4AFC">
        <w:tc>
          <w:tcPr>
            <w:tcW w:w="4522" w:type="dxa"/>
          </w:tcPr>
          <w:p w14:paraId="0818E7AC" w14:textId="77777777" w:rsidR="002E17FE" w:rsidRDefault="002E17FE" w:rsidP="002E17FE">
            <w:pPr>
              <w:spacing w:line="276" w:lineRule="auto"/>
              <w:jc w:val="both"/>
              <w:rPr>
                <w:rFonts w:ascii="Palatino Linotype" w:hAnsi="Palatino Linotype" w:cs="Arial"/>
                <w:color w:val="000000"/>
              </w:rPr>
            </w:pPr>
            <w:r>
              <w:rPr>
                <w:rFonts w:ascii="Palatino Linotype" w:hAnsi="Palatino Linotype" w:cs="Arial"/>
                <w:color w:val="000000"/>
              </w:rPr>
              <w:t xml:space="preserve">4. </w:t>
            </w:r>
            <w:r w:rsidRPr="002E17FE">
              <w:rPr>
                <w:rFonts w:ascii="Palatino Linotype" w:hAnsi="Palatino Linotype" w:cs="Arial"/>
                <w:color w:val="000000"/>
              </w:rPr>
              <w:t>Defina, el tipo de secreto que actualiza la información en comento, en términos del 143, fracción II de la Ley de la materia, a saber, bancario, fiduciario, industrial, comercial, fiscal, bursátil o postal.</w:t>
            </w:r>
          </w:p>
          <w:p w14:paraId="71C7EA4A" w14:textId="77777777" w:rsidR="00FC4AFC" w:rsidRPr="002E17FE" w:rsidRDefault="00FC4AFC" w:rsidP="002E17FE">
            <w:pPr>
              <w:spacing w:line="276" w:lineRule="auto"/>
              <w:jc w:val="both"/>
              <w:rPr>
                <w:rFonts w:ascii="Palatino Linotype" w:hAnsi="Palatino Linotype" w:cs="Arial"/>
                <w:color w:val="000000"/>
              </w:rPr>
            </w:pPr>
          </w:p>
        </w:tc>
        <w:tc>
          <w:tcPr>
            <w:tcW w:w="4512" w:type="dxa"/>
          </w:tcPr>
          <w:p w14:paraId="1D741BB6" w14:textId="77777777" w:rsidR="002E17FE" w:rsidRPr="002E17FE" w:rsidRDefault="00ED3A3C" w:rsidP="002E17FE">
            <w:pPr>
              <w:spacing w:line="276" w:lineRule="auto"/>
              <w:jc w:val="both"/>
              <w:rPr>
                <w:rFonts w:ascii="Palatino Linotype" w:hAnsi="Palatino Linotype" w:cs="Arial"/>
                <w:color w:val="000000"/>
              </w:rPr>
            </w:pPr>
            <w:r>
              <w:rPr>
                <w:rFonts w:ascii="Palatino Linotype" w:hAnsi="Palatino Linotype" w:cs="Arial"/>
                <w:color w:val="000000"/>
              </w:rPr>
              <w:t>Señaló que correspondía al secreto bancario y bursátil, en atención a las operaciones financieras que se efectúan ante las Instituciones Financieras.</w:t>
            </w:r>
          </w:p>
        </w:tc>
      </w:tr>
      <w:tr w:rsidR="002E17FE" w:rsidRPr="002E17FE" w14:paraId="0E8AB5FC" w14:textId="77777777" w:rsidTr="00FC4AFC">
        <w:tc>
          <w:tcPr>
            <w:tcW w:w="4522" w:type="dxa"/>
          </w:tcPr>
          <w:p w14:paraId="3E7C72E6" w14:textId="77777777" w:rsidR="002E17FE" w:rsidRDefault="002E17FE" w:rsidP="002E17FE">
            <w:pPr>
              <w:spacing w:line="276" w:lineRule="auto"/>
              <w:jc w:val="both"/>
              <w:rPr>
                <w:rFonts w:ascii="Palatino Linotype" w:hAnsi="Palatino Linotype" w:cs="Arial"/>
                <w:color w:val="000000"/>
              </w:rPr>
            </w:pPr>
            <w:r>
              <w:rPr>
                <w:rFonts w:ascii="Palatino Linotype" w:hAnsi="Palatino Linotype" w:cs="Arial"/>
                <w:color w:val="000000"/>
              </w:rPr>
              <w:t>5.</w:t>
            </w:r>
            <w:r w:rsidR="00ED3A3C">
              <w:rPr>
                <w:rFonts w:ascii="Palatino Linotype" w:hAnsi="Palatino Linotype" w:cs="Arial"/>
                <w:color w:val="000000"/>
              </w:rPr>
              <w:t xml:space="preserve"> </w:t>
            </w:r>
            <w:r w:rsidRPr="002E17FE">
              <w:rPr>
                <w:rFonts w:ascii="Palatino Linotype" w:hAnsi="Palatino Linotype" w:cs="Arial"/>
                <w:color w:val="000000"/>
              </w:rPr>
              <w:t>Funde y motive la clasificación de la información, conforme a lo establecido en los Lineamientos Generales en Materia de Clasificación y Desclasificación de la Información, así como para la Elaboración de Versiones Públicas.</w:t>
            </w:r>
          </w:p>
          <w:p w14:paraId="6591B70F" w14:textId="77777777" w:rsidR="00FC4AFC" w:rsidRDefault="00FC4AFC" w:rsidP="002E17FE">
            <w:pPr>
              <w:spacing w:line="276" w:lineRule="auto"/>
              <w:jc w:val="both"/>
              <w:rPr>
                <w:rFonts w:ascii="Palatino Linotype" w:hAnsi="Palatino Linotype" w:cs="Arial"/>
                <w:color w:val="000000"/>
              </w:rPr>
            </w:pPr>
          </w:p>
        </w:tc>
        <w:tc>
          <w:tcPr>
            <w:tcW w:w="4512" w:type="dxa"/>
          </w:tcPr>
          <w:p w14:paraId="2228B3E9" w14:textId="77777777" w:rsidR="002E17FE" w:rsidRPr="002E17FE" w:rsidRDefault="00ED3A3C" w:rsidP="002E17FE">
            <w:pPr>
              <w:spacing w:line="276" w:lineRule="auto"/>
              <w:jc w:val="both"/>
              <w:rPr>
                <w:rFonts w:ascii="Palatino Linotype" w:hAnsi="Palatino Linotype" w:cs="Arial"/>
                <w:color w:val="000000"/>
              </w:rPr>
            </w:pPr>
            <w:r>
              <w:rPr>
                <w:rFonts w:ascii="Palatino Linotype" w:hAnsi="Palatino Linotype" w:cs="Arial"/>
                <w:color w:val="000000"/>
              </w:rPr>
              <w:t xml:space="preserve">Manifestó que actualmente no se realizan operaciones financieras con interacciones. </w:t>
            </w:r>
          </w:p>
        </w:tc>
      </w:tr>
    </w:tbl>
    <w:p w14:paraId="7A742AD5" w14:textId="77777777" w:rsidR="00F72CA9" w:rsidRDefault="00F72CA9" w:rsidP="00F72CA9">
      <w:pPr>
        <w:spacing w:line="360" w:lineRule="auto"/>
        <w:jc w:val="both"/>
        <w:rPr>
          <w:rFonts w:ascii="Palatino Linotype" w:hAnsi="Palatino Linotype" w:cs="Tahoma"/>
          <w:sz w:val="22"/>
          <w:szCs w:val="24"/>
          <w:lang w:eastAsia="es-MX"/>
        </w:rPr>
      </w:pPr>
    </w:p>
    <w:p w14:paraId="559C269D" w14:textId="73437E8B" w:rsidR="00ED3A3C" w:rsidRPr="004918F1" w:rsidRDefault="00ED3A3C" w:rsidP="00ED3A3C">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la respuesta proporcionada por el Instituto de Seguridad Social del Estado de México,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xml:space="preserve">, el Informe Justificado emitido por el Sujeto Obligado y el desahogo del </w:t>
      </w:r>
      <w:r w:rsidR="00F63CED">
        <w:rPr>
          <w:rFonts w:ascii="Palatino Linotype" w:eastAsia="Calibri" w:hAnsi="Palatino Linotype" w:cs="Tahoma"/>
          <w:iCs/>
          <w:sz w:val="22"/>
          <w:szCs w:val="22"/>
          <w:lang w:eastAsia="es-ES_tradnl"/>
        </w:rPr>
        <w:t>requerimiento</w:t>
      </w:r>
      <w:r>
        <w:rPr>
          <w:rFonts w:ascii="Palatino Linotype" w:eastAsia="Calibri" w:hAnsi="Palatino Linotype" w:cs="Tahoma"/>
          <w:iCs/>
          <w:sz w:val="22"/>
          <w:szCs w:val="22"/>
          <w:lang w:eastAsia="es-ES_tradnl"/>
        </w:rPr>
        <w:t xml:space="preserve"> de información adicional; </w:t>
      </w:r>
      <w:r w:rsidRPr="004059FB">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62822AFA" w14:textId="77777777" w:rsidR="00F72CA9" w:rsidRDefault="00F72CA9" w:rsidP="00F72CA9">
      <w:pPr>
        <w:spacing w:line="360" w:lineRule="auto"/>
        <w:jc w:val="both"/>
        <w:rPr>
          <w:rFonts w:ascii="Palatino Linotype" w:hAnsi="Palatino Linotype" w:cs="Tahoma"/>
          <w:sz w:val="22"/>
          <w:szCs w:val="24"/>
          <w:lang w:eastAsia="es-MX"/>
        </w:rPr>
      </w:pPr>
    </w:p>
    <w:p w14:paraId="36B79FC6" w14:textId="77777777" w:rsidR="00ED3A3C" w:rsidRPr="00F67BDF" w:rsidRDefault="00ED3A3C" w:rsidP="00ED3A3C">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lastRenderedPageBreak/>
        <w:t xml:space="preserve">CUARTO. </w:t>
      </w:r>
      <w:r w:rsidRPr="00F67BDF">
        <w:rPr>
          <w:rFonts w:ascii="Palatino Linotype" w:hAnsi="Palatino Linotype" w:cs="Tahoma"/>
          <w:b/>
          <w:sz w:val="22"/>
          <w:szCs w:val="22"/>
        </w:rPr>
        <w:t>Marco normativo aplicable en materia de transparencia y acceso a la información pública.</w:t>
      </w:r>
    </w:p>
    <w:p w14:paraId="3D79386F" w14:textId="77777777" w:rsidR="00ED3A3C" w:rsidRPr="00F67BDF" w:rsidRDefault="00ED3A3C" w:rsidP="00ED3A3C">
      <w:pPr>
        <w:spacing w:line="360" w:lineRule="auto"/>
        <w:jc w:val="both"/>
        <w:rPr>
          <w:rFonts w:ascii="Palatino Linotype" w:hAnsi="Palatino Linotype" w:cs="Tahoma"/>
          <w:b/>
          <w:sz w:val="22"/>
          <w:szCs w:val="22"/>
        </w:rPr>
      </w:pPr>
    </w:p>
    <w:p w14:paraId="6E76DB6E" w14:textId="77777777" w:rsidR="00ED3A3C" w:rsidRPr="00F67BDF" w:rsidRDefault="00ED3A3C" w:rsidP="00ED3A3C">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0CCF462" w14:textId="77777777" w:rsidR="00ED3A3C" w:rsidRPr="00F67BDF" w:rsidRDefault="00ED3A3C" w:rsidP="00ED3A3C">
      <w:pPr>
        <w:spacing w:line="360" w:lineRule="auto"/>
        <w:contextualSpacing/>
        <w:jc w:val="both"/>
        <w:rPr>
          <w:rFonts w:ascii="Palatino Linotype" w:hAnsi="Palatino Linotype" w:cs="Tahoma"/>
          <w:sz w:val="22"/>
          <w:szCs w:val="22"/>
        </w:rPr>
      </w:pPr>
    </w:p>
    <w:p w14:paraId="31C84352" w14:textId="77777777" w:rsidR="00ED3A3C" w:rsidRPr="00F67BDF" w:rsidRDefault="00ED3A3C" w:rsidP="00ED3A3C">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ACB73F5" w14:textId="77777777" w:rsidR="00ED3A3C" w:rsidRDefault="00ED3A3C" w:rsidP="00ED3A3C">
      <w:pPr>
        <w:spacing w:line="360" w:lineRule="auto"/>
        <w:jc w:val="both"/>
        <w:rPr>
          <w:rFonts w:ascii="Palatino Linotype" w:hAnsi="Palatino Linotype" w:cs="Tahoma"/>
          <w:sz w:val="22"/>
          <w:szCs w:val="22"/>
        </w:rPr>
      </w:pPr>
    </w:p>
    <w:p w14:paraId="1A2C6FAC" w14:textId="77777777" w:rsidR="00ED3A3C" w:rsidRDefault="00ED3A3C" w:rsidP="00ED3A3C">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C4E217" w14:textId="77777777" w:rsidR="00ED3A3C" w:rsidRPr="00F67BDF" w:rsidRDefault="00ED3A3C" w:rsidP="00ED3A3C">
      <w:pPr>
        <w:spacing w:line="360" w:lineRule="auto"/>
        <w:jc w:val="both"/>
        <w:rPr>
          <w:rFonts w:ascii="Palatino Linotype" w:hAnsi="Palatino Linotype" w:cs="Tahoma"/>
          <w:sz w:val="22"/>
          <w:szCs w:val="22"/>
        </w:rPr>
      </w:pPr>
    </w:p>
    <w:p w14:paraId="5D226691" w14:textId="77777777" w:rsidR="00ED3A3C" w:rsidRPr="00F67BDF" w:rsidRDefault="00ED3A3C" w:rsidP="00ED3A3C">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BC5BD31" w14:textId="77777777" w:rsidR="00ED3A3C" w:rsidRPr="00F67BDF" w:rsidRDefault="00ED3A3C" w:rsidP="00ED3A3C">
      <w:pPr>
        <w:spacing w:line="360" w:lineRule="auto"/>
        <w:jc w:val="both"/>
        <w:rPr>
          <w:rFonts w:ascii="Palatino Linotype" w:hAnsi="Palatino Linotype" w:cs="Tahoma"/>
          <w:sz w:val="22"/>
          <w:szCs w:val="22"/>
        </w:rPr>
      </w:pPr>
    </w:p>
    <w:p w14:paraId="3BF7C596" w14:textId="77777777" w:rsidR="00ED3A3C" w:rsidRPr="00F67BDF" w:rsidRDefault="00ED3A3C" w:rsidP="00ED3A3C">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2B63DB98" w14:textId="77777777" w:rsidR="00ED3A3C" w:rsidRPr="00F67BDF" w:rsidRDefault="00ED3A3C" w:rsidP="00ED3A3C">
      <w:pPr>
        <w:spacing w:line="360" w:lineRule="auto"/>
        <w:jc w:val="both"/>
        <w:rPr>
          <w:rFonts w:ascii="Palatino Linotype" w:hAnsi="Palatino Linotype" w:cs="Tahoma"/>
          <w:sz w:val="22"/>
          <w:szCs w:val="22"/>
        </w:rPr>
      </w:pPr>
    </w:p>
    <w:p w14:paraId="30EC105D" w14:textId="77777777" w:rsidR="00ED3A3C" w:rsidRPr="00F67BDF" w:rsidRDefault="00ED3A3C" w:rsidP="00ED3A3C">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B3C97D3" w14:textId="77777777" w:rsidR="00ED3A3C" w:rsidRPr="00F67BDF" w:rsidRDefault="00ED3A3C" w:rsidP="00ED3A3C">
      <w:pPr>
        <w:spacing w:line="360" w:lineRule="auto"/>
        <w:jc w:val="both"/>
        <w:rPr>
          <w:rFonts w:ascii="Palatino Linotype" w:hAnsi="Palatino Linotype" w:cs="Tahoma"/>
          <w:sz w:val="22"/>
          <w:szCs w:val="22"/>
        </w:rPr>
      </w:pPr>
    </w:p>
    <w:p w14:paraId="0E9963E7" w14:textId="77777777" w:rsidR="00ED3A3C" w:rsidRPr="00F67BDF" w:rsidRDefault="00ED3A3C" w:rsidP="00ED3A3C">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D9A5E46" w14:textId="150F9CB5" w:rsidR="00F72CA9" w:rsidRDefault="00F72CA9" w:rsidP="00F72CA9">
      <w:pPr>
        <w:spacing w:line="360" w:lineRule="auto"/>
        <w:jc w:val="both"/>
        <w:rPr>
          <w:rFonts w:ascii="Palatino Linotype" w:hAnsi="Palatino Linotype" w:cs="Tahoma"/>
          <w:sz w:val="22"/>
          <w:szCs w:val="24"/>
          <w:lang w:eastAsia="es-MX"/>
        </w:rPr>
      </w:pPr>
    </w:p>
    <w:p w14:paraId="161F769A" w14:textId="77777777" w:rsidR="00ED3A3C" w:rsidRPr="00F67BDF" w:rsidRDefault="00ED3A3C" w:rsidP="00ED3A3C">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5015BD3F" w14:textId="77777777" w:rsidR="00F72CA9" w:rsidRDefault="00F72CA9" w:rsidP="00F72CA9">
      <w:pPr>
        <w:spacing w:line="360" w:lineRule="auto"/>
        <w:jc w:val="both"/>
        <w:rPr>
          <w:rFonts w:ascii="Palatino Linotype" w:hAnsi="Palatino Linotype" w:cs="Tahoma"/>
          <w:sz w:val="22"/>
          <w:szCs w:val="24"/>
          <w:lang w:eastAsia="es-MX"/>
        </w:rPr>
      </w:pPr>
    </w:p>
    <w:p w14:paraId="6D0A08C7" w14:textId="77777777" w:rsidR="00ED3A3C" w:rsidRDefault="00ED3A3C"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Expuestas las posturas de las partes, se procede al análisis de la clasificación aludida por el Sujeto Obligado; al respecto, cabe señalar que mediante el desahogo del requerimiento de información, precisó que se clasificada por ser Secreto Bancario y Bursátil, por lo que se procede a su análisis.</w:t>
      </w:r>
    </w:p>
    <w:p w14:paraId="34FFB3E7" w14:textId="77777777" w:rsidR="00F72CA9" w:rsidRDefault="00F72CA9" w:rsidP="00F72CA9">
      <w:pPr>
        <w:spacing w:line="360" w:lineRule="auto"/>
        <w:jc w:val="both"/>
        <w:rPr>
          <w:rFonts w:ascii="Palatino Linotype" w:hAnsi="Palatino Linotype" w:cs="Tahoma"/>
          <w:sz w:val="22"/>
          <w:szCs w:val="24"/>
          <w:lang w:eastAsia="es-MX"/>
        </w:rPr>
      </w:pPr>
    </w:p>
    <w:p w14:paraId="50A57743" w14:textId="77777777" w:rsidR="00ED3A3C" w:rsidRDefault="00C143AF"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Al respecto, al artículo 143 de la Ley de Transparencia y Acceso a la Información Pública del Estado de México y Municipios, establece lo siguiente:</w:t>
      </w:r>
    </w:p>
    <w:p w14:paraId="76DD3714" w14:textId="77777777" w:rsidR="00C143AF" w:rsidRDefault="00C143AF" w:rsidP="00F72CA9">
      <w:pPr>
        <w:spacing w:line="360" w:lineRule="auto"/>
        <w:jc w:val="both"/>
        <w:rPr>
          <w:rFonts w:ascii="Palatino Linotype" w:hAnsi="Palatino Linotype" w:cs="Tahoma"/>
          <w:sz w:val="22"/>
          <w:szCs w:val="24"/>
          <w:lang w:eastAsia="es-MX"/>
        </w:rPr>
      </w:pPr>
    </w:p>
    <w:p w14:paraId="1F96F021" w14:textId="77777777" w:rsidR="00C143AF" w:rsidRDefault="00C143AF" w:rsidP="00C143AF">
      <w:pPr>
        <w:spacing w:line="360" w:lineRule="auto"/>
        <w:ind w:left="567" w:right="567"/>
        <w:jc w:val="both"/>
        <w:rPr>
          <w:rFonts w:ascii="Palatino Linotype" w:hAnsi="Palatino Linotype" w:cs="Tahoma"/>
          <w:lang w:eastAsia="es-MX"/>
        </w:rPr>
      </w:pPr>
      <w:r w:rsidRPr="00C143AF">
        <w:rPr>
          <w:rFonts w:ascii="Palatino Linotype" w:hAnsi="Palatino Linotype" w:cs="Tahoma"/>
          <w:b/>
          <w:lang w:eastAsia="es-MX"/>
        </w:rPr>
        <w:t>“Artículo 143.</w:t>
      </w:r>
      <w:r w:rsidRPr="00C143AF">
        <w:rPr>
          <w:rFonts w:ascii="Palatino Linotype" w:hAnsi="Palatino Linotype" w:cs="Tahoma"/>
          <w:lang w:eastAsia="es-MX"/>
        </w:rPr>
        <w:t xml:space="preserve"> Para los efectos de esta Ley se considera información confidencial, la clasificada como tal, de manera permanente, por su naturaleza, cuando:</w:t>
      </w:r>
    </w:p>
    <w:p w14:paraId="7C86F12F" w14:textId="77777777" w:rsidR="00C143AF" w:rsidRDefault="00C143AF" w:rsidP="00C143AF">
      <w:pPr>
        <w:spacing w:line="360" w:lineRule="auto"/>
        <w:ind w:left="567" w:right="567"/>
        <w:jc w:val="both"/>
        <w:rPr>
          <w:rFonts w:ascii="Palatino Linotype" w:hAnsi="Palatino Linotype" w:cs="Tahoma"/>
          <w:lang w:eastAsia="es-MX"/>
        </w:rPr>
      </w:pPr>
      <w:r w:rsidRPr="00C143AF">
        <w:rPr>
          <w:rFonts w:ascii="Palatino Linotype" w:hAnsi="Palatino Linotype" w:cs="Tahoma"/>
          <w:lang w:eastAsia="es-MX"/>
        </w:rPr>
        <w:t>…</w:t>
      </w:r>
    </w:p>
    <w:p w14:paraId="5FDF980D" w14:textId="77777777" w:rsidR="00C143AF" w:rsidRDefault="00C143AF" w:rsidP="00C143AF">
      <w:pPr>
        <w:spacing w:line="360" w:lineRule="auto"/>
        <w:ind w:left="567" w:right="567"/>
        <w:jc w:val="both"/>
        <w:rPr>
          <w:rFonts w:ascii="Palatino Linotype" w:hAnsi="Palatino Linotype" w:cs="Tahoma"/>
          <w:lang w:eastAsia="es-MX"/>
        </w:rPr>
      </w:pPr>
      <w:r w:rsidRPr="00C143AF">
        <w:rPr>
          <w:rFonts w:ascii="Palatino Linotype" w:hAnsi="Palatino Linotype" w:cs="Tahoma"/>
          <w:lang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1FD90DDB" w14:textId="77777777" w:rsidR="00C143AF" w:rsidRPr="00C143AF" w:rsidRDefault="00C143AF" w:rsidP="00C143AF">
      <w:pPr>
        <w:spacing w:line="360" w:lineRule="auto"/>
        <w:ind w:left="567" w:right="567"/>
        <w:jc w:val="both"/>
        <w:rPr>
          <w:rFonts w:ascii="Palatino Linotype" w:hAnsi="Palatino Linotype" w:cs="Tahoma"/>
          <w:lang w:eastAsia="es-MX"/>
        </w:rPr>
      </w:pPr>
      <w:r>
        <w:rPr>
          <w:rFonts w:ascii="Palatino Linotype" w:hAnsi="Palatino Linotype" w:cs="Tahoma"/>
          <w:lang w:eastAsia="es-MX"/>
        </w:rPr>
        <w:t>…”</w:t>
      </w:r>
    </w:p>
    <w:p w14:paraId="64F549F2" w14:textId="77777777" w:rsidR="00C143AF" w:rsidRDefault="00C143AF" w:rsidP="00F72CA9">
      <w:pPr>
        <w:spacing w:line="360" w:lineRule="auto"/>
        <w:jc w:val="both"/>
        <w:rPr>
          <w:rFonts w:ascii="Palatino Linotype" w:hAnsi="Palatino Linotype" w:cs="Tahoma"/>
          <w:sz w:val="22"/>
          <w:szCs w:val="24"/>
          <w:lang w:eastAsia="es-MX"/>
        </w:rPr>
      </w:pPr>
    </w:p>
    <w:p w14:paraId="3122BC61" w14:textId="77777777" w:rsidR="00C143AF" w:rsidRDefault="00C143AF" w:rsidP="00F72CA9">
      <w:pPr>
        <w:spacing w:line="360" w:lineRule="auto"/>
        <w:jc w:val="both"/>
        <w:rPr>
          <w:rFonts w:ascii="Palatino Linotype" w:hAnsi="Palatino Linotype" w:cs="Tahoma"/>
          <w:sz w:val="22"/>
          <w:szCs w:val="24"/>
          <w:lang w:eastAsia="es-MX"/>
        </w:rPr>
      </w:pPr>
      <w:r w:rsidRPr="00C143AF">
        <w:rPr>
          <w:rFonts w:ascii="Palatino Linotype" w:hAnsi="Palatino Linotype" w:cs="Tahoma"/>
          <w:sz w:val="22"/>
          <w:szCs w:val="24"/>
          <w:lang w:eastAsia="es-MX"/>
        </w:rPr>
        <w:t xml:space="preserve">Como se observa, se considera información confidencial </w:t>
      </w:r>
      <w:r w:rsidRPr="00FC01F1">
        <w:rPr>
          <w:rFonts w:ascii="Palatino Linotype" w:hAnsi="Palatino Linotype" w:cs="Tahoma"/>
          <w:b/>
          <w:sz w:val="22"/>
          <w:szCs w:val="24"/>
          <w:lang w:eastAsia="es-MX"/>
        </w:rPr>
        <w:t>los secretos bancario</w:t>
      </w:r>
      <w:r w:rsidRPr="00C143AF">
        <w:rPr>
          <w:rFonts w:ascii="Palatino Linotype" w:hAnsi="Palatino Linotype" w:cs="Tahoma"/>
          <w:sz w:val="22"/>
          <w:szCs w:val="24"/>
          <w:lang w:eastAsia="es-MX"/>
        </w:rPr>
        <w:t xml:space="preserve">, fiduciario, industrial, comercial, fiscal, </w:t>
      </w:r>
      <w:r w:rsidRPr="00FC01F1">
        <w:rPr>
          <w:rFonts w:ascii="Palatino Linotype" w:hAnsi="Palatino Linotype" w:cs="Tahoma"/>
          <w:b/>
          <w:sz w:val="22"/>
          <w:szCs w:val="24"/>
          <w:lang w:eastAsia="es-MX"/>
        </w:rPr>
        <w:t>bursátil</w:t>
      </w:r>
      <w:r w:rsidRPr="00C143AF">
        <w:rPr>
          <w:rFonts w:ascii="Palatino Linotype" w:hAnsi="Palatino Linotype" w:cs="Tahoma"/>
          <w:sz w:val="22"/>
          <w:szCs w:val="24"/>
          <w:lang w:eastAsia="es-MX"/>
        </w:rPr>
        <w:t xml:space="preserve"> y postal, cuya titularidad corresponda a particulares, sujetos de derecho internacional o sujetos obligados, cuando no involucre recursos públicos.</w:t>
      </w:r>
    </w:p>
    <w:p w14:paraId="1CA1AB8F" w14:textId="77777777" w:rsidR="00C143AF" w:rsidRDefault="00C143AF" w:rsidP="00F72CA9">
      <w:pPr>
        <w:spacing w:line="360" w:lineRule="auto"/>
        <w:jc w:val="both"/>
        <w:rPr>
          <w:rFonts w:ascii="Palatino Linotype" w:hAnsi="Palatino Linotype" w:cs="Tahoma"/>
          <w:sz w:val="22"/>
          <w:szCs w:val="24"/>
          <w:lang w:eastAsia="es-MX"/>
        </w:rPr>
      </w:pPr>
    </w:p>
    <w:p w14:paraId="013F4A05" w14:textId="77777777" w:rsidR="00C143AF" w:rsidRDefault="00FC01F1"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Por su parte, </w:t>
      </w:r>
      <w:r w:rsidR="00654355">
        <w:rPr>
          <w:rFonts w:ascii="Palatino Linotype" w:hAnsi="Palatino Linotype" w:cs="Tahoma"/>
          <w:sz w:val="22"/>
          <w:szCs w:val="24"/>
          <w:lang w:eastAsia="es-MX"/>
        </w:rPr>
        <w:t>los Lineamientos Generales en Materia de Clasificación y Desclasificación de la I</w:t>
      </w:r>
      <w:r w:rsidRPr="00FC01F1">
        <w:rPr>
          <w:rFonts w:ascii="Palatino Linotype" w:hAnsi="Palatino Linotype" w:cs="Tahoma"/>
          <w:sz w:val="22"/>
          <w:szCs w:val="24"/>
          <w:lang w:eastAsia="es-MX"/>
        </w:rPr>
        <w:t xml:space="preserve">nformación, así como para </w:t>
      </w:r>
      <w:r w:rsidR="00654355">
        <w:rPr>
          <w:rFonts w:ascii="Palatino Linotype" w:hAnsi="Palatino Linotype" w:cs="Tahoma"/>
          <w:sz w:val="22"/>
          <w:szCs w:val="24"/>
          <w:lang w:eastAsia="es-MX"/>
        </w:rPr>
        <w:t>la Elaboración de Versiones P</w:t>
      </w:r>
      <w:r w:rsidRPr="00FC01F1">
        <w:rPr>
          <w:rFonts w:ascii="Palatino Linotype" w:hAnsi="Palatino Linotype" w:cs="Tahoma"/>
          <w:sz w:val="22"/>
          <w:szCs w:val="24"/>
          <w:lang w:eastAsia="es-MX"/>
        </w:rPr>
        <w:t>úblicas</w:t>
      </w:r>
      <w:r w:rsidR="00D132BD">
        <w:rPr>
          <w:rFonts w:ascii="Palatino Linotype" w:hAnsi="Palatino Linotype" w:cs="Tahoma"/>
          <w:sz w:val="22"/>
          <w:szCs w:val="24"/>
          <w:lang w:eastAsia="es-MX"/>
        </w:rPr>
        <w:t xml:space="preserve"> –Lineamientos Generales-</w:t>
      </w:r>
      <w:r w:rsidR="00654355">
        <w:rPr>
          <w:rFonts w:ascii="Palatino Linotype" w:hAnsi="Palatino Linotype" w:cs="Tahoma"/>
          <w:sz w:val="22"/>
          <w:szCs w:val="24"/>
          <w:lang w:eastAsia="es-MX"/>
        </w:rPr>
        <w:t>, establecen lo siguiente:</w:t>
      </w:r>
    </w:p>
    <w:p w14:paraId="740756B7" w14:textId="77777777" w:rsidR="00F72CA9" w:rsidRDefault="00F72CA9" w:rsidP="00F72CA9">
      <w:pPr>
        <w:spacing w:line="360" w:lineRule="auto"/>
        <w:jc w:val="both"/>
        <w:rPr>
          <w:rFonts w:ascii="Palatino Linotype" w:hAnsi="Palatino Linotype" w:cs="Tahoma"/>
          <w:sz w:val="22"/>
          <w:szCs w:val="24"/>
          <w:lang w:eastAsia="es-MX"/>
        </w:rPr>
      </w:pPr>
    </w:p>
    <w:p w14:paraId="58968D76" w14:textId="77777777" w:rsidR="00654355" w:rsidRDefault="00654355"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b/>
          <w:lang w:eastAsia="es-MX"/>
        </w:rPr>
        <w:t xml:space="preserve">“Cuadragésimo segundo. </w:t>
      </w:r>
      <w:r w:rsidRPr="00654355">
        <w:rPr>
          <w:rFonts w:ascii="Palatino Linotype" w:hAnsi="Palatino Linotype" w:cs="Tahoma"/>
          <w:lang w:eastAsia="es-MX"/>
        </w:rPr>
        <w:t>De conformidad con el artículo 116, párrafo tercero de la Ley General, independientemente de la prohibición de los fideicomisos secretos,</w:t>
      </w:r>
      <w:r>
        <w:rPr>
          <w:rFonts w:ascii="Palatino Linotype" w:hAnsi="Palatino Linotype" w:cs="Tahoma"/>
          <w:lang w:eastAsia="es-MX"/>
        </w:rPr>
        <w:t xml:space="preserve"> </w:t>
      </w:r>
      <w:r w:rsidRPr="00654355">
        <w:rPr>
          <w:rFonts w:ascii="Palatino Linotype" w:hAnsi="Palatino Linotype" w:cs="Tahoma"/>
          <w:lang w:eastAsia="es-MX"/>
        </w:rPr>
        <w:t xml:space="preserve">señalada en el artículo 394, fracción I de la Ley General de Títulos y Operaciones de Crédito, para clasificar la información por secreto fiduciario o bancario, deberán acreditarse los siguientes elementos: </w:t>
      </w:r>
    </w:p>
    <w:p w14:paraId="22BDCB4D" w14:textId="77777777" w:rsidR="00654355" w:rsidRDefault="00654355" w:rsidP="00654355">
      <w:pPr>
        <w:spacing w:line="360" w:lineRule="auto"/>
        <w:ind w:left="567" w:right="567"/>
        <w:jc w:val="both"/>
        <w:rPr>
          <w:rFonts w:ascii="Palatino Linotype" w:hAnsi="Palatino Linotype" w:cs="Tahoma"/>
          <w:lang w:eastAsia="es-MX"/>
        </w:rPr>
      </w:pPr>
    </w:p>
    <w:p w14:paraId="662CFDDF" w14:textId="77777777" w:rsidR="00654355" w:rsidRDefault="00654355"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b/>
          <w:lang w:eastAsia="es-MX"/>
        </w:rPr>
        <w:t>I.</w:t>
      </w:r>
      <w:r w:rsidRPr="00654355">
        <w:rPr>
          <w:rFonts w:ascii="Palatino Linotype" w:hAnsi="Palatino Linotype" w:cs="Tahoma"/>
          <w:lang w:eastAsia="es-MX"/>
        </w:rPr>
        <w:t xml:space="preserve"> Que intervenga una institución de crédito realizando alguna de las operaciones referidas en la Ley de Instituciones de Crédito; </w:t>
      </w:r>
    </w:p>
    <w:p w14:paraId="671436FD" w14:textId="77777777" w:rsidR="00654355" w:rsidRDefault="00654355"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b/>
          <w:lang w:eastAsia="es-MX"/>
        </w:rPr>
        <w:t>II.</w:t>
      </w:r>
      <w:r w:rsidRPr="00654355">
        <w:rPr>
          <w:rFonts w:ascii="Palatino Linotype" w:hAnsi="Palatino Linotype" w:cs="Tahoma"/>
          <w:lang w:eastAsia="es-MX"/>
        </w:rPr>
        <w:t xml:space="preserve"> Que se refiera a datos o información que se obtenga o genere con motivo de la celebración de dichas operaciones; </w:t>
      </w:r>
    </w:p>
    <w:p w14:paraId="0D8E8618" w14:textId="77777777" w:rsidR="00654355" w:rsidRDefault="00654355"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b/>
          <w:lang w:eastAsia="es-MX"/>
        </w:rPr>
        <w:t>III.</w:t>
      </w:r>
      <w:r w:rsidRPr="00654355">
        <w:rPr>
          <w:rFonts w:ascii="Palatino Linotype" w:hAnsi="Palatino Linotype" w:cs="Tahoma"/>
          <w:lang w:eastAsia="es-MX"/>
        </w:rPr>
        <w:t xml:space="preserve"> Que sea requerida por una persona diversa al depositante, deudor, titular, beneficiario, fideicomitente, fideicomisario, comitente o mandante, a los representantes legales o a quienes tengan otorgado poder para disponer de la cuenta o para intervenir en la operación o servicio, y </w:t>
      </w:r>
    </w:p>
    <w:p w14:paraId="2FBAF5B3" w14:textId="77777777" w:rsidR="00654355" w:rsidRPr="00654355" w:rsidRDefault="00654355"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b/>
          <w:lang w:eastAsia="es-MX"/>
        </w:rPr>
        <w:t>IV.</w:t>
      </w:r>
      <w:r w:rsidRPr="00654355">
        <w:rPr>
          <w:rFonts w:ascii="Palatino Linotype" w:hAnsi="Palatino Linotype" w:cs="Tahoma"/>
          <w:lang w:eastAsia="es-MX"/>
        </w:rPr>
        <w:t xml:space="preserve"> Que refiera a información cuya titularidad corresponda a particulares, sujetos de derecho internacional o a sujetos obligados cuando no involucren el ejercicio de recursos públicos.</w:t>
      </w:r>
    </w:p>
    <w:p w14:paraId="3270A999" w14:textId="77777777" w:rsidR="00654355" w:rsidRPr="00654355" w:rsidRDefault="00654355"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lang w:eastAsia="es-MX"/>
        </w:rPr>
        <w:t>…</w:t>
      </w:r>
    </w:p>
    <w:p w14:paraId="272716B2" w14:textId="77777777" w:rsidR="00654355" w:rsidRPr="00654355" w:rsidRDefault="00654355"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lang w:eastAsia="es-MX"/>
        </w:rPr>
        <w:lastRenderedPageBreak/>
        <w:t>Cuando en un sujeto obligado concurra tanto el carácter de institución bancaria o cuenta habiente, en operaciones que involucren recursos públicos, no podrán clasificar la información relativa a operaciones bancarias.</w:t>
      </w:r>
    </w:p>
    <w:p w14:paraId="219E626A" w14:textId="77777777" w:rsidR="00654355" w:rsidRPr="00654355" w:rsidRDefault="00654355"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lang w:eastAsia="es-MX"/>
        </w:rPr>
        <w:t>…</w:t>
      </w:r>
    </w:p>
    <w:p w14:paraId="54323561" w14:textId="77777777" w:rsidR="00FC01F1" w:rsidRPr="00654355" w:rsidRDefault="00FC01F1"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b/>
          <w:lang w:eastAsia="es-MX"/>
        </w:rPr>
        <w:t>Cuadragésimo sexto.</w:t>
      </w:r>
      <w:r w:rsidRPr="00654355">
        <w:rPr>
          <w:rFonts w:ascii="Palatino Linotype" w:hAnsi="Palatino Linotype" w:cs="Tahoma"/>
          <w:lang w:eastAsia="es-MX"/>
        </w:rPr>
        <w:t xml:space="preserve"> De conformidad con el artículo 116, párrafo tercero de la Ley General, para clasificar la información por secreto bursátil, los sujetos obligados que realicen operaciones o presten servicios de conformidad con la Ley del Mercado de Valores, deberán acreditar que: </w:t>
      </w:r>
    </w:p>
    <w:p w14:paraId="25369EE9" w14:textId="77777777" w:rsidR="00FC01F1" w:rsidRPr="00654355" w:rsidRDefault="00FC01F1" w:rsidP="00654355">
      <w:pPr>
        <w:spacing w:line="360" w:lineRule="auto"/>
        <w:ind w:left="567" w:right="567"/>
        <w:jc w:val="both"/>
        <w:rPr>
          <w:rFonts w:ascii="Palatino Linotype" w:hAnsi="Palatino Linotype" w:cs="Tahoma"/>
          <w:lang w:eastAsia="es-MX"/>
        </w:rPr>
      </w:pPr>
    </w:p>
    <w:p w14:paraId="3B7B0DDD" w14:textId="77777777" w:rsidR="00FC01F1" w:rsidRPr="00654355" w:rsidRDefault="00FC01F1"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b/>
          <w:lang w:eastAsia="es-MX"/>
        </w:rPr>
        <w:t>I.</w:t>
      </w:r>
      <w:r w:rsidRPr="00654355">
        <w:rPr>
          <w:rFonts w:ascii="Palatino Linotype" w:hAnsi="Palatino Linotype" w:cs="Tahoma"/>
          <w:lang w:eastAsia="es-MX"/>
        </w:rPr>
        <w:t xml:space="preserve"> La información esté relacionada con las operaciones que realizan o los servicios que proporcionan, y </w:t>
      </w:r>
    </w:p>
    <w:p w14:paraId="7ACF9A1E" w14:textId="77777777" w:rsidR="00654355" w:rsidRPr="00654355" w:rsidRDefault="00654355" w:rsidP="00654355">
      <w:pPr>
        <w:spacing w:line="360" w:lineRule="auto"/>
        <w:ind w:left="567" w:right="567"/>
        <w:jc w:val="both"/>
        <w:rPr>
          <w:rFonts w:ascii="Palatino Linotype" w:hAnsi="Palatino Linotype" w:cs="Tahoma"/>
          <w:lang w:eastAsia="es-MX"/>
        </w:rPr>
      </w:pPr>
    </w:p>
    <w:p w14:paraId="09587201" w14:textId="77777777" w:rsidR="00F72CA9" w:rsidRPr="00654355" w:rsidRDefault="00FC01F1" w:rsidP="00654355">
      <w:pPr>
        <w:spacing w:line="360" w:lineRule="auto"/>
        <w:ind w:left="567" w:right="567"/>
        <w:jc w:val="both"/>
        <w:rPr>
          <w:rFonts w:ascii="Palatino Linotype" w:hAnsi="Palatino Linotype" w:cs="Tahoma"/>
          <w:lang w:eastAsia="es-MX"/>
        </w:rPr>
      </w:pPr>
      <w:r w:rsidRPr="00654355">
        <w:rPr>
          <w:rFonts w:ascii="Palatino Linotype" w:hAnsi="Palatino Linotype" w:cs="Tahoma"/>
          <w:b/>
          <w:lang w:eastAsia="es-MX"/>
        </w:rPr>
        <w:t>II.</w:t>
      </w:r>
      <w:r w:rsidRPr="00654355">
        <w:rPr>
          <w:rFonts w:ascii="Palatino Linotype" w:hAnsi="Palatino Linotype" w:cs="Tahoma"/>
          <w:lang w:eastAsia="es-MX"/>
        </w:rPr>
        <w:t xml:space="preserve"> Sea requerida por una persona diversa al cliente, comitente, mandante, fideicomitente, fideicomisario, beneficiario, representante legal de los anteriores, o quienes tengan otorgado poder para disponer de la cuenta o para intervenir en la operación o servicio.</w:t>
      </w:r>
      <w:r w:rsidR="00654355" w:rsidRPr="00654355">
        <w:rPr>
          <w:rFonts w:ascii="Palatino Linotype" w:hAnsi="Palatino Linotype" w:cs="Tahoma"/>
          <w:lang w:eastAsia="es-MX"/>
        </w:rPr>
        <w:t>”</w:t>
      </w:r>
    </w:p>
    <w:p w14:paraId="211A42A4" w14:textId="77777777" w:rsidR="00F72CA9" w:rsidRPr="00654355" w:rsidRDefault="00F72CA9" w:rsidP="00F72CA9">
      <w:pPr>
        <w:spacing w:line="360" w:lineRule="auto"/>
        <w:jc w:val="both"/>
        <w:rPr>
          <w:rFonts w:ascii="Palatino Linotype" w:hAnsi="Palatino Linotype" w:cs="Tahoma"/>
          <w:sz w:val="22"/>
          <w:szCs w:val="24"/>
          <w:lang w:eastAsia="es-MX"/>
        </w:rPr>
      </w:pPr>
    </w:p>
    <w:p w14:paraId="077B62DA" w14:textId="77777777" w:rsidR="00654355" w:rsidRPr="00654355" w:rsidRDefault="00654355" w:rsidP="00654355">
      <w:pPr>
        <w:spacing w:line="360" w:lineRule="auto"/>
        <w:jc w:val="both"/>
        <w:rPr>
          <w:rFonts w:ascii="Palatino Linotype" w:hAnsi="Palatino Linotype" w:cs="Arial"/>
          <w:sz w:val="22"/>
          <w:szCs w:val="22"/>
        </w:rPr>
      </w:pPr>
      <w:r w:rsidRPr="00654355">
        <w:rPr>
          <w:rFonts w:ascii="Palatino Linotype" w:hAnsi="Palatino Linotype" w:cs="Tahoma"/>
          <w:sz w:val="22"/>
          <w:szCs w:val="24"/>
          <w:lang w:eastAsia="es-MX"/>
        </w:rPr>
        <w:t xml:space="preserve">Conforme a lo anterior, se colige </w:t>
      </w:r>
      <w:r w:rsidRPr="00654355">
        <w:rPr>
          <w:rFonts w:ascii="Palatino Linotype" w:hAnsi="Palatino Linotype" w:cs="Tahoma"/>
          <w:sz w:val="22"/>
          <w:szCs w:val="22"/>
          <w:lang w:eastAsia="es-MX"/>
        </w:rPr>
        <w:t>que p</w:t>
      </w:r>
      <w:r w:rsidRPr="00654355">
        <w:rPr>
          <w:rFonts w:ascii="Palatino Linotype" w:hAnsi="Palatino Linotype" w:cs="Arial"/>
          <w:sz w:val="22"/>
          <w:szCs w:val="22"/>
        </w:rPr>
        <w:t xml:space="preserve">ara clasificar la información por </w:t>
      </w:r>
      <w:r w:rsidRPr="00654355">
        <w:rPr>
          <w:rFonts w:ascii="Palatino Linotype" w:hAnsi="Palatino Linotype" w:cs="Arial"/>
          <w:b/>
          <w:sz w:val="22"/>
          <w:szCs w:val="22"/>
        </w:rPr>
        <w:t xml:space="preserve">secreto bancario, </w:t>
      </w:r>
      <w:r w:rsidRPr="00654355">
        <w:rPr>
          <w:rFonts w:ascii="Palatino Linotype" w:hAnsi="Palatino Linotype" w:cs="Arial"/>
          <w:sz w:val="22"/>
          <w:szCs w:val="22"/>
        </w:rPr>
        <w:t>deberán acreditarse los siguientes supuestos:</w:t>
      </w:r>
    </w:p>
    <w:p w14:paraId="238BED6F" w14:textId="77777777" w:rsidR="00654355" w:rsidRPr="00654355" w:rsidRDefault="00654355" w:rsidP="00654355">
      <w:pPr>
        <w:spacing w:line="360" w:lineRule="auto"/>
        <w:jc w:val="both"/>
        <w:rPr>
          <w:rFonts w:ascii="Palatino Linotype" w:hAnsi="Palatino Linotype" w:cs="Arial"/>
          <w:sz w:val="22"/>
          <w:szCs w:val="22"/>
        </w:rPr>
      </w:pPr>
    </w:p>
    <w:p w14:paraId="4A20838E" w14:textId="77777777" w:rsidR="00654355" w:rsidRDefault="00654355" w:rsidP="00654355">
      <w:pPr>
        <w:pStyle w:val="Prrafodelista"/>
        <w:numPr>
          <w:ilvl w:val="0"/>
          <w:numId w:val="37"/>
        </w:numPr>
        <w:spacing w:line="360" w:lineRule="auto"/>
        <w:jc w:val="both"/>
        <w:rPr>
          <w:rFonts w:ascii="Palatino Linotype" w:hAnsi="Palatino Linotype" w:cs="Arial"/>
          <w:bCs/>
          <w:szCs w:val="22"/>
        </w:rPr>
      </w:pPr>
      <w:r w:rsidRPr="00654355">
        <w:rPr>
          <w:rFonts w:ascii="Palatino Linotype" w:hAnsi="Palatino Linotype" w:cs="Arial"/>
          <w:bCs/>
          <w:szCs w:val="22"/>
        </w:rPr>
        <w:t>Que intervenga una institución de crédito para realizar alguna de las operaciones referidas en la Ley de Instituciones de Crédito.</w:t>
      </w:r>
    </w:p>
    <w:p w14:paraId="5C63BC52" w14:textId="77777777" w:rsidR="00654355" w:rsidRDefault="00654355" w:rsidP="00654355">
      <w:pPr>
        <w:pStyle w:val="Prrafodelista"/>
        <w:numPr>
          <w:ilvl w:val="0"/>
          <w:numId w:val="37"/>
        </w:numPr>
        <w:spacing w:line="360" w:lineRule="auto"/>
        <w:jc w:val="both"/>
        <w:rPr>
          <w:rFonts w:ascii="Palatino Linotype" w:hAnsi="Palatino Linotype" w:cs="Arial"/>
          <w:bCs/>
          <w:szCs w:val="22"/>
        </w:rPr>
      </w:pPr>
      <w:r>
        <w:rPr>
          <w:rFonts w:ascii="Palatino Linotype" w:hAnsi="Palatino Linotype" w:cs="Arial"/>
          <w:bCs/>
          <w:szCs w:val="22"/>
        </w:rPr>
        <w:t>Que refiera a datos o información que se obtenga o genere con motivo de la celebración de dichas operaciones.</w:t>
      </w:r>
    </w:p>
    <w:p w14:paraId="793C788B" w14:textId="77777777" w:rsidR="00654355" w:rsidRDefault="00C42986" w:rsidP="00654355">
      <w:pPr>
        <w:pStyle w:val="Prrafodelista"/>
        <w:numPr>
          <w:ilvl w:val="0"/>
          <w:numId w:val="37"/>
        </w:numPr>
        <w:spacing w:line="360" w:lineRule="auto"/>
        <w:jc w:val="both"/>
        <w:rPr>
          <w:rFonts w:ascii="Palatino Linotype" w:hAnsi="Palatino Linotype" w:cs="Arial"/>
          <w:bCs/>
          <w:szCs w:val="22"/>
        </w:rPr>
      </w:pPr>
      <w:r>
        <w:rPr>
          <w:rFonts w:ascii="Palatino Linotype" w:hAnsi="Palatino Linotype" w:cs="Arial"/>
          <w:bCs/>
          <w:szCs w:val="22"/>
        </w:rPr>
        <w:t>Que sea requerida por un tercero que no tenga relación con la operación o servicio.</w:t>
      </w:r>
    </w:p>
    <w:p w14:paraId="1FE955C6" w14:textId="77777777" w:rsidR="00C42986" w:rsidRDefault="00C42986" w:rsidP="00654355">
      <w:pPr>
        <w:pStyle w:val="Prrafodelista"/>
        <w:numPr>
          <w:ilvl w:val="0"/>
          <w:numId w:val="37"/>
        </w:numPr>
        <w:spacing w:line="360" w:lineRule="auto"/>
        <w:jc w:val="both"/>
        <w:rPr>
          <w:rFonts w:ascii="Palatino Linotype" w:hAnsi="Palatino Linotype" w:cs="Arial"/>
          <w:bCs/>
          <w:szCs w:val="22"/>
        </w:rPr>
      </w:pPr>
      <w:r>
        <w:rPr>
          <w:rFonts w:ascii="Palatino Linotype" w:hAnsi="Palatino Linotype" w:cs="Arial"/>
          <w:bCs/>
          <w:szCs w:val="22"/>
        </w:rPr>
        <w:t>Que refiera a información cuya titularidad corresponda a particulares, sujetos de derecho internacional o a sujetos obligados cuando no involucren el ejercicio de recursos públicos.</w:t>
      </w:r>
    </w:p>
    <w:p w14:paraId="01C059C0" w14:textId="77777777" w:rsidR="00C42986" w:rsidRPr="00C42986" w:rsidRDefault="00C42986" w:rsidP="00C42986">
      <w:pPr>
        <w:spacing w:line="360" w:lineRule="auto"/>
        <w:jc w:val="both"/>
        <w:rPr>
          <w:rFonts w:ascii="Palatino Linotype" w:hAnsi="Palatino Linotype" w:cs="Arial"/>
          <w:bCs/>
          <w:sz w:val="22"/>
          <w:szCs w:val="22"/>
        </w:rPr>
      </w:pPr>
      <w:r w:rsidRPr="00C42986">
        <w:rPr>
          <w:rFonts w:ascii="Palatino Linotype" w:hAnsi="Palatino Linotype" w:cs="Arial"/>
          <w:bCs/>
          <w:sz w:val="22"/>
          <w:szCs w:val="22"/>
        </w:rPr>
        <w:lastRenderedPageBreak/>
        <w:t>Además, que cuando la institución bancaria o cuenta habiente, en operaciones que involucren recursos públicos, no podrán clasificar la información relativa a operaciones bancarias.</w:t>
      </w:r>
    </w:p>
    <w:p w14:paraId="4B3FBEF1" w14:textId="77777777" w:rsidR="00C42986" w:rsidRPr="00C42986" w:rsidRDefault="00C42986" w:rsidP="00C42986">
      <w:pPr>
        <w:spacing w:line="360" w:lineRule="auto"/>
        <w:jc w:val="both"/>
        <w:rPr>
          <w:rFonts w:ascii="Palatino Linotype" w:hAnsi="Palatino Linotype" w:cs="Arial"/>
          <w:bCs/>
          <w:sz w:val="22"/>
          <w:szCs w:val="22"/>
        </w:rPr>
      </w:pPr>
    </w:p>
    <w:p w14:paraId="678CF320" w14:textId="77777777" w:rsidR="00C42986" w:rsidRDefault="00C42986" w:rsidP="00C42986">
      <w:pPr>
        <w:spacing w:line="360" w:lineRule="auto"/>
        <w:jc w:val="both"/>
        <w:rPr>
          <w:rFonts w:ascii="Palatino Linotype" w:hAnsi="Palatino Linotype" w:cs="Arial"/>
          <w:bCs/>
          <w:sz w:val="22"/>
          <w:szCs w:val="22"/>
        </w:rPr>
      </w:pPr>
      <w:r w:rsidRPr="00C42986">
        <w:rPr>
          <w:rFonts w:ascii="Palatino Linotype" w:hAnsi="Palatino Linotype" w:cs="Arial"/>
          <w:bCs/>
          <w:sz w:val="22"/>
          <w:szCs w:val="22"/>
        </w:rPr>
        <w:t xml:space="preserve">Por otra parte, para clasificar la información por </w:t>
      </w:r>
      <w:r w:rsidRPr="00C42986">
        <w:rPr>
          <w:rFonts w:ascii="Palatino Linotype" w:hAnsi="Palatino Linotype" w:cs="Arial"/>
          <w:b/>
          <w:bCs/>
          <w:sz w:val="22"/>
          <w:szCs w:val="22"/>
        </w:rPr>
        <w:t>secreto bursátil</w:t>
      </w:r>
      <w:r>
        <w:rPr>
          <w:rFonts w:ascii="Palatino Linotype" w:hAnsi="Palatino Linotype" w:cs="Arial"/>
          <w:b/>
          <w:bCs/>
          <w:sz w:val="22"/>
          <w:szCs w:val="22"/>
        </w:rPr>
        <w:t xml:space="preserve">, </w:t>
      </w:r>
      <w:r>
        <w:rPr>
          <w:rFonts w:ascii="Palatino Linotype" w:hAnsi="Palatino Linotype" w:cs="Arial"/>
          <w:bCs/>
          <w:sz w:val="22"/>
          <w:szCs w:val="22"/>
        </w:rPr>
        <w:t>se deberán acreditar los siguientes requisitos:</w:t>
      </w:r>
    </w:p>
    <w:p w14:paraId="2557FFB9" w14:textId="77777777" w:rsidR="00C42986" w:rsidRDefault="00C42986" w:rsidP="00C42986">
      <w:pPr>
        <w:spacing w:line="360" w:lineRule="auto"/>
        <w:jc w:val="both"/>
        <w:rPr>
          <w:rFonts w:ascii="Palatino Linotype" w:hAnsi="Palatino Linotype" w:cs="Arial"/>
          <w:bCs/>
          <w:sz w:val="22"/>
          <w:szCs w:val="22"/>
        </w:rPr>
      </w:pPr>
    </w:p>
    <w:p w14:paraId="3BFA21AB" w14:textId="77777777" w:rsidR="00C42986" w:rsidRDefault="00C42986" w:rsidP="00C42986">
      <w:pPr>
        <w:pStyle w:val="Prrafodelista"/>
        <w:numPr>
          <w:ilvl w:val="0"/>
          <w:numId w:val="39"/>
        </w:numPr>
        <w:spacing w:line="360" w:lineRule="auto"/>
        <w:jc w:val="both"/>
        <w:rPr>
          <w:rFonts w:ascii="Palatino Linotype" w:hAnsi="Palatino Linotype" w:cs="Arial"/>
          <w:bCs/>
          <w:szCs w:val="22"/>
        </w:rPr>
      </w:pPr>
      <w:r>
        <w:rPr>
          <w:rFonts w:ascii="Palatino Linotype" w:hAnsi="Palatino Linotype" w:cs="Arial"/>
          <w:bCs/>
          <w:szCs w:val="22"/>
        </w:rPr>
        <w:t xml:space="preserve">Que los sujetos obligados realicen operaciones o presten servicios de conformidad con la Ley del Mercado de Valores y </w:t>
      </w:r>
      <w:proofErr w:type="spellStart"/>
      <w:r>
        <w:rPr>
          <w:rFonts w:ascii="Palatino Linotype" w:hAnsi="Palatino Linotype" w:cs="Arial"/>
          <w:bCs/>
          <w:szCs w:val="22"/>
        </w:rPr>
        <w:t>este</w:t>
      </w:r>
      <w:proofErr w:type="spellEnd"/>
      <w:r>
        <w:rPr>
          <w:rFonts w:ascii="Palatino Linotype" w:hAnsi="Palatino Linotype" w:cs="Arial"/>
          <w:bCs/>
          <w:szCs w:val="22"/>
        </w:rPr>
        <w:t xml:space="preserve"> relacionada con los servicios que proporcionan.</w:t>
      </w:r>
    </w:p>
    <w:p w14:paraId="05EA5F36" w14:textId="77777777" w:rsidR="00C42986" w:rsidRPr="000F1D0B" w:rsidRDefault="000F1D0B" w:rsidP="000F1D0B">
      <w:pPr>
        <w:pStyle w:val="Prrafodelista"/>
        <w:numPr>
          <w:ilvl w:val="0"/>
          <w:numId w:val="39"/>
        </w:numPr>
        <w:spacing w:line="360" w:lineRule="auto"/>
        <w:jc w:val="both"/>
        <w:rPr>
          <w:rFonts w:ascii="Palatino Linotype" w:hAnsi="Palatino Linotype" w:cs="Arial"/>
          <w:bCs/>
          <w:szCs w:val="22"/>
        </w:rPr>
      </w:pPr>
      <w:r>
        <w:rPr>
          <w:rFonts w:ascii="Palatino Linotype" w:hAnsi="Palatino Linotype" w:cs="Arial"/>
          <w:bCs/>
          <w:szCs w:val="22"/>
        </w:rPr>
        <w:t>Que sea requerida por un tercero que no tenga relación con la operación o servicio.</w:t>
      </w:r>
    </w:p>
    <w:p w14:paraId="0B53560A" w14:textId="77777777" w:rsidR="00C42986" w:rsidRPr="00C42986" w:rsidRDefault="00C42986" w:rsidP="00C42986">
      <w:pPr>
        <w:spacing w:line="360" w:lineRule="auto"/>
        <w:jc w:val="both"/>
        <w:rPr>
          <w:rFonts w:ascii="Palatino Linotype" w:hAnsi="Palatino Linotype" w:cs="Arial"/>
          <w:bCs/>
          <w:szCs w:val="22"/>
        </w:rPr>
      </w:pPr>
    </w:p>
    <w:p w14:paraId="7F31B78F" w14:textId="48A4D6E6" w:rsidR="00DB724D" w:rsidRDefault="000F1D0B" w:rsidP="00F72CA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Una vez establecido lo anterior, se procede analizar si la información requerida</w:t>
      </w:r>
      <w:r w:rsidR="00052431">
        <w:rPr>
          <w:rFonts w:ascii="Palatino Linotype" w:hAnsi="Palatino Linotype" w:cs="Tahoma"/>
          <w:sz w:val="22"/>
          <w:szCs w:val="22"/>
          <w:lang w:eastAsia="es-MX"/>
        </w:rPr>
        <w:t xml:space="preserve"> actualiza el supuesto de</w:t>
      </w:r>
      <w:r>
        <w:rPr>
          <w:rFonts w:ascii="Palatino Linotype" w:hAnsi="Palatino Linotype" w:cs="Tahoma"/>
          <w:sz w:val="22"/>
          <w:szCs w:val="22"/>
          <w:lang w:eastAsia="es-MX"/>
        </w:rPr>
        <w:t xml:space="preserve"> confidencial</w:t>
      </w:r>
      <w:r w:rsidR="00052431">
        <w:rPr>
          <w:rFonts w:ascii="Palatino Linotype" w:hAnsi="Palatino Linotype" w:cs="Tahoma"/>
          <w:sz w:val="22"/>
          <w:szCs w:val="22"/>
          <w:lang w:eastAsia="es-MX"/>
        </w:rPr>
        <w:t>idad de</w:t>
      </w:r>
      <w:r>
        <w:rPr>
          <w:rFonts w:ascii="Palatino Linotype" w:hAnsi="Palatino Linotype" w:cs="Tahoma"/>
          <w:sz w:val="22"/>
          <w:szCs w:val="22"/>
          <w:lang w:eastAsia="es-MX"/>
        </w:rPr>
        <w:t>l ser secreto bancario</w:t>
      </w:r>
      <w:r w:rsidR="00DB724D">
        <w:rPr>
          <w:rFonts w:ascii="Palatino Linotype" w:hAnsi="Palatino Linotype" w:cs="Tahoma"/>
          <w:sz w:val="22"/>
          <w:szCs w:val="22"/>
          <w:lang w:eastAsia="es-MX"/>
        </w:rPr>
        <w:t xml:space="preserve"> o bien, bursátil.</w:t>
      </w:r>
    </w:p>
    <w:p w14:paraId="315BE568" w14:textId="77777777" w:rsidR="00DB724D" w:rsidRDefault="00DB724D" w:rsidP="00F72CA9">
      <w:pPr>
        <w:spacing w:line="360" w:lineRule="auto"/>
        <w:jc w:val="both"/>
        <w:rPr>
          <w:rFonts w:ascii="Palatino Linotype" w:hAnsi="Palatino Linotype" w:cs="Tahoma"/>
          <w:sz w:val="22"/>
          <w:szCs w:val="22"/>
          <w:lang w:eastAsia="es-MX"/>
        </w:rPr>
      </w:pPr>
    </w:p>
    <w:p w14:paraId="2D7C9562" w14:textId="77777777" w:rsidR="00DB724D" w:rsidRPr="00DB724D" w:rsidRDefault="00DB724D" w:rsidP="00DB724D">
      <w:pPr>
        <w:pStyle w:val="Prrafodelista"/>
        <w:numPr>
          <w:ilvl w:val="0"/>
          <w:numId w:val="40"/>
        </w:numPr>
        <w:spacing w:line="360" w:lineRule="auto"/>
        <w:jc w:val="both"/>
        <w:rPr>
          <w:rFonts w:ascii="Palatino Linotype" w:hAnsi="Palatino Linotype" w:cs="Tahoma"/>
          <w:b/>
          <w:szCs w:val="22"/>
          <w:lang w:eastAsia="es-MX"/>
        </w:rPr>
      </w:pPr>
      <w:r w:rsidRPr="00DB724D">
        <w:rPr>
          <w:rFonts w:ascii="Palatino Linotype" w:hAnsi="Palatino Linotype" w:cs="Tahoma"/>
          <w:b/>
          <w:szCs w:val="22"/>
          <w:lang w:eastAsia="es-MX"/>
        </w:rPr>
        <w:t>Secreto bancario</w:t>
      </w:r>
      <w:r>
        <w:rPr>
          <w:rFonts w:ascii="Palatino Linotype" w:hAnsi="Palatino Linotype" w:cs="Tahoma"/>
          <w:b/>
          <w:szCs w:val="22"/>
          <w:lang w:eastAsia="es-MX"/>
        </w:rPr>
        <w:t>:</w:t>
      </w:r>
    </w:p>
    <w:p w14:paraId="1F7B98D6" w14:textId="77777777" w:rsidR="00DB724D" w:rsidRDefault="00DB724D" w:rsidP="00F72CA9">
      <w:pPr>
        <w:spacing w:line="360" w:lineRule="auto"/>
        <w:jc w:val="both"/>
        <w:rPr>
          <w:rFonts w:ascii="Palatino Linotype" w:hAnsi="Palatino Linotype" w:cs="Tahoma"/>
          <w:sz w:val="22"/>
          <w:szCs w:val="22"/>
          <w:lang w:eastAsia="es-MX"/>
        </w:rPr>
      </w:pPr>
    </w:p>
    <w:p w14:paraId="63A3011D" w14:textId="5D461746" w:rsidR="00F72CA9" w:rsidRDefault="00DB724D" w:rsidP="00F72CA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principio</w:t>
      </w:r>
      <w:r w:rsidR="000F1D0B">
        <w:rPr>
          <w:rFonts w:ascii="Palatino Linotype" w:hAnsi="Palatino Linotype" w:cs="Tahoma"/>
          <w:sz w:val="22"/>
          <w:szCs w:val="22"/>
          <w:lang w:eastAsia="es-MX"/>
        </w:rPr>
        <w:t>, resulta necesario recordar que el Sujeto Obligado precisó que dicha información vulneraba el derecho a la privacidad e intimidad de los titulares de la información, por lo que, podría causar un riesgo; además que el secreto se encontraba relacionado con el artículo 142 de la Ley de Instituciones de Crédito; el cual establece lo siguiente:</w:t>
      </w:r>
    </w:p>
    <w:p w14:paraId="7F6E9849" w14:textId="77777777" w:rsidR="000F1D0B" w:rsidRDefault="000F1D0B" w:rsidP="000F1D0B">
      <w:pPr>
        <w:spacing w:line="360" w:lineRule="auto"/>
        <w:jc w:val="center"/>
        <w:rPr>
          <w:rFonts w:ascii="Palatino Linotype" w:hAnsi="Palatino Linotype" w:cs="Tahoma"/>
          <w:sz w:val="22"/>
          <w:szCs w:val="22"/>
          <w:lang w:eastAsia="es-MX"/>
        </w:rPr>
      </w:pPr>
    </w:p>
    <w:p w14:paraId="50D53828" w14:textId="77777777" w:rsidR="0065338B" w:rsidRDefault="000F1D0B" w:rsidP="000F1D0B">
      <w:pPr>
        <w:spacing w:line="360" w:lineRule="auto"/>
        <w:ind w:left="567" w:right="567"/>
        <w:jc w:val="both"/>
        <w:rPr>
          <w:rFonts w:ascii="Palatino Linotype" w:hAnsi="Palatino Linotype" w:cs="Tahoma"/>
          <w:lang w:eastAsia="es-MX"/>
        </w:rPr>
      </w:pPr>
      <w:r w:rsidRPr="000F1D0B">
        <w:rPr>
          <w:rFonts w:ascii="Palatino Linotype" w:hAnsi="Palatino Linotype" w:cs="Tahoma"/>
          <w:b/>
          <w:lang w:eastAsia="es-MX"/>
        </w:rPr>
        <w:t>“</w:t>
      </w:r>
      <w:r w:rsidR="0065338B" w:rsidRPr="0065338B">
        <w:rPr>
          <w:rFonts w:ascii="Palatino Linotype" w:hAnsi="Palatino Linotype" w:cs="Tahoma"/>
          <w:b/>
          <w:lang w:eastAsia="es-MX"/>
        </w:rPr>
        <w:t xml:space="preserve">Artículo 46.- </w:t>
      </w:r>
      <w:r w:rsidR="0065338B" w:rsidRPr="0065338B">
        <w:rPr>
          <w:rFonts w:ascii="Palatino Linotype" w:hAnsi="Palatino Linotype" w:cs="Tahoma"/>
          <w:lang w:eastAsia="es-MX"/>
        </w:rPr>
        <w:t xml:space="preserve">Las instituciones de crédito sólo podrán realizar las operaciones siguientes: </w:t>
      </w:r>
    </w:p>
    <w:p w14:paraId="1ED83851"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I. Recibir depósitos bancarios de dinero: </w:t>
      </w:r>
    </w:p>
    <w:p w14:paraId="67F53079" w14:textId="77777777" w:rsidR="0065338B" w:rsidRDefault="0065338B" w:rsidP="0065338B">
      <w:pPr>
        <w:spacing w:line="360" w:lineRule="auto"/>
        <w:ind w:left="851" w:right="567"/>
        <w:jc w:val="both"/>
        <w:rPr>
          <w:rFonts w:ascii="Palatino Linotype" w:hAnsi="Palatino Linotype" w:cs="Tahoma"/>
          <w:lang w:eastAsia="es-MX"/>
        </w:rPr>
      </w:pPr>
      <w:r w:rsidRPr="0065338B">
        <w:rPr>
          <w:rFonts w:ascii="Palatino Linotype" w:hAnsi="Palatino Linotype" w:cs="Tahoma"/>
          <w:lang w:eastAsia="es-MX"/>
        </w:rPr>
        <w:t xml:space="preserve">a) A la vista; </w:t>
      </w:r>
    </w:p>
    <w:p w14:paraId="445182E0" w14:textId="77777777" w:rsidR="0065338B" w:rsidRDefault="0065338B" w:rsidP="0065338B">
      <w:pPr>
        <w:spacing w:line="360" w:lineRule="auto"/>
        <w:ind w:left="851" w:right="567"/>
        <w:jc w:val="both"/>
        <w:rPr>
          <w:rFonts w:ascii="Palatino Linotype" w:hAnsi="Palatino Linotype" w:cs="Tahoma"/>
          <w:lang w:eastAsia="es-MX"/>
        </w:rPr>
      </w:pPr>
      <w:r w:rsidRPr="0065338B">
        <w:rPr>
          <w:rFonts w:ascii="Palatino Linotype" w:hAnsi="Palatino Linotype" w:cs="Tahoma"/>
          <w:lang w:eastAsia="es-MX"/>
        </w:rPr>
        <w:t xml:space="preserve">b) Retirables en días preestablecidos; </w:t>
      </w:r>
    </w:p>
    <w:p w14:paraId="06169AF4" w14:textId="77777777" w:rsidR="0065338B" w:rsidRDefault="0065338B" w:rsidP="0065338B">
      <w:pPr>
        <w:spacing w:line="360" w:lineRule="auto"/>
        <w:ind w:left="851" w:right="567"/>
        <w:jc w:val="both"/>
        <w:rPr>
          <w:rFonts w:ascii="Palatino Linotype" w:hAnsi="Palatino Linotype" w:cs="Tahoma"/>
          <w:lang w:eastAsia="es-MX"/>
        </w:rPr>
      </w:pPr>
      <w:r w:rsidRPr="0065338B">
        <w:rPr>
          <w:rFonts w:ascii="Palatino Linotype" w:hAnsi="Palatino Linotype" w:cs="Tahoma"/>
          <w:lang w:eastAsia="es-MX"/>
        </w:rPr>
        <w:t xml:space="preserve">c) De ahorro, y </w:t>
      </w:r>
    </w:p>
    <w:p w14:paraId="2C43325F" w14:textId="77777777" w:rsidR="0065338B" w:rsidRDefault="0065338B" w:rsidP="0065338B">
      <w:pPr>
        <w:spacing w:line="360" w:lineRule="auto"/>
        <w:ind w:left="851" w:right="567"/>
        <w:jc w:val="both"/>
        <w:rPr>
          <w:rFonts w:ascii="Palatino Linotype" w:hAnsi="Palatino Linotype" w:cs="Tahoma"/>
          <w:lang w:eastAsia="es-MX"/>
        </w:rPr>
      </w:pPr>
      <w:r w:rsidRPr="0065338B">
        <w:rPr>
          <w:rFonts w:ascii="Palatino Linotype" w:hAnsi="Palatino Linotype" w:cs="Tahoma"/>
          <w:lang w:eastAsia="es-MX"/>
        </w:rPr>
        <w:t xml:space="preserve">d) A plazo o con previo aviso; </w:t>
      </w:r>
    </w:p>
    <w:p w14:paraId="28F0350A"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lastRenderedPageBreak/>
        <w:t xml:space="preserve">II. Aceptar préstamos y créditos; </w:t>
      </w:r>
    </w:p>
    <w:p w14:paraId="222F81E6"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III. Emitir bonos bancarios; </w:t>
      </w:r>
    </w:p>
    <w:p w14:paraId="1397100D"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IV. Emitir obligaciones subordinadas; </w:t>
      </w:r>
    </w:p>
    <w:p w14:paraId="254F7EBE"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V. Constituir depósitos en instituciones de crédito y entidades financieras del exterior; </w:t>
      </w:r>
    </w:p>
    <w:p w14:paraId="75BE0574"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VI. Efectuar descuentos y otorgar préstamos o créditos; </w:t>
      </w:r>
    </w:p>
    <w:p w14:paraId="15E42975"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VII. Expedir tarjetas de crédito con base en contratos de apertura de crédito en cuenta corriente; </w:t>
      </w:r>
    </w:p>
    <w:p w14:paraId="6D1719C9"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VIII. Asumir obligaciones por cuenta de terceros, con base en créditos concedidos, a través del otorgamiento de aceptaciones, endoso o aval de títulos de crédito, así como de la expedición de cartas de crédito; </w:t>
      </w:r>
    </w:p>
    <w:p w14:paraId="2A451B46"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IX. Operar con valores en los términos de las disposiciones de la presente Ley y de la Ley Mercado de Valores;</w:t>
      </w:r>
    </w:p>
    <w:p w14:paraId="38340B98" w14:textId="77777777" w:rsidR="0065338B" w:rsidRDefault="0065338B" w:rsidP="000F1D0B">
      <w:pPr>
        <w:spacing w:line="360" w:lineRule="auto"/>
        <w:ind w:left="567" w:right="567"/>
        <w:jc w:val="both"/>
        <w:rPr>
          <w:rFonts w:ascii="Palatino Linotype" w:hAnsi="Palatino Linotype" w:cs="Tahoma"/>
          <w:lang w:eastAsia="es-MX"/>
        </w:rPr>
      </w:pPr>
      <w:r>
        <w:rPr>
          <w:rFonts w:ascii="Palatino Linotype" w:hAnsi="Palatino Linotype" w:cs="Tahoma"/>
          <w:lang w:eastAsia="es-MX"/>
        </w:rPr>
        <w:t xml:space="preserve">X. </w:t>
      </w:r>
      <w:r w:rsidRPr="0065338B">
        <w:rPr>
          <w:rFonts w:ascii="Palatino Linotype" w:hAnsi="Palatino Linotype" w:cs="Tahoma"/>
          <w:lang w:eastAsia="es-MX"/>
        </w:rPr>
        <w:t xml:space="preserve">Promover la organización y transformación de toda clase de empresas o sociedades mercantiles y suscribir y conservar acciones o partes de interés en las mismas, en los términos de esta Ley; </w:t>
      </w:r>
    </w:p>
    <w:p w14:paraId="3FADA4C7"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XI. Operar con documentos mercantiles por cuenta propia; </w:t>
      </w:r>
    </w:p>
    <w:p w14:paraId="039748FA"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XII. Llevar a cabo por cuenta propia o de terceros operaciones con oro, plata y divisas, incluyendo reportos sobre estas últimas; </w:t>
      </w:r>
    </w:p>
    <w:p w14:paraId="5DD75AC3"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XIII. Prestar servicio de cajas de seguridad; </w:t>
      </w:r>
    </w:p>
    <w:p w14:paraId="29C1D0AB"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XIV. Expedir cartas de crédito previa recepción de su importe, hacer efectivos créditos y realizar pagos por cuenta de clientes;</w:t>
      </w:r>
    </w:p>
    <w:p w14:paraId="0B6F0432"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XV. Practicar las operaciones de fideicomiso a que se refiere la Ley General de Títulos y Operaciones de Crédito, y llevar a cabo mandatos y comisiones; </w:t>
      </w:r>
    </w:p>
    <w:p w14:paraId="3D009DFF" w14:textId="77777777" w:rsidR="0065338B" w:rsidRDefault="0065338B" w:rsidP="000F1D0B">
      <w:pPr>
        <w:spacing w:line="360" w:lineRule="auto"/>
        <w:ind w:left="567" w:right="567"/>
        <w:jc w:val="both"/>
        <w:rPr>
          <w:rFonts w:ascii="Palatino Linotype" w:hAnsi="Palatino Linotype" w:cs="Tahoma"/>
          <w:lang w:eastAsia="es-MX"/>
        </w:rPr>
      </w:pPr>
    </w:p>
    <w:p w14:paraId="5BBA2371"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Las instituciones de crédito podrán celebrar operaciones consigo mismas en el cumplimiento de fideicomisos, mandatos o comisiones, cuando el Banco de México lo autorice mediante disposiciones de carácter general, en las que se establezcan requisitos, términos y condiciones que promuevan que las operaciones de referencia se realicen en </w:t>
      </w:r>
      <w:r w:rsidRPr="0065338B">
        <w:rPr>
          <w:rFonts w:ascii="Palatino Linotype" w:hAnsi="Palatino Linotype" w:cs="Tahoma"/>
          <w:lang w:eastAsia="es-MX"/>
        </w:rPr>
        <w:lastRenderedPageBreak/>
        <w:t xml:space="preserve">congruencia con las condiciones de mercado al tiempo de su celebración, así como que se eviten conflictos de interés; </w:t>
      </w:r>
    </w:p>
    <w:p w14:paraId="0EEE7DCC" w14:textId="77777777" w:rsidR="0065338B" w:rsidRDefault="0065338B" w:rsidP="000F1D0B">
      <w:pPr>
        <w:spacing w:line="360" w:lineRule="auto"/>
        <w:ind w:left="567" w:right="567"/>
        <w:jc w:val="both"/>
        <w:rPr>
          <w:rFonts w:ascii="Palatino Linotype" w:hAnsi="Palatino Linotype" w:cs="Tahoma"/>
          <w:lang w:eastAsia="es-MX"/>
        </w:rPr>
      </w:pPr>
    </w:p>
    <w:p w14:paraId="6E5CA31E"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XVI. Recibir depósitos en administración o custodia, o en garantía por cuenta de terceros, de títulos o valores y en general de documentos mercantiles; </w:t>
      </w:r>
    </w:p>
    <w:p w14:paraId="72EAB5F3"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XVII. Actuar como representante común de los tenedores de títulos de crédito; </w:t>
      </w:r>
    </w:p>
    <w:p w14:paraId="31531574"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XVIII. Hacer servicio de caja y tesorería relativo a títulos de crédito, por cuenta de las emisoras; </w:t>
      </w:r>
    </w:p>
    <w:p w14:paraId="5B6AC573"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XIX. Llevar la contabilidad y los libros de actas y de registro de sociedades y empresas; XX. Desempeñar el cargo de albacea; </w:t>
      </w:r>
    </w:p>
    <w:p w14:paraId="2A25C377"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XXI. Desempeñar la sindicatura o encargarse de la liquidación judicial o extrajudicial de negociaciones, establecimientos, concursos o herencias; </w:t>
      </w:r>
    </w:p>
    <w:p w14:paraId="05C87B49"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XXII. Encargarse de hacer avalúos que tendrán la misma fuerza probatoria que las leyes asignan a los hechos por corredor público o perito; </w:t>
      </w:r>
    </w:p>
    <w:p w14:paraId="772E44D5"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 xml:space="preserve">XXIII. Adquirir los bienes muebles e inmuebles necesarios para la realización de su objeto y enajenarlos cuando corresponda, y </w:t>
      </w:r>
    </w:p>
    <w:p w14:paraId="45138AC0"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XXIV. Celebrar contratos de arrendamiento financiero y adquirir los bienes que sean objeto de tales contratos.</w:t>
      </w:r>
    </w:p>
    <w:p w14:paraId="19BECCD5"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XXV. Realizar operaciones derivadas, sujetándose a las disposiciones técnicas y operativas que expida el Banco de México, en las cuales se establezcan las características de dichas</w:t>
      </w:r>
      <w:r>
        <w:rPr>
          <w:rFonts w:ascii="Palatino Linotype" w:hAnsi="Palatino Linotype" w:cs="Tahoma"/>
          <w:lang w:eastAsia="es-MX"/>
        </w:rPr>
        <w:t xml:space="preserve"> </w:t>
      </w:r>
      <w:r w:rsidRPr="0065338B">
        <w:rPr>
          <w:rFonts w:ascii="Palatino Linotype" w:hAnsi="Palatino Linotype" w:cs="Tahoma"/>
          <w:lang w:eastAsia="es-MX"/>
        </w:rPr>
        <w:t>operaciones, tales como tipos, plazos, contrapartes, subyacentes, garantías y formas de liquidación;</w:t>
      </w:r>
    </w:p>
    <w:p w14:paraId="47C4BC21"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XXVI. Efectuar operaciones de factoraje financiero;</w:t>
      </w:r>
    </w:p>
    <w:p w14:paraId="61721308"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XXVI bis. Emitir y poner en circulación cualquier medio de pago que determine el Banco de México, sujetándose a las disposiciones técnicas y operativas que éste expida, en las cuales se establezcan entre otras características, las relativas a su uso, monto y vigencia, a fin de propiciar el uso de diversos medios de pago;</w:t>
      </w:r>
    </w:p>
    <w:p w14:paraId="7050F9F6" w14:textId="77777777" w:rsid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lastRenderedPageBreak/>
        <w:t>XXVII. Intervenir en la contratación de seguros para lo cual deberán cumplir con lo establecido en la Ley General de Instituciones y Sociedades Mutualistas de Seguros y en las disposiciones de carácter general que de la misma emanen, y</w:t>
      </w:r>
    </w:p>
    <w:p w14:paraId="6D924D52" w14:textId="77777777" w:rsidR="0065338B" w:rsidRP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XXVIII. Las análogas o conexas que autorice la Secretaría de Hacienda y Crédito Público, oyendo la opinión del Banco de México y de la Comisión Nacional Bancaria y de Valores.</w:t>
      </w:r>
    </w:p>
    <w:p w14:paraId="20AD45D7" w14:textId="77777777" w:rsidR="0065338B" w:rsidRPr="0065338B" w:rsidRDefault="0065338B" w:rsidP="000F1D0B">
      <w:pPr>
        <w:spacing w:line="360" w:lineRule="auto"/>
        <w:ind w:left="567" w:right="567"/>
        <w:jc w:val="both"/>
        <w:rPr>
          <w:rFonts w:ascii="Palatino Linotype" w:hAnsi="Palatino Linotype" w:cs="Tahoma"/>
          <w:lang w:eastAsia="es-MX"/>
        </w:rPr>
      </w:pPr>
      <w:r w:rsidRPr="0065338B">
        <w:rPr>
          <w:rFonts w:ascii="Palatino Linotype" w:hAnsi="Palatino Linotype" w:cs="Tahoma"/>
          <w:lang w:eastAsia="es-MX"/>
        </w:rPr>
        <w:t>…</w:t>
      </w:r>
    </w:p>
    <w:p w14:paraId="325D171B" w14:textId="77777777" w:rsidR="000F1D0B" w:rsidRDefault="000F1D0B" w:rsidP="000F1D0B">
      <w:pPr>
        <w:spacing w:line="360" w:lineRule="auto"/>
        <w:ind w:left="567" w:right="567"/>
        <w:jc w:val="both"/>
        <w:rPr>
          <w:rFonts w:ascii="Palatino Linotype" w:hAnsi="Palatino Linotype" w:cs="Tahoma"/>
          <w:lang w:eastAsia="es-MX"/>
        </w:rPr>
      </w:pPr>
      <w:r w:rsidRPr="000F1D0B">
        <w:rPr>
          <w:rFonts w:ascii="Palatino Linotype" w:hAnsi="Palatino Linotype" w:cs="Tahoma"/>
          <w:b/>
          <w:lang w:eastAsia="es-MX"/>
        </w:rPr>
        <w:t xml:space="preserve">Artículo 142.- </w:t>
      </w:r>
      <w:r w:rsidRPr="000F1D0B">
        <w:rPr>
          <w:rFonts w:ascii="Palatino Linotype" w:hAnsi="Palatino Linotype" w:cs="Tahoma"/>
          <w:lang w:eastAsia="es-MX"/>
        </w:rPr>
        <w:t>La información y documentación relativa a las operaciones y servicios a que se refiere el artículo 46 de la presente Ley, tendrá carácter confidencial, por lo que las instituciones de crédito, en protección del derecho a la privacidad de sus clientes y usuarios que en este artículo se establece, en ningún caso podrán dar noticias o información de los depósitos, operaciones o servicios, incluyendo los previstos en la fracción XV del citado artículo 46, sino al depositante, deudor, titular, beneficiario, fideicomitente, fideicomisario, comitente o mandante, a sus representantes legales o a quienes tengan otorgado poder para disponer de la cuenta o para intervenir en la operación o servicio.</w:t>
      </w:r>
    </w:p>
    <w:p w14:paraId="384C4405" w14:textId="77777777" w:rsidR="000F1D0B" w:rsidRPr="000F1D0B" w:rsidRDefault="000F1D0B" w:rsidP="000F1D0B">
      <w:pPr>
        <w:spacing w:line="360" w:lineRule="auto"/>
        <w:ind w:left="567" w:right="567"/>
        <w:jc w:val="both"/>
        <w:rPr>
          <w:rFonts w:ascii="Palatino Linotype" w:hAnsi="Palatino Linotype" w:cs="Tahoma"/>
          <w:lang w:eastAsia="es-MX"/>
        </w:rPr>
      </w:pPr>
      <w:r w:rsidRPr="000F1D0B">
        <w:rPr>
          <w:rFonts w:ascii="Palatino Linotype" w:hAnsi="Palatino Linotype" w:cs="Tahoma"/>
          <w:lang w:eastAsia="es-MX"/>
        </w:rPr>
        <w:t>…”</w:t>
      </w:r>
    </w:p>
    <w:p w14:paraId="60DA4C28" w14:textId="77777777" w:rsidR="00F72CA9" w:rsidRPr="00654355" w:rsidRDefault="00F72CA9" w:rsidP="00F72CA9">
      <w:pPr>
        <w:spacing w:line="360" w:lineRule="auto"/>
        <w:jc w:val="both"/>
        <w:rPr>
          <w:rFonts w:ascii="Palatino Linotype" w:hAnsi="Palatino Linotype" w:cs="Tahoma"/>
          <w:sz w:val="22"/>
          <w:szCs w:val="22"/>
          <w:lang w:eastAsia="es-MX"/>
        </w:rPr>
      </w:pPr>
    </w:p>
    <w:p w14:paraId="31A87A4A" w14:textId="77777777" w:rsidR="00F72CA9" w:rsidRDefault="0065338B" w:rsidP="00F72CA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Conforme a lo citado, se advierte que es información y documentación relativa a las operaciones y servicios que ofrece</w:t>
      </w:r>
      <w:r w:rsidR="005E413C">
        <w:rPr>
          <w:rFonts w:ascii="Palatino Linotype" w:hAnsi="Palatino Linotype" w:cs="Tahoma"/>
          <w:sz w:val="22"/>
          <w:szCs w:val="22"/>
          <w:lang w:eastAsia="es-MX"/>
        </w:rPr>
        <w:t>n</w:t>
      </w:r>
      <w:r>
        <w:rPr>
          <w:rFonts w:ascii="Palatino Linotype" w:hAnsi="Palatino Linotype" w:cs="Tahoma"/>
          <w:sz w:val="22"/>
          <w:szCs w:val="22"/>
          <w:lang w:eastAsia="es-MX"/>
        </w:rPr>
        <w:t xml:space="preserve"> las instituciones de crédito</w:t>
      </w:r>
      <w:r w:rsidR="005E413C">
        <w:rPr>
          <w:rFonts w:ascii="Palatino Linotype" w:hAnsi="Palatino Linotype" w:cs="Tahoma"/>
          <w:sz w:val="22"/>
          <w:szCs w:val="22"/>
          <w:lang w:eastAsia="es-MX"/>
        </w:rPr>
        <w:t>, conforme a lo anterior, es información confidencial; además, el sujeto obligado precisó que correspondía a información financiera que se efectuaban ante instituciones financieras.</w:t>
      </w:r>
    </w:p>
    <w:p w14:paraId="276847F8" w14:textId="77777777" w:rsidR="005E413C" w:rsidRDefault="005E413C" w:rsidP="00F72CA9">
      <w:pPr>
        <w:spacing w:line="360" w:lineRule="auto"/>
        <w:jc w:val="both"/>
        <w:rPr>
          <w:rFonts w:ascii="Palatino Linotype" w:hAnsi="Palatino Linotype" w:cs="Tahoma"/>
          <w:sz w:val="22"/>
          <w:szCs w:val="22"/>
          <w:lang w:eastAsia="es-MX"/>
        </w:rPr>
      </w:pPr>
    </w:p>
    <w:p w14:paraId="669DBBD3" w14:textId="7C598C81" w:rsidR="005E413C" w:rsidRDefault="003171AD" w:rsidP="00F72CA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En ese contexto, cabe señalar </w:t>
      </w:r>
      <w:r w:rsidRPr="003171AD">
        <w:rPr>
          <w:rFonts w:ascii="Palatino Linotype" w:hAnsi="Palatino Linotype" w:cs="Tahoma"/>
          <w:b/>
          <w:sz w:val="22"/>
          <w:szCs w:val="22"/>
          <w:lang w:eastAsia="es-MX"/>
        </w:rPr>
        <w:t>que el monto de las interacciones a nombre del Instituto de Seguridad Social del Estado de México y Municipio</w:t>
      </w:r>
      <w:r>
        <w:rPr>
          <w:rFonts w:ascii="Palatino Linotype" w:hAnsi="Palatino Linotype" w:cs="Tahoma"/>
          <w:sz w:val="22"/>
          <w:szCs w:val="22"/>
          <w:lang w:eastAsia="es-MX"/>
        </w:rPr>
        <w:t xml:space="preserve">, se puede conformar de las operaciones financieras establecidas en términos de la </w:t>
      </w:r>
      <w:r w:rsidR="009C429F">
        <w:rPr>
          <w:rFonts w:ascii="Palatino Linotype" w:hAnsi="Palatino Linotype" w:cs="Tahoma"/>
          <w:sz w:val="22"/>
          <w:szCs w:val="22"/>
          <w:lang w:eastAsia="es-MX"/>
        </w:rPr>
        <w:t>Ley de Instituciones de Crédito;</w:t>
      </w:r>
      <w:r>
        <w:rPr>
          <w:rFonts w:ascii="Palatino Linotype" w:hAnsi="Palatino Linotype" w:cs="Tahoma"/>
          <w:sz w:val="22"/>
          <w:szCs w:val="22"/>
          <w:lang w:eastAsia="es-MX"/>
        </w:rPr>
        <w:t xml:space="preserve"> lo cierto es que la pretensión del Particular, </w:t>
      </w:r>
      <w:r w:rsidR="009C429F">
        <w:rPr>
          <w:rFonts w:ascii="Palatino Linotype" w:hAnsi="Palatino Linotype" w:cs="Tahoma"/>
          <w:sz w:val="22"/>
          <w:szCs w:val="22"/>
          <w:lang w:eastAsia="es-MX"/>
        </w:rPr>
        <w:t>puede ser</w:t>
      </w:r>
      <w:r>
        <w:rPr>
          <w:rFonts w:ascii="Palatino Linotype" w:hAnsi="Palatino Linotype" w:cs="Tahoma"/>
          <w:sz w:val="22"/>
          <w:szCs w:val="22"/>
          <w:lang w:eastAsia="es-MX"/>
        </w:rPr>
        <w:t xml:space="preserve"> obtener</w:t>
      </w:r>
      <w:r w:rsidR="009C429F">
        <w:rPr>
          <w:rFonts w:ascii="Palatino Linotype" w:hAnsi="Palatino Linotype" w:cs="Tahoma"/>
          <w:sz w:val="22"/>
          <w:szCs w:val="22"/>
          <w:lang w:eastAsia="es-MX"/>
        </w:rPr>
        <w:t xml:space="preserve"> esto o un monto depositado en el Banco Interacciones, por lo que en cualquiera de los casos, se trata de</w:t>
      </w:r>
      <w:r>
        <w:rPr>
          <w:rFonts w:ascii="Palatino Linotype" w:hAnsi="Palatino Linotype" w:cs="Tahoma"/>
          <w:sz w:val="22"/>
          <w:szCs w:val="22"/>
          <w:lang w:eastAsia="es-MX"/>
        </w:rPr>
        <w:t xml:space="preserve"> información de carácter </w:t>
      </w:r>
      <w:r>
        <w:rPr>
          <w:rFonts w:ascii="Palatino Linotype" w:hAnsi="Palatino Linotype" w:cs="Tahoma"/>
          <w:sz w:val="22"/>
          <w:szCs w:val="22"/>
          <w:lang w:eastAsia="es-MX"/>
        </w:rPr>
        <w:lastRenderedPageBreak/>
        <w:t xml:space="preserve">general, que de ninguna manera permite identificar el tipo de operaciones dentro del catálogo previsto en dicho ordenamiento, así como, la institución financiera ante la cual se llevó a cabo. </w:t>
      </w:r>
    </w:p>
    <w:p w14:paraId="4C3B7979" w14:textId="77777777" w:rsidR="003171AD" w:rsidRDefault="003171AD" w:rsidP="00F72CA9">
      <w:pPr>
        <w:spacing w:line="360" w:lineRule="auto"/>
        <w:jc w:val="both"/>
        <w:rPr>
          <w:rFonts w:ascii="Palatino Linotype" w:hAnsi="Palatino Linotype" w:cs="Tahoma"/>
          <w:sz w:val="22"/>
          <w:szCs w:val="22"/>
          <w:lang w:eastAsia="es-MX"/>
        </w:rPr>
      </w:pPr>
    </w:p>
    <w:p w14:paraId="20AFFF69" w14:textId="77777777" w:rsidR="003171AD" w:rsidRDefault="003171AD" w:rsidP="00F72CA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Además, si bien la información fue requerida por un tercer que no tiene relación con las operaciones, dado que se trata de un monto generado por diversas operaciones, no identificar</w:t>
      </w:r>
      <w:r w:rsidR="005D18F1">
        <w:rPr>
          <w:rFonts w:ascii="Palatino Linotype" w:hAnsi="Palatino Linotype" w:cs="Tahoma"/>
          <w:sz w:val="22"/>
          <w:szCs w:val="22"/>
          <w:lang w:eastAsia="es-MX"/>
        </w:rPr>
        <w:t>ía a las cuentas habientes.</w:t>
      </w:r>
    </w:p>
    <w:p w14:paraId="1AE61A91" w14:textId="77777777" w:rsidR="005D18F1" w:rsidRDefault="005D18F1" w:rsidP="00F72CA9">
      <w:pPr>
        <w:spacing w:line="360" w:lineRule="auto"/>
        <w:jc w:val="both"/>
        <w:rPr>
          <w:rFonts w:ascii="Palatino Linotype" w:hAnsi="Palatino Linotype" w:cs="Tahoma"/>
          <w:sz w:val="22"/>
          <w:szCs w:val="22"/>
          <w:lang w:eastAsia="es-MX"/>
        </w:rPr>
      </w:pPr>
    </w:p>
    <w:p w14:paraId="0895E1BB" w14:textId="127035DD" w:rsidR="005D18F1" w:rsidRDefault="005D18F1" w:rsidP="00F72CA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Finalmente, tampoco se tiene certeza de que dicho monto se haya generado con recursos privados o públicos; cabe precisar que la pretensión del Recurrente es obtener el monto de las interacciones realizadas con el patrimonio del Ente Recurrido</w:t>
      </w:r>
      <w:r w:rsidR="009C429F">
        <w:rPr>
          <w:rFonts w:ascii="Palatino Linotype" w:hAnsi="Palatino Linotype" w:cs="Tahoma"/>
          <w:sz w:val="22"/>
          <w:szCs w:val="22"/>
          <w:lang w:eastAsia="es-MX"/>
        </w:rPr>
        <w:t xml:space="preserve"> o las depositadas en el Banco Interacciones</w:t>
      </w:r>
      <w:r>
        <w:rPr>
          <w:rFonts w:ascii="Palatino Linotype" w:hAnsi="Palatino Linotype" w:cs="Tahoma"/>
          <w:sz w:val="22"/>
          <w:szCs w:val="22"/>
          <w:lang w:eastAsia="es-MX"/>
        </w:rPr>
        <w:t>, por lo que, también se puede presumir que se tratan de recursos públicos y por lo tanto, no procedería la causal de clasificación previamente señalada.</w:t>
      </w:r>
    </w:p>
    <w:p w14:paraId="7901671F" w14:textId="77777777" w:rsidR="005D18F1" w:rsidRDefault="005D18F1" w:rsidP="00F72CA9">
      <w:pPr>
        <w:spacing w:line="360" w:lineRule="auto"/>
        <w:jc w:val="both"/>
        <w:rPr>
          <w:rFonts w:ascii="Palatino Linotype" w:hAnsi="Palatino Linotype" w:cs="Tahoma"/>
          <w:sz w:val="22"/>
          <w:szCs w:val="22"/>
          <w:lang w:eastAsia="es-MX"/>
        </w:rPr>
      </w:pPr>
    </w:p>
    <w:p w14:paraId="45DE0633" w14:textId="698A03BF" w:rsidR="005D18F1" w:rsidRPr="00654355" w:rsidRDefault="005D18F1" w:rsidP="00F72CA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ese orden de ideas, este Instituto no advierte la manera en que el m</w:t>
      </w:r>
      <w:r w:rsidRPr="005D18F1">
        <w:rPr>
          <w:rFonts w:ascii="Palatino Linotype" w:hAnsi="Palatino Linotype" w:cs="Tahoma"/>
          <w:sz w:val="22"/>
          <w:szCs w:val="22"/>
          <w:lang w:eastAsia="es-MX"/>
        </w:rPr>
        <w:t>onto bajo administración por interacciones</w:t>
      </w:r>
      <w:r w:rsidR="009C429F">
        <w:rPr>
          <w:rFonts w:ascii="Palatino Linotype" w:hAnsi="Palatino Linotype" w:cs="Tahoma"/>
          <w:sz w:val="22"/>
          <w:szCs w:val="22"/>
          <w:lang w:eastAsia="es-MX"/>
        </w:rPr>
        <w:t xml:space="preserve"> o el depositado en una institución de crédito</w:t>
      </w:r>
      <w:r w:rsidRPr="005D18F1">
        <w:rPr>
          <w:rFonts w:ascii="Palatino Linotype" w:hAnsi="Palatino Linotype" w:cs="Tahoma"/>
          <w:sz w:val="22"/>
          <w:szCs w:val="22"/>
          <w:lang w:eastAsia="es-MX"/>
        </w:rPr>
        <w:t>, a nombre del Sujeto Obligado</w:t>
      </w:r>
      <w:r>
        <w:rPr>
          <w:rFonts w:ascii="Palatino Linotype" w:hAnsi="Palatino Linotype" w:cs="Tahoma"/>
          <w:sz w:val="22"/>
          <w:szCs w:val="22"/>
          <w:lang w:eastAsia="es-MX"/>
        </w:rPr>
        <w:t>, sea confidencial, al ser Secreto Bancario, pues como se precisó</w:t>
      </w:r>
      <w:r w:rsidR="00F056DE">
        <w:rPr>
          <w:rFonts w:ascii="Palatino Linotype" w:hAnsi="Palatino Linotype" w:cs="Tahoma"/>
          <w:sz w:val="22"/>
          <w:szCs w:val="22"/>
          <w:lang w:eastAsia="es-MX"/>
        </w:rPr>
        <w:t>,</w:t>
      </w:r>
      <w:r>
        <w:rPr>
          <w:rFonts w:ascii="Palatino Linotype" w:hAnsi="Palatino Linotype" w:cs="Tahoma"/>
          <w:sz w:val="22"/>
          <w:szCs w:val="22"/>
          <w:lang w:eastAsia="es-MX"/>
        </w:rPr>
        <w:t xml:space="preserve"> si bien se conforma de l</w:t>
      </w:r>
      <w:r w:rsidR="00F056DE">
        <w:rPr>
          <w:rFonts w:ascii="Palatino Linotype" w:hAnsi="Palatino Linotype" w:cs="Tahoma"/>
          <w:sz w:val="22"/>
          <w:szCs w:val="22"/>
          <w:lang w:eastAsia="es-MX"/>
        </w:rPr>
        <w:t>os</w:t>
      </w:r>
      <w:r>
        <w:rPr>
          <w:rFonts w:ascii="Palatino Linotype" w:hAnsi="Palatino Linotype" w:cs="Tahoma"/>
          <w:sz w:val="22"/>
          <w:szCs w:val="22"/>
          <w:lang w:eastAsia="es-MX"/>
        </w:rPr>
        <w:t xml:space="preserve"> </w:t>
      </w:r>
      <w:r w:rsidR="00F056DE">
        <w:rPr>
          <w:rFonts w:ascii="Palatino Linotype" w:hAnsi="Palatino Linotype" w:cs="Tahoma"/>
          <w:sz w:val="22"/>
          <w:szCs w:val="22"/>
          <w:lang w:eastAsia="es-MX"/>
        </w:rPr>
        <w:t>datos concernie</w:t>
      </w:r>
      <w:r>
        <w:rPr>
          <w:rFonts w:ascii="Palatino Linotype" w:hAnsi="Palatino Linotype" w:cs="Tahoma"/>
          <w:sz w:val="22"/>
          <w:szCs w:val="22"/>
          <w:lang w:eastAsia="es-MX"/>
        </w:rPr>
        <w:t>n</w:t>
      </w:r>
      <w:r w:rsidR="00C67324">
        <w:rPr>
          <w:rFonts w:ascii="Palatino Linotype" w:hAnsi="Palatino Linotype" w:cs="Tahoma"/>
          <w:sz w:val="22"/>
          <w:szCs w:val="22"/>
          <w:lang w:eastAsia="es-MX"/>
        </w:rPr>
        <w:t>te</w:t>
      </w:r>
      <w:r w:rsidR="00F056DE">
        <w:rPr>
          <w:rFonts w:ascii="Palatino Linotype" w:hAnsi="Palatino Linotype" w:cs="Tahoma"/>
          <w:sz w:val="22"/>
          <w:szCs w:val="22"/>
          <w:lang w:eastAsia="es-MX"/>
        </w:rPr>
        <w:t>s</w:t>
      </w:r>
      <w:r w:rsidR="00C67324">
        <w:rPr>
          <w:rFonts w:ascii="Palatino Linotype" w:hAnsi="Palatino Linotype" w:cs="Tahoma"/>
          <w:sz w:val="22"/>
          <w:szCs w:val="22"/>
          <w:lang w:eastAsia="es-MX"/>
        </w:rPr>
        <w:t xml:space="preserve"> </w:t>
      </w:r>
      <w:r w:rsidR="00F056DE">
        <w:rPr>
          <w:rFonts w:ascii="Palatino Linotype" w:hAnsi="Palatino Linotype" w:cs="Tahoma"/>
          <w:sz w:val="22"/>
          <w:szCs w:val="22"/>
          <w:lang w:eastAsia="es-MX"/>
        </w:rPr>
        <w:t>a</w:t>
      </w:r>
      <w:r w:rsidR="00C67324">
        <w:rPr>
          <w:rFonts w:ascii="Palatino Linotype" w:hAnsi="Palatino Linotype" w:cs="Tahoma"/>
          <w:sz w:val="22"/>
          <w:szCs w:val="22"/>
          <w:lang w:eastAsia="es-MX"/>
        </w:rPr>
        <w:t xml:space="preserve"> operaciones credit</w:t>
      </w:r>
      <w:r w:rsidR="00F056DE">
        <w:rPr>
          <w:rFonts w:ascii="Palatino Linotype" w:hAnsi="Palatino Linotype" w:cs="Tahoma"/>
          <w:sz w:val="22"/>
          <w:szCs w:val="22"/>
          <w:lang w:eastAsia="es-MX"/>
        </w:rPr>
        <w:t>icias, e</w:t>
      </w:r>
      <w:r>
        <w:rPr>
          <w:rFonts w:ascii="Palatino Linotype" w:hAnsi="Palatino Linotype" w:cs="Tahoma"/>
          <w:sz w:val="22"/>
          <w:szCs w:val="22"/>
          <w:lang w:eastAsia="es-MX"/>
        </w:rPr>
        <w:t xml:space="preserve">stas no se identificarían en lo individual, tampoco ante que Institución se realizó </w:t>
      </w:r>
      <w:r w:rsidR="00C67324">
        <w:rPr>
          <w:rFonts w:ascii="Palatino Linotype" w:hAnsi="Palatino Linotype" w:cs="Tahoma"/>
          <w:sz w:val="22"/>
          <w:szCs w:val="22"/>
          <w:lang w:eastAsia="es-MX"/>
        </w:rPr>
        <w:t xml:space="preserve">o bien, a quien corresponde la titularidad de la información, esto es, a particulares, sujetos de derecho internacional o a sujetos obligados. Máxime, que como se precisó, dicho monto se trata de información genérica de las operaciones realizadas por el Instituto de Seguridad de Seguridad Social del Estado de México y Municipios.  </w:t>
      </w:r>
    </w:p>
    <w:p w14:paraId="71A0A8C4" w14:textId="77777777" w:rsidR="00F72CA9" w:rsidRDefault="00F72CA9" w:rsidP="00F72CA9">
      <w:pPr>
        <w:spacing w:line="360" w:lineRule="auto"/>
        <w:jc w:val="both"/>
        <w:rPr>
          <w:rFonts w:ascii="Palatino Linotype" w:hAnsi="Palatino Linotype" w:cs="Tahoma"/>
          <w:sz w:val="22"/>
          <w:szCs w:val="22"/>
          <w:lang w:eastAsia="es-MX"/>
        </w:rPr>
      </w:pPr>
    </w:p>
    <w:p w14:paraId="3B776A07" w14:textId="77777777" w:rsidR="00D132BD" w:rsidRPr="00D132BD" w:rsidRDefault="00C67324" w:rsidP="00D132BD">
      <w:pPr>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eastAsia="es-MX"/>
        </w:rPr>
        <w:t xml:space="preserve">Lo anterior, se robustece con el hecho </w:t>
      </w:r>
      <w:r w:rsidR="00D132BD" w:rsidRPr="003D5DCE">
        <w:rPr>
          <w:rFonts w:ascii="Palatino Linotype" w:eastAsia="Calibri" w:hAnsi="Palatino Linotype" w:cs="Tahoma"/>
          <w:bCs/>
          <w:sz w:val="22"/>
          <w:szCs w:val="22"/>
          <w:lang w:eastAsia="en-US"/>
        </w:rPr>
        <w:t xml:space="preserve">que si bien el Sujeto Obligado proporcionó el Acta de Comité donde se confirma la </w:t>
      </w:r>
      <w:r w:rsidR="00D132BD">
        <w:rPr>
          <w:rFonts w:ascii="Palatino Linotype" w:eastAsia="Calibri" w:hAnsi="Palatino Linotype" w:cs="Tahoma"/>
          <w:bCs/>
          <w:sz w:val="22"/>
          <w:szCs w:val="22"/>
          <w:lang w:eastAsia="en-US"/>
        </w:rPr>
        <w:t>clasificación</w:t>
      </w:r>
      <w:r w:rsidR="00D132BD" w:rsidRPr="003D5DCE">
        <w:rPr>
          <w:rFonts w:ascii="Palatino Linotype" w:eastAsia="Calibri" w:hAnsi="Palatino Linotype" w:cs="Tahoma"/>
          <w:bCs/>
          <w:sz w:val="22"/>
          <w:szCs w:val="22"/>
          <w:lang w:eastAsia="en-US"/>
        </w:rPr>
        <w:t xml:space="preserve"> en análisis, lo cierto es que está </w:t>
      </w:r>
      <w:r w:rsidR="00D132BD" w:rsidRPr="00D132BD">
        <w:rPr>
          <w:rFonts w:ascii="Palatino Linotype" w:eastAsia="Calibri" w:hAnsi="Palatino Linotype" w:cs="Tahoma"/>
          <w:b/>
          <w:bCs/>
          <w:sz w:val="22"/>
          <w:szCs w:val="22"/>
          <w:lang w:eastAsia="en-US"/>
        </w:rPr>
        <w:t>indebidamente fundamentada y motivada,</w:t>
      </w:r>
      <w:r w:rsidR="00D132BD">
        <w:rPr>
          <w:rFonts w:ascii="Palatino Linotype" w:eastAsia="Calibri" w:hAnsi="Palatino Linotype" w:cs="Tahoma"/>
          <w:bCs/>
          <w:sz w:val="22"/>
          <w:szCs w:val="22"/>
          <w:lang w:eastAsia="en-US"/>
        </w:rPr>
        <w:t xml:space="preserve"> pues no siguió lo establecido el </w:t>
      </w:r>
      <w:r w:rsidR="00D132BD" w:rsidRPr="00D132BD">
        <w:rPr>
          <w:rFonts w:ascii="Palatino Linotype" w:eastAsia="Calibri" w:hAnsi="Palatino Linotype" w:cs="Tahoma"/>
          <w:bCs/>
          <w:sz w:val="22"/>
          <w:szCs w:val="22"/>
          <w:lang w:eastAsia="en-US"/>
        </w:rPr>
        <w:t>Cuadragésimo segundo</w:t>
      </w:r>
      <w:r w:rsidR="00D132BD">
        <w:rPr>
          <w:rFonts w:ascii="Palatino Linotype" w:eastAsia="Calibri" w:hAnsi="Palatino Linotype" w:cs="Tahoma"/>
          <w:bCs/>
          <w:sz w:val="22"/>
          <w:szCs w:val="22"/>
          <w:lang w:eastAsia="en-US"/>
        </w:rPr>
        <w:t xml:space="preserve"> de los </w:t>
      </w:r>
      <w:r w:rsidR="00D132BD">
        <w:rPr>
          <w:rFonts w:ascii="Palatino Linotype" w:eastAsia="Calibri" w:hAnsi="Palatino Linotype" w:cs="Tahoma"/>
          <w:bCs/>
          <w:sz w:val="22"/>
          <w:szCs w:val="22"/>
          <w:lang w:eastAsia="en-US"/>
        </w:rPr>
        <w:lastRenderedPageBreak/>
        <w:t xml:space="preserve">Lineamientos Generales; además, que tampoco señaló los perjuicios que pudiera generar la entrega del monto requerido, pues únicamente precisó </w:t>
      </w:r>
      <w:r w:rsidR="00D132BD" w:rsidRPr="00D132BD">
        <w:rPr>
          <w:rFonts w:ascii="Palatino Linotype" w:eastAsia="Calibri" w:hAnsi="Palatino Linotype" w:cs="Tahoma"/>
          <w:bCs/>
          <w:i/>
          <w:sz w:val="22"/>
          <w:szCs w:val="22"/>
          <w:lang w:eastAsia="en-US"/>
        </w:rPr>
        <w:t>“</w:t>
      </w:r>
      <w:r w:rsidR="00D132BD" w:rsidRPr="00D132BD">
        <w:rPr>
          <w:rFonts w:ascii="Palatino Linotype" w:eastAsia="Calibri" w:hAnsi="Palatino Linotype" w:cs="Tahoma"/>
          <w:bCs/>
          <w:sz w:val="22"/>
          <w:szCs w:val="22"/>
          <w:lang w:eastAsia="en-US"/>
        </w:rPr>
        <w:t>.</w:t>
      </w:r>
      <w:r w:rsidR="00D132BD" w:rsidRPr="00D132BD">
        <w:rPr>
          <w:rFonts w:ascii="Palatino Linotype" w:eastAsia="Calibri" w:hAnsi="Palatino Linotype" w:cs="Tahoma"/>
          <w:bCs/>
          <w:i/>
          <w:sz w:val="22"/>
          <w:szCs w:val="22"/>
          <w:lang w:eastAsia="en-US"/>
        </w:rPr>
        <w:t>..se advierte que proporcionar el monto actual bajo administración por interacciones a nombre del ISSEMyM, vulnera el derecho a la privacidad e intimidad de los titulares de la información, por lo que este adquiere el carácter de información confidencial, ello en virtud de que la difusión de la información podría causar un daño.”</w:t>
      </w:r>
      <w:r w:rsidR="00D132BD">
        <w:rPr>
          <w:rFonts w:ascii="Palatino Linotype" w:eastAsia="Calibri" w:hAnsi="Palatino Linotype" w:cs="Tahoma"/>
          <w:bCs/>
          <w:sz w:val="22"/>
          <w:szCs w:val="22"/>
          <w:lang w:eastAsia="en-US"/>
        </w:rPr>
        <w:t xml:space="preserve">, sin precisar la manera en que entregar dicha información identificaría a los titulares de las operaciones, las instituciones crediticias, o bien, el tipo de transacciones que se hayan realizado. </w:t>
      </w:r>
    </w:p>
    <w:p w14:paraId="6F2B6E13" w14:textId="77777777" w:rsidR="00F72CA9" w:rsidRDefault="00F72CA9" w:rsidP="00F72CA9">
      <w:pPr>
        <w:spacing w:line="360" w:lineRule="auto"/>
        <w:jc w:val="both"/>
        <w:rPr>
          <w:rFonts w:ascii="Palatino Linotype" w:hAnsi="Palatino Linotype" w:cs="Tahoma"/>
          <w:sz w:val="22"/>
          <w:szCs w:val="22"/>
          <w:lang w:eastAsia="es-MX"/>
        </w:rPr>
      </w:pPr>
    </w:p>
    <w:p w14:paraId="702ABF71" w14:textId="77777777" w:rsidR="00D132BD" w:rsidRPr="00654355" w:rsidRDefault="00D132BD" w:rsidP="00F72CA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Por tales consideraciones, se estima que no se actualiza la causal de clasificación prevista en el artículo 143, fracción II, de la Ley de Transparencia y Acceso a la Información Pública del Estado de México y Municipios, es su carácter de Secreto Bancario.</w:t>
      </w:r>
    </w:p>
    <w:p w14:paraId="32FF4BA9" w14:textId="77777777" w:rsidR="00F72CA9" w:rsidRPr="00654355" w:rsidRDefault="00F72CA9" w:rsidP="00F72CA9">
      <w:pPr>
        <w:spacing w:line="360" w:lineRule="auto"/>
        <w:jc w:val="both"/>
        <w:rPr>
          <w:rFonts w:ascii="Palatino Linotype" w:hAnsi="Palatino Linotype" w:cs="Tahoma"/>
          <w:sz w:val="22"/>
          <w:szCs w:val="22"/>
          <w:lang w:eastAsia="es-MX"/>
        </w:rPr>
      </w:pPr>
    </w:p>
    <w:p w14:paraId="070664BF" w14:textId="77777777" w:rsidR="00F72CA9" w:rsidRPr="00DB724D" w:rsidRDefault="00DB724D" w:rsidP="00DB724D">
      <w:pPr>
        <w:pStyle w:val="Prrafodelista"/>
        <w:numPr>
          <w:ilvl w:val="0"/>
          <w:numId w:val="40"/>
        </w:numPr>
        <w:spacing w:line="360" w:lineRule="auto"/>
        <w:jc w:val="both"/>
        <w:rPr>
          <w:rFonts w:ascii="Palatino Linotype" w:hAnsi="Palatino Linotype" w:cs="Tahoma"/>
          <w:b/>
          <w:lang w:eastAsia="es-MX"/>
        </w:rPr>
      </w:pPr>
      <w:r w:rsidRPr="00DB724D">
        <w:rPr>
          <w:rFonts w:ascii="Palatino Linotype" w:hAnsi="Palatino Linotype" w:cs="Tahoma"/>
          <w:b/>
          <w:lang w:eastAsia="es-MX"/>
        </w:rPr>
        <w:t>Secreto bursátil</w:t>
      </w:r>
      <w:r>
        <w:rPr>
          <w:rFonts w:ascii="Palatino Linotype" w:hAnsi="Palatino Linotype" w:cs="Tahoma"/>
          <w:b/>
          <w:lang w:eastAsia="es-MX"/>
        </w:rPr>
        <w:t>:</w:t>
      </w:r>
    </w:p>
    <w:p w14:paraId="1B539867" w14:textId="77777777" w:rsidR="00DB724D" w:rsidRDefault="00DB724D" w:rsidP="00F72CA9">
      <w:pPr>
        <w:spacing w:line="360" w:lineRule="auto"/>
        <w:jc w:val="both"/>
        <w:rPr>
          <w:rFonts w:ascii="Palatino Linotype" w:hAnsi="Palatino Linotype" w:cs="Tahoma"/>
          <w:sz w:val="22"/>
          <w:szCs w:val="24"/>
          <w:lang w:eastAsia="es-MX"/>
        </w:rPr>
      </w:pPr>
    </w:p>
    <w:p w14:paraId="710A76EA" w14:textId="6BAEBBDD" w:rsidR="00F72CA9" w:rsidRDefault="00B91907"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C</w:t>
      </w:r>
      <w:r w:rsidR="00BB334B">
        <w:rPr>
          <w:rFonts w:ascii="Palatino Linotype" w:hAnsi="Palatino Linotype" w:cs="Tahoma"/>
          <w:sz w:val="22"/>
          <w:szCs w:val="24"/>
          <w:lang w:eastAsia="es-MX"/>
        </w:rPr>
        <w:t xml:space="preserve">abe recordar que para actualizar dicho secreto, es necesario que </w:t>
      </w:r>
      <w:r w:rsidR="00BB334B" w:rsidRPr="00BB334B">
        <w:rPr>
          <w:rFonts w:ascii="Palatino Linotype" w:hAnsi="Palatino Linotype" w:cs="Tahoma"/>
          <w:sz w:val="22"/>
          <w:szCs w:val="24"/>
          <w:lang w:eastAsia="es-MX"/>
        </w:rPr>
        <w:t>los sujetos obligados que realicen operaciones o presten servicios de conformidad con la Ley del Mercado de Valores</w:t>
      </w:r>
      <w:r w:rsidR="00BB334B">
        <w:rPr>
          <w:rFonts w:ascii="Palatino Linotype" w:hAnsi="Palatino Linotype" w:cs="Tahoma"/>
          <w:sz w:val="22"/>
          <w:szCs w:val="24"/>
          <w:lang w:eastAsia="es-MX"/>
        </w:rPr>
        <w:t xml:space="preserve">; en ese </w:t>
      </w:r>
      <w:r w:rsidR="00CA16B4">
        <w:rPr>
          <w:rFonts w:ascii="Palatino Linotype" w:hAnsi="Palatino Linotype" w:cs="Tahoma"/>
          <w:sz w:val="22"/>
          <w:szCs w:val="24"/>
          <w:lang w:eastAsia="es-MX"/>
        </w:rPr>
        <w:t>orden de ideas, el Sujeto Obligado precisó que el monto de las interacciones bajo la administración del Instituto de Seguridad Social del Estado de México y Municipios, se conformaba únicamente de las operaciones financieras establecidas en el artículo 46 de la Ley de Instituciones de Crédito.</w:t>
      </w:r>
    </w:p>
    <w:p w14:paraId="3980E47F" w14:textId="77777777" w:rsidR="00CA16B4" w:rsidRDefault="00CA16B4" w:rsidP="00F72CA9">
      <w:pPr>
        <w:spacing w:line="360" w:lineRule="auto"/>
        <w:jc w:val="both"/>
        <w:rPr>
          <w:rFonts w:ascii="Palatino Linotype" w:hAnsi="Palatino Linotype" w:cs="Tahoma"/>
          <w:sz w:val="22"/>
          <w:szCs w:val="24"/>
          <w:lang w:eastAsia="es-MX"/>
        </w:rPr>
      </w:pPr>
    </w:p>
    <w:p w14:paraId="20CAAEC9" w14:textId="77777777" w:rsidR="00CA16B4" w:rsidRDefault="00B6041B"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En ese orden de ideas</w:t>
      </w:r>
      <w:r w:rsidR="00CA16B4">
        <w:rPr>
          <w:rFonts w:ascii="Palatino Linotype" w:hAnsi="Palatino Linotype" w:cs="Tahoma"/>
          <w:sz w:val="22"/>
          <w:szCs w:val="24"/>
          <w:lang w:eastAsia="es-MX"/>
        </w:rPr>
        <w:t>, se colige que la información solicitada no es susceptible a ser clasificada en su calidad de co</w:t>
      </w:r>
      <w:r>
        <w:rPr>
          <w:rFonts w:ascii="Palatino Linotype" w:hAnsi="Palatino Linotype" w:cs="Tahoma"/>
          <w:sz w:val="22"/>
          <w:szCs w:val="24"/>
          <w:lang w:eastAsia="es-MX"/>
        </w:rPr>
        <w:t xml:space="preserve">nfidencial, pues no se actualizan ninguno de los requisitos establecidos en los Lineamientos Generales, dado que la información no </w:t>
      </w:r>
      <w:r w:rsidR="00670C5D">
        <w:rPr>
          <w:rFonts w:ascii="Palatino Linotype" w:hAnsi="Palatino Linotype" w:cs="Tahoma"/>
          <w:sz w:val="22"/>
          <w:szCs w:val="24"/>
          <w:lang w:eastAsia="es-MX"/>
        </w:rPr>
        <w:t>corresponde a operaciones o servicios establecidos en la Ley del Mer</w:t>
      </w:r>
      <w:r>
        <w:rPr>
          <w:rFonts w:ascii="Palatino Linotype" w:hAnsi="Palatino Linotype" w:cs="Tahoma"/>
          <w:sz w:val="22"/>
          <w:szCs w:val="24"/>
          <w:lang w:eastAsia="es-MX"/>
        </w:rPr>
        <w:t>cado de Valores.</w:t>
      </w:r>
    </w:p>
    <w:p w14:paraId="1AA015E9" w14:textId="77777777" w:rsidR="00F72CA9" w:rsidRDefault="00F72CA9" w:rsidP="00F72CA9">
      <w:pPr>
        <w:spacing w:line="360" w:lineRule="auto"/>
        <w:jc w:val="both"/>
        <w:rPr>
          <w:rFonts w:ascii="Palatino Linotype" w:hAnsi="Palatino Linotype" w:cs="Tahoma"/>
          <w:sz w:val="22"/>
          <w:szCs w:val="24"/>
          <w:lang w:eastAsia="es-MX"/>
        </w:rPr>
      </w:pPr>
    </w:p>
    <w:p w14:paraId="0A754AAA" w14:textId="77777777" w:rsidR="00B6041B" w:rsidRDefault="00B6041B"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Dicha situación, toma sustento con el hecho de que en la Resolución emitida por el Comité de Transparencia, no se establecieron las cusas, fundamentos y razones por las cuales, se consideraba que el monto de las interacciones, actualizaban el Secreto Bursátil, en términos del Cuadragésimo sexto de los Lineamientos Generales y el artículo 168 de la Ley de Transparencia y Acceso a la Información Pública del Estado de México y Municipios.</w:t>
      </w:r>
    </w:p>
    <w:p w14:paraId="50BE0604" w14:textId="77777777" w:rsidR="00316914" w:rsidRDefault="00316914" w:rsidP="00F72CA9">
      <w:pPr>
        <w:spacing w:line="360" w:lineRule="auto"/>
        <w:jc w:val="both"/>
        <w:rPr>
          <w:rFonts w:ascii="Palatino Linotype" w:hAnsi="Palatino Linotype" w:cs="Tahoma"/>
          <w:sz w:val="22"/>
          <w:szCs w:val="24"/>
          <w:lang w:eastAsia="es-MX"/>
        </w:rPr>
      </w:pPr>
    </w:p>
    <w:p w14:paraId="24F9B261" w14:textId="77777777" w:rsidR="00316914" w:rsidRDefault="00316914"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Así, se concluye que no resulta procedente la causal de clasificación establecida en la fracción II, del artículo 143 de la Ley de la materia, en su carácter de secreto bursátil.</w:t>
      </w:r>
    </w:p>
    <w:p w14:paraId="1A3CEE6F" w14:textId="77777777" w:rsidR="00316914" w:rsidRDefault="00316914" w:rsidP="00F72CA9">
      <w:pPr>
        <w:spacing w:line="360" w:lineRule="auto"/>
        <w:jc w:val="both"/>
        <w:rPr>
          <w:rFonts w:ascii="Palatino Linotype" w:hAnsi="Palatino Linotype" w:cs="Tahoma"/>
          <w:sz w:val="22"/>
          <w:szCs w:val="24"/>
          <w:lang w:eastAsia="es-MX"/>
        </w:rPr>
      </w:pPr>
    </w:p>
    <w:p w14:paraId="2E93DED5" w14:textId="77777777" w:rsidR="00316914" w:rsidRPr="00316914" w:rsidRDefault="00316914"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En ese contexto y toda vez que no procedió ninguna de las causales de clasificación señaladas por el Sujeto Obligado, se desprende que el agravio hecho valer por el Particular es </w:t>
      </w:r>
      <w:r>
        <w:rPr>
          <w:rFonts w:ascii="Palatino Linotype" w:hAnsi="Palatino Linotype" w:cs="Tahoma"/>
          <w:b/>
          <w:sz w:val="22"/>
          <w:szCs w:val="24"/>
          <w:lang w:eastAsia="es-MX"/>
        </w:rPr>
        <w:t xml:space="preserve">FUNDADO, </w:t>
      </w:r>
      <w:r>
        <w:rPr>
          <w:rFonts w:ascii="Palatino Linotype" w:hAnsi="Palatino Linotype" w:cs="Tahoma"/>
          <w:sz w:val="22"/>
          <w:szCs w:val="24"/>
          <w:lang w:eastAsia="es-MX"/>
        </w:rPr>
        <w:t xml:space="preserve">por lo que, en primera instancia resulta procedente ordenar al Instituto de Seguridad Social del Estado de México a que entregue el </w:t>
      </w:r>
      <w:r w:rsidR="00F67722">
        <w:rPr>
          <w:rFonts w:ascii="Palatino Linotype" w:hAnsi="Palatino Linotype" w:cs="Tahoma"/>
          <w:sz w:val="22"/>
          <w:szCs w:val="24"/>
          <w:lang w:eastAsia="es-MX"/>
        </w:rPr>
        <w:t>m</w:t>
      </w:r>
      <w:r w:rsidRPr="00316914">
        <w:rPr>
          <w:rFonts w:ascii="Palatino Linotype" w:hAnsi="Palatino Linotype" w:cs="Tahoma"/>
          <w:sz w:val="22"/>
          <w:szCs w:val="24"/>
          <w:lang w:eastAsia="es-MX"/>
        </w:rPr>
        <w:t>onto</w:t>
      </w:r>
      <w:r>
        <w:rPr>
          <w:rFonts w:ascii="Palatino Linotype" w:hAnsi="Palatino Linotype" w:cs="Tahoma"/>
          <w:sz w:val="22"/>
          <w:szCs w:val="24"/>
          <w:lang w:eastAsia="es-MX"/>
        </w:rPr>
        <w:t xml:space="preserve">, a la fecha de la solicitud (veintitrés de </w:t>
      </w:r>
      <w:r w:rsidR="00F67722">
        <w:rPr>
          <w:rFonts w:ascii="Palatino Linotype" w:hAnsi="Palatino Linotype" w:cs="Tahoma"/>
          <w:sz w:val="22"/>
          <w:szCs w:val="24"/>
          <w:lang w:eastAsia="es-MX"/>
        </w:rPr>
        <w:t>octubre</w:t>
      </w:r>
      <w:r>
        <w:rPr>
          <w:rFonts w:ascii="Palatino Linotype" w:hAnsi="Palatino Linotype" w:cs="Tahoma"/>
          <w:sz w:val="22"/>
          <w:szCs w:val="24"/>
          <w:lang w:eastAsia="es-MX"/>
        </w:rPr>
        <w:t xml:space="preserve"> de dos mil dieciocho)</w:t>
      </w:r>
      <w:r w:rsidRPr="00316914">
        <w:rPr>
          <w:rFonts w:ascii="Palatino Linotype" w:hAnsi="Palatino Linotype" w:cs="Tahoma"/>
          <w:sz w:val="22"/>
          <w:szCs w:val="24"/>
          <w:lang w:eastAsia="es-MX"/>
        </w:rPr>
        <w:t xml:space="preserve"> bajo </w:t>
      </w:r>
      <w:r>
        <w:rPr>
          <w:rFonts w:ascii="Palatino Linotype" w:hAnsi="Palatino Linotype" w:cs="Tahoma"/>
          <w:sz w:val="22"/>
          <w:szCs w:val="24"/>
          <w:lang w:eastAsia="es-MX"/>
        </w:rPr>
        <w:t xml:space="preserve">su </w:t>
      </w:r>
      <w:r w:rsidRPr="00316914">
        <w:rPr>
          <w:rFonts w:ascii="Palatino Linotype" w:hAnsi="Palatino Linotype" w:cs="Tahoma"/>
          <w:sz w:val="22"/>
          <w:szCs w:val="24"/>
          <w:lang w:eastAsia="es-MX"/>
        </w:rPr>
        <w:t>administración por interacciones</w:t>
      </w:r>
      <w:r>
        <w:rPr>
          <w:rFonts w:ascii="Palatino Linotype" w:hAnsi="Palatino Linotype" w:cs="Tahoma"/>
          <w:sz w:val="22"/>
          <w:szCs w:val="24"/>
          <w:lang w:eastAsia="es-MX"/>
        </w:rPr>
        <w:t>.</w:t>
      </w:r>
    </w:p>
    <w:p w14:paraId="79D8684B" w14:textId="77777777" w:rsidR="00316914" w:rsidRDefault="00316914" w:rsidP="00F72CA9">
      <w:pPr>
        <w:spacing w:line="360" w:lineRule="auto"/>
        <w:jc w:val="both"/>
        <w:rPr>
          <w:rFonts w:ascii="Palatino Linotype" w:hAnsi="Palatino Linotype" w:cs="Tahoma"/>
          <w:sz w:val="22"/>
          <w:szCs w:val="24"/>
          <w:lang w:eastAsia="es-MX"/>
        </w:rPr>
      </w:pPr>
    </w:p>
    <w:p w14:paraId="7E25FA0E" w14:textId="77777777" w:rsidR="00316914" w:rsidRDefault="00316914"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Sin menoscabar lo anterior, debe traerse a colación el desahogo de</w:t>
      </w:r>
      <w:r w:rsidR="00FE1A63">
        <w:rPr>
          <w:rFonts w:ascii="Palatino Linotype" w:hAnsi="Palatino Linotype" w:cs="Tahoma"/>
          <w:sz w:val="22"/>
          <w:szCs w:val="24"/>
          <w:lang w:eastAsia="es-MX"/>
        </w:rPr>
        <w:t>l</w:t>
      </w:r>
      <w:r>
        <w:rPr>
          <w:rFonts w:ascii="Palatino Linotype" w:hAnsi="Palatino Linotype" w:cs="Tahoma"/>
          <w:sz w:val="22"/>
          <w:szCs w:val="24"/>
          <w:lang w:eastAsia="es-MX"/>
        </w:rPr>
        <w:t xml:space="preserve"> requerimiento de información adicional, en el cual el Ente Recurrido indicó que a la fecha de dicha actuación, esto es, del veinticinco de enero de dos mil diecinueve, no se realizaban operaciones financieras con interacciones</w:t>
      </w:r>
      <w:r w:rsidR="00FE1A63">
        <w:rPr>
          <w:rFonts w:ascii="Palatino Linotype" w:hAnsi="Palatino Linotype" w:cs="Tahoma"/>
          <w:sz w:val="22"/>
          <w:szCs w:val="24"/>
          <w:lang w:eastAsia="es-MX"/>
        </w:rPr>
        <w:t>, además, que no contaba con un monto registrado; por lo que, hizo alusión a que la información era inexistente.</w:t>
      </w:r>
    </w:p>
    <w:p w14:paraId="11F6F22F" w14:textId="77777777" w:rsidR="00FE1A63" w:rsidRDefault="00FE1A63" w:rsidP="00F72CA9">
      <w:pPr>
        <w:spacing w:line="360" w:lineRule="auto"/>
        <w:jc w:val="both"/>
        <w:rPr>
          <w:rFonts w:ascii="Palatino Linotype" w:hAnsi="Palatino Linotype" w:cs="Tahoma"/>
          <w:sz w:val="22"/>
          <w:szCs w:val="24"/>
          <w:lang w:eastAsia="es-MX"/>
        </w:rPr>
      </w:pPr>
    </w:p>
    <w:p w14:paraId="49B5BBBB" w14:textId="77777777" w:rsidR="00FE1A63" w:rsidRDefault="00FE1A63"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En ese contexto, cabe traer a colación, por analogía, el Criterio 29/10 del Pleno del entonces I</w:t>
      </w:r>
      <w:r w:rsidRPr="00FE1A63">
        <w:rPr>
          <w:rFonts w:ascii="Palatino Linotype" w:hAnsi="Palatino Linotype" w:cs="Tahoma"/>
          <w:sz w:val="22"/>
          <w:szCs w:val="24"/>
          <w:lang w:eastAsia="es-MX"/>
        </w:rPr>
        <w:t>nstituto Federal de Acceso a la Información y Protección de Datos</w:t>
      </w:r>
      <w:r>
        <w:rPr>
          <w:rFonts w:ascii="Palatino Linotype" w:hAnsi="Palatino Linotype" w:cs="Tahoma"/>
          <w:sz w:val="22"/>
          <w:szCs w:val="24"/>
          <w:lang w:eastAsia="es-MX"/>
        </w:rPr>
        <w:t>, que establece lo siguiente:</w:t>
      </w:r>
    </w:p>
    <w:p w14:paraId="5BEFD9C9" w14:textId="77777777" w:rsidR="00FE1A63" w:rsidRDefault="00FE1A63" w:rsidP="00F72CA9">
      <w:pPr>
        <w:spacing w:line="360" w:lineRule="auto"/>
        <w:jc w:val="both"/>
        <w:rPr>
          <w:rFonts w:ascii="Palatino Linotype" w:hAnsi="Palatino Linotype" w:cs="Tahoma"/>
          <w:sz w:val="22"/>
          <w:szCs w:val="24"/>
          <w:lang w:eastAsia="es-MX"/>
        </w:rPr>
      </w:pPr>
    </w:p>
    <w:p w14:paraId="1B82E098" w14:textId="77777777" w:rsidR="00FE1A63" w:rsidRPr="00FE1A63" w:rsidRDefault="00FE1A63" w:rsidP="00FE1A63">
      <w:pPr>
        <w:spacing w:line="360" w:lineRule="auto"/>
        <w:ind w:left="567" w:right="567"/>
        <w:jc w:val="both"/>
        <w:rPr>
          <w:rFonts w:ascii="Palatino Linotype" w:hAnsi="Palatino Linotype" w:cs="Tahoma"/>
          <w:lang w:eastAsia="es-MX"/>
        </w:rPr>
      </w:pPr>
      <w:r w:rsidRPr="00FE1A63">
        <w:rPr>
          <w:rFonts w:ascii="Palatino Linotype" w:hAnsi="Palatino Linotype" w:cs="Tahoma"/>
          <w:b/>
          <w:lang w:eastAsia="es-MX"/>
        </w:rPr>
        <w:lastRenderedPageBreak/>
        <w:t xml:space="preserve">“La clasificación y la inexistencia de información son conceptos que no pueden coexistir. </w:t>
      </w:r>
      <w:r w:rsidRPr="00FE1A63">
        <w:rPr>
          <w:rFonts w:ascii="Palatino Linotype" w:hAnsi="Palatino Linotype" w:cs="Tahoma"/>
          <w:lang w:eastAsia="es-MX"/>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06EEE244" w14:textId="77777777" w:rsidR="00B6041B" w:rsidRDefault="00B6041B" w:rsidP="00F72CA9">
      <w:pPr>
        <w:spacing w:line="360" w:lineRule="auto"/>
        <w:jc w:val="both"/>
        <w:rPr>
          <w:rFonts w:ascii="Palatino Linotype" w:hAnsi="Palatino Linotype" w:cs="Tahoma"/>
          <w:sz w:val="22"/>
          <w:szCs w:val="24"/>
          <w:lang w:eastAsia="es-MX"/>
        </w:rPr>
      </w:pPr>
    </w:p>
    <w:p w14:paraId="156B0347" w14:textId="77777777" w:rsidR="00587DF8" w:rsidRDefault="00FE1A63"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Del citado criterio se desprende que la </w:t>
      </w:r>
      <w:r w:rsidRPr="00FE1A63">
        <w:rPr>
          <w:rFonts w:ascii="Palatino Linotype" w:hAnsi="Palatino Linotype" w:cs="Tahoma"/>
          <w:b/>
          <w:sz w:val="22"/>
          <w:szCs w:val="24"/>
          <w:lang w:eastAsia="es-MX"/>
        </w:rPr>
        <w:t>inexistencia</w:t>
      </w:r>
      <w:r>
        <w:rPr>
          <w:rFonts w:ascii="Palatino Linotype" w:hAnsi="Palatino Linotype" w:cs="Tahoma"/>
          <w:sz w:val="22"/>
          <w:szCs w:val="24"/>
          <w:lang w:eastAsia="es-MX"/>
        </w:rPr>
        <w:t xml:space="preserve"> implica que la información no se encuentra en los archivos de los sujetos obligados; mientras que la </w:t>
      </w:r>
      <w:r>
        <w:rPr>
          <w:rFonts w:ascii="Palatino Linotype" w:hAnsi="Palatino Linotype" w:cs="Tahoma"/>
          <w:b/>
          <w:sz w:val="22"/>
          <w:szCs w:val="24"/>
          <w:lang w:eastAsia="es-MX"/>
        </w:rPr>
        <w:t xml:space="preserve">clasificación </w:t>
      </w:r>
      <w:r>
        <w:rPr>
          <w:rFonts w:ascii="Palatino Linotype" w:hAnsi="Palatino Linotype" w:cs="Tahoma"/>
          <w:sz w:val="22"/>
          <w:szCs w:val="24"/>
          <w:lang w:eastAsia="es-MX"/>
        </w:rPr>
        <w:t>es una característica</w:t>
      </w:r>
      <w:r w:rsidR="00587DF8">
        <w:rPr>
          <w:rFonts w:ascii="Palatino Linotype" w:hAnsi="Palatino Linotype" w:cs="Tahoma"/>
          <w:sz w:val="22"/>
          <w:szCs w:val="24"/>
          <w:lang w:eastAsia="es-MX"/>
        </w:rPr>
        <w:t xml:space="preserve"> que adquiere la información contenida en un documento específico, en la calidad de confidencial o reservada, en términos del artículo 140 y 143 de la Ley de la materia. Por lo tanto, dichos supuestos no coexisten entre sí, dado que la clasificación implica la existencia de la documentación en los archivos del Sujeto Obligado.</w:t>
      </w:r>
    </w:p>
    <w:p w14:paraId="45697397" w14:textId="77777777" w:rsidR="00587DF8" w:rsidRDefault="00587DF8" w:rsidP="00F72CA9">
      <w:pPr>
        <w:spacing w:line="360" w:lineRule="auto"/>
        <w:jc w:val="both"/>
        <w:rPr>
          <w:rFonts w:ascii="Palatino Linotype" w:hAnsi="Palatino Linotype" w:cs="Tahoma"/>
          <w:sz w:val="22"/>
          <w:szCs w:val="24"/>
          <w:lang w:eastAsia="es-MX"/>
        </w:rPr>
      </w:pPr>
    </w:p>
    <w:p w14:paraId="7984358E" w14:textId="77777777" w:rsidR="00B6041B" w:rsidRDefault="00587DF8"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En ese sentido, en el presente caso, </w:t>
      </w:r>
      <w:r w:rsidRPr="00587DF8">
        <w:rPr>
          <w:rFonts w:ascii="Palatino Linotype" w:hAnsi="Palatino Linotype" w:cs="Tahoma"/>
          <w:b/>
          <w:sz w:val="22"/>
          <w:szCs w:val="24"/>
          <w:lang w:eastAsia="es-MX"/>
        </w:rPr>
        <w:t>existen dos supuestos</w:t>
      </w:r>
      <w:r>
        <w:rPr>
          <w:rFonts w:ascii="Palatino Linotype" w:hAnsi="Palatino Linotype" w:cs="Tahoma"/>
          <w:sz w:val="22"/>
          <w:szCs w:val="24"/>
          <w:lang w:eastAsia="es-MX"/>
        </w:rPr>
        <w:t xml:space="preserve"> establecidos por el Instituto de Seguridad Social del Estado de México y Municipios, </w:t>
      </w:r>
      <w:r w:rsidRPr="00587DF8">
        <w:rPr>
          <w:rFonts w:ascii="Palatino Linotype" w:hAnsi="Palatino Linotype" w:cs="Tahoma"/>
          <w:b/>
          <w:sz w:val="22"/>
          <w:szCs w:val="24"/>
          <w:lang w:eastAsia="es-MX"/>
        </w:rPr>
        <w:t>el primero</w:t>
      </w:r>
      <w:r>
        <w:rPr>
          <w:rFonts w:ascii="Palatino Linotype" w:hAnsi="Palatino Linotype" w:cs="Tahoma"/>
          <w:sz w:val="22"/>
          <w:szCs w:val="24"/>
          <w:lang w:eastAsia="es-MX"/>
        </w:rPr>
        <w:t xml:space="preserve">, indicado en respuesta, correspondiente a que se encontraba clasificada la información solicitada </w:t>
      </w:r>
      <w:r w:rsidRPr="00587DF8">
        <w:rPr>
          <w:rFonts w:ascii="Palatino Linotype" w:hAnsi="Palatino Linotype" w:cs="Tahoma"/>
          <w:b/>
          <w:sz w:val="22"/>
          <w:szCs w:val="24"/>
          <w:lang w:eastAsia="es-MX"/>
        </w:rPr>
        <w:t>y el segundo</w:t>
      </w:r>
      <w:r>
        <w:rPr>
          <w:rFonts w:ascii="Palatino Linotype" w:hAnsi="Palatino Linotype" w:cs="Tahoma"/>
          <w:sz w:val="22"/>
          <w:szCs w:val="24"/>
          <w:lang w:eastAsia="es-MX"/>
        </w:rPr>
        <w:t xml:space="preserve">, precisado en el desahogo requerimiento de información adicional, concerniente a que era </w:t>
      </w:r>
      <w:r>
        <w:rPr>
          <w:rFonts w:ascii="Palatino Linotype" w:hAnsi="Palatino Linotype" w:cs="Tahoma"/>
          <w:sz w:val="22"/>
          <w:szCs w:val="24"/>
          <w:lang w:eastAsia="es-MX"/>
        </w:rPr>
        <w:lastRenderedPageBreak/>
        <w:t>inexistente el monto requerido, pues no realizaba operaciones financieras con interacciones; por tales circunstancias, no se tiene certeza de la existencia de la información solicitada.</w:t>
      </w:r>
    </w:p>
    <w:p w14:paraId="60077049" w14:textId="77777777" w:rsidR="00587DF8" w:rsidRDefault="00587DF8" w:rsidP="00F72CA9">
      <w:pPr>
        <w:spacing w:line="360" w:lineRule="auto"/>
        <w:jc w:val="both"/>
        <w:rPr>
          <w:rFonts w:ascii="Palatino Linotype" w:hAnsi="Palatino Linotype" w:cs="Tahoma"/>
          <w:sz w:val="22"/>
          <w:szCs w:val="24"/>
          <w:lang w:eastAsia="es-MX"/>
        </w:rPr>
      </w:pPr>
    </w:p>
    <w:p w14:paraId="186B8959" w14:textId="28740BBC" w:rsidR="00FE1A63" w:rsidRDefault="0046536E"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Así, se considera que el Sujeto Obligado para dar atención a la solicitud de información,</w:t>
      </w:r>
      <w:r w:rsidRPr="009049B2">
        <w:rPr>
          <w:rFonts w:ascii="Palatino Linotype" w:eastAsia="Calibri" w:hAnsi="Palatino Linotype" w:cs="Tahoma"/>
          <w:bCs/>
          <w:sz w:val="22"/>
          <w:szCs w:val="24"/>
          <w:lang w:eastAsia="en-US"/>
        </w:rPr>
        <w:t xml:space="preserve"> debe realizar una búsqueda exhaustiva y razonable de la información solicitada por </w:t>
      </w:r>
      <w:r w:rsidR="001C2EB6">
        <w:rPr>
          <w:rFonts w:ascii="Palatino Linotype" w:eastAsia="Calibri" w:hAnsi="Palatino Linotype" w:cs="Tahoma"/>
          <w:bCs/>
          <w:sz w:val="22"/>
          <w:szCs w:val="24"/>
          <w:lang w:eastAsia="en-US"/>
        </w:rPr>
        <w:t>el</w:t>
      </w:r>
      <w:r>
        <w:rPr>
          <w:rFonts w:ascii="Palatino Linotype" w:eastAsia="Calibri" w:hAnsi="Palatino Linotype" w:cs="Tahoma"/>
          <w:bCs/>
          <w:sz w:val="22"/>
          <w:szCs w:val="24"/>
          <w:lang w:eastAsia="en-US"/>
        </w:rPr>
        <w:t xml:space="preserve"> ahora Recurrente</w:t>
      </w:r>
      <w:r w:rsidRPr="009049B2">
        <w:rPr>
          <w:rFonts w:ascii="Palatino Linotype" w:eastAsia="Calibri" w:hAnsi="Palatino Linotype" w:cs="Tahoma"/>
          <w:bCs/>
          <w:sz w:val="22"/>
          <w:szCs w:val="24"/>
          <w:lang w:eastAsia="en-US"/>
        </w:rPr>
        <w:t>, de conformidad con el artículo 162 de dicho ordenamiento jurídico</w:t>
      </w:r>
      <w:r>
        <w:rPr>
          <w:rFonts w:ascii="Palatino Linotype" w:eastAsia="Calibri" w:hAnsi="Palatino Linotype" w:cs="Tahoma"/>
          <w:bCs/>
          <w:sz w:val="22"/>
          <w:szCs w:val="24"/>
          <w:lang w:eastAsia="en-US"/>
        </w:rPr>
        <w:t xml:space="preserve">, en todas las áreas competentes, entre las cuales no podrá omitir a la </w:t>
      </w:r>
      <w:r w:rsidRPr="00F67722">
        <w:rPr>
          <w:rFonts w:ascii="Palatino Linotype" w:eastAsia="Calibri" w:hAnsi="Palatino Linotype" w:cs="Tahoma"/>
          <w:b/>
          <w:bCs/>
          <w:sz w:val="22"/>
          <w:szCs w:val="24"/>
          <w:lang w:eastAsia="en-US"/>
        </w:rPr>
        <w:t>Coordinación de Finanzas</w:t>
      </w:r>
      <w:r>
        <w:rPr>
          <w:rFonts w:ascii="Palatino Linotype" w:eastAsia="Calibri" w:hAnsi="Palatino Linotype" w:cs="Tahoma"/>
          <w:bCs/>
          <w:sz w:val="22"/>
          <w:szCs w:val="24"/>
          <w:lang w:eastAsia="en-US"/>
        </w:rPr>
        <w:t>, al ser la encargada de planear, organizar, integrar, controlar y evaluar los ingresos y egresos de los fondos y valores</w:t>
      </w:r>
      <w:r w:rsidR="00F67722">
        <w:rPr>
          <w:rFonts w:ascii="Palatino Linotype" w:eastAsia="Calibri" w:hAnsi="Palatino Linotype" w:cs="Tahoma"/>
          <w:bCs/>
          <w:sz w:val="22"/>
          <w:szCs w:val="24"/>
          <w:lang w:eastAsia="en-US"/>
        </w:rPr>
        <w:t>, y de</w:t>
      </w:r>
      <w:r>
        <w:rPr>
          <w:rFonts w:ascii="Palatino Linotype" w:eastAsia="Calibri" w:hAnsi="Palatino Linotype" w:cs="Tahoma"/>
          <w:bCs/>
          <w:sz w:val="22"/>
          <w:szCs w:val="24"/>
          <w:lang w:eastAsia="en-US"/>
        </w:rPr>
        <w:t xml:space="preserve"> admin</w:t>
      </w:r>
      <w:r w:rsidR="00F67722">
        <w:rPr>
          <w:rFonts w:ascii="Palatino Linotype" w:eastAsia="Calibri" w:hAnsi="Palatino Linotype" w:cs="Tahoma"/>
          <w:bCs/>
          <w:sz w:val="22"/>
          <w:szCs w:val="24"/>
          <w:lang w:eastAsia="en-US"/>
        </w:rPr>
        <w:t xml:space="preserve">istrar los recursos financieros, en términos del artículo 18, fracciones I y II, del </w:t>
      </w:r>
      <w:r w:rsidR="00F67722" w:rsidRPr="004059FB">
        <w:rPr>
          <w:rFonts w:ascii="Palatino Linotype" w:eastAsia="Calibri" w:hAnsi="Palatino Linotype" w:cs="Tahoma"/>
          <w:bCs/>
          <w:sz w:val="22"/>
          <w:szCs w:val="22"/>
          <w:lang w:eastAsia="en-US"/>
        </w:rPr>
        <w:t>Reglamento Interior del Instituto de Seguridad Social del Estado de México y Municipios,</w:t>
      </w:r>
      <w:r w:rsidR="00F67722">
        <w:rPr>
          <w:rFonts w:ascii="Palatino Linotype" w:eastAsia="Calibri" w:hAnsi="Palatino Linotype" w:cs="Tahoma"/>
          <w:bCs/>
          <w:sz w:val="22"/>
          <w:szCs w:val="22"/>
          <w:lang w:eastAsia="en-US"/>
        </w:rPr>
        <w:t xml:space="preserve"> con el fin de proporcionar el documento donde conste el monto, al </w:t>
      </w:r>
      <w:r w:rsidR="00F67722">
        <w:rPr>
          <w:rFonts w:ascii="Palatino Linotype" w:hAnsi="Palatino Linotype" w:cs="Tahoma"/>
          <w:sz w:val="22"/>
          <w:szCs w:val="24"/>
          <w:lang w:eastAsia="es-MX"/>
        </w:rPr>
        <w:t xml:space="preserve">veintitrés de octubre de dos mil dieciocho, </w:t>
      </w:r>
      <w:r w:rsidR="00F67722" w:rsidRPr="00316914">
        <w:rPr>
          <w:rFonts w:ascii="Palatino Linotype" w:hAnsi="Palatino Linotype" w:cs="Tahoma"/>
          <w:sz w:val="22"/>
          <w:szCs w:val="24"/>
          <w:lang w:eastAsia="es-MX"/>
        </w:rPr>
        <w:t xml:space="preserve">bajo </w:t>
      </w:r>
      <w:r w:rsidR="00F67722">
        <w:rPr>
          <w:rFonts w:ascii="Palatino Linotype" w:hAnsi="Palatino Linotype" w:cs="Tahoma"/>
          <w:sz w:val="22"/>
          <w:szCs w:val="24"/>
          <w:lang w:eastAsia="es-MX"/>
        </w:rPr>
        <w:t xml:space="preserve">su </w:t>
      </w:r>
      <w:r w:rsidR="00F67722" w:rsidRPr="00316914">
        <w:rPr>
          <w:rFonts w:ascii="Palatino Linotype" w:hAnsi="Palatino Linotype" w:cs="Tahoma"/>
          <w:sz w:val="22"/>
          <w:szCs w:val="24"/>
          <w:lang w:eastAsia="es-MX"/>
        </w:rPr>
        <w:t>administración por interacciones</w:t>
      </w:r>
      <w:r w:rsidR="00F67722">
        <w:rPr>
          <w:rFonts w:ascii="Palatino Linotype" w:hAnsi="Palatino Linotype" w:cs="Tahoma"/>
          <w:sz w:val="22"/>
          <w:szCs w:val="24"/>
          <w:lang w:eastAsia="es-MX"/>
        </w:rPr>
        <w:t>.</w:t>
      </w:r>
    </w:p>
    <w:p w14:paraId="7080D33A" w14:textId="77777777" w:rsidR="00F67722" w:rsidRDefault="00F67722" w:rsidP="00F72CA9">
      <w:pPr>
        <w:spacing w:line="360" w:lineRule="auto"/>
        <w:jc w:val="both"/>
        <w:rPr>
          <w:rFonts w:ascii="Palatino Linotype" w:hAnsi="Palatino Linotype" w:cs="Tahoma"/>
          <w:sz w:val="22"/>
          <w:szCs w:val="24"/>
          <w:lang w:eastAsia="es-MX"/>
        </w:rPr>
      </w:pPr>
    </w:p>
    <w:p w14:paraId="1934453E" w14:textId="77777777" w:rsidR="00F67722" w:rsidRDefault="009A1B9C" w:rsidP="00F67722">
      <w:pPr>
        <w:spacing w:line="360" w:lineRule="auto"/>
        <w:ind w:right="-93"/>
        <w:jc w:val="both"/>
        <w:rPr>
          <w:rFonts w:ascii="Palatino Linotype" w:hAnsi="Palatino Linotype" w:cs="Tahoma"/>
          <w:sz w:val="22"/>
          <w:lang w:val="es-ES"/>
        </w:rPr>
      </w:pPr>
      <w:r>
        <w:rPr>
          <w:rFonts w:ascii="Palatino Linotype" w:hAnsi="Palatino Linotype" w:cs="Tahoma"/>
          <w:sz w:val="22"/>
          <w:lang w:val="es-ES"/>
        </w:rPr>
        <w:t xml:space="preserve">En el </w:t>
      </w:r>
      <w:r w:rsidR="001C2EB6">
        <w:rPr>
          <w:rFonts w:ascii="Palatino Linotype" w:hAnsi="Palatino Linotype" w:cs="Tahoma"/>
          <w:sz w:val="22"/>
          <w:lang w:val="es-ES"/>
        </w:rPr>
        <w:t>supuesto</w:t>
      </w:r>
      <w:r>
        <w:rPr>
          <w:rFonts w:ascii="Palatino Linotype" w:hAnsi="Palatino Linotype" w:cs="Tahoma"/>
          <w:sz w:val="22"/>
          <w:lang w:val="es-ES"/>
        </w:rPr>
        <w:t>, de que el documento que dé cuenta de lo solicitado, contenga datos susceptibles a ser clasificados,</w:t>
      </w:r>
      <w:r w:rsidR="00F67722" w:rsidRPr="00A118F5">
        <w:rPr>
          <w:rFonts w:ascii="Palatino Linotype" w:hAnsi="Palatino Linotype" w:cs="Tahoma"/>
          <w:sz w:val="22"/>
          <w:lang w:val="es-ES"/>
        </w:rPr>
        <w:t xml:space="preserve"> es de señalar que prev</w:t>
      </w:r>
      <w:r>
        <w:rPr>
          <w:rFonts w:ascii="Palatino Linotype" w:hAnsi="Palatino Linotype" w:cs="Tahoma"/>
          <w:sz w:val="22"/>
          <w:lang w:val="es-ES"/>
        </w:rPr>
        <w:t>io a la entrega al R</w:t>
      </w:r>
      <w:r w:rsidR="00F67722" w:rsidRPr="00A118F5">
        <w:rPr>
          <w:rFonts w:ascii="Palatino Linotype" w:hAnsi="Palatino Linotype" w:cs="Tahoma"/>
          <w:sz w:val="22"/>
          <w:lang w:val="es-ES"/>
        </w:rPr>
        <w:t xml:space="preserve">ecurrente, deberá llevarse a cabo la revisión de los documentos y la entrega en versión pública, </w:t>
      </w:r>
      <w:r>
        <w:rPr>
          <w:rFonts w:ascii="Palatino Linotype" w:hAnsi="Palatino Linotype" w:cs="Tahoma"/>
          <w:sz w:val="22"/>
          <w:lang w:val="es-ES"/>
        </w:rPr>
        <w:t>la cual</w:t>
      </w:r>
      <w:r w:rsidR="00F67722" w:rsidRPr="00A118F5">
        <w:rPr>
          <w:rFonts w:ascii="Palatino Linotype" w:hAnsi="Palatino Linotype" w:cs="Tahoma"/>
          <w:sz w:val="22"/>
          <w:lang w:val="es-ES"/>
        </w:rPr>
        <w:t xml:space="preserve"> deberá ser autorizada por el Comité de Información,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w:t>
      </w:r>
      <w:r>
        <w:rPr>
          <w:rFonts w:ascii="Palatino Linotype" w:hAnsi="Palatino Linotype" w:cs="Tahoma"/>
          <w:sz w:val="22"/>
          <w:lang w:val="es-ES"/>
        </w:rPr>
        <w:t>aboración de Versiones Públicas; cabe puntualizar que no se podrá clasificar el monto solicitado, tal como se analizó en párrafos anteriores.</w:t>
      </w:r>
    </w:p>
    <w:p w14:paraId="05512807" w14:textId="77777777" w:rsidR="009A1B9C" w:rsidRDefault="009A1B9C" w:rsidP="00F67722">
      <w:pPr>
        <w:spacing w:line="360" w:lineRule="auto"/>
        <w:ind w:right="-93"/>
        <w:jc w:val="both"/>
        <w:rPr>
          <w:rFonts w:ascii="Palatino Linotype" w:hAnsi="Palatino Linotype" w:cs="Tahoma"/>
          <w:sz w:val="22"/>
          <w:lang w:val="es-ES"/>
        </w:rPr>
      </w:pPr>
    </w:p>
    <w:p w14:paraId="1579597B" w14:textId="77777777" w:rsidR="00EB0465" w:rsidRPr="00EB0465" w:rsidRDefault="009A1B9C" w:rsidP="00EB0465">
      <w:pPr>
        <w:tabs>
          <w:tab w:val="left" w:pos="4667"/>
        </w:tabs>
        <w:spacing w:line="360" w:lineRule="auto"/>
        <w:jc w:val="both"/>
        <w:rPr>
          <w:rFonts w:ascii="Palatino Linotype" w:hAnsi="Palatino Linotype" w:cs="Arial"/>
          <w:color w:val="000000" w:themeColor="text1"/>
          <w:sz w:val="22"/>
          <w:szCs w:val="22"/>
        </w:rPr>
      </w:pPr>
      <w:r w:rsidRPr="00EB0465">
        <w:rPr>
          <w:rFonts w:ascii="Palatino Linotype" w:hAnsi="Palatino Linotype" w:cs="Tahoma"/>
          <w:sz w:val="22"/>
          <w:szCs w:val="22"/>
          <w:lang w:val="es-ES"/>
        </w:rPr>
        <w:lastRenderedPageBreak/>
        <w:t xml:space="preserve">Ahora bien, en el caso que de la búsqueda de la información, no se localice lo requerido, dado que a la fecha de la solicitud de información no se hayan realizado operaciones financieras con interacciones, el Sujeto Obligado deberá declarar formalmente la inexistencia; al respecto, el Criterio </w:t>
      </w:r>
      <w:r w:rsidR="00EB0465" w:rsidRPr="00EB0465">
        <w:rPr>
          <w:rFonts w:ascii="Palatino Linotype" w:hAnsi="Palatino Linotype" w:cs="Arial"/>
          <w:color w:val="000000" w:themeColor="text1"/>
          <w:sz w:val="22"/>
          <w:szCs w:val="22"/>
        </w:rPr>
        <w:t xml:space="preserve">12/10 emitido por el Pleno del entonces </w:t>
      </w:r>
      <w:r w:rsidR="00EB0465">
        <w:rPr>
          <w:rFonts w:ascii="Palatino Linotype" w:hAnsi="Palatino Linotype" w:cs="Tahoma"/>
          <w:sz w:val="22"/>
          <w:szCs w:val="24"/>
          <w:lang w:eastAsia="es-MX"/>
        </w:rPr>
        <w:t>I</w:t>
      </w:r>
      <w:r w:rsidR="00EB0465" w:rsidRPr="00FE1A63">
        <w:rPr>
          <w:rFonts w:ascii="Palatino Linotype" w:hAnsi="Palatino Linotype" w:cs="Tahoma"/>
          <w:sz w:val="22"/>
          <w:szCs w:val="24"/>
          <w:lang w:eastAsia="es-MX"/>
        </w:rPr>
        <w:t>nstituto Federal de Acceso a la Información y Protección de Datos</w:t>
      </w:r>
      <w:r w:rsidR="00EB0465" w:rsidRPr="00EB0465">
        <w:rPr>
          <w:rFonts w:ascii="Palatino Linotype" w:hAnsi="Palatino Linotype" w:cs="Arial"/>
          <w:color w:val="000000" w:themeColor="text1"/>
          <w:sz w:val="22"/>
          <w:szCs w:val="22"/>
        </w:rPr>
        <w:t>, establece lo siguiente:</w:t>
      </w:r>
    </w:p>
    <w:p w14:paraId="6B6A7B5A" w14:textId="77777777" w:rsidR="00EB0465" w:rsidRPr="00EB0465" w:rsidRDefault="00EB0465" w:rsidP="00EB0465">
      <w:pPr>
        <w:tabs>
          <w:tab w:val="left" w:pos="4667"/>
        </w:tabs>
        <w:spacing w:line="360" w:lineRule="auto"/>
        <w:jc w:val="both"/>
        <w:rPr>
          <w:rFonts w:ascii="Palatino Linotype" w:hAnsi="Palatino Linotype" w:cs="Arial"/>
          <w:color w:val="000000" w:themeColor="text1"/>
          <w:sz w:val="22"/>
          <w:szCs w:val="22"/>
        </w:rPr>
      </w:pPr>
    </w:p>
    <w:p w14:paraId="6F0B2A52" w14:textId="77777777" w:rsidR="00EB0465" w:rsidRPr="00EB0465" w:rsidRDefault="00EB0465" w:rsidP="00EB0465">
      <w:pPr>
        <w:tabs>
          <w:tab w:val="left" w:pos="4253"/>
        </w:tabs>
        <w:spacing w:line="360" w:lineRule="auto"/>
        <w:ind w:left="567" w:right="559"/>
        <w:jc w:val="both"/>
        <w:rPr>
          <w:rFonts w:ascii="Palatino Linotype" w:hAnsi="Palatino Linotype" w:cs="Arial"/>
          <w:b/>
          <w:bCs/>
        </w:rPr>
      </w:pPr>
      <w:r w:rsidRPr="00EB0465">
        <w:rPr>
          <w:rFonts w:ascii="Palatino Linotype" w:hAnsi="Palatino Linotype" w:cs="Arial"/>
          <w:b/>
          <w:bCs/>
        </w:rPr>
        <w:t xml:space="preserve">“Propósito de la declaración formal de inexistencia. </w:t>
      </w:r>
      <w:r w:rsidRPr="00EB0465">
        <w:rPr>
          <w:rFonts w:ascii="Palatino Linotype" w:hAnsi="Palatino Linotype" w:cs="Arial"/>
          <w:bC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EB0465">
        <w:rPr>
          <w:rFonts w:ascii="Palatino Linotype" w:hAnsi="Palatino Linotype" w:cs="Arial"/>
          <w:b/>
          <w:bC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1A638B18" w14:textId="77777777" w:rsidR="00EB0465" w:rsidRPr="00EB0465" w:rsidRDefault="00EB0465" w:rsidP="00EB0465">
      <w:pPr>
        <w:tabs>
          <w:tab w:val="left" w:pos="4667"/>
        </w:tabs>
        <w:spacing w:line="360" w:lineRule="auto"/>
        <w:jc w:val="both"/>
        <w:rPr>
          <w:rFonts w:ascii="Palatino Linotype" w:hAnsi="Palatino Linotype" w:cs="Arial"/>
          <w:color w:val="000000" w:themeColor="text1"/>
          <w:sz w:val="22"/>
          <w:szCs w:val="22"/>
        </w:rPr>
      </w:pPr>
    </w:p>
    <w:p w14:paraId="77DBE292" w14:textId="77777777" w:rsidR="00EB0465" w:rsidRPr="00EB0465" w:rsidRDefault="00EB0465" w:rsidP="00EB0465">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Del criterio citado por analogía</w:t>
      </w:r>
      <w:r w:rsidRPr="00EB0465">
        <w:rPr>
          <w:rFonts w:ascii="Palatino Linotype" w:hAnsi="Palatino Linotype" w:cs="Arial"/>
          <w:color w:val="000000" w:themeColor="text1"/>
          <w:sz w:val="22"/>
          <w:szCs w:val="22"/>
        </w:rPr>
        <w:t xml:space="preserve">,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w:t>
      </w:r>
      <w:r w:rsidRPr="00EB0465">
        <w:rPr>
          <w:rFonts w:ascii="Palatino Linotype" w:hAnsi="Palatino Linotype" w:cs="Arial"/>
          <w:color w:val="000000" w:themeColor="text1"/>
          <w:sz w:val="22"/>
          <w:szCs w:val="22"/>
        </w:rPr>
        <w:lastRenderedPageBreak/>
        <w:t>cuenta, con el fin de garantizar al solicitante que efectivamente se hicieron las gestiones necesarias para localizar la documentación de su interés.</w:t>
      </w:r>
    </w:p>
    <w:p w14:paraId="498FE67C" w14:textId="77777777" w:rsidR="009A1B9C" w:rsidRPr="00A118F5" w:rsidRDefault="009A1B9C" w:rsidP="00F67722">
      <w:pPr>
        <w:spacing w:line="360" w:lineRule="auto"/>
        <w:ind w:right="-93"/>
        <w:jc w:val="both"/>
        <w:rPr>
          <w:rFonts w:ascii="Palatino Linotype" w:hAnsi="Palatino Linotype" w:cs="Tahoma"/>
          <w:sz w:val="22"/>
          <w:lang w:val="es-ES"/>
        </w:rPr>
      </w:pPr>
    </w:p>
    <w:p w14:paraId="308A0F2B" w14:textId="77777777" w:rsidR="00F67722" w:rsidRDefault="00EB0465"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En ese sentido, en el presente caso, se considera que es necesario que el Instituto de Seguridad y Servicios Sociales del Estado de México y Municipios, que declare por medio de su Comité de Transparencia, la inexistencia de la información, toda vez, que en principio fue clasificada por este. Lo anterior, con el fin de dar certeza al Particular de que efectivamente en los archivos del Sujeto Obligado no obra la información requerida.</w:t>
      </w:r>
    </w:p>
    <w:p w14:paraId="3B74C295" w14:textId="77777777" w:rsidR="00EB0465" w:rsidRDefault="00EB0465" w:rsidP="00F72CA9">
      <w:pPr>
        <w:spacing w:line="360" w:lineRule="auto"/>
        <w:jc w:val="both"/>
        <w:rPr>
          <w:rFonts w:ascii="Palatino Linotype" w:hAnsi="Palatino Linotype" w:cs="Tahoma"/>
          <w:sz w:val="22"/>
          <w:szCs w:val="24"/>
          <w:lang w:eastAsia="es-MX"/>
        </w:rPr>
      </w:pPr>
    </w:p>
    <w:p w14:paraId="09599F6E" w14:textId="77777777" w:rsidR="00EB0465" w:rsidRDefault="00EB0465"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Para tal situación, deberá seguir el procedimiento establecido en</w:t>
      </w:r>
      <w:r w:rsidR="00262761">
        <w:rPr>
          <w:rFonts w:ascii="Palatino Linotype" w:hAnsi="Palatino Linotype" w:cs="Tahoma"/>
          <w:sz w:val="22"/>
          <w:szCs w:val="24"/>
          <w:lang w:eastAsia="es-MX"/>
        </w:rPr>
        <w:t xml:space="preserve"> el artículo 169</w:t>
      </w:r>
      <w:r w:rsidR="004468F9">
        <w:rPr>
          <w:rFonts w:ascii="Palatino Linotype" w:hAnsi="Palatino Linotype" w:cs="Tahoma"/>
          <w:sz w:val="22"/>
          <w:szCs w:val="24"/>
          <w:lang w:eastAsia="es-MX"/>
        </w:rPr>
        <w:t xml:space="preserve"> y 170</w:t>
      </w:r>
      <w:r w:rsidR="00262761">
        <w:rPr>
          <w:rFonts w:ascii="Palatino Linotype" w:hAnsi="Palatino Linotype" w:cs="Tahoma"/>
          <w:sz w:val="22"/>
          <w:szCs w:val="24"/>
          <w:lang w:eastAsia="es-MX"/>
        </w:rPr>
        <w:t xml:space="preserve"> de la Ley de Transparencia y Acceso a la Información Pública del Estado de México y Municipios, que precisa que cuando la información no se encuentre en los archivos del Sujeto Obligado, el Comité de Transparencia deber</w:t>
      </w:r>
      <w:r w:rsidR="00172D8F">
        <w:rPr>
          <w:rFonts w:ascii="Palatino Linotype" w:hAnsi="Palatino Linotype" w:cs="Tahoma"/>
          <w:sz w:val="22"/>
          <w:szCs w:val="24"/>
          <w:lang w:eastAsia="es-MX"/>
        </w:rPr>
        <w:t>á:</w:t>
      </w:r>
    </w:p>
    <w:p w14:paraId="4E45F582" w14:textId="77777777" w:rsidR="00172D8F" w:rsidRDefault="00172D8F" w:rsidP="00F72CA9">
      <w:pPr>
        <w:spacing w:line="360" w:lineRule="auto"/>
        <w:jc w:val="both"/>
        <w:rPr>
          <w:rFonts w:ascii="Palatino Linotype" w:hAnsi="Palatino Linotype" w:cs="Tahoma"/>
          <w:sz w:val="22"/>
          <w:szCs w:val="24"/>
          <w:lang w:eastAsia="es-MX"/>
        </w:rPr>
      </w:pPr>
    </w:p>
    <w:p w14:paraId="6CE85F0E" w14:textId="77777777" w:rsidR="004468F9" w:rsidRPr="004468F9" w:rsidRDefault="00172D8F" w:rsidP="004468F9">
      <w:pPr>
        <w:pStyle w:val="Prrafodelista"/>
        <w:numPr>
          <w:ilvl w:val="0"/>
          <w:numId w:val="41"/>
        </w:numPr>
        <w:spacing w:line="360" w:lineRule="auto"/>
        <w:jc w:val="both"/>
        <w:rPr>
          <w:rFonts w:ascii="Palatino Linotype" w:hAnsi="Palatino Linotype" w:cs="Tahoma"/>
          <w:lang w:eastAsia="es-MX"/>
        </w:rPr>
      </w:pPr>
      <w:r>
        <w:rPr>
          <w:rFonts w:ascii="Palatino Linotype" w:hAnsi="Palatino Linotype" w:cs="Tahoma"/>
          <w:lang w:eastAsia="es-MX"/>
        </w:rPr>
        <w:t>Analizar el caso y tomar las medidas necesarias para localizar la información;</w:t>
      </w:r>
    </w:p>
    <w:p w14:paraId="29938C55" w14:textId="77777777" w:rsidR="00172D8F" w:rsidRDefault="00172D8F" w:rsidP="00172D8F">
      <w:pPr>
        <w:pStyle w:val="Prrafodelista"/>
        <w:numPr>
          <w:ilvl w:val="0"/>
          <w:numId w:val="41"/>
        </w:numPr>
        <w:spacing w:line="360" w:lineRule="auto"/>
        <w:jc w:val="both"/>
        <w:rPr>
          <w:rFonts w:ascii="Palatino Linotype" w:hAnsi="Palatino Linotype" w:cs="Tahoma"/>
          <w:lang w:eastAsia="es-MX"/>
        </w:rPr>
      </w:pPr>
      <w:r>
        <w:rPr>
          <w:rFonts w:ascii="Palatino Linotype" w:hAnsi="Palatino Linotype" w:cs="Tahoma"/>
          <w:lang w:eastAsia="es-MX"/>
        </w:rPr>
        <w:t>Expedir una resolución que confirme la inexistencia de la informaci</w:t>
      </w:r>
      <w:r w:rsidR="004468F9">
        <w:rPr>
          <w:rFonts w:ascii="Palatino Linotype" w:hAnsi="Palatino Linotype" w:cs="Tahoma"/>
          <w:lang w:eastAsia="es-MX"/>
        </w:rPr>
        <w:t>ón, que contenga los elementos mínimos que permitan al Solicitante tener la certeza de que se utilizó un criterio de búsqueda exhaustivo, así como, las circunstancias de modio, tiempo y lugar que generaron la inexistencia y el servidor público responsable de contar con la información.</w:t>
      </w:r>
    </w:p>
    <w:p w14:paraId="1C7B5041" w14:textId="77777777" w:rsidR="00B61717" w:rsidRDefault="00172D8F" w:rsidP="00172D8F">
      <w:pPr>
        <w:pStyle w:val="Prrafodelista"/>
        <w:numPr>
          <w:ilvl w:val="0"/>
          <w:numId w:val="41"/>
        </w:numPr>
        <w:spacing w:line="360" w:lineRule="auto"/>
        <w:jc w:val="both"/>
        <w:rPr>
          <w:rFonts w:ascii="Palatino Linotype" w:hAnsi="Palatino Linotype" w:cs="Tahoma"/>
          <w:lang w:eastAsia="es-MX"/>
        </w:rPr>
      </w:pPr>
      <w:r>
        <w:rPr>
          <w:rFonts w:ascii="Palatino Linotype" w:hAnsi="Palatino Linotype" w:cs="Tahoma"/>
          <w:lang w:eastAsia="es-MX"/>
        </w:rPr>
        <w:t>Ordenar, siempre que sea materialmente posible, que se genere o se reponga la información en caso de que tuviera que existir en sus archivos, o que previa acreditación de la imposibilidad de su generación, exponga de forma fundada y motivada, las razones por las cuales, no se elaboró la información</w:t>
      </w:r>
      <w:r w:rsidR="00B61717">
        <w:rPr>
          <w:rFonts w:ascii="Palatino Linotype" w:hAnsi="Palatino Linotype" w:cs="Tahoma"/>
          <w:lang w:eastAsia="es-MX"/>
        </w:rPr>
        <w:t>, y</w:t>
      </w:r>
    </w:p>
    <w:p w14:paraId="41C28A01" w14:textId="77777777" w:rsidR="00172D8F" w:rsidRPr="00172D8F" w:rsidRDefault="00B61717" w:rsidP="00172D8F">
      <w:pPr>
        <w:pStyle w:val="Prrafodelista"/>
        <w:numPr>
          <w:ilvl w:val="0"/>
          <w:numId w:val="41"/>
        </w:numPr>
        <w:spacing w:line="360" w:lineRule="auto"/>
        <w:jc w:val="both"/>
        <w:rPr>
          <w:rFonts w:ascii="Palatino Linotype" w:hAnsi="Palatino Linotype" w:cs="Tahoma"/>
          <w:lang w:eastAsia="es-MX"/>
        </w:rPr>
      </w:pPr>
      <w:r>
        <w:rPr>
          <w:rFonts w:ascii="Palatino Linotype" w:hAnsi="Palatino Linotype" w:cs="Tahoma"/>
          <w:lang w:eastAsia="es-MX"/>
        </w:rPr>
        <w:lastRenderedPageBreak/>
        <w:t xml:space="preserve">Notificar el Órgano Interno de Control o equivalente, quien deberá iniciar </w:t>
      </w:r>
      <w:r w:rsidR="00172D8F">
        <w:rPr>
          <w:rFonts w:ascii="Palatino Linotype" w:hAnsi="Palatino Linotype" w:cs="Tahoma"/>
          <w:lang w:eastAsia="es-MX"/>
        </w:rPr>
        <w:t xml:space="preserve"> </w:t>
      </w:r>
      <w:r>
        <w:rPr>
          <w:rFonts w:ascii="Palatino Linotype" w:hAnsi="Palatino Linotype" w:cs="Tahoma"/>
          <w:lang w:eastAsia="es-MX"/>
        </w:rPr>
        <w:t>el procedimiento de responsabilidad administrativa correspondiente.</w:t>
      </w:r>
    </w:p>
    <w:p w14:paraId="5F3531A3" w14:textId="77777777" w:rsidR="00FE1A63" w:rsidRPr="00B61717" w:rsidRDefault="00FE1A63" w:rsidP="00F72CA9">
      <w:pPr>
        <w:spacing w:line="360" w:lineRule="auto"/>
        <w:jc w:val="both"/>
        <w:rPr>
          <w:rFonts w:ascii="Palatino Linotype" w:hAnsi="Palatino Linotype" w:cs="Tahoma"/>
          <w:sz w:val="22"/>
          <w:szCs w:val="24"/>
          <w:lang w:eastAsia="es-MX"/>
        </w:rPr>
      </w:pPr>
    </w:p>
    <w:p w14:paraId="16BE1BED" w14:textId="77777777" w:rsidR="00B61717" w:rsidRPr="00B61717" w:rsidRDefault="00B61717" w:rsidP="00F72CA9">
      <w:pPr>
        <w:spacing w:line="360" w:lineRule="auto"/>
        <w:jc w:val="both"/>
        <w:rPr>
          <w:rFonts w:ascii="Palatino Linotype" w:hAnsi="Palatino Linotype"/>
          <w:sz w:val="22"/>
          <w:szCs w:val="22"/>
        </w:rPr>
      </w:pPr>
      <w:r w:rsidRPr="00B61717">
        <w:rPr>
          <w:rFonts w:ascii="Palatino Linotype" w:hAnsi="Palatino Linotype" w:cs="Tahoma"/>
          <w:sz w:val="22"/>
          <w:szCs w:val="24"/>
          <w:lang w:eastAsia="es-MX"/>
        </w:rPr>
        <w:t>Finalmente, en el caso de que la información no obre en sus archivos</w:t>
      </w:r>
      <w:r w:rsidRPr="00B61717">
        <w:rPr>
          <w:rFonts w:ascii="Palatino Linotype" w:hAnsi="Palatino Linotype" w:cs="Tahoma"/>
          <w:sz w:val="22"/>
          <w:szCs w:val="22"/>
          <w:lang w:eastAsia="es-MX"/>
        </w:rPr>
        <w:t xml:space="preserve">, se </w:t>
      </w:r>
      <w:r w:rsidRPr="00B61717">
        <w:rPr>
          <w:rFonts w:ascii="Palatino Linotype" w:hAnsi="Palatino Linotype" w:cs="Tahoma"/>
          <w:b/>
          <w:sz w:val="22"/>
          <w:szCs w:val="22"/>
          <w:lang w:eastAsia="es-MX"/>
        </w:rPr>
        <w:t>INSTA</w:t>
      </w:r>
      <w:r w:rsidRPr="00B61717">
        <w:rPr>
          <w:rFonts w:ascii="Palatino Linotype" w:hAnsi="Palatino Linotype"/>
          <w:b/>
          <w:sz w:val="22"/>
          <w:szCs w:val="22"/>
        </w:rPr>
        <w:t xml:space="preserve"> </w:t>
      </w:r>
      <w:r w:rsidRPr="00B61717">
        <w:rPr>
          <w:rFonts w:ascii="Palatino Linotype" w:hAnsi="Palatino Linotype"/>
          <w:sz w:val="22"/>
          <w:szCs w:val="22"/>
        </w:rPr>
        <w:t>a que en futuras ocasiones, el Suje</w:t>
      </w:r>
      <w:r>
        <w:rPr>
          <w:rFonts w:ascii="Palatino Linotype" w:hAnsi="Palatino Linotype"/>
          <w:sz w:val="22"/>
          <w:szCs w:val="22"/>
        </w:rPr>
        <w:t>to Obligado omita clasificar documentación inexistente.</w:t>
      </w:r>
    </w:p>
    <w:p w14:paraId="1642012E" w14:textId="77777777" w:rsidR="00B61717" w:rsidRDefault="00B61717" w:rsidP="00F72CA9">
      <w:pPr>
        <w:spacing w:line="360" w:lineRule="auto"/>
        <w:jc w:val="both"/>
        <w:rPr>
          <w:rFonts w:ascii="Palatino Linotype" w:hAnsi="Palatino Linotype" w:cs="Tahoma"/>
          <w:sz w:val="22"/>
          <w:szCs w:val="24"/>
          <w:lang w:eastAsia="es-MX"/>
        </w:rPr>
      </w:pPr>
    </w:p>
    <w:p w14:paraId="7D341062" w14:textId="77777777" w:rsidR="00B61717" w:rsidRDefault="00B61717" w:rsidP="00B61717">
      <w:pPr>
        <w:spacing w:line="360" w:lineRule="auto"/>
        <w:ind w:right="-93"/>
        <w:jc w:val="both"/>
        <w:rPr>
          <w:rFonts w:ascii="Palatino Linotype" w:hAnsi="Palatino Linotype" w:cs="Tahoma"/>
          <w:sz w:val="22"/>
          <w:szCs w:val="22"/>
        </w:rPr>
      </w:pPr>
      <w:r w:rsidRPr="003D5DCE">
        <w:rPr>
          <w:rFonts w:ascii="Palatino Linotype" w:hAnsi="Palatino Linotype" w:cs="Tahoma"/>
          <w:b/>
          <w:sz w:val="22"/>
          <w:szCs w:val="22"/>
        </w:rPr>
        <w:t xml:space="preserve">SEXTO. Decisión. </w:t>
      </w:r>
      <w:r w:rsidRPr="003D5DC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3D5DCE">
        <w:rPr>
          <w:rFonts w:ascii="Palatino Linotype" w:hAnsi="Palatino Linotype" w:cs="Tahoma"/>
          <w:b/>
          <w:sz w:val="22"/>
          <w:szCs w:val="22"/>
        </w:rPr>
        <w:t xml:space="preserve">MODIFICAR </w:t>
      </w:r>
      <w:r w:rsidRPr="003D5DCE">
        <w:rPr>
          <w:rFonts w:ascii="Palatino Linotype" w:hAnsi="Palatino Linotype" w:cs="Tahoma"/>
          <w:sz w:val="22"/>
          <w:szCs w:val="22"/>
        </w:rPr>
        <w:t xml:space="preserve">la respuesta otorgada por el </w:t>
      </w:r>
      <w:r>
        <w:rPr>
          <w:rFonts w:ascii="Palatino Linotype" w:hAnsi="Palatino Linotype" w:cs="Tahoma"/>
          <w:sz w:val="22"/>
          <w:szCs w:val="22"/>
        </w:rPr>
        <w:t>Instituto de Seguridad Social del Estado de México y Municipios</w:t>
      </w:r>
      <w:r w:rsidRPr="003D5DCE">
        <w:rPr>
          <w:rFonts w:ascii="Palatino Linotype" w:hAnsi="Palatino Linotype" w:cs="Tahoma"/>
          <w:sz w:val="22"/>
          <w:szCs w:val="22"/>
        </w:rPr>
        <w:t xml:space="preserve"> e instruir, a que entregue, </w:t>
      </w:r>
      <w:r w:rsidRPr="003D5DCE">
        <w:rPr>
          <w:rFonts w:ascii="Palatino Linotype" w:eastAsia="Calibri" w:hAnsi="Palatino Linotype" w:cs="Tahoma"/>
          <w:iCs/>
          <w:sz w:val="22"/>
          <w:szCs w:val="22"/>
          <w:lang w:eastAsia="es-ES_tradnl"/>
        </w:rPr>
        <w:t>a través del Sistema de Acceso a la Información Mexiquense (SAIMEX),</w:t>
      </w:r>
      <w:r w:rsidRPr="003D5DCE">
        <w:rPr>
          <w:rFonts w:ascii="Palatino Linotype" w:hAnsi="Palatino Linotype" w:cs="Tahoma"/>
          <w:sz w:val="22"/>
          <w:szCs w:val="22"/>
        </w:rPr>
        <w:t xml:space="preserve"> </w:t>
      </w:r>
      <w:r>
        <w:rPr>
          <w:rFonts w:ascii="Palatino Linotype" w:hAnsi="Palatino Linotype" w:cs="Tahoma"/>
          <w:sz w:val="22"/>
          <w:szCs w:val="22"/>
        </w:rPr>
        <w:t xml:space="preserve">previa búsqueda exhaustiva y razonable, </w:t>
      </w:r>
      <w:r w:rsidRPr="00B61717">
        <w:rPr>
          <w:rFonts w:ascii="Palatino Linotype" w:hAnsi="Palatino Linotype" w:cs="Tahoma"/>
          <w:sz w:val="22"/>
          <w:szCs w:val="22"/>
        </w:rPr>
        <w:t>el documento donde conste el monto bajo administración por interacciones, a nombre del Sujeto Obligado, al veintitrés de octubre de dos mil dieciocho</w:t>
      </w:r>
      <w:r>
        <w:rPr>
          <w:rFonts w:ascii="Palatino Linotype" w:hAnsi="Palatino Linotype" w:cs="Tahoma"/>
          <w:sz w:val="22"/>
          <w:szCs w:val="22"/>
        </w:rPr>
        <w:t>.</w:t>
      </w:r>
    </w:p>
    <w:p w14:paraId="5165752A" w14:textId="77777777" w:rsidR="00B61717" w:rsidRDefault="00B61717" w:rsidP="00B61717">
      <w:pPr>
        <w:spacing w:line="360" w:lineRule="auto"/>
        <w:ind w:right="-93"/>
        <w:jc w:val="both"/>
        <w:rPr>
          <w:rFonts w:ascii="Palatino Linotype" w:hAnsi="Palatino Linotype" w:cs="Tahoma"/>
          <w:sz w:val="22"/>
          <w:szCs w:val="22"/>
        </w:rPr>
      </w:pPr>
    </w:p>
    <w:p w14:paraId="3C4CA5F3" w14:textId="77777777" w:rsidR="00B61717" w:rsidRPr="00B61717" w:rsidRDefault="00B61717" w:rsidP="00B61717">
      <w:pPr>
        <w:spacing w:line="360" w:lineRule="auto"/>
        <w:ind w:right="-93"/>
        <w:jc w:val="both"/>
        <w:rPr>
          <w:rFonts w:ascii="Palatino Linotype" w:hAnsi="Palatino Linotype" w:cs="Tahoma"/>
          <w:bCs/>
          <w:sz w:val="22"/>
          <w:szCs w:val="22"/>
        </w:rPr>
      </w:pPr>
      <w:r w:rsidRPr="00B61717">
        <w:rPr>
          <w:rFonts w:ascii="Palatino Linotype" w:hAnsi="Palatino Linotype" w:cs="Tahoma"/>
          <w:bCs/>
          <w:sz w:val="22"/>
          <w:szCs w:val="22"/>
        </w:rPr>
        <w:t xml:space="preserve">En el caso de que </w:t>
      </w:r>
      <w:r w:rsidR="004468F9">
        <w:rPr>
          <w:rFonts w:ascii="Palatino Linotype" w:hAnsi="Palatino Linotype" w:cs="Tahoma"/>
          <w:bCs/>
          <w:sz w:val="22"/>
          <w:szCs w:val="22"/>
        </w:rPr>
        <w:t>el documento localizado</w:t>
      </w:r>
      <w:r w:rsidRPr="00B61717">
        <w:rPr>
          <w:rFonts w:ascii="Palatino Linotype" w:hAnsi="Palatino Linotype" w:cs="Tahoma"/>
          <w:bCs/>
          <w:sz w:val="22"/>
          <w:szCs w:val="22"/>
        </w:rPr>
        <w:t>, contengan datos o información clasificada, en términos del artículo 1</w:t>
      </w:r>
      <w:r>
        <w:rPr>
          <w:rFonts w:ascii="Palatino Linotype" w:hAnsi="Palatino Linotype" w:cs="Tahoma"/>
          <w:bCs/>
          <w:sz w:val="22"/>
          <w:szCs w:val="22"/>
        </w:rPr>
        <w:t>43</w:t>
      </w:r>
      <w:r w:rsidRPr="00B61717">
        <w:rPr>
          <w:rFonts w:ascii="Palatino Linotype" w:hAnsi="Palatino Linotype" w:cs="Tahoma"/>
          <w:bCs/>
          <w:sz w:val="22"/>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p>
    <w:p w14:paraId="63871F03" w14:textId="77777777" w:rsidR="00B61717" w:rsidRPr="00B61717" w:rsidRDefault="00B61717" w:rsidP="00B61717">
      <w:pPr>
        <w:spacing w:line="360" w:lineRule="auto"/>
        <w:ind w:right="-93"/>
        <w:jc w:val="both"/>
        <w:rPr>
          <w:rFonts w:ascii="Palatino Linotype" w:hAnsi="Palatino Linotype" w:cs="Tahoma"/>
          <w:sz w:val="22"/>
          <w:szCs w:val="22"/>
        </w:rPr>
      </w:pPr>
    </w:p>
    <w:p w14:paraId="51BD97B8" w14:textId="53707ED7" w:rsidR="00262761" w:rsidRDefault="004468F9" w:rsidP="00F72CA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Por otra parte, en el supuesto de que </w:t>
      </w:r>
      <w:r w:rsidRPr="004468F9">
        <w:rPr>
          <w:rFonts w:ascii="Palatino Linotype" w:hAnsi="Palatino Linotype" w:cs="Tahoma"/>
          <w:bCs/>
          <w:sz w:val="22"/>
          <w:szCs w:val="24"/>
          <w:lang w:val="es-ES" w:eastAsia="es-MX"/>
        </w:rPr>
        <w:t>de la búsqueda no localice la información solicitada deberá inform</w:t>
      </w:r>
      <w:r w:rsidR="00112275">
        <w:rPr>
          <w:rFonts w:ascii="Palatino Linotype" w:hAnsi="Palatino Linotype" w:cs="Tahoma"/>
          <w:bCs/>
          <w:sz w:val="22"/>
          <w:szCs w:val="24"/>
          <w:lang w:val="es-ES" w:eastAsia="es-MX"/>
        </w:rPr>
        <w:t>a</w:t>
      </w:r>
      <w:r w:rsidRPr="004468F9">
        <w:rPr>
          <w:rFonts w:ascii="Palatino Linotype" w:hAnsi="Palatino Linotype" w:cs="Tahoma"/>
          <w:bCs/>
          <w:sz w:val="22"/>
          <w:szCs w:val="24"/>
          <w:lang w:val="es-ES" w:eastAsia="es-MX"/>
        </w:rPr>
        <w:t>r</w:t>
      </w:r>
      <w:r w:rsidR="00112275">
        <w:rPr>
          <w:rFonts w:ascii="Palatino Linotype" w:hAnsi="Palatino Linotype" w:cs="Tahoma"/>
          <w:bCs/>
          <w:sz w:val="22"/>
          <w:szCs w:val="24"/>
          <w:lang w:val="es-ES" w:eastAsia="es-MX"/>
        </w:rPr>
        <w:t>lo</w:t>
      </w:r>
      <w:r w:rsidRPr="004468F9">
        <w:rPr>
          <w:rFonts w:ascii="Palatino Linotype" w:hAnsi="Palatino Linotype" w:cs="Tahoma"/>
          <w:bCs/>
          <w:sz w:val="22"/>
          <w:szCs w:val="24"/>
          <w:lang w:val="es-ES" w:eastAsia="es-MX"/>
        </w:rPr>
        <w:t xml:space="preserve"> al particular, </w:t>
      </w:r>
      <w:r>
        <w:rPr>
          <w:rFonts w:ascii="Palatino Linotype" w:hAnsi="Palatino Linotype" w:cs="Tahoma"/>
          <w:bCs/>
          <w:sz w:val="22"/>
          <w:szCs w:val="24"/>
          <w:lang w:val="es-ES" w:eastAsia="es-MX"/>
        </w:rPr>
        <w:t>de manera fundada y motivada</w:t>
      </w:r>
      <w:r w:rsidRPr="004468F9">
        <w:rPr>
          <w:rFonts w:ascii="Palatino Linotype" w:hAnsi="Palatino Linotype" w:cs="Tahoma"/>
          <w:bCs/>
          <w:sz w:val="22"/>
          <w:szCs w:val="24"/>
          <w:lang w:val="es-ES" w:eastAsia="es-MX"/>
        </w:rPr>
        <w:t xml:space="preserve">, </w:t>
      </w:r>
      <w:r w:rsidR="007276DE">
        <w:rPr>
          <w:rFonts w:ascii="Palatino Linotype" w:hAnsi="Palatino Linotype" w:cs="Tahoma"/>
          <w:bCs/>
          <w:sz w:val="22"/>
          <w:szCs w:val="24"/>
          <w:lang w:val="es-ES" w:eastAsia="es-MX"/>
        </w:rPr>
        <w:t>a través</w:t>
      </w:r>
      <w:r w:rsidRPr="004468F9">
        <w:rPr>
          <w:rFonts w:ascii="Palatino Linotype" w:hAnsi="Palatino Linotype" w:cs="Tahoma"/>
          <w:bCs/>
          <w:sz w:val="22"/>
          <w:szCs w:val="24"/>
          <w:lang w:val="es-ES" w:eastAsia="es-MX"/>
        </w:rPr>
        <w:t xml:space="preserve"> </w:t>
      </w:r>
      <w:r w:rsidR="007276DE">
        <w:rPr>
          <w:rFonts w:ascii="Palatino Linotype" w:hAnsi="Palatino Linotype" w:cs="Tahoma"/>
          <w:bCs/>
          <w:sz w:val="22"/>
          <w:szCs w:val="24"/>
          <w:lang w:val="es-ES" w:eastAsia="es-MX"/>
        </w:rPr>
        <w:t>d</w:t>
      </w:r>
      <w:r w:rsidRPr="004468F9">
        <w:rPr>
          <w:rFonts w:ascii="Palatino Linotype" w:hAnsi="Palatino Linotype" w:cs="Tahoma"/>
          <w:bCs/>
          <w:sz w:val="22"/>
          <w:szCs w:val="24"/>
          <w:lang w:val="es-ES" w:eastAsia="es-MX"/>
        </w:rPr>
        <w:t xml:space="preserve">el procedimiento </w:t>
      </w:r>
      <w:r>
        <w:rPr>
          <w:rFonts w:ascii="Palatino Linotype" w:hAnsi="Palatino Linotype" w:cs="Tahoma"/>
          <w:bCs/>
          <w:sz w:val="22"/>
          <w:szCs w:val="24"/>
          <w:lang w:val="es-ES" w:eastAsia="es-MX"/>
        </w:rPr>
        <w:t xml:space="preserve">de declaración de inexistencia, </w:t>
      </w:r>
      <w:r w:rsidRPr="004468F9">
        <w:rPr>
          <w:rFonts w:ascii="Palatino Linotype" w:hAnsi="Palatino Linotype" w:cs="Tahoma"/>
          <w:bCs/>
          <w:sz w:val="22"/>
          <w:szCs w:val="24"/>
          <w:lang w:val="es-ES" w:eastAsia="es-MX"/>
        </w:rPr>
        <w:t xml:space="preserve">establecido en </w:t>
      </w:r>
      <w:r>
        <w:rPr>
          <w:rFonts w:ascii="Palatino Linotype" w:hAnsi="Palatino Linotype" w:cs="Tahoma"/>
          <w:bCs/>
          <w:sz w:val="22"/>
          <w:szCs w:val="24"/>
          <w:lang w:val="es-ES" w:eastAsia="es-MX"/>
        </w:rPr>
        <w:t>los artículos 169 y 170 de la Ley de Transparencia y Acceso a la Información Pública del Estado de México y Municipios.</w:t>
      </w:r>
    </w:p>
    <w:p w14:paraId="717261AE" w14:textId="77777777" w:rsidR="00FE1A63" w:rsidRDefault="00FE1A63" w:rsidP="00F72CA9">
      <w:pPr>
        <w:spacing w:line="360" w:lineRule="auto"/>
        <w:jc w:val="both"/>
        <w:rPr>
          <w:rFonts w:ascii="Palatino Linotype" w:hAnsi="Palatino Linotype" w:cs="Tahoma"/>
          <w:sz w:val="22"/>
          <w:szCs w:val="24"/>
          <w:lang w:eastAsia="es-MX"/>
        </w:rPr>
      </w:pPr>
    </w:p>
    <w:p w14:paraId="4C1A495F" w14:textId="77777777" w:rsidR="004468F9" w:rsidRDefault="004468F9" w:rsidP="004468F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Por lo expuesto y fundado, este Pleno:</w:t>
      </w:r>
    </w:p>
    <w:p w14:paraId="277D906A" w14:textId="77777777" w:rsidR="004468F9" w:rsidRDefault="004468F9" w:rsidP="004468F9">
      <w:pPr>
        <w:spacing w:line="360" w:lineRule="auto"/>
        <w:jc w:val="both"/>
        <w:rPr>
          <w:rFonts w:ascii="Palatino Linotype" w:eastAsia="Calibri" w:hAnsi="Palatino Linotype" w:cs="Tahoma"/>
          <w:bCs/>
          <w:sz w:val="22"/>
          <w:szCs w:val="22"/>
          <w:lang w:eastAsia="en-US"/>
        </w:rPr>
      </w:pPr>
    </w:p>
    <w:p w14:paraId="1719F040" w14:textId="77777777" w:rsidR="004468F9" w:rsidRPr="00E4518F" w:rsidRDefault="004468F9" w:rsidP="004468F9">
      <w:pPr>
        <w:spacing w:line="360" w:lineRule="auto"/>
        <w:jc w:val="center"/>
        <w:rPr>
          <w:rFonts w:ascii="Palatino Linotype" w:eastAsia="Calibri" w:hAnsi="Palatino Linotype" w:cs="Tahoma"/>
          <w:b/>
          <w:bCs/>
          <w:sz w:val="22"/>
          <w:szCs w:val="22"/>
          <w:lang w:eastAsia="en-US"/>
        </w:rPr>
      </w:pPr>
      <w:r w:rsidRPr="00E4518F">
        <w:rPr>
          <w:rFonts w:ascii="Palatino Linotype" w:eastAsia="Calibri" w:hAnsi="Palatino Linotype" w:cs="Tahoma"/>
          <w:b/>
          <w:bCs/>
          <w:sz w:val="22"/>
          <w:szCs w:val="22"/>
          <w:lang w:eastAsia="en-US"/>
        </w:rPr>
        <w:t>RESUELVE:</w:t>
      </w:r>
    </w:p>
    <w:p w14:paraId="59229480" w14:textId="77777777" w:rsidR="004468F9" w:rsidRPr="00E4518F" w:rsidRDefault="004468F9" w:rsidP="004468F9">
      <w:pPr>
        <w:spacing w:line="360" w:lineRule="auto"/>
        <w:jc w:val="both"/>
        <w:rPr>
          <w:rFonts w:ascii="Palatino Linotype" w:eastAsia="Calibri" w:hAnsi="Palatino Linotype" w:cs="Tahoma"/>
          <w:b/>
          <w:bCs/>
          <w:sz w:val="22"/>
          <w:szCs w:val="22"/>
          <w:lang w:eastAsia="en-US"/>
        </w:rPr>
      </w:pPr>
    </w:p>
    <w:p w14:paraId="1EA7D6C2" w14:textId="77777777" w:rsidR="004468F9" w:rsidRPr="00E4518F" w:rsidRDefault="004468F9" w:rsidP="004468F9">
      <w:pPr>
        <w:widowControl w:val="0"/>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 xml:space="preserve">PRIMERO. </w:t>
      </w:r>
      <w:r w:rsidRPr="00E4518F">
        <w:rPr>
          <w:rFonts w:ascii="Palatino Linotype" w:hAnsi="Palatino Linotype" w:cs="Tahoma"/>
          <w:sz w:val="22"/>
          <w:szCs w:val="22"/>
        </w:rPr>
        <w:t xml:space="preserve">Se </w:t>
      </w:r>
      <w:r w:rsidR="001C2EB6">
        <w:rPr>
          <w:rFonts w:ascii="Palatino Linotype" w:hAnsi="Palatino Linotype" w:cs="Tahoma"/>
          <w:b/>
          <w:sz w:val="22"/>
          <w:szCs w:val="22"/>
        </w:rPr>
        <w:t>MODIFI</w:t>
      </w:r>
      <w:r>
        <w:rPr>
          <w:rFonts w:ascii="Palatino Linotype" w:hAnsi="Palatino Linotype" w:cs="Tahoma"/>
          <w:b/>
          <w:sz w:val="22"/>
          <w:szCs w:val="22"/>
        </w:rPr>
        <w:t>CA</w:t>
      </w:r>
      <w:r w:rsidRPr="00E4518F">
        <w:rPr>
          <w:rFonts w:ascii="Palatino Linotype" w:hAnsi="Palatino Linotype" w:cs="Tahoma"/>
          <w:b/>
          <w:sz w:val="22"/>
          <w:szCs w:val="22"/>
        </w:rPr>
        <w:t xml:space="preserve"> </w:t>
      </w:r>
      <w:r w:rsidRPr="00E4518F">
        <w:rPr>
          <w:rFonts w:ascii="Palatino Linotype" w:hAnsi="Palatino Linotype" w:cs="Tahoma"/>
          <w:sz w:val="22"/>
          <w:szCs w:val="22"/>
        </w:rPr>
        <w:t xml:space="preserve">la respuesta entregada por el Sujeto Obligado a la solicitud de información con número </w:t>
      </w:r>
      <w:r>
        <w:rPr>
          <w:rFonts w:ascii="Palatino Linotype" w:hAnsi="Palatino Linotype" w:cs="Tahoma"/>
          <w:sz w:val="22"/>
          <w:szCs w:val="22"/>
        </w:rPr>
        <w:t xml:space="preserve"> </w:t>
      </w:r>
      <w:r w:rsidR="001C2EB6" w:rsidRPr="001C2EB6">
        <w:rPr>
          <w:rFonts w:ascii="Palatino Linotype" w:hAnsi="Palatino Linotype" w:cs="Tahoma"/>
          <w:sz w:val="22"/>
          <w:szCs w:val="22"/>
        </w:rPr>
        <w:t>00640/ISSEMYM/IP/2018</w:t>
      </w:r>
      <w:r w:rsidR="001C2EB6">
        <w:rPr>
          <w:rFonts w:ascii="Palatino Linotype" w:hAnsi="Palatino Linotype" w:cs="Tahoma"/>
          <w:sz w:val="22"/>
          <w:szCs w:val="22"/>
        </w:rPr>
        <w:t xml:space="preserve"> </w:t>
      </w:r>
      <w:r w:rsidRPr="00E4518F">
        <w:rPr>
          <w:rFonts w:ascii="Palatino Linotype" w:hAnsi="Palatino Linotype" w:cs="Tahoma"/>
          <w:sz w:val="22"/>
          <w:szCs w:val="22"/>
        </w:rPr>
        <w:t>por resultar</w:t>
      </w:r>
      <w:r w:rsidRPr="00E4518F">
        <w:rPr>
          <w:rFonts w:ascii="Palatino Linotype" w:hAnsi="Palatino Linotype" w:cs="Tahoma"/>
          <w:b/>
          <w:sz w:val="22"/>
          <w:szCs w:val="22"/>
        </w:rPr>
        <w:t xml:space="preserve"> </w:t>
      </w:r>
      <w:r>
        <w:rPr>
          <w:rFonts w:ascii="Palatino Linotype" w:hAnsi="Palatino Linotype" w:cs="Tahoma"/>
          <w:b/>
          <w:sz w:val="22"/>
          <w:szCs w:val="22"/>
        </w:rPr>
        <w:t>F</w:t>
      </w:r>
      <w:r w:rsidRPr="00E4518F">
        <w:rPr>
          <w:rFonts w:ascii="Palatino Linotype" w:hAnsi="Palatino Linotype" w:cs="Tahoma"/>
          <w:b/>
          <w:sz w:val="22"/>
          <w:szCs w:val="22"/>
        </w:rPr>
        <w:t>UNDADOS</w:t>
      </w:r>
      <w:r w:rsidRPr="00E4518F">
        <w:rPr>
          <w:rFonts w:ascii="Palatino Linotype" w:hAnsi="Palatino Linotype" w:cs="Tahoma"/>
          <w:sz w:val="22"/>
          <w:szCs w:val="22"/>
        </w:rPr>
        <w:t xml:space="preserve"> los motivos de inconformidad vertidos por el Recurrente, en términos de los Considerandos</w:t>
      </w:r>
      <w:r w:rsidRPr="00E4518F">
        <w:rPr>
          <w:rFonts w:ascii="Palatino Linotype" w:hAnsi="Palatino Linotype" w:cs="Tahoma"/>
          <w:b/>
          <w:sz w:val="22"/>
          <w:szCs w:val="22"/>
        </w:rPr>
        <w:t xml:space="preserve"> QUINTO </w:t>
      </w:r>
      <w:r w:rsidRPr="00E4518F">
        <w:rPr>
          <w:rFonts w:ascii="Palatino Linotype" w:hAnsi="Palatino Linotype" w:cs="Tahoma"/>
          <w:sz w:val="22"/>
          <w:szCs w:val="22"/>
        </w:rPr>
        <w:t>y</w:t>
      </w:r>
      <w:r w:rsidRPr="00E4518F">
        <w:rPr>
          <w:rFonts w:ascii="Palatino Linotype" w:hAnsi="Palatino Linotype" w:cs="Tahoma"/>
          <w:b/>
          <w:sz w:val="22"/>
          <w:szCs w:val="22"/>
        </w:rPr>
        <w:t xml:space="preserve"> SEXTO </w:t>
      </w:r>
      <w:r w:rsidRPr="00E4518F">
        <w:rPr>
          <w:rFonts w:ascii="Palatino Linotype" w:hAnsi="Palatino Linotype" w:cs="Tahoma"/>
          <w:sz w:val="22"/>
          <w:szCs w:val="22"/>
        </w:rPr>
        <w:t>de la presente Resolución.</w:t>
      </w:r>
    </w:p>
    <w:p w14:paraId="27E6854E" w14:textId="77777777" w:rsidR="004468F9" w:rsidRPr="00E4518F" w:rsidRDefault="004468F9" w:rsidP="004468F9">
      <w:pPr>
        <w:shd w:val="clear" w:color="auto" w:fill="FFFFFF" w:themeFill="background1"/>
        <w:spacing w:line="360" w:lineRule="auto"/>
        <w:jc w:val="both"/>
        <w:rPr>
          <w:rFonts w:ascii="Palatino Linotype" w:eastAsia="Calibri" w:hAnsi="Palatino Linotype" w:cs="Tahoma"/>
          <w:bCs/>
          <w:sz w:val="22"/>
          <w:szCs w:val="22"/>
          <w:lang w:eastAsia="en-US"/>
        </w:rPr>
      </w:pPr>
    </w:p>
    <w:p w14:paraId="5194B6FC" w14:textId="77777777" w:rsidR="004468F9" w:rsidRDefault="004468F9" w:rsidP="004468F9">
      <w:pPr>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Se </w:t>
      </w:r>
      <w:r w:rsidRPr="00E4518F">
        <w:rPr>
          <w:rFonts w:ascii="Palatino Linotype" w:eastAsia="Calibri" w:hAnsi="Palatino Linotype" w:cs="Tahoma"/>
          <w:b/>
          <w:sz w:val="22"/>
          <w:szCs w:val="22"/>
          <w:lang w:eastAsia="es-MX"/>
        </w:rPr>
        <w:t xml:space="preserve">ORDENA </w:t>
      </w:r>
      <w:r w:rsidRPr="00E4518F">
        <w:rPr>
          <w:rFonts w:ascii="Palatino Linotype" w:eastAsia="Calibri" w:hAnsi="Palatino Linotype" w:cs="Tahoma"/>
          <w:sz w:val="22"/>
          <w:szCs w:val="22"/>
          <w:lang w:eastAsia="es-MX"/>
        </w:rPr>
        <w:t xml:space="preserve">al </w:t>
      </w:r>
      <w:r w:rsidR="001C2EB6">
        <w:rPr>
          <w:rFonts w:ascii="Palatino Linotype" w:eastAsia="Calibri" w:hAnsi="Palatino Linotype" w:cs="Tahoma"/>
          <w:sz w:val="22"/>
          <w:szCs w:val="22"/>
          <w:lang w:eastAsia="es-MX"/>
        </w:rPr>
        <w:t>Instituto de Seguridad Social del Estado de México y Municipios</w:t>
      </w:r>
      <w:r w:rsidRPr="00E4518F">
        <w:rPr>
          <w:rFonts w:ascii="Palatino Linotype" w:eastAsia="Calibri" w:hAnsi="Palatino Linotype" w:cs="Tahoma"/>
          <w:sz w:val="22"/>
          <w:szCs w:val="22"/>
          <w:lang w:eastAsia="es-MX"/>
        </w:rPr>
        <w:t xml:space="preserve">, </w:t>
      </w:r>
      <w:r w:rsidRPr="00E4518F">
        <w:rPr>
          <w:rFonts w:ascii="Palatino Linotype" w:hAnsi="Palatino Linotype" w:cs="Tahoma"/>
          <w:sz w:val="22"/>
          <w:szCs w:val="22"/>
        </w:rPr>
        <w:t xml:space="preserve">a </w:t>
      </w:r>
      <w:r w:rsidRPr="00987A88">
        <w:rPr>
          <w:rFonts w:ascii="Palatino Linotype" w:hAnsi="Palatino Linotype" w:cs="Tahoma"/>
          <w:sz w:val="22"/>
          <w:szCs w:val="22"/>
        </w:rPr>
        <w:t xml:space="preserve">efecto de que </w:t>
      </w:r>
      <w:r>
        <w:rPr>
          <w:rFonts w:ascii="Palatino Linotype" w:hAnsi="Palatino Linotype" w:cs="Tahoma"/>
          <w:sz w:val="22"/>
          <w:szCs w:val="22"/>
        </w:rPr>
        <w:t xml:space="preserve">previa búsqueda exhaustiva y razonable, en todas las unidades administrativas competentes,  </w:t>
      </w:r>
      <w:r w:rsidRPr="00987A88">
        <w:rPr>
          <w:rFonts w:ascii="Palatino Linotype" w:hAnsi="Palatino Linotype" w:cs="Tahoma"/>
          <w:sz w:val="22"/>
          <w:szCs w:val="22"/>
        </w:rPr>
        <w:t>entregue</w:t>
      </w:r>
      <w:r>
        <w:rPr>
          <w:rFonts w:ascii="Palatino Linotype" w:hAnsi="Palatino Linotype" w:cs="Tahoma"/>
          <w:sz w:val="22"/>
          <w:szCs w:val="22"/>
        </w:rPr>
        <w:t>, en su caso, en versión pública,</w:t>
      </w:r>
      <w:r w:rsidRPr="00987A88">
        <w:rPr>
          <w:rFonts w:ascii="Palatino Linotype" w:hAnsi="Palatino Linotype" w:cs="Tahoma"/>
          <w:sz w:val="22"/>
          <w:szCs w:val="22"/>
        </w:rPr>
        <w:t xml:space="preserve"> a través del Sistema de Acceso a la Información Mexiquense (SAIMEX),</w:t>
      </w:r>
      <w:r>
        <w:rPr>
          <w:rFonts w:ascii="Palatino Linotype" w:hAnsi="Palatino Linotype" w:cs="Tahoma"/>
          <w:sz w:val="22"/>
          <w:szCs w:val="22"/>
        </w:rPr>
        <w:t xml:space="preserve">  lo siguiente:</w:t>
      </w:r>
    </w:p>
    <w:p w14:paraId="513CBD7C" w14:textId="77777777" w:rsidR="004468F9" w:rsidRDefault="004468F9" w:rsidP="004468F9">
      <w:pPr>
        <w:spacing w:line="360" w:lineRule="auto"/>
        <w:jc w:val="both"/>
        <w:rPr>
          <w:rFonts w:ascii="Palatino Linotype" w:hAnsi="Palatino Linotype" w:cs="Tahoma"/>
          <w:sz w:val="22"/>
          <w:szCs w:val="22"/>
        </w:rPr>
      </w:pPr>
    </w:p>
    <w:p w14:paraId="223E1305" w14:textId="77777777" w:rsidR="004468F9" w:rsidRDefault="001C2EB6" w:rsidP="001C2EB6">
      <w:pPr>
        <w:pStyle w:val="Prrafodelista"/>
        <w:numPr>
          <w:ilvl w:val="0"/>
          <w:numId w:val="40"/>
        </w:numPr>
        <w:spacing w:line="360" w:lineRule="auto"/>
        <w:ind w:right="567"/>
        <w:jc w:val="both"/>
        <w:rPr>
          <w:rFonts w:ascii="Palatino Linotype" w:hAnsi="Palatino Linotype" w:cs="Tahoma"/>
          <w:szCs w:val="22"/>
        </w:rPr>
      </w:pPr>
      <w:r>
        <w:rPr>
          <w:rFonts w:ascii="Palatino Linotype" w:hAnsi="Palatino Linotype" w:cs="Tahoma"/>
          <w:szCs w:val="22"/>
        </w:rPr>
        <w:t>E</w:t>
      </w:r>
      <w:r w:rsidRPr="001C2EB6">
        <w:rPr>
          <w:rFonts w:ascii="Palatino Linotype" w:hAnsi="Palatino Linotype" w:cs="Tahoma"/>
          <w:szCs w:val="22"/>
        </w:rPr>
        <w:t>l documento donde conste el monto bajo administración por interacciones, a nombre del Sujeto Obligado, al veintitrés de octubre de dos mil dieciocho.</w:t>
      </w:r>
    </w:p>
    <w:p w14:paraId="426C598B" w14:textId="77777777" w:rsidR="001C2EB6" w:rsidRDefault="001C2EB6" w:rsidP="001C2EB6">
      <w:pPr>
        <w:pStyle w:val="Prrafodelista"/>
        <w:spacing w:line="360" w:lineRule="auto"/>
        <w:ind w:right="567"/>
        <w:jc w:val="both"/>
        <w:rPr>
          <w:rFonts w:ascii="Palatino Linotype" w:hAnsi="Palatino Linotype" w:cs="Tahoma"/>
          <w:szCs w:val="22"/>
        </w:rPr>
      </w:pPr>
    </w:p>
    <w:p w14:paraId="51B40236" w14:textId="77777777" w:rsidR="004468F9" w:rsidRDefault="004468F9" w:rsidP="001C2EB6">
      <w:pPr>
        <w:pStyle w:val="Prrafodelista"/>
        <w:spacing w:line="360" w:lineRule="auto"/>
        <w:ind w:right="567"/>
        <w:jc w:val="both"/>
        <w:rPr>
          <w:rFonts w:ascii="Palatino Linotype" w:hAnsi="Palatino Linotype" w:cs="Tahoma"/>
          <w:bCs/>
          <w:szCs w:val="22"/>
        </w:rPr>
      </w:pPr>
      <w:r w:rsidRPr="00E2456F">
        <w:rPr>
          <w:rFonts w:ascii="Palatino Linotype" w:hAnsi="Palatino Linotype" w:cs="Tahoma"/>
          <w:bCs/>
          <w:szCs w:val="22"/>
        </w:rPr>
        <w:t xml:space="preserve">En el caso de que los documentos localizados, </w:t>
      </w:r>
      <w:r w:rsidRPr="00BD0F82">
        <w:rPr>
          <w:rFonts w:ascii="Palatino Linotype" w:hAnsi="Palatino Linotype" w:cs="Tahoma"/>
          <w:bCs/>
          <w:szCs w:val="22"/>
        </w:rPr>
        <w:t>contengan datos personales confidenciales, en términos del artículo 143</w:t>
      </w:r>
      <w:r w:rsidR="001C2EB6">
        <w:rPr>
          <w:rFonts w:ascii="Palatino Linotype" w:hAnsi="Palatino Linotype" w:cs="Tahoma"/>
          <w:bCs/>
          <w:szCs w:val="22"/>
        </w:rPr>
        <w:t xml:space="preserve"> </w:t>
      </w:r>
      <w:r w:rsidRPr="00BD0F82">
        <w:rPr>
          <w:rFonts w:ascii="Palatino Linotype" w:hAnsi="Palatino Linotype" w:cs="Tahoma"/>
          <w:bCs/>
          <w:szCs w:val="22"/>
        </w:rPr>
        <w:t>de la Ley de la materia</w:t>
      </w:r>
      <w:r>
        <w:rPr>
          <w:rFonts w:ascii="Palatino Linotype" w:hAnsi="Palatino Linotype" w:cs="Tahoma"/>
          <w:bCs/>
          <w:szCs w:val="22"/>
        </w:rPr>
        <w:t>,</w:t>
      </w:r>
      <w:r w:rsidRPr="00BD0F82">
        <w:rPr>
          <w:rFonts w:ascii="Palatino Linotype" w:hAnsi="Palatino Linotype" w:cs="Tahoma"/>
          <w:bCs/>
          <w:szCs w:val="22"/>
        </w:rPr>
        <w:t xml:space="preserve"> el Sujeto Obligado deberá elaborar las versiones públicas respectivas. En ese tenor, deberá emitir y entregar la resolución de su Comité de Transparencia, en donde, de manera fundada y motivada, confirme dicha clasificación.</w:t>
      </w:r>
    </w:p>
    <w:p w14:paraId="01C5ADDC" w14:textId="77777777" w:rsidR="001C2EB6" w:rsidRDefault="001C2EB6" w:rsidP="001C2EB6">
      <w:pPr>
        <w:pStyle w:val="Prrafodelista"/>
        <w:spacing w:line="360" w:lineRule="auto"/>
        <w:ind w:right="567"/>
        <w:jc w:val="both"/>
        <w:rPr>
          <w:rFonts w:ascii="Palatino Linotype" w:hAnsi="Palatino Linotype" w:cs="Tahoma"/>
          <w:bCs/>
          <w:szCs w:val="22"/>
        </w:rPr>
      </w:pPr>
    </w:p>
    <w:p w14:paraId="17AB750A" w14:textId="00CC0A94" w:rsidR="001C2EB6" w:rsidRPr="001C2EB6" w:rsidRDefault="001C2EB6" w:rsidP="001C2EB6">
      <w:pPr>
        <w:pStyle w:val="Prrafodelista"/>
        <w:spacing w:line="360" w:lineRule="auto"/>
        <w:ind w:right="567"/>
        <w:jc w:val="both"/>
        <w:rPr>
          <w:rFonts w:ascii="Palatino Linotype" w:hAnsi="Palatino Linotype" w:cs="Tahoma"/>
          <w:bCs/>
          <w:szCs w:val="22"/>
        </w:rPr>
      </w:pPr>
      <w:r w:rsidRPr="001C2EB6">
        <w:rPr>
          <w:rFonts w:ascii="Palatino Linotype" w:hAnsi="Palatino Linotype" w:cs="Tahoma"/>
          <w:bCs/>
          <w:szCs w:val="22"/>
        </w:rPr>
        <w:t xml:space="preserve">Por otra parte, en el supuesto de que </w:t>
      </w:r>
      <w:r w:rsidRPr="001C2EB6">
        <w:rPr>
          <w:rFonts w:ascii="Palatino Linotype" w:hAnsi="Palatino Linotype" w:cs="Tahoma"/>
          <w:bCs/>
          <w:szCs w:val="22"/>
          <w:lang w:val="es-ES"/>
        </w:rPr>
        <w:t>de la búsqueda no localice la información solicitada deberá inform</w:t>
      </w:r>
      <w:r w:rsidR="00D84647">
        <w:rPr>
          <w:rFonts w:ascii="Palatino Linotype" w:hAnsi="Palatino Linotype" w:cs="Tahoma"/>
          <w:bCs/>
          <w:szCs w:val="22"/>
          <w:lang w:val="es-ES"/>
        </w:rPr>
        <w:t>arlo</w:t>
      </w:r>
      <w:r w:rsidRPr="001C2EB6">
        <w:rPr>
          <w:rFonts w:ascii="Palatino Linotype" w:hAnsi="Palatino Linotype" w:cs="Tahoma"/>
          <w:bCs/>
          <w:szCs w:val="22"/>
          <w:lang w:val="es-ES"/>
        </w:rPr>
        <w:t xml:space="preserve"> al </w:t>
      </w:r>
      <w:r w:rsidR="00BA3D08">
        <w:rPr>
          <w:rFonts w:ascii="Palatino Linotype" w:hAnsi="Palatino Linotype" w:cs="Tahoma"/>
          <w:bCs/>
          <w:szCs w:val="22"/>
          <w:lang w:val="es-ES"/>
        </w:rPr>
        <w:t>P</w:t>
      </w:r>
      <w:r w:rsidRPr="001C2EB6">
        <w:rPr>
          <w:rFonts w:ascii="Palatino Linotype" w:hAnsi="Palatino Linotype" w:cs="Tahoma"/>
          <w:bCs/>
          <w:szCs w:val="22"/>
          <w:lang w:val="es-ES"/>
        </w:rPr>
        <w:t xml:space="preserve">articular, de manera fundada y motivada, </w:t>
      </w:r>
      <w:r w:rsidRPr="001C2EB6">
        <w:rPr>
          <w:rFonts w:ascii="Palatino Linotype" w:hAnsi="Palatino Linotype" w:cs="Tahoma"/>
          <w:bCs/>
          <w:szCs w:val="22"/>
          <w:lang w:val="es-ES"/>
        </w:rPr>
        <w:lastRenderedPageBreak/>
        <w:t>siguiendo el procedimiento de declaración de inexistencia, establecido en los artículos 169 y 170 de la Ley de Transparencia y Acceso a la Información Pública del Estado de México y Municipios.</w:t>
      </w:r>
    </w:p>
    <w:p w14:paraId="27B5C93E" w14:textId="77777777" w:rsidR="001C2EB6" w:rsidRDefault="001C2EB6" w:rsidP="001C2EB6">
      <w:pPr>
        <w:pStyle w:val="Prrafodelista"/>
        <w:spacing w:line="360" w:lineRule="auto"/>
        <w:ind w:right="567"/>
        <w:jc w:val="both"/>
        <w:rPr>
          <w:rFonts w:ascii="Palatino Linotype" w:hAnsi="Palatino Linotype" w:cs="Tahoma"/>
          <w:bCs/>
          <w:szCs w:val="22"/>
        </w:rPr>
      </w:pPr>
    </w:p>
    <w:p w14:paraId="03F61A61" w14:textId="77777777" w:rsidR="004468F9" w:rsidRPr="00E4518F" w:rsidRDefault="004468F9" w:rsidP="004468F9">
      <w:pPr>
        <w:spacing w:line="360" w:lineRule="auto"/>
        <w:jc w:val="both"/>
        <w:rPr>
          <w:rFonts w:ascii="Palatino Linotype" w:hAnsi="Palatino Linotype" w:cs="Tahoma"/>
          <w:i/>
          <w:sz w:val="22"/>
          <w:szCs w:val="22"/>
        </w:rPr>
      </w:pPr>
      <w:r w:rsidRPr="00E4518F">
        <w:rPr>
          <w:rFonts w:ascii="Palatino Linotype" w:eastAsia="Calibri" w:hAnsi="Palatino Linotype" w:cs="Tahoma"/>
          <w:b/>
          <w:bCs/>
          <w:sz w:val="22"/>
          <w:szCs w:val="22"/>
          <w:lang w:eastAsia="en-US"/>
        </w:rPr>
        <w:t xml:space="preserve">TERCERO. </w:t>
      </w:r>
      <w:r w:rsidRPr="00E4518F">
        <w:rPr>
          <w:rFonts w:ascii="Palatino Linotype" w:hAnsi="Palatino Linotype" w:cs="Tahoma"/>
          <w:b/>
          <w:sz w:val="22"/>
          <w:szCs w:val="22"/>
        </w:rPr>
        <w:t xml:space="preserve">NOTIFÍQUESE </w:t>
      </w:r>
      <w:r w:rsidRPr="00E4518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35EC053" w14:textId="77777777" w:rsidR="004468F9" w:rsidRPr="00E4518F" w:rsidRDefault="004468F9" w:rsidP="004468F9">
      <w:pPr>
        <w:shd w:val="clear" w:color="auto" w:fill="FFFFFF" w:themeFill="background1"/>
        <w:spacing w:line="360" w:lineRule="auto"/>
        <w:jc w:val="both"/>
        <w:rPr>
          <w:rFonts w:ascii="Palatino Linotype" w:eastAsia="Calibri" w:hAnsi="Palatino Linotype" w:cs="Tahoma"/>
          <w:sz w:val="22"/>
          <w:szCs w:val="22"/>
          <w:lang w:eastAsia="es-MX"/>
        </w:rPr>
      </w:pPr>
    </w:p>
    <w:p w14:paraId="3504F5C3" w14:textId="77777777" w:rsidR="004468F9" w:rsidRDefault="004468F9" w:rsidP="004468F9">
      <w:pPr>
        <w:shd w:val="clear" w:color="auto" w:fill="FFFFFF" w:themeFill="background1"/>
        <w:spacing w:line="360" w:lineRule="auto"/>
        <w:jc w:val="both"/>
        <w:rPr>
          <w:rFonts w:ascii="Palatino Linotype" w:hAnsi="Palatino Linotype" w:cs="Tahoma"/>
          <w:sz w:val="22"/>
          <w:szCs w:val="22"/>
        </w:rPr>
      </w:pPr>
      <w:r w:rsidRPr="00E4518F">
        <w:rPr>
          <w:rFonts w:ascii="Palatino Linotype" w:eastAsia="Calibri" w:hAnsi="Palatino Linotype" w:cs="Tahoma"/>
          <w:b/>
          <w:sz w:val="22"/>
          <w:szCs w:val="22"/>
          <w:lang w:eastAsia="es-MX"/>
        </w:rPr>
        <w:t>CUARTO</w:t>
      </w:r>
      <w:r w:rsidRPr="00E4518F">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E4518F">
        <w:rPr>
          <w:rFonts w:ascii="Palatino Linotype" w:hAnsi="Palatino Linotype" w:cs="Tahoma"/>
          <w:b/>
          <w:sz w:val="22"/>
          <w:szCs w:val="22"/>
        </w:rPr>
        <w:t>NOTIFÍQUESE</w:t>
      </w:r>
      <w:r w:rsidRPr="00E4518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A74376">
        <w:t xml:space="preserve"> </w:t>
      </w:r>
    </w:p>
    <w:p w14:paraId="1A5509DE" w14:textId="77777777" w:rsidR="004468F9" w:rsidRDefault="004468F9" w:rsidP="00F72CA9">
      <w:pPr>
        <w:spacing w:line="360" w:lineRule="auto"/>
        <w:jc w:val="both"/>
        <w:rPr>
          <w:rFonts w:ascii="Palatino Linotype" w:hAnsi="Palatino Linotype" w:cs="Tahoma"/>
          <w:sz w:val="22"/>
          <w:szCs w:val="24"/>
          <w:lang w:eastAsia="es-MX"/>
        </w:rPr>
      </w:pPr>
    </w:p>
    <w:p w14:paraId="4B683CD3" w14:textId="6F3F1FE9" w:rsidR="008A627A" w:rsidRPr="005C6C26" w:rsidRDefault="008A627A" w:rsidP="00F72CA9">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FD5810">
        <w:rPr>
          <w:rFonts w:ascii="Palatino Linotype" w:hAnsi="Palatino Linotype" w:cs="Tahoma"/>
          <w:sz w:val="22"/>
          <w:szCs w:val="24"/>
          <w:lang w:eastAsia="es-MX"/>
        </w:rPr>
        <w:t xml:space="preserve"> (EMITIENDO VOTO PARTICULAR)</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FD5810">
        <w:rPr>
          <w:rFonts w:ascii="Palatino Linotype" w:hAnsi="Palatino Linotype" w:cs="Tahoma"/>
          <w:sz w:val="22"/>
          <w:szCs w:val="24"/>
          <w:lang w:eastAsia="es-MX"/>
        </w:rPr>
        <w:t>SEXTA</w:t>
      </w:r>
      <w:r w:rsidRPr="005C6C26">
        <w:rPr>
          <w:rFonts w:ascii="Palatino Linotype" w:hAnsi="Palatino Linotype" w:cs="Tahoma"/>
          <w:sz w:val="22"/>
          <w:szCs w:val="24"/>
          <w:lang w:eastAsia="es-MX"/>
        </w:rPr>
        <w:t xml:space="preserve"> SESIÓN ORDINARIA, CELEBRADA EL </w:t>
      </w:r>
      <w:r w:rsidR="00FD5810">
        <w:rPr>
          <w:rFonts w:ascii="Palatino Linotype" w:hAnsi="Palatino Linotype" w:cs="Tahoma"/>
          <w:sz w:val="22"/>
          <w:szCs w:val="24"/>
          <w:lang w:eastAsia="es-MX"/>
        </w:rPr>
        <w:t>TRECE</w:t>
      </w:r>
      <w:r w:rsidR="0063119B">
        <w:rPr>
          <w:rFonts w:ascii="Palatino Linotype" w:hAnsi="Palatino Linotype" w:cs="Tahoma"/>
          <w:sz w:val="22"/>
          <w:szCs w:val="24"/>
          <w:lang w:eastAsia="es-MX"/>
        </w:rPr>
        <w:t xml:space="preserve"> DE FEBRERO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78F246D0" w14:textId="77777777" w:rsidR="008A627A" w:rsidRDefault="008A627A" w:rsidP="00F72CA9">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8A627A" w:rsidRPr="00025F5D" w14:paraId="5DF622DC" w14:textId="77777777" w:rsidTr="00292B26">
        <w:tc>
          <w:tcPr>
            <w:tcW w:w="9214" w:type="dxa"/>
            <w:gridSpan w:val="2"/>
          </w:tcPr>
          <w:p w14:paraId="01938371" w14:textId="54E101E2" w:rsidR="008A627A" w:rsidRDefault="008A627A" w:rsidP="00FD5810">
            <w:pPr>
              <w:spacing w:line="276" w:lineRule="auto"/>
              <w:rPr>
                <w:rFonts w:ascii="Palatino Linotype" w:eastAsia="Calibri" w:hAnsi="Palatino Linotype" w:cs="Tahoma"/>
                <w:b/>
                <w:sz w:val="22"/>
                <w:szCs w:val="22"/>
                <w:lang w:eastAsia="es-MX"/>
              </w:rPr>
            </w:pPr>
          </w:p>
          <w:p w14:paraId="5712170A" w14:textId="1C37E503" w:rsidR="00FD5810" w:rsidRDefault="00FD5810" w:rsidP="00FD5810">
            <w:pPr>
              <w:spacing w:line="276" w:lineRule="auto"/>
              <w:rPr>
                <w:rFonts w:ascii="Palatino Linotype" w:eastAsia="Calibri" w:hAnsi="Palatino Linotype" w:cs="Tahoma"/>
                <w:b/>
                <w:sz w:val="22"/>
                <w:szCs w:val="22"/>
                <w:lang w:eastAsia="es-MX"/>
              </w:rPr>
            </w:pPr>
          </w:p>
          <w:p w14:paraId="27595C10" w14:textId="77777777" w:rsidR="00FD5810" w:rsidRDefault="00FD5810" w:rsidP="00FD5810">
            <w:pPr>
              <w:spacing w:line="276" w:lineRule="auto"/>
              <w:rPr>
                <w:rFonts w:ascii="Palatino Linotype" w:eastAsia="Calibri" w:hAnsi="Palatino Linotype" w:cs="Tahoma"/>
                <w:b/>
                <w:sz w:val="22"/>
                <w:szCs w:val="22"/>
                <w:lang w:eastAsia="es-MX"/>
              </w:rPr>
            </w:pPr>
          </w:p>
          <w:p w14:paraId="13262C7E" w14:textId="77777777" w:rsidR="008A627A" w:rsidRPr="00CE4250" w:rsidRDefault="008A627A" w:rsidP="00FD5810">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3A859838" w14:textId="77777777" w:rsidR="008A627A" w:rsidRPr="00CE4250" w:rsidRDefault="008A627A" w:rsidP="00FD5810">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322D7566" w14:textId="77777777" w:rsidR="008A627A" w:rsidRPr="00CE4250" w:rsidRDefault="008A627A" w:rsidP="00FD5810">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14FD8C25" w14:textId="77777777" w:rsidR="008A627A" w:rsidRPr="00CE4250" w:rsidRDefault="008A627A" w:rsidP="00FD5810">
            <w:pPr>
              <w:spacing w:line="276" w:lineRule="auto"/>
              <w:ind w:right="-108"/>
              <w:rPr>
                <w:rFonts w:ascii="Palatino Linotype" w:eastAsia="Calibri" w:hAnsi="Palatino Linotype" w:cs="Tahoma"/>
                <w:b/>
                <w:sz w:val="22"/>
                <w:szCs w:val="22"/>
              </w:rPr>
            </w:pPr>
          </w:p>
        </w:tc>
      </w:tr>
      <w:tr w:rsidR="008A627A" w:rsidRPr="00025F5D" w14:paraId="74099F51" w14:textId="77777777" w:rsidTr="00292B26">
        <w:trPr>
          <w:trHeight w:val="2673"/>
        </w:trPr>
        <w:tc>
          <w:tcPr>
            <w:tcW w:w="4678" w:type="dxa"/>
          </w:tcPr>
          <w:p w14:paraId="46A42D56" w14:textId="77777777" w:rsidR="008A627A" w:rsidRDefault="008A627A" w:rsidP="00F72CA9">
            <w:pPr>
              <w:spacing w:line="360" w:lineRule="auto"/>
              <w:ind w:right="29"/>
              <w:jc w:val="center"/>
              <w:rPr>
                <w:rFonts w:ascii="Palatino Linotype" w:eastAsia="Calibri" w:hAnsi="Palatino Linotype" w:cs="Tahoma"/>
                <w:b/>
                <w:sz w:val="22"/>
                <w:szCs w:val="22"/>
              </w:rPr>
            </w:pPr>
          </w:p>
          <w:p w14:paraId="236C06CC" w14:textId="77777777" w:rsidR="008A627A" w:rsidRDefault="008A627A" w:rsidP="00F72CA9">
            <w:pPr>
              <w:spacing w:line="360" w:lineRule="auto"/>
              <w:ind w:right="29"/>
              <w:jc w:val="center"/>
              <w:rPr>
                <w:rFonts w:ascii="Palatino Linotype" w:eastAsia="Calibri" w:hAnsi="Palatino Linotype" w:cs="Tahoma"/>
                <w:b/>
                <w:sz w:val="22"/>
                <w:szCs w:val="22"/>
              </w:rPr>
            </w:pPr>
          </w:p>
          <w:p w14:paraId="024D8FB0" w14:textId="77777777" w:rsidR="008A627A" w:rsidRPr="00CE4250" w:rsidRDefault="008A627A" w:rsidP="00F72CA9">
            <w:pPr>
              <w:spacing w:line="360" w:lineRule="auto"/>
              <w:ind w:right="29"/>
              <w:rPr>
                <w:rFonts w:ascii="Palatino Linotype" w:eastAsia="Calibri" w:hAnsi="Palatino Linotype" w:cs="Tahoma"/>
                <w:b/>
                <w:sz w:val="22"/>
                <w:szCs w:val="22"/>
              </w:rPr>
            </w:pPr>
          </w:p>
          <w:p w14:paraId="748E02AA" w14:textId="77777777" w:rsidR="008A627A" w:rsidRPr="00CE4250" w:rsidRDefault="008A627A" w:rsidP="00FD5810">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070928A7" w14:textId="77777777" w:rsidR="008A627A" w:rsidRPr="00CE4250" w:rsidRDefault="008A627A" w:rsidP="00FD5810">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056940A6" w14:textId="77777777" w:rsidR="008A627A" w:rsidRPr="00CE4250" w:rsidRDefault="008A627A" w:rsidP="00FD5810">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31E1D9B3" w14:textId="77777777" w:rsidR="008A627A" w:rsidRPr="00CE4250" w:rsidRDefault="008A627A" w:rsidP="00F72CA9">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2B712A45" w14:textId="1CD2CCAD" w:rsidR="008A627A" w:rsidRPr="00CE4250" w:rsidRDefault="008A627A" w:rsidP="00F72CA9">
            <w:pPr>
              <w:spacing w:line="360" w:lineRule="auto"/>
              <w:ind w:right="29"/>
              <w:rPr>
                <w:rFonts w:ascii="Palatino Linotype" w:eastAsia="Batang" w:hAnsi="Palatino Linotype" w:cs="Tahoma"/>
                <w:b/>
                <w:sz w:val="22"/>
                <w:szCs w:val="22"/>
              </w:rPr>
            </w:pPr>
          </w:p>
        </w:tc>
        <w:tc>
          <w:tcPr>
            <w:tcW w:w="4536" w:type="dxa"/>
          </w:tcPr>
          <w:p w14:paraId="2F6F5E87" w14:textId="77777777" w:rsidR="008A627A" w:rsidRDefault="008A627A" w:rsidP="00F72CA9">
            <w:pPr>
              <w:spacing w:line="360" w:lineRule="auto"/>
              <w:ind w:left="747" w:right="-108"/>
              <w:jc w:val="center"/>
              <w:rPr>
                <w:rFonts w:ascii="Palatino Linotype" w:eastAsia="Calibri" w:hAnsi="Palatino Linotype" w:cs="Tahoma"/>
                <w:b/>
                <w:sz w:val="22"/>
                <w:szCs w:val="22"/>
              </w:rPr>
            </w:pPr>
          </w:p>
          <w:p w14:paraId="5E8A2321" w14:textId="77777777" w:rsidR="008A627A" w:rsidRDefault="008A627A" w:rsidP="00F72CA9">
            <w:pPr>
              <w:spacing w:line="360" w:lineRule="auto"/>
              <w:ind w:left="747" w:right="-108"/>
              <w:jc w:val="center"/>
              <w:rPr>
                <w:rFonts w:ascii="Palatino Linotype" w:eastAsia="Calibri" w:hAnsi="Palatino Linotype" w:cs="Tahoma"/>
                <w:b/>
                <w:sz w:val="22"/>
                <w:szCs w:val="22"/>
              </w:rPr>
            </w:pPr>
          </w:p>
          <w:p w14:paraId="74728AC4" w14:textId="77777777" w:rsidR="008A627A" w:rsidRPr="00CE4250" w:rsidRDefault="008A627A" w:rsidP="00F72CA9">
            <w:pPr>
              <w:spacing w:line="360" w:lineRule="auto"/>
              <w:ind w:right="-108"/>
              <w:rPr>
                <w:rFonts w:ascii="Palatino Linotype" w:eastAsia="Calibri" w:hAnsi="Palatino Linotype" w:cs="Tahoma"/>
                <w:b/>
                <w:sz w:val="22"/>
                <w:szCs w:val="22"/>
              </w:rPr>
            </w:pPr>
          </w:p>
          <w:p w14:paraId="694282FA" w14:textId="77777777" w:rsidR="008A627A" w:rsidRPr="00CE4250" w:rsidRDefault="008A627A" w:rsidP="00FD5810">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37A7A1BD" w14:textId="77777777" w:rsidR="008A627A" w:rsidRPr="00CE4250" w:rsidRDefault="008A627A" w:rsidP="00FD5810">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4F49F3C" w14:textId="77777777" w:rsidR="008A627A" w:rsidRPr="00CE4250" w:rsidRDefault="008A627A" w:rsidP="00FD5810">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278D96E4" w14:textId="77777777" w:rsidR="008A627A" w:rsidRPr="00CE4250" w:rsidRDefault="008A627A" w:rsidP="00F72CA9">
            <w:pPr>
              <w:spacing w:line="360" w:lineRule="auto"/>
              <w:ind w:left="747"/>
              <w:jc w:val="center"/>
              <w:rPr>
                <w:rFonts w:ascii="Palatino Linotype" w:eastAsia="Calibri" w:hAnsi="Palatino Linotype" w:cs="Tahoma"/>
                <w:b/>
                <w:sz w:val="22"/>
                <w:szCs w:val="22"/>
                <w:lang w:eastAsia="es-MX"/>
              </w:rPr>
            </w:pPr>
          </w:p>
          <w:p w14:paraId="7DE27759" w14:textId="77777777" w:rsidR="008A627A" w:rsidRPr="00CE4250" w:rsidRDefault="008A627A" w:rsidP="00F72CA9">
            <w:pPr>
              <w:spacing w:line="360" w:lineRule="auto"/>
              <w:rPr>
                <w:rFonts w:ascii="Palatino Linotype" w:eastAsia="Calibri" w:hAnsi="Palatino Linotype" w:cs="Tahoma"/>
                <w:b/>
                <w:sz w:val="22"/>
                <w:szCs w:val="22"/>
                <w:lang w:eastAsia="es-MX"/>
              </w:rPr>
            </w:pPr>
          </w:p>
        </w:tc>
      </w:tr>
      <w:tr w:rsidR="008A627A" w:rsidRPr="00025F5D" w14:paraId="1FF2B5A3" w14:textId="77777777" w:rsidTr="00292B26">
        <w:tc>
          <w:tcPr>
            <w:tcW w:w="4678" w:type="dxa"/>
          </w:tcPr>
          <w:p w14:paraId="3031EEB9" w14:textId="77777777" w:rsidR="008A627A" w:rsidRDefault="008A627A" w:rsidP="00F72CA9">
            <w:pPr>
              <w:spacing w:line="360"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411E0A59" w14:textId="4DFD355C" w:rsidR="008A627A" w:rsidRDefault="008A627A" w:rsidP="00FD5810">
            <w:pPr>
              <w:spacing w:line="360" w:lineRule="auto"/>
              <w:ind w:right="29"/>
              <w:rPr>
                <w:rFonts w:ascii="Palatino Linotype" w:eastAsia="Calibri" w:hAnsi="Palatino Linotype" w:cs="Tahoma"/>
                <w:b/>
                <w:sz w:val="22"/>
                <w:szCs w:val="22"/>
              </w:rPr>
            </w:pPr>
          </w:p>
          <w:p w14:paraId="387FC489" w14:textId="77777777" w:rsidR="008A627A" w:rsidRPr="00CE4250" w:rsidRDefault="008A627A" w:rsidP="00FD5810">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18A38B32" w14:textId="77777777" w:rsidR="008A627A" w:rsidRPr="00CE4250" w:rsidRDefault="008A627A" w:rsidP="00FD5810">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1FC552" w14:textId="77777777" w:rsidR="008A627A" w:rsidRPr="00CE4250" w:rsidRDefault="008A627A" w:rsidP="00FD5810">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3EE1B18E" w14:textId="77777777" w:rsidR="008A627A" w:rsidRDefault="008A627A" w:rsidP="00F72CA9">
            <w:pPr>
              <w:spacing w:line="360" w:lineRule="auto"/>
              <w:ind w:left="747" w:right="-108"/>
              <w:jc w:val="center"/>
              <w:rPr>
                <w:rFonts w:ascii="Palatino Linotype" w:eastAsia="Calibri" w:hAnsi="Palatino Linotype" w:cs="Tahoma"/>
                <w:b/>
                <w:sz w:val="22"/>
                <w:szCs w:val="22"/>
                <w:lang w:eastAsia="es-MX"/>
              </w:rPr>
            </w:pPr>
          </w:p>
          <w:p w14:paraId="173E46C5" w14:textId="57C9E8FC" w:rsidR="008A627A" w:rsidRDefault="008A627A" w:rsidP="00FD5810">
            <w:pPr>
              <w:spacing w:line="360" w:lineRule="auto"/>
              <w:ind w:right="-108"/>
              <w:rPr>
                <w:rFonts w:ascii="Palatino Linotype" w:eastAsia="Calibri" w:hAnsi="Palatino Linotype" w:cs="Tahoma"/>
                <w:b/>
                <w:sz w:val="22"/>
                <w:szCs w:val="22"/>
                <w:lang w:eastAsia="es-MX"/>
              </w:rPr>
            </w:pPr>
          </w:p>
          <w:p w14:paraId="4B2DB26E" w14:textId="77777777" w:rsidR="008A627A" w:rsidRPr="00CE4250" w:rsidRDefault="008A627A" w:rsidP="00FD5810">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33230F03" w14:textId="77777777" w:rsidR="008A627A" w:rsidRPr="00FA330C" w:rsidRDefault="008A627A" w:rsidP="00FD5810">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6303B2E4" w14:textId="77777777" w:rsidR="008A627A" w:rsidRPr="00CE4250" w:rsidRDefault="008A627A" w:rsidP="00FD5810">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7F83CB0D" w14:textId="77777777" w:rsidTr="00292B26">
        <w:tc>
          <w:tcPr>
            <w:tcW w:w="9214" w:type="dxa"/>
            <w:gridSpan w:val="2"/>
          </w:tcPr>
          <w:p w14:paraId="3D2EFBC4" w14:textId="77777777" w:rsidR="008A627A" w:rsidRPr="00CE4250" w:rsidRDefault="008A627A" w:rsidP="00F72CA9">
            <w:pPr>
              <w:spacing w:line="360" w:lineRule="auto"/>
              <w:jc w:val="center"/>
              <w:rPr>
                <w:rFonts w:ascii="Palatino Linotype" w:eastAsia="Calibri" w:hAnsi="Palatino Linotype" w:cs="Tahoma"/>
                <w:b/>
                <w:sz w:val="22"/>
                <w:szCs w:val="22"/>
              </w:rPr>
            </w:pPr>
          </w:p>
          <w:p w14:paraId="7509F29E" w14:textId="731B3B59" w:rsidR="008A627A" w:rsidRDefault="008A627A" w:rsidP="00F72CA9">
            <w:pPr>
              <w:spacing w:line="360" w:lineRule="auto"/>
              <w:rPr>
                <w:rFonts w:ascii="Palatino Linotype" w:eastAsia="Calibri" w:hAnsi="Palatino Linotype" w:cs="Tahoma"/>
                <w:b/>
                <w:sz w:val="22"/>
                <w:szCs w:val="22"/>
              </w:rPr>
            </w:pPr>
          </w:p>
          <w:p w14:paraId="76C0B532" w14:textId="77777777" w:rsidR="00FD5810" w:rsidRPr="00CE4250" w:rsidRDefault="00FD5810" w:rsidP="00F72CA9">
            <w:pPr>
              <w:spacing w:line="360" w:lineRule="auto"/>
              <w:rPr>
                <w:rFonts w:ascii="Palatino Linotype" w:eastAsia="Calibri" w:hAnsi="Palatino Linotype" w:cs="Tahoma"/>
                <w:b/>
                <w:sz w:val="22"/>
                <w:szCs w:val="22"/>
              </w:rPr>
            </w:pPr>
          </w:p>
          <w:p w14:paraId="19AD8B9D" w14:textId="77777777" w:rsidR="008A627A" w:rsidRPr="00CE4250" w:rsidRDefault="008A627A" w:rsidP="00FD5810">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31D1D563" w14:textId="77777777" w:rsidR="008A627A" w:rsidRPr="00CE4250" w:rsidRDefault="008A627A" w:rsidP="00FD5810">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9F3F827" w14:textId="77777777" w:rsidR="008A627A" w:rsidRPr="00CE4250" w:rsidRDefault="008A627A" w:rsidP="00FD5810">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32EC81CC" w14:textId="77777777" w:rsidR="00FD5810" w:rsidRDefault="00FD5810" w:rsidP="00F72CA9">
      <w:pPr>
        <w:tabs>
          <w:tab w:val="left" w:pos="8931"/>
        </w:tabs>
        <w:spacing w:line="360" w:lineRule="auto"/>
        <w:ind w:right="-93"/>
        <w:jc w:val="both"/>
        <w:rPr>
          <w:rFonts w:ascii="Palatino Linotype" w:eastAsia="Calibri" w:hAnsi="Palatino Linotype" w:cs="Tahoma"/>
          <w:sz w:val="22"/>
          <w:lang w:eastAsia="en-US"/>
        </w:rPr>
      </w:pPr>
    </w:p>
    <w:p w14:paraId="09C96CEB" w14:textId="0E2B6C75" w:rsidR="008A627A" w:rsidRPr="0063119B" w:rsidRDefault="008A627A" w:rsidP="00F72CA9">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1C2EB6">
        <w:rPr>
          <w:rFonts w:ascii="Palatino Linotype" w:eastAsia="Calibri" w:hAnsi="Palatino Linotype" w:cs="Tahoma"/>
          <w:sz w:val="22"/>
          <w:lang w:eastAsia="en-US"/>
        </w:rPr>
        <w:t>trece</w:t>
      </w:r>
      <w:r w:rsidR="0063119B">
        <w:rPr>
          <w:rFonts w:ascii="Palatino Linotype" w:eastAsia="Calibri" w:hAnsi="Palatino Linotype" w:cs="Tahoma"/>
          <w:sz w:val="22"/>
          <w:lang w:eastAsia="en-US"/>
        </w:rPr>
        <w:t xml:space="preserve"> de febrero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4F0C1F">
        <w:rPr>
          <w:rFonts w:ascii="Palatino Linotype" w:eastAsia="Calibri" w:hAnsi="Palatino Linotype" w:cs="Tahoma"/>
          <w:b/>
          <w:bCs/>
          <w:sz w:val="22"/>
          <w:lang w:eastAsia="en-US"/>
        </w:rPr>
        <w:t>4376</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sectPr w:rsidR="008A627A" w:rsidRPr="0063119B"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DCEFA" w14:textId="77777777" w:rsidR="006256FA" w:rsidRDefault="006256FA" w:rsidP="00B31222">
      <w:r>
        <w:separator/>
      </w:r>
    </w:p>
  </w:endnote>
  <w:endnote w:type="continuationSeparator" w:id="0">
    <w:p w14:paraId="71113A65" w14:textId="77777777" w:rsidR="006256FA" w:rsidRDefault="006256F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057FDE5" w14:textId="2E13DD13" w:rsidR="000F1D0B" w:rsidRDefault="000F1D0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4A6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4A66">
              <w:rPr>
                <w:b/>
                <w:bCs/>
                <w:noProof/>
              </w:rPr>
              <w:t>40</w:t>
            </w:r>
            <w:r>
              <w:rPr>
                <w:b/>
                <w:bCs/>
                <w:sz w:val="24"/>
                <w:szCs w:val="24"/>
              </w:rPr>
              <w:fldChar w:fldCharType="end"/>
            </w:r>
          </w:p>
        </w:sdtContent>
      </w:sdt>
    </w:sdtContent>
  </w:sdt>
  <w:p w14:paraId="1AB3F4B7" w14:textId="77777777" w:rsidR="000F1D0B" w:rsidRDefault="000F1D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5F51280" w14:textId="738513F7" w:rsidR="000F1D0B" w:rsidRDefault="000F1D0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4A6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4A66">
              <w:rPr>
                <w:b/>
                <w:bCs/>
                <w:noProof/>
              </w:rPr>
              <w:t>40</w:t>
            </w:r>
            <w:r>
              <w:rPr>
                <w:b/>
                <w:bCs/>
                <w:sz w:val="24"/>
                <w:szCs w:val="24"/>
              </w:rPr>
              <w:fldChar w:fldCharType="end"/>
            </w:r>
          </w:p>
        </w:sdtContent>
      </w:sdt>
    </w:sdtContent>
  </w:sdt>
  <w:p w14:paraId="55D3BBA0" w14:textId="77777777" w:rsidR="000F1D0B" w:rsidRDefault="000F1D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C1949" w14:textId="77777777" w:rsidR="006256FA" w:rsidRDefault="006256FA" w:rsidP="00B31222">
      <w:r>
        <w:separator/>
      </w:r>
    </w:p>
  </w:footnote>
  <w:footnote w:type="continuationSeparator" w:id="0">
    <w:p w14:paraId="2F0458DA" w14:textId="77777777" w:rsidR="006256FA" w:rsidRDefault="006256F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F1D0B" w:rsidRPr="005C106F" w14:paraId="761876A6" w14:textId="77777777" w:rsidTr="00202DB8">
      <w:trPr>
        <w:trHeight w:val="1435"/>
      </w:trPr>
      <w:tc>
        <w:tcPr>
          <w:tcW w:w="2835" w:type="dxa"/>
          <w:shd w:val="clear" w:color="auto" w:fill="auto"/>
        </w:tcPr>
        <w:p w14:paraId="41E4FEEC" w14:textId="77777777" w:rsidR="000F1D0B" w:rsidRPr="005C106F" w:rsidRDefault="000F1D0B" w:rsidP="00EF4A64">
          <w:pPr>
            <w:tabs>
              <w:tab w:val="right" w:pos="4273"/>
            </w:tabs>
            <w:rPr>
              <w:rFonts w:ascii="Garamond" w:eastAsia="Calibri" w:hAnsi="Garamond"/>
              <w:sz w:val="16"/>
              <w:szCs w:val="16"/>
              <w:lang w:eastAsia="en-US"/>
            </w:rPr>
          </w:pPr>
        </w:p>
      </w:tc>
      <w:tc>
        <w:tcPr>
          <w:tcW w:w="6733" w:type="dxa"/>
          <w:shd w:val="clear" w:color="auto" w:fill="auto"/>
        </w:tcPr>
        <w:p w14:paraId="09148AEA" w14:textId="77777777" w:rsidR="000F1D0B" w:rsidRDefault="000F1D0B" w:rsidP="008A627A">
          <w:pPr>
            <w:spacing w:line="360" w:lineRule="auto"/>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0F1D0B" w:rsidRPr="008A627A" w14:paraId="34E74BA4" w14:textId="77777777" w:rsidTr="00FF46FD">
            <w:trPr>
              <w:trHeight w:val="144"/>
            </w:trPr>
            <w:tc>
              <w:tcPr>
                <w:tcW w:w="2727" w:type="dxa"/>
              </w:tcPr>
              <w:p w14:paraId="7421EB0D" w14:textId="77777777" w:rsidR="000F1D0B" w:rsidRPr="008A627A" w:rsidRDefault="000F1D0B"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509" w:type="dxa"/>
              </w:tcPr>
              <w:p w14:paraId="54434CD4" w14:textId="77777777" w:rsidR="000F1D0B" w:rsidRPr="008A627A" w:rsidRDefault="000F1D0B" w:rsidP="008A627A">
                <w:pPr>
                  <w:tabs>
                    <w:tab w:val="right" w:pos="8838"/>
                  </w:tabs>
                  <w:spacing w:line="360" w:lineRule="auto"/>
                  <w:ind w:left="-28" w:right="171"/>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4376</w:t>
                </w:r>
                <w:r w:rsidRPr="008A627A">
                  <w:rPr>
                    <w:rFonts w:ascii="Palatino Linotype" w:eastAsia="Calibri" w:hAnsi="Palatino Linotype" w:cs="Tahoma"/>
                    <w:bCs/>
                    <w:sz w:val="22"/>
                    <w:szCs w:val="22"/>
                    <w:lang w:eastAsia="en-US"/>
                  </w:rPr>
                  <w:t>/INFOEM/IP/RR/2018</w:t>
                </w:r>
              </w:p>
            </w:tc>
          </w:tr>
          <w:tr w:rsidR="000F1D0B" w:rsidRPr="008A627A" w14:paraId="2DF3A74C" w14:textId="77777777" w:rsidTr="00FF46FD">
            <w:trPr>
              <w:trHeight w:val="283"/>
            </w:trPr>
            <w:tc>
              <w:tcPr>
                <w:tcW w:w="2727" w:type="dxa"/>
              </w:tcPr>
              <w:p w14:paraId="284D9843" w14:textId="77777777" w:rsidR="000F1D0B" w:rsidRPr="008A627A" w:rsidRDefault="000F1D0B"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509" w:type="dxa"/>
              </w:tcPr>
              <w:p w14:paraId="43D71955" w14:textId="77777777" w:rsidR="000F1D0B" w:rsidRPr="008A627A" w:rsidRDefault="000F1D0B" w:rsidP="008A627A">
                <w:pPr>
                  <w:tabs>
                    <w:tab w:val="left" w:pos="2834"/>
                    <w:tab w:val="right" w:pos="8838"/>
                  </w:tabs>
                  <w:spacing w:line="360" w:lineRule="auto"/>
                  <w:ind w:right="171"/>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Instituto de Seguridad Social del Estado de México y Municipios</w:t>
                </w:r>
              </w:p>
            </w:tc>
          </w:tr>
          <w:tr w:rsidR="000F1D0B" w:rsidRPr="008A627A" w14:paraId="0028DA62" w14:textId="77777777" w:rsidTr="00FF46FD">
            <w:trPr>
              <w:trHeight w:val="283"/>
            </w:trPr>
            <w:tc>
              <w:tcPr>
                <w:tcW w:w="2727" w:type="dxa"/>
              </w:tcPr>
              <w:p w14:paraId="7765EB25" w14:textId="77777777" w:rsidR="000F1D0B" w:rsidRPr="008A627A" w:rsidRDefault="000F1D0B"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509" w:type="dxa"/>
              </w:tcPr>
              <w:p w14:paraId="1BFAD0CC" w14:textId="77777777" w:rsidR="000F1D0B" w:rsidRPr="008A627A" w:rsidRDefault="000F1D0B" w:rsidP="008A627A">
                <w:pPr>
                  <w:tabs>
                    <w:tab w:val="right" w:pos="8838"/>
                  </w:tabs>
                  <w:spacing w:line="360" w:lineRule="auto"/>
                  <w:ind w:right="171"/>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3A4EA4E3" w14:textId="77777777" w:rsidR="000F1D0B" w:rsidRPr="005C106F" w:rsidRDefault="000F1D0B" w:rsidP="005743D2">
          <w:pPr>
            <w:tabs>
              <w:tab w:val="right" w:pos="8838"/>
            </w:tabs>
            <w:ind w:left="-28"/>
            <w:jc w:val="both"/>
            <w:rPr>
              <w:rFonts w:ascii="Arial" w:eastAsia="Calibri" w:hAnsi="Arial" w:cs="Arial"/>
              <w:b/>
              <w:sz w:val="22"/>
              <w:szCs w:val="22"/>
              <w:lang w:eastAsia="en-US"/>
            </w:rPr>
          </w:pPr>
        </w:p>
      </w:tc>
    </w:tr>
  </w:tbl>
  <w:p w14:paraId="238CB2E5" w14:textId="77777777" w:rsidR="000F1D0B" w:rsidRPr="00443C6B" w:rsidRDefault="000F1D0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F1D0B" w:rsidRPr="005C106F" w14:paraId="325E1BBC" w14:textId="77777777" w:rsidTr="003B165A">
      <w:trPr>
        <w:trHeight w:val="1435"/>
      </w:trPr>
      <w:tc>
        <w:tcPr>
          <w:tcW w:w="2835" w:type="dxa"/>
          <w:shd w:val="clear" w:color="auto" w:fill="auto"/>
        </w:tcPr>
        <w:p w14:paraId="4B0148DC" w14:textId="77777777" w:rsidR="000F1D0B" w:rsidRPr="005C106F" w:rsidRDefault="000F1D0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F1D0B" w:rsidRPr="008A627A" w14:paraId="433F2185" w14:textId="77777777" w:rsidTr="001171BD">
            <w:trPr>
              <w:trHeight w:val="144"/>
            </w:trPr>
            <w:tc>
              <w:tcPr>
                <w:tcW w:w="2727" w:type="dxa"/>
              </w:tcPr>
              <w:p w14:paraId="0B54EB01" w14:textId="77777777" w:rsidR="000F1D0B" w:rsidRPr="008A627A" w:rsidRDefault="000F1D0B"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402" w:type="dxa"/>
              </w:tcPr>
              <w:p w14:paraId="53C838FD" w14:textId="77777777" w:rsidR="000F1D0B" w:rsidRPr="008A627A" w:rsidRDefault="000F1D0B" w:rsidP="008A627A">
                <w:pPr>
                  <w:tabs>
                    <w:tab w:val="right" w:pos="8838"/>
                  </w:tabs>
                  <w:spacing w:line="360" w:lineRule="auto"/>
                  <w:ind w:left="-74" w:right="-105"/>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4376</w:t>
                </w:r>
                <w:r w:rsidRPr="008A627A">
                  <w:rPr>
                    <w:rFonts w:ascii="Palatino Linotype" w:eastAsia="Calibri" w:hAnsi="Palatino Linotype" w:cs="Tahoma"/>
                    <w:bCs/>
                    <w:sz w:val="22"/>
                    <w:szCs w:val="22"/>
                    <w:lang w:eastAsia="en-US"/>
                  </w:rPr>
                  <w:t>/INFOEM/IP/RR/2018</w:t>
                </w:r>
              </w:p>
            </w:tc>
          </w:tr>
          <w:tr w:rsidR="000F1D0B" w:rsidRPr="008A627A" w14:paraId="514AE5F6" w14:textId="77777777" w:rsidTr="001171BD">
            <w:trPr>
              <w:trHeight w:val="144"/>
            </w:trPr>
            <w:tc>
              <w:tcPr>
                <w:tcW w:w="2727" w:type="dxa"/>
              </w:tcPr>
              <w:p w14:paraId="67F5BC76" w14:textId="77777777" w:rsidR="000F1D0B" w:rsidRPr="008A627A" w:rsidRDefault="000F1D0B"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402" w:type="dxa"/>
              </w:tcPr>
              <w:p w14:paraId="594BF034" w14:textId="19C567C4" w:rsidR="000F1D0B" w:rsidRPr="008A627A" w:rsidRDefault="00827960" w:rsidP="008A627A">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404A66">
                  <w:rPr>
                    <w:rFonts w:ascii="Palatino Linotype" w:eastAsia="Calibri" w:hAnsi="Palatino Linotype" w:cs="Tahoma"/>
                    <w:sz w:val="22"/>
                    <w:szCs w:val="22"/>
                    <w:highlight w:val="black"/>
                    <w:lang w:val="es-MX" w:eastAsia="en-US"/>
                  </w:rPr>
                  <w:t>XXXXXXXXX</w:t>
                </w:r>
              </w:p>
            </w:tc>
          </w:tr>
          <w:tr w:rsidR="000F1D0B" w:rsidRPr="008A627A" w14:paraId="738689E3" w14:textId="77777777" w:rsidTr="001171BD">
            <w:trPr>
              <w:trHeight w:val="283"/>
            </w:trPr>
            <w:tc>
              <w:tcPr>
                <w:tcW w:w="2727" w:type="dxa"/>
              </w:tcPr>
              <w:p w14:paraId="4164FDDC" w14:textId="77777777" w:rsidR="000F1D0B" w:rsidRPr="008A627A" w:rsidRDefault="000F1D0B"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402" w:type="dxa"/>
              </w:tcPr>
              <w:p w14:paraId="5A6BC58D" w14:textId="77777777" w:rsidR="000F1D0B" w:rsidRPr="008A627A" w:rsidRDefault="000F1D0B" w:rsidP="008A627A">
                <w:pPr>
                  <w:tabs>
                    <w:tab w:val="left" w:pos="2834"/>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Instituto de Seguridad Social del Estado de México y Municipios</w:t>
                </w:r>
              </w:p>
            </w:tc>
          </w:tr>
          <w:tr w:rsidR="000F1D0B" w:rsidRPr="008A627A" w14:paraId="06C841E8" w14:textId="77777777" w:rsidTr="001171BD">
            <w:trPr>
              <w:trHeight w:val="283"/>
            </w:trPr>
            <w:tc>
              <w:tcPr>
                <w:tcW w:w="2727" w:type="dxa"/>
              </w:tcPr>
              <w:p w14:paraId="0B64B73D" w14:textId="77777777" w:rsidR="000F1D0B" w:rsidRPr="008A627A" w:rsidRDefault="000F1D0B"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402" w:type="dxa"/>
              </w:tcPr>
              <w:p w14:paraId="31D656AF" w14:textId="77777777" w:rsidR="000F1D0B" w:rsidRPr="008A627A" w:rsidRDefault="000F1D0B" w:rsidP="008A627A">
                <w:pPr>
                  <w:tabs>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4B951BF3" w14:textId="77777777" w:rsidR="000F1D0B" w:rsidRPr="005C106F" w:rsidRDefault="000F1D0B" w:rsidP="00DB7E5F">
          <w:pPr>
            <w:tabs>
              <w:tab w:val="right" w:pos="8838"/>
            </w:tabs>
            <w:ind w:left="-28"/>
            <w:jc w:val="both"/>
            <w:rPr>
              <w:rFonts w:ascii="Arial" w:eastAsia="Calibri" w:hAnsi="Arial" w:cs="Arial"/>
              <w:b/>
              <w:sz w:val="22"/>
              <w:szCs w:val="22"/>
              <w:lang w:eastAsia="en-US"/>
            </w:rPr>
          </w:pPr>
        </w:p>
      </w:tc>
    </w:tr>
  </w:tbl>
  <w:p w14:paraId="5F5AC8B2" w14:textId="77777777" w:rsidR="000F1D0B" w:rsidRDefault="000F1D0B"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7D4B99"/>
    <w:multiLevelType w:val="hybridMultilevel"/>
    <w:tmpl w:val="DB96C39C"/>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20C01"/>
    <w:multiLevelType w:val="hybridMultilevel"/>
    <w:tmpl w:val="6D386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1A13E2"/>
    <w:multiLevelType w:val="hybridMultilevel"/>
    <w:tmpl w:val="C0BA19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DD6AA7"/>
    <w:multiLevelType w:val="hybridMultilevel"/>
    <w:tmpl w:val="A6D82D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74C1C"/>
    <w:multiLevelType w:val="hybridMultilevel"/>
    <w:tmpl w:val="4B3817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7D2868"/>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D13E3"/>
    <w:multiLevelType w:val="hybridMultilevel"/>
    <w:tmpl w:val="8E70F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6623460"/>
    <w:multiLevelType w:val="hybridMultilevel"/>
    <w:tmpl w:val="2530ECEE"/>
    <w:lvl w:ilvl="0" w:tplc="FEC0AFA6">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F04BA"/>
    <w:multiLevelType w:val="hybridMultilevel"/>
    <w:tmpl w:val="1562D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4E1F49"/>
    <w:multiLevelType w:val="hybridMultilevel"/>
    <w:tmpl w:val="BAA02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157335"/>
    <w:multiLevelType w:val="hybridMultilevel"/>
    <w:tmpl w:val="1CECD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301284"/>
    <w:multiLevelType w:val="hybridMultilevel"/>
    <w:tmpl w:val="0DD649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0978E5"/>
    <w:multiLevelType w:val="hybridMultilevel"/>
    <w:tmpl w:val="BAA02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F97E8A"/>
    <w:multiLevelType w:val="hybridMultilevel"/>
    <w:tmpl w:val="7AEC4246"/>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4A645C"/>
    <w:multiLevelType w:val="hybridMultilevel"/>
    <w:tmpl w:val="EE528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EE2C15"/>
    <w:multiLevelType w:val="hybridMultilevel"/>
    <w:tmpl w:val="CFA4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2636C2"/>
    <w:multiLevelType w:val="hybridMultilevel"/>
    <w:tmpl w:val="CCD00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1"/>
  </w:num>
  <w:num w:numId="2">
    <w:abstractNumId w:val="0"/>
  </w:num>
  <w:num w:numId="3">
    <w:abstractNumId w:val="5"/>
  </w:num>
  <w:num w:numId="4">
    <w:abstractNumId w:val="40"/>
  </w:num>
  <w:num w:numId="5">
    <w:abstractNumId w:val="15"/>
  </w:num>
  <w:num w:numId="6">
    <w:abstractNumId w:val="39"/>
  </w:num>
  <w:num w:numId="7">
    <w:abstractNumId w:val="11"/>
  </w:num>
  <w:num w:numId="8">
    <w:abstractNumId w:val="38"/>
  </w:num>
  <w:num w:numId="9">
    <w:abstractNumId w:val="19"/>
  </w:num>
  <w:num w:numId="10">
    <w:abstractNumId w:val="1"/>
  </w:num>
  <w:num w:numId="11">
    <w:abstractNumId w:val="17"/>
  </w:num>
  <w:num w:numId="12">
    <w:abstractNumId w:val="35"/>
  </w:num>
  <w:num w:numId="13">
    <w:abstractNumId w:val="36"/>
  </w:num>
  <w:num w:numId="14">
    <w:abstractNumId w:val="31"/>
  </w:num>
  <w:num w:numId="15">
    <w:abstractNumId w:val="22"/>
  </w:num>
  <w:num w:numId="16">
    <w:abstractNumId w:val="24"/>
  </w:num>
  <w:num w:numId="17">
    <w:abstractNumId w:val="18"/>
  </w:num>
  <w:num w:numId="18">
    <w:abstractNumId w:val="29"/>
  </w:num>
  <w:num w:numId="19">
    <w:abstractNumId w:val="32"/>
  </w:num>
  <w:num w:numId="20">
    <w:abstractNumId w:val="33"/>
  </w:num>
  <w:num w:numId="21">
    <w:abstractNumId w:val="20"/>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5"/>
  </w:num>
  <w:num w:numId="25">
    <w:abstractNumId w:val="2"/>
  </w:num>
  <w:num w:numId="26">
    <w:abstractNumId w:val="6"/>
  </w:num>
  <w:num w:numId="27">
    <w:abstractNumId w:val="3"/>
  </w:num>
  <w:num w:numId="28">
    <w:abstractNumId w:val="30"/>
  </w:num>
  <w:num w:numId="29">
    <w:abstractNumId w:val="8"/>
  </w:num>
  <w:num w:numId="30">
    <w:abstractNumId w:val="16"/>
  </w:num>
  <w:num w:numId="31">
    <w:abstractNumId w:val="13"/>
  </w:num>
  <w:num w:numId="32">
    <w:abstractNumId w:val="10"/>
  </w:num>
  <w:num w:numId="33">
    <w:abstractNumId w:val="9"/>
  </w:num>
  <w:num w:numId="34">
    <w:abstractNumId w:val="14"/>
  </w:num>
  <w:num w:numId="35">
    <w:abstractNumId w:val="23"/>
  </w:num>
  <w:num w:numId="36">
    <w:abstractNumId w:val="34"/>
  </w:num>
  <w:num w:numId="37">
    <w:abstractNumId w:val="12"/>
  </w:num>
  <w:num w:numId="38">
    <w:abstractNumId w:val="27"/>
  </w:num>
  <w:num w:numId="39">
    <w:abstractNumId w:val="21"/>
  </w:num>
  <w:num w:numId="40">
    <w:abstractNumId w:val="26"/>
  </w:num>
  <w:num w:numId="41">
    <w:abstractNumId w:val="4"/>
  </w:num>
  <w:num w:numId="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D26"/>
    <w:rsid w:val="000200A1"/>
    <w:rsid w:val="00020818"/>
    <w:rsid w:val="000212E5"/>
    <w:rsid w:val="00021C64"/>
    <w:rsid w:val="000241C5"/>
    <w:rsid w:val="00025F5D"/>
    <w:rsid w:val="000313A7"/>
    <w:rsid w:val="00032F5B"/>
    <w:rsid w:val="00034E9D"/>
    <w:rsid w:val="00035F9E"/>
    <w:rsid w:val="000373BC"/>
    <w:rsid w:val="00037B34"/>
    <w:rsid w:val="00037F4B"/>
    <w:rsid w:val="00043C4B"/>
    <w:rsid w:val="0004646B"/>
    <w:rsid w:val="00046B43"/>
    <w:rsid w:val="00052431"/>
    <w:rsid w:val="000528E6"/>
    <w:rsid w:val="0006017B"/>
    <w:rsid w:val="00061029"/>
    <w:rsid w:val="000620E1"/>
    <w:rsid w:val="00064855"/>
    <w:rsid w:val="0007114E"/>
    <w:rsid w:val="00071A4A"/>
    <w:rsid w:val="000813B0"/>
    <w:rsid w:val="0008148B"/>
    <w:rsid w:val="00092475"/>
    <w:rsid w:val="00097211"/>
    <w:rsid w:val="000A0518"/>
    <w:rsid w:val="000A20A4"/>
    <w:rsid w:val="000A5058"/>
    <w:rsid w:val="000A7211"/>
    <w:rsid w:val="000A7884"/>
    <w:rsid w:val="000B1D37"/>
    <w:rsid w:val="000B2C93"/>
    <w:rsid w:val="000B36DD"/>
    <w:rsid w:val="000B5711"/>
    <w:rsid w:val="000B6020"/>
    <w:rsid w:val="000C2283"/>
    <w:rsid w:val="000C27CA"/>
    <w:rsid w:val="000C59CB"/>
    <w:rsid w:val="000D0B08"/>
    <w:rsid w:val="000D1DDF"/>
    <w:rsid w:val="000D2A27"/>
    <w:rsid w:val="000E0BEA"/>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2275"/>
    <w:rsid w:val="001133D5"/>
    <w:rsid w:val="00114068"/>
    <w:rsid w:val="001150E9"/>
    <w:rsid w:val="001166C8"/>
    <w:rsid w:val="001171BD"/>
    <w:rsid w:val="00121D5B"/>
    <w:rsid w:val="001221B8"/>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D6C"/>
    <w:rsid w:val="00182DCE"/>
    <w:rsid w:val="00182F0F"/>
    <w:rsid w:val="00183D24"/>
    <w:rsid w:val="001851A6"/>
    <w:rsid w:val="001875A7"/>
    <w:rsid w:val="001879E1"/>
    <w:rsid w:val="0019389B"/>
    <w:rsid w:val="001A1B94"/>
    <w:rsid w:val="001A22F5"/>
    <w:rsid w:val="001A7FD2"/>
    <w:rsid w:val="001B107D"/>
    <w:rsid w:val="001B2CD9"/>
    <w:rsid w:val="001B62A0"/>
    <w:rsid w:val="001C282F"/>
    <w:rsid w:val="001C2EB6"/>
    <w:rsid w:val="001D0086"/>
    <w:rsid w:val="001D0094"/>
    <w:rsid w:val="001D67AC"/>
    <w:rsid w:val="001D7012"/>
    <w:rsid w:val="001D7BD2"/>
    <w:rsid w:val="001E2A4D"/>
    <w:rsid w:val="001E53C2"/>
    <w:rsid w:val="001F0E9C"/>
    <w:rsid w:val="001F0EB8"/>
    <w:rsid w:val="001F1540"/>
    <w:rsid w:val="001F2FF5"/>
    <w:rsid w:val="001F652C"/>
    <w:rsid w:val="001F78D9"/>
    <w:rsid w:val="00202DB8"/>
    <w:rsid w:val="002060B4"/>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1FF7"/>
    <w:rsid w:val="00252669"/>
    <w:rsid w:val="00254209"/>
    <w:rsid w:val="00254288"/>
    <w:rsid w:val="0025469C"/>
    <w:rsid w:val="002579CE"/>
    <w:rsid w:val="00260FEC"/>
    <w:rsid w:val="00261DD6"/>
    <w:rsid w:val="00262761"/>
    <w:rsid w:val="002657E2"/>
    <w:rsid w:val="00271E0B"/>
    <w:rsid w:val="002727CC"/>
    <w:rsid w:val="00273679"/>
    <w:rsid w:val="00281A35"/>
    <w:rsid w:val="00281AD9"/>
    <w:rsid w:val="00284486"/>
    <w:rsid w:val="00285644"/>
    <w:rsid w:val="0028581E"/>
    <w:rsid w:val="00287034"/>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E140A"/>
    <w:rsid w:val="002E17FE"/>
    <w:rsid w:val="002E5015"/>
    <w:rsid w:val="002E7ACF"/>
    <w:rsid w:val="002F0C1A"/>
    <w:rsid w:val="002F0CE9"/>
    <w:rsid w:val="002F3BD0"/>
    <w:rsid w:val="002F58D8"/>
    <w:rsid w:val="002F7D66"/>
    <w:rsid w:val="00300A0B"/>
    <w:rsid w:val="00300F75"/>
    <w:rsid w:val="00301F46"/>
    <w:rsid w:val="00303CAD"/>
    <w:rsid w:val="00303E71"/>
    <w:rsid w:val="00304E7C"/>
    <w:rsid w:val="00306418"/>
    <w:rsid w:val="003100F3"/>
    <w:rsid w:val="00310C11"/>
    <w:rsid w:val="00312456"/>
    <w:rsid w:val="00316600"/>
    <w:rsid w:val="00316914"/>
    <w:rsid w:val="00316A07"/>
    <w:rsid w:val="003171AD"/>
    <w:rsid w:val="003172EC"/>
    <w:rsid w:val="0032170B"/>
    <w:rsid w:val="00323325"/>
    <w:rsid w:val="003243B0"/>
    <w:rsid w:val="00325EC0"/>
    <w:rsid w:val="00330729"/>
    <w:rsid w:val="003340EC"/>
    <w:rsid w:val="003350FF"/>
    <w:rsid w:val="0034057C"/>
    <w:rsid w:val="00350142"/>
    <w:rsid w:val="00353B6D"/>
    <w:rsid w:val="00354920"/>
    <w:rsid w:val="00355DC6"/>
    <w:rsid w:val="003604D7"/>
    <w:rsid w:val="00361176"/>
    <w:rsid w:val="0036351E"/>
    <w:rsid w:val="00363615"/>
    <w:rsid w:val="00364521"/>
    <w:rsid w:val="00365026"/>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6BEF"/>
    <w:rsid w:val="003C0AFA"/>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4A66"/>
    <w:rsid w:val="004052C5"/>
    <w:rsid w:val="004059FB"/>
    <w:rsid w:val="00407A93"/>
    <w:rsid w:val="004100AA"/>
    <w:rsid w:val="00410CD2"/>
    <w:rsid w:val="00412203"/>
    <w:rsid w:val="00414F9B"/>
    <w:rsid w:val="00417DE3"/>
    <w:rsid w:val="00420B07"/>
    <w:rsid w:val="00422869"/>
    <w:rsid w:val="00423D2F"/>
    <w:rsid w:val="00425F1A"/>
    <w:rsid w:val="00426448"/>
    <w:rsid w:val="00427457"/>
    <w:rsid w:val="004321C5"/>
    <w:rsid w:val="0043257A"/>
    <w:rsid w:val="00436FD3"/>
    <w:rsid w:val="004406CF"/>
    <w:rsid w:val="00441804"/>
    <w:rsid w:val="004435B4"/>
    <w:rsid w:val="004468F9"/>
    <w:rsid w:val="0046048A"/>
    <w:rsid w:val="0046536E"/>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E83"/>
    <w:rsid w:val="004D5DB3"/>
    <w:rsid w:val="004E345F"/>
    <w:rsid w:val="004E3BBA"/>
    <w:rsid w:val="004E401B"/>
    <w:rsid w:val="004E41C7"/>
    <w:rsid w:val="004E7DB7"/>
    <w:rsid w:val="004F0C1F"/>
    <w:rsid w:val="004F2D88"/>
    <w:rsid w:val="004F3D21"/>
    <w:rsid w:val="00502705"/>
    <w:rsid w:val="005070C3"/>
    <w:rsid w:val="0051276F"/>
    <w:rsid w:val="00513CD2"/>
    <w:rsid w:val="005220BE"/>
    <w:rsid w:val="00526575"/>
    <w:rsid w:val="00533B79"/>
    <w:rsid w:val="00542D5F"/>
    <w:rsid w:val="005435DE"/>
    <w:rsid w:val="00544C28"/>
    <w:rsid w:val="00546BAE"/>
    <w:rsid w:val="00552EBD"/>
    <w:rsid w:val="00553827"/>
    <w:rsid w:val="00555F71"/>
    <w:rsid w:val="00563BEB"/>
    <w:rsid w:val="00566849"/>
    <w:rsid w:val="005740F6"/>
    <w:rsid w:val="005743D2"/>
    <w:rsid w:val="00575905"/>
    <w:rsid w:val="00575AAE"/>
    <w:rsid w:val="005802BD"/>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F1"/>
    <w:rsid w:val="005D49C8"/>
    <w:rsid w:val="005D5607"/>
    <w:rsid w:val="005E1EE5"/>
    <w:rsid w:val="005E37E9"/>
    <w:rsid w:val="005E413C"/>
    <w:rsid w:val="005F03DB"/>
    <w:rsid w:val="005F48F1"/>
    <w:rsid w:val="00603A46"/>
    <w:rsid w:val="00606194"/>
    <w:rsid w:val="0061115C"/>
    <w:rsid w:val="00611A49"/>
    <w:rsid w:val="00613017"/>
    <w:rsid w:val="00613A54"/>
    <w:rsid w:val="00616189"/>
    <w:rsid w:val="0062078C"/>
    <w:rsid w:val="00620E8F"/>
    <w:rsid w:val="00621760"/>
    <w:rsid w:val="006217BB"/>
    <w:rsid w:val="006256FA"/>
    <w:rsid w:val="00625BD5"/>
    <w:rsid w:val="00625DFB"/>
    <w:rsid w:val="006277B7"/>
    <w:rsid w:val="0063119B"/>
    <w:rsid w:val="00634D1A"/>
    <w:rsid w:val="00637179"/>
    <w:rsid w:val="006418ED"/>
    <w:rsid w:val="00642B13"/>
    <w:rsid w:val="00645F7D"/>
    <w:rsid w:val="00646100"/>
    <w:rsid w:val="006476CA"/>
    <w:rsid w:val="0065338B"/>
    <w:rsid w:val="00654355"/>
    <w:rsid w:val="006552AE"/>
    <w:rsid w:val="00655773"/>
    <w:rsid w:val="006563CA"/>
    <w:rsid w:val="006578FC"/>
    <w:rsid w:val="006608AB"/>
    <w:rsid w:val="006620DA"/>
    <w:rsid w:val="00664587"/>
    <w:rsid w:val="00666F25"/>
    <w:rsid w:val="00666FF7"/>
    <w:rsid w:val="00667C1C"/>
    <w:rsid w:val="00670A43"/>
    <w:rsid w:val="00670C5D"/>
    <w:rsid w:val="00673DD4"/>
    <w:rsid w:val="00674AEB"/>
    <w:rsid w:val="006828D8"/>
    <w:rsid w:val="0068455C"/>
    <w:rsid w:val="00684887"/>
    <w:rsid w:val="006867FA"/>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4FCB"/>
    <w:rsid w:val="006E716F"/>
    <w:rsid w:val="006F01E7"/>
    <w:rsid w:val="006F1F3A"/>
    <w:rsid w:val="006F7EB8"/>
    <w:rsid w:val="0070094A"/>
    <w:rsid w:val="00702DD7"/>
    <w:rsid w:val="007047D3"/>
    <w:rsid w:val="00705663"/>
    <w:rsid w:val="00705C40"/>
    <w:rsid w:val="0071087E"/>
    <w:rsid w:val="00721648"/>
    <w:rsid w:val="007229A1"/>
    <w:rsid w:val="007235AA"/>
    <w:rsid w:val="00725B77"/>
    <w:rsid w:val="00725E35"/>
    <w:rsid w:val="007276DE"/>
    <w:rsid w:val="00732289"/>
    <w:rsid w:val="007343FD"/>
    <w:rsid w:val="00735915"/>
    <w:rsid w:val="00735C21"/>
    <w:rsid w:val="0073614A"/>
    <w:rsid w:val="00736FF2"/>
    <w:rsid w:val="00740C8C"/>
    <w:rsid w:val="00741AC4"/>
    <w:rsid w:val="00742CA5"/>
    <w:rsid w:val="007513F0"/>
    <w:rsid w:val="007515BC"/>
    <w:rsid w:val="00752606"/>
    <w:rsid w:val="00756824"/>
    <w:rsid w:val="007573B2"/>
    <w:rsid w:val="007574BB"/>
    <w:rsid w:val="0075764C"/>
    <w:rsid w:val="00762198"/>
    <w:rsid w:val="00763CE8"/>
    <w:rsid w:val="00770792"/>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710E"/>
    <w:rsid w:val="007D7E3A"/>
    <w:rsid w:val="007E22E7"/>
    <w:rsid w:val="007E2893"/>
    <w:rsid w:val="007E4232"/>
    <w:rsid w:val="007E69BB"/>
    <w:rsid w:val="007E6AB8"/>
    <w:rsid w:val="007E7E96"/>
    <w:rsid w:val="007F2109"/>
    <w:rsid w:val="007F21C5"/>
    <w:rsid w:val="007F26EE"/>
    <w:rsid w:val="007F3EF1"/>
    <w:rsid w:val="0080056E"/>
    <w:rsid w:val="00801457"/>
    <w:rsid w:val="00801BCE"/>
    <w:rsid w:val="00802515"/>
    <w:rsid w:val="00807232"/>
    <w:rsid w:val="0081283F"/>
    <w:rsid w:val="00812C0C"/>
    <w:rsid w:val="0081480A"/>
    <w:rsid w:val="008202EB"/>
    <w:rsid w:val="00820F86"/>
    <w:rsid w:val="008242C5"/>
    <w:rsid w:val="00827960"/>
    <w:rsid w:val="00827F88"/>
    <w:rsid w:val="008336A5"/>
    <w:rsid w:val="00835474"/>
    <w:rsid w:val="008373C0"/>
    <w:rsid w:val="0084105A"/>
    <w:rsid w:val="0084145F"/>
    <w:rsid w:val="00841DA2"/>
    <w:rsid w:val="00844CB5"/>
    <w:rsid w:val="008458F6"/>
    <w:rsid w:val="00845AED"/>
    <w:rsid w:val="0084708E"/>
    <w:rsid w:val="008475AF"/>
    <w:rsid w:val="00850B8B"/>
    <w:rsid w:val="00851AE4"/>
    <w:rsid w:val="008554B6"/>
    <w:rsid w:val="0085598D"/>
    <w:rsid w:val="008570B1"/>
    <w:rsid w:val="00862771"/>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A627A"/>
    <w:rsid w:val="008B6848"/>
    <w:rsid w:val="008C12F2"/>
    <w:rsid w:val="008C2FA1"/>
    <w:rsid w:val="008D2C4C"/>
    <w:rsid w:val="008D4097"/>
    <w:rsid w:val="008D7E0D"/>
    <w:rsid w:val="008D7EDB"/>
    <w:rsid w:val="008E1829"/>
    <w:rsid w:val="008E1A61"/>
    <w:rsid w:val="008E2327"/>
    <w:rsid w:val="008E5077"/>
    <w:rsid w:val="008E64F0"/>
    <w:rsid w:val="008E6FF3"/>
    <w:rsid w:val="008E7B05"/>
    <w:rsid w:val="008F18ED"/>
    <w:rsid w:val="008F46C2"/>
    <w:rsid w:val="008F7068"/>
    <w:rsid w:val="00902534"/>
    <w:rsid w:val="00903D37"/>
    <w:rsid w:val="0091055D"/>
    <w:rsid w:val="00912574"/>
    <w:rsid w:val="00914C61"/>
    <w:rsid w:val="00917D6F"/>
    <w:rsid w:val="0092073B"/>
    <w:rsid w:val="00921B1A"/>
    <w:rsid w:val="00921B7F"/>
    <w:rsid w:val="00921DDA"/>
    <w:rsid w:val="00922DE1"/>
    <w:rsid w:val="0092600D"/>
    <w:rsid w:val="0093039D"/>
    <w:rsid w:val="00931E4F"/>
    <w:rsid w:val="0093364D"/>
    <w:rsid w:val="00936574"/>
    <w:rsid w:val="00937EE1"/>
    <w:rsid w:val="00943BCE"/>
    <w:rsid w:val="009479EB"/>
    <w:rsid w:val="00960346"/>
    <w:rsid w:val="009617D3"/>
    <w:rsid w:val="00961CCC"/>
    <w:rsid w:val="0096463B"/>
    <w:rsid w:val="00967869"/>
    <w:rsid w:val="0096796E"/>
    <w:rsid w:val="00971F54"/>
    <w:rsid w:val="009725C5"/>
    <w:rsid w:val="00972B4E"/>
    <w:rsid w:val="00973F40"/>
    <w:rsid w:val="00980900"/>
    <w:rsid w:val="00983EED"/>
    <w:rsid w:val="009849EF"/>
    <w:rsid w:val="00986DB7"/>
    <w:rsid w:val="009934CF"/>
    <w:rsid w:val="00994396"/>
    <w:rsid w:val="00994FB1"/>
    <w:rsid w:val="009A0D75"/>
    <w:rsid w:val="009A1B9C"/>
    <w:rsid w:val="009A306D"/>
    <w:rsid w:val="009A347A"/>
    <w:rsid w:val="009A620E"/>
    <w:rsid w:val="009B6A6F"/>
    <w:rsid w:val="009C1AFE"/>
    <w:rsid w:val="009C3E33"/>
    <w:rsid w:val="009C429F"/>
    <w:rsid w:val="009C5F24"/>
    <w:rsid w:val="009D048B"/>
    <w:rsid w:val="009D1B5D"/>
    <w:rsid w:val="009D69C6"/>
    <w:rsid w:val="009D7B52"/>
    <w:rsid w:val="009E5419"/>
    <w:rsid w:val="009E5A6E"/>
    <w:rsid w:val="009E70E7"/>
    <w:rsid w:val="009F25A8"/>
    <w:rsid w:val="009F46DC"/>
    <w:rsid w:val="00A01C00"/>
    <w:rsid w:val="00A03A1B"/>
    <w:rsid w:val="00A064AC"/>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594F"/>
    <w:rsid w:val="00A47916"/>
    <w:rsid w:val="00A536DA"/>
    <w:rsid w:val="00A56F39"/>
    <w:rsid w:val="00A571CD"/>
    <w:rsid w:val="00A57C3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0BA0"/>
    <w:rsid w:val="00AA2289"/>
    <w:rsid w:val="00AA35D5"/>
    <w:rsid w:val="00AA417B"/>
    <w:rsid w:val="00AA533F"/>
    <w:rsid w:val="00AA5A86"/>
    <w:rsid w:val="00AB010D"/>
    <w:rsid w:val="00AB0749"/>
    <w:rsid w:val="00AB76D8"/>
    <w:rsid w:val="00AB7E6A"/>
    <w:rsid w:val="00AC1B50"/>
    <w:rsid w:val="00AC1B61"/>
    <w:rsid w:val="00AC2C6E"/>
    <w:rsid w:val="00AC5EE6"/>
    <w:rsid w:val="00AD0D24"/>
    <w:rsid w:val="00AD1923"/>
    <w:rsid w:val="00AD2611"/>
    <w:rsid w:val="00AD3AC5"/>
    <w:rsid w:val="00AD3D57"/>
    <w:rsid w:val="00AE0B4B"/>
    <w:rsid w:val="00AE47BF"/>
    <w:rsid w:val="00AE489D"/>
    <w:rsid w:val="00AE552E"/>
    <w:rsid w:val="00AE5E87"/>
    <w:rsid w:val="00AF0A77"/>
    <w:rsid w:val="00AF6432"/>
    <w:rsid w:val="00AF6DED"/>
    <w:rsid w:val="00AF79BD"/>
    <w:rsid w:val="00B07F12"/>
    <w:rsid w:val="00B07FE3"/>
    <w:rsid w:val="00B10BAE"/>
    <w:rsid w:val="00B14154"/>
    <w:rsid w:val="00B1415B"/>
    <w:rsid w:val="00B15278"/>
    <w:rsid w:val="00B222A2"/>
    <w:rsid w:val="00B234EC"/>
    <w:rsid w:val="00B26CFA"/>
    <w:rsid w:val="00B274AE"/>
    <w:rsid w:val="00B274BF"/>
    <w:rsid w:val="00B31222"/>
    <w:rsid w:val="00B31FDB"/>
    <w:rsid w:val="00B40F04"/>
    <w:rsid w:val="00B42C7F"/>
    <w:rsid w:val="00B42E81"/>
    <w:rsid w:val="00B4329D"/>
    <w:rsid w:val="00B520F9"/>
    <w:rsid w:val="00B52812"/>
    <w:rsid w:val="00B5495A"/>
    <w:rsid w:val="00B577A3"/>
    <w:rsid w:val="00B6041B"/>
    <w:rsid w:val="00B6144B"/>
    <w:rsid w:val="00B61717"/>
    <w:rsid w:val="00B64641"/>
    <w:rsid w:val="00B7262F"/>
    <w:rsid w:val="00B727C5"/>
    <w:rsid w:val="00B72AD1"/>
    <w:rsid w:val="00B73FD4"/>
    <w:rsid w:val="00B74FC5"/>
    <w:rsid w:val="00B75A6C"/>
    <w:rsid w:val="00B82F2D"/>
    <w:rsid w:val="00B83E2A"/>
    <w:rsid w:val="00B83E38"/>
    <w:rsid w:val="00B84B22"/>
    <w:rsid w:val="00B85DF3"/>
    <w:rsid w:val="00B86C19"/>
    <w:rsid w:val="00B91907"/>
    <w:rsid w:val="00B92EDF"/>
    <w:rsid w:val="00B93510"/>
    <w:rsid w:val="00B93640"/>
    <w:rsid w:val="00B93E33"/>
    <w:rsid w:val="00B93FFB"/>
    <w:rsid w:val="00B954F3"/>
    <w:rsid w:val="00B95BCD"/>
    <w:rsid w:val="00B95CDC"/>
    <w:rsid w:val="00B95CE5"/>
    <w:rsid w:val="00BA0D0B"/>
    <w:rsid w:val="00BA3D08"/>
    <w:rsid w:val="00BB334B"/>
    <w:rsid w:val="00BB375D"/>
    <w:rsid w:val="00BB49A0"/>
    <w:rsid w:val="00BB515F"/>
    <w:rsid w:val="00BB532B"/>
    <w:rsid w:val="00BC1FA5"/>
    <w:rsid w:val="00BC2C0C"/>
    <w:rsid w:val="00BC732A"/>
    <w:rsid w:val="00BC758B"/>
    <w:rsid w:val="00BD29E9"/>
    <w:rsid w:val="00BD2EAC"/>
    <w:rsid w:val="00BD4BB3"/>
    <w:rsid w:val="00BD507E"/>
    <w:rsid w:val="00BD6E35"/>
    <w:rsid w:val="00BE17C6"/>
    <w:rsid w:val="00BE2BD3"/>
    <w:rsid w:val="00BE4843"/>
    <w:rsid w:val="00BE4865"/>
    <w:rsid w:val="00BE5595"/>
    <w:rsid w:val="00BE69BF"/>
    <w:rsid w:val="00BE725A"/>
    <w:rsid w:val="00BE73C1"/>
    <w:rsid w:val="00BE7430"/>
    <w:rsid w:val="00BE7B48"/>
    <w:rsid w:val="00BF3381"/>
    <w:rsid w:val="00C02B1F"/>
    <w:rsid w:val="00C10FCF"/>
    <w:rsid w:val="00C143AF"/>
    <w:rsid w:val="00C16B4B"/>
    <w:rsid w:val="00C17427"/>
    <w:rsid w:val="00C20C00"/>
    <w:rsid w:val="00C210FD"/>
    <w:rsid w:val="00C22901"/>
    <w:rsid w:val="00C25238"/>
    <w:rsid w:val="00C305F2"/>
    <w:rsid w:val="00C3345C"/>
    <w:rsid w:val="00C40548"/>
    <w:rsid w:val="00C407E5"/>
    <w:rsid w:val="00C42986"/>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7324"/>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16B4"/>
    <w:rsid w:val="00CA308F"/>
    <w:rsid w:val="00CA71D4"/>
    <w:rsid w:val="00CB5D29"/>
    <w:rsid w:val="00CB675A"/>
    <w:rsid w:val="00CB782B"/>
    <w:rsid w:val="00CC082B"/>
    <w:rsid w:val="00CC0E77"/>
    <w:rsid w:val="00CC2092"/>
    <w:rsid w:val="00CC285C"/>
    <w:rsid w:val="00CC44A0"/>
    <w:rsid w:val="00CC5595"/>
    <w:rsid w:val="00CC5E76"/>
    <w:rsid w:val="00CD3A5D"/>
    <w:rsid w:val="00CD5FD4"/>
    <w:rsid w:val="00CE0DCE"/>
    <w:rsid w:val="00CE1BC9"/>
    <w:rsid w:val="00CE33C1"/>
    <w:rsid w:val="00CE4DD6"/>
    <w:rsid w:val="00CE76FF"/>
    <w:rsid w:val="00CF4012"/>
    <w:rsid w:val="00CF43D5"/>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48F7"/>
    <w:rsid w:val="00D36EF4"/>
    <w:rsid w:val="00D371D0"/>
    <w:rsid w:val="00D4062A"/>
    <w:rsid w:val="00D40BC3"/>
    <w:rsid w:val="00D434EC"/>
    <w:rsid w:val="00D44E9D"/>
    <w:rsid w:val="00D472A7"/>
    <w:rsid w:val="00D51515"/>
    <w:rsid w:val="00D54BD5"/>
    <w:rsid w:val="00D575F0"/>
    <w:rsid w:val="00D60578"/>
    <w:rsid w:val="00D61A0E"/>
    <w:rsid w:val="00D71CF9"/>
    <w:rsid w:val="00D756AC"/>
    <w:rsid w:val="00D7675E"/>
    <w:rsid w:val="00D80080"/>
    <w:rsid w:val="00D80F9D"/>
    <w:rsid w:val="00D81A3C"/>
    <w:rsid w:val="00D81BAE"/>
    <w:rsid w:val="00D84647"/>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B469A"/>
    <w:rsid w:val="00DB52C3"/>
    <w:rsid w:val="00DB5454"/>
    <w:rsid w:val="00DB5DA3"/>
    <w:rsid w:val="00DB724D"/>
    <w:rsid w:val="00DB7E5F"/>
    <w:rsid w:val="00DC10B0"/>
    <w:rsid w:val="00DC1594"/>
    <w:rsid w:val="00DC4BCD"/>
    <w:rsid w:val="00DD1107"/>
    <w:rsid w:val="00DD178F"/>
    <w:rsid w:val="00DD1FE4"/>
    <w:rsid w:val="00DD48C1"/>
    <w:rsid w:val="00DE2966"/>
    <w:rsid w:val="00DE40E0"/>
    <w:rsid w:val="00DE4107"/>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50B22"/>
    <w:rsid w:val="00E51E18"/>
    <w:rsid w:val="00E533BD"/>
    <w:rsid w:val="00E53706"/>
    <w:rsid w:val="00E57CE2"/>
    <w:rsid w:val="00E617BD"/>
    <w:rsid w:val="00E61E05"/>
    <w:rsid w:val="00E64BD9"/>
    <w:rsid w:val="00E67E50"/>
    <w:rsid w:val="00E705B4"/>
    <w:rsid w:val="00E72967"/>
    <w:rsid w:val="00E8155D"/>
    <w:rsid w:val="00E85CC0"/>
    <w:rsid w:val="00E8708C"/>
    <w:rsid w:val="00EA0E04"/>
    <w:rsid w:val="00EA220D"/>
    <w:rsid w:val="00EA3156"/>
    <w:rsid w:val="00EA40A2"/>
    <w:rsid w:val="00EA4CD5"/>
    <w:rsid w:val="00EA5D2C"/>
    <w:rsid w:val="00EA5D8E"/>
    <w:rsid w:val="00EB0465"/>
    <w:rsid w:val="00EB07CF"/>
    <w:rsid w:val="00EB3B88"/>
    <w:rsid w:val="00EC0C14"/>
    <w:rsid w:val="00EC3B8F"/>
    <w:rsid w:val="00EC5CA0"/>
    <w:rsid w:val="00EC665A"/>
    <w:rsid w:val="00EC7372"/>
    <w:rsid w:val="00ED19D1"/>
    <w:rsid w:val="00ED30E8"/>
    <w:rsid w:val="00ED3A3C"/>
    <w:rsid w:val="00ED3B69"/>
    <w:rsid w:val="00ED6CD1"/>
    <w:rsid w:val="00EE5F2E"/>
    <w:rsid w:val="00EF2C2D"/>
    <w:rsid w:val="00EF4A64"/>
    <w:rsid w:val="00F02171"/>
    <w:rsid w:val="00F033EF"/>
    <w:rsid w:val="00F056DE"/>
    <w:rsid w:val="00F061A6"/>
    <w:rsid w:val="00F0710C"/>
    <w:rsid w:val="00F11AB3"/>
    <w:rsid w:val="00F14017"/>
    <w:rsid w:val="00F1684C"/>
    <w:rsid w:val="00F20633"/>
    <w:rsid w:val="00F25CFE"/>
    <w:rsid w:val="00F35243"/>
    <w:rsid w:val="00F41B19"/>
    <w:rsid w:val="00F43E6E"/>
    <w:rsid w:val="00F43EBF"/>
    <w:rsid w:val="00F44423"/>
    <w:rsid w:val="00F457CA"/>
    <w:rsid w:val="00F50BE6"/>
    <w:rsid w:val="00F51236"/>
    <w:rsid w:val="00F5374C"/>
    <w:rsid w:val="00F541B8"/>
    <w:rsid w:val="00F56CC2"/>
    <w:rsid w:val="00F60BC0"/>
    <w:rsid w:val="00F61B7F"/>
    <w:rsid w:val="00F62370"/>
    <w:rsid w:val="00F628D3"/>
    <w:rsid w:val="00F63CED"/>
    <w:rsid w:val="00F6497E"/>
    <w:rsid w:val="00F67722"/>
    <w:rsid w:val="00F677E2"/>
    <w:rsid w:val="00F717E6"/>
    <w:rsid w:val="00F72CA9"/>
    <w:rsid w:val="00F73751"/>
    <w:rsid w:val="00F75EAD"/>
    <w:rsid w:val="00F77154"/>
    <w:rsid w:val="00F80F33"/>
    <w:rsid w:val="00F846D6"/>
    <w:rsid w:val="00F9173A"/>
    <w:rsid w:val="00F91800"/>
    <w:rsid w:val="00F94E99"/>
    <w:rsid w:val="00F9650A"/>
    <w:rsid w:val="00F967C7"/>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85E"/>
    <w:rsid w:val="00FC4AFC"/>
    <w:rsid w:val="00FC7531"/>
    <w:rsid w:val="00FC7EAA"/>
    <w:rsid w:val="00FD4FA5"/>
    <w:rsid w:val="00FD5166"/>
    <w:rsid w:val="00FD5810"/>
    <w:rsid w:val="00FE1A63"/>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AB87B"/>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1007C-E30A-4981-AEF2-F4B4FD20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9490</Words>
  <Characters>52199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Silvia Rita Paz Arellano</cp:lastModifiedBy>
  <cp:revision>4</cp:revision>
  <cp:lastPrinted>2018-11-20T23:55:00Z</cp:lastPrinted>
  <dcterms:created xsi:type="dcterms:W3CDTF">2019-02-18T04:34:00Z</dcterms:created>
  <dcterms:modified xsi:type="dcterms:W3CDTF">2019-03-15T16:54:00Z</dcterms:modified>
</cp:coreProperties>
</file>