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1108C2" w:rsidRDefault="007E2E80" w:rsidP="007E2E80">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1108C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A27C8" w:rsidRPr="001108C2">
        <w:rPr>
          <w:rFonts w:ascii="Palatino Linotype" w:eastAsia="Times New Roman" w:hAnsi="Palatino Linotype" w:cs="Arial"/>
          <w:color w:val="000000"/>
          <w:sz w:val="24"/>
          <w:szCs w:val="24"/>
          <w:lang w:eastAsia="es-MX"/>
        </w:rPr>
        <w:t>dieciséis</w:t>
      </w:r>
      <w:r w:rsidR="00A5739D" w:rsidRPr="001108C2">
        <w:rPr>
          <w:rFonts w:ascii="Palatino Linotype" w:eastAsia="Times New Roman" w:hAnsi="Palatino Linotype" w:cs="Arial"/>
          <w:color w:val="000000"/>
          <w:sz w:val="24"/>
          <w:szCs w:val="24"/>
          <w:lang w:eastAsia="es-MX"/>
        </w:rPr>
        <w:t xml:space="preserve"> de </w:t>
      </w:r>
      <w:r w:rsidR="00250136" w:rsidRPr="001108C2">
        <w:rPr>
          <w:rFonts w:ascii="Palatino Linotype" w:eastAsia="Times New Roman" w:hAnsi="Palatino Linotype" w:cs="Arial"/>
          <w:color w:val="000000"/>
          <w:sz w:val="24"/>
          <w:szCs w:val="24"/>
          <w:lang w:eastAsia="es-MX"/>
        </w:rPr>
        <w:t>enero</w:t>
      </w:r>
      <w:r w:rsidR="005C057C" w:rsidRPr="001108C2">
        <w:rPr>
          <w:rFonts w:ascii="Palatino Linotype" w:eastAsia="Times New Roman" w:hAnsi="Palatino Linotype" w:cs="Arial"/>
          <w:color w:val="000000"/>
          <w:sz w:val="24"/>
          <w:szCs w:val="24"/>
          <w:lang w:eastAsia="es-MX"/>
        </w:rPr>
        <w:t xml:space="preserve"> </w:t>
      </w:r>
      <w:r w:rsidR="00250136" w:rsidRPr="001108C2">
        <w:rPr>
          <w:rFonts w:ascii="Palatino Linotype" w:eastAsia="Times New Roman" w:hAnsi="Palatino Linotype" w:cs="Arial"/>
          <w:color w:val="000000"/>
          <w:sz w:val="24"/>
          <w:szCs w:val="24"/>
          <w:lang w:eastAsia="es-MX"/>
        </w:rPr>
        <w:t>de dos mil diecinueve</w:t>
      </w:r>
      <w:r w:rsidRPr="001108C2">
        <w:rPr>
          <w:rFonts w:ascii="Palatino Linotype" w:eastAsia="Times New Roman" w:hAnsi="Palatino Linotype" w:cs="Arial"/>
          <w:color w:val="000000"/>
          <w:sz w:val="24"/>
          <w:szCs w:val="24"/>
          <w:lang w:eastAsia="es-MX"/>
        </w:rPr>
        <w:t>.</w:t>
      </w:r>
    </w:p>
    <w:p w:rsidR="007E2E80" w:rsidRPr="001108C2" w:rsidRDefault="007E2E80" w:rsidP="00250136">
      <w:pPr>
        <w:pStyle w:val="Sinespaciado"/>
        <w:rPr>
          <w:lang w:eastAsia="es-MX"/>
        </w:rPr>
      </w:pPr>
    </w:p>
    <w:p w:rsidR="007E2E80" w:rsidRPr="001108C2" w:rsidRDefault="007E2E80" w:rsidP="007E2E80">
      <w:pPr>
        <w:tabs>
          <w:tab w:val="left" w:pos="1701"/>
        </w:tabs>
        <w:spacing w:before="240" w:line="360" w:lineRule="auto"/>
        <w:jc w:val="both"/>
        <w:rPr>
          <w:rFonts w:ascii="Palatino Linotype" w:hAnsi="Palatino Linotype" w:cs="Arial"/>
          <w:sz w:val="24"/>
        </w:rPr>
      </w:pPr>
      <w:r w:rsidRPr="001108C2">
        <w:rPr>
          <w:rFonts w:ascii="Palatino Linotype" w:hAnsi="Palatino Linotype" w:cs="Arial"/>
          <w:b/>
          <w:sz w:val="24"/>
        </w:rPr>
        <w:t>VISTO</w:t>
      </w:r>
      <w:r w:rsidRPr="001108C2">
        <w:rPr>
          <w:rFonts w:ascii="Palatino Linotype" w:hAnsi="Palatino Linotype" w:cs="Arial"/>
          <w:sz w:val="24"/>
        </w:rPr>
        <w:t xml:space="preserve"> el expediente electrónico formado con motivo del recurso de revisión número </w:t>
      </w:r>
      <w:r w:rsidR="001C0CE9" w:rsidRPr="001108C2">
        <w:rPr>
          <w:rFonts w:ascii="Palatino Linotype" w:hAnsi="Palatino Linotype" w:cs="Arial"/>
          <w:b/>
          <w:bCs/>
          <w:sz w:val="24"/>
          <w:lang w:eastAsia="es-MX"/>
        </w:rPr>
        <w:t>0</w:t>
      </w:r>
      <w:r w:rsidR="00250136" w:rsidRPr="001108C2">
        <w:rPr>
          <w:rFonts w:ascii="Palatino Linotype" w:hAnsi="Palatino Linotype" w:cs="Arial"/>
          <w:b/>
          <w:bCs/>
          <w:sz w:val="24"/>
          <w:lang w:eastAsia="es-MX"/>
        </w:rPr>
        <w:t>4385/INFOEM/IP/RR/2018</w:t>
      </w:r>
      <w:r w:rsidRPr="001108C2">
        <w:rPr>
          <w:rFonts w:ascii="Palatino Linotype" w:hAnsi="Palatino Linotype" w:cs="Arial"/>
          <w:sz w:val="24"/>
        </w:rPr>
        <w:t xml:space="preserve">, interpuesto por el </w:t>
      </w:r>
      <w:r w:rsidRPr="001108C2">
        <w:rPr>
          <w:rFonts w:ascii="Palatino Linotype" w:hAnsi="Palatino Linotype" w:cs="Arial"/>
          <w:b/>
          <w:sz w:val="24"/>
          <w:szCs w:val="24"/>
        </w:rPr>
        <w:t xml:space="preserve">C. </w:t>
      </w:r>
      <w:r w:rsidR="00AB6339">
        <w:rPr>
          <w:rFonts w:ascii="Palatino Linotype" w:hAnsi="Palatino Linotype" w:cs="Arial"/>
          <w:b/>
          <w:sz w:val="24"/>
          <w:szCs w:val="24"/>
        </w:rPr>
        <w:t>XXXXXXXXXXXXXXXXXXXXX</w:t>
      </w:r>
      <w:r w:rsidRPr="001108C2">
        <w:rPr>
          <w:rFonts w:ascii="Palatino Linotype" w:hAnsi="Palatino Linotype" w:cs="Arial"/>
          <w:b/>
          <w:sz w:val="24"/>
          <w:szCs w:val="24"/>
        </w:rPr>
        <w:t xml:space="preserve"> </w:t>
      </w:r>
      <w:r w:rsidRPr="001108C2">
        <w:rPr>
          <w:rFonts w:ascii="Palatino Linotype" w:hAnsi="Palatino Linotype" w:cs="Arial"/>
          <w:sz w:val="24"/>
        </w:rPr>
        <w:t xml:space="preserve">en lo sucesivo </w:t>
      </w:r>
      <w:r w:rsidRPr="001108C2">
        <w:rPr>
          <w:rFonts w:ascii="Palatino Linotype" w:hAnsi="Palatino Linotype" w:cs="Arial"/>
          <w:b/>
          <w:sz w:val="24"/>
        </w:rPr>
        <w:t>El Recurrente</w:t>
      </w:r>
      <w:r w:rsidRPr="001108C2">
        <w:rPr>
          <w:rFonts w:ascii="Palatino Linotype" w:hAnsi="Palatino Linotype" w:cs="Arial"/>
          <w:sz w:val="24"/>
        </w:rPr>
        <w:t xml:space="preserve">, en contra de la respuesta del </w:t>
      </w:r>
      <w:r w:rsidR="001C0CE9" w:rsidRPr="001108C2">
        <w:rPr>
          <w:rFonts w:ascii="Palatino Linotype" w:hAnsi="Palatino Linotype" w:cs="Arial"/>
          <w:b/>
          <w:sz w:val="24"/>
        </w:rPr>
        <w:t xml:space="preserve">Ayuntamiento de </w:t>
      </w:r>
      <w:r w:rsidR="00250136" w:rsidRPr="001108C2">
        <w:rPr>
          <w:rFonts w:ascii="Palatino Linotype" w:hAnsi="Palatino Linotype" w:cs="Arial"/>
          <w:b/>
          <w:sz w:val="24"/>
        </w:rPr>
        <w:t>Naucalpan de Juárez</w:t>
      </w:r>
      <w:r w:rsidRPr="001108C2">
        <w:rPr>
          <w:rFonts w:ascii="Palatino Linotype" w:hAnsi="Palatino Linotype" w:cs="Arial"/>
          <w:sz w:val="24"/>
        </w:rPr>
        <w:t>, en lo subsecuente</w:t>
      </w:r>
      <w:r w:rsidRPr="001108C2">
        <w:rPr>
          <w:rFonts w:ascii="Palatino Linotype" w:hAnsi="Palatino Linotype" w:cs="Arial"/>
          <w:b/>
          <w:sz w:val="24"/>
          <w:szCs w:val="24"/>
        </w:rPr>
        <w:t xml:space="preserve"> El Sujeto Obligado, </w:t>
      </w:r>
      <w:r w:rsidRPr="001108C2">
        <w:rPr>
          <w:rFonts w:ascii="Palatino Linotype" w:hAnsi="Palatino Linotype" w:cs="Arial"/>
          <w:sz w:val="24"/>
          <w:szCs w:val="24"/>
        </w:rPr>
        <w:t>se procede a</w:t>
      </w:r>
      <w:r w:rsidRPr="001108C2">
        <w:rPr>
          <w:rFonts w:ascii="Palatino Linotype" w:hAnsi="Palatino Linotype" w:cs="Arial"/>
          <w:sz w:val="24"/>
        </w:rPr>
        <w:t xml:space="preserve"> dictar la presente resolución.</w:t>
      </w:r>
    </w:p>
    <w:p w:rsidR="007E2E80" w:rsidRPr="001108C2" w:rsidRDefault="007E2E80" w:rsidP="007E2E80">
      <w:pPr>
        <w:tabs>
          <w:tab w:val="left" w:pos="1701"/>
        </w:tabs>
        <w:spacing w:before="240" w:line="360" w:lineRule="auto"/>
        <w:jc w:val="both"/>
        <w:rPr>
          <w:rFonts w:ascii="Palatino Linotype" w:hAnsi="Palatino Linotype" w:cs="Arial"/>
          <w:sz w:val="14"/>
        </w:rPr>
      </w:pPr>
    </w:p>
    <w:p w:rsidR="007E2E80" w:rsidRPr="001108C2" w:rsidRDefault="007E2E80" w:rsidP="007E2E80">
      <w:pPr>
        <w:spacing w:before="240" w:after="240" w:line="360" w:lineRule="auto"/>
        <w:jc w:val="center"/>
        <w:rPr>
          <w:rFonts w:ascii="Palatino Linotype" w:hAnsi="Palatino Linotype"/>
          <w:b/>
          <w:sz w:val="28"/>
          <w:szCs w:val="28"/>
        </w:rPr>
      </w:pPr>
      <w:r w:rsidRPr="001108C2">
        <w:rPr>
          <w:rFonts w:ascii="Palatino Linotype" w:hAnsi="Palatino Linotype"/>
          <w:b/>
          <w:sz w:val="28"/>
          <w:szCs w:val="28"/>
        </w:rPr>
        <w:t>A N T E C E D E N T E S   D E L   A S U N T O</w:t>
      </w:r>
    </w:p>
    <w:p w:rsidR="007E2E80" w:rsidRPr="001108C2" w:rsidRDefault="007E2E80" w:rsidP="00250136">
      <w:pPr>
        <w:spacing w:after="0" w:line="360" w:lineRule="auto"/>
        <w:jc w:val="both"/>
        <w:rPr>
          <w:rFonts w:ascii="Palatino Linotype" w:hAnsi="Palatino Linotype"/>
          <w:sz w:val="28"/>
          <w:szCs w:val="28"/>
        </w:rPr>
      </w:pPr>
      <w:r w:rsidRPr="001108C2">
        <w:rPr>
          <w:rFonts w:ascii="Palatino Linotype" w:hAnsi="Palatino Linotype" w:cs="Arial"/>
          <w:b/>
          <w:sz w:val="28"/>
          <w:szCs w:val="28"/>
        </w:rPr>
        <w:t>PRIMERO.</w:t>
      </w:r>
      <w:r w:rsidRPr="001108C2">
        <w:rPr>
          <w:rFonts w:ascii="Palatino Linotype" w:hAnsi="Palatino Linotype" w:cs="Arial"/>
          <w:sz w:val="28"/>
          <w:szCs w:val="28"/>
        </w:rPr>
        <w:t xml:space="preserve"> </w:t>
      </w:r>
      <w:r w:rsidRPr="001108C2">
        <w:rPr>
          <w:rFonts w:ascii="Palatino Linotype" w:hAnsi="Palatino Linotype"/>
          <w:b/>
          <w:sz w:val="28"/>
          <w:szCs w:val="28"/>
        </w:rPr>
        <w:t>De la Solicitud de Información.</w:t>
      </w:r>
    </w:p>
    <w:p w:rsidR="007E2E80" w:rsidRPr="001108C2" w:rsidRDefault="007E2E80" w:rsidP="00250136">
      <w:pPr>
        <w:spacing w:after="0" w:line="360" w:lineRule="auto"/>
        <w:jc w:val="both"/>
        <w:rPr>
          <w:rFonts w:ascii="Palatino Linotype" w:hAnsi="Palatino Linotype" w:cs="Arial"/>
          <w:sz w:val="24"/>
          <w:szCs w:val="24"/>
        </w:rPr>
      </w:pPr>
      <w:r w:rsidRPr="001108C2">
        <w:rPr>
          <w:rFonts w:ascii="Palatino Linotype" w:hAnsi="Palatino Linotype" w:cs="Arial"/>
          <w:sz w:val="24"/>
        </w:rPr>
        <w:t>Con</w:t>
      </w:r>
      <w:r w:rsidR="001C0CE9" w:rsidRPr="001108C2">
        <w:rPr>
          <w:rFonts w:ascii="Palatino Linotype" w:hAnsi="Palatino Linotype" w:cs="Arial"/>
          <w:sz w:val="24"/>
        </w:rPr>
        <w:t xml:space="preserve"> fecha </w:t>
      </w:r>
      <w:r w:rsidR="00250136" w:rsidRPr="001108C2">
        <w:rPr>
          <w:rFonts w:ascii="Palatino Linotype" w:hAnsi="Palatino Linotype" w:cs="Arial"/>
          <w:sz w:val="24"/>
        </w:rPr>
        <w:t>nueve</w:t>
      </w:r>
      <w:r w:rsidR="001C0CE9" w:rsidRPr="001108C2">
        <w:rPr>
          <w:rFonts w:ascii="Palatino Linotype" w:hAnsi="Palatino Linotype" w:cs="Arial"/>
          <w:sz w:val="24"/>
        </w:rPr>
        <w:t xml:space="preserve"> de </w:t>
      </w:r>
      <w:r w:rsidR="00250136" w:rsidRPr="001108C2">
        <w:rPr>
          <w:rFonts w:ascii="Palatino Linotype" w:hAnsi="Palatino Linotype" w:cs="Arial"/>
          <w:sz w:val="24"/>
        </w:rPr>
        <w:t>octubre de dos mil dieciocho</w:t>
      </w:r>
      <w:r w:rsidRPr="001108C2">
        <w:rPr>
          <w:rFonts w:ascii="Palatino Linotype" w:hAnsi="Palatino Linotype" w:cs="Arial"/>
          <w:sz w:val="24"/>
        </w:rPr>
        <w:t xml:space="preserve">, </w:t>
      </w:r>
      <w:r w:rsidRPr="001108C2">
        <w:rPr>
          <w:rFonts w:ascii="Palatino Linotype" w:hAnsi="Palatino Linotype" w:cs="Arial"/>
          <w:b/>
          <w:sz w:val="24"/>
        </w:rPr>
        <w:t>El Recurrente</w:t>
      </w:r>
      <w:r w:rsidRPr="001108C2">
        <w:rPr>
          <w:rFonts w:ascii="Palatino Linotype" w:hAnsi="Palatino Linotype" w:cs="Arial"/>
          <w:sz w:val="24"/>
        </w:rPr>
        <w:t>, presentó a través del Sistema de Acceso a la Información Mexiquense (</w:t>
      </w:r>
      <w:r w:rsidRPr="001108C2">
        <w:rPr>
          <w:rFonts w:ascii="Palatino Linotype" w:hAnsi="Palatino Linotype" w:cs="Arial"/>
          <w:b/>
          <w:sz w:val="24"/>
        </w:rPr>
        <w:t>SAIMEX)</w:t>
      </w:r>
      <w:r w:rsidRPr="001108C2">
        <w:rPr>
          <w:rFonts w:ascii="Palatino Linotype" w:hAnsi="Palatino Linotype" w:cs="Arial"/>
          <w:sz w:val="24"/>
        </w:rPr>
        <w:t xml:space="preserve"> ante </w:t>
      </w:r>
      <w:r w:rsidRPr="001108C2">
        <w:rPr>
          <w:rFonts w:ascii="Palatino Linotype" w:hAnsi="Palatino Linotype" w:cs="Arial"/>
          <w:b/>
          <w:sz w:val="24"/>
        </w:rPr>
        <w:t>El Sujeto Obligado</w:t>
      </w:r>
      <w:r w:rsidRPr="001108C2">
        <w:rPr>
          <w:rFonts w:ascii="Palatino Linotype" w:hAnsi="Palatino Linotype" w:cs="Arial"/>
          <w:sz w:val="24"/>
        </w:rPr>
        <w:t>, solicitud de acceso a la información pública, registrada bajo el número de expediente</w:t>
      </w:r>
      <w:r w:rsidR="001C0CE9" w:rsidRPr="001108C2">
        <w:rPr>
          <w:rFonts w:ascii="Palatino Linotype" w:hAnsi="Palatino Linotype" w:cs="Arial"/>
          <w:b/>
          <w:sz w:val="24"/>
        </w:rPr>
        <w:t xml:space="preserve"> </w:t>
      </w:r>
      <w:r w:rsidR="00250136" w:rsidRPr="001108C2">
        <w:rPr>
          <w:rFonts w:ascii="Palatino Linotype" w:hAnsi="Palatino Linotype" w:cs="Arial"/>
          <w:b/>
          <w:sz w:val="24"/>
        </w:rPr>
        <w:t xml:space="preserve"> 00591/NAUCALPA/IP/2018</w:t>
      </w:r>
      <w:r w:rsidRPr="001108C2">
        <w:rPr>
          <w:rFonts w:ascii="Palatino Linotype" w:hAnsi="Palatino Linotype" w:cs="Arial"/>
          <w:sz w:val="24"/>
          <w:lang w:eastAsia="es-MX"/>
        </w:rPr>
        <w:t>,</w:t>
      </w:r>
      <w:r w:rsidRPr="001108C2">
        <w:rPr>
          <w:rFonts w:ascii="Palatino Linotype" w:hAnsi="Palatino Linotype" w:cs="Arial"/>
          <w:b/>
          <w:sz w:val="24"/>
          <w:lang w:eastAsia="es-MX"/>
        </w:rPr>
        <w:t xml:space="preserve"> </w:t>
      </w:r>
      <w:r w:rsidRPr="001108C2">
        <w:rPr>
          <w:rFonts w:ascii="Palatino Linotype" w:hAnsi="Palatino Linotype" w:cs="Arial"/>
          <w:sz w:val="24"/>
        </w:rPr>
        <w:t xml:space="preserve">mediante la cual solicitó información en el tenor </w:t>
      </w:r>
      <w:r w:rsidRPr="001108C2">
        <w:rPr>
          <w:rFonts w:ascii="Palatino Linotype" w:hAnsi="Palatino Linotype" w:cs="Arial"/>
          <w:sz w:val="24"/>
          <w:szCs w:val="24"/>
        </w:rPr>
        <w:t>siguiente:</w:t>
      </w:r>
    </w:p>
    <w:p w:rsidR="00250136" w:rsidRPr="001108C2" w:rsidRDefault="00250136" w:rsidP="00250136">
      <w:pPr>
        <w:pStyle w:val="Sinespaciado"/>
      </w:pPr>
    </w:p>
    <w:p w:rsidR="007E2E80" w:rsidRPr="001108C2" w:rsidRDefault="007E2E80" w:rsidP="00250136">
      <w:pPr>
        <w:spacing w:line="240" w:lineRule="auto"/>
        <w:ind w:left="851" w:right="850"/>
        <w:jc w:val="both"/>
        <w:rPr>
          <w:rFonts w:ascii="Palatino Linotype" w:eastAsia="Times New Roman" w:hAnsi="Palatino Linotype" w:cs="Times New Roman"/>
          <w:i/>
          <w:sz w:val="24"/>
          <w:szCs w:val="24"/>
          <w:lang w:val="es-ES_tradnl" w:eastAsia="es-ES"/>
        </w:rPr>
      </w:pPr>
      <w:r w:rsidRPr="001108C2">
        <w:rPr>
          <w:rFonts w:ascii="Palatino Linotype" w:eastAsia="Times New Roman" w:hAnsi="Palatino Linotype" w:cs="Times New Roman"/>
          <w:i/>
          <w:sz w:val="24"/>
          <w:szCs w:val="24"/>
          <w:lang w:val="es-ES_tradnl" w:eastAsia="es-ES"/>
        </w:rPr>
        <w:t>“</w:t>
      </w:r>
      <w:r w:rsidR="00250136" w:rsidRPr="001108C2">
        <w:rPr>
          <w:rFonts w:ascii="Palatino Linotype" w:eastAsia="Times New Roman" w:hAnsi="Palatino Linotype" w:cs="Times New Roman"/>
          <w:i/>
          <w:sz w:val="24"/>
          <w:szCs w:val="24"/>
          <w:lang w:eastAsia="es-ES"/>
        </w:rPr>
        <w:t xml:space="preserve">Por este medio solicito copia certificada de la Autorización de Cambio de Uso del Suelo con número de expediente CUS/032/2017 con fecha de expedición del 18 de septiembre de 2017, con nombre del titular de Corporativo INCOSOL, SA de CV. (veáse páginas 16 y 17 de la Gaceta del Gobierno del Estado Libre y Soberano de México de fecha 27 de julio de 2018 adjunta a la presente solicitud o visible en </w:t>
      </w:r>
      <w:r w:rsidR="00250136" w:rsidRPr="001108C2">
        <w:rPr>
          <w:rFonts w:ascii="Palatino Linotype" w:eastAsia="Times New Roman" w:hAnsi="Palatino Linotype" w:cs="Times New Roman"/>
          <w:i/>
          <w:sz w:val="24"/>
          <w:szCs w:val="24"/>
          <w:lang w:eastAsia="es-ES"/>
        </w:rPr>
        <w:lastRenderedPageBreak/>
        <w:t>http://legislacion.edomex.gob.mx/sites/legislacion.edomex.gob.mx/files/files/pdf/gct/2018/jul272.pdf).</w:t>
      </w:r>
      <w:r w:rsidRPr="001108C2">
        <w:rPr>
          <w:rFonts w:ascii="Palatino Linotype" w:eastAsia="Times New Roman" w:hAnsi="Palatino Linotype" w:cs="Times New Roman"/>
          <w:i/>
          <w:sz w:val="24"/>
          <w:szCs w:val="24"/>
          <w:lang w:val="es-ES_tradnl" w:eastAsia="es-ES"/>
        </w:rPr>
        <w:t>” [Sic]</w:t>
      </w:r>
    </w:p>
    <w:p w:rsidR="0031039A" w:rsidRPr="001108C2" w:rsidRDefault="0031039A" w:rsidP="00250136">
      <w:pPr>
        <w:spacing w:line="240" w:lineRule="auto"/>
        <w:ind w:left="851" w:right="850"/>
        <w:jc w:val="both"/>
        <w:rPr>
          <w:rFonts w:ascii="Palatino Linotype" w:eastAsia="Times New Roman" w:hAnsi="Palatino Linotype" w:cs="Times New Roman"/>
          <w:i/>
          <w:sz w:val="24"/>
          <w:szCs w:val="24"/>
          <w:lang w:val="es-ES_tradnl" w:eastAsia="es-ES"/>
        </w:rPr>
      </w:pPr>
    </w:p>
    <w:p w:rsidR="00250136" w:rsidRPr="001108C2" w:rsidRDefault="0031039A" w:rsidP="0031039A">
      <w:pPr>
        <w:pStyle w:val="Sinespaciado"/>
        <w:numPr>
          <w:ilvl w:val="0"/>
          <w:numId w:val="15"/>
        </w:numPr>
        <w:jc w:val="both"/>
        <w:rPr>
          <w:sz w:val="16"/>
        </w:rPr>
      </w:pPr>
      <w:r w:rsidRPr="001108C2">
        <w:rPr>
          <w:rFonts w:ascii="Palatino Linotype" w:hAnsi="Palatino Linotype"/>
          <w:sz w:val="24"/>
        </w:rPr>
        <w:t>Adjuntando a su solicitud el archivo denominado “GACETA 27 DE JULIO.pdf”.</w:t>
      </w:r>
    </w:p>
    <w:p w:rsidR="0031039A" w:rsidRPr="001108C2" w:rsidRDefault="0031039A" w:rsidP="0031039A">
      <w:pPr>
        <w:pStyle w:val="Sinespaciado"/>
        <w:jc w:val="both"/>
        <w:rPr>
          <w:sz w:val="14"/>
          <w:lang w:val="es-ES_tradnl" w:eastAsia="es-ES"/>
        </w:rPr>
      </w:pPr>
    </w:p>
    <w:p w:rsidR="007E2E80" w:rsidRPr="001108C2" w:rsidRDefault="00250136" w:rsidP="007E2E80">
      <w:pPr>
        <w:spacing w:before="240" w:line="240" w:lineRule="auto"/>
        <w:ind w:right="850"/>
        <w:jc w:val="both"/>
        <w:rPr>
          <w:rFonts w:ascii="Palatino Linotype" w:eastAsia="Times New Roman" w:hAnsi="Palatino Linotype" w:cs="Times New Roman"/>
          <w:sz w:val="24"/>
          <w:szCs w:val="24"/>
          <w:lang w:val="es-ES_tradnl" w:eastAsia="es-ES"/>
        </w:rPr>
      </w:pPr>
      <w:r w:rsidRPr="001108C2">
        <w:rPr>
          <w:rFonts w:ascii="Palatino Linotype" w:eastAsia="Times New Roman" w:hAnsi="Palatino Linotype" w:cs="Times New Roman"/>
          <w:b/>
          <w:sz w:val="24"/>
          <w:szCs w:val="24"/>
          <w:lang w:val="es-ES_tradnl" w:eastAsia="es-ES"/>
        </w:rPr>
        <w:t>MODALIDAD DE ENTREGA:</w:t>
      </w:r>
      <w:r w:rsidRPr="001108C2">
        <w:rPr>
          <w:rFonts w:ascii="Palatino Linotype" w:eastAsia="Times New Roman" w:hAnsi="Palatino Linotype" w:cs="Times New Roman"/>
          <w:sz w:val="24"/>
          <w:szCs w:val="24"/>
          <w:lang w:val="es-ES_tradnl" w:eastAsia="es-ES"/>
        </w:rPr>
        <w:t xml:space="preserve"> Copias Certificadas (con costo).</w:t>
      </w:r>
    </w:p>
    <w:p w:rsidR="007E2E80" w:rsidRPr="001108C2" w:rsidRDefault="007E2E80" w:rsidP="00250136">
      <w:pPr>
        <w:rPr>
          <w:sz w:val="32"/>
          <w:lang w:val="es-ES_tradnl" w:eastAsia="es-ES"/>
        </w:rPr>
      </w:pPr>
    </w:p>
    <w:p w:rsidR="007E2E80" w:rsidRPr="001108C2" w:rsidRDefault="007E2E80" w:rsidP="00250136">
      <w:pPr>
        <w:spacing w:after="0" w:line="360" w:lineRule="auto"/>
        <w:jc w:val="both"/>
        <w:rPr>
          <w:rFonts w:ascii="Palatino Linotype" w:hAnsi="Palatino Linotype" w:cs="Arial"/>
          <w:b/>
          <w:sz w:val="28"/>
          <w:szCs w:val="26"/>
        </w:rPr>
      </w:pPr>
      <w:r w:rsidRPr="001108C2">
        <w:rPr>
          <w:rFonts w:ascii="Palatino Linotype" w:hAnsi="Palatino Linotype" w:cs="Arial"/>
          <w:b/>
          <w:sz w:val="28"/>
          <w:szCs w:val="26"/>
        </w:rPr>
        <w:t>SEGUNDO. De la respuesta del Sujeto Obligado.</w:t>
      </w:r>
    </w:p>
    <w:p w:rsidR="00CB774E" w:rsidRPr="001108C2" w:rsidRDefault="00CB774E" w:rsidP="00CB774E">
      <w:pPr>
        <w:pStyle w:val="Sinespaciado"/>
        <w:spacing w:line="360" w:lineRule="auto"/>
        <w:jc w:val="both"/>
        <w:rPr>
          <w:rFonts w:ascii="Palatino Linotype" w:hAnsi="Palatino Linotype"/>
          <w:sz w:val="24"/>
        </w:rPr>
      </w:pPr>
      <w:r w:rsidRPr="001108C2">
        <w:rPr>
          <w:rFonts w:ascii="Palatino Linotype" w:hAnsi="Palatino Linotype"/>
          <w:sz w:val="24"/>
        </w:rPr>
        <w:t xml:space="preserve">El </w:t>
      </w:r>
      <w:r w:rsidRPr="001108C2">
        <w:rPr>
          <w:rFonts w:ascii="Palatino Linotype" w:hAnsi="Palatino Linotype"/>
          <w:b/>
          <w:sz w:val="24"/>
        </w:rPr>
        <w:t>Sujeto Obligado</w:t>
      </w:r>
      <w:r w:rsidRPr="001108C2">
        <w:rPr>
          <w:rFonts w:ascii="Palatino Linotype" w:hAnsi="Palatino Linotype"/>
          <w:sz w:val="24"/>
        </w:rPr>
        <w:t xml:space="preserve"> en fecha seis de noviembre de dos mil dieciocho, emitió la respuesta a la solicitud de información, como se muestra a continuación:</w:t>
      </w:r>
    </w:p>
    <w:p w:rsidR="00CB774E" w:rsidRPr="001108C2" w:rsidRDefault="00CB774E" w:rsidP="00CB774E">
      <w:pPr>
        <w:pStyle w:val="Sinespaciado"/>
      </w:pPr>
    </w:p>
    <w:p w:rsidR="00CB774E" w:rsidRPr="001108C2" w:rsidRDefault="00CB774E" w:rsidP="00CB774E">
      <w:pPr>
        <w:pStyle w:val="Sinespaciado"/>
        <w:ind w:left="567" w:right="567"/>
        <w:jc w:val="both"/>
        <w:rPr>
          <w:rFonts w:ascii="Palatino Linotype" w:hAnsi="Palatino Linotype"/>
          <w:i/>
        </w:rPr>
      </w:pPr>
      <w:r w:rsidRPr="001108C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774E" w:rsidRPr="001108C2" w:rsidRDefault="00CB774E" w:rsidP="00CB774E">
      <w:pPr>
        <w:pStyle w:val="Sinespaciado"/>
        <w:ind w:left="567" w:right="567"/>
        <w:jc w:val="both"/>
        <w:rPr>
          <w:rFonts w:ascii="Palatino Linotype" w:hAnsi="Palatino Linotype"/>
          <w:i/>
        </w:rPr>
      </w:pPr>
    </w:p>
    <w:p w:rsidR="00CB774E" w:rsidRPr="001108C2" w:rsidRDefault="00CB774E" w:rsidP="00CB774E">
      <w:pPr>
        <w:pStyle w:val="Sinespaciado"/>
        <w:ind w:left="567" w:right="567"/>
        <w:jc w:val="both"/>
        <w:rPr>
          <w:rFonts w:ascii="Palatino Linotype" w:hAnsi="Palatino Linotype"/>
          <w:i/>
        </w:rPr>
      </w:pPr>
      <w:r w:rsidRPr="001108C2">
        <w:rPr>
          <w:rFonts w:ascii="Palatino Linotype" w:hAnsi="Palatino Linotype"/>
          <w:i/>
        </w:rPr>
        <w:t xml:space="preserve">Se cita textualmente la respuesta otorgada por el Servidor Público Habilitado responsable de dar atención a su solicitud de información. En atención a la solicitud de acceso a la información pública ingresada mediante el Sistema de Acceso a la Información Mexiquense (SAIMEX), registrada con el Folio 00591/NAUCALPA/IP/2018 en fecha nueve de octubre de dos mil dieciocho, mediante la cual se requiere “…Por este medio solicito copia certificada de la Autorización de Cambio de Uso del Suelo con número de expediente CUS/032/2017 con fecha de expedición del 18 de septiembre de 2017, con nombre del titular de Corporativo INCOSOL, SA de CV. (veáse páginas 16 y 17 de la Gaceta del Gobierno del Estado Libre y Soberano de México de fecha 27 de julio de 2018 adjunta a la presente solicitud o visible en http://legislacion.edomex.gob.mx/sites/legislacion.edomex.gob.mx/files/files/pdf/gct/2018/jul272.pdf).…” (sic). Al respecto y con fundamento en lo dispuesto por los artículos 6 y 8 de la Constitución Política de los Estados Unidos Mexicanos; 5 de la Constitución Política del Estado Libre y Soberano de México; 1, 2 fracciones II, V, y VIII, 3, 4, 11, 41 y 46 de la Ley de Transparencia y Acceso a la Información Pública del Estado de México; 1.5 fracción VIII, 1.8, 1.41 y demás relativos y aplicables del Código Administrativo del Estado de México; 12, 25 fracciones V y VI, 28 fracción V y 31 fracciones I y II del Código de Procedimientos Administrativos del Estado de México; 1, 2 fracción XIV, 3 fracciones I y </w:t>
      </w:r>
      <w:r w:rsidRPr="001108C2">
        <w:rPr>
          <w:rFonts w:ascii="Palatino Linotype" w:hAnsi="Palatino Linotype"/>
          <w:i/>
        </w:rPr>
        <w:lastRenderedPageBreak/>
        <w:t xml:space="preserve">VI, 4, 5, 7, 12 y 44 del Reglamento de Transparencia y Acceso a la Información Pública del Municipio de Naucalpan de Juárez, México; estando en tiempo y forma, hago de su conocimiento que mediante oficio DGDU/SPEU/256/2018 la Subdirectora de Planeación y Evaluación Urbana adscrita a ésta Dirección General informó lo siguiente </w:t>
      </w:r>
      <w:r w:rsidRPr="001108C2">
        <w:rPr>
          <w:rFonts w:ascii="Palatino Linotype" w:hAnsi="Palatino Linotype"/>
          <w:b/>
          <w:i/>
          <w:u w:val="single"/>
        </w:rPr>
        <w:t>“…De acuerdo con el Catálogo de Información Clasificada publicado en la Gaceta Oficial del Municipio de Naucalpan de Juárez el día 07 de abril de 2008, los datos y documentos que integran los expedientes de cada peticionario se considera información confidencial, debido a esto, no es posible otorgarle la información solicitada…”</w:t>
      </w:r>
      <w:r w:rsidRPr="001108C2">
        <w:rPr>
          <w:rFonts w:ascii="Palatino Linotype" w:hAnsi="Palatino Linotype"/>
          <w:i/>
        </w:rPr>
        <w:t xml:space="preserve"> (sic), lo anterior con fundamento en el artículo 12 de la Ley de Transparencia y Acceso a la Información Pública del Estado de México y Municipios.</w:t>
      </w:r>
    </w:p>
    <w:p w:rsidR="00CB774E" w:rsidRPr="001108C2" w:rsidRDefault="00CB774E" w:rsidP="00CB774E">
      <w:pPr>
        <w:pStyle w:val="Sinespaciado"/>
        <w:ind w:left="567" w:right="567"/>
        <w:jc w:val="both"/>
        <w:rPr>
          <w:rFonts w:ascii="Palatino Linotype" w:hAnsi="Palatino Linotype"/>
          <w:i/>
        </w:rPr>
      </w:pPr>
    </w:p>
    <w:p w:rsidR="00CB774E" w:rsidRPr="001108C2" w:rsidRDefault="00CB774E" w:rsidP="00CB774E">
      <w:pPr>
        <w:pStyle w:val="Sinespaciado"/>
        <w:ind w:left="567" w:right="567"/>
        <w:jc w:val="both"/>
        <w:rPr>
          <w:rFonts w:ascii="Palatino Linotype" w:hAnsi="Palatino Linotype"/>
          <w:i/>
        </w:rPr>
      </w:pPr>
      <w:r w:rsidRPr="001108C2">
        <w:rPr>
          <w:rFonts w:ascii="Palatino Linotype" w:hAnsi="Palatino Linotype"/>
          <w:i/>
        </w:rPr>
        <w:t>ATENTAMENTE</w:t>
      </w:r>
    </w:p>
    <w:p w:rsidR="00CB774E" w:rsidRPr="001108C2" w:rsidRDefault="00CB774E" w:rsidP="00CB774E">
      <w:pPr>
        <w:pStyle w:val="Sinespaciado"/>
        <w:ind w:left="567" w:right="567"/>
        <w:jc w:val="both"/>
        <w:rPr>
          <w:rFonts w:ascii="Palatino Linotype" w:hAnsi="Palatino Linotype"/>
          <w:i/>
        </w:rPr>
      </w:pPr>
      <w:r w:rsidRPr="001108C2">
        <w:rPr>
          <w:rFonts w:ascii="Palatino Linotype" w:hAnsi="Palatino Linotype"/>
          <w:i/>
        </w:rPr>
        <w:t>MTRO. JORGE CAJIGA CALDERÓN” (Sic)</w:t>
      </w:r>
    </w:p>
    <w:p w:rsidR="00CB774E" w:rsidRPr="001108C2" w:rsidRDefault="00CB774E" w:rsidP="00CB774E">
      <w:pPr>
        <w:pStyle w:val="Sinespaciado"/>
        <w:spacing w:line="360" w:lineRule="auto"/>
        <w:ind w:right="567"/>
        <w:jc w:val="both"/>
        <w:rPr>
          <w:rFonts w:ascii="Palatino Linotype" w:hAnsi="Palatino Linotype"/>
        </w:rPr>
      </w:pPr>
    </w:p>
    <w:p w:rsidR="00CB774E" w:rsidRPr="001108C2" w:rsidRDefault="00CB774E" w:rsidP="00CB774E">
      <w:pPr>
        <w:pStyle w:val="Sinespaciado"/>
        <w:numPr>
          <w:ilvl w:val="0"/>
          <w:numId w:val="15"/>
        </w:numPr>
        <w:spacing w:line="360" w:lineRule="auto"/>
        <w:jc w:val="both"/>
        <w:rPr>
          <w:rFonts w:ascii="Palatino Linotype" w:hAnsi="Palatino Linotype"/>
          <w:sz w:val="24"/>
        </w:rPr>
      </w:pPr>
      <w:r w:rsidRPr="001108C2">
        <w:rPr>
          <w:rFonts w:ascii="Palatino Linotype" w:hAnsi="Palatino Linotype"/>
          <w:sz w:val="24"/>
        </w:rPr>
        <w:t xml:space="preserve">Adjuntando a su respuesta el archivo electrónico denominado </w:t>
      </w:r>
      <w:r w:rsidRPr="001108C2">
        <w:rPr>
          <w:rFonts w:ascii="Palatino Linotype" w:hAnsi="Palatino Linotype"/>
          <w:b/>
          <w:sz w:val="24"/>
        </w:rPr>
        <w:t>“DGDU.SPEU.256.2018C.pdf”</w:t>
      </w:r>
      <w:r w:rsidRPr="001108C2">
        <w:rPr>
          <w:rFonts w:ascii="Palatino Linotype" w:hAnsi="Palatino Linotype"/>
          <w:sz w:val="24"/>
        </w:rPr>
        <w:t>, cuyo contenido es del conocimiento de las partes; no obstante, se hará mérito del mismo más adelante.</w:t>
      </w:r>
    </w:p>
    <w:p w:rsidR="007E2E80" w:rsidRPr="001108C2" w:rsidRDefault="007E2E80" w:rsidP="007E2E80">
      <w:pPr>
        <w:spacing w:before="240" w:line="360" w:lineRule="auto"/>
        <w:jc w:val="both"/>
        <w:rPr>
          <w:rFonts w:ascii="Palatino Linotype" w:eastAsia="Times New Roman" w:hAnsi="Palatino Linotype" w:cs="Arial"/>
          <w:sz w:val="14"/>
          <w:szCs w:val="24"/>
          <w:lang w:val="es-ES" w:eastAsia="es-ES"/>
        </w:rPr>
      </w:pPr>
    </w:p>
    <w:p w:rsidR="007E2E80" w:rsidRPr="001108C2" w:rsidRDefault="007E2E80" w:rsidP="00CB774E">
      <w:pPr>
        <w:spacing w:after="0" w:line="360" w:lineRule="auto"/>
        <w:jc w:val="both"/>
        <w:rPr>
          <w:rFonts w:ascii="Palatino Linotype" w:hAnsi="Palatino Linotype" w:cs="Arial"/>
          <w:b/>
          <w:sz w:val="28"/>
          <w:szCs w:val="26"/>
        </w:rPr>
      </w:pPr>
      <w:r w:rsidRPr="001108C2">
        <w:rPr>
          <w:rFonts w:ascii="Palatino Linotype" w:hAnsi="Palatino Linotype" w:cs="Arial"/>
          <w:b/>
          <w:sz w:val="28"/>
          <w:szCs w:val="26"/>
        </w:rPr>
        <w:t xml:space="preserve">TERCERO. </w:t>
      </w:r>
      <w:r w:rsidRPr="001108C2">
        <w:rPr>
          <w:rFonts w:ascii="Palatino Linotype" w:hAnsi="Palatino Linotype"/>
          <w:b/>
          <w:sz w:val="28"/>
          <w:szCs w:val="26"/>
        </w:rPr>
        <w:t>Del recurso de revisión.</w:t>
      </w:r>
    </w:p>
    <w:p w:rsidR="007E2E80" w:rsidRPr="001108C2" w:rsidRDefault="007E2E80" w:rsidP="00CB774E">
      <w:pPr>
        <w:spacing w:after="0" w:line="360" w:lineRule="auto"/>
        <w:jc w:val="both"/>
        <w:rPr>
          <w:rFonts w:ascii="Palatino Linotype" w:hAnsi="Palatino Linotype" w:cs="Arial"/>
          <w:sz w:val="24"/>
        </w:rPr>
      </w:pPr>
      <w:r w:rsidRPr="001108C2">
        <w:rPr>
          <w:rFonts w:ascii="Palatino Linotype" w:hAnsi="Palatino Linotype" w:cs="Arial"/>
          <w:sz w:val="24"/>
          <w:szCs w:val="24"/>
        </w:rPr>
        <w:t xml:space="preserve">Inconforme con la respuesta emitida por el </w:t>
      </w:r>
      <w:r w:rsidR="009467C9" w:rsidRPr="001108C2">
        <w:rPr>
          <w:rFonts w:ascii="Palatino Linotype" w:hAnsi="Palatino Linotype" w:cs="Arial"/>
          <w:b/>
          <w:sz w:val="24"/>
          <w:szCs w:val="24"/>
        </w:rPr>
        <w:t>Sujeto Obligado</w:t>
      </w:r>
      <w:r w:rsidRPr="001108C2">
        <w:rPr>
          <w:rFonts w:ascii="Palatino Linotype" w:hAnsi="Palatino Linotype" w:cs="Arial"/>
          <w:sz w:val="24"/>
          <w:szCs w:val="24"/>
        </w:rPr>
        <w:t xml:space="preserve">, </w:t>
      </w:r>
      <w:r w:rsidRPr="001108C2">
        <w:rPr>
          <w:rFonts w:ascii="Palatino Linotype" w:hAnsi="Palatino Linotype" w:cs="Arial"/>
          <w:b/>
          <w:sz w:val="24"/>
          <w:szCs w:val="24"/>
        </w:rPr>
        <w:t xml:space="preserve">El Recurrente </w:t>
      </w:r>
      <w:r w:rsidRPr="001108C2">
        <w:rPr>
          <w:rFonts w:ascii="Palatino Linotype" w:hAnsi="Palatino Linotype" w:cs="Arial"/>
          <w:sz w:val="24"/>
          <w:szCs w:val="24"/>
        </w:rPr>
        <w:t xml:space="preserve">interpuso el recurso de revisión, en fecha </w:t>
      </w:r>
      <w:r w:rsidR="009467C9" w:rsidRPr="001108C2">
        <w:rPr>
          <w:rFonts w:ascii="Palatino Linotype" w:hAnsi="Palatino Linotype" w:cs="Arial"/>
          <w:sz w:val="24"/>
          <w:szCs w:val="24"/>
        </w:rPr>
        <w:t>veinte</w:t>
      </w:r>
      <w:r w:rsidRPr="001108C2">
        <w:rPr>
          <w:rFonts w:ascii="Palatino Linotype" w:hAnsi="Palatino Linotype" w:cs="Arial"/>
          <w:sz w:val="24"/>
          <w:szCs w:val="24"/>
        </w:rPr>
        <w:t xml:space="preserve"> de </w:t>
      </w:r>
      <w:r w:rsidR="009467C9" w:rsidRPr="001108C2">
        <w:rPr>
          <w:rFonts w:ascii="Palatino Linotype" w:hAnsi="Palatino Linotype" w:cs="Arial"/>
          <w:sz w:val="24"/>
          <w:szCs w:val="24"/>
        </w:rPr>
        <w:t>noviembre de dos mil dieciocho</w:t>
      </w:r>
      <w:r w:rsidRPr="001108C2">
        <w:rPr>
          <w:rFonts w:ascii="Palatino Linotype" w:hAnsi="Palatino Linotype" w:cs="Arial"/>
          <w:sz w:val="24"/>
          <w:szCs w:val="24"/>
        </w:rPr>
        <w:t xml:space="preserve">, en el sistema electrónico con el expediente número </w:t>
      </w:r>
      <w:r w:rsidR="004807F7" w:rsidRPr="001108C2">
        <w:rPr>
          <w:rFonts w:ascii="Palatino Linotype" w:hAnsi="Palatino Linotype" w:cs="Arial"/>
          <w:b/>
          <w:bCs/>
          <w:sz w:val="24"/>
          <w:szCs w:val="24"/>
          <w:lang w:eastAsia="es-MX"/>
        </w:rPr>
        <w:t>0</w:t>
      </w:r>
      <w:r w:rsidR="009467C9" w:rsidRPr="001108C2">
        <w:rPr>
          <w:rFonts w:ascii="Palatino Linotype" w:hAnsi="Palatino Linotype" w:cs="Arial"/>
          <w:b/>
          <w:bCs/>
          <w:sz w:val="24"/>
          <w:szCs w:val="24"/>
          <w:lang w:eastAsia="es-MX"/>
        </w:rPr>
        <w:t>4385/INFOEM/IP/RR/2018</w:t>
      </w:r>
      <w:r w:rsidRPr="001108C2">
        <w:rPr>
          <w:rFonts w:ascii="Palatino Linotype" w:hAnsi="Palatino Linotype" w:cs="Arial"/>
          <w:sz w:val="24"/>
          <w:szCs w:val="24"/>
        </w:rPr>
        <w:t xml:space="preserve">, en el cual </w:t>
      </w:r>
      <w:r w:rsidRPr="001108C2">
        <w:rPr>
          <w:rFonts w:ascii="Palatino Linotype" w:hAnsi="Palatino Linotype" w:cs="Arial"/>
          <w:sz w:val="24"/>
        </w:rPr>
        <w:t>arguye, las siguientes manifestaciones:</w:t>
      </w:r>
    </w:p>
    <w:p w:rsidR="007E2E80" w:rsidRPr="001108C2" w:rsidRDefault="007E2E80" w:rsidP="009467C9">
      <w:pPr>
        <w:pStyle w:val="Prrafodelista"/>
        <w:numPr>
          <w:ilvl w:val="0"/>
          <w:numId w:val="16"/>
        </w:numPr>
        <w:spacing w:before="240"/>
        <w:jc w:val="both"/>
        <w:rPr>
          <w:rFonts w:ascii="Palatino Linotype" w:hAnsi="Palatino Linotype" w:cs="Arial"/>
          <w:b/>
          <w:sz w:val="28"/>
        </w:rPr>
      </w:pPr>
      <w:r w:rsidRPr="001108C2">
        <w:rPr>
          <w:rFonts w:ascii="Palatino Linotype" w:hAnsi="Palatino Linotype" w:cs="Arial"/>
          <w:b/>
          <w:sz w:val="28"/>
        </w:rPr>
        <w:t>Acto Impugnado:</w:t>
      </w:r>
    </w:p>
    <w:p w:rsidR="007E2E80" w:rsidRPr="001108C2" w:rsidRDefault="007E2E80" w:rsidP="009467C9">
      <w:pPr>
        <w:spacing w:line="240" w:lineRule="auto"/>
        <w:ind w:left="426" w:right="567"/>
        <w:jc w:val="both"/>
        <w:rPr>
          <w:rFonts w:ascii="Palatino Linotype" w:hAnsi="Palatino Linotype" w:cs="Arial"/>
          <w:i/>
          <w:sz w:val="24"/>
          <w:szCs w:val="24"/>
        </w:rPr>
      </w:pPr>
      <w:r w:rsidRPr="001108C2">
        <w:rPr>
          <w:rFonts w:ascii="Palatino Linotype" w:hAnsi="Palatino Linotype" w:cs="Arial"/>
          <w:i/>
          <w:sz w:val="24"/>
          <w:szCs w:val="24"/>
        </w:rPr>
        <w:t>“</w:t>
      </w:r>
      <w:r w:rsidR="009467C9" w:rsidRPr="001108C2">
        <w:rPr>
          <w:rFonts w:ascii="Palatino Linotype" w:hAnsi="Palatino Linotype" w:cs="Arial"/>
          <w:i/>
          <w:sz w:val="24"/>
          <w:szCs w:val="24"/>
        </w:rPr>
        <w:t xml:space="preserve">Se recurre la negativa de acceso a información pública proporcionada por el Ayuntamiento de Naucalpan de Juárez, Estado de México, al dar respuesta a mi solicitud de acceso a información pública de fecha 9 de octubre de 2018 realizada vía SAIMEX, tramitada con el número de folio o expediente 00591/NAUCALPA/IP/2018. Lo anterior en el entendido de que la Dirección General de Desarrollo Urbano niega el acceso a información pública que, en primer </w:t>
      </w:r>
      <w:r w:rsidR="009467C9" w:rsidRPr="001108C2">
        <w:rPr>
          <w:rFonts w:ascii="Palatino Linotype" w:hAnsi="Palatino Linotype" w:cs="Arial"/>
          <w:i/>
          <w:sz w:val="24"/>
          <w:szCs w:val="24"/>
        </w:rPr>
        <w:lastRenderedPageBreak/>
        <w:t>lugar, debería obrar en el portal IPOMEX de Información Pública de Oficio Mexiquense, y no habría porqué estársele solicitando por vía documental. De esta forma, esta autoridad no proporciona injustificadamente al hoy suscrito la información solicitada, violando en mi perjuicio el derecho genérico de acceso a la información y el principio de máxima publicidad, ambos contenidos en el artículo 6o de la Constitución Política de los Estados Unidos Mexicanos.</w:t>
      </w:r>
      <w:r w:rsidR="006A3A54" w:rsidRPr="001108C2">
        <w:rPr>
          <w:rFonts w:ascii="Palatino Linotype" w:hAnsi="Palatino Linotype" w:cs="Arial"/>
          <w:i/>
          <w:sz w:val="24"/>
          <w:szCs w:val="24"/>
        </w:rPr>
        <w:t>"(Sic)</w:t>
      </w:r>
    </w:p>
    <w:p w:rsidR="009467C9" w:rsidRPr="001108C2" w:rsidRDefault="009467C9" w:rsidP="009467C9">
      <w:pPr>
        <w:pStyle w:val="Sinespaciado"/>
      </w:pPr>
    </w:p>
    <w:p w:rsidR="007E2E80" w:rsidRPr="001108C2" w:rsidRDefault="007E2E80" w:rsidP="009467C9">
      <w:pPr>
        <w:pStyle w:val="Prrafodelista"/>
        <w:numPr>
          <w:ilvl w:val="0"/>
          <w:numId w:val="16"/>
        </w:numPr>
        <w:spacing w:before="240"/>
        <w:jc w:val="both"/>
        <w:rPr>
          <w:rFonts w:ascii="Palatino Linotype" w:hAnsi="Palatino Linotype" w:cs="Arial"/>
          <w:sz w:val="28"/>
        </w:rPr>
      </w:pPr>
      <w:r w:rsidRPr="001108C2">
        <w:rPr>
          <w:rFonts w:ascii="Palatino Linotype" w:hAnsi="Palatino Linotype" w:cs="Arial"/>
          <w:b/>
          <w:sz w:val="28"/>
        </w:rPr>
        <w:t>Razones o Motivos de Inconformidad</w:t>
      </w:r>
      <w:r w:rsidR="009467C9" w:rsidRPr="001108C2">
        <w:rPr>
          <w:rFonts w:ascii="Palatino Linotype" w:hAnsi="Palatino Linotype" w:cs="Arial"/>
          <w:sz w:val="28"/>
        </w:rPr>
        <w:t>:</w:t>
      </w:r>
    </w:p>
    <w:p w:rsidR="007E2E80" w:rsidRPr="001108C2" w:rsidRDefault="007E2E80" w:rsidP="009467C9">
      <w:pPr>
        <w:spacing w:line="240" w:lineRule="auto"/>
        <w:ind w:left="426" w:right="567"/>
        <w:jc w:val="both"/>
        <w:rPr>
          <w:rFonts w:ascii="Palatino Linotype" w:hAnsi="Palatino Linotype" w:cs="Arial"/>
          <w:i/>
          <w:sz w:val="24"/>
          <w:szCs w:val="24"/>
        </w:rPr>
      </w:pPr>
      <w:r w:rsidRPr="001108C2">
        <w:rPr>
          <w:rFonts w:ascii="Palatino Linotype" w:hAnsi="Palatino Linotype" w:cs="Arial"/>
          <w:i/>
          <w:sz w:val="24"/>
          <w:szCs w:val="24"/>
        </w:rPr>
        <w:t>“</w:t>
      </w:r>
      <w:r w:rsidR="009467C9" w:rsidRPr="001108C2">
        <w:rPr>
          <w:rFonts w:ascii="Palatino Linotype" w:hAnsi="Palatino Linotype" w:cs="Arial"/>
          <w:i/>
          <w:sz w:val="24"/>
          <w:szCs w:val="24"/>
        </w:rPr>
        <w:t>RAZÓN DE LA INCONFORMIDAD 1.</w:t>
      </w:r>
      <w:r w:rsidR="009467C9" w:rsidRPr="001108C2">
        <w:rPr>
          <w:rFonts w:ascii="Palatino Linotype" w:hAnsi="Palatino Linotype" w:cs="Arial"/>
          <w:i/>
          <w:sz w:val="24"/>
          <w:szCs w:val="24"/>
        </w:rPr>
        <w:tab/>
        <w:t>El día 9 de octubre de 2018 realicé una solicitud de acceso a información pública a través del Sistema de Acceso a la Información Mexiquense (SAIMEX), solicitud a la cual se le asignó el número de folio o expediente 00591/NAUCALPA/IP/2018. En ésta señalé lo siguiente: “Por este medio solicito copia certificada de la Autorización de Cambio de Uso del Suelo con número de expediente CUS/032/2017 con fecha de expedición del 18 de septiembre de 2017, con nombre del titular de Corporativo INCOSOL, SA de CV. (veáse páginas 16 y 17 de la Gaceta del Gobierno del Estado Libre y Soberano de México de fecha 27 de julio de 2018 adjunta a la presente solicitud o visible en http://legislacion.edomex.gob.mx/sites/legislacion.edomex.gob.mx/files/files/pdf/gct/2018/jul272.pdf)”. La modalidad seleccionada para la entrega de información fue de copia certificada. 2.</w:t>
      </w:r>
      <w:r w:rsidR="009467C9" w:rsidRPr="001108C2">
        <w:rPr>
          <w:rFonts w:ascii="Palatino Linotype" w:hAnsi="Palatino Linotype" w:cs="Arial"/>
          <w:i/>
          <w:sz w:val="24"/>
          <w:szCs w:val="24"/>
        </w:rPr>
        <w:tab/>
        <w:t xml:space="preserve">Posteriormente, recibí la respuesta con fecha del 6 de noviembre de 2018 emitida por el Responsable de la Unidad de Información del Ayuntamiento de Naucalpan de Juárez, Mtro. Jorge Cajiga Calderón, en donde señala citar al servidor público habilitado de la Dirección General de Desarrollo Urbano del Ayuntamiento de Naucalpan de Juárez, enunciando lo siguiente: “…De acuerdo con el Catálogo de Información Clasificada publicado en la Gaceta Oficial del Municipio de Naucalpan de Juárez el día 07 de abril de 2008, los datos y documentos que integran los expedientes de cada peticionario se considera información confidencial, debido a esto, no es posible otorgarle la información solicitada…”. 3. El artículo 70 fracción XXVII de la Ley General de Transparencia y Acceso a la Información Pública se establece lo siguiente: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 XXVII. Las concesiones, contratos, convenios, </w:t>
      </w:r>
      <w:r w:rsidR="009467C9" w:rsidRPr="001108C2">
        <w:rPr>
          <w:rFonts w:ascii="Palatino Linotype" w:hAnsi="Palatino Linotype" w:cs="Arial"/>
          <w:i/>
          <w:sz w:val="24"/>
          <w:szCs w:val="24"/>
        </w:rPr>
        <w:lastRenderedPageBreak/>
        <w:t xml:space="preserve">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El artículo 92 fracción XXXII de la Ley de Transparencia y Acceso a la Información Pública del Estado de México y Municipios establece lo siguiente: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Por ende, lo argüido por el servidor público habilitado carece completamente de sentido, puesto que las autorizaciones constituyen información pública que, de oficio, los sujetos obligados tienen la obligación de subir a su página de Internet (lo cual no ha hecho y que, por ende, conlleva otra violación a la normatividad aplicable). Máxime que el acto administrativo de carácter particular solicitado a través de la solicitud de información del suscrito fue proporcionado por el mismo titular de los datos confidenciales, que el sujeto obligado arguye supuestamente pretender proteger, a la Consejería Jurídica del Ejecutivo del Estado de México para que éste fuese publicado en la Gaceta de Gobierno del estado de México, lo cual se realizó mediante la Gaceta del Gobierno del Estado Libre y Soberano de México de fecha 27 de julio de 2018, la cual es visible en el vínculo electrónico proporcionado en la misma solicitud de información. Luego entonces, lo solicitado al sujeto obligado no sólo se trata de información pública que, de oficio, debiese obrar en la página electrónica del sujeto obligado, sino que los supuestos datos confidenciales que podría pretender proteger ya son públicos, por virtud de que el titular del acto administrativo así lo quiso volitivamente. Por ende, lo que se solicita no violenta ningún derecho de tercero ni atenta contra la normatividad aplicable. Sin embargo, la negativa del sujeto obligado sí atenta contra el derecho humano ya referido del suscrito. No se omite señalar que el sujeto responsable niega el acceso a la información solicitada señalando que ésta es información confidencial, y anexando un documento que data de abril de 2008 mediante el cual el Ayuntamiento declaró como información reservada y confidencial </w:t>
      </w:r>
      <w:r w:rsidR="009467C9" w:rsidRPr="001108C2">
        <w:rPr>
          <w:rFonts w:ascii="Palatino Linotype" w:hAnsi="Palatino Linotype" w:cs="Arial"/>
          <w:i/>
          <w:sz w:val="24"/>
          <w:szCs w:val="24"/>
        </w:rPr>
        <w:lastRenderedPageBreak/>
        <w:t>todos los documentos emitidos por la Dirección General de Desarrollo Urbano (siendo el caso que los fundamentos de la información reservada están anotadas a mano y, por ende, ni siquiera se presumen que formasen parte originalmente del documento escrito a máquina), lo cual claramente es ilegal e inconstitucional, pues las clasificaciones se realizan de forma individual, y no genéricamente, como pretende referir el sujeto obligado en este caso. 4.</w:t>
      </w:r>
      <w:r w:rsidR="009467C9" w:rsidRPr="001108C2">
        <w:rPr>
          <w:rFonts w:ascii="Palatino Linotype" w:hAnsi="Palatino Linotype" w:cs="Arial"/>
          <w:i/>
          <w:sz w:val="24"/>
          <w:szCs w:val="24"/>
        </w:rPr>
        <w:tab/>
        <w:t>El hecho de que se me haya negado la información solicitada constituye: -</w:t>
      </w:r>
      <w:r w:rsidR="009467C9" w:rsidRPr="001108C2">
        <w:rPr>
          <w:rFonts w:ascii="Palatino Linotype" w:hAnsi="Palatino Linotype" w:cs="Arial"/>
          <w:i/>
          <w:sz w:val="24"/>
          <w:szCs w:val="24"/>
        </w:rPr>
        <w:tab/>
        <w:t>Una aberración en contra de las obligaciones de transparencia de los servidores públicos, pues la autoridad municipal tiene el descaro de señalar que la información pública de oficio se encuentra en el supuesto de información confidencial, lo cual es el colmo de la ineptitud, pues para ello existen las versiones públicas. -</w:t>
      </w:r>
      <w:r w:rsidR="009467C9" w:rsidRPr="001108C2">
        <w:rPr>
          <w:rFonts w:ascii="Palatino Linotype" w:hAnsi="Palatino Linotype" w:cs="Arial"/>
          <w:i/>
          <w:sz w:val="24"/>
          <w:szCs w:val="24"/>
        </w:rPr>
        <w:tab/>
        <w:t>La confesión tácita del incumplimiento de las obligaciones de transparencia del sujeto obligado con respecto a poner a disposición, de forma permanente y continua, las autorizaciones que emite. -</w:t>
      </w:r>
      <w:r w:rsidR="009467C9" w:rsidRPr="001108C2">
        <w:rPr>
          <w:rFonts w:ascii="Palatino Linotype" w:hAnsi="Palatino Linotype" w:cs="Arial"/>
          <w:i/>
          <w:sz w:val="24"/>
          <w:szCs w:val="24"/>
        </w:rPr>
        <w:tab/>
        <w:t>En razón de lo anterior, la actualización del incumplimiento a las obligaciones administrativas del servidor público, lo cual hace conducente que se dé vista al órgano contralor conducente para que se inicie un procedimiento administrativo en su contra. -</w:t>
      </w:r>
      <w:r w:rsidR="009467C9" w:rsidRPr="001108C2">
        <w:rPr>
          <w:rFonts w:ascii="Palatino Linotype" w:hAnsi="Palatino Linotype" w:cs="Arial"/>
          <w:i/>
          <w:sz w:val="24"/>
          <w:szCs w:val="24"/>
        </w:rPr>
        <w:tab/>
        <w:t>La posible comisión de una conducta delictiva, al negar injustificadamente el acceso a información pública, abusando y excediendo sus atribuciones legalmente conferidas. DENUNCIA ADJUNTA Atendiendo a lo expuesto en los artículos 3 fracción XVI, 29, 30 fracción II, 37, 42 fracción XVIII, 206 fracción I y 207 de la Ley General de Transparencia y Acceso a la Información Pública; 3 fracciones XXV y XLI, 111, 113, 114 fracción I, 118, 119 y demás relativos de la Ley de Transparencia y Acceso a la Información Pública del Estado de México y Municipios; y 42 fracción I y XXXIV de la Ley de Responsabilidades de los Servidores Públicos del Estado y Municipios, se solicita que, aunado a la tramitación del presente medio de impugnación, se dé trámite de la presente denuncia por incumplimiento del servidor público que nos ocupa por el presente descarado incumplimiento de sus obligaciones de transparencia, pese a que en la solicitud respectiva se incluyeron los fundamentos necesarios y se señaló que la información solicitada era pública de oficio, lo cual es prueba clara de la mala fe con la que actuó. Así, en razón de los requisitos señalados por los artículos 112, 113, 114 fracción I y 115 de la Ley de Transparencia y Acceso a la Información Pública del Estado de México y Municipios, se señala lo siguiente: A)</w:t>
      </w:r>
      <w:r w:rsidR="009467C9" w:rsidRPr="001108C2">
        <w:rPr>
          <w:rFonts w:ascii="Palatino Linotype" w:hAnsi="Palatino Linotype" w:cs="Arial"/>
          <w:i/>
          <w:sz w:val="24"/>
          <w:szCs w:val="24"/>
        </w:rPr>
        <w:tab/>
        <w:t>Junto con el medio de impugnación que nos ocupa, se hace llegar por esta misma vía la presente denuncia a ese H. Instituto (artículo 112 fracción I de la citada Ley). B)</w:t>
      </w:r>
      <w:r w:rsidR="009467C9" w:rsidRPr="001108C2">
        <w:rPr>
          <w:rFonts w:ascii="Palatino Linotype" w:hAnsi="Palatino Linotype" w:cs="Arial"/>
          <w:i/>
          <w:sz w:val="24"/>
          <w:szCs w:val="24"/>
        </w:rPr>
        <w:tab/>
        <w:t xml:space="preserve">El nombre del servidor público denunciado es el sujeto obligado de la Dirección General de Desarrollo Urbano que emitió la respuesta a la solicitud de información </w:t>
      </w:r>
      <w:r w:rsidR="009467C9" w:rsidRPr="001108C2">
        <w:rPr>
          <w:rFonts w:ascii="Palatino Linotype" w:hAnsi="Palatino Linotype" w:cs="Arial"/>
          <w:i/>
          <w:sz w:val="24"/>
          <w:szCs w:val="24"/>
        </w:rPr>
        <w:lastRenderedPageBreak/>
        <w:t>que aquí se impugna, así como aquél encargado de mantener al día la página electrónica del sujeto obligado con las licencias que esa Dirección General emite (artículo 113 fracción I de la citada Ley). C)</w:t>
      </w:r>
      <w:r w:rsidR="009467C9" w:rsidRPr="001108C2">
        <w:rPr>
          <w:rFonts w:ascii="Palatino Linotype" w:hAnsi="Palatino Linotype" w:cs="Arial"/>
          <w:i/>
          <w:sz w:val="24"/>
          <w:szCs w:val="24"/>
        </w:rPr>
        <w:tab/>
        <w:t>La descripción clara y precisa del incumplimiento deriva de lo contenido en los numerales 1 a 3 de este recurso de revisión adjunto (artículo 113 fracción II de la citada Ley). D)</w:t>
      </w:r>
      <w:r w:rsidR="009467C9" w:rsidRPr="001108C2">
        <w:rPr>
          <w:rFonts w:ascii="Palatino Linotype" w:hAnsi="Palatino Linotype" w:cs="Arial"/>
          <w:i/>
          <w:sz w:val="24"/>
          <w:szCs w:val="24"/>
        </w:rPr>
        <w:tab/>
        <w:t>La denuncia se presenta vía electrónica adjunta al recurso de revisión que se tramita, en el presente formato libre (artículos 114 fracción I y 115 de la citada Ley). No se omite señalar que el artículo 207 de la Ley General de Transparencia y Acceso a la Información Pública señala: Artículo 207. Las conductas a que se refiere el artículo anterior serán sancionadas por los Organismos garantes, según corresponda y, en su caso, conforme a su competencia darán vista a la autoridad competente para que imponga o ejecute la sanción. Se proporcionan documentales públicas adjuntas a este recurso como prueba de lo denunciado, las cuales consisten en la solicitud de acceso a información pública de fecha 9 de octubre de 2018, realizada vía SAIMEX, tramitada con el número de folio o expediente 00591/NAUCALPA/IP/2018, así como de la respuesta que recayó a esta solicitud. Por lo antes expuesto y fundado, atentamente solicito a ese H. Instituto: PRIMERO.- Tenerme por presentado en tiempo y forma con el presente recurso de revisión. SEGUNDO.- Previos los trámites de ley, se ordene a la autoridad competente que responda como es debido mi solicitud de acceso a información pública de fecha 9 de octubre de 2018, tramitada con el número de folio o expediente 00591/NAUCALPA/IP/2018, proporcionando a cabalidad y de forma íntegra (sin versiones públicas indebidas) el documento solicitado. TERCERO.- Se dé seguimiento al cumplimiento de la resolución que se emita, a fin de que ésta sea cabalmente cumplida. Para estos efectos, se proporcione un medio de comunicación mediante el cual se pueda reportar cualquier anomalía en su cumplimiento. CUARTO.- Dar copia de traslado a fin de que el área competente de ese Instituto inicie las averiguaciones vinculadas con la denuncia aquí adjunta, la cual cumple con todas las formalidades señaladas en la Ley.</w:t>
      </w:r>
      <w:r w:rsidR="006A3A54" w:rsidRPr="001108C2">
        <w:rPr>
          <w:rFonts w:ascii="Palatino Linotype" w:hAnsi="Palatino Linotype" w:cs="Arial"/>
          <w:i/>
          <w:sz w:val="24"/>
          <w:szCs w:val="24"/>
        </w:rPr>
        <w:t>” (Sic)</w:t>
      </w:r>
      <w:r w:rsidR="00DA03F2" w:rsidRPr="001108C2">
        <w:rPr>
          <w:rFonts w:ascii="Palatino Linotype" w:hAnsi="Palatino Linotype" w:cs="Arial"/>
          <w:i/>
          <w:sz w:val="24"/>
          <w:szCs w:val="24"/>
        </w:rPr>
        <w:t>.</w:t>
      </w:r>
    </w:p>
    <w:p w:rsidR="00BE6D77" w:rsidRPr="001108C2" w:rsidRDefault="00BE6D77" w:rsidP="00301A01">
      <w:pPr>
        <w:tabs>
          <w:tab w:val="left" w:pos="3550"/>
        </w:tabs>
        <w:spacing w:before="240" w:line="360" w:lineRule="auto"/>
        <w:jc w:val="both"/>
        <w:rPr>
          <w:rFonts w:ascii="Palatino Linotype" w:hAnsi="Palatino Linotype"/>
          <w:color w:val="000000"/>
          <w:sz w:val="16"/>
          <w:szCs w:val="24"/>
        </w:rPr>
      </w:pPr>
    </w:p>
    <w:p w:rsidR="007E2E80" w:rsidRPr="001108C2" w:rsidRDefault="007E2E80" w:rsidP="002C6849">
      <w:pPr>
        <w:spacing w:after="0" w:line="360" w:lineRule="auto"/>
        <w:jc w:val="both"/>
        <w:rPr>
          <w:rFonts w:ascii="Palatino Linotype" w:hAnsi="Palatino Linotype" w:cs="Arial"/>
          <w:b/>
          <w:sz w:val="28"/>
          <w:szCs w:val="26"/>
        </w:rPr>
      </w:pPr>
      <w:r w:rsidRPr="001108C2">
        <w:rPr>
          <w:rFonts w:ascii="Palatino Linotype" w:hAnsi="Palatino Linotype" w:cs="Arial"/>
          <w:b/>
          <w:sz w:val="28"/>
          <w:szCs w:val="26"/>
        </w:rPr>
        <w:t>CUARTO. Del turno del recurso de revisión.</w:t>
      </w:r>
    </w:p>
    <w:p w:rsidR="007E2E80" w:rsidRPr="001108C2" w:rsidRDefault="007E2E80" w:rsidP="002C6849">
      <w:pPr>
        <w:spacing w:after="0" w:line="360" w:lineRule="auto"/>
        <w:jc w:val="both"/>
        <w:rPr>
          <w:rFonts w:ascii="Palatino Linotype" w:hAnsi="Palatino Linotype" w:cs="Arial"/>
          <w:sz w:val="24"/>
          <w:szCs w:val="24"/>
        </w:rPr>
      </w:pPr>
      <w:r w:rsidRPr="001108C2">
        <w:rPr>
          <w:rFonts w:ascii="Palatino Linotype" w:hAnsi="Palatino Linotype" w:cs="Arial"/>
          <w:sz w:val="24"/>
          <w:szCs w:val="24"/>
        </w:rPr>
        <w:t xml:space="preserve">Medio de impugnación que le fue turnado a la Comisionada </w:t>
      </w:r>
      <w:r w:rsidRPr="001108C2">
        <w:rPr>
          <w:rFonts w:ascii="Palatino Linotype" w:hAnsi="Palatino Linotype" w:cs="Arial"/>
          <w:b/>
          <w:sz w:val="24"/>
          <w:szCs w:val="24"/>
        </w:rPr>
        <w:t>Zulema Martínez Sánchez</w:t>
      </w:r>
      <w:r w:rsidRPr="001108C2">
        <w:rPr>
          <w:rFonts w:ascii="Palatino Linotype" w:hAnsi="Palatino Linotype" w:cs="Arial"/>
          <w:sz w:val="24"/>
          <w:szCs w:val="24"/>
        </w:rPr>
        <w:t xml:space="preserve">, por medio del sistema electrónico en términos del </w:t>
      </w:r>
      <w:r w:rsidR="00BE6D77" w:rsidRPr="001108C2">
        <w:rPr>
          <w:rFonts w:ascii="Palatino Linotype" w:hAnsi="Palatino Linotype" w:cs="Arial"/>
          <w:sz w:val="24"/>
          <w:szCs w:val="24"/>
        </w:rPr>
        <w:t>numeral</w:t>
      </w:r>
      <w:r w:rsidRPr="001108C2">
        <w:rPr>
          <w:rFonts w:ascii="Palatino Linotype" w:hAnsi="Palatino Linotype" w:cs="Arial"/>
          <w:sz w:val="24"/>
          <w:szCs w:val="24"/>
        </w:rPr>
        <w:t xml:space="preserve"> 185</w:t>
      </w:r>
      <w:r w:rsidR="002C6849" w:rsidRPr="001108C2">
        <w:rPr>
          <w:rFonts w:ascii="Palatino Linotype" w:hAnsi="Palatino Linotype" w:cs="Arial"/>
          <w:sz w:val="24"/>
          <w:szCs w:val="24"/>
        </w:rPr>
        <w:t>,</w:t>
      </w:r>
      <w:r w:rsidRPr="001108C2">
        <w:rPr>
          <w:rFonts w:ascii="Palatino Linotype" w:hAnsi="Palatino Linotype" w:cs="Arial"/>
          <w:sz w:val="24"/>
          <w:szCs w:val="24"/>
        </w:rPr>
        <w:t xml:space="preserve"> fracción I</w:t>
      </w:r>
      <w:r w:rsidR="002C6849" w:rsidRPr="001108C2">
        <w:rPr>
          <w:rFonts w:ascii="Palatino Linotype" w:hAnsi="Palatino Linotype" w:cs="Arial"/>
          <w:sz w:val="24"/>
          <w:szCs w:val="24"/>
        </w:rPr>
        <w:t>,</w:t>
      </w:r>
      <w:r w:rsidRPr="001108C2">
        <w:rPr>
          <w:rFonts w:ascii="Palatino Linotype" w:hAnsi="Palatino Linotype" w:cs="Arial"/>
          <w:sz w:val="24"/>
          <w:szCs w:val="24"/>
        </w:rPr>
        <w:t xml:space="preserve"> de la Ley de Transparencia y Acceso a la información Pública del Estado de México y </w:t>
      </w:r>
      <w:r w:rsidRPr="001108C2">
        <w:rPr>
          <w:rFonts w:ascii="Palatino Linotype" w:hAnsi="Palatino Linotype" w:cs="Arial"/>
          <w:sz w:val="24"/>
          <w:szCs w:val="24"/>
        </w:rPr>
        <w:lastRenderedPageBreak/>
        <w:t xml:space="preserve">Municipios, del cual recayó acuerdo de admisión en fecha </w:t>
      </w:r>
      <w:r w:rsidR="002C6849" w:rsidRPr="001108C2">
        <w:rPr>
          <w:rFonts w:ascii="Palatino Linotype" w:hAnsi="Palatino Linotype" w:cs="Arial"/>
          <w:sz w:val="24"/>
          <w:szCs w:val="24"/>
        </w:rPr>
        <w:t xml:space="preserve">veintiséis </w:t>
      </w:r>
      <w:r w:rsidRPr="001108C2">
        <w:rPr>
          <w:rFonts w:ascii="Palatino Linotype" w:hAnsi="Palatino Linotype" w:cs="Arial"/>
          <w:sz w:val="24"/>
          <w:szCs w:val="24"/>
        </w:rPr>
        <w:t xml:space="preserve">de </w:t>
      </w:r>
      <w:r w:rsidR="002C6849" w:rsidRPr="001108C2">
        <w:rPr>
          <w:rFonts w:ascii="Palatino Linotype" w:hAnsi="Palatino Linotype" w:cs="Arial"/>
          <w:sz w:val="24"/>
          <w:szCs w:val="24"/>
        </w:rPr>
        <w:t>noviembre</w:t>
      </w:r>
      <w:r w:rsidRPr="001108C2">
        <w:rPr>
          <w:rFonts w:ascii="Palatino Linotype" w:hAnsi="Palatino Linotype" w:cs="Arial"/>
          <w:sz w:val="24"/>
          <w:szCs w:val="24"/>
        </w:rPr>
        <w:t xml:space="preserve"> de </w:t>
      </w:r>
      <w:r w:rsidR="004807F7" w:rsidRPr="001108C2">
        <w:rPr>
          <w:rFonts w:ascii="Palatino Linotype" w:hAnsi="Palatino Linotype" w:cs="Arial"/>
          <w:sz w:val="24"/>
          <w:szCs w:val="24"/>
        </w:rPr>
        <w:t>dos mil diecioch</w:t>
      </w:r>
      <w:r w:rsidR="00BE6D77" w:rsidRPr="001108C2">
        <w:rPr>
          <w:rFonts w:ascii="Palatino Linotype" w:hAnsi="Palatino Linotype" w:cs="Arial"/>
          <w:sz w:val="24"/>
          <w:szCs w:val="24"/>
        </w:rPr>
        <w:t>o</w:t>
      </w:r>
      <w:r w:rsidRPr="001108C2">
        <w:rPr>
          <w:rFonts w:ascii="Palatino Linotype" w:hAnsi="Palatino Linotype" w:cs="Arial"/>
          <w:sz w:val="24"/>
          <w:szCs w:val="24"/>
        </w:rPr>
        <w:t>, determinándose en él, un plazo de siete días para que las partes manifestaran lo que a su derecho corresponda en términos del numeral ya citado.</w:t>
      </w:r>
    </w:p>
    <w:p w:rsidR="00BE6D77" w:rsidRPr="001108C2" w:rsidRDefault="00BE6D77" w:rsidP="007E2E80">
      <w:pPr>
        <w:spacing w:before="240" w:line="360" w:lineRule="auto"/>
        <w:jc w:val="both"/>
        <w:rPr>
          <w:rFonts w:ascii="Palatino Linotype" w:hAnsi="Palatino Linotype" w:cs="Arial"/>
          <w:sz w:val="16"/>
          <w:szCs w:val="24"/>
        </w:rPr>
      </w:pPr>
    </w:p>
    <w:p w:rsidR="007E2E80" w:rsidRPr="001108C2" w:rsidRDefault="007E2E80" w:rsidP="002C6849">
      <w:pPr>
        <w:spacing w:after="0" w:line="360" w:lineRule="auto"/>
        <w:jc w:val="both"/>
        <w:rPr>
          <w:rFonts w:ascii="Palatino Linotype" w:hAnsi="Palatino Linotype" w:cs="Arial"/>
          <w:b/>
          <w:sz w:val="28"/>
          <w:szCs w:val="26"/>
        </w:rPr>
      </w:pPr>
      <w:r w:rsidRPr="001108C2">
        <w:rPr>
          <w:rFonts w:ascii="Palatino Linotype" w:hAnsi="Palatino Linotype" w:cs="Arial"/>
          <w:b/>
          <w:sz w:val="28"/>
          <w:szCs w:val="26"/>
        </w:rPr>
        <w:t>QUINTO. De la etapa de instrucción.</w:t>
      </w:r>
    </w:p>
    <w:p w:rsidR="002C6849" w:rsidRPr="001108C2" w:rsidRDefault="002C6849" w:rsidP="002C6849">
      <w:pPr>
        <w:pStyle w:val="Sinespaciado"/>
        <w:spacing w:line="360" w:lineRule="auto"/>
        <w:jc w:val="both"/>
        <w:rPr>
          <w:rFonts w:ascii="Palatino Linotype" w:hAnsi="Palatino Linotype" w:cs="Arial"/>
          <w:sz w:val="24"/>
        </w:rPr>
      </w:pPr>
      <w:r w:rsidRPr="001108C2">
        <w:rPr>
          <w:rFonts w:ascii="Palatino Linotype" w:hAnsi="Palatino Linotype" w:cs="Arial"/>
          <w:noProof/>
          <w:sz w:val="24"/>
          <w:lang w:eastAsia="es-MX"/>
        </w:rPr>
        <mc:AlternateContent>
          <mc:Choice Requires="wps">
            <w:drawing>
              <wp:anchor distT="0" distB="0" distL="114300" distR="114300" simplePos="0" relativeHeight="251678720" behindDoc="0" locked="0" layoutInCell="1" allowOverlap="1">
                <wp:simplePos x="0" y="0"/>
                <wp:positionH relativeFrom="column">
                  <wp:posOffset>33048</wp:posOffset>
                </wp:positionH>
                <wp:positionV relativeFrom="paragraph">
                  <wp:posOffset>2751649</wp:posOffset>
                </wp:positionV>
                <wp:extent cx="5636895" cy="3140296"/>
                <wp:effectExtent l="19050" t="19050" r="20955" b="22225"/>
                <wp:wrapNone/>
                <wp:docPr id="12" name="Conector recto 12"/>
                <wp:cNvGraphicFramePr/>
                <a:graphic xmlns:a="http://schemas.openxmlformats.org/drawingml/2006/main">
                  <a:graphicData uri="http://schemas.microsoft.com/office/word/2010/wordprocessingShape">
                    <wps:wsp>
                      <wps:cNvCnPr/>
                      <wps:spPr>
                        <a:xfrm>
                          <a:off x="0" y="0"/>
                          <a:ext cx="5636895" cy="314029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A2C362" id="Conector recto 1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216.65pt" to="446.45pt,4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" strokecolor="#5b9bd5 [3204]" strokeweight="2.25pt">
                <v:stroke joinstyle="miter"/>
              </v:line>
            </w:pict>
          </mc:Fallback>
        </mc:AlternateContent>
      </w:r>
      <w:r w:rsidRPr="001108C2">
        <w:rPr>
          <w:rFonts w:ascii="Palatino Linotype" w:hAnsi="Palatino Linotype" w:cs="Arial"/>
          <w:sz w:val="24"/>
        </w:rPr>
        <w:t xml:space="preserve">Durante el transcurso del término legal referido, se destaca que </w:t>
      </w:r>
      <w:r w:rsidRPr="001108C2">
        <w:rPr>
          <w:rFonts w:ascii="Palatino Linotype" w:hAnsi="Palatino Linotype" w:cs="Arial"/>
          <w:b/>
          <w:sz w:val="24"/>
        </w:rPr>
        <w:t>El Recurrente</w:t>
      </w:r>
      <w:r w:rsidRPr="001108C2">
        <w:rPr>
          <w:rFonts w:ascii="Palatino Linotype" w:hAnsi="Palatino Linotype" w:cs="Arial"/>
          <w:sz w:val="24"/>
        </w:rPr>
        <w:t xml:space="preserve"> realizó manifestaciones mediante los archivos electrónicos denominados “Manifestaciones_RR_2018.doc” y “Manifestaciones_RR_2018.doc”, el día siete de diciembre de dos mil dieciocho; por su parte, el </w:t>
      </w:r>
      <w:r w:rsidRPr="001108C2">
        <w:rPr>
          <w:rFonts w:ascii="Palatino Linotype" w:hAnsi="Palatino Linotype" w:cs="Arial"/>
          <w:b/>
          <w:sz w:val="24"/>
        </w:rPr>
        <w:t>Sujeto Obligado</w:t>
      </w:r>
      <w:r w:rsidRPr="001108C2">
        <w:rPr>
          <w:rFonts w:ascii="Palatino Linotype" w:hAnsi="Palatino Linotype" w:cs="Arial"/>
          <w:sz w:val="24"/>
        </w:rPr>
        <w:t xml:space="preserve"> adjuntó su informe justificado el día treinta de noviembre del mismo año, mediante el archivo denominado “DGDU-4549-2018.pdf”, el cual se puso a la vista del solicitante en fecha cuatro de diciembre de dos mil dieciocho, para que en un término de tres días el </w:t>
      </w:r>
      <w:r w:rsidRPr="001108C2">
        <w:rPr>
          <w:rFonts w:ascii="Palatino Linotype" w:hAnsi="Palatino Linotype" w:cs="Arial"/>
          <w:b/>
          <w:sz w:val="24"/>
        </w:rPr>
        <w:t>Recurrente</w:t>
      </w:r>
      <w:r w:rsidRPr="001108C2">
        <w:rPr>
          <w:rFonts w:ascii="Palatino Linotype" w:hAnsi="Palatino Linotype" w:cs="Arial"/>
          <w:sz w:val="24"/>
        </w:rPr>
        <w:t xml:space="preserve"> manifestara lo que a su derecho conviniera, tal y como se observa en la siguiente captura de pantalla:</w:t>
      </w:r>
    </w:p>
    <w:p w:rsidR="002C6849" w:rsidRPr="001108C2" w:rsidRDefault="002C6849" w:rsidP="002C6849">
      <w:pPr>
        <w:pStyle w:val="Sinespaciado"/>
        <w:spacing w:line="360" w:lineRule="auto"/>
        <w:jc w:val="both"/>
        <w:rPr>
          <w:rFonts w:ascii="Palatino Linotype" w:hAnsi="Palatino Linotype" w:cs="Arial"/>
          <w:sz w:val="24"/>
        </w:rPr>
      </w:pPr>
    </w:p>
    <w:p w:rsidR="002C6849" w:rsidRPr="001108C2" w:rsidRDefault="002C6849" w:rsidP="002C6849">
      <w:pPr>
        <w:pStyle w:val="Sinespaciado"/>
        <w:spacing w:line="360" w:lineRule="auto"/>
        <w:jc w:val="both"/>
        <w:rPr>
          <w:rFonts w:ascii="Palatino Linotype" w:hAnsi="Palatino Linotype" w:cs="Arial"/>
          <w:sz w:val="24"/>
        </w:rPr>
      </w:pPr>
      <w:r w:rsidRPr="001108C2">
        <w:rPr>
          <w:rFonts w:ascii="Palatino Linotype" w:hAnsi="Palatino Linotype" w:cs="Arial"/>
          <w:noProof/>
          <w:sz w:val="24"/>
          <w:lang w:eastAsia="es-MX"/>
        </w:rPr>
        <w:lastRenderedPageBreak/>
        <w:drawing>
          <wp:inline distT="0" distB="0" distL="0" distR="0">
            <wp:extent cx="5748655" cy="4818380"/>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4818380"/>
                    </a:xfrm>
                    <a:prstGeom prst="rect">
                      <a:avLst/>
                    </a:prstGeom>
                    <a:noFill/>
                    <a:ln>
                      <a:noFill/>
                    </a:ln>
                  </pic:spPr>
                </pic:pic>
              </a:graphicData>
            </a:graphic>
          </wp:inline>
        </w:drawing>
      </w:r>
    </w:p>
    <w:p w:rsidR="00423C27" w:rsidRPr="001108C2" w:rsidRDefault="00423C27" w:rsidP="00AD3C94">
      <w:pPr>
        <w:spacing w:after="0" w:line="360" w:lineRule="auto"/>
        <w:jc w:val="both"/>
        <w:rPr>
          <w:rFonts w:ascii="Palatino Linotype" w:hAnsi="Palatino Linotype" w:cs="Arial"/>
          <w:sz w:val="24"/>
          <w:szCs w:val="24"/>
        </w:rPr>
      </w:pPr>
    </w:p>
    <w:p w:rsidR="00423C27" w:rsidRPr="001108C2" w:rsidRDefault="00423C27" w:rsidP="00423C27">
      <w:pPr>
        <w:tabs>
          <w:tab w:val="left" w:pos="3206"/>
        </w:tabs>
        <w:spacing w:after="0" w:line="360" w:lineRule="auto"/>
        <w:jc w:val="both"/>
        <w:rPr>
          <w:rFonts w:ascii="Palatino Linotype" w:hAnsi="Palatino Linotype" w:cs="Arial"/>
          <w:b/>
          <w:sz w:val="28"/>
          <w:szCs w:val="26"/>
        </w:rPr>
      </w:pPr>
      <w:r w:rsidRPr="001108C2">
        <w:rPr>
          <w:rFonts w:ascii="Palatino Linotype" w:hAnsi="Palatino Linotype" w:cs="Arial"/>
          <w:b/>
          <w:sz w:val="28"/>
          <w:szCs w:val="26"/>
        </w:rPr>
        <w:t>SEXTO. Del cierre de instrucción.</w:t>
      </w:r>
    </w:p>
    <w:p w:rsidR="00423C27" w:rsidRPr="001108C2" w:rsidRDefault="00423C27" w:rsidP="00423C27">
      <w:pPr>
        <w:spacing w:after="0" w:line="360" w:lineRule="auto"/>
        <w:jc w:val="both"/>
        <w:rPr>
          <w:rFonts w:ascii="Palatino Linotype" w:hAnsi="Palatino Linotype" w:cs="Arial"/>
          <w:sz w:val="24"/>
          <w:szCs w:val="24"/>
        </w:rPr>
      </w:pPr>
      <w:r w:rsidRPr="001108C2">
        <w:rPr>
          <w:rFonts w:ascii="Palatino Linotype" w:hAnsi="Palatino Linotype" w:cs="Arial"/>
          <w:sz w:val="24"/>
          <w:szCs w:val="24"/>
        </w:rPr>
        <w:t xml:space="preserve">Así, una vez transcurrido el término legal, se decretó el cierre de instrucción en fecha </w:t>
      </w:r>
      <w:r w:rsidR="002C6849" w:rsidRPr="001108C2">
        <w:rPr>
          <w:rFonts w:ascii="Palatino Linotype" w:hAnsi="Palatino Linotype" w:cs="Arial"/>
          <w:sz w:val="24"/>
          <w:szCs w:val="24"/>
        </w:rPr>
        <w:t>once</w:t>
      </w:r>
      <w:r w:rsidRPr="001108C2">
        <w:rPr>
          <w:rFonts w:ascii="Palatino Linotype" w:hAnsi="Palatino Linotype" w:cs="Arial"/>
          <w:sz w:val="24"/>
          <w:szCs w:val="24"/>
        </w:rPr>
        <w:t xml:space="preserve"> de </w:t>
      </w:r>
      <w:r w:rsidR="002C6849" w:rsidRPr="001108C2">
        <w:rPr>
          <w:rFonts w:ascii="Palatino Linotype" w:hAnsi="Palatino Linotype" w:cs="Arial"/>
          <w:sz w:val="24"/>
          <w:szCs w:val="24"/>
        </w:rPr>
        <w:t>diciembre</w:t>
      </w:r>
      <w:r w:rsidRPr="001108C2">
        <w:rPr>
          <w:rFonts w:ascii="Palatino Linotype" w:hAnsi="Palatino Linotype" w:cs="Arial"/>
          <w:sz w:val="24"/>
          <w:szCs w:val="24"/>
        </w:rPr>
        <w:t xml:space="preserve"> de dos mil dieciocho, en términos del artículo 185</w:t>
      </w:r>
      <w:r w:rsidR="002C6849" w:rsidRPr="001108C2">
        <w:rPr>
          <w:rFonts w:ascii="Palatino Linotype" w:hAnsi="Palatino Linotype" w:cs="Arial"/>
          <w:sz w:val="24"/>
          <w:szCs w:val="24"/>
        </w:rPr>
        <w:t>,</w:t>
      </w:r>
      <w:r w:rsidRPr="001108C2">
        <w:rPr>
          <w:rFonts w:ascii="Palatino Linotype" w:hAnsi="Palatino Linotype" w:cs="Arial"/>
          <w:sz w:val="24"/>
          <w:szCs w:val="24"/>
        </w:rPr>
        <w:t xml:space="preserve"> Fracción VI</w:t>
      </w:r>
      <w:r w:rsidR="002C6849" w:rsidRPr="001108C2">
        <w:rPr>
          <w:rFonts w:ascii="Palatino Linotype" w:hAnsi="Palatino Linotype" w:cs="Arial"/>
          <w:sz w:val="24"/>
          <w:szCs w:val="24"/>
        </w:rPr>
        <w:t>,</w:t>
      </w:r>
      <w:r w:rsidRPr="001108C2">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A5739D" w:rsidRPr="001108C2" w:rsidRDefault="00A5739D" w:rsidP="00423C27">
      <w:pPr>
        <w:spacing w:after="0" w:line="360" w:lineRule="auto"/>
        <w:jc w:val="both"/>
        <w:rPr>
          <w:rFonts w:ascii="Palatino Linotype" w:hAnsi="Palatino Linotype" w:cs="Arial"/>
          <w:sz w:val="24"/>
          <w:szCs w:val="24"/>
        </w:rPr>
      </w:pPr>
    </w:p>
    <w:p w:rsidR="002C6849" w:rsidRPr="001108C2" w:rsidRDefault="002C6849" w:rsidP="00423C27">
      <w:pPr>
        <w:spacing w:after="0" w:line="360" w:lineRule="auto"/>
        <w:jc w:val="both"/>
        <w:rPr>
          <w:rFonts w:ascii="Palatino Linotype" w:hAnsi="Palatino Linotype" w:cs="Arial"/>
          <w:sz w:val="24"/>
          <w:szCs w:val="24"/>
        </w:rPr>
      </w:pPr>
    </w:p>
    <w:p w:rsidR="007E2E80" w:rsidRPr="001108C2" w:rsidRDefault="007E2E80" w:rsidP="007E2E80">
      <w:pPr>
        <w:spacing w:before="240" w:line="360" w:lineRule="auto"/>
        <w:jc w:val="center"/>
        <w:rPr>
          <w:rFonts w:ascii="Palatino Linotype" w:hAnsi="Palatino Linotype" w:cs="Arial"/>
          <w:b/>
          <w:sz w:val="28"/>
        </w:rPr>
      </w:pPr>
      <w:r w:rsidRPr="001108C2">
        <w:rPr>
          <w:rFonts w:ascii="Palatino Linotype" w:hAnsi="Palatino Linotype" w:cs="Arial"/>
          <w:b/>
          <w:sz w:val="28"/>
        </w:rPr>
        <w:lastRenderedPageBreak/>
        <w:t xml:space="preserve">C O N S I D E R A N D O </w:t>
      </w:r>
    </w:p>
    <w:p w:rsidR="002C6849" w:rsidRPr="001108C2" w:rsidRDefault="002C6849" w:rsidP="002C6849">
      <w:pPr>
        <w:pStyle w:val="Sinespaciado"/>
      </w:pPr>
    </w:p>
    <w:p w:rsidR="007E2E80" w:rsidRPr="001108C2" w:rsidRDefault="007E2E80" w:rsidP="002C6849">
      <w:pPr>
        <w:spacing w:after="0" w:line="360" w:lineRule="auto"/>
        <w:jc w:val="both"/>
        <w:rPr>
          <w:rFonts w:ascii="Palatino Linotype" w:hAnsi="Palatino Linotype" w:cs="Arial"/>
          <w:sz w:val="28"/>
          <w:szCs w:val="26"/>
        </w:rPr>
      </w:pPr>
      <w:r w:rsidRPr="001108C2">
        <w:rPr>
          <w:rFonts w:ascii="Palatino Linotype" w:hAnsi="Palatino Linotype" w:cs="Arial"/>
          <w:b/>
          <w:sz w:val="28"/>
          <w:szCs w:val="26"/>
        </w:rPr>
        <w:t>PRIMERO. De la competencia</w:t>
      </w:r>
      <w:r w:rsidRPr="001108C2">
        <w:rPr>
          <w:rFonts w:ascii="Palatino Linotype" w:hAnsi="Palatino Linotype" w:cs="Arial"/>
          <w:sz w:val="28"/>
          <w:szCs w:val="26"/>
        </w:rPr>
        <w:t>.</w:t>
      </w:r>
    </w:p>
    <w:p w:rsidR="007E2E80" w:rsidRPr="001108C2" w:rsidRDefault="007E2E80" w:rsidP="002C6849">
      <w:pPr>
        <w:spacing w:after="0" w:line="360" w:lineRule="auto"/>
        <w:jc w:val="both"/>
        <w:rPr>
          <w:rFonts w:ascii="Palatino Linotype" w:hAnsi="Palatino Linotype" w:cs="Arial"/>
          <w:sz w:val="24"/>
        </w:rPr>
      </w:pPr>
      <w:r w:rsidRPr="001108C2">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905F01" w:rsidRPr="001108C2">
        <w:rPr>
          <w:rFonts w:ascii="Palatino Linotype" w:hAnsi="Palatino Linotype" w:cs="Arial"/>
          <w:sz w:val="24"/>
        </w:rPr>
        <w:t>e</w:t>
      </w:r>
      <w:r w:rsidRPr="001108C2">
        <w:rPr>
          <w:rFonts w:ascii="Palatino Linotype" w:hAnsi="Palatino Linotype" w:cs="Arial"/>
          <w:sz w:val="24"/>
        </w:rPr>
        <w:t>l</w:t>
      </w:r>
      <w:r w:rsidRPr="001108C2">
        <w:rPr>
          <w:rFonts w:ascii="Palatino Linotype" w:hAnsi="Palatino Linotype" w:cs="Arial"/>
          <w:b/>
          <w:sz w:val="24"/>
        </w:rPr>
        <w:t xml:space="preserve"> Recurrente</w:t>
      </w:r>
      <w:r w:rsidRPr="001108C2">
        <w:rPr>
          <w:rFonts w:ascii="Palatino Linotype" w:hAnsi="Palatino Linotype" w:cs="Arial"/>
          <w:b/>
          <w:sz w:val="24"/>
          <w:szCs w:val="24"/>
        </w:rPr>
        <w:t xml:space="preserve"> </w:t>
      </w:r>
      <w:r w:rsidRPr="001108C2">
        <w:rPr>
          <w:rFonts w:ascii="Palatino Linotype" w:hAnsi="Palatino Linotype" w:cs="Arial"/>
          <w:sz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México, </w:t>
      </w:r>
      <w:r w:rsidRPr="001108C2">
        <w:rPr>
          <w:rFonts w:ascii="Palatino Linotype" w:hAnsi="Palatino Linotype" w:cs="Arial"/>
          <w:sz w:val="24"/>
          <w:szCs w:val="24"/>
        </w:rPr>
        <w:t xml:space="preserve">1, 2 fracción II, 13, 29, 36 fracciones II y III, 176, 178, 179 fracción I, 181 párrafo tercero, 182, 185, 188 y 194 </w:t>
      </w:r>
      <w:r w:rsidRPr="001108C2">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108C2" w:rsidRDefault="007E2E80" w:rsidP="007E2E80">
      <w:pPr>
        <w:spacing w:before="240" w:line="360" w:lineRule="auto"/>
        <w:jc w:val="both"/>
        <w:rPr>
          <w:rFonts w:ascii="Palatino Linotype" w:hAnsi="Palatino Linotype" w:cs="Arial"/>
          <w:sz w:val="14"/>
        </w:rPr>
      </w:pPr>
    </w:p>
    <w:p w:rsidR="007E2E80" w:rsidRPr="001108C2" w:rsidRDefault="007E2E80" w:rsidP="002C6849">
      <w:pPr>
        <w:pStyle w:val="Prrafodelista"/>
        <w:autoSpaceDE w:val="0"/>
        <w:autoSpaceDN w:val="0"/>
        <w:adjustRightInd w:val="0"/>
        <w:spacing w:line="360" w:lineRule="auto"/>
        <w:ind w:left="0"/>
        <w:jc w:val="both"/>
        <w:rPr>
          <w:rFonts w:ascii="Palatino Linotype" w:hAnsi="Palatino Linotype" w:cs="Arial"/>
          <w:b/>
          <w:sz w:val="28"/>
          <w:szCs w:val="26"/>
        </w:rPr>
      </w:pPr>
      <w:r w:rsidRPr="001108C2">
        <w:rPr>
          <w:rFonts w:ascii="Palatino Linotype" w:hAnsi="Palatino Linotype" w:cs="Arial"/>
          <w:b/>
          <w:sz w:val="28"/>
          <w:szCs w:val="26"/>
        </w:rPr>
        <w:t xml:space="preserve">SEGUNDO. Sobre los alcances del recurso de revisión. </w:t>
      </w:r>
    </w:p>
    <w:p w:rsidR="007E2E80" w:rsidRPr="001108C2" w:rsidRDefault="007E2E80" w:rsidP="002C6849">
      <w:pPr>
        <w:pStyle w:val="Prrafodelista"/>
        <w:autoSpaceDE w:val="0"/>
        <w:autoSpaceDN w:val="0"/>
        <w:adjustRightInd w:val="0"/>
        <w:spacing w:line="360" w:lineRule="auto"/>
        <w:ind w:left="0"/>
        <w:jc w:val="both"/>
        <w:rPr>
          <w:rFonts w:ascii="Palatino Linotype" w:hAnsi="Palatino Linotype" w:cs="Arial"/>
        </w:rPr>
      </w:pPr>
      <w:r w:rsidRPr="001108C2">
        <w:rPr>
          <w:rFonts w:ascii="Palatino Linotype" w:hAnsi="Palatino Linotype" w:cs="Aria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108C2">
        <w:rPr>
          <w:rFonts w:ascii="Palatino Linotype" w:hAnsi="Palatino Linotype" w:cs="Arial"/>
        </w:rPr>
        <w:lastRenderedPageBreak/>
        <w:t>derecho de acceso a la información pública y garantizando el principio rector de máxima publicidad.</w:t>
      </w:r>
    </w:p>
    <w:p w:rsidR="00030EE8" w:rsidRPr="001108C2" w:rsidRDefault="00030EE8" w:rsidP="002C6849">
      <w:pPr>
        <w:pStyle w:val="Prrafodelista"/>
        <w:autoSpaceDE w:val="0"/>
        <w:autoSpaceDN w:val="0"/>
        <w:adjustRightInd w:val="0"/>
        <w:spacing w:line="360" w:lineRule="auto"/>
        <w:ind w:left="0"/>
        <w:jc w:val="both"/>
        <w:rPr>
          <w:rFonts w:ascii="Palatino Linotype" w:hAnsi="Palatino Linotype" w:cs="Arial"/>
          <w:b/>
          <w:sz w:val="28"/>
          <w:szCs w:val="26"/>
        </w:rPr>
      </w:pPr>
    </w:p>
    <w:p w:rsidR="007E2E80" w:rsidRPr="001108C2" w:rsidRDefault="007E2E80" w:rsidP="002C6849">
      <w:pPr>
        <w:pStyle w:val="Prrafodelista"/>
        <w:autoSpaceDE w:val="0"/>
        <w:autoSpaceDN w:val="0"/>
        <w:adjustRightInd w:val="0"/>
        <w:spacing w:line="360" w:lineRule="auto"/>
        <w:ind w:left="0"/>
        <w:jc w:val="both"/>
        <w:rPr>
          <w:rFonts w:ascii="Palatino Linotype" w:hAnsi="Palatino Linotype" w:cs="Arial"/>
          <w:b/>
          <w:sz w:val="28"/>
          <w:szCs w:val="26"/>
        </w:rPr>
      </w:pPr>
      <w:r w:rsidRPr="001108C2">
        <w:rPr>
          <w:rFonts w:ascii="Palatino Linotype" w:hAnsi="Palatino Linotype" w:cs="Arial"/>
          <w:b/>
          <w:sz w:val="28"/>
          <w:szCs w:val="26"/>
        </w:rPr>
        <w:t>TERCERO. De las causas de improcedencia.</w:t>
      </w:r>
    </w:p>
    <w:p w:rsidR="007E2E80" w:rsidRPr="001108C2" w:rsidRDefault="007E2E80" w:rsidP="002C6849">
      <w:pPr>
        <w:pStyle w:val="Prrafodelista"/>
        <w:autoSpaceDE w:val="0"/>
        <w:autoSpaceDN w:val="0"/>
        <w:adjustRightInd w:val="0"/>
        <w:spacing w:line="360" w:lineRule="auto"/>
        <w:ind w:left="0"/>
        <w:jc w:val="both"/>
        <w:rPr>
          <w:rFonts w:ascii="Palatino Linotype" w:hAnsi="Palatino Linotype" w:cs="Arial"/>
        </w:rPr>
      </w:pPr>
      <w:r w:rsidRPr="001108C2">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w:t>
      </w:r>
      <w:r w:rsidR="003022FA" w:rsidRPr="001108C2">
        <w:rPr>
          <w:rFonts w:ascii="Palatino Linotype" w:hAnsi="Palatino Linotype" w:cs="Arial"/>
        </w:rPr>
        <w:t>,</w:t>
      </w:r>
      <w:r w:rsidRPr="001108C2">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7E2E80" w:rsidRPr="001108C2" w:rsidRDefault="007E2E80" w:rsidP="007E2E80">
      <w:pPr>
        <w:pStyle w:val="Prrafodelista"/>
        <w:autoSpaceDE w:val="0"/>
        <w:autoSpaceDN w:val="0"/>
        <w:adjustRightInd w:val="0"/>
        <w:spacing w:line="360" w:lineRule="auto"/>
        <w:ind w:left="0"/>
        <w:jc w:val="both"/>
        <w:rPr>
          <w:rFonts w:ascii="Palatino Linotype" w:hAnsi="Palatino Linotype" w:cs="Arial"/>
        </w:rPr>
      </w:pPr>
    </w:p>
    <w:p w:rsidR="007E2E80" w:rsidRPr="001108C2" w:rsidRDefault="007E2E80" w:rsidP="007E2E80">
      <w:pPr>
        <w:pStyle w:val="Prrafodelista"/>
        <w:autoSpaceDE w:val="0"/>
        <w:autoSpaceDN w:val="0"/>
        <w:adjustRightInd w:val="0"/>
        <w:spacing w:line="360" w:lineRule="auto"/>
        <w:ind w:left="0"/>
        <w:jc w:val="both"/>
        <w:rPr>
          <w:rFonts w:ascii="Palatino Linotype" w:hAnsi="Palatino Linotype" w:cs="Arial"/>
        </w:rPr>
      </w:pPr>
      <w:r w:rsidRPr="001108C2">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108C2">
        <w:rPr>
          <w:rStyle w:val="Refdenotaalpie"/>
          <w:rFonts w:ascii="Palatino Linotype" w:hAnsi="Palatino Linotype" w:cs="Arial"/>
        </w:rPr>
        <w:footnoteReference w:id="1"/>
      </w:r>
      <w:r w:rsidRPr="001108C2">
        <w:rPr>
          <w:rFonts w:ascii="Palatino Linotype" w:hAnsi="Palatino Linotype" w:cs="Arial"/>
        </w:rPr>
        <w:t xml:space="preserve">, la cual permite </w:t>
      </w:r>
      <w:r w:rsidRPr="001108C2">
        <w:rPr>
          <w:rFonts w:ascii="Palatino Linotype" w:hAnsi="Palatino Linotype" w:cs="Arial"/>
        </w:rPr>
        <w:lastRenderedPageBreak/>
        <w:t>dilucidar alguna causal que impida el estudio y resolución, cuando una vez admitido el recurso de revisión se advierta una causa de improcedencia que permita sobreseerlo, sin estudiar el fondo del asunto.</w:t>
      </w:r>
    </w:p>
    <w:p w:rsidR="007E2E80" w:rsidRPr="001108C2" w:rsidRDefault="007E2E80" w:rsidP="003022FA">
      <w:pPr>
        <w:pStyle w:val="Sinespaciado"/>
      </w:pPr>
    </w:p>
    <w:p w:rsidR="007E2E80" w:rsidRPr="001108C2" w:rsidRDefault="007E2E80" w:rsidP="007E2E80">
      <w:pPr>
        <w:pStyle w:val="Prrafodelista"/>
        <w:autoSpaceDE w:val="0"/>
        <w:autoSpaceDN w:val="0"/>
        <w:adjustRightInd w:val="0"/>
        <w:spacing w:before="240" w:after="160" w:line="360" w:lineRule="auto"/>
        <w:ind w:left="0"/>
        <w:jc w:val="both"/>
        <w:rPr>
          <w:rFonts w:ascii="Palatino Linotype" w:hAnsi="Palatino Linotype" w:cs="Arial"/>
        </w:rPr>
      </w:pPr>
      <w:r w:rsidRPr="001108C2">
        <w:rPr>
          <w:rFonts w:ascii="Palatino Linotype" w:hAnsi="Palatino Linotype" w:cs="Aria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823454" w:rsidRPr="001108C2" w:rsidRDefault="00823454" w:rsidP="007E2E80">
      <w:pPr>
        <w:pStyle w:val="Prrafodelista"/>
        <w:autoSpaceDE w:val="0"/>
        <w:autoSpaceDN w:val="0"/>
        <w:adjustRightInd w:val="0"/>
        <w:spacing w:before="240" w:after="160" w:line="360" w:lineRule="auto"/>
        <w:ind w:left="0"/>
        <w:jc w:val="both"/>
        <w:rPr>
          <w:rFonts w:ascii="Palatino Linotype" w:hAnsi="Palatino Linotype" w:cs="Arial"/>
          <w:sz w:val="6"/>
        </w:rPr>
      </w:pPr>
    </w:p>
    <w:p w:rsidR="007E2E80" w:rsidRPr="001108C2" w:rsidRDefault="007E2E80" w:rsidP="003022FA">
      <w:pPr>
        <w:pStyle w:val="Prrafodelista"/>
        <w:autoSpaceDE w:val="0"/>
        <w:autoSpaceDN w:val="0"/>
        <w:adjustRightInd w:val="0"/>
        <w:spacing w:line="360" w:lineRule="auto"/>
        <w:ind w:left="0"/>
        <w:jc w:val="both"/>
        <w:rPr>
          <w:rFonts w:ascii="Palatino Linotype" w:hAnsi="Palatino Linotype" w:cs="Arial"/>
          <w:sz w:val="28"/>
          <w:szCs w:val="26"/>
        </w:rPr>
      </w:pPr>
      <w:r w:rsidRPr="001108C2">
        <w:rPr>
          <w:rFonts w:ascii="Palatino Linotype" w:hAnsi="Palatino Linotype" w:cs="Arial"/>
          <w:b/>
          <w:sz w:val="28"/>
          <w:szCs w:val="26"/>
        </w:rPr>
        <w:t>CUARTO.</w:t>
      </w:r>
      <w:r w:rsidRPr="001108C2">
        <w:rPr>
          <w:rFonts w:ascii="Palatino Linotype" w:hAnsi="Palatino Linotype" w:cs="Arial"/>
          <w:sz w:val="28"/>
          <w:szCs w:val="26"/>
        </w:rPr>
        <w:t xml:space="preserve"> </w:t>
      </w:r>
      <w:r w:rsidRPr="001108C2">
        <w:rPr>
          <w:rFonts w:ascii="Palatino Linotype" w:hAnsi="Palatino Linotype" w:cs="Arial"/>
          <w:b/>
          <w:sz w:val="28"/>
          <w:szCs w:val="26"/>
        </w:rPr>
        <w:t>Estudio y resolución del asunto.</w:t>
      </w:r>
    </w:p>
    <w:p w:rsidR="007E2E80" w:rsidRPr="001108C2" w:rsidRDefault="007E2E80" w:rsidP="003022FA">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108C2">
        <w:rPr>
          <w:rFonts w:ascii="Palatino Linotype" w:hAnsi="Palatino Linotype"/>
          <w:sz w:val="24"/>
          <w:szCs w:val="24"/>
        </w:rPr>
        <w:lastRenderedPageBreak/>
        <w:t>que el Estado Mexicano sea parte, en concordancia con el párrafo tercero del artículo 1 de la Constitución Federal y el diverso 8</w:t>
      </w:r>
      <w:r w:rsidR="003022FA" w:rsidRPr="001108C2">
        <w:rPr>
          <w:rFonts w:ascii="Palatino Linotype" w:hAnsi="Palatino Linotype"/>
          <w:sz w:val="24"/>
          <w:szCs w:val="24"/>
        </w:rPr>
        <w:t>,</w:t>
      </w:r>
      <w:r w:rsidRPr="001108C2">
        <w:rPr>
          <w:rFonts w:ascii="Palatino Linotype" w:hAnsi="Palatino Linotype"/>
          <w:sz w:val="24"/>
          <w:szCs w:val="24"/>
        </w:rPr>
        <w:t xml:space="preserve"> de la Ley de Transparencia local.</w:t>
      </w:r>
    </w:p>
    <w:p w:rsidR="00301A01" w:rsidRPr="001108C2" w:rsidRDefault="00301A01" w:rsidP="00823454">
      <w:pPr>
        <w:pStyle w:val="Sinespaciado"/>
        <w:spacing w:line="360" w:lineRule="auto"/>
        <w:jc w:val="both"/>
        <w:rPr>
          <w:rFonts w:ascii="Palatino Linotype" w:hAnsi="Palatino Linotype"/>
          <w:sz w:val="24"/>
          <w:szCs w:val="24"/>
        </w:rPr>
      </w:pPr>
    </w:p>
    <w:p w:rsidR="00A9172E" w:rsidRPr="001108C2" w:rsidRDefault="00A9172E"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Por tanto, es conveniente recordar que </w:t>
      </w:r>
      <w:r w:rsidR="003022FA" w:rsidRPr="001108C2">
        <w:rPr>
          <w:rFonts w:ascii="Palatino Linotype" w:hAnsi="Palatino Linotype"/>
          <w:b/>
          <w:sz w:val="24"/>
          <w:szCs w:val="24"/>
        </w:rPr>
        <w:t xml:space="preserve">El </w:t>
      </w:r>
      <w:r w:rsidRPr="001108C2">
        <w:rPr>
          <w:rFonts w:ascii="Palatino Linotype" w:hAnsi="Palatino Linotype"/>
          <w:b/>
          <w:sz w:val="24"/>
          <w:szCs w:val="24"/>
        </w:rPr>
        <w:t>Recurrente</w:t>
      </w:r>
      <w:r w:rsidRPr="001108C2">
        <w:rPr>
          <w:rFonts w:ascii="Palatino Linotype" w:hAnsi="Palatino Linotype"/>
          <w:sz w:val="24"/>
          <w:szCs w:val="24"/>
        </w:rPr>
        <w:t xml:space="preserve"> requirió del </w:t>
      </w:r>
      <w:r w:rsidRPr="001108C2">
        <w:rPr>
          <w:rFonts w:ascii="Palatino Linotype" w:hAnsi="Palatino Linotype"/>
          <w:b/>
          <w:sz w:val="24"/>
          <w:szCs w:val="24"/>
        </w:rPr>
        <w:t>Sujeto Obligado</w:t>
      </w:r>
      <w:r w:rsidRPr="001108C2">
        <w:rPr>
          <w:rFonts w:ascii="Palatino Linotype" w:hAnsi="Palatino Linotype"/>
          <w:sz w:val="24"/>
          <w:szCs w:val="24"/>
        </w:rPr>
        <w:t xml:space="preserve"> los siguientes datos:</w:t>
      </w:r>
    </w:p>
    <w:p w:rsidR="00A9172E" w:rsidRPr="001108C2" w:rsidRDefault="001A27C8" w:rsidP="00FE1A50">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1108C2">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215928</wp:posOffset>
                </wp:positionH>
                <wp:positionV relativeFrom="paragraph">
                  <wp:posOffset>2318109</wp:posOffset>
                </wp:positionV>
                <wp:extent cx="5430740" cy="3601941"/>
                <wp:effectExtent l="19050" t="19050" r="36830" b="36830"/>
                <wp:wrapNone/>
                <wp:docPr id="20" name="Conector recto 20"/>
                <wp:cNvGraphicFramePr/>
                <a:graphic xmlns:a="http://schemas.openxmlformats.org/drawingml/2006/main">
                  <a:graphicData uri="http://schemas.microsoft.com/office/word/2010/wordprocessingShape">
                    <wps:wsp>
                      <wps:cNvCnPr/>
                      <wps:spPr>
                        <a:xfrm>
                          <a:off x="0" y="0"/>
                          <a:ext cx="5430740" cy="360194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C88" id="Conector recto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2.55pt" to="444.6pt,4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" strokecolor="#5b9bd5 [3204]" strokeweight="3pt">
                <v:stroke joinstyle="miter"/>
              </v:line>
            </w:pict>
          </mc:Fallback>
        </mc:AlternateContent>
      </w:r>
      <w:r w:rsidR="00DA2B97" w:rsidRPr="001108C2">
        <w:rPr>
          <w:rFonts w:ascii="Palatino Linotype" w:hAnsi="Palatino Linotype" w:cs="Arial"/>
        </w:rPr>
        <w:t>Copia certificada de la Autorización de Cambio de Uso del Suelo con número de expediente CUS/032/2017 con fecha de expedición del 18 de septiembre de 2017, con nombre del titular de Corporativo INCOSOL, SA de CV.</w:t>
      </w:r>
      <w:r w:rsidR="00FE1A50" w:rsidRPr="001108C2">
        <w:rPr>
          <w:rFonts w:ascii="Palatino Linotype" w:hAnsi="Palatino Linotype" w:cs="Arial"/>
        </w:rPr>
        <w:t xml:space="preserve">; (veáse páginas 16 y 17 de la Gaceta del Gobierno del Estado Libre y Soberano de México de fecha 27 de julio de 2018) adjunta a la presente solicitud o visible en </w:t>
      </w:r>
      <w:hyperlink r:id="rId9" w:history="1">
        <w:r w:rsidR="00FE1A50" w:rsidRPr="001108C2">
          <w:rPr>
            <w:rStyle w:val="Hipervnculo"/>
            <w:rFonts w:ascii="Palatino Linotype" w:hAnsi="Palatino Linotype" w:cs="Arial"/>
          </w:rPr>
          <w:t>http://legislacion.edomex.gob.mx/sites/legislacion.edomex.gob.mx/files/files/pdf/gct/2018/jul272.pdf</w:t>
        </w:r>
      </w:hyperlink>
      <w:r w:rsidR="00FE1A50" w:rsidRPr="001108C2">
        <w:rPr>
          <w:rFonts w:ascii="Palatino Linotype" w:hAnsi="Palatino Linotype" w:cs="Arial"/>
        </w:rPr>
        <w:t>); de conformidad con las siguientes imágenes:</w:t>
      </w:r>
    </w:p>
    <w:p w:rsidR="00FE1A50" w:rsidRPr="001108C2" w:rsidRDefault="00FE1A50" w:rsidP="00FE1A50">
      <w:pPr>
        <w:autoSpaceDE w:val="0"/>
        <w:autoSpaceDN w:val="0"/>
        <w:adjustRightInd w:val="0"/>
        <w:spacing w:before="240" w:line="360" w:lineRule="auto"/>
        <w:jc w:val="both"/>
        <w:rPr>
          <w:rFonts w:ascii="Palatino Linotype" w:hAnsi="Palatino Linotype" w:cs="Arial"/>
          <w:noProof/>
          <w:lang w:eastAsia="es-MX"/>
        </w:rPr>
      </w:pPr>
    </w:p>
    <w:p w:rsidR="00FE1A50" w:rsidRPr="001108C2" w:rsidRDefault="00FE1A50" w:rsidP="00FE1A50">
      <w:pPr>
        <w:autoSpaceDE w:val="0"/>
        <w:autoSpaceDN w:val="0"/>
        <w:adjustRightInd w:val="0"/>
        <w:spacing w:before="240" w:line="360" w:lineRule="auto"/>
        <w:jc w:val="both"/>
        <w:rPr>
          <w:rFonts w:ascii="Palatino Linotype" w:hAnsi="Palatino Linotype" w:cs="Arial"/>
        </w:rPr>
      </w:pPr>
      <w:r w:rsidRPr="001108C2">
        <w:rPr>
          <w:rFonts w:ascii="Palatino Linotype" w:hAnsi="Palatino Linotype" w:cs="Arial"/>
          <w:noProof/>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215928</wp:posOffset>
                </wp:positionH>
                <wp:positionV relativeFrom="paragraph">
                  <wp:posOffset>-179374</wp:posOffset>
                </wp:positionV>
                <wp:extent cx="1073426" cy="675861"/>
                <wp:effectExtent l="19050" t="19050" r="12700" b="10160"/>
                <wp:wrapNone/>
                <wp:docPr id="25" name="Elipse 25"/>
                <wp:cNvGraphicFramePr/>
                <a:graphic xmlns:a="http://schemas.openxmlformats.org/drawingml/2006/main">
                  <a:graphicData uri="http://schemas.microsoft.com/office/word/2010/wordprocessingShape">
                    <wps:wsp>
                      <wps:cNvSpPr/>
                      <wps:spPr>
                        <a:xfrm>
                          <a:off x="0" y="0"/>
                          <a:ext cx="1073426" cy="6758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82821" id="Elipse 25" o:spid="_x0000_s1026" style="position:absolute;margin-left:17pt;margin-top:-14.1pt;width:84.5pt;height:53.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" filled="f" strokecolor="red" strokeweight="3pt">
                <v:stroke joinstyle="miter"/>
              </v:oval>
            </w:pict>
          </mc:Fallback>
        </mc:AlternateContent>
      </w:r>
      <w:r w:rsidRPr="001108C2">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simplePos x="0" y="0"/>
                <wp:positionH relativeFrom="column">
                  <wp:posOffset>4787928</wp:posOffset>
                </wp:positionH>
                <wp:positionV relativeFrom="paragraph">
                  <wp:posOffset>1076932</wp:posOffset>
                </wp:positionV>
                <wp:extent cx="1121134" cy="1685677"/>
                <wp:effectExtent l="38100" t="95250" r="41275" b="105410"/>
                <wp:wrapNone/>
                <wp:docPr id="23" name="Flecha izquierda 23"/>
                <wp:cNvGraphicFramePr/>
                <a:graphic xmlns:a="http://schemas.openxmlformats.org/drawingml/2006/main">
                  <a:graphicData uri="http://schemas.microsoft.com/office/word/2010/wordprocessingShape">
                    <wps:wsp>
                      <wps:cNvSpPr/>
                      <wps:spPr>
                        <a:xfrm>
                          <a:off x="0" y="0"/>
                          <a:ext cx="1121134" cy="1685677"/>
                        </a:xfrm>
                        <a:prstGeom prst="leftArrow">
                          <a:avLst/>
                        </a:prstGeom>
                        <a:gradFill flip="none" rotWithShape="1">
                          <a:gsLst>
                            <a:gs pos="0">
                              <a:srgbClr val="FF0000"/>
                            </a:gs>
                            <a:gs pos="50000">
                              <a:schemeClr val="accent1">
                                <a:tint val="44500"/>
                                <a:satMod val="160000"/>
                              </a:schemeClr>
                            </a:gs>
                            <a:gs pos="100000">
                              <a:srgbClr val="FF0000"/>
                            </a:gs>
                          </a:gsLst>
                          <a:path path="circle">
                            <a:fillToRect r="100000" b="100000"/>
                          </a:path>
                          <a:tileRect l="-100000" t="-100000"/>
                        </a:gra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ABA5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377pt;margin-top:84.8pt;width:88.3pt;height:13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" adj="10800" fillcolor="red" strokecolor="red" strokeweight="4.5pt">
                <v:fill color2="#b6d2ec [1428]" rotate="t" focus="50%" type="gradientRadial"/>
              </v:shape>
            </w:pict>
          </mc:Fallback>
        </mc:AlternateContent>
      </w:r>
      <w:r w:rsidRPr="001108C2">
        <w:rPr>
          <w:rFonts w:ascii="Palatino Linotype" w:hAnsi="Palatino Linotype" w:cs="Arial"/>
          <w:noProof/>
          <w:lang w:eastAsia="es-MX"/>
        </w:rPr>
        <w:drawing>
          <wp:inline distT="0" distB="0" distL="0" distR="0">
            <wp:extent cx="5760031" cy="7521934"/>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076" b="7218"/>
                    <a:stretch/>
                  </pic:blipFill>
                  <pic:spPr bwMode="auto">
                    <a:xfrm>
                      <a:off x="0" y="0"/>
                      <a:ext cx="5768861" cy="7533465"/>
                    </a:xfrm>
                    <a:prstGeom prst="rect">
                      <a:avLst/>
                    </a:prstGeom>
                    <a:noFill/>
                    <a:ln>
                      <a:noFill/>
                    </a:ln>
                    <a:extLst>
                      <a:ext uri="{53640926-AAD7-44D8-BBD7-CCE9431645EC}">
                        <a14:shadowObscured xmlns:a14="http://schemas.microsoft.com/office/drawing/2010/main"/>
                      </a:ext>
                    </a:extLst>
                  </pic:spPr>
                </pic:pic>
              </a:graphicData>
            </a:graphic>
          </wp:inline>
        </w:drawing>
      </w:r>
    </w:p>
    <w:p w:rsidR="005D02A8" w:rsidRPr="001108C2" w:rsidRDefault="00FE1A50" w:rsidP="005D02A8">
      <w:pPr>
        <w:autoSpaceDE w:val="0"/>
        <w:autoSpaceDN w:val="0"/>
        <w:adjustRightInd w:val="0"/>
        <w:spacing w:before="240" w:line="360" w:lineRule="auto"/>
        <w:jc w:val="both"/>
        <w:rPr>
          <w:rFonts w:ascii="Palatino Linotype" w:hAnsi="Palatino Linotype" w:cs="Arial"/>
        </w:rPr>
      </w:pPr>
      <w:r w:rsidRPr="001108C2">
        <w:rPr>
          <w:rFonts w:ascii="Palatino Linotype" w:hAnsi="Palatino Linotype" w:cs="Arial"/>
          <w:noProof/>
          <w:lang w:eastAsia="es-MX"/>
        </w:rPr>
        <w:lastRenderedPageBreak/>
        <mc:AlternateContent>
          <mc:Choice Requires="wps">
            <w:drawing>
              <wp:anchor distT="0" distB="0" distL="114300" distR="114300" simplePos="0" relativeHeight="251683840" behindDoc="0" locked="0" layoutInCell="1" allowOverlap="1" wp14:anchorId="4DEDC994" wp14:editId="365B0AA8">
                <wp:simplePos x="0" y="0"/>
                <wp:positionH relativeFrom="column">
                  <wp:posOffset>4688205</wp:posOffset>
                </wp:positionH>
                <wp:positionV relativeFrom="paragraph">
                  <wp:posOffset>-108143</wp:posOffset>
                </wp:positionV>
                <wp:extent cx="1073426" cy="675861"/>
                <wp:effectExtent l="19050" t="19050" r="12700" b="10160"/>
                <wp:wrapNone/>
                <wp:docPr id="26" name="Elipse 26"/>
                <wp:cNvGraphicFramePr/>
                <a:graphic xmlns:a="http://schemas.openxmlformats.org/drawingml/2006/main">
                  <a:graphicData uri="http://schemas.microsoft.com/office/word/2010/wordprocessingShape">
                    <wps:wsp>
                      <wps:cNvSpPr/>
                      <wps:spPr>
                        <a:xfrm>
                          <a:off x="0" y="0"/>
                          <a:ext cx="1073426" cy="6758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1BE86" id="Elipse 26" o:spid="_x0000_s1026" style="position:absolute;margin-left:369.15pt;margin-top:-8.5pt;width:84.5pt;height:53.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" filled="f" strokecolor="red" strokeweight="3pt">
                <v:stroke joinstyle="miter"/>
              </v:oval>
            </w:pict>
          </mc:Fallback>
        </mc:AlternateContent>
      </w:r>
      <w:r w:rsidRPr="001108C2">
        <w:rPr>
          <w:rFonts w:ascii="Palatino Linotype" w:hAnsi="Palatino Linotype" w:cs="Arial"/>
          <w:noProof/>
          <w:lang w:eastAsia="es-MX"/>
        </w:rPr>
        <w:drawing>
          <wp:inline distT="0" distB="0" distL="0" distR="0">
            <wp:extent cx="5760720" cy="777077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770773"/>
                    </a:xfrm>
                    <a:prstGeom prst="rect">
                      <a:avLst/>
                    </a:prstGeom>
                    <a:noFill/>
                    <a:ln>
                      <a:noFill/>
                    </a:ln>
                  </pic:spPr>
                </pic:pic>
              </a:graphicData>
            </a:graphic>
          </wp:inline>
        </w:drawing>
      </w:r>
    </w:p>
    <w:p w:rsidR="005D02A8" w:rsidRPr="001108C2" w:rsidRDefault="005D02A8" w:rsidP="005D02A8">
      <w:pPr>
        <w:autoSpaceDE w:val="0"/>
        <w:autoSpaceDN w:val="0"/>
        <w:adjustRightInd w:val="0"/>
        <w:spacing w:before="240" w:line="360" w:lineRule="auto"/>
        <w:jc w:val="both"/>
        <w:rPr>
          <w:rFonts w:ascii="Palatino Linotype" w:hAnsi="Palatino Linotype" w:cs="Arial"/>
          <w:sz w:val="24"/>
          <w:szCs w:val="24"/>
        </w:rPr>
      </w:pPr>
      <w:r w:rsidRPr="001108C2">
        <w:rPr>
          <w:rFonts w:ascii="Palatino Linotype" w:hAnsi="Palatino Linotype" w:cs="Arial"/>
          <w:sz w:val="24"/>
          <w:szCs w:val="24"/>
        </w:rPr>
        <w:lastRenderedPageBreak/>
        <w:t xml:space="preserve">Por su parte, </w:t>
      </w:r>
      <w:r w:rsidR="00CD5F45" w:rsidRPr="001108C2">
        <w:rPr>
          <w:rFonts w:ascii="Palatino Linotype" w:hAnsi="Palatino Linotype" w:cs="Arial"/>
          <w:b/>
          <w:sz w:val="24"/>
          <w:szCs w:val="24"/>
        </w:rPr>
        <w:t xml:space="preserve">El </w:t>
      </w:r>
      <w:r w:rsidRPr="001108C2">
        <w:rPr>
          <w:rFonts w:ascii="Palatino Linotype" w:hAnsi="Palatino Linotype" w:cs="Arial"/>
          <w:b/>
          <w:sz w:val="24"/>
          <w:szCs w:val="24"/>
        </w:rPr>
        <w:t>Sujet</w:t>
      </w:r>
      <w:r w:rsidR="00425199" w:rsidRPr="001108C2">
        <w:rPr>
          <w:rFonts w:ascii="Palatino Linotype" w:hAnsi="Palatino Linotype" w:cs="Arial"/>
          <w:b/>
          <w:sz w:val="24"/>
          <w:szCs w:val="24"/>
        </w:rPr>
        <w:t>o Obligado</w:t>
      </w:r>
      <w:r w:rsidR="00425199" w:rsidRPr="001108C2">
        <w:rPr>
          <w:rFonts w:ascii="Palatino Linotype" w:hAnsi="Palatino Linotype" w:cs="Arial"/>
          <w:sz w:val="24"/>
          <w:szCs w:val="24"/>
        </w:rPr>
        <w:t>, en su respuesta emitida, manifestó lo siguiente:</w:t>
      </w:r>
    </w:p>
    <w:p w:rsidR="00CD5F45" w:rsidRPr="001108C2" w:rsidRDefault="00CD5F45" w:rsidP="00823454">
      <w:pPr>
        <w:autoSpaceDE w:val="0"/>
        <w:autoSpaceDN w:val="0"/>
        <w:adjustRightInd w:val="0"/>
        <w:spacing w:before="240" w:line="360" w:lineRule="auto"/>
        <w:jc w:val="center"/>
        <w:rPr>
          <w:noProof/>
          <w:lang w:eastAsia="es-MX"/>
        </w:rPr>
      </w:pPr>
    </w:p>
    <w:p w:rsidR="00425199" w:rsidRPr="001108C2" w:rsidRDefault="00CD5F45" w:rsidP="00823454">
      <w:pPr>
        <w:autoSpaceDE w:val="0"/>
        <w:autoSpaceDN w:val="0"/>
        <w:adjustRightInd w:val="0"/>
        <w:spacing w:before="240" w:line="360" w:lineRule="auto"/>
        <w:jc w:val="center"/>
        <w:rPr>
          <w:noProof/>
          <w:lang w:eastAsia="es-MX"/>
        </w:rPr>
      </w:pPr>
      <w:r w:rsidRPr="001108C2">
        <w:rPr>
          <w:noProof/>
          <w:lang w:eastAsia="es-MX"/>
        </w:rPr>
        <mc:AlternateContent>
          <mc:Choice Requires="wps">
            <w:drawing>
              <wp:anchor distT="0" distB="0" distL="114300" distR="114300" simplePos="0" relativeHeight="251684864" behindDoc="0" locked="0" layoutInCell="1" allowOverlap="1">
                <wp:simplePos x="0" y="0"/>
                <wp:positionH relativeFrom="column">
                  <wp:posOffset>128463</wp:posOffset>
                </wp:positionH>
                <wp:positionV relativeFrom="paragraph">
                  <wp:posOffset>3232840</wp:posOffset>
                </wp:positionV>
                <wp:extent cx="5462546" cy="1709531"/>
                <wp:effectExtent l="19050" t="19050" r="24130" b="24130"/>
                <wp:wrapNone/>
                <wp:docPr id="28" name="Rectángulo 28"/>
                <wp:cNvGraphicFramePr/>
                <a:graphic xmlns:a="http://schemas.openxmlformats.org/drawingml/2006/main">
                  <a:graphicData uri="http://schemas.microsoft.com/office/word/2010/wordprocessingShape">
                    <wps:wsp>
                      <wps:cNvSpPr/>
                      <wps:spPr>
                        <a:xfrm>
                          <a:off x="0" y="0"/>
                          <a:ext cx="5462546" cy="17095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A880" id="Rectángulo 28" o:spid="_x0000_s1026" style="position:absolute;margin-left:10.1pt;margin-top:254.55pt;width:430.1pt;height:13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" filled="f" strokecolor="red" strokeweight="3pt"/>
            </w:pict>
          </mc:Fallback>
        </mc:AlternateContent>
      </w:r>
      <w:r w:rsidRPr="001108C2">
        <w:rPr>
          <w:noProof/>
          <w:lang w:eastAsia="es-MX"/>
        </w:rPr>
        <w:drawing>
          <wp:inline distT="0" distB="0" distL="0" distR="0">
            <wp:extent cx="5760678" cy="632923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004"/>
                    <a:stretch/>
                  </pic:blipFill>
                  <pic:spPr bwMode="auto">
                    <a:xfrm>
                      <a:off x="0" y="0"/>
                      <a:ext cx="5760720" cy="6329286"/>
                    </a:xfrm>
                    <a:prstGeom prst="rect">
                      <a:avLst/>
                    </a:prstGeom>
                    <a:noFill/>
                    <a:ln>
                      <a:noFill/>
                    </a:ln>
                    <a:extLst>
                      <a:ext uri="{53640926-AAD7-44D8-BBD7-CCE9431645EC}">
                        <a14:shadowObscured xmlns:a14="http://schemas.microsoft.com/office/drawing/2010/main"/>
                      </a:ext>
                    </a:extLst>
                  </pic:spPr>
                </pic:pic>
              </a:graphicData>
            </a:graphic>
          </wp:inline>
        </w:drawing>
      </w:r>
    </w:p>
    <w:p w:rsidR="00CD5F45" w:rsidRPr="001108C2" w:rsidRDefault="00CD5F45" w:rsidP="00823454">
      <w:pPr>
        <w:autoSpaceDE w:val="0"/>
        <w:autoSpaceDN w:val="0"/>
        <w:adjustRightInd w:val="0"/>
        <w:spacing w:before="240" w:line="360" w:lineRule="auto"/>
        <w:jc w:val="center"/>
        <w:rPr>
          <w:noProof/>
          <w:lang w:eastAsia="es-MX"/>
        </w:rPr>
      </w:pPr>
      <w:r w:rsidRPr="001108C2">
        <w:rPr>
          <w:noProof/>
          <w:lang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2394584</wp:posOffset>
                </wp:positionH>
                <wp:positionV relativeFrom="paragraph">
                  <wp:posOffset>3828084</wp:posOffset>
                </wp:positionV>
                <wp:extent cx="1120747" cy="285777"/>
                <wp:effectExtent l="19050" t="19050" r="22860" b="19050"/>
                <wp:wrapNone/>
                <wp:docPr id="31" name="Rectángulo 31"/>
                <wp:cNvGraphicFramePr/>
                <a:graphic xmlns:a="http://schemas.openxmlformats.org/drawingml/2006/main">
                  <a:graphicData uri="http://schemas.microsoft.com/office/word/2010/wordprocessingShape">
                    <wps:wsp>
                      <wps:cNvSpPr/>
                      <wps:spPr>
                        <a:xfrm>
                          <a:off x="0" y="0"/>
                          <a:ext cx="1120747" cy="2857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5B9F" id="Rectángulo 31" o:spid="_x0000_s1026" style="position:absolute;margin-left:188.55pt;margin-top:301.4pt;width:88.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" filled="f" strokecolor="red" strokeweight="3pt"/>
            </w:pict>
          </mc:Fallback>
        </mc:AlternateContent>
      </w:r>
      <w:r w:rsidRPr="001108C2">
        <w:rPr>
          <w:noProof/>
          <w:lang w:eastAsia="es-MX"/>
        </w:rPr>
        <mc:AlternateContent>
          <mc:Choice Requires="wps">
            <w:drawing>
              <wp:anchor distT="0" distB="0" distL="114300" distR="114300" simplePos="0" relativeHeight="251685888" behindDoc="0" locked="0" layoutInCell="1" allowOverlap="1">
                <wp:simplePos x="0" y="0"/>
                <wp:positionH relativeFrom="column">
                  <wp:posOffset>621444</wp:posOffset>
                </wp:positionH>
                <wp:positionV relativeFrom="paragraph">
                  <wp:posOffset>67117</wp:posOffset>
                </wp:positionV>
                <wp:extent cx="4921858" cy="1304014"/>
                <wp:effectExtent l="19050" t="19050" r="12700" b="10795"/>
                <wp:wrapNone/>
                <wp:docPr id="30" name="Rectángulo 30"/>
                <wp:cNvGraphicFramePr/>
                <a:graphic xmlns:a="http://schemas.openxmlformats.org/drawingml/2006/main">
                  <a:graphicData uri="http://schemas.microsoft.com/office/word/2010/wordprocessingShape">
                    <wps:wsp>
                      <wps:cNvSpPr/>
                      <wps:spPr>
                        <a:xfrm>
                          <a:off x="0" y="0"/>
                          <a:ext cx="4921858" cy="13040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10C24" id="Rectángulo 30" o:spid="_x0000_s1026" style="position:absolute;margin-left:48.95pt;margin-top:5.3pt;width:387.55pt;height:102.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" filled="f" strokecolor="red" strokeweight="3pt"/>
            </w:pict>
          </mc:Fallback>
        </mc:AlternateContent>
      </w:r>
      <w:r w:rsidRPr="001108C2">
        <w:rPr>
          <w:noProof/>
          <w:lang w:eastAsia="es-MX"/>
        </w:rPr>
        <w:drawing>
          <wp:inline distT="0" distB="0" distL="0" distR="0">
            <wp:extent cx="5760720" cy="7619824"/>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19824"/>
                    </a:xfrm>
                    <a:prstGeom prst="rect">
                      <a:avLst/>
                    </a:prstGeom>
                    <a:noFill/>
                    <a:ln>
                      <a:noFill/>
                    </a:ln>
                  </pic:spPr>
                </pic:pic>
              </a:graphicData>
            </a:graphic>
          </wp:inline>
        </w:drawing>
      </w:r>
    </w:p>
    <w:p w:rsidR="00A9172E" w:rsidRPr="001108C2" w:rsidRDefault="000A27C1" w:rsidP="007E2E80">
      <w:pPr>
        <w:pStyle w:val="Prrafodelista"/>
        <w:autoSpaceDE w:val="0"/>
        <w:autoSpaceDN w:val="0"/>
        <w:adjustRightInd w:val="0"/>
        <w:spacing w:before="240" w:after="160" w:line="360" w:lineRule="auto"/>
        <w:ind w:left="0"/>
        <w:jc w:val="both"/>
        <w:rPr>
          <w:rFonts w:ascii="Palatino Linotype" w:hAnsi="Palatino Linotype" w:cs="Arial"/>
        </w:rPr>
      </w:pPr>
      <w:r w:rsidRPr="001108C2">
        <w:rPr>
          <w:rFonts w:ascii="Palatino Linotype" w:hAnsi="Palatino Linotype" w:cs="Arial"/>
        </w:rPr>
        <w:lastRenderedPageBreak/>
        <w:t xml:space="preserve">Ante dicha respuesta, </w:t>
      </w:r>
      <w:r w:rsidR="00CD5F45" w:rsidRPr="001108C2">
        <w:rPr>
          <w:rFonts w:ascii="Palatino Linotype" w:hAnsi="Palatino Linotype" w:cs="Arial"/>
          <w:b/>
        </w:rPr>
        <w:t xml:space="preserve">El </w:t>
      </w:r>
      <w:r w:rsidRPr="001108C2">
        <w:rPr>
          <w:rFonts w:ascii="Palatino Linotype" w:hAnsi="Palatino Linotype" w:cs="Arial"/>
          <w:b/>
        </w:rPr>
        <w:t>Recurrente</w:t>
      </w:r>
      <w:r w:rsidRPr="001108C2">
        <w:rPr>
          <w:rFonts w:ascii="Palatino Linotype" w:hAnsi="Palatino Linotype" w:cs="Arial"/>
        </w:rPr>
        <w:t xml:space="preserve"> interpuso el recurso de revisión impugnando la misma, dando como razones o motivos </w:t>
      </w:r>
      <w:r w:rsidR="00590126" w:rsidRPr="001108C2">
        <w:rPr>
          <w:rFonts w:ascii="Palatino Linotype" w:hAnsi="Palatino Linotype" w:cs="Arial"/>
        </w:rPr>
        <w:t>de inconformidad los siguientes:</w:t>
      </w:r>
    </w:p>
    <w:p w:rsidR="00CD5F45" w:rsidRPr="001108C2" w:rsidRDefault="00590126"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w:t>
      </w:r>
      <w:r w:rsidR="00CD5F45" w:rsidRPr="001108C2">
        <w:rPr>
          <w:rFonts w:ascii="Palatino Linotype" w:hAnsi="Palatino Linotype" w:cs="Arial"/>
          <w:i/>
        </w:rPr>
        <w:t xml:space="preserve">RAZÓN DE LA INCONFORMIDAD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1.</w:t>
      </w:r>
      <w:r w:rsidRPr="001108C2">
        <w:rPr>
          <w:rFonts w:ascii="Palatino Linotype" w:hAnsi="Palatino Linotype" w:cs="Arial"/>
          <w:i/>
        </w:rPr>
        <w:tab/>
        <w:t xml:space="preserve">El día 9 de octubre de 2018 realicé una solicitud de acceso a información pública a través del Sistema de Acceso a la Información Mexiquense (SAIMEX), solicitud a la cual se le asignó el número de folio o expediente 00591/NAUCALPA/IP/2018. En ésta señalé lo siguiente: “Por este medio solicito copia certificada de la Autorización de Cambio de Uso del Suelo con número de expediente CUS/032/2017 con fecha de expedición del 18 de septiembre de 2017, con nombre del titular de Corporativo INCOSOL, SA de CV. (veáse páginas 16 y 17 de la Gaceta del Gobierno del Estado Libre y Soberano de México de fecha 27 de julio de 2018 adjunta a la presente solicitud o visible en http://legislacion.edomex.gob.mx/sites/legislacion.edomex.gob.mx/files/files/pdf/gct/2018/jul272.pdf)”. La modalidad seleccionada para la entrega de información fue de copia certificada.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2.</w:t>
      </w:r>
      <w:r w:rsidRPr="001108C2">
        <w:rPr>
          <w:rFonts w:ascii="Palatino Linotype" w:hAnsi="Palatino Linotype" w:cs="Arial"/>
          <w:i/>
        </w:rPr>
        <w:tab/>
        <w:t xml:space="preserve">Posteriormente, recibí la respuesta con fecha del 6 de noviembre de 2018 emitida por el Responsable de la Unidad de Información del Ayuntamiento de Naucalpan de Juárez, Mtro. Jorge Cajiga Calderón, en donde señala citar al servidor público habilitado de la Dirección General de Desarrollo Urbano del Ayuntamiento de Naucalpan de Juárez, enunciando lo siguiente: “…De acuerdo con el Catálogo de Información Clasificada publicado en la Gaceta Oficial del Municipio de Naucalpan de Juárez el día 07 de abril de 2008, los datos y documentos que integran los expedientes de cada peticionario se considera información confidencial, debido a esto, no es posible otorgarle la información solicitada…”. </w:t>
      </w:r>
    </w:p>
    <w:p w:rsidR="00030EE8"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3. El artículo 70 fracción XXVII de la Ley General de Transparencia y Acceso a la Información Pública se establece lo siguiente: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 XXVII. Las concesiones, contratos, convenios, permisos, licencias o autorizaciones otorgados, especificando los </w:t>
      </w:r>
      <w:r w:rsidRPr="001108C2">
        <w:rPr>
          <w:rFonts w:ascii="Palatino Linotype" w:hAnsi="Palatino Linotype" w:cs="Arial"/>
          <w:i/>
        </w:rPr>
        <w:lastRenderedPageBreak/>
        <w:t xml:space="preserve">titulares de aquéllos, debiendo publicarse su objeto, nombre o razón social del titular, vigencia, tipo, términos, condiciones, monto y modificaciones, así como si el procedimiento involucra el aprovechamiento de bienes, servicios y/o recursos públicos… El artículo 92 fracción XXXII de la Ley de Transparencia y Acceso a la Información Pública del Estado de México y Municipios establece lo siguiente: </w:t>
      </w:r>
    </w:p>
    <w:p w:rsidR="00030EE8"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Por ende, lo argüido por el servidor público habilitado carece completamente de sentido, puesto que las autorizaciones constituyen información pública que, de oficio, los sujetos obligados tienen la obligación de subir a su página de Internet (lo cual no ha hecho y que, por ende, conlleva otra violación a la normatividad aplicable). Máxime que el acto administrativo de carácter particular solicitado a través de la solicitud de información del suscrito fue proporcionado por el mismo titular de los datos confidenciales, que el sujeto obligado arguye supuestamente pretender proteger, a la Consejería Jurídica del Ejecutivo del Estado de México para que éste fuese publicado en la Gaceta de Gobierno del estado de México, lo cual se realizó mediante la Gaceta del Gobierno del Estado Libre y Soberano de México de fecha 27 de julio de 2018, la cual es visible en el vínculo electrónico proporcionado en la misma solicitud de información. Luego entonces, lo solicitado al sujeto obligado no sólo se trata de información pública que, de oficio, debiese obrar en la página electrónica del sujeto obligado, sino que los supuestos datos confidenciales que podría pretender proteger ya son públicos, por virtud de que el titular del acto administrativo así lo quiso volitivamente. Por ende, lo que se solicita no violenta ningún derecho de tercero ni atenta contra la normatividad aplicable. Sin embargo, la negativa del sujeto obligado sí atenta contra el derecho humano ya referido del suscrito. No se omite señalar que el sujeto responsable niega el acceso a la información solicitada señalando que ésta es información confidencial, y anexando un documento que data </w:t>
      </w:r>
      <w:r w:rsidRPr="001108C2">
        <w:rPr>
          <w:rFonts w:ascii="Palatino Linotype" w:hAnsi="Palatino Linotype" w:cs="Arial"/>
          <w:i/>
        </w:rPr>
        <w:lastRenderedPageBreak/>
        <w:t xml:space="preserve">de abril de 2008 mediante el cual el Ayuntamiento declaró como información reservada y confidencial todos los documentos emitidos por la Dirección General de Desarrollo Urbano (siendo el caso que los fundamentos de la información reservada están anotadas a mano y, por ende, ni siquiera se presumen que formasen parte originalmente del documento escrito a máquina), lo cual claramente es ilegal e inconstitucional, pues las clasificaciones se realizan de forma individual, y no genéricamente, como pretende referir el sujeto obligado en este caso.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4.</w:t>
      </w:r>
      <w:r w:rsidRPr="001108C2">
        <w:rPr>
          <w:rFonts w:ascii="Palatino Linotype" w:hAnsi="Palatino Linotype" w:cs="Arial"/>
          <w:i/>
        </w:rPr>
        <w:tab/>
        <w:t>El hecho de que se me haya negado la información solicitada constituye: -</w:t>
      </w:r>
      <w:r w:rsidRPr="001108C2">
        <w:rPr>
          <w:rFonts w:ascii="Palatino Linotype" w:hAnsi="Palatino Linotype" w:cs="Arial"/>
          <w:i/>
        </w:rPr>
        <w:tab/>
        <w:t>Una aberración en contra de las obligaciones de transparencia de los servidores públicos, pues la autoridad municipal tiene el descaro de señalar que la información pública de oficio se encuentra en el supuesto de información confidencial, lo cual es el colmo de la ineptitud, pues para ello existen las versiones públicas. -</w:t>
      </w:r>
      <w:r w:rsidRPr="001108C2">
        <w:rPr>
          <w:rFonts w:ascii="Palatino Linotype" w:hAnsi="Palatino Linotype" w:cs="Arial"/>
          <w:i/>
        </w:rPr>
        <w:tab/>
        <w:t>La confesión tácita del incumplimiento de las obligaciones de transparencia del sujeto obligado con respecto a poner a disposición, de forma permanente y continua, las autorizaciones que emite. -</w:t>
      </w:r>
      <w:r w:rsidRPr="001108C2">
        <w:rPr>
          <w:rFonts w:ascii="Palatino Linotype" w:hAnsi="Palatino Linotype" w:cs="Arial"/>
          <w:i/>
        </w:rPr>
        <w:tab/>
        <w:t>En razón de lo anterior, la actualización del incumplimiento a las obligaciones administrativas del servidor público, lo cual hace conducente que se dé vista al órgano contralor conducente para que se inicie un procedimiento administrativo en su contra. -</w:t>
      </w:r>
      <w:r w:rsidRPr="001108C2">
        <w:rPr>
          <w:rFonts w:ascii="Palatino Linotype" w:hAnsi="Palatino Linotype" w:cs="Arial"/>
          <w:i/>
        </w:rPr>
        <w:tab/>
        <w:t>La posible comisión de una conducta delictiva, al negar injustificadamente el acceso a información pública, abusando y excediendo sus atribuciones legalmente conferidas. DENUNCIA ADJUNTA Atendiendo a lo expuesto en los artículos 3 fracción XVI, 29, 30 fracción II, 37, 42 fracción XVIII, 206 fracción I y 207 de la Ley General de Transparencia y Acceso a la Información Pública; 3 fracciones XXV y XLI, 111, 113, 114 fracción I, 118, 119 y demás relativos de la Ley de Transparencia y Acceso a la Información Pública del Estado de México y Municipios; y 42 fracción I y XXXIV de la Ley de Responsabilidades de los Servidores Públicos del Estado y Municipios, se solicita que, aunado a la tramitación del presente medio de impugnación, se dé trámite de la presente denuncia por incumplimiento del servidor público que nos ocupa por el presente descarado incumplimiento de sus obligaciones de transparencia, pese a que en la solicitud respectiva se incluyeron los fundamentos necesarios y se señaló que la información solicitada era pública de oficio, lo cual es prueba clara de la mala fe con la que actuó. Así, en razón de los requisitos señalados por los artículos 112, 113, 114 fracción I y 115 de la Ley de Transparencia y Acceso a la Información Pública del Estado de México y Municipios, se señala lo siguiente: A)</w:t>
      </w:r>
      <w:r w:rsidRPr="001108C2">
        <w:rPr>
          <w:rFonts w:ascii="Palatino Linotype" w:hAnsi="Palatino Linotype" w:cs="Arial"/>
          <w:i/>
        </w:rPr>
        <w:tab/>
        <w:t xml:space="preserve">Junto con el medio de impugnación que nos ocupa, se hace llegar por esta misma vía la </w:t>
      </w:r>
      <w:r w:rsidRPr="001108C2">
        <w:rPr>
          <w:rFonts w:ascii="Palatino Linotype" w:hAnsi="Palatino Linotype" w:cs="Arial"/>
          <w:i/>
        </w:rPr>
        <w:lastRenderedPageBreak/>
        <w:t>presente denuncia a ese H. Instituto (artículo 112 fracción I de la citada Ley). B)</w:t>
      </w:r>
      <w:r w:rsidRPr="001108C2">
        <w:rPr>
          <w:rFonts w:ascii="Palatino Linotype" w:hAnsi="Palatino Linotype" w:cs="Arial"/>
          <w:i/>
        </w:rPr>
        <w:tab/>
        <w:t>El nombre del servidor público denunciado es el sujeto obligado de la Dirección General de Desarrollo Urbano que emitió la respuesta a la solicitud de información que aquí se impugna, así como aquél encargado de mantener al día la página electrónica del sujeto obligado con las licencias que esa Dirección General emite (artículo 113 fracción I de la citada Ley). C)</w:t>
      </w:r>
      <w:r w:rsidRPr="001108C2">
        <w:rPr>
          <w:rFonts w:ascii="Palatino Linotype" w:hAnsi="Palatino Linotype" w:cs="Arial"/>
          <w:i/>
        </w:rPr>
        <w:tab/>
        <w:t>La descripción clara y precisa del incumplimiento deriva de lo contenido en los numerales 1 a 3 de este recurso de revisión adjunto (artículo 113 fracción II de la citada Ley). D)</w:t>
      </w:r>
      <w:r w:rsidRPr="001108C2">
        <w:rPr>
          <w:rFonts w:ascii="Palatino Linotype" w:hAnsi="Palatino Linotype" w:cs="Arial"/>
          <w:i/>
        </w:rPr>
        <w:tab/>
        <w:t>La denuncia se presenta vía electrónica adjunta al recurso de revisión que se tramita, en el presente formato libre (artículos 114 fracción I y 115 de la citada Ley). No se omite señalar que el artículo 207 de la Ley General de Transparencia y Acceso a la Información Pública señala: Artículo 207. Las conductas a que se refiere el artículo anterior serán sancionadas por los Organismos garantes, según corresponda y, en su caso, conforme a su competencia darán vista a la autoridad competente para que imponga o ejecute la sanción. Se proporcionan documentales públicas adjuntas a este recurso como prueba de lo denunciado, las cuales consisten en la solicitud de acceso a información pública de fecha 9 de octubre de 2018, realizada vía SAIMEX, tramitada con el número de folio o expediente 00591/NAUCALPA/IP/2018, así como de la respuesta que recayó a esta solicitud.</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 Por lo antes expuesto y fundado, atentamente solicito a ese H. Instituto: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PRIMERO.- Tenerme por presentado en tiempo y forma con el presente recurso de revisión.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SEGUNDO.- Previos los trámites de ley, se ordene a la autoridad competente que responda como es debido mi solicitud de acceso a información pública de fecha 9 de octubre de 2018, tramitada con el número de folio o expediente 00591/NAUCALPA/IP/2018, proporcionando a cabalidad y de forma íntegra (sin versiones públicas indebidas) el documento solicitado. </w:t>
      </w:r>
    </w:p>
    <w:p w:rsidR="00CD5F45"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t xml:space="preserve">TERCERO.- Se dé seguimiento al cumplimiento de la resolución que se emita, a fin de que ésta sea cabalmente cumplida. Para estos efectos, se proporcione un medio de comunicación mediante el cual se pueda reportar cualquier anomalía en su cumplimiento. </w:t>
      </w:r>
    </w:p>
    <w:p w:rsidR="00590126" w:rsidRPr="001108C2" w:rsidRDefault="00CD5F45" w:rsidP="00CD5F45">
      <w:pPr>
        <w:pStyle w:val="Prrafodelista"/>
        <w:autoSpaceDE w:val="0"/>
        <w:autoSpaceDN w:val="0"/>
        <w:adjustRightInd w:val="0"/>
        <w:spacing w:before="240" w:after="160"/>
        <w:ind w:left="567" w:right="567"/>
        <w:jc w:val="both"/>
        <w:rPr>
          <w:rFonts w:ascii="Palatino Linotype" w:hAnsi="Palatino Linotype" w:cs="Arial"/>
          <w:i/>
        </w:rPr>
      </w:pPr>
      <w:r w:rsidRPr="001108C2">
        <w:rPr>
          <w:rFonts w:ascii="Palatino Linotype" w:hAnsi="Palatino Linotype" w:cs="Arial"/>
          <w:i/>
        </w:rPr>
        <w:lastRenderedPageBreak/>
        <w:t>CUARTO.- Dar copia de traslado a fin de que el área competente de ese Instituto inicie las averiguaciones vinculadas con la denuncia aquí adjunta, la cual cumple con todas las formalidades señaladas en la Ley.</w:t>
      </w:r>
      <w:r w:rsidR="00590126" w:rsidRPr="001108C2">
        <w:rPr>
          <w:rFonts w:ascii="Palatino Linotype" w:hAnsi="Palatino Linotype" w:cs="Arial"/>
          <w:i/>
        </w:rPr>
        <w:t>” (Sic)</w:t>
      </w:r>
    </w:p>
    <w:p w:rsidR="006D4AD4" w:rsidRPr="001108C2" w:rsidRDefault="006D4AD4" w:rsidP="007E2E80">
      <w:pPr>
        <w:pStyle w:val="Prrafodelista"/>
        <w:autoSpaceDE w:val="0"/>
        <w:autoSpaceDN w:val="0"/>
        <w:adjustRightInd w:val="0"/>
        <w:spacing w:before="240" w:after="160" w:line="360" w:lineRule="auto"/>
        <w:ind w:left="0"/>
        <w:jc w:val="both"/>
        <w:rPr>
          <w:rFonts w:ascii="Palatino Linotype" w:hAnsi="Palatino Linotype" w:cs="Arial"/>
          <w:sz w:val="8"/>
        </w:rPr>
      </w:pPr>
    </w:p>
    <w:p w:rsidR="00884D49" w:rsidRPr="001108C2" w:rsidRDefault="00884D49"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Por lo anterior, </w:t>
      </w:r>
      <w:r w:rsidRPr="001108C2">
        <w:rPr>
          <w:rFonts w:ascii="Palatino Linotype" w:hAnsi="Palatino Linotype"/>
          <w:b/>
          <w:sz w:val="24"/>
          <w:szCs w:val="24"/>
        </w:rPr>
        <w:t>El Sujeto Obligado</w:t>
      </w:r>
      <w:r w:rsidRPr="001108C2">
        <w:rPr>
          <w:rFonts w:ascii="Palatino Linotype" w:hAnsi="Palatino Linotype"/>
          <w:sz w:val="24"/>
          <w:szCs w:val="24"/>
        </w:rPr>
        <w:t xml:space="preserve"> </w:t>
      </w:r>
      <w:r w:rsidR="00821898" w:rsidRPr="001108C2">
        <w:rPr>
          <w:rFonts w:ascii="Palatino Linotype" w:hAnsi="Palatino Linotype"/>
          <w:sz w:val="24"/>
          <w:szCs w:val="24"/>
        </w:rPr>
        <w:t>ri</w:t>
      </w:r>
      <w:r w:rsidR="00DD2781" w:rsidRPr="001108C2">
        <w:rPr>
          <w:rFonts w:ascii="Palatino Linotype" w:hAnsi="Palatino Linotype"/>
          <w:sz w:val="24"/>
          <w:szCs w:val="24"/>
        </w:rPr>
        <w:t>ndió su Informe Justificado</w:t>
      </w:r>
      <w:r w:rsidR="00821898" w:rsidRPr="001108C2">
        <w:rPr>
          <w:rFonts w:ascii="Palatino Linotype" w:hAnsi="Palatino Linotype"/>
          <w:sz w:val="24"/>
          <w:szCs w:val="24"/>
        </w:rPr>
        <w:t xml:space="preserve"> en tie</w:t>
      </w:r>
      <w:r w:rsidRPr="001108C2">
        <w:rPr>
          <w:rFonts w:ascii="Palatino Linotype" w:hAnsi="Palatino Linotype"/>
          <w:sz w:val="24"/>
          <w:szCs w:val="24"/>
        </w:rPr>
        <w:t>mpo y forma, en el que anexó el archivo electrónico denominado</w:t>
      </w:r>
      <w:r w:rsidR="00821898" w:rsidRPr="001108C2">
        <w:rPr>
          <w:rFonts w:ascii="Palatino Linotype" w:hAnsi="Palatino Linotype"/>
          <w:sz w:val="24"/>
          <w:szCs w:val="24"/>
        </w:rPr>
        <w:t xml:space="preserve"> </w:t>
      </w:r>
      <w:r w:rsidR="00821898" w:rsidRPr="001108C2">
        <w:rPr>
          <w:rFonts w:ascii="Palatino Linotype" w:hAnsi="Palatino Linotype"/>
          <w:b/>
          <w:sz w:val="24"/>
          <w:szCs w:val="24"/>
        </w:rPr>
        <w:t>“</w:t>
      </w:r>
      <w:r w:rsidRPr="001108C2">
        <w:rPr>
          <w:rFonts w:ascii="Palatino Linotype" w:hAnsi="Palatino Linotype"/>
          <w:b/>
          <w:sz w:val="24"/>
          <w:szCs w:val="24"/>
        </w:rPr>
        <w:t>DGDU-4549-2018.pdf</w:t>
      </w:r>
      <w:r w:rsidR="00821898" w:rsidRPr="001108C2">
        <w:rPr>
          <w:rFonts w:ascii="Palatino Linotype" w:hAnsi="Palatino Linotype"/>
          <w:b/>
          <w:sz w:val="24"/>
          <w:szCs w:val="24"/>
        </w:rPr>
        <w:t>”</w:t>
      </w:r>
      <w:r w:rsidR="00821898" w:rsidRPr="001108C2">
        <w:rPr>
          <w:rFonts w:ascii="Palatino Linotype" w:hAnsi="Palatino Linotype"/>
          <w:sz w:val="24"/>
          <w:szCs w:val="24"/>
        </w:rPr>
        <w:t xml:space="preserve">, </w:t>
      </w:r>
      <w:r w:rsidR="00821898" w:rsidRPr="001108C2">
        <w:rPr>
          <w:rFonts w:ascii="Palatino Linotype" w:hAnsi="Palatino Linotype"/>
          <w:b/>
          <w:sz w:val="24"/>
          <w:szCs w:val="24"/>
        </w:rPr>
        <w:t>“RR 2835Anexo 1.pdf”</w:t>
      </w:r>
      <w:r w:rsidR="00821898" w:rsidRPr="001108C2">
        <w:rPr>
          <w:rFonts w:ascii="Palatino Linotype" w:hAnsi="Palatino Linotype"/>
          <w:sz w:val="24"/>
          <w:szCs w:val="24"/>
        </w:rPr>
        <w:t xml:space="preserve">, mediante </w:t>
      </w:r>
      <w:r w:rsidRPr="001108C2">
        <w:rPr>
          <w:rFonts w:ascii="Palatino Linotype" w:hAnsi="Palatino Linotype"/>
          <w:sz w:val="24"/>
          <w:szCs w:val="24"/>
        </w:rPr>
        <w:t>el cual</w:t>
      </w:r>
      <w:r w:rsidR="00821898" w:rsidRPr="001108C2">
        <w:rPr>
          <w:rFonts w:ascii="Palatino Linotype" w:hAnsi="Palatino Linotype"/>
          <w:sz w:val="24"/>
          <w:szCs w:val="24"/>
        </w:rPr>
        <w:t xml:space="preserve"> </w:t>
      </w:r>
      <w:r w:rsidRPr="001108C2">
        <w:rPr>
          <w:rFonts w:ascii="Palatino Linotype" w:hAnsi="Palatino Linotype"/>
          <w:sz w:val="24"/>
          <w:szCs w:val="24"/>
        </w:rPr>
        <w:t>manifestó lo siguiente:</w:t>
      </w:r>
    </w:p>
    <w:p w:rsidR="00884D49" w:rsidRPr="001108C2" w:rsidRDefault="00884D49" w:rsidP="00823454">
      <w:pPr>
        <w:pStyle w:val="Sinespaciado"/>
        <w:spacing w:line="360" w:lineRule="auto"/>
        <w:jc w:val="both"/>
        <w:rPr>
          <w:rFonts w:ascii="Palatino Linotype" w:hAnsi="Palatino Linotype"/>
          <w:sz w:val="24"/>
          <w:szCs w:val="24"/>
        </w:rPr>
      </w:pPr>
      <w:r w:rsidRPr="001108C2">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simplePos x="0" y="0"/>
                <wp:positionH relativeFrom="column">
                  <wp:posOffset>48950</wp:posOffset>
                </wp:positionH>
                <wp:positionV relativeFrom="paragraph">
                  <wp:posOffset>76780</wp:posOffset>
                </wp:positionV>
                <wp:extent cx="5645426" cy="5685182"/>
                <wp:effectExtent l="19050" t="19050" r="31750" b="29845"/>
                <wp:wrapNone/>
                <wp:docPr id="33" name="Conector recto 33"/>
                <wp:cNvGraphicFramePr/>
                <a:graphic xmlns:a="http://schemas.openxmlformats.org/drawingml/2006/main">
                  <a:graphicData uri="http://schemas.microsoft.com/office/word/2010/wordprocessingShape">
                    <wps:wsp>
                      <wps:cNvCnPr/>
                      <wps:spPr>
                        <a:xfrm>
                          <a:off x="0" y="0"/>
                          <a:ext cx="5645426" cy="568518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2D219" id="Conector recto 3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5pt,6.05pt" to="448.35pt,4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" strokecolor="#5b9bd5 [3204]" strokeweight="3pt">
                <v:stroke joinstyle="miter"/>
              </v:line>
            </w:pict>
          </mc:Fallback>
        </mc:AlternateContent>
      </w:r>
    </w:p>
    <w:p w:rsidR="00884D49" w:rsidRPr="001108C2" w:rsidRDefault="00884D49" w:rsidP="00823454">
      <w:pPr>
        <w:pStyle w:val="Sinespaciado"/>
        <w:spacing w:line="360" w:lineRule="auto"/>
        <w:jc w:val="both"/>
        <w:rPr>
          <w:rFonts w:ascii="Palatino Linotype" w:hAnsi="Palatino Linotype"/>
          <w:sz w:val="24"/>
          <w:szCs w:val="24"/>
        </w:rPr>
      </w:pPr>
      <w:r w:rsidRPr="001108C2">
        <w:rPr>
          <w:rFonts w:ascii="Palatino Linotype" w:hAnsi="Palatino Linotype"/>
          <w:noProof/>
          <w:sz w:val="24"/>
          <w:szCs w:val="24"/>
          <w:lang w:eastAsia="es-MX"/>
        </w:rPr>
        <w:lastRenderedPageBreak/>
        <mc:AlternateContent>
          <mc:Choice Requires="wps">
            <w:drawing>
              <wp:anchor distT="0" distB="0" distL="114300" distR="114300" simplePos="0" relativeHeight="251688960" behindDoc="0" locked="0" layoutInCell="1" allowOverlap="1">
                <wp:simplePos x="0" y="0"/>
                <wp:positionH relativeFrom="column">
                  <wp:posOffset>653250</wp:posOffset>
                </wp:positionH>
                <wp:positionV relativeFrom="paragraph">
                  <wp:posOffset>5426296</wp:posOffset>
                </wp:positionV>
                <wp:extent cx="4651154" cy="1463040"/>
                <wp:effectExtent l="19050" t="19050" r="16510" b="22860"/>
                <wp:wrapNone/>
                <wp:docPr id="34" name="Rectángulo 34"/>
                <wp:cNvGraphicFramePr/>
                <a:graphic xmlns:a="http://schemas.openxmlformats.org/drawingml/2006/main">
                  <a:graphicData uri="http://schemas.microsoft.com/office/word/2010/wordprocessingShape">
                    <wps:wsp>
                      <wps:cNvSpPr/>
                      <wps:spPr>
                        <a:xfrm>
                          <a:off x="0" y="0"/>
                          <a:ext cx="4651154" cy="14630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8592B" id="Rectángulo 34" o:spid="_x0000_s1026" style="position:absolute;margin-left:51.45pt;margin-top:427.25pt;width:366.25pt;height:115.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" filled="f" strokecolor="red" strokeweight="3pt"/>
            </w:pict>
          </mc:Fallback>
        </mc:AlternateContent>
      </w:r>
      <w:r w:rsidR="00115D9A">
        <w:rPr>
          <w:rFonts w:ascii="Palatino Linotype" w:hAnsi="Palatino Linotype"/>
          <w:noProof/>
          <w:sz w:val="24"/>
          <w:szCs w:val="24"/>
          <w:lang w:eastAsia="es-MX"/>
        </w:rPr>
        <w:drawing>
          <wp:inline distT="0" distB="0" distL="0" distR="0">
            <wp:extent cx="5759450" cy="7506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506335"/>
                    </a:xfrm>
                    <a:prstGeom prst="rect">
                      <a:avLst/>
                    </a:prstGeom>
                    <a:noFill/>
                    <a:ln>
                      <a:noFill/>
                    </a:ln>
                  </pic:spPr>
                </pic:pic>
              </a:graphicData>
            </a:graphic>
          </wp:inline>
        </w:drawing>
      </w:r>
    </w:p>
    <w:p w:rsidR="00884D49" w:rsidRPr="001108C2" w:rsidRDefault="00884D49" w:rsidP="00823454">
      <w:pPr>
        <w:pStyle w:val="Sinespaciado"/>
        <w:spacing w:line="360" w:lineRule="auto"/>
        <w:jc w:val="both"/>
        <w:rPr>
          <w:rFonts w:ascii="Palatino Linotype" w:hAnsi="Palatino Linotype"/>
          <w:sz w:val="24"/>
          <w:szCs w:val="24"/>
        </w:rPr>
      </w:pPr>
      <w:r w:rsidRPr="001108C2">
        <w:rPr>
          <w:rFonts w:ascii="Palatino Linotype" w:hAnsi="Palatino Linotype"/>
          <w:noProof/>
          <w:sz w:val="24"/>
          <w:szCs w:val="24"/>
          <w:lang w:eastAsia="es-MX"/>
        </w:rPr>
        <w:lastRenderedPageBreak/>
        <mc:AlternateContent>
          <mc:Choice Requires="wps">
            <w:drawing>
              <wp:anchor distT="0" distB="0" distL="114300" distR="114300" simplePos="0" relativeHeight="251689984" behindDoc="0" locked="0" layoutInCell="1" allowOverlap="1">
                <wp:simplePos x="0" y="0"/>
                <wp:positionH relativeFrom="column">
                  <wp:posOffset>907691</wp:posOffset>
                </wp:positionH>
                <wp:positionV relativeFrom="paragraph">
                  <wp:posOffset>1434741</wp:posOffset>
                </wp:positionV>
                <wp:extent cx="4166484" cy="3260035"/>
                <wp:effectExtent l="19050" t="19050" r="24765" b="17145"/>
                <wp:wrapNone/>
                <wp:docPr id="36" name="Rectángulo 36"/>
                <wp:cNvGraphicFramePr/>
                <a:graphic xmlns:a="http://schemas.openxmlformats.org/drawingml/2006/main">
                  <a:graphicData uri="http://schemas.microsoft.com/office/word/2010/wordprocessingShape">
                    <wps:wsp>
                      <wps:cNvSpPr/>
                      <wps:spPr>
                        <a:xfrm>
                          <a:off x="0" y="0"/>
                          <a:ext cx="4166484" cy="3260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EB4D2" id="Rectángulo 36" o:spid="_x0000_s1026" style="position:absolute;margin-left:71.45pt;margin-top:112.95pt;width:328.05pt;height:256.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" filled="f" strokecolor="red" strokeweight="3pt"/>
            </w:pict>
          </mc:Fallback>
        </mc:AlternateContent>
      </w:r>
      <w:r w:rsidR="00E53F35">
        <w:rPr>
          <w:rFonts w:ascii="Palatino Linotype" w:hAnsi="Palatino Linotype"/>
          <w:noProof/>
          <w:sz w:val="24"/>
          <w:szCs w:val="24"/>
          <w:lang w:eastAsia="es-MX"/>
        </w:rPr>
        <w:drawing>
          <wp:inline distT="0" distB="0" distL="0" distR="0">
            <wp:extent cx="5760720" cy="75895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589520"/>
                    </a:xfrm>
                    <a:prstGeom prst="rect">
                      <a:avLst/>
                    </a:prstGeom>
                    <a:noFill/>
                    <a:ln>
                      <a:noFill/>
                    </a:ln>
                  </pic:spPr>
                </pic:pic>
              </a:graphicData>
            </a:graphic>
          </wp:inline>
        </w:drawing>
      </w:r>
      <w:bookmarkStart w:id="0" w:name="_GoBack"/>
      <w:bookmarkEnd w:id="0"/>
    </w:p>
    <w:p w:rsidR="00D64F6D" w:rsidRPr="001108C2" w:rsidRDefault="00D64F6D"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lastRenderedPageBreak/>
        <w:t>Del análisis minucioso</w:t>
      </w:r>
      <w:r w:rsidR="003B7EE1" w:rsidRPr="001108C2">
        <w:rPr>
          <w:rFonts w:ascii="Palatino Linotype" w:hAnsi="Palatino Linotype"/>
          <w:sz w:val="24"/>
          <w:szCs w:val="24"/>
        </w:rPr>
        <w:t xml:space="preserve"> de la información remitida por el </w:t>
      </w:r>
      <w:r w:rsidR="003B7EE1" w:rsidRPr="001108C2">
        <w:rPr>
          <w:rFonts w:ascii="Palatino Linotype" w:hAnsi="Palatino Linotype"/>
          <w:b/>
          <w:sz w:val="24"/>
          <w:szCs w:val="24"/>
        </w:rPr>
        <w:t>Sujeto Obligado</w:t>
      </w:r>
      <w:r w:rsidR="00905F01" w:rsidRPr="001108C2">
        <w:rPr>
          <w:rFonts w:ascii="Palatino Linotype" w:hAnsi="Palatino Linotype"/>
          <w:sz w:val="24"/>
          <w:szCs w:val="24"/>
        </w:rPr>
        <w:t>, esta autoridad administrativa</w:t>
      </w:r>
      <w:r w:rsidRPr="001108C2">
        <w:rPr>
          <w:rFonts w:ascii="Palatino Linotype" w:hAnsi="Palatino Linotype"/>
          <w:sz w:val="24"/>
          <w:szCs w:val="24"/>
        </w:rPr>
        <w:t xml:space="preserve"> advierte </w:t>
      </w:r>
      <w:r w:rsidR="00030EE8" w:rsidRPr="001108C2">
        <w:rPr>
          <w:rFonts w:ascii="Palatino Linotype" w:hAnsi="Palatino Linotype"/>
          <w:sz w:val="24"/>
          <w:szCs w:val="24"/>
        </w:rPr>
        <w:t>que son</w:t>
      </w:r>
      <w:r w:rsidRPr="001108C2">
        <w:rPr>
          <w:rFonts w:ascii="Palatino Linotype" w:hAnsi="Palatino Linotype"/>
          <w:sz w:val="24"/>
          <w:szCs w:val="24"/>
        </w:rPr>
        <w:t xml:space="preserve"> fundados los motivos de</w:t>
      </w:r>
      <w:r w:rsidR="00905F01" w:rsidRPr="001108C2">
        <w:rPr>
          <w:rFonts w:ascii="Palatino Linotype" w:hAnsi="Palatino Linotype"/>
          <w:sz w:val="24"/>
          <w:szCs w:val="24"/>
        </w:rPr>
        <w:t xml:space="preserve"> inconformidad argüidos por </w:t>
      </w:r>
      <w:r w:rsidR="00030EE8" w:rsidRPr="001108C2">
        <w:rPr>
          <w:rFonts w:ascii="Palatino Linotype" w:hAnsi="Palatino Linotype"/>
          <w:b/>
          <w:sz w:val="24"/>
          <w:szCs w:val="24"/>
        </w:rPr>
        <w:t xml:space="preserve">El </w:t>
      </w:r>
      <w:r w:rsidR="00905F01" w:rsidRPr="001108C2">
        <w:rPr>
          <w:rFonts w:ascii="Palatino Linotype" w:hAnsi="Palatino Linotype"/>
          <w:b/>
          <w:sz w:val="24"/>
          <w:szCs w:val="24"/>
        </w:rPr>
        <w:t>R</w:t>
      </w:r>
      <w:r w:rsidRPr="001108C2">
        <w:rPr>
          <w:rFonts w:ascii="Palatino Linotype" w:hAnsi="Palatino Linotype"/>
          <w:b/>
          <w:sz w:val="24"/>
          <w:szCs w:val="24"/>
        </w:rPr>
        <w:t>ecurrente</w:t>
      </w:r>
      <w:r w:rsidRPr="001108C2">
        <w:rPr>
          <w:rFonts w:ascii="Palatino Linotype" w:hAnsi="Palatino Linotype"/>
          <w:sz w:val="24"/>
          <w:szCs w:val="24"/>
        </w:rPr>
        <w:t xml:space="preserve"> y suficientes para ordenar la reparación de la afectación al derecho subjetivo de acceso a la información pública bajo las siguientes líneas argumentat</w:t>
      </w:r>
      <w:r w:rsidR="000F3722" w:rsidRPr="001108C2">
        <w:rPr>
          <w:rFonts w:ascii="Palatino Linotype" w:hAnsi="Palatino Linotype"/>
          <w:sz w:val="24"/>
          <w:szCs w:val="24"/>
        </w:rPr>
        <w:t>ivas:</w:t>
      </w:r>
    </w:p>
    <w:p w:rsidR="00884D49" w:rsidRPr="001108C2" w:rsidRDefault="00884D49" w:rsidP="00823454">
      <w:pPr>
        <w:pStyle w:val="Sinespaciado"/>
        <w:spacing w:line="360" w:lineRule="auto"/>
        <w:jc w:val="both"/>
        <w:rPr>
          <w:rFonts w:ascii="Palatino Linotype" w:hAnsi="Palatino Linotype"/>
          <w:sz w:val="24"/>
          <w:szCs w:val="24"/>
        </w:rPr>
      </w:pPr>
    </w:p>
    <w:p w:rsidR="00666AF8" w:rsidRPr="001108C2" w:rsidRDefault="000F3722"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En </w:t>
      </w:r>
      <w:r w:rsidR="006F18FD" w:rsidRPr="001108C2">
        <w:rPr>
          <w:rFonts w:ascii="Palatino Linotype" w:hAnsi="Palatino Linotype"/>
          <w:sz w:val="24"/>
          <w:szCs w:val="24"/>
        </w:rPr>
        <w:t>primer lugar</w:t>
      </w:r>
      <w:r w:rsidRPr="001108C2">
        <w:rPr>
          <w:rFonts w:ascii="Palatino Linotype" w:hAnsi="Palatino Linotype"/>
          <w:sz w:val="24"/>
          <w:szCs w:val="24"/>
        </w:rPr>
        <w:t>, es de precisar que se obvia el análisis de la competenci</w:t>
      </w:r>
      <w:r w:rsidR="006F18FD" w:rsidRPr="001108C2">
        <w:rPr>
          <w:rFonts w:ascii="Palatino Linotype" w:hAnsi="Palatino Linotype"/>
          <w:sz w:val="24"/>
          <w:szCs w:val="24"/>
        </w:rPr>
        <w:t xml:space="preserve">a por parte del </w:t>
      </w:r>
      <w:r w:rsidR="006F18FD" w:rsidRPr="001108C2">
        <w:rPr>
          <w:rFonts w:ascii="Palatino Linotype" w:hAnsi="Palatino Linotype"/>
          <w:b/>
          <w:sz w:val="24"/>
          <w:szCs w:val="24"/>
        </w:rPr>
        <w:t>Sujeto Obligado</w:t>
      </w:r>
      <w:r w:rsidRPr="001108C2">
        <w:rPr>
          <w:rFonts w:ascii="Palatino Linotype" w:hAnsi="Palatino Linotype"/>
          <w:sz w:val="24"/>
          <w:szCs w:val="24"/>
        </w:rPr>
        <w:t xml:space="preserve">, para generar, administrar o poseer la información solicitada, dado que éste ha asumido </w:t>
      </w:r>
      <w:r w:rsidR="006F18FD" w:rsidRPr="001108C2">
        <w:rPr>
          <w:rFonts w:ascii="Palatino Linotype" w:hAnsi="Palatino Linotype"/>
          <w:sz w:val="24"/>
          <w:szCs w:val="24"/>
        </w:rPr>
        <w:t>la misma, en razón de que en su</w:t>
      </w:r>
      <w:r w:rsidR="003B7EE1" w:rsidRPr="001108C2">
        <w:rPr>
          <w:rFonts w:ascii="Palatino Linotype" w:hAnsi="Palatino Linotype"/>
          <w:sz w:val="24"/>
          <w:szCs w:val="24"/>
        </w:rPr>
        <w:t xml:space="preserve"> respuesta e</w:t>
      </w:r>
      <w:r w:rsidR="006F18FD" w:rsidRPr="001108C2">
        <w:rPr>
          <w:rFonts w:ascii="Palatino Linotype" w:hAnsi="Palatino Linotype"/>
          <w:sz w:val="24"/>
          <w:szCs w:val="24"/>
        </w:rPr>
        <w:t xml:space="preserve"> informe justificado</w:t>
      </w:r>
      <w:r w:rsidRPr="001108C2">
        <w:rPr>
          <w:rFonts w:ascii="Palatino Linotype" w:hAnsi="Palatino Linotype"/>
          <w:sz w:val="24"/>
          <w:szCs w:val="24"/>
        </w:rPr>
        <w:t>,</w:t>
      </w:r>
      <w:r w:rsidR="003B7EE1" w:rsidRPr="001108C2">
        <w:rPr>
          <w:rFonts w:ascii="Palatino Linotype" w:hAnsi="Palatino Linotype"/>
          <w:sz w:val="24"/>
          <w:szCs w:val="24"/>
        </w:rPr>
        <w:t xml:space="preserve"> se pronuncia que </w:t>
      </w:r>
      <w:r w:rsidRPr="001108C2">
        <w:rPr>
          <w:rFonts w:ascii="Palatino Linotype" w:hAnsi="Palatino Linotype"/>
          <w:sz w:val="24"/>
          <w:szCs w:val="24"/>
        </w:rPr>
        <w:t>la información requerida</w:t>
      </w:r>
      <w:r w:rsidR="003B7EE1" w:rsidRPr="001108C2">
        <w:rPr>
          <w:rFonts w:ascii="Palatino Linotype" w:hAnsi="Palatino Linotype"/>
          <w:sz w:val="24"/>
          <w:szCs w:val="24"/>
        </w:rPr>
        <w:t xml:space="preserve"> por el quejoso</w:t>
      </w:r>
      <w:r w:rsidRPr="001108C2">
        <w:rPr>
          <w:rFonts w:ascii="Palatino Linotype" w:hAnsi="Palatino Linotype"/>
          <w:sz w:val="24"/>
          <w:szCs w:val="24"/>
        </w:rPr>
        <w:t>,</w:t>
      </w:r>
      <w:r w:rsidR="003B7EE1" w:rsidRPr="001108C2">
        <w:rPr>
          <w:rFonts w:ascii="Palatino Linotype" w:hAnsi="Palatino Linotype"/>
          <w:sz w:val="24"/>
          <w:szCs w:val="24"/>
        </w:rPr>
        <w:t xml:space="preserve"> </w:t>
      </w:r>
      <w:r w:rsidR="00666AF8" w:rsidRPr="001108C2">
        <w:rPr>
          <w:rFonts w:ascii="Palatino Linotype" w:hAnsi="Palatino Linotype"/>
          <w:sz w:val="24"/>
          <w:szCs w:val="24"/>
        </w:rPr>
        <w:t xml:space="preserve">con base al Catálogo de Información Clasificada publicado en la Gaceta Oficial del Municipio de Naucalpan de Juárez el día 07 de abril de 2008, los datos y documentos que integran los expedientes de cada peticionario se considera </w:t>
      </w:r>
      <w:r w:rsidR="00666AF8" w:rsidRPr="001108C2">
        <w:rPr>
          <w:rFonts w:ascii="Palatino Linotype" w:hAnsi="Palatino Linotype"/>
          <w:b/>
          <w:sz w:val="24"/>
          <w:szCs w:val="24"/>
        </w:rPr>
        <w:t xml:space="preserve">INFORMACIÓN </w:t>
      </w:r>
      <w:r w:rsidR="002F3D50" w:rsidRPr="001108C2">
        <w:rPr>
          <w:rFonts w:ascii="Palatino Linotype" w:hAnsi="Palatino Linotype"/>
          <w:b/>
          <w:sz w:val="24"/>
          <w:szCs w:val="24"/>
        </w:rPr>
        <w:t>CONFIDENCIAL</w:t>
      </w:r>
      <w:r w:rsidR="002F3D50" w:rsidRPr="001108C2">
        <w:rPr>
          <w:rFonts w:ascii="Palatino Linotype" w:hAnsi="Palatino Linotype"/>
          <w:sz w:val="24"/>
          <w:szCs w:val="24"/>
        </w:rPr>
        <w:t xml:space="preserve"> y</w:t>
      </w:r>
      <w:r w:rsidR="003B7EE1" w:rsidRPr="001108C2">
        <w:rPr>
          <w:rFonts w:ascii="Palatino Linotype" w:hAnsi="Palatino Linotype"/>
          <w:sz w:val="24"/>
          <w:szCs w:val="24"/>
        </w:rPr>
        <w:t xml:space="preserve"> </w:t>
      </w:r>
      <w:r w:rsidRPr="001108C2">
        <w:rPr>
          <w:rFonts w:ascii="Palatino Linotype" w:hAnsi="Palatino Linotype"/>
          <w:sz w:val="24"/>
          <w:szCs w:val="24"/>
        </w:rPr>
        <w:t xml:space="preserve">por lo tanto, </w:t>
      </w:r>
      <w:r w:rsidR="00666AF8" w:rsidRPr="001108C2">
        <w:rPr>
          <w:rFonts w:ascii="Palatino Linotype" w:hAnsi="Palatino Linotype"/>
          <w:sz w:val="24"/>
          <w:szCs w:val="24"/>
        </w:rPr>
        <w:t>no es posible otorgar la información.</w:t>
      </w:r>
    </w:p>
    <w:p w:rsidR="00666AF8" w:rsidRPr="001108C2" w:rsidRDefault="00666AF8" w:rsidP="00823454">
      <w:pPr>
        <w:pStyle w:val="Sinespaciado"/>
        <w:spacing w:line="360" w:lineRule="auto"/>
        <w:jc w:val="both"/>
        <w:rPr>
          <w:rFonts w:ascii="Palatino Linotype" w:hAnsi="Palatino Linotype"/>
          <w:sz w:val="24"/>
          <w:szCs w:val="24"/>
        </w:rPr>
      </w:pPr>
    </w:p>
    <w:p w:rsidR="006F18FD" w:rsidRPr="001108C2" w:rsidRDefault="00666AF8"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Así que </w:t>
      </w:r>
      <w:r w:rsidR="000F3722" w:rsidRPr="001108C2">
        <w:rPr>
          <w:rFonts w:ascii="Palatino Linotype" w:hAnsi="Palatino Linotype"/>
          <w:sz w:val="24"/>
          <w:szCs w:val="24"/>
        </w:rPr>
        <w:t xml:space="preserve">el hecho de que </w:t>
      </w:r>
      <w:r w:rsidRPr="001108C2">
        <w:rPr>
          <w:rFonts w:ascii="Palatino Linotype" w:hAnsi="Palatino Linotype"/>
          <w:b/>
          <w:sz w:val="24"/>
          <w:szCs w:val="24"/>
        </w:rPr>
        <w:t xml:space="preserve">El </w:t>
      </w:r>
      <w:r w:rsidR="006F18FD" w:rsidRPr="001108C2">
        <w:rPr>
          <w:rFonts w:ascii="Palatino Linotype" w:hAnsi="Palatino Linotype"/>
          <w:b/>
          <w:sz w:val="24"/>
          <w:szCs w:val="24"/>
        </w:rPr>
        <w:t>Sujeto Obligado</w:t>
      </w:r>
      <w:r w:rsidR="006F18FD" w:rsidRPr="001108C2">
        <w:rPr>
          <w:rFonts w:ascii="Palatino Linotype" w:hAnsi="Palatino Linotype"/>
          <w:sz w:val="24"/>
          <w:szCs w:val="24"/>
        </w:rPr>
        <w:t xml:space="preserve"> </w:t>
      </w:r>
      <w:r w:rsidRPr="001108C2">
        <w:rPr>
          <w:rFonts w:ascii="Palatino Linotype" w:hAnsi="Palatino Linotype"/>
          <w:sz w:val="24"/>
          <w:szCs w:val="24"/>
        </w:rPr>
        <w:t xml:space="preserve">se </w:t>
      </w:r>
      <w:r w:rsidR="000F3722" w:rsidRPr="001108C2">
        <w:rPr>
          <w:rFonts w:ascii="Palatino Linotype" w:hAnsi="Palatino Linotype"/>
          <w:sz w:val="24"/>
          <w:szCs w:val="24"/>
        </w:rPr>
        <w:t>haya</w:t>
      </w:r>
      <w:r w:rsidRPr="001108C2">
        <w:rPr>
          <w:rFonts w:ascii="Palatino Linotype" w:hAnsi="Palatino Linotype"/>
          <w:sz w:val="24"/>
          <w:szCs w:val="24"/>
        </w:rPr>
        <w:t xml:space="preserve"> manifestado respecto de la información</w:t>
      </w:r>
      <w:r w:rsidR="006F18FD" w:rsidRPr="001108C2">
        <w:rPr>
          <w:rFonts w:ascii="Palatino Linotype" w:hAnsi="Palatino Linotype"/>
          <w:sz w:val="24"/>
          <w:szCs w:val="24"/>
        </w:rPr>
        <w:t>,</w:t>
      </w:r>
      <w:r w:rsidR="000F3722" w:rsidRPr="001108C2">
        <w:rPr>
          <w:rFonts w:ascii="Palatino Linotype" w:hAnsi="Palatino Linotype"/>
          <w:sz w:val="24"/>
          <w:szCs w:val="24"/>
        </w:rPr>
        <w:t xml:space="preserve"> comprueba fehacientemente que dicha autoridad acepta que la genera, posee y administra, en ejercicio de sus funciones de derecho público.</w:t>
      </w:r>
    </w:p>
    <w:p w:rsidR="006F18FD" w:rsidRPr="001108C2" w:rsidRDefault="006F18FD" w:rsidP="00823454">
      <w:pPr>
        <w:pStyle w:val="Sinespaciado"/>
        <w:spacing w:line="360" w:lineRule="auto"/>
        <w:jc w:val="both"/>
        <w:rPr>
          <w:rFonts w:ascii="Palatino Linotype" w:hAnsi="Palatino Linotype"/>
          <w:sz w:val="24"/>
          <w:szCs w:val="24"/>
        </w:rPr>
      </w:pPr>
    </w:p>
    <w:p w:rsidR="000F3722" w:rsidRPr="001108C2" w:rsidRDefault="000F3722" w:rsidP="00823454">
      <w:pPr>
        <w:pStyle w:val="Sinespaciado"/>
        <w:spacing w:line="360" w:lineRule="auto"/>
        <w:jc w:val="both"/>
        <w:rPr>
          <w:rFonts w:ascii="Palatino Linotype" w:eastAsia="Arial Unicode MS" w:hAnsi="Palatino Linotype"/>
          <w:sz w:val="24"/>
          <w:szCs w:val="24"/>
        </w:rPr>
      </w:pPr>
      <w:r w:rsidRPr="001108C2">
        <w:rPr>
          <w:rFonts w:ascii="Palatino Linotype" w:hAnsi="Palatino Linotype"/>
          <w:sz w:val="24"/>
          <w:szCs w:val="24"/>
        </w:rPr>
        <w:t xml:space="preserve">De hecho, el estudio de la naturaleza jurídica de la información pública solicitada tiene por objeto determinar si </w:t>
      </w:r>
      <w:r w:rsidR="00666AF8" w:rsidRPr="001108C2">
        <w:rPr>
          <w:rFonts w:ascii="Palatino Linotype" w:hAnsi="Palatino Linotype"/>
          <w:b/>
          <w:sz w:val="24"/>
          <w:szCs w:val="24"/>
        </w:rPr>
        <w:t xml:space="preserve">El </w:t>
      </w:r>
      <w:r w:rsidR="00363308" w:rsidRPr="001108C2">
        <w:rPr>
          <w:rFonts w:ascii="Palatino Linotype" w:hAnsi="Palatino Linotype"/>
          <w:b/>
          <w:sz w:val="24"/>
          <w:szCs w:val="24"/>
        </w:rPr>
        <w:t>Sujeto Obligado</w:t>
      </w:r>
      <w:r w:rsidR="00363308" w:rsidRPr="001108C2">
        <w:rPr>
          <w:rFonts w:ascii="Palatino Linotype" w:hAnsi="Palatino Linotype"/>
          <w:sz w:val="24"/>
          <w:szCs w:val="24"/>
        </w:rPr>
        <w:t xml:space="preserve"> </w:t>
      </w:r>
      <w:r w:rsidRPr="001108C2">
        <w:rPr>
          <w:rFonts w:ascii="Palatino Linotype" w:hAnsi="Palatino Linotype"/>
          <w:sz w:val="24"/>
          <w:szCs w:val="24"/>
        </w:rPr>
        <w:t>la genera, posee o administra; sin embargo, en aquellos casos en que éste la asume, implica en automático que la genera, posee o administra; por consiguiente, a nada práctico nos conduciría su estudio, ya que se insiste la información pública solicitada, fue asumida por</w:t>
      </w:r>
      <w:r w:rsidR="00363308" w:rsidRPr="001108C2">
        <w:rPr>
          <w:rFonts w:ascii="Palatino Linotype" w:hAnsi="Palatino Linotype"/>
          <w:sz w:val="24"/>
          <w:szCs w:val="24"/>
        </w:rPr>
        <w:t xml:space="preserve"> el </w:t>
      </w:r>
      <w:r w:rsidR="00666AF8" w:rsidRPr="001108C2">
        <w:rPr>
          <w:rFonts w:ascii="Palatino Linotype" w:hAnsi="Palatino Linotype"/>
          <w:b/>
          <w:sz w:val="24"/>
          <w:szCs w:val="24"/>
        </w:rPr>
        <w:t>Sujeto Obligado</w:t>
      </w:r>
      <w:r w:rsidRPr="001108C2">
        <w:rPr>
          <w:rFonts w:ascii="Palatino Linotype" w:hAnsi="Palatino Linotype"/>
          <w:sz w:val="24"/>
          <w:szCs w:val="24"/>
        </w:rPr>
        <w:t xml:space="preserve">, </w:t>
      </w:r>
      <w:r w:rsidRPr="001108C2">
        <w:rPr>
          <w:rFonts w:ascii="Palatino Linotype" w:eastAsia="Arial Unicode MS" w:hAnsi="Palatino Linotype"/>
          <w:sz w:val="24"/>
          <w:szCs w:val="24"/>
        </w:rPr>
        <w:lastRenderedPageBreak/>
        <w:t xml:space="preserve">razón suficiente para proceder al estudio de los motivos de inconformidad vertidos, sin analizar previamente la naturaleza jurídica de aquélla. </w:t>
      </w:r>
    </w:p>
    <w:p w:rsidR="00A9172E" w:rsidRPr="001108C2" w:rsidRDefault="00A9172E" w:rsidP="00823454">
      <w:pPr>
        <w:pStyle w:val="Sinespaciado"/>
        <w:spacing w:line="360" w:lineRule="auto"/>
        <w:jc w:val="both"/>
        <w:rPr>
          <w:rFonts w:ascii="Palatino Linotype" w:hAnsi="Palatino Linotype"/>
          <w:sz w:val="24"/>
          <w:szCs w:val="24"/>
        </w:rPr>
      </w:pPr>
    </w:p>
    <w:p w:rsidR="00D75A0D" w:rsidRPr="001108C2" w:rsidRDefault="00363308"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Ahora bien, es de recalcar que </w:t>
      </w:r>
      <w:r w:rsidR="00666AF8" w:rsidRPr="001108C2">
        <w:rPr>
          <w:rFonts w:ascii="Palatino Linotype" w:hAnsi="Palatino Linotype"/>
          <w:b/>
          <w:sz w:val="24"/>
          <w:szCs w:val="24"/>
        </w:rPr>
        <w:t xml:space="preserve">El </w:t>
      </w:r>
      <w:r w:rsidRPr="001108C2">
        <w:rPr>
          <w:rFonts w:ascii="Palatino Linotype" w:hAnsi="Palatino Linotype"/>
          <w:b/>
          <w:sz w:val="24"/>
          <w:szCs w:val="24"/>
        </w:rPr>
        <w:t>Sujeto Obligado</w:t>
      </w:r>
      <w:r w:rsidRPr="001108C2">
        <w:rPr>
          <w:rFonts w:ascii="Palatino Linotype" w:hAnsi="Palatino Linotype"/>
          <w:sz w:val="24"/>
          <w:szCs w:val="24"/>
        </w:rPr>
        <w:t xml:space="preserve"> al presentar su Informe Justifica</w:t>
      </w:r>
      <w:r w:rsidR="00DD2781" w:rsidRPr="001108C2">
        <w:rPr>
          <w:rFonts w:ascii="Palatino Linotype" w:hAnsi="Palatino Linotype"/>
          <w:sz w:val="24"/>
          <w:szCs w:val="24"/>
        </w:rPr>
        <w:t>do</w:t>
      </w:r>
      <w:r w:rsidR="005B319C" w:rsidRPr="001108C2">
        <w:rPr>
          <w:rFonts w:ascii="Palatino Linotype" w:hAnsi="Palatino Linotype"/>
          <w:sz w:val="24"/>
          <w:szCs w:val="24"/>
        </w:rPr>
        <w:t>, informó que de la revisión al expediente conformado con motivos de la solicitud de Cambio de Uso de Suelo, registrada en la Base de Datos de Trámites de la Dirección General de Desarrollo Urbano del H. Ayuntamiento de Naucalpan de Juárez, con número de control CUS/032/2017, advierte que el nombre del ahora Recurrente, NO FORMA PARTE DEL PROCEDIMIENTO, ni se encuentra acreditado dentro del expediente para realizar actuaciones en el mismo, de conformidad con el artículo 118</w:t>
      </w:r>
      <w:r w:rsidR="00D75A0D" w:rsidRPr="001108C2">
        <w:rPr>
          <w:rFonts w:ascii="Palatino Linotype" w:hAnsi="Palatino Linotype"/>
          <w:sz w:val="24"/>
          <w:szCs w:val="24"/>
        </w:rPr>
        <w:t>, fracción I,</w:t>
      </w:r>
      <w:r w:rsidR="005B319C" w:rsidRPr="001108C2">
        <w:rPr>
          <w:rFonts w:ascii="Palatino Linotype" w:hAnsi="Palatino Linotype"/>
          <w:sz w:val="24"/>
          <w:szCs w:val="24"/>
        </w:rPr>
        <w:t xml:space="preserve"> del Código de Procedimientos Administrativos del Estado de México</w:t>
      </w:r>
      <w:r w:rsidR="00D75A0D" w:rsidRPr="001108C2">
        <w:rPr>
          <w:rFonts w:ascii="Palatino Linotype" w:hAnsi="Palatino Linotype"/>
          <w:sz w:val="24"/>
          <w:szCs w:val="24"/>
        </w:rPr>
        <w:t>, en cual, estipula lo siguiente:</w:t>
      </w:r>
    </w:p>
    <w:p w:rsidR="00D75A0D" w:rsidRPr="001108C2" w:rsidRDefault="00D75A0D" w:rsidP="00823454">
      <w:pPr>
        <w:pStyle w:val="Sinespaciado"/>
        <w:spacing w:line="360" w:lineRule="auto"/>
        <w:jc w:val="both"/>
        <w:rPr>
          <w:rFonts w:ascii="Palatino Linotype" w:hAnsi="Palatino Linotype"/>
          <w:sz w:val="24"/>
          <w:szCs w:val="24"/>
        </w:rPr>
      </w:pPr>
    </w:p>
    <w:p w:rsidR="00D75A0D" w:rsidRPr="001108C2" w:rsidRDefault="00D75A0D" w:rsidP="00D75A0D">
      <w:pPr>
        <w:pStyle w:val="Sinespaciado"/>
        <w:ind w:left="567" w:right="708"/>
        <w:jc w:val="both"/>
        <w:rPr>
          <w:rFonts w:ascii="Palatino Linotype" w:hAnsi="Palatino Linotype"/>
          <w:i/>
          <w:szCs w:val="24"/>
        </w:rPr>
      </w:pPr>
      <w:r w:rsidRPr="001108C2">
        <w:rPr>
          <w:rFonts w:ascii="Palatino Linotype" w:hAnsi="Palatino Linotype"/>
          <w:b/>
          <w:i/>
          <w:szCs w:val="24"/>
        </w:rPr>
        <w:t>Artículo 118.-</w:t>
      </w:r>
      <w:r w:rsidRPr="001108C2">
        <w:rPr>
          <w:rFonts w:ascii="Palatino Linotype" w:hAnsi="Palatino Linotype"/>
          <w:i/>
          <w:szCs w:val="24"/>
        </w:rPr>
        <w:t xml:space="preserve"> El particular deberá adjuntar al escrito de petición:</w:t>
      </w:r>
    </w:p>
    <w:p w:rsidR="005B319C" w:rsidRPr="001108C2" w:rsidRDefault="00D75A0D" w:rsidP="00D75A0D">
      <w:pPr>
        <w:pStyle w:val="Sinespaciado"/>
        <w:numPr>
          <w:ilvl w:val="0"/>
          <w:numId w:val="17"/>
        </w:numPr>
        <w:ind w:left="851" w:right="708" w:hanging="283"/>
        <w:jc w:val="both"/>
        <w:rPr>
          <w:rFonts w:ascii="Palatino Linotype" w:hAnsi="Palatino Linotype"/>
          <w:i/>
          <w:szCs w:val="24"/>
        </w:rPr>
      </w:pPr>
      <w:r w:rsidRPr="001108C2">
        <w:rPr>
          <w:rFonts w:ascii="Palatino Linotype" w:hAnsi="Palatino Linotype"/>
          <w:i/>
          <w:szCs w:val="24"/>
        </w:rPr>
        <w:t>El documento que acredite su personalidad, cuando no se gestione a nombre propio;</w:t>
      </w:r>
    </w:p>
    <w:p w:rsidR="00D75A0D" w:rsidRPr="001108C2" w:rsidRDefault="00D75A0D" w:rsidP="00D75A0D">
      <w:pPr>
        <w:pStyle w:val="Sinespaciado"/>
        <w:ind w:left="567" w:right="708"/>
        <w:jc w:val="both"/>
        <w:rPr>
          <w:rFonts w:ascii="Palatino Linotype" w:hAnsi="Palatino Linotype"/>
          <w:i/>
          <w:szCs w:val="24"/>
        </w:rPr>
      </w:pPr>
      <w:r w:rsidRPr="001108C2">
        <w:rPr>
          <w:rFonts w:ascii="Palatino Linotype" w:hAnsi="Palatino Linotype"/>
          <w:i/>
          <w:szCs w:val="24"/>
        </w:rPr>
        <w:t>(…)</w:t>
      </w:r>
    </w:p>
    <w:p w:rsidR="005B319C" w:rsidRPr="001108C2" w:rsidRDefault="005B319C" w:rsidP="00823454">
      <w:pPr>
        <w:pStyle w:val="Sinespaciado"/>
        <w:spacing w:line="360" w:lineRule="auto"/>
        <w:jc w:val="both"/>
        <w:rPr>
          <w:rFonts w:ascii="Palatino Linotype" w:hAnsi="Palatino Linotype"/>
          <w:sz w:val="24"/>
          <w:szCs w:val="24"/>
        </w:rPr>
      </w:pPr>
    </w:p>
    <w:p w:rsidR="00A9172E" w:rsidRPr="001108C2" w:rsidRDefault="00D75A0D"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Asimismo, el </w:t>
      </w:r>
      <w:r w:rsidRPr="001108C2">
        <w:rPr>
          <w:rFonts w:ascii="Palatino Linotype" w:hAnsi="Palatino Linotype"/>
          <w:b/>
          <w:sz w:val="24"/>
          <w:szCs w:val="24"/>
        </w:rPr>
        <w:t>Sujeto Obligado</w:t>
      </w:r>
      <w:r w:rsidRPr="001108C2">
        <w:rPr>
          <w:rFonts w:ascii="Palatino Linotype" w:hAnsi="Palatino Linotype"/>
          <w:sz w:val="24"/>
          <w:szCs w:val="24"/>
        </w:rPr>
        <w:t xml:space="preserve"> argumentó que en el expediente de mérito no obra ningún documento en el que se autorice al </w:t>
      </w:r>
      <w:r w:rsidRPr="001108C2">
        <w:rPr>
          <w:rFonts w:ascii="Palatino Linotype" w:hAnsi="Palatino Linotype"/>
          <w:b/>
          <w:sz w:val="24"/>
          <w:szCs w:val="24"/>
        </w:rPr>
        <w:t>Recurrente</w:t>
      </w:r>
      <w:r w:rsidRPr="001108C2">
        <w:rPr>
          <w:rFonts w:ascii="Palatino Linotype" w:hAnsi="Palatino Linotype"/>
          <w:sz w:val="24"/>
          <w:szCs w:val="24"/>
        </w:rPr>
        <w:t>, como persona autorizada para gestionar todo lo relacionado con la multicitada autorización de Cambio de Uso de Suelo;</w:t>
      </w:r>
      <w:r w:rsidR="00363308" w:rsidRPr="001108C2">
        <w:rPr>
          <w:rFonts w:ascii="Palatino Linotype" w:hAnsi="Palatino Linotype"/>
          <w:sz w:val="24"/>
          <w:szCs w:val="24"/>
        </w:rPr>
        <w:t xml:space="preserve"> por lo que el estudio del asunto versará acerca de si efectivamente la presentación de </w:t>
      </w:r>
      <w:r w:rsidR="00EC1776" w:rsidRPr="001108C2">
        <w:rPr>
          <w:rFonts w:ascii="Palatino Linotype" w:hAnsi="Palatino Linotype"/>
          <w:sz w:val="24"/>
          <w:szCs w:val="24"/>
        </w:rPr>
        <w:t>la información referida</w:t>
      </w:r>
      <w:r w:rsidR="00363308" w:rsidRPr="001108C2">
        <w:rPr>
          <w:rFonts w:ascii="Palatino Linotype" w:hAnsi="Palatino Linotype"/>
          <w:sz w:val="24"/>
          <w:szCs w:val="24"/>
        </w:rPr>
        <w:t xml:space="preserve"> es suficiente para satisfacer </w:t>
      </w:r>
      <w:r w:rsidR="00EC1776" w:rsidRPr="001108C2">
        <w:rPr>
          <w:rFonts w:ascii="Palatino Linotype" w:hAnsi="Palatino Linotype"/>
          <w:sz w:val="24"/>
          <w:szCs w:val="24"/>
        </w:rPr>
        <w:t>dicha pretensión.</w:t>
      </w:r>
    </w:p>
    <w:p w:rsidR="00EC1776" w:rsidRPr="001108C2" w:rsidRDefault="00EC1776" w:rsidP="00BD0B48">
      <w:pPr>
        <w:pStyle w:val="Sinespaciado"/>
        <w:rPr>
          <w:sz w:val="28"/>
        </w:rPr>
      </w:pPr>
    </w:p>
    <w:p w:rsidR="00BD0B48" w:rsidRPr="001108C2" w:rsidRDefault="00BD0B48" w:rsidP="00BD0B48">
      <w:pPr>
        <w:tabs>
          <w:tab w:val="left" w:pos="709"/>
        </w:tabs>
        <w:spacing w:line="360" w:lineRule="auto"/>
        <w:contextualSpacing/>
        <w:jc w:val="both"/>
        <w:rPr>
          <w:rFonts w:ascii="Palatino Linotype" w:eastAsia="Arial Unicode MS" w:hAnsi="Palatino Linotype" w:cs="Arial"/>
          <w:sz w:val="24"/>
        </w:rPr>
      </w:pPr>
      <w:r w:rsidRPr="001108C2">
        <w:rPr>
          <w:rFonts w:ascii="Palatino Linotype" w:hAnsi="Palatino Linotype" w:cs="Arial"/>
          <w:sz w:val="24"/>
          <w:lang w:val="es-ES_tradnl"/>
        </w:rPr>
        <w:t xml:space="preserve">Es así que, primeramente es de </w:t>
      </w:r>
      <w:r w:rsidRPr="001108C2">
        <w:rPr>
          <w:rFonts w:ascii="Palatino Linotype" w:hAnsi="Palatino Linotype" w:cs="Arial"/>
          <w:sz w:val="24"/>
        </w:rPr>
        <w:t>señalar que el artículo 4, párrafo segundo de la Ley de Transparencia y Acceso a la Información Pública del Estado de México y Municipios, dispone:</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lastRenderedPageBreak/>
        <w:t>“</w:t>
      </w:r>
      <w:r w:rsidRPr="001108C2">
        <w:rPr>
          <w:rFonts w:ascii="Palatino Linotype" w:hAnsi="Palatino Linotype" w:cs="Arial"/>
          <w:b/>
          <w:i/>
        </w:rPr>
        <w:t xml:space="preserve">Artículo 4. </w:t>
      </w:r>
      <w:r w:rsidRPr="001108C2">
        <w:rPr>
          <w:rFonts w:ascii="Palatino Linotype" w:hAnsi="Palatino Linotype" w:cs="Arial"/>
          <w:i/>
        </w:rPr>
        <w:t xml:space="preserve">… </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w:t>
      </w:r>
    </w:p>
    <w:p w:rsidR="00BD0B48" w:rsidRPr="001108C2" w:rsidRDefault="00BD0B48" w:rsidP="00BD0B48">
      <w:pPr>
        <w:pStyle w:val="Sinespaciado"/>
        <w:rPr>
          <w:lang w:val="es-ES_tradnl"/>
        </w:rPr>
      </w:pPr>
    </w:p>
    <w:p w:rsidR="00BD0B48" w:rsidRPr="001108C2" w:rsidRDefault="00BD0B48" w:rsidP="00BD0B48">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BD0B48" w:rsidRPr="001108C2" w:rsidRDefault="00BD0B48" w:rsidP="00BD0B48">
      <w:pPr>
        <w:pStyle w:val="Sinespaciado"/>
        <w:rPr>
          <w:sz w:val="16"/>
          <w:lang w:val="es-ES_tradnl"/>
        </w:rPr>
      </w:pPr>
    </w:p>
    <w:p w:rsidR="00BD0B48" w:rsidRPr="001108C2" w:rsidRDefault="00BD0B48" w:rsidP="00BD0B48">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BD0B48" w:rsidRPr="001108C2" w:rsidRDefault="00BD0B48" w:rsidP="00BD0B48">
      <w:pPr>
        <w:pStyle w:val="Sinespaciado"/>
        <w:rPr>
          <w:sz w:val="16"/>
          <w:lang w:val="es-ES_tradnl"/>
        </w:rPr>
      </w:pP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Artículo 12.</w:t>
      </w:r>
      <w:r w:rsidRPr="001108C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D0B48" w:rsidRPr="001108C2" w:rsidRDefault="00BD0B48" w:rsidP="00BD0B48">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D0B48" w:rsidRPr="001108C2" w:rsidRDefault="00BD0B48" w:rsidP="00BD0B48">
      <w:pPr>
        <w:pStyle w:val="Sinespaciado"/>
        <w:rPr>
          <w:lang w:val="es-ES"/>
        </w:rPr>
      </w:pPr>
    </w:p>
    <w:p w:rsidR="00BD0B48" w:rsidRPr="001108C2" w:rsidRDefault="00BD0B48" w:rsidP="00BD0B48">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1108C2">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108C2">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BD0B48" w:rsidRPr="001108C2" w:rsidRDefault="00BD0B48" w:rsidP="00BD0B48">
      <w:pPr>
        <w:ind w:left="851" w:right="850"/>
        <w:jc w:val="both"/>
        <w:rPr>
          <w:rFonts w:ascii="Palatino Linotype" w:hAnsi="Palatino Linotype" w:cs="Arial"/>
          <w:i/>
        </w:rPr>
      </w:pP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 xml:space="preserve">Artículo 3. </w:t>
      </w:r>
      <w:r w:rsidRPr="001108C2">
        <w:rPr>
          <w:rFonts w:ascii="Palatino Linotype" w:hAnsi="Palatino Linotype" w:cs="Arial"/>
          <w:i/>
        </w:rPr>
        <w:t>Para los efectos de la presente Ley se entenderá por:</w:t>
      </w:r>
    </w:p>
    <w:p w:rsidR="00BD0B48" w:rsidRPr="001108C2" w:rsidRDefault="00BD0B48" w:rsidP="00BD0B48">
      <w:pPr>
        <w:ind w:left="851" w:right="850"/>
        <w:jc w:val="both"/>
        <w:rPr>
          <w:rFonts w:ascii="Palatino Linotype" w:hAnsi="Palatino Linotype" w:cs="Arial"/>
          <w:i/>
        </w:rPr>
      </w:pPr>
      <w:r w:rsidRPr="001108C2">
        <w:rPr>
          <w:rFonts w:ascii="Palatino Linotype" w:hAnsi="Palatino Linotype" w:cs="Arial"/>
          <w:i/>
        </w:rPr>
        <w:t>(…)</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b/>
          <w:i/>
        </w:rPr>
        <w:t>XI. Documento:</w:t>
      </w:r>
      <w:r w:rsidRPr="001108C2">
        <w:rPr>
          <w:rFonts w:ascii="Palatino Linotype" w:hAnsi="Palatino Linotype" w:cs="Arial"/>
          <w:i/>
        </w:rPr>
        <w:t xml:space="preserve"> Los expedientes, reportes, estudios, actas, resoluciones, </w:t>
      </w:r>
      <w:r w:rsidRPr="001108C2">
        <w:rPr>
          <w:rFonts w:ascii="Palatino Linotype" w:hAnsi="Palatino Linotype" w:cs="Arial"/>
          <w:i/>
          <w:u w:val="single"/>
        </w:rPr>
        <w:t>oficios</w:t>
      </w:r>
      <w:r w:rsidRPr="001108C2">
        <w:rPr>
          <w:rFonts w:ascii="Palatino Linotype" w:hAnsi="Palatino Linotype" w:cs="Arial"/>
          <w:i/>
        </w:rPr>
        <w:t xml:space="preserve">, correspondencia, acuerdos, directivas, directrices, circulares, contratos, convenios, instructivos, notas, memorandos, estadísticas o bien, cualquier otro </w:t>
      </w:r>
      <w:r w:rsidRPr="001108C2">
        <w:rPr>
          <w:rFonts w:ascii="Palatino Linotype" w:hAnsi="Palatino Linotype" w:cs="Arial"/>
          <w:i/>
          <w:u w:val="single"/>
        </w:rPr>
        <w:t>registro que documente el ejercicio de las facultades, funciones y competencias de los sujetos obligados,</w:t>
      </w:r>
      <w:r w:rsidRPr="001108C2">
        <w:rPr>
          <w:rFonts w:ascii="Palatino Linotype" w:hAnsi="Palatino Linotype" w:cs="Arial"/>
          <w:i/>
        </w:rPr>
        <w:t xml:space="preserve"> sus servidores públicos e integrantes, </w:t>
      </w:r>
      <w:r w:rsidRPr="001108C2">
        <w:rPr>
          <w:rFonts w:ascii="Palatino Linotype" w:hAnsi="Palatino Linotype" w:cs="Arial"/>
          <w:i/>
          <w:u w:val="single"/>
        </w:rPr>
        <w:t xml:space="preserve">sin importar su fuente o fecha de </w:t>
      </w:r>
      <w:r w:rsidRPr="001108C2">
        <w:rPr>
          <w:rFonts w:ascii="Palatino Linotype" w:hAnsi="Palatino Linotype" w:cs="Arial"/>
          <w:i/>
          <w:u w:val="single"/>
        </w:rPr>
        <w:lastRenderedPageBreak/>
        <w:t>elaboración.</w:t>
      </w:r>
      <w:r w:rsidRPr="001108C2">
        <w:rPr>
          <w:rFonts w:ascii="Palatino Linotype" w:hAnsi="Palatino Linotype" w:cs="Arial"/>
          <w:i/>
        </w:rPr>
        <w:t xml:space="preserve"> Los documentos podrán estar en cualquier medio, sea escrito, impreso, sonoro, visual, electrónico, informático u holográfico;</w:t>
      </w:r>
    </w:p>
    <w:p w:rsidR="00BD0B48" w:rsidRPr="001108C2" w:rsidRDefault="00BD0B48" w:rsidP="00BD0B48">
      <w:pPr>
        <w:ind w:left="851" w:right="901"/>
        <w:jc w:val="both"/>
        <w:rPr>
          <w:rFonts w:ascii="Palatino Linotype" w:hAnsi="Palatino Linotype" w:cs="Arial"/>
          <w:i/>
        </w:rPr>
      </w:pPr>
      <w:r w:rsidRPr="001108C2">
        <w:rPr>
          <w:rFonts w:ascii="Palatino Linotype" w:hAnsi="Palatino Linotype" w:cs="Arial"/>
          <w:i/>
        </w:rPr>
        <w:t>(…)”</w:t>
      </w:r>
    </w:p>
    <w:p w:rsidR="00BD0B48" w:rsidRPr="001108C2" w:rsidRDefault="00BD0B48" w:rsidP="00BD0B48">
      <w:pPr>
        <w:rPr>
          <w:sz w:val="14"/>
        </w:rPr>
      </w:pPr>
    </w:p>
    <w:p w:rsidR="00BD0B48" w:rsidRPr="001108C2" w:rsidRDefault="00BD0B48" w:rsidP="00BD0B48">
      <w:pPr>
        <w:spacing w:before="240" w:after="240" w:line="360" w:lineRule="auto"/>
        <w:ind w:right="49"/>
        <w:contextualSpacing/>
        <w:jc w:val="both"/>
        <w:rPr>
          <w:rFonts w:ascii="Palatino Linotype" w:eastAsia="Times New Roman" w:hAnsi="Palatino Linotype" w:cs="Arial"/>
          <w:sz w:val="24"/>
          <w:lang w:eastAsia="es-MX"/>
        </w:rPr>
      </w:pPr>
      <w:r w:rsidRPr="001108C2">
        <w:rPr>
          <w:rFonts w:ascii="Palatino Linotype" w:hAnsi="Palatino Linotype" w:cs="Arial"/>
          <w:sz w:val="24"/>
        </w:rPr>
        <w:t xml:space="preserve">Además, </w:t>
      </w:r>
      <w:r w:rsidRPr="001108C2">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BD0B48" w:rsidRPr="001108C2" w:rsidRDefault="00BD0B48" w:rsidP="00BD0B48">
      <w:pPr>
        <w:spacing w:before="240" w:after="240" w:line="360" w:lineRule="auto"/>
        <w:ind w:right="49"/>
        <w:contextualSpacing/>
        <w:jc w:val="both"/>
        <w:rPr>
          <w:rFonts w:ascii="Palatino Linotype" w:eastAsia="Times New Roman" w:hAnsi="Palatino Linotype" w:cs="Arial"/>
          <w:sz w:val="24"/>
          <w:szCs w:val="24"/>
          <w:lang w:val="es-ES" w:eastAsia="es-MX"/>
        </w:rPr>
      </w:pPr>
    </w:p>
    <w:p w:rsidR="00BD0B48" w:rsidRPr="001108C2" w:rsidRDefault="00BD0B48" w:rsidP="00BD0B48">
      <w:pPr>
        <w:spacing w:before="240" w:after="240" w:line="360" w:lineRule="auto"/>
        <w:ind w:right="49"/>
        <w:contextualSpacing/>
        <w:jc w:val="both"/>
        <w:rPr>
          <w:rFonts w:ascii="Palatino Linotype" w:eastAsia="MS Mincho" w:hAnsi="Palatino Linotype" w:cs="Tahoma"/>
          <w:sz w:val="24"/>
        </w:rPr>
      </w:pPr>
      <w:r w:rsidRPr="001108C2">
        <w:rPr>
          <w:rFonts w:ascii="Palatino Linotype" w:eastAsia="Times New Roman" w:hAnsi="Palatino Linotype" w:cs="Arial"/>
          <w:sz w:val="24"/>
          <w:lang w:eastAsia="es-MX"/>
        </w:rPr>
        <w:t xml:space="preserve">De la misma forma, </w:t>
      </w:r>
      <w:r w:rsidRPr="001108C2">
        <w:rPr>
          <w:rFonts w:ascii="Palatino Linotype" w:eastAsia="MS Mincho" w:hAnsi="Palatino Linotype" w:cs="Times New Roman"/>
          <w:sz w:val="24"/>
        </w:rPr>
        <w:t>de acuerdo al contenido del artículo 160</w:t>
      </w:r>
      <w:r w:rsidRPr="001108C2">
        <w:rPr>
          <w:rFonts w:ascii="Palatino Linotype" w:eastAsia="Times New Roman" w:hAnsi="Palatino Linotype" w:cs="Arial"/>
          <w:sz w:val="24"/>
        </w:rPr>
        <w:t xml:space="preserve"> de la Ley </w:t>
      </w:r>
      <w:r w:rsidRPr="001108C2">
        <w:rPr>
          <w:rFonts w:ascii="Palatino Linotype" w:eastAsia="MS Mincho" w:hAnsi="Palatino Linotype" w:cs="Tahoma"/>
          <w:sz w:val="24"/>
        </w:rPr>
        <w:t>General de Transparencia y Acceso a la Información Pública que a la letra dispone:</w:t>
      </w:r>
    </w:p>
    <w:p w:rsidR="00BD0B48" w:rsidRPr="001108C2" w:rsidRDefault="00BD0B48" w:rsidP="00BD0B48"/>
    <w:p w:rsidR="00BD0B48" w:rsidRPr="001108C2" w:rsidRDefault="00BD0B48" w:rsidP="00BD0B48">
      <w:pPr>
        <w:spacing w:line="240" w:lineRule="auto"/>
        <w:ind w:left="851" w:right="616"/>
        <w:contextualSpacing/>
        <w:jc w:val="both"/>
        <w:rPr>
          <w:rFonts w:ascii="Palatino Linotype" w:eastAsia="Times New Roman" w:hAnsi="Palatino Linotype" w:cs="Arial"/>
          <w:i/>
          <w:lang w:eastAsia="gl-ES"/>
        </w:rPr>
      </w:pPr>
      <w:r w:rsidRPr="001108C2">
        <w:rPr>
          <w:rFonts w:ascii="Palatino Linotype" w:eastAsia="Times New Roman" w:hAnsi="Palatino Linotype" w:cs="Arial"/>
          <w:b/>
          <w:i/>
          <w:lang w:eastAsia="gl-ES"/>
        </w:rPr>
        <w:t>Artículo 160</w:t>
      </w:r>
      <w:r w:rsidRPr="001108C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D0B48" w:rsidRPr="001108C2" w:rsidRDefault="00BD0B48" w:rsidP="00BD0B48">
      <w:pPr>
        <w:pStyle w:val="Sinespaciado"/>
      </w:pPr>
    </w:p>
    <w:p w:rsidR="00BD0B48" w:rsidRPr="001108C2" w:rsidRDefault="00BD0B48" w:rsidP="00BD0B48">
      <w:pPr>
        <w:spacing w:line="360" w:lineRule="auto"/>
        <w:contextualSpacing/>
        <w:jc w:val="both"/>
        <w:rPr>
          <w:rFonts w:ascii="Palatino Linotype" w:eastAsia="MS Mincho" w:hAnsi="Palatino Linotype" w:cs="Times New Roman"/>
          <w:sz w:val="24"/>
          <w:lang w:val="es-ES_tradnl"/>
        </w:rPr>
      </w:pPr>
      <w:r w:rsidRPr="001108C2">
        <w:rPr>
          <w:rFonts w:ascii="Palatino Linotype" w:hAnsi="Palatino Linotype" w:cs="Arial"/>
          <w:bCs/>
          <w:sz w:val="24"/>
        </w:rPr>
        <w:t xml:space="preserve">Además, </w:t>
      </w:r>
      <w:r w:rsidRPr="001108C2">
        <w:rPr>
          <w:rFonts w:ascii="Palatino Linotype" w:hAnsi="Palatino Linotype" w:cs="Arial"/>
          <w:sz w:val="24"/>
        </w:rPr>
        <w:t xml:space="preserve">a Ley de Transparencia y Acceso a la Información Pública del Estado de México y Municipios, prevé en su artículo 23, fracción IV, que son Sujetos Obligados a </w:t>
      </w:r>
      <w:r w:rsidRPr="001108C2">
        <w:rPr>
          <w:rFonts w:ascii="Palatino Linotype" w:hAnsi="Palatino Linotype" w:cs="Arial"/>
          <w:sz w:val="24"/>
        </w:rPr>
        <w:lastRenderedPageBreak/>
        <w:t>Transparentar y permitir el acceso a su información y proteger los datos que obren en su poder:</w:t>
      </w:r>
    </w:p>
    <w:p w:rsidR="00BD0B48" w:rsidRPr="001108C2" w:rsidRDefault="00BD0B48" w:rsidP="00BD0B48">
      <w:pPr>
        <w:pStyle w:val="Prrafodelista"/>
        <w:spacing w:line="360" w:lineRule="auto"/>
        <w:ind w:left="426" w:right="567"/>
        <w:jc w:val="both"/>
        <w:rPr>
          <w:rFonts w:ascii="Palatino Linotype" w:hAnsi="Palatino Linotype" w:cs="Arial"/>
          <w:i/>
          <w:sz w:val="22"/>
        </w:rPr>
      </w:pPr>
      <w:r w:rsidRPr="001108C2">
        <w:rPr>
          <w:rFonts w:ascii="Palatino Linotype" w:hAnsi="Palatino Linotype" w:cs="Arial"/>
          <w:b/>
          <w:i/>
          <w:sz w:val="22"/>
        </w:rPr>
        <w:t xml:space="preserve">IV.- </w:t>
      </w:r>
      <w:r w:rsidRPr="001108C2">
        <w:rPr>
          <w:rFonts w:ascii="Palatino Linotype" w:hAnsi="Palatino Linotype" w:cs="Arial"/>
          <w:i/>
          <w:sz w:val="22"/>
        </w:rPr>
        <w:t>Los ayuntamientos y las dependencias, organismos, órganos y entidades de la administración municipal;</w:t>
      </w:r>
    </w:p>
    <w:p w:rsidR="00BD0B48" w:rsidRPr="001108C2" w:rsidRDefault="00BD0B48" w:rsidP="00BD0B48">
      <w:pPr>
        <w:pStyle w:val="Sinespaciado"/>
        <w:spacing w:line="360" w:lineRule="auto"/>
        <w:jc w:val="both"/>
        <w:rPr>
          <w:rFonts w:ascii="Palatino Linotype" w:hAnsi="Palatino Linotype" w:cs="Arial"/>
        </w:rPr>
      </w:pPr>
    </w:p>
    <w:p w:rsidR="00BD0B48" w:rsidRPr="001108C2" w:rsidRDefault="00BD0B48" w:rsidP="00BD0B48">
      <w:pPr>
        <w:pStyle w:val="Sinespaciado"/>
        <w:spacing w:line="360" w:lineRule="auto"/>
        <w:jc w:val="both"/>
        <w:rPr>
          <w:rFonts w:ascii="Palatino Linotype" w:hAnsi="Palatino Linotype" w:cs="Arial"/>
          <w:sz w:val="24"/>
        </w:rPr>
      </w:pPr>
      <w:r w:rsidRPr="001108C2">
        <w:rPr>
          <w:rFonts w:ascii="Palatino Linotype" w:hAnsi="Palatino Linotype" w:cs="Arial"/>
          <w:sz w:val="24"/>
        </w:rPr>
        <w:t>Así, se tiene que la Ley Orgánica Municipal del Estado de México en sus artículos 1 y 3, estipulan que el municipio libre está investido de personalidad jurídica propia, y que los municipios regularán su funcionamiento de conformidad con lo establecido en la Ley citada, Bandos municipales, reglamentos y demás disposiciones legales aplicables.</w:t>
      </w:r>
    </w:p>
    <w:p w:rsidR="002F3D50" w:rsidRPr="001108C2" w:rsidRDefault="002F3D50" w:rsidP="00823454">
      <w:pPr>
        <w:pStyle w:val="Sinespaciado"/>
        <w:spacing w:line="360" w:lineRule="auto"/>
        <w:jc w:val="both"/>
        <w:rPr>
          <w:rFonts w:ascii="Palatino Linotype" w:hAnsi="Palatino Linotype"/>
          <w:sz w:val="24"/>
          <w:szCs w:val="24"/>
        </w:rPr>
      </w:pPr>
    </w:p>
    <w:p w:rsidR="00F03D1D" w:rsidRPr="001108C2" w:rsidRDefault="00F03D1D" w:rsidP="00F03D1D">
      <w:pPr>
        <w:pStyle w:val="Sinespaciado"/>
        <w:spacing w:line="360" w:lineRule="auto"/>
        <w:jc w:val="both"/>
        <w:rPr>
          <w:rFonts w:ascii="Palatino Linotype" w:hAnsi="Palatino Linotype" w:cs="Arial"/>
          <w:sz w:val="24"/>
        </w:rPr>
      </w:pPr>
      <w:r w:rsidRPr="001108C2">
        <w:rPr>
          <w:rFonts w:ascii="Palatino Linotype" w:hAnsi="Palatino Linotype" w:cs="Arial"/>
          <w:sz w:val="24"/>
        </w:rPr>
        <w:t>La misma Ley dispone que cada municipio será gobernado por un ayuntamiento de elección popular directa. Dicho ayuntamiento cuenta, entre otras, con las siguientes facultades, según lo establecido en los artículos 31, 56 y 57, de la Ley Orgánica citada:</w:t>
      </w:r>
    </w:p>
    <w:p w:rsidR="00F03D1D" w:rsidRPr="001108C2" w:rsidRDefault="00F03D1D" w:rsidP="00F03D1D">
      <w:pPr>
        <w:pStyle w:val="Sinespaciado"/>
        <w:spacing w:line="360" w:lineRule="auto"/>
        <w:jc w:val="both"/>
        <w:rPr>
          <w:rFonts w:ascii="Palatino Linotype" w:hAnsi="Palatino Linotype" w:cs="Arial"/>
          <w:sz w:val="18"/>
        </w:rPr>
      </w:pP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
          <w:bCs/>
          <w:i/>
        </w:rPr>
        <w:t xml:space="preserve">Artículo 31.- </w:t>
      </w:r>
      <w:r w:rsidRPr="001108C2">
        <w:rPr>
          <w:rFonts w:ascii="Palatino Linotype" w:hAnsi="Palatino Linotype" w:cs="Arial"/>
          <w:i/>
        </w:rPr>
        <w:t>Son atribuciones de los ayuntamientos:</w:t>
      </w: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i/>
        </w:rPr>
        <w:t>(…)</w:t>
      </w: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
          <w:i/>
        </w:rPr>
        <w:t>I Ter.</w:t>
      </w:r>
      <w:r w:rsidRPr="001108C2">
        <w:rPr>
          <w:rFonts w:ascii="Palatino Linotype" w:hAnsi="Palatino Linotype" w:cs="Arial"/>
          <w:i/>
        </w:rPr>
        <w:t xml:space="preserve"> Aprobar y promover un programa para el </w:t>
      </w:r>
      <w:r w:rsidRPr="001108C2">
        <w:rPr>
          <w:rFonts w:ascii="Palatino Linotype" w:hAnsi="Palatino Linotype" w:cs="Arial"/>
          <w:b/>
          <w:i/>
          <w:u w:val="single"/>
        </w:rPr>
        <w:t>otorgamiento de la licencia provisional de funcionamiento para negocios de bajo riesgo que no impliquen riesgos sanitarios, ambientales o de protección civil, conforme al Catálogo Mexiquense de Actividades Industriales, Comerciales y de Servicios de Bajo Riesgo</w:t>
      </w:r>
      <w:r w:rsidRPr="001108C2">
        <w:rPr>
          <w:rFonts w:ascii="Palatino Linotype" w:hAnsi="Palatino Linotype" w:cs="Arial"/>
          <w:i/>
        </w:rPr>
        <w:t>, consignado en la Ley de la materia, mismo que deberá publicarse dentro de los primeros 30 días naturales de cada Ejercicio Fiscal y será aplicable hasta la publicación del siguiente catálogo.</w:t>
      </w:r>
    </w:p>
    <w:p w:rsidR="00F03D1D" w:rsidRPr="001108C2" w:rsidRDefault="00F03D1D" w:rsidP="00F03D1D">
      <w:pPr>
        <w:pStyle w:val="Sinespaciado"/>
        <w:ind w:left="567" w:right="567"/>
        <w:jc w:val="both"/>
        <w:rPr>
          <w:rFonts w:ascii="Palatino Linotype" w:hAnsi="Palatino Linotype" w:cs="Arial"/>
          <w:i/>
        </w:rPr>
      </w:pPr>
    </w:p>
    <w:p w:rsidR="00F03D1D" w:rsidRPr="001108C2" w:rsidRDefault="00F03D1D" w:rsidP="00267D7A">
      <w:pPr>
        <w:pStyle w:val="Sinespaciado"/>
        <w:ind w:left="567" w:right="567"/>
        <w:jc w:val="both"/>
        <w:rPr>
          <w:rFonts w:ascii="Palatino Linotype" w:hAnsi="Palatino Linotype" w:cs="Arial"/>
          <w:i/>
        </w:rPr>
      </w:pPr>
      <w:r w:rsidRPr="001108C2">
        <w:rPr>
          <w:rFonts w:ascii="Palatino Linotype" w:hAnsi="Palatino Linotype" w:cs="Arial"/>
          <w:i/>
        </w:rPr>
        <w:t>El otorgamiento de la licencia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de los Servidores Públicos del Estado y Municipios;</w:t>
      </w: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i/>
        </w:rPr>
        <w:lastRenderedPageBreak/>
        <w:t>(…)</w:t>
      </w: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
          <w:i/>
        </w:rPr>
        <w:t>XXIV. Quinques.</w:t>
      </w:r>
      <w:r w:rsidRPr="001108C2">
        <w:rPr>
          <w:rFonts w:ascii="Palatino Linotype" w:hAnsi="Palatino Linotype" w:cs="Arial"/>
          <w:i/>
        </w:rPr>
        <w:t xml:space="preserve"> Para las unidades económicas que tengan como actividad complementaria o principal la venta de bebidas alcohólicas, se otorgará licencia con vigencia de cinco años que deberá ser refrendada de manera anual, con independencia de que puedan ser sujetos de visitas de verificación para constatar el cumplimiento de las disposiciones jurídicas aplicables.;</w:t>
      </w:r>
    </w:p>
    <w:p w:rsidR="00F03D1D" w:rsidRPr="001108C2" w:rsidRDefault="00F03D1D" w:rsidP="00F03D1D">
      <w:pPr>
        <w:pStyle w:val="Sinespaciado"/>
        <w:ind w:left="567" w:right="567"/>
        <w:jc w:val="both"/>
        <w:rPr>
          <w:rFonts w:ascii="Palatino Linotype" w:hAnsi="Palatino Linotype" w:cs="Arial"/>
          <w:i/>
        </w:rPr>
      </w:pP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
          <w:bCs/>
          <w:i/>
        </w:rPr>
        <w:t xml:space="preserve">Artículo 56.- </w:t>
      </w:r>
      <w:r w:rsidRPr="001108C2">
        <w:rPr>
          <w:rFonts w:ascii="Palatino Linotype" w:hAnsi="Palatino Linotype" w:cs="Arial"/>
          <w:b/>
          <w:i/>
          <w:u w:val="single"/>
        </w:rPr>
        <w:t>Son autoridades auxiliares municipales, los delegados y subdelegados, y los jefes de sector o de sección y jefes de manzana que designe el ayuntamiento.</w:t>
      </w:r>
      <w:r w:rsidRPr="001108C2">
        <w:rPr>
          <w:rFonts w:ascii="Palatino Linotype" w:hAnsi="Palatino Linotype" w:cs="Arial"/>
          <w:i/>
        </w:rPr>
        <w:t xml:space="preserve"> </w:t>
      </w:r>
    </w:p>
    <w:p w:rsidR="00F03D1D" w:rsidRPr="001108C2" w:rsidRDefault="00F03D1D" w:rsidP="00F03D1D">
      <w:pPr>
        <w:pStyle w:val="Sinespaciado"/>
        <w:ind w:left="567" w:right="567"/>
        <w:jc w:val="both"/>
        <w:rPr>
          <w:rFonts w:ascii="Palatino Linotype" w:hAnsi="Palatino Linotype" w:cs="Arial"/>
          <w:b/>
          <w:bCs/>
          <w:i/>
        </w:rPr>
      </w:pP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
          <w:bCs/>
          <w:i/>
        </w:rPr>
        <w:t xml:space="preserve">Artículo 57.- </w:t>
      </w:r>
      <w:r w:rsidRPr="001108C2">
        <w:rPr>
          <w:rFonts w:ascii="Palatino Linotype" w:hAnsi="Palatino Linotype" w:cs="Arial"/>
          <w:i/>
        </w:rPr>
        <w:t>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rsidR="00F03D1D" w:rsidRPr="001108C2" w:rsidRDefault="00F03D1D" w:rsidP="00F03D1D">
      <w:pPr>
        <w:pStyle w:val="Sinespaciado"/>
        <w:ind w:left="567" w:right="567"/>
        <w:jc w:val="both"/>
        <w:rPr>
          <w:rFonts w:ascii="Palatino Linotype" w:hAnsi="Palatino Linotype" w:cs="Arial"/>
          <w:i/>
        </w:rPr>
      </w:pPr>
      <w:r w:rsidRPr="001108C2">
        <w:rPr>
          <w:rFonts w:ascii="Palatino Linotype" w:hAnsi="Palatino Linotype" w:cs="Arial"/>
          <w:bCs/>
          <w:i/>
        </w:rPr>
        <w:t>(…</w:t>
      </w:r>
      <w:r w:rsidRPr="001108C2">
        <w:rPr>
          <w:rFonts w:ascii="Palatino Linotype" w:hAnsi="Palatino Linotype" w:cs="Arial"/>
          <w:i/>
        </w:rPr>
        <w:t>)</w:t>
      </w:r>
    </w:p>
    <w:p w:rsidR="00F03D1D" w:rsidRPr="001108C2" w:rsidRDefault="00F03D1D" w:rsidP="00F03D1D">
      <w:pPr>
        <w:pStyle w:val="Sinespaciado"/>
        <w:ind w:left="567" w:right="567"/>
        <w:jc w:val="both"/>
        <w:rPr>
          <w:rFonts w:ascii="Palatino Linotype" w:hAnsi="Palatino Linotype" w:cs="Arial"/>
          <w:b/>
          <w:i/>
          <w:u w:val="single"/>
        </w:rPr>
      </w:pPr>
      <w:r w:rsidRPr="001108C2">
        <w:rPr>
          <w:rFonts w:ascii="Palatino Linotype" w:hAnsi="Palatino Linotype" w:cs="Arial"/>
          <w:b/>
          <w:i/>
        </w:rPr>
        <w:t>g)</w:t>
      </w:r>
      <w:r w:rsidRPr="001108C2">
        <w:rPr>
          <w:rFonts w:ascii="Palatino Linotype" w:hAnsi="Palatino Linotype" w:cs="Arial"/>
          <w:i/>
        </w:rPr>
        <w:t xml:space="preserve"> </w:t>
      </w:r>
      <w:r w:rsidRPr="001108C2">
        <w:rPr>
          <w:rFonts w:ascii="Palatino Linotype" w:hAnsi="Palatino Linotype" w:cs="Arial"/>
          <w:b/>
          <w:i/>
          <w:u w:val="single"/>
        </w:rPr>
        <w:t>Emitir opinión motivada no vinculante, respecto a la autorización de la instalación de nuevos establecimientos comerciales, licencias de construcción</w:t>
      </w:r>
      <w:r w:rsidRPr="001108C2">
        <w:rPr>
          <w:rFonts w:ascii="Palatino Linotype" w:hAnsi="Palatino Linotype" w:cs="Arial"/>
          <w:i/>
        </w:rPr>
        <w:t xml:space="preserve"> </w:t>
      </w:r>
      <w:r w:rsidRPr="001108C2">
        <w:rPr>
          <w:rFonts w:ascii="Palatino Linotype" w:hAnsi="Palatino Linotype" w:cs="Arial"/>
          <w:b/>
          <w:i/>
          <w:u w:val="single"/>
        </w:rPr>
        <w:t>y cambios de uso de suelo en sus comunidades.</w:t>
      </w:r>
    </w:p>
    <w:p w:rsidR="00F03D1D" w:rsidRPr="001108C2" w:rsidRDefault="00F03D1D" w:rsidP="00F03D1D">
      <w:pPr>
        <w:pStyle w:val="Sinespaciado"/>
        <w:spacing w:line="360" w:lineRule="auto"/>
        <w:jc w:val="both"/>
        <w:rPr>
          <w:rFonts w:ascii="Palatino Linotype" w:hAnsi="Palatino Linotype" w:cs="Arial"/>
          <w:i/>
        </w:rPr>
      </w:pPr>
    </w:p>
    <w:p w:rsidR="00F03D1D" w:rsidRPr="001108C2" w:rsidRDefault="00F03D1D" w:rsidP="00F03D1D">
      <w:pPr>
        <w:pStyle w:val="Sinespaciado"/>
        <w:spacing w:line="360" w:lineRule="auto"/>
        <w:jc w:val="both"/>
        <w:rPr>
          <w:rFonts w:ascii="Palatino Linotype" w:hAnsi="Palatino Linotype" w:cs="Arial"/>
          <w:sz w:val="24"/>
        </w:rPr>
      </w:pPr>
      <w:r w:rsidRPr="001108C2">
        <w:rPr>
          <w:rFonts w:ascii="Palatino Linotype" w:hAnsi="Palatino Linotype" w:cs="Arial"/>
          <w:sz w:val="24"/>
        </w:rPr>
        <w:t>De lo que se puede deducir que los ayuntamientos tienen facultades para conducir la coordinación interinstitucional de las dependencias municipales a las que corresponda conocer sobre el otorgamiento de permisos y licencias para la apertura y funcionamiento de unidades económicas; asimismo, ejecutar un programa especial para otorgar la licencia provisional de funcionamiento para negocios de bajo riesgo sanitario, ambiental o de protección civil, que autorice el cabildo conforme a la clasificación contenida en el Catálogo Mexiquense de Actividades Industriales, Comerciales y de Servicios de Bajo Riesgo.</w:t>
      </w:r>
    </w:p>
    <w:p w:rsidR="00F03D1D" w:rsidRPr="001108C2" w:rsidRDefault="00F03D1D" w:rsidP="00F03D1D">
      <w:pPr>
        <w:pStyle w:val="Sinespaciado"/>
      </w:pPr>
    </w:p>
    <w:p w:rsidR="00F03D1D" w:rsidRPr="001108C2" w:rsidRDefault="00D32E6F" w:rsidP="00F03D1D">
      <w:pPr>
        <w:spacing w:before="240" w:after="240" w:line="360" w:lineRule="auto"/>
        <w:ind w:right="49"/>
        <w:contextualSpacing/>
        <w:jc w:val="both"/>
        <w:rPr>
          <w:rFonts w:ascii="Palatino Linotype" w:eastAsia="MS Mincho" w:hAnsi="Palatino Linotype"/>
          <w:sz w:val="24"/>
          <w:lang w:val="es-ES_tradnl"/>
        </w:rPr>
      </w:pPr>
      <w:r w:rsidRPr="001108C2">
        <w:rPr>
          <w:rFonts w:ascii="Palatino Linotype" w:hAnsi="Palatino Linotype"/>
          <w:sz w:val="24"/>
          <w:szCs w:val="24"/>
        </w:rPr>
        <w:t xml:space="preserve">Por tanto, atendiendo a lo presentado por el </w:t>
      </w:r>
      <w:r w:rsidRPr="001108C2">
        <w:rPr>
          <w:rFonts w:ascii="Palatino Linotype" w:hAnsi="Palatino Linotype"/>
          <w:b/>
          <w:sz w:val="24"/>
          <w:szCs w:val="24"/>
        </w:rPr>
        <w:t>Sujeto Obligado</w:t>
      </w:r>
      <w:r w:rsidRPr="001108C2">
        <w:rPr>
          <w:rFonts w:ascii="Palatino Linotype" w:hAnsi="Palatino Linotype"/>
          <w:sz w:val="24"/>
          <w:szCs w:val="24"/>
        </w:rPr>
        <w:t xml:space="preserve">, se tiene que los documentos consisten en una </w:t>
      </w:r>
      <w:r w:rsidR="00BD0B48" w:rsidRPr="001108C2">
        <w:rPr>
          <w:rFonts w:ascii="Palatino Linotype" w:hAnsi="Palatino Linotype"/>
          <w:sz w:val="24"/>
          <w:szCs w:val="24"/>
        </w:rPr>
        <w:t>Autorización de Cambio de Uso de Suelo</w:t>
      </w:r>
      <w:r w:rsidRPr="001108C2">
        <w:rPr>
          <w:rFonts w:ascii="Palatino Linotype" w:hAnsi="Palatino Linotype"/>
          <w:sz w:val="24"/>
          <w:szCs w:val="24"/>
        </w:rPr>
        <w:t>,</w:t>
      </w:r>
      <w:r w:rsidR="00F03D1D" w:rsidRPr="001108C2">
        <w:rPr>
          <w:rFonts w:ascii="Palatino Linotype" w:eastAsia="MS Mincho" w:hAnsi="Palatino Linotype"/>
          <w:sz w:val="24"/>
          <w:lang w:val="es-ES_tradnl"/>
        </w:rPr>
        <w:t xml:space="preserve"> aunado a que el Sujeto Obligado asume contar con la información, también es importe señalar que </w:t>
      </w:r>
      <w:r w:rsidR="00F03D1D" w:rsidRPr="001108C2">
        <w:rPr>
          <w:rFonts w:ascii="Palatino Linotype" w:eastAsia="MS Mincho" w:hAnsi="Palatino Linotype"/>
          <w:sz w:val="24"/>
          <w:lang w:val="es-ES_tradnl"/>
        </w:rPr>
        <w:lastRenderedPageBreak/>
        <w:t xml:space="preserve">la Ley de Transparencia y Acceso a la Información Pública del Estado de México y Municipios, establece como </w:t>
      </w:r>
      <w:r w:rsidR="00F03D1D" w:rsidRPr="001108C2">
        <w:rPr>
          <w:rFonts w:ascii="Palatino Linotype" w:hAnsi="Palatino Linotype"/>
          <w:sz w:val="24"/>
        </w:rPr>
        <w:t xml:space="preserve">obligación común para el Sujeto Obligado lo concerniente a las licencias, como a continuación se señala: </w:t>
      </w:r>
    </w:p>
    <w:p w:rsidR="00F03D1D" w:rsidRPr="001108C2" w:rsidRDefault="00F03D1D" w:rsidP="00F03D1D">
      <w:pPr>
        <w:pStyle w:val="Prrafodelista"/>
        <w:autoSpaceDE w:val="0"/>
        <w:autoSpaceDN w:val="0"/>
        <w:adjustRightInd w:val="0"/>
        <w:spacing w:before="240"/>
        <w:ind w:left="567" w:right="567"/>
        <w:jc w:val="both"/>
        <w:rPr>
          <w:rFonts w:ascii="Palatino Linotype" w:hAnsi="Palatino Linotype" w:cs="Arial"/>
          <w:i/>
          <w:sz w:val="22"/>
        </w:rPr>
      </w:pPr>
      <w:r w:rsidRPr="001108C2">
        <w:rPr>
          <w:rFonts w:ascii="Palatino Linotype" w:hAnsi="Palatino Linotype" w:cs="Arial"/>
          <w:b/>
          <w:i/>
          <w:sz w:val="22"/>
        </w:rPr>
        <w:t>“Artículo 92.</w:t>
      </w:r>
      <w:r w:rsidRPr="001108C2">
        <w:rPr>
          <w:rFonts w:ascii="Palatino Linotype" w:hAnsi="Palatino Linotype" w:cs="Arial"/>
          <w:i/>
          <w:sz w:val="22"/>
        </w:rPr>
        <w:t xml:space="preserve"> Los </w:t>
      </w:r>
      <w:r w:rsidRPr="001108C2">
        <w:rPr>
          <w:rFonts w:ascii="Palatino Linotype" w:hAnsi="Palatino Linotype" w:cs="Arial"/>
          <w:b/>
          <w:i/>
          <w:sz w:val="22"/>
          <w:u w:val="single"/>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1108C2">
        <w:rPr>
          <w:rFonts w:ascii="Palatino Linotype" w:hAnsi="Palatino Linotype" w:cs="Arial"/>
          <w:i/>
          <w:sz w:val="22"/>
        </w:rPr>
        <w:t>, por lo menos, de los temas, documentos y políticas que a continuación se señalan:</w:t>
      </w:r>
    </w:p>
    <w:p w:rsidR="00F03D1D" w:rsidRPr="001108C2" w:rsidRDefault="00F03D1D" w:rsidP="00F03D1D">
      <w:pPr>
        <w:pStyle w:val="Prrafodelista"/>
        <w:autoSpaceDE w:val="0"/>
        <w:autoSpaceDN w:val="0"/>
        <w:adjustRightInd w:val="0"/>
        <w:ind w:left="567" w:right="567"/>
        <w:jc w:val="both"/>
        <w:rPr>
          <w:rFonts w:ascii="Palatino Linotype" w:hAnsi="Palatino Linotype" w:cs="Arial"/>
          <w:i/>
          <w:sz w:val="22"/>
        </w:rPr>
      </w:pPr>
      <w:r w:rsidRPr="001108C2">
        <w:rPr>
          <w:rFonts w:ascii="Palatino Linotype" w:hAnsi="Palatino Linotype" w:cs="Arial"/>
          <w:i/>
          <w:sz w:val="22"/>
        </w:rPr>
        <w:t>(…)</w:t>
      </w:r>
    </w:p>
    <w:p w:rsidR="00F03D1D" w:rsidRPr="001108C2" w:rsidRDefault="00F03D1D" w:rsidP="00F03D1D">
      <w:pPr>
        <w:pStyle w:val="Prrafodelista"/>
        <w:autoSpaceDE w:val="0"/>
        <w:autoSpaceDN w:val="0"/>
        <w:adjustRightInd w:val="0"/>
        <w:ind w:left="567" w:right="567"/>
        <w:jc w:val="both"/>
        <w:rPr>
          <w:rFonts w:ascii="Palatino Linotype" w:hAnsi="Palatino Linotype" w:cs="Arial"/>
          <w:b/>
          <w:i/>
          <w:sz w:val="22"/>
        </w:rPr>
      </w:pPr>
    </w:p>
    <w:p w:rsidR="00F03D1D" w:rsidRPr="001108C2" w:rsidRDefault="00F03D1D" w:rsidP="00F03D1D">
      <w:pPr>
        <w:pStyle w:val="Prrafodelista"/>
        <w:autoSpaceDE w:val="0"/>
        <w:autoSpaceDN w:val="0"/>
        <w:adjustRightInd w:val="0"/>
        <w:ind w:left="567" w:right="567"/>
        <w:jc w:val="both"/>
        <w:rPr>
          <w:rFonts w:ascii="Palatino Linotype" w:hAnsi="Palatino Linotype" w:cs="Arial"/>
          <w:i/>
          <w:sz w:val="22"/>
        </w:rPr>
      </w:pPr>
      <w:r w:rsidRPr="001108C2">
        <w:rPr>
          <w:rFonts w:ascii="Palatino Linotype" w:hAnsi="Palatino Linotype" w:cs="Arial"/>
          <w:b/>
          <w:i/>
          <w:sz w:val="22"/>
        </w:rPr>
        <w:t>XXXII.</w:t>
      </w:r>
      <w:r w:rsidRPr="001108C2">
        <w:rPr>
          <w:rFonts w:ascii="Palatino Linotype" w:hAnsi="Palatino Linotype" w:cs="Arial"/>
          <w:i/>
          <w:sz w:val="22"/>
        </w:rPr>
        <w:t xml:space="preserve"> Las concesiones, contratos, convenios, permisos, </w:t>
      </w:r>
      <w:r w:rsidRPr="001108C2">
        <w:rPr>
          <w:rFonts w:ascii="Palatino Linotype" w:hAnsi="Palatino Linotype" w:cs="Arial"/>
          <w:b/>
          <w:i/>
          <w:sz w:val="22"/>
          <w:u w:val="single"/>
        </w:rPr>
        <w:t>licencias o autorizaciones otorgados</w:t>
      </w:r>
      <w:r w:rsidRPr="001108C2">
        <w:rPr>
          <w:rFonts w:ascii="Palatino Linotype" w:hAnsi="Palatino Linotype" w:cs="Arial"/>
          <w:i/>
          <w:sz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F03D1D" w:rsidRPr="001108C2" w:rsidRDefault="00F03D1D" w:rsidP="00F03D1D">
      <w:pPr>
        <w:pStyle w:val="Prrafodelista"/>
        <w:autoSpaceDE w:val="0"/>
        <w:autoSpaceDN w:val="0"/>
        <w:adjustRightInd w:val="0"/>
        <w:ind w:left="567" w:right="567"/>
        <w:jc w:val="both"/>
        <w:rPr>
          <w:rFonts w:ascii="Palatino Linotype" w:hAnsi="Palatino Linotype" w:cs="Arial"/>
          <w:i/>
          <w:sz w:val="22"/>
        </w:rPr>
      </w:pPr>
      <w:r w:rsidRPr="001108C2">
        <w:rPr>
          <w:rFonts w:ascii="Palatino Linotype" w:hAnsi="Palatino Linotype" w:cs="Arial"/>
          <w:i/>
          <w:sz w:val="22"/>
        </w:rPr>
        <w:t>(…)”</w:t>
      </w:r>
    </w:p>
    <w:p w:rsidR="00F03D1D" w:rsidRPr="001108C2" w:rsidRDefault="00F03D1D" w:rsidP="00F03D1D">
      <w:pPr>
        <w:pStyle w:val="Prrafodelista"/>
        <w:autoSpaceDE w:val="0"/>
        <w:autoSpaceDN w:val="0"/>
        <w:adjustRightInd w:val="0"/>
        <w:spacing w:before="240"/>
        <w:ind w:left="567" w:right="567"/>
        <w:jc w:val="right"/>
        <w:rPr>
          <w:rFonts w:ascii="Palatino Linotype" w:hAnsi="Palatino Linotype" w:cs="Arial"/>
          <w:i/>
          <w:sz w:val="20"/>
          <w:lang w:val="es-ES_tradnl"/>
        </w:rPr>
      </w:pPr>
      <w:r w:rsidRPr="001108C2">
        <w:rPr>
          <w:rFonts w:ascii="Palatino Linotype" w:hAnsi="Palatino Linotype" w:cs="Arial"/>
          <w:i/>
          <w:sz w:val="20"/>
          <w:lang w:val="es-ES_tradnl"/>
        </w:rPr>
        <w:t>(Énfasis añadido)</w:t>
      </w:r>
    </w:p>
    <w:p w:rsidR="00F03D1D" w:rsidRPr="001108C2" w:rsidRDefault="00F03D1D" w:rsidP="00F03D1D">
      <w:pPr>
        <w:pStyle w:val="Sinespaciado"/>
        <w:rPr>
          <w:rFonts w:eastAsia="MS Mincho"/>
          <w:lang w:val="es-ES_tradnl"/>
        </w:rPr>
      </w:pPr>
    </w:p>
    <w:p w:rsidR="001A17B9" w:rsidRPr="001108C2" w:rsidRDefault="001A17B9"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De </w:t>
      </w:r>
      <w:r w:rsidR="00EF6B28" w:rsidRPr="001108C2">
        <w:rPr>
          <w:rFonts w:ascii="Palatino Linotype" w:hAnsi="Palatino Linotype"/>
          <w:sz w:val="24"/>
          <w:szCs w:val="24"/>
        </w:rPr>
        <w:t xml:space="preserve">igual forma, se deben tomar en cuenta </w:t>
      </w:r>
      <w:r w:rsidRPr="001108C2">
        <w:rPr>
          <w:rFonts w:ascii="Palatino Linotype" w:hAnsi="Palatino Linotype"/>
          <w:sz w:val="24"/>
          <w:szCs w:val="24"/>
        </w:rPr>
        <w:t>los Lineamientos técnicos generales para la publicación, homologación y estandarización de la información de las obligaciones establecidas en el título quinto y en la fracción IV</w:t>
      </w:r>
      <w:r w:rsidR="00F03D1D" w:rsidRPr="001108C2">
        <w:rPr>
          <w:rFonts w:ascii="Palatino Linotype" w:hAnsi="Palatino Linotype"/>
          <w:sz w:val="24"/>
          <w:szCs w:val="24"/>
        </w:rPr>
        <w:t>,</w:t>
      </w:r>
      <w:r w:rsidRPr="001108C2">
        <w:rPr>
          <w:rFonts w:ascii="Palatino Linotype" w:hAnsi="Palatino Linotype"/>
          <w:sz w:val="24"/>
          <w:szCs w:val="24"/>
        </w:rPr>
        <w:t xml:space="preserve"> del artículo 31</w:t>
      </w:r>
      <w:r w:rsidR="00F03D1D" w:rsidRPr="001108C2">
        <w:rPr>
          <w:rFonts w:ascii="Palatino Linotype" w:hAnsi="Palatino Linotype"/>
          <w:sz w:val="24"/>
          <w:szCs w:val="24"/>
        </w:rPr>
        <w:t>,</w:t>
      </w:r>
      <w:r w:rsidRPr="001108C2">
        <w:rPr>
          <w:rFonts w:ascii="Palatino Linotype" w:hAnsi="Palatino Linotype"/>
          <w:sz w:val="24"/>
          <w:szCs w:val="24"/>
        </w:rPr>
        <w:t xml:space="preserve"> de la Ley General de Transparencia y Acceso a la Información Pública, que deben difundir los sujetos obligados en los portales de Internet y en la Plataforma Nacion</w:t>
      </w:r>
      <w:r w:rsidR="00B12CBA" w:rsidRPr="001108C2">
        <w:rPr>
          <w:rFonts w:ascii="Palatino Linotype" w:hAnsi="Palatino Linotype"/>
          <w:sz w:val="24"/>
          <w:szCs w:val="24"/>
        </w:rPr>
        <w:t>al de Transparencia y Anexos</w:t>
      </w:r>
      <w:r w:rsidR="003C109D" w:rsidRPr="001108C2">
        <w:rPr>
          <w:rFonts w:ascii="Palatino Linotype" w:hAnsi="Palatino Linotype"/>
          <w:sz w:val="24"/>
          <w:szCs w:val="24"/>
        </w:rPr>
        <w:t xml:space="preserve"> (en lo sucesivo, Lineamientos Técnicos Generales)</w:t>
      </w:r>
      <w:r w:rsidR="00B12CBA" w:rsidRPr="001108C2">
        <w:rPr>
          <w:rFonts w:ascii="Palatino Linotype" w:hAnsi="Palatino Linotype"/>
          <w:sz w:val="24"/>
          <w:szCs w:val="24"/>
        </w:rPr>
        <w:t>. Siendo que en el corr</w:t>
      </w:r>
      <w:r w:rsidR="00F03D1D" w:rsidRPr="001108C2">
        <w:rPr>
          <w:rFonts w:ascii="Palatino Linotype" w:hAnsi="Palatino Linotype"/>
          <w:sz w:val="24"/>
          <w:szCs w:val="24"/>
        </w:rPr>
        <w:t xml:space="preserve">espondiente a la fracción XXVII, </w:t>
      </w:r>
      <w:r w:rsidR="00B12CBA" w:rsidRPr="001108C2">
        <w:rPr>
          <w:rFonts w:ascii="Palatino Linotype" w:hAnsi="Palatino Linotype"/>
          <w:sz w:val="24"/>
          <w:szCs w:val="24"/>
        </w:rPr>
        <w:t>del artículo 70</w:t>
      </w:r>
      <w:r w:rsidR="00F03D1D" w:rsidRPr="001108C2">
        <w:rPr>
          <w:rFonts w:ascii="Palatino Linotype" w:hAnsi="Palatino Linotype"/>
          <w:sz w:val="24"/>
          <w:szCs w:val="24"/>
        </w:rPr>
        <w:t>,</w:t>
      </w:r>
      <w:r w:rsidR="00B12CBA" w:rsidRPr="001108C2">
        <w:rPr>
          <w:rFonts w:ascii="Palatino Linotype" w:hAnsi="Palatino Linotype"/>
          <w:sz w:val="24"/>
          <w:szCs w:val="24"/>
        </w:rPr>
        <w:t xml:space="preserve"> de la Ley General en la Materia</w:t>
      </w:r>
      <w:r w:rsidR="00EF6B28" w:rsidRPr="001108C2">
        <w:rPr>
          <w:rFonts w:ascii="Palatino Linotype" w:hAnsi="Palatino Linotype"/>
          <w:sz w:val="24"/>
          <w:szCs w:val="24"/>
        </w:rPr>
        <w:t>, se establece</w:t>
      </w:r>
      <w:r w:rsidR="00B12CBA" w:rsidRPr="001108C2">
        <w:rPr>
          <w:rFonts w:ascii="Palatino Linotype" w:hAnsi="Palatino Linotype"/>
          <w:sz w:val="24"/>
          <w:szCs w:val="24"/>
        </w:rPr>
        <w:t xml:space="preserve"> que entre las </w:t>
      </w:r>
      <w:r w:rsidR="00267D7A" w:rsidRPr="001108C2">
        <w:rPr>
          <w:rFonts w:ascii="Palatino Linotype" w:hAnsi="Palatino Linotype"/>
          <w:sz w:val="24"/>
          <w:szCs w:val="24"/>
        </w:rPr>
        <w:t>Autorizaciones/Licencia</w:t>
      </w:r>
      <w:r w:rsidR="00B12CBA" w:rsidRPr="001108C2">
        <w:rPr>
          <w:rFonts w:ascii="Palatino Linotype" w:hAnsi="Palatino Linotype"/>
          <w:sz w:val="24"/>
          <w:szCs w:val="24"/>
        </w:rPr>
        <w:t xml:space="preserve"> a las que hace referencia dicha fracción se encuentran las de uso de suelo y de construcción, y que los criterios sustantivos de contenido que deben considerarse son los siguientes:</w:t>
      </w:r>
    </w:p>
    <w:p w:rsidR="00180F6B" w:rsidRPr="001108C2" w:rsidRDefault="00180F6B" w:rsidP="00823454">
      <w:pPr>
        <w:pStyle w:val="Sinespaciado"/>
        <w:spacing w:line="360" w:lineRule="auto"/>
        <w:jc w:val="both"/>
        <w:rPr>
          <w:rFonts w:ascii="Palatino Linotype" w:hAnsi="Palatino Linotype"/>
          <w:sz w:val="24"/>
          <w:szCs w:val="24"/>
        </w:rPr>
      </w:pPr>
    </w:p>
    <w:p w:rsidR="00B12CBA" w:rsidRPr="001108C2" w:rsidRDefault="00B12CBA" w:rsidP="00180F6B">
      <w:pPr>
        <w:pStyle w:val="Sinespaciado"/>
        <w:ind w:left="567" w:right="567"/>
        <w:jc w:val="both"/>
        <w:rPr>
          <w:rFonts w:ascii="Palatino Linotype" w:hAnsi="Palatino Linotype"/>
          <w:i/>
          <w:sz w:val="24"/>
          <w:szCs w:val="24"/>
        </w:rPr>
      </w:pPr>
      <w:r w:rsidRPr="001108C2">
        <w:rPr>
          <w:rFonts w:ascii="Palatino Linotype" w:hAnsi="Palatino Linotype"/>
          <w:b/>
          <w:i/>
          <w:sz w:val="24"/>
          <w:szCs w:val="24"/>
        </w:rPr>
        <w:lastRenderedPageBreak/>
        <w:t>Criterio 1.</w:t>
      </w:r>
      <w:r w:rsidRPr="001108C2">
        <w:rPr>
          <w:rFonts w:ascii="Palatino Linotype" w:hAnsi="Palatino Linotype"/>
          <w:i/>
          <w:sz w:val="24"/>
          <w:szCs w:val="24"/>
        </w:rPr>
        <w:tab/>
        <w:t>Ejercicio</w:t>
      </w:r>
    </w:p>
    <w:p w:rsidR="00B12CBA" w:rsidRPr="001108C2" w:rsidRDefault="00B12CBA" w:rsidP="00180F6B">
      <w:pPr>
        <w:pStyle w:val="Sinespaciado"/>
        <w:ind w:left="567" w:right="567"/>
        <w:jc w:val="both"/>
        <w:rPr>
          <w:rFonts w:ascii="Palatino Linotype" w:hAnsi="Palatino Linotype"/>
          <w:i/>
          <w:sz w:val="24"/>
          <w:szCs w:val="24"/>
        </w:rPr>
      </w:pPr>
      <w:r w:rsidRPr="001108C2">
        <w:rPr>
          <w:rFonts w:ascii="Palatino Linotype" w:hAnsi="Palatino Linotype"/>
          <w:b/>
          <w:i/>
          <w:sz w:val="24"/>
          <w:szCs w:val="24"/>
        </w:rPr>
        <w:t>Criterio 2.</w:t>
      </w:r>
      <w:r w:rsidRPr="001108C2">
        <w:rPr>
          <w:rFonts w:ascii="Palatino Linotype" w:hAnsi="Palatino Linotype"/>
          <w:i/>
          <w:sz w:val="24"/>
          <w:szCs w:val="24"/>
        </w:rPr>
        <w:tab/>
        <w:t>Periodo que se informa</w:t>
      </w:r>
    </w:p>
    <w:p w:rsidR="00014D80" w:rsidRPr="001108C2" w:rsidRDefault="00014D80" w:rsidP="00180F6B">
      <w:pPr>
        <w:pStyle w:val="Sinespaciado"/>
        <w:ind w:left="2127" w:right="567" w:hanging="1560"/>
        <w:jc w:val="both"/>
        <w:rPr>
          <w:rFonts w:ascii="Palatino Linotype" w:hAnsi="Palatino Linotype"/>
          <w:b/>
          <w:i/>
          <w:sz w:val="24"/>
          <w:szCs w:val="24"/>
          <w:u w:val="single"/>
        </w:rPr>
      </w:pPr>
      <w:r w:rsidRPr="001108C2">
        <w:rPr>
          <w:rFonts w:ascii="Palatino Linotype" w:hAnsi="Palatino Linotype"/>
          <w:b/>
          <w:i/>
          <w:sz w:val="24"/>
          <w:szCs w:val="24"/>
        </w:rPr>
        <w:t>Criterio 3.</w:t>
      </w:r>
      <w:r w:rsidRPr="001108C2">
        <w:rPr>
          <w:rFonts w:ascii="Palatino Linotype" w:hAnsi="Palatino Linotype"/>
          <w:i/>
          <w:sz w:val="24"/>
          <w:szCs w:val="24"/>
        </w:rPr>
        <w:tab/>
        <w:t xml:space="preserve">Tipo de acto jurídico: Concesión / Contrato / Convenio / Permiso / Licencia / </w:t>
      </w:r>
      <w:r w:rsidRPr="001108C2">
        <w:rPr>
          <w:rFonts w:ascii="Palatino Linotype" w:hAnsi="Palatino Linotype"/>
          <w:b/>
          <w:i/>
          <w:sz w:val="24"/>
          <w:szCs w:val="24"/>
          <w:u w:val="single"/>
        </w:rPr>
        <w:t>Autorización</w:t>
      </w:r>
    </w:p>
    <w:p w:rsidR="00014D80" w:rsidRPr="001108C2" w:rsidRDefault="00014D80" w:rsidP="00180F6B">
      <w:pPr>
        <w:pStyle w:val="Sinespaciado"/>
        <w:ind w:left="567" w:right="567"/>
        <w:jc w:val="both"/>
        <w:rPr>
          <w:rFonts w:ascii="Palatino Linotype" w:hAnsi="Palatino Linotype"/>
          <w:i/>
          <w:sz w:val="24"/>
          <w:szCs w:val="24"/>
        </w:rPr>
      </w:pPr>
      <w:r w:rsidRPr="001108C2">
        <w:rPr>
          <w:rFonts w:ascii="Palatino Linotype" w:hAnsi="Palatino Linotype"/>
          <w:b/>
          <w:i/>
          <w:sz w:val="24"/>
          <w:szCs w:val="24"/>
        </w:rPr>
        <w:t>Criterio 4.</w:t>
      </w:r>
      <w:r w:rsidRPr="001108C2">
        <w:rPr>
          <w:rFonts w:ascii="Palatino Linotype" w:hAnsi="Palatino Linotype"/>
          <w:i/>
          <w:sz w:val="24"/>
          <w:szCs w:val="24"/>
        </w:rPr>
        <w:tab/>
        <w:t>Objeto (la finalidad con la que se realizó el acto jurídico)</w:t>
      </w:r>
    </w:p>
    <w:p w:rsidR="00014D80" w:rsidRPr="001108C2" w:rsidRDefault="00014D80"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5.</w:t>
      </w:r>
      <w:r w:rsidRPr="001108C2">
        <w:rPr>
          <w:rFonts w:ascii="Palatino Linotype" w:hAnsi="Palatino Linotype"/>
          <w:i/>
          <w:sz w:val="24"/>
          <w:szCs w:val="24"/>
        </w:rPr>
        <w:tab/>
        <w:t>Fundamento jurídico por el cual se llevó a cabo el acto jurídico</w:t>
      </w:r>
    </w:p>
    <w:p w:rsidR="00014D80" w:rsidRPr="001108C2" w:rsidRDefault="00014D80" w:rsidP="00180F6B">
      <w:pPr>
        <w:pStyle w:val="Sinespaciado"/>
        <w:ind w:left="567" w:right="567"/>
        <w:jc w:val="both"/>
        <w:rPr>
          <w:rFonts w:ascii="Palatino Linotype" w:hAnsi="Palatino Linotype"/>
          <w:i/>
          <w:sz w:val="24"/>
          <w:szCs w:val="24"/>
        </w:rPr>
      </w:pPr>
      <w:r w:rsidRPr="001108C2">
        <w:rPr>
          <w:rFonts w:ascii="Palatino Linotype" w:hAnsi="Palatino Linotype"/>
          <w:b/>
          <w:i/>
          <w:sz w:val="24"/>
          <w:szCs w:val="24"/>
        </w:rPr>
        <w:t>Criterio 6.</w:t>
      </w:r>
      <w:r w:rsidRPr="001108C2">
        <w:rPr>
          <w:rFonts w:ascii="Palatino Linotype" w:hAnsi="Palatino Linotype"/>
          <w:i/>
          <w:sz w:val="24"/>
          <w:szCs w:val="24"/>
        </w:rPr>
        <w:t xml:space="preserve"> </w:t>
      </w:r>
      <w:r w:rsidR="00DF3485" w:rsidRPr="001108C2">
        <w:rPr>
          <w:rFonts w:ascii="Palatino Linotype" w:hAnsi="Palatino Linotype"/>
          <w:i/>
          <w:sz w:val="24"/>
          <w:szCs w:val="24"/>
        </w:rPr>
        <w:tab/>
        <w:t>Unidad(es) responsable(s) de instrumentación</w:t>
      </w:r>
    </w:p>
    <w:p w:rsidR="00DF3485" w:rsidRPr="001108C2" w:rsidRDefault="00DF3485" w:rsidP="00180F6B">
      <w:pPr>
        <w:pStyle w:val="Sinespaciado"/>
        <w:ind w:left="567" w:right="567"/>
        <w:jc w:val="both"/>
        <w:rPr>
          <w:rFonts w:ascii="Palatino Linotype" w:hAnsi="Palatino Linotype"/>
          <w:i/>
          <w:sz w:val="24"/>
          <w:szCs w:val="24"/>
        </w:rPr>
      </w:pPr>
      <w:r w:rsidRPr="001108C2">
        <w:rPr>
          <w:rFonts w:ascii="Palatino Linotype" w:hAnsi="Palatino Linotype"/>
          <w:i/>
          <w:sz w:val="24"/>
          <w:szCs w:val="24"/>
        </w:rPr>
        <w:t>Criterio 7.</w:t>
      </w:r>
      <w:r w:rsidRPr="001108C2">
        <w:rPr>
          <w:rFonts w:ascii="Palatino Linotype" w:hAnsi="Palatino Linotype"/>
          <w:i/>
          <w:sz w:val="24"/>
          <w:szCs w:val="24"/>
        </w:rPr>
        <w:tab/>
        <w:t xml:space="preserve">Sector al cual otorgó el acto jurídico: </w:t>
      </w:r>
      <w:r w:rsidRPr="001108C2">
        <w:rPr>
          <w:rFonts w:ascii="Palatino Linotype" w:hAnsi="Palatino Linotype"/>
          <w:b/>
          <w:i/>
          <w:sz w:val="24"/>
          <w:szCs w:val="24"/>
          <w:u w:val="single"/>
        </w:rPr>
        <w:t>Publico / Privado</w:t>
      </w:r>
    </w:p>
    <w:p w:rsidR="00B12CBA" w:rsidRPr="001108C2" w:rsidRDefault="00DF3485"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u w:val="single"/>
        </w:rPr>
        <w:t>Criterio 8.</w:t>
      </w:r>
      <w:r w:rsidRPr="001108C2">
        <w:rPr>
          <w:rFonts w:ascii="Palatino Linotype" w:hAnsi="Palatino Linotype"/>
          <w:i/>
          <w:sz w:val="24"/>
          <w:szCs w:val="24"/>
        </w:rPr>
        <w:tab/>
      </w:r>
      <w:r w:rsidRPr="001108C2">
        <w:rPr>
          <w:rFonts w:ascii="Palatino Linotype" w:hAnsi="Palatino Linotype"/>
          <w:b/>
          <w:i/>
          <w:sz w:val="24"/>
          <w:szCs w:val="24"/>
          <w:u w:val="single"/>
        </w:rPr>
        <w:t>Nombre completo (nombre(s), primer apellido y segundo apellido)</w:t>
      </w:r>
      <w:r w:rsidRPr="001108C2">
        <w:rPr>
          <w:rFonts w:ascii="Palatino Linotype" w:hAnsi="Palatino Linotype"/>
          <w:i/>
          <w:sz w:val="24"/>
          <w:szCs w:val="24"/>
        </w:rPr>
        <w:t xml:space="preserve"> o razón social </w:t>
      </w:r>
      <w:r w:rsidRPr="001108C2">
        <w:rPr>
          <w:rFonts w:ascii="Palatino Linotype" w:hAnsi="Palatino Linotype"/>
          <w:b/>
          <w:i/>
          <w:sz w:val="24"/>
          <w:szCs w:val="24"/>
          <w:u w:val="single"/>
        </w:rPr>
        <w:t>del titular al cual se otorgó el acto jurídico</w:t>
      </w:r>
      <w:r w:rsidRPr="001108C2">
        <w:rPr>
          <w:rFonts w:ascii="Palatino Linotype" w:hAnsi="Palatino Linotype"/>
          <w:i/>
          <w:sz w:val="24"/>
          <w:szCs w:val="24"/>
        </w:rPr>
        <w:t>.</w:t>
      </w:r>
    </w:p>
    <w:p w:rsidR="00DF3485" w:rsidRPr="001108C2" w:rsidRDefault="00DF3485"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9.</w:t>
      </w:r>
      <w:r w:rsidRPr="001108C2">
        <w:rPr>
          <w:rFonts w:ascii="Palatino Linotype" w:hAnsi="Palatino Linotype"/>
          <w:b/>
          <w:i/>
          <w:sz w:val="24"/>
          <w:szCs w:val="24"/>
        </w:rPr>
        <w:tab/>
      </w:r>
      <w:r w:rsidRPr="001108C2">
        <w:rPr>
          <w:rFonts w:ascii="Palatino Linotype" w:hAnsi="Palatino Linotype"/>
          <w:i/>
          <w:sz w:val="24"/>
          <w:szCs w:val="24"/>
        </w:rPr>
        <w:t>Fecha de inicio de vigencia del acto jurídico expresado en el formato día/mes/año (por ej. 31/marzo/2016)</w:t>
      </w:r>
    </w:p>
    <w:p w:rsidR="00DF3485" w:rsidRPr="001108C2" w:rsidRDefault="00DF3485"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10.</w:t>
      </w:r>
      <w:r w:rsidRPr="001108C2">
        <w:rPr>
          <w:rFonts w:ascii="Palatino Linotype" w:hAnsi="Palatino Linotype"/>
          <w:b/>
          <w:i/>
          <w:sz w:val="24"/>
          <w:szCs w:val="24"/>
        </w:rPr>
        <w:tab/>
      </w:r>
      <w:r w:rsidRPr="001108C2">
        <w:rPr>
          <w:rFonts w:ascii="Palatino Linotype" w:hAnsi="Palatino Linotype"/>
          <w:i/>
          <w:sz w:val="24"/>
          <w:szCs w:val="24"/>
        </w:rPr>
        <w:t>Fecha de término de vigencia del acto jurídico expresado en el formato día/mes/año (por ej. 31/marzo/2016)</w:t>
      </w:r>
    </w:p>
    <w:p w:rsidR="00DF3485" w:rsidRPr="001108C2" w:rsidRDefault="00DF3485"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Criterio11.</w:t>
      </w:r>
      <w:r w:rsidRPr="001108C2">
        <w:rPr>
          <w:rFonts w:ascii="Palatino Linotype" w:hAnsi="Palatino Linotype"/>
          <w:i/>
          <w:sz w:val="24"/>
          <w:szCs w:val="24"/>
        </w:rPr>
        <w:tab/>
        <w:t>Cláusula, punto, artículo o fracción en el que se especifican los términos y condiciones del acto jurídico</w:t>
      </w:r>
    </w:p>
    <w:p w:rsidR="00DF3485" w:rsidRPr="001108C2" w:rsidRDefault="00DF3485"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12.</w:t>
      </w:r>
      <w:r w:rsidRPr="001108C2">
        <w:rPr>
          <w:rFonts w:ascii="Palatino Linotype" w:hAnsi="Palatino Linotype"/>
          <w:i/>
          <w:sz w:val="24"/>
          <w:szCs w:val="24"/>
        </w:rPr>
        <w:tab/>
        <w:t>Hipervínculo al contrato, convenio, permiso, licencia o concesión, donde se especifiquen los términos y condiciones, incluidos los anexos, en versión pública cuando as</w:t>
      </w:r>
      <w:r w:rsidR="00D23F11" w:rsidRPr="001108C2">
        <w:rPr>
          <w:rFonts w:ascii="Palatino Linotype" w:hAnsi="Palatino Linotype"/>
          <w:i/>
          <w:sz w:val="24"/>
          <w:szCs w:val="24"/>
        </w:rPr>
        <w:t>í corresponda</w:t>
      </w:r>
    </w:p>
    <w:p w:rsidR="00D23F11" w:rsidRPr="001108C2" w:rsidRDefault="00D23F11"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13</w:t>
      </w:r>
      <w:r w:rsidRPr="001108C2">
        <w:rPr>
          <w:rFonts w:ascii="Palatino Linotype" w:hAnsi="Palatino Linotype"/>
          <w:i/>
          <w:sz w:val="24"/>
          <w:szCs w:val="24"/>
        </w:rPr>
        <w:t>.</w:t>
      </w:r>
      <w:r w:rsidRPr="001108C2">
        <w:rPr>
          <w:rFonts w:ascii="Palatino Linotype" w:hAnsi="Palatino Linotype"/>
          <w:i/>
          <w:sz w:val="24"/>
          <w:szCs w:val="24"/>
        </w:rPr>
        <w:tab/>
        <w:t>Monto total o beneficio, servicio y/o recurso público aprovechado</w:t>
      </w:r>
    </w:p>
    <w:p w:rsidR="00D23F11" w:rsidRPr="001108C2" w:rsidRDefault="00D23F11" w:rsidP="00180F6B">
      <w:pPr>
        <w:pStyle w:val="Sinespaciado"/>
        <w:ind w:left="2127" w:right="567" w:hanging="1560"/>
        <w:jc w:val="both"/>
        <w:rPr>
          <w:rFonts w:ascii="Palatino Linotype" w:hAnsi="Palatino Linotype"/>
          <w:i/>
          <w:sz w:val="24"/>
          <w:szCs w:val="24"/>
        </w:rPr>
      </w:pPr>
      <w:r w:rsidRPr="001108C2">
        <w:rPr>
          <w:rFonts w:ascii="Palatino Linotype" w:hAnsi="Palatino Linotype"/>
          <w:b/>
          <w:i/>
          <w:sz w:val="24"/>
          <w:szCs w:val="24"/>
        </w:rPr>
        <w:t>Criterio 14.</w:t>
      </w:r>
      <w:r w:rsidRPr="001108C2">
        <w:rPr>
          <w:rFonts w:ascii="Palatino Linotype" w:hAnsi="Palatino Linotype"/>
          <w:i/>
          <w:sz w:val="24"/>
          <w:szCs w:val="24"/>
        </w:rPr>
        <w:tab/>
        <w:t>Monto entregado, bien, servicio y/o recurso público aprovechado al periodo que se informa.</w:t>
      </w:r>
    </w:p>
    <w:p w:rsidR="00B12CBA" w:rsidRPr="001108C2" w:rsidRDefault="00B12CBA" w:rsidP="00823454">
      <w:pPr>
        <w:pStyle w:val="Sinespaciado"/>
        <w:spacing w:line="360" w:lineRule="auto"/>
        <w:jc w:val="both"/>
        <w:rPr>
          <w:rFonts w:ascii="Palatino Linotype" w:hAnsi="Palatino Linotype"/>
          <w:sz w:val="24"/>
          <w:szCs w:val="24"/>
        </w:rPr>
      </w:pPr>
    </w:p>
    <w:p w:rsidR="00B12CBA" w:rsidRPr="001108C2" w:rsidRDefault="00EF6B28" w:rsidP="00823454">
      <w:pPr>
        <w:pStyle w:val="Sinespaciado"/>
        <w:spacing w:line="360" w:lineRule="auto"/>
        <w:jc w:val="both"/>
        <w:rPr>
          <w:rFonts w:ascii="Palatino Linotype" w:hAnsi="Palatino Linotype"/>
          <w:sz w:val="24"/>
          <w:szCs w:val="24"/>
        </w:rPr>
      </w:pPr>
      <w:r w:rsidRPr="001108C2">
        <w:rPr>
          <w:rFonts w:ascii="Palatino Linotype" w:hAnsi="Palatino Linotype"/>
          <w:sz w:val="24"/>
          <w:szCs w:val="24"/>
        </w:rPr>
        <w:t xml:space="preserve">Si bien los criterios anteriores se refieren a lo que los Sujetos Obligados deben publicar en los portales de internet y en la Plataforma Nacional de Transparencia y anexos, sirven para reforzar los establecido por la Ley General y la Ley Local en la Materia, pues </w:t>
      </w:r>
      <w:r w:rsidR="000E741B" w:rsidRPr="001108C2">
        <w:rPr>
          <w:rFonts w:ascii="Palatino Linotype" w:hAnsi="Palatino Linotype"/>
          <w:sz w:val="24"/>
          <w:szCs w:val="24"/>
        </w:rPr>
        <w:t xml:space="preserve">el criterio 8 </w:t>
      </w:r>
      <w:r w:rsidRPr="001108C2">
        <w:rPr>
          <w:rFonts w:ascii="Palatino Linotype" w:hAnsi="Palatino Linotype"/>
          <w:sz w:val="24"/>
          <w:szCs w:val="24"/>
        </w:rPr>
        <w:t>ordena que tratándose de Licencias</w:t>
      </w:r>
      <w:r w:rsidR="00267D7A" w:rsidRPr="001108C2">
        <w:rPr>
          <w:rFonts w:ascii="Palatino Linotype" w:hAnsi="Palatino Linotype"/>
          <w:sz w:val="24"/>
          <w:szCs w:val="24"/>
        </w:rPr>
        <w:t xml:space="preserve"> y/o Autorizaciones</w:t>
      </w:r>
      <w:r w:rsidRPr="001108C2">
        <w:rPr>
          <w:rFonts w:ascii="Palatino Linotype" w:hAnsi="Palatino Linotype"/>
          <w:sz w:val="24"/>
          <w:szCs w:val="24"/>
        </w:rPr>
        <w:t>, se debe publicar el nombre completo o razón social del titular al cual se le otorgó el acto jurídico</w:t>
      </w:r>
      <w:r w:rsidR="00267D7A" w:rsidRPr="001108C2">
        <w:rPr>
          <w:rFonts w:ascii="Palatino Linotype" w:hAnsi="Palatino Linotype"/>
          <w:sz w:val="24"/>
          <w:szCs w:val="24"/>
        </w:rPr>
        <w:t>.</w:t>
      </w:r>
    </w:p>
    <w:p w:rsidR="001A17B9" w:rsidRPr="001108C2" w:rsidRDefault="001A17B9" w:rsidP="00823454">
      <w:pPr>
        <w:pStyle w:val="Sinespaciado"/>
        <w:spacing w:line="360" w:lineRule="auto"/>
        <w:jc w:val="both"/>
        <w:rPr>
          <w:rFonts w:ascii="Palatino Linotype" w:hAnsi="Palatino Linotype"/>
          <w:sz w:val="24"/>
          <w:szCs w:val="24"/>
        </w:rPr>
      </w:pPr>
    </w:p>
    <w:p w:rsidR="00DF0AF9" w:rsidRPr="001108C2" w:rsidRDefault="00DF0AF9" w:rsidP="00DF0AF9">
      <w:pPr>
        <w:pStyle w:val="Sinespaciado"/>
        <w:spacing w:line="360" w:lineRule="auto"/>
        <w:jc w:val="center"/>
        <w:rPr>
          <w:rFonts w:ascii="Palatino Linotype" w:hAnsi="Palatino Linotype" w:cs="Arial"/>
          <w:sz w:val="24"/>
          <w:szCs w:val="24"/>
        </w:rPr>
      </w:pPr>
    </w:p>
    <w:p w:rsidR="008E003F" w:rsidRPr="001108C2" w:rsidRDefault="008924A7" w:rsidP="008E003F">
      <w:pPr>
        <w:autoSpaceDE w:val="0"/>
        <w:autoSpaceDN w:val="0"/>
        <w:adjustRightInd w:val="0"/>
        <w:spacing w:before="240" w:after="240" w:line="360" w:lineRule="auto"/>
        <w:ind w:right="51"/>
        <w:contextualSpacing/>
        <w:jc w:val="both"/>
        <w:rPr>
          <w:rFonts w:ascii="Palatino Linotype" w:hAnsi="Palatino Linotype" w:cs="Arial"/>
          <w:sz w:val="24"/>
        </w:rPr>
      </w:pPr>
      <w:r w:rsidRPr="001108C2">
        <w:rPr>
          <w:rFonts w:ascii="Palatino Linotype" w:hAnsi="Palatino Linotype" w:cs="Arial"/>
          <w:sz w:val="24"/>
        </w:rPr>
        <w:lastRenderedPageBreak/>
        <w:t>Atento a lo anterior</w:t>
      </w:r>
      <w:r w:rsidR="008E003F" w:rsidRPr="001108C2">
        <w:rPr>
          <w:rFonts w:ascii="Palatino Linotype" w:hAnsi="Palatino Linotype" w:cs="Arial"/>
          <w:sz w:val="24"/>
        </w:rPr>
        <w:t>,</w:t>
      </w:r>
      <w:r w:rsidRPr="001108C2">
        <w:rPr>
          <w:rFonts w:ascii="Palatino Linotype" w:hAnsi="Palatino Linotype" w:cs="Arial"/>
          <w:sz w:val="24"/>
        </w:rPr>
        <w:t xml:space="preserve"> se concluye que </w:t>
      </w:r>
      <w:r w:rsidR="00DB38EE" w:rsidRPr="001108C2">
        <w:rPr>
          <w:rFonts w:ascii="Palatino Linotype" w:hAnsi="Palatino Linotype" w:cs="Arial"/>
          <w:sz w:val="24"/>
        </w:rPr>
        <w:t xml:space="preserve">al estar publicada dicha autorización en el </w:t>
      </w:r>
      <w:r w:rsidR="008E003F" w:rsidRPr="001108C2">
        <w:rPr>
          <w:rFonts w:ascii="Palatino Linotype" w:hAnsi="Palatino Linotype" w:cs="Arial"/>
          <w:sz w:val="24"/>
        </w:rPr>
        <w:t xml:space="preserve">Periódico Oficial Gaceta del Gobierno del Estado Libre y Soberano de México, de fecha 27 de julio de 2018, remitida por </w:t>
      </w:r>
      <w:r w:rsidR="008E003F" w:rsidRPr="001108C2">
        <w:rPr>
          <w:rFonts w:ascii="Palatino Linotype" w:hAnsi="Palatino Linotype" w:cs="Arial"/>
          <w:b/>
          <w:sz w:val="24"/>
        </w:rPr>
        <w:t>El Recurrente</w:t>
      </w:r>
      <w:r w:rsidR="008E003F" w:rsidRPr="001108C2">
        <w:rPr>
          <w:rFonts w:ascii="Palatino Linotype" w:hAnsi="Palatino Linotype" w:cs="Arial"/>
          <w:sz w:val="24"/>
        </w:rPr>
        <w:t xml:space="preserve"> en la solicitud de información, </w:t>
      </w:r>
      <w:r w:rsidR="001A27C8" w:rsidRPr="001108C2">
        <w:rPr>
          <w:rFonts w:ascii="Palatino Linotype" w:hAnsi="Palatino Linotype" w:cs="Arial"/>
          <w:sz w:val="24"/>
        </w:rPr>
        <w:t xml:space="preserve">sin embargo, esta Ponencia considera que dicho </w:t>
      </w:r>
      <w:r w:rsidRPr="001108C2">
        <w:rPr>
          <w:rFonts w:ascii="Palatino Linotype" w:hAnsi="Palatino Linotype" w:cs="Arial"/>
          <w:sz w:val="24"/>
        </w:rPr>
        <w:t xml:space="preserve">soporte documental </w:t>
      </w:r>
      <w:r w:rsidR="001A27C8" w:rsidRPr="001108C2">
        <w:rPr>
          <w:rFonts w:ascii="Palatino Linotype" w:hAnsi="Palatino Linotype" w:cs="Arial"/>
          <w:sz w:val="24"/>
        </w:rPr>
        <w:t xml:space="preserve">deberá ser entregado en versión </w:t>
      </w:r>
      <w:r w:rsidRPr="001108C2">
        <w:rPr>
          <w:rFonts w:ascii="Palatino Linotype" w:hAnsi="Palatino Linotype" w:cs="Arial"/>
          <w:sz w:val="24"/>
        </w:rPr>
        <w:t>en versión pública</w:t>
      </w:r>
      <w:r w:rsidR="001A27C8" w:rsidRPr="001108C2">
        <w:rPr>
          <w:rFonts w:ascii="Palatino Linotype" w:hAnsi="Palatino Linotype" w:cs="Arial"/>
          <w:sz w:val="24"/>
        </w:rPr>
        <w:t xml:space="preserve"> de conformidad con lo siguiente:</w:t>
      </w:r>
    </w:p>
    <w:p w:rsidR="001A27C8" w:rsidRPr="001108C2" w:rsidRDefault="001A27C8" w:rsidP="008E003F">
      <w:pPr>
        <w:autoSpaceDE w:val="0"/>
        <w:autoSpaceDN w:val="0"/>
        <w:adjustRightInd w:val="0"/>
        <w:spacing w:before="240" w:after="240" w:line="360" w:lineRule="auto"/>
        <w:ind w:right="51"/>
        <w:contextualSpacing/>
        <w:jc w:val="both"/>
        <w:rPr>
          <w:rFonts w:ascii="Palatino Linotype" w:hAnsi="Palatino Linotype" w:cs="Arial"/>
          <w:sz w:val="24"/>
        </w:rPr>
      </w:pPr>
    </w:p>
    <w:p w:rsidR="00A741F2" w:rsidRPr="001108C2" w:rsidRDefault="00A741F2" w:rsidP="00A741F2">
      <w:pPr>
        <w:autoSpaceDE w:val="0"/>
        <w:autoSpaceDN w:val="0"/>
        <w:adjustRightInd w:val="0"/>
        <w:spacing w:before="240" w:line="360" w:lineRule="auto"/>
        <w:jc w:val="both"/>
        <w:rPr>
          <w:rFonts w:ascii="Palatino Linotype" w:hAnsi="Palatino Linotype" w:cs="Arial"/>
          <w:sz w:val="24"/>
        </w:rPr>
      </w:pPr>
      <w:r w:rsidRPr="001108C2">
        <w:rPr>
          <w:rFonts w:ascii="Palatino Linotype" w:hAnsi="Palatino Linotype" w:cs="Arial"/>
          <w:sz w:val="24"/>
        </w:rPr>
        <w:t>Cabe precisar que el “Diccionario de Datos catastrales Escala 1:1000” del Instituto Nacional de Estadística y Geografía (INEGI), contempla en su Glosario la definición de la Clave Catastral, la cual, apunta lo siguiente:</w:t>
      </w:r>
    </w:p>
    <w:p w:rsidR="00A741F2" w:rsidRPr="001108C2" w:rsidRDefault="00A741F2" w:rsidP="00A741F2">
      <w:pPr>
        <w:autoSpaceDE w:val="0"/>
        <w:autoSpaceDN w:val="0"/>
        <w:adjustRightInd w:val="0"/>
        <w:spacing w:before="240" w:line="276" w:lineRule="auto"/>
        <w:ind w:left="567" w:right="567"/>
        <w:jc w:val="both"/>
        <w:rPr>
          <w:rFonts w:ascii="Palatino Linotype" w:hAnsi="Palatino Linotype" w:cs="Arial"/>
          <w:i/>
          <w:sz w:val="24"/>
        </w:rPr>
      </w:pPr>
      <w:r w:rsidRPr="001108C2">
        <w:rPr>
          <w:rFonts w:ascii="Palatino Linotype" w:hAnsi="Palatino Linotype" w:cs="Arial"/>
          <w:i/>
          <w:sz w:val="24"/>
        </w:rPr>
        <w:t>“</w:t>
      </w:r>
      <w:r w:rsidRPr="001108C2">
        <w:rPr>
          <w:rFonts w:ascii="Palatino Linotype" w:hAnsi="Palatino Linotype" w:cs="Arial"/>
          <w:b/>
          <w:i/>
          <w:sz w:val="24"/>
        </w:rPr>
        <w:t>Clave Catastral:</w:t>
      </w:r>
      <w:r w:rsidRPr="001108C2">
        <w:rPr>
          <w:rFonts w:ascii="Palatino Linotype" w:hAnsi="Palatino Linotype" w:cs="Arial"/>
          <w:i/>
          <w:sz w:val="24"/>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rsidR="00A741F2" w:rsidRPr="001108C2" w:rsidRDefault="00A741F2" w:rsidP="00A741F2">
      <w:pPr>
        <w:pStyle w:val="Sinespaciado"/>
      </w:pPr>
    </w:p>
    <w:p w:rsidR="00A741F2" w:rsidRPr="001108C2" w:rsidRDefault="00A741F2" w:rsidP="00A741F2">
      <w:pPr>
        <w:pStyle w:val="Sinespaciado"/>
        <w:spacing w:line="360" w:lineRule="auto"/>
        <w:jc w:val="both"/>
        <w:rPr>
          <w:rFonts w:ascii="Palatino Linotype" w:hAnsi="Palatino Linotype"/>
          <w:sz w:val="24"/>
        </w:rPr>
      </w:pPr>
      <w:r w:rsidRPr="001108C2">
        <w:rPr>
          <w:rFonts w:ascii="Palatino Linotype" w:hAnsi="Palatino Linotype"/>
          <w:sz w:val="24"/>
        </w:rPr>
        <w:t>Asimismo, dicho diccionario estipula dos tipos de Claves Catastrales, siendo estas la Estándar y la Original, cuyo Diccionario de Datos catastrales Escala 1:1000 del INEGI, las define como:</w:t>
      </w:r>
    </w:p>
    <w:p w:rsidR="00A741F2" w:rsidRPr="001108C2" w:rsidRDefault="00A741F2" w:rsidP="00A741F2">
      <w:pPr>
        <w:pStyle w:val="Sinespaciado"/>
        <w:spacing w:line="360" w:lineRule="auto"/>
        <w:jc w:val="both"/>
        <w:rPr>
          <w:rFonts w:ascii="Palatino Linotype" w:hAnsi="Palatino Linotype"/>
          <w:sz w:val="2"/>
        </w:rPr>
      </w:pPr>
    </w:p>
    <w:p w:rsidR="00A741F2" w:rsidRPr="001108C2" w:rsidRDefault="00A741F2" w:rsidP="00A741F2">
      <w:pPr>
        <w:autoSpaceDE w:val="0"/>
        <w:autoSpaceDN w:val="0"/>
        <w:adjustRightInd w:val="0"/>
        <w:spacing w:before="240" w:line="276" w:lineRule="auto"/>
        <w:ind w:left="567" w:right="567"/>
        <w:jc w:val="both"/>
        <w:rPr>
          <w:rFonts w:ascii="Palatino Linotype" w:hAnsi="Palatino Linotype" w:cs="Arial"/>
          <w:i/>
          <w:sz w:val="32"/>
        </w:rPr>
      </w:pPr>
      <w:r w:rsidRPr="001108C2">
        <w:rPr>
          <w:rFonts w:ascii="Palatino Linotype" w:hAnsi="Palatino Linotype" w:cs="Arial"/>
          <w:i/>
          <w:sz w:val="24"/>
        </w:rPr>
        <w:t>“</w:t>
      </w:r>
      <w:r w:rsidRPr="001108C2">
        <w:rPr>
          <w:rFonts w:ascii="Palatino Linotype" w:hAnsi="Palatino Linotype" w:cs="Arial"/>
          <w:b/>
          <w:i/>
          <w:sz w:val="24"/>
        </w:rPr>
        <w:t>CLAVE CATASTRAL ESTÁNDAR:</w:t>
      </w:r>
      <w:r w:rsidRPr="001108C2">
        <w:rPr>
          <w:rFonts w:ascii="Palatino Linotype" w:hAnsi="Palatino Linotype" w:cs="Arial"/>
          <w:i/>
          <w:sz w:val="24"/>
        </w:rPr>
        <w:t xml:space="preserve">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 </w:t>
      </w:r>
    </w:p>
    <w:p w:rsidR="00A741F2" w:rsidRPr="001108C2" w:rsidRDefault="00A741F2" w:rsidP="00A741F2">
      <w:pPr>
        <w:autoSpaceDE w:val="0"/>
        <w:autoSpaceDN w:val="0"/>
        <w:adjustRightInd w:val="0"/>
        <w:spacing w:before="240" w:line="276" w:lineRule="auto"/>
        <w:ind w:left="567" w:right="567"/>
        <w:jc w:val="both"/>
        <w:rPr>
          <w:rFonts w:ascii="Palatino Linotype" w:hAnsi="Palatino Linotype" w:cs="Arial"/>
          <w:i/>
          <w:sz w:val="8"/>
        </w:rPr>
      </w:pPr>
    </w:p>
    <w:p w:rsidR="00A741F2" w:rsidRPr="001108C2" w:rsidRDefault="00A741F2" w:rsidP="00A741F2">
      <w:pPr>
        <w:pStyle w:val="Sinespaciado"/>
        <w:spacing w:line="360" w:lineRule="auto"/>
        <w:jc w:val="both"/>
      </w:pPr>
      <w:r w:rsidRPr="001108C2">
        <w:rPr>
          <w:noProof/>
          <w:lang w:eastAsia="es-MX"/>
        </w:rPr>
        <w:lastRenderedPageBreak/>
        <w:drawing>
          <wp:inline distT="0" distB="0" distL="0" distR="0" wp14:anchorId="41A80C69" wp14:editId="66F0FDD2">
            <wp:extent cx="5748655" cy="850900"/>
            <wp:effectExtent l="0" t="0" r="444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55" cy="850900"/>
                    </a:xfrm>
                    <a:prstGeom prst="rect">
                      <a:avLst/>
                    </a:prstGeom>
                    <a:noFill/>
                    <a:ln>
                      <a:noFill/>
                    </a:ln>
                  </pic:spPr>
                </pic:pic>
              </a:graphicData>
            </a:graphic>
          </wp:inline>
        </w:drawing>
      </w:r>
    </w:p>
    <w:p w:rsidR="00A741F2" w:rsidRPr="001108C2" w:rsidRDefault="00A741F2" w:rsidP="00A741F2">
      <w:pPr>
        <w:pStyle w:val="Sinespaciado"/>
        <w:spacing w:line="360" w:lineRule="auto"/>
        <w:jc w:val="both"/>
        <w:rPr>
          <w:sz w:val="2"/>
        </w:rPr>
      </w:pPr>
    </w:p>
    <w:p w:rsidR="00A741F2" w:rsidRPr="001108C2" w:rsidRDefault="00A741F2" w:rsidP="00A741F2">
      <w:pPr>
        <w:autoSpaceDE w:val="0"/>
        <w:autoSpaceDN w:val="0"/>
        <w:adjustRightInd w:val="0"/>
        <w:spacing w:before="240" w:line="276" w:lineRule="auto"/>
        <w:ind w:left="567" w:right="567"/>
        <w:jc w:val="both"/>
        <w:rPr>
          <w:rFonts w:ascii="Palatino Linotype" w:hAnsi="Palatino Linotype" w:cs="Arial"/>
          <w:i/>
          <w:sz w:val="24"/>
        </w:rPr>
      </w:pPr>
      <w:r w:rsidRPr="001108C2">
        <w:rPr>
          <w:rFonts w:ascii="Palatino Linotype" w:hAnsi="Palatino Linotype" w:cs="Arial"/>
          <w:b/>
          <w:i/>
          <w:sz w:val="24"/>
        </w:rPr>
        <w:t>CLAVE CATASTRAL ORIGINAL:</w:t>
      </w:r>
      <w:r w:rsidRPr="001108C2">
        <w:rPr>
          <w:rFonts w:ascii="Palatino Linotype" w:hAnsi="Palatino Linotype" w:cs="Arial"/>
          <w:i/>
          <w:sz w:val="24"/>
        </w:rPr>
        <w:t xml:space="preserve"> Código que identifica al objeto espacial, el cual es asignado por el Catastro Estatal, Municipal o por el Registro Agrario Nacional.”</w:t>
      </w:r>
    </w:p>
    <w:p w:rsidR="00A741F2" w:rsidRPr="001108C2" w:rsidRDefault="00A741F2" w:rsidP="00A741F2">
      <w:pPr>
        <w:pStyle w:val="Sinespaciado"/>
        <w:spacing w:line="360" w:lineRule="auto"/>
        <w:jc w:val="both"/>
        <w:rPr>
          <w:rFonts w:ascii="Palatino Linotype" w:hAnsi="Palatino Linotype"/>
          <w:sz w:val="10"/>
        </w:rPr>
      </w:pPr>
    </w:p>
    <w:p w:rsidR="00A741F2" w:rsidRPr="001108C2" w:rsidRDefault="00A741F2" w:rsidP="00A741F2">
      <w:pPr>
        <w:pStyle w:val="Sinespaciado"/>
        <w:spacing w:line="360" w:lineRule="auto"/>
        <w:jc w:val="both"/>
        <w:rPr>
          <w:rFonts w:ascii="Palatino Linotype" w:hAnsi="Palatino Linotype"/>
          <w:sz w:val="24"/>
        </w:rPr>
      </w:pPr>
      <w:r w:rsidRPr="001108C2">
        <w:rPr>
          <w:rFonts w:ascii="Palatino Linotype" w:hAnsi="Palatino Linotype"/>
          <w:sz w:val="24"/>
        </w:rPr>
        <w:t>De los conceptos antepuestos, se llega a la conclusión que la Clave Catastral es una serie de elementos que hacen identificable un inmueble o una construcción, para su localización geográfica y posterior inscripción al padrón catastral de cada Entidad Federativa.</w:t>
      </w:r>
    </w:p>
    <w:p w:rsidR="0011272A" w:rsidRPr="001108C2" w:rsidRDefault="0011272A" w:rsidP="0011272A">
      <w:pPr>
        <w:spacing w:line="360" w:lineRule="auto"/>
        <w:contextualSpacing/>
        <w:jc w:val="both"/>
        <w:rPr>
          <w:rFonts w:ascii="Palatino Linotype" w:hAnsi="Palatino Linotype"/>
          <w:color w:val="000000" w:themeColor="text1"/>
          <w:sz w:val="24"/>
        </w:rPr>
      </w:pPr>
    </w:p>
    <w:p w:rsidR="0011272A" w:rsidRPr="001108C2" w:rsidRDefault="0011272A" w:rsidP="0011272A">
      <w:pPr>
        <w:spacing w:line="360" w:lineRule="auto"/>
        <w:contextualSpacing/>
        <w:jc w:val="both"/>
        <w:rPr>
          <w:rFonts w:ascii="Palatino Linotype" w:hAnsi="Palatino Linotype" w:cs="Arial"/>
          <w:color w:val="000000" w:themeColor="text1"/>
          <w:sz w:val="32"/>
        </w:rPr>
      </w:pPr>
      <w:r w:rsidRPr="001108C2">
        <w:rPr>
          <w:rFonts w:ascii="Palatino Linotype" w:hAnsi="Palatino Linotype"/>
          <w:color w:val="000000" w:themeColor="text1"/>
          <w:sz w:val="24"/>
        </w:rPr>
        <w:t>Dicho lo anterior se hace necesario hacer distinción entre documentos públicos y privados de conformidad con los preceptos legales siguientes:</w:t>
      </w:r>
    </w:p>
    <w:p w:rsidR="0011272A" w:rsidRPr="001108C2" w:rsidRDefault="0011272A" w:rsidP="0011272A">
      <w:pPr>
        <w:spacing w:before="240" w:after="240" w:line="360" w:lineRule="auto"/>
        <w:ind w:right="49"/>
        <w:contextualSpacing/>
        <w:jc w:val="both"/>
        <w:rPr>
          <w:rFonts w:ascii="Palatino Linotype" w:hAnsi="Palatino Linotype"/>
          <w:color w:val="000000" w:themeColor="text1"/>
          <w:sz w:val="24"/>
        </w:rPr>
      </w:pPr>
    </w:p>
    <w:p w:rsidR="0011272A" w:rsidRPr="001108C2" w:rsidRDefault="0011272A" w:rsidP="0011272A">
      <w:pPr>
        <w:spacing w:before="240" w:after="240" w:line="360" w:lineRule="auto"/>
        <w:ind w:right="49"/>
        <w:contextualSpacing/>
        <w:jc w:val="both"/>
        <w:rPr>
          <w:rFonts w:ascii="Palatino Linotype" w:hAnsi="Palatino Linotype"/>
          <w:color w:val="000000" w:themeColor="text1"/>
          <w:sz w:val="24"/>
        </w:rPr>
      </w:pPr>
      <w:r w:rsidRPr="001108C2">
        <w:rPr>
          <w:rFonts w:ascii="Palatino Linotype" w:hAnsi="Palatino Linotype"/>
          <w:color w:val="000000" w:themeColor="text1"/>
          <w:sz w:val="24"/>
        </w:rPr>
        <w:t xml:space="preserve">El </w:t>
      </w:r>
      <w:r w:rsidRPr="001108C2">
        <w:rPr>
          <w:rFonts w:ascii="Palatino Linotype" w:hAnsi="Palatino Linotype"/>
          <w:b/>
          <w:color w:val="000000" w:themeColor="text1"/>
          <w:sz w:val="24"/>
        </w:rPr>
        <w:t>Código Federal de Procedimientos Civiles</w:t>
      </w:r>
      <w:r w:rsidRPr="001108C2">
        <w:rPr>
          <w:rFonts w:ascii="Palatino Linotype" w:hAnsi="Palatino Linotype"/>
          <w:color w:val="000000" w:themeColor="text1"/>
          <w:sz w:val="24"/>
        </w:rPr>
        <w:t xml:space="preserve"> Vigente</w:t>
      </w:r>
      <w:r w:rsidRPr="001108C2">
        <w:rPr>
          <w:rStyle w:val="Refdenotaalpie"/>
          <w:rFonts w:ascii="Palatino Linotype" w:hAnsi="Palatino Linotype"/>
          <w:color w:val="000000" w:themeColor="text1"/>
          <w:sz w:val="24"/>
        </w:rPr>
        <w:footnoteReference w:id="2"/>
      </w:r>
      <w:r w:rsidRPr="001108C2">
        <w:rPr>
          <w:rFonts w:ascii="Palatino Linotype" w:hAnsi="Palatino Linotype"/>
          <w:color w:val="000000" w:themeColor="text1"/>
          <w:sz w:val="24"/>
        </w:rPr>
        <w:t xml:space="preserve"> en sus artículos 129 y 133 señala expresamente lo que se debe entender como documentos públicos y privados, como a continuación se señala:</w:t>
      </w:r>
    </w:p>
    <w:p w:rsidR="0011272A" w:rsidRPr="001108C2" w:rsidRDefault="0011272A" w:rsidP="0011272A">
      <w:pPr>
        <w:rPr>
          <w:sz w:val="8"/>
        </w:rPr>
      </w:pPr>
    </w:p>
    <w:p w:rsidR="0011272A" w:rsidRPr="001108C2" w:rsidRDefault="0011272A" w:rsidP="0011272A">
      <w:pPr>
        <w:spacing w:after="0" w:line="240" w:lineRule="auto"/>
        <w:ind w:left="567" w:right="567"/>
        <w:jc w:val="both"/>
        <w:rPr>
          <w:rFonts w:ascii="Palatino Linotype" w:hAnsi="Palatino Linotype"/>
          <w:i/>
          <w:color w:val="000000" w:themeColor="text1"/>
        </w:rPr>
      </w:pPr>
      <w:r w:rsidRPr="001108C2">
        <w:rPr>
          <w:rFonts w:ascii="Palatino Linotype" w:hAnsi="Palatino Linotype"/>
          <w:b/>
          <w:i/>
          <w:color w:val="000000" w:themeColor="text1"/>
        </w:rPr>
        <w:t>ARTÍCULO 129.</w:t>
      </w:r>
      <w:r w:rsidRPr="001108C2">
        <w:rPr>
          <w:rFonts w:ascii="Palatino Linotype" w:hAnsi="Palatino Linotype"/>
          <w:i/>
          <w:color w:val="000000" w:themeColor="text1"/>
        </w:rPr>
        <w:t>- Son documentos públicos aquellos cuya formación está encomendada por la ley, dentro de los límites de su competencia, a un funcionario público revestido de la fe pública, y los expedidos por funcionarios públicos, en el ejercicio de sus funciones.</w:t>
      </w:r>
    </w:p>
    <w:p w:rsidR="0011272A" w:rsidRPr="001108C2" w:rsidRDefault="0011272A" w:rsidP="0011272A">
      <w:pPr>
        <w:spacing w:after="0" w:line="240" w:lineRule="auto"/>
        <w:ind w:left="567" w:right="567"/>
        <w:jc w:val="both"/>
        <w:rPr>
          <w:rFonts w:ascii="Palatino Linotype" w:hAnsi="Palatino Linotype"/>
          <w:i/>
          <w:color w:val="000000" w:themeColor="text1"/>
        </w:rPr>
      </w:pPr>
    </w:p>
    <w:p w:rsidR="0011272A" w:rsidRPr="001108C2" w:rsidRDefault="0011272A" w:rsidP="0011272A">
      <w:pPr>
        <w:spacing w:after="0" w:line="240" w:lineRule="auto"/>
        <w:ind w:left="567" w:right="567"/>
        <w:jc w:val="both"/>
        <w:rPr>
          <w:rFonts w:ascii="Palatino Linotype" w:hAnsi="Palatino Linotype"/>
          <w:i/>
          <w:color w:val="000000" w:themeColor="text1"/>
        </w:rPr>
      </w:pPr>
      <w:r w:rsidRPr="001108C2">
        <w:rPr>
          <w:rFonts w:ascii="Palatino Linotype" w:hAnsi="Palatino Linotype"/>
          <w:i/>
          <w:color w:val="000000" w:themeColor="text1"/>
        </w:rPr>
        <w:t>La calidad de públicos se demuestra por la existencia regular, sobre los documentos, de los sellos, firmas u otros signos exteriores que, en su caso, prevengan las leyes.</w:t>
      </w:r>
    </w:p>
    <w:p w:rsidR="0011272A" w:rsidRPr="001108C2" w:rsidRDefault="0011272A" w:rsidP="0011272A">
      <w:pPr>
        <w:spacing w:after="0" w:line="240" w:lineRule="auto"/>
        <w:ind w:left="567" w:right="567"/>
        <w:jc w:val="both"/>
        <w:rPr>
          <w:rFonts w:ascii="Palatino Linotype" w:hAnsi="Palatino Linotype"/>
          <w:i/>
          <w:color w:val="000000" w:themeColor="text1"/>
        </w:rPr>
      </w:pPr>
    </w:p>
    <w:p w:rsidR="0011272A" w:rsidRPr="001108C2" w:rsidRDefault="0011272A" w:rsidP="0011272A">
      <w:pPr>
        <w:spacing w:after="0" w:line="240" w:lineRule="auto"/>
        <w:ind w:left="567" w:right="616"/>
        <w:jc w:val="both"/>
        <w:rPr>
          <w:rFonts w:ascii="Palatino Linotype" w:hAnsi="Palatino Linotype"/>
          <w:i/>
          <w:color w:val="000000" w:themeColor="text1"/>
        </w:rPr>
      </w:pPr>
      <w:r w:rsidRPr="001108C2">
        <w:rPr>
          <w:rFonts w:ascii="Palatino Linotype" w:hAnsi="Palatino Linotype"/>
          <w:b/>
          <w:i/>
          <w:color w:val="000000" w:themeColor="text1"/>
        </w:rPr>
        <w:t>ARTÍCULO 133.</w:t>
      </w:r>
      <w:r w:rsidRPr="001108C2">
        <w:rPr>
          <w:rFonts w:ascii="Palatino Linotype" w:hAnsi="Palatino Linotype"/>
          <w:i/>
          <w:color w:val="000000" w:themeColor="text1"/>
        </w:rPr>
        <w:t>- Son documentos privados los que no reúnen las condiciones previstas por el artículo 129.</w:t>
      </w:r>
    </w:p>
    <w:p w:rsidR="0011272A" w:rsidRPr="001108C2" w:rsidRDefault="0011272A" w:rsidP="0011272A">
      <w:pPr>
        <w:spacing w:before="240" w:after="240" w:line="360" w:lineRule="auto"/>
        <w:ind w:right="49"/>
        <w:contextualSpacing/>
        <w:jc w:val="both"/>
        <w:rPr>
          <w:rFonts w:ascii="Palatino Linotype" w:eastAsia="Times New Roman" w:hAnsi="Palatino Linotype" w:cs="Times New Roman"/>
          <w:color w:val="000000" w:themeColor="text1"/>
          <w:sz w:val="18"/>
          <w:szCs w:val="24"/>
          <w:lang w:val="es-ES" w:eastAsia="es-ES"/>
        </w:rPr>
      </w:pPr>
    </w:p>
    <w:p w:rsidR="0011272A" w:rsidRPr="001108C2" w:rsidRDefault="0011272A" w:rsidP="0011272A">
      <w:pPr>
        <w:spacing w:before="240" w:after="240" w:line="360" w:lineRule="auto"/>
        <w:ind w:right="49"/>
        <w:contextualSpacing/>
        <w:jc w:val="both"/>
        <w:rPr>
          <w:rFonts w:ascii="Palatino Linotype" w:hAnsi="Palatino Linotype"/>
          <w:color w:val="000000" w:themeColor="text1"/>
          <w:sz w:val="24"/>
        </w:rPr>
      </w:pPr>
      <w:r w:rsidRPr="001108C2">
        <w:rPr>
          <w:rFonts w:ascii="Palatino Linotype" w:hAnsi="Palatino Linotype"/>
          <w:color w:val="000000" w:themeColor="text1"/>
          <w:sz w:val="24"/>
        </w:rPr>
        <w:t>Correlativo al Código supra citado, el Código de Procedimientos Civiles conceptualiza a los documentos públicos y privados de la siguiente manera:</w:t>
      </w:r>
    </w:p>
    <w:p w:rsidR="0011272A" w:rsidRPr="001108C2" w:rsidRDefault="0011272A" w:rsidP="0011272A">
      <w:pPr>
        <w:pStyle w:val="Prrafodelista"/>
        <w:ind w:left="567" w:right="49"/>
        <w:jc w:val="both"/>
        <w:rPr>
          <w:rFonts w:ascii="Palatino Linotype" w:hAnsi="Palatino Linotype"/>
          <w:color w:val="000000" w:themeColor="text1"/>
        </w:rPr>
      </w:pPr>
      <w:r w:rsidRPr="001108C2">
        <w:rPr>
          <w:rFonts w:ascii="Palatino Linotype" w:hAnsi="Palatino Linotype" w:cs="Bookman Old Style,Bold"/>
          <w:b/>
          <w:bCs/>
          <w:i/>
          <w:color w:val="000000" w:themeColor="text1"/>
          <w:sz w:val="22"/>
          <w:szCs w:val="22"/>
        </w:rPr>
        <w:t>Concepto de documento público</w:t>
      </w:r>
    </w:p>
    <w:p w:rsidR="0011272A" w:rsidRPr="001108C2" w:rsidRDefault="0011272A" w:rsidP="0011272A">
      <w:pPr>
        <w:pStyle w:val="Prrafodelista"/>
        <w:tabs>
          <w:tab w:val="left" w:pos="567"/>
        </w:tabs>
        <w:spacing w:before="240" w:after="240"/>
        <w:ind w:left="567" w:right="567"/>
        <w:jc w:val="both"/>
        <w:rPr>
          <w:rFonts w:ascii="Palatino Linotype" w:hAnsi="Palatino Linotype"/>
          <w:i/>
          <w:sz w:val="22"/>
          <w:szCs w:val="22"/>
        </w:rPr>
      </w:pPr>
      <w:r w:rsidRPr="001108C2">
        <w:rPr>
          <w:rFonts w:ascii="Palatino Linotype" w:hAnsi="Palatino Linotype"/>
          <w:b/>
          <w:i/>
          <w:sz w:val="22"/>
          <w:szCs w:val="22"/>
        </w:rPr>
        <w:t>Artículo 1.293.</w:t>
      </w:r>
      <w:r w:rsidRPr="001108C2">
        <w:rPr>
          <w:rFonts w:ascii="Palatino Linotype" w:hAnsi="Palatino Linotype"/>
          <w:i/>
          <w:sz w:val="22"/>
          <w:szCs w:val="22"/>
        </w:rPr>
        <w:t>- Son documentos públicos los formulados por Notarios o Corredores Públicos, y los expedidos por servidores públicos en el ejercicio de sus atribuciones legales. La calidad de públicos se demuestra por los sellos, firmas u otros signos exteriores que prevengan las leyes.</w:t>
      </w:r>
    </w:p>
    <w:p w:rsidR="0011272A" w:rsidRPr="001108C2" w:rsidRDefault="0011272A" w:rsidP="0011272A">
      <w:pPr>
        <w:autoSpaceDE w:val="0"/>
        <w:autoSpaceDN w:val="0"/>
        <w:adjustRightInd w:val="0"/>
        <w:spacing w:line="240" w:lineRule="auto"/>
        <w:ind w:left="567" w:right="616"/>
        <w:jc w:val="both"/>
        <w:rPr>
          <w:rFonts w:ascii="Palatino Linotype" w:hAnsi="Palatino Linotype" w:cs="Bookman Old Style,Bold"/>
          <w:b/>
          <w:bCs/>
          <w:i/>
          <w:color w:val="000000" w:themeColor="text1"/>
          <w:lang w:val="es-ES"/>
        </w:rPr>
      </w:pPr>
      <w:r w:rsidRPr="001108C2">
        <w:rPr>
          <w:rFonts w:ascii="Palatino Linotype" w:hAnsi="Palatino Linotype" w:cs="Bookman Old Style,Bold"/>
          <w:b/>
          <w:bCs/>
          <w:i/>
          <w:color w:val="000000" w:themeColor="text1"/>
          <w:lang w:val="es-ES"/>
        </w:rPr>
        <w:t>Concepto de documento privado</w:t>
      </w:r>
    </w:p>
    <w:p w:rsidR="0011272A" w:rsidRPr="001108C2" w:rsidRDefault="0011272A" w:rsidP="0011272A">
      <w:pPr>
        <w:spacing w:line="240" w:lineRule="auto"/>
        <w:ind w:left="567" w:right="616"/>
        <w:jc w:val="both"/>
        <w:rPr>
          <w:rFonts w:ascii="Palatino Linotype" w:hAnsi="Palatino Linotype" w:cs="Bookman Old Style"/>
          <w:i/>
          <w:color w:val="000000" w:themeColor="text1"/>
          <w:lang w:val="es-ES"/>
        </w:rPr>
      </w:pPr>
      <w:r w:rsidRPr="001108C2">
        <w:rPr>
          <w:rFonts w:ascii="Palatino Linotype" w:hAnsi="Palatino Linotype" w:cs="Bookman Old Style,Bold"/>
          <w:b/>
          <w:bCs/>
          <w:i/>
          <w:color w:val="000000" w:themeColor="text1"/>
          <w:lang w:val="es-ES"/>
        </w:rPr>
        <w:t xml:space="preserve">Artículo 1.297.- </w:t>
      </w:r>
      <w:r w:rsidRPr="001108C2">
        <w:rPr>
          <w:rFonts w:ascii="Palatino Linotype" w:hAnsi="Palatino Linotype" w:cs="Bookman Old Style"/>
          <w:i/>
          <w:color w:val="000000" w:themeColor="text1"/>
          <w:lang w:val="es-ES"/>
        </w:rPr>
        <w:t>Son documentos privados los que no reúnen los requisitos de los públicos.</w:t>
      </w:r>
    </w:p>
    <w:p w:rsidR="0011272A" w:rsidRPr="001108C2" w:rsidRDefault="0011272A" w:rsidP="0011272A">
      <w:pPr>
        <w:spacing w:before="240" w:after="240" w:line="360" w:lineRule="auto"/>
        <w:ind w:right="49"/>
        <w:contextualSpacing/>
        <w:jc w:val="both"/>
        <w:rPr>
          <w:rFonts w:ascii="Palatino Linotype" w:hAnsi="Palatino Linotype" w:cs="Bookman Old Style"/>
          <w:color w:val="000000" w:themeColor="text1"/>
          <w:sz w:val="10"/>
        </w:rPr>
      </w:pPr>
    </w:p>
    <w:p w:rsidR="0011272A" w:rsidRPr="001108C2" w:rsidRDefault="0011272A" w:rsidP="0011272A">
      <w:pPr>
        <w:spacing w:before="240" w:after="240" w:line="360" w:lineRule="auto"/>
        <w:ind w:right="49"/>
        <w:contextualSpacing/>
        <w:jc w:val="both"/>
        <w:rPr>
          <w:rFonts w:ascii="Palatino Linotype" w:hAnsi="Palatino Linotype" w:cs="Bookman Old Style"/>
          <w:i/>
          <w:color w:val="000000" w:themeColor="text1"/>
          <w:sz w:val="24"/>
        </w:rPr>
      </w:pPr>
      <w:r w:rsidRPr="001108C2">
        <w:rPr>
          <w:rFonts w:ascii="Palatino Linotype" w:hAnsi="Palatino Linotype" w:cs="Bookman Old Style"/>
          <w:color w:val="000000" w:themeColor="text1"/>
          <w:sz w:val="24"/>
        </w:rPr>
        <w:t>Así mismo el</w:t>
      </w:r>
      <w:r w:rsidRPr="001108C2">
        <w:rPr>
          <w:rFonts w:ascii="Palatino Linotype" w:hAnsi="Palatino Linotype" w:cs="Bookman Old Style"/>
          <w:i/>
          <w:color w:val="000000" w:themeColor="text1"/>
          <w:sz w:val="24"/>
        </w:rPr>
        <w:t xml:space="preserve"> </w:t>
      </w:r>
      <w:r w:rsidRPr="001108C2">
        <w:rPr>
          <w:rFonts w:ascii="Palatino Linotype" w:hAnsi="Palatino Linotype"/>
          <w:b/>
          <w:color w:val="000000" w:themeColor="text1"/>
          <w:sz w:val="24"/>
        </w:rPr>
        <w:t xml:space="preserve">Código de Procedimientos Administrativos del Estado de México </w:t>
      </w:r>
      <w:r w:rsidRPr="001108C2">
        <w:rPr>
          <w:rFonts w:ascii="Palatino Linotype" w:hAnsi="Palatino Linotype"/>
          <w:color w:val="000000" w:themeColor="text1"/>
          <w:sz w:val="24"/>
        </w:rPr>
        <w:t>señala:</w:t>
      </w:r>
    </w:p>
    <w:p w:rsidR="0011272A" w:rsidRPr="001108C2" w:rsidRDefault="0011272A" w:rsidP="0011272A">
      <w:pPr>
        <w:spacing w:after="0" w:line="240" w:lineRule="auto"/>
        <w:ind w:left="567" w:right="567"/>
        <w:jc w:val="both"/>
        <w:rPr>
          <w:rFonts w:ascii="Palatino Linotype" w:hAnsi="Palatino Linotype"/>
          <w:i/>
          <w:color w:val="000000" w:themeColor="text1"/>
        </w:rPr>
      </w:pPr>
      <w:r w:rsidRPr="001108C2">
        <w:rPr>
          <w:rFonts w:ascii="Palatino Linotype" w:hAnsi="Palatino Linotype"/>
          <w:b/>
          <w:i/>
          <w:color w:val="000000" w:themeColor="text1"/>
        </w:rPr>
        <w:t>Artículo 57.-</w:t>
      </w:r>
      <w:r w:rsidRPr="001108C2">
        <w:rPr>
          <w:rFonts w:ascii="Palatino Linotype" w:hAnsi="Palatino Linotype"/>
          <w:i/>
          <w:color w:val="000000" w:themeColor="text1"/>
        </w:rPr>
        <w:t xml:space="preserve"> </w:t>
      </w:r>
      <w:r w:rsidRPr="001108C2">
        <w:rPr>
          <w:rFonts w:ascii="Palatino Linotype" w:hAnsi="Palatino Linotype"/>
          <w:b/>
          <w:i/>
          <w:color w:val="000000" w:themeColor="text1"/>
        </w:rPr>
        <w:t>Son documentos públicos</w:t>
      </w:r>
      <w:r w:rsidRPr="001108C2">
        <w:rPr>
          <w:rFonts w:ascii="Palatino Linotype" w:hAnsi="Palatino Linotype"/>
          <w:i/>
          <w:color w:val="000000" w:themeColor="text1"/>
        </w:rPr>
        <w:t xml:space="preserve"> aquéllos cuya formulación está encomendada por ley, dentro de los límites de sus facultades, a las personas dotadas de fe pública y</w:t>
      </w:r>
      <w:r w:rsidRPr="001108C2">
        <w:rPr>
          <w:rFonts w:ascii="Palatino Linotype" w:hAnsi="Palatino Linotype"/>
          <w:b/>
          <w:i/>
          <w:color w:val="000000" w:themeColor="text1"/>
        </w:rPr>
        <w:t xml:space="preserve"> los expedidos por servidores públicos en el ejercicio de sus funciones</w:t>
      </w:r>
      <w:r w:rsidRPr="001108C2">
        <w:rPr>
          <w:rFonts w:ascii="Palatino Linotype" w:hAnsi="Palatino Linotype"/>
          <w:i/>
          <w:color w:val="000000" w:themeColor="text1"/>
        </w:rPr>
        <w:t>. La calidad de públicos se demuestra por la existencia regular, sobre los documentos, de sellos, firmas u otros signos exteriores que, en su caso, prevengan las leyes, salvo prueba en contrario.</w:t>
      </w:r>
    </w:p>
    <w:p w:rsidR="0011272A" w:rsidRPr="001108C2" w:rsidRDefault="0011272A" w:rsidP="0011272A">
      <w:pPr>
        <w:spacing w:after="0" w:line="240" w:lineRule="auto"/>
        <w:ind w:left="567" w:right="567"/>
        <w:jc w:val="both"/>
        <w:rPr>
          <w:rFonts w:ascii="Palatino Linotype" w:hAnsi="Palatino Linotype"/>
          <w:i/>
          <w:color w:val="000000" w:themeColor="text1"/>
        </w:rPr>
      </w:pPr>
    </w:p>
    <w:p w:rsidR="0011272A" w:rsidRPr="001108C2" w:rsidRDefault="0011272A" w:rsidP="0011272A">
      <w:pPr>
        <w:pStyle w:val="Prrafodelista"/>
        <w:ind w:left="567" w:right="567"/>
        <w:jc w:val="both"/>
        <w:rPr>
          <w:rFonts w:ascii="Palatino Linotype" w:hAnsi="Palatino Linotype"/>
          <w:i/>
          <w:color w:val="000000" w:themeColor="text1"/>
          <w:sz w:val="22"/>
          <w:szCs w:val="22"/>
        </w:rPr>
      </w:pPr>
      <w:r w:rsidRPr="001108C2">
        <w:rPr>
          <w:rFonts w:ascii="Palatino Linotype" w:hAnsi="Palatino Linotype"/>
          <w:b/>
          <w:i/>
          <w:color w:val="000000" w:themeColor="text1"/>
          <w:sz w:val="22"/>
          <w:szCs w:val="22"/>
        </w:rPr>
        <w:t>Artículo 58.-</w:t>
      </w:r>
      <w:r w:rsidRPr="001108C2">
        <w:rPr>
          <w:rFonts w:ascii="Palatino Linotype" w:hAnsi="Palatino Linotype"/>
          <w:i/>
          <w:color w:val="000000" w:themeColor="text1"/>
          <w:sz w:val="22"/>
          <w:szCs w:val="22"/>
        </w:rPr>
        <w:t xml:space="preserve"> </w:t>
      </w:r>
      <w:r w:rsidRPr="001108C2">
        <w:rPr>
          <w:rFonts w:ascii="Palatino Linotype" w:hAnsi="Palatino Linotype"/>
          <w:b/>
          <w:i/>
          <w:color w:val="000000" w:themeColor="text1"/>
          <w:sz w:val="22"/>
          <w:szCs w:val="22"/>
        </w:rPr>
        <w:t>Son documentos privados</w:t>
      </w:r>
      <w:r w:rsidRPr="001108C2">
        <w:rPr>
          <w:rFonts w:ascii="Palatino Linotype" w:hAnsi="Palatino Linotype"/>
          <w:i/>
          <w:color w:val="000000" w:themeColor="text1"/>
          <w:sz w:val="22"/>
          <w:szCs w:val="22"/>
        </w:rPr>
        <w:t xml:space="preserve"> los que no reúnen las condiciones previstas para los documentos públicos.</w:t>
      </w:r>
    </w:p>
    <w:p w:rsidR="0011272A" w:rsidRPr="001108C2" w:rsidRDefault="0011272A" w:rsidP="0011272A">
      <w:pPr>
        <w:spacing w:before="240" w:after="240" w:line="360" w:lineRule="auto"/>
        <w:ind w:right="49"/>
        <w:contextualSpacing/>
        <w:jc w:val="both"/>
        <w:rPr>
          <w:rFonts w:ascii="Palatino Linotype" w:hAnsi="Palatino Linotype"/>
          <w:i/>
          <w:color w:val="000000" w:themeColor="text1"/>
          <w:sz w:val="16"/>
        </w:rPr>
      </w:pPr>
    </w:p>
    <w:p w:rsidR="0011272A" w:rsidRPr="001108C2" w:rsidRDefault="0011272A" w:rsidP="0011272A">
      <w:pPr>
        <w:spacing w:before="240" w:after="240" w:line="360" w:lineRule="auto"/>
        <w:ind w:right="49"/>
        <w:contextualSpacing/>
        <w:jc w:val="both"/>
        <w:rPr>
          <w:rFonts w:ascii="Palatino Linotype" w:hAnsi="Palatino Linotype"/>
          <w:color w:val="000000" w:themeColor="text1"/>
          <w:sz w:val="24"/>
        </w:rPr>
      </w:pPr>
      <w:r w:rsidRPr="001108C2">
        <w:rPr>
          <w:rFonts w:ascii="Palatino Linotype" w:hAnsi="Palatino Linotype"/>
          <w:color w:val="000000" w:themeColor="text1"/>
          <w:sz w:val="24"/>
        </w:rPr>
        <w:t xml:space="preserve">De los ordenamientos citados existe concordancia respecto a que los documentos públicos también son aquellos que expiden los servidores públicos en ejercicio de sus atribuciones, y los documentos privados no reúnen dichas características, por tanto y de acuerdo a la Secretaría de Gobernación en su publicación denominada </w:t>
      </w:r>
      <w:r w:rsidRPr="001108C2">
        <w:rPr>
          <w:rFonts w:ascii="Palatino Linotype" w:hAnsi="Palatino Linotype"/>
          <w:b/>
          <w:color w:val="000000" w:themeColor="text1"/>
          <w:sz w:val="24"/>
        </w:rPr>
        <w:t xml:space="preserve">“Doctrina </w:t>
      </w:r>
      <w:r w:rsidRPr="001108C2">
        <w:rPr>
          <w:rFonts w:ascii="Palatino Linotype" w:hAnsi="Palatino Linotype"/>
          <w:b/>
          <w:color w:val="000000" w:themeColor="text1"/>
          <w:sz w:val="24"/>
        </w:rPr>
        <w:lastRenderedPageBreak/>
        <w:t>y lineamientos para la redacción de textos jurídicos, su publicación y divulgación”</w:t>
      </w:r>
      <w:r w:rsidRPr="001108C2">
        <w:rPr>
          <w:rStyle w:val="Refdenotaalpie"/>
          <w:rFonts w:ascii="Palatino Linotype" w:hAnsi="Palatino Linotype"/>
          <w:b/>
          <w:color w:val="000000" w:themeColor="text1"/>
          <w:sz w:val="24"/>
        </w:rPr>
        <w:footnoteReference w:id="3"/>
      </w:r>
      <w:r w:rsidRPr="001108C2">
        <w:rPr>
          <w:rFonts w:ascii="Palatino Linotype" w:hAnsi="Palatino Linotype"/>
          <w:color w:val="000000" w:themeColor="text1"/>
          <w:sz w:val="24"/>
        </w:rPr>
        <w:t xml:space="preserve"> señala que “</w:t>
      </w:r>
      <w:r w:rsidRPr="001108C2">
        <w:rPr>
          <w:rFonts w:ascii="Palatino Linotype" w:hAnsi="Palatino Linotype"/>
          <w:i/>
          <w:color w:val="000000" w:themeColor="text1"/>
          <w:sz w:val="24"/>
        </w:rPr>
        <w:t xml:space="preserve">las comunicaciones escritas entre las distintas áreas que componen una dependencia, entidad u otro organismo público, o al interior de sí mismas son </w:t>
      </w:r>
      <w:r w:rsidRPr="001108C2">
        <w:rPr>
          <w:rFonts w:ascii="Palatino Linotype" w:hAnsi="Palatino Linotype"/>
          <w:b/>
          <w:i/>
          <w:color w:val="000000" w:themeColor="text1"/>
          <w:sz w:val="24"/>
          <w:u w:val="single"/>
        </w:rPr>
        <w:t>documentos públicos</w:t>
      </w:r>
      <w:r w:rsidRPr="001108C2">
        <w:rPr>
          <w:rFonts w:ascii="Palatino Linotype" w:hAnsi="Palatino Linotype"/>
          <w:color w:val="000000" w:themeColor="text1"/>
          <w:sz w:val="24"/>
        </w:rPr>
        <w:t>”, dicha doctrina a su vez argumenta: “</w:t>
      </w:r>
      <w:r w:rsidRPr="001108C2">
        <w:rPr>
          <w:rFonts w:ascii="Palatino Linotype" w:hAnsi="Palatino Linotype"/>
          <w:i/>
          <w:color w:val="000000" w:themeColor="text1"/>
          <w:sz w:val="24"/>
        </w:rPr>
        <w:t>Estos textos, sean oficios, memoranda, notas informativas, etc., también revisten naturaleza jurídica porque se generan con base en el carácter de mando de sus emisores o de autoridad en determinada materia y porque se refieren a actividades que forman parte de la competencia legal de dichos emisores</w:t>
      </w:r>
      <w:r w:rsidRPr="001108C2">
        <w:rPr>
          <w:color w:val="000000" w:themeColor="text1"/>
          <w:sz w:val="24"/>
        </w:rPr>
        <w:t>.</w:t>
      </w:r>
      <w:r w:rsidRPr="001108C2">
        <w:rPr>
          <w:rFonts w:ascii="Palatino Linotype" w:hAnsi="Palatino Linotype"/>
          <w:color w:val="000000" w:themeColor="text1"/>
          <w:sz w:val="24"/>
        </w:rPr>
        <w:t>”</w:t>
      </w:r>
    </w:p>
    <w:p w:rsidR="0011272A" w:rsidRPr="001108C2" w:rsidRDefault="0011272A" w:rsidP="0011272A">
      <w:pPr>
        <w:spacing w:before="240" w:after="240" w:line="360" w:lineRule="auto"/>
        <w:ind w:right="49"/>
        <w:contextualSpacing/>
        <w:jc w:val="both"/>
        <w:rPr>
          <w:rFonts w:ascii="Palatino Linotype" w:eastAsia="Times New Roman" w:hAnsi="Palatino Linotype" w:cs="Times New Roman"/>
          <w:color w:val="000000" w:themeColor="text1"/>
          <w:sz w:val="24"/>
          <w:szCs w:val="24"/>
          <w:lang w:val="es-ES" w:eastAsia="es-ES"/>
        </w:rPr>
      </w:pPr>
    </w:p>
    <w:p w:rsidR="0011272A" w:rsidRPr="001108C2" w:rsidRDefault="0011272A" w:rsidP="0011272A">
      <w:pPr>
        <w:spacing w:before="240" w:after="240" w:line="360" w:lineRule="auto"/>
        <w:ind w:right="49"/>
        <w:contextualSpacing/>
        <w:jc w:val="both"/>
        <w:rPr>
          <w:rFonts w:ascii="Palatino Linotype" w:hAnsi="Palatino Linotype"/>
          <w:b/>
          <w:color w:val="000000" w:themeColor="text1"/>
          <w:sz w:val="24"/>
          <w:u w:val="single"/>
        </w:rPr>
      </w:pPr>
      <w:r w:rsidRPr="001108C2">
        <w:rPr>
          <w:rFonts w:ascii="Palatino Linotype" w:hAnsi="Palatino Linotype"/>
          <w:color w:val="000000" w:themeColor="text1"/>
          <w:sz w:val="24"/>
        </w:rPr>
        <w:t xml:space="preserve">Tal es así que tratándose de documentos públicos que se ingresan internamente entre las diversas áreas que conforman la administración pública como lo son, por ejemplo; oficios, circulares, memorándums, notas informativas, etcétera; nos encontramos en presencia de información que el </w:t>
      </w:r>
      <w:r w:rsidRPr="001108C2">
        <w:rPr>
          <w:rFonts w:ascii="Palatino Linotype" w:hAnsi="Palatino Linotype"/>
          <w:b/>
          <w:color w:val="000000" w:themeColor="text1"/>
          <w:sz w:val="24"/>
        </w:rPr>
        <w:t>Sujeto Obligado</w:t>
      </w:r>
      <w:r w:rsidRPr="001108C2">
        <w:rPr>
          <w:rFonts w:ascii="Palatino Linotype" w:hAnsi="Palatino Linotype"/>
          <w:color w:val="000000" w:themeColor="text1"/>
          <w:sz w:val="24"/>
        </w:rPr>
        <w:t xml:space="preserve"> genera, posee y administra en el ejercicio de sus atribuciones por lo que se trata de información pública </w:t>
      </w:r>
      <w:r w:rsidRPr="001108C2">
        <w:rPr>
          <w:rFonts w:ascii="Palatino Linotype" w:hAnsi="Palatino Linotype"/>
          <w:b/>
          <w:color w:val="000000" w:themeColor="text1"/>
          <w:sz w:val="24"/>
          <w:u w:val="single"/>
        </w:rPr>
        <w:t>pero tratándose de documentos privados no lo es, en atención a que su divulgación podría afectar la esfera jurídica de terceros.</w:t>
      </w:r>
    </w:p>
    <w:p w:rsidR="001A27C8" w:rsidRPr="001108C2" w:rsidRDefault="001A27C8" w:rsidP="008E003F">
      <w:pPr>
        <w:autoSpaceDE w:val="0"/>
        <w:autoSpaceDN w:val="0"/>
        <w:adjustRightInd w:val="0"/>
        <w:spacing w:before="240" w:after="240" w:line="360" w:lineRule="auto"/>
        <w:ind w:right="51"/>
        <w:contextualSpacing/>
        <w:jc w:val="both"/>
        <w:rPr>
          <w:rFonts w:ascii="Palatino Linotype" w:hAnsi="Palatino Linotype" w:cs="Arial"/>
          <w:sz w:val="28"/>
        </w:rPr>
      </w:pPr>
    </w:p>
    <w:p w:rsidR="0011272A" w:rsidRPr="001108C2" w:rsidRDefault="0011272A" w:rsidP="0011272A">
      <w:pPr>
        <w:spacing w:before="240" w:after="240" w:line="360" w:lineRule="auto"/>
        <w:ind w:right="49"/>
        <w:contextualSpacing/>
        <w:jc w:val="both"/>
        <w:rPr>
          <w:rFonts w:ascii="Palatino Linotype" w:hAnsi="Palatino Linotype" w:cs="Arial"/>
          <w:color w:val="000000" w:themeColor="text1"/>
          <w:sz w:val="24"/>
          <w:lang w:eastAsia="es-MX"/>
        </w:rPr>
      </w:pPr>
      <w:r w:rsidRPr="001108C2">
        <w:rPr>
          <w:rFonts w:ascii="Palatino Linotype" w:hAnsi="Palatino Linotype" w:cs="Arial"/>
          <w:color w:val="000000" w:themeColor="text1"/>
          <w:sz w:val="24"/>
          <w:lang w:eastAsia="es-MX"/>
        </w:rPr>
        <w:t xml:space="preserve">Lo anterior se señala porque ese tipo de documentación contiene información </w:t>
      </w:r>
      <w:r w:rsidR="00D924CB" w:rsidRPr="001108C2">
        <w:rPr>
          <w:rFonts w:ascii="Palatino Linotype" w:hAnsi="Palatino Linotype" w:cs="Arial"/>
          <w:color w:val="000000" w:themeColor="text1"/>
          <w:sz w:val="24"/>
          <w:lang w:eastAsia="es-MX"/>
        </w:rPr>
        <w:t>de carácter</w:t>
      </w:r>
      <w:r w:rsidRPr="001108C2">
        <w:rPr>
          <w:rFonts w:ascii="Palatino Linotype" w:hAnsi="Palatino Linotype" w:cs="Arial"/>
          <w:color w:val="000000" w:themeColor="text1"/>
          <w:sz w:val="24"/>
          <w:lang w:eastAsia="es-MX"/>
        </w:rPr>
        <w:t xml:space="preserve"> </w:t>
      </w:r>
      <w:r w:rsidR="00D924CB" w:rsidRPr="001108C2">
        <w:rPr>
          <w:rFonts w:ascii="Palatino Linotype" w:hAnsi="Palatino Linotype" w:cs="Arial"/>
          <w:color w:val="000000" w:themeColor="text1"/>
          <w:sz w:val="24"/>
          <w:lang w:eastAsia="es-MX"/>
        </w:rPr>
        <w:t xml:space="preserve">personal </w:t>
      </w:r>
      <w:r w:rsidRPr="001108C2">
        <w:rPr>
          <w:rFonts w:ascii="Palatino Linotype" w:hAnsi="Palatino Linotype" w:cs="Arial"/>
          <w:color w:val="000000" w:themeColor="text1"/>
          <w:sz w:val="24"/>
          <w:lang w:eastAsia="es-MX"/>
        </w:rPr>
        <w:t xml:space="preserve">y que de hacer pública se estaría afectando la vida personal y la esfera más íntima de la persona, por lo cual el </w:t>
      </w:r>
      <w:r w:rsidR="00D924CB" w:rsidRPr="001108C2">
        <w:rPr>
          <w:rFonts w:ascii="Palatino Linotype" w:hAnsi="Palatino Linotype" w:cs="Arial"/>
          <w:b/>
          <w:color w:val="000000" w:themeColor="text1"/>
          <w:sz w:val="24"/>
          <w:lang w:eastAsia="es-MX"/>
        </w:rPr>
        <w:t>Sujeto Obligado</w:t>
      </w:r>
      <w:r w:rsidR="00D924CB" w:rsidRPr="001108C2">
        <w:rPr>
          <w:rFonts w:ascii="Palatino Linotype" w:hAnsi="Palatino Linotype" w:cs="Arial"/>
          <w:color w:val="000000" w:themeColor="text1"/>
          <w:sz w:val="24"/>
          <w:lang w:eastAsia="es-MX"/>
        </w:rPr>
        <w:t xml:space="preserve"> </w:t>
      </w:r>
      <w:r w:rsidRPr="001108C2">
        <w:rPr>
          <w:rFonts w:ascii="Palatino Linotype" w:hAnsi="Palatino Linotype" w:cs="Arial"/>
          <w:color w:val="000000" w:themeColor="text1"/>
          <w:sz w:val="24"/>
          <w:lang w:eastAsia="es-MX"/>
        </w:rPr>
        <w:t>deberá de ser cauteloso al momento de hacer la entrega de la información que genera de acuerdo a sus atribuciones a los particulares, misma que deberá ser en versión pública</w:t>
      </w:r>
      <w:r w:rsidR="00D924CB" w:rsidRPr="001108C2">
        <w:rPr>
          <w:rFonts w:ascii="Palatino Linotype" w:hAnsi="Palatino Linotype" w:cs="Arial"/>
          <w:color w:val="000000" w:themeColor="text1"/>
          <w:sz w:val="24"/>
          <w:lang w:eastAsia="es-MX"/>
        </w:rPr>
        <w:t>,</w:t>
      </w:r>
      <w:r w:rsidRPr="001108C2">
        <w:rPr>
          <w:rFonts w:ascii="Palatino Linotype" w:hAnsi="Palatino Linotype" w:cs="Arial"/>
          <w:color w:val="000000" w:themeColor="text1"/>
          <w:sz w:val="24"/>
          <w:lang w:eastAsia="es-MX"/>
        </w:rPr>
        <w:t xml:space="preserve"> la cual deberá </w:t>
      </w:r>
      <w:r w:rsidRPr="001108C2">
        <w:rPr>
          <w:rFonts w:ascii="Palatino Linotype" w:hAnsi="Palatino Linotype" w:cs="Arial"/>
          <w:color w:val="000000" w:themeColor="text1"/>
          <w:sz w:val="24"/>
          <w:lang w:eastAsia="es-MX"/>
        </w:rPr>
        <w:lastRenderedPageBreak/>
        <w:t>de estar acompañada de su respectivo Acuerdo de Clasificación del Comité de Información, en cualquiera de las modalidades establecidas por la ley en la materia.</w:t>
      </w:r>
    </w:p>
    <w:p w:rsidR="008E003F" w:rsidRPr="001108C2" w:rsidRDefault="008E003F" w:rsidP="008E003F">
      <w:pPr>
        <w:autoSpaceDE w:val="0"/>
        <w:autoSpaceDN w:val="0"/>
        <w:adjustRightInd w:val="0"/>
        <w:spacing w:before="240" w:after="240" w:line="360" w:lineRule="auto"/>
        <w:ind w:right="51"/>
        <w:contextualSpacing/>
        <w:jc w:val="both"/>
        <w:rPr>
          <w:rFonts w:ascii="Palatino Linotype" w:hAnsi="Palatino Linotype" w:cs="Arial"/>
          <w:sz w:val="24"/>
        </w:rPr>
      </w:pPr>
    </w:p>
    <w:p w:rsidR="008E003F" w:rsidRPr="001108C2" w:rsidRDefault="00D924CB" w:rsidP="008E003F">
      <w:pPr>
        <w:autoSpaceDE w:val="0"/>
        <w:autoSpaceDN w:val="0"/>
        <w:adjustRightInd w:val="0"/>
        <w:spacing w:before="240" w:after="240" w:line="360" w:lineRule="auto"/>
        <w:ind w:right="51"/>
        <w:contextualSpacing/>
        <w:jc w:val="both"/>
        <w:rPr>
          <w:rFonts w:ascii="Palatino Linotype" w:hAnsi="Palatino Linotype" w:cs="Arial"/>
          <w:sz w:val="28"/>
        </w:rPr>
      </w:pPr>
      <w:r w:rsidRPr="001108C2">
        <w:rPr>
          <w:rFonts w:ascii="Palatino Linotype" w:hAnsi="Palatino Linotype" w:cs="Arial"/>
          <w:sz w:val="24"/>
        </w:rPr>
        <w:t>Asimismo, d</w:t>
      </w:r>
      <w:r w:rsidR="008E003F" w:rsidRPr="001108C2">
        <w:rPr>
          <w:rFonts w:ascii="Palatino Linotype" w:hAnsi="Palatino Linotype" w:cs="Arial"/>
          <w:sz w:val="24"/>
        </w:rPr>
        <w:t xml:space="preserve">icha entrega de la información deberá de versar en la modalidad elegida al momento de ingresar la solicitud de información; es decir Copias Certificadas (con costo), ello así porque el propio </w:t>
      </w:r>
      <w:r w:rsidR="008E003F" w:rsidRPr="001108C2">
        <w:rPr>
          <w:rFonts w:ascii="Palatino Linotype" w:hAnsi="Palatino Linotype" w:cs="Arial"/>
          <w:b/>
          <w:sz w:val="24"/>
        </w:rPr>
        <w:t>Recurrente</w:t>
      </w:r>
      <w:r w:rsidR="008E003F" w:rsidRPr="001108C2">
        <w:rPr>
          <w:rFonts w:ascii="Palatino Linotype" w:hAnsi="Palatino Linotype" w:cs="Arial"/>
          <w:sz w:val="24"/>
        </w:rPr>
        <w:t xml:space="preserve"> así lo expreso en dicha solicitud; por lo que </w:t>
      </w:r>
      <w:r w:rsidR="008E003F" w:rsidRPr="001108C2">
        <w:rPr>
          <w:rFonts w:ascii="Palatino Linotype" w:hAnsi="Palatino Linotype" w:cs="Arial"/>
          <w:b/>
          <w:sz w:val="24"/>
        </w:rPr>
        <w:t>El Sujeto Obligado</w:t>
      </w:r>
      <w:r w:rsidR="008E003F" w:rsidRPr="001108C2">
        <w:rPr>
          <w:rFonts w:ascii="Palatino Linotype" w:hAnsi="Palatino Linotype" w:cs="Arial"/>
          <w:sz w:val="24"/>
        </w:rPr>
        <w:t xml:space="preserve"> deberá indicar la fecha, lugar y horario en que debe presentarse el particular para que le sea entregada la información previo pago de los derechos.</w:t>
      </w:r>
    </w:p>
    <w:p w:rsidR="0066610F" w:rsidRPr="001108C2" w:rsidRDefault="0066610F" w:rsidP="005A0C60">
      <w:pPr>
        <w:pStyle w:val="Sinespaciado"/>
      </w:pPr>
    </w:p>
    <w:p w:rsidR="00D924CB" w:rsidRPr="001108C2" w:rsidRDefault="00D924CB" w:rsidP="00D924CB">
      <w:pPr>
        <w:pStyle w:val="Prrafodelista"/>
        <w:numPr>
          <w:ilvl w:val="0"/>
          <w:numId w:val="21"/>
        </w:numPr>
        <w:autoSpaceDE w:val="0"/>
        <w:autoSpaceDN w:val="0"/>
        <w:adjustRightInd w:val="0"/>
        <w:spacing w:line="360" w:lineRule="auto"/>
        <w:ind w:left="709"/>
        <w:contextualSpacing/>
        <w:jc w:val="both"/>
        <w:rPr>
          <w:rFonts w:ascii="Palatino Linotype" w:hAnsi="Palatino Linotype" w:cs="Arial"/>
          <w:b/>
          <w:i/>
          <w:sz w:val="28"/>
        </w:rPr>
      </w:pPr>
      <w:r w:rsidRPr="001108C2">
        <w:rPr>
          <w:rFonts w:ascii="Palatino Linotype" w:hAnsi="Palatino Linotype" w:cs="Arial"/>
          <w:b/>
          <w:i/>
          <w:sz w:val="28"/>
        </w:rPr>
        <w:t>DE LA VERSIÓN PÚBLICA</w:t>
      </w:r>
    </w:p>
    <w:p w:rsidR="00D924CB" w:rsidRPr="001108C2" w:rsidRDefault="00D924CB" w:rsidP="00D924CB">
      <w:pPr>
        <w:pStyle w:val="Sinespaciado"/>
        <w:rPr>
          <w:sz w:val="2"/>
        </w:rPr>
      </w:pPr>
    </w:p>
    <w:p w:rsidR="00D924CB" w:rsidRPr="001108C2" w:rsidRDefault="00D924CB" w:rsidP="00D924CB">
      <w:pPr>
        <w:autoSpaceDE w:val="0"/>
        <w:autoSpaceDN w:val="0"/>
        <w:adjustRightInd w:val="0"/>
        <w:spacing w:after="0" w:line="360" w:lineRule="auto"/>
        <w:jc w:val="both"/>
        <w:rPr>
          <w:rFonts w:ascii="Palatino Linotype" w:hAnsi="Palatino Linotype" w:cs="Arial"/>
          <w:sz w:val="24"/>
          <w:szCs w:val="24"/>
        </w:rPr>
      </w:pPr>
      <w:r w:rsidRPr="001108C2">
        <w:rPr>
          <w:rFonts w:ascii="Palatino Linotype" w:hAnsi="Palatino Linotype" w:cs="Arial"/>
          <w:sz w:val="24"/>
          <w:szCs w:val="24"/>
        </w:rPr>
        <w:t xml:space="preserve">De lo anterior, es preciso señalar que en caso de ordenarse la entrega, se pudiera desprender que existieran documentos que vayan a ser entregados contengan tanto información de interés público como información que debe ser clasificada, se hará la entrega de los mismos, testando las secciones o datos que deban ser clasificados; por ende el sujeto obligado deberá proceder a testar los datos personales que se encuentre contenidos en los documentos a entregar por parte del </w:t>
      </w:r>
      <w:r w:rsidRPr="001108C2">
        <w:rPr>
          <w:rFonts w:ascii="Palatino Linotype" w:hAnsi="Palatino Linotype" w:cs="Arial"/>
          <w:b/>
          <w:sz w:val="24"/>
          <w:szCs w:val="24"/>
        </w:rPr>
        <w:t>Sujeto Obligado</w:t>
      </w:r>
      <w:r w:rsidRPr="001108C2">
        <w:rPr>
          <w:rFonts w:ascii="Palatino Linotype" w:hAnsi="Palatino Linotype" w:cs="Arial"/>
          <w:sz w:val="24"/>
          <w:szCs w:val="24"/>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w:t>
      </w:r>
      <w:r w:rsidRPr="001108C2">
        <w:rPr>
          <w:rFonts w:ascii="Palatino Linotype" w:hAnsi="Palatino Linotype" w:cs="Arial"/>
          <w:sz w:val="24"/>
          <w:szCs w:val="24"/>
        </w:rPr>
        <w:lastRenderedPageBreak/>
        <w:t xml:space="preserve">de México y Municipios, existen otros que se consideran confidenciales y por tanto deben testarse al momento de la elaboración de versiones públicas, tal es el caso del nombre del titular de las licencias en el supuesto que sean particulares, el </w:t>
      </w:r>
      <w:r w:rsidRPr="001108C2">
        <w:rPr>
          <w:rFonts w:ascii="Palatino Linotype" w:hAnsi="Palatino Linotype" w:cs="Arial"/>
          <w:b/>
          <w:sz w:val="24"/>
          <w:szCs w:val="24"/>
        </w:rPr>
        <w:t>Registro Federal de Contribuyentes</w:t>
      </w:r>
      <w:r w:rsidRPr="001108C2">
        <w:rPr>
          <w:rFonts w:ascii="Palatino Linotype" w:hAnsi="Palatino Linotype" w:cs="Arial"/>
          <w:sz w:val="24"/>
          <w:szCs w:val="24"/>
        </w:rPr>
        <w:t xml:space="preserve"> (RFC) y la </w:t>
      </w:r>
      <w:r w:rsidRPr="001108C2">
        <w:rPr>
          <w:rFonts w:ascii="Palatino Linotype" w:hAnsi="Palatino Linotype" w:cs="Arial"/>
          <w:b/>
          <w:sz w:val="24"/>
          <w:szCs w:val="24"/>
        </w:rPr>
        <w:t>Clave Única de Registro de Población</w:t>
      </w:r>
      <w:r w:rsidRPr="001108C2">
        <w:rPr>
          <w:rFonts w:ascii="Palatino Linotype" w:hAnsi="Palatino Linotype" w:cs="Arial"/>
          <w:sz w:val="24"/>
          <w:szCs w:val="24"/>
        </w:rPr>
        <w:t xml:space="preserve"> (CURP).</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924CB" w:rsidRPr="001108C2" w:rsidRDefault="00D924CB" w:rsidP="00D924CB">
      <w:pPr>
        <w:pStyle w:val="Sinespaciado"/>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rsidR="00D924CB" w:rsidRPr="001108C2" w:rsidRDefault="00D924CB" w:rsidP="00D924CB">
      <w:pPr>
        <w:pStyle w:val="Sinespaciado"/>
      </w:pPr>
    </w:p>
    <w:p w:rsidR="00D924CB" w:rsidRPr="001108C2" w:rsidRDefault="00D924CB" w:rsidP="00D924CB">
      <w:pPr>
        <w:tabs>
          <w:tab w:val="left" w:pos="8647"/>
        </w:tabs>
        <w:spacing w:after="0" w:line="240" w:lineRule="auto"/>
        <w:ind w:left="567" w:right="567"/>
        <w:jc w:val="both"/>
        <w:rPr>
          <w:rFonts w:ascii="Palatino Linotype" w:hAnsi="Palatino Linotype" w:cs="Arial"/>
          <w:b/>
          <w:bCs/>
          <w:i/>
        </w:rPr>
      </w:pPr>
      <w:r w:rsidRPr="001108C2">
        <w:rPr>
          <w:rFonts w:ascii="Palatino Linotype" w:hAnsi="Palatino Linotype" w:cs="Arial"/>
          <w:b/>
          <w:bCs/>
          <w:i/>
        </w:rPr>
        <w:t xml:space="preserve">Registro Federal de Contribuyentes (RFC) de personas físicas. </w:t>
      </w:r>
      <w:r w:rsidRPr="001108C2">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D924CB" w:rsidRPr="001108C2" w:rsidRDefault="00D924CB" w:rsidP="00D924CB">
      <w:pPr>
        <w:pStyle w:val="Sinespaciado"/>
      </w:pPr>
    </w:p>
    <w:p w:rsidR="00D924CB" w:rsidRPr="001108C2" w:rsidRDefault="00D924CB" w:rsidP="00D924CB">
      <w:pPr>
        <w:tabs>
          <w:tab w:val="left" w:pos="8647"/>
        </w:tabs>
        <w:spacing w:after="0" w:line="240" w:lineRule="auto"/>
        <w:ind w:left="567" w:right="567"/>
        <w:jc w:val="both"/>
        <w:rPr>
          <w:rFonts w:ascii="Palatino Linotype" w:hAnsi="Palatino Linotype" w:cs="Arial"/>
          <w:bCs/>
          <w:i/>
        </w:rPr>
      </w:pPr>
      <w:r w:rsidRPr="001108C2">
        <w:rPr>
          <w:rFonts w:ascii="Palatino Linotype" w:hAnsi="Palatino Linotype" w:cs="Arial"/>
          <w:bCs/>
          <w:i/>
        </w:rPr>
        <w:t>Resoluciones:</w:t>
      </w:r>
    </w:p>
    <w:p w:rsidR="00D924CB" w:rsidRPr="001108C2" w:rsidRDefault="00D924CB" w:rsidP="00D924CB">
      <w:pPr>
        <w:tabs>
          <w:tab w:val="left" w:pos="8647"/>
        </w:tabs>
        <w:spacing w:after="0" w:line="240" w:lineRule="auto"/>
        <w:ind w:left="567" w:right="567"/>
        <w:jc w:val="both"/>
        <w:rPr>
          <w:rFonts w:ascii="Palatino Linotype" w:hAnsi="Palatino Linotype" w:cs="Arial"/>
          <w:bCs/>
          <w:i/>
        </w:rPr>
      </w:pPr>
      <w:r w:rsidRPr="001108C2">
        <w:rPr>
          <w:rFonts w:ascii="Palatino Linotype" w:hAnsi="Palatino Linotype" w:cs="Arial"/>
          <w:bCs/>
          <w:i/>
        </w:rPr>
        <w:t>RRA 0189/17. Morena. 08 de febrero de 2017. Por unanimidad. Comisionado Ponente Joel Salas Suárez.</w:t>
      </w:r>
    </w:p>
    <w:p w:rsidR="00D924CB" w:rsidRPr="001108C2" w:rsidRDefault="00D924CB" w:rsidP="00D924CB">
      <w:pPr>
        <w:tabs>
          <w:tab w:val="left" w:pos="8647"/>
        </w:tabs>
        <w:spacing w:after="0" w:line="240" w:lineRule="auto"/>
        <w:ind w:left="567" w:right="567"/>
        <w:jc w:val="both"/>
        <w:rPr>
          <w:rFonts w:ascii="Palatino Linotype" w:hAnsi="Palatino Linotype" w:cs="Arial"/>
          <w:bCs/>
          <w:i/>
        </w:rPr>
      </w:pPr>
      <w:r w:rsidRPr="001108C2">
        <w:rPr>
          <w:rFonts w:ascii="Palatino Linotype" w:hAnsi="Palatino Linotype" w:cs="Arial"/>
          <w:bCs/>
          <w:i/>
        </w:rPr>
        <w:t xml:space="preserve">RRA 0677/17. Universidad Nacional Autónoma de México. 08 de marzo de 2017. Por unanimidad. Comisionado Ponente Rosendoevgueni Monterrey Chepov. </w:t>
      </w:r>
    </w:p>
    <w:p w:rsidR="00D924CB" w:rsidRPr="001108C2" w:rsidRDefault="00D924CB" w:rsidP="00D924CB">
      <w:pPr>
        <w:tabs>
          <w:tab w:val="left" w:pos="8647"/>
        </w:tabs>
        <w:spacing w:after="0" w:line="240" w:lineRule="auto"/>
        <w:ind w:left="567" w:right="567"/>
        <w:jc w:val="both"/>
        <w:rPr>
          <w:rFonts w:ascii="Palatino Linotype" w:hAnsi="Palatino Linotype" w:cs="Arial"/>
          <w:bCs/>
          <w:i/>
        </w:rPr>
      </w:pPr>
      <w:r w:rsidRPr="001108C2">
        <w:rPr>
          <w:rFonts w:ascii="Palatino Linotype" w:hAnsi="Palatino Linotype" w:cs="Arial"/>
          <w:bCs/>
          <w:i/>
        </w:rPr>
        <w:t>RRA 1564/17. Tribunal Electoral del Poder Judicial de la Federación. 26 de abril de 2017. Por unanimidad. Comisionado Ponente Oscar Mauricio Guerra Ford.</w:t>
      </w:r>
    </w:p>
    <w:p w:rsidR="00D924CB" w:rsidRPr="001108C2" w:rsidRDefault="00D924CB" w:rsidP="00D924CB">
      <w:pPr>
        <w:tabs>
          <w:tab w:val="left" w:pos="8647"/>
        </w:tabs>
        <w:spacing w:after="0" w:line="240" w:lineRule="auto"/>
        <w:ind w:left="567" w:right="567"/>
        <w:jc w:val="right"/>
        <w:rPr>
          <w:rFonts w:ascii="Palatino Linotype" w:hAnsi="Palatino Linotype" w:cs="Arial"/>
          <w:i/>
          <w:sz w:val="18"/>
        </w:rPr>
      </w:pPr>
      <w:r w:rsidRPr="001108C2">
        <w:rPr>
          <w:rFonts w:ascii="Palatino Linotype" w:hAnsi="Palatino Linotype" w:cs="Arial"/>
          <w:i/>
          <w:sz w:val="18"/>
        </w:rPr>
        <w:t>(Énfasis añadido)</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w:t>
      </w:r>
      <w:r w:rsidRPr="001108C2">
        <w:rPr>
          <w:rFonts w:ascii="Palatino Linotype" w:hAnsi="Palatino Linotype" w:cs="Arial"/>
          <w:sz w:val="24"/>
          <w:szCs w:val="24"/>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924CB" w:rsidRPr="001108C2" w:rsidRDefault="00D924CB" w:rsidP="00D924CB">
      <w:pPr>
        <w:pStyle w:val="Sinespaciado"/>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924CB" w:rsidRPr="001108C2" w:rsidRDefault="00D924CB" w:rsidP="00D924CB">
      <w:pPr>
        <w:pStyle w:val="Sinespaciado"/>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 xml:space="preserve">Argumento que es compartido por el entonces </w:t>
      </w:r>
      <w:r w:rsidRPr="001108C2">
        <w:rPr>
          <w:rFonts w:ascii="Palatino Linotype" w:hAnsi="Palatino Linotype" w:cs="Arial"/>
          <w:b/>
          <w:bCs/>
          <w:sz w:val="24"/>
          <w:szCs w:val="24"/>
        </w:rPr>
        <w:t xml:space="preserve">Instituto Federal de Acceso a la Información y Protección de Datos (IFAI), conforme al </w:t>
      </w:r>
      <w:r w:rsidRPr="001108C2">
        <w:rPr>
          <w:rFonts w:ascii="Palatino Linotype" w:hAnsi="Palatino Linotype" w:cs="Arial"/>
          <w:sz w:val="24"/>
          <w:szCs w:val="24"/>
        </w:rPr>
        <w:t xml:space="preserve">criterio número 18/17, el cual refiere: </w:t>
      </w:r>
    </w:p>
    <w:p w:rsidR="00D924CB" w:rsidRPr="001108C2" w:rsidRDefault="00D924CB" w:rsidP="00D924CB">
      <w:pPr>
        <w:pStyle w:val="Sinespaciado"/>
      </w:pPr>
    </w:p>
    <w:p w:rsidR="00D924CB" w:rsidRPr="001108C2" w:rsidRDefault="00D924CB" w:rsidP="00D924CB">
      <w:pPr>
        <w:tabs>
          <w:tab w:val="left" w:pos="8222"/>
        </w:tabs>
        <w:spacing w:after="0" w:line="240" w:lineRule="auto"/>
        <w:ind w:left="567" w:right="567"/>
        <w:jc w:val="both"/>
        <w:rPr>
          <w:rFonts w:ascii="Palatino Linotype" w:hAnsi="Palatino Linotype" w:cs="Arial"/>
          <w:b/>
          <w:bCs/>
          <w:i/>
        </w:rPr>
      </w:pPr>
      <w:r w:rsidRPr="001108C2">
        <w:rPr>
          <w:rFonts w:ascii="Palatino Linotype" w:hAnsi="Palatino Linotype" w:cs="Arial"/>
          <w:b/>
          <w:bCs/>
          <w:i/>
        </w:rPr>
        <w:t xml:space="preserve">“Clave Única de Registro de Población (CURP). </w:t>
      </w:r>
      <w:r w:rsidRPr="001108C2">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924CB" w:rsidRPr="001108C2" w:rsidRDefault="00D924CB" w:rsidP="00D924CB">
      <w:pPr>
        <w:tabs>
          <w:tab w:val="left" w:pos="8222"/>
        </w:tabs>
        <w:spacing w:after="0" w:line="240" w:lineRule="auto"/>
        <w:ind w:left="567" w:right="567"/>
        <w:jc w:val="both"/>
        <w:rPr>
          <w:rFonts w:ascii="Palatino Linotype" w:hAnsi="Palatino Linotype" w:cs="Arial"/>
          <w:b/>
          <w:bCs/>
          <w:i/>
        </w:rPr>
      </w:pPr>
    </w:p>
    <w:p w:rsidR="00D924CB" w:rsidRPr="001108C2" w:rsidRDefault="00D924CB" w:rsidP="00D924CB">
      <w:pPr>
        <w:tabs>
          <w:tab w:val="left" w:pos="8222"/>
        </w:tabs>
        <w:spacing w:after="0" w:line="240" w:lineRule="auto"/>
        <w:ind w:left="567" w:right="567"/>
        <w:jc w:val="both"/>
        <w:rPr>
          <w:rFonts w:ascii="Palatino Linotype" w:hAnsi="Palatino Linotype" w:cs="Arial"/>
          <w:bCs/>
          <w:i/>
        </w:rPr>
      </w:pPr>
      <w:r w:rsidRPr="001108C2">
        <w:rPr>
          <w:rFonts w:ascii="Palatino Linotype" w:hAnsi="Palatino Linotype" w:cs="Arial"/>
          <w:bCs/>
          <w:i/>
        </w:rPr>
        <w:t>Resoluciones:</w:t>
      </w:r>
    </w:p>
    <w:p w:rsidR="00D924CB" w:rsidRPr="001108C2" w:rsidRDefault="00D924CB" w:rsidP="00D924CB">
      <w:pPr>
        <w:tabs>
          <w:tab w:val="left" w:pos="8222"/>
        </w:tabs>
        <w:spacing w:after="0" w:line="240" w:lineRule="auto"/>
        <w:ind w:left="567" w:right="567"/>
        <w:jc w:val="both"/>
        <w:rPr>
          <w:rFonts w:ascii="Palatino Linotype" w:hAnsi="Palatino Linotype" w:cs="Arial"/>
          <w:bCs/>
          <w:i/>
        </w:rPr>
      </w:pPr>
      <w:r w:rsidRPr="001108C2">
        <w:rPr>
          <w:rFonts w:ascii="Palatino Linotype" w:hAnsi="Palatino Linotype" w:cs="Arial"/>
          <w:bCs/>
          <w:i/>
        </w:rPr>
        <w:t>RRA 3995/16. Secretaría de la Defensa Nacional. 1 de febrero de 2017. Por unanimidad. Comisionado Ponente Rosendoevgueni Monterrey Chepov.</w:t>
      </w:r>
    </w:p>
    <w:p w:rsidR="00D924CB" w:rsidRPr="001108C2" w:rsidRDefault="00D924CB" w:rsidP="00D924CB">
      <w:pPr>
        <w:tabs>
          <w:tab w:val="left" w:pos="8222"/>
        </w:tabs>
        <w:spacing w:after="0" w:line="240" w:lineRule="auto"/>
        <w:ind w:left="567" w:right="567"/>
        <w:jc w:val="both"/>
        <w:rPr>
          <w:rFonts w:ascii="Palatino Linotype" w:hAnsi="Palatino Linotype" w:cs="Arial"/>
          <w:bCs/>
          <w:i/>
        </w:rPr>
      </w:pPr>
      <w:r w:rsidRPr="001108C2">
        <w:rPr>
          <w:rFonts w:ascii="Palatino Linotype" w:hAnsi="Palatino Linotype" w:cs="Arial"/>
          <w:bCs/>
          <w:i/>
        </w:rPr>
        <w:t xml:space="preserve">RRA 0937/17. Senado de la República. 15 de marzo de 2017. Por unanimidad. Comisionada Ponente Ximena Puente de la Mora. </w:t>
      </w:r>
    </w:p>
    <w:p w:rsidR="00D924CB" w:rsidRPr="001108C2" w:rsidRDefault="00D924CB" w:rsidP="00D924CB">
      <w:pPr>
        <w:tabs>
          <w:tab w:val="left" w:pos="8222"/>
        </w:tabs>
        <w:spacing w:after="0" w:line="240" w:lineRule="auto"/>
        <w:ind w:left="567" w:right="567"/>
        <w:jc w:val="both"/>
        <w:rPr>
          <w:rFonts w:ascii="Palatino Linotype" w:hAnsi="Palatino Linotype" w:cs="Arial"/>
          <w:i/>
        </w:rPr>
      </w:pPr>
      <w:r w:rsidRPr="001108C2">
        <w:rPr>
          <w:rFonts w:ascii="Palatino Linotype" w:hAnsi="Palatino Linotype" w:cs="Arial"/>
          <w:bCs/>
          <w:i/>
        </w:rPr>
        <w:t>RRA 0478/17. Secretaría de Relaciones Exteriores. 26 de abril de 2017. Por unanimidad. Comisionada Ponente Areli Cano Guadiana.</w:t>
      </w:r>
      <w:r w:rsidRPr="001108C2">
        <w:rPr>
          <w:rFonts w:ascii="Palatino Linotype" w:hAnsi="Palatino Linotype" w:cs="Arial"/>
          <w:i/>
        </w:rPr>
        <w:t>” (Sic)</w:t>
      </w:r>
    </w:p>
    <w:p w:rsidR="00D924CB" w:rsidRPr="001108C2" w:rsidRDefault="00D924CB" w:rsidP="00D924CB">
      <w:pPr>
        <w:pStyle w:val="Sinespaciado"/>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p>
    <w:p w:rsidR="00D924CB" w:rsidRPr="001108C2" w:rsidRDefault="00D924CB" w:rsidP="00D924CB">
      <w:pPr>
        <w:tabs>
          <w:tab w:val="left" w:pos="8647"/>
        </w:tabs>
        <w:spacing w:after="0" w:line="360" w:lineRule="auto"/>
        <w:ind w:right="51"/>
        <w:jc w:val="both"/>
        <w:rPr>
          <w:rFonts w:ascii="Palatino Linotype" w:hAnsi="Palatino Linotype" w:cs="Arial"/>
          <w:sz w:val="24"/>
          <w:szCs w:val="24"/>
        </w:rPr>
      </w:pPr>
      <w:r w:rsidRPr="001108C2">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924CB" w:rsidRPr="001108C2" w:rsidRDefault="00D924CB" w:rsidP="00D924CB">
      <w:pPr>
        <w:pStyle w:val="Sinespaciado"/>
      </w:pPr>
    </w:p>
    <w:p w:rsidR="00D924CB" w:rsidRPr="001108C2" w:rsidRDefault="00D924CB" w:rsidP="00D924CB">
      <w:pPr>
        <w:pStyle w:val="Prrafodelista"/>
        <w:autoSpaceDE w:val="0"/>
        <w:autoSpaceDN w:val="0"/>
        <w:adjustRightInd w:val="0"/>
        <w:spacing w:line="360" w:lineRule="auto"/>
        <w:ind w:left="0"/>
        <w:contextualSpacing/>
        <w:jc w:val="both"/>
        <w:rPr>
          <w:rFonts w:ascii="Palatino Linotype" w:hAnsi="Palatino Linotype" w:cs="Arial"/>
          <w:i/>
          <w:iCs/>
        </w:rPr>
      </w:pPr>
      <w:r w:rsidRPr="001108C2">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108C2">
        <w:rPr>
          <w:rFonts w:ascii="Palatino Linotype" w:hAnsi="Palatino Linotype" w:cs="Arial"/>
          <w:i/>
          <w:iCs/>
        </w:rPr>
        <w:t>.</w:t>
      </w:r>
    </w:p>
    <w:p w:rsidR="00D924CB" w:rsidRPr="001108C2" w:rsidRDefault="00D924CB" w:rsidP="00D54889">
      <w:pPr>
        <w:pStyle w:val="Sinespaciado"/>
        <w:spacing w:line="360" w:lineRule="auto"/>
        <w:jc w:val="both"/>
        <w:rPr>
          <w:rFonts w:ascii="Palatino Linotype" w:hAnsi="Palatino Linotype" w:cs="Arial"/>
          <w:sz w:val="24"/>
          <w:szCs w:val="24"/>
        </w:rPr>
      </w:pPr>
    </w:p>
    <w:p w:rsidR="00D54889" w:rsidRPr="001108C2" w:rsidRDefault="00D54889" w:rsidP="00D54889">
      <w:pPr>
        <w:pStyle w:val="Sinespaciado"/>
        <w:spacing w:line="360" w:lineRule="auto"/>
        <w:jc w:val="both"/>
        <w:rPr>
          <w:rFonts w:ascii="Palatino Linotype" w:eastAsia="Times New Roman" w:hAnsi="Palatino Linotype" w:cs="Arial"/>
          <w:sz w:val="24"/>
          <w:szCs w:val="24"/>
        </w:rPr>
      </w:pPr>
      <w:r w:rsidRPr="001108C2">
        <w:rPr>
          <w:rFonts w:ascii="Palatino Linotype" w:hAnsi="Palatino Linotype" w:cs="Arial"/>
          <w:sz w:val="24"/>
          <w:szCs w:val="24"/>
        </w:rPr>
        <w:t xml:space="preserve">En conclusión, las razones o motivos de inconformidad expresados por </w:t>
      </w:r>
      <w:r w:rsidR="008E003F" w:rsidRPr="001108C2">
        <w:rPr>
          <w:rFonts w:ascii="Palatino Linotype" w:hAnsi="Palatino Linotype" w:cs="Arial"/>
          <w:b/>
          <w:sz w:val="24"/>
          <w:szCs w:val="24"/>
        </w:rPr>
        <w:t>El Recurrente</w:t>
      </w:r>
      <w:r w:rsidR="008E003F" w:rsidRPr="001108C2">
        <w:rPr>
          <w:rFonts w:ascii="Palatino Linotype" w:hAnsi="Palatino Linotype" w:cs="Arial"/>
          <w:sz w:val="24"/>
          <w:szCs w:val="24"/>
        </w:rPr>
        <w:t xml:space="preserve"> </w:t>
      </w:r>
      <w:r w:rsidRPr="001108C2">
        <w:rPr>
          <w:rFonts w:ascii="Palatino Linotype" w:hAnsi="Palatino Linotype" w:cs="Arial"/>
          <w:sz w:val="24"/>
          <w:szCs w:val="24"/>
        </w:rPr>
        <w:t>son fundados, al actualizarse las hipótesis previstas en el artículo 179, fracci</w:t>
      </w:r>
      <w:r w:rsidR="0093743A" w:rsidRPr="001108C2">
        <w:rPr>
          <w:rFonts w:ascii="Palatino Linotype" w:hAnsi="Palatino Linotype" w:cs="Arial"/>
          <w:sz w:val="24"/>
          <w:szCs w:val="24"/>
        </w:rPr>
        <w:t>ones</w:t>
      </w:r>
      <w:r w:rsidR="005A0C60" w:rsidRPr="001108C2">
        <w:rPr>
          <w:rFonts w:ascii="Palatino Linotype" w:hAnsi="Palatino Linotype" w:cs="Arial"/>
          <w:sz w:val="24"/>
          <w:szCs w:val="24"/>
        </w:rPr>
        <w:t xml:space="preserve"> I y</w:t>
      </w:r>
      <w:r w:rsidRPr="001108C2">
        <w:rPr>
          <w:rFonts w:ascii="Palatino Linotype" w:hAnsi="Palatino Linotype" w:cs="Arial"/>
          <w:sz w:val="24"/>
          <w:szCs w:val="24"/>
        </w:rPr>
        <w:t xml:space="preserve"> II</w:t>
      </w:r>
      <w:r w:rsidR="005A0C60" w:rsidRPr="001108C2">
        <w:rPr>
          <w:rFonts w:ascii="Palatino Linotype" w:hAnsi="Palatino Linotype" w:cs="Arial"/>
          <w:sz w:val="24"/>
          <w:szCs w:val="24"/>
        </w:rPr>
        <w:t>,</w:t>
      </w:r>
      <w:r w:rsidR="0093743A" w:rsidRPr="001108C2">
        <w:rPr>
          <w:rFonts w:ascii="Palatino Linotype" w:hAnsi="Palatino Linotype" w:cs="Arial"/>
          <w:sz w:val="24"/>
          <w:szCs w:val="24"/>
        </w:rPr>
        <w:t xml:space="preserve"> </w:t>
      </w:r>
      <w:r w:rsidRPr="001108C2">
        <w:rPr>
          <w:rFonts w:ascii="Palatino Linotype" w:hAnsi="Palatino Linotype" w:cs="Arial"/>
          <w:sz w:val="24"/>
          <w:szCs w:val="24"/>
        </w:rPr>
        <w:lastRenderedPageBreak/>
        <w:t>de la Ley de Transparencia y Acceso a la Información Pública del</w:t>
      </w:r>
      <w:r w:rsidR="00D924CB" w:rsidRPr="001108C2">
        <w:rPr>
          <w:rFonts w:ascii="Palatino Linotype" w:hAnsi="Palatino Linotype" w:cs="Arial"/>
          <w:sz w:val="24"/>
          <w:szCs w:val="24"/>
        </w:rPr>
        <w:t xml:space="preserve"> Estado de México y Municipios</w:t>
      </w:r>
      <w:r w:rsidRPr="001108C2">
        <w:rPr>
          <w:rFonts w:ascii="Palatino Linotype" w:hAnsi="Palatino Linotype" w:cs="Arial"/>
          <w:sz w:val="24"/>
          <w:szCs w:val="24"/>
        </w:rPr>
        <w:t xml:space="preserve">, por lo que, lo procedente será </w:t>
      </w:r>
      <w:r w:rsidR="005A0C60" w:rsidRPr="001108C2">
        <w:rPr>
          <w:rFonts w:ascii="Palatino Linotype" w:hAnsi="Palatino Linotype" w:cs="Arial"/>
          <w:b/>
          <w:sz w:val="24"/>
          <w:szCs w:val="24"/>
        </w:rPr>
        <w:t>REVOCAR</w:t>
      </w:r>
      <w:r w:rsidRPr="001108C2">
        <w:rPr>
          <w:rFonts w:ascii="Palatino Linotype" w:hAnsi="Palatino Linotype" w:cs="Arial"/>
          <w:b/>
          <w:sz w:val="24"/>
          <w:szCs w:val="24"/>
        </w:rPr>
        <w:t xml:space="preserve"> </w:t>
      </w:r>
      <w:r w:rsidRPr="001108C2">
        <w:rPr>
          <w:rFonts w:ascii="Palatino Linotype" w:hAnsi="Palatino Linotype" w:cs="Arial"/>
          <w:sz w:val="24"/>
          <w:szCs w:val="24"/>
        </w:rPr>
        <w:t xml:space="preserve">la respuesta emitida, a fin de que </w:t>
      </w:r>
      <w:r w:rsidR="005A0C60" w:rsidRPr="001108C2">
        <w:rPr>
          <w:rFonts w:ascii="Palatino Linotype" w:hAnsi="Palatino Linotype" w:cs="Arial"/>
          <w:b/>
          <w:sz w:val="24"/>
          <w:szCs w:val="24"/>
        </w:rPr>
        <w:t xml:space="preserve">El </w:t>
      </w:r>
      <w:r w:rsidRPr="001108C2">
        <w:rPr>
          <w:rFonts w:ascii="Palatino Linotype" w:hAnsi="Palatino Linotype" w:cs="Arial"/>
          <w:b/>
          <w:sz w:val="24"/>
          <w:szCs w:val="24"/>
        </w:rPr>
        <w:t>Sujeto Obligado</w:t>
      </w:r>
      <w:r w:rsidRPr="001108C2">
        <w:rPr>
          <w:rFonts w:ascii="Palatino Linotype" w:hAnsi="Palatino Linotype" w:cs="Arial"/>
          <w:sz w:val="24"/>
          <w:szCs w:val="24"/>
        </w:rPr>
        <w:t xml:space="preserve"> haga entrega </w:t>
      </w:r>
      <w:r w:rsidR="00D924CB" w:rsidRPr="001108C2">
        <w:rPr>
          <w:rFonts w:ascii="Palatino Linotype" w:hAnsi="Palatino Linotype" w:cs="Arial"/>
          <w:sz w:val="24"/>
          <w:szCs w:val="24"/>
        </w:rPr>
        <w:t xml:space="preserve">en versión pública, </w:t>
      </w:r>
      <w:r w:rsidR="005A0C60" w:rsidRPr="001108C2">
        <w:rPr>
          <w:rFonts w:ascii="Palatino Linotype" w:hAnsi="Palatino Linotype" w:cs="Arial"/>
          <w:sz w:val="24"/>
          <w:szCs w:val="24"/>
        </w:rPr>
        <w:t xml:space="preserve">de la Autorización de Cambio de Uso de Suelo con número de expediente CUS/032/2017, </w:t>
      </w:r>
      <w:r w:rsidRPr="001108C2">
        <w:rPr>
          <w:rFonts w:ascii="Palatino Linotype" w:hAnsi="Palatino Linotype" w:cs="Arial"/>
          <w:sz w:val="24"/>
          <w:szCs w:val="24"/>
        </w:rPr>
        <w:t xml:space="preserve">en los términos señalados en el </w:t>
      </w:r>
      <w:r w:rsidR="0099663D" w:rsidRPr="001108C2">
        <w:rPr>
          <w:rFonts w:ascii="Palatino Linotype" w:hAnsi="Palatino Linotype" w:cs="Arial"/>
          <w:sz w:val="24"/>
          <w:szCs w:val="24"/>
        </w:rPr>
        <w:t>presente Considerando.</w:t>
      </w:r>
    </w:p>
    <w:p w:rsidR="001108C2" w:rsidRDefault="001108C2" w:rsidP="005A0C60">
      <w:pPr>
        <w:pStyle w:val="Sinespaciado"/>
        <w:spacing w:line="360" w:lineRule="auto"/>
        <w:jc w:val="both"/>
        <w:rPr>
          <w:rFonts w:ascii="Palatino Linotype" w:hAnsi="Palatino Linotype"/>
          <w:sz w:val="24"/>
        </w:rPr>
      </w:pPr>
    </w:p>
    <w:p w:rsidR="005A0C60" w:rsidRPr="001108C2" w:rsidRDefault="005A0C60" w:rsidP="005A0C60">
      <w:pPr>
        <w:pStyle w:val="Sinespaciado"/>
        <w:spacing w:line="360" w:lineRule="auto"/>
        <w:jc w:val="both"/>
        <w:rPr>
          <w:rFonts w:ascii="Palatino Linotype" w:hAnsi="Palatino Linotype"/>
          <w:sz w:val="24"/>
        </w:rPr>
      </w:pPr>
      <w:r w:rsidRPr="001108C2">
        <w:rPr>
          <w:rFonts w:ascii="Palatino Linotype" w:hAnsi="Palatino Linotype"/>
          <w:sz w:val="24"/>
        </w:rPr>
        <w:t>En mérito de lo expuesto en líneas anteriores, resultan</w:t>
      </w:r>
      <w:r w:rsidR="00E2564A" w:rsidRPr="001108C2">
        <w:rPr>
          <w:rFonts w:ascii="Palatino Linotype" w:hAnsi="Palatino Linotype"/>
          <w:sz w:val="24"/>
        </w:rPr>
        <w:t xml:space="preserve"> parcialmente</w:t>
      </w:r>
      <w:r w:rsidRPr="001108C2">
        <w:rPr>
          <w:rFonts w:ascii="Palatino Linotype" w:hAnsi="Palatino Linotype"/>
          <w:sz w:val="24"/>
        </w:rPr>
        <w:t xml:space="preserve"> fundados los motivos de inconformidad que arguye </w:t>
      </w:r>
      <w:r w:rsidRPr="001108C2">
        <w:rPr>
          <w:rFonts w:ascii="Palatino Linotype" w:hAnsi="Palatino Linotype"/>
          <w:b/>
          <w:sz w:val="24"/>
        </w:rPr>
        <w:t>El Recurrente</w:t>
      </w:r>
      <w:r w:rsidRPr="001108C2">
        <w:rPr>
          <w:rFonts w:ascii="Palatino Linotype" w:hAnsi="Palatino Linotype"/>
          <w:sz w:val="24"/>
        </w:rPr>
        <w:t xml:space="preserve"> en su medio de impugnación que fue materia de estudio, por ello </w:t>
      </w:r>
      <w:r w:rsidRPr="001108C2">
        <w:rPr>
          <w:rFonts w:ascii="Palatino Linotype" w:hAnsi="Palatino Linotype" w:cs="Arial"/>
          <w:sz w:val="24"/>
        </w:rPr>
        <w:t>con fundamento en la</w:t>
      </w:r>
      <w:r w:rsidRPr="001108C2">
        <w:rPr>
          <w:rFonts w:ascii="Palatino Linotype" w:hAnsi="Palatino Linotype" w:cs="Arial"/>
          <w:b/>
          <w:sz w:val="24"/>
        </w:rPr>
        <w:t xml:space="preserve"> </w:t>
      </w:r>
      <w:r w:rsidRPr="001108C2">
        <w:rPr>
          <w:rFonts w:ascii="Palatino Linotype" w:hAnsi="Palatino Linotype" w:cs="Arial"/>
          <w:i/>
          <w:sz w:val="24"/>
        </w:rPr>
        <w:t>primera hipótesis</w:t>
      </w:r>
      <w:r w:rsidRPr="001108C2">
        <w:rPr>
          <w:rFonts w:ascii="Palatino Linotype" w:hAnsi="Palatino Linotype" w:cs="Arial"/>
          <w:b/>
          <w:sz w:val="24"/>
        </w:rPr>
        <w:t xml:space="preserve"> </w:t>
      </w:r>
      <w:r w:rsidRPr="001108C2">
        <w:rPr>
          <w:rFonts w:ascii="Palatino Linotype" w:hAnsi="Palatino Linotype" w:cs="Arial"/>
          <w:sz w:val="24"/>
        </w:rPr>
        <w:t>de la fracción</w:t>
      </w:r>
      <w:r w:rsidRPr="001108C2">
        <w:rPr>
          <w:rFonts w:ascii="Palatino Linotype" w:hAnsi="Palatino Linotype" w:cs="Arial"/>
          <w:b/>
          <w:sz w:val="24"/>
        </w:rPr>
        <w:t xml:space="preserve"> </w:t>
      </w:r>
      <w:r w:rsidRPr="001108C2">
        <w:rPr>
          <w:rFonts w:ascii="Palatino Linotype" w:hAnsi="Palatino Linotype" w:cs="Arial"/>
          <w:sz w:val="24"/>
        </w:rPr>
        <w:t>III, del artículo 186,</w:t>
      </w:r>
      <w:r w:rsidRPr="001108C2">
        <w:rPr>
          <w:rFonts w:ascii="Palatino Linotype" w:hAnsi="Palatino Linotype" w:cs="Arial"/>
          <w:b/>
          <w:sz w:val="24"/>
        </w:rPr>
        <w:t xml:space="preserve"> </w:t>
      </w:r>
      <w:r w:rsidRPr="001108C2">
        <w:rPr>
          <w:rFonts w:ascii="Palatino Linotype" w:hAnsi="Palatino Linotype" w:cs="Arial"/>
          <w:sz w:val="24"/>
        </w:rPr>
        <w:t xml:space="preserve">de la Ley de Transparencia y Acceso a la Información Pública del Estado de México y Municipios, se </w:t>
      </w:r>
      <w:r w:rsidRPr="001108C2">
        <w:rPr>
          <w:rFonts w:ascii="Palatino Linotype" w:hAnsi="Palatino Linotype" w:cs="Arial"/>
          <w:b/>
          <w:sz w:val="24"/>
        </w:rPr>
        <w:t xml:space="preserve">REVOCA </w:t>
      </w:r>
      <w:r w:rsidRPr="001108C2">
        <w:rPr>
          <w:rFonts w:ascii="Palatino Linotype" w:hAnsi="Palatino Linotype" w:cs="Arial"/>
          <w:sz w:val="24"/>
        </w:rPr>
        <w:t>la respuesta a la solicitud de información número</w:t>
      </w:r>
      <w:r w:rsidRPr="001108C2">
        <w:rPr>
          <w:rFonts w:ascii="Palatino Linotype" w:hAnsi="Palatino Linotype"/>
          <w:b/>
          <w:sz w:val="24"/>
        </w:rPr>
        <w:t xml:space="preserve"> </w:t>
      </w:r>
      <w:r w:rsidRPr="001108C2">
        <w:rPr>
          <w:rFonts w:ascii="Palatino Linotype" w:hAnsi="Palatino Linotype" w:cs="Arial"/>
          <w:b/>
          <w:sz w:val="24"/>
        </w:rPr>
        <w:t>00591/NAUCALPA/IP/2018</w:t>
      </w:r>
      <w:r w:rsidR="00F217C5" w:rsidRPr="001108C2">
        <w:rPr>
          <w:rFonts w:ascii="Palatino Linotype" w:hAnsi="Palatino Linotype" w:cs="Arial"/>
          <w:sz w:val="24"/>
        </w:rPr>
        <w:t>,</w:t>
      </w:r>
      <w:r w:rsidRPr="001108C2">
        <w:rPr>
          <w:rFonts w:ascii="Palatino Linotype" w:hAnsi="Palatino Linotype"/>
          <w:sz w:val="24"/>
        </w:rPr>
        <w:t xml:space="preserve"> que ha sido materia del presente fallo.</w:t>
      </w:r>
    </w:p>
    <w:p w:rsidR="005A0C60" w:rsidRPr="001108C2" w:rsidRDefault="005A0C60" w:rsidP="005A0C60">
      <w:pPr>
        <w:pStyle w:val="Sinespaciado"/>
        <w:spacing w:line="360" w:lineRule="auto"/>
        <w:jc w:val="both"/>
        <w:rPr>
          <w:rFonts w:ascii="Palatino Linotype" w:hAnsi="Palatino Linotype"/>
        </w:rPr>
      </w:pPr>
    </w:p>
    <w:p w:rsidR="005A0C60" w:rsidRPr="001108C2" w:rsidRDefault="005A0C60" w:rsidP="005A0C60">
      <w:pPr>
        <w:pStyle w:val="Sinespaciado"/>
        <w:spacing w:line="360" w:lineRule="auto"/>
        <w:jc w:val="both"/>
        <w:rPr>
          <w:rFonts w:ascii="Palatino Linotype" w:hAnsi="Palatino Linotype"/>
          <w:sz w:val="24"/>
        </w:rPr>
      </w:pPr>
      <w:r w:rsidRPr="001108C2">
        <w:rPr>
          <w:rFonts w:ascii="Palatino Linotype" w:hAnsi="Palatino Linotype"/>
          <w:sz w:val="24"/>
        </w:rPr>
        <w:t>Por lo antes expuesto y fundado es de resolverse y,</w:t>
      </w:r>
    </w:p>
    <w:p w:rsidR="005A0C60" w:rsidRPr="001108C2" w:rsidRDefault="005A0C60" w:rsidP="005A0C60">
      <w:pPr>
        <w:pStyle w:val="Sinespaciado"/>
        <w:spacing w:line="360" w:lineRule="auto"/>
        <w:jc w:val="center"/>
        <w:rPr>
          <w:rFonts w:ascii="Palatino Linotype" w:hAnsi="Palatino Linotype"/>
          <w:b/>
          <w:bCs/>
          <w:spacing w:val="60"/>
        </w:rPr>
      </w:pPr>
    </w:p>
    <w:p w:rsidR="005A0C60" w:rsidRPr="001108C2" w:rsidRDefault="005A0C60" w:rsidP="005A0C60">
      <w:pPr>
        <w:pStyle w:val="Sinespaciado"/>
        <w:spacing w:line="360" w:lineRule="auto"/>
        <w:jc w:val="center"/>
        <w:rPr>
          <w:rFonts w:ascii="Palatino Linotype" w:hAnsi="Palatino Linotype"/>
          <w:b/>
          <w:bCs/>
          <w:spacing w:val="60"/>
          <w:sz w:val="28"/>
          <w:szCs w:val="28"/>
        </w:rPr>
      </w:pPr>
      <w:r w:rsidRPr="001108C2">
        <w:rPr>
          <w:rFonts w:ascii="Palatino Linotype" w:hAnsi="Palatino Linotype"/>
          <w:b/>
          <w:bCs/>
          <w:spacing w:val="60"/>
          <w:sz w:val="28"/>
          <w:szCs w:val="28"/>
        </w:rPr>
        <w:t>S</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E    R</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E</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S</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U</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E</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L</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V</w:t>
      </w:r>
      <w:r w:rsidR="00F217C5" w:rsidRPr="001108C2">
        <w:rPr>
          <w:rFonts w:ascii="Palatino Linotype" w:hAnsi="Palatino Linotype"/>
          <w:b/>
          <w:bCs/>
          <w:spacing w:val="60"/>
          <w:sz w:val="28"/>
          <w:szCs w:val="28"/>
        </w:rPr>
        <w:t xml:space="preserve"> </w:t>
      </w:r>
      <w:r w:rsidRPr="001108C2">
        <w:rPr>
          <w:rFonts w:ascii="Palatino Linotype" w:hAnsi="Palatino Linotype"/>
          <w:b/>
          <w:bCs/>
          <w:spacing w:val="60"/>
          <w:sz w:val="28"/>
          <w:szCs w:val="28"/>
        </w:rPr>
        <w:t>E</w:t>
      </w:r>
      <w:r w:rsidR="00F217C5" w:rsidRPr="001108C2">
        <w:rPr>
          <w:rFonts w:ascii="Palatino Linotype" w:hAnsi="Palatino Linotype"/>
          <w:b/>
          <w:bCs/>
          <w:spacing w:val="60"/>
          <w:sz w:val="28"/>
          <w:szCs w:val="28"/>
        </w:rPr>
        <w:t xml:space="preserve"> </w:t>
      </w:r>
    </w:p>
    <w:p w:rsidR="005A0C60" w:rsidRPr="001108C2" w:rsidRDefault="005A0C60" w:rsidP="005A0C60">
      <w:pPr>
        <w:spacing w:after="0" w:line="360" w:lineRule="auto"/>
        <w:jc w:val="center"/>
        <w:rPr>
          <w:rFonts w:ascii="Palatino Linotype" w:eastAsia="Times New Roman" w:hAnsi="Palatino Linotype"/>
          <w:b/>
          <w:bCs/>
          <w:spacing w:val="60"/>
          <w:sz w:val="12"/>
          <w:szCs w:val="24"/>
        </w:rPr>
      </w:pPr>
    </w:p>
    <w:p w:rsidR="005A0C60" w:rsidRPr="001108C2" w:rsidRDefault="005A0C60" w:rsidP="005A0C60">
      <w:pPr>
        <w:pStyle w:val="Sinespaciado"/>
        <w:spacing w:line="360" w:lineRule="auto"/>
        <w:jc w:val="both"/>
        <w:rPr>
          <w:rFonts w:ascii="Palatino Linotype" w:hAnsi="Palatino Linotype" w:cs="Arial"/>
          <w:sz w:val="24"/>
        </w:rPr>
      </w:pPr>
      <w:r w:rsidRPr="001108C2">
        <w:rPr>
          <w:rFonts w:ascii="Palatino Linotype" w:hAnsi="Palatino Linotype" w:cs="Arial"/>
          <w:b/>
          <w:sz w:val="28"/>
          <w:szCs w:val="26"/>
        </w:rPr>
        <w:t>PRIMERO.</w:t>
      </w:r>
      <w:r w:rsidRPr="001108C2">
        <w:rPr>
          <w:rFonts w:ascii="Palatino Linotype" w:hAnsi="Palatino Linotype" w:cs="Arial"/>
          <w:sz w:val="24"/>
        </w:rPr>
        <w:t xml:space="preserve"> Se </w:t>
      </w:r>
      <w:r w:rsidRPr="001108C2">
        <w:rPr>
          <w:rFonts w:ascii="Palatino Linotype" w:hAnsi="Palatino Linotype" w:cs="Arial"/>
          <w:b/>
          <w:sz w:val="24"/>
        </w:rPr>
        <w:t>REVOCA</w:t>
      </w:r>
      <w:r w:rsidRPr="001108C2">
        <w:rPr>
          <w:rFonts w:ascii="Palatino Linotype" w:hAnsi="Palatino Linotype" w:cs="Arial"/>
          <w:sz w:val="24"/>
        </w:rPr>
        <w:t xml:space="preserve"> </w:t>
      </w:r>
      <w:r w:rsidRPr="001108C2">
        <w:rPr>
          <w:rFonts w:ascii="Palatino Linotype" w:eastAsia="Arial Unicode MS" w:hAnsi="Palatino Linotype" w:cs="Arial"/>
          <w:sz w:val="24"/>
        </w:rPr>
        <w:t xml:space="preserve">la respuesta entregada por </w:t>
      </w:r>
      <w:r w:rsidRPr="001108C2">
        <w:rPr>
          <w:rFonts w:ascii="Palatino Linotype" w:eastAsia="Arial Unicode MS" w:hAnsi="Palatino Linotype" w:cs="Arial"/>
          <w:b/>
          <w:sz w:val="24"/>
        </w:rPr>
        <w:t xml:space="preserve">El Sujeto Obligado </w:t>
      </w:r>
      <w:r w:rsidRPr="001108C2">
        <w:rPr>
          <w:rFonts w:ascii="Palatino Linotype" w:eastAsia="Arial Unicode MS" w:hAnsi="Palatino Linotype" w:cs="Arial"/>
          <w:sz w:val="24"/>
        </w:rPr>
        <w:t xml:space="preserve">a la solicitud de información número </w:t>
      </w:r>
      <w:r w:rsidR="00F217C5" w:rsidRPr="001108C2">
        <w:rPr>
          <w:rFonts w:ascii="Palatino Linotype" w:hAnsi="Palatino Linotype" w:cs="Arial"/>
          <w:b/>
          <w:sz w:val="24"/>
        </w:rPr>
        <w:t>00591/NAUCALPA/IP/2018</w:t>
      </w:r>
      <w:r w:rsidRPr="001108C2">
        <w:rPr>
          <w:rFonts w:ascii="Palatino Linotype" w:eastAsia="Arial Unicode MS" w:hAnsi="Palatino Linotype" w:cs="Arial"/>
          <w:sz w:val="24"/>
        </w:rPr>
        <w:t xml:space="preserve">, por resultar </w:t>
      </w:r>
      <w:r w:rsidR="00E2564A" w:rsidRPr="001108C2">
        <w:rPr>
          <w:rFonts w:ascii="Palatino Linotype" w:hAnsi="Palatino Linotype"/>
          <w:sz w:val="24"/>
        </w:rPr>
        <w:t>parcialmente</w:t>
      </w:r>
      <w:r w:rsidR="00E2564A" w:rsidRPr="001108C2">
        <w:rPr>
          <w:rFonts w:ascii="Palatino Linotype" w:eastAsia="Arial Unicode MS" w:hAnsi="Palatino Linotype" w:cs="Arial"/>
          <w:sz w:val="28"/>
        </w:rPr>
        <w:t xml:space="preserve"> </w:t>
      </w:r>
      <w:r w:rsidRPr="001108C2">
        <w:rPr>
          <w:rFonts w:ascii="Palatino Linotype" w:eastAsia="Arial Unicode MS" w:hAnsi="Palatino Linotype" w:cs="Arial"/>
          <w:sz w:val="24"/>
        </w:rPr>
        <w:t xml:space="preserve">fundados los motivos de inconformidad que arguye </w:t>
      </w:r>
      <w:r w:rsidRPr="001108C2">
        <w:rPr>
          <w:rFonts w:ascii="Palatino Linotype" w:eastAsia="Arial Unicode MS" w:hAnsi="Palatino Linotype" w:cs="Arial"/>
          <w:b/>
          <w:sz w:val="24"/>
        </w:rPr>
        <w:t>El Recurrente</w:t>
      </w:r>
      <w:r w:rsidRPr="001108C2">
        <w:rPr>
          <w:rFonts w:ascii="Palatino Linotype" w:eastAsia="Arial Unicode MS" w:hAnsi="Palatino Linotype" w:cs="Arial"/>
          <w:sz w:val="24"/>
        </w:rPr>
        <w:t>, en términos del</w:t>
      </w:r>
      <w:r w:rsidRPr="001108C2">
        <w:rPr>
          <w:rFonts w:ascii="Palatino Linotype" w:eastAsia="Arial Unicode MS" w:hAnsi="Palatino Linotype" w:cs="Arial"/>
          <w:b/>
          <w:sz w:val="24"/>
        </w:rPr>
        <w:t xml:space="preserve"> </w:t>
      </w:r>
      <w:r w:rsidRPr="001108C2">
        <w:rPr>
          <w:rFonts w:ascii="Palatino Linotype" w:hAnsi="Palatino Linotype" w:cs="Arial"/>
          <w:sz w:val="24"/>
        </w:rPr>
        <w:t>Considerando</w:t>
      </w:r>
      <w:r w:rsidRPr="001108C2">
        <w:rPr>
          <w:rFonts w:ascii="Palatino Linotype" w:hAnsi="Palatino Linotype" w:cs="Arial"/>
          <w:b/>
          <w:sz w:val="24"/>
        </w:rPr>
        <w:t xml:space="preserve"> CUARTO </w:t>
      </w:r>
      <w:r w:rsidRPr="001108C2">
        <w:rPr>
          <w:rFonts w:ascii="Palatino Linotype" w:hAnsi="Palatino Linotype" w:cs="Arial"/>
          <w:sz w:val="24"/>
        </w:rPr>
        <w:t>de la presente resolución.</w:t>
      </w:r>
    </w:p>
    <w:p w:rsidR="005A0C60" w:rsidRPr="001108C2" w:rsidRDefault="005A0C60" w:rsidP="005A0C60">
      <w:pPr>
        <w:pStyle w:val="Sinespaciado"/>
        <w:spacing w:line="360" w:lineRule="auto"/>
        <w:jc w:val="both"/>
        <w:rPr>
          <w:rFonts w:ascii="Palatino Linotype" w:hAnsi="Palatino Linotype" w:cs="Arial"/>
          <w:sz w:val="24"/>
        </w:rPr>
      </w:pPr>
    </w:p>
    <w:p w:rsidR="005A0C60" w:rsidRPr="001108C2" w:rsidRDefault="005A0C60" w:rsidP="005A0C60">
      <w:pPr>
        <w:autoSpaceDE w:val="0"/>
        <w:autoSpaceDN w:val="0"/>
        <w:adjustRightInd w:val="0"/>
        <w:spacing w:after="0" w:line="360" w:lineRule="auto"/>
        <w:ind w:right="49"/>
        <w:jc w:val="both"/>
        <w:rPr>
          <w:rFonts w:ascii="Palatino Linotype" w:hAnsi="Palatino Linotype" w:cs="Arial"/>
          <w:sz w:val="24"/>
          <w:szCs w:val="24"/>
        </w:rPr>
      </w:pPr>
      <w:r w:rsidRPr="001108C2">
        <w:rPr>
          <w:rFonts w:ascii="Palatino Linotype" w:hAnsi="Palatino Linotype" w:cs="Arial"/>
          <w:b/>
          <w:sz w:val="28"/>
          <w:szCs w:val="26"/>
        </w:rPr>
        <w:lastRenderedPageBreak/>
        <w:t>SEGUNDO.</w:t>
      </w:r>
      <w:r w:rsidRPr="001108C2">
        <w:rPr>
          <w:rFonts w:ascii="Palatino Linotype" w:hAnsi="Palatino Linotype" w:cs="Arial"/>
          <w:sz w:val="24"/>
        </w:rPr>
        <w:t xml:space="preserve"> </w:t>
      </w:r>
      <w:r w:rsidRPr="001108C2">
        <w:rPr>
          <w:rFonts w:ascii="Palatino Linotype" w:hAnsi="Palatino Linotype" w:cs="Arial"/>
          <w:sz w:val="24"/>
          <w:szCs w:val="24"/>
        </w:rPr>
        <w:t xml:space="preserve">Se </w:t>
      </w:r>
      <w:r w:rsidRPr="001108C2">
        <w:rPr>
          <w:rFonts w:ascii="Palatino Linotype" w:hAnsi="Palatino Linotype" w:cs="Arial"/>
          <w:b/>
          <w:sz w:val="24"/>
          <w:szCs w:val="24"/>
        </w:rPr>
        <w:t>ORDENA</w:t>
      </w:r>
      <w:r w:rsidRPr="001108C2">
        <w:rPr>
          <w:rFonts w:ascii="Palatino Linotype" w:hAnsi="Palatino Linotype" w:cs="Arial"/>
          <w:sz w:val="24"/>
          <w:szCs w:val="24"/>
        </w:rPr>
        <w:t xml:space="preserve"> al</w:t>
      </w:r>
      <w:r w:rsidRPr="001108C2">
        <w:rPr>
          <w:rFonts w:ascii="Palatino Linotype" w:hAnsi="Palatino Linotype"/>
          <w:sz w:val="24"/>
          <w:szCs w:val="24"/>
        </w:rPr>
        <w:t xml:space="preserve"> </w:t>
      </w:r>
      <w:r w:rsidRPr="001108C2">
        <w:rPr>
          <w:rFonts w:ascii="Palatino Linotype" w:hAnsi="Palatino Linotype"/>
          <w:b/>
          <w:sz w:val="24"/>
          <w:szCs w:val="24"/>
        </w:rPr>
        <w:t>Sujeto Obligado</w:t>
      </w:r>
      <w:r w:rsidRPr="001108C2">
        <w:rPr>
          <w:rFonts w:ascii="Palatino Linotype" w:hAnsi="Palatino Linotype"/>
          <w:sz w:val="24"/>
          <w:szCs w:val="24"/>
        </w:rPr>
        <w:t xml:space="preserve">, haga entrega al </w:t>
      </w:r>
      <w:r w:rsidRPr="001108C2">
        <w:rPr>
          <w:rFonts w:ascii="Palatino Linotype" w:hAnsi="Palatino Linotype"/>
          <w:b/>
          <w:sz w:val="24"/>
          <w:szCs w:val="24"/>
        </w:rPr>
        <w:t>Recurrente</w:t>
      </w:r>
      <w:r w:rsidRPr="001108C2">
        <w:rPr>
          <w:rFonts w:ascii="Palatino Linotype" w:hAnsi="Palatino Linotype"/>
          <w:sz w:val="24"/>
          <w:szCs w:val="24"/>
        </w:rPr>
        <w:t xml:space="preserve"> en términos del Considerando </w:t>
      </w:r>
      <w:r w:rsidRPr="001108C2">
        <w:rPr>
          <w:rFonts w:ascii="Palatino Linotype" w:hAnsi="Palatino Linotype"/>
          <w:b/>
          <w:sz w:val="24"/>
          <w:szCs w:val="24"/>
        </w:rPr>
        <w:t xml:space="preserve">CUARTO </w:t>
      </w:r>
      <w:r w:rsidRPr="001108C2">
        <w:rPr>
          <w:rFonts w:ascii="Palatino Linotype" w:hAnsi="Palatino Linotype"/>
          <w:sz w:val="24"/>
          <w:szCs w:val="24"/>
        </w:rPr>
        <w:t xml:space="preserve">de esta resolución, </w:t>
      </w:r>
      <w:r w:rsidR="00F217C5" w:rsidRPr="001108C2">
        <w:rPr>
          <w:rFonts w:ascii="Palatino Linotype" w:hAnsi="Palatino Linotype"/>
          <w:sz w:val="24"/>
          <w:szCs w:val="24"/>
        </w:rPr>
        <w:t xml:space="preserve">en </w:t>
      </w:r>
      <w:r w:rsidR="00F217C5" w:rsidRPr="001108C2">
        <w:rPr>
          <w:rFonts w:ascii="Palatino Linotype" w:hAnsi="Palatino Linotype"/>
          <w:b/>
          <w:sz w:val="24"/>
          <w:szCs w:val="24"/>
        </w:rPr>
        <w:t>Copias Certificadas (con costo)</w:t>
      </w:r>
      <w:r w:rsidR="00F217C5" w:rsidRPr="001108C2">
        <w:rPr>
          <w:rFonts w:ascii="Palatino Linotype" w:hAnsi="Palatino Linotype"/>
          <w:sz w:val="24"/>
          <w:szCs w:val="24"/>
        </w:rPr>
        <w:t>,</w:t>
      </w:r>
      <w:r w:rsidR="00E2564A" w:rsidRPr="001108C2">
        <w:rPr>
          <w:rFonts w:ascii="Palatino Linotype" w:hAnsi="Palatino Linotype" w:cs="Arial"/>
        </w:rPr>
        <w:t xml:space="preserve"> </w:t>
      </w:r>
      <w:r w:rsidR="00E2564A" w:rsidRPr="001108C2">
        <w:rPr>
          <w:rFonts w:ascii="Palatino Linotype" w:hAnsi="Palatino Linotype" w:cs="Arial"/>
          <w:sz w:val="24"/>
        </w:rPr>
        <w:t>en versión pública</w:t>
      </w:r>
      <w:r w:rsidR="00E2564A" w:rsidRPr="001108C2">
        <w:rPr>
          <w:rFonts w:ascii="Palatino Linotype" w:hAnsi="Palatino Linotype" w:cs="Arial"/>
        </w:rPr>
        <w:t>,</w:t>
      </w:r>
      <w:r w:rsidR="00F217C5" w:rsidRPr="001108C2">
        <w:rPr>
          <w:rFonts w:ascii="Palatino Linotype" w:hAnsi="Palatino Linotype"/>
          <w:sz w:val="24"/>
          <w:szCs w:val="24"/>
        </w:rPr>
        <w:t xml:space="preserve"> la siguiente información:</w:t>
      </w:r>
    </w:p>
    <w:p w:rsidR="005A0C60" w:rsidRPr="001108C2" w:rsidRDefault="005A0C60" w:rsidP="00E2564A">
      <w:pPr>
        <w:pStyle w:val="Sinespaciado"/>
      </w:pPr>
    </w:p>
    <w:p w:rsidR="005A0C60" w:rsidRPr="001108C2" w:rsidRDefault="00F217C5" w:rsidP="00F217C5">
      <w:pPr>
        <w:pStyle w:val="Prrafodelista"/>
        <w:numPr>
          <w:ilvl w:val="0"/>
          <w:numId w:val="20"/>
        </w:numPr>
        <w:autoSpaceDE w:val="0"/>
        <w:autoSpaceDN w:val="0"/>
        <w:adjustRightInd w:val="0"/>
        <w:spacing w:line="360" w:lineRule="auto"/>
        <w:ind w:right="49"/>
        <w:jc w:val="both"/>
        <w:rPr>
          <w:rFonts w:ascii="Palatino Linotype" w:hAnsi="Palatino Linotype" w:cs="Arial"/>
        </w:rPr>
      </w:pPr>
      <w:r w:rsidRPr="001108C2">
        <w:rPr>
          <w:rFonts w:ascii="Palatino Linotype" w:hAnsi="Palatino Linotype" w:cs="Arial"/>
        </w:rPr>
        <w:t>La Autorización de Cambio de Uso del Suelo con número de expediente CUS/032/2017 con fecha de expedición del 18 de septiembre de 2017, con nombre del titular de Corporativo INCOSOL, SA de CV.</w:t>
      </w:r>
    </w:p>
    <w:p w:rsidR="00E2564A" w:rsidRPr="001108C2" w:rsidRDefault="00E2564A" w:rsidP="00E2564A">
      <w:pPr>
        <w:pStyle w:val="Sinespaciado"/>
        <w:rPr>
          <w:sz w:val="24"/>
        </w:rPr>
      </w:pPr>
    </w:p>
    <w:p w:rsidR="00E2564A" w:rsidRPr="001108C2" w:rsidRDefault="00E2564A" w:rsidP="00E2564A">
      <w:pPr>
        <w:spacing w:after="0" w:line="240" w:lineRule="auto"/>
        <w:ind w:left="426"/>
        <w:jc w:val="both"/>
        <w:rPr>
          <w:rFonts w:ascii="Palatino Linotype" w:hAnsi="Palatino Linotype" w:cs="Arial"/>
          <w:i/>
        </w:rPr>
      </w:pPr>
      <w:r w:rsidRPr="001108C2">
        <w:rPr>
          <w:rFonts w:ascii="Palatino Linotype" w:hAnsi="Palatino Linotype" w:cs="Arial"/>
          <w:i/>
        </w:rPr>
        <w:t xml:space="preserve">Debiendo notificar al </w:t>
      </w:r>
      <w:r w:rsidRPr="001108C2">
        <w:rPr>
          <w:rFonts w:ascii="Palatino Linotype" w:hAnsi="Palatino Linotype" w:cs="Arial"/>
          <w:b/>
          <w:i/>
        </w:rPr>
        <w:t>Recurrente</w:t>
      </w:r>
      <w:r w:rsidRPr="001108C2">
        <w:rPr>
          <w:rFonts w:ascii="Palatino Linotype" w:hAnsi="Palatino Linotype" w:cs="Arial"/>
          <w:i/>
        </w:rPr>
        <w:t xml:space="preserve"> el Acuerdo de Clasificación de la información que apruebe el Comité de Transparencia con motivo de la versión pública, en términos de lo señalado en el Considerando </w:t>
      </w:r>
      <w:r w:rsidRPr="001108C2">
        <w:rPr>
          <w:rFonts w:ascii="Palatino Linotype" w:hAnsi="Palatino Linotype" w:cs="Arial"/>
          <w:b/>
          <w:i/>
        </w:rPr>
        <w:t>CUARTO</w:t>
      </w:r>
      <w:r w:rsidRPr="001108C2">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 </w:t>
      </w:r>
    </w:p>
    <w:p w:rsidR="00E2564A" w:rsidRPr="001108C2" w:rsidRDefault="00E2564A" w:rsidP="00E2564A">
      <w:pPr>
        <w:pStyle w:val="Sinespaciado"/>
      </w:pPr>
    </w:p>
    <w:p w:rsidR="005A0C60" w:rsidRPr="001108C2" w:rsidRDefault="00D16BD0" w:rsidP="00D16BD0">
      <w:pPr>
        <w:spacing w:before="240" w:after="240" w:line="276" w:lineRule="auto"/>
        <w:ind w:left="426"/>
        <w:jc w:val="both"/>
        <w:rPr>
          <w:rFonts w:ascii="Palatino Linotype" w:hAnsi="Palatino Linotype"/>
          <w:i/>
          <w:color w:val="222222"/>
          <w:shd w:val="clear" w:color="auto" w:fill="FFFFFF"/>
        </w:rPr>
      </w:pPr>
      <w:r w:rsidRPr="001108C2">
        <w:rPr>
          <w:rFonts w:ascii="Palatino Linotype" w:hAnsi="Palatino Linotype" w:cs="Arial"/>
          <w:i/>
        </w:rPr>
        <w:t xml:space="preserve">Para la entrega de la información en copias certificadas, </w:t>
      </w:r>
      <w:r w:rsidRPr="001108C2">
        <w:rPr>
          <w:rFonts w:ascii="Palatino Linotype" w:hAnsi="Palatino Linotype" w:cs="Arial"/>
          <w:b/>
          <w:i/>
        </w:rPr>
        <w:t>El Sujeto Obligado</w:t>
      </w:r>
      <w:r w:rsidRPr="001108C2">
        <w:rPr>
          <w:rFonts w:ascii="Palatino Linotype" w:hAnsi="Palatino Linotype" w:cs="Arial"/>
          <w:i/>
        </w:rPr>
        <w:t xml:space="preserve"> previamente</w:t>
      </w:r>
      <w:r w:rsidRPr="001108C2">
        <w:rPr>
          <w:rFonts w:ascii="Palatino Linotype" w:hAnsi="Palatino Linotype"/>
          <w:i/>
          <w:color w:val="222222"/>
          <w:shd w:val="clear" w:color="auto" w:fill="FFFFFF"/>
        </w:rPr>
        <w:t xml:space="preserve"> deberá </w:t>
      </w:r>
      <w:r w:rsidRPr="001108C2">
        <w:rPr>
          <w:rFonts w:ascii="Palatino Linotype" w:hAnsi="Palatino Linotype"/>
          <w:i/>
          <w:shd w:val="clear" w:color="auto" w:fill="FFFFFF"/>
        </w:rPr>
        <w:t xml:space="preserve">hacer de conocimiento de la parte </w:t>
      </w:r>
      <w:r w:rsidRPr="001108C2">
        <w:rPr>
          <w:rFonts w:ascii="Palatino Linotype" w:hAnsi="Palatino Linotype"/>
          <w:b/>
          <w:i/>
          <w:shd w:val="clear" w:color="auto" w:fill="FFFFFF"/>
        </w:rPr>
        <w:t>Recurrente</w:t>
      </w:r>
      <w:r w:rsidRPr="001108C2">
        <w:rPr>
          <w:rFonts w:ascii="Palatino Linotype" w:hAnsi="Palatino Linotype"/>
          <w:i/>
          <w:shd w:val="clear" w:color="auto" w:fill="FFFFFF"/>
        </w:rPr>
        <w:t>, el costo total de la reproducción de la información, así como la referencia del lugar, horario y procedimiento para realizar el pago correspondiente.</w:t>
      </w:r>
    </w:p>
    <w:p w:rsidR="00F217C5" w:rsidRPr="001108C2" w:rsidRDefault="00F217C5" w:rsidP="005A0C60">
      <w:pPr>
        <w:pStyle w:val="Sinespaciado"/>
        <w:spacing w:line="360" w:lineRule="auto"/>
        <w:jc w:val="both"/>
        <w:rPr>
          <w:rFonts w:ascii="Palatino Linotype" w:hAnsi="Palatino Linotype" w:cs="Arial"/>
          <w:b/>
          <w:sz w:val="26"/>
          <w:szCs w:val="26"/>
        </w:rPr>
      </w:pPr>
    </w:p>
    <w:p w:rsidR="005A0C60" w:rsidRPr="001108C2" w:rsidRDefault="005A0C60" w:rsidP="005A0C60">
      <w:pPr>
        <w:pStyle w:val="Sinespaciado"/>
        <w:spacing w:line="360" w:lineRule="auto"/>
        <w:jc w:val="both"/>
        <w:rPr>
          <w:rFonts w:ascii="Palatino Linotype" w:hAnsi="Palatino Linotype" w:cs="Arial"/>
          <w:sz w:val="24"/>
        </w:rPr>
      </w:pPr>
      <w:r w:rsidRPr="001108C2">
        <w:rPr>
          <w:rFonts w:ascii="Palatino Linotype" w:hAnsi="Palatino Linotype" w:cs="Arial"/>
          <w:b/>
          <w:sz w:val="28"/>
          <w:szCs w:val="26"/>
        </w:rPr>
        <w:t>TERCERO.</w:t>
      </w:r>
      <w:r w:rsidRPr="001108C2">
        <w:rPr>
          <w:rFonts w:ascii="Palatino Linotype" w:hAnsi="Palatino Linotype" w:cs="Arial"/>
          <w:b/>
          <w:sz w:val="24"/>
        </w:rPr>
        <w:t xml:space="preserve"> NOTIFÍQUESE</w:t>
      </w:r>
      <w:r w:rsidRPr="001108C2">
        <w:rPr>
          <w:rFonts w:ascii="Palatino Linotype" w:hAnsi="Palatino Linotype" w:cs="Arial"/>
          <w:b/>
          <w:i/>
          <w:sz w:val="24"/>
        </w:rPr>
        <w:t xml:space="preserve"> </w:t>
      </w:r>
      <w:r w:rsidRPr="001108C2">
        <w:rPr>
          <w:rFonts w:ascii="Palatino Linotype" w:hAnsi="Palatino Linotype" w:cs="Arial"/>
          <w:sz w:val="24"/>
        </w:rPr>
        <w:t>al Titular de la Unidad de Transparencia del</w:t>
      </w:r>
      <w:r w:rsidRPr="001108C2">
        <w:rPr>
          <w:rFonts w:ascii="Palatino Linotype" w:hAnsi="Palatino Linotype" w:cs="Arial"/>
          <w:b/>
          <w:sz w:val="24"/>
        </w:rPr>
        <w:t xml:space="preserve"> </w:t>
      </w:r>
      <w:r w:rsidRPr="001108C2">
        <w:rPr>
          <w:rFonts w:ascii="Palatino Linotype" w:hAnsi="Palatino Linotype" w:cs="Arial"/>
          <w:sz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A0C60" w:rsidRPr="001108C2" w:rsidRDefault="005A0C60" w:rsidP="005A0C60">
      <w:pPr>
        <w:pStyle w:val="Sinespaciado"/>
        <w:spacing w:line="360" w:lineRule="auto"/>
        <w:jc w:val="both"/>
        <w:rPr>
          <w:rFonts w:ascii="Palatino Linotype" w:hAnsi="Palatino Linotype" w:cs="Arial"/>
        </w:rPr>
      </w:pPr>
    </w:p>
    <w:p w:rsidR="005A0C60" w:rsidRPr="001108C2" w:rsidRDefault="005A0C60" w:rsidP="005A0C60">
      <w:pPr>
        <w:pStyle w:val="Sinespaciado"/>
        <w:spacing w:line="360" w:lineRule="auto"/>
        <w:jc w:val="both"/>
        <w:rPr>
          <w:rFonts w:ascii="Palatino Linotype" w:hAnsi="Palatino Linotype"/>
          <w:color w:val="222222"/>
          <w:sz w:val="24"/>
          <w:shd w:val="clear" w:color="auto" w:fill="FFFFFF"/>
        </w:rPr>
      </w:pPr>
      <w:r w:rsidRPr="001108C2">
        <w:rPr>
          <w:rFonts w:ascii="Palatino Linotype" w:hAnsi="Palatino Linotype" w:cs="Arial"/>
          <w:b/>
          <w:sz w:val="28"/>
          <w:szCs w:val="26"/>
        </w:rPr>
        <w:t>CUARTO.</w:t>
      </w:r>
      <w:r w:rsidRPr="001108C2">
        <w:rPr>
          <w:rFonts w:ascii="Palatino Linotype" w:hAnsi="Palatino Linotype" w:cs="Arial"/>
          <w:b/>
          <w:sz w:val="24"/>
        </w:rPr>
        <w:t xml:space="preserve"> NOTIFÍQUESE </w:t>
      </w:r>
      <w:r w:rsidRPr="001108C2">
        <w:rPr>
          <w:rFonts w:ascii="Palatino Linotype" w:hAnsi="Palatino Linotype" w:cs="Arial"/>
          <w:sz w:val="24"/>
        </w:rPr>
        <w:t xml:space="preserve">la presente resolución al </w:t>
      </w:r>
      <w:r w:rsidRPr="001108C2">
        <w:rPr>
          <w:rFonts w:ascii="Palatino Linotype" w:hAnsi="Palatino Linotype" w:cs="Arial"/>
          <w:b/>
          <w:sz w:val="24"/>
        </w:rPr>
        <w:t>Recurrente</w:t>
      </w:r>
      <w:r w:rsidRPr="001108C2">
        <w:rPr>
          <w:rFonts w:ascii="Palatino Linotype" w:hAnsi="Palatino Linotype" w:cs="Arial"/>
          <w:sz w:val="24"/>
        </w:rPr>
        <w:t xml:space="preserve"> y hágase de su conocimiento que, </w:t>
      </w:r>
      <w:r w:rsidRPr="001108C2">
        <w:rPr>
          <w:rFonts w:ascii="Palatino Linotype" w:hAnsi="Palatino Linotype"/>
          <w:color w:val="222222"/>
          <w:sz w:val="24"/>
          <w:shd w:val="clear" w:color="auto" w:fill="FFFFFF"/>
        </w:rPr>
        <w:t xml:space="preserve">de conformidad con lo establecido en el artículo 196, de la Ley de </w:t>
      </w:r>
      <w:r w:rsidRPr="001108C2">
        <w:rPr>
          <w:rFonts w:ascii="Palatino Linotype" w:hAnsi="Palatino Linotype"/>
          <w:color w:val="222222"/>
          <w:sz w:val="24"/>
          <w:shd w:val="clear" w:color="auto" w:fill="FFFFFF"/>
        </w:rPr>
        <w:lastRenderedPageBreak/>
        <w:t>Transparencia y Acceso a la Información Pública del Estado de México y Municipios,</w:t>
      </w:r>
      <w:r w:rsidRPr="001108C2">
        <w:rPr>
          <w:rStyle w:val="apple-converted-space"/>
          <w:rFonts w:ascii="Palatino Linotype" w:hAnsi="Palatino Linotype"/>
          <w:color w:val="222222"/>
          <w:sz w:val="24"/>
          <w:shd w:val="clear" w:color="auto" w:fill="FFFFFF"/>
        </w:rPr>
        <w:t xml:space="preserve"> </w:t>
      </w:r>
      <w:r w:rsidRPr="001108C2">
        <w:rPr>
          <w:rFonts w:ascii="Palatino Linotype" w:hAnsi="Palatino Linotype"/>
          <w:color w:val="222222"/>
          <w:sz w:val="24"/>
          <w:shd w:val="clear" w:color="auto" w:fill="FFFFFF"/>
        </w:rPr>
        <w:t>podrá promover el Juicio de Amparo en los términos de las leyes aplicables.</w:t>
      </w:r>
    </w:p>
    <w:p w:rsidR="005A0C60" w:rsidRPr="001108C2" w:rsidRDefault="005A0C60" w:rsidP="005A0C60">
      <w:pPr>
        <w:pStyle w:val="Sinespaciado"/>
      </w:pPr>
    </w:p>
    <w:p w:rsidR="007E2E80" w:rsidRPr="001108C2" w:rsidRDefault="005A0C60" w:rsidP="00055312">
      <w:pPr>
        <w:spacing w:before="240" w:line="360" w:lineRule="auto"/>
        <w:jc w:val="both"/>
        <w:rPr>
          <w:rFonts w:ascii="Palatino Linotype" w:hAnsi="Palatino Linotype" w:cs="Arial"/>
          <w:sz w:val="24"/>
          <w:szCs w:val="24"/>
        </w:rPr>
      </w:pPr>
      <w:r w:rsidRPr="001108C2">
        <w:rPr>
          <w:rFonts w:ascii="Palatino Linotype" w:hAnsi="Palatino Linotype" w:cs="Arial"/>
          <w:sz w:val="24"/>
          <w:szCs w:val="24"/>
        </w:rPr>
        <w:t>ASÍ LO RESUELVE, POR UNANIMIDAD DE VOTOS EL PLENO DEL</w:t>
      </w:r>
      <w:r w:rsidRPr="001108C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108C2">
        <w:rPr>
          <w:rFonts w:ascii="Palatino Linotype" w:hAnsi="Palatino Linotype" w:cs="Arial"/>
          <w:sz w:val="24"/>
          <w:szCs w:val="24"/>
        </w:rPr>
        <w:t>, CONFORMADO POR LOS COMISIONADOS ZULEMA MARTÍNEZ SÁNCHEZ, EVA ABAID YAPUR, JOSÉ GUADALUPE LUNA HERNÁNDEZ</w:t>
      </w:r>
      <w:r w:rsidR="00415E1B">
        <w:rPr>
          <w:rFonts w:ascii="Palatino Linotype" w:hAnsi="Palatino Linotype" w:cs="Arial"/>
          <w:sz w:val="24"/>
          <w:szCs w:val="24"/>
        </w:rPr>
        <w:t xml:space="preserve"> (EMITIENDO VOTO PARTICULAR CONCURRENTE)</w:t>
      </w:r>
      <w:r w:rsidRPr="001108C2">
        <w:rPr>
          <w:rFonts w:ascii="Palatino Linotype" w:hAnsi="Palatino Linotype" w:cs="Arial"/>
          <w:sz w:val="24"/>
          <w:szCs w:val="24"/>
        </w:rPr>
        <w:t>, JAVIER MARTÍNEZ CRUZ</w:t>
      </w:r>
      <w:r w:rsidR="00415E1B">
        <w:rPr>
          <w:rFonts w:ascii="Palatino Linotype" w:hAnsi="Palatino Linotype" w:cs="Arial"/>
          <w:sz w:val="24"/>
          <w:szCs w:val="24"/>
        </w:rPr>
        <w:t xml:space="preserve"> (EMITIENDO VOTO PARTICULAR CONCURRENTE)</w:t>
      </w:r>
      <w:r w:rsidRPr="001108C2">
        <w:rPr>
          <w:rFonts w:ascii="Palatino Linotype" w:hAnsi="Palatino Linotype" w:cs="Arial"/>
          <w:sz w:val="24"/>
          <w:szCs w:val="24"/>
        </w:rPr>
        <w:t xml:space="preserve"> Y LUIS GUSTAVO PARRA NORIEGA</w:t>
      </w:r>
      <w:r w:rsidR="00415E1B">
        <w:rPr>
          <w:rFonts w:ascii="Palatino Linotype" w:hAnsi="Palatino Linotype" w:cs="Arial"/>
          <w:sz w:val="24"/>
          <w:szCs w:val="24"/>
        </w:rPr>
        <w:t xml:space="preserve"> (EMITIENDO VOTO PARTICULAR CONCURRENTE)</w:t>
      </w:r>
      <w:r w:rsidRPr="001108C2">
        <w:rPr>
          <w:rFonts w:ascii="Palatino Linotype" w:hAnsi="Palatino Linotype" w:cs="Arial"/>
          <w:sz w:val="24"/>
          <w:szCs w:val="24"/>
        </w:rPr>
        <w:t xml:space="preserve">, EN LA </w:t>
      </w:r>
      <w:r w:rsidR="00E2564A" w:rsidRPr="001108C2">
        <w:rPr>
          <w:rFonts w:ascii="Palatino Linotype" w:hAnsi="Palatino Linotype" w:cs="Arial"/>
          <w:sz w:val="24"/>
          <w:szCs w:val="24"/>
        </w:rPr>
        <w:t>SEGUNDA</w:t>
      </w:r>
      <w:r w:rsidRPr="001108C2">
        <w:rPr>
          <w:rFonts w:ascii="Palatino Linotype" w:hAnsi="Palatino Linotype" w:cs="Arial"/>
          <w:sz w:val="24"/>
          <w:szCs w:val="24"/>
        </w:rPr>
        <w:t xml:space="preserve"> SESIÓN ORDINARIA CELEBRADA EL </w:t>
      </w:r>
      <w:r w:rsidR="00E2564A" w:rsidRPr="001108C2">
        <w:rPr>
          <w:rFonts w:ascii="Palatino Linotype" w:hAnsi="Palatino Linotype" w:cs="Arial"/>
          <w:sz w:val="24"/>
          <w:szCs w:val="24"/>
        </w:rPr>
        <w:t xml:space="preserve">DIECISÉIS </w:t>
      </w:r>
      <w:r w:rsidR="00F217C5" w:rsidRPr="001108C2">
        <w:rPr>
          <w:rFonts w:ascii="Palatino Linotype" w:hAnsi="Palatino Linotype" w:cs="Arial"/>
          <w:sz w:val="24"/>
          <w:szCs w:val="24"/>
        </w:rPr>
        <w:t>DE ENERO DE DOS MIL DIECINUEVE</w:t>
      </w:r>
      <w:r w:rsidRPr="001108C2">
        <w:rPr>
          <w:rFonts w:ascii="Palatino Linotype" w:hAnsi="Palatino Linotype" w:cs="Arial"/>
          <w:sz w:val="24"/>
          <w:szCs w:val="24"/>
        </w:rPr>
        <w:t>, ANTE EL SECRETARIO TÉCNICO DEL PLENO, ALEXIS TAPIA RAMÍREZ</w:t>
      </w:r>
      <w:r w:rsidR="007E2E80" w:rsidRPr="001108C2">
        <w:rPr>
          <w:rFonts w:ascii="Palatino Linotype" w:hAnsi="Palatino Linotype" w:cs="Arial"/>
          <w:sz w:val="24"/>
          <w:szCs w:val="24"/>
        </w:rPr>
        <w:t>.</w:t>
      </w:r>
      <w:r w:rsidR="00F2343A" w:rsidRPr="001108C2">
        <w:rPr>
          <w:rFonts w:ascii="Palatino Linotype" w:hAnsi="Palatino Linotype" w:cs="Arial"/>
          <w:sz w:val="24"/>
          <w:szCs w:val="24"/>
        </w:rPr>
        <w:t>--------------------------------------------</w:t>
      </w:r>
      <w:r w:rsidR="00B16CAC" w:rsidRPr="001108C2">
        <w:rPr>
          <w:rFonts w:ascii="Palatino Linotype" w:hAnsi="Palatino Linotype" w:cs="Arial"/>
          <w:sz w:val="24"/>
          <w:szCs w:val="24"/>
        </w:rPr>
        <w:t>------------------------------------------------------</w:t>
      </w:r>
      <w:r w:rsidR="00E2564A" w:rsidRPr="001108C2">
        <w:rPr>
          <w:rFonts w:ascii="Palatino Linotype" w:hAnsi="Palatino Linotype" w:cs="Arial"/>
          <w:sz w:val="24"/>
          <w:szCs w:val="24"/>
        </w:rPr>
        <w:t>-------------------------------------------------------------------------------------------------------------------------------------------------------------------------------------------------------------------------------------------------------------------------------------------------------------------------------------------------------------------------------------------------------------------------------------------------------------------------------------------------------------------------------------------------------------------------------------------------------------------------------------------------------------------------------------------------------------------------------------------------------------------------------------------------------------------------------------------------------------------------------------------------------------------------------------------------------------------------------------------------------------------------------------------------------------------------------------------------------------------------------------------------------------------------</w:t>
      </w:r>
      <w:r w:rsidR="00415E1B">
        <w:rPr>
          <w:rFonts w:ascii="Palatino Linotype" w:hAnsi="Palatino Linotype"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D57072" w:rsidRPr="001108C2" w:rsidTr="00F217C5">
        <w:tc>
          <w:tcPr>
            <w:tcW w:w="9062" w:type="dxa"/>
            <w:gridSpan w:val="2"/>
          </w:tcPr>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F217C5" w:rsidRPr="001108C2" w:rsidRDefault="00F217C5" w:rsidP="00AA4F9A">
            <w:pPr>
              <w:pStyle w:val="Sinespaciado"/>
              <w:spacing w:line="276" w:lineRule="auto"/>
              <w:jc w:val="center"/>
              <w:rPr>
                <w:rFonts w:ascii="Palatino Linotype" w:hAnsi="Palatino Linotype"/>
                <w:b/>
                <w:sz w:val="24"/>
                <w:szCs w:val="24"/>
              </w:rPr>
            </w:pP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Zulema Martínez Sánchez</w:t>
            </w:r>
          </w:p>
          <w:p w:rsidR="00D57072" w:rsidRPr="001108C2" w:rsidRDefault="00D57072" w:rsidP="005A0C60">
            <w:pPr>
              <w:pStyle w:val="Sinespaciado"/>
              <w:jc w:val="center"/>
              <w:rPr>
                <w:rFonts w:ascii="Palatino Linotype" w:hAnsi="Palatino Linotype"/>
                <w:sz w:val="24"/>
                <w:szCs w:val="24"/>
              </w:rPr>
            </w:pPr>
            <w:r w:rsidRPr="001108C2">
              <w:rPr>
                <w:rFonts w:ascii="Palatino Linotype" w:hAnsi="Palatino Linotype"/>
                <w:sz w:val="24"/>
                <w:szCs w:val="24"/>
              </w:rPr>
              <w:t>Comisionada Presidenta</w:t>
            </w: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r>
      <w:tr w:rsidR="00D57072" w:rsidRPr="001108C2" w:rsidTr="00F217C5">
        <w:tc>
          <w:tcPr>
            <w:tcW w:w="4532" w:type="dxa"/>
          </w:tcPr>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F217C5" w:rsidRPr="001108C2" w:rsidRDefault="00F217C5"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D57072" w:rsidRPr="001108C2" w:rsidRDefault="00676C32" w:rsidP="005A0C60">
            <w:pPr>
              <w:pStyle w:val="Sinespaciado"/>
              <w:jc w:val="center"/>
              <w:rPr>
                <w:rFonts w:ascii="Palatino Linotype" w:hAnsi="Palatino Linotype"/>
                <w:b/>
                <w:sz w:val="24"/>
                <w:szCs w:val="24"/>
              </w:rPr>
            </w:pPr>
            <w:r w:rsidRPr="001108C2">
              <w:rPr>
                <w:rFonts w:ascii="Palatino Linotype" w:hAnsi="Palatino Linotype"/>
                <w:b/>
                <w:sz w:val="24"/>
                <w:szCs w:val="24"/>
              </w:rPr>
              <w:t>Eva Ab</w:t>
            </w:r>
            <w:r w:rsidR="00D57072" w:rsidRPr="001108C2">
              <w:rPr>
                <w:rFonts w:ascii="Palatino Linotype" w:hAnsi="Palatino Linotype"/>
                <w:b/>
                <w:sz w:val="24"/>
                <w:szCs w:val="24"/>
              </w:rPr>
              <w:t>aid Yapur</w:t>
            </w:r>
          </w:p>
          <w:p w:rsidR="00D57072" w:rsidRPr="001108C2" w:rsidRDefault="00D57072" w:rsidP="005A0C60">
            <w:pPr>
              <w:pStyle w:val="Sinespaciado"/>
              <w:jc w:val="center"/>
              <w:rPr>
                <w:rFonts w:ascii="Palatino Linotype" w:hAnsi="Palatino Linotype"/>
                <w:sz w:val="24"/>
                <w:szCs w:val="24"/>
              </w:rPr>
            </w:pPr>
            <w:r w:rsidRPr="001108C2">
              <w:rPr>
                <w:rFonts w:ascii="Palatino Linotype" w:hAnsi="Palatino Linotype"/>
                <w:sz w:val="24"/>
                <w:szCs w:val="24"/>
              </w:rPr>
              <w:t>Comisionada</w:t>
            </w: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c>
          <w:tcPr>
            <w:tcW w:w="4530" w:type="dxa"/>
          </w:tcPr>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AA4F9A" w:rsidRPr="001108C2" w:rsidRDefault="00AA4F9A" w:rsidP="00AA4F9A">
            <w:pPr>
              <w:pStyle w:val="Sinespaciado"/>
              <w:spacing w:line="276" w:lineRule="auto"/>
              <w:jc w:val="center"/>
              <w:rPr>
                <w:rFonts w:ascii="Palatino Linotype" w:hAnsi="Palatino Linotype"/>
                <w:b/>
                <w:sz w:val="24"/>
                <w:szCs w:val="24"/>
              </w:rPr>
            </w:pPr>
          </w:p>
          <w:p w:rsidR="00F217C5" w:rsidRPr="001108C2" w:rsidRDefault="00F217C5" w:rsidP="00AA4F9A">
            <w:pPr>
              <w:pStyle w:val="Sinespaciado"/>
              <w:spacing w:line="276" w:lineRule="auto"/>
              <w:jc w:val="center"/>
              <w:rPr>
                <w:rFonts w:ascii="Palatino Linotype" w:hAnsi="Palatino Linotype"/>
                <w:b/>
                <w:sz w:val="24"/>
                <w:szCs w:val="24"/>
              </w:rPr>
            </w:pP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José Guadalupe Luna Hernández</w:t>
            </w:r>
          </w:p>
          <w:p w:rsidR="00D57072" w:rsidRPr="001108C2" w:rsidRDefault="00D57072" w:rsidP="005A0C60">
            <w:pPr>
              <w:pStyle w:val="Sinespaciado"/>
              <w:jc w:val="center"/>
              <w:rPr>
                <w:rFonts w:ascii="Palatino Linotype" w:hAnsi="Palatino Linotype"/>
                <w:sz w:val="24"/>
                <w:szCs w:val="24"/>
              </w:rPr>
            </w:pPr>
            <w:r w:rsidRPr="001108C2">
              <w:rPr>
                <w:rFonts w:ascii="Palatino Linotype" w:hAnsi="Palatino Linotype"/>
                <w:sz w:val="24"/>
                <w:szCs w:val="24"/>
              </w:rPr>
              <w:t>Comisionado</w:t>
            </w: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r>
      <w:tr w:rsidR="00F217C5" w:rsidRPr="001108C2" w:rsidTr="00F217C5">
        <w:tc>
          <w:tcPr>
            <w:tcW w:w="4532" w:type="dxa"/>
          </w:tcPr>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p>
          <w:p w:rsidR="00F217C5" w:rsidRPr="001108C2" w:rsidRDefault="00F217C5" w:rsidP="005A0C60">
            <w:pPr>
              <w:pStyle w:val="Sinespaciado"/>
              <w:jc w:val="center"/>
              <w:rPr>
                <w:rFonts w:ascii="Palatino Linotype" w:hAnsi="Palatino Linotype"/>
                <w:b/>
                <w:sz w:val="24"/>
                <w:szCs w:val="24"/>
              </w:rPr>
            </w:pPr>
            <w:r w:rsidRPr="001108C2">
              <w:rPr>
                <w:rFonts w:ascii="Palatino Linotype" w:hAnsi="Palatino Linotype"/>
                <w:b/>
                <w:sz w:val="24"/>
                <w:szCs w:val="24"/>
              </w:rPr>
              <w:t>Javier Martínez Cruz</w:t>
            </w:r>
          </w:p>
          <w:p w:rsidR="00F217C5" w:rsidRPr="001108C2" w:rsidRDefault="00F217C5" w:rsidP="005A0C60">
            <w:pPr>
              <w:pStyle w:val="Sinespaciado"/>
              <w:jc w:val="center"/>
              <w:rPr>
                <w:rFonts w:ascii="Palatino Linotype" w:hAnsi="Palatino Linotype"/>
                <w:sz w:val="24"/>
                <w:szCs w:val="24"/>
              </w:rPr>
            </w:pPr>
            <w:r w:rsidRPr="001108C2">
              <w:rPr>
                <w:rFonts w:ascii="Palatino Linotype" w:hAnsi="Palatino Linotype"/>
                <w:sz w:val="24"/>
                <w:szCs w:val="24"/>
              </w:rPr>
              <w:t>Comisionado</w:t>
            </w:r>
          </w:p>
          <w:p w:rsidR="00F217C5" w:rsidRPr="001108C2" w:rsidRDefault="00F217C5" w:rsidP="005A0C60">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c>
          <w:tcPr>
            <w:tcW w:w="4530" w:type="dxa"/>
          </w:tcPr>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p>
          <w:p w:rsidR="00F217C5" w:rsidRPr="001108C2" w:rsidRDefault="00F217C5" w:rsidP="00F217C5">
            <w:pPr>
              <w:pStyle w:val="Sinespaciado"/>
              <w:jc w:val="center"/>
              <w:rPr>
                <w:rFonts w:ascii="Palatino Linotype" w:hAnsi="Palatino Linotype"/>
                <w:b/>
                <w:sz w:val="24"/>
                <w:szCs w:val="24"/>
              </w:rPr>
            </w:pPr>
            <w:r w:rsidRPr="001108C2">
              <w:rPr>
                <w:rFonts w:ascii="Palatino Linotype" w:hAnsi="Palatino Linotype"/>
                <w:b/>
                <w:sz w:val="24"/>
                <w:szCs w:val="24"/>
              </w:rPr>
              <w:t>Luis Gustavo Parra Noriega</w:t>
            </w:r>
          </w:p>
          <w:p w:rsidR="00F217C5" w:rsidRPr="001108C2" w:rsidRDefault="00F217C5" w:rsidP="00F217C5">
            <w:pPr>
              <w:pStyle w:val="Sinespaciado"/>
              <w:jc w:val="center"/>
              <w:rPr>
                <w:rFonts w:ascii="Palatino Linotype" w:hAnsi="Palatino Linotype"/>
                <w:sz w:val="24"/>
                <w:szCs w:val="24"/>
              </w:rPr>
            </w:pPr>
            <w:r w:rsidRPr="001108C2">
              <w:rPr>
                <w:rFonts w:ascii="Palatino Linotype" w:hAnsi="Palatino Linotype"/>
                <w:sz w:val="24"/>
                <w:szCs w:val="24"/>
              </w:rPr>
              <w:t>Comisionado</w:t>
            </w:r>
          </w:p>
          <w:p w:rsidR="00F217C5" w:rsidRPr="001108C2" w:rsidRDefault="00F217C5" w:rsidP="00F217C5">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r>
      <w:tr w:rsidR="00D57072" w:rsidRPr="001108C2" w:rsidTr="00F217C5">
        <w:tc>
          <w:tcPr>
            <w:tcW w:w="9062" w:type="dxa"/>
            <w:gridSpan w:val="2"/>
          </w:tcPr>
          <w:p w:rsidR="00AA4F9A" w:rsidRPr="001108C2" w:rsidRDefault="00AA4F9A" w:rsidP="005A0C60">
            <w:pPr>
              <w:pStyle w:val="Sinespaciado"/>
              <w:jc w:val="center"/>
              <w:rPr>
                <w:rFonts w:ascii="Palatino Linotype" w:hAnsi="Palatino Linotype"/>
                <w:b/>
                <w:sz w:val="24"/>
                <w:szCs w:val="24"/>
              </w:rPr>
            </w:pPr>
          </w:p>
          <w:p w:rsidR="00AA4F9A" w:rsidRPr="001108C2" w:rsidRDefault="00AA4F9A" w:rsidP="005A0C60">
            <w:pPr>
              <w:pStyle w:val="Sinespaciado"/>
              <w:jc w:val="center"/>
              <w:rPr>
                <w:rFonts w:ascii="Palatino Linotype" w:hAnsi="Palatino Linotype"/>
                <w:b/>
                <w:sz w:val="24"/>
                <w:szCs w:val="24"/>
              </w:rPr>
            </w:pPr>
          </w:p>
          <w:p w:rsidR="00AA4F9A" w:rsidRPr="001108C2" w:rsidRDefault="00AA4F9A" w:rsidP="005A0C60">
            <w:pPr>
              <w:pStyle w:val="Sinespaciado"/>
              <w:jc w:val="center"/>
              <w:rPr>
                <w:rFonts w:ascii="Palatino Linotype" w:hAnsi="Palatino Linotype"/>
                <w:b/>
                <w:sz w:val="24"/>
                <w:szCs w:val="24"/>
              </w:rPr>
            </w:pPr>
          </w:p>
          <w:p w:rsidR="00AA4F9A" w:rsidRPr="001108C2" w:rsidRDefault="00AA4F9A" w:rsidP="005A0C60">
            <w:pPr>
              <w:pStyle w:val="Sinespaciado"/>
              <w:jc w:val="center"/>
              <w:rPr>
                <w:rFonts w:ascii="Palatino Linotype" w:hAnsi="Palatino Linotype"/>
                <w:b/>
                <w:sz w:val="36"/>
                <w:szCs w:val="24"/>
              </w:rPr>
            </w:pPr>
          </w:p>
          <w:p w:rsidR="00D57072" w:rsidRPr="001108C2" w:rsidRDefault="00F2343A" w:rsidP="005A0C60">
            <w:pPr>
              <w:pStyle w:val="Sinespaciado"/>
              <w:jc w:val="center"/>
              <w:rPr>
                <w:rFonts w:ascii="Palatino Linotype" w:hAnsi="Palatino Linotype"/>
                <w:b/>
                <w:sz w:val="24"/>
                <w:szCs w:val="24"/>
              </w:rPr>
            </w:pPr>
            <w:r w:rsidRPr="001108C2">
              <w:rPr>
                <w:rFonts w:ascii="Palatino Linotype" w:hAnsi="Palatino Linotype"/>
                <w:b/>
                <w:sz w:val="24"/>
                <w:szCs w:val="24"/>
              </w:rPr>
              <w:t>Alexis Tapia Ramírez</w:t>
            </w:r>
          </w:p>
          <w:p w:rsidR="00D57072" w:rsidRPr="001108C2" w:rsidRDefault="00F2343A" w:rsidP="005A0C60">
            <w:pPr>
              <w:pStyle w:val="Sinespaciado"/>
              <w:jc w:val="center"/>
              <w:rPr>
                <w:rFonts w:ascii="Palatino Linotype" w:hAnsi="Palatino Linotype"/>
                <w:sz w:val="24"/>
                <w:szCs w:val="24"/>
              </w:rPr>
            </w:pPr>
            <w:r w:rsidRPr="001108C2">
              <w:rPr>
                <w:rFonts w:ascii="Palatino Linotype" w:hAnsi="Palatino Linotype"/>
                <w:sz w:val="24"/>
                <w:szCs w:val="24"/>
              </w:rPr>
              <w:t>Secretario Técnico</w:t>
            </w:r>
            <w:r w:rsidR="00D57072" w:rsidRPr="001108C2">
              <w:rPr>
                <w:rFonts w:ascii="Palatino Linotype" w:hAnsi="Palatino Linotype"/>
                <w:sz w:val="24"/>
                <w:szCs w:val="24"/>
              </w:rPr>
              <w:t xml:space="preserve"> del Pleno</w:t>
            </w:r>
          </w:p>
          <w:p w:rsidR="00D57072" w:rsidRPr="001108C2" w:rsidRDefault="00D57072" w:rsidP="005A0C60">
            <w:pPr>
              <w:pStyle w:val="Sinespaciado"/>
              <w:jc w:val="center"/>
              <w:rPr>
                <w:rFonts w:ascii="Palatino Linotype" w:hAnsi="Palatino Linotype"/>
                <w:b/>
                <w:sz w:val="24"/>
                <w:szCs w:val="24"/>
              </w:rPr>
            </w:pPr>
            <w:r w:rsidRPr="001108C2">
              <w:rPr>
                <w:rFonts w:ascii="Palatino Linotype" w:hAnsi="Palatino Linotype"/>
                <w:b/>
                <w:sz w:val="24"/>
                <w:szCs w:val="24"/>
              </w:rPr>
              <w:t>(Rúbrica)</w:t>
            </w:r>
          </w:p>
        </w:tc>
      </w:tr>
    </w:tbl>
    <w:p w:rsidR="002F160B" w:rsidRPr="001108C2" w:rsidRDefault="002F160B" w:rsidP="00AA4F9A">
      <w:pPr>
        <w:pStyle w:val="Sinespaciado"/>
        <w:rPr>
          <w:rFonts w:ascii="Palatino Linotype" w:hAnsi="Palatino Linotype"/>
          <w:sz w:val="10"/>
          <w:szCs w:val="24"/>
        </w:rPr>
      </w:pPr>
    </w:p>
    <w:p w:rsidR="00AA4F9A" w:rsidRPr="001108C2" w:rsidRDefault="007E2E80" w:rsidP="00AA4F9A">
      <w:pPr>
        <w:pStyle w:val="Sinespaciado"/>
        <w:jc w:val="both"/>
        <w:rPr>
          <w:rFonts w:ascii="Palatino Linotype" w:hAnsi="Palatino Linotype"/>
          <w:bCs/>
          <w:sz w:val="16"/>
          <w:szCs w:val="16"/>
          <w:lang w:eastAsia="es-MX"/>
        </w:rPr>
      </w:pPr>
      <w:r w:rsidRPr="001108C2">
        <w:rPr>
          <w:rFonts w:ascii="Palatino Linotype" w:hAnsi="Palatino Linotype"/>
          <w:sz w:val="16"/>
          <w:szCs w:val="16"/>
        </w:rPr>
        <w:t xml:space="preserve">Esta hoja corresponde a la resolución de </w:t>
      </w:r>
      <w:r w:rsidR="00A5739D" w:rsidRPr="001108C2">
        <w:rPr>
          <w:rFonts w:ascii="Palatino Linotype" w:hAnsi="Palatino Linotype"/>
          <w:sz w:val="16"/>
          <w:szCs w:val="16"/>
        </w:rPr>
        <w:t xml:space="preserve">fecha </w:t>
      </w:r>
      <w:r w:rsidR="00E2564A" w:rsidRPr="001108C2">
        <w:rPr>
          <w:rFonts w:ascii="Palatino Linotype" w:hAnsi="Palatino Linotype"/>
          <w:sz w:val="16"/>
          <w:szCs w:val="16"/>
        </w:rPr>
        <w:t>dieciséis</w:t>
      </w:r>
      <w:r w:rsidR="00A5739D" w:rsidRPr="001108C2">
        <w:rPr>
          <w:rFonts w:ascii="Palatino Linotype" w:hAnsi="Palatino Linotype"/>
          <w:sz w:val="16"/>
          <w:szCs w:val="16"/>
        </w:rPr>
        <w:t xml:space="preserve"> de </w:t>
      </w:r>
      <w:r w:rsidR="00F217C5" w:rsidRPr="001108C2">
        <w:rPr>
          <w:rFonts w:ascii="Palatino Linotype" w:hAnsi="Palatino Linotype"/>
          <w:sz w:val="16"/>
          <w:szCs w:val="16"/>
        </w:rPr>
        <w:t>enero de dos mil diecinueve</w:t>
      </w:r>
      <w:r w:rsidRPr="001108C2">
        <w:rPr>
          <w:rFonts w:ascii="Palatino Linotype" w:hAnsi="Palatino Linotype"/>
          <w:sz w:val="16"/>
          <w:szCs w:val="16"/>
        </w:rPr>
        <w:t xml:space="preserve">, emitida en el recurso de revisión </w:t>
      </w:r>
      <w:r w:rsidR="00F217C5" w:rsidRPr="001108C2">
        <w:rPr>
          <w:rFonts w:ascii="Palatino Linotype" w:hAnsi="Palatino Linotype"/>
          <w:b/>
          <w:bCs/>
          <w:sz w:val="16"/>
          <w:szCs w:val="16"/>
          <w:lang w:eastAsia="es-MX"/>
        </w:rPr>
        <w:t>4385/INFOEM/IP/RR/2018</w:t>
      </w:r>
      <w:r w:rsidRPr="001108C2">
        <w:rPr>
          <w:rFonts w:ascii="Palatino Linotype" w:hAnsi="Palatino Linotype"/>
          <w:bCs/>
          <w:sz w:val="16"/>
          <w:szCs w:val="16"/>
          <w:lang w:eastAsia="es-MX"/>
        </w:rPr>
        <w:t>.</w:t>
      </w:r>
    </w:p>
    <w:p w:rsidR="007E2E80" w:rsidRPr="00AA4F9A" w:rsidRDefault="00F217C5" w:rsidP="00AA4F9A">
      <w:pPr>
        <w:pStyle w:val="Sinespaciado"/>
        <w:jc w:val="both"/>
        <w:rPr>
          <w:rFonts w:ascii="Palatino Linotype" w:hAnsi="Palatino Linotype"/>
          <w:bCs/>
          <w:sz w:val="16"/>
          <w:szCs w:val="16"/>
          <w:lang w:eastAsia="es-MX"/>
        </w:rPr>
      </w:pPr>
      <w:r w:rsidRPr="001108C2">
        <w:rPr>
          <w:rFonts w:ascii="Palatino Linotype" w:hAnsi="Palatino Linotype"/>
          <w:bCs/>
          <w:sz w:val="16"/>
          <w:szCs w:val="16"/>
          <w:lang w:eastAsia="es-MX"/>
        </w:rPr>
        <w:t>ZMS/OSAM/jasm</w:t>
      </w:r>
    </w:p>
    <w:sectPr w:rsidR="007E2E80" w:rsidRPr="00AA4F9A" w:rsidSect="00050A9C">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BC" w:rsidRDefault="00BC45BC" w:rsidP="007E2E80">
      <w:pPr>
        <w:spacing w:after="0" w:line="240" w:lineRule="auto"/>
      </w:pPr>
      <w:r>
        <w:separator/>
      </w:r>
    </w:p>
  </w:endnote>
  <w:endnote w:type="continuationSeparator" w:id="0">
    <w:p w:rsidR="00BC45BC" w:rsidRDefault="00BC45B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11" w:rsidRPr="000B69FA" w:rsidRDefault="00D23F1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3F35">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3F35">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11" w:rsidRPr="000B69FA" w:rsidRDefault="00D23F1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3F3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3F35">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BC" w:rsidRDefault="00BC45BC" w:rsidP="007E2E80">
      <w:pPr>
        <w:spacing w:after="0" w:line="240" w:lineRule="auto"/>
      </w:pPr>
      <w:r>
        <w:separator/>
      </w:r>
    </w:p>
  </w:footnote>
  <w:footnote w:type="continuationSeparator" w:id="0">
    <w:p w:rsidR="00BC45BC" w:rsidRDefault="00BC45BC" w:rsidP="007E2E80">
      <w:pPr>
        <w:spacing w:after="0" w:line="240" w:lineRule="auto"/>
      </w:pPr>
      <w:r>
        <w:continuationSeparator/>
      </w:r>
    </w:p>
  </w:footnote>
  <w:footnote w:id="1">
    <w:p w:rsidR="00D23F11" w:rsidRPr="00615B4B" w:rsidRDefault="00D23F11" w:rsidP="007E2E80">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23F11" w:rsidRPr="00615B4B" w:rsidRDefault="00D23F11" w:rsidP="007E2E80">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1272A" w:rsidRDefault="0011272A" w:rsidP="0011272A"/>
    <w:p w:rsidR="0011272A" w:rsidRPr="00DF3C65" w:rsidRDefault="0011272A" w:rsidP="0011272A">
      <w:pPr>
        <w:pStyle w:val="Textonotapie"/>
        <w:rPr>
          <w:lang w:val="es-ES"/>
        </w:rPr>
      </w:pPr>
    </w:p>
  </w:footnote>
  <w:footnote w:id="3">
    <w:p w:rsidR="0011272A" w:rsidRPr="00746F2A" w:rsidRDefault="0011272A" w:rsidP="0011272A">
      <w:pPr>
        <w:pStyle w:val="Textonotapie"/>
        <w:jc w:val="both"/>
        <w:rPr>
          <w:sz w:val="18"/>
          <w:lang w:val="es-ES"/>
        </w:rPr>
      </w:pPr>
      <w:r>
        <w:rPr>
          <w:rStyle w:val="Refdenotaalpie"/>
        </w:rPr>
        <w:footnoteRef/>
      </w:r>
      <w:r>
        <w:t xml:space="preserve"> </w:t>
      </w:r>
      <w:r w:rsidRPr="00746F2A">
        <w:rPr>
          <w:sz w:val="18"/>
        </w:rPr>
        <w:t>CASTELLANOS HERNÁNDEZ Eduardo de Jesús, et al, Doctrina y Lineamientos para la Redacción de Textos Jurídicos, su Publicación y Divulgación, SECRETARÍA DE GOBERNACIÓN Dirección General de Compilación y Consulta del Orden Jurídico Nacional con la colaboración del Diario Oficial de la Federación, 2008, pág. 11, consultable en la página electrónica http://www.ordenjuridico.gob.mx/Publicaciones/Libros2008/Doctrinas/Doctrinas_Oksb.pdf.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11" w:rsidRDefault="00D23F11">
    <w:pPr>
      <w:pStyle w:val="Encabezado"/>
    </w:pPr>
  </w:p>
  <w:tbl>
    <w:tblPr>
      <w:tblW w:w="9924" w:type="dxa"/>
      <w:tblInd w:w="-851" w:type="dxa"/>
      <w:tblCellMar>
        <w:left w:w="70" w:type="dxa"/>
        <w:right w:w="70" w:type="dxa"/>
      </w:tblCellMar>
      <w:tblLook w:val="04A0" w:firstRow="1" w:lastRow="0" w:firstColumn="1" w:lastColumn="0" w:noHBand="0" w:noVBand="1"/>
    </w:tblPr>
    <w:tblGrid>
      <w:gridCol w:w="4962"/>
      <w:gridCol w:w="4962"/>
    </w:tblGrid>
    <w:tr w:rsidR="00D23F11" w:rsidTr="00050A9C">
      <w:trPr>
        <w:trHeight w:val="227"/>
      </w:trPr>
      <w:tc>
        <w:tcPr>
          <w:tcW w:w="4962" w:type="dxa"/>
          <w:hideMark/>
        </w:tcPr>
        <w:p w:rsidR="00D23F11" w:rsidRDefault="00D23F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D23F11" w:rsidRDefault="00250136" w:rsidP="007E2E80">
          <w:pPr>
            <w:spacing w:after="120" w:line="256" w:lineRule="auto"/>
            <w:ind w:left="-778" w:right="214" w:firstLine="1585"/>
            <w:jc w:val="right"/>
            <w:rPr>
              <w:rFonts w:ascii="Palatino Linotype" w:hAnsi="Palatino Linotype" w:cs="Arial"/>
              <w:szCs w:val="20"/>
            </w:rPr>
          </w:pPr>
          <w:r>
            <w:rPr>
              <w:rFonts w:ascii="Palatino Linotype" w:hAnsi="Palatino Linotype" w:cs="Arial"/>
              <w:bCs/>
              <w:sz w:val="24"/>
              <w:lang w:eastAsia="es-MX"/>
            </w:rPr>
            <w:t>04385/INFOEM/IP/RR/2018</w:t>
          </w:r>
        </w:p>
      </w:tc>
    </w:tr>
    <w:tr w:rsidR="00D23F11" w:rsidTr="00050A9C">
      <w:trPr>
        <w:trHeight w:val="242"/>
      </w:trPr>
      <w:tc>
        <w:tcPr>
          <w:tcW w:w="4962" w:type="dxa"/>
          <w:hideMark/>
        </w:tcPr>
        <w:p w:rsidR="00D23F11" w:rsidRDefault="00D23F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D23F11" w:rsidRDefault="00250136" w:rsidP="00050A9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Naucalpan de Juárez</w:t>
          </w:r>
        </w:p>
      </w:tc>
    </w:tr>
    <w:tr w:rsidR="00D23F11" w:rsidTr="00050A9C">
      <w:trPr>
        <w:trHeight w:val="342"/>
      </w:trPr>
      <w:tc>
        <w:tcPr>
          <w:tcW w:w="4962" w:type="dxa"/>
          <w:hideMark/>
        </w:tcPr>
        <w:p w:rsidR="00D23F11" w:rsidRDefault="00D23F1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D23F11" w:rsidRDefault="00D23F11" w:rsidP="00050A9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3F11" w:rsidRDefault="00D23F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23F11" w:rsidTr="00050A9C">
      <w:trPr>
        <w:trHeight w:val="227"/>
      </w:trPr>
      <w:tc>
        <w:tcPr>
          <w:tcW w:w="5529" w:type="dxa"/>
          <w:hideMark/>
        </w:tcPr>
        <w:p w:rsidR="00D23F11" w:rsidRDefault="00D23F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23F11" w:rsidRPr="00B4142F" w:rsidRDefault="00D23F11" w:rsidP="00250136">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250136">
            <w:rPr>
              <w:rFonts w:ascii="Palatino Linotype" w:hAnsi="Palatino Linotype" w:cs="Arial"/>
              <w:bCs/>
              <w:sz w:val="24"/>
              <w:lang w:eastAsia="es-MX"/>
            </w:rPr>
            <w:t>4385/INFOEM/IP/RR/2018</w:t>
          </w:r>
        </w:p>
      </w:tc>
    </w:tr>
    <w:tr w:rsidR="00D23F11" w:rsidTr="00050A9C">
      <w:trPr>
        <w:trHeight w:val="196"/>
      </w:trPr>
      <w:tc>
        <w:tcPr>
          <w:tcW w:w="5529" w:type="dxa"/>
          <w:hideMark/>
        </w:tcPr>
        <w:p w:rsidR="00D23F11" w:rsidRDefault="00D23F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23F11" w:rsidRPr="00F06FED" w:rsidRDefault="00AB6339" w:rsidP="00050A9C">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D23F11" w:rsidTr="00050A9C">
      <w:trPr>
        <w:trHeight w:val="242"/>
      </w:trPr>
      <w:tc>
        <w:tcPr>
          <w:tcW w:w="5529" w:type="dxa"/>
          <w:hideMark/>
        </w:tcPr>
        <w:p w:rsidR="00D23F11" w:rsidRDefault="00D23F1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23F11" w:rsidRDefault="00250136" w:rsidP="007E2E80">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Naucalpan de Juárez</w:t>
          </w:r>
        </w:p>
      </w:tc>
    </w:tr>
    <w:tr w:rsidR="00D23F11" w:rsidTr="00050A9C">
      <w:trPr>
        <w:trHeight w:val="342"/>
      </w:trPr>
      <w:tc>
        <w:tcPr>
          <w:tcW w:w="5529" w:type="dxa"/>
          <w:hideMark/>
        </w:tcPr>
        <w:p w:rsidR="00D23F11" w:rsidRDefault="00D23F1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23F11" w:rsidRDefault="00D23F11" w:rsidP="00050A9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3F11" w:rsidRPr="00250136" w:rsidRDefault="00D23F11" w:rsidP="0025013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B514E6"/>
    <w:multiLevelType w:val="hybridMultilevel"/>
    <w:tmpl w:val="F4029C38"/>
    <w:lvl w:ilvl="0" w:tplc="737E3E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B069C3"/>
    <w:multiLevelType w:val="hybridMultilevel"/>
    <w:tmpl w:val="4CE0961C"/>
    <w:lvl w:ilvl="0" w:tplc="5CF81A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5A5835"/>
    <w:multiLevelType w:val="multilevel"/>
    <w:tmpl w:val="0FA6CA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FD3532F"/>
    <w:multiLevelType w:val="hybridMultilevel"/>
    <w:tmpl w:val="7B6C7F84"/>
    <w:lvl w:ilvl="0" w:tplc="D6B47316">
      <w:numFmt w:val="bullet"/>
      <w:lvlText w:val=""/>
      <w:lvlJc w:val="left"/>
      <w:pPr>
        <w:ind w:left="720" w:hanging="360"/>
      </w:pPr>
      <w:rPr>
        <w:rFonts w:ascii="Symbol" w:eastAsiaTheme="minorHAnsi" w:hAnsi="Symbol" w:cstheme="minorBidi"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9"/>
  </w:num>
  <w:num w:numId="5">
    <w:abstractNumId w:val="6"/>
  </w:num>
  <w:num w:numId="6">
    <w:abstractNumId w:val="4"/>
  </w:num>
  <w:num w:numId="7">
    <w:abstractNumId w:val="11"/>
  </w:num>
  <w:num w:numId="8">
    <w:abstractNumId w:val="10"/>
  </w:num>
  <w:num w:numId="9">
    <w:abstractNumId w:val="14"/>
  </w:num>
  <w:num w:numId="10">
    <w:abstractNumId w:val="8"/>
  </w:num>
  <w:num w:numId="11">
    <w:abstractNumId w:val="13"/>
  </w:num>
  <w:num w:numId="12">
    <w:abstractNumId w:val="18"/>
  </w:num>
  <w:num w:numId="13">
    <w:abstractNumId w:val="20"/>
  </w:num>
  <w:num w:numId="14">
    <w:abstractNumId w:val="16"/>
  </w:num>
  <w:num w:numId="15">
    <w:abstractNumId w:val="17"/>
  </w:num>
  <w:num w:numId="16">
    <w:abstractNumId w:val="12"/>
  </w:num>
  <w:num w:numId="17">
    <w:abstractNumId w:val="2"/>
  </w:num>
  <w:num w:numId="18">
    <w:abstractNumId w:val="15"/>
  </w:num>
  <w:num w:numId="19">
    <w:abstractNumId w:val="5"/>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76E0"/>
    <w:rsid w:val="00030EE8"/>
    <w:rsid w:val="00032DBD"/>
    <w:rsid w:val="00033949"/>
    <w:rsid w:val="00034427"/>
    <w:rsid w:val="00043018"/>
    <w:rsid w:val="00050A9C"/>
    <w:rsid w:val="00053C9B"/>
    <w:rsid w:val="00055312"/>
    <w:rsid w:val="00057570"/>
    <w:rsid w:val="00066B3A"/>
    <w:rsid w:val="0007328F"/>
    <w:rsid w:val="0008795C"/>
    <w:rsid w:val="00096A11"/>
    <w:rsid w:val="000A27C1"/>
    <w:rsid w:val="000A4806"/>
    <w:rsid w:val="000D6982"/>
    <w:rsid w:val="000D756B"/>
    <w:rsid w:val="000E741B"/>
    <w:rsid w:val="000F3722"/>
    <w:rsid w:val="001108C2"/>
    <w:rsid w:val="0011272A"/>
    <w:rsid w:val="00114C3C"/>
    <w:rsid w:val="00115D9A"/>
    <w:rsid w:val="0012508A"/>
    <w:rsid w:val="00132E9F"/>
    <w:rsid w:val="00140AE4"/>
    <w:rsid w:val="001420FC"/>
    <w:rsid w:val="001510E8"/>
    <w:rsid w:val="00162176"/>
    <w:rsid w:val="00166046"/>
    <w:rsid w:val="00166FB7"/>
    <w:rsid w:val="00180F6B"/>
    <w:rsid w:val="001A17B9"/>
    <w:rsid w:val="001A27C8"/>
    <w:rsid w:val="001A4700"/>
    <w:rsid w:val="001C0CE9"/>
    <w:rsid w:val="001E60B7"/>
    <w:rsid w:val="0020595C"/>
    <w:rsid w:val="00211473"/>
    <w:rsid w:val="002252AD"/>
    <w:rsid w:val="00250136"/>
    <w:rsid w:val="002572CF"/>
    <w:rsid w:val="0026191D"/>
    <w:rsid w:val="00267D7A"/>
    <w:rsid w:val="00280C5D"/>
    <w:rsid w:val="0028585E"/>
    <w:rsid w:val="00290397"/>
    <w:rsid w:val="002C6849"/>
    <w:rsid w:val="002D6110"/>
    <w:rsid w:val="002E22D8"/>
    <w:rsid w:val="002E6036"/>
    <w:rsid w:val="002F044A"/>
    <w:rsid w:val="002F160B"/>
    <w:rsid w:val="002F3D50"/>
    <w:rsid w:val="00301A01"/>
    <w:rsid w:val="003021C1"/>
    <w:rsid w:val="003022FA"/>
    <w:rsid w:val="0031039A"/>
    <w:rsid w:val="00311191"/>
    <w:rsid w:val="00363308"/>
    <w:rsid w:val="00374450"/>
    <w:rsid w:val="0038385D"/>
    <w:rsid w:val="0039658B"/>
    <w:rsid w:val="003A139E"/>
    <w:rsid w:val="003A13D2"/>
    <w:rsid w:val="003B7EE1"/>
    <w:rsid w:val="003C109D"/>
    <w:rsid w:val="003C74AF"/>
    <w:rsid w:val="003E08B9"/>
    <w:rsid w:val="00404F9D"/>
    <w:rsid w:val="00415E1B"/>
    <w:rsid w:val="00423C27"/>
    <w:rsid w:val="00425199"/>
    <w:rsid w:val="004362C2"/>
    <w:rsid w:val="00450E6A"/>
    <w:rsid w:val="004572BE"/>
    <w:rsid w:val="004617C7"/>
    <w:rsid w:val="004807F7"/>
    <w:rsid w:val="00484E47"/>
    <w:rsid w:val="004F483E"/>
    <w:rsid w:val="005023F4"/>
    <w:rsid w:val="00520C21"/>
    <w:rsid w:val="005313E5"/>
    <w:rsid w:val="005421C7"/>
    <w:rsid w:val="005448FA"/>
    <w:rsid w:val="00552F3B"/>
    <w:rsid w:val="005733EB"/>
    <w:rsid w:val="00590126"/>
    <w:rsid w:val="005A0C60"/>
    <w:rsid w:val="005B2A31"/>
    <w:rsid w:val="005B319C"/>
    <w:rsid w:val="005C057C"/>
    <w:rsid w:val="005D02A8"/>
    <w:rsid w:val="0060633A"/>
    <w:rsid w:val="00661204"/>
    <w:rsid w:val="0066610F"/>
    <w:rsid w:val="00666AF8"/>
    <w:rsid w:val="00673D7C"/>
    <w:rsid w:val="00676C32"/>
    <w:rsid w:val="00686046"/>
    <w:rsid w:val="006A3A54"/>
    <w:rsid w:val="006A561E"/>
    <w:rsid w:val="006C6176"/>
    <w:rsid w:val="006D1136"/>
    <w:rsid w:val="006D4AD4"/>
    <w:rsid w:val="006E0601"/>
    <w:rsid w:val="006F18FD"/>
    <w:rsid w:val="00715AB2"/>
    <w:rsid w:val="00786497"/>
    <w:rsid w:val="007A0571"/>
    <w:rsid w:val="007A223B"/>
    <w:rsid w:val="007D0CFF"/>
    <w:rsid w:val="007E2E80"/>
    <w:rsid w:val="007F7846"/>
    <w:rsid w:val="008041A7"/>
    <w:rsid w:val="008157CF"/>
    <w:rsid w:val="00821898"/>
    <w:rsid w:val="00823454"/>
    <w:rsid w:val="00853CC3"/>
    <w:rsid w:val="008725EE"/>
    <w:rsid w:val="00884D49"/>
    <w:rsid w:val="008924A7"/>
    <w:rsid w:val="00892543"/>
    <w:rsid w:val="008C651F"/>
    <w:rsid w:val="008C7CEB"/>
    <w:rsid w:val="008E003F"/>
    <w:rsid w:val="00905F01"/>
    <w:rsid w:val="009272C6"/>
    <w:rsid w:val="00930F68"/>
    <w:rsid w:val="0093743A"/>
    <w:rsid w:val="00942349"/>
    <w:rsid w:val="00943B37"/>
    <w:rsid w:val="009467C9"/>
    <w:rsid w:val="00954DC1"/>
    <w:rsid w:val="0097416D"/>
    <w:rsid w:val="009859B8"/>
    <w:rsid w:val="00994FE7"/>
    <w:rsid w:val="0099663D"/>
    <w:rsid w:val="009B70C3"/>
    <w:rsid w:val="009C3FC7"/>
    <w:rsid w:val="009E396D"/>
    <w:rsid w:val="009F7B22"/>
    <w:rsid w:val="00A06551"/>
    <w:rsid w:val="00A10775"/>
    <w:rsid w:val="00A112EB"/>
    <w:rsid w:val="00A33B3A"/>
    <w:rsid w:val="00A35B31"/>
    <w:rsid w:val="00A5739D"/>
    <w:rsid w:val="00A62727"/>
    <w:rsid w:val="00A741F2"/>
    <w:rsid w:val="00A9172E"/>
    <w:rsid w:val="00A94BF6"/>
    <w:rsid w:val="00AA4F9A"/>
    <w:rsid w:val="00AB1AF3"/>
    <w:rsid w:val="00AB6339"/>
    <w:rsid w:val="00AD3C94"/>
    <w:rsid w:val="00AE4464"/>
    <w:rsid w:val="00AE658B"/>
    <w:rsid w:val="00AF7435"/>
    <w:rsid w:val="00B12CBA"/>
    <w:rsid w:val="00B16CAC"/>
    <w:rsid w:val="00B549E1"/>
    <w:rsid w:val="00B93C5C"/>
    <w:rsid w:val="00BC45BC"/>
    <w:rsid w:val="00BD0B48"/>
    <w:rsid w:val="00BE6D77"/>
    <w:rsid w:val="00BF123B"/>
    <w:rsid w:val="00BF123D"/>
    <w:rsid w:val="00BF3765"/>
    <w:rsid w:val="00BF5EE2"/>
    <w:rsid w:val="00C12EA0"/>
    <w:rsid w:val="00C25822"/>
    <w:rsid w:val="00C34B47"/>
    <w:rsid w:val="00CA2ED9"/>
    <w:rsid w:val="00CA3DD3"/>
    <w:rsid w:val="00CB774E"/>
    <w:rsid w:val="00CC341B"/>
    <w:rsid w:val="00CD5F45"/>
    <w:rsid w:val="00D13B83"/>
    <w:rsid w:val="00D14D51"/>
    <w:rsid w:val="00D16BD0"/>
    <w:rsid w:val="00D23F11"/>
    <w:rsid w:val="00D32E6F"/>
    <w:rsid w:val="00D5329C"/>
    <w:rsid w:val="00D54889"/>
    <w:rsid w:val="00D57072"/>
    <w:rsid w:val="00D64F6D"/>
    <w:rsid w:val="00D75A0D"/>
    <w:rsid w:val="00D924CB"/>
    <w:rsid w:val="00DA03F2"/>
    <w:rsid w:val="00DA0E70"/>
    <w:rsid w:val="00DA2B97"/>
    <w:rsid w:val="00DB38EE"/>
    <w:rsid w:val="00DB5FF7"/>
    <w:rsid w:val="00DC0CB0"/>
    <w:rsid w:val="00DD13E2"/>
    <w:rsid w:val="00DD2781"/>
    <w:rsid w:val="00DF0AF9"/>
    <w:rsid w:val="00DF2F2C"/>
    <w:rsid w:val="00DF3485"/>
    <w:rsid w:val="00DF51C8"/>
    <w:rsid w:val="00E014FE"/>
    <w:rsid w:val="00E23E06"/>
    <w:rsid w:val="00E2564A"/>
    <w:rsid w:val="00E426C9"/>
    <w:rsid w:val="00E50EFF"/>
    <w:rsid w:val="00E53F35"/>
    <w:rsid w:val="00E56111"/>
    <w:rsid w:val="00E70CAE"/>
    <w:rsid w:val="00EC1776"/>
    <w:rsid w:val="00ED4829"/>
    <w:rsid w:val="00ED60C2"/>
    <w:rsid w:val="00ED78F3"/>
    <w:rsid w:val="00EF6B28"/>
    <w:rsid w:val="00F03D1D"/>
    <w:rsid w:val="00F07DC2"/>
    <w:rsid w:val="00F217C5"/>
    <w:rsid w:val="00F2343A"/>
    <w:rsid w:val="00F45389"/>
    <w:rsid w:val="00F4708B"/>
    <w:rsid w:val="00F53B53"/>
    <w:rsid w:val="00F66A72"/>
    <w:rsid w:val="00F97305"/>
    <w:rsid w:val="00FA47E2"/>
    <w:rsid w:val="00FB55E9"/>
    <w:rsid w:val="00FD3A3C"/>
    <w:rsid w:val="00FE1A50"/>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CB774E"/>
  </w:style>
  <w:style w:type="paragraph" w:styleId="Textodeglobo">
    <w:name w:val="Balloon Text"/>
    <w:basedOn w:val="Normal"/>
    <w:link w:val="TextodegloboCar"/>
    <w:uiPriority w:val="99"/>
    <w:semiHidden/>
    <w:unhideWhenUsed/>
    <w:rsid w:val="00415E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5E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042569">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legislacion.edomex.gob.mx/sites/legislacion.edomex.gob.mx/files/files/pdf/gct/2018/jul272.pdf"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30489-18F6-4DAC-82FC-110EBBE8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10603</Words>
  <Characters>58322</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2019-01-17T01:19:00Z</cp:lastPrinted>
  <dcterms:created xsi:type="dcterms:W3CDTF">2019-01-23T21:00:00Z</dcterms:created>
  <dcterms:modified xsi:type="dcterms:W3CDTF">2019-01-23T21:00:00Z</dcterms:modified>
</cp:coreProperties>
</file>