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277036DE"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 xml:space="preserve">Metepec, Estado de México, de </w:t>
      </w:r>
      <w:r w:rsidR="005C2030">
        <w:rPr>
          <w:rFonts w:ascii="Palatino Linotype" w:hAnsi="Palatino Linotype"/>
          <w:color w:val="C00000"/>
        </w:rPr>
        <w:t>veintitrés de enero</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Pr="0040233B">
        <w:rPr>
          <w:rFonts w:ascii="Palatino Linotype" w:hAnsi="Palatino Linotype"/>
        </w:rPr>
        <w:t xml:space="preserve"> dos mil dieci</w:t>
      </w:r>
      <w:r w:rsidR="00306C3C">
        <w:rPr>
          <w:rFonts w:ascii="Palatino Linotype" w:hAnsi="Palatino Linotype"/>
        </w:rPr>
        <w:t>nueve</w:t>
      </w:r>
      <w:r w:rsidRPr="0040233B">
        <w:rPr>
          <w:rFonts w:ascii="Palatino Linotype" w:hAnsi="Palatino Linotype"/>
        </w:rPr>
        <w:t>.</w:t>
      </w:r>
    </w:p>
    <w:p w14:paraId="7D53FE2D" w14:textId="1FDB6679"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306C3C">
        <w:rPr>
          <w:rFonts w:ascii="Palatino Linotype" w:hAnsi="Palatino Linotype" w:cs="Arial"/>
          <w:b/>
          <w:sz w:val="22"/>
          <w:szCs w:val="22"/>
        </w:rPr>
        <w:t>04399/INFOEM</w:t>
      </w:r>
      <w:r w:rsidR="00200852">
        <w:rPr>
          <w:rFonts w:ascii="Palatino Linotype" w:eastAsiaTheme="minorEastAsia" w:hAnsi="Palatino Linotype" w:cs="Arial"/>
          <w:b/>
          <w:bCs/>
          <w:color w:val="C00000"/>
          <w:sz w:val="22"/>
          <w:szCs w:val="22"/>
          <w:lang w:val="es-MX"/>
        </w:rPr>
        <w:t>/IP/RR/2018</w:t>
      </w:r>
      <w:r w:rsidR="00945D23">
        <w:rPr>
          <w:rFonts w:ascii="Palatino Linotype" w:hAnsi="Palatino Linotype" w:cs="Arial"/>
        </w:rPr>
        <w:t xml:space="preserve">, interpuesto por </w:t>
      </w:r>
      <w:r w:rsidR="000368E3" w:rsidRPr="000368E3">
        <w:rPr>
          <w:rFonts w:ascii="Palatino Linotype" w:eastAsiaTheme="minorEastAsia" w:hAnsi="Palatino Linotype" w:cs="Arial"/>
          <w:b/>
          <w:color w:val="C00000"/>
          <w:lang w:val="es-MX"/>
        </w:rPr>
        <w:t>XXXXXXX XXXXXXXXX XXXXX XXXXXX</w:t>
      </w:r>
      <w:r w:rsidRPr="0040233B">
        <w:rPr>
          <w:rFonts w:ascii="Palatino Linotype" w:hAnsi="Palatino Linotype" w:cs="Arial"/>
        </w:rPr>
        <w:t>,</w:t>
      </w:r>
      <w:r w:rsidR="00D66A2A">
        <w:rPr>
          <w:rFonts w:ascii="Palatino Linotype" w:hAnsi="Palatino Linotype" w:cs="Arial"/>
        </w:rPr>
        <w:t xml:space="preserve"> a </w:t>
      </w:r>
      <w:r w:rsidR="004440AC" w:rsidRPr="0040233B">
        <w:rPr>
          <w:rFonts w:ascii="Palatino Linotype" w:hAnsi="Palatino Linotype" w:cs="Arial"/>
        </w:rPr>
        <w:t>quien</w:t>
      </w:r>
      <w:r w:rsidRPr="0040233B">
        <w:rPr>
          <w:rFonts w:ascii="Palatino Linotype" w:hAnsi="Palatino Linotype" w:cs="Arial"/>
        </w:rPr>
        <w:t xml:space="preserve"> en lo sucesivo se le denominará </w:t>
      </w:r>
      <w:r w:rsidR="00945D23">
        <w:rPr>
          <w:rFonts w:ascii="Palatino Linotype" w:hAnsi="Palatino Linotype" w:cs="Arial"/>
        </w:rPr>
        <w:t>el</w:t>
      </w:r>
      <w:r w:rsidR="004C7629">
        <w:rPr>
          <w:rFonts w:ascii="Palatino Linotype" w:hAnsi="Palatino Linotype" w:cs="Arial"/>
        </w:rPr>
        <w:t xml:space="preserve"> </w:t>
      </w:r>
      <w:r w:rsidR="004C7629" w:rsidRPr="004C7629">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 xml:space="preserve">en contra de la </w:t>
      </w:r>
      <w:r w:rsidR="00211018">
        <w:rPr>
          <w:rFonts w:ascii="Palatino Linotype" w:hAnsi="Palatino Linotype" w:cs="Arial"/>
        </w:rPr>
        <w:t>falta de respuesta</w:t>
      </w:r>
      <w:r w:rsidR="00E66AC9" w:rsidRPr="0040233B">
        <w:rPr>
          <w:rFonts w:ascii="Palatino Linotype" w:hAnsi="Palatino Linotype" w:cs="Arial"/>
        </w:rPr>
        <w:t xml:space="preserve"> a</w:t>
      </w:r>
      <w:r w:rsidRPr="0040233B">
        <w:rPr>
          <w:rFonts w:ascii="Palatino Linotype" w:hAnsi="Palatino Linotype" w:cs="Arial"/>
        </w:rPr>
        <w:t xml:space="preserve"> </w:t>
      </w:r>
      <w:r w:rsidR="00095E37">
        <w:rPr>
          <w:rFonts w:ascii="Palatino Linotype" w:hAnsi="Palatino Linotype" w:cs="Arial"/>
        </w:rPr>
        <w:t>la</w:t>
      </w:r>
      <w:r w:rsidRPr="0040233B">
        <w:rPr>
          <w:rFonts w:ascii="Palatino Linotype" w:hAnsi="Palatino Linotype" w:cs="Arial"/>
        </w:rPr>
        <w:t xml:space="preserve"> solicitud de in</w:t>
      </w:r>
      <w:r w:rsidR="004440AC" w:rsidRPr="0040233B">
        <w:rPr>
          <w:rFonts w:ascii="Palatino Linotype" w:hAnsi="Palatino Linotype" w:cs="Arial"/>
        </w:rPr>
        <w:t xml:space="preserve">formación con número de folio </w:t>
      </w:r>
      <w:r w:rsidR="00306C3C">
        <w:rPr>
          <w:rFonts w:ascii="Palatino Linotype" w:eastAsiaTheme="minorEastAsia" w:hAnsi="Palatino Linotype" w:cs="Arial"/>
          <w:b/>
          <w:color w:val="C00000"/>
          <w:sz w:val="22"/>
          <w:szCs w:val="22"/>
          <w:lang w:val="es-MX"/>
        </w:rPr>
        <w:t>00034/ALMOAL</w:t>
      </w:r>
      <w:r w:rsidR="00200852">
        <w:rPr>
          <w:rFonts w:ascii="Palatino Linotype" w:eastAsiaTheme="minorEastAsia" w:hAnsi="Palatino Linotype" w:cs="Arial"/>
          <w:b/>
          <w:color w:val="C00000"/>
          <w:sz w:val="22"/>
          <w:szCs w:val="22"/>
          <w:lang w:val="es-MX"/>
        </w:rPr>
        <w:t>/IP/</w:t>
      </w:r>
      <w:r w:rsidR="00971EA5">
        <w:rPr>
          <w:rFonts w:ascii="Palatino Linotype" w:eastAsiaTheme="minorEastAsia" w:hAnsi="Palatino Linotype" w:cs="Arial"/>
          <w:b/>
          <w:color w:val="C00000"/>
          <w:sz w:val="22"/>
          <w:szCs w:val="22"/>
          <w:lang w:val="es-MX"/>
        </w:rPr>
        <w:t>2018</w:t>
      </w:r>
      <w:r w:rsidRPr="0040233B">
        <w:rPr>
          <w:rFonts w:ascii="Palatino Linotype" w:hAnsi="Palatino Linotype" w:cs="Arial"/>
        </w:rPr>
        <w:t xml:space="preserve">, </w:t>
      </w:r>
      <w:r w:rsidR="00945D23">
        <w:rPr>
          <w:rFonts w:ascii="Palatino Linotype" w:hAnsi="Palatino Linotype" w:cs="Arial"/>
        </w:rPr>
        <w:t xml:space="preserve">del </w:t>
      </w:r>
      <w:r w:rsidR="00306C3C">
        <w:rPr>
          <w:rFonts w:ascii="Palatino Linotype" w:eastAsiaTheme="minorEastAsia" w:hAnsi="Palatino Linotype" w:cs="Arial"/>
          <w:b/>
          <w:lang w:val="es-MX"/>
        </w:rPr>
        <w:t xml:space="preserve">Ayuntamiento de Almoloya de </w:t>
      </w:r>
      <w:proofErr w:type="spellStart"/>
      <w:r w:rsidR="00306C3C">
        <w:rPr>
          <w:rFonts w:ascii="Palatino Linotype" w:eastAsiaTheme="minorEastAsia" w:hAnsi="Palatino Linotype" w:cs="Arial"/>
          <w:b/>
          <w:lang w:val="es-MX"/>
        </w:rPr>
        <w:t>Alquisiras</w:t>
      </w:r>
      <w:proofErr w:type="spellEnd"/>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473EB5C5"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FF3CDA">
        <w:rPr>
          <w:rFonts w:ascii="Palatino Linotype" w:hAnsi="Palatino Linotype" w:cs="Arial"/>
          <w:color w:val="C00000"/>
        </w:rPr>
        <w:t>do</w:t>
      </w:r>
      <w:r w:rsidR="00306C3C">
        <w:rPr>
          <w:rFonts w:ascii="Palatino Linotype" w:hAnsi="Palatino Linotype" w:cs="Arial"/>
          <w:color w:val="C00000"/>
        </w:rPr>
        <w:t>ce</w:t>
      </w:r>
      <w:r w:rsidR="00FF3CDA">
        <w:rPr>
          <w:rFonts w:ascii="Palatino Linotype" w:hAnsi="Palatino Linotype" w:cs="Arial"/>
          <w:color w:val="C00000"/>
        </w:rPr>
        <w:t xml:space="preserve"> de octubre</w:t>
      </w:r>
      <w:r w:rsidR="00C673D1" w:rsidRPr="00DD4EA2">
        <w:rPr>
          <w:rFonts w:ascii="Palatino Linotype" w:hAnsi="Palatino Linotype" w:cs="Arial"/>
          <w:color w:val="C00000"/>
        </w:rPr>
        <w:t xml:space="preserve"> </w:t>
      </w:r>
      <w:r w:rsidRPr="0040233B">
        <w:rPr>
          <w:rFonts w:ascii="Palatino Linotype" w:hAnsi="Palatino Linotype" w:cs="Arial"/>
        </w:rPr>
        <w:t xml:space="preserve">de dos mil </w:t>
      </w:r>
      <w:r w:rsidR="00971EA5">
        <w:rPr>
          <w:rFonts w:ascii="Palatino Linotype" w:hAnsi="Palatino Linotype" w:cs="Arial"/>
        </w:rPr>
        <w:t>dieciocho</w:t>
      </w:r>
      <w:r w:rsidR="00682656" w:rsidRPr="0040233B">
        <w:rPr>
          <w:rFonts w:ascii="Palatino Linotype" w:hAnsi="Palatino Linotype" w:cs="Arial"/>
        </w:rPr>
        <w:t xml:space="preserve">, </w:t>
      </w:r>
      <w:r w:rsidR="00945D23">
        <w:rPr>
          <w:rFonts w:ascii="Palatino Linotype" w:hAnsi="Palatino Linotype" w:cs="Arial"/>
        </w:rPr>
        <w:t>el</w:t>
      </w:r>
      <w:r w:rsidRPr="0040233B">
        <w:rPr>
          <w:rFonts w:ascii="Palatino Linotype" w:hAnsi="Palatino Linotype" w:cs="Arial"/>
        </w:rPr>
        <w:t xml:space="preserve">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w:t>
      </w:r>
      <w:proofErr w:type="gramStart"/>
      <w:r w:rsidRPr="0040233B">
        <w:rPr>
          <w:rFonts w:ascii="Palatino Linotype" w:hAnsi="Palatino Linotype" w:cs="Arial"/>
        </w:rPr>
        <w:t>al</w:t>
      </w:r>
      <w:proofErr w:type="gramEnd"/>
      <w:r w:rsidRPr="0040233B">
        <w:rPr>
          <w:rFonts w:ascii="Palatino Linotype" w:hAnsi="Palatino Linotype" w:cs="Arial"/>
        </w:rPr>
        <w:t xml:space="preserve">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2C49B0" w:rsidRPr="0040233B">
        <w:rPr>
          <w:rFonts w:ascii="Palatino Linotype" w:hAnsi="Palatino Linotype" w:cs="Arial"/>
        </w:rPr>
        <w:t>requiriendo</w:t>
      </w:r>
      <w:r w:rsidRPr="0040233B">
        <w:rPr>
          <w:rFonts w:ascii="Palatino Linotype" w:hAnsi="Palatino Linotype" w:cs="Arial"/>
        </w:rPr>
        <w:t xml:space="preserve"> lo siguiente:</w:t>
      </w:r>
    </w:p>
    <w:p w14:paraId="3F4E6C5F" w14:textId="396E9FFC" w:rsidR="00293DE5" w:rsidRPr="006D64F9" w:rsidRDefault="00293DE5" w:rsidP="00945D23">
      <w:pPr>
        <w:spacing w:before="240" w:after="240" w:line="360" w:lineRule="auto"/>
        <w:ind w:left="851" w:right="902"/>
        <w:jc w:val="both"/>
        <w:rPr>
          <w:rFonts w:ascii="Palatino Linotype" w:hAnsi="Palatino Linotype" w:cs="Arial"/>
          <w:b/>
          <w:i/>
        </w:rPr>
      </w:pPr>
      <w:r w:rsidRPr="00306C3C">
        <w:rPr>
          <w:rFonts w:ascii="Palatino Linotype" w:eastAsiaTheme="minorEastAsia" w:hAnsi="Palatino Linotype" w:cs="Arial"/>
          <w:i/>
          <w:lang w:val="es-MX"/>
        </w:rPr>
        <w:t>“</w:t>
      </w:r>
      <w:r w:rsidR="00306C3C" w:rsidRPr="00306C3C">
        <w:rPr>
          <w:rFonts w:ascii="Palatino Linotype" w:hAnsi="Palatino Linotype"/>
          <w:i/>
          <w:color w:val="000000"/>
        </w:rPr>
        <w:t>Requiero información pública del salario bruto y neto mensual que percibe el PRESIDENTE MUNICIPAL, SINDICO Y REGIDORES del municipio de ALMOLOYA DE ALQUISIRAS, esto con la finalidad de un trabajo de investigación de la Universidad.</w:t>
      </w:r>
      <w:r w:rsidR="004F5243" w:rsidRPr="00306C3C">
        <w:rPr>
          <w:rFonts w:ascii="Palatino Linotype" w:hAnsi="Palatino Linotype" w:cs="Arial"/>
          <w:i/>
        </w:rPr>
        <w:t>”</w:t>
      </w:r>
      <w:r w:rsidR="00C673D1" w:rsidRPr="00211018">
        <w:rPr>
          <w:rFonts w:ascii="Palatino Linotype" w:hAnsi="Palatino Linotype" w:cs="Arial"/>
          <w:i/>
        </w:rPr>
        <w:t>(</w:t>
      </w:r>
      <w:proofErr w:type="gramStart"/>
      <w:r w:rsidR="00C673D1" w:rsidRPr="006D64F9">
        <w:rPr>
          <w:rFonts w:ascii="Palatino Linotype" w:hAnsi="Palatino Linotype" w:cs="Arial"/>
          <w:i/>
        </w:rPr>
        <w:t>sic</w:t>
      </w:r>
      <w:proofErr w:type="gramEnd"/>
      <w:r w:rsidR="00C673D1" w:rsidRPr="006D64F9">
        <w:rPr>
          <w:rFonts w:ascii="Palatino Linotype" w:hAnsi="Palatino Linotype" w:cs="Arial"/>
          <w:i/>
        </w:rPr>
        <w:t>)</w:t>
      </w:r>
    </w:p>
    <w:p w14:paraId="649BFEDD" w14:textId="555A0580" w:rsidR="00293DE5" w:rsidRPr="0040233B" w:rsidRDefault="00945D23" w:rsidP="008E7698">
      <w:pPr>
        <w:spacing w:before="240" w:after="240" w:line="360" w:lineRule="auto"/>
        <w:jc w:val="both"/>
        <w:rPr>
          <w:rFonts w:ascii="Palatino Linotype" w:hAnsi="Palatino Linotype" w:cs="Arial"/>
          <w:b/>
        </w:rPr>
      </w:pPr>
      <w:r>
        <w:rPr>
          <w:rFonts w:ascii="Palatino Linotype" w:hAnsi="Palatino Linotype" w:cs="Arial"/>
        </w:rPr>
        <w:t>El</w:t>
      </w:r>
      <w:r w:rsidR="00293DE5" w:rsidRPr="0040233B">
        <w:rPr>
          <w:rFonts w:ascii="Palatino Linotype" w:hAnsi="Palatino Linotype" w:cs="Arial"/>
        </w:rPr>
        <w:t xml:space="preserve"> solicitante indicó como modalidad de entrega el</w:t>
      </w:r>
      <w:r w:rsidR="00293DE5" w:rsidRPr="0040233B">
        <w:rPr>
          <w:rFonts w:ascii="Palatino Linotype" w:hAnsi="Palatino Linotype" w:cs="Arial"/>
          <w:b/>
        </w:rPr>
        <w:t xml:space="preserve"> SAIMEX</w:t>
      </w:r>
      <w:r w:rsidR="00451F5B" w:rsidRPr="0040233B">
        <w:rPr>
          <w:rFonts w:ascii="Palatino Linotype" w:hAnsi="Palatino Linotype" w:cs="Arial"/>
          <w:b/>
        </w:rPr>
        <w:t>.</w:t>
      </w:r>
    </w:p>
    <w:p w14:paraId="486A14B9" w14:textId="46019FF2"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lastRenderedPageBreak/>
        <w:t>2. Respuesta.</w:t>
      </w:r>
      <w:r w:rsidRPr="0040233B">
        <w:rPr>
          <w:rFonts w:ascii="Palatino Linotype" w:hAnsi="Palatino Linotype" w:cs="Arial"/>
          <w:b/>
        </w:rPr>
        <w:t xml:space="preserve"> </w:t>
      </w:r>
      <w:r w:rsidRPr="0040233B">
        <w:rPr>
          <w:rFonts w:ascii="Palatino Linotype" w:hAnsi="Palatino Linotype" w:cs="Arial"/>
        </w:rPr>
        <w:t xml:space="preserve">Con </w:t>
      </w:r>
      <w:r w:rsidR="00DC3B6D">
        <w:rPr>
          <w:rFonts w:ascii="Palatino Linotype" w:hAnsi="Palatino Linotype" w:cs="Arial"/>
        </w:rPr>
        <w:t xml:space="preserve">base en el detalle de seguimiento que obra en el </w:t>
      </w:r>
      <w:r w:rsidR="00DC3B6D">
        <w:rPr>
          <w:rFonts w:ascii="Palatino Linotype" w:hAnsi="Palatino Linotype" w:cs="Arial"/>
          <w:b/>
        </w:rPr>
        <w:t xml:space="preserve">SAIMEX, </w:t>
      </w:r>
      <w:r w:rsidR="00DC3B6D">
        <w:rPr>
          <w:rFonts w:ascii="Palatino Linotype" w:hAnsi="Palatino Linotype" w:cs="Arial"/>
        </w:rPr>
        <w:t xml:space="preserve">se advierte que el </w:t>
      </w:r>
      <w:r w:rsidR="00DC3B6D">
        <w:rPr>
          <w:rFonts w:ascii="Palatino Linotype" w:hAnsi="Palatino Linotype" w:cs="Arial"/>
          <w:b/>
        </w:rPr>
        <w:t xml:space="preserve">Sujeto Obligado </w:t>
      </w:r>
      <w:r w:rsidR="00DC3B6D">
        <w:rPr>
          <w:rFonts w:ascii="Palatino Linotype" w:hAnsi="Palatino Linotype" w:cs="Arial"/>
        </w:rPr>
        <w:t>omitió dar contestación a la solicitud de acceso a la información pública, tal y como se aprecia a continuación:</w:t>
      </w:r>
    </w:p>
    <w:p w14:paraId="38359AC4" w14:textId="28794BDD" w:rsidR="00DC3B6D" w:rsidRDefault="00C516FA" w:rsidP="00211018">
      <w:pPr>
        <w:spacing w:before="240" w:after="240" w:line="360" w:lineRule="auto"/>
        <w:jc w:val="center"/>
        <w:rPr>
          <w:rFonts w:ascii="Palatino Linotype" w:hAnsi="Palatino Linotype" w:cs="Arial"/>
          <w:b/>
          <w:sz w:val="28"/>
          <w:szCs w:val="28"/>
        </w:rPr>
      </w:pPr>
      <w:r w:rsidRPr="00C516FA">
        <w:rPr>
          <w:rFonts w:ascii="Palatino Linotype" w:hAnsi="Palatino Linotype" w:cs="Arial"/>
          <w:b/>
          <w:noProof/>
          <w:sz w:val="28"/>
          <w:szCs w:val="28"/>
          <w:lang w:val="es-MX" w:eastAsia="es-MX"/>
        </w:rPr>
        <w:drawing>
          <wp:inline distT="0" distB="0" distL="0" distR="0" wp14:anchorId="50603806" wp14:editId="38994840">
            <wp:extent cx="5612130" cy="8413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841375"/>
                    </a:xfrm>
                    <a:prstGeom prst="rect">
                      <a:avLst/>
                    </a:prstGeom>
                  </pic:spPr>
                </pic:pic>
              </a:graphicData>
            </a:graphic>
          </wp:inline>
        </w:drawing>
      </w:r>
    </w:p>
    <w:p w14:paraId="7056C445" w14:textId="76CED79C" w:rsidR="008E7698" w:rsidRDefault="008E7698" w:rsidP="008F4C62">
      <w:pPr>
        <w:spacing w:before="240" w:after="240" w:line="360" w:lineRule="auto"/>
        <w:jc w:val="both"/>
        <w:rPr>
          <w:rFonts w:ascii="Palatino Linotype" w:hAnsi="Palatino Linotype" w:cs="Arial"/>
        </w:rPr>
      </w:pPr>
      <w:r w:rsidRPr="0040233B">
        <w:rPr>
          <w:rFonts w:ascii="Palatino Linotype" w:hAnsi="Palatino Linotype" w:cs="Arial"/>
          <w:b/>
          <w:sz w:val="28"/>
          <w:szCs w:val="28"/>
        </w:rPr>
        <w:t>3. Recurso de revisión.</w:t>
      </w:r>
      <w:r w:rsidRPr="0040233B">
        <w:rPr>
          <w:rFonts w:ascii="Palatino Linotype" w:hAnsi="Palatino Linotype" w:cs="Arial"/>
          <w:b/>
        </w:rPr>
        <w:t xml:space="preserve"> </w:t>
      </w:r>
      <w:r w:rsidRPr="0040233B">
        <w:rPr>
          <w:rFonts w:ascii="Palatino Linotype" w:hAnsi="Palatino Linotype" w:cs="Arial"/>
        </w:rPr>
        <w:t>El recurso de revisión se interpuso a través del SAIMEX con fecha</w:t>
      </w:r>
      <w:r w:rsidR="00FC3695" w:rsidRPr="0040233B">
        <w:rPr>
          <w:rFonts w:ascii="Palatino Linotype" w:hAnsi="Palatino Linotype" w:cs="Arial"/>
        </w:rPr>
        <w:t xml:space="preserve"> </w:t>
      </w:r>
      <w:r w:rsidR="00306C3C">
        <w:rPr>
          <w:rFonts w:ascii="Palatino Linotype" w:hAnsi="Palatino Linotype" w:cs="Arial"/>
          <w:color w:val="C00000"/>
        </w:rPr>
        <w:t>veintidós de noviembre</w:t>
      </w:r>
      <w:r w:rsidR="00DC3B6D">
        <w:rPr>
          <w:rFonts w:ascii="Palatino Linotype" w:hAnsi="Palatino Linotype" w:cs="Arial"/>
          <w:color w:val="C00000"/>
        </w:rPr>
        <w:t xml:space="preserve"> </w:t>
      </w:r>
      <w:r w:rsidR="00200852">
        <w:rPr>
          <w:rFonts w:ascii="Palatino Linotype" w:hAnsi="Palatino Linotype" w:cs="Arial"/>
        </w:rPr>
        <w:t xml:space="preserve">del </w:t>
      </w:r>
      <w:r w:rsidR="00FF3CDA">
        <w:rPr>
          <w:rFonts w:ascii="Palatino Linotype" w:hAnsi="Palatino Linotype" w:cs="Arial"/>
        </w:rPr>
        <w:t>dos mil dieciocho</w:t>
      </w:r>
      <w:r w:rsidR="002C49B0">
        <w:rPr>
          <w:rFonts w:ascii="Palatino Linotype" w:hAnsi="Palatino Linotype" w:cs="Arial"/>
        </w:rPr>
        <w:t>,</w:t>
      </w:r>
      <w:r w:rsidR="002C49B0" w:rsidRPr="0040233B">
        <w:rPr>
          <w:rFonts w:ascii="Palatino Linotype" w:hAnsi="Palatino Linotype" w:cs="Arial"/>
        </w:rPr>
        <w:t xml:space="preserve"> por</w:t>
      </w:r>
      <w:r w:rsidRPr="0040233B">
        <w:rPr>
          <w:rFonts w:ascii="Palatino Linotype" w:hAnsi="Palatino Linotype" w:cs="Arial"/>
        </w:rPr>
        <w:t xml:space="preserve"> parte del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2050AC4C" w:rsidR="00FC3695" w:rsidRPr="0040233B" w:rsidRDefault="00FC3695" w:rsidP="00104E08">
      <w:pPr>
        <w:spacing w:before="240" w:after="240" w:line="360" w:lineRule="auto"/>
        <w:ind w:left="992" w:right="1043"/>
        <w:jc w:val="both"/>
        <w:rPr>
          <w:rFonts w:ascii="Palatino Linotype" w:hAnsi="Palatino Linotype" w:cs="Arial"/>
        </w:rPr>
      </w:pPr>
      <w:r w:rsidRPr="00971EA5">
        <w:rPr>
          <w:rFonts w:ascii="Palatino Linotype" w:eastAsiaTheme="minorEastAsia" w:hAnsi="Palatino Linotype" w:cs="Arial"/>
          <w:i/>
          <w:lang w:val="es-MX"/>
        </w:rPr>
        <w:t>“</w:t>
      </w:r>
      <w:r w:rsidR="00306C3C" w:rsidRPr="00306C3C">
        <w:rPr>
          <w:rFonts w:ascii="Palatino Linotype" w:hAnsi="Palatino Linotype"/>
          <w:i/>
          <w:color w:val="000000"/>
        </w:rPr>
        <w:t xml:space="preserve">De conformidad con los artículos 176, 178 Párrafo Segundo, y 179 fracción VII de la Ley de Transparencia y Acceso a la Información Pública del Estado de México y Municipios, comparezco para exponer: Mediante expediente número00034/ALMOAL/IP/2018 se solicitó al H. Ayuntamiento de ALMOLOYA DE ALQUISIRAS INFORMACIÓN PÚBLICA respecto de las percepciones mensuales del PRESIDENTE MUNICIPAL, SINDICO Y REGIDORES que componen el cabildo. En fecha 05/11/2018, se venció el plazo de contestación, in obtener respuesta del sujeto obligado, motivo por el cual me permito interponer en tiempo y forma recurso de recurso de revisión en contra de la omisión a mi solicitud por los sujetos obligados de la información solicitada. A su vez, se requiere sean brindados LOS RECIBOS DE NÓMINA O </w:t>
      </w:r>
      <w:r w:rsidR="00306C3C" w:rsidRPr="00306C3C">
        <w:rPr>
          <w:rFonts w:ascii="Palatino Linotype" w:hAnsi="Palatino Linotype"/>
          <w:i/>
          <w:color w:val="000000"/>
        </w:rPr>
        <w:lastRenderedPageBreak/>
        <w:t>DOCUMENTO QUE ACREDITE LA REMUNERACIÓN DE LOS MESES SEPTIEMBRE Y OCTUBRE DEL AÑO 2018 QUE PERCIBE EL PRESIDENTE MUNICIPAL, SINDICO Y REGIDORES EN VERSIÓN PUBLICA (REFLEJANDO ASI EL SALARIO BRUTO Y NETO MENSUAL). Adjunto al presente, acuse de solicitud formulada con antelación.</w:t>
      </w:r>
      <w:r w:rsidRPr="00971EA5">
        <w:rPr>
          <w:rFonts w:ascii="Palatino Linotype" w:hAnsi="Palatino Linotype" w:cs="Arial"/>
          <w:b/>
          <w:i/>
        </w:rPr>
        <w:t>”</w:t>
      </w:r>
      <w:r w:rsidR="009F704F" w:rsidRPr="003A4399">
        <w:rPr>
          <w:rFonts w:ascii="Palatino Linotype" w:hAnsi="Palatino Linotype" w:cs="Arial"/>
          <w:b/>
          <w:i/>
        </w:rPr>
        <w:t xml:space="preserve"> </w:t>
      </w:r>
      <w:r w:rsidR="009F704F" w:rsidRPr="003A4399">
        <w:rPr>
          <w:rFonts w:ascii="Palatino Linotype" w:hAnsi="Palatino Linotype" w:cs="Arial"/>
          <w:i/>
        </w:rPr>
        <w:t>(</w:t>
      </w:r>
      <w:proofErr w:type="gramStart"/>
      <w:r w:rsidR="009F704F" w:rsidRPr="00945D23">
        <w:rPr>
          <w:rFonts w:ascii="Palatino Linotype" w:hAnsi="Palatino Linotype" w:cs="Arial"/>
          <w:sz w:val="16"/>
          <w:szCs w:val="16"/>
        </w:rPr>
        <w:t>sic</w:t>
      </w:r>
      <w:proofErr w:type="gramEnd"/>
      <w:r w:rsidR="009F704F" w:rsidRPr="00945D23">
        <w:rPr>
          <w:rFonts w:ascii="Palatino Linotype" w:hAnsi="Palatino Linotype" w:cs="Arial"/>
          <w:sz w:val="16"/>
          <w:szCs w:val="16"/>
        </w:rPr>
        <w:t>)</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0531A339" w:rsidR="00186B63" w:rsidRPr="00C20E42" w:rsidRDefault="00186B63" w:rsidP="00C20E42">
      <w:pPr>
        <w:spacing w:before="240" w:after="240" w:line="360" w:lineRule="auto"/>
        <w:ind w:left="851" w:right="900"/>
        <w:jc w:val="both"/>
        <w:rPr>
          <w:rFonts w:ascii="Palatino Linotype" w:hAnsi="Palatino Linotype" w:cs="Arial"/>
          <w:i/>
        </w:rPr>
      </w:pPr>
      <w:r w:rsidRPr="00FF3CDA">
        <w:rPr>
          <w:rFonts w:ascii="Palatino Linotype" w:eastAsiaTheme="minorEastAsia" w:hAnsi="Palatino Linotype" w:cs="Arial"/>
          <w:i/>
          <w:lang w:val="es-MX"/>
        </w:rPr>
        <w:t>“</w:t>
      </w:r>
      <w:r w:rsidR="00306C3C" w:rsidRPr="00306C3C">
        <w:rPr>
          <w:rFonts w:ascii="Palatino Linotype" w:hAnsi="Palatino Linotype"/>
          <w:i/>
          <w:color w:val="000000"/>
        </w:rPr>
        <w:t>NO SE DIO CONTESTACIÓN A LA SOLICITUD</w:t>
      </w:r>
      <w:r w:rsidRPr="00FF3CDA">
        <w:rPr>
          <w:rFonts w:ascii="Palatino Linotype" w:hAnsi="Palatino Linotype" w:cs="Arial"/>
          <w:b/>
          <w:i/>
        </w:rPr>
        <w:t>”</w:t>
      </w:r>
      <w:r w:rsidR="009F704F" w:rsidRPr="00FF3CDA">
        <w:rPr>
          <w:rFonts w:ascii="Palatino Linotype" w:hAnsi="Palatino Linotype" w:cs="Arial"/>
          <w:b/>
          <w:i/>
        </w:rPr>
        <w:t xml:space="preserve"> </w:t>
      </w:r>
      <w:r w:rsidR="009F704F" w:rsidRPr="003A4399">
        <w:rPr>
          <w:rFonts w:ascii="Palatino Linotype" w:hAnsi="Palatino Linotype" w:cs="Arial"/>
          <w:i/>
        </w:rPr>
        <w:t>(</w:t>
      </w:r>
      <w:r w:rsidR="009F704F" w:rsidRPr="00C20E42">
        <w:rPr>
          <w:rFonts w:ascii="Palatino Linotype" w:hAnsi="Palatino Linotype" w:cs="Arial"/>
          <w:i/>
        </w:rPr>
        <w:t>sic)</w:t>
      </w:r>
    </w:p>
    <w:p w14:paraId="1D62F603" w14:textId="072FECE9" w:rsidR="00D41D70" w:rsidRPr="0040233B" w:rsidRDefault="008E7698" w:rsidP="00AF299E">
      <w:pPr>
        <w:spacing w:before="240" w:after="240" w:line="360" w:lineRule="auto"/>
        <w:jc w:val="both"/>
        <w:rPr>
          <w:rFonts w:ascii="Palatino Linotype" w:hAnsi="Palatino Linotype" w:cs="Arial"/>
        </w:rPr>
      </w:pPr>
      <w:r w:rsidRPr="0040233B">
        <w:rPr>
          <w:rFonts w:ascii="Palatino Linotype" w:hAnsi="Palatino Linotype" w:cs="Arial"/>
          <w:b/>
          <w:sz w:val="28"/>
          <w:szCs w:val="28"/>
        </w:rPr>
        <w:t xml:space="preserve">4.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13EA535A" w:rsidR="00D41D70" w:rsidRPr="0040233B" w:rsidRDefault="00D41D70" w:rsidP="00184FBA">
      <w:pPr>
        <w:spacing w:before="240" w:after="240" w:line="360" w:lineRule="auto"/>
        <w:jc w:val="both"/>
        <w:rPr>
          <w:rFonts w:cs="Arial"/>
        </w:rPr>
      </w:pPr>
      <w:r w:rsidRPr="0040233B">
        <w:rPr>
          <w:rFonts w:ascii="Palatino Linotype" w:hAnsi="Palatino Linotype" w:cs="Arial"/>
          <w:b/>
          <w:sz w:val="28"/>
          <w:szCs w:val="28"/>
        </w:rPr>
        <w:t xml:space="preserve">5. Admisión. </w:t>
      </w:r>
      <w:r w:rsidRPr="0040233B">
        <w:rPr>
          <w:rFonts w:ascii="Palatino Linotype" w:hAnsi="Palatino Linotype" w:cs="Arial"/>
        </w:rPr>
        <w:t xml:space="preserve">Mediante auto de fecha </w:t>
      </w:r>
      <w:r w:rsidR="00306C3C">
        <w:rPr>
          <w:rFonts w:ascii="Palatino Linotype" w:hAnsi="Palatino Linotype" w:cs="Arial"/>
          <w:color w:val="C00000"/>
        </w:rPr>
        <w:t>veintiocho de noviembre</w:t>
      </w:r>
      <w:r w:rsidR="00FF3CDA">
        <w:rPr>
          <w:rFonts w:ascii="Palatino Linotype" w:hAnsi="Palatino Linotype" w:cs="Arial"/>
          <w:color w:val="C00000"/>
        </w:rPr>
        <w:t xml:space="preserve"> de dos mil dieciocho</w:t>
      </w:r>
      <w:r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Pr="0040233B">
        <w:rPr>
          <w:rFonts w:ascii="Palatino Linotype" w:hAnsi="Palatino Linotype" w:cs="Arial"/>
        </w:rPr>
        <w:t xml:space="preserve"> </w:t>
      </w:r>
    </w:p>
    <w:p w14:paraId="01EC62F1" w14:textId="28960B20" w:rsidR="00FF3CDA" w:rsidRDefault="004E4987" w:rsidP="00200852">
      <w:pPr>
        <w:spacing w:before="240" w:after="240" w:line="360" w:lineRule="auto"/>
        <w:jc w:val="both"/>
        <w:rPr>
          <w:rFonts w:ascii="Palatino Linotype" w:hAnsi="Palatino Linotype"/>
        </w:rPr>
      </w:pPr>
      <w:r w:rsidRPr="0040233B">
        <w:rPr>
          <w:rFonts w:ascii="Palatino Linotype" w:hAnsi="Palatino Linotype" w:cs="Arial"/>
          <w:b/>
          <w:sz w:val="28"/>
          <w:szCs w:val="28"/>
        </w:rPr>
        <w:lastRenderedPageBreak/>
        <w:t xml:space="preserve">6. </w:t>
      </w:r>
      <w:r w:rsidR="00E954B7" w:rsidRPr="0040233B">
        <w:rPr>
          <w:rFonts w:ascii="Palatino Linotype" w:hAnsi="Palatino Linotype" w:cs="Arial"/>
          <w:b/>
          <w:sz w:val="28"/>
          <w:szCs w:val="28"/>
        </w:rPr>
        <w:t>Manifestaciones.</w:t>
      </w:r>
      <w:r w:rsidR="00E954B7" w:rsidRPr="0040233B">
        <w:t xml:space="preserve"> </w:t>
      </w:r>
      <w:r w:rsidR="00E954B7" w:rsidRPr="00F123D8">
        <w:rPr>
          <w:rFonts w:ascii="Palatino Linotype" w:hAnsi="Palatino Linotype"/>
        </w:rPr>
        <w:t>De las constancias del expediente electrónico del</w:t>
      </w:r>
      <w:r w:rsidR="00E954B7" w:rsidRPr="00F123D8">
        <w:rPr>
          <w:rFonts w:ascii="Palatino Linotype" w:hAnsi="Palatino Linotype" w:cs="Arial"/>
          <w:b/>
        </w:rPr>
        <w:t xml:space="preserve"> SAIMEX</w:t>
      </w:r>
      <w:r w:rsidR="00E954B7" w:rsidRPr="00F123D8">
        <w:rPr>
          <w:rFonts w:ascii="Palatino Linotype" w:hAnsi="Palatino Linotype"/>
        </w:rPr>
        <w:t xml:space="preserve">, se observa que </w:t>
      </w:r>
      <w:r w:rsidR="00306C3C">
        <w:rPr>
          <w:rFonts w:ascii="Palatino Linotype" w:hAnsi="Palatino Linotype"/>
        </w:rPr>
        <w:t xml:space="preserve">las partes fueron omisas en </w:t>
      </w:r>
      <w:r w:rsidR="00D46A09">
        <w:rPr>
          <w:rFonts w:ascii="Palatino Linotype" w:hAnsi="Palatino Linotype"/>
        </w:rPr>
        <w:t>formular informe justificado y ofrecer pruebas y/o alegatos</w:t>
      </w:r>
      <w:r w:rsidR="00306C3C">
        <w:rPr>
          <w:rFonts w:ascii="Palatino Linotype" w:hAnsi="Palatino Linotype"/>
        </w:rPr>
        <w:t xml:space="preserve"> </w:t>
      </w:r>
      <w:r w:rsidR="00306C3C" w:rsidRPr="00D46A09">
        <w:rPr>
          <w:rFonts w:ascii="Palatino Linotype" w:hAnsi="Palatino Linotype"/>
        </w:rPr>
        <w:t>en el momento procesal previsto</w:t>
      </w:r>
      <w:r w:rsidR="00306C3C">
        <w:rPr>
          <w:rFonts w:ascii="Palatino Linotype" w:hAnsi="Palatino Linotype"/>
        </w:rPr>
        <w:t xml:space="preserve"> en la Ley</w:t>
      </w:r>
      <w:r w:rsidR="00FF3CDA">
        <w:rPr>
          <w:rFonts w:ascii="Palatino Linotype" w:hAnsi="Palatino Linotype"/>
        </w:rPr>
        <w:t xml:space="preserve">. </w:t>
      </w:r>
    </w:p>
    <w:p w14:paraId="7E999664" w14:textId="6B41A6E4" w:rsidR="00945D23" w:rsidRPr="00DA0B77" w:rsidRDefault="00945D23" w:rsidP="00200852">
      <w:pPr>
        <w:spacing w:before="240" w:after="240" w:line="360" w:lineRule="auto"/>
        <w:jc w:val="both"/>
        <w:rPr>
          <w:rFonts w:ascii="Palatino Linotype" w:eastAsia="Calibri" w:hAnsi="Palatino Linotype" w:cs="Arial"/>
          <w:szCs w:val="28"/>
        </w:rPr>
      </w:pPr>
      <w:r w:rsidRPr="0040233B">
        <w:rPr>
          <w:rFonts w:ascii="Palatino Linotype" w:eastAsia="Calibri" w:hAnsi="Palatino Linotype" w:cs="Arial"/>
          <w:b/>
          <w:sz w:val="28"/>
          <w:szCs w:val="28"/>
        </w:rPr>
        <w:t xml:space="preserve">7. Cierre de Instrucción. </w:t>
      </w:r>
      <w:r w:rsidRPr="0040233B">
        <w:rPr>
          <w:rFonts w:ascii="Palatino Linotype" w:eastAsia="Calibri" w:hAnsi="Palatino Linotype" w:cs="Arial"/>
        </w:rPr>
        <w:t>Una vez transcurrido el plazo otorgado</w:t>
      </w:r>
      <w:r>
        <w:rPr>
          <w:rFonts w:ascii="Palatino Linotype" w:eastAsia="Calibri" w:hAnsi="Palatino Linotype" w:cs="Arial"/>
        </w:rPr>
        <w:t xml:space="preserve"> para que las partes manifestara</w:t>
      </w:r>
      <w:r w:rsidRPr="0040233B">
        <w:rPr>
          <w:rFonts w:ascii="Palatino Linotype" w:eastAsia="Calibri" w:hAnsi="Palatino Linotype" w:cs="Arial"/>
        </w:rPr>
        <w:t xml:space="preserve">n lo que a su derecho conviniera, y siguiendo </w:t>
      </w:r>
      <w:r w:rsidRPr="0040233B">
        <w:rPr>
          <w:rFonts w:ascii="Palatino Linotype" w:hAnsi="Palatino Linotype"/>
        </w:rPr>
        <w:t>los trámites correspondientes con fundamento en el artículo 185 fracción VI de la Ley de Transparencia y Acceso a la Información Pública del Estado de México y Municipios</w:t>
      </w:r>
      <w:r>
        <w:rPr>
          <w:rFonts w:ascii="Palatino Linotype" w:hAnsi="Palatino Linotype"/>
        </w:rPr>
        <w:t>,</w:t>
      </w:r>
      <w:r w:rsidRPr="0040233B">
        <w:rPr>
          <w:rFonts w:ascii="Palatino Linotype" w:hAnsi="Palatino Linotype"/>
        </w:rPr>
        <w:t xml:space="preserve"> el día </w:t>
      </w:r>
      <w:r w:rsidR="00BB4824">
        <w:rPr>
          <w:rFonts w:ascii="Palatino Linotype" w:hAnsi="Palatino Linotype"/>
          <w:color w:val="C00000"/>
        </w:rPr>
        <w:t xml:space="preserve">dieciséis </w:t>
      </w:r>
      <w:r w:rsidR="00AD0240">
        <w:rPr>
          <w:rFonts w:ascii="Palatino Linotype" w:hAnsi="Palatino Linotype"/>
          <w:color w:val="C00000"/>
        </w:rPr>
        <w:t>de enero</w:t>
      </w:r>
      <w:r w:rsidRPr="001C5205">
        <w:rPr>
          <w:rFonts w:ascii="Palatino Linotype" w:hAnsi="Palatino Linotype"/>
          <w:color w:val="C00000"/>
        </w:rPr>
        <w:t xml:space="preserve"> </w:t>
      </w:r>
      <w:r w:rsidRPr="0040233B">
        <w:rPr>
          <w:rFonts w:ascii="Palatino Linotype" w:hAnsi="Palatino Linotype"/>
        </w:rPr>
        <w:t>de</w:t>
      </w:r>
      <w:r>
        <w:rPr>
          <w:rFonts w:ascii="Palatino Linotype" w:hAnsi="Palatino Linotype"/>
        </w:rPr>
        <w:t>l</w:t>
      </w:r>
      <w:r w:rsidRPr="0040233B">
        <w:rPr>
          <w:rFonts w:ascii="Palatino Linotype" w:hAnsi="Palatino Linotype"/>
        </w:rPr>
        <w:t xml:space="preserve"> </w:t>
      </w:r>
      <w:r w:rsidR="00BB4824">
        <w:rPr>
          <w:rFonts w:ascii="Palatino Linotype" w:hAnsi="Palatino Linotype"/>
        </w:rPr>
        <w:t>año en curso,</w:t>
      </w:r>
      <w:r w:rsidRPr="0040233B">
        <w:rPr>
          <w:rFonts w:ascii="Palatino Linotype" w:hAnsi="Palatino Linotype"/>
        </w:rPr>
        <w:t xml:space="preserve"> se procedió a decretar el ci</w:t>
      </w:r>
      <w:r w:rsidR="00200852">
        <w:rPr>
          <w:rFonts w:ascii="Palatino Linotype" w:hAnsi="Palatino Linotype"/>
        </w:rPr>
        <w:t>erre de instrucción respectivo y</w:t>
      </w:r>
      <w:r w:rsidRPr="00DA0B77">
        <w:rPr>
          <w:rFonts w:ascii="Palatino Linotype" w:eastAsia="Calibri" w:hAnsi="Palatino Linotype" w:cs="Arial"/>
          <w:szCs w:val="28"/>
        </w:rPr>
        <w:t xml:space="preserve"> no existiendo diligencia pendiente de desahogo, se ordenó emitir la resolución que conforme a derecho proceda, de acuerdo </w:t>
      </w:r>
      <w:r w:rsidR="00200852">
        <w:rPr>
          <w:rFonts w:ascii="Palatino Linotype" w:eastAsia="Calibri" w:hAnsi="Palatino Linotype" w:cs="Arial"/>
          <w:szCs w:val="28"/>
        </w:rPr>
        <w:t>con</w:t>
      </w:r>
      <w:r w:rsidRPr="00DA0B77">
        <w:rPr>
          <w:rFonts w:ascii="Palatino Linotype" w:eastAsia="Calibri" w:hAnsi="Palatino Linotype" w:cs="Arial"/>
          <w:szCs w:val="28"/>
        </w:rPr>
        <w:t xml:space="preserve"> los siguientes:</w:t>
      </w:r>
    </w:p>
    <w:p w14:paraId="2326DF6F" w14:textId="77777777" w:rsidR="000A515A" w:rsidRDefault="000A515A" w:rsidP="004A6EFE">
      <w:pPr>
        <w:pStyle w:val="Ttulo2"/>
        <w:jc w:val="center"/>
        <w:rPr>
          <w:rFonts w:ascii="Palatino Linotype" w:hAnsi="Palatino Linotype"/>
          <w:b/>
          <w:color w:val="auto"/>
          <w:sz w:val="24"/>
          <w:szCs w:val="24"/>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7E8A0405" w:rsidR="00A5404F" w:rsidRDefault="00A5404F" w:rsidP="008E7698">
      <w:pPr>
        <w:spacing w:before="240" w:after="240" w:line="360" w:lineRule="auto"/>
        <w:jc w:val="both"/>
        <w:rPr>
          <w:rFonts w:ascii="Palatino Linotype" w:hAnsi="Palatino Linotype"/>
          <w:shd w:val="clear" w:color="auto" w:fill="FFFFFF"/>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5, párrafos </w:t>
      </w:r>
      <w:r w:rsidR="00200852">
        <w:rPr>
          <w:rFonts w:ascii="Palatino Linotype" w:hAnsi="Palatino Linotype"/>
          <w:shd w:val="clear" w:color="auto" w:fill="FFFFFF"/>
        </w:rPr>
        <w:t>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Pr="0040233B">
        <w:rPr>
          <w:rFonts w:ascii="Palatino Linotype" w:hAnsi="Palatino Linotype"/>
          <w:shd w:val="clear" w:color="auto" w:fill="FFFFFF"/>
        </w:rPr>
        <w:t>;</w:t>
      </w:r>
      <w:r w:rsidR="00EB49F3">
        <w:rPr>
          <w:rStyle w:val="apple-converted-space"/>
          <w:rFonts w:ascii="Palatino Linotype" w:hAnsi="Palatino Linotype"/>
          <w:shd w:val="clear" w:color="auto" w:fill="FFFFFF"/>
        </w:rPr>
        <w:t xml:space="preserve"> 9 fracciones I, XXIV y 11</w:t>
      </w:r>
      <w:r w:rsidR="005408FA">
        <w:rPr>
          <w:rStyle w:val="apple-converted-space"/>
          <w:rFonts w:ascii="Palatino Linotype" w:hAnsi="Palatino Linotype"/>
          <w:shd w:val="clear" w:color="auto" w:fill="FFFFFF"/>
        </w:rPr>
        <w:t xml:space="preserve"> </w:t>
      </w:r>
      <w:r w:rsidRPr="0040233B">
        <w:rPr>
          <w:rFonts w:ascii="Palatino Linotype" w:hAnsi="Palatino Linotype"/>
          <w:shd w:val="clear" w:color="auto" w:fill="FFFFFF"/>
        </w:rPr>
        <w:t xml:space="preserve">del Reglamento Interior del Instituto de </w:t>
      </w:r>
      <w:r w:rsidRPr="0040233B">
        <w:rPr>
          <w:rFonts w:ascii="Palatino Linotype" w:hAnsi="Palatino Linotype"/>
          <w:shd w:val="clear" w:color="auto" w:fill="FFFFFF"/>
        </w:rPr>
        <w:lastRenderedPageBreak/>
        <w:t>Transparencia, Acceso a la Información Pública y Protección de Datos Personales del Estado de México y Municipios.</w:t>
      </w:r>
    </w:p>
    <w:p w14:paraId="652B712A" w14:textId="77777777" w:rsidR="00945D23" w:rsidRPr="0040233B" w:rsidRDefault="00945D23" w:rsidP="008E7698">
      <w:pPr>
        <w:spacing w:before="240" w:after="240" w:line="360" w:lineRule="auto"/>
        <w:jc w:val="both"/>
        <w:rPr>
          <w:rFonts w:ascii="Palatino Linotype" w:hAnsi="Palatino Linotype" w:cs="Arial"/>
          <w:b/>
        </w:rPr>
      </w:pPr>
    </w:p>
    <w:p w14:paraId="658122E9" w14:textId="574FC785" w:rsidR="00CE4CC9" w:rsidRDefault="00DF134A" w:rsidP="00CE4C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CE4CC9">
        <w:rPr>
          <w:rFonts w:ascii="Palatino Linotype" w:hAnsi="Palatino Linotype" w:cs="Arial"/>
          <w:b/>
          <w:sz w:val="28"/>
          <w:szCs w:val="28"/>
        </w:rPr>
        <w:t xml:space="preserve">SEGUNDO. Oportunidad y </w:t>
      </w:r>
      <w:proofErr w:type="spellStart"/>
      <w:r w:rsidRPr="00CE4CC9">
        <w:rPr>
          <w:rFonts w:ascii="Palatino Linotype" w:hAnsi="Palatino Linotype" w:cs="Arial"/>
          <w:b/>
          <w:sz w:val="28"/>
          <w:szCs w:val="28"/>
        </w:rPr>
        <w:t>Procediblidad</w:t>
      </w:r>
      <w:proofErr w:type="spellEnd"/>
      <w:r w:rsidRPr="00CE4CC9">
        <w:rPr>
          <w:rFonts w:ascii="Palatino Linotype" w:hAnsi="Palatino Linotype" w:cs="Arial"/>
          <w:b/>
          <w:sz w:val="28"/>
          <w:szCs w:val="28"/>
        </w:rPr>
        <w:t xml:space="preserve"> del Recurso de Revisión.</w:t>
      </w:r>
      <w:r w:rsidRPr="0040233B">
        <w:rPr>
          <w:rFonts w:ascii="Palatino Linotype" w:hAnsi="Palatino Linotype" w:cs="Arial"/>
          <w:b/>
        </w:rPr>
        <w:t xml:space="preserve"> </w:t>
      </w:r>
      <w:r w:rsidR="00E207FE">
        <w:rPr>
          <w:rFonts w:ascii="Palatino Linotype" w:hAnsi="Palatino Linotype" w:cs="Arial"/>
        </w:rPr>
        <w:t xml:space="preserve">Previo </w:t>
      </w:r>
      <w:r w:rsidR="00CE4CC9">
        <w:rPr>
          <w:rFonts w:ascii="Palatino Linotype" w:hAnsi="Palatino Linotype" w:cs="Arial"/>
        </w:rPr>
        <w:t xml:space="preserve">al </w:t>
      </w:r>
      <w:r w:rsidRPr="0040233B">
        <w:rPr>
          <w:rFonts w:ascii="Palatino Linotype" w:hAnsi="Palatino Linotype" w:cs="Arial"/>
        </w:rPr>
        <w:t>es</w:t>
      </w:r>
      <w:r w:rsidR="00B006A9">
        <w:rPr>
          <w:rFonts w:ascii="Palatino Linotype" w:hAnsi="Palatino Linotype" w:cs="Arial"/>
        </w:rPr>
        <w:t xml:space="preserve">tudio del fondo del asunto, </w:t>
      </w:r>
      <w:r w:rsidR="00CE4CC9">
        <w:rPr>
          <w:rFonts w:ascii="Palatino Linotype" w:hAnsi="Palatino Linotype" w:cs="Arial"/>
        </w:rPr>
        <w:t xml:space="preserve">se procede a analizar los requisitos de oportunidad y </w:t>
      </w:r>
      <w:proofErr w:type="spellStart"/>
      <w:r w:rsidR="00CE4CC9">
        <w:rPr>
          <w:rFonts w:ascii="Palatino Linotype" w:hAnsi="Palatino Linotype" w:cs="Arial"/>
        </w:rPr>
        <w:t>procedibilidad</w:t>
      </w:r>
      <w:proofErr w:type="spellEnd"/>
      <w:r w:rsidR="00CE4CC9">
        <w:rPr>
          <w:rFonts w:ascii="Palatino Linotype" w:hAnsi="Palatino Linotype" w:cs="Arial"/>
        </w:rPr>
        <w:t xml:space="preserve"> que debe reunir el recurso de revisión, previstos en los artículos 178 y 180 de la Ley de Transparencia y Acceso a la Información Pública del Estado de México y Municipios.</w:t>
      </w:r>
    </w:p>
    <w:p w14:paraId="45A24001" w14:textId="77777777" w:rsidR="00CE4CC9" w:rsidRPr="007F1AC9"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color w:val="000000"/>
        </w:rPr>
      </w:pPr>
      <w:r w:rsidRPr="005E597C">
        <w:rPr>
          <w:rFonts w:ascii="Palatino Linotype" w:hAnsi="Palatino Linotype" w:cs="Arial"/>
        </w:rPr>
        <w:t xml:space="preserve">Primeramente, </w:t>
      </w:r>
      <w:r>
        <w:rPr>
          <w:rFonts w:ascii="Palatino Linotype" w:hAnsi="Palatino Linotype" w:cs="Arial"/>
        </w:rPr>
        <w:t xml:space="preserve">es de precisar que la Ley de Transparencia </w:t>
      </w:r>
      <w:r w:rsidRPr="007F1AC9">
        <w:rPr>
          <w:rFonts w:ascii="Palatino Linotype" w:hAnsi="Palatino Linotype" w:cs="Arial"/>
          <w:color w:val="000000"/>
        </w:rPr>
        <w:t>y</w:t>
      </w:r>
      <w:r>
        <w:rPr>
          <w:rFonts w:ascii="Palatino Linotype" w:hAnsi="Palatino Linotype" w:cs="Arial"/>
          <w:color w:val="000000"/>
        </w:rPr>
        <w:t xml:space="preserve"> </w:t>
      </w:r>
      <w:r w:rsidRPr="007F1AC9">
        <w:rPr>
          <w:rFonts w:ascii="Palatino Linotype" w:hAnsi="Palatino Linotype" w:cs="Arial"/>
          <w:color w:val="000000"/>
        </w:rPr>
        <w:t>Acceso</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la</w:t>
      </w:r>
      <w:r>
        <w:rPr>
          <w:rFonts w:ascii="Palatino Linotype" w:hAnsi="Palatino Linotype" w:cs="Arial"/>
          <w:color w:val="000000"/>
        </w:rPr>
        <w:t xml:space="preserve"> </w:t>
      </w:r>
      <w:r w:rsidRPr="007F1AC9">
        <w:rPr>
          <w:rFonts w:ascii="Palatino Linotype" w:hAnsi="Palatino Linotype" w:cs="Arial"/>
          <w:color w:val="000000"/>
        </w:rPr>
        <w:t>Información</w:t>
      </w:r>
      <w:r>
        <w:rPr>
          <w:rFonts w:ascii="Palatino Linotype" w:hAnsi="Palatino Linotype" w:cs="Arial"/>
          <w:color w:val="000000"/>
        </w:rPr>
        <w:t xml:space="preserve"> </w:t>
      </w:r>
      <w:r w:rsidRPr="007F1AC9">
        <w:rPr>
          <w:rFonts w:ascii="Palatino Linotype" w:hAnsi="Palatino Linotype" w:cs="Arial"/>
          <w:color w:val="000000"/>
        </w:rPr>
        <w:t>Pública</w:t>
      </w:r>
      <w:r>
        <w:rPr>
          <w:rFonts w:ascii="Palatino Linotype" w:hAnsi="Palatino Linotype" w:cs="Arial"/>
          <w:color w:val="000000"/>
        </w:rPr>
        <w:t xml:space="preserve"> </w:t>
      </w:r>
      <w:r w:rsidRPr="007F1AC9">
        <w:rPr>
          <w:rFonts w:ascii="Palatino Linotype" w:hAnsi="Palatino Linotype" w:cs="Arial"/>
          <w:color w:val="000000"/>
        </w:rPr>
        <w:t>del</w:t>
      </w:r>
      <w:r>
        <w:rPr>
          <w:rFonts w:ascii="Palatino Linotype" w:hAnsi="Palatino Linotype" w:cs="Arial"/>
          <w:color w:val="000000"/>
        </w:rPr>
        <w:t xml:space="preserve"> </w:t>
      </w:r>
      <w:r w:rsidRPr="007F1AC9">
        <w:rPr>
          <w:rFonts w:ascii="Palatino Linotype" w:hAnsi="Palatino Linotype" w:cs="Arial"/>
          <w:color w:val="000000"/>
        </w:rPr>
        <w:t>Estado</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México</w:t>
      </w:r>
      <w:r>
        <w:rPr>
          <w:rFonts w:ascii="Palatino Linotype" w:hAnsi="Palatino Linotype" w:cs="Arial"/>
          <w:color w:val="000000"/>
        </w:rPr>
        <w:t xml:space="preserve"> </w:t>
      </w:r>
      <w:r w:rsidRPr="007F1AC9">
        <w:rPr>
          <w:rFonts w:ascii="Palatino Linotype" w:hAnsi="Palatino Linotype" w:cs="Arial"/>
          <w:color w:val="000000"/>
        </w:rPr>
        <w:t>y</w:t>
      </w:r>
      <w:r>
        <w:rPr>
          <w:rFonts w:ascii="Palatino Linotype" w:hAnsi="Palatino Linotype" w:cs="Arial"/>
          <w:color w:val="000000"/>
        </w:rPr>
        <w:t xml:space="preserve"> </w:t>
      </w:r>
      <w:r w:rsidRPr="007F1AC9">
        <w:rPr>
          <w:rFonts w:ascii="Palatino Linotype" w:hAnsi="Palatino Linotype" w:cs="Arial"/>
          <w:color w:val="000000"/>
        </w:rPr>
        <w:t>Municipios,</w:t>
      </w:r>
      <w:r>
        <w:rPr>
          <w:rFonts w:ascii="Palatino Linotype" w:hAnsi="Palatino Linotype" w:cs="Arial"/>
          <w:color w:val="000000"/>
        </w:rPr>
        <w:t xml:space="preserve"> </w:t>
      </w:r>
      <w:r w:rsidRPr="007F1AC9">
        <w:rPr>
          <w:rFonts w:ascii="Palatino Linotype" w:hAnsi="Palatino Linotype" w:cs="Arial"/>
          <w:color w:val="000000"/>
        </w:rPr>
        <w:t>describe</w:t>
      </w:r>
      <w:r>
        <w:rPr>
          <w:rFonts w:ascii="Palatino Linotype" w:hAnsi="Palatino Linotype" w:cs="Arial"/>
          <w:color w:val="000000"/>
        </w:rPr>
        <w:t xml:space="preserve"> </w:t>
      </w:r>
      <w:r w:rsidRPr="007F1AC9">
        <w:rPr>
          <w:rFonts w:ascii="Palatino Linotype" w:hAnsi="Palatino Linotype" w:cs="Arial"/>
          <w:color w:val="000000"/>
        </w:rPr>
        <w:t>el</w:t>
      </w:r>
      <w:r>
        <w:rPr>
          <w:rFonts w:ascii="Palatino Linotype" w:hAnsi="Palatino Linotype" w:cs="Arial"/>
          <w:color w:val="000000"/>
        </w:rPr>
        <w:t xml:space="preserve"> </w:t>
      </w:r>
      <w:r w:rsidRPr="00D92984">
        <w:rPr>
          <w:rFonts w:ascii="Palatino Linotype" w:hAnsi="Palatino Linotype" w:cs="Arial"/>
        </w:rPr>
        <w:t>mecanismo</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procedencia</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los</w:t>
      </w:r>
      <w:r>
        <w:rPr>
          <w:rFonts w:ascii="Palatino Linotype" w:hAnsi="Palatino Linotype" w:cs="Arial"/>
          <w:color w:val="000000"/>
        </w:rPr>
        <w:t xml:space="preserve"> </w:t>
      </w:r>
      <w:r w:rsidRPr="007F1AC9">
        <w:rPr>
          <w:rFonts w:ascii="Palatino Linotype" w:hAnsi="Palatino Linotype" w:cs="Arial"/>
          <w:color w:val="000000"/>
        </w:rPr>
        <w:t>recursos</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revisión,</w:t>
      </w:r>
      <w:r>
        <w:rPr>
          <w:rFonts w:ascii="Palatino Linotype" w:hAnsi="Palatino Linotype" w:cs="Arial"/>
          <w:color w:val="000000"/>
        </w:rPr>
        <w:t xml:space="preserve"> en ese sentido en su artículo 163 prevé lo </w:t>
      </w:r>
      <w:r w:rsidRPr="007F1AC9">
        <w:rPr>
          <w:rFonts w:ascii="Palatino Linotype" w:hAnsi="Palatino Linotype" w:cs="Arial"/>
          <w:color w:val="000000"/>
        </w:rPr>
        <w:t>siguiente:</w:t>
      </w:r>
    </w:p>
    <w:p w14:paraId="7C7E4332" w14:textId="77777777" w:rsidR="00CE4CC9" w:rsidRPr="00B006A9" w:rsidRDefault="00CE4CC9" w:rsidP="00CE4CC9">
      <w:pPr>
        <w:spacing w:before="120" w:after="240"/>
        <w:ind w:left="851" w:right="902"/>
        <w:jc w:val="both"/>
        <w:rPr>
          <w:rFonts w:ascii="Palatino Linotype" w:hAnsi="Palatino Linotype" w:cs="Arial"/>
          <w:i/>
          <w:color w:val="000000"/>
          <w:sz w:val="20"/>
          <w:szCs w:val="20"/>
        </w:rPr>
      </w:pPr>
      <w:r w:rsidRPr="00B006A9">
        <w:rPr>
          <w:rFonts w:ascii="Palatino Linotype" w:hAnsi="Palatino Linotype" w:cs="Arial"/>
          <w:b/>
          <w:i/>
          <w:color w:val="000000"/>
          <w:sz w:val="20"/>
          <w:szCs w:val="20"/>
        </w:rPr>
        <w:t>“Artículo 163.</w:t>
      </w:r>
      <w:r w:rsidRPr="00B006A9">
        <w:rPr>
          <w:rFonts w:ascii="Palatino Linotype" w:hAnsi="Palatino Linotype" w:cs="Arial"/>
          <w:i/>
          <w:color w:val="000000"/>
          <w:sz w:val="20"/>
          <w:szCs w:val="20"/>
        </w:rPr>
        <w:t xml:space="preserve"> La Unidad de Transparencia deberá notificar la respuesta a la solicitud al interesado en el menor tiempo posible, que no podrá exceder de quince días hábiles, contados a partir del día siguiente a la presentación de aquélla.</w:t>
      </w:r>
    </w:p>
    <w:p w14:paraId="12E4D764" w14:textId="77777777" w:rsidR="00CE4CC9" w:rsidRPr="00B006A9" w:rsidRDefault="00CE4CC9" w:rsidP="00CE4CC9">
      <w:pPr>
        <w:spacing w:before="120" w:after="240"/>
        <w:ind w:left="851" w:right="902"/>
        <w:jc w:val="both"/>
        <w:rPr>
          <w:rFonts w:ascii="Palatino Linotype" w:hAnsi="Palatino Linotype" w:cs="Arial"/>
          <w:i/>
          <w:color w:val="000000"/>
          <w:sz w:val="20"/>
          <w:szCs w:val="20"/>
        </w:rPr>
      </w:pPr>
      <w:r w:rsidRPr="00B006A9">
        <w:rPr>
          <w:rFonts w:ascii="Palatino Linotype" w:hAnsi="Palatino Linotype" w:cs="Arial"/>
          <w:i/>
          <w:sz w:val="20"/>
          <w:szCs w:val="20"/>
          <w:lang w:eastAsia="es-MX"/>
        </w:rPr>
        <w:t>Excepcionalmente</w:t>
      </w:r>
      <w:r w:rsidRPr="00B006A9">
        <w:rPr>
          <w:rFonts w:ascii="Palatino Linotype" w:hAnsi="Palatino Linotype" w:cs="Arial"/>
          <w:i/>
          <w:color w:val="000000"/>
          <w:sz w:val="20"/>
          <w:szCs w:val="20"/>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027E57A" w14:textId="459B6478" w:rsidR="00CE4CC9"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color w:val="000000"/>
        </w:rPr>
      </w:pPr>
      <w:r w:rsidRPr="007F1AC9">
        <w:rPr>
          <w:rFonts w:ascii="Palatino Linotype" w:hAnsi="Palatino Linotype" w:cs="Arial"/>
          <w:color w:val="000000"/>
        </w:rPr>
        <w:t>De</w:t>
      </w:r>
      <w:r>
        <w:rPr>
          <w:rFonts w:ascii="Palatino Linotype" w:hAnsi="Palatino Linotype" w:cs="Arial"/>
          <w:color w:val="000000"/>
        </w:rPr>
        <w:t xml:space="preserve">l precepto legal inserto </w:t>
      </w:r>
      <w:r w:rsidRPr="007F1AC9">
        <w:rPr>
          <w:rFonts w:ascii="Palatino Linotype" w:hAnsi="Palatino Linotype" w:cs="Arial"/>
          <w:color w:val="000000"/>
        </w:rPr>
        <w:t>se</w:t>
      </w:r>
      <w:r>
        <w:rPr>
          <w:rFonts w:ascii="Palatino Linotype" w:hAnsi="Palatino Linotype" w:cs="Arial"/>
          <w:color w:val="000000"/>
        </w:rPr>
        <w:t xml:space="preserve"> advierte </w:t>
      </w:r>
      <w:r w:rsidRPr="007F1AC9">
        <w:rPr>
          <w:rFonts w:ascii="Palatino Linotype" w:hAnsi="Palatino Linotype" w:cs="Arial"/>
          <w:color w:val="000000"/>
        </w:rPr>
        <w:t>que</w:t>
      </w:r>
      <w:r>
        <w:rPr>
          <w:rFonts w:ascii="Palatino Linotype" w:hAnsi="Palatino Linotype" w:cs="Arial"/>
          <w:color w:val="000000"/>
        </w:rPr>
        <w:t xml:space="preserve"> </w:t>
      </w:r>
      <w:r w:rsidRPr="007F1AC9">
        <w:rPr>
          <w:rFonts w:ascii="Palatino Linotype" w:hAnsi="Palatino Linotype" w:cs="Arial"/>
          <w:color w:val="000000"/>
        </w:rPr>
        <w:t>el</w:t>
      </w:r>
      <w:r>
        <w:rPr>
          <w:rFonts w:ascii="Palatino Linotype" w:hAnsi="Palatino Linotype" w:cs="Arial"/>
          <w:color w:val="000000"/>
        </w:rPr>
        <w:t xml:space="preserve"> </w:t>
      </w:r>
      <w:r w:rsidRPr="007F1AC9">
        <w:rPr>
          <w:rFonts w:ascii="Palatino Linotype" w:hAnsi="Palatino Linotype" w:cs="Arial"/>
          <w:color w:val="000000"/>
        </w:rPr>
        <w:t>plazo</w:t>
      </w:r>
      <w:r>
        <w:rPr>
          <w:rFonts w:ascii="Palatino Linotype" w:hAnsi="Palatino Linotype" w:cs="Arial"/>
          <w:color w:val="000000"/>
        </w:rPr>
        <w:t xml:space="preserve"> </w:t>
      </w:r>
      <w:r w:rsidRPr="007F1AC9">
        <w:rPr>
          <w:rFonts w:ascii="Palatino Linotype" w:hAnsi="Palatino Linotype" w:cs="Arial"/>
          <w:color w:val="000000"/>
        </w:rPr>
        <w:t>que</w:t>
      </w:r>
      <w:r>
        <w:rPr>
          <w:rFonts w:ascii="Palatino Linotype" w:hAnsi="Palatino Linotype" w:cs="Arial"/>
          <w:color w:val="000000"/>
        </w:rPr>
        <w:t xml:space="preserve"> </w:t>
      </w:r>
      <w:r w:rsidRPr="007F1AC9">
        <w:rPr>
          <w:rFonts w:ascii="Palatino Linotype" w:hAnsi="Palatino Linotype" w:cs="Arial"/>
          <w:color w:val="000000"/>
        </w:rPr>
        <w:t>le</w:t>
      </w:r>
      <w:r>
        <w:rPr>
          <w:rFonts w:ascii="Palatino Linotype" w:hAnsi="Palatino Linotype" w:cs="Arial"/>
          <w:color w:val="000000"/>
        </w:rPr>
        <w:t xml:space="preserve"> </w:t>
      </w:r>
      <w:r w:rsidRPr="007F1AC9">
        <w:rPr>
          <w:rFonts w:ascii="Palatino Linotype" w:hAnsi="Palatino Linotype" w:cs="Arial"/>
          <w:color w:val="000000"/>
        </w:rPr>
        <w:t>asiste</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los</w:t>
      </w:r>
      <w:r>
        <w:rPr>
          <w:rFonts w:ascii="Palatino Linotype" w:hAnsi="Palatino Linotype" w:cs="Arial"/>
          <w:color w:val="000000"/>
        </w:rPr>
        <w:t xml:space="preserve"> s</w:t>
      </w:r>
      <w:r w:rsidRPr="007F1AC9">
        <w:rPr>
          <w:rFonts w:ascii="Palatino Linotype" w:hAnsi="Palatino Linotype" w:cs="Arial"/>
          <w:color w:val="000000"/>
        </w:rPr>
        <w:t>ujetos</w:t>
      </w:r>
      <w:r>
        <w:rPr>
          <w:rFonts w:ascii="Palatino Linotype" w:hAnsi="Palatino Linotype" w:cs="Arial"/>
          <w:color w:val="000000"/>
        </w:rPr>
        <w:t xml:space="preserve"> o</w:t>
      </w:r>
      <w:r w:rsidRPr="007F1AC9">
        <w:rPr>
          <w:rFonts w:ascii="Palatino Linotype" w:hAnsi="Palatino Linotype" w:cs="Arial"/>
          <w:color w:val="000000"/>
        </w:rPr>
        <w:t>bligados</w:t>
      </w:r>
      <w:r>
        <w:rPr>
          <w:rFonts w:ascii="Palatino Linotype" w:hAnsi="Palatino Linotype" w:cs="Arial"/>
          <w:color w:val="000000"/>
        </w:rPr>
        <w:t xml:space="preserve"> </w:t>
      </w:r>
      <w:r w:rsidRPr="007F1AC9">
        <w:rPr>
          <w:rFonts w:ascii="Palatino Linotype" w:hAnsi="Palatino Linotype" w:cs="Arial"/>
          <w:color w:val="000000"/>
        </w:rPr>
        <w:t>para</w:t>
      </w:r>
      <w:r>
        <w:rPr>
          <w:rFonts w:ascii="Palatino Linotype" w:hAnsi="Palatino Linotype" w:cs="Arial"/>
          <w:color w:val="000000"/>
        </w:rPr>
        <w:t xml:space="preserve"> notificar </w:t>
      </w:r>
      <w:r w:rsidRPr="007F1AC9">
        <w:rPr>
          <w:rFonts w:ascii="Palatino Linotype" w:hAnsi="Palatino Linotype" w:cs="Arial"/>
          <w:color w:val="000000"/>
        </w:rPr>
        <w:t>la</w:t>
      </w:r>
      <w:r>
        <w:rPr>
          <w:rFonts w:ascii="Palatino Linotype" w:hAnsi="Palatino Linotype" w:cs="Arial"/>
          <w:color w:val="000000"/>
        </w:rPr>
        <w:t xml:space="preserve"> </w:t>
      </w:r>
      <w:r w:rsidRPr="007F1AC9">
        <w:rPr>
          <w:rFonts w:ascii="Palatino Linotype" w:hAnsi="Palatino Linotype" w:cs="Arial"/>
          <w:color w:val="000000"/>
        </w:rPr>
        <w:t>respuesta</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una</w:t>
      </w:r>
      <w:r>
        <w:rPr>
          <w:rFonts w:ascii="Palatino Linotype" w:hAnsi="Palatino Linotype" w:cs="Arial"/>
          <w:color w:val="000000"/>
        </w:rPr>
        <w:t xml:space="preserve"> </w:t>
      </w:r>
      <w:r w:rsidRPr="007F1AC9">
        <w:rPr>
          <w:rFonts w:ascii="Palatino Linotype" w:hAnsi="Palatino Linotype" w:cs="Arial"/>
          <w:color w:val="000000"/>
        </w:rPr>
        <w:t>solicitud</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información</w:t>
      </w:r>
      <w:r>
        <w:rPr>
          <w:rFonts w:ascii="Palatino Linotype" w:hAnsi="Palatino Linotype" w:cs="Arial"/>
          <w:color w:val="000000"/>
        </w:rPr>
        <w:t xml:space="preserve"> </w:t>
      </w:r>
      <w:r w:rsidRPr="007F1AC9">
        <w:rPr>
          <w:rFonts w:ascii="Palatino Linotype" w:hAnsi="Palatino Linotype" w:cs="Arial"/>
          <w:color w:val="000000"/>
        </w:rPr>
        <w:t>pública</w:t>
      </w:r>
      <w:r>
        <w:rPr>
          <w:rFonts w:ascii="Palatino Linotype" w:hAnsi="Palatino Linotype" w:cs="Arial"/>
          <w:color w:val="000000"/>
        </w:rPr>
        <w:t xml:space="preserve"> </w:t>
      </w:r>
      <w:r w:rsidRPr="007F1AC9">
        <w:rPr>
          <w:rFonts w:ascii="Palatino Linotype" w:hAnsi="Palatino Linotype" w:cs="Arial"/>
          <w:color w:val="000000"/>
        </w:rPr>
        <w:t>es</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quince</w:t>
      </w:r>
      <w:r>
        <w:rPr>
          <w:rFonts w:ascii="Palatino Linotype" w:hAnsi="Palatino Linotype" w:cs="Arial"/>
          <w:color w:val="000000"/>
        </w:rPr>
        <w:t xml:space="preserve"> </w:t>
      </w:r>
      <w:r w:rsidRPr="007F1AC9">
        <w:rPr>
          <w:rFonts w:ascii="Palatino Linotype" w:hAnsi="Palatino Linotype" w:cs="Arial"/>
          <w:color w:val="000000"/>
        </w:rPr>
        <w:t>días</w:t>
      </w:r>
      <w:r>
        <w:rPr>
          <w:rFonts w:ascii="Palatino Linotype" w:hAnsi="Palatino Linotype" w:cs="Arial"/>
          <w:color w:val="000000"/>
        </w:rPr>
        <w:t xml:space="preserve"> </w:t>
      </w:r>
      <w:r w:rsidRPr="007F1AC9">
        <w:rPr>
          <w:rFonts w:ascii="Palatino Linotype" w:hAnsi="Palatino Linotype" w:cs="Arial"/>
          <w:color w:val="000000"/>
        </w:rPr>
        <w:t>hábiles</w:t>
      </w:r>
      <w:r>
        <w:rPr>
          <w:rFonts w:ascii="Palatino Linotype" w:hAnsi="Palatino Linotype" w:cs="Arial"/>
          <w:color w:val="000000"/>
        </w:rPr>
        <w:t xml:space="preserve"> </w:t>
      </w:r>
      <w:r w:rsidRPr="007F1AC9">
        <w:rPr>
          <w:rFonts w:ascii="Palatino Linotype" w:hAnsi="Palatino Linotype" w:cs="Arial"/>
          <w:color w:val="000000"/>
        </w:rPr>
        <w:t>poster</w:t>
      </w:r>
      <w:r>
        <w:rPr>
          <w:rFonts w:ascii="Palatino Linotype" w:hAnsi="Palatino Linotype" w:cs="Arial"/>
          <w:color w:val="000000"/>
        </w:rPr>
        <w:t>iores a la presentación de ésta.</w:t>
      </w:r>
    </w:p>
    <w:p w14:paraId="6D486FFC" w14:textId="280A95F8" w:rsidR="00CE4CC9" w:rsidRPr="005E597C" w:rsidRDefault="00CE4CC9" w:rsidP="00CE4CC9">
      <w:pPr>
        <w:spacing w:before="240" w:after="240" w:line="360" w:lineRule="auto"/>
        <w:jc w:val="both"/>
        <w:rPr>
          <w:rFonts w:ascii="Palatino Linotype" w:hAnsi="Palatino Linotype" w:cs="Arial"/>
        </w:rPr>
      </w:pPr>
      <w:r>
        <w:rPr>
          <w:rFonts w:ascii="Palatino Linotype" w:hAnsi="Palatino Linotype" w:cs="Arial"/>
        </w:rPr>
        <w:t xml:space="preserve">Caso contrario, se actualiza lo que en </w:t>
      </w:r>
      <w:r w:rsidRPr="005E597C">
        <w:rPr>
          <w:rFonts w:ascii="Palatino Linotype" w:hAnsi="Palatino Linotype" w:cs="Arial"/>
        </w:rPr>
        <w:t xml:space="preserve">la doctrina se conoce como negativa ficta, figura jurídica cuya esencia consiste en atribuir un efecto negativo al silencio de la </w:t>
      </w:r>
      <w:r w:rsidRPr="005E597C">
        <w:rPr>
          <w:rFonts w:ascii="Palatino Linotype" w:hAnsi="Palatino Linotype" w:cs="Arial"/>
        </w:rPr>
        <w:lastRenderedPageBreak/>
        <w:t>autoridad administrativa frente a las instancias y solicitudes que hagan los particulares; bajo este supuesto, es importante destacar lo establecido en la Ley de Transparencia y Acceso a la Información Pública del Estado de México y Municipios, que señala en su artículo 166 párrafo cuarto:</w:t>
      </w:r>
    </w:p>
    <w:p w14:paraId="0EFCFB67" w14:textId="77777777" w:rsidR="00CE4CC9" w:rsidRPr="008F47CD" w:rsidRDefault="00CE4CC9" w:rsidP="00380791">
      <w:pPr>
        <w:spacing w:after="120"/>
        <w:ind w:left="851" w:right="902"/>
        <w:jc w:val="both"/>
        <w:rPr>
          <w:rFonts w:ascii="Palatino Linotype" w:hAnsi="Palatino Linotype" w:cs="Arial"/>
          <w:i/>
          <w:sz w:val="20"/>
          <w:szCs w:val="20"/>
          <w:lang w:val="es-MX"/>
        </w:rPr>
      </w:pPr>
      <w:r w:rsidRPr="008F47CD">
        <w:rPr>
          <w:rFonts w:ascii="Palatino Linotype" w:hAnsi="Palatino Linotype" w:cs="Arial"/>
          <w:b/>
          <w:bCs/>
          <w:i/>
          <w:sz w:val="20"/>
          <w:szCs w:val="20"/>
          <w:lang w:val="es-MX"/>
        </w:rPr>
        <w:t xml:space="preserve">“Artículo 166. </w:t>
      </w:r>
      <w:r w:rsidRPr="008F47CD">
        <w:rPr>
          <w:rFonts w:ascii="Palatino Linotype" w:hAnsi="Palatino Linotype" w:cs="Arial"/>
          <w:i/>
          <w:sz w:val="20"/>
          <w:szCs w:val="20"/>
          <w:lang w:val="es-MX"/>
        </w:rPr>
        <w:t>La obligación de acceso a la información pública se tendrá por cumplida cuando el solicitante tenga a su disposición la información requerida, o cuando realice la consulta de la misma en el lugar en el que ésta se localice.</w:t>
      </w:r>
    </w:p>
    <w:p w14:paraId="1A4564C7" w14:textId="77777777" w:rsidR="00CE4CC9" w:rsidRPr="008F47CD" w:rsidRDefault="00CE4CC9" w:rsidP="00380791">
      <w:pPr>
        <w:spacing w:after="120"/>
        <w:ind w:left="851" w:right="902"/>
        <w:jc w:val="both"/>
        <w:rPr>
          <w:rFonts w:ascii="Palatino Linotype" w:hAnsi="Palatino Linotype" w:cs="Arial"/>
          <w:i/>
          <w:sz w:val="20"/>
          <w:szCs w:val="20"/>
          <w:lang w:val="es-MX"/>
        </w:rPr>
      </w:pPr>
      <w:r w:rsidRPr="008F47CD">
        <w:rPr>
          <w:rFonts w:ascii="Palatino Linotype" w:hAnsi="Palatino Linotype" w:cs="Arial"/>
          <w:i/>
          <w:sz w:val="20"/>
          <w:szCs w:val="20"/>
          <w:lang w:val="es-MX"/>
        </w:rPr>
        <w:t>…</w:t>
      </w:r>
    </w:p>
    <w:p w14:paraId="7337EF45" w14:textId="77777777" w:rsidR="00CE4CC9" w:rsidRPr="008F47CD" w:rsidRDefault="00CE4CC9" w:rsidP="00380791">
      <w:pPr>
        <w:spacing w:after="120"/>
        <w:ind w:left="851" w:right="902"/>
        <w:jc w:val="both"/>
        <w:rPr>
          <w:rFonts w:ascii="Palatino Linotype" w:hAnsi="Palatino Linotype" w:cs="Arial"/>
          <w:i/>
          <w:sz w:val="20"/>
          <w:szCs w:val="20"/>
        </w:rPr>
      </w:pPr>
      <w:r w:rsidRPr="008F47CD">
        <w:rPr>
          <w:rFonts w:ascii="Palatino Linotype" w:hAnsi="Palatino Linotype" w:cs="Arial"/>
          <w:i/>
          <w:sz w:val="20"/>
          <w:szCs w:val="20"/>
          <w:lang w:val="es-MX"/>
        </w:rPr>
        <w:t>Cuando el sujeto obligado no entregue la respuesta a la solicitud dentro del plazo previsto en la Ley, la solicitud se entenderá negada y el solicitante podrá interponer el recurso de revisión previsto en este ordenamiento.</w:t>
      </w:r>
      <w:r w:rsidRPr="008F47CD">
        <w:rPr>
          <w:rFonts w:ascii="Palatino Linotype" w:hAnsi="Palatino Linotype" w:cs="Arial"/>
          <w:i/>
          <w:sz w:val="20"/>
          <w:szCs w:val="20"/>
        </w:rPr>
        <w:t>”</w:t>
      </w:r>
    </w:p>
    <w:p w14:paraId="42D48EBC" w14:textId="52A55C1A" w:rsidR="00CE4CC9" w:rsidRPr="001D36C6" w:rsidRDefault="00CE4CC9" w:rsidP="00CE4CC9">
      <w:pPr>
        <w:spacing w:before="240" w:after="240" w:line="360" w:lineRule="auto"/>
        <w:jc w:val="both"/>
        <w:rPr>
          <w:rFonts w:ascii="Palatino Linotype" w:hAnsi="Palatino Linotype" w:cs="Arial"/>
        </w:rPr>
      </w:pPr>
      <w:r w:rsidRPr="005E597C">
        <w:rPr>
          <w:rFonts w:ascii="Palatino Linotype" w:hAnsi="Palatino Linotype" w:cs="Arial"/>
        </w:rPr>
        <w:t>De lo anterior, se advierte que el recurso de revisión se ha de interponer dentro del plazo de quince días hábiles contados a partir del día siguiente en que el particular tiene conocimiento de la</w:t>
      </w:r>
      <w:r>
        <w:rPr>
          <w:rFonts w:ascii="Palatino Linotype" w:hAnsi="Palatino Linotype" w:cs="Arial"/>
        </w:rPr>
        <w:t xml:space="preserve"> resolució</w:t>
      </w:r>
      <w:r w:rsidRPr="005E597C">
        <w:rPr>
          <w:rFonts w:ascii="Palatino Linotype" w:hAnsi="Palatino Linotype" w:cs="Arial"/>
        </w:rPr>
        <w:t xml:space="preserve">n respectiva, a partir de la fecha en que el Sujeto Obligado da respuesta a la solicitud de información; sin embargo, tratándose de negativa ficta no existe resolución que se haga del conocimiento del particular a partir de la cual pueda computarse dicho plazo, por lo que se concluye que la interposición de los recursos de revisión </w:t>
      </w:r>
      <w:r w:rsidR="001D36C6">
        <w:rPr>
          <w:rFonts w:ascii="Palatino Linotype" w:hAnsi="Palatino Linotype" w:cs="Arial"/>
        </w:rPr>
        <w:t>pueden ser en cualquier momento</w:t>
      </w:r>
      <w:r w:rsidRPr="005E597C">
        <w:rPr>
          <w:rFonts w:ascii="Palatino Linotype" w:hAnsi="Palatino Linotype" w:cs="Arial"/>
        </w:rPr>
        <w:t>;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6F74A02E" w14:textId="77777777" w:rsidR="00CE4CC9" w:rsidRPr="008F47CD" w:rsidRDefault="00CE4CC9" w:rsidP="00380791">
      <w:pPr>
        <w:spacing w:after="120"/>
        <w:ind w:left="851" w:right="902"/>
        <w:jc w:val="both"/>
        <w:rPr>
          <w:rFonts w:ascii="Palatino Linotype" w:hAnsi="Palatino Linotype" w:cs="Arial"/>
          <w:sz w:val="20"/>
          <w:szCs w:val="20"/>
        </w:rPr>
      </w:pPr>
      <w:r w:rsidRPr="008F47CD">
        <w:rPr>
          <w:rFonts w:ascii="Palatino Linotype" w:hAnsi="Palatino Linotype" w:cs="Arial"/>
          <w:b/>
          <w:i/>
          <w:sz w:val="20"/>
          <w:szCs w:val="20"/>
          <w:lang w:val="es-MX"/>
        </w:rPr>
        <w:t>“CRITERIO 0001-15 NEGATIVA FICTA. PLAZO PARA INTERPONER EL RECURSO DE REVISIÓN TRATÁNDOSE DE</w:t>
      </w:r>
      <w:r w:rsidRPr="008F47CD">
        <w:rPr>
          <w:rFonts w:ascii="Palatino Linotype" w:hAnsi="Palatino Linotype" w:cs="Arial"/>
          <w:i/>
          <w:sz w:val="20"/>
          <w:szCs w:val="20"/>
          <w:lang w:val="es-MX"/>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w:t>
      </w:r>
      <w:r w:rsidRPr="008F47CD">
        <w:rPr>
          <w:rFonts w:ascii="Palatino Linotype" w:hAnsi="Palatino Linotype" w:cs="Arial"/>
          <w:i/>
          <w:sz w:val="20"/>
          <w:szCs w:val="20"/>
          <w:lang w:val="es-MX"/>
        </w:rPr>
        <w:lastRenderedPageBreak/>
        <w:t>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106AB73" w14:textId="5A95F302" w:rsidR="00CF0C04" w:rsidRPr="00CD59DC" w:rsidRDefault="002E155E" w:rsidP="00CF0C04">
      <w:pPr>
        <w:spacing w:before="240" w:after="240" w:line="360" w:lineRule="auto"/>
        <w:jc w:val="both"/>
        <w:rPr>
          <w:rFonts w:ascii="Segoe UI" w:hAnsi="Segoe UI" w:cs="Segoe UI"/>
        </w:rPr>
      </w:pPr>
      <w:r>
        <w:rPr>
          <w:rFonts w:ascii="Palatino Linotype" w:hAnsi="Palatino Linotype" w:cs="Arial"/>
        </w:rPr>
        <w:t xml:space="preserve">Entonces </w:t>
      </w:r>
      <w:r w:rsidRPr="006A776D">
        <w:rPr>
          <w:rFonts w:ascii="Palatino Linotype" w:hAnsi="Palatino Linotype" w:cs="Arial"/>
        </w:rPr>
        <w:t xml:space="preserve">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 xml:space="preserve">l Estado de México y Municipios, y en consecuencia resulta conforme a derecho entrar al estudio de fondo y resolver el presente medio de impugnación, al actualizarse lo dispuesto en los </w:t>
      </w:r>
      <w:r w:rsidR="00CF0C04">
        <w:rPr>
          <w:rStyle w:val="normaltextrun"/>
          <w:rFonts w:ascii="Palatino Linotype" w:hAnsi="Palatino Linotype" w:cs="Segoe UI"/>
        </w:rPr>
        <w:t>artículos 176 y</w:t>
      </w:r>
      <w:r w:rsidR="00CF0C04" w:rsidRPr="00CD59DC">
        <w:rPr>
          <w:rStyle w:val="apple-converted-space"/>
          <w:rFonts w:ascii="Palatino Linotype" w:eastAsiaTheme="minorHAnsi" w:hAnsi="Palatino Linotype" w:cs="Segoe UI"/>
        </w:rPr>
        <w:t xml:space="preserve"> 179 </w:t>
      </w:r>
      <w:r w:rsidR="00CF0C04">
        <w:rPr>
          <w:rStyle w:val="apple-converted-space"/>
          <w:rFonts w:ascii="Palatino Linotype" w:eastAsiaTheme="minorHAnsi" w:hAnsi="Palatino Linotype" w:cs="Segoe UI"/>
        </w:rPr>
        <w:t xml:space="preserve">fracción VII </w:t>
      </w:r>
      <w:r w:rsidR="00CF0C04" w:rsidRPr="00CD59DC">
        <w:rPr>
          <w:rStyle w:val="normaltextrun"/>
          <w:rFonts w:ascii="Palatino Linotype" w:hAnsi="Palatino Linotype" w:cs="Segoe UI"/>
        </w:rPr>
        <w:t xml:space="preserve">del ordenamiento legal citado, que </w:t>
      </w:r>
      <w:r w:rsidR="00CF0C04">
        <w:rPr>
          <w:rStyle w:val="normaltextrun"/>
          <w:rFonts w:ascii="Palatino Linotype" w:hAnsi="Palatino Linotype" w:cs="Segoe UI"/>
        </w:rPr>
        <w:t>establecen los supuestos en que puede interponerse el recurso de revisión:</w:t>
      </w:r>
    </w:p>
    <w:p w14:paraId="57EC3C68" w14:textId="77777777" w:rsidR="00CF0C04" w:rsidRDefault="00CF0C04" w:rsidP="00CF0C04">
      <w:pPr>
        <w:autoSpaceDE w:val="0"/>
        <w:autoSpaceDN w:val="0"/>
        <w:adjustRightInd w:val="0"/>
        <w:spacing w:before="240" w:after="240" w:line="360" w:lineRule="auto"/>
        <w:ind w:left="1134"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1CD6559F" w14:textId="77777777" w:rsidR="00CF0C04" w:rsidRPr="00CD59DC" w:rsidRDefault="00CF0C04" w:rsidP="00CF0C04">
      <w:pPr>
        <w:autoSpaceDE w:val="0"/>
        <w:autoSpaceDN w:val="0"/>
        <w:adjustRightInd w:val="0"/>
        <w:spacing w:before="240" w:after="240" w:line="360" w:lineRule="auto"/>
        <w:ind w:left="1134" w:right="902"/>
        <w:jc w:val="both"/>
        <w:rPr>
          <w:rStyle w:val="eop"/>
          <w:rFonts w:ascii="Palatino Linotype" w:eastAsiaTheme="majorEastAsia" w:hAnsi="Palatino Linotype" w:cs="Segoe UI"/>
          <w:i/>
          <w:sz w:val="20"/>
          <w:szCs w:val="20"/>
        </w:rPr>
      </w:pPr>
      <w:r>
        <w:rPr>
          <w:rStyle w:val="normaltextrun"/>
          <w:rFonts w:ascii="Palatino Linotype" w:hAnsi="Palatino Linotype" w:cs="Segoe UI"/>
          <w:b/>
          <w:bCs/>
          <w:i/>
          <w:sz w:val="20"/>
          <w:szCs w:val="22"/>
        </w:rPr>
        <w:t xml:space="preserve">Artículo </w:t>
      </w:r>
      <w:r w:rsidRPr="00AC17F2">
        <w:rPr>
          <w:rStyle w:val="normaltextrun"/>
          <w:rFonts w:ascii="Palatino Linotype" w:hAnsi="Palatino Linotype" w:cs="Segoe UI"/>
          <w:b/>
          <w:bCs/>
          <w:i/>
          <w:sz w:val="20"/>
          <w:szCs w:val="22"/>
        </w:rPr>
        <w:t>179</w:t>
      </w:r>
      <w:r w:rsidRPr="00CD59DC">
        <w:rPr>
          <w:rStyle w:val="normaltextrun"/>
          <w:rFonts w:ascii="Palatino Linotype" w:hAnsi="Palatino Linotype" w:cs="Segoe UI"/>
          <w:b/>
          <w:bCs/>
          <w:sz w:val="20"/>
          <w:szCs w:val="22"/>
        </w:rPr>
        <w:t>.-</w:t>
      </w:r>
      <w:r w:rsidRPr="00CD59DC">
        <w:rPr>
          <w:rFonts w:ascii="Bookman Old Style" w:eastAsiaTheme="minorEastAsia" w:hAnsi="Bookman Old Style" w:cs="Bookman Old Style"/>
          <w:sz w:val="18"/>
          <w:szCs w:val="20"/>
          <w:lang w:val="es-MX"/>
        </w:rPr>
        <w:t xml:space="preserve"> </w:t>
      </w:r>
      <w:r w:rsidRPr="00CD59DC">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4DDDA603" w14:textId="6BB6DB44" w:rsidR="00DF134A" w:rsidRPr="00D66740" w:rsidRDefault="008B3A27" w:rsidP="00CF0C04">
      <w:pPr>
        <w:spacing w:before="240" w:after="240" w:line="360" w:lineRule="auto"/>
        <w:ind w:left="1276"/>
        <w:jc w:val="both"/>
        <w:rPr>
          <w:rFonts w:ascii="Palatino Linotype" w:eastAsiaTheme="minorEastAsia" w:hAnsi="Palatino Linotype" w:cs="Bookman Old Style"/>
          <w:b/>
          <w:i/>
          <w:sz w:val="20"/>
          <w:szCs w:val="20"/>
          <w:lang w:val="es-MX"/>
        </w:rPr>
      </w:pPr>
      <w:r w:rsidRPr="008B3A27">
        <w:rPr>
          <w:rFonts w:ascii="Palatino Linotype" w:hAnsi="Palatino Linotype" w:cs="Arial"/>
          <w:b/>
          <w:bCs/>
          <w:i/>
          <w:sz w:val="22"/>
          <w:szCs w:val="22"/>
        </w:rPr>
        <w:t>VII. La falta de respuesta a una solicitud de acceso a la información</w:t>
      </w:r>
      <w:r w:rsidR="00DF134A" w:rsidRPr="0040233B">
        <w:rPr>
          <w:rStyle w:val="eop"/>
          <w:rFonts w:ascii="Palatino Linotype" w:eastAsiaTheme="majorEastAsia" w:hAnsi="Palatino Linotype" w:cs="Segoe UI"/>
          <w:i/>
          <w:sz w:val="22"/>
          <w:szCs w:val="22"/>
        </w:rPr>
        <w:t>…</w:t>
      </w:r>
      <w:r>
        <w:rPr>
          <w:rStyle w:val="eop"/>
          <w:rFonts w:ascii="Palatino Linotype" w:eastAsiaTheme="majorEastAsia" w:hAnsi="Palatino Linotype" w:cs="Segoe UI"/>
          <w:i/>
          <w:sz w:val="22"/>
          <w:szCs w:val="22"/>
        </w:rPr>
        <w:t>”</w:t>
      </w:r>
    </w:p>
    <w:p w14:paraId="53BFCA30" w14:textId="77777777" w:rsidR="0059069B" w:rsidRDefault="0059069B" w:rsidP="0059069B">
      <w:pPr>
        <w:spacing w:before="240" w:after="240" w:line="360" w:lineRule="auto"/>
        <w:ind w:left="708" w:hanging="708"/>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7FBC7451" w14:textId="77777777" w:rsidR="0059069B" w:rsidRPr="0020435D" w:rsidRDefault="0059069B" w:rsidP="0059069B">
      <w:pPr>
        <w:spacing w:before="240" w:after="240" w:line="360" w:lineRule="auto"/>
        <w:jc w:val="both"/>
        <w:rPr>
          <w:rFonts w:ascii="Palatino Linotype" w:hAnsi="Palatino Linotype"/>
        </w:rPr>
      </w:pPr>
      <w:r>
        <w:rPr>
          <w:rFonts w:ascii="Palatino Linotype" w:hAnsi="Palatino Linotype"/>
        </w:rPr>
        <w:t xml:space="preserve">Una vez realizado el análisis de las constancias que integran el expediente en que se actúa, se desprende que la resolución consiste en determinar la legalidad de la </w:t>
      </w:r>
      <w:r>
        <w:rPr>
          <w:rFonts w:ascii="Palatino Linotype" w:hAnsi="Palatino Linotype"/>
        </w:rPr>
        <w:lastRenderedPageBreak/>
        <w:t xml:space="preserve">respuesta emitida por el </w:t>
      </w:r>
      <w:r>
        <w:rPr>
          <w:rFonts w:ascii="Palatino Linotype" w:hAnsi="Palatino Linotype"/>
          <w:b/>
        </w:rPr>
        <w:t xml:space="preserve">Sujeto Obligado </w:t>
      </w:r>
      <w:r>
        <w:rPr>
          <w:rFonts w:ascii="Palatino Linotype" w:hAnsi="Palatino Linotype"/>
        </w:rPr>
        <w:t>a la solicitud de acceso a la información, y en su caso resolver si resulta procedente ordenar lo requerido según la manifestaciones hechas al momento de interponerse el presente medio de impugnación, de conformidad con lo dispuesto en la Ley de Transparencia y Acceso a la Información Pública del Estado de México y Municipios.</w:t>
      </w:r>
    </w:p>
    <w:p w14:paraId="2647A658" w14:textId="77777777" w:rsidR="0059069B" w:rsidRPr="00D66740" w:rsidRDefault="0059069B" w:rsidP="0059069B">
      <w:pPr>
        <w:spacing w:before="240" w:after="240" w:line="360" w:lineRule="auto"/>
        <w:jc w:val="both"/>
        <w:rPr>
          <w:rFonts w:ascii="Palatino Linotype" w:hAnsi="Palatino Linotype"/>
          <w:b/>
          <w:sz w:val="28"/>
          <w:szCs w:val="28"/>
        </w:rPr>
      </w:pPr>
      <w:r w:rsidRPr="00F75E36">
        <w:rPr>
          <w:rFonts w:ascii="Palatino Linotype" w:hAnsi="Palatino Linotype"/>
          <w:b/>
          <w:sz w:val="28"/>
          <w:szCs w:val="28"/>
        </w:rPr>
        <w:t>CUARTO. Estudio del asunto.</w:t>
      </w:r>
    </w:p>
    <w:p w14:paraId="0A43DCDA" w14:textId="33FCDEFC" w:rsidR="00634F6F" w:rsidRDefault="009C2C14" w:rsidP="00634F6F">
      <w:pPr>
        <w:spacing w:before="240" w:after="240" w:line="360" w:lineRule="auto"/>
        <w:jc w:val="both"/>
        <w:rPr>
          <w:rFonts w:ascii="Palatino Linotype" w:hAnsi="Palatino Linotype" w:cs="Arial"/>
        </w:rPr>
      </w:pPr>
      <w:r>
        <w:rPr>
          <w:rFonts w:ascii="Palatino Linotype" w:hAnsi="Palatino Linotype"/>
        </w:rPr>
        <w:t xml:space="preserve">De la revisión a la constancias </w:t>
      </w:r>
      <w:r w:rsidR="00CC6364" w:rsidRPr="006058FE">
        <w:rPr>
          <w:rFonts w:ascii="Palatino Linotype" w:hAnsi="Palatino Linotype"/>
        </w:rPr>
        <w:t xml:space="preserve"> </w:t>
      </w:r>
      <w:r w:rsidR="00CC6364" w:rsidRPr="006058FE">
        <w:rPr>
          <w:rFonts w:ascii="Palatino Linotype" w:hAnsi="Palatino Linotype" w:cs="Arial"/>
        </w:rPr>
        <w:t>que integran el expediente electrónico del SAIMEX número 0</w:t>
      </w:r>
      <w:r w:rsidR="00CC6364">
        <w:rPr>
          <w:rFonts w:ascii="Palatino Linotype" w:hAnsi="Palatino Linotype" w:cs="Arial"/>
        </w:rPr>
        <w:t>4</w:t>
      </w:r>
      <w:r w:rsidR="007D773C">
        <w:rPr>
          <w:rFonts w:ascii="Palatino Linotype" w:hAnsi="Palatino Linotype" w:cs="Arial"/>
        </w:rPr>
        <w:t>39</w:t>
      </w:r>
      <w:r w:rsidR="00CC6364">
        <w:rPr>
          <w:rFonts w:ascii="Palatino Linotype" w:hAnsi="Palatino Linotype" w:cs="Arial"/>
        </w:rPr>
        <w:t>9</w:t>
      </w:r>
      <w:r w:rsidR="00CC6364" w:rsidRPr="006058FE">
        <w:rPr>
          <w:rFonts w:ascii="Palatino Linotype" w:hAnsi="Palatino Linotype" w:cs="Arial"/>
        </w:rPr>
        <w:t>/INFOEM/IP/RR/201</w:t>
      </w:r>
      <w:r w:rsidR="00CC6364">
        <w:rPr>
          <w:rFonts w:ascii="Palatino Linotype" w:hAnsi="Palatino Linotype" w:cs="Arial"/>
        </w:rPr>
        <w:t>8</w:t>
      </w:r>
      <w:r>
        <w:rPr>
          <w:rFonts w:ascii="Palatino Linotype" w:hAnsi="Palatino Linotype"/>
        </w:rPr>
        <w:t xml:space="preserve">, </w:t>
      </w:r>
      <w:r w:rsidR="00CC6364" w:rsidRPr="006058FE">
        <w:rPr>
          <w:rFonts w:ascii="Palatino Linotype" w:hAnsi="Palatino Linotype" w:cs="Arial"/>
        </w:rPr>
        <w:t xml:space="preserve">se debe concluir que se acredita la falta de respuesta por parte del </w:t>
      </w:r>
      <w:r w:rsidR="00CC6364" w:rsidRPr="006058FE">
        <w:rPr>
          <w:rFonts w:ascii="Palatino Linotype" w:hAnsi="Palatino Linotype" w:cs="Arial"/>
          <w:b/>
        </w:rPr>
        <w:t xml:space="preserve">Sujeto Obligado, </w:t>
      </w:r>
      <w:r w:rsidR="00CC6364" w:rsidRPr="006058FE">
        <w:rPr>
          <w:rFonts w:ascii="Palatino Linotype" w:hAnsi="Palatino Linotype" w:cs="Arial"/>
        </w:rPr>
        <w:t xml:space="preserve">con lo que se vulneró el derecho de acceso a la información pública del </w:t>
      </w:r>
      <w:r w:rsidR="00CC6364" w:rsidRPr="006058FE">
        <w:rPr>
          <w:rFonts w:ascii="Palatino Linotype" w:hAnsi="Palatino Linotype" w:cs="Arial"/>
          <w:b/>
          <w:i/>
        </w:rPr>
        <w:t>Recurrente</w:t>
      </w:r>
      <w:r w:rsidR="00CC6364" w:rsidRPr="006058FE">
        <w:rPr>
          <w:rFonts w:ascii="Palatino Linotype" w:hAnsi="Palatino Linotype" w:cs="Arial"/>
        </w:rPr>
        <w:t>, toda vez que se identifican elementos que corroboran tales argumentos</w:t>
      </w:r>
      <w:r w:rsidR="00634F6F">
        <w:rPr>
          <w:rFonts w:ascii="Palatino Linotype" w:hAnsi="Palatino Linotype" w:cs="Arial"/>
        </w:rPr>
        <w:t xml:space="preserve">, considerando que el Ayuntamiento de Almoloya de </w:t>
      </w:r>
      <w:proofErr w:type="spellStart"/>
      <w:r w:rsidR="00634F6F">
        <w:rPr>
          <w:rFonts w:ascii="Palatino Linotype" w:hAnsi="Palatino Linotype" w:cs="Arial"/>
        </w:rPr>
        <w:t>Alquisiras</w:t>
      </w:r>
      <w:proofErr w:type="spellEnd"/>
      <w:r w:rsidR="00634F6F">
        <w:rPr>
          <w:rFonts w:ascii="Palatino Linotype" w:hAnsi="Palatino Linotype" w:cs="Arial"/>
        </w:rPr>
        <w:t xml:space="preserve"> no hizo manifestación alguna, ni ofreció pruebas que tendieran a demostrar lo contrario</w:t>
      </w:r>
      <w:r w:rsidR="00634F6F">
        <w:rPr>
          <w:rFonts w:ascii="Palatino Linotype" w:hAnsi="Palatino Linotype" w:cs="Arial"/>
          <w:b/>
          <w:i/>
        </w:rPr>
        <w:t xml:space="preserve">, </w:t>
      </w:r>
      <w:r w:rsidR="00634F6F">
        <w:rPr>
          <w:rFonts w:ascii="Palatino Linotype" w:hAnsi="Palatino Linotype" w:cs="Arial"/>
        </w:rPr>
        <w:t>y aún menos intentó satisfacer el derecho de acceso a la información, en consecuencia es f</w:t>
      </w:r>
      <w:r w:rsidR="00634F6F" w:rsidRPr="00E000A7">
        <w:rPr>
          <w:rFonts w:ascii="Palatino Linotype" w:hAnsi="Palatino Linotype" w:cs="Arial"/>
        </w:rPr>
        <w:t>undado el motivo</w:t>
      </w:r>
      <w:r w:rsidR="00634F6F">
        <w:rPr>
          <w:rFonts w:ascii="Palatino Linotype" w:hAnsi="Palatino Linotype" w:cs="Arial"/>
        </w:rPr>
        <w:t xml:space="preserve"> de inconformidad del particular. </w:t>
      </w:r>
    </w:p>
    <w:p w14:paraId="05EFDBA4" w14:textId="77777777" w:rsidR="00634F6F" w:rsidRDefault="00634F6F" w:rsidP="00634F6F">
      <w:pPr>
        <w:spacing w:before="240" w:after="240" w:line="360" w:lineRule="auto"/>
        <w:jc w:val="both"/>
        <w:rPr>
          <w:rFonts w:ascii="Palatino Linotype" w:hAnsi="Palatino Linotype"/>
        </w:rPr>
      </w:pPr>
      <w:r>
        <w:rPr>
          <w:rFonts w:ascii="Palatino Linotype" w:eastAsiaTheme="minorEastAsia" w:hAnsi="Palatino Linotype" w:cs="Bookman Old Style"/>
          <w:lang w:val="es-MX"/>
        </w:rPr>
        <w:t xml:space="preserve">Por lo que este Instituto estima necesario señalar que la naturaleza de la atención a las solicitudes radica en lo estatuido por el </w:t>
      </w:r>
      <w:r>
        <w:rPr>
          <w:rFonts w:ascii="Palatino Linotype" w:hAnsi="Palatino Linotype"/>
        </w:rPr>
        <w:t>artículo 6 de la Constitución Política de los Estados Unidos Mexicanos que dispone que toda la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máxima publicidad, aunado a lo anterior también señala que los sujetos obligados deberán conservar sus documentos en archivos administrados actualizados.</w:t>
      </w:r>
    </w:p>
    <w:p w14:paraId="5DC9C81E" w14:textId="77777777" w:rsidR="00634F6F" w:rsidRDefault="00634F6F" w:rsidP="00634F6F">
      <w:pPr>
        <w:spacing w:before="240" w:after="240" w:line="360" w:lineRule="auto"/>
        <w:jc w:val="both"/>
        <w:rPr>
          <w:rFonts w:ascii="Palatino Linotype" w:hAnsi="Palatino Linotype"/>
          <w:i/>
        </w:rPr>
      </w:pPr>
      <w:r>
        <w:rPr>
          <w:rFonts w:ascii="Palatino Linotype" w:hAnsi="Palatino Linotype"/>
        </w:rPr>
        <w:lastRenderedPageBreak/>
        <w:t xml:space="preserve">Mientras que el diverso 5 párrafo vigésimo segundo fracción I de la Constitución Política del Estado Libre y Soberano de México dispone que </w:t>
      </w:r>
      <w:r>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210F00D1" w14:textId="77777777" w:rsidR="00634F6F" w:rsidRDefault="00634F6F" w:rsidP="00634F6F">
      <w:pPr>
        <w:spacing w:before="240" w:after="240" w:line="360" w:lineRule="auto"/>
        <w:jc w:val="both"/>
        <w:rPr>
          <w:rFonts w:ascii="Palatino Linotype" w:hAnsi="Palatino Linotype"/>
        </w:rPr>
      </w:pPr>
      <w:r>
        <w:rPr>
          <w:rFonts w:ascii="Palatino Linotype" w:hAnsi="Palatino Linotype"/>
        </w:rPr>
        <w:t xml:space="preserve">Por lo tanto, se arriba a la convicción de que el derecho de acceso a la información se garantiza mediante la elaboración, manejo y conservación del patrimonio documental y al reconocerse como un derecho fundamental es que todo </w:t>
      </w:r>
      <w:r>
        <w:rPr>
          <w:rFonts w:ascii="Palatino Linotype" w:hAnsi="Palatino Linotype"/>
          <w:b/>
        </w:rPr>
        <w:t xml:space="preserve">Sujeto </w:t>
      </w:r>
      <w:r w:rsidRPr="001F501F">
        <w:rPr>
          <w:rFonts w:ascii="Palatino Linotype" w:hAnsi="Palatino Linotype"/>
          <w:b/>
        </w:rPr>
        <w:t>Obligado</w:t>
      </w:r>
      <w:r>
        <w:rPr>
          <w:rFonts w:ascii="Palatino Linotype" w:hAnsi="Palatino Linotype"/>
        </w:rPr>
        <w:t xml:space="preserve"> debe ceñirse en su actuar a la conservación patrimonial de sus archivos documentales y posteriormente facilitar el acceso de la información pública gubernamental.</w:t>
      </w:r>
    </w:p>
    <w:p w14:paraId="579F0434" w14:textId="77777777" w:rsidR="00634F6F" w:rsidRDefault="00634F6F" w:rsidP="00634F6F">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Por su parte el artículo 3 fracción XXII, 4 y 24 último párrafo de la Ley de Transparencia y Acceso a la Información Pública del Estado de México y Municipios, disponen lo siguiente:</w:t>
      </w:r>
    </w:p>
    <w:p w14:paraId="0A71142A" w14:textId="77777777" w:rsidR="00634F6F" w:rsidRPr="00E21C20" w:rsidRDefault="00634F6F" w:rsidP="00634F6F">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E21C20">
        <w:rPr>
          <w:rFonts w:ascii="Palatino Linotype" w:eastAsiaTheme="minorEastAsia" w:hAnsi="Palatino Linotype" w:cs="Bookman Old Style,Bold"/>
          <w:b/>
          <w:bCs/>
          <w:i/>
          <w:sz w:val="20"/>
          <w:szCs w:val="20"/>
          <w:lang w:val="es-MX"/>
        </w:rPr>
        <w:t xml:space="preserve">Artículo 3. </w:t>
      </w:r>
      <w:r w:rsidRPr="00E21C20">
        <w:rPr>
          <w:rFonts w:ascii="Palatino Linotype" w:eastAsiaTheme="minorEastAsia" w:hAnsi="Palatino Linotype" w:cs="Bookman Old Style"/>
          <w:i/>
          <w:sz w:val="20"/>
          <w:szCs w:val="20"/>
          <w:lang w:val="es-MX"/>
        </w:rPr>
        <w:t>Para los efectos de la presente Ley se entenderá por:</w:t>
      </w:r>
    </w:p>
    <w:p w14:paraId="2F1F377F" w14:textId="77777777" w:rsidR="00634F6F" w:rsidRDefault="00634F6F" w:rsidP="00634F6F">
      <w:pPr>
        <w:autoSpaceDE w:val="0"/>
        <w:autoSpaceDN w:val="0"/>
        <w:adjustRightInd w:val="0"/>
        <w:spacing w:before="120" w:after="240"/>
        <w:ind w:left="1134" w:right="902"/>
        <w:rPr>
          <w:rFonts w:ascii="Palatino Linotype" w:eastAsiaTheme="minorEastAsia" w:hAnsi="Palatino Linotype" w:cs="Bookman Old Style,Bold"/>
          <w:b/>
          <w:bCs/>
          <w:i/>
          <w:sz w:val="20"/>
          <w:szCs w:val="20"/>
          <w:lang w:val="es-MX"/>
        </w:rPr>
      </w:pPr>
      <w:r>
        <w:rPr>
          <w:rFonts w:ascii="Palatino Linotype" w:eastAsiaTheme="minorEastAsia" w:hAnsi="Palatino Linotype" w:cs="Bookman Old Style,Bold"/>
          <w:b/>
          <w:bCs/>
          <w:i/>
          <w:sz w:val="20"/>
          <w:szCs w:val="20"/>
          <w:lang w:val="es-MX"/>
        </w:rPr>
        <w:t>(…)</w:t>
      </w:r>
    </w:p>
    <w:p w14:paraId="5BA0CB5E" w14:textId="77777777" w:rsidR="00634F6F" w:rsidRPr="00E21C20" w:rsidRDefault="00634F6F" w:rsidP="00634F6F">
      <w:pPr>
        <w:autoSpaceDE w:val="0"/>
        <w:autoSpaceDN w:val="0"/>
        <w:adjustRightInd w:val="0"/>
        <w:spacing w:before="120" w:after="240"/>
        <w:ind w:left="1134"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Bold"/>
          <w:b/>
          <w:bCs/>
          <w:i/>
          <w:sz w:val="20"/>
          <w:szCs w:val="20"/>
          <w:lang w:val="es-MX"/>
        </w:rPr>
        <w:t xml:space="preserve">XXII. Información de interés público: </w:t>
      </w:r>
      <w:r w:rsidRPr="00E21C20">
        <w:rPr>
          <w:rFonts w:ascii="Palatino Linotype" w:eastAsiaTheme="minorEastAsia" w:hAnsi="Palatino Linotype" w:cs="Bookman Old Style"/>
          <w:i/>
          <w:sz w:val="20"/>
          <w:szCs w:val="20"/>
          <w:lang w:val="es-MX"/>
        </w:rPr>
        <w:t>Se refiere a la información que resulta relevante o beneficiosa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para la sociedad y no simplemente de interés individual, cuya divulgación resulta útil para que el</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público comprenda las actividades que llevan a cabo los sujetos obligados;</w:t>
      </w:r>
    </w:p>
    <w:p w14:paraId="42A6B2E2" w14:textId="77777777" w:rsidR="00634F6F" w:rsidRPr="00E21C20" w:rsidRDefault="00634F6F" w:rsidP="00634F6F">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Bold"/>
          <w:b/>
          <w:bCs/>
          <w:i/>
          <w:sz w:val="20"/>
          <w:szCs w:val="20"/>
          <w:lang w:val="es-MX"/>
        </w:rPr>
        <w:t xml:space="preserve">Artículo 4. </w:t>
      </w:r>
      <w:r w:rsidRPr="00E21C20">
        <w:rPr>
          <w:rFonts w:ascii="Palatino Linotype" w:eastAsiaTheme="minorEastAsia" w:hAnsi="Palatino Linotype" w:cs="Bookman Old Style"/>
          <w:i/>
          <w:sz w:val="20"/>
          <w:szCs w:val="20"/>
          <w:lang w:val="es-MX"/>
        </w:rPr>
        <w:t>El derecho humano de acceso a la información pública es la prerrogativa de las personas</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para buscar, difundir, investigar, recabar, recibir y solicitar información pública, sin necesidad de</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acreditar personalidad ni interés jurídico.</w:t>
      </w:r>
    </w:p>
    <w:p w14:paraId="10296ADC" w14:textId="77777777" w:rsidR="00634F6F" w:rsidRDefault="00634F6F" w:rsidP="00634F6F">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
          <w:i/>
          <w:sz w:val="20"/>
          <w:szCs w:val="20"/>
          <w:lang w:val="es-MX"/>
        </w:rPr>
        <w:t>Toda la información generada, obtenida, adquirida, transformada, administrada o en posesión de los</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sujetos obligados es pública y accesible de manera permanente a cualquier persona, en los términos y</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 xml:space="preserve">condiciones que se establezcan en los tratados internacionales </w:t>
      </w:r>
      <w:r w:rsidRPr="00E21C20">
        <w:rPr>
          <w:rFonts w:ascii="Palatino Linotype" w:eastAsiaTheme="minorEastAsia" w:hAnsi="Palatino Linotype" w:cs="Bookman Old Style"/>
          <w:i/>
          <w:sz w:val="20"/>
          <w:szCs w:val="20"/>
          <w:lang w:val="es-MX"/>
        </w:rPr>
        <w:lastRenderedPageBreak/>
        <w:t>de los que el Estado mexicano sea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parte, en la Ley General, la presente Ley y demás disposiciones de la materia, privilegiando el principio</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de máxima publicidad de la información. Solo podrá ser clasificada excepcionalmente como reservada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temporalmente por razones de interés público, en los términos de las causas legítimas y estrictamente</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necesarias previstas por esta Ley</w:t>
      </w:r>
      <w:r>
        <w:rPr>
          <w:rFonts w:ascii="Palatino Linotype" w:eastAsiaTheme="minorEastAsia" w:hAnsi="Palatino Linotype" w:cs="Bookman Old Style"/>
          <w:i/>
          <w:sz w:val="20"/>
          <w:szCs w:val="20"/>
          <w:lang w:val="es-MX"/>
        </w:rPr>
        <w:t>…</w:t>
      </w:r>
    </w:p>
    <w:p w14:paraId="1FF53CD6" w14:textId="77777777" w:rsidR="00634F6F" w:rsidRPr="00E21C20" w:rsidRDefault="00634F6F" w:rsidP="00634F6F">
      <w:pPr>
        <w:autoSpaceDE w:val="0"/>
        <w:autoSpaceDN w:val="0"/>
        <w:adjustRightInd w:val="0"/>
        <w:spacing w:before="120" w:after="240"/>
        <w:ind w:left="851" w:right="902"/>
        <w:jc w:val="both"/>
        <w:rPr>
          <w:rFonts w:ascii="Palatino Linotype" w:eastAsiaTheme="minorEastAsia" w:hAnsi="Palatino Linotype" w:cs="Bookman Old Style"/>
          <w:i/>
          <w:lang w:val="es-MX"/>
        </w:rPr>
      </w:pPr>
      <w:r w:rsidRPr="00536665">
        <w:rPr>
          <w:rFonts w:ascii="Palatino Linotype" w:eastAsiaTheme="minorEastAsia" w:hAnsi="Palatino Linotype" w:cs="Bookman Old Style"/>
          <w:b/>
          <w:i/>
          <w:sz w:val="20"/>
          <w:szCs w:val="20"/>
          <w:lang w:val="es-MX"/>
        </w:rPr>
        <w:t>Artículo 24.</w:t>
      </w:r>
      <w:r>
        <w:rPr>
          <w:rFonts w:ascii="Palatino Linotype" w:eastAsiaTheme="minorEastAsia" w:hAnsi="Palatino Linotype" w:cs="Bookman Old Style"/>
          <w:i/>
          <w:sz w:val="20"/>
          <w:szCs w:val="20"/>
          <w:lang w:val="es-MX"/>
        </w:rPr>
        <w:t xml:space="preserve"> …</w:t>
      </w:r>
      <w:r w:rsidRPr="00536665">
        <w:t xml:space="preserve"> </w:t>
      </w:r>
      <w:r w:rsidRPr="00536665">
        <w:rPr>
          <w:rFonts w:ascii="Palatino Linotype" w:eastAsiaTheme="minorEastAsia" w:hAnsi="Palatino Linotype" w:cs="Bookman Old Style"/>
          <w:i/>
          <w:sz w:val="20"/>
          <w:szCs w:val="20"/>
          <w:lang w:val="es-MX"/>
        </w:rPr>
        <w:t>Los sujetos obligados solo proporcionarán la información pública que generen, administren o posean en el ejercicio de sus atribuciones.</w:t>
      </w:r>
      <w:r>
        <w:rPr>
          <w:rFonts w:ascii="Palatino Linotype" w:eastAsiaTheme="minorEastAsia" w:hAnsi="Palatino Linotype" w:cs="Bookman Old Style"/>
          <w:i/>
          <w:sz w:val="20"/>
          <w:szCs w:val="20"/>
          <w:lang w:val="es-MX"/>
        </w:rPr>
        <w:t>”</w:t>
      </w:r>
    </w:p>
    <w:p w14:paraId="1E2B9916" w14:textId="77777777" w:rsidR="00634F6F" w:rsidRPr="007B017E" w:rsidRDefault="00634F6F" w:rsidP="00634F6F">
      <w:pPr>
        <w:spacing w:before="240" w:after="240" w:line="360" w:lineRule="auto"/>
        <w:jc w:val="both"/>
        <w:rPr>
          <w:rFonts w:ascii="Palatino Linotype" w:hAnsi="Palatino Linotype" w:cs="Arial"/>
          <w:color w:val="000000"/>
        </w:rPr>
      </w:pPr>
      <w:r w:rsidRPr="007B017E">
        <w:rPr>
          <w:rFonts w:ascii="Palatino Linotype" w:hAnsi="Palatino Linotype" w:cs="Arial"/>
          <w:color w:val="000000"/>
        </w:rPr>
        <w:t>Así, de la interpretación sistemática a los preceptos legales en cita se advierte que, constituye información pública aquella que conste en soporte documental que generen, administren o posean los sujetos obligados en el ejercicio de sus funciones de derecho público.</w:t>
      </w:r>
    </w:p>
    <w:p w14:paraId="099CB571" w14:textId="53F56DCA" w:rsidR="00634F6F" w:rsidRPr="007B017E" w:rsidRDefault="00634F6F" w:rsidP="00634F6F">
      <w:pPr>
        <w:spacing w:before="240" w:after="240" w:line="360" w:lineRule="auto"/>
        <w:jc w:val="both"/>
        <w:rPr>
          <w:rFonts w:ascii="Palatino Linotype" w:hAnsi="Palatino Linotype" w:cs="Arial"/>
          <w:color w:val="000000"/>
        </w:rPr>
      </w:pPr>
      <w:r w:rsidRPr="007B017E">
        <w:rPr>
          <w:rFonts w:ascii="Palatino Linotype" w:hAnsi="Palatino Linotype" w:cs="Arial"/>
          <w:color w:val="000000"/>
        </w:rPr>
        <w:t>Dicho de otro modo, para que la información tenga el carácter de publica, es indispensable que los Sujetos Obligados la generen, posean o administren en el ámbito de las facultades; de tal manera que es requisito necesario que la norma jurídica conceda a aquéllos facultades para generar</w:t>
      </w:r>
      <w:r>
        <w:rPr>
          <w:rFonts w:ascii="Palatino Linotype" w:hAnsi="Palatino Linotype" w:cs="Arial"/>
          <w:color w:val="000000"/>
        </w:rPr>
        <w:t>la</w:t>
      </w:r>
      <w:r w:rsidRPr="007B017E">
        <w:rPr>
          <w:rFonts w:ascii="Palatino Linotype" w:hAnsi="Palatino Linotype" w:cs="Arial"/>
          <w:color w:val="000000"/>
        </w:rPr>
        <w:t>, poseer</w:t>
      </w:r>
      <w:r>
        <w:rPr>
          <w:rFonts w:ascii="Palatino Linotype" w:hAnsi="Palatino Linotype" w:cs="Arial"/>
          <w:color w:val="000000"/>
        </w:rPr>
        <w:t>la</w:t>
      </w:r>
      <w:r w:rsidRPr="007B017E">
        <w:rPr>
          <w:rFonts w:ascii="Palatino Linotype" w:hAnsi="Palatino Linotype" w:cs="Arial"/>
          <w:color w:val="000000"/>
        </w:rPr>
        <w:t xml:space="preserve"> o administrar</w:t>
      </w:r>
      <w:r>
        <w:rPr>
          <w:rFonts w:ascii="Palatino Linotype" w:hAnsi="Palatino Linotype" w:cs="Arial"/>
          <w:color w:val="000000"/>
        </w:rPr>
        <w:t>la</w:t>
      </w:r>
      <w:r w:rsidRPr="007B017E">
        <w:rPr>
          <w:rFonts w:ascii="Palatino Linotype" w:hAnsi="Palatino Linotype" w:cs="Arial"/>
          <w:color w:val="000000"/>
        </w:rPr>
        <w:t xml:space="preserve">. </w:t>
      </w:r>
    </w:p>
    <w:p w14:paraId="21EFB6FD" w14:textId="0981CE67" w:rsidR="00634F6F" w:rsidRPr="007B017E" w:rsidRDefault="00634F6F" w:rsidP="00634F6F">
      <w:pPr>
        <w:spacing w:before="240" w:after="240" w:line="360" w:lineRule="auto"/>
        <w:jc w:val="both"/>
        <w:rPr>
          <w:rFonts w:ascii="Palatino Linotype" w:hAnsi="Palatino Linotype" w:cs="Arial"/>
          <w:color w:val="000000"/>
        </w:rPr>
      </w:pPr>
      <w:r w:rsidRPr="007B017E">
        <w:rPr>
          <w:rFonts w:ascii="Palatino Linotype" w:hAnsi="Palatino Linotype" w:cs="Arial"/>
          <w:color w:val="000000"/>
        </w:rPr>
        <w:t xml:space="preserve">En esta tesitura, es de subrayar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en términos de lo previsto por la fracción </w:t>
      </w:r>
      <w:r>
        <w:rPr>
          <w:rFonts w:ascii="Palatino Linotype" w:hAnsi="Palatino Linotype" w:cs="Arial"/>
          <w:color w:val="000000"/>
        </w:rPr>
        <w:t>XI</w:t>
      </w:r>
      <w:r w:rsidRPr="007B017E">
        <w:rPr>
          <w:rFonts w:ascii="Palatino Linotype" w:hAnsi="Palatino Linotype" w:cs="Arial"/>
          <w:color w:val="000000"/>
        </w:rPr>
        <w:t xml:space="preserve"> del artículo </w:t>
      </w:r>
      <w:r>
        <w:rPr>
          <w:rFonts w:ascii="Palatino Linotype" w:hAnsi="Palatino Linotype" w:cs="Arial"/>
          <w:color w:val="000000"/>
        </w:rPr>
        <w:t>3</w:t>
      </w:r>
      <w:r w:rsidRPr="007B017E">
        <w:rPr>
          <w:rFonts w:ascii="Palatino Linotype" w:hAnsi="Palatino Linotype" w:cs="Arial"/>
          <w:color w:val="000000"/>
        </w:rPr>
        <w:t xml:space="preserve"> de la Ley de Transparencia y Acceso a la Información Pública del Estado de México y Municipios, que establece: </w:t>
      </w:r>
    </w:p>
    <w:p w14:paraId="044BBB2A" w14:textId="77777777" w:rsidR="00634F6F" w:rsidRPr="00536665" w:rsidRDefault="00634F6F" w:rsidP="00634F6F">
      <w:pPr>
        <w:spacing w:after="120"/>
        <w:ind w:left="851" w:right="851"/>
        <w:jc w:val="both"/>
        <w:rPr>
          <w:rFonts w:ascii="Palatino Linotype" w:hAnsi="Palatino Linotype" w:cs="Arial"/>
          <w:i/>
          <w:color w:val="000000"/>
          <w:sz w:val="20"/>
          <w:szCs w:val="20"/>
        </w:rPr>
      </w:pPr>
      <w:r w:rsidRPr="00536665">
        <w:rPr>
          <w:rFonts w:ascii="Palatino Linotype" w:hAnsi="Palatino Linotype" w:cs="Arial"/>
          <w:i/>
          <w:color w:val="000000"/>
          <w:sz w:val="20"/>
          <w:szCs w:val="20"/>
        </w:rPr>
        <w:t>“</w:t>
      </w:r>
      <w:r w:rsidRPr="00536665">
        <w:rPr>
          <w:rFonts w:ascii="Palatino Linotype" w:hAnsi="Palatino Linotype" w:cs="Arial"/>
          <w:b/>
          <w:i/>
          <w:color w:val="000000"/>
          <w:sz w:val="20"/>
          <w:szCs w:val="20"/>
        </w:rPr>
        <w:t xml:space="preserve">Artículo </w:t>
      </w:r>
      <w:r>
        <w:rPr>
          <w:rFonts w:ascii="Palatino Linotype" w:hAnsi="Palatino Linotype" w:cs="Arial"/>
          <w:b/>
          <w:i/>
          <w:color w:val="000000"/>
          <w:sz w:val="20"/>
          <w:szCs w:val="20"/>
        </w:rPr>
        <w:t>3</w:t>
      </w:r>
      <w:r w:rsidRPr="00536665">
        <w:rPr>
          <w:rFonts w:ascii="Palatino Linotype" w:hAnsi="Palatino Linotype" w:cs="Arial"/>
          <w:b/>
          <w:i/>
          <w:color w:val="000000"/>
          <w:sz w:val="20"/>
          <w:szCs w:val="20"/>
        </w:rPr>
        <w:t>.</w:t>
      </w:r>
      <w:r w:rsidRPr="00536665">
        <w:rPr>
          <w:rFonts w:ascii="Palatino Linotype" w:hAnsi="Palatino Linotype" w:cs="Arial"/>
          <w:i/>
          <w:color w:val="000000"/>
          <w:sz w:val="20"/>
          <w:szCs w:val="20"/>
        </w:rPr>
        <w:t xml:space="preserve"> Para los efectos de esta Ley, se entenderá por:</w:t>
      </w:r>
    </w:p>
    <w:p w14:paraId="6857F706" w14:textId="77777777" w:rsidR="00634F6F" w:rsidRPr="00536665" w:rsidRDefault="00634F6F" w:rsidP="00634F6F">
      <w:pPr>
        <w:spacing w:after="120"/>
        <w:ind w:left="851" w:right="851"/>
        <w:jc w:val="both"/>
        <w:rPr>
          <w:rFonts w:ascii="Palatino Linotype" w:hAnsi="Palatino Linotype" w:cs="Arial"/>
          <w:i/>
          <w:color w:val="000000"/>
          <w:sz w:val="20"/>
          <w:szCs w:val="20"/>
        </w:rPr>
      </w:pPr>
      <w:r w:rsidRPr="00536665">
        <w:rPr>
          <w:rFonts w:ascii="Palatino Linotype" w:hAnsi="Palatino Linotype" w:cs="Arial"/>
          <w:i/>
          <w:color w:val="000000"/>
          <w:sz w:val="20"/>
          <w:szCs w:val="20"/>
        </w:rPr>
        <w:lastRenderedPageBreak/>
        <w:t>(…)</w:t>
      </w:r>
    </w:p>
    <w:p w14:paraId="11AC86EF" w14:textId="77777777" w:rsidR="00634F6F" w:rsidRPr="00536665" w:rsidRDefault="00634F6F" w:rsidP="00634F6F">
      <w:pPr>
        <w:spacing w:after="120"/>
        <w:ind w:left="851" w:right="851"/>
        <w:jc w:val="both"/>
        <w:rPr>
          <w:rFonts w:ascii="Palatino Linotype" w:hAnsi="Palatino Linotype" w:cs="Arial"/>
          <w:i/>
          <w:color w:val="000000"/>
          <w:sz w:val="20"/>
          <w:szCs w:val="20"/>
        </w:rPr>
      </w:pPr>
      <w:r w:rsidRPr="00710458">
        <w:rPr>
          <w:rFonts w:ascii="Palatino Linotype" w:hAnsi="Palatino Linotype" w:cs="Arial"/>
          <w:i/>
          <w:color w:val="000000"/>
          <w:sz w:val="20"/>
          <w:szCs w:val="20"/>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roofErr w:type="gramStart"/>
      <w:r w:rsidRPr="00710458">
        <w:rPr>
          <w:rFonts w:ascii="Palatino Linotype" w:hAnsi="Palatino Linotype" w:cs="Arial"/>
          <w:i/>
          <w:color w:val="000000"/>
          <w:sz w:val="20"/>
          <w:szCs w:val="20"/>
        </w:rPr>
        <w:t xml:space="preserve">; </w:t>
      </w:r>
      <w:r>
        <w:rPr>
          <w:rFonts w:ascii="Palatino Linotype" w:hAnsi="Palatino Linotype" w:cs="Arial"/>
          <w:i/>
          <w:color w:val="000000"/>
          <w:sz w:val="20"/>
          <w:szCs w:val="20"/>
        </w:rPr>
        <w:t>…</w:t>
      </w:r>
      <w:r w:rsidRPr="00536665">
        <w:rPr>
          <w:rFonts w:ascii="Palatino Linotype" w:hAnsi="Palatino Linotype" w:cs="Arial"/>
          <w:i/>
          <w:color w:val="000000"/>
          <w:sz w:val="20"/>
          <w:szCs w:val="20"/>
        </w:rPr>
        <w:t>”</w:t>
      </w:r>
      <w:proofErr w:type="gramEnd"/>
    </w:p>
    <w:p w14:paraId="22C14BED" w14:textId="77777777" w:rsidR="00634F6F" w:rsidRPr="007B017E" w:rsidRDefault="00634F6F" w:rsidP="00634F6F">
      <w:pPr>
        <w:spacing w:before="240" w:after="240" w:line="360" w:lineRule="auto"/>
        <w:jc w:val="both"/>
        <w:rPr>
          <w:rFonts w:ascii="Palatino Linotype" w:hAnsi="Palatino Linotype" w:cs="Arial"/>
          <w:color w:val="000000"/>
        </w:rPr>
      </w:pPr>
      <w:r w:rsidRPr="007B017E">
        <w:rPr>
          <w:rFonts w:ascii="Palatino Linotype" w:hAnsi="Palatino Linotype" w:cs="Arial"/>
          <w:color w:val="000000"/>
        </w:rPr>
        <w:t xml:space="preserve">Como apoyo a lo anterior, es aplicable el Criterio 09-10, emitido por </w:t>
      </w:r>
      <w:r w:rsidRPr="007B017E">
        <w:rPr>
          <w:rFonts w:ascii="Palatino Linotype" w:eastAsia="Arial Unicode MS" w:hAnsi="Palatino Linotype" w:cs="Arial"/>
          <w:color w:val="000000"/>
        </w:rPr>
        <w:t xml:space="preserve">el Pleno del entonces </w:t>
      </w:r>
      <w:r w:rsidRPr="007B017E">
        <w:rPr>
          <w:rFonts w:ascii="Palatino Linotype" w:eastAsia="Arial Unicode MS" w:hAnsi="Palatino Linotype" w:cs="Arial"/>
          <w:bCs/>
          <w:color w:val="000000"/>
        </w:rPr>
        <w:t xml:space="preserve">Instituto Federal de Acceso a la Información y Protección de Datos, </w:t>
      </w:r>
      <w:r w:rsidRPr="007B017E">
        <w:rPr>
          <w:rFonts w:ascii="Palatino Linotype" w:eastAsia="Arial Unicode MS" w:hAnsi="Palatino Linotype" w:cs="Arial"/>
          <w:color w:val="000000"/>
        </w:rPr>
        <w:t>ahora Instituto Nacional de Transparencia, Acceso a la Información y Protección de Datos Personales,</w:t>
      </w:r>
      <w:r w:rsidRPr="007B017E">
        <w:rPr>
          <w:rFonts w:ascii="Palatino Linotype" w:hAnsi="Palatino Linotype"/>
          <w:bCs/>
          <w:color w:val="000000"/>
        </w:rPr>
        <w:t xml:space="preserve"> que dice:</w:t>
      </w:r>
      <w:r w:rsidRPr="007B017E">
        <w:rPr>
          <w:rFonts w:ascii="Palatino Linotype" w:hAnsi="Palatino Linotype"/>
          <w:b/>
          <w:bCs/>
          <w:color w:val="000000"/>
        </w:rPr>
        <w:t xml:space="preserve"> </w:t>
      </w:r>
    </w:p>
    <w:p w14:paraId="6C8A996A" w14:textId="77777777" w:rsidR="00634F6F" w:rsidRPr="00536665" w:rsidRDefault="00634F6F" w:rsidP="00634F6F">
      <w:pPr>
        <w:spacing w:after="120"/>
        <w:ind w:left="851" w:right="851"/>
        <w:jc w:val="both"/>
        <w:rPr>
          <w:rFonts w:ascii="Palatino Linotype" w:hAnsi="Palatino Linotype" w:cs="Arial"/>
          <w:i/>
          <w:color w:val="000000"/>
          <w:sz w:val="20"/>
          <w:szCs w:val="20"/>
        </w:rPr>
      </w:pPr>
      <w:r w:rsidRPr="00536665">
        <w:rPr>
          <w:rFonts w:ascii="Palatino Linotype" w:hAnsi="Palatino Linotype" w:cs="Arial"/>
          <w:i/>
          <w:color w:val="000000"/>
          <w:sz w:val="20"/>
          <w:szCs w:val="20"/>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r>
        <w:rPr>
          <w:rFonts w:ascii="Palatino Linotype" w:hAnsi="Palatino Linotype" w:cs="Arial"/>
          <w:i/>
          <w:color w:val="000000"/>
          <w:sz w:val="20"/>
          <w:szCs w:val="20"/>
        </w:rPr>
        <w:t>”</w:t>
      </w:r>
    </w:p>
    <w:p w14:paraId="1C2C5AF1" w14:textId="1930F177" w:rsidR="00634F6F" w:rsidRPr="002A1993" w:rsidRDefault="00634F6F" w:rsidP="00634F6F">
      <w:pPr>
        <w:spacing w:before="240" w:after="240" w:line="360" w:lineRule="auto"/>
        <w:ind w:right="49"/>
        <w:jc w:val="both"/>
        <w:rPr>
          <w:rFonts w:ascii="Palatino Linotype" w:hAnsi="Palatino Linotype" w:cs="Arial"/>
        </w:rPr>
      </w:pPr>
      <w:r>
        <w:rPr>
          <w:rFonts w:ascii="Palatino Linotype" w:eastAsiaTheme="minorEastAsia" w:hAnsi="Palatino Linotype" w:cs="Bookman Old Style"/>
          <w:lang w:val="es-MX"/>
        </w:rPr>
        <w:t xml:space="preserve">Precisado lo anterior, se procede a analizar el marco normativo que rige el actuar del Ayuntamiento de </w:t>
      </w:r>
      <w:r w:rsidR="0055320F">
        <w:rPr>
          <w:rFonts w:ascii="Palatino Linotype" w:eastAsiaTheme="minorEastAsia" w:hAnsi="Palatino Linotype" w:cs="Bookman Old Style"/>
          <w:lang w:val="es-MX"/>
        </w:rPr>
        <w:t xml:space="preserve">Almoloya de </w:t>
      </w:r>
      <w:proofErr w:type="spellStart"/>
      <w:r w:rsidR="0055320F">
        <w:rPr>
          <w:rFonts w:ascii="Palatino Linotype" w:eastAsiaTheme="minorEastAsia" w:hAnsi="Palatino Linotype" w:cs="Bookman Old Style"/>
          <w:lang w:val="es-MX"/>
        </w:rPr>
        <w:t>Alquisiras</w:t>
      </w:r>
      <w:proofErr w:type="spellEnd"/>
      <w:r>
        <w:rPr>
          <w:rFonts w:ascii="Palatino Linotype" w:eastAsiaTheme="minorEastAsia" w:hAnsi="Palatino Linotype" w:cs="Bookman Old Style"/>
          <w:lang w:val="es-MX"/>
        </w:rPr>
        <w:t xml:space="preserve">, partiendo de lo estatuido en </w:t>
      </w:r>
      <w:r w:rsidRPr="0079518F">
        <w:rPr>
          <w:rFonts w:ascii="Palatino Linotype" w:eastAsiaTheme="minorEastAsia" w:hAnsi="Palatino Linotype" w:cs="Bookman Old Style"/>
          <w:lang w:val="es-MX"/>
        </w:rPr>
        <w:t xml:space="preserve">la </w:t>
      </w:r>
      <w:r w:rsidRPr="0079518F">
        <w:rPr>
          <w:rFonts w:ascii="Palatino Linotype" w:hAnsi="Palatino Linotype" w:cs="Arial"/>
        </w:rPr>
        <w:t>Constitución Política</w:t>
      </w:r>
      <w:r w:rsidRPr="002A1993">
        <w:rPr>
          <w:rFonts w:ascii="Palatino Linotype" w:hAnsi="Palatino Linotype" w:cs="Arial"/>
        </w:rPr>
        <w:t xml:space="preserve"> de los Estados Unidos Mexicanos</w:t>
      </w:r>
      <w:r>
        <w:rPr>
          <w:rFonts w:ascii="Palatino Linotype" w:hAnsi="Palatino Linotype" w:cs="Arial"/>
        </w:rPr>
        <w:t xml:space="preserve"> </w:t>
      </w:r>
      <w:r w:rsidR="009021D3">
        <w:rPr>
          <w:rFonts w:ascii="Palatino Linotype" w:hAnsi="Palatino Linotype" w:cs="Arial"/>
        </w:rPr>
        <w:t xml:space="preserve">que </w:t>
      </w:r>
      <w:r>
        <w:rPr>
          <w:rFonts w:ascii="Palatino Linotype" w:hAnsi="Palatino Linotype" w:cs="Arial"/>
        </w:rPr>
        <w:t>establece en el artículo 115 fracc</w:t>
      </w:r>
      <w:r w:rsidRPr="002A1993">
        <w:rPr>
          <w:rFonts w:ascii="Palatino Linotype" w:hAnsi="Palatino Linotype" w:cs="Arial"/>
        </w:rPr>
        <w:t>iones I</w:t>
      </w:r>
      <w:r>
        <w:rPr>
          <w:rFonts w:ascii="Palatino Linotype" w:hAnsi="Palatino Linotype" w:cs="Arial"/>
        </w:rPr>
        <w:t>, II inciso c)</w:t>
      </w:r>
      <w:r w:rsidRPr="002A1993">
        <w:rPr>
          <w:rFonts w:ascii="Palatino Linotype" w:hAnsi="Palatino Linotype" w:cs="Arial"/>
        </w:rPr>
        <w:t xml:space="preserve">, </w:t>
      </w:r>
      <w:r>
        <w:rPr>
          <w:rFonts w:ascii="Palatino Linotype" w:hAnsi="Palatino Linotype" w:cs="Arial"/>
        </w:rPr>
        <w:t>lo</w:t>
      </w:r>
      <w:r w:rsidRPr="002A1993">
        <w:rPr>
          <w:rFonts w:ascii="Palatino Linotype" w:hAnsi="Palatino Linotype" w:cs="Arial"/>
        </w:rPr>
        <w:t xml:space="preserve"> siguiente:</w:t>
      </w:r>
    </w:p>
    <w:p w14:paraId="6CA98486" w14:textId="77777777" w:rsidR="00634F6F" w:rsidRPr="00D11D47" w:rsidRDefault="00634F6F" w:rsidP="00634F6F">
      <w:pPr>
        <w:spacing w:before="240" w:after="240"/>
        <w:ind w:left="851" w:right="900"/>
        <w:jc w:val="both"/>
        <w:rPr>
          <w:rFonts w:ascii="Palatino Linotype" w:hAnsi="Palatino Linotype"/>
          <w:i/>
          <w:sz w:val="20"/>
          <w:szCs w:val="22"/>
        </w:rPr>
      </w:pPr>
      <w:r w:rsidRPr="00E261A8">
        <w:rPr>
          <w:rFonts w:ascii="Palatino Linotype" w:hAnsi="Palatino Linotype" w:cs="Arial"/>
          <w:b/>
          <w:i/>
          <w:sz w:val="20"/>
          <w:szCs w:val="22"/>
        </w:rPr>
        <w:t>“</w:t>
      </w:r>
      <w:r w:rsidRPr="00E261A8">
        <w:rPr>
          <w:rFonts w:ascii="Palatino Linotype" w:hAnsi="Palatino Linotype"/>
          <w:b/>
          <w:i/>
          <w:sz w:val="20"/>
          <w:szCs w:val="22"/>
        </w:rPr>
        <w:t>Artículo 115.</w:t>
      </w:r>
      <w:r w:rsidRPr="00D11D47">
        <w:rPr>
          <w:rFonts w:ascii="Palatino Linotype" w:hAnsi="Palatino Linotype"/>
          <w:i/>
          <w:sz w:val="20"/>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E4DF2A1" w14:textId="77777777" w:rsidR="00634F6F" w:rsidRDefault="00634F6F" w:rsidP="00634F6F">
      <w:pPr>
        <w:spacing w:after="120"/>
        <w:ind w:left="1134" w:right="902"/>
        <w:jc w:val="both"/>
        <w:rPr>
          <w:rFonts w:ascii="Palatino Linotype" w:hAnsi="Palatino Linotype"/>
          <w:i/>
          <w:sz w:val="20"/>
          <w:szCs w:val="22"/>
        </w:rPr>
      </w:pPr>
      <w:r w:rsidRPr="00D11D47">
        <w:rPr>
          <w:rFonts w:ascii="Palatino Linotype" w:hAnsi="Palatino Linotype"/>
          <w:i/>
          <w:sz w:val="20"/>
          <w:szCs w:val="22"/>
        </w:rPr>
        <w:t xml:space="preserve">I. Cada Municipio será gobernado por un Ayuntamiento de elección popular directa, integrado por un Presidente Municipal y el número de regidores y síndicos que la ley determine. La competencia que esta Constitución otorga al gobierno municipal se </w:t>
      </w:r>
      <w:r w:rsidRPr="00D11D47">
        <w:rPr>
          <w:rFonts w:ascii="Palatino Linotype" w:hAnsi="Palatino Linotype"/>
          <w:i/>
          <w:sz w:val="20"/>
          <w:szCs w:val="22"/>
        </w:rPr>
        <w:lastRenderedPageBreak/>
        <w:t>ejercerá por el Ayuntamiento de manera exclusiva y no habrá autoridad intermedia alguna entre éste y el gobierno del Estado</w:t>
      </w:r>
      <w:r>
        <w:rPr>
          <w:rFonts w:ascii="Palatino Linotype" w:hAnsi="Palatino Linotype"/>
          <w:i/>
          <w:sz w:val="20"/>
          <w:szCs w:val="22"/>
        </w:rPr>
        <w:t>.</w:t>
      </w:r>
    </w:p>
    <w:p w14:paraId="4F61DE55" w14:textId="77777777" w:rsidR="00634F6F" w:rsidRPr="00D11D47" w:rsidRDefault="00634F6F" w:rsidP="00634F6F">
      <w:pPr>
        <w:spacing w:after="120"/>
        <w:ind w:left="1134" w:right="902"/>
        <w:jc w:val="both"/>
        <w:rPr>
          <w:rFonts w:ascii="Palatino Linotype" w:hAnsi="Palatino Linotype"/>
          <w:i/>
          <w:sz w:val="20"/>
          <w:szCs w:val="22"/>
        </w:rPr>
      </w:pPr>
      <w:r>
        <w:rPr>
          <w:rFonts w:ascii="Palatino Linotype" w:hAnsi="Palatino Linotype"/>
          <w:i/>
          <w:sz w:val="20"/>
          <w:szCs w:val="22"/>
        </w:rPr>
        <w:t>(…)</w:t>
      </w:r>
    </w:p>
    <w:p w14:paraId="789B4688" w14:textId="77777777" w:rsidR="00634F6F" w:rsidRDefault="00634F6F" w:rsidP="00634F6F">
      <w:pPr>
        <w:pStyle w:val="Default"/>
        <w:spacing w:after="120"/>
        <w:ind w:left="1134" w:right="902"/>
        <w:jc w:val="both"/>
        <w:rPr>
          <w:rFonts w:ascii="Palatino Linotype" w:hAnsi="Palatino Linotype"/>
          <w:i/>
          <w:sz w:val="20"/>
          <w:szCs w:val="20"/>
        </w:rPr>
      </w:pPr>
      <w:r w:rsidRPr="00D11D47">
        <w:rPr>
          <w:rFonts w:ascii="Palatino Linotype" w:hAnsi="Palatino Linotype"/>
          <w:b/>
          <w:bCs/>
          <w:i/>
          <w:sz w:val="20"/>
          <w:szCs w:val="20"/>
        </w:rPr>
        <w:t xml:space="preserve">II. </w:t>
      </w:r>
      <w:r w:rsidRPr="00D11D47">
        <w:rPr>
          <w:rFonts w:ascii="Palatino Linotype" w:hAnsi="Palatino Linotype"/>
          <w:i/>
          <w:sz w:val="20"/>
          <w:szCs w:val="20"/>
        </w:rPr>
        <w:t xml:space="preserve">Los municipios estarán investidos de personalidad jurídica y manejarán su patrimonio conforme a la ley. </w:t>
      </w:r>
    </w:p>
    <w:p w14:paraId="77EDBF92" w14:textId="77777777" w:rsidR="00634F6F" w:rsidRPr="00D46D24" w:rsidRDefault="00634F6F" w:rsidP="00634F6F">
      <w:pPr>
        <w:pStyle w:val="Default"/>
        <w:spacing w:after="120"/>
        <w:ind w:left="1134" w:right="902"/>
        <w:jc w:val="both"/>
        <w:rPr>
          <w:rFonts w:ascii="Palatino Linotype" w:hAnsi="Palatino Linotype"/>
          <w:i/>
          <w:sz w:val="20"/>
          <w:szCs w:val="20"/>
        </w:rPr>
      </w:pPr>
      <w:r w:rsidRPr="00D46D24">
        <w:rPr>
          <w:rFonts w:ascii="Palatino Linotype" w:hAnsi="Palatino Linotype"/>
          <w:i/>
          <w:sz w:val="20"/>
          <w:szCs w:val="20"/>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76DB4117" w14:textId="77777777" w:rsidR="00634F6F" w:rsidRDefault="00634F6F" w:rsidP="00634F6F">
      <w:pPr>
        <w:pStyle w:val="Default"/>
        <w:spacing w:after="120"/>
        <w:ind w:left="1134" w:right="902"/>
        <w:jc w:val="both"/>
        <w:rPr>
          <w:rFonts w:ascii="Palatino Linotype" w:hAnsi="Palatino Linotype"/>
          <w:i/>
          <w:sz w:val="20"/>
          <w:szCs w:val="20"/>
        </w:rPr>
      </w:pPr>
      <w:r w:rsidRPr="00D46D24">
        <w:rPr>
          <w:rFonts w:ascii="Palatino Linotype" w:hAnsi="Palatino Linotype"/>
          <w:i/>
          <w:sz w:val="20"/>
          <w:szCs w:val="20"/>
        </w:rPr>
        <w:t>El objeto de las leyes a que se refiere el párrafo anterior será establecer:</w:t>
      </w:r>
    </w:p>
    <w:p w14:paraId="545D15B3" w14:textId="77777777" w:rsidR="00634F6F" w:rsidRDefault="00634F6F" w:rsidP="00634F6F">
      <w:pPr>
        <w:pStyle w:val="Default"/>
        <w:spacing w:after="120"/>
        <w:ind w:left="1418" w:right="902"/>
        <w:jc w:val="both"/>
        <w:rPr>
          <w:rFonts w:ascii="Palatino Linotype" w:hAnsi="Palatino Linotype"/>
          <w:b/>
          <w:bCs/>
          <w:i/>
          <w:sz w:val="20"/>
          <w:szCs w:val="20"/>
        </w:rPr>
      </w:pPr>
      <w:r>
        <w:rPr>
          <w:rFonts w:ascii="Palatino Linotype" w:hAnsi="Palatino Linotype"/>
          <w:b/>
          <w:bCs/>
          <w:i/>
          <w:sz w:val="20"/>
          <w:szCs w:val="20"/>
        </w:rPr>
        <w:t>(…)</w:t>
      </w:r>
    </w:p>
    <w:p w14:paraId="12166818" w14:textId="77777777" w:rsidR="00634F6F" w:rsidRDefault="00634F6F" w:rsidP="00634F6F">
      <w:pPr>
        <w:pStyle w:val="Default"/>
        <w:spacing w:after="120"/>
        <w:ind w:left="1418" w:right="902"/>
        <w:jc w:val="both"/>
        <w:rPr>
          <w:rFonts w:ascii="Palatino Linotype" w:hAnsi="Palatino Linotype"/>
          <w:i/>
          <w:sz w:val="20"/>
          <w:szCs w:val="20"/>
        </w:rPr>
      </w:pPr>
      <w:r w:rsidRPr="009119CC">
        <w:rPr>
          <w:rFonts w:ascii="Palatino Linotype" w:hAnsi="Palatino Linotype"/>
          <w:i/>
          <w:sz w:val="20"/>
          <w:szCs w:val="20"/>
        </w:rPr>
        <w:t>c)  Las normas de aplicación general para celebrar los convenios a que se refieren tanto las fracciones III y IV de este artículo, como el segundo párrafo de la fracción VII del artículo 116 de esta Constitución;</w:t>
      </w:r>
    </w:p>
    <w:p w14:paraId="00A4220F" w14:textId="41A6FD74" w:rsidR="00634F6F" w:rsidRDefault="00634F6F" w:rsidP="00634F6F">
      <w:pPr>
        <w:pStyle w:val="Default"/>
        <w:spacing w:before="240" w:after="240" w:line="360" w:lineRule="auto"/>
        <w:ind w:right="49"/>
        <w:jc w:val="both"/>
        <w:rPr>
          <w:rFonts w:ascii="Palatino Linotype" w:hAnsi="Palatino Linotype"/>
          <w:bCs/>
        </w:rPr>
      </w:pPr>
      <w:r>
        <w:rPr>
          <w:rFonts w:ascii="Palatino Linotype" w:hAnsi="Palatino Linotype"/>
          <w:bCs/>
        </w:rPr>
        <w:t>Así, del texto transcrito se advierte que los Municipios son la base de  la división territorial de los Estados, mism</w:t>
      </w:r>
      <w:r w:rsidR="009C1CAA">
        <w:rPr>
          <w:rFonts w:ascii="Palatino Linotype" w:hAnsi="Palatino Linotype"/>
          <w:bCs/>
        </w:rPr>
        <w:t>os que serán gobernados por un A</w:t>
      </w:r>
      <w:r>
        <w:rPr>
          <w:rFonts w:ascii="Palatino Linotype" w:hAnsi="Palatino Linotype"/>
          <w:bCs/>
        </w:rPr>
        <w:t>yuntamiento de elección popular, compuesto por un Presidente Municipal y el número de regidores y síndicos que la ley determine, los cuales estarán investidos de personalidad jurídica y patrimonio propio, en este sentido tendrán la facultad de aprobar con acuerdo a las leyes su bando de policía y buen gobierno, reglamentos, circulares y disposiciones administrativas de observancia general dentro de su circunscripción, entre las que se encuentra las normas de aplicación general para celebrar convenios para la prestación de servicios públicos y para administrar su hacienda.</w:t>
      </w:r>
    </w:p>
    <w:p w14:paraId="33BB5BE9" w14:textId="77777777" w:rsidR="00634F6F" w:rsidRDefault="00634F6F" w:rsidP="00634F6F">
      <w:pPr>
        <w:spacing w:before="240" w:after="240" w:line="360" w:lineRule="auto"/>
        <w:ind w:right="49"/>
        <w:jc w:val="both"/>
        <w:rPr>
          <w:rFonts w:ascii="Palatino Linotype" w:hAnsi="Palatino Linotype"/>
        </w:rPr>
      </w:pPr>
      <w:r>
        <w:rPr>
          <w:rFonts w:ascii="Palatino Linotype" w:hAnsi="Palatino Linotype"/>
          <w:bCs/>
        </w:rPr>
        <w:t xml:space="preserve">Por su parte, la Constitución Política del Estado Libre y Soberano de México, reconoce en su artículo 112, a los Municipios como la base de la división territorial y organización política y administrativa del Estado, además de establecer las funciones y atribuciones contenidas en la Constitución Federal, cuestiones que no </w:t>
      </w:r>
      <w:r>
        <w:rPr>
          <w:rFonts w:ascii="Palatino Linotype" w:hAnsi="Palatino Linotype"/>
          <w:bCs/>
        </w:rPr>
        <w:lastRenderedPageBreak/>
        <w:t>se pasaron por alto al emitir la L</w:t>
      </w:r>
      <w:r>
        <w:rPr>
          <w:rFonts w:ascii="Palatino Linotype" w:hAnsi="Palatino Linotype"/>
        </w:rPr>
        <w:t>ey Orgánica Municipal del Estado de México, en virtud de que la misma,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síndicos que la ley determine.</w:t>
      </w:r>
    </w:p>
    <w:p w14:paraId="35C1D7E8" w14:textId="3BC4DE69" w:rsidR="00634F6F" w:rsidRDefault="00634F6F" w:rsidP="00634F6F">
      <w:pPr>
        <w:pStyle w:val="Default"/>
        <w:spacing w:before="240" w:after="240" w:line="360" w:lineRule="auto"/>
        <w:ind w:right="49" w:firstLine="1"/>
        <w:jc w:val="both"/>
        <w:rPr>
          <w:rFonts w:ascii="Palatino Linotype" w:hAnsi="Palatino Linotype"/>
        </w:rPr>
      </w:pPr>
      <w:r>
        <w:rPr>
          <w:rFonts w:ascii="Palatino Linotype" w:hAnsi="Palatino Linotype"/>
        </w:rPr>
        <w:t>Por lo que le compete al Ayuntamiento la definición de las Políticas Generales de Gobierno y de la Administración Pública Municipal, así como las decisiones que atañen a la población, territorio, patrimonio, organización política y administrativa del Municipio</w:t>
      </w:r>
      <w:r w:rsidR="0084751D">
        <w:rPr>
          <w:rStyle w:val="Refdenotaalpie"/>
          <w:rFonts w:ascii="Palatino Linotype" w:hAnsi="Palatino Linotype"/>
        </w:rPr>
        <w:footnoteReference w:id="1"/>
      </w:r>
      <w:r>
        <w:rPr>
          <w:rFonts w:ascii="Palatino Linotype" w:hAnsi="Palatino Linotype"/>
        </w:rPr>
        <w:t>, y para ello se auxiliará de las áreas administrativas, organismos públicos descentralizados y entidades de la Administración Pública Municipal, establecidas en el artículo 30 del Bando Municipal mismas que estarán subordinadas al Presidente Municipal.</w:t>
      </w:r>
    </w:p>
    <w:p w14:paraId="1EB68F5D" w14:textId="6E878DB1" w:rsidR="00805F55" w:rsidRDefault="00634F6F" w:rsidP="00A363D9">
      <w:pPr>
        <w:spacing w:before="240" w:after="240" w:line="360" w:lineRule="auto"/>
        <w:ind w:right="49"/>
        <w:jc w:val="both"/>
        <w:rPr>
          <w:rFonts w:ascii="Palatino Linotype" w:hAnsi="Palatino Linotype"/>
        </w:rPr>
      </w:pPr>
      <w:r>
        <w:rPr>
          <w:rFonts w:ascii="Palatino Linotype" w:hAnsi="Palatino Linotype"/>
        </w:rPr>
        <w:t xml:space="preserve">Una vez establecida la competencia del </w:t>
      </w:r>
      <w:r w:rsidRPr="00884557">
        <w:rPr>
          <w:rFonts w:ascii="Palatino Linotype" w:hAnsi="Palatino Linotype"/>
          <w:b/>
        </w:rPr>
        <w:t xml:space="preserve">Sujeto Obligado </w:t>
      </w:r>
      <w:r>
        <w:rPr>
          <w:rFonts w:ascii="Palatino Linotype" w:hAnsi="Palatino Linotype"/>
        </w:rPr>
        <w:t xml:space="preserve">resulta oportuna atender las cuestiones de fondo del presente medio de impugnación, </w:t>
      </w:r>
      <w:r w:rsidR="00A363D9">
        <w:rPr>
          <w:rFonts w:ascii="Palatino Linotype" w:hAnsi="Palatino Linotype"/>
        </w:rPr>
        <w:t>a partir d</w:t>
      </w:r>
      <w:r w:rsidR="00805F55">
        <w:rPr>
          <w:rFonts w:ascii="Palatino Linotype" w:hAnsi="Palatino Linotype"/>
        </w:rPr>
        <w:t xml:space="preserve">el marco jurídico </w:t>
      </w:r>
      <w:r w:rsidR="00B67939">
        <w:rPr>
          <w:rFonts w:ascii="Palatino Linotype" w:hAnsi="Palatino Linotype"/>
        </w:rPr>
        <w:t xml:space="preserve">que obliga al </w:t>
      </w:r>
      <w:r w:rsidR="00B67939">
        <w:rPr>
          <w:rFonts w:ascii="Palatino Linotype" w:hAnsi="Palatino Linotype"/>
          <w:b/>
        </w:rPr>
        <w:t xml:space="preserve">Sujeto Obligado </w:t>
      </w:r>
      <w:r w:rsidR="00805F55">
        <w:rPr>
          <w:rFonts w:ascii="Palatino Linotype" w:hAnsi="Palatino Linotype"/>
        </w:rPr>
        <w:t xml:space="preserve">a generar, poseer o administrar documentos en los que conste el salario bruto y neto mensual </w:t>
      </w:r>
      <w:r w:rsidR="00B67939">
        <w:rPr>
          <w:rFonts w:ascii="Palatino Linotype" w:hAnsi="Palatino Linotype"/>
        </w:rPr>
        <w:t>de</w:t>
      </w:r>
      <w:r w:rsidR="00805F55">
        <w:rPr>
          <w:rFonts w:ascii="Palatino Linotype" w:hAnsi="Palatino Linotype"/>
        </w:rPr>
        <w:t xml:space="preserve"> </w:t>
      </w:r>
      <w:r w:rsidR="00B67939">
        <w:rPr>
          <w:rFonts w:ascii="Palatino Linotype" w:hAnsi="Palatino Linotype"/>
        </w:rPr>
        <w:t>l</w:t>
      </w:r>
      <w:r w:rsidR="00805F55">
        <w:rPr>
          <w:rFonts w:ascii="Palatino Linotype" w:hAnsi="Palatino Linotype"/>
        </w:rPr>
        <w:t>os integrantes del Ayuntamiento del</w:t>
      </w:r>
      <w:r w:rsidR="00B67939">
        <w:rPr>
          <w:rFonts w:ascii="Palatino Linotype" w:hAnsi="Palatino Linotype"/>
        </w:rPr>
        <w:t xml:space="preserve"> Municipio de </w:t>
      </w:r>
      <w:r w:rsidR="00805F55">
        <w:rPr>
          <w:rFonts w:ascii="Palatino Linotype" w:hAnsi="Palatino Linotype"/>
        </w:rPr>
        <w:t xml:space="preserve">Almoloya de </w:t>
      </w:r>
      <w:proofErr w:type="spellStart"/>
      <w:r w:rsidR="00805F55">
        <w:rPr>
          <w:rFonts w:ascii="Palatino Linotype" w:hAnsi="Palatino Linotype"/>
        </w:rPr>
        <w:t>Alquisiras</w:t>
      </w:r>
      <w:proofErr w:type="spellEnd"/>
      <w:r w:rsidR="00805F55">
        <w:rPr>
          <w:rFonts w:ascii="Palatino Linotype" w:hAnsi="Palatino Linotype"/>
        </w:rPr>
        <w:t>.</w:t>
      </w:r>
    </w:p>
    <w:p w14:paraId="104CFED3" w14:textId="5D963445" w:rsidR="00B67939" w:rsidRDefault="00805F55" w:rsidP="00B67939">
      <w:pPr>
        <w:spacing w:before="240" w:after="360" w:line="360" w:lineRule="auto"/>
        <w:jc w:val="both"/>
        <w:rPr>
          <w:rFonts w:ascii="Palatino Linotype" w:hAnsi="Palatino Linotype"/>
        </w:rPr>
      </w:pPr>
      <w:r>
        <w:rPr>
          <w:rFonts w:ascii="Palatino Linotype" w:hAnsi="Palatino Linotype"/>
        </w:rPr>
        <w:t xml:space="preserve">Por ello, se hace necesario invocar en primer lugar, el contenido del </w:t>
      </w:r>
      <w:r w:rsidR="00B67939">
        <w:rPr>
          <w:rFonts w:ascii="Palatino Linotype" w:hAnsi="Palatino Linotype"/>
        </w:rPr>
        <w:t>artículo 92 fracción VIII</w:t>
      </w:r>
      <w:r>
        <w:rPr>
          <w:rFonts w:ascii="Palatino Linotype" w:hAnsi="Palatino Linotype"/>
        </w:rPr>
        <w:t xml:space="preserve"> de la Ley de Transparencia y Acceso a la Información Pública del </w:t>
      </w:r>
      <w:r>
        <w:rPr>
          <w:rFonts w:ascii="Palatino Linotype" w:hAnsi="Palatino Linotype"/>
        </w:rPr>
        <w:lastRenderedPageBreak/>
        <w:t>Estado de México y Municipios</w:t>
      </w:r>
      <w:r w:rsidR="00B67939">
        <w:rPr>
          <w:rFonts w:ascii="Palatino Linotype" w:hAnsi="Palatino Linotype"/>
        </w:rPr>
        <w:t xml:space="preserve">, </w:t>
      </w:r>
      <w:r>
        <w:rPr>
          <w:rFonts w:ascii="Palatino Linotype" w:hAnsi="Palatino Linotype"/>
        </w:rPr>
        <w:t xml:space="preserve">en el que se establece </w:t>
      </w:r>
      <w:r w:rsidR="00B67939">
        <w:rPr>
          <w:rFonts w:ascii="Palatino Linotype" w:hAnsi="Palatino Linotype"/>
        </w:rPr>
        <w:t xml:space="preserve">como obligaciones de transparencia comunes </w:t>
      </w:r>
      <w:r>
        <w:rPr>
          <w:rFonts w:ascii="Palatino Linotype" w:hAnsi="Palatino Linotype"/>
        </w:rPr>
        <w:t>a</w:t>
      </w:r>
      <w:r w:rsidR="00B67939">
        <w:rPr>
          <w:rFonts w:ascii="Palatino Linotype" w:hAnsi="Palatino Linotype"/>
        </w:rPr>
        <w:t xml:space="preserve"> los sujetos obligados, poner a disposición de público de manera permanente y actualizada, la remuneración neta y bruta de todos los servidores públicos, </w:t>
      </w:r>
      <w:r>
        <w:rPr>
          <w:rFonts w:ascii="Palatino Linotype" w:hAnsi="Palatino Linotype"/>
        </w:rPr>
        <w:t>según se puede leer enseguida</w:t>
      </w:r>
      <w:r w:rsidR="00B67939">
        <w:rPr>
          <w:rFonts w:ascii="Palatino Linotype" w:hAnsi="Palatino Linotype"/>
        </w:rPr>
        <w:t>:</w:t>
      </w:r>
    </w:p>
    <w:p w14:paraId="74D894FA" w14:textId="77777777" w:rsidR="00B67939" w:rsidRPr="005273F3" w:rsidRDefault="00B67939" w:rsidP="00B67939">
      <w:pPr>
        <w:spacing w:after="120"/>
        <w:ind w:left="851" w:right="902"/>
        <w:jc w:val="both"/>
        <w:rPr>
          <w:rFonts w:ascii="Palatino Linotype" w:hAnsi="Palatino Linotype" w:cs="Arial"/>
          <w:i/>
          <w:sz w:val="20"/>
          <w:szCs w:val="20"/>
          <w:lang w:eastAsia="es-MX"/>
        </w:rPr>
      </w:pPr>
      <w:r w:rsidRPr="005273F3">
        <w:rPr>
          <w:rFonts w:ascii="Palatino Linotype" w:hAnsi="Palatino Linotype" w:cs="Arial"/>
          <w:i/>
          <w:sz w:val="20"/>
          <w:szCs w:val="20"/>
          <w:lang w:eastAsia="es-MX"/>
        </w:rPr>
        <w:t>“</w:t>
      </w:r>
      <w:r w:rsidRPr="005273F3">
        <w:rPr>
          <w:rFonts w:ascii="Palatino Linotype" w:hAnsi="Palatino Linotype" w:cs="Arial"/>
          <w:b/>
          <w:i/>
          <w:sz w:val="20"/>
          <w:szCs w:val="20"/>
          <w:lang w:eastAsia="es-MX"/>
        </w:rPr>
        <w:t>Artículo 92.</w:t>
      </w:r>
      <w:r w:rsidRPr="005273F3">
        <w:rPr>
          <w:rFonts w:ascii="Palatino Linotype" w:hAnsi="Palatino Linotype" w:cs="Arial"/>
          <w:i/>
          <w:sz w:val="20"/>
          <w:szCs w:val="20"/>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3D84118" w14:textId="77777777" w:rsidR="00B67939" w:rsidRPr="005273F3" w:rsidRDefault="00B67939" w:rsidP="00B67939">
      <w:pPr>
        <w:spacing w:after="120"/>
        <w:ind w:left="1134" w:right="902"/>
        <w:jc w:val="both"/>
        <w:rPr>
          <w:rFonts w:ascii="Palatino Linotype" w:hAnsi="Palatino Linotype" w:cs="Arial"/>
          <w:i/>
          <w:sz w:val="20"/>
          <w:szCs w:val="20"/>
          <w:lang w:eastAsia="es-MX"/>
        </w:rPr>
      </w:pPr>
      <w:r w:rsidRPr="005273F3">
        <w:rPr>
          <w:rFonts w:ascii="Palatino Linotype" w:hAnsi="Palatino Linotype" w:cs="Arial"/>
          <w:i/>
          <w:sz w:val="20"/>
          <w:szCs w:val="20"/>
          <w:lang w:eastAsia="es-MX"/>
        </w:rPr>
        <w:t>(…)</w:t>
      </w:r>
    </w:p>
    <w:p w14:paraId="0A45FC61" w14:textId="77777777" w:rsidR="00B67939" w:rsidRPr="005273F3" w:rsidRDefault="00B67939" w:rsidP="00B67939">
      <w:pPr>
        <w:spacing w:after="120"/>
        <w:ind w:left="1134" w:right="902"/>
        <w:jc w:val="both"/>
        <w:rPr>
          <w:rFonts w:ascii="Palatino Linotype" w:hAnsi="Palatino Linotype"/>
          <w:sz w:val="20"/>
          <w:szCs w:val="20"/>
        </w:rPr>
      </w:pPr>
      <w:r w:rsidRPr="005273F3">
        <w:rPr>
          <w:rFonts w:ascii="Palatino Linotype" w:hAnsi="Palatino Linotype" w:cs="Arial"/>
          <w:i/>
          <w:sz w:val="20"/>
          <w:szCs w:val="20"/>
          <w:lang w:eastAsia="es-MX"/>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Pr>
          <w:rFonts w:ascii="Palatino Linotype" w:hAnsi="Palatino Linotype" w:cs="Arial"/>
          <w:i/>
          <w:sz w:val="20"/>
          <w:szCs w:val="20"/>
          <w:lang w:eastAsia="es-MX"/>
        </w:rPr>
        <w:t>…</w:t>
      </w:r>
      <w:r w:rsidRPr="005273F3">
        <w:rPr>
          <w:rFonts w:ascii="Palatino Linotype" w:hAnsi="Palatino Linotype" w:cs="Arial"/>
          <w:i/>
          <w:sz w:val="20"/>
          <w:szCs w:val="20"/>
          <w:lang w:eastAsia="es-MX"/>
        </w:rPr>
        <w:t>”</w:t>
      </w:r>
    </w:p>
    <w:p w14:paraId="39EFD3BB" w14:textId="63257055" w:rsidR="00B67939" w:rsidRDefault="00B67939" w:rsidP="00B67939">
      <w:pPr>
        <w:spacing w:before="240" w:after="360" w:line="360" w:lineRule="auto"/>
        <w:jc w:val="both"/>
        <w:rPr>
          <w:rFonts w:ascii="Palatino Linotype" w:hAnsi="Palatino Linotype"/>
        </w:rPr>
      </w:pPr>
      <w:r>
        <w:rPr>
          <w:rFonts w:ascii="Palatino Linotype" w:hAnsi="Palatino Linotype"/>
        </w:rPr>
        <w:t>Siendo las cosas así, resulta claro que el</w:t>
      </w:r>
      <w:r>
        <w:rPr>
          <w:rFonts w:ascii="Palatino Linotype" w:hAnsi="Palatino Linotype"/>
          <w:b/>
        </w:rPr>
        <w:t xml:space="preserve"> Sujeto Obligado </w:t>
      </w:r>
      <w:r>
        <w:rPr>
          <w:rFonts w:ascii="Palatino Linotype" w:hAnsi="Palatino Linotype"/>
        </w:rPr>
        <w:t xml:space="preserve">genera, posee o administra la información solicitada; sin embargo, a efectos de analizar la naturaleza jurídica de la información solicitada, es conveniente </w:t>
      </w:r>
      <w:r w:rsidR="00805F55">
        <w:rPr>
          <w:rFonts w:ascii="Palatino Linotype" w:hAnsi="Palatino Linotype"/>
        </w:rPr>
        <w:t>hacer alusión a</w:t>
      </w:r>
      <w:r>
        <w:rPr>
          <w:rFonts w:ascii="Palatino Linotype" w:hAnsi="Palatino Linotype"/>
        </w:rPr>
        <w:t xml:space="preserve"> lo </w:t>
      </w:r>
      <w:r w:rsidR="00805F55">
        <w:rPr>
          <w:rFonts w:ascii="Palatino Linotype" w:hAnsi="Palatino Linotype"/>
        </w:rPr>
        <w:t>prescrito</w:t>
      </w:r>
      <w:r>
        <w:rPr>
          <w:rFonts w:ascii="Palatino Linotype" w:hAnsi="Palatino Linotype"/>
        </w:rPr>
        <w:t xml:space="preserve"> en el artículo 147 de la Constitución Política del Estado Libre y Soberano de México, que es del literal siguiente:</w:t>
      </w:r>
    </w:p>
    <w:p w14:paraId="409A7324" w14:textId="77777777" w:rsidR="00B67939" w:rsidRPr="00E31871" w:rsidRDefault="00B67939" w:rsidP="00B67939">
      <w:pPr>
        <w:spacing w:after="120"/>
        <w:ind w:left="851" w:right="902"/>
        <w:jc w:val="both"/>
        <w:rPr>
          <w:rFonts w:ascii="Palatino Linotype" w:hAnsi="Palatino Linotype" w:cs="Arial"/>
          <w:i/>
          <w:sz w:val="20"/>
          <w:szCs w:val="20"/>
        </w:rPr>
      </w:pPr>
      <w:r w:rsidRPr="00E31871">
        <w:rPr>
          <w:rFonts w:ascii="Palatino Linotype" w:hAnsi="Palatino Linotype" w:cs="Arial"/>
          <w:i/>
          <w:sz w:val="20"/>
          <w:szCs w:val="20"/>
        </w:rPr>
        <w:t>“Artículo 147.- 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recibirán una retribución adecuada e irrenunciable por el desempeño de su empleo, cargo o comisión, que será determinada en el presupuesto de egresos que corresponda</w:t>
      </w:r>
      <w:r>
        <w:rPr>
          <w:rFonts w:ascii="Palatino Linotype" w:hAnsi="Palatino Linotype" w:cs="Arial"/>
          <w:i/>
          <w:sz w:val="20"/>
          <w:szCs w:val="20"/>
        </w:rPr>
        <w:t>…</w:t>
      </w:r>
    </w:p>
    <w:p w14:paraId="00400D7D" w14:textId="77777777" w:rsidR="00B67939" w:rsidRPr="00E31871" w:rsidRDefault="00B67939" w:rsidP="00B67939">
      <w:pPr>
        <w:spacing w:after="120"/>
        <w:ind w:left="851" w:right="902"/>
        <w:jc w:val="both"/>
        <w:rPr>
          <w:rFonts w:ascii="Palatino Linotype" w:hAnsi="Palatino Linotype" w:cs="Arial"/>
          <w:i/>
          <w:sz w:val="20"/>
          <w:szCs w:val="20"/>
        </w:rPr>
      </w:pPr>
      <w:r w:rsidRPr="00E31871">
        <w:rPr>
          <w:rFonts w:ascii="Palatino Linotype" w:hAnsi="Palatino Linotype" w:cs="Arial"/>
          <w:i/>
          <w:sz w:val="20"/>
          <w:szCs w:val="20"/>
        </w:rPr>
        <w:t xml:space="preserve">La remuneración será determinada anual y equitativamente en el Presupuesto de Egresos correspondiente bajo las bases siguientes: </w:t>
      </w:r>
    </w:p>
    <w:p w14:paraId="34522CFB" w14:textId="77777777" w:rsidR="00B67939" w:rsidRPr="00E31871" w:rsidRDefault="00B67939" w:rsidP="00B67939">
      <w:pPr>
        <w:spacing w:after="120"/>
        <w:ind w:left="851" w:right="902"/>
        <w:jc w:val="both"/>
        <w:rPr>
          <w:rFonts w:ascii="Palatino Linotype" w:hAnsi="Palatino Linotype" w:cs="Arial"/>
          <w:i/>
          <w:sz w:val="20"/>
          <w:szCs w:val="20"/>
        </w:rPr>
      </w:pPr>
      <w:r w:rsidRPr="00E31871">
        <w:rPr>
          <w:rFonts w:ascii="Palatino Linotype" w:hAnsi="Palatino Linotype" w:cs="Arial"/>
          <w:i/>
          <w:sz w:val="20"/>
          <w:szCs w:val="20"/>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4F947858" w14:textId="77777777" w:rsidR="00B67939" w:rsidRPr="00E31871" w:rsidRDefault="00B67939" w:rsidP="00B67939">
      <w:pPr>
        <w:spacing w:after="120"/>
        <w:ind w:left="851" w:right="902"/>
        <w:jc w:val="both"/>
        <w:rPr>
          <w:rFonts w:ascii="Palatino Linotype" w:hAnsi="Palatino Linotype" w:cs="Arial"/>
          <w:i/>
          <w:sz w:val="20"/>
          <w:szCs w:val="20"/>
        </w:rPr>
      </w:pPr>
      <w:r>
        <w:rPr>
          <w:rFonts w:ascii="Palatino Linotype" w:hAnsi="Palatino Linotype" w:cs="Arial"/>
          <w:i/>
          <w:sz w:val="20"/>
          <w:szCs w:val="20"/>
        </w:rPr>
        <w:lastRenderedPageBreak/>
        <w:t>(</w:t>
      </w:r>
      <w:r w:rsidRPr="00E31871">
        <w:rPr>
          <w:rFonts w:ascii="Palatino Linotype" w:hAnsi="Palatino Linotype" w:cs="Arial"/>
          <w:i/>
          <w:sz w:val="20"/>
          <w:szCs w:val="20"/>
        </w:rPr>
        <w:t>…</w:t>
      </w:r>
      <w:r>
        <w:rPr>
          <w:rFonts w:ascii="Palatino Linotype" w:hAnsi="Palatino Linotype" w:cs="Arial"/>
          <w:i/>
          <w:sz w:val="20"/>
          <w:szCs w:val="20"/>
        </w:rPr>
        <w:t>)</w:t>
      </w:r>
    </w:p>
    <w:p w14:paraId="0DD9A40F" w14:textId="77777777" w:rsidR="00B67939" w:rsidRPr="00E31871" w:rsidRDefault="00B67939" w:rsidP="00B67939">
      <w:pPr>
        <w:spacing w:after="120"/>
        <w:ind w:left="851" w:right="902"/>
        <w:jc w:val="both"/>
        <w:rPr>
          <w:rFonts w:ascii="Palatino Linotype" w:hAnsi="Palatino Linotype" w:cs="Arial"/>
          <w:i/>
          <w:sz w:val="20"/>
          <w:szCs w:val="20"/>
        </w:rPr>
      </w:pPr>
      <w:r w:rsidRPr="00E31871">
        <w:rPr>
          <w:rFonts w:ascii="Palatino Linotype" w:hAnsi="Palatino Linotype" w:cs="Arial"/>
          <w:i/>
          <w:sz w:val="20"/>
          <w:szCs w:val="20"/>
        </w:rPr>
        <w:t>V. Las remuneraciones y sus tabuladores serán públicos, y deberán especificar y diferenciar la totalidad de sus elementos fijos y variables tanto en efectivo como en especie</w:t>
      </w:r>
    </w:p>
    <w:p w14:paraId="4F8A0773" w14:textId="77777777" w:rsidR="00805F55" w:rsidRDefault="00B67939" w:rsidP="00B67939">
      <w:pPr>
        <w:spacing w:before="240" w:after="360" w:line="360" w:lineRule="auto"/>
        <w:jc w:val="both"/>
        <w:rPr>
          <w:rFonts w:ascii="Palatino Linotype" w:hAnsi="Palatino Linotype"/>
        </w:rPr>
      </w:pPr>
      <w:r>
        <w:rPr>
          <w:rFonts w:ascii="Palatino Linotype" w:hAnsi="Palatino Linotype"/>
        </w:rPr>
        <w:t>Del citado precepto legal, se advierte que los servidores públicos del gobierno estatal y municipal tienen el derecho a percibir una remuneración que se determinará anualmen</w:t>
      </w:r>
      <w:r w:rsidR="00805F55">
        <w:rPr>
          <w:rFonts w:ascii="Palatino Linotype" w:hAnsi="Palatino Linotype"/>
        </w:rPr>
        <w:t>te en el presupuesto de egresos.</w:t>
      </w:r>
    </w:p>
    <w:p w14:paraId="71778FFD" w14:textId="3449FC07" w:rsidR="00B67939" w:rsidRDefault="00805F55" w:rsidP="00B67939">
      <w:pPr>
        <w:spacing w:before="240" w:after="360" w:line="360" w:lineRule="auto"/>
        <w:jc w:val="both"/>
        <w:rPr>
          <w:rFonts w:ascii="Palatino Linotype" w:hAnsi="Palatino Linotype"/>
        </w:rPr>
      </w:pPr>
      <w:r>
        <w:rPr>
          <w:rFonts w:ascii="Palatino Linotype" w:hAnsi="Palatino Linotype"/>
        </w:rPr>
        <w:t xml:space="preserve">Por su parte, </w:t>
      </w:r>
      <w:r w:rsidR="00B67939">
        <w:rPr>
          <w:rFonts w:ascii="Palatino Linotype" w:hAnsi="Palatino Linotype"/>
        </w:rPr>
        <w:t>los artículos 71 de la Ley del Trabajo de los Servidores Públicos del Estado y Municipios</w:t>
      </w:r>
      <w:r>
        <w:rPr>
          <w:rFonts w:ascii="Palatino Linotype" w:hAnsi="Palatino Linotype"/>
        </w:rPr>
        <w:t xml:space="preserve"> y </w:t>
      </w:r>
      <w:r w:rsidR="00B67939">
        <w:rPr>
          <w:rFonts w:ascii="Palatino Linotype" w:hAnsi="Palatino Linotype"/>
        </w:rPr>
        <w:t>1 pár</w:t>
      </w:r>
      <w:r>
        <w:rPr>
          <w:rFonts w:ascii="Palatino Linotype" w:hAnsi="Palatino Linotype"/>
        </w:rPr>
        <w:t>rafo primero, 3 fracción XXXII,</w:t>
      </w:r>
      <w:r w:rsidR="00B67939">
        <w:rPr>
          <w:rFonts w:ascii="Palatino Linotype" w:hAnsi="Palatino Linotype"/>
        </w:rPr>
        <w:t xml:space="preserve"> 289 párrafo cuarto del Código Financiero del Estado de México y Municipios establecen lo siguiente:</w:t>
      </w:r>
    </w:p>
    <w:p w14:paraId="12DBD420" w14:textId="77777777" w:rsidR="00B67939" w:rsidRDefault="00B67939" w:rsidP="00B67939">
      <w:pPr>
        <w:spacing w:after="120"/>
        <w:ind w:left="851" w:right="900"/>
        <w:jc w:val="both"/>
        <w:rPr>
          <w:rFonts w:ascii="Palatino Linotype" w:hAnsi="Palatino Linotype"/>
          <w:i/>
          <w:sz w:val="20"/>
          <w:szCs w:val="20"/>
        </w:rPr>
      </w:pPr>
      <w:r>
        <w:rPr>
          <w:rFonts w:ascii="Palatino Linotype" w:hAnsi="Palatino Linotype"/>
          <w:b/>
          <w:i/>
          <w:sz w:val="20"/>
          <w:szCs w:val="20"/>
        </w:rPr>
        <w:t>“</w:t>
      </w:r>
      <w:r w:rsidRPr="007F72B7">
        <w:rPr>
          <w:rFonts w:ascii="Palatino Linotype" w:hAnsi="Palatino Linotype"/>
          <w:b/>
          <w:i/>
          <w:sz w:val="20"/>
          <w:szCs w:val="20"/>
        </w:rPr>
        <w:t>ARTÍCULO 71.</w:t>
      </w:r>
      <w:r w:rsidRPr="007F72B7">
        <w:rPr>
          <w:rFonts w:ascii="Palatino Linotype" w:hAnsi="Palatino Linotype"/>
          <w:i/>
          <w:sz w:val="20"/>
          <w:szCs w:val="20"/>
        </w:rPr>
        <w:t xml:space="preserve"> El sueldo es la retribución que la institución pública debe pagar al servidor público por los servicios prestados.</w:t>
      </w:r>
    </w:p>
    <w:p w14:paraId="166582CE" w14:textId="77777777" w:rsidR="00B67939" w:rsidRDefault="00B67939" w:rsidP="00B67939">
      <w:pPr>
        <w:spacing w:after="120"/>
        <w:ind w:left="851" w:right="900"/>
        <w:jc w:val="both"/>
        <w:rPr>
          <w:rFonts w:ascii="Palatino Linotype" w:hAnsi="Palatino Linotype"/>
          <w:i/>
          <w:sz w:val="20"/>
          <w:szCs w:val="20"/>
        </w:rPr>
      </w:pPr>
      <w:r w:rsidRPr="007F72B7">
        <w:rPr>
          <w:rFonts w:ascii="Palatino Linotype" w:hAnsi="Palatino Linotype"/>
          <w:b/>
          <w:i/>
          <w:sz w:val="20"/>
          <w:szCs w:val="20"/>
        </w:rPr>
        <w:t>Artículo 1.-</w:t>
      </w:r>
      <w:r w:rsidRPr="007F72B7">
        <w:rPr>
          <w:rFonts w:ascii="Palatino Linotype" w:hAnsi="Palatino Linotype"/>
          <w:i/>
          <w:sz w:val="20"/>
          <w:szCs w:val="20"/>
        </w:rPr>
        <w:t xml:space="preserve"> Las disposiciones de este Código son de orden público e interés general y tienen por objeto regular la actividad financiera del Estado de México y municipios, en el ámbito de sus respectivas competencias</w:t>
      </w:r>
      <w:r>
        <w:rPr>
          <w:rFonts w:ascii="Palatino Linotype" w:hAnsi="Palatino Linotype"/>
          <w:i/>
          <w:sz w:val="20"/>
          <w:szCs w:val="20"/>
        </w:rPr>
        <w:t>…</w:t>
      </w:r>
    </w:p>
    <w:p w14:paraId="4F57CEA2" w14:textId="77777777" w:rsidR="00B67939" w:rsidRDefault="00B67939" w:rsidP="00B67939">
      <w:pPr>
        <w:spacing w:after="120"/>
        <w:ind w:left="851" w:right="900"/>
        <w:jc w:val="both"/>
        <w:rPr>
          <w:rFonts w:ascii="Palatino Linotype" w:hAnsi="Palatino Linotype"/>
          <w:i/>
          <w:sz w:val="20"/>
          <w:szCs w:val="20"/>
        </w:rPr>
      </w:pPr>
      <w:r w:rsidRPr="007F72B7">
        <w:rPr>
          <w:rFonts w:ascii="Palatino Linotype" w:hAnsi="Palatino Linotype"/>
          <w:b/>
          <w:i/>
          <w:sz w:val="20"/>
          <w:szCs w:val="20"/>
        </w:rPr>
        <w:t>Artículo 3.-</w:t>
      </w:r>
      <w:r w:rsidRPr="007F72B7">
        <w:rPr>
          <w:rFonts w:ascii="Palatino Linotype" w:hAnsi="Palatino Linotype"/>
          <w:i/>
          <w:sz w:val="20"/>
          <w:szCs w:val="20"/>
        </w:rPr>
        <w:t xml:space="preserve"> Para efectos de este Código, Ley de Ingresos del Estado y del Presupuesto de Egresos se entenderá por:</w:t>
      </w:r>
    </w:p>
    <w:p w14:paraId="769F06B9" w14:textId="77777777" w:rsidR="00B67939" w:rsidRDefault="00B67939" w:rsidP="00B67939">
      <w:pPr>
        <w:spacing w:after="120"/>
        <w:ind w:left="1134" w:right="900"/>
        <w:jc w:val="both"/>
        <w:rPr>
          <w:rFonts w:ascii="Palatino Linotype" w:hAnsi="Palatino Linotype"/>
          <w:i/>
          <w:sz w:val="20"/>
          <w:szCs w:val="20"/>
        </w:rPr>
      </w:pPr>
      <w:r>
        <w:rPr>
          <w:rFonts w:ascii="Palatino Linotype" w:hAnsi="Palatino Linotype"/>
          <w:i/>
          <w:sz w:val="20"/>
          <w:szCs w:val="20"/>
        </w:rPr>
        <w:t>(…)</w:t>
      </w:r>
    </w:p>
    <w:p w14:paraId="4DD1DA4C" w14:textId="77777777" w:rsidR="00B67939" w:rsidRDefault="00B67939" w:rsidP="00B67939">
      <w:pPr>
        <w:spacing w:after="120"/>
        <w:ind w:left="1134" w:right="900"/>
        <w:jc w:val="both"/>
        <w:rPr>
          <w:rFonts w:ascii="Palatino Linotype" w:hAnsi="Palatino Linotype"/>
          <w:i/>
          <w:sz w:val="20"/>
          <w:szCs w:val="20"/>
        </w:rPr>
      </w:pPr>
      <w:r w:rsidRPr="007F72B7">
        <w:rPr>
          <w:rFonts w:ascii="Palatino Linotype" w:hAnsi="Palatino Linotype"/>
          <w:i/>
          <w:sz w:val="20"/>
          <w:szCs w:val="20"/>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r>
        <w:rPr>
          <w:rFonts w:ascii="Palatino Linotype" w:hAnsi="Palatino Linotype"/>
          <w:i/>
          <w:sz w:val="20"/>
          <w:szCs w:val="20"/>
        </w:rPr>
        <w:t>…</w:t>
      </w:r>
    </w:p>
    <w:p w14:paraId="06B06F74" w14:textId="77777777" w:rsidR="00B67939" w:rsidRPr="007F72B7" w:rsidRDefault="00B67939" w:rsidP="00B67939">
      <w:pPr>
        <w:spacing w:after="120"/>
        <w:ind w:left="851" w:right="900"/>
        <w:jc w:val="both"/>
        <w:rPr>
          <w:rFonts w:ascii="Palatino Linotype" w:hAnsi="Palatino Linotype"/>
          <w:i/>
          <w:sz w:val="20"/>
          <w:szCs w:val="20"/>
        </w:rPr>
      </w:pPr>
      <w:r w:rsidRPr="007F72B7">
        <w:rPr>
          <w:rFonts w:ascii="Palatino Linotype" w:hAnsi="Palatino Linotype"/>
          <w:b/>
          <w:i/>
          <w:sz w:val="20"/>
          <w:szCs w:val="20"/>
        </w:rPr>
        <w:t>Artículo 289.</w:t>
      </w:r>
      <w:proofErr w:type="gramStart"/>
      <w:r w:rsidRPr="007F72B7">
        <w:rPr>
          <w:rFonts w:ascii="Palatino Linotype" w:hAnsi="Palatino Linotype"/>
          <w:b/>
          <w:i/>
          <w:sz w:val="20"/>
          <w:szCs w:val="20"/>
        </w:rPr>
        <w:t>-</w:t>
      </w:r>
      <w:r w:rsidRPr="007F72B7">
        <w:rPr>
          <w:rFonts w:ascii="Palatino Linotype" w:hAnsi="Palatino Linotype"/>
          <w:i/>
          <w:sz w:val="20"/>
          <w:szCs w:val="20"/>
        </w:rPr>
        <w:t xml:space="preserve"> …</w:t>
      </w:r>
      <w:proofErr w:type="gramEnd"/>
      <w:r w:rsidRPr="007F72B7">
        <w:rPr>
          <w:rFonts w:ascii="Palatino Linotype" w:hAnsi="Palatino Linotype"/>
          <w:i/>
          <w:sz w:val="20"/>
          <w:szCs w:val="20"/>
        </w:rPr>
        <w:t xml:space="preserve"> Los servidores públicos, recibirán una remuneración adecuada e irrenunciable por el desempeño de su empleo, cargo o comisión de cualquier naturaleza, que será determinada anualmente en los presupuestos que correspondan, dichas remuneraciones deberán ser publicadas en la Gaceta de Gobierno o en la Gaceta Municipal. Ningún servidor público podrá percibir cantidad mayor a la del superior jerárquico, ni remuneración que no haya sido aprobada por la Legislatura o por el Ayuntamiento correspondiente, ni compensación extraordinaria que no haya sido incluida en el presupuesto correspondiente…”</w:t>
      </w:r>
    </w:p>
    <w:p w14:paraId="39B06073" w14:textId="01FC20BA" w:rsidR="00B67939" w:rsidRDefault="00B67939" w:rsidP="00B67939">
      <w:pPr>
        <w:spacing w:before="240" w:after="360" w:line="360" w:lineRule="auto"/>
        <w:jc w:val="both"/>
        <w:rPr>
          <w:rFonts w:ascii="Palatino Linotype" w:hAnsi="Palatino Linotype"/>
        </w:rPr>
      </w:pPr>
      <w:r>
        <w:rPr>
          <w:rFonts w:ascii="Palatino Linotype" w:hAnsi="Palatino Linotype"/>
        </w:rPr>
        <w:lastRenderedPageBreak/>
        <w:t>De</w:t>
      </w:r>
      <w:r w:rsidR="00805F55">
        <w:rPr>
          <w:rFonts w:ascii="Palatino Linotype" w:hAnsi="Palatino Linotype"/>
        </w:rPr>
        <w:t xml:space="preserve">rivado de lo anterior, es posible colegir que el </w:t>
      </w:r>
      <w:r>
        <w:rPr>
          <w:rFonts w:ascii="Palatino Linotype" w:hAnsi="Palatino Linotype"/>
        </w:rPr>
        <w:t>sueldo es la retribución que la institución pública debe pagar a sus servidores públicos por los servicios prestados, y para efectos del Código Financiero, los servidores públicos tienen derecho a recibir una remuneración por el desempeño de su empleo, cargo o comisión, y dentro del rubro de las remuneraciones contempla a las prestaciones en especie o cualquier otra que se entregue al servidor público por su trabajo, percepciones que serán determinadas anualmente en el presupuesto de egresos, regulado en el artículo 31 fracción XIX de la Ley Orgánica Municipal del Estado de México que establece como atribución del ayuntamiento, a</w:t>
      </w:r>
      <w:r w:rsidRPr="00694779">
        <w:rPr>
          <w:rFonts w:ascii="Palatino Linotype" w:hAnsi="Palatino Linotype"/>
        </w:rPr>
        <w:t xml:space="preserve">probar anualmente a más tardar el 20 de diciembre, su Presupuesto de Egresos, </w:t>
      </w:r>
      <w:r>
        <w:rPr>
          <w:rFonts w:ascii="Palatino Linotype" w:hAnsi="Palatino Linotype"/>
        </w:rPr>
        <w:t>con base en</w:t>
      </w:r>
      <w:r w:rsidRPr="00694779">
        <w:rPr>
          <w:rFonts w:ascii="Palatino Linotype" w:hAnsi="Palatino Linotype"/>
        </w:rPr>
        <w:t xml:space="preserve"> los ingresos presupuestados para el ejercicio que corresponda</w:t>
      </w:r>
      <w:r>
        <w:rPr>
          <w:rStyle w:val="Refdenotaalpie"/>
          <w:rFonts w:ascii="Palatino Linotype" w:hAnsi="Palatino Linotype"/>
        </w:rPr>
        <w:footnoteReference w:id="2"/>
      </w:r>
      <w:r>
        <w:rPr>
          <w:rFonts w:ascii="Palatino Linotype" w:hAnsi="Palatino Linotype"/>
        </w:rPr>
        <w:t>, mismo que deberá ser publicado en la Gaceta Municipal una vez que es aprobado de manera clara y entendible, que contenga las remuneraciones aprobadas para los miembros del ayuntamiento y para los servidores públicos en general.</w:t>
      </w:r>
    </w:p>
    <w:p w14:paraId="4B8720ED" w14:textId="78A09FA6" w:rsidR="00166CA0" w:rsidRDefault="00B67939" w:rsidP="00166CA0">
      <w:pPr>
        <w:autoSpaceDE w:val="0"/>
        <w:autoSpaceDN w:val="0"/>
        <w:adjustRightInd w:val="0"/>
        <w:spacing w:before="240" w:after="240" w:line="360" w:lineRule="auto"/>
        <w:jc w:val="both"/>
        <w:rPr>
          <w:rFonts w:ascii="Palatino Linotype" w:hAnsi="Palatino Linotype" w:cs="Arial"/>
          <w:color w:val="222222"/>
        </w:rPr>
      </w:pPr>
      <w:r>
        <w:rPr>
          <w:rFonts w:ascii="Palatino Linotype" w:hAnsi="Palatino Linotype"/>
        </w:rPr>
        <w:t>En este contexto, es de suma importancia destacar que los Ayuntamientos son entes fiscalizables, en términos de lo previsto por la fracción II del artículo 4</w:t>
      </w:r>
      <w:r>
        <w:rPr>
          <w:rStyle w:val="Refdenotaalpie"/>
          <w:rFonts w:ascii="Palatino Linotype" w:hAnsi="Palatino Linotype"/>
        </w:rPr>
        <w:footnoteReference w:id="3"/>
      </w:r>
      <w:r>
        <w:rPr>
          <w:rFonts w:ascii="Palatino Linotype" w:hAnsi="Palatino Linotype"/>
        </w:rPr>
        <w:t xml:space="preserve"> de la Ley de Fiscalización Superior del Estado de México, y para </w:t>
      </w:r>
      <w:r w:rsidR="00805F55">
        <w:rPr>
          <w:rFonts w:ascii="Palatino Linotype" w:hAnsi="Palatino Linotype"/>
        </w:rPr>
        <w:t>para tales efectos</w:t>
      </w:r>
      <w:r>
        <w:rPr>
          <w:rFonts w:ascii="Palatino Linotype" w:hAnsi="Palatino Linotype"/>
        </w:rPr>
        <w:t xml:space="preserve"> la Legislatura del Estado</w:t>
      </w:r>
      <w:r w:rsidR="00805F55">
        <w:rPr>
          <w:rFonts w:ascii="Palatino Linotype" w:hAnsi="Palatino Linotype"/>
        </w:rPr>
        <w:t>,</w:t>
      </w:r>
      <w:r>
        <w:rPr>
          <w:rFonts w:ascii="Palatino Linotype" w:hAnsi="Palatino Linotype"/>
        </w:rPr>
        <w:t xml:space="preserve"> se auxilia del Órgano Superior de Fiscalización del Estado de México (OSFEM), </w:t>
      </w:r>
      <w:r w:rsidR="00166CA0">
        <w:rPr>
          <w:rFonts w:ascii="Palatino Linotype" w:hAnsi="Palatino Linotype"/>
        </w:rPr>
        <w:t xml:space="preserve">para recibir mensualmente </w:t>
      </w:r>
      <w:r w:rsidR="00166CA0">
        <w:rPr>
          <w:rFonts w:ascii="Palatino Linotype" w:hAnsi="Palatino Linotype" w:cs="Arial"/>
        </w:rPr>
        <w:t xml:space="preserve">dentro de los primeros veinte días de cada </w:t>
      </w:r>
      <w:r w:rsidR="00166CA0">
        <w:rPr>
          <w:rFonts w:ascii="Palatino Linotype" w:hAnsi="Palatino Linotype" w:cs="Arial"/>
        </w:rPr>
        <w:lastRenderedPageBreak/>
        <w:t xml:space="preserve">mes, </w:t>
      </w:r>
      <w:r w:rsidR="00166CA0">
        <w:rPr>
          <w:rFonts w:ascii="Palatino Linotype" w:hAnsi="Palatino Linotype" w:cs="Arial"/>
          <w:color w:val="222222"/>
        </w:rPr>
        <w:t xml:space="preserve">para su análisis y evaluación la información prevista en el </w:t>
      </w:r>
      <w:r w:rsidR="00166CA0" w:rsidRPr="00067AE2">
        <w:rPr>
          <w:rFonts w:ascii="Palatino Linotype" w:eastAsia="Arial Unicode MS" w:hAnsi="Palatino Linotype" w:cs="Arial"/>
        </w:rPr>
        <w:t xml:space="preserve">artículo </w:t>
      </w:r>
      <w:r w:rsidR="00166CA0">
        <w:rPr>
          <w:rFonts w:ascii="Palatino Linotype" w:hAnsi="Palatino Linotype" w:cs="Arial"/>
          <w:color w:val="222222"/>
        </w:rPr>
        <w:t>350 del Código Financiero del Estado de México y Municipios, que reza:</w:t>
      </w:r>
    </w:p>
    <w:p w14:paraId="1A06F566" w14:textId="77777777" w:rsidR="00166CA0" w:rsidRDefault="00166CA0" w:rsidP="00166CA0">
      <w:pPr>
        <w:autoSpaceDE w:val="0"/>
        <w:autoSpaceDN w:val="0"/>
        <w:adjustRightInd w:val="0"/>
        <w:spacing w:before="120" w:after="240"/>
        <w:ind w:left="851" w:right="902"/>
        <w:jc w:val="both"/>
        <w:rPr>
          <w:rFonts w:ascii="Palatino Linotype" w:hAnsi="Palatino Linotype"/>
          <w:i/>
          <w:sz w:val="20"/>
          <w:szCs w:val="20"/>
        </w:rPr>
      </w:pPr>
      <w:r>
        <w:rPr>
          <w:rFonts w:ascii="Palatino Linotype" w:hAnsi="Palatino Linotype"/>
          <w:b/>
          <w:i/>
          <w:sz w:val="20"/>
          <w:szCs w:val="20"/>
        </w:rPr>
        <w:t>“</w:t>
      </w:r>
      <w:r w:rsidRPr="00A95947">
        <w:rPr>
          <w:rFonts w:ascii="Palatino Linotype" w:hAnsi="Palatino Linotype"/>
          <w:b/>
          <w:i/>
          <w:sz w:val="20"/>
          <w:szCs w:val="20"/>
        </w:rPr>
        <w:t>Artículo 350.-</w:t>
      </w:r>
      <w:r w:rsidRPr="00A95947">
        <w:rPr>
          <w:rFonts w:ascii="Palatino Linotype" w:hAnsi="Palatino Linotype"/>
          <w:i/>
          <w:sz w:val="20"/>
          <w:szCs w:val="20"/>
        </w:rPr>
        <w:t xml:space="preserve"> Mensualmente dentro de los primeros veinte días hábiles, la Secretaría y las Tesorerías, enviarán para su análisis y evaluación al Órgano Superior de Fiscalización del Estado de México, la siguiente información: </w:t>
      </w:r>
    </w:p>
    <w:p w14:paraId="1801009B" w14:textId="77777777" w:rsidR="00166CA0" w:rsidRDefault="00166CA0" w:rsidP="00166CA0">
      <w:pPr>
        <w:autoSpaceDE w:val="0"/>
        <w:autoSpaceDN w:val="0"/>
        <w:adjustRightInd w:val="0"/>
        <w:spacing w:after="120"/>
        <w:ind w:left="1134" w:right="902"/>
        <w:jc w:val="both"/>
        <w:rPr>
          <w:rFonts w:ascii="Palatino Linotype" w:hAnsi="Palatino Linotype"/>
          <w:i/>
          <w:sz w:val="20"/>
          <w:szCs w:val="20"/>
        </w:rPr>
      </w:pPr>
      <w:r w:rsidRPr="00A95947">
        <w:rPr>
          <w:rFonts w:ascii="Palatino Linotype" w:hAnsi="Palatino Linotype"/>
          <w:i/>
          <w:sz w:val="20"/>
          <w:szCs w:val="20"/>
        </w:rPr>
        <w:t xml:space="preserve">I. Información patrimonial. </w:t>
      </w:r>
    </w:p>
    <w:p w14:paraId="7980F6C6" w14:textId="77777777" w:rsidR="00166CA0" w:rsidRDefault="00166CA0" w:rsidP="00166CA0">
      <w:pPr>
        <w:autoSpaceDE w:val="0"/>
        <w:autoSpaceDN w:val="0"/>
        <w:adjustRightInd w:val="0"/>
        <w:spacing w:after="120"/>
        <w:ind w:left="1134" w:right="902"/>
        <w:jc w:val="both"/>
        <w:rPr>
          <w:rFonts w:ascii="Palatino Linotype" w:hAnsi="Palatino Linotype"/>
          <w:i/>
          <w:sz w:val="20"/>
          <w:szCs w:val="20"/>
        </w:rPr>
      </w:pPr>
      <w:r w:rsidRPr="00A95947">
        <w:rPr>
          <w:rFonts w:ascii="Palatino Linotype" w:hAnsi="Palatino Linotype"/>
          <w:i/>
          <w:sz w:val="20"/>
          <w:szCs w:val="20"/>
        </w:rPr>
        <w:t xml:space="preserve">II. Información presupuestal. </w:t>
      </w:r>
    </w:p>
    <w:p w14:paraId="6387FA2C" w14:textId="77777777" w:rsidR="00166CA0" w:rsidRDefault="00166CA0" w:rsidP="00166CA0">
      <w:pPr>
        <w:autoSpaceDE w:val="0"/>
        <w:autoSpaceDN w:val="0"/>
        <w:adjustRightInd w:val="0"/>
        <w:spacing w:after="120"/>
        <w:ind w:left="1134" w:right="902"/>
        <w:jc w:val="both"/>
        <w:rPr>
          <w:rFonts w:ascii="Palatino Linotype" w:hAnsi="Palatino Linotype"/>
          <w:i/>
          <w:sz w:val="20"/>
          <w:szCs w:val="20"/>
        </w:rPr>
      </w:pPr>
      <w:r w:rsidRPr="00A95947">
        <w:rPr>
          <w:rFonts w:ascii="Palatino Linotype" w:hAnsi="Palatino Linotype"/>
          <w:i/>
          <w:sz w:val="20"/>
          <w:szCs w:val="20"/>
        </w:rPr>
        <w:t xml:space="preserve">III. Información de la obra pública. </w:t>
      </w:r>
    </w:p>
    <w:p w14:paraId="729547B8" w14:textId="77777777" w:rsidR="00166CA0" w:rsidRPr="00A95947" w:rsidRDefault="00166CA0" w:rsidP="00166CA0">
      <w:pPr>
        <w:autoSpaceDE w:val="0"/>
        <w:autoSpaceDN w:val="0"/>
        <w:adjustRightInd w:val="0"/>
        <w:spacing w:after="120"/>
        <w:ind w:left="1134" w:right="902"/>
        <w:jc w:val="both"/>
        <w:rPr>
          <w:rFonts w:ascii="Palatino Linotype" w:hAnsi="Palatino Linotype" w:cs="Arial"/>
          <w:i/>
          <w:color w:val="222222"/>
          <w:sz w:val="20"/>
          <w:szCs w:val="20"/>
        </w:rPr>
      </w:pPr>
      <w:r w:rsidRPr="00A95947">
        <w:rPr>
          <w:rFonts w:ascii="Palatino Linotype" w:hAnsi="Palatino Linotype"/>
          <w:i/>
          <w:sz w:val="20"/>
          <w:szCs w:val="20"/>
        </w:rPr>
        <w:t>IV. Información de nómina.</w:t>
      </w:r>
      <w:r>
        <w:rPr>
          <w:rFonts w:ascii="Palatino Linotype" w:hAnsi="Palatino Linotype"/>
          <w:i/>
          <w:sz w:val="20"/>
          <w:szCs w:val="20"/>
        </w:rPr>
        <w:t>”</w:t>
      </w:r>
    </w:p>
    <w:p w14:paraId="0DC64A1C" w14:textId="77777777" w:rsidR="00166CA0" w:rsidRDefault="00166CA0" w:rsidP="00166CA0">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En ese entendido, los Lineamientos para la fiscalización de la cuenta pública emitidos para el ejercicio fiscal 2018, denominados “Lineamientos para la Elaboración y Presentación del Informe Mensual 2018”, contienen entre otras cosas, los formatos que permiten recopilar la información correspondiente a la nómina general y el reporte de pagos a servidores públicos de mandos medios y superiores, que según se pudo consultar son los siguientes:</w:t>
      </w:r>
    </w:p>
    <w:p w14:paraId="0B15CB9F" w14:textId="77777777" w:rsidR="00166CA0" w:rsidRDefault="00166CA0" w:rsidP="00166CA0">
      <w:pPr>
        <w:spacing w:before="240" w:after="240" w:line="360" w:lineRule="auto"/>
        <w:ind w:right="49"/>
        <w:jc w:val="both"/>
        <w:rPr>
          <w:rFonts w:ascii="Palatino Linotype" w:hAnsi="Palatino Linotype" w:cs="Arial"/>
          <w:bCs/>
        </w:rPr>
      </w:pPr>
      <w:r w:rsidRPr="005E5FD3">
        <w:rPr>
          <w:rFonts w:ascii="Palatino Linotype" w:hAnsi="Palatino Linotype" w:cs="Arial"/>
          <w:bCs/>
          <w:noProof/>
          <w:lang w:val="es-MX" w:eastAsia="es-MX"/>
        </w:rPr>
        <w:drawing>
          <wp:inline distT="0" distB="0" distL="0" distR="0" wp14:anchorId="16326C98" wp14:editId="277CADC8">
            <wp:extent cx="5612130" cy="1973580"/>
            <wp:effectExtent l="0" t="0" r="762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973580"/>
                    </a:xfrm>
                    <a:prstGeom prst="rect">
                      <a:avLst/>
                    </a:prstGeom>
                  </pic:spPr>
                </pic:pic>
              </a:graphicData>
            </a:graphic>
          </wp:inline>
        </w:drawing>
      </w:r>
    </w:p>
    <w:p w14:paraId="5E31561F" w14:textId="77777777" w:rsidR="00166CA0" w:rsidRPr="0099065F" w:rsidRDefault="00166CA0" w:rsidP="00166CA0">
      <w:pPr>
        <w:spacing w:before="240" w:after="240" w:line="360" w:lineRule="auto"/>
        <w:ind w:right="49"/>
        <w:jc w:val="both"/>
        <w:rPr>
          <w:rFonts w:ascii="Palatino Linotype" w:hAnsi="Palatino Linotype" w:cs="Arial"/>
          <w:bCs/>
        </w:rPr>
      </w:pPr>
      <w:r w:rsidRPr="005E5FD3">
        <w:rPr>
          <w:rFonts w:ascii="Palatino Linotype" w:hAnsi="Palatino Linotype" w:cs="Arial"/>
          <w:bCs/>
          <w:noProof/>
          <w:lang w:val="es-MX" w:eastAsia="es-MX"/>
        </w:rPr>
        <w:lastRenderedPageBreak/>
        <w:drawing>
          <wp:inline distT="0" distB="0" distL="0" distR="0" wp14:anchorId="75238BB9" wp14:editId="6FB42FA4">
            <wp:extent cx="5612130" cy="177800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778000"/>
                    </a:xfrm>
                    <a:prstGeom prst="rect">
                      <a:avLst/>
                    </a:prstGeom>
                  </pic:spPr>
                </pic:pic>
              </a:graphicData>
            </a:graphic>
          </wp:inline>
        </w:drawing>
      </w:r>
    </w:p>
    <w:p w14:paraId="385A5A7B" w14:textId="42731801" w:rsidR="00B67939" w:rsidRDefault="00166CA0" w:rsidP="00166CA0">
      <w:pPr>
        <w:spacing w:before="240" w:after="360" w:line="360" w:lineRule="auto"/>
        <w:jc w:val="both"/>
        <w:rPr>
          <w:rFonts w:ascii="Palatino Linotype" w:hAnsi="Palatino Linotype" w:cs="Arial"/>
          <w:i/>
          <w:lang w:eastAsia="es-MX"/>
        </w:rPr>
      </w:pPr>
      <w:r>
        <w:rPr>
          <w:rFonts w:ascii="Palatino Linotype" w:hAnsi="Palatino Linotype"/>
        </w:rPr>
        <w:t xml:space="preserve">Bajo lo previo, cabe decir que </w:t>
      </w:r>
      <w:r w:rsidR="00B67939">
        <w:rPr>
          <w:rFonts w:ascii="Palatino Linotype" w:hAnsi="Palatino Linotype"/>
        </w:rPr>
        <w:t xml:space="preserve">si bien es cierto, </w:t>
      </w:r>
      <w:r w:rsidR="00E40D16">
        <w:rPr>
          <w:rFonts w:ascii="Palatino Linotype" w:hAnsi="Palatino Linotype"/>
        </w:rPr>
        <w:t>el término “</w:t>
      </w:r>
      <w:r w:rsidR="0099120B" w:rsidRPr="00E40D16">
        <w:rPr>
          <w:rFonts w:ascii="Palatino Linotype" w:hAnsi="Palatino Linotype"/>
          <w:i/>
        </w:rPr>
        <w:t>Nómina</w:t>
      </w:r>
      <w:r w:rsidR="00E40D16" w:rsidRPr="00E40D16">
        <w:rPr>
          <w:rFonts w:ascii="Palatino Linotype" w:hAnsi="Palatino Linotype"/>
          <w:i/>
        </w:rPr>
        <w:t>”</w:t>
      </w:r>
      <w:r w:rsidR="00E40D16">
        <w:rPr>
          <w:rFonts w:ascii="Palatino Linotype" w:hAnsi="Palatino Linotype"/>
          <w:i/>
        </w:rPr>
        <w:t xml:space="preserve"> </w:t>
      </w:r>
      <w:r w:rsidR="00E40D16">
        <w:rPr>
          <w:rFonts w:ascii="Palatino Linotype" w:hAnsi="Palatino Linotype"/>
        </w:rPr>
        <w:t>no está definido</w:t>
      </w:r>
      <w:r w:rsidR="00B67939">
        <w:rPr>
          <w:rFonts w:ascii="Palatino Linotype" w:hAnsi="Palatino Linotype"/>
        </w:rPr>
        <w:t xml:space="preserve"> en nuestra legislación, también lo es que el </w:t>
      </w:r>
      <w:r w:rsidR="00B67939" w:rsidRPr="00F2705C">
        <w:rPr>
          <w:rFonts w:ascii="Palatino Linotype" w:hAnsi="Palatino Linotype" w:cs="Arial"/>
          <w:lang w:eastAsia="es-MX"/>
        </w:rPr>
        <w:t xml:space="preserve">“Glosario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00B67939" w:rsidRPr="00F2705C">
        <w:rPr>
          <w:rFonts w:ascii="Palatino Linotype" w:hAnsi="Palatino Linotype" w:cs="Arial"/>
          <w:lang w:eastAsia="es-MX"/>
        </w:rPr>
        <w:t>Presupuestación</w:t>
      </w:r>
      <w:proofErr w:type="spellEnd"/>
      <w:r w:rsidR="00B67939" w:rsidRPr="00F2705C">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w:t>
      </w:r>
      <w:r w:rsidR="00B67939">
        <w:rPr>
          <w:rFonts w:ascii="Palatino Linotype" w:hAnsi="Palatino Linotype" w:cs="Arial"/>
          <w:lang w:eastAsia="es-MX"/>
        </w:rPr>
        <w:t xml:space="preserve">, la definen como </w:t>
      </w:r>
      <w:r w:rsidR="00B67939">
        <w:rPr>
          <w:rFonts w:ascii="Palatino Linotype" w:hAnsi="Palatino Linotype" w:cs="Arial"/>
          <w:i/>
          <w:lang w:eastAsia="es-MX"/>
        </w:rPr>
        <w:t>l</w:t>
      </w:r>
      <w:r w:rsidR="00B67939" w:rsidRPr="00DB3B05">
        <w:rPr>
          <w:rFonts w:ascii="Palatino Linotype" w:hAnsi="Palatino Linotype" w:cs="Arial"/>
          <w:i/>
          <w:lang w:eastAsia="es-MX"/>
        </w:rPr>
        <w:t>istado general de los trabajadores de una institución, en</w:t>
      </w:r>
      <w:r w:rsidR="00B67939" w:rsidRPr="00DB3B05">
        <w:rPr>
          <w:rFonts w:ascii="Palatino Linotype" w:hAnsi="Palatino Linotype" w:cs="Arial"/>
          <w:b/>
          <w:bCs/>
          <w:i/>
          <w:lang w:eastAsia="es-MX"/>
        </w:rPr>
        <w:t xml:space="preserve"> </w:t>
      </w:r>
      <w:r w:rsidR="00B67939" w:rsidRPr="00DB3B05">
        <w:rPr>
          <w:rFonts w:ascii="Palatino Linotype" w:hAnsi="Palatino Linotype" w:cs="Arial"/>
          <w:i/>
          <w:lang w:eastAsia="es-MX"/>
        </w:rPr>
        <w:t xml:space="preserve">el cual se </w:t>
      </w:r>
      <w:r w:rsidR="00B67939" w:rsidRPr="00DB3B05">
        <w:rPr>
          <w:rFonts w:ascii="Palatino Linotype" w:hAnsi="Palatino Linotype" w:cs="Arial"/>
          <w:b/>
          <w:i/>
          <w:lang w:eastAsia="es-MX"/>
        </w:rPr>
        <w:t>asientan las percepciones bruta</w:t>
      </w:r>
      <w:r w:rsidR="00B67939" w:rsidRPr="00DB3B05">
        <w:rPr>
          <w:rFonts w:ascii="Palatino Linotype" w:hAnsi="Palatino Linotype" w:cs="Arial"/>
          <w:i/>
          <w:lang w:eastAsia="es-MX"/>
        </w:rPr>
        <w:t>s, deducciones y</w:t>
      </w:r>
      <w:r w:rsidR="00B67939" w:rsidRPr="00DB3B05">
        <w:rPr>
          <w:rFonts w:ascii="Palatino Linotype" w:hAnsi="Palatino Linotype" w:cs="Arial"/>
          <w:b/>
          <w:bCs/>
          <w:i/>
          <w:lang w:eastAsia="es-MX"/>
        </w:rPr>
        <w:t xml:space="preserve"> </w:t>
      </w:r>
      <w:r w:rsidR="00B67939" w:rsidRPr="00DB3B05">
        <w:rPr>
          <w:rFonts w:ascii="Palatino Linotype" w:hAnsi="Palatino Linotype" w:cs="Arial"/>
          <w:i/>
          <w:lang w:eastAsia="es-MX"/>
        </w:rPr>
        <w:t>alcance neto de las mismas; la nómina es utilizada para</w:t>
      </w:r>
      <w:r w:rsidR="00B67939" w:rsidRPr="00DB3B05">
        <w:rPr>
          <w:rFonts w:ascii="Palatino Linotype" w:hAnsi="Palatino Linotype" w:cs="Arial"/>
          <w:b/>
          <w:bCs/>
          <w:i/>
          <w:lang w:eastAsia="es-MX"/>
        </w:rPr>
        <w:t xml:space="preserve"> </w:t>
      </w:r>
      <w:r w:rsidR="00B67939" w:rsidRPr="00DB3B05">
        <w:rPr>
          <w:rFonts w:ascii="Palatino Linotype" w:hAnsi="Palatino Linotype" w:cs="Arial"/>
          <w:b/>
          <w:i/>
          <w:lang w:eastAsia="es-MX"/>
        </w:rPr>
        <w:t>efectuar los pagos periódicos</w:t>
      </w:r>
      <w:r w:rsidR="00B67939" w:rsidRPr="00DB3B05">
        <w:rPr>
          <w:rFonts w:ascii="Palatino Linotype" w:hAnsi="Palatino Linotype" w:cs="Arial"/>
          <w:i/>
          <w:lang w:eastAsia="es-MX"/>
        </w:rPr>
        <w:t xml:space="preserve"> (semanales, quincenales o</w:t>
      </w:r>
      <w:r w:rsidR="00B67939" w:rsidRPr="00DB3B05">
        <w:rPr>
          <w:rFonts w:ascii="Palatino Linotype" w:hAnsi="Palatino Linotype" w:cs="Arial"/>
          <w:b/>
          <w:bCs/>
          <w:i/>
          <w:lang w:eastAsia="es-MX"/>
        </w:rPr>
        <w:t xml:space="preserve"> </w:t>
      </w:r>
      <w:r w:rsidR="00B67939" w:rsidRPr="00DB3B05">
        <w:rPr>
          <w:rFonts w:ascii="Palatino Linotype" w:hAnsi="Palatino Linotype" w:cs="Arial"/>
          <w:i/>
          <w:lang w:eastAsia="es-MX"/>
        </w:rPr>
        <w:t xml:space="preserve">mensuales) a los trabajadores por concepto de </w:t>
      </w:r>
      <w:r w:rsidR="00B67939" w:rsidRPr="00DB3B05">
        <w:rPr>
          <w:rFonts w:ascii="Palatino Linotype" w:hAnsi="Palatino Linotype" w:cs="Arial"/>
          <w:b/>
          <w:i/>
          <w:lang w:eastAsia="es-MX"/>
        </w:rPr>
        <w:t>sueldos y</w:t>
      </w:r>
      <w:r w:rsidR="00B67939" w:rsidRPr="00DB3B05">
        <w:rPr>
          <w:rFonts w:ascii="Palatino Linotype" w:hAnsi="Palatino Linotype" w:cs="Arial"/>
          <w:b/>
          <w:bCs/>
          <w:i/>
          <w:lang w:eastAsia="es-MX"/>
        </w:rPr>
        <w:t xml:space="preserve"> </w:t>
      </w:r>
      <w:r w:rsidR="00B67939" w:rsidRPr="00DB3B05">
        <w:rPr>
          <w:rFonts w:ascii="Palatino Linotype" w:hAnsi="Palatino Linotype" w:cs="Arial"/>
          <w:b/>
          <w:i/>
          <w:lang w:eastAsia="es-MX"/>
        </w:rPr>
        <w:t>salarios</w:t>
      </w:r>
      <w:r w:rsidR="00B67939">
        <w:rPr>
          <w:rFonts w:ascii="Palatino Linotype" w:hAnsi="Palatino Linotype" w:cs="Arial"/>
          <w:i/>
          <w:lang w:eastAsia="es-MX"/>
        </w:rPr>
        <w:t>.</w:t>
      </w:r>
    </w:p>
    <w:p w14:paraId="7D4DE5D7" w14:textId="77777777" w:rsidR="00B67939" w:rsidRPr="001C09C3" w:rsidRDefault="00B67939" w:rsidP="00B67939">
      <w:pPr>
        <w:spacing w:before="240" w:after="360" w:line="360" w:lineRule="auto"/>
        <w:jc w:val="both"/>
        <w:rPr>
          <w:rFonts w:ascii="Palatino Linotype" w:hAnsi="Palatino Linotype" w:cs="Arial"/>
          <w:i/>
          <w:lang w:eastAsia="es-MX"/>
        </w:rPr>
      </w:pPr>
      <w:r>
        <w:rPr>
          <w:rFonts w:ascii="Palatino Linotype" w:hAnsi="Palatino Linotype" w:cs="Arial"/>
          <w:lang w:eastAsia="es-MX"/>
        </w:rPr>
        <w:t>D</w:t>
      </w:r>
      <w:r>
        <w:rPr>
          <w:rFonts w:ascii="Palatino Linotype" w:hAnsi="Palatino Linotype"/>
        </w:rPr>
        <w:t>ocumento o término que ha sido mencionado en diferentes ordenamientos legales, tal es el caso, de la Ley Federal del Trabajo, en el artículo 804 fracción II, pero que además en su fracción IV, reconoce los comprobantes de pago, por lo que resulta indispensable citar el artículo de referencia.</w:t>
      </w:r>
    </w:p>
    <w:p w14:paraId="30775C0C" w14:textId="77777777" w:rsidR="00B67939" w:rsidRPr="007F69E3" w:rsidRDefault="00B67939" w:rsidP="00B67939">
      <w:pPr>
        <w:pStyle w:val="Textosinformato"/>
        <w:spacing w:after="120"/>
        <w:ind w:left="851" w:right="902"/>
        <w:jc w:val="both"/>
        <w:rPr>
          <w:rFonts w:ascii="Palatino Linotype" w:eastAsia="MS Mincho" w:hAnsi="Palatino Linotype" w:cs="Arial"/>
          <w:i/>
        </w:rPr>
      </w:pPr>
      <w:r w:rsidRPr="007F69E3">
        <w:rPr>
          <w:rFonts w:ascii="Palatino Linotype" w:eastAsia="MS Mincho" w:hAnsi="Palatino Linotype" w:cs="Arial"/>
          <w:b/>
          <w:bCs/>
          <w:i/>
        </w:rPr>
        <w:lastRenderedPageBreak/>
        <w:t>“Artículo 804.-</w:t>
      </w:r>
      <w:r w:rsidRPr="007F69E3">
        <w:rPr>
          <w:rFonts w:ascii="Palatino Linotype" w:eastAsia="MS Mincho" w:hAnsi="Palatino Linotype" w:cs="Arial"/>
          <w:i/>
        </w:rPr>
        <w:t xml:space="preserve"> El patrón tiene obligación de conservar y exhibir en juicio los documentos que a continuación se precisan:</w:t>
      </w:r>
    </w:p>
    <w:p w14:paraId="27AE6230" w14:textId="77777777" w:rsidR="00B67939" w:rsidRPr="007F69E3" w:rsidRDefault="00B67939" w:rsidP="00B67939">
      <w:pPr>
        <w:pStyle w:val="Textosinformato"/>
        <w:spacing w:after="120"/>
        <w:ind w:left="1134" w:right="902"/>
        <w:jc w:val="both"/>
        <w:rPr>
          <w:rFonts w:ascii="Palatino Linotype" w:eastAsia="MS Mincho" w:hAnsi="Palatino Linotype" w:cs="Arial"/>
          <w:i/>
        </w:rPr>
      </w:pPr>
      <w:r w:rsidRPr="007F69E3">
        <w:rPr>
          <w:rFonts w:ascii="Palatino Linotype" w:eastAsia="MS Mincho" w:hAnsi="Palatino Linotype" w:cs="Arial"/>
          <w:i/>
        </w:rPr>
        <w:t>…</w:t>
      </w:r>
    </w:p>
    <w:p w14:paraId="67F98907" w14:textId="77777777" w:rsidR="00B67939" w:rsidRPr="007F69E3" w:rsidRDefault="00B67939" w:rsidP="00B67939">
      <w:pPr>
        <w:pStyle w:val="Texto"/>
        <w:spacing w:after="120" w:line="240" w:lineRule="auto"/>
        <w:ind w:left="1134" w:right="902" w:firstLine="0"/>
        <w:rPr>
          <w:rFonts w:ascii="Palatino Linotype" w:hAnsi="Palatino Linotype"/>
          <w:i/>
          <w:sz w:val="20"/>
        </w:rPr>
      </w:pPr>
      <w:r w:rsidRPr="007F69E3">
        <w:rPr>
          <w:rFonts w:ascii="Palatino Linotype" w:hAnsi="Palatino Linotype"/>
          <w:i/>
          <w:sz w:val="20"/>
        </w:rPr>
        <w:t>IV. Comprobantes de pago de participación de utilidades, de vacaciones y de aguinaldos, así como las primas a que se refiere esta Ley, y pagos, aportaciones y cuotas de seguridad social; y</w:t>
      </w:r>
    </w:p>
    <w:p w14:paraId="6B0AB738" w14:textId="77777777" w:rsidR="00B67939" w:rsidRPr="007F69E3" w:rsidRDefault="00B67939" w:rsidP="00B67939">
      <w:pPr>
        <w:pStyle w:val="Textosinformato"/>
        <w:spacing w:after="120"/>
        <w:ind w:left="1134" w:right="902"/>
        <w:jc w:val="both"/>
        <w:rPr>
          <w:rFonts w:ascii="Palatino Linotype" w:eastAsia="MS Mincho" w:hAnsi="Palatino Linotype" w:cs="Arial"/>
          <w:i/>
        </w:rPr>
      </w:pPr>
      <w:r w:rsidRPr="007F69E3">
        <w:rPr>
          <w:rFonts w:ascii="Palatino Linotype" w:eastAsia="MS Mincho" w:hAnsi="Palatino Linotype" w:cs="Arial"/>
          <w:i/>
        </w:rPr>
        <w:t>…</w:t>
      </w:r>
    </w:p>
    <w:p w14:paraId="1523CBD8" w14:textId="77777777" w:rsidR="00B67939" w:rsidRPr="007F69E3" w:rsidRDefault="00B67939" w:rsidP="00B67939">
      <w:pPr>
        <w:pStyle w:val="Texto"/>
        <w:spacing w:after="120" w:line="240" w:lineRule="auto"/>
        <w:ind w:left="855" w:right="902" w:firstLine="0"/>
        <w:rPr>
          <w:rFonts w:ascii="Palatino Linotype" w:hAnsi="Palatino Linotype"/>
          <w:i/>
          <w:sz w:val="20"/>
        </w:rPr>
      </w:pPr>
      <w:r w:rsidRPr="007F69E3">
        <w:rPr>
          <w:rFonts w:ascii="Palatino Linotype" w:hAnsi="Palatino Linotype"/>
          <w:i/>
          <w:sz w:val="20"/>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194FD18C" w14:textId="77777777" w:rsidR="00B67939" w:rsidRPr="00F2705C" w:rsidRDefault="00B67939" w:rsidP="00B67939">
      <w:pPr>
        <w:spacing w:before="240" w:after="360" w:line="360" w:lineRule="auto"/>
        <w:jc w:val="both"/>
        <w:rPr>
          <w:rFonts w:ascii="Palatino Linotype" w:hAnsi="Palatino Linotype" w:cs="Arial"/>
          <w:lang w:eastAsia="es-MX"/>
        </w:rPr>
      </w:pPr>
      <w:r w:rsidRPr="00F2705C">
        <w:rPr>
          <w:rFonts w:ascii="Palatino Linotype" w:hAnsi="Palatino Linotype" w:cs="Arial"/>
          <w:lang w:eastAsia="es-MX"/>
        </w:rPr>
        <w:t>De lo anteriormente citado, se puede llegar a la conclusión de que la nómina</w:t>
      </w:r>
      <w:r>
        <w:rPr>
          <w:rFonts w:ascii="Palatino Linotype" w:hAnsi="Palatino Linotype" w:cs="Arial"/>
          <w:lang w:eastAsia="es-MX"/>
        </w:rPr>
        <w:t xml:space="preserve">, es el documento que contiene el registro de los </w:t>
      </w:r>
      <w:r w:rsidRPr="00F2705C">
        <w:rPr>
          <w:rFonts w:ascii="Palatino Linotype" w:hAnsi="Palatino Linotype" w:cs="Arial"/>
          <w:lang w:eastAsia="es-MX"/>
        </w:rPr>
        <w:t xml:space="preserve">trabajadores a los cuales se va a remunerar por los </w:t>
      </w:r>
      <w:hyperlink r:id="rId11" w:history="1">
        <w:r w:rsidRPr="00F2705C">
          <w:rPr>
            <w:rFonts w:ascii="Palatino Linotype" w:hAnsi="Palatino Linotype" w:cs="Arial"/>
            <w:lang w:eastAsia="es-MX"/>
          </w:rPr>
          <w:t>servicios</w:t>
        </w:r>
      </w:hyperlink>
      <w:r w:rsidRPr="00F2705C">
        <w:rPr>
          <w:rFonts w:ascii="Palatino Linotype" w:hAnsi="Palatino Linotype" w:cs="Arial"/>
          <w:lang w:eastAsia="es-MX"/>
        </w:rPr>
        <w:t xml:space="preserve"> que éstos le prestan al patrón, en el cual se as</w:t>
      </w:r>
      <w:r>
        <w:rPr>
          <w:rFonts w:ascii="Palatino Linotype" w:hAnsi="Palatino Linotype" w:cs="Arial"/>
          <w:lang w:eastAsia="es-MX"/>
        </w:rPr>
        <w:t xml:space="preserve">ientan las percepciones brutas, </w:t>
      </w:r>
      <w:r w:rsidRPr="00F2705C">
        <w:rPr>
          <w:rFonts w:ascii="Palatino Linotype" w:hAnsi="Palatino Linotype" w:cs="Arial"/>
          <w:lang w:eastAsia="es-MX"/>
        </w:rPr>
        <w:t>deducciones y el neto a recibir de dichos trabajadores.</w:t>
      </w:r>
    </w:p>
    <w:p w14:paraId="2626A48E" w14:textId="77777777" w:rsidR="00B67939" w:rsidRPr="00F2705C" w:rsidRDefault="00B67939" w:rsidP="00B67939">
      <w:pPr>
        <w:spacing w:before="240" w:after="360" w:line="360" w:lineRule="auto"/>
        <w:jc w:val="both"/>
        <w:rPr>
          <w:rFonts w:ascii="Palatino Linotype" w:hAnsi="Palatino Linotype" w:cs="Arial"/>
        </w:rPr>
      </w:pPr>
      <w:r w:rsidRPr="00F2705C">
        <w:rPr>
          <w:rFonts w:ascii="Palatino Linotype" w:hAnsi="Palatino Linotype" w:cs="Arial"/>
        </w:rPr>
        <w:t>Ahora bien, la Ley del Trabajo de los Servidores Públicos del Estado y Municipios, en su artículo 220-K fracciones II y IV y último párrafo, establecen lo siguiente:</w:t>
      </w:r>
    </w:p>
    <w:p w14:paraId="33839402" w14:textId="77777777" w:rsidR="00B67939" w:rsidRDefault="00B67939" w:rsidP="00B67939">
      <w:pPr>
        <w:tabs>
          <w:tab w:val="left" w:pos="9072"/>
        </w:tabs>
        <w:spacing w:after="120"/>
        <w:ind w:left="851" w:right="902"/>
        <w:contextualSpacing/>
        <w:jc w:val="both"/>
        <w:rPr>
          <w:rFonts w:ascii="Palatino Linotype" w:hAnsi="Palatino Linotype"/>
          <w:bCs/>
          <w:i/>
          <w:sz w:val="20"/>
          <w:szCs w:val="20"/>
        </w:rPr>
      </w:pPr>
      <w:r w:rsidRPr="007F69E3">
        <w:rPr>
          <w:rFonts w:ascii="Palatino Linotype" w:hAnsi="Palatino Linotype"/>
          <w:b/>
          <w:bCs/>
          <w:i/>
          <w:sz w:val="20"/>
          <w:szCs w:val="20"/>
        </w:rPr>
        <w:t>“ARTÍCULO 220 K.-</w:t>
      </w:r>
      <w:r w:rsidRPr="007F69E3">
        <w:rPr>
          <w:rFonts w:ascii="Palatino Linotype" w:hAnsi="Palatino Linotype"/>
          <w:bCs/>
          <w:i/>
          <w:sz w:val="20"/>
          <w:szCs w:val="20"/>
        </w:rPr>
        <w:t xml:space="preserve"> La institución o dependencia pública tiene la obligación de conservar y exhibir en el proceso los documentos que a continuación se precisan:</w:t>
      </w:r>
    </w:p>
    <w:p w14:paraId="59D1E1F3" w14:textId="77777777" w:rsidR="00B67939" w:rsidRDefault="00B67939" w:rsidP="00B67939">
      <w:pPr>
        <w:tabs>
          <w:tab w:val="left" w:pos="9072"/>
        </w:tabs>
        <w:spacing w:after="120"/>
        <w:ind w:left="1134" w:right="902"/>
        <w:contextualSpacing/>
        <w:jc w:val="both"/>
        <w:rPr>
          <w:rFonts w:ascii="Palatino Linotype" w:hAnsi="Palatino Linotype"/>
          <w:bCs/>
          <w:i/>
          <w:sz w:val="20"/>
          <w:szCs w:val="20"/>
        </w:rPr>
      </w:pPr>
      <w:r>
        <w:rPr>
          <w:rFonts w:ascii="Palatino Linotype" w:hAnsi="Palatino Linotype"/>
          <w:bCs/>
          <w:i/>
          <w:sz w:val="20"/>
          <w:szCs w:val="20"/>
        </w:rPr>
        <w:t>(…)</w:t>
      </w:r>
    </w:p>
    <w:p w14:paraId="63D5FD38" w14:textId="77777777" w:rsidR="00B67939" w:rsidRPr="007F69E3" w:rsidRDefault="00B67939" w:rsidP="00B67939">
      <w:pPr>
        <w:tabs>
          <w:tab w:val="left" w:pos="9072"/>
        </w:tabs>
        <w:spacing w:after="120"/>
        <w:ind w:left="1134" w:right="902"/>
        <w:contextualSpacing/>
        <w:jc w:val="both"/>
        <w:rPr>
          <w:rFonts w:ascii="Palatino Linotype" w:hAnsi="Palatino Linotype"/>
          <w:bCs/>
          <w:i/>
          <w:sz w:val="20"/>
          <w:szCs w:val="20"/>
        </w:rPr>
      </w:pPr>
      <w:r w:rsidRPr="007F69E3">
        <w:rPr>
          <w:rFonts w:ascii="Palatino Linotype" w:hAnsi="Palatino Linotype"/>
          <w:bCs/>
          <w:i/>
          <w:sz w:val="20"/>
          <w:szCs w:val="20"/>
        </w:rPr>
        <w:t>II. Recibos de pagos de salarios o las constancias documentales del pago de salario cuando sea por depósito o mediante información electrónica;</w:t>
      </w:r>
    </w:p>
    <w:p w14:paraId="2360344C" w14:textId="77777777" w:rsidR="00B67939" w:rsidRPr="007F69E3" w:rsidRDefault="00B67939" w:rsidP="00B67939">
      <w:pPr>
        <w:tabs>
          <w:tab w:val="left" w:pos="9072"/>
        </w:tabs>
        <w:spacing w:after="120"/>
        <w:ind w:left="1134" w:right="902"/>
        <w:contextualSpacing/>
        <w:jc w:val="both"/>
        <w:rPr>
          <w:rFonts w:ascii="Palatino Linotype" w:hAnsi="Palatino Linotype"/>
          <w:bCs/>
          <w:i/>
          <w:sz w:val="20"/>
          <w:szCs w:val="20"/>
        </w:rPr>
      </w:pPr>
      <w:r>
        <w:rPr>
          <w:rFonts w:ascii="Palatino Linotype" w:hAnsi="Palatino Linotype"/>
          <w:bCs/>
          <w:i/>
          <w:sz w:val="20"/>
          <w:szCs w:val="20"/>
        </w:rPr>
        <w:t>(</w:t>
      </w:r>
      <w:r w:rsidRPr="007F69E3">
        <w:rPr>
          <w:rFonts w:ascii="Palatino Linotype" w:hAnsi="Palatino Linotype"/>
          <w:bCs/>
          <w:i/>
          <w:sz w:val="20"/>
          <w:szCs w:val="20"/>
        </w:rPr>
        <w:t>…</w:t>
      </w:r>
      <w:r>
        <w:rPr>
          <w:rFonts w:ascii="Palatino Linotype" w:hAnsi="Palatino Linotype"/>
          <w:bCs/>
          <w:i/>
          <w:sz w:val="20"/>
          <w:szCs w:val="20"/>
        </w:rPr>
        <w:t>)</w:t>
      </w:r>
    </w:p>
    <w:p w14:paraId="3CC3111D" w14:textId="77777777" w:rsidR="00B67939" w:rsidRPr="007F69E3" w:rsidRDefault="00B67939" w:rsidP="00B67939">
      <w:pPr>
        <w:tabs>
          <w:tab w:val="left" w:pos="9072"/>
        </w:tabs>
        <w:spacing w:after="120"/>
        <w:ind w:left="1134" w:right="902"/>
        <w:contextualSpacing/>
        <w:jc w:val="both"/>
        <w:rPr>
          <w:rFonts w:ascii="Palatino Linotype" w:hAnsi="Palatino Linotype"/>
          <w:bCs/>
          <w:i/>
          <w:sz w:val="20"/>
          <w:szCs w:val="20"/>
        </w:rPr>
      </w:pPr>
    </w:p>
    <w:p w14:paraId="227466A5" w14:textId="77777777" w:rsidR="00B67939" w:rsidRPr="007F69E3" w:rsidRDefault="00B67939" w:rsidP="00B67939">
      <w:pPr>
        <w:tabs>
          <w:tab w:val="left" w:pos="9072"/>
        </w:tabs>
        <w:spacing w:after="120"/>
        <w:ind w:left="1134" w:right="902"/>
        <w:contextualSpacing/>
        <w:jc w:val="both"/>
        <w:rPr>
          <w:rFonts w:ascii="Palatino Linotype" w:hAnsi="Palatino Linotype"/>
          <w:bCs/>
          <w:i/>
          <w:sz w:val="20"/>
          <w:szCs w:val="20"/>
        </w:rPr>
      </w:pPr>
      <w:r w:rsidRPr="007F69E3">
        <w:rPr>
          <w:rFonts w:ascii="Palatino Linotype" w:hAnsi="Palatino Linotype"/>
          <w:bCs/>
          <w:i/>
          <w:sz w:val="20"/>
          <w:szCs w:val="20"/>
        </w:rPr>
        <w:t>IV. Recibos o las constancias de depósito o del medio de información magnética o electrónica que sean utilizadas para el pago de salarios, prima vacacional, aguinaldo y demás prestaciones establecidas en la presente ley; y…</w:t>
      </w:r>
    </w:p>
    <w:p w14:paraId="66928B00" w14:textId="77777777" w:rsidR="00B67939" w:rsidRPr="007F69E3" w:rsidRDefault="00B67939" w:rsidP="00B67939">
      <w:pPr>
        <w:tabs>
          <w:tab w:val="left" w:pos="9072"/>
        </w:tabs>
        <w:spacing w:after="120"/>
        <w:ind w:left="851" w:right="902"/>
        <w:contextualSpacing/>
        <w:jc w:val="both"/>
        <w:rPr>
          <w:rFonts w:ascii="Palatino Linotype" w:hAnsi="Palatino Linotype"/>
          <w:bCs/>
          <w:i/>
          <w:sz w:val="20"/>
          <w:szCs w:val="20"/>
        </w:rPr>
      </w:pPr>
      <w:r w:rsidRPr="007F69E3">
        <w:rPr>
          <w:rFonts w:ascii="Palatino Linotype" w:hAnsi="Palatino Linotype"/>
          <w:bCs/>
          <w:i/>
          <w:sz w:val="20"/>
          <w:szCs w:val="20"/>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EEB6EA5" w14:textId="77777777" w:rsidR="00B67939" w:rsidRPr="007F69E3" w:rsidRDefault="00B67939" w:rsidP="00B67939">
      <w:pPr>
        <w:tabs>
          <w:tab w:val="left" w:pos="9072"/>
        </w:tabs>
        <w:spacing w:after="120"/>
        <w:ind w:left="851" w:right="902"/>
        <w:contextualSpacing/>
        <w:jc w:val="both"/>
        <w:rPr>
          <w:rFonts w:ascii="Palatino Linotype" w:hAnsi="Palatino Linotype"/>
          <w:bCs/>
          <w:i/>
          <w:sz w:val="20"/>
          <w:szCs w:val="20"/>
        </w:rPr>
      </w:pPr>
      <w:r w:rsidRPr="007F69E3">
        <w:rPr>
          <w:rFonts w:ascii="Palatino Linotype" w:hAnsi="Palatino Linotype"/>
          <w:bCs/>
          <w:i/>
          <w:sz w:val="20"/>
          <w:szCs w:val="20"/>
        </w:rPr>
        <w:t xml:space="preserve">Los documentos y constancias aquí señalados, la institución o dependencia podrá conservarlos por medio de los sistemas de digitalización o de información magnética o </w:t>
      </w:r>
      <w:r w:rsidRPr="007F69E3">
        <w:rPr>
          <w:rFonts w:ascii="Palatino Linotype" w:hAnsi="Palatino Linotype"/>
          <w:bCs/>
          <w:i/>
          <w:sz w:val="20"/>
          <w:szCs w:val="20"/>
        </w:rPr>
        <w:lastRenderedPageBreak/>
        <w:t>electrónica o cualquier medio descubierto por la ciencia y las constancias expedidas por el encargado del área de personal de éstas, harán prueba plena.</w:t>
      </w:r>
    </w:p>
    <w:p w14:paraId="49007C25" w14:textId="77777777" w:rsidR="00B67939" w:rsidRPr="007F69E3" w:rsidRDefault="00B67939" w:rsidP="00B67939">
      <w:pPr>
        <w:tabs>
          <w:tab w:val="left" w:pos="9072"/>
        </w:tabs>
        <w:spacing w:after="120"/>
        <w:ind w:left="851" w:right="902"/>
        <w:contextualSpacing/>
        <w:jc w:val="both"/>
        <w:rPr>
          <w:rFonts w:ascii="Palatino Linotype" w:hAnsi="Palatino Linotype"/>
          <w:bCs/>
          <w:i/>
          <w:sz w:val="20"/>
          <w:szCs w:val="20"/>
        </w:rPr>
      </w:pPr>
    </w:p>
    <w:p w14:paraId="32A766DE" w14:textId="77777777" w:rsidR="00B67939" w:rsidRPr="007F69E3" w:rsidRDefault="00B67939" w:rsidP="00B67939">
      <w:pPr>
        <w:spacing w:after="120"/>
        <w:ind w:left="851" w:right="902"/>
        <w:contextualSpacing/>
        <w:jc w:val="both"/>
        <w:rPr>
          <w:rFonts w:ascii="Palatino Linotype" w:hAnsi="Palatino Linotype"/>
          <w:bCs/>
          <w:i/>
          <w:sz w:val="20"/>
          <w:szCs w:val="20"/>
        </w:rPr>
      </w:pPr>
      <w:r w:rsidRPr="007F69E3">
        <w:rPr>
          <w:rFonts w:ascii="Palatino Linotype" w:hAnsi="Palatino Linotype"/>
          <w:bCs/>
          <w:i/>
          <w:sz w:val="20"/>
          <w:szCs w:val="20"/>
        </w:rPr>
        <w:t>El incumplimiento por lo dispuesto por este artículo, establecerá la presunción de ser ciertos los hechos que el actor exprese en su demanda, en relación con tales document</w:t>
      </w:r>
      <w:r>
        <w:rPr>
          <w:rFonts w:ascii="Palatino Linotype" w:hAnsi="Palatino Linotype"/>
          <w:bCs/>
          <w:i/>
          <w:sz w:val="20"/>
          <w:szCs w:val="20"/>
        </w:rPr>
        <w:t>os, salvo prueba en contrario.”</w:t>
      </w:r>
    </w:p>
    <w:p w14:paraId="5B221ACE" w14:textId="77777777" w:rsidR="00B67939" w:rsidRDefault="00B67939" w:rsidP="00B67939">
      <w:pPr>
        <w:spacing w:before="240" w:after="240" w:line="360" w:lineRule="auto"/>
        <w:jc w:val="both"/>
        <w:rPr>
          <w:rFonts w:ascii="Palatino Linotype" w:hAnsi="Palatino Linotype" w:cs="Arial"/>
        </w:rPr>
      </w:pPr>
      <w:r>
        <w:rPr>
          <w:rFonts w:ascii="Palatino Linotype" w:hAnsi="Palatino Linotype" w:cs="Arial"/>
        </w:rPr>
        <w:t xml:space="preserve">Sobre la base del precepto legal citado, se </w:t>
      </w:r>
      <w:r w:rsidRPr="00F2705C">
        <w:rPr>
          <w:rFonts w:ascii="Palatino Linotype" w:hAnsi="Palatino Linotype" w:cs="Arial"/>
        </w:rPr>
        <w:t>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466B279A" w14:textId="77777777" w:rsidR="00B67939" w:rsidRDefault="00B67939" w:rsidP="00B67939">
      <w:pPr>
        <w:spacing w:before="240" w:after="240" w:line="360" w:lineRule="auto"/>
        <w:jc w:val="both"/>
        <w:rPr>
          <w:rFonts w:ascii="Palatino Linotype" w:hAnsi="Palatino Linotype" w:cs="Arial"/>
        </w:rPr>
      </w:pPr>
      <w:r>
        <w:rPr>
          <w:rFonts w:ascii="Palatino Linotype" w:hAnsi="Palatino Linotype" w:cs="Arial"/>
        </w:rPr>
        <w:t xml:space="preserve">Por tanto, los </w:t>
      </w:r>
      <w:r>
        <w:rPr>
          <w:rFonts w:ascii="Palatino Linotype" w:hAnsi="Palatino Linotype" w:cs="Arial"/>
          <w:i/>
        </w:rPr>
        <w:t xml:space="preserve">recibos de nómina o comprobantes digitales por concepto de nómina </w:t>
      </w:r>
      <w:r>
        <w:rPr>
          <w:rFonts w:ascii="Palatino Linotype" w:hAnsi="Palatino Linotype" w:cs="Arial"/>
        </w:rPr>
        <w:t>tienen como objetivo presentar la información del pago de las remuneraciones de cada uno de los servidores públicos de la entidad fiscalizable de que se trate correspondiente a un periodo determinado.</w:t>
      </w:r>
    </w:p>
    <w:p w14:paraId="17DB25D3" w14:textId="77777777" w:rsidR="00B67939" w:rsidRDefault="00B67939" w:rsidP="00B67939">
      <w:pPr>
        <w:spacing w:before="240" w:after="240" w:line="360" w:lineRule="auto"/>
        <w:jc w:val="both"/>
        <w:rPr>
          <w:rFonts w:ascii="Palatino Linotype" w:hAnsi="Palatino Linotype" w:cs="Arial"/>
          <w:lang w:eastAsia="es-MX"/>
        </w:rPr>
      </w:pPr>
      <w:r>
        <w:rPr>
          <w:rFonts w:ascii="Palatino Linotype" w:hAnsi="Palatino Linotype" w:cs="Arial"/>
        </w:rPr>
        <w:t xml:space="preserve">Del tal manera, que el formato de nómina o los recibos de nómina constituyen un soporte documental de la información solicitada por el particular, y que además deben obrar en los archivos del </w:t>
      </w:r>
      <w:r>
        <w:rPr>
          <w:rFonts w:ascii="Palatino Linotype" w:hAnsi="Palatino Linotype" w:cs="Arial"/>
          <w:b/>
        </w:rPr>
        <w:t xml:space="preserve">Sujeto Obligado, </w:t>
      </w:r>
      <w:r>
        <w:rPr>
          <w:rFonts w:ascii="Palatino Linotype" w:hAnsi="Palatino Linotype" w:cs="Arial"/>
        </w:rPr>
        <w:t xml:space="preserve">pues se advierte que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pues se trata de documentales que forman parte de un </w:t>
      </w:r>
      <w:r>
        <w:rPr>
          <w:rFonts w:ascii="Palatino Linotype" w:hAnsi="Palatino Linotype" w:cs="Arial"/>
        </w:rPr>
        <w:lastRenderedPageBreak/>
        <w:t xml:space="preserve">gasto contemplado en el presupuesto de egresos, que a su vez están comprendidos en la rendición de cuentas, en los Lineamientos para la Integración del Informe Mensual 2017, de manera específica en la integración Disco 4 </w:t>
      </w:r>
      <w:r>
        <w:rPr>
          <w:rFonts w:ascii="Palatino Linotype" w:hAnsi="Palatino Linotype" w:cs="Arial"/>
          <w:i/>
        </w:rPr>
        <w:t>“Información de Nómina”</w:t>
      </w:r>
      <w:r>
        <w:rPr>
          <w:rFonts w:ascii="Palatino Linotype" w:hAnsi="Palatino Linotype" w:cs="Arial"/>
        </w:rPr>
        <w:t xml:space="preserve">, en donde se contempla la información concerniente </w:t>
      </w:r>
      <w:r>
        <w:rPr>
          <w:rFonts w:ascii="Palatino Linotype" w:hAnsi="Palatino Linotype" w:cs="Arial"/>
          <w:lang w:eastAsia="es-MX"/>
        </w:rPr>
        <w:t xml:space="preserve">la nómina general, del 01 al 15 del mes y del 16 al 31 del mes en formato </w:t>
      </w:r>
      <w:proofErr w:type="spellStart"/>
      <w:r>
        <w:rPr>
          <w:rFonts w:ascii="Palatino Linotype" w:hAnsi="Palatino Linotype" w:cs="Arial"/>
          <w:lang w:eastAsia="es-MX"/>
        </w:rPr>
        <w:t>xls</w:t>
      </w:r>
      <w:proofErr w:type="spellEnd"/>
      <w:r>
        <w:rPr>
          <w:rFonts w:ascii="Palatino Linotype" w:hAnsi="Palatino Linotype" w:cs="Arial"/>
          <w:lang w:eastAsia="es-MX"/>
        </w:rPr>
        <w:t xml:space="preserve"> y sus respectivos comprobantes digitales.</w:t>
      </w:r>
    </w:p>
    <w:p w14:paraId="01FC1E6F" w14:textId="77777777" w:rsidR="00E40D16" w:rsidRDefault="00E40D16" w:rsidP="00B67939">
      <w:pPr>
        <w:spacing w:before="240" w:after="240" w:line="360" w:lineRule="auto"/>
        <w:jc w:val="both"/>
        <w:rPr>
          <w:rFonts w:ascii="Palatino Linotype" w:hAnsi="Palatino Linotype" w:cs="Arial"/>
        </w:rPr>
      </w:pPr>
      <w:r>
        <w:rPr>
          <w:rFonts w:ascii="Palatino Linotype" w:hAnsi="Palatino Linotype" w:cs="Arial"/>
        </w:rPr>
        <w:t>Así, en términos de los</w:t>
      </w:r>
      <w:r w:rsidR="00B67939" w:rsidRPr="00546EA7">
        <w:rPr>
          <w:rFonts w:ascii="Palatino Linotype" w:hAnsi="Palatino Linotype" w:cs="Arial"/>
        </w:rPr>
        <w:t xml:space="preserve"> criterio</w:t>
      </w:r>
      <w:r>
        <w:rPr>
          <w:rFonts w:ascii="Palatino Linotype" w:hAnsi="Palatino Linotype" w:cs="Arial"/>
        </w:rPr>
        <w:t>s</w:t>
      </w:r>
      <w:r w:rsidR="00B67939" w:rsidRPr="00546EA7">
        <w:rPr>
          <w:rFonts w:ascii="Palatino Linotype" w:hAnsi="Palatino Linotype" w:cs="Arial"/>
        </w:rPr>
        <w:t xml:space="preserve"> </w:t>
      </w:r>
      <w:r w:rsidR="00B67939">
        <w:rPr>
          <w:rFonts w:ascii="Palatino Linotype" w:hAnsi="Palatino Linotype" w:cs="Arial"/>
        </w:rPr>
        <w:t>01/2003</w:t>
      </w:r>
      <w:r>
        <w:rPr>
          <w:rFonts w:ascii="Palatino Linotype" w:hAnsi="Palatino Linotype" w:cs="Arial"/>
        </w:rPr>
        <w:t xml:space="preserve"> y </w:t>
      </w:r>
      <w:r w:rsidRPr="00546EA7">
        <w:rPr>
          <w:rFonts w:ascii="Palatino Linotype" w:hAnsi="Palatino Linotype" w:cs="Arial"/>
        </w:rPr>
        <w:t>2/2003</w:t>
      </w:r>
      <w:r>
        <w:rPr>
          <w:rFonts w:ascii="Palatino Linotype" w:hAnsi="Palatino Linotype" w:cs="Arial"/>
        </w:rPr>
        <w:t xml:space="preserve"> </w:t>
      </w:r>
      <w:r w:rsidR="00B67939">
        <w:rPr>
          <w:rFonts w:ascii="Palatino Linotype" w:hAnsi="Palatino Linotype" w:cs="Arial"/>
        </w:rPr>
        <w:t xml:space="preserve"> emitido</w:t>
      </w:r>
      <w:r>
        <w:rPr>
          <w:rFonts w:ascii="Palatino Linotype" w:hAnsi="Palatino Linotype" w:cs="Arial"/>
        </w:rPr>
        <w:t>s</w:t>
      </w:r>
      <w:r w:rsidR="00B67939">
        <w:rPr>
          <w:rFonts w:ascii="Palatino Linotype" w:hAnsi="Palatino Linotype" w:cs="Arial"/>
        </w:rPr>
        <w:t xml:space="preserve"> por el Comité de Información de la Suprema Corte de Justicia de la Nación</w:t>
      </w:r>
      <w:r>
        <w:rPr>
          <w:rFonts w:ascii="Palatino Linotype" w:hAnsi="Palatino Linotype" w:cs="Arial"/>
        </w:rPr>
        <w:t>, los ingresos de los servidores públicos constituyen información pública, por lo que resulta indispensable citar su texto:</w:t>
      </w:r>
    </w:p>
    <w:p w14:paraId="4E92D4D5" w14:textId="342C381D" w:rsidR="00E40D16" w:rsidRPr="00E40D16" w:rsidRDefault="00E40D16" w:rsidP="00E40D16">
      <w:pPr>
        <w:spacing w:after="120"/>
        <w:ind w:left="851" w:right="900"/>
        <w:jc w:val="both"/>
        <w:rPr>
          <w:rFonts w:ascii="Palatino Linotype" w:hAnsi="Palatino Linotype" w:cs="Arial"/>
          <w:i/>
          <w:sz w:val="20"/>
          <w:szCs w:val="20"/>
        </w:rPr>
      </w:pPr>
      <w:r w:rsidRPr="00E40D16">
        <w:rPr>
          <w:rFonts w:ascii="Palatino Linotype" w:hAnsi="Palatino Linotype" w:cs="Arial"/>
          <w:b/>
          <w:i/>
          <w:sz w:val="20"/>
          <w:szCs w:val="20"/>
        </w:rPr>
        <w:t>“</w:t>
      </w:r>
      <w:r w:rsidR="00B67939" w:rsidRPr="00E40D16">
        <w:rPr>
          <w:rFonts w:ascii="Palatino Linotype" w:hAnsi="Palatino Linotype" w:cs="Arial"/>
          <w:b/>
          <w:i/>
          <w:sz w:val="20"/>
          <w:szCs w:val="20"/>
        </w:rPr>
        <w:t>INGRESOS DE LOS SERVIDORES PÚBLICOS. CONSTITUYEN INFORMACIÓN PÚBLICA AÚN Y CUANDO  SU DIFUSIÓN PUEDE AFECTAR LA VIDA O LA SEGURIDAD DE AQUELLOS</w:t>
      </w:r>
      <w:r w:rsidRPr="00E40D16">
        <w:rPr>
          <w:rFonts w:ascii="Palatino Linotype" w:hAnsi="Palatino Linotype" w:cs="Arial"/>
          <w:b/>
          <w:i/>
          <w:sz w:val="20"/>
          <w:szCs w:val="20"/>
        </w:rPr>
        <w:t>.</w:t>
      </w:r>
      <w:r w:rsidRPr="00E40D16">
        <w:rPr>
          <w:rFonts w:ascii="Palatino Linotype" w:hAnsi="Palatino Linotype" w:cs="Arial"/>
          <w:sz w:val="20"/>
          <w:szCs w:val="20"/>
        </w:rPr>
        <w:t xml:space="preserve"> </w:t>
      </w:r>
      <w:r w:rsidRPr="00E40D16">
        <w:rPr>
          <w:rFonts w:ascii="Palatino Linotype" w:hAnsi="Palatino Linotype" w:cs="Arial"/>
          <w:i/>
          <w:sz w:val="20"/>
          <w:szCs w:val="20"/>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57D8BE11" w14:textId="51C65949" w:rsidR="00E40D16" w:rsidRPr="00E40D16" w:rsidRDefault="00B67939" w:rsidP="00E40D16">
      <w:pPr>
        <w:spacing w:after="120"/>
        <w:ind w:left="851" w:right="900"/>
        <w:jc w:val="both"/>
        <w:rPr>
          <w:rFonts w:ascii="Palatino Linotype" w:hAnsi="Palatino Linotype" w:cs="Arial"/>
          <w:i/>
          <w:sz w:val="20"/>
          <w:szCs w:val="20"/>
        </w:rPr>
      </w:pPr>
      <w:r w:rsidRPr="00E40D16">
        <w:rPr>
          <w:rFonts w:ascii="Palatino Linotype" w:hAnsi="Palatino Linotype" w:cs="Arial"/>
          <w:b/>
          <w:i/>
          <w:sz w:val="20"/>
          <w:szCs w:val="20"/>
        </w:rPr>
        <w:t>INGRESOS DE LOS SERVIDORES PÚBLICOS, SON INFORMACIÓN PUBLICA AÚN Y CUANDO CONSTITUYEN DATOS PERSONALES QUE SE REFIEREN AL PATRIMONIO  DE AQUELLOS.</w:t>
      </w:r>
      <w:r w:rsidR="00E40D16" w:rsidRPr="00E40D16">
        <w:rPr>
          <w:rFonts w:ascii="Palatino Linotype" w:hAnsi="Palatino Linotype" w:cs="Arial"/>
          <w:sz w:val="20"/>
          <w:szCs w:val="20"/>
        </w:rPr>
        <w:t xml:space="preserve"> </w:t>
      </w:r>
      <w:r w:rsidR="00E40D16" w:rsidRPr="00E40D16">
        <w:rPr>
          <w:rFonts w:ascii="Palatino Linotype" w:hAnsi="Palatino Linotype" w:cs="Arial"/>
          <w:i/>
          <w:sz w:val="20"/>
          <w:szCs w:val="20"/>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w:t>
      </w:r>
      <w:r w:rsidR="00E40D16" w:rsidRPr="00E40D16">
        <w:rPr>
          <w:rFonts w:ascii="Palatino Linotype" w:hAnsi="Palatino Linotype" w:cs="Arial"/>
          <w:i/>
          <w:sz w:val="20"/>
          <w:szCs w:val="20"/>
        </w:rPr>
        <w:lastRenderedPageBreak/>
        <w:t>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00E40D16">
        <w:rPr>
          <w:rFonts w:ascii="Palatino Linotype" w:hAnsi="Palatino Linotype" w:cs="Arial"/>
          <w:i/>
          <w:sz w:val="20"/>
          <w:szCs w:val="20"/>
        </w:rPr>
        <w:t>”</w:t>
      </w:r>
    </w:p>
    <w:p w14:paraId="30FA60AB" w14:textId="77777777" w:rsidR="00B67939" w:rsidRDefault="00B67939" w:rsidP="00B67939">
      <w:pPr>
        <w:autoSpaceDE w:val="0"/>
        <w:autoSpaceDN w:val="0"/>
        <w:adjustRightInd w:val="0"/>
        <w:spacing w:before="240" w:after="240" w:line="360" w:lineRule="auto"/>
        <w:jc w:val="both"/>
        <w:rPr>
          <w:rFonts w:ascii="Palatino Linotype" w:hAnsi="Palatino Linotype" w:cs="Arial"/>
          <w:color w:val="222222"/>
        </w:rPr>
      </w:pPr>
      <w:r>
        <w:rPr>
          <w:rFonts w:ascii="Palatino Linotype" w:hAnsi="Palatino Linotype" w:cs="Arial"/>
        </w:rPr>
        <w:t xml:space="preserve">Máxime, que la Ley de Transparencia y Acceso a la Información Pública del Estado de Estado de México y Municipios </w:t>
      </w:r>
      <w:r>
        <w:rPr>
          <w:rFonts w:ascii="Palatino Linotype" w:hAnsi="Palatino Linotype" w:cs="Arial"/>
          <w:color w:val="222222"/>
        </w:rPr>
        <w:t>dispone en su penúltimo párrafo del artículo 23</w:t>
      </w:r>
      <w:r>
        <w:rPr>
          <w:rStyle w:val="Refdenotaalpie"/>
          <w:rFonts w:ascii="Palatino Linotype" w:hAnsi="Palatino Linotype" w:cs="Arial"/>
          <w:color w:val="222222"/>
        </w:rPr>
        <w:footnoteReference w:id="4"/>
      </w:r>
      <w:r>
        <w:rPr>
          <w:rFonts w:ascii="Palatino Linotype" w:hAnsi="Palatino Linotype" w:cs="Arial"/>
          <w:color w:val="222222"/>
        </w:rPr>
        <w:t xml:space="preserve"> que los sujetos obligados deberán hacer pública toda aquella información relativa a los montos y personas a las que entreguen recursos, atento a ello es que surge la obligación de generar la información relacionada con los recibos de nómina solicitados.</w:t>
      </w:r>
    </w:p>
    <w:p w14:paraId="105B42CF" w14:textId="77777777" w:rsidR="00B67939" w:rsidRDefault="00B67939" w:rsidP="00B67939">
      <w:pPr>
        <w:spacing w:before="240" w:after="240" w:line="360" w:lineRule="auto"/>
        <w:jc w:val="both"/>
        <w:rPr>
          <w:rFonts w:ascii="Palatino Linotype" w:hAnsi="Palatino Linotype"/>
        </w:rPr>
      </w:pPr>
      <w:r>
        <w:rPr>
          <w:rFonts w:ascii="Palatino Linotype" w:hAnsi="Palatino Linotype" w:cs="Arial"/>
          <w:color w:val="222222"/>
        </w:rPr>
        <w:t xml:space="preserve">Por lo que en términos de los artículos </w:t>
      </w:r>
      <w:r w:rsidRPr="007500A1">
        <w:rPr>
          <w:rFonts w:ascii="Palatino Linotype" w:hAnsi="Palatino Linotype" w:cs="Arial"/>
          <w:color w:val="000000" w:themeColor="text1"/>
        </w:rPr>
        <w:t xml:space="preserve">3 fracciones XI, XII 4, 12 y 24 último párrafo </w:t>
      </w:r>
      <w:r w:rsidRPr="007500A1">
        <w:rPr>
          <w:rFonts w:ascii="Palatino Linotype" w:hAnsi="Palatino Linotype" w:cs="Arial"/>
          <w:bCs/>
          <w:color w:val="000000" w:themeColor="text1"/>
        </w:rPr>
        <w:t>de la Ley de Transparencia y Acceso a la Información Pública del Estado de México y Municipios</w:t>
      </w:r>
      <w:r>
        <w:rPr>
          <w:rFonts w:ascii="Palatino Linotype" w:hAnsi="Palatino Linotype" w:cs="Arial"/>
          <w:color w:val="000000" w:themeColor="text1"/>
        </w:rPr>
        <w:t>, es i</w:t>
      </w:r>
      <w:r>
        <w:rPr>
          <w:rFonts w:ascii="Palatino Linotype" w:hAnsi="Palatino Linotype"/>
        </w:rPr>
        <w:t xml:space="preserve">nformación susceptible de ser materia del ordenamiento que nos ocupa, la que obre en los documentos que los </w:t>
      </w:r>
      <w:r w:rsidRPr="009E30D5">
        <w:rPr>
          <w:rFonts w:ascii="Palatino Linotype" w:hAnsi="Palatino Linotype"/>
        </w:rPr>
        <w:t>sujetos obligados</w:t>
      </w:r>
      <w:r>
        <w:rPr>
          <w:rFonts w:ascii="Palatino Linotype" w:hAnsi="Palatino Linotype"/>
          <w:b/>
        </w:rPr>
        <w:t xml:space="preserve"> </w:t>
      </w:r>
      <w:r>
        <w:rPr>
          <w:rFonts w:ascii="Palatino Linotype" w:hAnsi="Palatino Linotype"/>
        </w:rPr>
        <w:t>generan, obtienen, adquieren, transforman o conservan por cualquier medio, es toda aquella que documente el ejercicio de las facultades o la actividad de las dependencias, y que esté contenida en un soporte bien sea escrito, impreso, sonoro, visual, electrónico, informático u holográfico.</w:t>
      </w:r>
    </w:p>
    <w:p w14:paraId="181ECC01" w14:textId="77777777" w:rsidR="00B67939" w:rsidRPr="00067AE2" w:rsidRDefault="00B67939" w:rsidP="00B67939">
      <w:pPr>
        <w:autoSpaceDE w:val="0"/>
        <w:autoSpaceDN w:val="0"/>
        <w:adjustRightInd w:val="0"/>
        <w:spacing w:before="240" w:after="360" w:line="360" w:lineRule="auto"/>
        <w:jc w:val="both"/>
        <w:rPr>
          <w:rFonts w:ascii="Palatino Linotype" w:eastAsia="Calibri" w:hAnsi="Palatino Linotype" w:cs="Arial"/>
        </w:rPr>
      </w:pPr>
      <w:r w:rsidRPr="00067AE2">
        <w:rPr>
          <w:rFonts w:ascii="Palatino Linotype" w:eastAsia="Calibri" w:hAnsi="Palatino Linotype" w:cs="Arial"/>
        </w:rPr>
        <w:t xml:space="preserve">Lo anterior se robustece con el criterio </w:t>
      </w:r>
      <w:r w:rsidRPr="00067AE2">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w:t>
      </w:r>
      <w:r w:rsidRPr="00067AE2">
        <w:rPr>
          <w:rFonts w:ascii="Palatino Linotype" w:eastAsia="Calibri" w:hAnsi="Palatino Linotype" w:cs="Arial"/>
          <w:bCs/>
          <w:lang w:eastAsia="es-MX"/>
        </w:rPr>
        <w:lastRenderedPageBreak/>
        <w:t xml:space="preserve">el Periódico Oficial del Gobierno del Estado Libre y Soberano de México “Gaceta del Gobierno”, </w:t>
      </w:r>
      <w:r w:rsidRPr="00067AE2">
        <w:rPr>
          <w:rFonts w:ascii="Palatino Linotype" w:eastAsia="Calibri" w:hAnsi="Palatino Linotype" w:cs="Arial"/>
        </w:rPr>
        <w:t>cuyo rubro y texto dispone:</w:t>
      </w:r>
    </w:p>
    <w:p w14:paraId="7084FCCE" w14:textId="77777777" w:rsidR="00B67939" w:rsidRPr="00484625" w:rsidRDefault="00B67939" w:rsidP="00B67939">
      <w:pPr>
        <w:autoSpaceDE w:val="0"/>
        <w:autoSpaceDN w:val="0"/>
        <w:adjustRightInd w:val="0"/>
        <w:spacing w:before="120" w:after="240"/>
        <w:ind w:left="851" w:right="851"/>
        <w:jc w:val="both"/>
        <w:rPr>
          <w:rFonts w:ascii="Palatino Linotype" w:eastAsia="Calibri" w:hAnsi="Palatino Linotype" w:cs="Arial"/>
          <w:b/>
          <w:i/>
          <w:sz w:val="20"/>
          <w:szCs w:val="20"/>
          <w:lang w:eastAsia="es-MX"/>
        </w:rPr>
      </w:pPr>
      <w:r w:rsidRPr="00484625">
        <w:rPr>
          <w:rFonts w:ascii="Palatino Linotype" w:eastAsia="Calibri" w:hAnsi="Palatino Linotype" w:cs="Arial"/>
          <w:i/>
          <w:sz w:val="20"/>
          <w:szCs w:val="20"/>
          <w:lang w:eastAsia="es-MX"/>
        </w:rPr>
        <w:t>“</w:t>
      </w:r>
      <w:r w:rsidRPr="00484625">
        <w:rPr>
          <w:rFonts w:ascii="Palatino Linotype" w:eastAsia="Calibri" w:hAnsi="Palatino Linotype" w:cs="Arial"/>
          <w:b/>
          <w:i/>
          <w:sz w:val="20"/>
          <w:szCs w:val="20"/>
          <w:lang w:eastAsia="es-MX"/>
        </w:rPr>
        <w:t>CRITERIO 0002-11</w:t>
      </w:r>
    </w:p>
    <w:p w14:paraId="38E35EC0" w14:textId="77777777" w:rsidR="00B67939" w:rsidRPr="00632775" w:rsidRDefault="00B67939" w:rsidP="00B67939">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sidRPr="00484625">
        <w:rPr>
          <w:rFonts w:ascii="Palatino Linotype" w:eastAsia="Calibri" w:hAnsi="Palatino Linotype" w:cs="Arial"/>
          <w:i/>
          <w:sz w:val="20"/>
          <w:szCs w:val="20"/>
          <w:lang w:eastAsia="es-MX"/>
        </w:rPr>
        <w:t xml:space="preserve">INFORMACIÓN PÚBLICA, CONCEPTO DE, EN MATERIA DE TRANSPARENCIA. INTERPRETACIÓN TEMÁTICA DE LOS ARTÍCULOS 2, FRACCIÓN </w:t>
      </w:r>
      <w:bookmarkStart w:id="0" w:name="_GoBack"/>
      <w:bookmarkEnd w:id="0"/>
      <w:r w:rsidRPr="00632775">
        <w:rPr>
          <w:rFonts w:ascii="Palatino Linotype" w:eastAsia="Calibri" w:hAnsi="Palatino Linotype" w:cs="Arial"/>
          <w:bCs/>
          <w:i/>
          <w:sz w:val="20"/>
          <w:szCs w:val="20"/>
          <w:lang w:eastAsia="es-MX"/>
        </w:rPr>
        <w:t xml:space="preserve">V, XV, Y XVI, </w:t>
      </w:r>
      <w:r w:rsidRPr="00632775">
        <w:rPr>
          <w:rFonts w:ascii="Palatino Linotype" w:eastAsia="Calibri" w:hAnsi="Palatino Linotype" w:cs="Arial"/>
          <w:i/>
          <w:sz w:val="20"/>
          <w:szCs w:val="20"/>
          <w:lang w:eastAsia="es-MX"/>
        </w:rPr>
        <w:t>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B6C598" w14:textId="77777777" w:rsidR="00B67939" w:rsidRPr="00632775" w:rsidRDefault="00B67939" w:rsidP="00B67939">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sidRPr="00632775">
        <w:rPr>
          <w:rFonts w:ascii="Palatino Linotype" w:eastAsia="Calibri" w:hAnsi="Palatino Linotype" w:cs="Arial"/>
          <w:i/>
          <w:sz w:val="20"/>
          <w:szCs w:val="20"/>
          <w:lang w:eastAsia="es-MX"/>
        </w:rPr>
        <w:t>En consecuencia el acceso a la información se refiere a que se cumplan cualquiera de los siguientes tres supuestos:</w:t>
      </w:r>
    </w:p>
    <w:p w14:paraId="4FC70387" w14:textId="77777777" w:rsidR="00B67939" w:rsidRPr="00632775" w:rsidRDefault="00B67939" w:rsidP="00B67939">
      <w:pPr>
        <w:numPr>
          <w:ilvl w:val="0"/>
          <w:numId w:val="11"/>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sidRPr="00632775">
        <w:rPr>
          <w:rFonts w:ascii="Palatino Linotype" w:eastAsia="Calibri" w:hAnsi="Palatino Linotype" w:cs="Arial"/>
          <w:i/>
          <w:sz w:val="20"/>
          <w:szCs w:val="20"/>
          <w:lang w:eastAsia="es-MX"/>
        </w:rPr>
        <w:t>Que se trate de información registrada en cualquier soporte documental, que en ejercicio de las atribuciones conferidas, sea generada por los Sujetos Obligados;</w:t>
      </w:r>
    </w:p>
    <w:p w14:paraId="20DF2B6F" w14:textId="77777777" w:rsidR="00B67939" w:rsidRPr="00632775" w:rsidRDefault="00B67939" w:rsidP="00B67939">
      <w:pPr>
        <w:numPr>
          <w:ilvl w:val="0"/>
          <w:numId w:val="11"/>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sidRPr="00632775">
        <w:rPr>
          <w:rFonts w:ascii="Palatino Linotype" w:eastAsia="Calibri" w:hAnsi="Palatino Linotype" w:cs="Arial"/>
          <w:i/>
          <w:sz w:val="20"/>
          <w:szCs w:val="20"/>
          <w:lang w:eastAsia="es-MX"/>
        </w:rPr>
        <w:t>Que se trate de información registrada en cualquier soporte documental, que en ejercicio de las atribuciones conferidas, sea administrada por los Sujetos Obligados, y</w:t>
      </w:r>
    </w:p>
    <w:p w14:paraId="2C920F8D" w14:textId="77777777" w:rsidR="00B67939" w:rsidRPr="00632775" w:rsidRDefault="00B67939" w:rsidP="00B67939">
      <w:pPr>
        <w:numPr>
          <w:ilvl w:val="0"/>
          <w:numId w:val="11"/>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sidRPr="00632775">
        <w:rPr>
          <w:rFonts w:ascii="Palatino Linotype" w:eastAsia="Calibri" w:hAnsi="Palatino Linotype" w:cs="Arial"/>
          <w:i/>
          <w:sz w:val="20"/>
          <w:szCs w:val="20"/>
          <w:lang w:eastAsia="es-MX"/>
        </w:rPr>
        <w:t>Que se trate de información registrada en cualquier soporte documental, que en ejercicio de las atribuciones conferidas, se encuentre en posesión de los Sujetos Obligados.”</w:t>
      </w:r>
    </w:p>
    <w:p w14:paraId="7A6B5FF9" w14:textId="77777777" w:rsidR="00B67939" w:rsidRPr="00632775" w:rsidRDefault="00B67939" w:rsidP="00B67939">
      <w:pPr>
        <w:spacing w:before="240" w:after="240" w:line="360" w:lineRule="auto"/>
        <w:ind w:right="49"/>
        <w:jc w:val="both"/>
        <w:rPr>
          <w:rFonts w:ascii="Palatino Linotype" w:hAnsi="Palatino Linotype" w:cs="Arial"/>
        </w:rPr>
      </w:pPr>
      <w:r w:rsidRPr="00632775">
        <w:rPr>
          <w:rFonts w:ascii="Palatino Linotype" w:hAnsi="Palatino Linotype" w:cs="Arial"/>
        </w:rPr>
        <w:t>Ahora bien, es importante señalar que el derecho de acceso a la información no es absoluto, si no que el mismo se encuentra limitado por el derecho a la protección de los datos personales, derecho por el que también procura este Instituto, por lo que consecuentemente para el caso de que la información ordenada contenga datos que deban ser clasificados la misma se entregará  en versión pública, de conformidad con el siguiente considerando.</w:t>
      </w:r>
    </w:p>
    <w:p w14:paraId="6153C1AD" w14:textId="705064DE" w:rsidR="00A363D9" w:rsidRPr="00632775" w:rsidRDefault="00A363D9" w:rsidP="00A363D9">
      <w:pPr>
        <w:spacing w:before="240" w:after="240" w:line="360" w:lineRule="auto"/>
        <w:ind w:right="49"/>
        <w:jc w:val="both"/>
        <w:rPr>
          <w:rFonts w:ascii="Palatino Linotype" w:hAnsi="Palatino Linotype" w:cs="Arial"/>
        </w:rPr>
      </w:pPr>
      <w:r w:rsidRPr="00632775">
        <w:rPr>
          <w:rFonts w:ascii="Palatino Linotype" w:hAnsi="Palatino Linotype"/>
        </w:rPr>
        <w:t xml:space="preserve">No si antes establecer, que el particular solicitó el salario bruto y neto mensual del Presidente Municipal, Síndico y Regidores integrantes del Ayuntamiento, sin precisar el periodo por el que requiere la información, </w:t>
      </w:r>
      <w:r w:rsidRPr="00632775">
        <w:rPr>
          <w:rFonts w:ascii="Palatino Linotype" w:hAnsi="Palatino Linotype" w:cs="Arial"/>
        </w:rPr>
        <w:t xml:space="preserve">sin embargo, al momento de </w:t>
      </w:r>
      <w:r w:rsidRPr="00632775">
        <w:rPr>
          <w:rFonts w:ascii="Palatino Linotype" w:hAnsi="Palatino Linotype" w:cs="Arial"/>
        </w:rPr>
        <w:lastRenderedPageBreak/>
        <w:t>interponer el medio de defensa, requirió los recibos de nómina o documento que acredite la remuneración de los meses de septiembre y octubre del año dos mil dieciocho en versión pública del Presidente Municipal, Síndico y Regidores.</w:t>
      </w:r>
    </w:p>
    <w:p w14:paraId="6539E5C8" w14:textId="039956E2" w:rsidR="00A363D9" w:rsidRPr="00632775" w:rsidRDefault="00A363D9" w:rsidP="00A363D9">
      <w:pPr>
        <w:pStyle w:val="Prrafodelista"/>
        <w:autoSpaceDE w:val="0"/>
        <w:autoSpaceDN w:val="0"/>
        <w:adjustRightInd w:val="0"/>
        <w:spacing w:before="240" w:after="240" w:line="360" w:lineRule="auto"/>
        <w:ind w:left="0"/>
        <w:jc w:val="both"/>
        <w:rPr>
          <w:rFonts w:ascii="Palatino Linotype" w:hAnsi="Palatino Linotype" w:cs="Arial"/>
        </w:rPr>
      </w:pPr>
      <w:r w:rsidRPr="00632775">
        <w:rPr>
          <w:rFonts w:ascii="Palatino Linotype" w:hAnsi="Palatino Linotype" w:cs="Arial"/>
        </w:rPr>
        <w:t xml:space="preserve">Por lo anterior, este Instituto estima necesario </w:t>
      </w:r>
      <w:r w:rsidR="00312EFF" w:rsidRPr="00632775">
        <w:rPr>
          <w:rFonts w:ascii="Palatino Linotype" w:hAnsi="Palatino Linotype" w:cs="Arial"/>
        </w:rPr>
        <w:t xml:space="preserve">subrayar </w:t>
      </w:r>
      <w:r w:rsidRPr="00632775">
        <w:rPr>
          <w:rFonts w:ascii="Palatino Linotype" w:hAnsi="Palatino Linotype" w:cs="Arial"/>
        </w:rPr>
        <w:t xml:space="preserve">que si bien en la interposición del escrito </w:t>
      </w:r>
      <w:proofErr w:type="spellStart"/>
      <w:r w:rsidRPr="00632775">
        <w:rPr>
          <w:rFonts w:ascii="Palatino Linotype" w:hAnsi="Palatino Linotype" w:cs="Arial"/>
        </w:rPr>
        <w:t>recursal</w:t>
      </w:r>
      <w:proofErr w:type="spellEnd"/>
      <w:r w:rsidR="00312EFF" w:rsidRPr="00632775">
        <w:rPr>
          <w:rFonts w:ascii="Palatino Linotype" w:hAnsi="Palatino Linotype" w:cs="Arial"/>
        </w:rPr>
        <w:t>,</w:t>
      </w:r>
      <w:r w:rsidRPr="00632775">
        <w:rPr>
          <w:rFonts w:ascii="Palatino Linotype" w:hAnsi="Palatino Linotype" w:cs="Arial"/>
        </w:rPr>
        <w:t xml:space="preserve"> el particular específico de manera enunciativa un documento al cual desea tener acceso y el periodo de entrega, también lo es, que la información solicitada primigeniamente no cambio; </w:t>
      </w:r>
      <w:r w:rsidR="00312EFF" w:rsidRPr="00632775">
        <w:rPr>
          <w:rFonts w:ascii="Palatino Linotype" w:hAnsi="Palatino Linotype" w:cs="Arial"/>
        </w:rPr>
        <w:t>toda vez</w:t>
      </w:r>
      <w:r w:rsidRPr="00632775">
        <w:rPr>
          <w:rFonts w:ascii="Palatino Linotype" w:hAnsi="Palatino Linotype" w:cs="Arial"/>
        </w:rPr>
        <w:t xml:space="preserve"> que sigue pidiendo el documento que sustente la remuneración del Presidente Municipal, Sindico y Regidores.</w:t>
      </w:r>
    </w:p>
    <w:p w14:paraId="6D64D6FF" w14:textId="2245E661" w:rsidR="00A363D9" w:rsidRPr="00632775" w:rsidRDefault="009B4B7E" w:rsidP="00312EFF">
      <w:pPr>
        <w:pStyle w:val="Prrafodelista"/>
        <w:autoSpaceDE w:val="0"/>
        <w:autoSpaceDN w:val="0"/>
        <w:adjustRightInd w:val="0"/>
        <w:spacing w:before="240" w:after="160" w:line="360" w:lineRule="auto"/>
        <w:ind w:left="0"/>
        <w:jc w:val="both"/>
        <w:rPr>
          <w:rFonts w:ascii="Palatino Linotype" w:hAnsi="Palatino Linotype"/>
        </w:rPr>
      </w:pPr>
      <w:r w:rsidRPr="00632775">
        <w:rPr>
          <w:rFonts w:ascii="Palatino Linotype" w:hAnsi="Palatino Linotype" w:cs="Arial"/>
        </w:rPr>
        <w:t xml:space="preserve">De manera, que los agravios presentados no actualizan hipótesis de ampliación a la solicitud, al no constituir información adicional, lo que en la teoría jurídica se denomina como </w:t>
      </w:r>
      <w:r w:rsidR="00312EFF" w:rsidRPr="00632775">
        <w:rPr>
          <w:rFonts w:ascii="Palatino Linotype" w:hAnsi="Palatino Linotype" w:cs="Arial"/>
          <w:i/>
        </w:rPr>
        <w:t xml:space="preserve">plus </w:t>
      </w:r>
      <w:proofErr w:type="spellStart"/>
      <w:r w:rsidR="00312EFF" w:rsidRPr="00632775">
        <w:rPr>
          <w:rFonts w:ascii="Palatino Linotype" w:hAnsi="Palatino Linotype" w:cs="Arial"/>
          <w:i/>
        </w:rPr>
        <w:t>petitio</w:t>
      </w:r>
      <w:proofErr w:type="spellEnd"/>
      <w:r w:rsidR="00312EFF" w:rsidRPr="00632775">
        <w:rPr>
          <w:rFonts w:ascii="Palatino Linotype" w:hAnsi="Palatino Linotype" w:cs="Arial"/>
          <w:i/>
        </w:rPr>
        <w:t xml:space="preserve">, </w:t>
      </w:r>
      <w:r w:rsidR="00312EFF" w:rsidRPr="00632775">
        <w:rPr>
          <w:rFonts w:ascii="Palatino Linotype" w:hAnsi="Palatino Linotype" w:cs="Arial"/>
        </w:rPr>
        <w:t xml:space="preserve">al encontrarse intimidante relacionados con la solicitud de información y con la negligencia del </w:t>
      </w:r>
      <w:r w:rsidR="00312EFF" w:rsidRPr="00632775">
        <w:rPr>
          <w:rFonts w:ascii="Palatino Linotype" w:hAnsi="Palatino Linotype" w:cs="Arial"/>
          <w:b/>
        </w:rPr>
        <w:t>Sujeto Obligado</w:t>
      </w:r>
      <w:r w:rsidR="00312EFF" w:rsidRPr="00632775">
        <w:rPr>
          <w:rStyle w:val="Refdenotaalpie"/>
          <w:rFonts w:ascii="Palatino Linotype" w:hAnsi="Palatino Linotype" w:cs="Arial"/>
          <w:b/>
        </w:rPr>
        <w:footnoteReference w:id="5"/>
      </w:r>
      <w:r w:rsidR="00312EFF" w:rsidRPr="00632775">
        <w:rPr>
          <w:rFonts w:ascii="Palatino Linotype" w:hAnsi="Palatino Linotype" w:cs="Arial"/>
          <w:i/>
        </w:rPr>
        <w:t xml:space="preserve">, </w:t>
      </w:r>
      <w:r w:rsidR="00312EFF" w:rsidRPr="00632775">
        <w:rPr>
          <w:rFonts w:ascii="Palatino Linotype" w:hAnsi="Palatino Linotype" w:cs="Arial"/>
        </w:rPr>
        <w:t xml:space="preserve">sólo es, </w:t>
      </w:r>
      <w:r w:rsidR="00312EFF" w:rsidRPr="00632775">
        <w:rPr>
          <w:rFonts w:ascii="Palatino Linotype" w:hAnsi="Palatino Linotype"/>
        </w:rPr>
        <w:t>que</w:t>
      </w:r>
      <w:r w:rsidR="00A363D9" w:rsidRPr="00632775">
        <w:rPr>
          <w:rFonts w:ascii="Palatino Linotype" w:hAnsi="Palatino Linotype" w:cs="Arial"/>
          <w:b/>
          <w:i/>
        </w:rPr>
        <w:t xml:space="preserve"> </w:t>
      </w:r>
      <w:r w:rsidR="00A363D9" w:rsidRPr="00632775">
        <w:rPr>
          <w:rFonts w:ascii="Palatino Linotype" w:hAnsi="Palatino Linotype" w:cs="Arial"/>
        </w:rPr>
        <w:t>precisó el periodo de entrega de l</w:t>
      </w:r>
      <w:r w:rsidRPr="00632775">
        <w:rPr>
          <w:rFonts w:ascii="Palatino Linotype" w:hAnsi="Palatino Linotype"/>
        </w:rPr>
        <w:t xml:space="preserve">os requerimientos planteados en la solicitud de acceso a la información que no fue atendida por el </w:t>
      </w:r>
      <w:r w:rsidRPr="00632775">
        <w:rPr>
          <w:rFonts w:ascii="Palatino Linotype" w:hAnsi="Palatino Linotype"/>
          <w:b/>
        </w:rPr>
        <w:t xml:space="preserve">Sujeto Obligado, </w:t>
      </w:r>
      <w:r w:rsidRPr="00632775">
        <w:rPr>
          <w:rFonts w:ascii="Palatino Linotype" w:hAnsi="Palatino Linotype"/>
        </w:rPr>
        <w:t>en consecuencia el soporte documental del salario neto y bruto del Presidente, Sindico y Regidores será el</w:t>
      </w:r>
      <w:r w:rsidR="00A363D9" w:rsidRPr="00632775">
        <w:rPr>
          <w:rFonts w:ascii="Palatino Linotype" w:hAnsi="Palatino Linotype"/>
        </w:rPr>
        <w:t xml:space="preserve"> correspondiente a los meses de septiembre y octubre</w:t>
      </w:r>
      <w:r w:rsidR="00CB5BCD" w:rsidRPr="00632775">
        <w:rPr>
          <w:rFonts w:ascii="Palatino Linotype" w:hAnsi="Palatino Linotype"/>
        </w:rPr>
        <w:t xml:space="preserve"> de dos mil dieciocho</w:t>
      </w:r>
      <w:r w:rsidR="00A363D9" w:rsidRPr="00632775">
        <w:rPr>
          <w:rFonts w:ascii="Palatino Linotype" w:hAnsi="Palatino Linotype"/>
        </w:rPr>
        <w:t>,</w:t>
      </w:r>
      <w:r w:rsidR="00A363D9" w:rsidRPr="00632775">
        <w:rPr>
          <w:rFonts w:ascii="Palatino Linotype" w:hAnsi="Palatino Linotype" w:cs="Arial"/>
        </w:rPr>
        <w:t xml:space="preserve"> en términos del </w:t>
      </w:r>
      <w:r w:rsidR="00A363D9" w:rsidRPr="00632775">
        <w:rPr>
          <w:rFonts w:ascii="Palatino Linotype" w:eastAsiaTheme="minorHAnsi" w:hAnsi="Palatino Linotype" w:cstheme="minorBidi"/>
          <w:lang w:eastAsia="en-US"/>
        </w:rPr>
        <w:t>artículo 13</w:t>
      </w:r>
      <w:r w:rsidR="00A363D9" w:rsidRPr="00632775">
        <w:rPr>
          <w:rFonts w:ascii="Palatino Linotype" w:hAnsi="Palatino Linotype"/>
        </w:rPr>
        <w:t xml:space="preserve"> de la Ley de Transparencia y Acceso a la Información </w:t>
      </w:r>
      <w:r w:rsidR="00A363D9" w:rsidRPr="00632775">
        <w:rPr>
          <w:rFonts w:ascii="Palatino Linotype" w:hAnsi="Palatino Linotype"/>
        </w:rPr>
        <w:lastRenderedPageBreak/>
        <w:t>Pública del Estado de México y Municipios, que estipula lo que se transcribe a continuación:</w:t>
      </w:r>
    </w:p>
    <w:p w14:paraId="5098F3CA" w14:textId="77777777" w:rsidR="00A363D9" w:rsidRPr="00632775" w:rsidRDefault="00A363D9" w:rsidP="00A363D9">
      <w:pPr>
        <w:autoSpaceDE w:val="0"/>
        <w:autoSpaceDN w:val="0"/>
        <w:adjustRightInd w:val="0"/>
        <w:spacing w:after="120"/>
        <w:ind w:left="851" w:right="902"/>
        <w:jc w:val="both"/>
        <w:rPr>
          <w:rFonts w:ascii="Palatino Linotype" w:hAnsi="Palatino Linotype" w:cs="Arial"/>
          <w:i/>
          <w:sz w:val="20"/>
          <w:szCs w:val="20"/>
        </w:rPr>
      </w:pPr>
      <w:r w:rsidRPr="00632775">
        <w:rPr>
          <w:rFonts w:ascii="Palatino Linotype" w:eastAsiaTheme="minorEastAsia" w:hAnsi="Palatino Linotype" w:cs="Bookman Old Style,Bold"/>
          <w:b/>
          <w:bCs/>
          <w:i/>
          <w:sz w:val="20"/>
          <w:szCs w:val="20"/>
          <w:lang w:val="es-MX"/>
        </w:rPr>
        <w:t>“</w:t>
      </w:r>
      <w:r w:rsidRPr="00632775">
        <w:rPr>
          <w:rFonts w:ascii="Palatino Linotype" w:hAnsi="Palatino Linotype"/>
          <w:i/>
          <w:sz w:val="20"/>
          <w:szCs w:val="20"/>
        </w:rPr>
        <w:t>Artículo 13. El Instituto, en el ámbito de sus atribuciones, deberá suplir cualquier deficiencia para garantizar el ejercicio del derecho de acceso a la información.</w:t>
      </w:r>
      <w:r w:rsidRPr="00632775">
        <w:rPr>
          <w:rFonts w:ascii="Palatino Linotype" w:eastAsiaTheme="minorEastAsia" w:hAnsi="Palatino Linotype" w:cs="Bookman Old Style"/>
          <w:i/>
          <w:sz w:val="20"/>
          <w:szCs w:val="20"/>
          <w:lang w:val="es-MX"/>
        </w:rPr>
        <w:t>”</w:t>
      </w:r>
    </w:p>
    <w:p w14:paraId="16CD6FAA" w14:textId="77777777" w:rsidR="00A363D9" w:rsidRPr="00632775" w:rsidRDefault="00A363D9" w:rsidP="00A363D9">
      <w:pPr>
        <w:spacing w:before="240" w:after="240" w:line="360" w:lineRule="auto"/>
        <w:jc w:val="both"/>
        <w:rPr>
          <w:rFonts w:ascii="Palatino Linotype" w:hAnsi="Palatino Linotype" w:cs="Arial"/>
        </w:rPr>
      </w:pPr>
      <w:r w:rsidRPr="00632775">
        <w:rPr>
          <w:rFonts w:ascii="Palatino Linotype" w:hAnsi="Palatino Linotype" w:cs="Arial"/>
        </w:rPr>
        <w:t xml:space="preserve">Sirve de sustento a lo anterior la tesis aislada 1a. CCI/2018 (10a.)  </w:t>
      </w:r>
      <w:proofErr w:type="gramStart"/>
      <w:r w:rsidRPr="00632775">
        <w:rPr>
          <w:rFonts w:ascii="Palatino Linotype" w:hAnsi="Palatino Linotype" w:cs="Arial"/>
        </w:rPr>
        <w:t>de</w:t>
      </w:r>
      <w:proofErr w:type="gramEnd"/>
      <w:r w:rsidRPr="00632775">
        <w:rPr>
          <w:rFonts w:ascii="Palatino Linotype" w:hAnsi="Palatino Linotype" w:cs="Arial"/>
        </w:rPr>
        <w:t xml:space="preserve"> la Décima Época, de Primera Sala en materia Constitucional de la Suprema Corte de Justicia de la Nación, que es del tenor literal siguiente: </w:t>
      </w:r>
    </w:p>
    <w:p w14:paraId="62419A15" w14:textId="77777777" w:rsidR="00A363D9" w:rsidRPr="00632775" w:rsidRDefault="00A363D9" w:rsidP="00A363D9">
      <w:pPr>
        <w:spacing w:after="120"/>
        <w:ind w:left="851" w:right="902"/>
        <w:jc w:val="both"/>
        <w:rPr>
          <w:rFonts w:ascii="Palatino Linotype" w:hAnsi="Palatino Linotype" w:cs="Arial"/>
          <w:i/>
          <w:sz w:val="20"/>
          <w:szCs w:val="20"/>
        </w:rPr>
      </w:pPr>
      <w:r w:rsidRPr="00632775">
        <w:rPr>
          <w:rFonts w:ascii="Palatino Linotype" w:hAnsi="Palatino Linotype" w:cs="Arial"/>
          <w:b/>
          <w:i/>
          <w:sz w:val="20"/>
          <w:szCs w:val="20"/>
        </w:rPr>
        <w:t xml:space="preserve">“SUPLENCIA DE LA QUEJA DEFICIENTE PREVISTA EN EL ARTÍCULO 79 DE LA LEY DE AMPARO. PERMITE A LAS PARTES ENCONTRARSE EN UN PLANO DE IGUALDAD Y HACER EFECTIVO LO DISPUESTO POR EL ARTÍCULO 1o. DE LA CONSTITUCIÓN POLÍTICA DE LOS ESTADOS UNIDOS MEXICANOS. </w:t>
      </w:r>
      <w:r w:rsidRPr="00632775">
        <w:rPr>
          <w:rFonts w:ascii="Palatino Linotype" w:hAnsi="Palatino Linotype" w:cs="Arial"/>
          <w:i/>
          <w:sz w:val="20"/>
          <w:szCs w:val="20"/>
        </w:rPr>
        <w:t>En el artículo 79 de la Ley de Amparo se acogen distintos supuestos que el legislador, en ejercicio de su libertad configurativa, consideró que requerían especial protección, ya sea por la calidad de la persona o por el grupo al que pertenecen (menores de edad), la materia de que se trata (penal, agraria, laboral), porque su posición en el proceso involucra una concreta debilidad o vulnerabilidad (una violación evidente de la ley que lo haya dejado sin defensa), o bien se afecten ciertas instituciones (el orden y desarrollo de la familia). Así, con la suplencia de la queja se pretende que, a causa de una deficiente argumentación jurídica, no se produzca una violación mayor dejándose a la persona en estado de indefensión, dadas las particulares condiciones en las que se encuentra. Asimismo, la lógica de la suplencia de la queja deficiente implica la protección a ciertos supuestos concretos y específicos: el legislador ha estimado adecuado atemperar los tecnicismos del juicio de amparo para lograr una eficaz protección de los derechos humanos violados y sus garantías, al considerar que, por una serie de circunstancias de carácter histórico, social y/o jurídico, en esos supuestos se requiere especial protección. En definitiva, los supuestos de suplencia de la queja que prevé el artículo 79 aludido se caracterizan por presentar posiciones asimétricas entre las partes, y, en consecuencia, se asume que una de ellas cuenta con menores recursos (ya sea educativos, sociales, económicos o de cualquiera otra índole) ocasionándose una disparidad que repercute en su derecho de acceso a la justicia. Ante tal disparidad, la suplencia de la queja funciona como un mecanismo que permite a las partes encontrarse en un plano de igualdad y hacer efectivo lo dispuesto por el artículo 1o. constitucional.”</w:t>
      </w:r>
    </w:p>
    <w:p w14:paraId="09C102DB" w14:textId="245F723E" w:rsidR="00A363D9" w:rsidRPr="00632775" w:rsidRDefault="004A0E5A" w:rsidP="00A363D9">
      <w:pPr>
        <w:shd w:val="clear" w:color="auto" w:fill="FFFFFF"/>
        <w:spacing w:before="240" w:after="240" w:line="360" w:lineRule="auto"/>
        <w:jc w:val="both"/>
        <w:rPr>
          <w:rFonts w:ascii="Palatino Linotype" w:hAnsi="Palatino Linotype"/>
        </w:rPr>
      </w:pPr>
      <w:r w:rsidRPr="00632775">
        <w:rPr>
          <w:rFonts w:ascii="Palatino Linotype" w:hAnsi="Palatino Linotype" w:cs="Arial"/>
          <w:lang w:val="es-MX" w:eastAsia="es-MX"/>
        </w:rPr>
        <w:t xml:space="preserve">Cabe precisar que si bien la solicitud de información fue interpuesta en fecha doce de octubre de dos mil dieciocho, también lo es </w:t>
      </w:r>
      <w:r w:rsidR="00A363D9" w:rsidRPr="00632775">
        <w:rPr>
          <w:rFonts w:ascii="Palatino Linotype" w:hAnsi="Palatino Linotype" w:cs="Arial"/>
          <w:lang w:val="es-MX" w:eastAsia="es-MX"/>
        </w:rPr>
        <w:t xml:space="preserve">que a la fecha de dar cumplimiento a </w:t>
      </w:r>
      <w:r w:rsidR="00A363D9" w:rsidRPr="00632775">
        <w:rPr>
          <w:rFonts w:ascii="Palatino Linotype" w:hAnsi="Palatino Linotype" w:cs="Arial"/>
          <w:lang w:val="es-MX" w:eastAsia="es-MX"/>
        </w:rPr>
        <w:lastRenderedPageBreak/>
        <w:t xml:space="preserve">la presente resolución, la información del sueldo bruto y neto mensual del mes de octubre de dos mil dieciocho ya fue generada por el </w:t>
      </w:r>
      <w:r w:rsidR="00A363D9" w:rsidRPr="00632775">
        <w:rPr>
          <w:rFonts w:ascii="Palatino Linotype" w:hAnsi="Palatino Linotype" w:cs="Arial"/>
          <w:b/>
          <w:lang w:val="es-MX" w:eastAsia="es-MX"/>
        </w:rPr>
        <w:t>Sujeto Obligado,</w:t>
      </w:r>
      <w:r w:rsidR="00A363D9" w:rsidRPr="00632775">
        <w:rPr>
          <w:rFonts w:ascii="Palatino Linotype" w:hAnsi="Palatino Linotype" w:cs="Arial"/>
          <w:lang w:val="es-MX" w:eastAsia="es-MX"/>
        </w:rPr>
        <w:t xml:space="preserve"> por lo que con el objeto de garantizar </w:t>
      </w:r>
      <w:r w:rsidR="00F40718" w:rsidRPr="00632775">
        <w:rPr>
          <w:rFonts w:ascii="Palatino Linotype" w:hAnsi="Palatino Linotype" w:cs="Arial"/>
          <w:lang w:val="es-MX" w:eastAsia="es-MX"/>
        </w:rPr>
        <w:t>e</w:t>
      </w:r>
      <w:r w:rsidR="00A363D9" w:rsidRPr="00632775">
        <w:rPr>
          <w:rFonts w:ascii="Palatino Linotype" w:hAnsi="Palatino Linotype" w:cs="Arial"/>
          <w:lang w:val="es-MX" w:eastAsia="es-MX"/>
        </w:rPr>
        <w:t xml:space="preserve">l principio de máxima publicidad, </w:t>
      </w:r>
      <w:r w:rsidR="00F40718" w:rsidRPr="00632775">
        <w:rPr>
          <w:rFonts w:ascii="Palatino Linotype" w:hAnsi="Palatino Linotype" w:cs="Arial"/>
          <w:lang w:val="es-MX" w:eastAsia="es-MX"/>
        </w:rPr>
        <w:t xml:space="preserve">así como los de </w:t>
      </w:r>
      <w:r w:rsidR="00A363D9" w:rsidRPr="00632775">
        <w:rPr>
          <w:rFonts w:ascii="Palatino Linotype" w:hAnsi="Palatino Linotype"/>
        </w:rPr>
        <w:t xml:space="preserve">prontitud, eficacia y </w:t>
      </w:r>
      <w:r w:rsidRPr="00632775">
        <w:rPr>
          <w:rFonts w:ascii="Palatino Linotype" w:hAnsi="Palatino Linotype"/>
        </w:rPr>
        <w:t xml:space="preserve">expedites </w:t>
      </w:r>
      <w:r w:rsidR="00F40718" w:rsidRPr="00632775">
        <w:rPr>
          <w:rFonts w:ascii="Palatino Linotype" w:hAnsi="Palatino Linotype"/>
        </w:rPr>
        <w:t xml:space="preserve">consagrados en los artículo 17 de la Constitución Política de los Estados Unidos Mexicanos, </w:t>
      </w:r>
      <w:r w:rsidRPr="00632775">
        <w:rPr>
          <w:rFonts w:ascii="Palatino Linotype" w:hAnsi="Palatino Linotype"/>
        </w:rPr>
        <w:t>resulta procedente su entrega</w:t>
      </w:r>
      <w:r w:rsidR="00A363D9" w:rsidRPr="00632775">
        <w:rPr>
          <w:rFonts w:ascii="Palatino Linotype" w:hAnsi="Palatino Linotype"/>
        </w:rPr>
        <w:t>,</w:t>
      </w:r>
      <w:r w:rsidRPr="00632775">
        <w:rPr>
          <w:rFonts w:ascii="Palatino Linotype" w:hAnsi="Palatino Linotype"/>
        </w:rPr>
        <w:t xml:space="preserve"> toda vez que dejar a su salvo </w:t>
      </w:r>
      <w:r w:rsidR="00CB5BCD" w:rsidRPr="00632775">
        <w:rPr>
          <w:rFonts w:ascii="Palatino Linotype" w:hAnsi="Palatino Linotype"/>
        </w:rPr>
        <w:t xml:space="preserve">los derechos del particular para </w:t>
      </w:r>
      <w:r w:rsidRPr="00632775">
        <w:rPr>
          <w:rFonts w:ascii="Palatino Linotype" w:hAnsi="Palatino Linotype"/>
        </w:rPr>
        <w:t xml:space="preserve">interponer nueva solicitud de acceso a la información, </w:t>
      </w:r>
      <w:r w:rsidR="00CB5BCD" w:rsidRPr="00632775">
        <w:rPr>
          <w:rFonts w:ascii="Palatino Linotype" w:hAnsi="Palatino Linotype"/>
        </w:rPr>
        <w:t xml:space="preserve">transgrediría más el derecho en cuestión,  </w:t>
      </w:r>
      <w:r w:rsidR="00D439E6" w:rsidRPr="00632775">
        <w:rPr>
          <w:rFonts w:ascii="Palatino Linotype" w:hAnsi="Palatino Linotype"/>
        </w:rPr>
        <w:t xml:space="preserve"> </w:t>
      </w:r>
      <w:r w:rsidR="00EF1F2A" w:rsidRPr="00632775">
        <w:rPr>
          <w:rFonts w:ascii="Palatino Linotype" w:hAnsi="Palatino Linotype"/>
        </w:rPr>
        <w:t>que de por sí ya se vio afectado con la falta de respuesta</w:t>
      </w:r>
      <w:r w:rsidR="003D1561" w:rsidRPr="00632775">
        <w:rPr>
          <w:rFonts w:ascii="Palatino Linotype" w:hAnsi="Palatino Linotype"/>
        </w:rPr>
        <w:t>,</w:t>
      </w:r>
      <w:r w:rsidR="00EF1F2A" w:rsidRPr="00632775">
        <w:rPr>
          <w:rFonts w:ascii="Palatino Linotype" w:hAnsi="Palatino Linotype"/>
        </w:rPr>
        <w:t xml:space="preserve"> </w:t>
      </w:r>
      <w:r w:rsidR="00D439E6" w:rsidRPr="00632775">
        <w:rPr>
          <w:rFonts w:ascii="Palatino Linotype" w:hAnsi="Palatino Linotype"/>
        </w:rPr>
        <w:t>en el tiempo previsto para ello</w:t>
      </w:r>
      <w:r w:rsidR="00D439E6" w:rsidRPr="00632775">
        <w:rPr>
          <w:rStyle w:val="Refdenotaalpie"/>
          <w:rFonts w:ascii="Palatino Linotype" w:hAnsi="Palatino Linotype"/>
        </w:rPr>
        <w:footnoteReference w:id="6"/>
      </w:r>
      <w:r w:rsidRPr="00632775">
        <w:rPr>
          <w:rFonts w:ascii="Palatino Linotype" w:hAnsi="Palatino Linotype"/>
        </w:rPr>
        <w:t xml:space="preserve">, </w:t>
      </w:r>
      <w:r w:rsidR="00A363D9" w:rsidRPr="00632775">
        <w:rPr>
          <w:rFonts w:ascii="Palatino Linotype" w:hAnsi="Palatino Linotype"/>
        </w:rPr>
        <w:t xml:space="preserve"> </w:t>
      </w:r>
      <w:r w:rsidR="003D1561" w:rsidRPr="00632775">
        <w:rPr>
          <w:rFonts w:ascii="Palatino Linotype" w:hAnsi="Palatino Linotype"/>
        </w:rPr>
        <w:t>no atender el requerimiento contravendría l</w:t>
      </w:r>
      <w:r w:rsidR="003D1561" w:rsidRPr="00632775">
        <w:rPr>
          <w:rFonts w:ascii="Palatino Linotype" w:hAnsi="Palatino Linotype" w:cs="Arial"/>
          <w:lang w:eastAsia="es-MX"/>
        </w:rPr>
        <w:t xml:space="preserve">a protección más amplia a los derechos fundamentales del ser humano,  </w:t>
      </w:r>
      <w:r w:rsidR="00A363D9" w:rsidRPr="00632775">
        <w:rPr>
          <w:rFonts w:ascii="Palatino Linotype" w:hAnsi="Palatino Linotype"/>
        </w:rPr>
        <w:t>sirve de sustento la jurisprudencia que responde al rubro y texto siguiente:</w:t>
      </w:r>
    </w:p>
    <w:p w14:paraId="4C973C43" w14:textId="77777777" w:rsidR="00A363D9" w:rsidRPr="00632775" w:rsidRDefault="00A363D9" w:rsidP="00A363D9">
      <w:pPr>
        <w:shd w:val="clear" w:color="auto" w:fill="FFFFFF"/>
        <w:spacing w:after="120"/>
        <w:ind w:left="851" w:right="900"/>
        <w:jc w:val="both"/>
        <w:rPr>
          <w:rFonts w:ascii="Palatino Linotype" w:hAnsi="Palatino Linotype"/>
          <w:i/>
          <w:sz w:val="20"/>
          <w:szCs w:val="20"/>
        </w:rPr>
      </w:pPr>
      <w:r w:rsidRPr="00632775">
        <w:rPr>
          <w:rFonts w:ascii="Palatino Linotype" w:hAnsi="Palatino Linotype"/>
          <w:b/>
          <w:i/>
          <w:sz w:val="20"/>
          <w:szCs w:val="20"/>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632775">
        <w:rPr>
          <w:rFonts w:ascii="Palatino Linotype" w:hAnsi="Palatino Linotype"/>
          <w:i/>
          <w:sz w:val="20"/>
          <w:szCs w:val="20"/>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w:t>
      </w:r>
      <w:proofErr w:type="spellStart"/>
      <w:r w:rsidRPr="00632775">
        <w:rPr>
          <w:rFonts w:ascii="Palatino Linotype" w:hAnsi="Palatino Linotype"/>
          <w:i/>
          <w:sz w:val="20"/>
          <w:szCs w:val="20"/>
        </w:rPr>
        <w:t>subgarantías</w:t>
      </w:r>
      <w:proofErr w:type="spellEnd"/>
      <w:r w:rsidRPr="00632775">
        <w:rPr>
          <w:rFonts w:ascii="Palatino Linotype" w:hAnsi="Palatino Linotype"/>
          <w:i/>
          <w:sz w:val="20"/>
          <w:szCs w:val="20"/>
        </w:rPr>
        <w:t xml:space="preserve"> de prontitud, eficacia y </w:t>
      </w:r>
      <w:proofErr w:type="spellStart"/>
      <w:r w:rsidRPr="00632775">
        <w:rPr>
          <w:rFonts w:ascii="Palatino Linotype" w:hAnsi="Palatino Linotype"/>
          <w:i/>
          <w:sz w:val="20"/>
          <w:szCs w:val="20"/>
        </w:rPr>
        <w:t>expeditez</w:t>
      </w:r>
      <w:proofErr w:type="spellEnd"/>
      <w:r w:rsidRPr="00632775">
        <w:rPr>
          <w:rFonts w:ascii="Palatino Linotype" w:hAnsi="Palatino Linotype"/>
          <w:i/>
          <w:sz w:val="20"/>
          <w:szCs w:val="20"/>
        </w:rPr>
        <w:t xml:space="preserve">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w:t>
      </w:r>
      <w:r w:rsidRPr="00632775">
        <w:rPr>
          <w:rFonts w:ascii="Palatino Linotype" w:hAnsi="Palatino Linotype"/>
          <w:i/>
          <w:sz w:val="20"/>
          <w:szCs w:val="20"/>
        </w:rPr>
        <w:lastRenderedPageBreak/>
        <w:t xml:space="preserve">en un correcto ejercicio de la función pública, la adopción de medidas, actuaciones y decisiones eficaces, ágiles y respetuosas de los derechos de los administrados, razones por las que las citadas </w:t>
      </w:r>
      <w:proofErr w:type="spellStart"/>
      <w:r w:rsidRPr="00632775">
        <w:rPr>
          <w:rFonts w:ascii="Palatino Linotype" w:hAnsi="Palatino Linotype"/>
          <w:i/>
          <w:sz w:val="20"/>
          <w:szCs w:val="20"/>
        </w:rPr>
        <w:t>subgarantías</w:t>
      </w:r>
      <w:proofErr w:type="spellEnd"/>
      <w:r w:rsidRPr="00632775">
        <w:rPr>
          <w:rFonts w:ascii="Palatino Linotype" w:hAnsi="Palatino Linotype"/>
          <w:i/>
          <w:sz w:val="20"/>
          <w:szCs w:val="20"/>
        </w:rPr>
        <w:t xml:space="preserve"> de prontitud, eficacia y </w:t>
      </w:r>
      <w:proofErr w:type="spellStart"/>
      <w:r w:rsidRPr="00632775">
        <w:rPr>
          <w:rFonts w:ascii="Palatino Linotype" w:hAnsi="Palatino Linotype"/>
          <w:i/>
          <w:sz w:val="20"/>
          <w:szCs w:val="20"/>
        </w:rPr>
        <w:t>expeditez</w:t>
      </w:r>
      <w:proofErr w:type="spellEnd"/>
      <w:r w:rsidRPr="00632775">
        <w:rPr>
          <w:rFonts w:ascii="Palatino Linotype" w:hAnsi="Palatino Linotype"/>
          <w:i/>
          <w:sz w:val="20"/>
          <w:szCs w:val="20"/>
        </w:rPr>
        <w:t xml:space="preserve"> no pueden ser privativas del ámbito judicial, sino que comprenden la producción de los actos administrativos.”</w:t>
      </w:r>
    </w:p>
    <w:p w14:paraId="3836E4D1" w14:textId="7B0735D7" w:rsidR="0032631D" w:rsidRDefault="0032631D" w:rsidP="0032631D">
      <w:pPr>
        <w:spacing w:before="240" w:after="240" w:line="360" w:lineRule="auto"/>
        <w:ind w:right="49" w:firstLine="1"/>
        <w:jc w:val="both"/>
        <w:rPr>
          <w:rFonts w:ascii="Palatino Linotype" w:hAnsi="Palatino Linotype" w:cs="Arial"/>
        </w:rPr>
      </w:pPr>
      <w:r w:rsidRPr="00632775">
        <w:rPr>
          <w:rFonts w:ascii="Palatino Linotype" w:hAnsi="Palatino Linotype"/>
          <w:color w:val="000000"/>
        </w:rPr>
        <w:t xml:space="preserve">Por último, ante </w:t>
      </w:r>
      <w:r w:rsidRPr="00632775">
        <w:rPr>
          <w:rFonts w:ascii="Palatino Linotype" w:eastAsiaTheme="minorEastAsia" w:hAnsi="Palatino Linotype" w:cs="Bookman Old Style"/>
          <w:lang w:val="es-MX"/>
        </w:rPr>
        <w:t xml:space="preserve">la omisión del </w:t>
      </w:r>
      <w:r w:rsidRPr="00632775">
        <w:rPr>
          <w:rFonts w:ascii="Palatino Linotype" w:eastAsiaTheme="minorEastAsia" w:hAnsi="Palatino Linotype" w:cs="Bookman Old Style"/>
          <w:b/>
          <w:lang w:val="es-MX"/>
        </w:rPr>
        <w:t xml:space="preserve">Sujeto Obligado </w:t>
      </w:r>
      <w:r w:rsidRPr="00632775">
        <w:rPr>
          <w:rFonts w:ascii="Palatino Linotype" w:eastAsiaTheme="minorEastAsia" w:hAnsi="Palatino Linotype" w:cs="Bookman Old Style"/>
          <w:lang w:val="es-MX"/>
        </w:rPr>
        <w:t xml:space="preserve">de atender el requerimiento de información, que redunda en falta de cumplimiento a los artículos 6 de la Constitución Federal y 5 de la Constitución Local, se actualiza lo previsto en el diverso 222 fracción II de la Ley de Transparencia y Acceso a la Información Pública del Estado de México y Municipios, por lo que con fundamento en los </w:t>
      </w:r>
      <w:r w:rsidRPr="00632775">
        <w:rPr>
          <w:rFonts w:ascii="Palatino Linotype" w:hAnsi="Palatino Linotype" w:cs="Arial"/>
        </w:rPr>
        <w:t xml:space="preserve">artículos 190 y 223 de la Ley Adjetiva, se </w:t>
      </w:r>
      <w:r w:rsidRPr="00632775">
        <w:rPr>
          <w:rFonts w:ascii="Palatino Linotype" w:hAnsi="Palatino Linotype"/>
          <w:color w:val="222222"/>
          <w:lang w:val="es-MX" w:eastAsia="es-MX"/>
        </w:rPr>
        <w:t xml:space="preserve">ordena </w:t>
      </w:r>
      <w:r w:rsidRPr="00632775">
        <w:rPr>
          <w:rFonts w:ascii="Palatino Linotype" w:hAnsi="Palatino Linotype" w:cs="Arial"/>
        </w:rPr>
        <w:t xml:space="preserve">al Titular del Órgano de Control y Vigilancia de este Instituto dé vista a la Contraloría Interna del </w:t>
      </w:r>
      <w:r w:rsidRPr="00632775">
        <w:rPr>
          <w:rFonts w:ascii="Palatino Linotype" w:hAnsi="Palatino Linotype" w:cs="Arial"/>
          <w:b/>
        </w:rPr>
        <w:t>Sujeto Obligado</w:t>
      </w:r>
      <w:r w:rsidRPr="00632775">
        <w:rPr>
          <w:rFonts w:ascii="Palatino Linotype" w:hAnsi="Palatino Linotype" w:cs="Arial"/>
        </w:rPr>
        <w:t>,</w:t>
      </w:r>
      <w:r w:rsidRPr="00632775">
        <w:rPr>
          <w:rFonts w:ascii="Palatino Linotype" w:hAnsi="Palatino Linotype" w:cs="Arial"/>
          <w:b/>
        </w:rPr>
        <w:t xml:space="preserve"> </w:t>
      </w:r>
      <w:r w:rsidRPr="00632775">
        <w:rPr>
          <w:rFonts w:ascii="Palatino Linotype" w:hAnsi="Palatino Linotype" w:cs="Arial"/>
        </w:rPr>
        <w:t>para que en términos de la Ley de Responsabilidades de los Servidores Públicos del Estado y Municipios, determine el grado de responsabilidad del servidor público ante la falta de respuesta a la solicitud de información en el plazo señalado en la Ley de Transparencia en la entidad.</w:t>
      </w:r>
    </w:p>
    <w:p w14:paraId="6C4EFF60" w14:textId="77777777" w:rsidR="003C739F" w:rsidRPr="006058FE" w:rsidRDefault="003C739F" w:rsidP="003C739F">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6058FE">
        <w:rPr>
          <w:rFonts w:ascii="Palatino Linotype" w:eastAsiaTheme="minorEastAsia" w:hAnsi="Palatino Linotype" w:cs="Bookman Old Style"/>
          <w:b/>
          <w:sz w:val="28"/>
          <w:szCs w:val="28"/>
          <w:lang w:val="es-MX"/>
        </w:rPr>
        <w:t>QUINTO. Versión Pública.</w:t>
      </w:r>
    </w:p>
    <w:p w14:paraId="36CD553D" w14:textId="77777777" w:rsidR="00E40D16" w:rsidRDefault="00E40D16" w:rsidP="00E40D16">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Por último, cabe señalar que respecto a la versión pública de los documentos que contenga la información solicitada, el Comité de Transparencia del </w:t>
      </w:r>
      <w:r w:rsidRPr="00745403">
        <w:rPr>
          <w:rFonts w:ascii="Palatino Linotype" w:eastAsiaTheme="minorEastAsia" w:hAnsi="Palatino Linotype" w:cs="Bookman Old Style"/>
          <w:b/>
          <w:lang w:val="es-MX"/>
        </w:rPr>
        <w:t>Sujeto Obligado</w:t>
      </w:r>
      <w:r>
        <w:rPr>
          <w:rFonts w:ascii="Palatino Linotype" w:eastAsiaTheme="minorEastAsia" w:hAnsi="Palatino Linotype" w:cs="Bookman Old Style"/>
          <w:lang w:val="es-MX"/>
        </w:rPr>
        <w:t>, deberá emitir el acuerdo de clasificación de información reservada con fundamento en el artículo 3 y 143 de la Ley de Transparencia y Acceso a la Información Pública del Estado de México, que establece lo siguiente respecto a los datos personales:</w:t>
      </w:r>
    </w:p>
    <w:p w14:paraId="7E4BD21C" w14:textId="77777777" w:rsidR="00E40D16" w:rsidRDefault="00E40D16" w:rsidP="00E40D16">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
          <w:b/>
          <w:i/>
          <w:sz w:val="20"/>
          <w:szCs w:val="20"/>
          <w:lang w:val="es-MX"/>
        </w:rPr>
        <w:t xml:space="preserve">“Artículo 3. </w:t>
      </w:r>
      <w:r>
        <w:rPr>
          <w:rFonts w:ascii="Palatino Linotype" w:eastAsiaTheme="minorEastAsia" w:hAnsi="Palatino Linotype" w:cs="Bookman Old Style"/>
          <w:i/>
          <w:sz w:val="20"/>
          <w:szCs w:val="20"/>
          <w:lang w:val="es-MX"/>
        </w:rPr>
        <w:t>Para los efectos de la presente Ley se entenderá por:</w:t>
      </w:r>
    </w:p>
    <w:p w14:paraId="3DC86AEB" w14:textId="77777777" w:rsidR="00E40D16" w:rsidRDefault="00E40D16" w:rsidP="00E40D16">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
          <w:b/>
          <w:i/>
          <w:sz w:val="20"/>
          <w:szCs w:val="20"/>
          <w:lang w:val="es-MX"/>
        </w:rPr>
        <w:t>(…</w:t>
      </w:r>
      <w:r>
        <w:rPr>
          <w:rFonts w:ascii="Palatino Linotype" w:eastAsiaTheme="minorEastAsia" w:hAnsi="Palatino Linotype" w:cs="Bookman Old Style"/>
          <w:i/>
          <w:sz w:val="20"/>
          <w:szCs w:val="20"/>
          <w:lang w:val="es-MX"/>
        </w:rPr>
        <w:t>)</w:t>
      </w:r>
    </w:p>
    <w:p w14:paraId="4CBA7ED4" w14:textId="77777777" w:rsidR="00E40D16" w:rsidRDefault="00E40D16" w:rsidP="00E40D16">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2F7D4B">
        <w:rPr>
          <w:rFonts w:ascii="Palatino Linotype" w:eastAsiaTheme="minorEastAsia" w:hAnsi="Palatino Linotype" w:cs="Bookman Old Style,Bold"/>
          <w:b/>
          <w:bCs/>
          <w:i/>
          <w:sz w:val="20"/>
          <w:szCs w:val="20"/>
          <w:lang w:val="es-MX"/>
        </w:rPr>
        <w:lastRenderedPageBreak/>
        <w:t xml:space="preserve">IX. Datos personales: </w:t>
      </w:r>
      <w:r w:rsidRPr="002F7D4B">
        <w:rPr>
          <w:rFonts w:ascii="Palatino Linotype" w:eastAsiaTheme="minorEastAsia" w:hAnsi="Palatino Linotype" w:cs="Bookman Old Style"/>
          <w:i/>
          <w:sz w:val="20"/>
          <w:szCs w:val="20"/>
          <w:lang w:val="es-MX"/>
        </w:rPr>
        <w:t>La información concerniente a una persona, identificada o identificable según lo</w:t>
      </w:r>
      <w:r>
        <w:rPr>
          <w:rFonts w:ascii="Palatino Linotype" w:eastAsiaTheme="minorEastAsia" w:hAnsi="Palatino Linotype" w:cs="Bookman Old Style"/>
          <w:i/>
          <w:sz w:val="20"/>
          <w:szCs w:val="20"/>
          <w:lang w:val="es-MX"/>
        </w:rPr>
        <w:t xml:space="preserve"> </w:t>
      </w:r>
      <w:r w:rsidRPr="002F7D4B">
        <w:rPr>
          <w:rFonts w:ascii="Palatino Linotype" w:eastAsiaTheme="minorEastAsia" w:hAnsi="Palatino Linotype" w:cs="Bookman Old Style"/>
          <w:i/>
          <w:sz w:val="20"/>
          <w:szCs w:val="20"/>
          <w:lang w:val="es-MX"/>
        </w:rPr>
        <w:t>dispuesto por la Ley de Protección de Datos Personales del Estado de México;</w:t>
      </w:r>
    </w:p>
    <w:p w14:paraId="29A07378" w14:textId="77777777" w:rsidR="00E40D16" w:rsidRDefault="00E40D16" w:rsidP="00E40D16">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Pr>
          <w:rFonts w:ascii="Palatino Linotype" w:eastAsiaTheme="minorEastAsia" w:hAnsi="Palatino Linotype" w:cs="Bookman Old Style"/>
          <w:i/>
          <w:sz w:val="20"/>
          <w:szCs w:val="20"/>
          <w:lang w:val="es-MX"/>
        </w:rPr>
        <w:t>).”</w:t>
      </w:r>
    </w:p>
    <w:p w14:paraId="0B7A7E04" w14:textId="77777777" w:rsidR="00E40D16" w:rsidRPr="00656036" w:rsidRDefault="00E40D16" w:rsidP="00E40D16">
      <w:pPr>
        <w:autoSpaceDE w:val="0"/>
        <w:autoSpaceDN w:val="0"/>
        <w:adjustRightInd w:val="0"/>
        <w:ind w:left="851"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“Artículo 143. </w:t>
      </w:r>
      <w:r w:rsidRPr="00656036">
        <w:rPr>
          <w:rFonts w:ascii="Palatino Linotype" w:eastAsiaTheme="minorEastAsia" w:hAnsi="Palatino Linotype" w:cs="Bookman Old Style"/>
          <w:i/>
          <w:sz w:val="20"/>
          <w:szCs w:val="20"/>
          <w:lang w:val="es-MX"/>
        </w:rPr>
        <w:t>Para los efectos de esta Ley se considera información confidencial, la clasificada como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tal, de manera permanente, por su naturaleza, cuando:</w:t>
      </w:r>
    </w:p>
    <w:p w14:paraId="75411480" w14:textId="77777777" w:rsidR="00E40D16" w:rsidRPr="00656036" w:rsidRDefault="00E40D16" w:rsidP="00E40D16">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 </w:t>
      </w:r>
      <w:r w:rsidRPr="00656036">
        <w:rPr>
          <w:rFonts w:ascii="Palatino Linotype" w:eastAsiaTheme="minorEastAsia" w:hAnsi="Palatino Linotype" w:cs="Bookman Old Style"/>
          <w:i/>
          <w:sz w:val="20"/>
          <w:szCs w:val="20"/>
          <w:lang w:val="es-MX"/>
        </w:rPr>
        <w:t>Se refiera a la información privada y los datos personales concernientes a una persona física o</w:t>
      </w:r>
      <w:r>
        <w:rPr>
          <w:rFonts w:ascii="Palatino Linotype" w:eastAsiaTheme="minorEastAsia" w:hAnsi="Palatino Linotype" w:cs="Bookman Old Style"/>
          <w:i/>
          <w:sz w:val="20"/>
          <w:szCs w:val="20"/>
          <w:lang w:val="es-MX"/>
        </w:rPr>
        <w:t xml:space="preserve"> </w:t>
      </w:r>
      <w:proofErr w:type="gramStart"/>
      <w:r w:rsidRPr="00656036">
        <w:rPr>
          <w:rFonts w:ascii="Palatino Linotype" w:eastAsiaTheme="minorEastAsia" w:hAnsi="Palatino Linotype" w:cs="Bookman Old Style"/>
          <w:i/>
          <w:sz w:val="20"/>
          <w:szCs w:val="20"/>
          <w:lang w:val="es-MX"/>
        </w:rPr>
        <w:t>jurídico</w:t>
      </w:r>
      <w:proofErr w:type="gramEnd"/>
      <w:r w:rsidRPr="00656036">
        <w:rPr>
          <w:rFonts w:ascii="Palatino Linotype" w:eastAsiaTheme="minorEastAsia" w:hAnsi="Palatino Linotype" w:cs="Bookman Old Style"/>
          <w:i/>
          <w:sz w:val="20"/>
          <w:szCs w:val="20"/>
          <w:lang w:val="es-MX"/>
        </w:rPr>
        <w:t xml:space="preserve"> colectiva identificada o identificable;</w:t>
      </w:r>
    </w:p>
    <w:p w14:paraId="5CBC636A" w14:textId="77777777" w:rsidR="00E40D16" w:rsidRPr="00656036" w:rsidRDefault="00E40D16" w:rsidP="00E40D16">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II. </w:t>
      </w:r>
      <w:r w:rsidRPr="00656036">
        <w:rPr>
          <w:rFonts w:ascii="Palatino Linotype" w:eastAsiaTheme="minorEastAsia" w:hAnsi="Palatino Linotype" w:cs="Bookman Old Style"/>
          <w:i/>
          <w:sz w:val="20"/>
          <w:szCs w:val="20"/>
          <w:lang w:val="es-MX"/>
        </w:rPr>
        <w:t>Los secretos bancario, fiduciario, industrial, comercial, fiscal, bursátil y postal, cuya titularidad</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corresponda a particulares, sujetos de derecho internacional o a sujetos obligados cuando no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involucren el ejercicio de recursos públicos; y</w:t>
      </w:r>
    </w:p>
    <w:p w14:paraId="423ECF85" w14:textId="77777777" w:rsidR="00E40D16" w:rsidRDefault="00E40D16" w:rsidP="00E40D16">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III. </w:t>
      </w:r>
      <w:r w:rsidRPr="00656036">
        <w:rPr>
          <w:rFonts w:ascii="Palatino Linotype" w:eastAsiaTheme="minorEastAsia" w:hAnsi="Palatino Linotype" w:cs="Bookman Old Style"/>
          <w:i/>
          <w:sz w:val="20"/>
          <w:szCs w:val="20"/>
          <w:lang w:val="es-MX"/>
        </w:rPr>
        <w:t>La que presenten los particulares a los sujetos obligados, de conformidad con lo dispuesto por las</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leyes o los tratados internacionales.</w:t>
      </w:r>
    </w:p>
    <w:p w14:paraId="7EABFE60" w14:textId="77777777" w:rsidR="00E40D16" w:rsidRDefault="00E40D16" w:rsidP="00E40D16">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
          <w:i/>
          <w:sz w:val="20"/>
          <w:szCs w:val="20"/>
          <w:lang w:val="es-MX"/>
        </w:rPr>
        <w:t>La información confidencial no estará sujeta a temporalidad alguna y sólo podrán tener acceso a ella</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los titulares de la misma, sus representantes y los servidores públicos facultados para ello.</w:t>
      </w:r>
    </w:p>
    <w:p w14:paraId="274A99A5" w14:textId="77777777" w:rsidR="00E40D16" w:rsidRPr="00656036" w:rsidRDefault="00E40D16" w:rsidP="00E40D16">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
          <w:i/>
          <w:sz w:val="20"/>
          <w:szCs w:val="20"/>
          <w:lang w:val="es-MX"/>
        </w:rPr>
        <w:t>No se considerará confidencial la información que se encuentre en los registros públicos o en fuentes</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de acceso público, ni tampoco la que sea considerada por la presente ley como información pública.</w:t>
      </w:r>
      <w:r>
        <w:rPr>
          <w:rFonts w:ascii="Palatino Linotype" w:eastAsiaTheme="minorEastAsia" w:hAnsi="Palatino Linotype" w:cs="Bookman Old Style"/>
          <w:i/>
          <w:sz w:val="20"/>
          <w:szCs w:val="20"/>
          <w:lang w:val="es-MX"/>
        </w:rPr>
        <w:t>”</w:t>
      </w:r>
    </w:p>
    <w:p w14:paraId="73F510A7" w14:textId="77777777" w:rsidR="00E40D16" w:rsidRDefault="00E40D16" w:rsidP="00E40D16">
      <w:pPr>
        <w:pStyle w:val="Sinespaciado"/>
        <w:spacing w:before="240" w:after="240" w:line="360" w:lineRule="auto"/>
        <w:jc w:val="both"/>
        <w:rPr>
          <w:rFonts w:ascii="Palatino Linotype" w:hAnsi="Palatino Linotype" w:cs="Arial"/>
        </w:rPr>
      </w:pPr>
      <w:r w:rsidRPr="0074668D">
        <w:rPr>
          <w:rFonts w:ascii="Palatino Linotype" w:hAnsi="Palatino Linotype" w:cs="Arial"/>
        </w:rPr>
        <w:t xml:space="preserve">En el caso específico, </w:t>
      </w:r>
      <w:r>
        <w:rPr>
          <w:rFonts w:ascii="Palatino Linotype" w:hAnsi="Palatino Linotype" w:cs="Arial"/>
        </w:rPr>
        <w:t xml:space="preserve">en la documentación en la cual podría constar la información solicitada, podría advertirse información confidencial que haga identificada o identificable a una persona, la cual de manera enunciativa más no limitativa podría ser </w:t>
      </w:r>
      <w:r w:rsidRPr="0074668D">
        <w:rPr>
          <w:rFonts w:ascii="Palatino Linotype" w:hAnsi="Palatino Linotype" w:cs="Arial"/>
        </w:rPr>
        <w:t xml:space="preserve">el </w:t>
      </w:r>
      <w:r w:rsidRPr="0074668D">
        <w:rPr>
          <w:rFonts w:ascii="Palatino Linotype" w:hAnsi="Palatino Linotype" w:cs="Arial"/>
          <w:b/>
        </w:rPr>
        <w:t>Registro Federal de Contribuyentes</w:t>
      </w:r>
      <w:r w:rsidRPr="0074668D">
        <w:rPr>
          <w:rFonts w:ascii="Palatino Linotype" w:hAnsi="Palatino Linotype" w:cs="Arial"/>
        </w:rPr>
        <w:t xml:space="preserve"> (RFC), la </w:t>
      </w:r>
      <w:r w:rsidRPr="0074668D">
        <w:rPr>
          <w:rFonts w:ascii="Palatino Linotype" w:hAnsi="Palatino Linotype" w:cs="Arial"/>
          <w:b/>
        </w:rPr>
        <w:t>Clave Única de Registro de Población</w:t>
      </w:r>
      <w:r>
        <w:rPr>
          <w:rFonts w:ascii="Palatino Linotype" w:hAnsi="Palatino Linotype" w:cs="Arial"/>
        </w:rPr>
        <w:t xml:space="preserve"> (CURP), </w:t>
      </w:r>
      <w:r w:rsidRPr="0074668D">
        <w:rPr>
          <w:rFonts w:ascii="Palatino Linotype" w:hAnsi="Palatino Linotype" w:cs="Arial"/>
          <w:b/>
        </w:rPr>
        <w:t>Clave de cualquier tipo de seguridad social</w:t>
      </w:r>
      <w:r>
        <w:rPr>
          <w:rFonts w:ascii="Palatino Linotype" w:hAnsi="Palatino Linotype" w:cs="Arial"/>
        </w:rPr>
        <w:t xml:space="preserve"> (ISSEMYM, u otros) </w:t>
      </w:r>
      <w:r>
        <w:rPr>
          <w:rFonts w:ascii="Palatino Linotype" w:hAnsi="Palatino Linotype" w:cs="Arial"/>
          <w:b/>
        </w:rPr>
        <w:t>Código QR</w:t>
      </w:r>
      <w:r>
        <w:rPr>
          <w:rFonts w:ascii="Palatino Linotype" w:hAnsi="Palatino Linotype" w:cs="Arial"/>
        </w:rPr>
        <w:t xml:space="preserve">; los cuales, </w:t>
      </w:r>
      <w:r w:rsidRPr="0074668D">
        <w:rPr>
          <w:rFonts w:ascii="Palatino Linotype" w:hAnsi="Palatino Linotype" w:cs="Arial"/>
        </w:rPr>
        <w:t>deben testarse al momento de la elaboración de versiones públicas</w:t>
      </w:r>
      <w:r>
        <w:rPr>
          <w:rFonts w:ascii="Palatino Linotype" w:hAnsi="Palatino Linotype" w:cs="Arial"/>
        </w:rPr>
        <w:t>.</w:t>
      </w:r>
    </w:p>
    <w:p w14:paraId="1B8CBBF9" w14:textId="77777777" w:rsidR="00E40D16" w:rsidRPr="0074668D" w:rsidRDefault="00E40D16" w:rsidP="00E40D16">
      <w:pPr>
        <w:autoSpaceDE w:val="0"/>
        <w:autoSpaceDN w:val="0"/>
        <w:adjustRightInd w:val="0"/>
        <w:spacing w:before="240" w:after="240" w:line="360" w:lineRule="auto"/>
        <w:jc w:val="both"/>
        <w:rPr>
          <w:rFonts w:ascii="Palatino Linotype" w:hAnsi="Palatino Linotype" w:cs="Arial"/>
        </w:rPr>
      </w:pPr>
      <w:r w:rsidRPr="0074668D">
        <w:rPr>
          <w:rFonts w:ascii="Palatino Linotype" w:hAnsi="Palatino Linotype" w:cs="Arial"/>
          <w:lang w:eastAsia="es-MX"/>
        </w:rPr>
        <w:t xml:space="preserve">En cuanto al </w:t>
      </w:r>
      <w:r>
        <w:rPr>
          <w:rFonts w:ascii="Palatino Linotype" w:hAnsi="Palatino Linotype" w:cs="Arial"/>
          <w:lang w:eastAsia="es-MX"/>
        </w:rPr>
        <w:t>RFC, este</w:t>
      </w:r>
      <w:r w:rsidRPr="0074668D">
        <w:rPr>
          <w:rFonts w:ascii="Palatino Linotype" w:hAnsi="Palatino Linotype" w:cs="Arial"/>
          <w:lang w:eastAsia="es-MX"/>
        </w:rPr>
        <w:t xml:space="preserve"> constituye un dato personal, ya que para su obtención es necesario acreditar ante la autoridad fiscal previamente la identidad de la persona, su fecha de nacimiento, entre otros aspectos.</w:t>
      </w:r>
    </w:p>
    <w:p w14:paraId="0114091E" w14:textId="77777777" w:rsidR="00E40D16" w:rsidRPr="0074668D" w:rsidRDefault="00E40D16" w:rsidP="00E40D16">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lastRenderedPageBreak/>
        <w:t>Ahora bien, las personas físicas tramitan su inscripción en el registro con el propósito de realizar —mediante esa clave de identificación— operaciones o actividades de naturaleza fiscal, la cual, les permite hacer</w:t>
      </w:r>
      <w:r>
        <w:rPr>
          <w:rFonts w:ascii="Palatino Linotype" w:hAnsi="Palatino Linotype" w:cs="Arial"/>
          <w:lang w:eastAsia="es-MX"/>
        </w:rPr>
        <w:t>se</w:t>
      </w:r>
      <w:r w:rsidRPr="0074668D">
        <w:rPr>
          <w:rFonts w:ascii="Palatino Linotype" w:hAnsi="Palatino Linotype" w:cs="Arial"/>
          <w:lang w:eastAsia="es-MX"/>
        </w:rPr>
        <w:t xml:space="preserve"> identificable</w:t>
      </w:r>
      <w:r>
        <w:rPr>
          <w:rFonts w:ascii="Palatino Linotype" w:hAnsi="Palatino Linotype" w:cs="Arial"/>
          <w:lang w:eastAsia="es-MX"/>
        </w:rPr>
        <w:t>s</w:t>
      </w:r>
      <w:r w:rsidRPr="0074668D">
        <w:rPr>
          <w:rFonts w:ascii="Palatino Linotype" w:hAnsi="Palatino Linotype" w:cs="Arial"/>
          <w:lang w:eastAsia="es-MX"/>
        </w:rPr>
        <w:t xml:space="preserve"> respecto de una situación fiscal determinada.</w:t>
      </w:r>
    </w:p>
    <w:p w14:paraId="78AE6636" w14:textId="7DD3764E" w:rsidR="00E40D16" w:rsidRPr="0074668D" w:rsidRDefault="00E40D16" w:rsidP="00E40D16">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 xml:space="preserve">Lo anterior es compartido por el </w:t>
      </w:r>
      <w:r w:rsidRPr="00F63127">
        <w:rPr>
          <w:rFonts w:ascii="Palatino Linotype" w:hAnsi="Palatino Linotype" w:cs="Arial"/>
          <w:lang w:eastAsia="es-MX"/>
        </w:rPr>
        <w:t>Instituto Nacional de Transparencia, Acceso a la Información Pública y Protección de Datos Personales (INAI)</w:t>
      </w:r>
      <w:r>
        <w:rPr>
          <w:rFonts w:ascii="Palatino Linotype" w:hAnsi="Palatino Linotype" w:cs="Arial"/>
          <w:lang w:eastAsia="es-MX"/>
        </w:rPr>
        <w:t xml:space="preserve">, </w:t>
      </w:r>
      <w:r w:rsidRPr="0074668D">
        <w:rPr>
          <w:rFonts w:ascii="Palatino Linotype" w:hAnsi="Palatino Linotype" w:cs="Arial"/>
          <w:lang w:eastAsia="es-MX"/>
        </w:rPr>
        <w:t xml:space="preserve">a través del Criterio </w:t>
      </w:r>
      <w:r w:rsidR="009B79A0">
        <w:rPr>
          <w:rFonts w:ascii="Palatino Linotype" w:hAnsi="Palatino Linotype" w:cs="Arial"/>
          <w:lang w:eastAsia="es-MX"/>
        </w:rPr>
        <w:t>19/17</w:t>
      </w:r>
      <w:r w:rsidRPr="0074668D">
        <w:rPr>
          <w:rFonts w:ascii="Palatino Linotype" w:hAnsi="Palatino Linotype" w:cs="Arial"/>
          <w:lang w:eastAsia="es-MX"/>
        </w:rPr>
        <w:t>, el cual es del tenor literal siguiente:</w:t>
      </w:r>
    </w:p>
    <w:p w14:paraId="55942D2A" w14:textId="4CA454B1" w:rsidR="00E40D16" w:rsidRPr="009B79A0" w:rsidRDefault="00E40D16" w:rsidP="009B79A0">
      <w:pPr>
        <w:spacing w:after="120"/>
        <w:ind w:left="851" w:right="902"/>
        <w:jc w:val="both"/>
        <w:rPr>
          <w:rFonts w:ascii="Palatino Linotype" w:hAnsi="Palatino Linotype" w:cs="Arial"/>
          <w:i/>
          <w:sz w:val="20"/>
          <w:szCs w:val="20"/>
        </w:rPr>
      </w:pPr>
      <w:r w:rsidRPr="009B79A0">
        <w:rPr>
          <w:rFonts w:ascii="Palatino Linotype" w:hAnsi="Palatino Linotype" w:cs="Arial"/>
          <w:b/>
          <w:bCs/>
          <w:i/>
          <w:sz w:val="20"/>
          <w:szCs w:val="20"/>
        </w:rPr>
        <w:t>“</w:t>
      </w:r>
      <w:r w:rsidR="009B79A0" w:rsidRPr="009B79A0">
        <w:rPr>
          <w:rFonts w:ascii="Palatino Linotype" w:hAnsi="Palatino Linotype" w:cs="Arial"/>
          <w:b/>
          <w:bCs/>
          <w:i/>
          <w:sz w:val="20"/>
          <w:szCs w:val="20"/>
        </w:rPr>
        <w:t xml:space="preserve">Registro Federal de Contribuyentes (RFC) de personas físicas. </w:t>
      </w:r>
      <w:r w:rsidR="009B79A0" w:rsidRPr="009B79A0">
        <w:rPr>
          <w:rFonts w:ascii="Palatino Linotype" w:hAnsi="Palatino Linotype" w:cs="Arial"/>
          <w:bCs/>
          <w:i/>
          <w:sz w:val="20"/>
          <w:szCs w:val="20"/>
        </w:rPr>
        <w:t>E</w:t>
      </w:r>
      <w:r w:rsidR="009B79A0" w:rsidRPr="009B79A0">
        <w:rPr>
          <w:rFonts w:ascii="Palatino Linotype" w:hAnsi="Palatino Linotype" w:cs="Arial"/>
          <w:i/>
          <w:sz w:val="20"/>
          <w:szCs w:val="20"/>
        </w:rPr>
        <w:t>l RFC es una clave de carácter fiscal, única e irrepetible, que permite identificar al titular, su edad y fecha de nacimiento, por lo que es un dato personal de carácter confidencial.</w:t>
      </w:r>
      <w:r w:rsidRPr="009B79A0">
        <w:rPr>
          <w:rFonts w:ascii="Palatino Linotype" w:hAnsi="Palatino Linotype" w:cs="Arial"/>
          <w:bCs/>
          <w:i/>
          <w:sz w:val="20"/>
          <w:szCs w:val="20"/>
        </w:rPr>
        <w:t>” (Sic)</w:t>
      </w:r>
    </w:p>
    <w:p w14:paraId="71725DFE" w14:textId="5AEF24CB" w:rsidR="00E40D16" w:rsidRPr="0074668D" w:rsidRDefault="00E40D16" w:rsidP="00E40D16">
      <w:pPr>
        <w:pStyle w:val="Sinespaciado"/>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Así, el RFC se v</w:t>
      </w:r>
      <w:r>
        <w:rPr>
          <w:rFonts w:ascii="Palatino Linotype" w:hAnsi="Palatino Linotype" w:cs="Arial"/>
          <w:lang w:eastAsia="es-MX"/>
        </w:rPr>
        <w:t xml:space="preserve">incula al nombre de su titular y </w:t>
      </w:r>
      <w:r w:rsidRPr="0074668D">
        <w:rPr>
          <w:rFonts w:ascii="Palatino Linotype" w:hAnsi="Palatino Linotype" w:cs="Arial"/>
          <w:lang w:eastAsia="es-MX"/>
        </w:rPr>
        <w:t xml:space="preserve">permite identificar la edad de la persona, su fecha de nacimiento, así como su </w:t>
      </w:r>
      <w:proofErr w:type="spellStart"/>
      <w:r w:rsidRPr="0074668D">
        <w:rPr>
          <w:rFonts w:ascii="Palatino Linotype" w:hAnsi="Palatino Linotype" w:cs="Arial"/>
          <w:lang w:eastAsia="es-MX"/>
        </w:rPr>
        <w:t>homoclave</w:t>
      </w:r>
      <w:proofErr w:type="spellEnd"/>
      <w:r w:rsidRPr="0074668D">
        <w:rPr>
          <w:rFonts w:ascii="Palatino Linotype" w:hAnsi="Palatino Linotype" w:cs="Arial"/>
          <w:lang w:eastAsia="es-MX"/>
        </w:rPr>
        <w:t xml:space="preserve">, la cual es única e irrepetible y determina la identificación de dicha persona para efectos fiscales, por lo </w:t>
      </w:r>
      <w:r>
        <w:rPr>
          <w:rFonts w:ascii="Palatino Linotype" w:hAnsi="Palatino Linotype" w:cs="Arial"/>
          <w:lang w:eastAsia="es-MX"/>
        </w:rPr>
        <w:t>que</w:t>
      </w:r>
      <w:r w:rsidRPr="0074668D">
        <w:rPr>
          <w:rFonts w:ascii="Palatino Linotype" w:hAnsi="Palatino Linotype" w:cs="Arial"/>
          <w:lang w:eastAsia="es-MX"/>
        </w:rPr>
        <w:t xml:space="preserve"> constituye un dato personal que concierne a una persona física identificada e identificable en términos de los artículos </w:t>
      </w:r>
      <w:r>
        <w:rPr>
          <w:rFonts w:ascii="Palatino Linotype" w:hAnsi="Palatino Linotype" w:cs="Arial"/>
          <w:lang w:eastAsia="es-MX"/>
        </w:rPr>
        <w:t>3</w:t>
      </w:r>
      <w:r w:rsidRPr="0074668D">
        <w:rPr>
          <w:rFonts w:ascii="Palatino Linotype" w:hAnsi="Palatino Linotype" w:cs="Arial"/>
          <w:lang w:eastAsia="es-MX"/>
        </w:rPr>
        <w:t>, fracción I</w:t>
      </w:r>
      <w:r>
        <w:rPr>
          <w:rFonts w:ascii="Palatino Linotype" w:hAnsi="Palatino Linotype" w:cs="Arial"/>
          <w:lang w:eastAsia="es-MX"/>
        </w:rPr>
        <w:t>X</w:t>
      </w:r>
      <w:r w:rsidRPr="0074668D">
        <w:rPr>
          <w:rFonts w:ascii="Palatino Linotype" w:hAnsi="Palatino Linotype" w:cs="Arial"/>
          <w:lang w:eastAsia="es-MX"/>
        </w:rPr>
        <w:t xml:space="preserve"> de la Ley de Transparencia y Acceso a la Información Pública del Estado de México y Municipios</w:t>
      </w:r>
      <w:r>
        <w:rPr>
          <w:rFonts w:ascii="Palatino Linotype" w:hAnsi="Palatino Linotype" w:cs="Arial"/>
          <w:lang w:eastAsia="es-MX"/>
        </w:rPr>
        <w:t xml:space="preserve"> </w:t>
      </w:r>
      <w:r w:rsidRPr="0074668D">
        <w:rPr>
          <w:rFonts w:ascii="Palatino Linotype" w:hAnsi="Palatino Linotype" w:cs="Arial"/>
          <w:lang w:eastAsia="es-MX"/>
        </w:rPr>
        <w:t>y  4 f</w:t>
      </w:r>
      <w:r w:rsidR="00C26070">
        <w:rPr>
          <w:rFonts w:ascii="Palatino Linotype" w:hAnsi="Palatino Linotype" w:cs="Arial"/>
          <w:lang w:eastAsia="es-MX"/>
        </w:rPr>
        <w:t>racción X</w:t>
      </w:r>
      <w:r w:rsidRPr="0074668D">
        <w:rPr>
          <w:rFonts w:ascii="Palatino Linotype" w:hAnsi="Palatino Linotype" w:cs="Arial"/>
          <w:lang w:eastAsia="es-MX"/>
        </w:rPr>
        <w:t xml:space="preserve">I de la Ley de Protección de Datos Personales </w:t>
      </w:r>
      <w:r w:rsidR="00C26070">
        <w:rPr>
          <w:rFonts w:ascii="Palatino Linotype" w:hAnsi="Palatino Linotype" w:cs="Arial"/>
          <w:lang w:eastAsia="es-MX"/>
        </w:rPr>
        <w:t xml:space="preserve">en Posesión de Sujetos Obligados del </w:t>
      </w:r>
      <w:r w:rsidRPr="0074668D">
        <w:rPr>
          <w:rFonts w:ascii="Palatino Linotype" w:hAnsi="Palatino Linotype" w:cs="Arial"/>
          <w:lang w:eastAsia="es-MX"/>
        </w:rPr>
        <w:t>Estado de México</w:t>
      </w:r>
      <w:r w:rsidR="00C26070">
        <w:rPr>
          <w:rFonts w:ascii="Palatino Linotype" w:hAnsi="Palatino Linotype" w:cs="Arial"/>
          <w:lang w:eastAsia="es-MX"/>
        </w:rPr>
        <w:t xml:space="preserve"> y Municipios</w:t>
      </w:r>
      <w:r w:rsidRPr="0074668D">
        <w:rPr>
          <w:rFonts w:ascii="Palatino Linotype" w:hAnsi="Palatino Linotype" w:cs="Arial"/>
          <w:lang w:eastAsia="es-MX"/>
        </w:rPr>
        <w:t>.</w:t>
      </w:r>
    </w:p>
    <w:p w14:paraId="4B8CD9A0" w14:textId="77777777" w:rsidR="00E40D16" w:rsidRPr="0074668D" w:rsidRDefault="00E40D16" w:rsidP="00E40D16">
      <w:pPr>
        <w:pStyle w:val="Sinespaciado"/>
        <w:spacing w:before="240" w:after="240" w:line="360" w:lineRule="auto"/>
        <w:jc w:val="both"/>
        <w:rPr>
          <w:rFonts w:ascii="Palatino Linotype" w:eastAsia="Calibri" w:hAnsi="Palatino Linotype" w:cs="Arial"/>
          <w:lang w:eastAsia="es-MX"/>
        </w:rPr>
      </w:pPr>
      <w:r>
        <w:rPr>
          <w:rFonts w:ascii="Palatino Linotype" w:hAnsi="Palatino Linotype" w:cs="Arial"/>
          <w:lang w:eastAsia="es-MX"/>
        </w:rPr>
        <w:t>En cuanto a</w:t>
      </w:r>
      <w:r w:rsidRPr="0074668D">
        <w:rPr>
          <w:rFonts w:ascii="Palatino Linotype" w:hAnsi="Palatino Linotype" w:cs="Arial"/>
          <w:lang w:eastAsia="es-MX"/>
        </w:rPr>
        <w:t xml:space="preserve">l </w:t>
      </w:r>
      <w:r w:rsidRPr="0074668D">
        <w:rPr>
          <w:rFonts w:ascii="Palatino Linotype" w:hAnsi="Palatino Linotype" w:cs="Arial"/>
        </w:rPr>
        <w:t>CURP</w:t>
      </w:r>
      <w:r>
        <w:rPr>
          <w:rFonts w:ascii="Palatino Linotype" w:hAnsi="Palatino Linotype" w:cs="Arial"/>
        </w:rPr>
        <w:t>, en virtud de que e</w:t>
      </w:r>
      <w:r w:rsidRPr="0074668D">
        <w:rPr>
          <w:rFonts w:ascii="Palatino Linotype" w:hAnsi="Palatino Linotype" w:cs="Arial"/>
        </w:rPr>
        <w:t xml:space="preserve">ste se </w:t>
      </w:r>
      <w:r w:rsidRPr="0074668D">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585AECE" w14:textId="6B240221" w:rsidR="00E40D16" w:rsidRPr="0074668D" w:rsidRDefault="00E40D16" w:rsidP="00E40D16">
      <w:pPr>
        <w:spacing w:before="240" w:after="240" w:line="360" w:lineRule="auto"/>
        <w:jc w:val="both"/>
        <w:rPr>
          <w:rFonts w:ascii="Palatino Linotype" w:hAnsi="Palatino Linotype" w:cs="Arial"/>
        </w:rPr>
      </w:pPr>
      <w:r w:rsidRPr="0074668D">
        <w:rPr>
          <w:rFonts w:ascii="Palatino Linotype" w:hAnsi="Palatino Linotype" w:cs="Arial"/>
        </w:rPr>
        <w:lastRenderedPageBreak/>
        <w:t xml:space="preserve">Argumento que es compartido por el </w:t>
      </w:r>
      <w:r w:rsidRPr="00F63127">
        <w:rPr>
          <w:rFonts w:ascii="Palatino Linotype" w:hAnsi="Palatino Linotype" w:cs="Arial"/>
          <w:lang w:eastAsia="es-MX"/>
        </w:rPr>
        <w:t>Instituto Nacional de Transparencia, Acceso a la Información Pública y Protección de Datos Personales (INAI)</w:t>
      </w:r>
      <w:r w:rsidRPr="004123A2">
        <w:rPr>
          <w:rStyle w:val="Textoennegrita"/>
          <w:rFonts w:ascii="Palatino Linotype" w:hAnsi="Palatino Linotype" w:cs="Arial"/>
        </w:rPr>
        <w:t>, conforme al</w:t>
      </w:r>
      <w:r w:rsidRPr="00C461A0">
        <w:rPr>
          <w:rStyle w:val="Textoennegrita"/>
          <w:rFonts w:ascii="Palatino Linotype" w:hAnsi="Palatino Linotype" w:cs="Arial"/>
        </w:rPr>
        <w:t xml:space="preserve"> </w:t>
      </w:r>
      <w:r w:rsidRPr="00C461A0">
        <w:rPr>
          <w:rFonts w:ascii="Palatino Linotype" w:hAnsi="Palatino Linotype" w:cs="Arial"/>
        </w:rPr>
        <w:t xml:space="preserve">criterio número </w:t>
      </w:r>
      <w:r w:rsidR="009B79A0">
        <w:rPr>
          <w:rFonts w:ascii="Palatino Linotype" w:hAnsi="Palatino Linotype" w:cs="Arial"/>
        </w:rPr>
        <w:t>18/17</w:t>
      </w:r>
      <w:r w:rsidRPr="00C461A0">
        <w:rPr>
          <w:rFonts w:ascii="Palatino Linotype" w:hAnsi="Palatino Linotype" w:cs="Arial"/>
        </w:rPr>
        <w:t>,</w:t>
      </w:r>
      <w:r w:rsidRPr="0074668D">
        <w:rPr>
          <w:rFonts w:ascii="Palatino Linotype" w:hAnsi="Palatino Linotype" w:cs="Arial"/>
        </w:rPr>
        <w:t xml:space="preserve"> el cual refiere: </w:t>
      </w:r>
    </w:p>
    <w:p w14:paraId="4641D547" w14:textId="2BECC892" w:rsidR="00E40D16" w:rsidRPr="004123A2" w:rsidRDefault="00E40D16" w:rsidP="009B79A0">
      <w:pPr>
        <w:pStyle w:val="Default"/>
        <w:spacing w:after="120"/>
        <w:ind w:left="851" w:right="900"/>
        <w:jc w:val="both"/>
        <w:rPr>
          <w:rFonts w:ascii="Palatino Linotype" w:hAnsi="Palatino Linotype"/>
          <w:i/>
          <w:sz w:val="20"/>
          <w:szCs w:val="20"/>
          <w:lang w:eastAsia="es-MX"/>
        </w:rPr>
      </w:pPr>
      <w:r w:rsidRPr="009B79A0">
        <w:rPr>
          <w:rFonts w:ascii="Palatino Linotype" w:hAnsi="Palatino Linotype"/>
          <w:b/>
          <w:bCs/>
          <w:i/>
          <w:sz w:val="20"/>
          <w:szCs w:val="20"/>
          <w:lang w:eastAsia="es-MX"/>
        </w:rPr>
        <w:t>“</w:t>
      </w:r>
      <w:r w:rsidR="009B79A0" w:rsidRPr="009B79A0">
        <w:rPr>
          <w:rFonts w:ascii="Palatino Linotype" w:hAnsi="Palatino Linotype"/>
          <w:b/>
          <w:bCs/>
          <w:i/>
          <w:sz w:val="20"/>
          <w:szCs w:val="20"/>
        </w:rPr>
        <w:t xml:space="preserve">Clave Única de Registro de Población (CURP). </w:t>
      </w:r>
      <w:r w:rsidR="009B79A0" w:rsidRPr="009B79A0">
        <w:rPr>
          <w:rFonts w:ascii="Palatino Linotype" w:hAnsi="Palatino Linotype"/>
          <w:bCs/>
          <w:i/>
          <w:sz w:val="20"/>
          <w:szCs w:val="20"/>
        </w:rPr>
        <w:t xml:space="preserve">La </w:t>
      </w:r>
      <w:r w:rsidR="009B79A0" w:rsidRPr="009B79A0">
        <w:rPr>
          <w:rFonts w:ascii="Palatino Linotype" w:hAnsi="Palatino Linotype"/>
          <w:i/>
          <w:sz w:val="20"/>
          <w:szCs w:val="20"/>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4123A2">
        <w:rPr>
          <w:rFonts w:ascii="Palatino Linotype" w:hAnsi="Palatino Linotype"/>
          <w:i/>
          <w:sz w:val="20"/>
          <w:szCs w:val="20"/>
          <w:lang w:eastAsia="es-MX"/>
        </w:rPr>
        <w:t>” (Sic)</w:t>
      </w:r>
    </w:p>
    <w:p w14:paraId="669FF03D" w14:textId="77777777" w:rsidR="00E40D16" w:rsidRDefault="00E40D16" w:rsidP="00E40D16">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P</w:t>
      </w:r>
      <w:r w:rsidRPr="0074668D">
        <w:rPr>
          <w:rFonts w:ascii="Palatino Linotype" w:hAnsi="Palatino Linotype" w:cs="Arial"/>
        </w:rPr>
        <w:t>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0D04022" w14:textId="77777777" w:rsidR="00E40D16" w:rsidRDefault="00E40D16" w:rsidP="00E40D16">
      <w:pPr>
        <w:spacing w:before="240" w:after="240" w:line="360" w:lineRule="auto"/>
        <w:jc w:val="both"/>
        <w:rPr>
          <w:rFonts w:ascii="Palatino Linotype" w:hAnsi="Palatino Linotype"/>
        </w:rPr>
      </w:pPr>
      <w:r>
        <w:rPr>
          <w:rFonts w:ascii="Palatino Linotype" w:hAnsi="Palatino Linotype" w:cs="Arial"/>
        </w:rPr>
        <w:t xml:space="preserve">Finalmente por cuanto al Código QR </w:t>
      </w:r>
      <w:r>
        <w:rPr>
          <w:rFonts w:ascii="Palatino Linotype" w:hAnsi="Palatino Linotype"/>
        </w:rPr>
        <w:t xml:space="preserve">también denominados </w:t>
      </w:r>
      <w:r w:rsidRPr="00E92F80">
        <w:rPr>
          <w:rFonts w:ascii="Palatino Linotype" w:hAnsi="Palatino Linotype"/>
          <w:i/>
        </w:rPr>
        <w:t>códigos bidimensionales</w:t>
      </w:r>
      <w:r>
        <w:rPr>
          <w:rFonts w:ascii="Palatino Linotype" w:hAnsi="Palatino Linotype"/>
        </w:rPr>
        <w:t>, los cuales son utilizados para almacenar diversos tipos de datos de manera codificada mediante barras en dos dimensiones al igual que los códigos de barras o códigos unidimensionales. Datos que pueden ser obtenidos por cualquier persona, los cuales en el caso que nos atañe pueden corresponder a datos personales como los anteriormente señalados.</w:t>
      </w:r>
    </w:p>
    <w:p w14:paraId="7039285F" w14:textId="77777777" w:rsidR="00E40D16" w:rsidRDefault="00E40D16" w:rsidP="00E40D16">
      <w:pPr>
        <w:spacing w:before="240" w:after="240" w:line="360" w:lineRule="auto"/>
        <w:jc w:val="both"/>
        <w:rPr>
          <w:rFonts w:ascii="Palatino Linotype" w:hAnsi="Palatino Linotype"/>
        </w:rPr>
      </w:pPr>
      <w:r>
        <w:rPr>
          <w:rFonts w:ascii="Palatino Linotype" w:hAnsi="Palatino Linotype"/>
        </w:rPr>
        <w:t>En relación con las implicaciones anteriores, resulta esencial traer a colación lo que el artículo 142 de la Ley de Instituciones de Crédito establece en su parte conducente:</w:t>
      </w:r>
    </w:p>
    <w:p w14:paraId="5BCEC46A" w14:textId="77777777" w:rsidR="00E40D16" w:rsidRPr="00817DA8" w:rsidRDefault="00E40D16" w:rsidP="00E40D16">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817DA8">
        <w:rPr>
          <w:rFonts w:ascii="Palatino Linotype" w:hAnsi="Palatino Linotype"/>
          <w:b/>
          <w:i/>
          <w:sz w:val="20"/>
          <w:szCs w:val="20"/>
        </w:rPr>
        <w:t>Artículo 142.-</w:t>
      </w:r>
      <w:r w:rsidRPr="00817DA8">
        <w:rPr>
          <w:rFonts w:ascii="Palatino Linotype" w:hAnsi="Palatino Linotype"/>
          <w:i/>
          <w:sz w:val="20"/>
          <w:szCs w:val="20"/>
        </w:rPr>
        <w:t xml:space="preserve"> La información y documentación relativa a las operaciones y servicios a que se refiere el artículo 46 de la presente Ley, tendrá carácter confidencial, por lo que las instituciones de crédito, en protección del derecho a la privacidad de sus clientes y usuarios que en este artículo se establece, en ningún caso podrán dar noticias o información de los depósitos, operaciones o servicios, incluyendo los previstos en la fracción XV del citado artículo 46, sino al depositante, deudor, titular, beneficiario, </w:t>
      </w:r>
      <w:r w:rsidRPr="00817DA8">
        <w:rPr>
          <w:rFonts w:ascii="Palatino Linotype" w:hAnsi="Palatino Linotype"/>
          <w:i/>
          <w:sz w:val="20"/>
          <w:szCs w:val="20"/>
        </w:rPr>
        <w:lastRenderedPageBreak/>
        <w:t>fideicomitente, fideicomisario, comitente o mandante, a sus representantes legales o a quienes tengan otorgado poder para disponer de la cuenta o para intervenir en la operación o servicio</w:t>
      </w:r>
      <w:r>
        <w:rPr>
          <w:rFonts w:ascii="Palatino Linotype" w:hAnsi="Palatino Linotype"/>
          <w:i/>
          <w:sz w:val="20"/>
          <w:szCs w:val="20"/>
        </w:rPr>
        <w:t>….”</w:t>
      </w:r>
    </w:p>
    <w:p w14:paraId="2651F2BF" w14:textId="77777777" w:rsidR="00E40D16" w:rsidRDefault="00E40D16" w:rsidP="00E40D16">
      <w:pPr>
        <w:spacing w:before="240" w:after="240" w:line="360" w:lineRule="auto"/>
        <w:jc w:val="both"/>
        <w:rPr>
          <w:rFonts w:ascii="Palatino Linotype" w:hAnsi="Palatino Linotype"/>
        </w:rPr>
      </w:pPr>
      <w:r>
        <w:rPr>
          <w:rFonts w:ascii="Palatino Linotype" w:hAnsi="Palatino Linotype"/>
        </w:rPr>
        <w:t>Es así que del texto antes citado, se advierte que la documentación e información relativa a las operaciones y servicios a que se refiere el artículo 46</w:t>
      </w:r>
      <w:r>
        <w:rPr>
          <w:rStyle w:val="Refdenotaalpie"/>
          <w:rFonts w:ascii="Palatino Linotype" w:hAnsi="Palatino Linotype"/>
        </w:rPr>
        <w:footnoteReference w:id="7"/>
      </w:r>
      <w:r>
        <w:rPr>
          <w:rFonts w:ascii="Palatino Linotype" w:hAnsi="Palatino Linotype"/>
        </w:rPr>
        <w:t xml:space="preserve"> de la citada Ley que corresponden a las instituciones de crédito tienen el carácter de confidencial.</w:t>
      </w:r>
    </w:p>
    <w:p w14:paraId="30DA53DE" w14:textId="77777777" w:rsidR="00E40D16" w:rsidRDefault="00E40D16" w:rsidP="00E40D16">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En resumen, toda la información relativa a una persona física que la pueda hacer identificada o identificable, constituye un dato personal y por consiguiente, se trata de información confidencial, que debe ser protegida por los sujetos obligados. En </w:t>
      </w:r>
      <w:r>
        <w:rPr>
          <w:rFonts w:ascii="Palatino Linotype" w:hAnsi="Palatino Linotype" w:cs="Arial"/>
        </w:rPr>
        <w:lastRenderedPageBreak/>
        <w:t>este contexto todo dato personal susceptible de clasificación debe ser protegido por los sujetos obligados. Sin embargo, no debe dejarse de lado que la protección no es absoluta en todos los casos por igual.</w:t>
      </w:r>
    </w:p>
    <w:p w14:paraId="42D03441" w14:textId="77777777" w:rsidR="00E40D16" w:rsidRDefault="00E40D16" w:rsidP="00E40D16">
      <w:pPr>
        <w:pStyle w:val="Sinespaciado"/>
        <w:spacing w:before="240" w:after="240" w:line="360" w:lineRule="auto"/>
        <w:jc w:val="both"/>
        <w:rPr>
          <w:rFonts w:ascii="Palatino Linotype" w:hAnsi="Palatino Linotype" w:cs="Arial"/>
        </w:rPr>
      </w:pPr>
      <w:r>
        <w:rPr>
          <w:rFonts w:ascii="Palatino Linotype" w:hAnsi="Palatino Linotype" w:cs="Arial"/>
        </w:rPr>
        <w:t xml:space="preserve">Por otro lado, derivado de la información que se ordena entregar pudiera existir información de la Dirección de Seguridad Pública del Ayuntamiento o su equivalente, la cual ponga en riesgo los integrantes de las corporaciones policíacas, esto es así derivado de las funciones encomendadas en términos del artículo 21 párrafo noveno de la Constitución </w:t>
      </w:r>
      <w:r w:rsidRPr="00B93F22">
        <w:rPr>
          <w:rFonts w:ascii="Palatino Linotype" w:hAnsi="Palatino Linotype" w:cs="Arial"/>
        </w:rPr>
        <w:t>Política de los Estados Unidos Mexicanos</w:t>
      </w:r>
      <w:r>
        <w:rPr>
          <w:rFonts w:ascii="Palatino Linotype" w:hAnsi="Palatino Linotype" w:cs="Arial"/>
        </w:rPr>
        <w:t>, de las 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Órgano Garante si 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p>
    <w:p w14:paraId="2EB7C571" w14:textId="77777777" w:rsidR="00E40D16" w:rsidRDefault="00E40D16" w:rsidP="00E40D16">
      <w:pPr>
        <w:tabs>
          <w:tab w:val="left" w:pos="8647"/>
        </w:tabs>
        <w:spacing w:before="240" w:after="240" w:line="360" w:lineRule="auto"/>
        <w:ind w:right="51"/>
        <w:jc w:val="both"/>
        <w:rPr>
          <w:rFonts w:ascii="Palatino Linotype" w:hAnsi="Palatino Linotype" w:cs="Arial"/>
        </w:rPr>
      </w:pPr>
      <w:r w:rsidRPr="00531ABD">
        <w:rPr>
          <w:rFonts w:ascii="Palatino Linotype" w:hAnsi="Palatino Linotype" w:cs="Arial"/>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w:t>
      </w:r>
      <w:r>
        <w:rPr>
          <w:rFonts w:ascii="Palatino Linotype" w:hAnsi="Palatino Linotype" w:cs="Arial"/>
        </w:rPr>
        <w:t xml:space="preserve">es </w:t>
      </w:r>
      <w:r w:rsidRPr="00531ABD">
        <w:rPr>
          <w:rFonts w:ascii="Palatino Linotype" w:hAnsi="Palatino Linotype" w:cs="Arial"/>
        </w:rPr>
        <w:t>que debe cuidar la protección de datos personales</w:t>
      </w:r>
      <w:r>
        <w:rPr>
          <w:rFonts w:ascii="Palatino Linotype" w:hAnsi="Palatino Linotype" w:cs="Arial"/>
        </w:rPr>
        <w:t xml:space="preserve"> y sobre todo cuando traen implícito que se ponga en riesgo la vida o integridad de una persona.</w:t>
      </w:r>
    </w:p>
    <w:p w14:paraId="5B1E5A90" w14:textId="77777777" w:rsidR="00E40D16" w:rsidRDefault="00E40D16" w:rsidP="00E40D16">
      <w:pPr>
        <w:spacing w:before="240" w:after="360"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lastRenderedPageBreak/>
        <w:t>Sirven de sustento a lo anterior las tesis jurisprudenciales emitidas por la Suprema corte de Justicia de la Nación, que son del literal siguiente:</w:t>
      </w:r>
    </w:p>
    <w:p w14:paraId="36853056" w14:textId="77777777" w:rsidR="00E40D16" w:rsidRPr="00961118" w:rsidRDefault="00E40D16" w:rsidP="00E40D16">
      <w:pPr>
        <w:spacing w:before="120" w:after="120"/>
        <w:ind w:left="851" w:right="760"/>
        <w:jc w:val="both"/>
        <w:rPr>
          <w:rFonts w:ascii="Palatino Linotype" w:eastAsiaTheme="minorHAnsi" w:hAnsi="Palatino Linotype" w:cstheme="minorBidi"/>
          <w:b/>
          <w:i/>
          <w:sz w:val="20"/>
          <w:szCs w:val="20"/>
          <w:lang w:val="es-MX" w:eastAsia="en-US"/>
        </w:rPr>
      </w:pPr>
      <w:r w:rsidRPr="00961118">
        <w:rPr>
          <w:rFonts w:ascii="Palatino Linotype" w:eastAsiaTheme="minorHAnsi" w:hAnsi="Palatino Linotype" w:cstheme="minorBidi"/>
          <w:b/>
          <w:i/>
          <w:sz w:val="20"/>
          <w:szCs w:val="20"/>
          <w:lang w:val="es-MX" w:eastAsia="en-US"/>
        </w:rPr>
        <w:t>“DERECHO A LA INFORMACIÓN. SU EJERCICIO SE ENCUENTRA LIMITADO TANTO POR LOS INTERESES NACIONALES Y DE LA SOCIEDAD, COMO POR LOS DERECHOS DE TERCEROS.</w:t>
      </w:r>
      <w:r>
        <w:rPr>
          <w:rFonts w:ascii="Palatino Linotype" w:eastAsiaTheme="minorHAnsi" w:hAnsi="Palatino Linotype" w:cstheme="minorBidi"/>
          <w:b/>
          <w:i/>
          <w:sz w:val="20"/>
          <w:szCs w:val="20"/>
          <w:lang w:val="es-MX" w:eastAsia="en-US"/>
        </w:rPr>
        <w:t xml:space="preserve"> </w:t>
      </w:r>
      <w:r w:rsidRPr="00961118">
        <w:rPr>
          <w:rFonts w:ascii="Palatino Linotype" w:eastAsiaTheme="minorHAnsi" w:hAnsi="Palatino Linotype" w:cstheme="minorBidi"/>
          <w:i/>
          <w:sz w:val="20"/>
          <w:szCs w:val="20"/>
          <w:lang w:val="es-MX"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61118">
        <w:rPr>
          <w:rFonts w:ascii="Palatino Linotype" w:eastAsiaTheme="minorHAnsi" w:hAnsi="Palatino Linotype" w:cstheme="minorBidi"/>
          <w:b/>
          <w:i/>
          <w:sz w:val="20"/>
          <w:szCs w:val="20"/>
          <w:lang w:val="es-MX" w:eastAsia="en-US"/>
        </w:rPr>
        <w:t>restringen el acceso a la información en esta materia, en razón de que su conocimiento público puede generar daños a los intereses nacionales y, por el otro, sancionan la inobservancia de esa reserva;</w:t>
      </w:r>
      <w:r w:rsidRPr="00961118">
        <w:rPr>
          <w:rFonts w:ascii="Palatino Linotype" w:eastAsiaTheme="minorHAnsi" w:hAnsi="Palatino Linotype" w:cstheme="minorBidi"/>
          <w:i/>
          <w:sz w:val="20"/>
          <w:szCs w:val="20"/>
          <w:lang w:val="es-MX" w:eastAsia="en-US"/>
        </w:rPr>
        <w:t xml:space="preserve"> por lo que hace al interés social, se cuenta con normas que tienden a proteger la averiguación de los delitos, la salud y la moral públicas, </w:t>
      </w:r>
      <w:r w:rsidRPr="00961118">
        <w:rPr>
          <w:rFonts w:ascii="Palatino Linotype" w:eastAsiaTheme="minorHAnsi" w:hAnsi="Palatino Linotype" w:cstheme="minorBidi"/>
          <w:b/>
          <w:i/>
          <w:sz w:val="20"/>
          <w:szCs w:val="20"/>
          <w:lang w:val="es-MX" w:eastAsia="en-US"/>
        </w:rPr>
        <w:t>mientras que por lo que respecta a la protección de la persona existen normas que protegen el derecho a la vida o a la privacidad de los gobernados.</w:t>
      </w:r>
      <w:r>
        <w:rPr>
          <w:rFonts w:ascii="Palatino Linotype" w:eastAsiaTheme="minorHAnsi" w:hAnsi="Palatino Linotype" w:cstheme="minorBidi"/>
          <w:i/>
          <w:sz w:val="20"/>
          <w:szCs w:val="20"/>
          <w:lang w:val="es-MX" w:eastAsia="en-US"/>
        </w:rPr>
        <w:t>”</w:t>
      </w:r>
    </w:p>
    <w:p w14:paraId="2E9C2DE8" w14:textId="77777777" w:rsidR="00E40D16" w:rsidRPr="00961118" w:rsidRDefault="00E40D16" w:rsidP="00E40D16">
      <w:pPr>
        <w:spacing w:before="120" w:after="120"/>
        <w:ind w:left="851" w:right="760"/>
        <w:jc w:val="both"/>
        <w:rPr>
          <w:rFonts w:ascii="Palatino Linotype" w:eastAsiaTheme="minorHAnsi" w:hAnsi="Palatino Linotype" w:cstheme="minorBidi"/>
          <w:i/>
          <w:sz w:val="20"/>
          <w:szCs w:val="20"/>
          <w:lang w:val="es-MX" w:eastAsia="en-US"/>
        </w:rPr>
      </w:pPr>
    </w:p>
    <w:p w14:paraId="3899EEE1" w14:textId="77777777" w:rsidR="00E40D16" w:rsidRPr="00961118" w:rsidRDefault="00E40D16" w:rsidP="00E40D16">
      <w:pPr>
        <w:spacing w:before="120" w:after="120"/>
        <w:ind w:left="851" w:right="760"/>
        <w:jc w:val="both"/>
        <w:rPr>
          <w:rFonts w:ascii="Palatino Linotype" w:eastAsiaTheme="minorHAnsi" w:hAnsi="Palatino Linotype" w:cstheme="minorBidi"/>
          <w:i/>
          <w:sz w:val="20"/>
          <w:szCs w:val="20"/>
          <w:lang w:val="es-MX" w:eastAsia="en-US"/>
        </w:rPr>
      </w:pPr>
      <w:r>
        <w:rPr>
          <w:rFonts w:ascii="Palatino Linotype" w:eastAsiaTheme="minorHAnsi" w:hAnsi="Palatino Linotype" w:cstheme="minorBidi"/>
          <w:b/>
          <w:i/>
          <w:sz w:val="20"/>
          <w:szCs w:val="20"/>
          <w:lang w:val="es-MX" w:eastAsia="en-US"/>
        </w:rPr>
        <w:t>“</w:t>
      </w:r>
      <w:r w:rsidRPr="00961118">
        <w:rPr>
          <w:rFonts w:ascii="Palatino Linotype" w:eastAsiaTheme="minorHAnsi" w:hAnsi="Palatino Linotype" w:cstheme="minorBidi"/>
          <w:b/>
          <w:i/>
          <w:sz w:val="20"/>
          <w:szCs w:val="20"/>
          <w:lang w:val="es-MX" w:eastAsia="en-US"/>
        </w:rPr>
        <w:t>TRANSPARENCIA Y ACCESO A LA INFORMACIÓN PÚBLICA GUBERNAMENTAL. EL ARTÍCULO 14, FRACCIÓN I, DE LA LEY FEDERAL RELATIVA, NO VIOLA LA GARANTÍA DE ACCESO A LA INFORMACIÓN.</w:t>
      </w:r>
      <w:r>
        <w:rPr>
          <w:rFonts w:ascii="Palatino Linotype" w:eastAsiaTheme="minorHAnsi" w:hAnsi="Palatino Linotype" w:cstheme="minorBidi"/>
          <w:i/>
          <w:sz w:val="20"/>
          <w:szCs w:val="20"/>
          <w:lang w:val="es-MX" w:eastAsia="en-US"/>
        </w:rPr>
        <w:t xml:space="preserve"> </w:t>
      </w:r>
      <w:r w:rsidRPr="00961118">
        <w:rPr>
          <w:rFonts w:ascii="Palatino Linotype" w:eastAsiaTheme="minorHAnsi" w:hAnsi="Palatino Linotype" w:cstheme="minorBidi"/>
          <w:i/>
          <w:sz w:val="20"/>
          <w:szCs w:val="20"/>
          <w:lang w:val="es-MX" w:eastAsia="en-U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61118">
        <w:rPr>
          <w:rFonts w:ascii="Palatino Linotype" w:eastAsiaTheme="minorHAnsi" w:hAnsi="Palatino Linotype" w:cstheme="minorBidi"/>
          <w:b/>
          <w:i/>
          <w:sz w:val="20"/>
          <w:szCs w:val="20"/>
          <w:lang w:val="es-MX" w:eastAsia="en-US"/>
        </w:rPr>
        <w:t xml:space="preserve">el legislador federal o local establezca las restricciones correspondientes y clasifique a determinados datos como confidenciales o reservados, con la condición de que tales límites </w:t>
      </w:r>
      <w:r w:rsidRPr="00961118">
        <w:rPr>
          <w:rFonts w:ascii="Palatino Linotype" w:eastAsiaTheme="minorHAnsi" w:hAnsi="Palatino Linotype" w:cstheme="minorBidi"/>
          <w:b/>
          <w:i/>
          <w:sz w:val="20"/>
          <w:szCs w:val="20"/>
          <w:lang w:val="es-MX" w:eastAsia="en-US"/>
        </w:rPr>
        <w:lastRenderedPageBreak/>
        <w:t>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61118">
        <w:rPr>
          <w:rFonts w:ascii="Palatino Linotype" w:eastAsiaTheme="minorHAnsi" w:hAnsi="Palatino Linotype" w:cstheme="minorBidi"/>
          <w:i/>
          <w:sz w:val="20"/>
          <w:szCs w:val="20"/>
          <w:lang w:val="es-MX"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r>
        <w:rPr>
          <w:rFonts w:ascii="Palatino Linotype" w:eastAsiaTheme="minorHAnsi" w:hAnsi="Palatino Linotype" w:cstheme="minorBidi"/>
          <w:i/>
          <w:sz w:val="20"/>
          <w:szCs w:val="20"/>
          <w:lang w:val="es-MX" w:eastAsia="en-US"/>
        </w:rPr>
        <w:t>”</w:t>
      </w:r>
    </w:p>
    <w:p w14:paraId="046E002A" w14:textId="77777777" w:rsidR="00E40D16" w:rsidRDefault="00E40D16" w:rsidP="00E40D16">
      <w:pPr>
        <w:spacing w:before="240" w:after="360" w:line="360" w:lineRule="auto"/>
        <w:jc w:val="both"/>
        <w:rPr>
          <w:rFonts w:ascii="Palatino Linotype" w:hAnsi="Palatino Linotype" w:cs="Arial"/>
        </w:rPr>
      </w:pPr>
      <w:r w:rsidRPr="00BD3C99">
        <w:rPr>
          <w:rFonts w:ascii="Palatino Linotype" w:eastAsiaTheme="minorHAnsi" w:hAnsi="Palatino Linotype" w:cstheme="minorBidi"/>
          <w:lang w:val="es-MX" w:eastAsia="en-US"/>
        </w:rPr>
        <w:t>Por lo anterior, es pro</w:t>
      </w:r>
      <w:r>
        <w:rPr>
          <w:rFonts w:ascii="Palatino Linotype" w:eastAsiaTheme="minorHAnsi" w:hAnsi="Palatino Linotype" w:cstheme="minorBidi"/>
          <w:lang w:val="es-MX" w:eastAsia="en-US"/>
        </w:rPr>
        <w:t>cedente ordenar la entrega del A</w:t>
      </w:r>
      <w:r w:rsidRPr="00BD3C99">
        <w:rPr>
          <w:rFonts w:ascii="Palatino Linotype" w:eastAsiaTheme="minorHAnsi" w:hAnsi="Palatino Linotype" w:cstheme="minorBidi"/>
          <w:lang w:val="es-MX" w:eastAsia="en-US"/>
        </w:rPr>
        <w:t xml:space="preserve">cuerdo del Comité de Transparencia por el que se clasificó la información </w:t>
      </w:r>
      <w:r>
        <w:rPr>
          <w:rFonts w:ascii="Palatino Linotype" w:eastAsiaTheme="minorHAnsi" w:hAnsi="Palatino Linotype" w:cstheme="minorBidi"/>
          <w:lang w:val="es-MX" w:eastAsia="en-US"/>
        </w:rPr>
        <w:t>ordenada, es decir, deberá emitir el acuerdo correspondiente de manera fundada y motivada, mediante el cual testó y/o disoció</w:t>
      </w:r>
      <w:r w:rsidRPr="00A2435B">
        <w:rPr>
          <w:rFonts w:ascii="Palatino Linotype" w:hAnsi="Palatino Linotype" w:cs="Arial"/>
        </w:rPr>
        <w:t xml:space="preserve"> aquellos elementos señalados en la presente resolución, </w:t>
      </w:r>
      <w:r w:rsidRPr="00643CBD">
        <w:rPr>
          <w:rFonts w:ascii="Palatino Linotype" w:hAnsi="Palatino Linotype" w:cs="Arial"/>
        </w:rPr>
        <w:t>en el entendido de que debe ser pública toda la demás información relacionada que no encuadre en los conceptos anteriores.</w:t>
      </w:r>
    </w:p>
    <w:p w14:paraId="0B08F73F" w14:textId="5751E8B6" w:rsidR="00E40D16" w:rsidRPr="00B017B7" w:rsidRDefault="00E40D16" w:rsidP="00E40D16">
      <w:pPr>
        <w:widowControl w:val="0"/>
        <w:autoSpaceDE w:val="0"/>
        <w:autoSpaceDN w:val="0"/>
        <w:adjustRightInd w:val="0"/>
        <w:spacing w:line="360" w:lineRule="auto"/>
        <w:jc w:val="both"/>
        <w:rPr>
          <w:rFonts w:ascii="Palatino Linotype" w:hAnsi="Palatino Linotype"/>
        </w:rPr>
      </w:pPr>
      <w:r>
        <w:rPr>
          <w:rFonts w:ascii="Palatino Linotype" w:hAnsi="Palatino Linotype" w:cs="Arial"/>
          <w:color w:val="000000"/>
        </w:rPr>
        <w:t xml:space="preserve">El Acuerdo de Clasificación, se emitirá en términos de lo dispuesto tanto como en los en </w:t>
      </w:r>
      <w:r>
        <w:rPr>
          <w:rFonts w:ascii="Palatino Linotype" w:hAnsi="Palatino Linotype"/>
        </w:rPr>
        <w:t>los</w:t>
      </w:r>
      <w:r w:rsidRPr="003F6560">
        <w:rPr>
          <w:rFonts w:ascii="Palatino Linotype" w:hAnsi="Palatino Linotype"/>
        </w:rPr>
        <w:t xml:space="preserve"> artículos 128 y 129</w:t>
      </w:r>
      <w:r>
        <w:rPr>
          <w:rFonts w:ascii="Palatino Linotype" w:hAnsi="Palatino Linotype"/>
        </w:rPr>
        <w:t xml:space="preserve"> de la </w:t>
      </w:r>
      <w:r w:rsidRPr="003F6560">
        <w:rPr>
          <w:rFonts w:ascii="Palatino Linotype" w:hAnsi="Palatino Linotype"/>
        </w:rPr>
        <w:t xml:space="preserve">Ley de Transparencia y Acceso a la Información Pública del </w:t>
      </w:r>
      <w:r>
        <w:rPr>
          <w:rFonts w:ascii="Palatino Linotype" w:hAnsi="Palatino Linotype"/>
        </w:rPr>
        <w:t xml:space="preserve">Estado de México y Municipios, como en </w:t>
      </w:r>
      <w:r w:rsidRPr="00A2425B">
        <w:rPr>
          <w:rFonts w:ascii="Palatino Linotype" w:hAnsi="Palatino Linotype"/>
        </w:rPr>
        <w:t>los</w:t>
      </w:r>
      <w:r w:rsidRPr="00A2425B">
        <w:rPr>
          <w:rFonts w:ascii="Palatino Linotype" w:hAnsi="Palatino Linotype" w:cs="Arial"/>
          <w:color w:val="000000"/>
        </w:rPr>
        <w:t xml:space="preserve"> </w:t>
      </w:r>
      <w:r w:rsidRPr="00A2425B">
        <w:rPr>
          <w:rFonts w:ascii="Palatino Linotype" w:hAnsi="Palatino Linotype" w:cs="Arial"/>
          <w:color w:val="222222"/>
        </w:rPr>
        <w:t xml:space="preserve">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A2425B">
        <w:rPr>
          <w:rFonts w:ascii="Palatino Linotype" w:hAnsi="Palatino Linotype"/>
        </w:rPr>
        <w:t xml:space="preserve">motivando la referida clasificación al señalar las </w:t>
      </w:r>
      <w:r w:rsidRPr="00A2425B">
        <w:rPr>
          <w:rFonts w:ascii="Palatino Linotype" w:hAnsi="Palatino Linotype"/>
          <w:b/>
          <w:u w:val="single"/>
        </w:rPr>
        <w:t>razones, motivos o circunstancias especiales</w:t>
      </w:r>
      <w:r w:rsidRPr="00A2425B">
        <w:rPr>
          <w:rFonts w:ascii="Palatino Linotype" w:hAnsi="Palatino Linotype"/>
        </w:rPr>
        <w:t xml:space="preserve"> que lo llevaron a co</w:t>
      </w:r>
      <w:r w:rsidRPr="001B6D74">
        <w:rPr>
          <w:rFonts w:ascii="Palatino Linotype" w:hAnsi="Palatino Linotype"/>
        </w:rPr>
        <w:t>ncluir que el caso</w:t>
      </w:r>
      <w:r>
        <w:rPr>
          <w:rFonts w:ascii="Palatino Linotype" w:hAnsi="Palatino Linotype"/>
        </w:rPr>
        <w:t xml:space="preserve"> concreto, se ajustó</w:t>
      </w:r>
      <w:r w:rsidRPr="001B6D74">
        <w:rPr>
          <w:rFonts w:ascii="Palatino Linotype" w:hAnsi="Palatino Linotype"/>
        </w:rPr>
        <w:t xml:space="preserve"> a</w:t>
      </w:r>
      <w:r>
        <w:rPr>
          <w:rFonts w:ascii="Palatino Linotype" w:hAnsi="Palatino Linotype"/>
        </w:rPr>
        <w:t xml:space="preserve"> </w:t>
      </w:r>
      <w:r w:rsidRPr="001B6D74">
        <w:rPr>
          <w:rFonts w:ascii="Palatino Linotype" w:hAnsi="Palatino Linotype"/>
        </w:rPr>
        <w:t>l</w:t>
      </w:r>
      <w:r>
        <w:rPr>
          <w:rFonts w:ascii="Palatino Linotype" w:hAnsi="Palatino Linotype"/>
        </w:rPr>
        <w:t>os</w:t>
      </w:r>
      <w:r w:rsidRPr="001B6D74">
        <w:rPr>
          <w:rFonts w:ascii="Palatino Linotype" w:hAnsi="Palatino Linotype"/>
        </w:rPr>
        <w:t xml:space="preserve"> supuesto</w:t>
      </w:r>
      <w:r>
        <w:rPr>
          <w:rFonts w:ascii="Palatino Linotype" w:hAnsi="Palatino Linotype"/>
        </w:rPr>
        <w:t>s</w:t>
      </w:r>
      <w:r w:rsidRPr="001B6D74">
        <w:rPr>
          <w:rFonts w:ascii="Palatino Linotype" w:hAnsi="Palatino Linotype"/>
        </w:rPr>
        <w:t xml:space="preserve"> previsto</w:t>
      </w:r>
      <w:r>
        <w:rPr>
          <w:rFonts w:ascii="Palatino Linotype" w:hAnsi="Palatino Linotype"/>
        </w:rPr>
        <w:t>s</w:t>
      </w:r>
      <w:r w:rsidRPr="001B6D74">
        <w:rPr>
          <w:rFonts w:ascii="Palatino Linotype" w:hAnsi="Palatino Linotype"/>
        </w:rPr>
        <w:t xml:space="preserve"> </w:t>
      </w:r>
      <w:r>
        <w:rPr>
          <w:rFonts w:ascii="Palatino Linotype" w:hAnsi="Palatino Linotype"/>
        </w:rPr>
        <w:t>en la normatividad legal invocada como fundamento, para dichos efectos, debe proceder a su vez a realizar una prueba de daño, en la que se justificaran las razones, motivos y circunstancias que avalen que l</w:t>
      </w:r>
      <w:r w:rsidRPr="001B6D74">
        <w:rPr>
          <w:rFonts w:ascii="Palatino Linotype" w:hAnsi="Palatino Linotype"/>
        </w:rPr>
        <w:t xml:space="preserve">a divulgación de la información representa un riesgo real, demostrable e </w:t>
      </w:r>
      <w:r w:rsidRPr="001B6D74">
        <w:rPr>
          <w:rFonts w:ascii="Palatino Linotype" w:hAnsi="Palatino Linotype"/>
        </w:rPr>
        <w:lastRenderedPageBreak/>
        <w:t>identificable de perjuicio significativo al interés pú</w:t>
      </w:r>
      <w:r>
        <w:rPr>
          <w:rFonts w:ascii="Palatino Linotype" w:hAnsi="Palatino Linotype"/>
        </w:rPr>
        <w:t>blico o a la seguridad nacional; que e</w:t>
      </w:r>
      <w:r w:rsidRPr="001B6D74">
        <w:rPr>
          <w:rFonts w:ascii="Palatino Linotype" w:hAnsi="Palatino Linotype"/>
        </w:rPr>
        <w:t>l riesgo de perjuicio que supondría la divulgación supera el interés público general de que se difunda</w:t>
      </w:r>
      <w:r>
        <w:rPr>
          <w:rFonts w:ascii="Palatino Linotype" w:hAnsi="Palatino Linotype"/>
        </w:rPr>
        <w:t>, y que l</w:t>
      </w:r>
      <w:r w:rsidRPr="001B6D74">
        <w:rPr>
          <w:rFonts w:ascii="Palatino Linotype" w:hAnsi="Palatino Linotype"/>
        </w:rPr>
        <w:t>a limitación se</w:t>
      </w:r>
      <w:r>
        <w:rPr>
          <w:rFonts w:ascii="Palatino Linotype" w:hAnsi="Palatino Linotype"/>
        </w:rPr>
        <w:t>a</w:t>
      </w:r>
      <w:r w:rsidRPr="001B6D74">
        <w:rPr>
          <w:rFonts w:ascii="Palatino Linotype" w:hAnsi="Palatino Linotype"/>
        </w:rPr>
        <w:t xml:space="preserve"> adecua</w:t>
      </w:r>
      <w:r>
        <w:rPr>
          <w:rFonts w:ascii="Palatino Linotype" w:hAnsi="Palatino Linotype"/>
        </w:rPr>
        <w:t>da</w:t>
      </w:r>
      <w:r w:rsidRPr="001B6D74">
        <w:rPr>
          <w:rFonts w:ascii="Palatino Linotype" w:hAnsi="Palatino Linotype"/>
        </w:rPr>
        <w:t xml:space="preserve"> al principio de proporcionalidad y representa el medio menos restrictivo disponible para evitar el perjuicio</w:t>
      </w:r>
      <w:r>
        <w:rPr>
          <w:rFonts w:ascii="Palatino Linotype" w:hAnsi="Palatino Linotype"/>
        </w:rPr>
        <w:t>.</w:t>
      </w:r>
    </w:p>
    <w:p w14:paraId="7CFAE7B9" w14:textId="77777777" w:rsidR="003B3431" w:rsidRDefault="003B3431" w:rsidP="003B3431">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4098ADB3" w14:textId="77777777" w:rsidR="003B3431" w:rsidRDefault="003B3431" w:rsidP="003B3431">
      <w:pPr>
        <w:shd w:val="clear" w:color="auto" w:fill="FFFFFF"/>
        <w:spacing w:before="240" w:after="240" w:line="360" w:lineRule="auto"/>
        <w:jc w:val="both"/>
        <w:rPr>
          <w:rFonts w:ascii="Palatino Linotype" w:hAnsi="Palatino Linotype" w:cs="Arial"/>
          <w:lang w:eastAsia="es-MX"/>
        </w:rPr>
      </w:pPr>
    </w:p>
    <w:p w14:paraId="3C4C91DB" w14:textId="77777777" w:rsidR="003B3431" w:rsidRPr="0040233B" w:rsidRDefault="003B3431" w:rsidP="003B3431">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6C16159D" w14:textId="4A68BFBF" w:rsidR="00D36B89" w:rsidRPr="0040233B" w:rsidRDefault="00155C46" w:rsidP="00D36B89">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bCs/>
          <w:sz w:val="28"/>
          <w:szCs w:val="28"/>
          <w:lang w:eastAsia="es-MX"/>
        </w:rPr>
        <w:t>PRIMER</w:t>
      </w:r>
      <w:r>
        <w:rPr>
          <w:rFonts w:ascii="Palatino Linotype" w:hAnsi="Palatino Linotype"/>
          <w:b/>
          <w:bCs/>
          <w:sz w:val="28"/>
          <w:szCs w:val="28"/>
          <w:lang w:eastAsia="es-MX"/>
        </w:rPr>
        <w:t>O</w:t>
      </w:r>
      <w:r>
        <w:rPr>
          <w:rFonts w:ascii="Palatino Linotype" w:hAnsi="Palatino Linotype"/>
          <w:b/>
          <w:bCs/>
          <w:lang w:eastAsia="es-MX"/>
        </w:rPr>
        <w:t xml:space="preserve">. </w:t>
      </w:r>
      <w:r w:rsidRPr="000000C8">
        <w:rPr>
          <w:rFonts w:ascii="Palatino Linotype" w:hAnsi="Palatino Linotype" w:cs="Arial"/>
          <w:lang w:val="es-MX" w:eastAsia="en-US"/>
        </w:rPr>
        <w:t>Resulta fundado el motivo de inconformidad hecho valer por</w:t>
      </w:r>
      <w:r>
        <w:rPr>
          <w:rFonts w:ascii="Palatino Linotype" w:hAnsi="Palatino Linotype" w:cs="Arial"/>
          <w:lang w:val="es-MX" w:eastAsia="en-US"/>
        </w:rPr>
        <w:t xml:space="preserve"> </w:t>
      </w:r>
      <w:r w:rsidR="00E61731">
        <w:rPr>
          <w:rFonts w:ascii="Palatino Linotype" w:hAnsi="Palatino Linotype" w:cs="Arial"/>
          <w:lang w:val="es-MX" w:eastAsia="en-US"/>
        </w:rPr>
        <w:t>l</w:t>
      </w:r>
      <w:r w:rsidR="003E1018">
        <w:rPr>
          <w:rFonts w:ascii="Palatino Linotype" w:hAnsi="Palatino Linotype" w:cs="Arial"/>
          <w:lang w:val="es-MX" w:eastAsia="en-US"/>
        </w:rPr>
        <w:t>a</w:t>
      </w:r>
      <w:r>
        <w:rPr>
          <w:rFonts w:ascii="Palatino Linotype" w:hAnsi="Palatino Linotype" w:cs="Arial"/>
          <w:lang w:val="es-MX" w:eastAsia="en-US"/>
        </w:rPr>
        <w:t xml:space="preserve"> </w:t>
      </w:r>
      <w:r w:rsidRPr="00C40F59">
        <w:rPr>
          <w:rFonts w:ascii="Palatino Linotype" w:hAnsi="Palatino Linotype" w:cs="Arial"/>
          <w:b/>
          <w:lang w:val="es-MX" w:eastAsia="en-US"/>
        </w:rPr>
        <w:t>RECURRENTE</w:t>
      </w:r>
      <w:r w:rsidRPr="000000C8">
        <w:rPr>
          <w:rFonts w:ascii="Palatino Linotype" w:hAnsi="Palatino Linotype" w:cs="Arial"/>
          <w:b/>
          <w:lang w:val="es-MX" w:eastAsia="en-US"/>
        </w:rPr>
        <w:t xml:space="preserve">, </w:t>
      </w:r>
      <w:r w:rsidR="00D36B89">
        <w:rPr>
          <w:rFonts w:ascii="Palatino Linotype" w:hAnsi="Palatino Linotype" w:cs="Arial"/>
        </w:rPr>
        <w:t>en términos del Considerando CUARTO de esta resolución.</w:t>
      </w:r>
    </w:p>
    <w:p w14:paraId="61AE2939" w14:textId="2A601941" w:rsidR="00155C46" w:rsidRDefault="00155C46" w:rsidP="00D36B89">
      <w:pPr>
        <w:spacing w:before="240" w:after="240" w:line="360" w:lineRule="auto"/>
        <w:ind w:right="-425"/>
        <w:jc w:val="both"/>
        <w:rPr>
          <w:rFonts w:ascii="Palatino Linotype" w:hAnsi="Palatino Linotype" w:cs="Arial"/>
        </w:rPr>
      </w:pPr>
      <w:r>
        <w:rPr>
          <w:rFonts w:ascii="Palatino Linotype" w:hAnsi="Palatino Linotype" w:cs="Arial"/>
          <w:b/>
          <w:bCs/>
          <w:sz w:val="28"/>
          <w:szCs w:val="28"/>
          <w:lang w:eastAsia="es-MX"/>
        </w:rPr>
        <w:t>SEGUNDO</w:t>
      </w:r>
      <w:r>
        <w:rPr>
          <w:rFonts w:ascii="Palatino Linotype" w:hAnsi="Palatino Linotype"/>
          <w:b/>
          <w:bCs/>
          <w:lang w:eastAsia="es-MX"/>
        </w:rPr>
        <w:t>.</w:t>
      </w:r>
      <w:r>
        <w:rPr>
          <w:rFonts w:ascii="Palatino Linotype" w:hAnsi="Palatino Linotype"/>
          <w:lang w:eastAsia="es-MX"/>
        </w:rPr>
        <w:t xml:space="preserve"> </w:t>
      </w:r>
      <w:r w:rsidRPr="000D40FE">
        <w:rPr>
          <w:rFonts w:ascii="Palatino Linotype" w:hAnsi="Palatino Linotype" w:cs="Arial"/>
        </w:rPr>
        <w:t>Se</w:t>
      </w:r>
      <w:r w:rsidRPr="000D40FE">
        <w:rPr>
          <w:rFonts w:ascii="Palatino Linotype" w:hAnsi="Palatino Linotype" w:cs="Arial"/>
          <w:b/>
        </w:rPr>
        <w:t xml:space="preserve"> </w:t>
      </w:r>
      <w:r>
        <w:rPr>
          <w:rFonts w:ascii="Palatino Linotype" w:hAnsi="Palatino Linotype" w:cs="Arial"/>
          <w:b/>
        </w:rPr>
        <w:t>ORDENA</w:t>
      </w:r>
      <w:r w:rsidRPr="000D40FE">
        <w:rPr>
          <w:rFonts w:ascii="Palatino Linotype" w:hAnsi="Palatino Linotype" w:cs="Arial"/>
          <w:b/>
        </w:rPr>
        <w:t xml:space="preserve"> </w:t>
      </w:r>
      <w:r>
        <w:rPr>
          <w:rFonts w:ascii="Palatino Linotype" w:hAnsi="Palatino Linotype" w:cs="Arial"/>
        </w:rPr>
        <w:t xml:space="preserve">al Sujeto Obligado, atienda la solicitud de información número </w:t>
      </w:r>
      <w:r w:rsidR="00306C3C">
        <w:rPr>
          <w:rFonts w:ascii="Palatino Linotype" w:hAnsi="Palatino Linotype"/>
          <w:bCs/>
        </w:rPr>
        <w:t>00034/ALMOAL</w:t>
      </w:r>
      <w:r w:rsidR="00597AB5">
        <w:rPr>
          <w:rFonts w:ascii="Palatino Linotype" w:hAnsi="Palatino Linotype"/>
          <w:bCs/>
        </w:rPr>
        <w:t>/IP/2018</w:t>
      </w:r>
      <w:r>
        <w:rPr>
          <w:rFonts w:ascii="Palatino Linotype" w:hAnsi="Palatino Linotype" w:cs="Arial"/>
        </w:rPr>
        <w:t xml:space="preserve">, y haga entrega </w:t>
      </w:r>
      <w:r w:rsidRPr="000D40FE">
        <w:rPr>
          <w:rFonts w:ascii="Palatino Linotype" w:hAnsi="Palatino Linotype" w:cs="Arial"/>
        </w:rPr>
        <w:t>vía SAIMEX</w:t>
      </w:r>
      <w:r>
        <w:rPr>
          <w:rFonts w:ascii="Palatino Linotype" w:hAnsi="Palatino Linotype" w:cs="Arial"/>
        </w:rPr>
        <w:t xml:space="preserve"> </w:t>
      </w:r>
      <w:r w:rsidR="00355F41">
        <w:rPr>
          <w:rFonts w:ascii="Palatino Linotype" w:hAnsi="Palatino Linotype" w:cs="Arial"/>
        </w:rPr>
        <w:t>en versión pública</w:t>
      </w:r>
      <w:r w:rsidR="00355F41" w:rsidRPr="000D40FE">
        <w:rPr>
          <w:rFonts w:ascii="Palatino Linotype" w:hAnsi="Palatino Linotype" w:cs="Arial"/>
        </w:rPr>
        <w:t>, en términos de</w:t>
      </w:r>
      <w:r w:rsidR="00355F41">
        <w:rPr>
          <w:rFonts w:ascii="Palatino Linotype" w:hAnsi="Palatino Linotype" w:cs="Arial"/>
        </w:rPr>
        <w:t xml:space="preserve"> </w:t>
      </w:r>
      <w:r w:rsidR="00355F41" w:rsidRPr="000D40FE">
        <w:rPr>
          <w:rFonts w:ascii="Palatino Linotype" w:hAnsi="Palatino Linotype" w:cs="Arial"/>
        </w:rPr>
        <w:t>l</w:t>
      </w:r>
      <w:r w:rsidR="00355F41">
        <w:rPr>
          <w:rFonts w:ascii="Palatino Linotype" w:hAnsi="Palatino Linotype" w:cs="Arial"/>
        </w:rPr>
        <w:t>os</w:t>
      </w:r>
      <w:r w:rsidR="00355F41" w:rsidRPr="000D40FE">
        <w:rPr>
          <w:rFonts w:ascii="Palatino Linotype" w:hAnsi="Palatino Linotype" w:cs="Arial"/>
        </w:rPr>
        <w:t xml:space="preserve"> Considerando</w:t>
      </w:r>
      <w:r w:rsidR="00355F41">
        <w:rPr>
          <w:rFonts w:ascii="Palatino Linotype" w:hAnsi="Palatino Linotype" w:cs="Arial"/>
        </w:rPr>
        <w:t>s</w:t>
      </w:r>
      <w:r w:rsidR="00355F41" w:rsidRPr="000D40FE">
        <w:rPr>
          <w:rFonts w:ascii="Palatino Linotype" w:hAnsi="Palatino Linotype" w:cs="Arial"/>
        </w:rPr>
        <w:t xml:space="preserve"> </w:t>
      </w:r>
      <w:r w:rsidR="00355F41">
        <w:rPr>
          <w:rFonts w:ascii="Palatino Linotype" w:hAnsi="Palatino Linotype" w:cs="Arial"/>
        </w:rPr>
        <w:t>CUARTO y QUINTO de esta resolución</w:t>
      </w:r>
      <w:r>
        <w:rPr>
          <w:rFonts w:ascii="Palatino Linotype" w:hAnsi="Palatino Linotype" w:cs="Arial"/>
        </w:rPr>
        <w:t xml:space="preserve">, </w:t>
      </w:r>
      <w:r w:rsidR="009B79A0">
        <w:rPr>
          <w:rFonts w:ascii="Palatino Linotype" w:hAnsi="Palatino Linotype" w:cs="Arial"/>
        </w:rPr>
        <w:t>lo siguiente</w:t>
      </w:r>
      <w:r>
        <w:rPr>
          <w:rFonts w:ascii="Palatino Linotype" w:hAnsi="Palatino Linotype" w:cs="Arial"/>
        </w:rPr>
        <w:t>:</w:t>
      </w:r>
    </w:p>
    <w:p w14:paraId="22079CFB" w14:textId="3C28DF64" w:rsidR="00344708" w:rsidRPr="00344708" w:rsidRDefault="00344708" w:rsidP="009B79A0">
      <w:pPr>
        <w:spacing w:before="240" w:after="240" w:line="360" w:lineRule="auto"/>
        <w:ind w:left="567"/>
        <w:jc w:val="both"/>
        <w:rPr>
          <w:rFonts w:ascii="Palatino Linotype" w:hAnsi="Palatino Linotype" w:cs="Arial"/>
          <w:b/>
          <w:lang w:eastAsia="es-MX"/>
        </w:rPr>
      </w:pPr>
      <w:r w:rsidRPr="001905F4">
        <w:rPr>
          <w:rFonts w:ascii="Palatino Linotype" w:hAnsi="Palatino Linotype"/>
          <w:color w:val="000000"/>
        </w:rPr>
        <w:t xml:space="preserve">a). </w:t>
      </w:r>
      <w:r w:rsidR="009B79A0">
        <w:rPr>
          <w:rFonts w:ascii="Palatino Linotype" w:hAnsi="Palatino Linotype"/>
          <w:b/>
          <w:color w:val="000000"/>
        </w:rPr>
        <w:t>Documento o documentos donde conste el salario bruto y neto</w:t>
      </w:r>
      <w:r w:rsidR="0031351C">
        <w:rPr>
          <w:rFonts w:ascii="Palatino Linotype" w:hAnsi="Palatino Linotype"/>
          <w:b/>
          <w:color w:val="000000"/>
        </w:rPr>
        <w:t xml:space="preserve"> del Presidente Municipal, Sindico y Regidores,</w:t>
      </w:r>
      <w:r w:rsidR="009B79A0">
        <w:rPr>
          <w:rFonts w:ascii="Palatino Linotype" w:hAnsi="Palatino Linotype"/>
          <w:b/>
          <w:color w:val="000000"/>
        </w:rPr>
        <w:t xml:space="preserve"> </w:t>
      </w:r>
      <w:r w:rsidR="0031351C">
        <w:rPr>
          <w:rFonts w:ascii="Palatino Linotype" w:hAnsi="Palatino Linotype"/>
          <w:b/>
          <w:color w:val="000000"/>
        </w:rPr>
        <w:t xml:space="preserve"> en la primera y segunda quincena del mes de septiembre y octubre de dos mil dieciocho.</w:t>
      </w:r>
    </w:p>
    <w:p w14:paraId="75241C44" w14:textId="4481DB0A" w:rsidR="00CA2AE3" w:rsidRDefault="00CA2AE3" w:rsidP="00CA2AE3">
      <w:pPr>
        <w:tabs>
          <w:tab w:val="left" w:pos="8080"/>
        </w:tabs>
        <w:spacing w:after="120"/>
        <w:ind w:left="360"/>
        <w:jc w:val="both"/>
        <w:rPr>
          <w:rFonts w:ascii="Palatino Linotype" w:hAnsi="Palatino Linotype" w:cs="Arial"/>
          <w:i/>
          <w:sz w:val="20"/>
          <w:szCs w:val="20"/>
        </w:rPr>
      </w:pPr>
      <w:r>
        <w:rPr>
          <w:rFonts w:ascii="Palatino Linotype" w:hAnsi="Palatino Linotype" w:cs="Arial"/>
          <w:i/>
          <w:sz w:val="20"/>
          <w:szCs w:val="20"/>
        </w:rPr>
        <w:lastRenderedPageBreak/>
        <w:t xml:space="preserve">Para  </w:t>
      </w:r>
      <w:r w:rsidRPr="000F54C2">
        <w:rPr>
          <w:rFonts w:ascii="Palatino Linotype" w:hAnsi="Palatino Linotype" w:cs="Arial"/>
          <w:i/>
          <w:sz w:val="20"/>
          <w:szCs w:val="20"/>
        </w:rPr>
        <w:t xml:space="preserve">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0F54C2">
        <w:rPr>
          <w:rFonts w:ascii="Palatino Linotype" w:hAnsi="Palatino Linotype" w:cs="Arial"/>
          <w:b/>
          <w:i/>
          <w:sz w:val="20"/>
          <w:szCs w:val="20"/>
        </w:rPr>
        <w:t>Recurrente</w:t>
      </w:r>
      <w:r w:rsidRPr="000F54C2">
        <w:rPr>
          <w:rFonts w:ascii="Palatino Linotype" w:hAnsi="Palatino Linotype" w:cs="Arial"/>
          <w:i/>
          <w:sz w:val="20"/>
          <w:szCs w:val="20"/>
        </w:rPr>
        <w:t>.</w:t>
      </w:r>
    </w:p>
    <w:p w14:paraId="1E92F0F8" w14:textId="6E77A708" w:rsidR="00155C46" w:rsidRPr="00597AB5" w:rsidRDefault="00155C46" w:rsidP="00597AB5">
      <w:pPr>
        <w:tabs>
          <w:tab w:val="left" w:pos="8080"/>
        </w:tabs>
        <w:autoSpaceDE w:val="0"/>
        <w:autoSpaceDN w:val="0"/>
        <w:adjustRightInd w:val="0"/>
        <w:spacing w:before="240" w:after="360" w:line="360" w:lineRule="auto"/>
        <w:jc w:val="both"/>
        <w:rPr>
          <w:rFonts w:ascii="Palatino Linotype" w:hAnsi="Palatino Linotype" w:cs="Arial"/>
          <w:i/>
          <w:sz w:val="20"/>
          <w:szCs w:val="20"/>
        </w:rPr>
      </w:pPr>
      <w:r w:rsidRPr="00597AB5">
        <w:rPr>
          <w:rFonts w:ascii="Palatino Linotype" w:hAnsi="Palatino Linotype" w:cs="Arial"/>
          <w:b/>
          <w:sz w:val="28"/>
          <w:szCs w:val="28"/>
          <w:lang w:val="es-MX" w:eastAsia="es-MX"/>
        </w:rPr>
        <w:t xml:space="preserve">TERCERO. </w:t>
      </w:r>
      <w:r w:rsidRPr="00597AB5">
        <w:rPr>
          <w:rFonts w:ascii="Palatino Linotype" w:hAnsi="Palatino Linotype" w:cs="Arial"/>
          <w:b/>
          <w:lang w:val="es-MX" w:eastAsia="es-MX"/>
        </w:rPr>
        <w:t>Notifíquese,</w:t>
      </w:r>
      <w:r w:rsidRPr="00597AB5">
        <w:rPr>
          <w:rFonts w:ascii="Palatino Linotype" w:hAnsi="Palatino Linotype" w:cs="Arial"/>
          <w:b/>
          <w:sz w:val="28"/>
          <w:szCs w:val="28"/>
          <w:lang w:val="es-MX" w:eastAsia="es-MX"/>
        </w:rPr>
        <w:t xml:space="preserve"> </w:t>
      </w:r>
      <w:r w:rsidRPr="00597AB5">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63313B8" w14:textId="5FC81E58" w:rsidR="00155C46" w:rsidRDefault="00155C46" w:rsidP="00155C46">
      <w:pPr>
        <w:autoSpaceDE w:val="0"/>
        <w:autoSpaceDN w:val="0"/>
        <w:adjustRightInd w:val="0"/>
        <w:spacing w:before="240" w:after="240" w:line="360" w:lineRule="auto"/>
        <w:jc w:val="both"/>
        <w:rPr>
          <w:rFonts w:ascii="Palatino Linotype" w:hAnsi="Palatino Linotype"/>
          <w:shd w:val="clear" w:color="auto" w:fill="FFFFFF"/>
        </w:rPr>
      </w:pPr>
      <w:r w:rsidRPr="00DD0FEA">
        <w:rPr>
          <w:rFonts w:ascii="Palatino Linotype" w:hAnsi="Palatino Linotype" w:cs="Arial"/>
          <w:b/>
          <w:sz w:val="28"/>
          <w:szCs w:val="28"/>
          <w:lang w:val="es-MX" w:eastAsia="es-MX"/>
        </w:rPr>
        <w:t xml:space="preserve">CUARTO. </w:t>
      </w:r>
      <w:r w:rsidRPr="00DD0FEA">
        <w:rPr>
          <w:rFonts w:ascii="Palatino Linotype" w:hAnsi="Palatino Linotype" w:cs="Arial"/>
          <w:b/>
          <w:lang w:val="es-MX" w:eastAsia="es-MX"/>
        </w:rPr>
        <w:t>Notifíquese</w:t>
      </w:r>
      <w:r>
        <w:rPr>
          <w:rFonts w:ascii="Palatino Linotype" w:hAnsi="Palatino Linotype" w:cs="Arial"/>
          <w:b/>
          <w:lang w:val="es-MX" w:eastAsia="es-MX"/>
        </w:rPr>
        <w:t>,</w:t>
      </w:r>
      <w:r w:rsidRPr="00DD0FEA">
        <w:rPr>
          <w:rFonts w:ascii="Palatino Linotype" w:hAnsi="Palatino Linotype" w:cs="Arial"/>
          <w:b/>
          <w:lang w:val="es-MX" w:eastAsia="es-MX"/>
        </w:rPr>
        <w:t xml:space="preserve"> </w:t>
      </w:r>
      <w:r w:rsidRPr="00DD0FEA">
        <w:rPr>
          <w:rFonts w:ascii="Palatino Linotype" w:hAnsi="Palatino Linotype" w:cs="Arial"/>
          <w:lang w:val="es-MX" w:eastAsia="es-MX"/>
        </w:rPr>
        <w:t>a</w:t>
      </w:r>
      <w:r w:rsidR="00575B5A">
        <w:rPr>
          <w:rFonts w:ascii="Palatino Linotype" w:hAnsi="Palatino Linotype" w:cs="Arial"/>
          <w:lang w:val="es-MX" w:eastAsia="es-MX"/>
        </w:rPr>
        <w:t xml:space="preserve"> </w:t>
      </w:r>
      <w:r w:rsidRPr="00DD0FEA">
        <w:rPr>
          <w:rFonts w:ascii="Palatino Linotype" w:hAnsi="Palatino Linotype" w:cs="Arial"/>
          <w:lang w:val="es-MX" w:eastAsia="es-MX"/>
        </w:rPr>
        <w:t>l</w:t>
      </w:r>
      <w:r w:rsidR="00575B5A">
        <w:rPr>
          <w:rFonts w:ascii="Palatino Linotype" w:hAnsi="Palatino Linotype" w:cs="Arial"/>
          <w:lang w:val="es-MX" w:eastAsia="es-MX"/>
        </w:rPr>
        <w:t>a</w:t>
      </w:r>
      <w:r>
        <w:rPr>
          <w:rFonts w:ascii="Palatino Linotype" w:hAnsi="Palatino Linotype" w:cs="Arial"/>
          <w:lang w:val="es-MX" w:eastAsia="es-MX"/>
        </w:rPr>
        <w:t xml:space="preserve"> </w:t>
      </w:r>
      <w:r w:rsidRPr="00DD0FEA">
        <w:rPr>
          <w:rFonts w:ascii="Palatino Linotype" w:hAnsi="Palatino Linotype" w:cs="Arial"/>
          <w:lang w:val="es-MX" w:eastAsia="es-MX"/>
        </w:rPr>
        <w:t>recurrente</w:t>
      </w:r>
      <w:r w:rsidRPr="00E44638">
        <w:rPr>
          <w:rFonts w:ascii="Palatino Linotype" w:hAnsi="Palatino Linotype" w:cs="Arial"/>
          <w:lang w:val="es-MX" w:eastAsia="es-MX"/>
        </w:rPr>
        <w:t xml:space="preserve">, </w:t>
      </w:r>
      <w:r>
        <w:rPr>
          <w:rFonts w:ascii="Palatino Linotype" w:hAnsi="Palatino Linotype"/>
          <w:shd w:val="clear" w:color="auto" w:fill="FFFFFF"/>
        </w:rPr>
        <w:t xml:space="preserve">la presente resolución; y </w:t>
      </w:r>
      <w:r w:rsidRPr="00E44638">
        <w:rPr>
          <w:rFonts w:ascii="Palatino Linotype" w:hAnsi="Palatino Linotype"/>
          <w:shd w:val="clear" w:color="auto" w:fill="FFFFFF"/>
        </w:rPr>
        <w:t>que de conformidad con lo establecido en el artículo 196 de la Ley de Transparencia y Acceso a la Información Pública del Estado de México y Municipios, podrá impugnarla vía Juicio de Amparo en los términos de las leyes aplicables.</w:t>
      </w:r>
    </w:p>
    <w:p w14:paraId="7915F9D0" w14:textId="333D7E24" w:rsidR="00597AB5" w:rsidRPr="00942581" w:rsidRDefault="00597AB5" w:rsidP="00597AB5">
      <w:pPr>
        <w:spacing w:before="240" w:after="240" w:line="360" w:lineRule="auto"/>
        <w:jc w:val="both"/>
        <w:rPr>
          <w:rFonts w:ascii="Palatino Linotype" w:hAnsi="Palatino Linotype" w:cs="Arial"/>
        </w:rPr>
      </w:pPr>
      <w:r>
        <w:rPr>
          <w:rFonts w:ascii="Palatino Linotype" w:hAnsi="Palatino Linotype" w:cs="Arial"/>
          <w:b/>
          <w:sz w:val="28"/>
          <w:szCs w:val="28"/>
        </w:rPr>
        <w:t>QUINTO</w:t>
      </w:r>
      <w:r w:rsidRPr="00942581">
        <w:rPr>
          <w:rFonts w:ascii="Palatino Linotype" w:hAnsi="Palatino Linotype" w:cs="Arial"/>
          <w:b/>
          <w:sz w:val="28"/>
          <w:szCs w:val="28"/>
        </w:rPr>
        <w:t xml:space="preserve">. </w:t>
      </w:r>
      <w:r w:rsidRPr="00942581">
        <w:rPr>
          <w:rFonts w:ascii="Palatino Linotype" w:hAnsi="Palatino Linotype" w:cs="Arial"/>
          <w:b/>
          <w:lang w:val="es-ES_tradnl"/>
        </w:rPr>
        <w:t>Gírese</w:t>
      </w:r>
      <w:r w:rsidRPr="00942581">
        <w:rPr>
          <w:rFonts w:ascii="Palatino Linotype" w:hAnsi="Palatino Linotype" w:cs="Arial"/>
          <w:lang w:val="es-ES_tradnl"/>
        </w:rPr>
        <w:t xml:space="preserve"> </w:t>
      </w:r>
      <w:r w:rsidR="00B31B4E">
        <w:rPr>
          <w:rFonts w:ascii="Palatino Linotype" w:hAnsi="Palatino Linotype"/>
          <w:color w:val="222222"/>
          <w:shd w:val="clear" w:color="auto" w:fill="FFFFFF"/>
        </w:rPr>
        <w:t>oficio al Contralor Interno de este Instituto para que actúe en razón de su competencia, en términos del Considerando Cuarto de la presente resolución.</w:t>
      </w:r>
    </w:p>
    <w:p w14:paraId="69943085" w14:textId="7CE757C4" w:rsidR="003B3431" w:rsidRPr="0040233B" w:rsidRDefault="003B3431" w:rsidP="003B3431">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rPr>
        <w:t xml:space="preserve">ASÍ LO RESUELVE, POR UNANIMIDAD DE VOTOS </w:t>
      </w:r>
      <w:r w:rsidR="005C2030">
        <w:rPr>
          <w:rFonts w:ascii="Palatino Linotype" w:hAnsi="Palatino Linotype" w:cs="Arial"/>
        </w:rPr>
        <w:t xml:space="preserve">DE LOS PRESENTES </w:t>
      </w:r>
      <w:r w:rsidRPr="0040233B">
        <w:rPr>
          <w:rFonts w:ascii="Palatino Linotype" w:hAnsi="Palatino Linotype" w:cs="Arial"/>
        </w:rPr>
        <w:t>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CONFORMADO POR LOS COMISIONADOS ZULEMA MARTÍNEZ SÁNCHEZ</w:t>
      </w:r>
      <w:r w:rsidR="005C2030">
        <w:rPr>
          <w:rFonts w:ascii="Palatino Linotype" w:hAnsi="Palatino Linotype" w:cs="Arial"/>
        </w:rPr>
        <w:t xml:space="preserve"> CON VOTO PARTICULAR</w:t>
      </w:r>
      <w:r>
        <w:rPr>
          <w:rFonts w:ascii="Palatino Linotype" w:hAnsi="Palatino Linotype" w:cs="Arial"/>
        </w:rPr>
        <w:t>,</w:t>
      </w:r>
      <w:r w:rsidRPr="0040233B">
        <w:rPr>
          <w:rFonts w:ascii="Palatino Linotype" w:hAnsi="Palatino Linotype" w:cs="Arial"/>
        </w:rPr>
        <w:t xml:space="preserve"> EVA ABAID YAPUR</w:t>
      </w:r>
      <w:r>
        <w:rPr>
          <w:rFonts w:ascii="Palatino Linotype" w:hAnsi="Palatino Linotype" w:cs="Arial"/>
        </w:rPr>
        <w:t xml:space="preserve"> CON </w:t>
      </w:r>
      <w:r w:rsidR="00A940E3">
        <w:rPr>
          <w:rFonts w:ascii="Palatino Linotype" w:hAnsi="Palatino Linotype" w:cs="Arial"/>
        </w:rPr>
        <w:t>VOTO PARTICULAR</w:t>
      </w:r>
      <w:r>
        <w:rPr>
          <w:rFonts w:ascii="Palatino Linotype" w:hAnsi="Palatino Linotype" w:cs="Arial"/>
        </w:rPr>
        <w:t>,</w:t>
      </w:r>
      <w:r w:rsidRPr="0040233B">
        <w:rPr>
          <w:rFonts w:ascii="Palatino Linotype" w:hAnsi="Palatino Linotype" w:cs="Arial"/>
        </w:rPr>
        <w:t xml:space="preserve"> JOSÉ GUADALUPE LUNA HERNÁNDEZ</w:t>
      </w:r>
      <w:r w:rsidR="005C2030">
        <w:rPr>
          <w:rFonts w:ascii="Palatino Linotype" w:hAnsi="Palatino Linotype" w:cs="Arial"/>
        </w:rPr>
        <w:t>; J</w:t>
      </w:r>
      <w:r w:rsidRPr="0040233B">
        <w:rPr>
          <w:rFonts w:ascii="Palatino Linotype" w:hAnsi="Palatino Linotype" w:cs="Arial"/>
        </w:rPr>
        <w:t xml:space="preserve">AVIER </w:t>
      </w:r>
      <w:r w:rsidRPr="0040233B">
        <w:rPr>
          <w:rFonts w:ascii="Palatino Linotype" w:hAnsi="Palatino Linotype" w:cs="Arial"/>
        </w:rPr>
        <w:lastRenderedPageBreak/>
        <w:t>MARTÍNEZ CRUZ</w:t>
      </w:r>
      <w:r w:rsidR="005C2030">
        <w:rPr>
          <w:rFonts w:ascii="Palatino Linotype" w:hAnsi="Palatino Linotype" w:cs="Arial"/>
        </w:rPr>
        <w:t xml:space="preserve"> Y LUIS GUSTAVO PARRA NORIEGA</w:t>
      </w:r>
      <w:r w:rsidR="00167EF3">
        <w:rPr>
          <w:rFonts w:ascii="Palatino Linotype" w:hAnsi="Palatino Linotype" w:cs="Arial"/>
        </w:rPr>
        <w:t xml:space="preserve"> AUSENTE EN LA VOTACIÓN</w:t>
      </w:r>
      <w:r w:rsidRPr="0040233B">
        <w:rPr>
          <w:rFonts w:ascii="Palatino Linotype" w:hAnsi="Palatino Linotype" w:cs="Arial"/>
        </w:rPr>
        <w:t xml:space="preserve">; EN LA </w:t>
      </w:r>
      <w:r w:rsidR="005C2030">
        <w:rPr>
          <w:rFonts w:ascii="Palatino Linotype" w:hAnsi="Palatino Linotype" w:cs="Arial"/>
        </w:rPr>
        <w:t>TERCERA</w:t>
      </w:r>
      <w:r w:rsidRPr="0040233B">
        <w:rPr>
          <w:rFonts w:ascii="Palatino Linotype" w:hAnsi="Palatino Linotype" w:cs="Arial"/>
        </w:rPr>
        <w:t xml:space="preserve"> SESIÓN ORDINARIA CELEBRADA EL </w:t>
      </w:r>
      <w:r w:rsidR="005C2030">
        <w:rPr>
          <w:rFonts w:ascii="Palatino Linotype" w:hAnsi="Palatino Linotype" w:cs="Arial"/>
        </w:rPr>
        <w:t>VEINTITRÉS DE ENERO</w:t>
      </w:r>
      <w:r w:rsidRPr="0040233B">
        <w:rPr>
          <w:rFonts w:ascii="Palatino Linotype" w:hAnsi="Palatino Linotype" w:cs="Arial"/>
        </w:rPr>
        <w:t xml:space="preserve"> DEL DOS MIL DIECI</w:t>
      </w:r>
      <w:r w:rsidR="005C2030">
        <w:rPr>
          <w:rFonts w:ascii="Palatino Linotype" w:hAnsi="Palatino Linotype" w:cs="Arial"/>
        </w:rPr>
        <w:t>NUEVE</w:t>
      </w:r>
      <w:r w:rsidRPr="0040233B">
        <w:rPr>
          <w:rFonts w:ascii="Palatino Linotype" w:hAnsi="Palatino Linotype" w:cs="Arial"/>
        </w:rPr>
        <w:t xml:space="preserve">, ANTE </w:t>
      </w:r>
      <w:r w:rsidR="00A940E3">
        <w:rPr>
          <w:rFonts w:ascii="Palatino Linotype" w:hAnsi="Palatino Linotype" w:cs="Arial"/>
        </w:rPr>
        <w:t>EL</w:t>
      </w:r>
      <w:r w:rsidRPr="0040233B">
        <w:rPr>
          <w:rFonts w:ascii="Palatino Linotype" w:hAnsi="Palatino Linotype" w:cs="Arial"/>
        </w:rPr>
        <w:t xml:space="preserve"> SECRETARI</w:t>
      </w:r>
      <w:r w:rsidR="00A940E3">
        <w:rPr>
          <w:rFonts w:ascii="Palatino Linotype" w:hAnsi="Palatino Linotype" w:cs="Arial"/>
        </w:rPr>
        <w:t>O</w:t>
      </w:r>
      <w:r w:rsidRPr="0040233B">
        <w:rPr>
          <w:rFonts w:ascii="Palatino Linotype" w:hAnsi="Palatino Linotype" w:cs="Arial"/>
        </w:rPr>
        <w:t xml:space="preserve"> TÉCNIC</w:t>
      </w:r>
      <w:r w:rsidR="00A940E3">
        <w:rPr>
          <w:rFonts w:ascii="Palatino Linotype" w:hAnsi="Palatino Linotype" w:cs="Arial"/>
        </w:rPr>
        <w:t>O</w:t>
      </w:r>
      <w:r w:rsidRPr="0040233B">
        <w:rPr>
          <w:rFonts w:ascii="Palatino Linotype" w:hAnsi="Palatino Linotype" w:cs="Arial"/>
        </w:rPr>
        <w:t xml:space="preserve"> DEL PLENO, </w:t>
      </w:r>
      <w:r w:rsidR="00A940E3">
        <w:rPr>
          <w:rFonts w:ascii="Palatino Linotype" w:hAnsi="Palatino Linotype" w:cs="Arial"/>
        </w:rPr>
        <w:t>ALEXIS TAPIA RAMÍREZ</w:t>
      </w:r>
      <w:r w:rsidRPr="0040233B">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5C2030" w:rsidRPr="0040233B" w14:paraId="76604BF9" w14:textId="77777777" w:rsidTr="009D1FD4">
        <w:trPr>
          <w:trHeight w:val="793"/>
          <w:jc w:val="center"/>
        </w:trPr>
        <w:tc>
          <w:tcPr>
            <w:tcW w:w="8364" w:type="dxa"/>
            <w:gridSpan w:val="2"/>
            <w:vAlign w:val="center"/>
          </w:tcPr>
          <w:p w14:paraId="5C3704D5" w14:textId="77777777" w:rsidR="005C2030" w:rsidRDefault="005C2030" w:rsidP="009D1FD4">
            <w:pPr>
              <w:jc w:val="center"/>
              <w:rPr>
                <w:rFonts w:ascii="Palatino Linotype" w:hAnsi="Palatino Linotype"/>
                <w:b/>
                <w:sz w:val="28"/>
                <w:szCs w:val="28"/>
              </w:rPr>
            </w:pPr>
            <w:r w:rsidRPr="0040233B">
              <w:rPr>
                <w:rFonts w:ascii="Palatino Linotype" w:hAnsi="Palatino Linotype" w:cs="Arial"/>
              </w:rPr>
              <w:br w:type="page"/>
            </w:r>
          </w:p>
          <w:p w14:paraId="45C14D99" w14:textId="77777777" w:rsidR="005C2030" w:rsidRDefault="005C2030" w:rsidP="009D1FD4">
            <w:pPr>
              <w:jc w:val="center"/>
              <w:rPr>
                <w:rFonts w:ascii="Palatino Linotype" w:hAnsi="Palatino Linotype"/>
                <w:b/>
                <w:sz w:val="28"/>
                <w:szCs w:val="28"/>
              </w:rPr>
            </w:pPr>
          </w:p>
          <w:p w14:paraId="23CAC7D7" w14:textId="77777777" w:rsidR="005C2030" w:rsidRDefault="005C2030" w:rsidP="009D1FD4">
            <w:pPr>
              <w:jc w:val="center"/>
              <w:rPr>
                <w:rFonts w:ascii="Palatino Linotype" w:hAnsi="Palatino Linotype"/>
                <w:b/>
                <w:sz w:val="28"/>
                <w:szCs w:val="28"/>
              </w:rPr>
            </w:pPr>
          </w:p>
          <w:p w14:paraId="3561541B" w14:textId="77777777" w:rsidR="005C2030" w:rsidRDefault="005C2030" w:rsidP="009D1FD4">
            <w:pPr>
              <w:jc w:val="center"/>
              <w:rPr>
                <w:rFonts w:ascii="Palatino Linotype" w:hAnsi="Palatino Linotype"/>
                <w:b/>
                <w:sz w:val="28"/>
                <w:szCs w:val="28"/>
              </w:rPr>
            </w:pPr>
          </w:p>
          <w:p w14:paraId="71E450D8" w14:textId="77777777" w:rsidR="005C2030" w:rsidRDefault="005C2030" w:rsidP="009D1FD4">
            <w:pPr>
              <w:jc w:val="center"/>
              <w:rPr>
                <w:rFonts w:ascii="Palatino Linotype" w:hAnsi="Palatino Linotype"/>
                <w:b/>
                <w:sz w:val="28"/>
                <w:szCs w:val="28"/>
              </w:rPr>
            </w:pPr>
          </w:p>
          <w:p w14:paraId="5EFE61C8" w14:textId="77777777" w:rsidR="005C2030" w:rsidRDefault="005C2030" w:rsidP="009D1FD4">
            <w:pPr>
              <w:jc w:val="center"/>
              <w:rPr>
                <w:rFonts w:ascii="Palatino Linotype" w:hAnsi="Palatino Linotype"/>
              </w:rPr>
            </w:pPr>
            <w:r w:rsidRPr="0040233B">
              <w:rPr>
                <w:rFonts w:ascii="Palatino Linotype" w:hAnsi="Palatino Linotype"/>
                <w:b/>
                <w:sz w:val="28"/>
                <w:szCs w:val="28"/>
              </w:rPr>
              <w:t>Zulema Martínez Sánchez</w:t>
            </w:r>
            <w:r w:rsidRPr="0040233B">
              <w:rPr>
                <w:rFonts w:ascii="Palatino Linotype" w:hAnsi="Palatino Linotype"/>
              </w:rPr>
              <w:t xml:space="preserve"> </w:t>
            </w:r>
          </w:p>
          <w:p w14:paraId="5FFA2479" w14:textId="77777777" w:rsidR="005C2030" w:rsidRPr="0040233B" w:rsidRDefault="005C2030" w:rsidP="009D1FD4">
            <w:pPr>
              <w:jc w:val="center"/>
              <w:rPr>
                <w:rFonts w:ascii="Palatino Linotype" w:hAnsi="Palatino Linotype"/>
              </w:rPr>
            </w:pPr>
            <w:r w:rsidRPr="0040233B">
              <w:rPr>
                <w:rFonts w:ascii="Palatino Linotype" w:hAnsi="Palatino Linotype"/>
              </w:rPr>
              <w:t>Comisionada Presidenta</w:t>
            </w:r>
          </w:p>
          <w:p w14:paraId="1A56289A" w14:textId="77777777" w:rsidR="005C2030" w:rsidRPr="0040233B" w:rsidRDefault="005C2030" w:rsidP="009D1FD4">
            <w:pPr>
              <w:jc w:val="center"/>
              <w:rPr>
                <w:rFonts w:ascii="Palatino Linotype" w:hAnsi="Palatino Linotype"/>
              </w:rPr>
            </w:pPr>
            <w:r>
              <w:rPr>
                <w:rFonts w:ascii="Palatino Linotype" w:hAnsi="Palatino Linotype" w:cs="Arial"/>
              </w:rPr>
              <w:t>(Rúbrica)</w:t>
            </w:r>
          </w:p>
        </w:tc>
      </w:tr>
      <w:tr w:rsidR="005C2030" w:rsidRPr="0040233B" w14:paraId="46A6ECFA" w14:textId="77777777" w:rsidTr="009D1FD4">
        <w:trPr>
          <w:trHeight w:val="2063"/>
          <w:jc w:val="center"/>
        </w:trPr>
        <w:tc>
          <w:tcPr>
            <w:tcW w:w="3874" w:type="dxa"/>
            <w:vAlign w:val="center"/>
          </w:tcPr>
          <w:p w14:paraId="674F79DA" w14:textId="77777777" w:rsidR="005C2030" w:rsidRDefault="005C2030" w:rsidP="009D1FD4">
            <w:pPr>
              <w:jc w:val="center"/>
              <w:rPr>
                <w:rFonts w:ascii="Palatino Linotype" w:hAnsi="Palatino Linotype"/>
                <w:b/>
                <w:sz w:val="28"/>
                <w:szCs w:val="28"/>
              </w:rPr>
            </w:pPr>
          </w:p>
          <w:p w14:paraId="6F029DB3" w14:textId="77777777" w:rsidR="005C2030" w:rsidRDefault="005C2030" w:rsidP="009D1FD4">
            <w:pPr>
              <w:jc w:val="center"/>
              <w:rPr>
                <w:rFonts w:ascii="Palatino Linotype" w:hAnsi="Palatino Linotype"/>
                <w:b/>
                <w:sz w:val="28"/>
                <w:szCs w:val="28"/>
              </w:rPr>
            </w:pPr>
          </w:p>
          <w:p w14:paraId="5268BF62" w14:textId="77777777" w:rsidR="005C2030" w:rsidRDefault="005C2030" w:rsidP="009D1FD4">
            <w:pPr>
              <w:jc w:val="center"/>
              <w:rPr>
                <w:rFonts w:ascii="Palatino Linotype" w:hAnsi="Palatino Linotype"/>
                <w:b/>
                <w:sz w:val="28"/>
                <w:szCs w:val="28"/>
              </w:rPr>
            </w:pPr>
          </w:p>
          <w:p w14:paraId="1782E70C" w14:textId="77777777" w:rsidR="005C2030" w:rsidRPr="00303BC7" w:rsidRDefault="005C2030" w:rsidP="009D1FD4">
            <w:pPr>
              <w:jc w:val="center"/>
              <w:rPr>
                <w:rFonts w:ascii="Palatino Linotype" w:hAnsi="Palatino Linotype"/>
                <w:b/>
                <w:szCs w:val="28"/>
              </w:rPr>
            </w:pPr>
          </w:p>
          <w:p w14:paraId="13E68609" w14:textId="77777777" w:rsidR="005C2030" w:rsidRPr="0040233B" w:rsidRDefault="005C2030" w:rsidP="009D1FD4">
            <w:pPr>
              <w:jc w:val="center"/>
              <w:rPr>
                <w:rFonts w:ascii="Palatino Linotype" w:hAnsi="Palatino Linotype"/>
                <w:b/>
                <w:sz w:val="28"/>
                <w:szCs w:val="28"/>
              </w:rPr>
            </w:pPr>
            <w:r w:rsidRPr="0040233B">
              <w:rPr>
                <w:rFonts w:ascii="Palatino Linotype" w:hAnsi="Palatino Linotype"/>
                <w:b/>
                <w:sz w:val="28"/>
                <w:szCs w:val="28"/>
              </w:rPr>
              <w:t xml:space="preserve">Eva </w:t>
            </w:r>
            <w:proofErr w:type="spellStart"/>
            <w:r w:rsidRPr="0040233B">
              <w:rPr>
                <w:rFonts w:ascii="Palatino Linotype" w:hAnsi="Palatino Linotype"/>
                <w:b/>
                <w:sz w:val="28"/>
                <w:szCs w:val="28"/>
              </w:rPr>
              <w:t>Abaid</w:t>
            </w:r>
            <w:proofErr w:type="spellEnd"/>
            <w:r w:rsidRPr="0040233B">
              <w:rPr>
                <w:rFonts w:ascii="Palatino Linotype" w:hAnsi="Palatino Linotype"/>
                <w:b/>
                <w:sz w:val="28"/>
                <w:szCs w:val="28"/>
              </w:rPr>
              <w:t xml:space="preserve"> </w:t>
            </w:r>
            <w:proofErr w:type="spellStart"/>
            <w:r w:rsidRPr="0040233B">
              <w:rPr>
                <w:rFonts w:ascii="Palatino Linotype" w:hAnsi="Palatino Linotype"/>
                <w:b/>
                <w:sz w:val="28"/>
                <w:szCs w:val="28"/>
              </w:rPr>
              <w:t>Yapur</w:t>
            </w:r>
            <w:proofErr w:type="spellEnd"/>
          </w:p>
          <w:p w14:paraId="0DB0D679" w14:textId="77777777" w:rsidR="005C2030" w:rsidRPr="0040233B" w:rsidRDefault="005C2030" w:rsidP="009D1FD4">
            <w:pPr>
              <w:jc w:val="center"/>
              <w:rPr>
                <w:rFonts w:ascii="Palatino Linotype" w:hAnsi="Palatino Linotype"/>
              </w:rPr>
            </w:pPr>
            <w:r w:rsidRPr="0040233B">
              <w:rPr>
                <w:rFonts w:ascii="Palatino Linotype" w:hAnsi="Palatino Linotype"/>
              </w:rPr>
              <w:t>Comisionada</w:t>
            </w:r>
          </w:p>
          <w:p w14:paraId="54209335" w14:textId="77777777" w:rsidR="005C2030" w:rsidRPr="0040233B" w:rsidRDefault="005C2030" w:rsidP="009D1FD4">
            <w:pPr>
              <w:jc w:val="center"/>
              <w:rPr>
                <w:rFonts w:ascii="Palatino Linotype" w:hAnsi="Palatino Linotype"/>
              </w:rPr>
            </w:pPr>
            <w:r w:rsidRPr="0040233B">
              <w:rPr>
                <w:rFonts w:ascii="Palatino Linotype" w:hAnsi="Palatino Linotype"/>
              </w:rPr>
              <w:t>(Rúbrica)</w:t>
            </w:r>
          </w:p>
        </w:tc>
        <w:tc>
          <w:tcPr>
            <w:tcW w:w="4490" w:type="dxa"/>
            <w:vAlign w:val="center"/>
          </w:tcPr>
          <w:p w14:paraId="00BC3B63" w14:textId="77777777" w:rsidR="005C2030" w:rsidRPr="0040233B" w:rsidRDefault="005C2030" w:rsidP="009D1FD4">
            <w:pPr>
              <w:jc w:val="center"/>
              <w:rPr>
                <w:rFonts w:ascii="Palatino Linotype" w:hAnsi="Palatino Linotype"/>
                <w:b/>
              </w:rPr>
            </w:pPr>
          </w:p>
          <w:p w14:paraId="503F045B" w14:textId="77777777" w:rsidR="005C2030" w:rsidRDefault="005C2030" w:rsidP="009D1FD4">
            <w:pPr>
              <w:jc w:val="center"/>
              <w:rPr>
                <w:rFonts w:ascii="Palatino Linotype" w:hAnsi="Palatino Linotype"/>
                <w:b/>
                <w:sz w:val="28"/>
                <w:szCs w:val="28"/>
              </w:rPr>
            </w:pPr>
          </w:p>
          <w:p w14:paraId="1C96E42A" w14:textId="77777777" w:rsidR="005C2030" w:rsidRDefault="005C2030" w:rsidP="009D1FD4">
            <w:pPr>
              <w:jc w:val="center"/>
              <w:rPr>
                <w:rFonts w:ascii="Palatino Linotype" w:hAnsi="Palatino Linotype"/>
                <w:b/>
                <w:sz w:val="28"/>
                <w:szCs w:val="28"/>
              </w:rPr>
            </w:pPr>
          </w:p>
          <w:p w14:paraId="63BBDAAD" w14:textId="77777777" w:rsidR="005C2030" w:rsidRDefault="005C2030" w:rsidP="009D1FD4">
            <w:pPr>
              <w:jc w:val="center"/>
              <w:rPr>
                <w:rFonts w:ascii="Palatino Linotype" w:hAnsi="Palatino Linotype"/>
                <w:b/>
                <w:sz w:val="28"/>
                <w:szCs w:val="28"/>
              </w:rPr>
            </w:pPr>
          </w:p>
          <w:p w14:paraId="38C0FA43" w14:textId="77777777" w:rsidR="005C2030" w:rsidRDefault="005C2030" w:rsidP="009D1FD4">
            <w:pPr>
              <w:jc w:val="center"/>
              <w:rPr>
                <w:rFonts w:ascii="Palatino Linotype" w:hAnsi="Palatino Linotype"/>
                <w:b/>
                <w:sz w:val="28"/>
                <w:szCs w:val="28"/>
              </w:rPr>
            </w:pPr>
          </w:p>
          <w:p w14:paraId="5E4DA6E4" w14:textId="77777777" w:rsidR="005C2030" w:rsidRPr="0040233B" w:rsidRDefault="005C2030" w:rsidP="009D1FD4">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64086EC3" w14:textId="77777777" w:rsidR="005C2030" w:rsidRPr="0040233B" w:rsidRDefault="005C2030" w:rsidP="009D1FD4">
            <w:pPr>
              <w:jc w:val="center"/>
              <w:rPr>
                <w:rFonts w:ascii="Palatino Linotype" w:hAnsi="Palatino Linotype"/>
              </w:rPr>
            </w:pPr>
            <w:r w:rsidRPr="0040233B">
              <w:rPr>
                <w:rFonts w:ascii="Palatino Linotype" w:hAnsi="Palatino Linotype"/>
              </w:rPr>
              <w:t>Comisionado</w:t>
            </w:r>
          </w:p>
          <w:p w14:paraId="328E2B4C" w14:textId="77777777" w:rsidR="005C2030" w:rsidRPr="0040233B" w:rsidRDefault="005C2030" w:rsidP="009D1FD4">
            <w:pPr>
              <w:jc w:val="center"/>
              <w:rPr>
                <w:rFonts w:ascii="Palatino Linotype" w:hAnsi="Palatino Linotype"/>
              </w:rPr>
            </w:pPr>
            <w:r w:rsidRPr="0040233B">
              <w:rPr>
                <w:rFonts w:ascii="Palatino Linotype" w:hAnsi="Palatino Linotype"/>
              </w:rPr>
              <w:t>(</w:t>
            </w:r>
            <w:r>
              <w:rPr>
                <w:rFonts w:ascii="Palatino Linotype" w:hAnsi="Palatino Linotype"/>
              </w:rPr>
              <w:t>Rúbrica</w:t>
            </w:r>
            <w:r w:rsidRPr="0040233B">
              <w:rPr>
                <w:rFonts w:ascii="Palatino Linotype" w:hAnsi="Palatino Linotype"/>
              </w:rPr>
              <w:t>)</w:t>
            </w:r>
          </w:p>
          <w:p w14:paraId="131FD123" w14:textId="77777777" w:rsidR="005C2030" w:rsidRPr="0040233B" w:rsidRDefault="005C2030" w:rsidP="009D1FD4">
            <w:pPr>
              <w:jc w:val="center"/>
              <w:rPr>
                <w:rFonts w:ascii="Palatino Linotype" w:hAnsi="Palatino Linotype"/>
              </w:rPr>
            </w:pPr>
          </w:p>
        </w:tc>
      </w:tr>
      <w:tr w:rsidR="005C2030" w:rsidRPr="0040233B" w14:paraId="38FEE894" w14:textId="77777777" w:rsidTr="009D1FD4">
        <w:trPr>
          <w:trHeight w:val="2063"/>
          <w:jc w:val="center"/>
        </w:trPr>
        <w:tc>
          <w:tcPr>
            <w:tcW w:w="3874" w:type="dxa"/>
            <w:vAlign w:val="center"/>
          </w:tcPr>
          <w:p w14:paraId="0CDE14AE" w14:textId="77777777" w:rsidR="005C2030" w:rsidRDefault="005C2030" w:rsidP="009D1FD4">
            <w:pPr>
              <w:jc w:val="center"/>
              <w:rPr>
                <w:rFonts w:ascii="Palatino Linotype" w:hAnsi="Palatino Linotype"/>
                <w:b/>
                <w:sz w:val="28"/>
                <w:szCs w:val="28"/>
              </w:rPr>
            </w:pPr>
          </w:p>
          <w:p w14:paraId="3ECC133B" w14:textId="77777777" w:rsidR="005C2030" w:rsidRDefault="005C2030" w:rsidP="009D1FD4">
            <w:pPr>
              <w:jc w:val="center"/>
              <w:rPr>
                <w:rFonts w:ascii="Palatino Linotype" w:hAnsi="Palatino Linotype"/>
                <w:b/>
                <w:sz w:val="28"/>
                <w:szCs w:val="28"/>
              </w:rPr>
            </w:pPr>
          </w:p>
          <w:p w14:paraId="360A84DE" w14:textId="77777777" w:rsidR="005C2030" w:rsidRDefault="005C2030" w:rsidP="009D1FD4">
            <w:pPr>
              <w:jc w:val="center"/>
              <w:rPr>
                <w:rFonts w:ascii="Palatino Linotype" w:hAnsi="Palatino Linotype"/>
                <w:b/>
                <w:sz w:val="28"/>
                <w:szCs w:val="28"/>
              </w:rPr>
            </w:pPr>
          </w:p>
          <w:p w14:paraId="4C980899" w14:textId="77777777" w:rsidR="005C2030" w:rsidRDefault="005C2030" w:rsidP="009D1FD4">
            <w:pPr>
              <w:jc w:val="center"/>
              <w:rPr>
                <w:rFonts w:ascii="Palatino Linotype" w:hAnsi="Palatino Linotype"/>
                <w:b/>
                <w:sz w:val="28"/>
                <w:szCs w:val="28"/>
              </w:rPr>
            </w:pPr>
          </w:p>
          <w:p w14:paraId="7F8EA826" w14:textId="77777777" w:rsidR="005C2030" w:rsidRPr="0040233B" w:rsidRDefault="005C2030" w:rsidP="009D1FD4">
            <w:pPr>
              <w:jc w:val="center"/>
              <w:rPr>
                <w:rFonts w:ascii="Palatino Linotype" w:hAnsi="Palatino Linotype"/>
                <w:b/>
                <w:sz w:val="28"/>
                <w:szCs w:val="28"/>
              </w:rPr>
            </w:pPr>
            <w:r w:rsidRPr="0040233B">
              <w:rPr>
                <w:rFonts w:ascii="Palatino Linotype" w:hAnsi="Palatino Linotype"/>
                <w:b/>
                <w:sz w:val="28"/>
                <w:szCs w:val="28"/>
              </w:rPr>
              <w:t>Javier Martínez Cruz</w:t>
            </w:r>
          </w:p>
          <w:p w14:paraId="1ED5C074" w14:textId="77777777" w:rsidR="005C2030" w:rsidRPr="0040233B" w:rsidRDefault="005C2030" w:rsidP="009D1FD4">
            <w:pPr>
              <w:jc w:val="center"/>
              <w:rPr>
                <w:rFonts w:ascii="Palatino Linotype" w:hAnsi="Palatino Linotype"/>
              </w:rPr>
            </w:pPr>
            <w:r w:rsidRPr="0040233B">
              <w:rPr>
                <w:rFonts w:ascii="Palatino Linotype" w:hAnsi="Palatino Linotype"/>
              </w:rPr>
              <w:t>Comisionado</w:t>
            </w:r>
          </w:p>
          <w:p w14:paraId="0944E55B" w14:textId="77777777" w:rsidR="005C2030" w:rsidRPr="0040233B" w:rsidRDefault="005C2030" w:rsidP="009D1FD4">
            <w:pPr>
              <w:jc w:val="center"/>
              <w:rPr>
                <w:rFonts w:ascii="Palatino Linotype" w:hAnsi="Palatino Linotype"/>
              </w:rPr>
            </w:pPr>
            <w:r w:rsidRPr="0040233B">
              <w:rPr>
                <w:rFonts w:ascii="Palatino Linotype" w:hAnsi="Palatino Linotype"/>
              </w:rPr>
              <w:t>(Rúbrica)</w:t>
            </w:r>
          </w:p>
          <w:p w14:paraId="331F84EA" w14:textId="77777777" w:rsidR="005C2030" w:rsidRDefault="005C2030" w:rsidP="009D1FD4">
            <w:pPr>
              <w:jc w:val="center"/>
              <w:rPr>
                <w:rFonts w:ascii="Palatino Linotype" w:hAnsi="Palatino Linotype"/>
                <w:b/>
                <w:sz w:val="28"/>
                <w:szCs w:val="28"/>
              </w:rPr>
            </w:pPr>
          </w:p>
        </w:tc>
        <w:tc>
          <w:tcPr>
            <w:tcW w:w="4490" w:type="dxa"/>
            <w:vAlign w:val="center"/>
          </w:tcPr>
          <w:p w14:paraId="5B3AC8F7" w14:textId="77777777" w:rsidR="005C2030" w:rsidRDefault="005C2030" w:rsidP="009D1FD4">
            <w:pPr>
              <w:jc w:val="center"/>
              <w:rPr>
                <w:rFonts w:ascii="Palatino Linotype" w:hAnsi="Palatino Linotype"/>
                <w:b/>
                <w:sz w:val="28"/>
                <w:szCs w:val="28"/>
              </w:rPr>
            </w:pPr>
          </w:p>
          <w:p w14:paraId="793CA244" w14:textId="77777777" w:rsidR="005C2030" w:rsidRDefault="005C2030" w:rsidP="009D1FD4">
            <w:pPr>
              <w:jc w:val="center"/>
              <w:rPr>
                <w:rFonts w:ascii="Palatino Linotype" w:hAnsi="Palatino Linotype"/>
                <w:b/>
                <w:sz w:val="28"/>
                <w:szCs w:val="28"/>
              </w:rPr>
            </w:pPr>
          </w:p>
          <w:p w14:paraId="2629F22E" w14:textId="77777777" w:rsidR="005C2030" w:rsidRDefault="005C2030" w:rsidP="009D1FD4">
            <w:pPr>
              <w:jc w:val="center"/>
              <w:rPr>
                <w:rFonts w:ascii="Palatino Linotype" w:hAnsi="Palatino Linotype"/>
                <w:b/>
                <w:sz w:val="28"/>
                <w:szCs w:val="28"/>
              </w:rPr>
            </w:pPr>
          </w:p>
          <w:p w14:paraId="323CA2B5" w14:textId="77777777" w:rsidR="005C2030" w:rsidRDefault="005C2030" w:rsidP="009D1FD4">
            <w:pPr>
              <w:jc w:val="center"/>
              <w:rPr>
                <w:rFonts w:ascii="Palatino Linotype" w:hAnsi="Palatino Linotype"/>
                <w:b/>
                <w:sz w:val="28"/>
                <w:szCs w:val="28"/>
              </w:rPr>
            </w:pPr>
          </w:p>
          <w:p w14:paraId="5B3AC4FB" w14:textId="77777777" w:rsidR="005C2030" w:rsidRPr="0040233B" w:rsidRDefault="005C2030" w:rsidP="009D1FD4">
            <w:pPr>
              <w:jc w:val="center"/>
              <w:rPr>
                <w:rFonts w:ascii="Palatino Linotype" w:hAnsi="Palatino Linotype"/>
                <w:b/>
                <w:sz w:val="28"/>
                <w:szCs w:val="28"/>
              </w:rPr>
            </w:pPr>
            <w:r>
              <w:rPr>
                <w:rFonts w:ascii="Palatino Linotype" w:hAnsi="Palatino Linotype"/>
                <w:b/>
                <w:sz w:val="28"/>
                <w:szCs w:val="28"/>
              </w:rPr>
              <w:t>Luis Gustavo Parra Noriega</w:t>
            </w:r>
          </w:p>
          <w:p w14:paraId="78A3B91B" w14:textId="77777777" w:rsidR="005C2030" w:rsidRPr="0040233B" w:rsidRDefault="005C2030" w:rsidP="009D1FD4">
            <w:pPr>
              <w:jc w:val="center"/>
              <w:rPr>
                <w:rFonts w:ascii="Palatino Linotype" w:hAnsi="Palatino Linotype"/>
              </w:rPr>
            </w:pPr>
            <w:r w:rsidRPr="0040233B">
              <w:rPr>
                <w:rFonts w:ascii="Palatino Linotype" w:hAnsi="Palatino Linotype"/>
              </w:rPr>
              <w:t>Comisionado</w:t>
            </w:r>
          </w:p>
          <w:p w14:paraId="3C013E8A" w14:textId="36FE2FFB" w:rsidR="005C2030" w:rsidRPr="0040233B" w:rsidRDefault="005C2030" w:rsidP="009D1FD4">
            <w:pPr>
              <w:jc w:val="center"/>
              <w:rPr>
                <w:rFonts w:ascii="Palatino Linotype" w:hAnsi="Palatino Linotype"/>
              </w:rPr>
            </w:pPr>
            <w:r w:rsidRPr="0040233B">
              <w:rPr>
                <w:rFonts w:ascii="Palatino Linotype" w:hAnsi="Palatino Linotype"/>
              </w:rPr>
              <w:t>(</w:t>
            </w:r>
            <w:r>
              <w:rPr>
                <w:rFonts w:ascii="Palatino Linotype" w:hAnsi="Palatino Linotype"/>
              </w:rPr>
              <w:t>Ausente en la Votación</w:t>
            </w:r>
            <w:r w:rsidRPr="0040233B">
              <w:rPr>
                <w:rFonts w:ascii="Palatino Linotype" w:hAnsi="Palatino Linotype"/>
              </w:rPr>
              <w:t>)</w:t>
            </w:r>
          </w:p>
          <w:p w14:paraId="16C9062F" w14:textId="77777777" w:rsidR="005C2030" w:rsidRPr="0040233B" w:rsidRDefault="005C2030" w:rsidP="009D1FD4">
            <w:pPr>
              <w:jc w:val="center"/>
              <w:rPr>
                <w:rFonts w:ascii="Palatino Linotype" w:hAnsi="Palatino Linotype"/>
                <w:b/>
              </w:rPr>
            </w:pPr>
          </w:p>
        </w:tc>
      </w:tr>
      <w:tr w:rsidR="005C2030" w:rsidRPr="0040233B" w14:paraId="523FC200" w14:textId="77777777" w:rsidTr="009D1FD4">
        <w:trPr>
          <w:trHeight w:val="1869"/>
          <w:jc w:val="center"/>
        </w:trPr>
        <w:tc>
          <w:tcPr>
            <w:tcW w:w="8364" w:type="dxa"/>
            <w:gridSpan w:val="2"/>
            <w:vAlign w:val="center"/>
          </w:tcPr>
          <w:p w14:paraId="262D55C0" w14:textId="77777777" w:rsidR="005C2030" w:rsidRPr="0040233B" w:rsidRDefault="005C2030" w:rsidP="009D1FD4">
            <w:pPr>
              <w:jc w:val="center"/>
              <w:rPr>
                <w:rFonts w:ascii="Palatino Linotype" w:hAnsi="Palatino Linotype"/>
                <w:b/>
              </w:rPr>
            </w:pPr>
          </w:p>
          <w:p w14:paraId="343F7460" w14:textId="77777777" w:rsidR="005C2030" w:rsidRDefault="005C2030" w:rsidP="009D1FD4">
            <w:pPr>
              <w:jc w:val="center"/>
              <w:rPr>
                <w:rFonts w:ascii="Palatino Linotype" w:hAnsi="Palatino Linotype"/>
                <w:b/>
                <w:sz w:val="28"/>
                <w:szCs w:val="28"/>
              </w:rPr>
            </w:pPr>
          </w:p>
          <w:p w14:paraId="0160679D" w14:textId="77777777" w:rsidR="005C2030" w:rsidRDefault="005C2030" w:rsidP="009D1FD4">
            <w:pPr>
              <w:jc w:val="center"/>
              <w:rPr>
                <w:rFonts w:ascii="Palatino Linotype" w:hAnsi="Palatino Linotype"/>
                <w:b/>
                <w:sz w:val="28"/>
                <w:szCs w:val="28"/>
              </w:rPr>
            </w:pPr>
          </w:p>
          <w:p w14:paraId="6A739241" w14:textId="77777777" w:rsidR="005C2030" w:rsidRPr="0040233B" w:rsidRDefault="005C2030" w:rsidP="009D1FD4">
            <w:pPr>
              <w:jc w:val="center"/>
              <w:rPr>
                <w:rFonts w:ascii="Palatino Linotype" w:hAnsi="Palatino Linotype"/>
                <w:b/>
                <w:sz w:val="28"/>
                <w:szCs w:val="28"/>
              </w:rPr>
            </w:pPr>
          </w:p>
          <w:p w14:paraId="6EBEA57F" w14:textId="77777777" w:rsidR="005C2030" w:rsidRPr="0040233B" w:rsidRDefault="005C2030" w:rsidP="009D1FD4">
            <w:pPr>
              <w:jc w:val="center"/>
              <w:rPr>
                <w:rFonts w:ascii="Palatino Linotype" w:hAnsi="Palatino Linotype"/>
                <w:b/>
                <w:sz w:val="28"/>
                <w:szCs w:val="28"/>
              </w:rPr>
            </w:pPr>
            <w:r>
              <w:rPr>
                <w:rFonts w:ascii="Palatino Linotype" w:hAnsi="Palatino Linotype"/>
                <w:b/>
                <w:sz w:val="28"/>
                <w:szCs w:val="28"/>
              </w:rPr>
              <w:t>Alexis Tapia Ramírez</w:t>
            </w:r>
          </w:p>
          <w:p w14:paraId="22DFF54C" w14:textId="77777777" w:rsidR="005C2030" w:rsidRPr="0040233B" w:rsidRDefault="005C2030" w:rsidP="009D1FD4">
            <w:pPr>
              <w:jc w:val="center"/>
              <w:rPr>
                <w:rFonts w:ascii="Palatino Linotype" w:hAnsi="Palatino Linotype"/>
              </w:rPr>
            </w:pPr>
            <w:r>
              <w:rPr>
                <w:rFonts w:ascii="Palatino Linotype" w:hAnsi="Palatino Linotype"/>
              </w:rPr>
              <w:t>Secretario Técnico</w:t>
            </w:r>
            <w:r w:rsidRPr="0040233B">
              <w:rPr>
                <w:rFonts w:ascii="Palatino Linotype" w:hAnsi="Palatino Linotype"/>
              </w:rPr>
              <w:t xml:space="preserve"> del Pleno</w:t>
            </w:r>
          </w:p>
          <w:p w14:paraId="04D21757" w14:textId="77777777" w:rsidR="005C2030" w:rsidRPr="0040233B" w:rsidRDefault="005C2030" w:rsidP="009D1FD4">
            <w:pPr>
              <w:jc w:val="center"/>
              <w:rPr>
                <w:rFonts w:ascii="Palatino Linotype" w:hAnsi="Palatino Linotype"/>
              </w:rPr>
            </w:pPr>
            <w:r w:rsidRPr="0040233B">
              <w:rPr>
                <w:rFonts w:ascii="Palatino Linotype" w:hAnsi="Palatino Linotype"/>
              </w:rPr>
              <w:t>(Rúbrica)</w:t>
            </w:r>
          </w:p>
          <w:p w14:paraId="0AD616F6" w14:textId="77777777" w:rsidR="005C2030" w:rsidRDefault="005C2030" w:rsidP="009D1FD4">
            <w:pPr>
              <w:jc w:val="center"/>
              <w:rPr>
                <w:rFonts w:ascii="Palatino Linotype" w:hAnsi="Palatino Linotype"/>
              </w:rPr>
            </w:pPr>
          </w:p>
          <w:p w14:paraId="523B913D" w14:textId="77777777" w:rsidR="005C2030" w:rsidRPr="0040233B" w:rsidRDefault="005C2030" w:rsidP="009D1FD4">
            <w:pPr>
              <w:jc w:val="center"/>
              <w:rPr>
                <w:rFonts w:ascii="Palatino Linotype" w:hAnsi="Palatino Linotype"/>
              </w:rPr>
            </w:pPr>
          </w:p>
        </w:tc>
      </w:tr>
    </w:tbl>
    <w:p w14:paraId="5BFB4533" w14:textId="77777777" w:rsidR="003B3431" w:rsidRDefault="003B3431" w:rsidP="003B3431">
      <w:pPr>
        <w:spacing w:before="240" w:after="240"/>
        <w:jc w:val="both"/>
        <w:rPr>
          <w:rFonts w:ascii="Palatino Linotype" w:hAnsi="Palatino Linotype" w:cs="Arial"/>
          <w:sz w:val="16"/>
        </w:rPr>
      </w:pPr>
    </w:p>
    <w:p w14:paraId="519A9822" w14:textId="14176681" w:rsidR="003B3431" w:rsidRPr="0040233B" w:rsidRDefault="003B3431" w:rsidP="003B3431">
      <w:pPr>
        <w:spacing w:before="240" w:after="240"/>
        <w:jc w:val="both"/>
        <w:rPr>
          <w:rFonts w:ascii="Palatino Linotype" w:hAnsi="Palatino Linotype" w:cs="Arial"/>
          <w:sz w:val="16"/>
        </w:rPr>
      </w:pPr>
      <w:r w:rsidRPr="0040233B">
        <w:rPr>
          <w:rFonts w:ascii="Palatino Linotype" w:hAnsi="Palatino Linotype" w:cs="Arial"/>
          <w:sz w:val="16"/>
        </w:rPr>
        <w:t xml:space="preserve">Esta hoja corresponde a la resolución de </w:t>
      </w:r>
      <w:r w:rsidR="005C2030">
        <w:rPr>
          <w:rFonts w:ascii="Palatino Linotype" w:hAnsi="Palatino Linotype" w:cs="Arial"/>
          <w:sz w:val="16"/>
        </w:rPr>
        <w:t>veintitrés de enero</w:t>
      </w:r>
      <w:r w:rsidRPr="0040233B">
        <w:rPr>
          <w:rFonts w:ascii="Palatino Linotype" w:hAnsi="Palatino Linotype" w:cs="Arial"/>
          <w:sz w:val="16"/>
        </w:rPr>
        <w:t xml:space="preserve"> del dos mil dieci</w:t>
      </w:r>
      <w:r w:rsidR="005C2030">
        <w:rPr>
          <w:rFonts w:ascii="Palatino Linotype" w:hAnsi="Palatino Linotype" w:cs="Arial"/>
          <w:sz w:val="16"/>
        </w:rPr>
        <w:t>nueve</w:t>
      </w:r>
      <w:r w:rsidRPr="0040233B">
        <w:rPr>
          <w:rFonts w:ascii="Palatino Linotype" w:hAnsi="Palatino Linotype" w:cs="Arial"/>
          <w:sz w:val="16"/>
        </w:rPr>
        <w:t xml:space="preserve">, emitida en el recurso de revisión </w:t>
      </w:r>
      <w:r w:rsidR="00306C3C">
        <w:rPr>
          <w:rFonts w:ascii="Palatino Linotype" w:hAnsi="Palatino Linotype" w:cs="Arial"/>
          <w:bCs/>
          <w:sz w:val="16"/>
        </w:rPr>
        <w:t>04399/INFOEM</w:t>
      </w:r>
      <w:r>
        <w:rPr>
          <w:rFonts w:ascii="Palatino Linotype" w:hAnsi="Palatino Linotype" w:cs="Arial"/>
          <w:bCs/>
          <w:sz w:val="16"/>
        </w:rPr>
        <w:t>/IP/RR/2018</w:t>
      </w:r>
      <w:r w:rsidRPr="0040233B">
        <w:rPr>
          <w:rFonts w:ascii="Palatino Linotype" w:hAnsi="Palatino Linotype" w:cs="Arial"/>
          <w:sz w:val="16"/>
        </w:rPr>
        <w:t xml:space="preserve">. </w:t>
      </w:r>
    </w:p>
    <w:p w14:paraId="218514E6" w14:textId="77777777" w:rsidR="003B3431" w:rsidRDefault="003B3431" w:rsidP="00634692">
      <w:pPr>
        <w:autoSpaceDE w:val="0"/>
        <w:autoSpaceDN w:val="0"/>
        <w:adjustRightInd w:val="0"/>
        <w:spacing w:before="240" w:after="240" w:line="360" w:lineRule="auto"/>
        <w:ind w:right="49"/>
        <w:jc w:val="both"/>
        <w:rPr>
          <w:rFonts w:ascii="Palatino Linotype" w:hAnsi="Palatino Linotype" w:cs="Arial"/>
          <w:color w:val="222222"/>
        </w:rPr>
      </w:pPr>
    </w:p>
    <w:sectPr w:rsidR="003B3431" w:rsidSect="002B62AF">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F0B39" w14:textId="77777777" w:rsidR="009A32C1" w:rsidRDefault="009A32C1" w:rsidP="00C80F8C">
      <w:r>
        <w:separator/>
      </w:r>
    </w:p>
  </w:endnote>
  <w:endnote w:type="continuationSeparator" w:id="0">
    <w:p w14:paraId="7F102F5E" w14:textId="77777777" w:rsidR="009A32C1" w:rsidRDefault="009A32C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717D14" w:rsidRDefault="00717D1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32775">
      <w:rPr>
        <w:rFonts w:ascii="Arial" w:hAnsi="Arial" w:cs="Arial"/>
        <w:b/>
        <w:bCs/>
        <w:noProof/>
        <w:sz w:val="20"/>
        <w:szCs w:val="20"/>
      </w:rPr>
      <w:t>38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32775">
      <w:rPr>
        <w:rFonts w:ascii="Arial" w:hAnsi="Arial" w:cs="Arial"/>
        <w:b/>
        <w:bCs/>
        <w:noProof/>
        <w:sz w:val="20"/>
        <w:szCs w:val="20"/>
      </w:rPr>
      <w:t>38</w:t>
    </w:r>
    <w:r>
      <w:rPr>
        <w:rFonts w:ascii="Arial" w:hAnsi="Arial" w:cs="Arial"/>
        <w:b/>
        <w:bCs/>
        <w:sz w:val="20"/>
        <w:szCs w:val="20"/>
      </w:rPr>
      <w:fldChar w:fldCharType="end"/>
    </w:r>
  </w:p>
  <w:p w14:paraId="1192A578" w14:textId="77777777" w:rsidR="00717D14" w:rsidRDefault="00717D14" w:rsidP="00935A0D">
    <w:pPr>
      <w:pStyle w:val="Piedepgina"/>
      <w:rPr>
        <w:rFonts w:ascii="Times New Roman" w:hAnsi="Times New Roman" w:cs="Times New Roman"/>
      </w:rPr>
    </w:pPr>
  </w:p>
  <w:p w14:paraId="14A770F8" w14:textId="77777777" w:rsidR="00717D14" w:rsidRDefault="00717D1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717D14" w:rsidRDefault="00717D1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3277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32775">
      <w:rPr>
        <w:rFonts w:ascii="Arial" w:hAnsi="Arial" w:cs="Arial"/>
        <w:b/>
        <w:bCs/>
        <w:noProof/>
        <w:sz w:val="20"/>
        <w:szCs w:val="20"/>
      </w:rPr>
      <w:t>38</w:t>
    </w:r>
    <w:r>
      <w:rPr>
        <w:rFonts w:ascii="Arial" w:hAnsi="Arial" w:cs="Arial"/>
        <w:b/>
        <w:bCs/>
        <w:sz w:val="20"/>
        <w:szCs w:val="20"/>
      </w:rPr>
      <w:fldChar w:fldCharType="end"/>
    </w:r>
  </w:p>
  <w:p w14:paraId="5D98ABD5" w14:textId="77777777" w:rsidR="00717D14" w:rsidRDefault="00717D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7EE75" w14:textId="77777777" w:rsidR="009A32C1" w:rsidRDefault="009A32C1" w:rsidP="00C80F8C">
      <w:r>
        <w:separator/>
      </w:r>
    </w:p>
  </w:footnote>
  <w:footnote w:type="continuationSeparator" w:id="0">
    <w:p w14:paraId="2B15EBAD" w14:textId="77777777" w:rsidR="009A32C1" w:rsidRDefault="009A32C1" w:rsidP="00C80F8C">
      <w:r>
        <w:continuationSeparator/>
      </w:r>
    </w:p>
  </w:footnote>
  <w:footnote w:id="1">
    <w:p w14:paraId="0A9537F1" w14:textId="06DF3D83" w:rsidR="0084751D" w:rsidRDefault="0084751D">
      <w:pPr>
        <w:pStyle w:val="Textonotapie"/>
      </w:pPr>
    </w:p>
  </w:footnote>
  <w:footnote w:id="2">
    <w:p w14:paraId="520417D0" w14:textId="77777777" w:rsidR="00717D14" w:rsidRPr="00694779" w:rsidRDefault="00717D14" w:rsidP="00B67939">
      <w:pPr>
        <w:pStyle w:val="Textonotapie"/>
        <w:jc w:val="both"/>
        <w:rPr>
          <w:rFonts w:ascii="Palatino Linotype" w:hAnsi="Palatino Linotype"/>
          <w:i/>
          <w:sz w:val="16"/>
          <w:szCs w:val="16"/>
        </w:rPr>
      </w:pPr>
      <w:r>
        <w:rPr>
          <w:rStyle w:val="Refdenotaalpie"/>
        </w:rPr>
        <w:footnoteRef/>
      </w:r>
      <w:r>
        <w:t xml:space="preserve"> “</w:t>
      </w:r>
      <w:r w:rsidRPr="00694779">
        <w:rPr>
          <w:rFonts w:ascii="Palatino Linotype" w:hAnsi="Palatino Linotype"/>
          <w:b/>
          <w:i/>
          <w:sz w:val="16"/>
          <w:szCs w:val="16"/>
        </w:rPr>
        <w:t>Artículo 31.-</w:t>
      </w:r>
      <w:r w:rsidRPr="00694779">
        <w:rPr>
          <w:rFonts w:ascii="Palatino Linotype" w:hAnsi="Palatino Linotype"/>
          <w:i/>
          <w:sz w:val="16"/>
          <w:szCs w:val="16"/>
        </w:rPr>
        <w:t xml:space="preserve"> Son atribuciones de los ayuntamientos:… 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footnote>
  <w:footnote w:id="3">
    <w:p w14:paraId="02125983" w14:textId="77777777" w:rsidR="00717D14" w:rsidRPr="00694779" w:rsidRDefault="00717D14" w:rsidP="00B67939">
      <w:pPr>
        <w:pStyle w:val="Textonotapie"/>
        <w:jc w:val="both"/>
        <w:rPr>
          <w:rFonts w:ascii="Palatino Linotype" w:hAnsi="Palatino Linotype"/>
          <w:i/>
          <w:sz w:val="16"/>
          <w:szCs w:val="16"/>
        </w:rPr>
      </w:pPr>
      <w:r>
        <w:rPr>
          <w:rStyle w:val="Refdenotaalpie"/>
        </w:rPr>
        <w:footnoteRef/>
      </w:r>
      <w:r>
        <w:t xml:space="preserve"> “</w:t>
      </w:r>
      <w:r w:rsidRPr="00694779">
        <w:rPr>
          <w:rFonts w:ascii="Palatino Linotype" w:hAnsi="Palatino Linotype"/>
          <w:b/>
          <w:i/>
          <w:sz w:val="16"/>
          <w:szCs w:val="16"/>
        </w:rPr>
        <w:t>Artículo 4.-</w:t>
      </w:r>
      <w:r w:rsidRPr="00694779">
        <w:rPr>
          <w:rFonts w:ascii="Palatino Linotype" w:hAnsi="Palatino Linotype"/>
          <w:i/>
          <w:sz w:val="16"/>
          <w:szCs w:val="16"/>
        </w:rPr>
        <w:t xml:space="preserve"> Son sujetos de fiscalización:… II. Los municipios del Estado de México;</w:t>
      </w:r>
      <w:r>
        <w:rPr>
          <w:rFonts w:ascii="Palatino Linotype" w:hAnsi="Palatino Linotype"/>
          <w:i/>
          <w:sz w:val="16"/>
          <w:szCs w:val="16"/>
        </w:rPr>
        <w:t>…”</w:t>
      </w:r>
    </w:p>
  </w:footnote>
  <w:footnote w:id="4">
    <w:p w14:paraId="5551D9F6" w14:textId="77777777" w:rsidR="00717D14" w:rsidRPr="00544E0A" w:rsidRDefault="00717D14" w:rsidP="00B67939">
      <w:pPr>
        <w:autoSpaceDE w:val="0"/>
        <w:autoSpaceDN w:val="0"/>
        <w:adjustRightInd w:val="0"/>
        <w:rPr>
          <w:rFonts w:ascii="Palatino Linotype" w:eastAsiaTheme="minorEastAsia" w:hAnsi="Palatino Linotype" w:cs="Bookman Old Style"/>
          <w:i/>
          <w:sz w:val="16"/>
          <w:szCs w:val="16"/>
          <w:lang w:val="es-MX"/>
        </w:rPr>
      </w:pPr>
      <w:r>
        <w:rPr>
          <w:rStyle w:val="Refdenotaalpie"/>
        </w:rPr>
        <w:footnoteRef/>
      </w:r>
      <w:r>
        <w:t xml:space="preserve"> “</w:t>
      </w:r>
      <w:r w:rsidRPr="00544E0A">
        <w:rPr>
          <w:rFonts w:ascii="Palatino Linotype" w:eastAsiaTheme="minorEastAsia" w:hAnsi="Palatino Linotype" w:cs="Bookman Old Style,Bold"/>
          <w:b/>
          <w:bCs/>
          <w:i/>
          <w:sz w:val="16"/>
          <w:szCs w:val="16"/>
          <w:lang w:val="es-MX"/>
        </w:rPr>
        <w:t xml:space="preserve">Artículo 23. </w:t>
      </w:r>
      <w:r w:rsidRPr="00544E0A">
        <w:rPr>
          <w:rFonts w:ascii="Palatino Linotype" w:eastAsiaTheme="minorEastAsia" w:hAnsi="Palatino Linotype" w:cs="Bookman Old Style"/>
          <w:i/>
          <w:sz w:val="16"/>
          <w:szCs w:val="16"/>
          <w:lang w:val="es-MX"/>
        </w:rPr>
        <w:t>Son sujetos obligados a transparentar y permitir el acceso a su información y proteger los</w:t>
      </w:r>
      <w:r>
        <w:rPr>
          <w:rFonts w:ascii="Palatino Linotype" w:eastAsiaTheme="minorEastAsia" w:hAnsi="Palatino Linotype" w:cs="Bookman Old Style"/>
          <w:i/>
          <w:sz w:val="16"/>
          <w:szCs w:val="16"/>
          <w:lang w:val="es-MX"/>
        </w:rPr>
        <w:t xml:space="preserve"> </w:t>
      </w:r>
      <w:r w:rsidRPr="00544E0A">
        <w:rPr>
          <w:rFonts w:ascii="Palatino Linotype" w:eastAsiaTheme="minorEastAsia" w:hAnsi="Palatino Linotype" w:cs="Bookman Old Style"/>
          <w:i/>
          <w:sz w:val="16"/>
          <w:szCs w:val="16"/>
          <w:lang w:val="es-MX"/>
        </w:rPr>
        <w:t>datos personales que obren en su poder:</w:t>
      </w:r>
    </w:p>
    <w:p w14:paraId="40238623" w14:textId="77777777" w:rsidR="00717D14" w:rsidRPr="00544E0A" w:rsidRDefault="00717D14" w:rsidP="00B67939">
      <w:pPr>
        <w:autoSpaceDE w:val="0"/>
        <w:autoSpaceDN w:val="0"/>
        <w:adjustRightInd w:val="0"/>
        <w:rPr>
          <w:rFonts w:ascii="Palatino Linotype" w:eastAsiaTheme="minorEastAsia" w:hAnsi="Palatino Linotype" w:cs="Bookman Old Style"/>
          <w:i/>
          <w:sz w:val="16"/>
          <w:szCs w:val="16"/>
          <w:lang w:val="es-MX"/>
        </w:rPr>
      </w:pPr>
      <w:r w:rsidRPr="00544E0A">
        <w:rPr>
          <w:rFonts w:ascii="Palatino Linotype" w:eastAsiaTheme="minorEastAsia" w:hAnsi="Palatino Linotype" w:cs="Bookman Old Style"/>
          <w:i/>
          <w:sz w:val="16"/>
          <w:szCs w:val="16"/>
          <w:lang w:val="es-MX"/>
        </w:rPr>
        <w:t>(…)</w:t>
      </w:r>
    </w:p>
    <w:p w14:paraId="2DDDC967" w14:textId="77777777" w:rsidR="00717D14" w:rsidRPr="00544E0A" w:rsidRDefault="00717D14" w:rsidP="00B67939">
      <w:pPr>
        <w:autoSpaceDE w:val="0"/>
        <w:autoSpaceDN w:val="0"/>
        <w:adjustRightInd w:val="0"/>
        <w:jc w:val="both"/>
        <w:rPr>
          <w:rFonts w:ascii="Palatino Linotype" w:hAnsi="Palatino Linotype"/>
          <w:i/>
          <w:sz w:val="16"/>
          <w:szCs w:val="16"/>
        </w:rPr>
      </w:pPr>
      <w:r w:rsidRPr="00544E0A">
        <w:rPr>
          <w:rFonts w:ascii="Palatino Linotype" w:eastAsiaTheme="minorEastAsia" w:hAnsi="Palatino Linotype" w:cs="Bookman Old Style"/>
          <w:i/>
          <w:sz w:val="16"/>
          <w:szCs w:val="16"/>
          <w:lang w:val="es-MX"/>
        </w:rPr>
        <w:t>Los sujetos obligados deberán hacer pública toda aquella información relativa a los montos y las</w:t>
      </w:r>
      <w:r>
        <w:rPr>
          <w:rFonts w:ascii="Palatino Linotype" w:eastAsiaTheme="minorEastAsia" w:hAnsi="Palatino Linotype" w:cs="Bookman Old Style"/>
          <w:i/>
          <w:sz w:val="16"/>
          <w:szCs w:val="16"/>
          <w:lang w:val="es-MX"/>
        </w:rPr>
        <w:t xml:space="preserve"> </w:t>
      </w:r>
      <w:r w:rsidRPr="00544E0A">
        <w:rPr>
          <w:rFonts w:ascii="Palatino Linotype" w:eastAsiaTheme="minorEastAsia" w:hAnsi="Palatino Linotype" w:cs="Bookman Old Style"/>
          <w:i/>
          <w:sz w:val="16"/>
          <w:szCs w:val="16"/>
          <w:lang w:val="es-MX"/>
        </w:rPr>
        <w:t>personas a quienes entreguen, por cualquier motivo, recursos públicos, así como los informes que</w:t>
      </w:r>
      <w:r>
        <w:rPr>
          <w:rFonts w:ascii="Palatino Linotype" w:eastAsiaTheme="minorEastAsia" w:hAnsi="Palatino Linotype" w:cs="Bookman Old Style"/>
          <w:i/>
          <w:sz w:val="16"/>
          <w:szCs w:val="16"/>
          <w:lang w:val="es-MX"/>
        </w:rPr>
        <w:t xml:space="preserve"> </w:t>
      </w:r>
      <w:r w:rsidRPr="00544E0A">
        <w:rPr>
          <w:rFonts w:ascii="Palatino Linotype" w:eastAsiaTheme="minorEastAsia" w:hAnsi="Palatino Linotype" w:cs="Bookman Old Style"/>
          <w:i/>
          <w:sz w:val="16"/>
          <w:szCs w:val="16"/>
          <w:lang w:val="es-MX"/>
        </w:rPr>
        <w:t>dichas personas les entreguen sobre el uso y destino de dichos recursos</w:t>
      </w:r>
      <w:r>
        <w:rPr>
          <w:rFonts w:ascii="Palatino Linotype" w:eastAsiaTheme="minorEastAsia" w:hAnsi="Palatino Linotype" w:cs="Bookman Old Style"/>
          <w:i/>
          <w:sz w:val="16"/>
          <w:szCs w:val="16"/>
          <w:lang w:val="es-MX"/>
        </w:rPr>
        <w:t>…”</w:t>
      </w:r>
    </w:p>
  </w:footnote>
  <w:footnote w:id="5">
    <w:p w14:paraId="51075E15" w14:textId="77777777" w:rsidR="00312EFF" w:rsidRPr="00312EFF" w:rsidRDefault="00312EFF" w:rsidP="00312EFF">
      <w:pPr>
        <w:spacing w:after="120"/>
        <w:ind w:right="-93"/>
        <w:jc w:val="both"/>
        <w:rPr>
          <w:rFonts w:ascii="Palatino Linotype" w:hAnsi="Palatino Linotype"/>
          <w:i/>
          <w:sz w:val="16"/>
          <w:szCs w:val="16"/>
        </w:rPr>
      </w:pPr>
      <w:r w:rsidRPr="00312EFF">
        <w:rPr>
          <w:rStyle w:val="Refdenotaalpie"/>
          <w:sz w:val="16"/>
          <w:szCs w:val="16"/>
        </w:rPr>
        <w:footnoteRef/>
      </w:r>
      <w:r w:rsidRPr="00312EFF">
        <w:rPr>
          <w:sz w:val="16"/>
          <w:szCs w:val="16"/>
        </w:rPr>
        <w:t xml:space="preserve"> </w:t>
      </w:r>
      <w:r w:rsidRPr="00312EFF">
        <w:rPr>
          <w:rFonts w:ascii="Palatino Linotype" w:hAnsi="Palatino Linotype"/>
          <w:b/>
          <w:i/>
          <w:sz w:val="16"/>
          <w:szCs w:val="16"/>
        </w:rPr>
        <w:t>"AGRAVIOS EN LA REVISION. DEBEN ESTAR EN RELACION DIRECTA CON LOS FUNDAMENTOS Y CONSIDERACIONES DE LA SENTENCIA.-</w:t>
      </w:r>
      <w:r w:rsidRPr="00312EFF">
        <w:rPr>
          <w:rFonts w:ascii="Palatino Linotype" w:hAnsi="Palatino Linotype"/>
          <w:i/>
          <w:sz w:val="16"/>
          <w:szCs w:val="16"/>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280BAA80" w14:textId="188C14D1" w:rsidR="00312EFF" w:rsidRDefault="00312EFF">
      <w:pPr>
        <w:pStyle w:val="Textonotapie"/>
      </w:pPr>
    </w:p>
  </w:footnote>
  <w:footnote w:id="6">
    <w:p w14:paraId="427FF0E1" w14:textId="48DE564E" w:rsidR="00D439E6" w:rsidRPr="00D439E6" w:rsidRDefault="00D439E6">
      <w:pPr>
        <w:pStyle w:val="Textonotapie"/>
        <w:rPr>
          <w:rFonts w:ascii="Palatino Linotype" w:hAnsi="Palatino Linotype"/>
          <w:sz w:val="16"/>
          <w:szCs w:val="16"/>
        </w:rPr>
      </w:pPr>
      <w:r>
        <w:rPr>
          <w:rStyle w:val="Refdenotaalpie"/>
        </w:rPr>
        <w:footnoteRef/>
      </w:r>
      <w:r>
        <w:t xml:space="preserve"> </w:t>
      </w:r>
      <w:r w:rsidRPr="00D439E6">
        <w:rPr>
          <w:rFonts w:ascii="Palatino Linotype" w:hAnsi="Palatino Linotype"/>
          <w:i/>
          <w:sz w:val="16"/>
          <w:szCs w:val="16"/>
        </w:rPr>
        <w:t>Artículo 163. La Unidad de Transparencia deberá notificar la respuesta a la solicitud al interesado en el menor tiempo posible, que no podrá exceder de quince días hábiles, contados a partir del día siguiente a la presentación de aquélla.</w:t>
      </w:r>
      <w:r>
        <w:rPr>
          <w:rFonts w:ascii="Palatino Linotype" w:hAnsi="Palatino Linotype"/>
          <w:i/>
          <w:sz w:val="16"/>
          <w:szCs w:val="16"/>
        </w:rPr>
        <w:t xml:space="preserve"> </w:t>
      </w:r>
      <w:r>
        <w:rPr>
          <w:rFonts w:ascii="Palatino Linotype" w:hAnsi="Palatino Linotype"/>
          <w:sz w:val="16"/>
          <w:szCs w:val="16"/>
        </w:rPr>
        <w:t xml:space="preserve"> De la Ley de Transparencia y Acceso a la Información Pública del estado de México y Municipios.</w:t>
      </w:r>
    </w:p>
  </w:footnote>
  <w:footnote w:id="7">
    <w:p w14:paraId="7201D0E6" w14:textId="77777777" w:rsidR="00717D14" w:rsidRPr="00881D8A" w:rsidRDefault="00717D14" w:rsidP="00E40D16">
      <w:pPr>
        <w:pStyle w:val="Textonotapie"/>
        <w:jc w:val="both"/>
        <w:rPr>
          <w:i/>
          <w:sz w:val="16"/>
          <w:szCs w:val="16"/>
        </w:rPr>
      </w:pPr>
      <w:r>
        <w:rPr>
          <w:rStyle w:val="Refdenotaalpie"/>
        </w:rPr>
        <w:footnoteRef/>
      </w:r>
      <w:r>
        <w:t xml:space="preserve"> </w:t>
      </w:r>
      <w:r w:rsidRPr="00881D8A">
        <w:rPr>
          <w:b/>
          <w:i/>
          <w:sz w:val="16"/>
          <w:szCs w:val="16"/>
        </w:rPr>
        <w:t>Artículo 46</w:t>
      </w:r>
      <w:r w:rsidRPr="00881D8A">
        <w:rPr>
          <w:i/>
          <w:sz w:val="16"/>
          <w:szCs w:val="16"/>
        </w:rPr>
        <w:t>.- Las instituciones de crédito sólo podrán realizar las operaciones siguientes: I. Recibir depósitos bancarios de dinero: a) A la vista; b) Retirables en días preestablecidos; c) De ahorro, y d) A plazo o con previo aviso; II. Aceptar préstamos y créditos; III. Emitir bonos bancarios; IV. Emitir obligaciones subordinadas; V. Constituir depósitos en instituciones de crédito y entidades financieras del exterior; VI. Efectuar descuentos y otorgar préstamos o créditos; VII. Expedir tarjetas de crédito con base en contratos de apertura de crédito en cuenta corriente; VIII. Asumir obligaciones por cuenta de terceros, con base en créditos concedidos, a través del otorgamiento de aceptaciones, endoso o aval de títulos de crédito, así como de la expedición de cartas de crédito; IX. Operar con valores en los términos de las disposiciones de la presente Ley y de la Ley Mercado de Valores; X. Promover la organización y transformación de toda clase de empresas o sociedades mercantiles y suscribir y conservar acciones o partes de interés en las mismas, en los términos de esta Ley; XI. Operar con documentos mercantiles por cuenta propia; XII. Llevar a cabo por cuenta propia o de terceros operaciones con oro, plata y divisas, incluyendo reportos sobre estas últimas; XIII. Prestar servicio de cajas de seguridad; XIV. Expedir cartas de crédito previa recepción de su importe, hacer efectivos créditos y realizar pagos por cuenta de clientes; XV. Practicar las operaciones de fideicomiso a que se refiere la Ley General de Títulos y Operaciones de Crédito, y llevar a cabo mandatos y comisiones; Las instituciones de crédito podrán celebrar operaciones consigo mismas en el cumplimiento de fideicomisos, mandatos o comisiones, cuando el Banco de México lo autorice mediante disposiciones de carácter general, en las que se establezcan requisitos, términos y condiciones que promuevan que las operaciones de referencia se realicen en congruencia con las condiciones de mercado al tiempo de su celebración, así como que se eviten conflictos de interés; XVI. Recibir depósitos en administración o custodia, o en garantía por cuenta de terceros, de títulos o valores y en general de documentos mercantiles; XVII. Actuar como representante común de los tenedores de títulos de crédito; XVIII. Hacer servicio de caja y tesorería relativo a títulos de crédito, por cuenta de las emisoras; XIX. Llevar la contabilidad y los libros de actas y de registro de sociedades y empresas; XX. Desempeñar el cargo de albacea; XXI. Desempeñar la sindicatura o encargarse de la liquidación judicial o extrajudicial de negociaciones, establecimientos, concursos o herencias; XXII. Encargarse de hacer avalúos que tendrán la misma fuerza probatoria que las leyes asignan a los hechos por corredor público o perito; XXIII. Adquirir los bienes muebles e inmuebles necesarios para la realización de su objeto y enajenarlos cuando corresponda, y XXIV. Celebrar contratos de arrendamiento financiero y adquirir los bienes que sean objeto de tales contratos. XXV. Realizar operaciones derivadas, sujetándose a las disposiciones técnicas y operativas que expida el Banco de México, en las cuales se establezcan las características de dichas operaciones, tales como tipos, plazos, contrapartes, subyacentes, garantías y formas de liquidación; XXVI. Efectuar operaciones de factoraje financiero; XXVI bis. Emitir y poner en circulación cualquier medio de pago que determine el Banco de México, sujetándose a las disposiciones técnicas y operativas que éste expida, en las cuales se establezcan entre otras características, las relativas a su uso, monto y vigencia, a fin de propiciar el uso de diversos medios de pago; XXVII. Intervenir en la contratación de seguros para lo cual deberán cumplir con lo establecido en la Ley General de Instituciones y Sociedades Mutualistas de Seguros y en las disposiciones de carácter general que de la misma emanen, XXVIII. Las análogas o conexas que autorice la Secretaría de Hacienda y Crédito Público, oyendo la opinión del Banco de México y de la Comisión Nacional Bancaria y de Valores. Las instituciones de banca múltiple únicamente podrán realizar aquellas operaciones previstas en las fracciones anteriores que estén expresamente contempladas en sus estatutos sociales, previa aprobación de la Comisión Nacional Bancaria y de Valores en términos de lo dispuesto por los artículos 9o. y 46 Bis de la presente Ley. La Secretaría de Hacienda y Crédito Público, la Comisión Nacional Bancaria y de Valores y el Banco de México, dentro de la regulación que deban emitir en el ámbito de su competencia, deberán considerar las operaciones que las instituciones de banca múltiple estén autorizadas a realizar conforme a lo previsto en los artículos 8o., 10 y 46 Bis de esta Ley, y diferenciar, cuando lo estimen procedente, dicha regulación en aspectos tales como la infraestructura con que deberán contar y la información que deberán proporcionar, entre otros. Asimismo, se podrán considerar los modelos de negocios o características de sus operaciones.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717D14" w14:paraId="6B4E3B81" w14:textId="77777777" w:rsidTr="009D4854">
      <w:tc>
        <w:tcPr>
          <w:tcW w:w="2553" w:type="dxa"/>
          <w:vAlign w:val="center"/>
          <w:hideMark/>
        </w:tcPr>
        <w:p w14:paraId="0ABBC6C0" w14:textId="77777777" w:rsidR="00717D14" w:rsidRDefault="00717D14"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56DE590E" w:rsidR="00717D14" w:rsidRDefault="00717D14" w:rsidP="00306C3C">
          <w:pPr>
            <w:rPr>
              <w:rFonts w:ascii="Palatino Linotype" w:hAnsi="Palatino Linotype"/>
              <w:b/>
              <w:sz w:val="22"/>
              <w:szCs w:val="22"/>
              <w:lang w:val="es-ES_tradnl"/>
            </w:rPr>
          </w:pPr>
          <w:r w:rsidRPr="004440AC">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4399</w:t>
          </w:r>
          <w:r>
            <w:rPr>
              <w:rFonts w:ascii="Palatino Linotype" w:eastAsiaTheme="minorEastAsia" w:hAnsi="Palatino Linotype" w:cs="Arial"/>
              <w:b/>
              <w:bCs/>
              <w:sz w:val="22"/>
              <w:szCs w:val="22"/>
              <w:lang w:val="es-MX"/>
            </w:rPr>
            <w:t>/INFOEM/IP/RR/2018</w:t>
          </w:r>
        </w:p>
      </w:tc>
    </w:tr>
    <w:tr w:rsidR="00717D14" w14:paraId="31CB780F" w14:textId="77777777" w:rsidTr="009D4854">
      <w:trPr>
        <w:trHeight w:val="228"/>
      </w:trPr>
      <w:tc>
        <w:tcPr>
          <w:tcW w:w="2553" w:type="dxa"/>
          <w:vAlign w:val="center"/>
          <w:hideMark/>
        </w:tcPr>
        <w:p w14:paraId="4F49CB4A" w14:textId="6966D32E" w:rsidR="00717D14" w:rsidRDefault="00717D14"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78FBF7E0" w:rsidR="00717D14" w:rsidRDefault="00717D14" w:rsidP="007317F8">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 xml:space="preserve">Ayuntamiento de Almoloya de </w:t>
          </w:r>
          <w:proofErr w:type="spellStart"/>
          <w:r>
            <w:rPr>
              <w:rFonts w:ascii="Palatino Linotype" w:eastAsiaTheme="minorEastAsia" w:hAnsi="Palatino Linotype" w:cs="Arial"/>
              <w:b/>
              <w:sz w:val="22"/>
              <w:szCs w:val="22"/>
              <w:lang w:val="es-MX"/>
            </w:rPr>
            <w:t>Alquisiras</w:t>
          </w:r>
          <w:proofErr w:type="spellEnd"/>
        </w:p>
      </w:tc>
    </w:tr>
    <w:tr w:rsidR="00717D14" w14:paraId="69050F56" w14:textId="77777777" w:rsidTr="009D4854">
      <w:tc>
        <w:tcPr>
          <w:tcW w:w="2553" w:type="dxa"/>
          <w:vAlign w:val="center"/>
          <w:hideMark/>
        </w:tcPr>
        <w:p w14:paraId="65C9B735" w14:textId="1BD9C7F4" w:rsidR="00717D14" w:rsidRDefault="00717D14"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717D14" w:rsidRDefault="00717D14"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717D14" w:rsidRDefault="00717D14" w:rsidP="006F30F8">
    <w:pPr>
      <w:pStyle w:val="Encabezado"/>
      <w:tabs>
        <w:tab w:val="clear" w:pos="4252"/>
        <w:tab w:val="clear" w:pos="8504"/>
        <w:tab w:val="left" w:pos="2326"/>
      </w:tabs>
    </w:pPr>
    <w:r>
      <w:tab/>
    </w:r>
  </w:p>
  <w:p w14:paraId="23403E59" w14:textId="77777777" w:rsidR="00717D14" w:rsidRDefault="00717D14"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717D14" w:rsidRDefault="00717D14"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717D14" w14:paraId="477E149B" w14:textId="77777777" w:rsidTr="00C47D1B">
      <w:tc>
        <w:tcPr>
          <w:tcW w:w="2553" w:type="dxa"/>
          <w:vAlign w:val="center"/>
          <w:hideMark/>
        </w:tcPr>
        <w:p w14:paraId="5C0586E4" w14:textId="77777777" w:rsidR="00717D14" w:rsidRDefault="00717D14"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2D1E28E8" w:rsidR="00717D14" w:rsidRPr="004440AC" w:rsidRDefault="00717D14" w:rsidP="00306C3C">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4399</w:t>
          </w:r>
          <w:r w:rsidRPr="004440AC">
            <w:rPr>
              <w:rFonts w:ascii="Palatino Linotype" w:eastAsiaTheme="minorEastAsia" w:hAnsi="Palatino Linotype" w:cs="Arial"/>
              <w:b/>
              <w:bCs/>
              <w:sz w:val="22"/>
              <w:szCs w:val="22"/>
              <w:lang w:val="es-MX"/>
            </w:rPr>
            <w:t>/INFOEM/IP/RR/201</w:t>
          </w:r>
          <w:r>
            <w:rPr>
              <w:rFonts w:ascii="Palatino Linotype" w:eastAsiaTheme="minorEastAsia" w:hAnsi="Palatino Linotype" w:cs="Arial"/>
              <w:b/>
              <w:bCs/>
              <w:sz w:val="22"/>
              <w:szCs w:val="22"/>
              <w:lang w:val="es-MX"/>
            </w:rPr>
            <w:t>8</w:t>
          </w:r>
        </w:p>
      </w:tc>
    </w:tr>
    <w:tr w:rsidR="00717D14" w14:paraId="5B5BE21C" w14:textId="77777777" w:rsidTr="00C47D1B">
      <w:tc>
        <w:tcPr>
          <w:tcW w:w="2553" w:type="dxa"/>
          <w:vAlign w:val="center"/>
          <w:hideMark/>
        </w:tcPr>
        <w:p w14:paraId="4AE96902" w14:textId="4E063913" w:rsidR="00717D14" w:rsidRDefault="00717D14"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60F9A2BD" w:rsidR="00717D14" w:rsidRPr="004440AC" w:rsidRDefault="000368E3" w:rsidP="000368E3">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 xml:space="preserve">XXXXXXX XXXXXXXXX XXXXX XXXXXX </w:t>
          </w:r>
        </w:p>
      </w:tc>
    </w:tr>
    <w:tr w:rsidR="00717D14" w14:paraId="22601A11" w14:textId="77777777" w:rsidTr="00C47D1B">
      <w:trPr>
        <w:trHeight w:val="228"/>
      </w:trPr>
      <w:tc>
        <w:tcPr>
          <w:tcW w:w="2553" w:type="dxa"/>
          <w:vAlign w:val="center"/>
          <w:hideMark/>
        </w:tcPr>
        <w:p w14:paraId="6EFE221D" w14:textId="49C5F800" w:rsidR="00717D14" w:rsidRDefault="00717D14"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7B0A37A9" w:rsidR="00717D14" w:rsidRPr="004440AC" w:rsidRDefault="00717D14" w:rsidP="007317F8">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 xml:space="preserve">Ayuntamiento de Almoloya de </w:t>
          </w:r>
          <w:proofErr w:type="spellStart"/>
          <w:r>
            <w:rPr>
              <w:rFonts w:ascii="Palatino Linotype" w:eastAsiaTheme="minorEastAsia" w:hAnsi="Palatino Linotype" w:cs="Arial"/>
              <w:b/>
              <w:sz w:val="22"/>
              <w:szCs w:val="22"/>
              <w:lang w:val="es-MX"/>
            </w:rPr>
            <w:t>Alquisiras</w:t>
          </w:r>
          <w:proofErr w:type="spellEnd"/>
        </w:p>
      </w:tc>
    </w:tr>
    <w:tr w:rsidR="00717D14" w14:paraId="2D6C630E" w14:textId="77777777" w:rsidTr="00C47D1B">
      <w:tc>
        <w:tcPr>
          <w:tcW w:w="2553" w:type="dxa"/>
          <w:vAlign w:val="center"/>
          <w:hideMark/>
        </w:tcPr>
        <w:p w14:paraId="5BD4C6DB" w14:textId="0AEF79C2" w:rsidR="00717D14" w:rsidRDefault="00717D14"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717D14" w:rsidRPr="004440AC" w:rsidRDefault="00717D14"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717D14" w:rsidRDefault="00717D14"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32EB"/>
    <w:multiLevelType w:val="hybridMultilevel"/>
    <w:tmpl w:val="1AC8C468"/>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D1543"/>
    <w:multiLevelType w:val="hybridMultilevel"/>
    <w:tmpl w:val="CA3C02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A14AA5"/>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574E8F"/>
    <w:multiLevelType w:val="hybridMultilevel"/>
    <w:tmpl w:val="18FE07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4E48A1"/>
    <w:multiLevelType w:val="hybridMultilevel"/>
    <w:tmpl w:val="6E0EA8B8"/>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176346"/>
    <w:multiLevelType w:val="hybridMultilevel"/>
    <w:tmpl w:val="5012131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ADA4F2E"/>
    <w:multiLevelType w:val="hybridMultilevel"/>
    <w:tmpl w:val="C8B07C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6E7098"/>
    <w:multiLevelType w:val="hybridMultilevel"/>
    <w:tmpl w:val="804A3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730551"/>
    <w:multiLevelType w:val="hybridMultilevel"/>
    <w:tmpl w:val="72DE164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1249C7"/>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841246"/>
    <w:multiLevelType w:val="hybridMultilevel"/>
    <w:tmpl w:val="64DCA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AE96E7B"/>
    <w:multiLevelType w:val="hybridMultilevel"/>
    <w:tmpl w:val="5CE09B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BC1C7C"/>
    <w:multiLevelType w:val="hybridMultilevel"/>
    <w:tmpl w:val="D982EE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7968A0"/>
    <w:multiLevelType w:val="hybridMultilevel"/>
    <w:tmpl w:val="85B4E934"/>
    <w:lvl w:ilvl="0" w:tplc="AD6C898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54C4246"/>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951347"/>
    <w:multiLevelType w:val="hybridMultilevel"/>
    <w:tmpl w:val="6C649A0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4A00262C"/>
    <w:multiLevelType w:val="hybridMultilevel"/>
    <w:tmpl w:val="611E4B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B525BE"/>
    <w:multiLevelType w:val="hybridMultilevel"/>
    <w:tmpl w:val="0BA6577E"/>
    <w:lvl w:ilvl="0" w:tplc="AD286794">
      <w:start w:val="9"/>
      <w:numFmt w:val="bullet"/>
      <w:lvlText w:val="-"/>
      <w:lvlJc w:val="left"/>
      <w:pPr>
        <w:ind w:left="720" w:hanging="360"/>
      </w:pPr>
      <w:rPr>
        <w:rFonts w:ascii="Palatino Linotype" w:eastAsiaTheme="minorEastAsia"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D20988"/>
    <w:multiLevelType w:val="hybridMultilevel"/>
    <w:tmpl w:val="CA3C02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9E0C10"/>
    <w:multiLevelType w:val="hybridMultilevel"/>
    <w:tmpl w:val="5CE09B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5F7C7A"/>
    <w:multiLevelType w:val="hybridMultilevel"/>
    <w:tmpl w:val="91B8B9CC"/>
    <w:lvl w:ilvl="0" w:tplc="B73C20D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494D6A"/>
    <w:multiLevelType w:val="hybridMultilevel"/>
    <w:tmpl w:val="5F466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9C3912"/>
    <w:multiLevelType w:val="hybridMultilevel"/>
    <w:tmpl w:val="2D4C2C1A"/>
    <w:lvl w:ilvl="0" w:tplc="52644142">
      <w:start w:val="1"/>
      <w:numFmt w:val="decimal"/>
      <w:lvlText w:val="%1."/>
      <w:lvlJc w:val="left"/>
      <w:pPr>
        <w:ind w:left="780" w:hanging="360"/>
      </w:pPr>
      <w:rPr>
        <w:rFonts w:hint="default"/>
        <w:b/>
        <w:i w:val="0"/>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60D0444A"/>
    <w:multiLevelType w:val="hybridMultilevel"/>
    <w:tmpl w:val="9B349428"/>
    <w:lvl w:ilvl="0" w:tplc="91003BC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637E218F"/>
    <w:multiLevelType w:val="hybridMultilevel"/>
    <w:tmpl w:val="63FAFFF6"/>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63AA33D4"/>
    <w:multiLevelType w:val="hybridMultilevel"/>
    <w:tmpl w:val="FABA3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1EF3BDE"/>
    <w:multiLevelType w:val="hybridMultilevel"/>
    <w:tmpl w:val="C464BF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23"/>
  </w:num>
  <w:num w:numId="3">
    <w:abstractNumId w:val="8"/>
  </w:num>
  <w:num w:numId="4">
    <w:abstractNumId w:val="15"/>
  </w:num>
  <w:num w:numId="5">
    <w:abstractNumId w:val="13"/>
  </w:num>
  <w:num w:numId="6">
    <w:abstractNumId w:val="26"/>
  </w:num>
  <w:num w:numId="7">
    <w:abstractNumId w:val="4"/>
  </w:num>
  <w:num w:numId="8">
    <w:abstractNumId w:val="25"/>
  </w:num>
  <w:num w:numId="9">
    <w:abstractNumId w:val="0"/>
  </w:num>
  <w:num w:numId="10">
    <w:abstractNumId w:val="28"/>
  </w:num>
  <w:num w:numId="11">
    <w:abstractNumId w:val="11"/>
  </w:num>
  <w:num w:numId="12">
    <w:abstractNumId w:val="29"/>
  </w:num>
  <w:num w:numId="13">
    <w:abstractNumId w:val="2"/>
  </w:num>
  <w:num w:numId="14">
    <w:abstractNumId w:val="22"/>
  </w:num>
  <w:num w:numId="15">
    <w:abstractNumId w:val="7"/>
  </w:num>
  <w:num w:numId="16">
    <w:abstractNumId w:val="20"/>
  </w:num>
  <w:num w:numId="17">
    <w:abstractNumId w:val="16"/>
  </w:num>
  <w:num w:numId="18">
    <w:abstractNumId w:val="1"/>
  </w:num>
  <w:num w:numId="19">
    <w:abstractNumId w:val="9"/>
  </w:num>
  <w:num w:numId="20">
    <w:abstractNumId w:val="17"/>
  </w:num>
  <w:num w:numId="21">
    <w:abstractNumId w:val="5"/>
  </w:num>
  <w:num w:numId="22">
    <w:abstractNumId w:val="12"/>
  </w:num>
  <w:num w:numId="23">
    <w:abstractNumId w:val="21"/>
  </w:num>
  <w:num w:numId="24">
    <w:abstractNumId w:val="19"/>
  </w:num>
  <w:num w:numId="25">
    <w:abstractNumId w:val="27"/>
  </w:num>
  <w:num w:numId="26">
    <w:abstractNumId w:val="18"/>
  </w:num>
  <w:num w:numId="27">
    <w:abstractNumId w:val="6"/>
  </w:num>
  <w:num w:numId="28">
    <w:abstractNumId w:val="3"/>
  </w:num>
  <w:num w:numId="29">
    <w:abstractNumId w:val="14"/>
  </w:num>
  <w:num w:numId="3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11B5"/>
    <w:rsid w:val="00003255"/>
    <w:rsid w:val="000035AE"/>
    <w:rsid w:val="0000625E"/>
    <w:rsid w:val="000064FC"/>
    <w:rsid w:val="00007CF3"/>
    <w:rsid w:val="00007D6B"/>
    <w:rsid w:val="00011FE4"/>
    <w:rsid w:val="00012A5F"/>
    <w:rsid w:val="000155F8"/>
    <w:rsid w:val="000163E2"/>
    <w:rsid w:val="00017394"/>
    <w:rsid w:val="00017BE1"/>
    <w:rsid w:val="00020A18"/>
    <w:rsid w:val="00020FBB"/>
    <w:rsid w:val="00021E8D"/>
    <w:rsid w:val="0002371F"/>
    <w:rsid w:val="000239D7"/>
    <w:rsid w:val="00023C79"/>
    <w:rsid w:val="000252E9"/>
    <w:rsid w:val="00026705"/>
    <w:rsid w:val="00026D94"/>
    <w:rsid w:val="0003385D"/>
    <w:rsid w:val="00035413"/>
    <w:rsid w:val="000354B7"/>
    <w:rsid w:val="000359D8"/>
    <w:rsid w:val="00035B1B"/>
    <w:rsid w:val="00035F2E"/>
    <w:rsid w:val="00036575"/>
    <w:rsid w:val="000368E3"/>
    <w:rsid w:val="00036B8A"/>
    <w:rsid w:val="000423C7"/>
    <w:rsid w:val="0004471E"/>
    <w:rsid w:val="00045FD8"/>
    <w:rsid w:val="0004750C"/>
    <w:rsid w:val="00047F41"/>
    <w:rsid w:val="00057073"/>
    <w:rsid w:val="00060CD1"/>
    <w:rsid w:val="00061B28"/>
    <w:rsid w:val="00062CC1"/>
    <w:rsid w:val="000646E3"/>
    <w:rsid w:val="000652AD"/>
    <w:rsid w:val="000667E0"/>
    <w:rsid w:val="0006730A"/>
    <w:rsid w:val="00071462"/>
    <w:rsid w:val="00071A99"/>
    <w:rsid w:val="000752EF"/>
    <w:rsid w:val="00075D7A"/>
    <w:rsid w:val="00077347"/>
    <w:rsid w:val="00077788"/>
    <w:rsid w:val="0008304C"/>
    <w:rsid w:val="00083058"/>
    <w:rsid w:val="00083113"/>
    <w:rsid w:val="0008387F"/>
    <w:rsid w:val="0008542A"/>
    <w:rsid w:val="00086447"/>
    <w:rsid w:val="00087498"/>
    <w:rsid w:val="00087514"/>
    <w:rsid w:val="000879EF"/>
    <w:rsid w:val="00090EBA"/>
    <w:rsid w:val="00091682"/>
    <w:rsid w:val="000922D4"/>
    <w:rsid w:val="00094E67"/>
    <w:rsid w:val="00095E37"/>
    <w:rsid w:val="00097EF0"/>
    <w:rsid w:val="000A0BA3"/>
    <w:rsid w:val="000A0D0B"/>
    <w:rsid w:val="000A1403"/>
    <w:rsid w:val="000A16A2"/>
    <w:rsid w:val="000A1C9A"/>
    <w:rsid w:val="000A1E1F"/>
    <w:rsid w:val="000A351A"/>
    <w:rsid w:val="000A4EC4"/>
    <w:rsid w:val="000A515A"/>
    <w:rsid w:val="000A577A"/>
    <w:rsid w:val="000A6651"/>
    <w:rsid w:val="000A7C0E"/>
    <w:rsid w:val="000B0C87"/>
    <w:rsid w:val="000B2B61"/>
    <w:rsid w:val="000B2CE3"/>
    <w:rsid w:val="000B2FE2"/>
    <w:rsid w:val="000B3A0B"/>
    <w:rsid w:val="000B3FFD"/>
    <w:rsid w:val="000B5351"/>
    <w:rsid w:val="000B74BA"/>
    <w:rsid w:val="000B7B5A"/>
    <w:rsid w:val="000C057C"/>
    <w:rsid w:val="000C4453"/>
    <w:rsid w:val="000C54A3"/>
    <w:rsid w:val="000C7714"/>
    <w:rsid w:val="000C77C6"/>
    <w:rsid w:val="000C7C04"/>
    <w:rsid w:val="000D03C2"/>
    <w:rsid w:val="000D0980"/>
    <w:rsid w:val="000D7676"/>
    <w:rsid w:val="000E059C"/>
    <w:rsid w:val="000E08B8"/>
    <w:rsid w:val="000E0E8E"/>
    <w:rsid w:val="000F20B4"/>
    <w:rsid w:val="000F71B5"/>
    <w:rsid w:val="000F7FE2"/>
    <w:rsid w:val="0010152C"/>
    <w:rsid w:val="00104E08"/>
    <w:rsid w:val="00107249"/>
    <w:rsid w:val="001073CC"/>
    <w:rsid w:val="00107A49"/>
    <w:rsid w:val="001110FC"/>
    <w:rsid w:val="00112067"/>
    <w:rsid w:val="00112892"/>
    <w:rsid w:val="00114D4B"/>
    <w:rsid w:val="00114DDF"/>
    <w:rsid w:val="00115594"/>
    <w:rsid w:val="00115AAD"/>
    <w:rsid w:val="00124762"/>
    <w:rsid w:val="00125637"/>
    <w:rsid w:val="00130642"/>
    <w:rsid w:val="001306E4"/>
    <w:rsid w:val="00136083"/>
    <w:rsid w:val="001407EE"/>
    <w:rsid w:val="00141F78"/>
    <w:rsid w:val="00142A63"/>
    <w:rsid w:val="00143967"/>
    <w:rsid w:val="00145D65"/>
    <w:rsid w:val="00147E1D"/>
    <w:rsid w:val="00151D19"/>
    <w:rsid w:val="00152866"/>
    <w:rsid w:val="00154F9F"/>
    <w:rsid w:val="0015575F"/>
    <w:rsid w:val="00155C46"/>
    <w:rsid w:val="00161FC4"/>
    <w:rsid w:val="00163B98"/>
    <w:rsid w:val="00166139"/>
    <w:rsid w:val="001667F0"/>
    <w:rsid w:val="00166CA0"/>
    <w:rsid w:val="00167EF3"/>
    <w:rsid w:val="00167F89"/>
    <w:rsid w:val="001701C4"/>
    <w:rsid w:val="00170E0A"/>
    <w:rsid w:val="00170FC7"/>
    <w:rsid w:val="00172089"/>
    <w:rsid w:val="001723BF"/>
    <w:rsid w:val="0017530C"/>
    <w:rsid w:val="0017555E"/>
    <w:rsid w:val="00175974"/>
    <w:rsid w:val="00175CD2"/>
    <w:rsid w:val="00177A27"/>
    <w:rsid w:val="00181791"/>
    <w:rsid w:val="00183275"/>
    <w:rsid w:val="00184474"/>
    <w:rsid w:val="00184FBA"/>
    <w:rsid w:val="00186B63"/>
    <w:rsid w:val="001905F4"/>
    <w:rsid w:val="001911CC"/>
    <w:rsid w:val="00191232"/>
    <w:rsid w:val="00191780"/>
    <w:rsid w:val="00197DA4"/>
    <w:rsid w:val="001A0542"/>
    <w:rsid w:val="001A1810"/>
    <w:rsid w:val="001A2131"/>
    <w:rsid w:val="001A21A6"/>
    <w:rsid w:val="001A2A37"/>
    <w:rsid w:val="001A2FF3"/>
    <w:rsid w:val="001A373A"/>
    <w:rsid w:val="001A4C5F"/>
    <w:rsid w:val="001A65A2"/>
    <w:rsid w:val="001A7913"/>
    <w:rsid w:val="001B3256"/>
    <w:rsid w:val="001B5099"/>
    <w:rsid w:val="001B6BDC"/>
    <w:rsid w:val="001C0C3F"/>
    <w:rsid w:val="001C304B"/>
    <w:rsid w:val="001C4584"/>
    <w:rsid w:val="001C5205"/>
    <w:rsid w:val="001C5E2E"/>
    <w:rsid w:val="001C6065"/>
    <w:rsid w:val="001C775A"/>
    <w:rsid w:val="001D064E"/>
    <w:rsid w:val="001D36C6"/>
    <w:rsid w:val="001D43BD"/>
    <w:rsid w:val="001D54C7"/>
    <w:rsid w:val="001D63C6"/>
    <w:rsid w:val="001D78E5"/>
    <w:rsid w:val="001D7A7E"/>
    <w:rsid w:val="001E1C02"/>
    <w:rsid w:val="001E39C4"/>
    <w:rsid w:val="001E5075"/>
    <w:rsid w:val="001E50ED"/>
    <w:rsid w:val="001E5309"/>
    <w:rsid w:val="001E64BE"/>
    <w:rsid w:val="001F1B46"/>
    <w:rsid w:val="001F1F7D"/>
    <w:rsid w:val="001F2CA8"/>
    <w:rsid w:val="001F501F"/>
    <w:rsid w:val="001F79BC"/>
    <w:rsid w:val="00200119"/>
    <w:rsid w:val="0020054B"/>
    <w:rsid w:val="00200852"/>
    <w:rsid w:val="00201E21"/>
    <w:rsid w:val="002048C6"/>
    <w:rsid w:val="00204C2A"/>
    <w:rsid w:val="00205361"/>
    <w:rsid w:val="00211018"/>
    <w:rsid w:val="00211484"/>
    <w:rsid w:val="00212FE4"/>
    <w:rsid w:val="002153F3"/>
    <w:rsid w:val="002155B0"/>
    <w:rsid w:val="00215922"/>
    <w:rsid w:val="00220958"/>
    <w:rsid w:val="00221545"/>
    <w:rsid w:val="00221D2C"/>
    <w:rsid w:val="00222F65"/>
    <w:rsid w:val="00223136"/>
    <w:rsid w:val="00223D0B"/>
    <w:rsid w:val="00230CC7"/>
    <w:rsid w:val="002310DA"/>
    <w:rsid w:val="00232249"/>
    <w:rsid w:val="0023264F"/>
    <w:rsid w:val="0023380E"/>
    <w:rsid w:val="002339A2"/>
    <w:rsid w:val="00233F88"/>
    <w:rsid w:val="00235FB4"/>
    <w:rsid w:val="002440EB"/>
    <w:rsid w:val="00244EEF"/>
    <w:rsid w:val="00247177"/>
    <w:rsid w:val="002473A9"/>
    <w:rsid w:val="00251066"/>
    <w:rsid w:val="00251C63"/>
    <w:rsid w:val="00253E81"/>
    <w:rsid w:val="002556CA"/>
    <w:rsid w:val="00256193"/>
    <w:rsid w:val="00256AF3"/>
    <w:rsid w:val="002608CE"/>
    <w:rsid w:val="0026164E"/>
    <w:rsid w:val="0026271B"/>
    <w:rsid w:val="002629E7"/>
    <w:rsid w:val="002630EE"/>
    <w:rsid w:val="002657BB"/>
    <w:rsid w:val="0026683E"/>
    <w:rsid w:val="00273D22"/>
    <w:rsid w:val="00276F2E"/>
    <w:rsid w:val="00281EF2"/>
    <w:rsid w:val="00283308"/>
    <w:rsid w:val="00285031"/>
    <w:rsid w:val="00290A2D"/>
    <w:rsid w:val="00290C42"/>
    <w:rsid w:val="002937C6"/>
    <w:rsid w:val="00293DE5"/>
    <w:rsid w:val="002948A1"/>
    <w:rsid w:val="00294E82"/>
    <w:rsid w:val="00295078"/>
    <w:rsid w:val="00295C72"/>
    <w:rsid w:val="00295DE7"/>
    <w:rsid w:val="00297AB0"/>
    <w:rsid w:val="00297FDC"/>
    <w:rsid w:val="002A1583"/>
    <w:rsid w:val="002A4074"/>
    <w:rsid w:val="002A6CC7"/>
    <w:rsid w:val="002B0A1D"/>
    <w:rsid w:val="002B0EF8"/>
    <w:rsid w:val="002B1708"/>
    <w:rsid w:val="002B393B"/>
    <w:rsid w:val="002B4950"/>
    <w:rsid w:val="002B5C57"/>
    <w:rsid w:val="002B62AF"/>
    <w:rsid w:val="002B7622"/>
    <w:rsid w:val="002C0C5C"/>
    <w:rsid w:val="002C0C63"/>
    <w:rsid w:val="002C0F5C"/>
    <w:rsid w:val="002C4011"/>
    <w:rsid w:val="002C49B0"/>
    <w:rsid w:val="002C4BC2"/>
    <w:rsid w:val="002C4EBB"/>
    <w:rsid w:val="002C4F45"/>
    <w:rsid w:val="002C6154"/>
    <w:rsid w:val="002C6C4B"/>
    <w:rsid w:val="002D07B6"/>
    <w:rsid w:val="002D23B6"/>
    <w:rsid w:val="002D46BF"/>
    <w:rsid w:val="002D508B"/>
    <w:rsid w:val="002D5FAE"/>
    <w:rsid w:val="002D7FA3"/>
    <w:rsid w:val="002E0EA2"/>
    <w:rsid w:val="002E155E"/>
    <w:rsid w:val="002E374C"/>
    <w:rsid w:val="002E5744"/>
    <w:rsid w:val="002E6172"/>
    <w:rsid w:val="002E6B74"/>
    <w:rsid w:val="002F1C4D"/>
    <w:rsid w:val="002F2315"/>
    <w:rsid w:val="002F2653"/>
    <w:rsid w:val="002F3A84"/>
    <w:rsid w:val="002F411A"/>
    <w:rsid w:val="002F4B70"/>
    <w:rsid w:val="002F5A90"/>
    <w:rsid w:val="002F6F61"/>
    <w:rsid w:val="002F700E"/>
    <w:rsid w:val="00302787"/>
    <w:rsid w:val="00302FBC"/>
    <w:rsid w:val="00306B09"/>
    <w:rsid w:val="00306C3C"/>
    <w:rsid w:val="0030711C"/>
    <w:rsid w:val="00307205"/>
    <w:rsid w:val="0031046F"/>
    <w:rsid w:val="0031189B"/>
    <w:rsid w:val="00312EFF"/>
    <w:rsid w:val="0031351C"/>
    <w:rsid w:val="00313AFB"/>
    <w:rsid w:val="00313FA6"/>
    <w:rsid w:val="00314023"/>
    <w:rsid w:val="00314587"/>
    <w:rsid w:val="003156AE"/>
    <w:rsid w:val="00321D72"/>
    <w:rsid w:val="00322AE2"/>
    <w:rsid w:val="00323623"/>
    <w:rsid w:val="0032631D"/>
    <w:rsid w:val="0033030C"/>
    <w:rsid w:val="0033396B"/>
    <w:rsid w:val="00333C7C"/>
    <w:rsid w:val="003349F4"/>
    <w:rsid w:val="00335047"/>
    <w:rsid w:val="003358DC"/>
    <w:rsid w:val="003404F0"/>
    <w:rsid w:val="00340B86"/>
    <w:rsid w:val="0034164E"/>
    <w:rsid w:val="003438B7"/>
    <w:rsid w:val="00344708"/>
    <w:rsid w:val="00347274"/>
    <w:rsid w:val="003519B1"/>
    <w:rsid w:val="00351CB7"/>
    <w:rsid w:val="003522A4"/>
    <w:rsid w:val="003537DE"/>
    <w:rsid w:val="00354A9E"/>
    <w:rsid w:val="00355706"/>
    <w:rsid w:val="003557C1"/>
    <w:rsid w:val="003557DA"/>
    <w:rsid w:val="00355B75"/>
    <w:rsid w:val="00355F41"/>
    <w:rsid w:val="0035716F"/>
    <w:rsid w:val="0036086E"/>
    <w:rsid w:val="00362689"/>
    <w:rsid w:val="003633DD"/>
    <w:rsid w:val="00366C6B"/>
    <w:rsid w:val="00367CE5"/>
    <w:rsid w:val="003710D0"/>
    <w:rsid w:val="0037225D"/>
    <w:rsid w:val="003729E8"/>
    <w:rsid w:val="00373B44"/>
    <w:rsid w:val="00373EDE"/>
    <w:rsid w:val="00380791"/>
    <w:rsid w:val="00381E05"/>
    <w:rsid w:val="00382014"/>
    <w:rsid w:val="00386E7A"/>
    <w:rsid w:val="00391F37"/>
    <w:rsid w:val="00392EE5"/>
    <w:rsid w:val="00393317"/>
    <w:rsid w:val="003A11DD"/>
    <w:rsid w:val="003A1AF1"/>
    <w:rsid w:val="003A2B96"/>
    <w:rsid w:val="003A4399"/>
    <w:rsid w:val="003A5A6E"/>
    <w:rsid w:val="003A6186"/>
    <w:rsid w:val="003A640F"/>
    <w:rsid w:val="003A7A6D"/>
    <w:rsid w:val="003B0688"/>
    <w:rsid w:val="003B31F9"/>
    <w:rsid w:val="003B3431"/>
    <w:rsid w:val="003B72E9"/>
    <w:rsid w:val="003B7EC1"/>
    <w:rsid w:val="003C4A79"/>
    <w:rsid w:val="003C55F5"/>
    <w:rsid w:val="003C5621"/>
    <w:rsid w:val="003C5A54"/>
    <w:rsid w:val="003C739F"/>
    <w:rsid w:val="003D1561"/>
    <w:rsid w:val="003D1883"/>
    <w:rsid w:val="003D18A4"/>
    <w:rsid w:val="003D202C"/>
    <w:rsid w:val="003D48A3"/>
    <w:rsid w:val="003D4D18"/>
    <w:rsid w:val="003D5B72"/>
    <w:rsid w:val="003D5EEB"/>
    <w:rsid w:val="003D5F7F"/>
    <w:rsid w:val="003D61B0"/>
    <w:rsid w:val="003E0A67"/>
    <w:rsid w:val="003E1018"/>
    <w:rsid w:val="003E5D23"/>
    <w:rsid w:val="003E5DB7"/>
    <w:rsid w:val="003E6D0E"/>
    <w:rsid w:val="003F09F0"/>
    <w:rsid w:val="003F2039"/>
    <w:rsid w:val="003F2BA9"/>
    <w:rsid w:val="003F52C2"/>
    <w:rsid w:val="003F58C3"/>
    <w:rsid w:val="003F5CBA"/>
    <w:rsid w:val="0040233B"/>
    <w:rsid w:val="004053FB"/>
    <w:rsid w:val="00410650"/>
    <w:rsid w:val="004106C1"/>
    <w:rsid w:val="004126F7"/>
    <w:rsid w:val="00414AE6"/>
    <w:rsid w:val="00414EE8"/>
    <w:rsid w:val="00416BBD"/>
    <w:rsid w:val="0042006D"/>
    <w:rsid w:val="00422852"/>
    <w:rsid w:val="0042327C"/>
    <w:rsid w:val="00423786"/>
    <w:rsid w:val="00424241"/>
    <w:rsid w:val="00425752"/>
    <w:rsid w:val="00431170"/>
    <w:rsid w:val="0043317E"/>
    <w:rsid w:val="00433345"/>
    <w:rsid w:val="00434264"/>
    <w:rsid w:val="004350B4"/>
    <w:rsid w:val="00436503"/>
    <w:rsid w:val="00441BF3"/>
    <w:rsid w:val="004436ED"/>
    <w:rsid w:val="004440AC"/>
    <w:rsid w:val="004443A2"/>
    <w:rsid w:val="00444919"/>
    <w:rsid w:val="0044547C"/>
    <w:rsid w:val="0044590C"/>
    <w:rsid w:val="00446BB3"/>
    <w:rsid w:val="00450869"/>
    <w:rsid w:val="0045197D"/>
    <w:rsid w:val="00451F5B"/>
    <w:rsid w:val="00453028"/>
    <w:rsid w:val="00453918"/>
    <w:rsid w:val="00455768"/>
    <w:rsid w:val="00456E2C"/>
    <w:rsid w:val="00457077"/>
    <w:rsid w:val="00457FC7"/>
    <w:rsid w:val="00462417"/>
    <w:rsid w:val="00464322"/>
    <w:rsid w:val="00464624"/>
    <w:rsid w:val="00465E62"/>
    <w:rsid w:val="0046659B"/>
    <w:rsid w:val="004677F9"/>
    <w:rsid w:val="00471EC2"/>
    <w:rsid w:val="00473B43"/>
    <w:rsid w:val="0047775E"/>
    <w:rsid w:val="00482731"/>
    <w:rsid w:val="0048286C"/>
    <w:rsid w:val="00483A0F"/>
    <w:rsid w:val="00484625"/>
    <w:rsid w:val="0048589D"/>
    <w:rsid w:val="00487282"/>
    <w:rsid w:val="004879E2"/>
    <w:rsid w:val="00487F15"/>
    <w:rsid w:val="004912A0"/>
    <w:rsid w:val="004928DE"/>
    <w:rsid w:val="00493E2F"/>
    <w:rsid w:val="0049576C"/>
    <w:rsid w:val="004A0E5A"/>
    <w:rsid w:val="004A0EA8"/>
    <w:rsid w:val="004A14D9"/>
    <w:rsid w:val="004A21F6"/>
    <w:rsid w:val="004A3B39"/>
    <w:rsid w:val="004A4B61"/>
    <w:rsid w:val="004A6EFE"/>
    <w:rsid w:val="004B1858"/>
    <w:rsid w:val="004B2540"/>
    <w:rsid w:val="004B58C3"/>
    <w:rsid w:val="004B675F"/>
    <w:rsid w:val="004B72C5"/>
    <w:rsid w:val="004B7A1B"/>
    <w:rsid w:val="004C054C"/>
    <w:rsid w:val="004C08BF"/>
    <w:rsid w:val="004C3804"/>
    <w:rsid w:val="004C45A2"/>
    <w:rsid w:val="004C56DE"/>
    <w:rsid w:val="004C7629"/>
    <w:rsid w:val="004C7701"/>
    <w:rsid w:val="004D0A26"/>
    <w:rsid w:val="004D0EE4"/>
    <w:rsid w:val="004D1E91"/>
    <w:rsid w:val="004D25E0"/>
    <w:rsid w:val="004D482C"/>
    <w:rsid w:val="004D5AC0"/>
    <w:rsid w:val="004D5FEF"/>
    <w:rsid w:val="004D764F"/>
    <w:rsid w:val="004D7C73"/>
    <w:rsid w:val="004E1EBF"/>
    <w:rsid w:val="004E27AD"/>
    <w:rsid w:val="004E45B8"/>
    <w:rsid w:val="004E4987"/>
    <w:rsid w:val="004E585B"/>
    <w:rsid w:val="004F227C"/>
    <w:rsid w:val="004F3B64"/>
    <w:rsid w:val="004F5243"/>
    <w:rsid w:val="00501044"/>
    <w:rsid w:val="00505B26"/>
    <w:rsid w:val="00507449"/>
    <w:rsid w:val="00511092"/>
    <w:rsid w:val="00511602"/>
    <w:rsid w:val="0051367E"/>
    <w:rsid w:val="005164B6"/>
    <w:rsid w:val="00516E6A"/>
    <w:rsid w:val="00517437"/>
    <w:rsid w:val="005206C8"/>
    <w:rsid w:val="005218EA"/>
    <w:rsid w:val="00521EE1"/>
    <w:rsid w:val="0052414D"/>
    <w:rsid w:val="0052498A"/>
    <w:rsid w:val="00531ABD"/>
    <w:rsid w:val="00535560"/>
    <w:rsid w:val="005368E5"/>
    <w:rsid w:val="005408FA"/>
    <w:rsid w:val="005413A9"/>
    <w:rsid w:val="00542D8A"/>
    <w:rsid w:val="00544117"/>
    <w:rsid w:val="00544E0A"/>
    <w:rsid w:val="00545734"/>
    <w:rsid w:val="00551BA4"/>
    <w:rsid w:val="00552D59"/>
    <w:rsid w:val="0055320F"/>
    <w:rsid w:val="00553604"/>
    <w:rsid w:val="00553D6D"/>
    <w:rsid w:val="00556686"/>
    <w:rsid w:val="00557D61"/>
    <w:rsid w:val="005608B3"/>
    <w:rsid w:val="005609B4"/>
    <w:rsid w:val="005639F9"/>
    <w:rsid w:val="0056588E"/>
    <w:rsid w:val="005671CD"/>
    <w:rsid w:val="00570FBD"/>
    <w:rsid w:val="00571391"/>
    <w:rsid w:val="00573949"/>
    <w:rsid w:val="00573ECF"/>
    <w:rsid w:val="005745EE"/>
    <w:rsid w:val="00575B5A"/>
    <w:rsid w:val="00575B60"/>
    <w:rsid w:val="00577287"/>
    <w:rsid w:val="0058269D"/>
    <w:rsid w:val="0058439D"/>
    <w:rsid w:val="00585149"/>
    <w:rsid w:val="0058544C"/>
    <w:rsid w:val="00585C24"/>
    <w:rsid w:val="00585C6E"/>
    <w:rsid w:val="0058743A"/>
    <w:rsid w:val="005875A9"/>
    <w:rsid w:val="00587E97"/>
    <w:rsid w:val="0059012B"/>
    <w:rsid w:val="0059069B"/>
    <w:rsid w:val="005921E5"/>
    <w:rsid w:val="00592755"/>
    <w:rsid w:val="00593DB7"/>
    <w:rsid w:val="00594366"/>
    <w:rsid w:val="00594BC5"/>
    <w:rsid w:val="005954E9"/>
    <w:rsid w:val="00597AB5"/>
    <w:rsid w:val="005A232E"/>
    <w:rsid w:val="005A3E06"/>
    <w:rsid w:val="005A668C"/>
    <w:rsid w:val="005A682E"/>
    <w:rsid w:val="005A6845"/>
    <w:rsid w:val="005A7C3F"/>
    <w:rsid w:val="005B4020"/>
    <w:rsid w:val="005B4623"/>
    <w:rsid w:val="005B6938"/>
    <w:rsid w:val="005B7350"/>
    <w:rsid w:val="005C2030"/>
    <w:rsid w:val="005C5799"/>
    <w:rsid w:val="005D1DF5"/>
    <w:rsid w:val="005D4472"/>
    <w:rsid w:val="005D45A0"/>
    <w:rsid w:val="005D52E6"/>
    <w:rsid w:val="005D6415"/>
    <w:rsid w:val="005D7248"/>
    <w:rsid w:val="005E0300"/>
    <w:rsid w:val="005E15A3"/>
    <w:rsid w:val="005E187B"/>
    <w:rsid w:val="005E35A0"/>
    <w:rsid w:val="005E4A3D"/>
    <w:rsid w:val="005E4F05"/>
    <w:rsid w:val="005E5859"/>
    <w:rsid w:val="005E5DC1"/>
    <w:rsid w:val="005E67EC"/>
    <w:rsid w:val="005E76FC"/>
    <w:rsid w:val="005F178D"/>
    <w:rsid w:val="005F391F"/>
    <w:rsid w:val="005F4DCE"/>
    <w:rsid w:val="005F5725"/>
    <w:rsid w:val="005F5ED5"/>
    <w:rsid w:val="00600733"/>
    <w:rsid w:val="006010BF"/>
    <w:rsid w:val="00601296"/>
    <w:rsid w:val="006031FE"/>
    <w:rsid w:val="006047FC"/>
    <w:rsid w:val="006048D2"/>
    <w:rsid w:val="006077EB"/>
    <w:rsid w:val="006079C9"/>
    <w:rsid w:val="006100A1"/>
    <w:rsid w:val="00611F9E"/>
    <w:rsid w:val="0061663A"/>
    <w:rsid w:val="00616F4A"/>
    <w:rsid w:val="00621CA8"/>
    <w:rsid w:val="006222EA"/>
    <w:rsid w:val="00623EA3"/>
    <w:rsid w:val="00624BDB"/>
    <w:rsid w:val="0062541D"/>
    <w:rsid w:val="00625AFD"/>
    <w:rsid w:val="00625E1B"/>
    <w:rsid w:val="006270B1"/>
    <w:rsid w:val="00627B5D"/>
    <w:rsid w:val="0063130F"/>
    <w:rsid w:val="00632775"/>
    <w:rsid w:val="00633AB7"/>
    <w:rsid w:val="00634485"/>
    <w:rsid w:val="006345A0"/>
    <w:rsid w:val="00634692"/>
    <w:rsid w:val="00634F6F"/>
    <w:rsid w:val="006354DC"/>
    <w:rsid w:val="00637C16"/>
    <w:rsid w:val="006445D2"/>
    <w:rsid w:val="00647094"/>
    <w:rsid w:val="006473CC"/>
    <w:rsid w:val="0065487B"/>
    <w:rsid w:val="00655B83"/>
    <w:rsid w:val="00655F33"/>
    <w:rsid w:val="00656C59"/>
    <w:rsid w:val="00657D7A"/>
    <w:rsid w:val="00660395"/>
    <w:rsid w:val="006606B2"/>
    <w:rsid w:val="006628C0"/>
    <w:rsid w:val="00662993"/>
    <w:rsid w:val="00666655"/>
    <w:rsid w:val="00666755"/>
    <w:rsid w:val="00670BF0"/>
    <w:rsid w:val="006747B5"/>
    <w:rsid w:val="00675974"/>
    <w:rsid w:val="006803E8"/>
    <w:rsid w:val="00682656"/>
    <w:rsid w:val="00683EAC"/>
    <w:rsid w:val="00684EF6"/>
    <w:rsid w:val="00686279"/>
    <w:rsid w:val="00686A8A"/>
    <w:rsid w:val="006878A4"/>
    <w:rsid w:val="00690B63"/>
    <w:rsid w:val="006954F2"/>
    <w:rsid w:val="00695554"/>
    <w:rsid w:val="006957B8"/>
    <w:rsid w:val="006A03CD"/>
    <w:rsid w:val="006A06FE"/>
    <w:rsid w:val="006A21FE"/>
    <w:rsid w:val="006A3FF3"/>
    <w:rsid w:val="006A42D4"/>
    <w:rsid w:val="006A4E98"/>
    <w:rsid w:val="006A77F3"/>
    <w:rsid w:val="006A7829"/>
    <w:rsid w:val="006B095F"/>
    <w:rsid w:val="006B2A9B"/>
    <w:rsid w:val="006B2BA6"/>
    <w:rsid w:val="006B4A50"/>
    <w:rsid w:val="006B4B65"/>
    <w:rsid w:val="006B537E"/>
    <w:rsid w:val="006B5F48"/>
    <w:rsid w:val="006C24A5"/>
    <w:rsid w:val="006C24CD"/>
    <w:rsid w:val="006C60B5"/>
    <w:rsid w:val="006C7D68"/>
    <w:rsid w:val="006D0944"/>
    <w:rsid w:val="006D0BF8"/>
    <w:rsid w:val="006D1A5E"/>
    <w:rsid w:val="006D2C17"/>
    <w:rsid w:val="006D3F2C"/>
    <w:rsid w:val="006D64F9"/>
    <w:rsid w:val="006D66AF"/>
    <w:rsid w:val="006E1147"/>
    <w:rsid w:val="006E13E8"/>
    <w:rsid w:val="006E2065"/>
    <w:rsid w:val="006E34B6"/>
    <w:rsid w:val="006E5832"/>
    <w:rsid w:val="006E6278"/>
    <w:rsid w:val="006E6389"/>
    <w:rsid w:val="006E662E"/>
    <w:rsid w:val="006E689A"/>
    <w:rsid w:val="006E69AA"/>
    <w:rsid w:val="006E7462"/>
    <w:rsid w:val="006F0D84"/>
    <w:rsid w:val="006F1A78"/>
    <w:rsid w:val="006F1B5C"/>
    <w:rsid w:val="006F30F8"/>
    <w:rsid w:val="006F3144"/>
    <w:rsid w:val="006F3CA9"/>
    <w:rsid w:val="006F5B9E"/>
    <w:rsid w:val="006F6E1B"/>
    <w:rsid w:val="00700AB7"/>
    <w:rsid w:val="00700C41"/>
    <w:rsid w:val="00702323"/>
    <w:rsid w:val="007027EB"/>
    <w:rsid w:val="00702CB3"/>
    <w:rsid w:val="00703E92"/>
    <w:rsid w:val="007061DF"/>
    <w:rsid w:val="00710259"/>
    <w:rsid w:val="007112A9"/>
    <w:rsid w:val="00711B09"/>
    <w:rsid w:val="0071646D"/>
    <w:rsid w:val="00716CE1"/>
    <w:rsid w:val="00716D25"/>
    <w:rsid w:val="00717D14"/>
    <w:rsid w:val="00726FA5"/>
    <w:rsid w:val="00730313"/>
    <w:rsid w:val="00730BC4"/>
    <w:rsid w:val="007317F8"/>
    <w:rsid w:val="00731D9B"/>
    <w:rsid w:val="00733CB7"/>
    <w:rsid w:val="00734A8B"/>
    <w:rsid w:val="00735210"/>
    <w:rsid w:val="00735B0D"/>
    <w:rsid w:val="00735D72"/>
    <w:rsid w:val="00736C06"/>
    <w:rsid w:val="007401BB"/>
    <w:rsid w:val="00740E5C"/>
    <w:rsid w:val="00741FEA"/>
    <w:rsid w:val="007446D8"/>
    <w:rsid w:val="00744736"/>
    <w:rsid w:val="007463C9"/>
    <w:rsid w:val="00750F05"/>
    <w:rsid w:val="00751311"/>
    <w:rsid w:val="0075239A"/>
    <w:rsid w:val="0075580F"/>
    <w:rsid w:val="00756C34"/>
    <w:rsid w:val="00757203"/>
    <w:rsid w:val="00757444"/>
    <w:rsid w:val="00757C27"/>
    <w:rsid w:val="00757F23"/>
    <w:rsid w:val="007622E4"/>
    <w:rsid w:val="007645A1"/>
    <w:rsid w:val="00764B6A"/>
    <w:rsid w:val="00765B85"/>
    <w:rsid w:val="007668D6"/>
    <w:rsid w:val="00766A1E"/>
    <w:rsid w:val="007670AA"/>
    <w:rsid w:val="00767196"/>
    <w:rsid w:val="00767912"/>
    <w:rsid w:val="00770E29"/>
    <w:rsid w:val="0077203A"/>
    <w:rsid w:val="0077266E"/>
    <w:rsid w:val="007729C2"/>
    <w:rsid w:val="00773601"/>
    <w:rsid w:val="007753ED"/>
    <w:rsid w:val="00775CB2"/>
    <w:rsid w:val="0077689F"/>
    <w:rsid w:val="00777545"/>
    <w:rsid w:val="00777BBD"/>
    <w:rsid w:val="00782DD9"/>
    <w:rsid w:val="007830E3"/>
    <w:rsid w:val="00783DAE"/>
    <w:rsid w:val="00784C44"/>
    <w:rsid w:val="00787DB5"/>
    <w:rsid w:val="00791EF6"/>
    <w:rsid w:val="00794305"/>
    <w:rsid w:val="0079518F"/>
    <w:rsid w:val="00795AEC"/>
    <w:rsid w:val="007A02EB"/>
    <w:rsid w:val="007A11F1"/>
    <w:rsid w:val="007A30F8"/>
    <w:rsid w:val="007A35F6"/>
    <w:rsid w:val="007A4155"/>
    <w:rsid w:val="007A4219"/>
    <w:rsid w:val="007A4E83"/>
    <w:rsid w:val="007A5F1A"/>
    <w:rsid w:val="007A7693"/>
    <w:rsid w:val="007B5B76"/>
    <w:rsid w:val="007B755C"/>
    <w:rsid w:val="007C025F"/>
    <w:rsid w:val="007C09AA"/>
    <w:rsid w:val="007C0A83"/>
    <w:rsid w:val="007C0AFD"/>
    <w:rsid w:val="007C20AF"/>
    <w:rsid w:val="007C3D29"/>
    <w:rsid w:val="007C3E67"/>
    <w:rsid w:val="007C5DCE"/>
    <w:rsid w:val="007C6783"/>
    <w:rsid w:val="007C7E5A"/>
    <w:rsid w:val="007D0C6E"/>
    <w:rsid w:val="007D112D"/>
    <w:rsid w:val="007D1598"/>
    <w:rsid w:val="007D5B23"/>
    <w:rsid w:val="007D7334"/>
    <w:rsid w:val="007D773C"/>
    <w:rsid w:val="007E07A7"/>
    <w:rsid w:val="007E0CCF"/>
    <w:rsid w:val="007E230E"/>
    <w:rsid w:val="007E3963"/>
    <w:rsid w:val="007F18A3"/>
    <w:rsid w:val="007F36DE"/>
    <w:rsid w:val="007F37C5"/>
    <w:rsid w:val="007F444F"/>
    <w:rsid w:val="007F528B"/>
    <w:rsid w:val="007F61DA"/>
    <w:rsid w:val="00800475"/>
    <w:rsid w:val="00800DDC"/>
    <w:rsid w:val="00801648"/>
    <w:rsid w:val="00801D34"/>
    <w:rsid w:val="00805A48"/>
    <w:rsid w:val="00805F55"/>
    <w:rsid w:val="008063E2"/>
    <w:rsid w:val="00807739"/>
    <w:rsid w:val="008100C2"/>
    <w:rsid w:val="00811637"/>
    <w:rsid w:val="00814930"/>
    <w:rsid w:val="00815086"/>
    <w:rsid w:val="00815F29"/>
    <w:rsid w:val="008177D0"/>
    <w:rsid w:val="008207CA"/>
    <w:rsid w:val="008223A5"/>
    <w:rsid w:val="008235DE"/>
    <w:rsid w:val="008254D3"/>
    <w:rsid w:val="00825915"/>
    <w:rsid w:val="00825CA4"/>
    <w:rsid w:val="008331EF"/>
    <w:rsid w:val="00833271"/>
    <w:rsid w:val="0083402A"/>
    <w:rsid w:val="00835546"/>
    <w:rsid w:val="00835741"/>
    <w:rsid w:val="008367D9"/>
    <w:rsid w:val="00837520"/>
    <w:rsid w:val="00837CBA"/>
    <w:rsid w:val="008422A0"/>
    <w:rsid w:val="0084270E"/>
    <w:rsid w:val="00842C37"/>
    <w:rsid w:val="008442E6"/>
    <w:rsid w:val="0084751D"/>
    <w:rsid w:val="00851A59"/>
    <w:rsid w:val="00851F8C"/>
    <w:rsid w:val="00854691"/>
    <w:rsid w:val="00856585"/>
    <w:rsid w:val="00856F7A"/>
    <w:rsid w:val="00857279"/>
    <w:rsid w:val="0085736B"/>
    <w:rsid w:val="00857B52"/>
    <w:rsid w:val="00861B32"/>
    <w:rsid w:val="008627B4"/>
    <w:rsid w:val="0086472B"/>
    <w:rsid w:val="00867C9A"/>
    <w:rsid w:val="008701A1"/>
    <w:rsid w:val="008718F3"/>
    <w:rsid w:val="00874685"/>
    <w:rsid w:val="00874DC9"/>
    <w:rsid w:val="0087561C"/>
    <w:rsid w:val="00876615"/>
    <w:rsid w:val="00877E3C"/>
    <w:rsid w:val="0088137B"/>
    <w:rsid w:val="00882131"/>
    <w:rsid w:val="0088270B"/>
    <w:rsid w:val="0088473B"/>
    <w:rsid w:val="0088510A"/>
    <w:rsid w:val="00885CB3"/>
    <w:rsid w:val="008860BB"/>
    <w:rsid w:val="00886BFC"/>
    <w:rsid w:val="00887493"/>
    <w:rsid w:val="008900BC"/>
    <w:rsid w:val="00892674"/>
    <w:rsid w:val="00892AFC"/>
    <w:rsid w:val="0089436A"/>
    <w:rsid w:val="00895C62"/>
    <w:rsid w:val="008963A8"/>
    <w:rsid w:val="008A0C05"/>
    <w:rsid w:val="008A1764"/>
    <w:rsid w:val="008A42A4"/>
    <w:rsid w:val="008A42B0"/>
    <w:rsid w:val="008A4982"/>
    <w:rsid w:val="008A6085"/>
    <w:rsid w:val="008A663F"/>
    <w:rsid w:val="008B0803"/>
    <w:rsid w:val="008B1273"/>
    <w:rsid w:val="008B2EEE"/>
    <w:rsid w:val="008B3151"/>
    <w:rsid w:val="008B36C5"/>
    <w:rsid w:val="008B3A27"/>
    <w:rsid w:val="008B542E"/>
    <w:rsid w:val="008B590E"/>
    <w:rsid w:val="008B5BE2"/>
    <w:rsid w:val="008B74A0"/>
    <w:rsid w:val="008C04B3"/>
    <w:rsid w:val="008C0694"/>
    <w:rsid w:val="008C06D5"/>
    <w:rsid w:val="008C16E9"/>
    <w:rsid w:val="008C2635"/>
    <w:rsid w:val="008C3963"/>
    <w:rsid w:val="008C686F"/>
    <w:rsid w:val="008C7431"/>
    <w:rsid w:val="008D0B33"/>
    <w:rsid w:val="008D0D25"/>
    <w:rsid w:val="008D1526"/>
    <w:rsid w:val="008D2273"/>
    <w:rsid w:val="008D4B2A"/>
    <w:rsid w:val="008D75E7"/>
    <w:rsid w:val="008E094D"/>
    <w:rsid w:val="008E176A"/>
    <w:rsid w:val="008E2822"/>
    <w:rsid w:val="008E2982"/>
    <w:rsid w:val="008E4713"/>
    <w:rsid w:val="008E5043"/>
    <w:rsid w:val="008E5BC1"/>
    <w:rsid w:val="008E7698"/>
    <w:rsid w:val="008F0F17"/>
    <w:rsid w:val="008F47CD"/>
    <w:rsid w:val="008F4C62"/>
    <w:rsid w:val="008F4FB9"/>
    <w:rsid w:val="008F5E3B"/>
    <w:rsid w:val="008F7D25"/>
    <w:rsid w:val="00900C8D"/>
    <w:rsid w:val="00901088"/>
    <w:rsid w:val="009021D3"/>
    <w:rsid w:val="00905A0D"/>
    <w:rsid w:val="0090613B"/>
    <w:rsid w:val="00911559"/>
    <w:rsid w:val="00911889"/>
    <w:rsid w:val="00914FDF"/>
    <w:rsid w:val="0091599A"/>
    <w:rsid w:val="00916BDE"/>
    <w:rsid w:val="00917EB1"/>
    <w:rsid w:val="00921436"/>
    <w:rsid w:val="009224C9"/>
    <w:rsid w:val="009239BB"/>
    <w:rsid w:val="0092433B"/>
    <w:rsid w:val="00926B57"/>
    <w:rsid w:val="00930F79"/>
    <w:rsid w:val="00931EF0"/>
    <w:rsid w:val="00932CFF"/>
    <w:rsid w:val="00932F08"/>
    <w:rsid w:val="00934D2C"/>
    <w:rsid w:val="00935A0D"/>
    <w:rsid w:val="00936419"/>
    <w:rsid w:val="00937B0E"/>
    <w:rsid w:val="00940FFE"/>
    <w:rsid w:val="009411A0"/>
    <w:rsid w:val="00943B74"/>
    <w:rsid w:val="0094486F"/>
    <w:rsid w:val="00944CA2"/>
    <w:rsid w:val="00945C24"/>
    <w:rsid w:val="00945D23"/>
    <w:rsid w:val="009469E9"/>
    <w:rsid w:val="0094714C"/>
    <w:rsid w:val="009472B3"/>
    <w:rsid w:val="00947905"/>
    <w:rsid w:val="009500DD"/>
    <w:rsid w:val="00950AF2"/>
    <w:rsid w:val="00955DC1"/>
    <w:rsid w:val="009573BD"/>
    <w:rsid w:val="0096089C"/>
    <w:rsid w:val="009614D7"/>
    <w:rsid w:val="00962E4E"/>
    <w:rsid w:val="00964E79"/>
    <w:rsid w:val="00964F37"/>
    <w:rsid w:val="00967C2E"/>
    <w:rsid w:val="00971EA5"/>
    <w:rsid w:val="00974437"/>
    <w:rsid w:val="00975A2A"/>
    <w:rsid w:val="00975EB9"/>
    <w:rsid w:val="009763B8"/>
    <w:rsid w:val="0097711A"/>
    <w:rsid w:val="00981F51"/>
    <w:rsid w:val="009837CB"/>
    <w:rsid w:val="00983C9A"/>
    <w:rsid w:val="009858EF"/>
    <w:rsid w:val="0099075B"/>
    <w:rsid w:val="009909ED"/>
    <w:rsid w:val="00990E7A"/>
    <w:rsid w:val="0099120B"/>
    <w:rsid w:val="00991FA7"/>
    <w:rsid w:val="00992009"/>
    <w:rsid w:val="009925EC"/>
    <w:rsid w:val="00996390"/>
    <w:rsid w:val="009969DF"/>
    <w:rsid w:val="009976D9"/>
    <w:rsid w:val="009A00BC"/>
    <w:rsid w:val="009A0F6D"/>
    <w:rsid w:val="009A32C1"/>
    <w:rsid w:val="009A34EE"/>
    <w:rsid w:val="009A3ADA"/>
    <w:rsid w:val="009A423F"/>
    <w:rsid w:val="009A78A9"/>
    <w:rsid w:val="009B299F"/>
    <w:rsid w:val="009B29BB"/>
    <w:rsid w:val="009B4B7E"/>
    <w:rsid w:val="009B55C4"/>
    <w:rsid w:val="009B6C33"/>
    <w:rsid w:val="009B6EF8"/>
    <w:rsid w:val="009B793E"/>
    <w:rsid w:val="009B79A0"/>
    <w:rsid w:val="009C1CAA"/>
    <w:rsid w:val="009C2C14"/>
    <w:rsid w:val="009C3731"/>
    <w:rsid w:val="009C4391"/>
    <w:rsid w:val="009C5252"/>
    <w:rsid w:val="009C6A35"/>
    <w:rsid w:val="009C6A51"/>
    <w:rsid w:val="009D00FC"/>
    <w:rsid w:val="009D1F44"/>
    <w:rsid w:val="009D4854"/>
    <w:rsid w:val="009D5847"/>
    <w:rsid w:val="009D605C"/>
    <w:rsid w:val="009D6900"/>
    <w:rsid w:val="009E03BE"/>
    <w:rsid w:val="009E11BB"/>
    <w:rsid w:val="009E1E5F"/>
    <w:rsid w:val="009E2235"/>
    <w:rsid w:val="009E30D5"/>
    <w:rsid w:val="009E4CF0"/>
    <w:rsid w:val="009E4D74"/>
    <w:rsid w:val="009E6FB3"/>
    <w:rsid w:val="009E7036"/>
    <w:rsid w:val="009F19E6"/>
    <w:rsid w:val="009F704F"/>
    <w:rsid w:val="00A00110"/>
    <w:rsid w:val="00A00BC6"/>
    <w:rsid w:val="00A014EE"/>
    <w:rsid w:val="00A037CB"/>
    <w:rsid w:val="00A0469A"/>
    <w:rsid w:val="00A0772E"/>
    <w:rsid w:val="00A11708"/>
    <w:rsid w:val="00A15663"/>
    <w:rsid w:val="00A20F7B"/>
    <w:rsid w:val="00A25AF8"/>
    <w:rsid w:val="00A320AB"/>
    <w:rsid w:val="00A35622"/>
    <w:rsid w:val="00A363D9"/>
    <w:rsid w:val="00A36ED5"/>
    <w:rsid w:val="00A37066"/>
    <w:rsid w:val="00A37AD0"/>
    <w:rsid w:val="00A405D1"/>
    <w:rsid w:val="00A41054"/>
    <w:rsid w:val="00A41E44"/>
    <w:rsid w:val="00A42254"/>
    <w:rsid w:val="00A42D27"/>
    <w:rsid w:val="00A43472"/>
    <w:rsid w:val="00A46659"/>
    <w:rsid w:val="00A4679F"/>
    <w:rsid w:val="00A46A52"/>
    <w:rsid w:val="00A50056"/>
    <w:rsid w:val="00A502AA"/>
    <w:rsid w:val="00A51D2C"/>
    <w:rsid w:val="00A52C18"/>
    <w:rsid w:val="00A5404F"/>
    <w:rsid w:val="00A55E21"/>
    <w:rsid w:val="00A566E6"/>
    <w:rsid w:val="00A57AFC"/>
    <w:rsid w:val="00A60FAB"/>
    <w:rsid w:val="00A6220A"/>
    <w:rsid w:val="00A67754"/>
    <w:rsid w:val="00A717E4"/>
    <w:rsid w:val="00A76FB1"/>
    <w:rsid w:val="00A776B4"/>
    <w:rsid w:val="00A80FC0"/>
    <w:rsid w:val="00A81140"/>
    <w:rsid w:val="00A87855"/>
    <w:rsid w:val="00A900E2"/>
    <w:rsid w:val="00A906D5"/>
    <w:rsid w:val="00A92027"/>
    <w:rsid w:val="00A92F62"/>
    <w:rsid w:val="00A932D8"/>
    <w:rsid w:val="00A940E3"/>
    <w:rsid w:val="00A94713"/>
    <w:rsid w:val="00A95947"/>
    <w:rsid w:val="00A96BC3"/>
    <w:rsid w:val="00A96EE6"/>
    <w:rsid w:val="00A97959"/>
    <w:rsid w:val="00AA1180"/>
    <w:rsid w:val="00AA19A7"/>
    <w:rsid w:val="00AA204D"/>
    <w:rsid w:val="00AA2C2B"/>
    <w:rsid w:val="00AA37FC"/>
    <w:rsid w:val="00AA44B0"/>
    <w:rsid w:val="00AA4B65"/>
    <w:rsid w:val="00AA57EF"/>
    <w:rsid w:val="00AB3ED5"/>
    <w:rsid w:val="00AB3F5E"/>
    <w:rsid w:val="00AB4396"/>
    <w:rsid w:val="00AB6036"/>
    <w:rsid w:val="00AB7491"/>
    <w:rsid w:val="00AC03F2"/>
    <w:rsid w:val="00AC10CC"/>
    <w:rsid w:val="00AC6E31"/>
    <w:rsid w:val="00AD0240"/>
    <w:rsid w:val="00AD1D3D"/>
    <w:rsid w:val="00AD233F"/>
    <w:rsid w:val="00AD5C04"/>
    <w:rsid w:val="00AD5CB3"/>
    <w:rsid w:val="00AD6769"/>
    <w:rsid w:val="00AD7ADF"/>
    <w:rsid w:val="00AE013D"/>
    <w:rsid w:val="00AE34E5"/>
    <w:rsid w:val="00AF200E"/>
    <w:rsid w:val="00AF203D"/>
    <w:rsid w:val="00AF299E"/>
    <w:rsid w:val="00AF2AD6"/>
    <w:rsid w:val="00AF4015"/>
    <w:rsid w:val="00AF4BD7"/>
    <w:rsid w:val="00AF55A6"/>
    <w:rsid w:val="00AF6D90"/>
    <w:rsid w:val="00B0060F"/>
    <w:rsid w:val="00B006A9"/>
    <w:rsid w:val="00B03CE2"/>
    <w:rsid w:val="00B04A8E"/>
    <w:rsid w:val="00B0682F"/>
    <w:rsid w:val="00B06BA1"/>
    <w:rsid w:val="00B11E6A"/>
    <w:rsid w:val="00B15F9D"/>
    <w:rsid w:val="00B21982"/>
    <w:rsid w:val="00B22153"/>
    <w:rsid w:val="00B24D09"/>
    <w:rsid w:val="00B25866"/>
    <w:rsid w:val="00B25A6F"/>
    <w:rsid w:val="00B31B4E"/>
    <w:rsid w:val="00B33C2F"/>
    <w:rsid w:val="00B35432"/>
    <w:rsid w:val="00B37095"/>
    <w:rsid w:val="00B373AD"/>
    <w:rsid w:val="00B37E6C"/>
    <w:rsid w:val="00B4134E"/>
    <w:rsid w:val="00B42B2D"/>
    <w:rsid w:val="00B44DA3"/>
    <w:rsid w:val="00B451CE"/>
    <w:rsid w:val="00B45904"/>
    <w:rsid w:val="00B5061D"/>
    <w:rsid w:val="00B5114C"/>
    <w:rsid w:val="00B518F7"/>
    <w:rsid w:val="00B51A2C"/>
    <w:rsid w:val="00B5328A"/>
    <w:rsid w:val="00B5510F"/>
    <w:rsid w:val="00B557B8"/>
    <w:rsid w:val="00B55D96"/>
    <w:rsid w:val="00B623CE"/>
    <w:rsid w:val="00B662AD"/>
    <w:rsid w:val="00B671AA"/>
    <w:rsid w:val="00B67939"/>
    <w:rsid w:val="00B70066"/>
    <w:rsid w:val="00B72ACE"/>
    <w:rsid w:val="00B73BC0"/>
    <w:rsid w:val="00B77788"/>
    <w:rsid w:val="00B82000"/>
    <w:rsid w:val="00B84265"/>
    <w:rsid w:val="00B86E05"/>
    <w:rsid w:val="00B91560"/>
    <w:rsid w:val="00B91A02"/>
    <w:rsid w:val="00B92B46"/>
    <w:rsid w:val="00B92E1C"/>
    <w:rsid w:val="00B9454C"/>
    <w:rsid w:val="00B96729"/>
    <w:rsid w:val="00BA00A9"/>
    <w:rsid w:val="00BA0426"/>
    <w:rsid w:val="00BA1B7A"/>
    <w:rsid w:val="00BA36A5"/>
    <w:rsid w:val="00BA65A5"/>
    <w:rsid w:val="00BA69F4"/>
    <w:rsid w:val="00BB0CC2"/>
    <w:rsid w:val="00BB1A72"/>
    <w:rsid w:val="00BB37FC"/>
    <w:rsid w:val="00BB4824"/>
    <w:rsid w:val="00BB6202"/>
    <w:rsid w:val="00BB64C1"/>
    <w:rsid w:val="00BB7698"/>
    <w:rsid w:val="00BC15AB"/>
    <w:rsid w:val="00BC250E"/>
    <w:rsid w:val="00BC26D1"/>
    <w:rsid w:val="00BC30AA"/>
    <w:rsid w:val="00BC3FE1"/>
    <w:rsid w:val="00BC415B"/>
    <w:rsid w:val="00BC63BC"/>
    <w:rsid w:val="00BC6991"/>
    <w:rsid w:val="00BC7267"/>
    <w:rsid w:val="00BD000E"/>
    <w:rsid w:val="00BD0947"/>
    <w:rsid w:val="00BD1191"/>
    <w:rsid w:val="00BD1625"/>
    <w:rsid w:val="00BD1BDB"/>
    <w:rsid w:val="00BD24F0"/>
    <w:rsid w:val="00BD2516"/>
    <w:rsid w:val="00BD3667"/>
    <w:rsid w:val="00BD3AD2"/>
    <w:rsid w:val="00BD412A"/>
    <w:rsid w:val="00BD428D"/>
    <w:rsid w:val="00BD4548"/>
    <w:rsid w:val="00BD4F79"/>
    <w:rsid w:val="00BD6BED"/>
    <w:rsid w:val="00BD7483"/>
    <w:rsid w:val="00BE0E74"/>
    <w:rsid w:val="00BE226E"/>
    <w:rsid w:val="00BE3B2F"/>
    <w:rsid w:val="00BE62F8"/>
    <w:rsid w:val="00BE67A1"/>
    <w:rsid w:val="00BF0748"/>
    <w:rsid w:val="00BF2DD3"/>
    <w:rsid w:val="00BF6D06"/>
    <w:rsid w:val="00C0130F"/>
    <w:rsid w:val="00C0343A"/>
    <w:rsid w:val="00C04B04"/>
    <w:rsid w:val="00C0590E"/>
    <w:rsid w:val="00C1122F"/>
    <w:rsid w:val="00C134E5"/>
    <w:rsid w:val="00C13832"/>
    <w:rsid w:val="00C16490"/>
    <w:rsid w:val="00C1712D"/>
    <w:rsid w:val="00C17535"/>
    <w:rsid w:val="00C20E42"/>
    <w:rsid w:val="00C22635"/>
    <w:rsid w:val="00C22842"/>
    <w:rsid w:val="00C23048"/>
    <w:rsid w:val="00C23621"/>
    <w:rsid w:val="00C2421C"/>
    <w:rsid w:val="00C25515"/>
    <w:rsid w:val="00C26070"/>
    <w:rsid w:val="00C265CC"/>
    <w:rsid w:val="00C273AE"/>
    <w:rsid w:val="00C3109F"/>
    <w:rsid w:val="00C31ECA"/>
    <w:rsid w:val="00C3292E"/>
    <w:rsid w:val="00C34B07"/>
    <w:rsid w:val="00C359E4"/>
    <w:rsid w:val="00C400E5"/>
    <w:rsid w:val="00C41E21"/>
    <w:rsid w:val="00C4317A"/>
    <w:rsid w:val="00C46981"/>
    <w:rsid w:val="00C472F7"/>
    <w:rsid w:val="00C47D1B"/>
    <w:rsid w:val="00C503FF"/>
    <w:rsid w:val="00C515D8"/>
    <w:rsid w:val="00C516FA"/>
    <w:rsid w:val="00C51B23"/>
    <w:rsid w:val="00C51DB4"/>
    <w:rsid w:val="00C53782"/>
    <w:rsid w:val="00C53E72"/>
    <w:rsid w:val="00C546A6"/>
    <w:rsid w:val="00C54BE5"/>
    <w:rsid w:val="00C56A45"/>
    <w:rsid w:val="00C57553"/>
    <w:rsid w:val="00C6012D"/>
    <w:rsid w:val="00C61B3E"/>
    <w:rsid w:val="00C61F98"/>
    <w:rsid w:val="00C62190"/>
    <w:rsid w:val="00C636D0"/>
    <w:rsid w:val="00C673D1"/>
    <w:rsid w:val="00C716E5"/>
    <w:rsid w:val="00C71B02"/>
    <w:rsid w:val="00C73CC8"/>
    <w:rsid w:val="00C7460D"/>
    <w:rsid w:val="00C74C5A"/>
    <w:rsid w:val="00C7739C"/>
    <w:rsid w:val="00C77CD0"/>
    <w:rsid w:val="00C8009A"/>
    <w:rsid w:val="00C80153"/>
    <w:rsid w:val="00C8083C"/>
    <w:rsid w:val="00C80F8C"/>
    <w:rsid w:val="00C8162E"/>
    <w:rsid w:val="00C81D21"/>
    <w:rsid w:val="00C81D68"/>
    <w:rsid w:val="00C828BE"/>
    <w:rsid w:val="00C82C57"/>
    <w:rsid w:val="00C84585"/>
    <w:rsid w:val="00C87926"/>
    <w:rsid w:val="00C90A72"/>
    <w:rsid w:val="00C92091"/>
    <w:rsid w:val="00C92FA3"/>
    <w:rsid w:val="00C946FA"/>
    <w:rsid w:val="00C94DA4"/>
    <w:rsid w:val="00C94EA7"/>
    <w:rsid w:val="00C97E22"/>
    <w:rsid w:val="00CA2AE3"/>
    <w:rsid w:val="00CA30DF"/>
    <w:rsid w:val="00CA456C"/>
    <w:rsid w:val="00CA460D"/>
    <w:rsid w:val="00CA4FB8"/>
    <w:rsid w:val="00CA66DF"/>
    <w:rsid w:val="00CA7476"/>
    <w:rsid w:val="00CA7C1E"/>
    <w:rsid w:val="00CB2A57"/>
    <w:rsid w:val="00CB5BCD"/>
    <w:rsid w:val="00CB7F63"/>
    <w:rsid w:val="00CC0C5D"/>
    <w:rsid w:val="00CC0EE1"/>
    <w:rsid w:val="00CC22DD"/>
    <w:rsid w:val="00CC2BF2"/>
    <w:rsid w:val="00CC30A8"/>
    <w:rsid w:val="00CC5E23"/>
    <w:rsid w:val="00CC6364"/>
    <w:rsid w:val="00CD2AE3"/>
    <w:rsid w:val="00CD4A97"/>
    <w:rsid w:val="00CD7C46"/>
    <w:rsid w:val="00CE1592"/>
    <w:rsid w:val="00CE46FC"/>
    <w:rsid w:val="00CE4AA8"/>
    <w:rsid w:val="00CE4CC9"/>
    <w:rsid w:val="00CE657B"/>
    <w:rsid w:val="00CE6664"/>
    <w:rsid w:val="00CE72D8"/>
    <w:rsid w:val="00CF0C04"/>
    <w:rsid w:val="00CF4303"/>
    <w:rsid w:val="00CF67F8"/>
    <w:rsid w:val="00CF6971"/>
    <w:rsid w:val="00CF6B0F"/>
    <w:rsid w:val="00D01EDC"/>
    <w:rsid w:val="00D027E3"/>
    <w:rsid w:val="00D035FA"/>
    <w:rsid w:val="00D06512"/>
    <w:rsid w:val="00D073F7"/>
    <w:rsid w:val="00D11533"/>
    <w:rsid w:val="00D1236B"/>
    <w:rsid w:val="00D12E08"/>
    <w:rsid w:val="00D16EAC"/>
    <w:rsid w:val="00D17DCA"/>
    <w:rsid w:val="00D236C3"/>
    <w:rsid w:val="00D24764"/>
    <w:rsid w:val="00D24A5F"/>
    <w:rsid w:val="00D269B7"/>
    <w:rsid w:val="00D278A7"/>
    <w:rsid w:val="00D31741"/>
    <w:rsid w:val="00D31A46"/>
    <w:rsid w:val="00D31B82"/>
    <w:rsid w:val="00D31BFC"/>
    <w:rsid w:val="00D32B38"/>
    <w:rsid w:val="00D33B5C"/>
    <w:rsid w:val="00D34301"/>
    <w:rsid w:val="00D35C16"/>
    <w:rsid w:val="00D36B89"/>
    <w:rsid w:val="00D371C6"/>
    <w:rsid w:val="00D372B2"/>
    <w:rsid w:val="00D4136B"/>
    <w:rsid w:val="00D418A9"/>
    <w:rsid w:val="00D41D70"/>
    <w:rsid w:val="00D42175"/>
    <w:rsid w:val="00D42497"/>
    <w:rsid w:val="00D439E6"/>
    <w:rsid w:val="00D44F7D"/>
    <w:rsid w:val="00D463BD"/>
    <w:rsid w:val="00D46A09"/>
    <w:rsid w:val="00D47351"/>
    <w:rsid w:val="00D50580"/>
    <w:rsid w:val="00D518E8"/>
    <w:rsid w:val="00D523CA"/>
    <w:rsid w:val="00D53645"/>
    <w:rsid w:val="00D547F7"/>
    <w:rsid w:val="00D649B8"/>
    <w:rsid w:val="00D66740"/>
    <w:rsid w:val="00D66A2A"/>
    <w:rsid w:val="00D7015C"/>
    <w:rsid w:val="00D70B6F"/>
    <w:rsid w:val="00D71585"/>
    <w:rsid w:val="00D72B26"/>
    <w:rsid w:val="00D75214"/>
    <w:rsid w:val="00D77B71"/>
    <w:rsid w:val="00D83CE5"/>
    <w:rsid w:val="00D90475"/>
    <w:rsid w:val="00D91FB9"/>
    <w:rsid w:val="00D950A6"/>
    <w:rsid w:val="00D95EF8"/>
    <w:rsid w:val="00D9665A"/>
    <w:rsid w:val="00D96FFB"/>
    <w:rsid w:val="00DA0AF6"/>
    <w:rsid w:val="00DA0B77"/>
    <w:rsid w:val="00DA299A"/>
    <w:rsid w:val="00DA4C11"/>
    <w:rsid w:val="00DA63C9"/>
    <w:rsid w:val="00DB57CE"/>
    <w:rsid w:val="00DC215D"/>
    <w:rsid w:val="00DC27D5"/>
    <w:rsid w:val="00DC3B6D"/>
    <w:rsid w:val="00DC3E83"/>
    <w:rsid w:val="00DC59EC"/>
    <w:rsid w:val="00DC70B3"/>
    <w:rsid w:val="00DC752F"/>
    <w:rsid w:val="00DC7CC1"/>
    <w:rsid w:val="00DD0FEA"/>
    <w:rsid w:val="00DD10D7"/>
    <w:rsid w:val="00DD1B85"/>
    <w:rsid w:val="00DD1D6B"/>
    <w:rsid w:val="00DD324F"/>
    <w:rsid w:val="00DD36E9"/>
    <w:rsid w:val="00DD430C"/>
    <w:rsid w:val="00DD43B7"/>
    <w:rsid w:val="00DD4B66"/>
    <w:rsid w:val="00DD4EA2"/>
    <w:rsid w:val="00DD747F"/>
    <w:rsid w:val="00DE03DC"/>
    <w:rsid w:val="00DE0BC1"/>
    <w:rsid w:val="00DE0D39"/>
    <w:rsid w:val="00DE18CF"/>
    <w:rsid w:val="00DE1D18"/>
    <w:rsid w:val="00DE5A9A"/>
    <w:rsid w:val="00DE7F9A"/>
    <w:rsid w:val="00DF0B40"/>
    <w:rsid w:val="00DF0D44"/>
    <w:rsid w:val="00DF1223"/>
    <w:rsid w:val="00DF134A"/>
    <w:rsid w:val="00DF13C0"/>
    <w:rsid w:val="00DF3014"/>
    <w:rsid w:val="00DF3CE0"/>
    <w:rsid w:val="00DF3F63"/>
    <w:rsid w:val="00E000A7"/>
    <w:rsid w:val="00E01862"/>
    <w:rsid w:val="00E020A1"/>
    <w:rsid w:val="00E023C9"/>
    <w:rsid w:val="00E02EC1"/>
    <w:rsid w:val="00E03758"/>
    <w:rsid w:val="00E048A0"/>
    <w:rsid w:val="00E05C70"/>
    <w:rsid w:val="00E10E5D"/>
    <w:rsid w:val="00E16244"/>
    <w:rsid w:val="00E162C7"/>
    <w:rsid w:val="00E16369"/>
    <w:rsid w:val="00E16AC1"/>
    <w:rsid w:val="00E207FE"/>
    <w:rsid w:val="00E21052"/>
    <w:rsid w:val="00E21C20"/>
    <w:rsid w:val="00E2306B"/>
    <w:rsid w:val="00E2538E"/>
    <w:rsid w:val="00E261A8"/>
    <w:rsid w:val="00E26B94"/>
    <w:rsid w:val="00E32DD1"/>
    <w:rsid w:val="00E330B2"/>
    <w:rsid w:val="00E33369"/>
    <w:rsid w:val="00E34890"/>
    <w:rsid w:val="00E35CAE"/>
    <w:rsid w:val="00E369C3"/>
    <w:rsid w:val="00E4041D"/>
    <w:rsid w:val="00E40D16"/>
    <w:rsid w:val="00E430A9"/>
    <w:rsid w:val="00E45F6B"/>
    <w:rsid w:val="00E46895"/>
    <w:rsid w:val="00E47425"/>
    <w:rsid w:val="00E53D1B"/>
    <w:rsid w:val="00E5532F"/>
    <w:rsid w:val="00E558B1"/>
    <w:rsid w:val="00E55E95"/>
    <w:rsid w:val="00E55ECE"/>
    <w:rsid w:val="00E56D64"/>
    <w:rsid w:val="00E60472"/>
    <w:rsid w:val="00E61731"/>
    <w:rsid w:val="00E619AC"/>
    <w:rsid w:val="00E6267E"/>
    <w:rsid w:val="00E62DB9"/>
    <w:rsid w:val="00E62F48"/>
    <w:rsid w:val="00E640ED"/>
    <w:rsid w:val="00E64143"/>
    <w:rsid w:val="00E6514E"/>
    <w:rsid w:val="00E66AC9"/>
    <w:rsid w:val="00E66CA0"/>
    <w:rsid w:val="00E70607"/>
    <w:rsid w:val="00E71476"/>
    <w:rsid w:val="00E7373D"/>
    <w:rsid w:val="00E73FB2"/>
    <w:rsid w:val="00E744D4"/>
    <w:rsid w:val="00E805C5"/>
    <w:rsid w:val="00E81221"/>
    <w:rsid w:val="00E8169E"/>
    <w:rsid w:val="00E82A53"/>
    <w:rsid w:val="00E86E4F"/>
    <w:rsid w:val="00E87ACA"/>
    <w:rsid w:val="00E945A1"/>
    <w:rsid w:val="00E954B7"/>
    <w:rsid w:val="00E95D22"/>
    <w:rsid w:val="00EA061E"/>
    <w:rsid w:val="00EA4CD3"/>
    <w:rsid w:val="00EA6925"/>
    <w:rsid w:val="00EA699B"/>
    <w:rsid w:val="00EA6D71"/>
    <w:rsid w:val="00EA75AA"/>
    <w:rsid w:val="00EB108B"/>
    <w:rsid w:val="00EB1551"/>
    <w:rsid w:val="00EB1965"/>
    <w:rsid w:val="00EB29D3"/>
    <w:rsid w:val="00EB3E96"/>
    <w:rsid w:val="00EB49F3"/>
    <w:rsid w:val="00EB4AF6"/>
    <w:rsid w:val="00EB57EC"/>
    <w:rsid w:val="00EB5BD5"/>
    <w:rsid w:val="00EB648C"/>
    <w:rsid w:val="00EB69E1"/>
    <w:rsid w:val="00EC0103"/>
    <w:rsid w:val="00EC35B4"/>
    <w:rsid w:val="00EC3967"/>
    <w:rsid w:val="00EC6696"/>
    <w:rsid w:val="00EC7099"/>
    <w:rsid w:val="00ED1375"/>
    <w:rsid w:val="00ED2A18"/>
    <w:rsid w:val="00ED3020"/>
    <w:rsid w:val="00ED39C1"/>
    <w:rsid w:val="00ED4629"/>
    <w:rsid w:val="00ED4E84"/>
    <w:rsid w:val="00ED7C7A"/>
    <w:rsid w:val="00ED7CAF"/>
    <w:rsid w:val="00ED7D9E"/>
    <w:rsid w:val="00EE12AB"/>
    <w:rsid w:val="00EE57A3"/>
    <w:rsid w:val="00EF00D9"/>
    <w:rsid w:val="00EF079E"/>
    <w:rsid w:val="00EF0E89"/>
    <w:rsid w:val="00EF1F2A"/>
    <w:rsid w:val="00EF4435"/>
    <w:rsid w:val="00F00AB6"/>
    <w:rsid w:val="00F00D29"/>
    <w:rsid w:val="00F01589"/>
    <w:rsid w:val="00F02049"/>
    <w:rsid w:val="00F04F66"/>
    <w:rsid w:val="00F069F1"/>
    <w:rsid w:val="00F122A0"/>
    <w:rsid w:val="00F12A0E"/>
    <w:rsid w:val="00F14E59"/>
    <w:rsid w:val="00F172EE"/>
    <w:rsid w:val="00F179D8"/>
    <w:rsid w:val="00F2098F"/>
    <w:rsid w:val="00F26169"/>
    <w:rsid w:val="00F271DD"/>
    <w:rsid w:val="00F300EF"/>
    <w:rsid w:val="00F302F4"/>
    <w:rsid w:val="00F30A7B"/>
    <w:rsid w:val="00F30EC1"/>
    <w:rsid w:val="00F30F7B"/>
    <w:rsid w:val="00F32BCB"/>
    <w:rsid w:val="00F3329C"/>
    <w:rsid w:val="00F34964"/>
    <w:rsid w:val="00F36CCC"/>
    <w:rsid w:val="00F37637"/>
    <w:rsid w:val="00F40718"/>
    <w:rsid w:val="00F41380"/>
    <w:rsid w:val="00F414B3"/>
    <w:rsid w:val="00F45839"/>
    <w:rsid w:val="00F4715B"/>
    <w:rsid w:val="00F47385"/>
    <w:rsid w:val="00F47EF8"/>
    <w:rsid w:val="00F5164C"/>
    <w:rsid w:val="00F533A1"/>
    <w:rsid w:val="00F552FA"/>
    <w:rsid w:val="00F5530B"/>
    <w:rsid w:val="00F567A8"/>
    <w:rsid w:val="00F5729F"/>
    <w:rsid w:val="00F574F8"/>
    <w:rsid w:val="00F600F2"/>
    <w:rsid w:val="00F6065B"/>
    <w:rsid w:val="00F63C1F"/>
    <w:rsid w:val="00F702B4"/>
    <w:rsid w:val="00F75810"/>
    <w:rsid w:val="00F75E36"/>
    <w:rsid w:val="00F80729"/>
    <w:rsid w:val="00F80996"/>
    <w:rsid w:val="00F82380"/>
    <w:rsid w:val="00F82EA9"/>
    <w:rsid w:val="00F84BAA"/>
    <w:rsid w:val="00F84D35"/>
    <w:rsid w:val="00F86C3E"/>
    <w:rsid w:val="00F8725D"/>
    <w:rsid w:val="00F87384"/>
    <w:rsid w:val="00F878EA"/>
    <w:rsid w:val="00F907B2"/>
    <w:rsid w:val="00F92058"/>
    <w:rsid w:val="00F944D7"/>
    <w:rsid w:val="00F95C1D"/>
    <w:rsid w:val="00F97F78"/>
    <w:rsid w:val="00FA43A4"/>
    <w:rsid w:val="00FA499D"/>
    <w:rsid w:val="00FA5129"/>
    <w:rsid w:val="00FA62D8"/>
    <w:rsid w:val="00FA7B5A"/>
    <w:rsid w:val="00FA7B91"/>
    <w:rsid w:val="00FA7FF8"/>
    <w:rsid w:val="00FB1D39"/>
    <w:rsid w:val="00FB2122"/>
    <w:rsid w:val="00FB40AA"/>
    <w:rsid w:val="00FB48D6"/>
    <w:rsid w:val="00FB59B6"/>
    <w:rsid w:val="00FC3122"/>
    <w:rsid w:val="00FC3695"/>
    <w:rsid w:val="00FC5C77"/>
    <w:rsid w:val="00FC6CDB"/>
    <w:rsid w:val="00FD1DE6"/>
    <w:rsid w:val="00FD64C4"/>
    <w:rsid w:val="00FD6EAB"/>
    <w:rsid w:val="00FD7CD2"/>
    <w:rsid w:val="00FE021A"/>
    <w:rsid w:val="00FE1A69"/>
    <w:rsid w:val="00FE1B57"/>
    <w:rsid w:val="00FE1F79"/>
    <w:rsid w:val="00FE2C96"/>
    <w:rsid w:val="00FE43BA"/>
    <w:rsid w:val="00FE5006"/>
    <w:rsid w:val="00FE5219"/>
    <w:rsid w:val="00FE56B4"/>
    <w:rsid w:val="00FE6C02"/>
    <w:rsid w:val="00FE71F9"/>
    <w:rsid w:val="00FE7747"/>
    <w:rsid w:val="00FF0271"/>
    <w:rsid w:val="00FF0383"/>
    <w:rsid w:val="00FF3CDA"/>
    <w:rsid w:val="00FF45AB"/>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F14805D-73AA-4E40-AC49-05403952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81899223">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5F26A-18D6-436E-A632-775F97E2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38</Pages>
  <Words>10213</Words>
  <Characters>56173</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138</cp:revision>
  <cp:lastPrinted>2019-01-25T00:22:00Z</cp:lastPrinted>
  <dcterms:created xsi:type="dcterms:W3CDTF">2017-03-31T00:22:00Z</dcterms:created>
  <dcterms:modified xsi:type="dcterms:W3CDTF">2019-03-12T01:10:00Z</dcterms:modified>
</cp:coreProperties>
</file>