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México, </w:t>
      </w:r>
      <w:r w:rsidR="00D34487">
        <w:rPr>
          <w:rFonts w:ascii="Palatino Linotype" w:eastAsia="Times New Roman" w:hAnsi="Palatino Linotype" w:cs="Arial"/>
          <w:color w:val="000000"/>
          <w:sz w:val="24"/>
          <w:szCs w:val="24"/>
          <w:lang w:eastAsia="es-MX"/>
        </w:rPr>
        <w:t xml:space="preserve">a </w:t>
      </w:r>
      <w:r w:rsidR="00A24CE9">
        <w:rPr>
          <w:rFonts w:ascii="Palatino Linotype" w:eastAsia="Times New Roman" w:hAnsi="Palatino Linotype" w:cs="Arial"/>
          <w:color w:val="000000"/>
          <w:sz w:val="24"/>
          <w:szCs w:val="24"/>
          <w:lang w:eastAsia="es-MX"/>
        </w:rPr>
        <w:t>treinta de enero</w:t>
      </w:r>
      <w:r w:rsidR="00A3134D" w:rsidRPr="00A3134D">
        <w:rPr>
          <w:rFonts w:ascii="Palatino Linotype" w:eastAsia="Times New Roman" w:hAnsi="Palatino Linotype" w:cs="Arial"/>
          <w:color w:val="000000"/>
          <w:sz w:val="24"/>
          <w:szCs w:val="24"/>
          <w:lang w:eastAsia="es-MX"/>
        </w:rPr>
        <w:t xml:space="preserve"> </w:t>
      </w:r>
      <w:r w:rsidR="00A24CE9">
        <w:rPr>
          <w:rFonts w:ascii="Palatino Linotype" w:eastAsia="Times New Roman" w:hAnsi="Palatino Linotype" w:cs="Arial"/>
          <w:color w:val="000000"/>
          <w:sz w:val="24"/>
          <w:szCs w:val="24"/>
          <w:lang w:eastAsia="es-MX"/>
        </w:rPr>
        <w:t>de dos mil diecinueve</w:t>
      </w:r>
      <w:r w:rsidRPr="00A3134D">
        <w:rPr>
          <w:rFonts w:ascii="Palatino Linotype" w:eastAsia="Times New Roman" w:hAnsi="Palatino Linotype" w:cs="Arial"/>
          <w:color w:val="000000"/>
          <w:sz w:val="24"/>
          <w:szCs w:val="24"/>
          <w:lang w:eastAsia="es-MX"/>
        </w:rPr>
        <w:t>.</w:t>
      </w:r>
    </w:p>
    <w:p w:rsidR="007E2E80" w:rsidRPr="004807F7"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A24CE9" w:rsidRPr="00A24CE9">
        <w:rPr>
          <w:rFonts w:ascii="Palatino Linotype" w:hAnsi="Palatino Linotype" w:cs="Arial"/>
          <w:b/>
          <w:bCs/>
          <w:sz w:val="24"/>
          <w:lang w:eastAsia="es-MX"/>
        </w:rPr>
        <w:t>04415/INFOEM/IP/RR/2018</w:t>
      </w:r>
      <w:r>
        <w:rPr>
          <w:rFonts w:ascii="Palatino Linotype" w:hAnsi="Palatino Linotype" w:cs="Arial"/>
          <w:sz w:val="24"/>
        </w:rPr>
        <w:t xml:space="preserve">, </w:t>
      </w:r>
      <w:r w:rsidRPr="00224181">
        <w:rPr>
          <w:rFonts w:ascii="Palatino Linotype" w:hAnsi="Palatino Linotype" w:cs="Arial"/>
          <w:sz w:val="24"/>
        </w:rPr>
        <w:t xml:space="preserve">interpuesto por </w:t>
      </w:r>
      <w:r w:rsidR="00A24CE9">
        <w:rPr>
          <w:rFonts w:ascii="Palatino Linotype" w:hAnsi="Palatino Linotype" w:cs="Arial"/>
          <w:sz w:val="24"/>
        </w:rPr>
        <w:t>la</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3027D2">
        <w:rPr>
          <w:rFonts w:ascii="Palatino Linotype" w:hAnsi="Palatino Linotype" w:cs="Arial"/>
          <w:b/>
          <w:sz w:val="24"/>
          <w:szCs w:val="24"/>
        </w:rPr>
        <w:t>XXXXXXXXXXXXXXXXX</w:t>
      </w:r>
      <w:r w:rsidRPr="008E5141">
        <w:rPr>
          <w:rFonts w:ascii="Palatino Linotype" w:hAnsi="Palatino Linotype" w:cs="Arial"/>
          <w:b/>
          <w:sz w:val="24"/>
          <w:szCs w:val="24"/>
        </w:rPr>
        <w:t xml:space="preserve"> </w:t>
      </w:r>
      <w:r w:rsidRPr="00224181">
        <w:rPr>
          <w:rFonts w:ascii="Palatino Linotype" w:hAnsi="Palatino Linotype" w:cs="Arial"/>
          <w:sz w:val="24"/>
        </w:rPr>
        <w:t xml:space="preserve">en lo sucesivo </w:t>
      </w:r>
      <w:r w:rsidR="00A24CE9">
        <w:rPr>
          <w:rFonts w:ascii="Palatino Linotype" w:hAnsi="Palatino Linotype" w:cs="Arial"/>
          <w:sz w:val="24"/>
        </w:rPr>
        <w:t>la</w:t>
      </w:r>
      <w:r w:rsidRPr="002A4C04">
        <w:rPr>
          <w:rFonts w:ascii="Palatino Linotype" w:hAnsi="Palatino Linotype" w:cs="Arial"/>
          <w:b/>
          <w:sz w:val="24"/>
        </w:rPr>
        <w:t xml:space="preserve"> </w:t>
      </w:r>
      <w:r>
        <w:rPr>
          <w:rFonts w:ascii="Palatino Linotype" w:hAnsi="Palatino Linotype" w:cs="Arial"/>
          <w:b/>
          <w:sz w:val="24"/>
        </w:rPr>
        <w:t>Recurrente</w:t>
      </w:r>
      <w:r w:rsidRPr="00224181">
        <w:rPr>
          <w:rFonts w:ascii="Palatino Linotype" w:hAnsi="Palatino Linotype" w:cs="Arial"/>
          <w:sz w:val="24"/>
        </w:rPr>
        <w:t xml:space="preserve">, en contra de la respuesta </w:t>
      </w:r>
      <w:r w:rsidR="00A24CE9">
        <w:rPr>
          <w:rFonts w:ascii="Palatino Linotype" w:hAnsi="Palatino Linotype" w:cs="Arial"/>
          <w:sz w:val="24"/>
        </w:rPr>
        <w:t>de</w:t>
      </w:r>
      <w:r w:rsidRPr="0019457A">
        <w:rPr>
          <w:rFonts w:ascii="Palatino Linotype" w:hAnsi="Palatino Linotype" w:cs="Arial"/>
          <w:sz w:val="24"/>
        </w:rPr>
        <w:t xml:space="preserve"> </w:t>
      </w:r>
      <w:r w:rsidR="00A24CE9" w:rsidRPr="00A24CE9">
        <w:rPr>
          <w:rFonts w:ascii="Palatino Linotype" w:hAnsi="Palatino Linotype" w:cs="Arial"/>
          <w:b/>
          <w:sz w:val="24"/>
        </w:rPr>
        <w:t>Gubernatura</w:t>
      </w:r>
      <w:r w:rsidRPr="0019457A">
        <w:rPr>
          <w:rFonts w:ascii="Palatino Linotype" w:hAnsi="Palatino Linotype" w:cs="Arial"/>
          <w:sz w:val="24"/>
        </w:rPr>
        <w:t>, en lo subsecuente</w:t>
      </w:r>
      <w:r w:rsidR="00DD2D53">
        <w:rPr>
          <w:rFonts w:ascii="Palatino Linotype" w:hAnsi="Palatino Linotype" w:cs="Arial"/>
          <w:b/>
          <w:sz w:val="24"/>
          <w:szCs w:val="24"/>
        </w:rPr>
        <w:t xml:space="preserve"> </w:t>
      </w:r>
      <w:r w:rsidR="00DD2D53" w:rsidRPr="002A4C04">
        <w:rPr>
          <w:rFonts w:ascii="Palatino Linotype" w:hAnsi="Palatino Linotype" w:cs="Arial"/>
          <w:sz w:val="24"/>
          <w:szCs w:val="24"/>
        </w:rPr>
        <w:t>e</w:t>
      </w:r>
      <w:r w:rsidRPr="002A4C04">
        <w:rPr>
          <w:rFonts w:ascii="Palatino Linotype" w:hAnsi="Palatino Linotype" w:cs="Arial"/>
          <w:sz w:val="24"/>
          <w:szCs w:val="24"/>
        </w:rPr>
        <w:t>l</w:t>
      </w:r>
      <w:r w:rsidRPr="00224181">
        <w:rPr>
          <w:rFonts w:ascii="Palatino Linotype" w:hAnsi="Palatino Linotype" w:cs="Arial"/>
          <w:b/>
          <w:sz w:val="24"/>
          <w:szCs w:val="24"/>
        </w:rPr>
        <w:t xml:space="preserve"> 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rsidR="007E2E80" w:rsidRPr="004807F7" w:rsidRDefault="007E2E80" w:rsidP="007E2E80">
      <w:pPr>
        <w:tabs>
          <w:tab w:val="left" w:pos="1701"/>
        </w:tabs>
        <w:spacing w:before="240" w:line="360" w:lineRule="auto"/>
        <w:jc w:val="both"/>
        <w:rPr>
          <w:rFonts w:ascii="Palatino Linotype" w:hAnsi="Palatino Linotype" w:cs="Arial"/>
          <w:sz w:val="14"/>
        </w:rPr>
      </w:pPr>
    </w:p>
    <w:p w:rsidR="007E2E80" w:rsidRPr="00BE6D77" w:rsidRDefault="007E2E80" w:rsidP="007E2E80">
      <w:pPr>
        <w:spacing w:before="240" w:after="240" w:line="360" w:lineRule="auto"/>
        <w:jc w:val="center"/>
        <w:rPr>
          <w:rFonts w:ascii="Palatino Linotype" w:hAnsi="Palatino Linotype"/>
          <w:b/>
          <w:sz w:val="26"/>
          <w:szCs w:val="26"/>
        </w:rPr>
      </w:pPr>
      <w:r w:rsidRPr="00BE6D77">
        <w:rPr>
          <w:rFonts w:ascii="Palatino Linotype" w:hAnsi="Palatino Linotype"/>
          <w:b/>
          <w:sz w:val="26"/>
          <w:szCs w:val="26"/>
        </w:rPr>
        <w:t>A N T E C E D E N T E S   D E L   A S U N T O</w:t>
      </w:r>
    </w:p>
    <w:p w:rsidR="007E2E80" w:rsidRPr="007B6D38" w:rsidRDefault="007E2E80" w:rsidP="007E2E80">
      <w:pPr>
        <w:spacing w:before="240" w:after="240" w:line="360" w:lineRule="auto"/>
        <w:jc w:val="both"/>
        <w:rPr>
          <w:rFonts w:ascii="Palatino Linotype" w:hAnsi="Palatino Linotype"/>
          <w:sz w:val="28"/>
          <w:szCs w:val="26"/>
        </w:rPr>
      </w:pPr>
      <w:r w:rsidRPr="007B6D38">
        <w:rPr>
          <w:rFonts w:ascii="Palatino Linotype" w:hAnsi="Palatino Linotype" w:cs="Arial"/>
          <w:b/>
          <w:sz w:val="28"/>
          <w:szCs w:val="26"/>
        </w:rPr>
        <w:t>PRIMERO.</w:t>
      </w:r>
      <w:r w:rsidRPr="007B6D38">
        <w:rPr>
          <w:rFonts w:ascii="Palatino Linotype" w:hAnsi="Palatino Linotype" w:cs="Arial"/>
          <w:sz w:val="28"/>
          <w:szCs w:val="26"/>
        </w:rPr>
        <w:t xml:space="preserve"> </w:t>
      </w:r>
      <w:r w:rsidRPr="007B6D38">
        <w:rPr>
          <w:rFonts w:ascii="Palatino Linotype" w:hAnsi="Palatino Linotype"/>
          <w:b/>
          <w:sz w:val="28"/>
          <w:szCs w:val="26"/>
        </w:rPr>
        <w:t>De la Solicitud de Información.</w:t>
      </w:r>
    </w:p>
    <w:p w:rsidR="007E2E80" w:rsidRDefault="007E2E80" w:rsidP="0069417C">
      <w:pPr>
        <w:spacing w:after="0" w:line="360" w:lineRule="auto"/>
        <w:jc w:val="both"/>
        <w:rPr>
          <w:rFonts w:ascii="Palatino Linotype" w:hAnsi="Palatino Linotype" w:cs="Arial"/>
          <w:sz w:val="24"/>
          <w:szCs w:val="24"/>
        </w:rPr>
      </w:pPr>
      <w:r>
        <w:rPr>
          <w:rFonts w:ascii="Palatino Linotype" w:hAnsi="Palatino Linotype" w:cs="Arial"/>
          <w:sz w:val="24"/>
        </w:rPr>
        <w:t>Con</w:t>
      </w:r>
      <w:r w:rsidR="00DD2D53">
        <w:rPr>
          <w:rFonts w:ascii="Palatino Linotype" w:hAnsi="Palatino Linotype" w:cs="Arial"/>
          <w:sz w:val="24"/>
        </w:rPr>
        <w:t xml:space="preserve"> fecha </w:t>
      </w:r>
      <w:r w:rsidR="00586B33">
        <w:rPr>
          <w:rFonts w:ascii="Palatino Linotype" w:hAnsi="Palatino Linotype" w:cs="Arial"/>
          <w:sz w:val="24"/>
        </w:rPr>
        <w:t>siete de noviembre</w:t>
      </w:r>
      <w:r w:rsidR="0069417C">
        <w:rPr>
          <w:rFonts w:ascii="Palatino Linotype" w:hAnsi="Palatino Linotype" w:cs="Arial"/>
          <w:sz w:val="24"/>
        </w:rPr>
        <w:t xml:space="preserve"> de dos mil dieciocho</w:t>
      </w:r>
      <w:r>
        <w:rPr>
          <w:rFonts w:ascii="Palatino Linotype" w:hAnsi="Palatino Linotype" w:cs="Arial"/>
          <w:sz w:val="24"/>
        </w:rPr>
        <w:t xml:space="preserve">, </w:t>
      </w:r>
      <w:r w:rsidR="00586B33">
        <w:rPr>
          <w:rFonts w:ascii="Palatino Linotype" w:hAnsi="Palatino Linotype" w:cs="Arial"/>
          <w:sz w:val="24"/>
        </w:rPr>
        <w:t>la</w:t>
      </w:r>
      <w:r w:rsidR="00DD2D53">
        <w:rPr>
          <w:rFonts w:ascii="Palatino Linotype" w:hAnsi="Palatino Linotype" w:cs="Arial"/>
          <w:sz w:val="24"/>
        </w:rPr>
        <w:t xml:space="preserve"> </w:t>
      </w:r>
      <w:r w:rsidRPr="0069417C">
        <w:rPr>
          <w:rFonts w:ascii="Palatino Linotype" w:hAnsi="Palatino Linotype" w:cs="Arial"/>
          <w:b/>
          <w:sz w:val="24"/>
        </w:rPr>
        <w:t>Recurrente</w:t>
      </w:r>
      <w:r w:rsidRPr="000E7C0A">
        <w:rPr>
          <w:rFonts w:ascii="Palatino Linotype" w:hAnsi="Palatino Linotype" w:cs="Arial"/>
          <w:sz w:val="24"/>
        </w:rPr>
        <w:t>,</w:t>
      </w:r>
      <w:r>
        <w:rPr>
          <w:rFonts w:ascii="Palatino Linotype" w:hAnsi="Palatino Linotype" w:cs="Arial"/>
          <w:sz w:val="24"/>
        </w:rPr>
        <w:t xml:space="preserve"> presentó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sidR="00DD2D53">
        <w:rPr>
          <w:rFonts w:ascii="Palatino Linotype" w:hAnsi="Palatino Linotype" w:cs="Arial"/>
          <w:sz w:val="24"/>
        </w:rPr>
        <w:t>e</w:t>
      </w:r>
      <w:r w:rsidRPr="00DD2D53">
        <w:rPr>
          <w:rFonts w:ascii="Palatino Linotype" w:hAnsi="Palatino Linotype" w:cs="Arial"/>
          <w:sz w:val="24"/>
        </w:rPr>
        <w:t xml:space="preserve">l </w:t>
      </w:r>
      <w:r w:rsidRPr="0069417C">
        <w:rPr>
          <w:rFonts w:ascii="Palatino Linotype" w:hAnsi="Palatino Linotype" w:cs="Arial"/>
          <w:b/>
          <w:sz w:val="24"/>
        </w:rPr>
        <w:t>Sujeto Obligado</w:t>
      </w:r>
      <w:r>
        <w:rPr>
          <w:rFonts w:ascii="Palatino Linotype" w:hAnsi="Palatino Linotype" w:cs="Arial"/>
          <w:sz w:val="24"/>
        </w:rPr>
        <w:t>, solicitud de acceso a la información pública, registrada bajo el número de expediente</w:t>
      </w:r>
      <w:r w:rsidR="00DD2D53">
        <w:rPr>
          <w:rFonts w:ascii="Palatino Linotype" w:hAnsi="Palatino Linotype" w:cs="Arial"/>
          <w:b/>
          <w:sz w:val="24"/>
        </w:rPr>
        <w:t xml:space="preserve"> </w:t>
      </w:r>
      <w:r w:rsidR="00586B33" w:rsidRPr="00586B33">
        <w:rPr>
          <w:rFonts w:ascii="Palatino Linotype" w:hAnsi="Palatino Linotype" w:cs="Arial"/>
          <w:b/>
          <w:sz w:val="24"/>
        </w:rPr>
        <w:t>00245/GUBERNA/IP/2018</w:t>
      </w:r>
      <w:r>
        <w:rPr>
          <w:rFonts w:ascii="Palatino Linotype" w:hAnsi="Palatino Linotype" w:cs="Arial"/>
          <w:b/>
          <w:sz w:val="24"/>
          <w:lang w:eastAsia="es-MX"/>
        </w:rPr>
        <w:t xml:space="preserve">, </w:t>
      </w:r>
      <w:r>
        <w:rPr>
          <w:rFonts w:ascii="Palatino Linotype" w:hAnsi="Palatino Linotype" w:cs="Arial"/>
          <w:sz w:val="24"/>
        </w:rPr>
        <w:t xml:space="preserve">mediante la cual solicitó información en el tenor </w:t>
      </w:r>
      <w:r w:rsidRPr="003E08B9">
        <w:rPr>
          <w:rFonts w:ascii="Palatino Linotype" w:hAnsi="Palatino Linotype" w:cs="Arial"/>
          <w:sz w:val="24"/>
          <w:szCs w:val="24"/>
        </w:rPr>
        <w:t>siguiente:</w:t>
      </w:r>
    </w:p>
    <w:p w:rsidR="0069417C" w:rsidRPr="003E08B9" w:rsidRDefault="0069417C" w:rsidP="0069417C">
      <w:pPr>
        <w:spacing w:after="0" w:line="360" w:lineRule="auto"/>
        <w:jc w:val="both"/>
        <w:rPr>
          <w:rFonts w:ascii="Palatino Linotype" w:hAnsi="Palatino Linotype" w:cs="Arial"/>
          <w:sz w:val="24"/>
          <w:szCs w:val="24"/>
        </w:rPr>
      </w:pPr>
    </w:p>
    <w:p w:rsidR="007E2E80" w:rsidRPr="003E08B9" w:rsidRDefault="007E2E80" w:rsidP="0069417C">
      <w:pPr>
        <w:spacing w:after="0" w:line="240" w:lineRule="auto"/>
        <w:ind w:left="851" w:right="850"/>
        <w:jc w:val="both"/>
        <w:rPr>
          <w:rFonts w:ascii="Palatino Linotype" w:eastAsia="Times New Roman" w:hAnsi="Palatino Linotype" w:cs="Times New Roman"/>
          <w:i/>
          <w:sz w:val="24"/>
          <w:szCs w:val="24"/>
          <w:lang w:val="es-ES_tradnl" w:eastAsia="es-ES"/>
        </w:rPr>
      </w:pPr>
      <w:r w:rsidRPr="003E08B9">
        <w:rPr>
          <w:rFonts w:ascii="Palatino Linotype" w:eastAsia="Times New Roman" w:hAnsi="Palatino Linotype" w:cs="Times New Roman"/>
          <w:i/>
          <w:sz w:val="24"/>
          <w:szCs w:val="24"/>
          <w:lang w:val="es-ES_tradnl" w:eastAsia="es-ES"/>
        </w:rPr>
        <w:t>“</w:t>
      </w:r>
      <w:r w:rsidR="00586B33" w:rsidRPr="00586B33">
        <w:rPr>
          <w:rFonts w:ascii="Palatino Linotype" w:eastAsia="Times New Roman" w:hAnsi="Palatino Linotype" w:cs="Times New Roman"/>
          <w:i/>
          <w:sz w:val="24"/>
          <w:szCs w:val="24"/>
          <w:lang w:eastAsia="es-ES"/>
        </w:rPr>
        <w:t>SOLICITO EL GAFETE-CREDENCIAL DE ALFREDO DEL MAZO MAZA</w:t>
      </w:r>
      <w:r w:rsidRPr="003E08B9">
        <w:rPr>
          <w:rFonts w:ascii="Palatino Linotype" w:eastAsia="Times New Roman" w:hAnsi="Palatino Linotype" w:cs="Times New Roman"/>
          <w:i/>
          <w:sz w:val="24"/>
          <w:szCs w:val="24"/>
          <w:lang w:val="es-ES_tradnl" w:eastAsia="es-ES"/>
        </w:rPr>
        <w:t>” [Sic]</w:t>
      </w: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2B0720" w:rsidRDefault="007E2E80" w:rsidP="0069417C">
      <w:pPr>
        <w:spacing w:after="0" w:line="240" w:lineRule="auto"/>
        <w:ind w:right="851"/>
        <w:jc w:val="both"/>
        <w:rPr>
          <w:rFonts w:ascii="Palatino Linotype" w:eastAsia="Times New Roman" w:hAnsi="Palatino Linotype" w:cs="Times New Roman"/>
          <w:sz w:val="24"/>
          <w:szCs w:val="24"/>
          <w:lang w:val="es-ES_tradnl" w:eastAsia="es-ES"/>
        </w:rPr>
      </w:pPr>
      <w:r w:rsidRPr="003E08B9">
        <w:rPr>
          <w:rFonts w:ascii="Palatino Linotype" w:eastAsia="Times New Roman" w:hAnsi="Palatino Linotype" w:cs="Times New Roman"/>
          <w:sz w:val="24"/>
          <w:szCs w:val="24"/>
          <w:lang w:val="es-ES_tradnl" w:eastAsia="es-ES"/>
        </w:rPr>
        <w:t xml:space="preserve">Modalidad de entrega: A través del </w:t>
      </w:r>
      <w:r w:rsidRPr="002B0720">
        <w:rPr>
          <w:rFonts w:ascii="Palatino Linotype" w:eastAsia="Times New Roman" w:hAnsi="Palatino Linotype" w:cs="Times New Roman"/>
          <w:b/>
          <w:sz w:val="24"/>
          <w:szCs w:val="24"/>
          <w:lang w:val="es-ES_tradnl" w:eastAsia="es-ES"/>
        </w:rPr>
        <w:t>SAIMEX</w:t>
      </w:r>
      <w:r w:rsidRPr="003E08B9">
        <w:rPr>
          <w:rFonts w:ascii="Palatino Linotype" w:eastAsia="Times New Roman" w:hAnsi="Palatino Linotype" w:cs="Times New Roman"/>
          <w:sz w:val="24"/>
          <w:szCs w:val="24"/>
          <w:lang w:val="es-ES_tradnl" w:eastAsia="es-ES"/>
        </w:rPr>
        <w:t>.</w:t>
      </w:r>
    </w:p>
    <w:p w:rsidR="0069417C" w:rsidRDefault="0069417C" w:rsidP="0069417C">
      <w:pPr>
        <w:spacing w:after="0" w:line="240" w:lineRule="auto"/>
        <w:ind w:right="851"/>
        <w:jc w:val="both"/>
        <w:rPr>
          <w:rFonts w:ascii="Palatino Linotype" w:eastAsia="Times New Roman" w:hAnsi="Palatino Linotype" w:cs="Times New Roman"/>
          <w:sz w:val="24"/>
          <w:szCs w:val="24"/>
          <w:lang w:val="es-ES_tradnl" w:eastAsia="es-ES"/>
        </w:rPr>
      </w:pPr>
    </w:p>
    <w:p w:rsidR="007E2E80" w:rsidRPr="007B6D38" w:rsidRDefault="0069417C" w:rsidP="007E2E80">
      <w:pPr>
        <w:spacing w:before="240" w:line="360" w:lineRule="auto"/>
        <w:jc w:val="both"/>
        <w:rPr>
          <w:rFonts w:ascii="Palatino Linotype" w:hAnsi="Palatino Linotype" w:cs="Arial"/>
          <w:sz w:val="28"/>
          <w:szCs w:val="24"/>
        </w:rPr>
      </w:pPr>
      <w:r w:rsidRPr="007B6D38">
        <w:rPr>
          <w:rFonts w:ascii="Palatino Linotype" w:hAnsi="Palatino Linotype" w:cs="Arial"/>
          <w:b/>
          <w:sz w:val="28"/>
          <w:szCs w:val="26"/>
        </w:rPr>
        <w:lastRenderedPageBreak/>
        <w:t>SEGUNDO</w:t>
      </w:r>
      <w:r w:rsidR="00DA21DB" w:rsidRPr="007B6D38">
        <w:rPr>
          <w:rFonts w:ascii="Palatino Linotype" w:hAnsi="Palatino Linotype" w:cs="Arial"/>
          <w:b/>
          <w:sz w:val="28"/>
          <w:szCs w:val="26"/>
        </w:rPr>
        <w:t xml:space="preserve">. De la </w:t>
      </w:r>
      <w:r w:rsidR="007E2E80" w:rsidRPr="007B6D38">
        <w:rPr>
          <w:rFonts w:ascii="Palatino Linotype" w:hAnsi="Palatino Linotype" w:cs="Arial"/>
          <w:b/>
          <w:sz w:val="28"/>
          <w:szCs w:val="26"/>
        </w:rPr>
        <w:t>respuesta del Sujeto Obligado.</w:t>
      </w:r>
    </w:p>
    <w:p w:rsidR="00404FF3" w:rsidRPr="00DE7FAE" w:rsidRDefault="00404FF3" w:rsidP="00404FF3">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DE7FAE">
        <w:rPr>
          <w:rFonts w:ascii="Palatino Linotype" w:hAnsi="Palatino Linotype" w:cs="Arial"/>
          <w:sz w:val="24"/>
          <w:szCs w:val="24"/>
        </w:rPr>
        <w:t xml:space="preserve">n el expediente electrónico formado en el sistema </w:t>
      </w:r>
      <w:r w:rsidRPr="00DE7FAE">
        <w:rPr>
          <w:rFonts w:ascii="Palatino Linotype" w:hAnsi="Palatino Linotype" w:cs="Arial"/>
          <w:b/>
          <w:sz w:val="24"/>
          <w:szCs w:val="24"/>
        </w:rPr>
        <w:t>SAIMEX</w:t>
      </w:r>
      <w:r w:rsidRPr="00DE7FAE">
        <w:rPr>
          <w:rFonts w:ascii="Palatino Linotype" w:hAnsi="Palatino Linotype" w:cs="Arial"/>
          <w:sz w:val="24"/>
          <w:szCs w:val="24"/>
        </w:rPr>
        <w:t xml:space="preserve">, se aprecia que en fecha </w:t>
      </w:r>
      <w:r w:rsidR="00586B33">
        <w:rPr>
          <w:rFonts w:ascii="Palatino Linotype" w:hAnsi="Palatino Linotype" w:cs="Arial"/>
          <w:sz w:val="24"/>
          <w:szCs w:val="24"/>
        </w:rPr>
        <w:t>quince de noviembre</w:t>
      </w:r>
      <w:r>
        <w:rPr>
          <w:rFonts w:ascii="Palatino Linotype" w:hAnsi="Palatino Linotype" w:cs="Arial"/>
          <w:sz w:val="24"/>
          <w:szCs w:val="24"/>
        </w:rPr>
        <w:t xml:space="preserve"> de dos mil dieciocho, el </w:t>
      </w:r>
      <w:r w:rsidRPr="00404FF3">
        <w:rPr>
          <w:rFonts w:ascii="Palatino Linotype" w:hAnsi="Palatino Linotype" w:cs="Arial"/>
          <w:b/>
          <w:sz w:val="24"/>
          <w:szCs w:val="24"/>
        </w:rPr>
        <w:t>Sujeto Obligado</w:t>
      </w:r>
      <w:r w:rsidRPr="00DE7FAE">
        <w:rPr>
          <w:rFonts w:ascii="Palatino Linotype" w:hAnsi="Palatino Linotype" w:cs="Arial"/>
          <w:sz w:val="24"/>
          <w:szCs w:val="24"/>
        </w:rPr>
        <w:t xml:space="preserve"> remitió </w:t>
      </w:r>
      <w:r>
        <w:rPr>
          <w:rFonts w:ascii="Palatino Linotype" w:hAnsi="Palatino Linotype" w:cs="Arial"/>
          <w:sz w:val="24"/>
          <w:szCs w:val="24"/>
        </w:rPr>
        <w:t xml:space="preserve">la siguiente </w:t>
      </w:r>
      <w:r w:rsidRPr="00DE7FAE">
        <w:rPr>
          <w:rFonts w:ascii="Palatino Linotype" w:hAnsi="Palatino Linotype" w:cs="Arial"/>
          <w:sz w:val="24"/>
          <w:szCs w:val="24"/>
        </w:rPr>
        <w:t>respuesta:</w:t>
      </w:r>
    </w:p>
    <w:p w:rsidR="00404FF3" w:rsidRPr="00DE7FAE" w:rsidRDefault="00404FF3" w:rsidP="00404FF3">
      <w:pPr>
        <w:spacing w:after="0" w:line="360" w:lineRule="auto"/>
        <w:jc w:val="both"/>
        <w:rPr>
          <w:rFonts w:ascii="Palatino Linotype" w:hAnsi="Palatino Linotype" w:cs="Arial"/>
          <w:sz w:val="24"/>
          <w:szCs w:val="24"/>
        </w:rPr>
      </w:pPr>
    </w:p>
    <w:p w:rsidR="00586B33" w:rsidRPr="00586B33" w:rsidRDefault="00404FF3" w:rsidP="00586B33">
      <w:pPr>
        <w:pStyle w:val="Prrafodelista"/>
        <w:ind w:left="567" w:right="567"/>
        <w:jc w:val="right"/>
        <w:rPr>
          <w:rFonts w:ascii="Palatino Linotype" w:hAnsi="Palatino Linotype"/>
          <w:i/>
          <w:color w:val="000000"/>
          <w:sz w:val="22"/>
          <w:szCs w:val="22"/>
        </w:rPr>
      </w:pPr>
      <w:r w:rsidRPr="009C1C36">
        <w:rPr>
          <w:rFonts w:ascii="Palatino Linotype" w:hAnsi="Palatino Linotype"/>
          <w:i/>
          <w:color w:val="000000"/>
          <w:sz w:val="22"/>
          <w:szCs w:val="22"/>
        </w:rPr>
        <w:t>“</w:t>
      </w:r>
      <w:r w:rsidR="00586B33" w:rsidRPr="00586B33">
        <w:rPr>
          <w:rFonts w:ascii="Palatino Linotype" w:hAnsi="Palatino Linotype"/>
          <w:i/>
          <w:color w:val="000000"/>
          <w:sz w:val="22"/>
          <w:szCs w:val="22"/>
        </w:rPr>
        <w:t>Metepec, México a 15 de Noviembre de 2018</w:t>
      </w:r>
    </w:p>
    <w:p w:rsidR="00586B33" w:rsidRPr="00586B33" w:rsidRDefault="00586B33" w:rsidP="00586B33">
      <w:pPr>
        <w:pStyle w:val="Prrafodelista"/>
        <w:ind w:left="567" w:right="567"/>
        <w:jc w:val="right"/>
        <w:rPr>
          <w:rFonts w:ascii="Palatino Linotype" w:hAnsi="Palatino Linotype"/>
          <w:i/>
          <w:color w:val="000000"/>
          <w:sz w:val="22"/>
          <w:szCs w:val="22"/>
        </w:rPr>
      </w:pPr>
      <w:r w:rsidRPr="00586B33">
        <w:rPr>
          <w:rFonts w:ascii="Palatino Linotype" w:hAnsi="Palatino Linotype"/>
          <w:i/>
          <w:color w:val="000000"/>
          <w:sz w:val="22"/>
          <w:szCs w:val="22"/>
        </w:rPr>
        <w:t xml:space="preserve">Nombre del solicitante: </w:t>
      </w:r>
      <w:r w:rsidR="003027D2">
        <w:rPr>
          <w:rFonts w:ascii="Palatino Linotype" w:hAnsi="Palatino Linotype"/>
          <w:i/>
          <w:color w:val="000000"/>
          <w:sz w:val="22"/>
          <w:szCs w:val="22"/>
        </w:rPr>
        <w:t>XXXXXXXXXXXXX</w:t>
      </w:r>
    </w:p>
    <w:p w:rsidR="00586B33" w:rsidRDefault="00586B33" w:rsidP="00586B33">
      <w:pPr>
        <w:pStyle w:val="Prrafodelista"/>
        <w:ind w:left="567" w:right="567"/>
        <w:jc w:val="right"/>
        <w:rPr>
          <w:rFonts w:ascii="Palatino Linotype" w:hAnsi="Palatino Linotype"/>
          <w:i/>
          <w:color w:val="000000"/>
          <w:sz w:val="22"/>
          <w:szCs w:val="22"/>
        </w:rPr>
      </w:pPr>
      <w:r w:rsidRPr="00586B33">
        <w:rPr>
          <w:rFonts w:ascii="Palatino Linotype" w:hAnsi="Palatino Linotype"/>
          <w:i/>
          <w:color w:val="000000"/>
          <w:sz w:val="22"/>
          <w:szCs w:val="22"/>
        </w:rPr>
        <w:t>Folio de la solicitud: 00245/GUBERNA/IP/2018</w:t>
      </w:r>
    </w:p>
    <w:p w:rsidR="00586B33" w:rsidRPr="00586B33" w:rsidRDefault="00586B33" w:rsidP="00586B33">
      <w:pPr>
        <w:pStyle w:val="Prrafodelista"/>
        <w:ind w:left="567" w:right="567"/>
        <w:jc w:val="right"/>
        <w:rPr>
          <w:rFonts w:ascii="Palatino Linotype" w:hAnsi="Palatino Linotype"/>
          <w:i/>
          <w:color w:val="000000"/>
          <w:sz w:val="22"/>
          <w:szCs w:val="22"/>
        </w:rPr>
      </w:pPr>
    </w:p>
    <w:p w:rsidR="00586B33" w:rsidRDefault="00586B33" w:rsidP="00586B33">
      <w:pPr>
        <w:pStyle w:val="Prrafodelista"/>
        <w:ind w:left="567" w:right="567"/>
        <w:rPr>
          <w:rFonts w:ascii="Palatino Linotype" w:hAnsi="Palatino Linotype"/>
          <w:i/>
          <w:color w:val="000000"/>
          <w:sz w:val="22"/>
          <w:szCs w:val="22"/>
        </w:rPr>
      </w:pPr>
      <w:r w:rsidRPr="00586B33">
        <w:rPr>
          <w:rFonts w:ascii="Palatino Linotype" w:hAnsi="Palatino Linotype"/>
          <w:i/>
          <w:color w:val="000000"/>
          <w:sz w:val="22"/>
          <w:szCs w:val="22"/>
        </w:rPr>
        <w:t>SE ANEXA RESPUESTA</w:t>
      </w:r>
    </w:p>
    <w:p w:rsidR="00586B33" w:rsidRPr="00586B33" w:rsidRDefault="00586B33" w:rsidP="00586B33">
      <w:pPr>
        <w:pStyle w:val="Prrafodelista"/>
        <w:ind w:left="567" w:right="567"/>
        <w:rPr>
          <w:rFonts w:ascii="Palatino Linotype" w:hAnsi="Palatino Linotype"/>
          <w:i/>
          <w:color w:val="000000"/>
          <w:sz w:val="22"/>
          <w:szCs w:val="22"/>
        </w:rPr>
      </w:pPr>
    </w:p>
    <w:p w:rsidR="00586B33" w:rsidRPr="00586B33" w:rsidRDefault="00586B33" w:rsidP="00586B33">
      <w:pPr>
        <w:pStyle w:val="Prrafodelista"/>
        <w:ind w:left="567" w:right="567"/>
        <w:rPr>
          <w:rFonts w:ascii="Palatino Linotype" w:hAnsi="Palatino Linotype"/>
          <w:i/>
          <w:color w:val="000000"/>
          <w:sz w:val="22"/>
          <w:szCs w:val="22"/>
        </w:rPr>
      </w:pPr>
      <w:r w:rsidRPr="00586B33">
        <w:rPr>
          <w:rFonts w:ascii="Palatino Linotype" w:hAnsi="Palatino Linotype"/>
          <w:i/>
          <w:color w:val="000000"/>
          <w:sz w:val="22"/>
          <w:szCs w:val="22"/>
        </w:rPr>
        <w:t>ATENTAMENTE</w:t>
      </w:r>
    </w:p>
    <w:p w:rsidR="00404FF3" w:rsidRPr="009C1C36" w:rsidRDefault="00586B33" w:rsidP="00586B33">
      <w:pPr>
        <w:pStyle w:val="Prrafodelista"/>
        <w:ind w:left="567" w:right="567"/>
        <w:rPr>
          <w:rFonts w:ascii="Palatino Linotype" w:hAnsi="Palatino Linotype"/>
          <w:i/>
          <w:color w:val="000000"/>
          <w:sz w:val="22"/>
          <w:szCs w:val="22"/>
        </w:rPr>
      </w:pPr>
      <w:r w:rsidRPr="00586B33">
        <w:rPr>
          <w:rFonts w:ascii="Palatino Linotype" w:hAnsi="Palatino Linotype"/>
          <w:i/>
          <w:color w:val="000000"/>
          <w:sz w:val="22"/>
          <w:szCs w:val="22"/>
        </w:rPr>
        <w:t>Licenciado en Contaduría Rodolfo García Muñoz</w:t>
      </w:r>
      <w:r w:rsidR="00404FF3">
        <w:rPr>
          <w:rFonts w:ascii="Palatino Linotype" w:hAnsi="Palatino Linotype"/>
          <w:i/>
          <w:color w:val="000000"/>
          <w:sz w:val="22"/>
          <w:szCs w:val="22"/>
        </w:rPr>
        <w:t>” (s</w:t>
      </w:r>
      <w:r w:rsidR="00404FF3" w:rsidRPr="009C1C36">
        <w:rPr>
          <w:rFonts w:ascii="Palatino Linotype" w:hAnsi="Palatino Linotype"/>
          <w:i/>
          <w:color w:val="000000"/>
          <w:sz w:val="22"/>
          <w:szCs w:val="22"/>
        </w:rPr>
        <w:t>ic</w:t>
      </w:r>
      <w:r w:rsidR="00404FF3">
        <w:rPr>
          <w:rFonts w:ascii="Palatino Linotype" w:hAnsi="Palatino Linotype"/>
          <w:i/>
          <w:color w:val="000000"/>
          <w:sz w:val="22"/>
          <w:szCs w:val="22"/>
        </w:rPr>
        <w:t>)</w:t>
      </w:r>
    </w:p>
    <w:p w:rsidR="00404FF3" w:rsidRDefault="00404FF3" w:rsidP="00404FF3">
      <w:pPr>
        <w:spacing w:after="0" w:line="360" w:lineRule="auto"/>
        <w:jc w:val="both"/>
        <w:rPr>
          <w:rFonts w:ascii="Palatino Linotype" w:hAnsi="Palatino Linotype" w:cs="Arial"/>
          <w:sz w:val="24"/>
          <w:szCs w:val="24"/>
        </w:rPr>
      </w:pPr>
    </w:p>
    <w:p w:rsidR="002B0720" w:rsidRDefault="002B0720" w:rsidP="00404FF3">
      <w:pPr>
        <w:spacing w:after="0" w:line="360" w:lineRule="auto"/>
        <w:jc w:val="both"/>
        <w:rPr>
          <w:rFonts w:ascii="Palatino Linotype" w:hAnsi="Palatino Linotype" w:cs="Arial"/>
          <w:sz w:val="24"/>
          <w:szCs w:val="24"/>
        </w:rPr>
      </w:pPr>
    </w:p>
    <w:p w:rsidR="00404FF3" w:rsidRDefault="00586B33" w:rsidP="00404FF3">
      <w:pPr>
        <w:spacing w:after="0" w:line="360" w:lineRule="auto"/>
        <w:jc w:val="both"/>
        <w:rPr>
          <w:rFonts w:ascii="Palatino Linotype" w:hAnsi="Palatino Linotype" w:cs="Arial"/>
          <w:sz w:val="24"/>
          <w:szCs w:val="24"/>
        </w:rPr>
      </w:pPr>
      <w:r>
        <w:rPr>
          <w:rFonts w:ascii="Palatino Linotype" w:hAnsi="Palatino Linotype" w:cs="Arial"/>
          <w:sz w:val="24"/>
          <w:szCs w:val="24"/>
        </w:rPr>
        <w:t>Adjuntando para tal efecto el archivo electrónico denominado</w:t>
      </w:r>
      <w:r w:rsidR="00404FF3">
        <w:rPr>
          <w:rFonts w:ascii="Palatino Linotype" w:hAnsi="Palatino Linotype" w:cs="Arial"/>
          <w:sz w:val="24"/>
          <w:szCs w:val="24"/>
        </w:rPr>
        <w:t xml:space="preserve"> “</w:t>
      </w:r>
      <w:r w:rsidRPr="00586B33">
        <w:rPr>
          <w:rFonts w:ascii="Palatino Linotype" w:hAnsi="Palatino Linotype"/>
          <w:b/>
          <w:sz w:val="24"/>
          <w:szCs w:val="24"/>
        </w:rPr>
        <w:t>0245 respuesta.PDF</w:t>
      </w:r>
      <w:r>
        <w:rPr>
          <w:rFonts w:ascii="Palatino Linotype" w:hAnsi="Palatino Linotype" w:cs="Arial"/>
          <w:sz w:val="24"/>
          <w:szCs w:val="24"/>
        </w:rPr>
        <w:t>”; el cual</w:t>
      </w:r>
      <w:r w:rsidR="00404FF3">
        <w:rPr>
          <w:rFonts w:ascii="Palatino Linotype" w:hAnsi="Palatino Linotype" w:cs="Arial"/>
          <w:sz w:val="24"/>
          <w:szCs w:val="24"/>
        </w:rPr>
        <w:t xml:space="preserve"> no se </w:t>
      </w:r>
      <w:r w:rsidR="00404FF3" w:rsidRPr="00AF0D60">
        <w:rPr>
          <w:rFonts w:ascii="Palatino Linotype" w:hAnsi="Palatino Linotype" w:cs="Arial"/>
          <w:sz w:val="24"/>
          <w:szCs w:val="24"/>
        </w:rPr>
        <w:t xml:space="preserve">inserta en el presente apartado por ser del conocimiento de las partes, </w:t>
      </w:r>
      <w:r>
        <w:rPr>
          <w:rFonts w:ascii="Palatino Linotype" w:hAnsi="Palatino Linotype" w:cs="Arial"/>
          <w:sz w:val="24"/>
          <w:szCs w:val="24"/>
        </w:rPr>
        <w:t>sin embargo,</w:t>
      </w:r>
      <w:r w:rsidR="00404FF3" w:rsidRPr="00AF0D60">
        <w:rPr>
          <w:rFonts w:ascii="Palatino Linotype" w:hAnsi="Palatino Linotype" w:cs="Arial"/>
          <w:sz w:val="24"/>
          <w:szCs w:val="24"/>
        </w:rPr>
        <w:t xml:space="preserve"> habrá de hacerse el análisis y estudio correspondiente en párrafos posteriores.</w:t>
      </w:r>
    </w:p>
    <w:p w:rsidR="007E2E80" w:rsidRPr="004807F7" w:rsidRDefault="007E2E80" w:rsidP="007E2E80">
      <w:pPr>
        <w:spacing w:before="240" w:line="360" w:lineRule="auto"/>
        <w:jc w:val="both"/>
        <w:rPr>
          <w:rFonts w:ascii="Palatino Linotype" w:eastAsia="Times New Roman" w:hAnsi="Palatino Linotype" w:cs="Arial"/>
          <w:sz w:val="14"/>
          <w:szCs w:val="24"/>
          <w:lang w:val="es-ES" w:eastAsia="es-ES"/>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 xml:space="preserve">TERCERO. </w:t>
      </w:r>
      <w:r w:rsidRPr="007B6D38">
        <w:rPr>
          <w:rFonts w:ascii="Palatino Linotype" w:hAnsi="Palatino Linotype"/>
          <w:b/>
          <w:sz w:val="28"/>
          <w:szCs w:val="26"/>
        </w:rPr>
        <w:t>Del recurso de revisión.</w:t>
      </w:r>
    </w:p>
    <w:p w:rsidR="007E2E80" w:rsidRDefault="007E2E80" w:rsidP="00D34487">
      <w:pPr>
        <w:spacing w:after="0" w:line="360" w:lineRule="auto"/>
        <w:jc w:val="both"/>
        <w:rPr>
          <w:rFonts w:ascii="Palatino Linotype" w:hAnsi="Palatino Linotype" w:cs="Arial"/>
          <w:sz w:val="24"/>
        </w:rPr>
      </w:pPr>
      <w:r w:rsidRPr="00441A94">
        <w:rPr>
          <w:rFonts w:ascii="Palatino Linotype" w:hAnsi="Palatino Linotype" w:cs="Arial"/>
          <w:sz w:val="24"/>
          <w:szCs w:val="24"/>
        </w:rPr>
        <w:t xml:space="preserve">Inconforme con la respuesta </w:t>
      </w:r>
      <w:r>
        <w:rPr>
          <w:rFonts w:ascii="Palatino Linotype" w:hAnsi="Palatino Linotype" w:cs="Arial"/>
          <w:sz w:val="24"/>
          <w:szCs w:val="24"/>
        </w:rPr>
        <w:t xml:space="preserve">emitida </w:t>
      </w:r>
      <w:r w:rsidR="00404FF3">
        <w:rPr>
          <w:rFonts w:ascii="Palatino Linotype" w:hAnsi="Palatino Linotype" w:cs="Arial"/>
          <w:sz w:val="24"/>
          <w:szCs w:val="24"/>
        </w:rPr>
        <w:t xml:space="preserve">por el </w:t>
      </w:r>
      <w:r w:rsidR="00404FF3" w:rsidRPr="00404FF3">
        <w:rPr>
          <w:rFonts w:ascii="Palatino Linotype" w:hAnsi="Palatino Linotype" w:cs="Arial"/>
          <w:b/>
          <w:sz w:val="24"/>
          <w:szCs w:val="24"/>
        </w:rPr>
        <w:t>Sujeto O</w:t>
      </w:r>
      <w:r w:rsidRPr="00404FF3">
        <w:rPr>
          <w:rFonts w:ascii="Palatino Linotype" w:hAnsi="Palatino Linotype" w:cs="Arial"/>
          <w:b/>
          <w:sz w:val="24"/>
          <w:szCs w:val="24"/>
        </w:rPr>
        <w:t>bligado</w:t>
      </w:r>
      <w:r w:rsidRPr="00441A94">
        <w:rPr>
          <w:rFonts w:ascii="Palatino Linotype" w:hAnsi="Palatino Linotype" w:cs="Arial"/>
          <w:sz w:val="24"/>
          <w:szCs w:val="24"/>
        </w:rPr>
        <w:t xml:space="preserve">, </w:t>
      </w:r>
      <w:r w:rsidR="00586B33">
        <w:rPr>
          <w:rFonts w:ascii="Palatino Linotype" w:hAnsi="Palatino Linotype" w:cs="Arial"/>
          <w:sz w:val="24"/>
          <w:szCs w:val="24"/>
        </w:rPr>
        <w:t>la</w:t>
      </w:r>
      <w:r w:rsidRPr="000E7C0A">
        <w:rPr>
          <w:rFonts w:ascii="Palatino Linotype" w:hAnsi="Palatino Linotype" w:cs="Arial"/>
          <w:sz w:val="24"/>
          <w:szCs w:val="24"/>
        </w:rPr>
        <w:t xml:space="preserve"> </w:t>
      </w:r>
      <w:r w:rsidRPr="00404FF3">
        <w:rPr>
          <w:rFonts w:ascii="Palatino Linotype" w:hAnsi="Palatino Linotype" w:cs="Arial"/>
          <w:b/>
          <w:sz w:val="24"/>
          <w:szCs w:val="24"/>
        </w:rPr>
        <w:t>Recurrente</w:t>
      </w:r>
      <w:r w:rsidRPr="00203FA5">
        <w:rPr>
          <w:rFonts w:ascii="Palatino Linotype" w:hAnsi="Palatino Linotype" w:cs="Arial"/>
          <w:sz w:val="24"/>
          <w:szCs w:val="24"/>
        </w:rPr>
        <w:t xml:space="preserve"> interpuso</w:t>
      </w:r>
      <w:r w:rsidRPr="00441A94">
        <w:rPr>
          <w:rFonts w:ascii="Palatino Linotype" w:hAnsi="Palatino Linotype" w:cs="Arial"/>
          <w:sz w:val="24"/>
          <w:szCs w:val="24"/>
        </w:rPr>
        <w:t xml:space="preserve"> el recurso de revisión, en fecha </w:t>
      </w:r>
      <w:r w:rsidR="00586B33">
        <w:rPr>
          <w:rFonts w:ascii="Palatino Linotype" w:hAnsi="Palatino Linotype" w:cs="Arial"/>
          <w:sz w:val="24"/>
          <w:szCs w:val="24"/>
        </w:rPr>
        <w:t>veintitrés de noviembre</w:t>
      </w:r>
      <w:r w:rsidR="000E7C0A">
        <w:rPr>
          <w:rFonts w:ascii="Palatino Linotype" w:hAnsi="Palatino Linotype" w:cs="Arial"/>
          <w:sz w:val="24"/>
          <w:szCs w:val="24"/>
        </w:rPr>
        <w:t xml:space="preserve"> de dos mil dieciocho</w:t>
      </w:r>
      <w:r w:rsidRPr="00441A94">
        <w:rPr>
          <w:rFonts w:ascii="Palatino Linotype" w:hAnsi="Palatino Linotype" w:cs="Arial"/>
          <w:sz w:val="24"/>
          <w:szCs w:val="24"/>
        </w:rPr>
        <w:t xml:space="preserve">, </w:t>
      </w:r>
      <w:r w:rsidRPr="0096643B">
        <w:rPr>
          <w:rFonts w:ascii="Palatino Linotype" w:hAnsi="Palatino Linotype" w:cs="Arial"/>
          <w:sz w:val="24"/>
          <w:szCs w:val="24"/>
        </w:rPr>
        <w:t xml:space="preserve">en el sistema electrónico con el expediente número </w:t>
      </w:r>
      <w:r w:rsidR="00586B33" w:rsidRPr="00586B33">
        <w:rPr>
          <w:rFonts w:ascii="Palatino Linotype" w:hAnsi="Palatino Linotype" w:cs="Arial"/>
          <w:b/>
          <w:bCs/>
          <w:sz w:val="24"/>
          <w:szCs w:val="24"/>
          <w:lang w:eastAsia="es-MX"/>
        </w:rPr>
        <w:t>04415/INFOEM/IP/RR/2018</w:t>
      </w:r>
      <w:r w:rsidRPr="0096643B">
        <w:rPr>
          <w:rFonts w:ascii="Palatino Linotype" w:hAnsi="Palatino Linotype" w:cs="Arial"/>
          <w:sz w:val="24"/>
          <w:szCs w:val="24"/>
        </w:rPr>
        <w:t xml:space="preserve">, en el cual </w:t>
      </w:r>
      <w:r w:rsidRPr="0096643B">
        <w:rPr>
          <w:rFonts w:ascii="Palatino Linotype" w:hAnsi="Palatino Linotype" w:cs="Arial"/>
          <w:sz w:val="24"/>
        </w:rPr>
        <w:t>arguye, las siguientes manifestaciones:</w:t>
      </w:r>
    </w:p>
    <w:p w:rsidR="00D34487" w:rsidRDefault="00D34487" w:rsidP="00D34487">
      <w:pPr>
        <w:spacing w:after="0" w:line="360" w:lineRule="auto"/>
        <w:jc w:val="both"/>
        <w:rPr>
          <w:rFonts w:ascii="Palatino Linotype" w:hAnsi="Palatino Linotype" w:cs="Arial"/>
          <w:sz w:val="24"/>
        </w:rPr>
      </w:pPr>
    </w:p>
    <w:p w:rsidR="007E2E80" w:rsidRDefault="007E2E80" w:rsidP="00D34487">
      <w:pPr>
        <w:spacing w:after="0"/>
        <w:jc w:val="both"/>
        <w:rPr>
          <w:rFonts w:ascii="Palatino Linotype" w:hAnsi="Palatino Linotype" w:cs="Arial"/>
          <w:b/>
          <w:sz w:val="24"/>
        </w:rPr>
      </w:pPr>
      <w:r>
        <w:rPr>
          <w:rFonts w:ascii="Palatino Linotype" w:hAnsi="Palatino Linotype" w:cs="Arial"/>
          <w:b/>
          <w:sz w:val="24"/>
        </w:rPr>
        <w:lastRenderedPageBreak/>
        <w:t>Acto Impugnado:</w:t>
      </w:r>
    </w:p>
    <w:p w:rsidR="00D34487" w:rsidRDefault="00D34487" w:rsidP="00D34487">
      <w:pPr>
        <w:spacing w:after="0"/>
        <w:jc w:val="both"/>
        <w:rPr>
          <w:rFonts w:ascii="Palatino Linotype" w:hAnsi="Palatino Linotype" w:cs="Arial"/>
          <w:b/>
          <w:sz w:val="24"/>
        </w:rPr>
      </w:pPr>
    </w:p>
    <w:p w:rsidR="007E2E80" w:rsidRDefault="007E2E80" w:rsidP="00D34487">
      <w:pPr>
        <w:spacing w:after="0" w:line="240" w:lineRule="auto"/>
        <w:ind w:left="851" w:right="850"/>
        <w:jc w:val="both"/>
        <w:rPr>
          <w:rFonts w:ascii="Palatino Linotype" w:hAnsi="Palatino Linotype" w:cs="Arial"/>
          <w:i/>
          <w:sz w:val="24"/>
          <w:szCs w:val="24"/>
        </w:rPr>
      </w:pPr>
      <w:r w:rsidRPr="00BE6D77">
        <w:rPr>
          <w:rFonts w:ascii="Palatino Linotype" w:hAnsi="Palatino Linotype" w:cs="Arial"/>
          <w:i/>
          <w:sz w:val="24"/>
          <w:szCs w:val="24"/>
        </w:rPr>
        <w:t>“</w:t>
      </w:r>
      <w:r w:rsidR="00586B33" w:rsidRPr="00586B33">
        <w:rPr>
          <w:rFonts w:ascii="Palatino Linotype" w:hAnsi="Palatino Linotype" w:cs="Arial"/>
          <w:i/>
          <w:sz w:val="24"/>
          <w:szCs w:val="24"/>
        </w:rPr>
        <w:t xml:space="preserve">ola respuesta del sujeto obligado </w:t>
      </w:r>
      <w:r w:rsidR="006A3A54">
        <w:rPr>
          <w:rFonts w:ascii="Palatino Linotype" w:hAnsi="Palatino Linotype" w:cs="Arial"/>
          <w:i/>
          <w:sz w:val="24"/>
          <w:szCs w:val="24"/>
        </w:rPr>
        <w:t>"(Sic)</w:t>
      </w:r>
    </w:p>
    <w:p w:rsidR="00D34487" w:rsidRPr="00BE6D77" w:rsidRDefault="00D34487" w:rsidP="00D34487">
      <w:pPr>
        <w:spacing w:after="0" w:line="240" w:lineRule="auto"/>
        <w:ind w:left="851" w:right="850"/>
        <w:jc w:val="both"/>
        <w:rPr>
          <w:rFonts w:ascii="Palatino Linotype" w:hAnsi="Palatino Linotype" w:cs="Arial"/>
          <w:i/>
          <w:sz w:val="24"/>
          <w:szCs w:val="24"/>
        </w:rPr>
      </w:pPr>
    </w:p>
    <w:p w:rsidR="007E2E80" w:rsidRDefault="007E2E80" w:rsidP="00D34487">
      <w:pPr>
        <w:spacing w:after="0"/>
        <w:jc w:val="both"/>
        <w:rPr>
          <w:rFonts w:ascii="Palatino Linotype" w:hAnsi="Palatino Linotype" w:cs="Arial"/>
          <w:sz w:val="24"/>
          <w:szCs w:val="24"/>
        </w:rPr>
      </w:pPr>
      <w:r w:rsidRPr="00BE6D77">
        <w:rPr>
          <w:rFonts w:ascii="Palatino Linotype" w:hAnsi="Palatino Linotype" w:cs="Arial"/>
          <w:b/>
          <w:sz w:val="24"/>
          <w:szCs w:val="24"/>
        </w:rPr>
        <w:t>Razones o Motivos de Inconformidad</w:t>
      </w:r>
      <w:r w:rsidRPr="00BE6D77">
        <w:rPr>
          <w:rFonts w:ascii="Palatino Linotype" w:hAnsi="Palatino Linotype" w:cs="Arial"/>
          <w:sz w:val="24"/>
          <w:szCs w:val="24"/>
        </w:rPr>
        <w:t xml:space="preserve">: </w:t>
      </w:r>
    </w:p>
    <w:p w:rsidR="00D34487" w:rsidRPr="00BE6D77" w:rsidRDefault="00D34487" w:rsidP="00D34487">
      <w:pPr>
        <w:spacing w:after="0"/>
        <w:jc w:val="both"/>
        <w:rPr>
          <w:rFonts w:ascii="Palatino Linotype" w:hAnsi="Palatino Linotype" w:cs="Arial"/>
          <w:sz w:val="24"/>
          <w:szCs w:val="24"/>
        </w:rPr>
      </w:pPr>
    </w:p>
    <w:p w:rsidR="007E2E80" w:rsidRPr="00BE6D77" w:rsidRDefault="007E2E80" w:rsidP="00D34487">
      <w:pPr>
        <w:spacing w:after="0" w:line="240" w:lineRule="auto"/>
        <w:ind w:left="851" w:right="850"/>
        <w:jc w:val="both"/>
        <w:rPr>
          <w:rFonts w:ascii="Palatino Linotype" w:hAnsi="Palatino Linotype" w:cs="Arial"/>
          <w:i/>
          <w:sz w:val="24"/>
          <w:szCs w:val="24"/>
        </w:rPr>
      </w:pPr>
      <w:r w:rsidRPr="00BE6D77">
        <w:rPr>
          <w:rFonts w:ascii="Palatino Linotype" w:hAnsi="Palatino Linotype" w:cs="Arial"/>
          <w:i/>
          <w:sz w:val="24"/>
          <w:szCs w:val="24"/>
        </w:rPr>
        <w:t>“</w:t>
      </w:r>
      <w:r w:rsidR="00586B33" w:rsidRPr="00586B33">
        <w:rPr>
          <w:rFonts w:ascii="Palatino Linotype" w:hAnsi="Palatino Linotype" w:cs="Arial"/>
          <w:i/>
          <w:sz w:val="24"/>
          <w:szCs w:val="24"/>
        </w:rPr>
        <w:t>EL TITULAR DEL PODER EJECUTIVO CUENTA CON GAFETE-CREDENCIAL Y SE LE PUEDE REQUERIR DE FORMA DIRECTA PARA QUE PUEDA ENTREGARSE LA INFORMACIÓN SOLICITADA DE MI PARTE. SOLICITO LA SUPLENCIA DE LA QUEJA</w:t>
      </w:r>
      <w:r w:rsidR="006A3A54">
        <w:rPr>
          <w:rFonts w:ascii="Palatino Linotype" w:hAnsi="Palatino Linotype" w:cs="Arial"/>
          <w:i/>
          <w:sz w:val="24"/>
          <w:szCs w:val="24"/>
        </w:rPr>
        <w:t>” (Sic)</w:t>
      </w:r>
    </w:p>
    <w:p w:rsidR="00BE6D77" w:rsidRPr="00BE6D77" w:rsidRDefault="00BE6D77" w:rsidP="00301A01">
      <w:pPr>
        <w:tabs>
          <w:tab w:val="left" w:pos="3550"/>
        </w:tabs>
        <w:spacing w:before="240" w:line="360" w:lineRule="auto"/>
        <w:jc w:val="both"/>
        <w:rPr>
          <w:rFonts w:ascii="Palatino Linotype" w:hAnsi="Palatino Linotype"/>
          <w:color w:val="000000"/>
          <w:sz w:val="16"/>
          <w:szCs w:val="24"/>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 xml:space="preserve">CUARTO. Del turno </w:t>
      </w:r>
      <w:r w:rsidR="000E7C0A" w:rsidRPr="007B6D38">
        <w:rPr>
          <w:rFonts w:ascii="Palatino Linotype" w:hAnsi="Palatino Linotype" w:cs="Arial"/>
          <w:b/>
          <w:sz w:val="28"/>
          <w:szCs w:val="26"/>
        </w:rPr>
        <w:t xml:space="preserve">y admisión </w:t>
      </w:r>
      <w:r w:rsidRPr="007B6D38">
        <w:rPr>
          <w:rFonts w:ascii="Palatino Linotype" w:hAnsi="Palatino Linotype" w:cs="Arial"/>
          <w:b/>
          <w:sz w:val="28"/>
          <w:szCs w:val="26"/>
        </w:rPr>
        <w:t>del recurso de revisión.</w:t>
      </w:r>
    </w:p>
    <w:p w:rsidR="00F92D09" w:rsidRDefault="00E81E33" w:rsidP="007E2E80">
      <w:pPr>
        <w:spacing w:before="240" w:line="360" w:lineRule="auto"/>
        <w:jc w:val="both"/>
        <w:rPr>
          <w:rFonts w:ascii="Palatino Linotype" w:hAnsi="Palatino Linotype" w:cs="Arial"/>
          <w:sz w:val="24"/>
          <w:szCs w:val="24"/>
        </w:rPr>
      </w:pPr>
      <w:r w:rsidRPr="00E81E33">
        <w:rPr>
          <w:rFonts w:ascii="Palatino Linotype" w:hAnsi="Palatino Linotype" w:cs="Arial"/>
          <w:sz w:val="24"/>
          <w:szCs w:val="24"/>
        </w:rPr>
        <w:t xml:space="preserve">En fecha </w:t>
      </w:r>
      <w:r w:rsidR="00586B33">
        <w:rPr>
          <w:rFonts w:ascii="Palatino Linotype" w:hAnsi="Palatino Linotype" w:cs="Arial"/>
          <w:sz w:val="24"/>
          <w:szCs w:val="24"/>
        </w:rPr>
        <w:t>veintitrés de noviembre</w:t>
      </w:r>
      <w:r w:rsidRPr="00E81E33">
        <w:rPr>
          <w:rFonts w:ascii="Palatino Linotype" w:hAnsi="Palatino Linotype" w:cs="Arial"/>
          <w:sz w:val="24"/>
          <w:szCs w:val="24"/>
        </w:rPr>
        <w:t xml:space="preserve"> de dos mil dieciocho, el medio de impugnación le fue turnado a la </w:t>
      </w:r>
      <w:r w:rsidRPr="00E81E33">
        <w:rPr>
          <w:rFonts w:ascii="Palatino Linotype" w:hAnsi="Palatino Linotype" w:cs="Arial"/>
          <w:b/>
          <w:sz w:val="24"/>
          <w:szCs w:val="24"/>
        </w:rPr>
        <w:t>Comisionada Zulema Martínez Sánchez</w:t>
      </w:r>
      <w:r w:rsidRPr="00E81E33">
        <w:rPr>
          <w:rFonts w:ascii="Palatino Linotype" w:hAnsi="Palatino Linotype" w:cs="Arial"/>
          <w:sz w:val="24"/>
          <w:szCs w:val="24"/>
        </w:rPr>
        <w:t xml:space="preserve">, por medio del sistema electrónico </w:t>
      </w:r>
      <w:r w:rsidRPr="00016275">
        <w:rPr>
          <w:rFonts w:ascii="Palatino Linotype" w:hAnsi="Palatino Linotype" w:cs="Arial"/>
          <w:b/>
          <w:sz w:val="24"/>
          <w:szCs w:val="24"/>
        </w:rPr>
        <w:t>SAIMEX</w:t>
      </w:r>
      <w:r w:rsidRPr="00E81E33">
        <w:rPr>
          <w:rFonts w:ascii="Palatino Linotype" w:hAnsi="Palatino Linotype" w:cs="Arial"/>
          <w:sz w:val="24"/>
          <w:szCs w:val="24"/>
        </w:rPr>
        <w:t xml:space="preserve">, por lo que en términos del artículo 185 fracción I de la Ley de Transparencia y Acceso a la información Pública del Estado de México y Municipios, </w:t>
      </w:r>
      <w:r w:rsidR="0046476A">
        <w:rPr>
          <w:rFonts w:ascii="Palatino Linotype" w:hAnsi="Palatino Linotype" w:cs="Arial"/>
          <w:sz w:val="24"/>
          <w:szCs w:val="24"/>
        </w:rPr>
        <w:t>d</w:t>
      </w:r>
      <w:r w:rsidR="00277235">
        <w:rPr>
          <w:rFonts w:ascii="Palatino Linotype" w:hAnsi="Palatino Linotype" w:cs="Arial"/>
          <w:sz w:val="24"/>
          <w:szCs w:val="24"/>
        </w:rPr>
        <w:t>el cual</w:t>
      </w:r>
      <w:r w:rsidR="0076458C" w:rsidRPr="0076458C">
        <w:rPr>
          <w:rFonts w:ascii="Palatino Linotype" w:hAnsi="Palatino Linotype" w:cs="Arial"/>
          <w:sz w:val="24"/>
          <w:szCs w:val="24"/>
        </w:rPr>
        <w:t xml:space="preserve"> recayó acuerdo de admisión en fecha </w:t>
      </w:r>
      <w:r w:rsidR="00277235">
        <w:rPr>
          <w:rFonts w:ascii="Palatino Linotype" w:hAnsi="Palatino Linotype" w:cs="Arial"/>
          <w:sz w:val="24"/>
          <w:szCs w:val="24"/>
        </w:rPr>
        <w:t xml:space="preserve">veintinueve de </w:t>
      </w:r>
      <w:r w:rsidR="00084590">
        <w:rPr>
          <w:rFonts w:ascii="Palatino Linotype" w:hAnsi="Palatino Linotype" w:cs="Arial"/>
          <w:sz w:val="24"/>
          <w:szCs w:val="24"/>
        </w:rPr>
        <w:t>noviembre</w:t>
      </w:r>
      <w:r w:rsidR="0076458C" w:rsidRPr="0076458C">
        <w:rPr>
          <w:rFonts w:ascii="Palatino Linotype" w:hAnsi="Palatino Linotype" w:cs="Arial"/>
          <w:sz w:val="24"/>
          <w:szCs w:val="24"/>
        </w:rPr>
        <w:t xml:space="preserve"> de dos mil dieciocho, determinándose </w:t>
      </w:r>
      <w:r w:rsidR="0046476A">
        <w:rPr>
          <w:rFonts w:ascii="Palatino Linotype" w:hAnsi="Palatino Linotype" w:cs="Arial"/>
          <w:sz w:val="24"/>
          <w:szCs w:val="24"/>
        </w:rPr>
        <w:t xml:space="preserve">en él, </w:t>
      </w:r>
      <w:r w:rsidR="0076458C" w:rsidRPr="0076458C">
        <w:rPr>
          <w:rFonts w:ascii="Palatino Linotype" w:hAnsi="Palatino Linotype" w:cs="Arial"/>
          <w:sz w:val="24"/>
          <w:szCs w:val="24"/>
        </w:rPr>
        <w:t>un plazo de siete días para que las partes manifestaran lo que a su derecho corresponda en términos del numeral ya citado.</w:t>
      </w:r>
    </w:p>
    <w:p w:rsidR="00D34487" w:rsidRPr="00D34487" w:rsidRDefault="00D34487" w:rsidP="007E2E80">
      <w:pPr>
        <w:spacing w:before="240" w:line="360" w:lineRule="auto"/>
        <w:jc w:val="both"/>
        <w:rPr>
          <w:rFonts w:ascii="Palatino Linotype" w:hAnsi="Palatino Linotype" w:cs="Arial"/>
          <w:sz w:val="24"/>
          <w:szCs w:val="24"/>
        </w:rPr>
      </w:pPr>
    </w:p>
    <w:p w:rsidR="007E2E80" w:rsidRPr="007B6D38" w:rsidRDefault="007E2E80" w:rsidP="007E2E80">
      <w:pPr>
        <w:spacing w:before="240" w:line="360" w:lineRule="auto"/>
        <w:jc w:val="both"/>
        <w:rPr>
          <w:rFonts w:ascii="Palatino Linotype" w:hAnsi="Palatino Linotype" w:cs="Arial"/>
          <w:b/>
          <w:sz w:val="28"/>
          <w:szCs w:val="26"/>
        </w:rPr>
      </w:pPr>
      <w:r w:rsidRPr="007B6D38">
        <w:rPr>
          <w:rFonts w:ascii="Palatino Linotype" w:hAnsi="Palatino Linotype" w:cs="Arial"/>
          <w:b/>
          <w:sz w:val="28"/>
          <w:szCs w:val="26"/>
        </w:rPr>
        <w:t>QUINTO. De la etapa de instrucción.</w:t>
      </w:r>
    </w:p>
    <w:p w:rsidR="006F5F8F" w:rsidRDefault="006F5F8F" w:rsidP="006F5F8F">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el </w:t>
      </w:r>
      <w:r>
        <w:rPr>
          <w:rFonts w:ascii="Palatino Linotype" w:hAnsi="Palatino Linotype" w:cs="Arial"/>
          <w:sz w:val="24"/>
          <w:szCs w:val="24"/>
        </w:rPr>
        <w:t>sujeto o</w:t>
      </w:r>
      <w:r w:rsidRPr="00AD2A55">
        <w:rPr>
          <w:rFonts w:ascii="Palatino Linotype" w:hAnsi="Palatino Linotype" w:cs="Arial"/>
          <w:sz w:val="24"/>
          <w:szCs w:val="24"/>
        </w:rPr>
        <w:t xml:space="preserve">bligado </w:t>
      </w:r>
      <w:r>
        <w:rPr>
          <w:rFonts w:ascii="Palatino Linotype" w:hAnsi="Palatino Linotype" w:cs="Arial"/>
          <w:sz w:val="24"/>
          <w:szCs w:val="24"/>
        </w:rPr>
        <w:t>en fecha cuatro de diciembre de dos mil dieciocho de dos mil dieciocho, emitió informe justificado con el documento denominado</w:t>
      </w:r>
      <w:r w:rsidRPr="00360565">
        <w:rPr>
          <w:rFonts w:ascii="Palatino Linotype" w:hAnsi="Palatino Linotype" w:cs="Arial"/>
          <w:b/>
          <w:sz w:val="24"/>
          <w:szCs w:val="24"/>
        </w:rPr>
        <w:tab/>
      </w:r>
      <w:r>
        <w:rPr>
          <w:rFonts w:ascii="Palatino Linotype" w:hAnsi="Palatino Linotype" w:cs="Arial"/>
          <w:b/>
          <w:sz w:val="24"/>
          <w:szCs w:val="24"/>
        </w:rPr>
        <w:t>“</w:t>
      </w:r>
      <w:r w:rsidRPr="006F5F8F">
        <w:rPr>
          <w:rFonts w:ascii="Palatino Linotype" w:hAnsi="Palatino Linotype" w:cs="Arial"/>
          <w:b/>
          <w:sz w:val="24"/>
          <w:szCs w:val="24"/>
        </w:rPr>
        <w:t xml:space="preserve">INFORME DE JUSTIFICACIÓN </w:t>
      </w:r>
      <w:r w:rsidRPr="006F5F8F">
        <w:rPr>
          <w:rFonts w:ascii="Palatino Linotype" w:hAnsi="Palatino Linotype" w:cs="Arial"/>
          <w:b/>
          <w:sz w:val="24"/>
          <w:szCs w:val="24"/>
        </w:rPr>
        <w:lastRenderedPageBreak/>
        <w:t>0245.PDF</w:t>
      </w:r>
      <w:r>
        <w:rPr>
          <w:rFonts w:ascii="Palatino Linotype" w:hAnsi="Palatino Linotype" w:cs="Arial"/>
          <w:b/>
          <w:sz w:val="24"/>
          <w:szCs w:val="24"/>
        </w:rPr>
        <w:t>”</w:t>
      </w:r>
      <w:r>
        <w:rPr>
          <w:rFonts w:ascii="Palatino Linotype" w:hAnsi="Palatino Linotype" w:cs="Arial"/>
          <w:sz w:val="24"/>
          <w:szCs w:val="24"/>
        </w:rPr>
        <w:t>, que contiene el oficio N° UTG/00284/2018 de fecha cuatro de diciembre de dos mil dieciocho, con el respectivo informe justificado</w:t>
      </w:r>
      <w:r w:rsidR="00117AF2">
        <w:rPr>
          <w:rFonts w:ascii="Palatino Linotype" w:hAnsi="Palatino Linotype" w:cs="Arial"/>
          <w:sz w:val="24"/>
          <w:szCs w:val="24"/>
        </w:rPr>
        <w:t>,</w:t>
      </w:r>
      <w:r>
        <w:rPr>
          <w:rFonts w:ascii="Palatino Linotype" w:hAnsi="Palatino Linotype" w:cs="Arial"/>
          <w:sz w:val="24"/>
          <w:szCs w:val="24"/>
        </w:rPr>
        <w:t xml:space="preserve"> en el cual el Titular de la Unidad de Transparencia de la Gubernatura ratifica su respuesta inicial, por lo que al no actualizar la fracción III del artículo 185 de la Ley de Transparencia local, no se puso a la vista del particular, sin embargo se adjuntara al notificar la presente resolución.</w:t>
      </w:r>
    </w:p>
    <w:p w:rsidR="006F5F8F" w:rsidRDefault="006F5F8F" w:rsidP="006F5F8F">
      <w:pPr>
        <w:spacing w:after="0" w:line="360" w:lineRule="auto"/>
        <w:jc w:val="both"/>
        <w:rPr>
          <w:rFonts w:ascii="Palatino Linotype" w:hAnsi="Palatino Linotype" w:cs="Arial"/>
          <w:sz w:val="24"/>
          <w:szCs w:val="24"/>
        </w:rPr>
      </w:pPr>
    </w:p>
    <w:p w:rsidR="006F5F8F" w:rsidRDefault="006F5F8F" w:rsidP="006F5F8F">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De igual forma </w:t>
      </w:r>
      <w:r w:rsidR="00D21881">
        <w:rPr>
          <w:rFonts w:ascii="Palatino Linotype" w:hAnsi="Palatino Linotype" w:cs="Arial"/>
          <w:b/>
          <w:sz w:val="24"/>
          <w:szCs w:val="24"/>
        </w:rPr>
        <w:t>la</w:t>
      </w:r>
      <w:r w:rsidRPr="002304DA">
        <w:rPr>
          <w:rFonts w:ascii="Palatino Linotype" w:hAnsi="Palatino Linotype" w:cs="Arial"/>
          <w:b/>
          <w:sz w:val="24"/>
          <w:szCs w:val="24"/>
        </w:rPr>
        <w:t xml:space="preserve"> Recurrente</w:t>
      </w:r>
      <w:r w:rsidRPr="00594236">
        <w:rPr>
          <w:rFonts w:ascii="Palatino Linotype" w:hAnsi="Palatino Linotype" w:cs="Arial"/>
          <w:sz w:val="24"/>
          <w:szCs w:val="24"/>
        </w:rPr>
        <w:t>,</w:t>
      </w:r>
      <w:r w:rsidRPr="00594236">
        <w:rPr>
          <w:rFonts w:ascii="Palatino Linotype" w:hAnsi="Palatino Linotype" w:cs="Arial"/>
          <w:b/>
          <w:sz w:val="24"/>
          <w:szCs w:val="24"/>
        </w:rPr>
        <w:t xml:space="preserve"> </w:t>
      </w:r>
      <w:r w:rsidRPr="00594236">
        <w:rPr>
          <w:rFonts w:ascii="Palatino Linotype" w:hAnsi="Palatino Linotype" w:cs="Arial"/>
          <w:sz w:val="24"/>
          <w:szCs w:val="24"/>
        </w:rPr>
        <w:t xml:space="preserve">rindió sus </w:t>
      </w:r>
      <w:r>
        <w:rPr>
          <w:rFonts w:ascii="Palatino Linotype" w:hAnsi="Palatino Linotype" w:cs="Arial"/>
          <w:sz w:val="24"/>
          <w:szCs w:val="24"/>
        </w:rPr>
        <w:t>manifestaciones</w:t>
      </w:r>
      <w:r w:rsidRPr="00594236">
        <w:rPr>
          <w:rFonts w:ascii="Palatino Linotype" w:hAnsi="Palatino Linotype" w:cs="Arial"/>
          <w:sz w:val="24"/>
          <w:szCs w:val="24"/>
        </w:rPr>
        <w:t xml:space="preserve"> en el presente recurso de revisión, en fecha </w:t>
      </w:r>
      <w:r w:rsidR="0052084A">
        <w:rPr>
          <w:rFonts w:ascii="Palatino Linotype" w:hAnsi="Palatino Linotype" w:cs="Arial"/>
          <w:sz w:val="24"/>
          <w:szCs w:val="24"/>
        </w:rPr>
        <w:t>cuatro de diciembre</w:t>
      </w:r>
      <w:r w:rsidRPr="00594236">
        <w:rPr>
          <w:rFonts w:ascii="Palatino Linotype" w:hAnsi="Palatino Linotype" w:cs="Arial"/>
          <w:sz w:val="24"/>
          <w:szCs w:val="24"/>
        </w:rPr>
        <w:t xml:space="preserve"> de dos mil dieciocho, remitiendo los archivos electrónicos “</w:t>
      </w:r>
      <w:r w:rsidR="00D21881" w:rsidRPr="00D21881">
        <w:rPr>
          <w:rFonts w:ascii="Palatino Linotype" w:hAnsi="Palatino Linotype" w:cs="Arial"/>
          <w:b/>
          <w:sz w:val="24"/>
          <w:szCs w:val="24"/>
        </w:rPr>
        <w:t>oct191.PDF</w:t>
      </w:r>
      <w:r>
        <w:rPr>
          <w:rFonts w:ascii="Palatino Linotype" w:hAnsi="Palatino Linotype" w:cs="Arial"/>
          <w:sz w:val="24"/>
          <w:szCs w:val="24"/>
        </w:rPr>
        <w:t>”</w:t>
      </w:r>
      <w:r w:rsidRPr="00594236">
        <w:rPr>
          <w:rFonts w:ascii="Palatino Linotype" w:hAnsi="Palatino Linotype" w:cs="Arial"/>
          <w:sz w:val="24"/>
          <w:szCs w:val="24"/>
        </w:rPr>
        <w:t xml:space="preserve"> y “</w:t>
      </w:r>
      <w:r w:rsidR="00D21881" w:rsidRPr="00D21881">
        <w:rPr>
          <w:rFonts w:ascii="Palatino Linotype" w:hAnsi="Palatino Linotype" w:cs="Arial"/>
          <w:b/>
          <w:sz w:val="24"/>
          <w:szCs w:val="24"/>
        </w:rPr>
        <w:t>JURISPRUDENCIA.pdf</w:t>
      </w:r>
      <w:r>
        <w:rPr>
          <w:rFonts w:ascii="Palatino Linotype" w:hAnsi="Palatino Linotype" w:cs="Arial"/>
          <w:sz w:val="24"/>
          <w:szCs w:val="24"/>
        </w:rPr>
        <w:t>”.</w:t>
      </w:r>
      <w:r w:rsidRPr="00362AEC">
        <w:t xml:space="preserve"> </w:t>
      </w:r>
      <w:r w:rsidRPr="00362AEC">
        <w:rPr>
          <w:rFonts w:ascii="Palatino Linotype" w:hAnsi="Palatino Linotype" w:cs="Arial"/>
          <w:sz w:val="24"/>
          <w:szCs w:val="24"/>
        </w:rPr>
        <w:t>Finalmente se advierte de las constancias que integran el presente expediente, que no existe prueba alguna que deba desahogarse.</w:t>
      </w:r>
    </w:p>
    <w:p w:rsidR="008C0F70" w:rsidRDefault="008C0F70" w:rsidP="00B03C06">
      <w:pPr>
        <w:spacing w:after="0" w:line="360" w:lineRule="auto"/>
        <w:jc w:val="both"/>
        <w:rPr>
          <w:rFonts w:ascii="Palatino Linotype" w:hAnsi="Palatino Linotype" w:cs="Arial"/>
          <w:sz w:val="24"/>
          <w:szCs w:val="24"/>
        </w:rPr>
      </w:pPr>
    </w:p>
    <w:p w:rsidR="00DE1C4E" w:rsidRDefault="00DE1C4E" w:rsidP="00B03C06">
      <w:pPr>
        <w:spacing w:after="0" w:line="360" w:lineRule="auto"/>
        <w:jc w:val="both"/>
        <w:rPr>
          <w:rFonts w:ascii="Palatino Linotype" w:hAnsi="Palatino Linotype" w:cs="Arial"/>
          <w:b/>
          <w:sz w:val="28"/>
          <w:szCs w:val="28"/>
        </w:rPr>
      </w:pPr>
    </w:p>
    <w:p w:rsidR="00423C27" w:rsidRPr="007B6D38" w:rsidRDefault="00423C27" w:rsidP="00423C27">
      <w:pPr>
        <w:tabs>
          <w:tab w:val="left" w:pos="3206"/>
        </w:tabs>
        <w:spacing w:after="0" w:line="360" w:lineRule="auto"/>
        <w:jc w:val="both"/>
        <w:rPr>
          <w:rFonts w:ascii="Palatino Linotype" w:hAnsi="Palatino Linotype" w:cs="Arial"/>
          <w:b/>
          <w:sz w:val="28"/>
          <w:szCs w:val="26"/>
        </w:rPr>
      </w:pPr>
      <w:r w:rsidRPr="007B6D38">
        <w:rPr>
          <w:rFonts w:ascii="Palatino Linotype" w:hAnsi="Palatino Linotype" w:cs="Arial"/>
          <w:b/>
          <w:sz w:val="28"/>
          <w:szCs w:val="26"/>
        </w:rPr>
        <w:t>SEXTO. Del cierre de instrucción.</w:t>
      </w:r>
      <w:r w:rsidRPr="007B6D38">
        <w:rPr>
          <w:rFonts w:ascii="Palatino Linotype" w:hAnsi="Palatino Linotype" w:cs="Arial"/>
          <w:b/>
          <w:sz w:val="28"/>
          <w:szCs w:val="26"/>
        </w:rPr>
        <w:tab/>
      </w:r>
    </w:p>
    <w:p w:rsidR="00423C27" w:rsidRPr="00095218" w:rsidRDefault="00423C27" w:rsidP="00423C27">
      <w:pPr>
        <w:tabs>
          <w:tab w:val="left" w:pos="3206"/>
        </w:tabs>
        <w:spacing w:after="0" w:line="360" w:lineRule="auto"/>
        <w:jc w:val="both"/>
        <w:rPr>
          <w:rFonts w:ascii="Palatino Linotype" w:hAnsi="Palatino Linotype" w:cs="Arial"/>
          <w:b/>
          <w:sz w:val="8"/>
          <w:szCs w:val="24"/>
        </w:rPr>
      </w:pPr>
    </w:p>
    <w:p w:rsidR="00423C27" w:rsidRDefault="00DE1C4E" w:rsidP="00423C27">
      <w:pPr>
        <w:spacing w:after="0" w:line="360" w:lineRule="auto"/>
        <w:jc w:val="both"/>
        <w:rPr>
          <w:rFonts w:ascii="Palatino Linotype" w:hAnsi="Palatino Linotype" w:cs="Arial"/>
          <w:sz w:val="24"/>
          <w:szCs w:val="24"/>
        </w:rPr>
      </w:pPr>
      <w:r w:rsidRPr="00DE1C4E">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con fecha </w:t>
      </w:r>
      <w:r w:rsidR="009504C1">
        <w:rPr>
          <w:rFonts w:ascii="Palatino Linotype" w:hAnsi="Palatino Linotype" w:cs="Arial"/>
          <w:sz w:val="24"/>
          <w:szCs w:val="24"/>
        </w:rPr>
        <w:t>dieciséis de enero de dos mil diecinueve</w:t>
      </w:r>
      <w:r w:rsidRPr="00DE1C4E">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117AF2" w:rsidRDefault="00117AF2" w:rsidP="00423C27">
      <w:pPr>
        <w:spacing w:after="0" w:line="360" w:lineRule="auto"/>
        <w:jc w:val="both"/>
        <w:rPr>
          <w:rFonts w:ascii="Palatino Linotype" w:hAnsi="Palatino Linotype" w:cs="Arial"/>
          <w:sz w:val="24"/>
          <w:szCs w:val="24"/>
        </w:rPr>
      </w:pPr>
    </w:p>
    <w:p w:rsidR="007B6D38" w:rsidRDefault="007B6D38" w:rsidP="00423C27">
      <w:pPr>
        <w:spacing w:after="0" w:line="360" w:lineRule="auto"/>
        <w:jc w:val="both"/>
        <w:rPr>
          <w:rFonts w:ascii="Palatino Linotype" w:hAnsi="Palatino Linotype" w:cs="Arial"/>
          <w:sz w:val="24"/>
          <w:szCs w:val="24"/>
        </w:rPr>
      </w:pPr>
    </w:p>
    <w:p w:rsidR="007B6D38" w:rsidRPr="007B6D38" w:rsidRDefault="007B6D38" w:rsidP="007B6D38">
      <w:pPr>
        <w:spacing w:after="0" w:line="360" w:lineRule="auto"/>
        <w:jc w:val="both"/>
        <w:rPr>
          <w:rFonts w:ascii="Palatino Linotype" w:eastAsia="Calibri" w:hAnsi="Palatino Linotype" w:cs="Arial"/>
          <w:sz w:val="28"/>
          <w:szCs w:val="26"/>
        </w:rPr>
      </w:pPr>
      <w:r w:rsidRPr="007B6D38">
        <w:rPr>
          <w:rFonts w:ascii="Palatino Linotype" w:eastAsia="Calibri" w:hAnsi="Palatino Linotype" w:cs="Times New Roman"/>
          <w:b/>
          <w:sz w:val="28"/>
          <w:szCs w:val="26"/>
        </w:rPr>
        <w:lastRenderedPageBreak/>
        <w:t>SÉPTIMO. De la ampliación del término para resolver.</w:t>
      </w:r>
    </w:p>
    <w:p w:rsidR="007B6D38" w:rsidRDefault="007B6D38" w:rsidP="007B6D38">
      <w:pPr>
        <w:spacing w:after="0" w:line="360" w:lineRule="auto"/>
        <w:jc w:val="both"/>
        <w:rPr>
          <w:rFonts w:ascii="Palatino Linotype" w:hAnsi="Palatino Linotype" w:cs="Arial"/>
          <w:sz w:val="24"/>
          <w:szCs w:val="24"/>
        </w:rPr>
      </w:pPr>
      <w:r w:rsidRPr="00D81530">
        <w:rPr>
          <w:rFonts w:ascii="Palatino Linotype" w:eastAsia="Calibri" w:hAnsi="Palatino Linotype" w:cs="Arial"/>
          <w:sz w:val="24"/>
          <w:szCs w:val="24"/>
        </w:rPr>
        <w:t xml:space="preserve">En fecha </w:t>
      </w:r>
      <w:r w:rsidR="009504C1">
        <w:rPr>
          <w:rFonts w:ascii="Palatino Linotype" w:eastAsia="Calibri" w:hAnsi="Palatino Linotype" w:cs="Arial"/>
          <w:sz w:val="24"/>
          <w:szCs w:val="24"/>
        </w:rPr>
        <w:t>veintiocho de enero de dos mil diecinueve</w:t>
      </w:r>
      <w:r w:rsidRPr="00D81530">
        <w:rPr>
          <w:rFonts w:ascii="Palatino Linotype" w:eastAsia="Calibri" w:hAnsi="Palatino Linotype" w:cs="Arial"/>
          <w:sz w:val="24"/>
          <w:szCs w:val="24"/>
        </w:rPr>
        <w:t xml:space="preserve">, se amplió el término para resolver </w:t>
      </w:r>
      <w:r>
        <w:rPr>
          <w:rFonts w:ascii="Palatino Linotype" w:eastAsia="Calibri" w:hAnsi="Palatino Linotype" w:cs="Arial"/>
          <w:sz w:val="24"/>
          <w:szCs w:val="24"/>
        </w:rPr>
        <w:t xml:space="preserve">el presente </w:t>
      </w:r>
      <w:r w:rsidRPr="00D81530">
        <w:rPr>
          <w:rFonts w:ascii="Palatino Linotype" w:eastAsia="Calibri" w:hAnsi="Palatino Linotype" w:cs="Arial"/>
          <w:sz w:val="24"/>
          <w:szCs w:val="24"/>
        </w:rPr>
        <w:t>recurso de revisión en términos del artículo 181 párrafo tercero de la Ley de Transparencia y Acceso a la Información Pública del Estado de México y Municipios por un plazo de quince días hábiles.</w:t>
      </w:r>
    </w:p>
    <w:p w:rsidR="00423C27" w:rsidRDefault="00423C27" w:rsidP="00AD3C94">
      <w:pPr>
        <w:spacing w:after="0" w:line="360" w:lineRule="auto"/>
        <w:jc w:val="both"/>
        <w:rPr>
          <w:rFonts w:ascii="Palatino Linotype" w:hAnsi="Palatino Linotype" w:cs="Arial"/>
          <w:sz w:val="24"/>
          <w:szCs w:val="24"/>
        </w:rPr>
      </w:pPr>
    </w:p>
    <w:p w:rsidR="007E2E80" w:rsidRPr="000E7C0A" w:rsidRDefault="007E2E80" w:rsidP="007E2E80">
      <w:pPr>
        <w:spacing w:before="240" w:line="360" w:lineRule="auto"/>
        <w:jc w:val="center"/>
        <w:rPr>
          <w:rFonts w:ascii="Palatino Linotype" w:hAnsi="Palatino Linotype" w:cs="Arial"/>
          <w:b/>
          <w:sz w:val="28"/>
          <w:szCs w:val="28"/>
        </w:rPr>
      </w:pPr>
      <w:r w:rsidRPr="000E7C0A">
        <w:rPr>
          <w:rFonts w:ascii="Palatino Linotype" w:hAnsi="Palatino Linotype" w:cs="Arial"/>
          <w:b/>
          <w:sz w:val="28"/>
          <w:szCs w:val="28"/>
        </w:rPr>
        <w:t xml:space="preserve">C O N S I D E R A N D O </w:t>
      </w:r>
    </w:p>
    <w:p w:rsidR="007E2E80" w:rsidRPr="007B6D38" w:rsidRDefault="007E2E80" w:rsidP="007E2E80">
      <w:pPr>
        <w:spacing w:before="240" w:line="360" w:lineRule="auto"/>
        <w:jc w:val="both"/>
        <w:rPr>
          <w:rFonts w:ascii="Palatino Linotype" w:hAnsi="Palatino Linotype" w:cs="Arial"/>
          <w:sz w:val="28"/>
          <w:szCs w:val="28"/>
        </w:rPr>
      </w:pPr>
      <w:r w:rsidRPr="007B6D38">
        <w:rPr>
          <w:rFonts w:ascii="Palatino Linotype" w:hAnsi="Palatino Linotype" w:cs="Arial"/>
          <w:b/>
          <w:sz w:val="28"/>
          <w:szCs w:val="28"/>
        </w:rPr>
        <w:t>PRIMERO. De la competencia</w:t>
      </w:r>
      <w:r w:rsidRPr="007B6D38">
        <w:rPr>
          <w:rFonts w:ascii="Palatino Linotype" w:hAnsi="Palatino Linotype" w:cs="Arial"/>
          <w:sz w:val="28"/>
          <w:szCs w:val="28"/>
        </w:rPr>
        <w:t>.</w:t>
      </w:r>
    </w:p>
    <w:p w:rsidR="007E2E80" w:rsidRDefault="007E2E80" w:rsidP="007E2E80">
      <w:pPr>
        <w:spacing w:before="240" w:line="360" w:lineRule="auto"/>
        <w:jc w:val="both"/>
        <w:rPr>
          <w:rFonts w:ascii="Palatino Linotype" w:hAnsi="Palatino Linotype" w:cs="Arial"/>
          <w:sz w:val="24"/>
        </w:rPr>
      </w:pPr>
      <w:r w:rsidRPr="00911081">
        <w:rPr>
          <w:rFonts w:ascii="Palatino Linotype" w:hAnsi="Palatino Linotype" w:cs="Arial"/>
          <w:sz w:val="24"/>
        </w:rPr>
        <w:t xml:space="preserve">Este Instituto de Transparencia, Acceso a la Información Pública y Protección de Datos Personales del Estado de México, es competente para conocer y resolver el presente recurso de revisión interpuesto por </w:t>
      </w:r>
      <w:r w:rsidR="006A5143">
        <w:rPr>
          <w:rFonts w:ascii="Palatino Linotype" w:hAnsi="Palatino Linotype" w:cs="Arial"/>
          <w:sz w:val="24"/>
        </w:rPr>
        <w:t>la</w:t>
      </w:r>
      <w:r w:rsidRPr="000E7C0A">
        <w:rPr>
          <w:rFonts w:ascii="Palatino Linotype" w:hAnsi="Palatino Linotype" w:cs="Arial"/>
          <w:sz w:val="24"/>
        </w:rPr>
        <w:t xml:space="preserve"> </w:t>
      </w:r>
      <w:r w:rsidRPr="006A5143">
        <w:rPr>
          <w:rFonts w:ascii="Palatino Linotype" w:hAnsi="Palatino Linotype" w:cs="Arial"/>
          <w:b/>
          <w:sz w:val="24"/>
        </w:rPr>
        <w:t>Recurrente</w:t>
      </w:r>
      <w:r w:rsidRPr="00911081">
        <w:rPr>
          <w:rFonts w:ascii="Palatino Linotype" w:hAnsi="Palatino Linotype" w:cs="Arial"/>
          <w:b/>
          <w:sz w:val="24"/>
          <w:szCs w:val="24"/>
        </w:rPr>
        <w:t xml:space="preserve"> </w:t>
      </w:r>
      <w:r w:rsidRPr="00911081">
        <w:rPr>
          <w:rFonts w:ascii="Palatino Linotype" w:hAnsi="Palatino Linotype" w:cs="Arial"/>
          <w:sz w:val="24"/>
        </w:rPr>
        <w:t>conforme a lo dispuesto en los</w:t>
      </w:r>
      <w:r w:rsidRPr="00025A37">
        <w:rPr>
          <w:rFonts w:ascii="Palatino Linotype" w:hAnsi="Palatino Linotype" w:cs="Arial"/>
          <w:sz w:val="24"/>
        </w:rPr>
        <w:t xml:space="preserve"> artículos 6, apartado A, fracción IV de la Constitución Política de los Estados Unidos Mexicanos, 5, párrafos </w:t>
      </w:r>
      <w:r>
        <w:rPr>
          <w:rFonts w:ascii="Palatino Linotype" w:hAnsi="Palatino Linotype" w:cs="Arial"/>
          <w:sz w:val="24"/>
        </w:rPr>
        <w:t>vigésimo, vigésimo primero y vigésimo segundo</w:t>
      </w:r>
      <w:r w:rsidRPr="00025A37">
        <w:rPr>
          <w:rFonts w:ascii="Palatino Linotype" w:hAnsi="Palatino Linotype" w:cs="Arial"/>
          <w:sz w:val="24"/>
        </w:rPr>
        <w:t xml:space="preserve"> fracción IV de la Constitución Política del Estado Libre y Soberano de México, </w:t>
      </w:r>
      <w:r w:rsidRPr="009F389D">
        <w:rPr>
          <w:rFonts w:ascii="Palatino Linotype" w:hAnsi="Palatino Linotype" w:cs="Arial"/>
          <w:sz w:val="24"/>
          <w:szCs w:val="24"/>
        </w:rPr>
        <w:t>1,</w:t>
      </w:r>
      <w:r>
        <w:rPr>
          <w:rFonts w:ascii="Palatino Linotype" w:hAnsi="Palatino Linotype" w:cs="Arial"/>
          <w:sz w:val="24"/>
          <w:szCs w:val="24"/>
        </w:rPr>
        <w:t xml:space="preserve"> 2 fracción II, 13, 29, </w:t>
      </w:r>
      <w:r w:rsidRPr="009F389D">
        <w:rPr>
          <w:rFonts w:ascii="Palatino Linotype" w:hAnsi="Palatino Linotype" w:cs="Arial"/>
          <w:sz w:val="24"/>
          <w:szCs w:val="24"/>
        </w:rPr>
        <w:t>36 fracciones II y III, 176, 178, 179</w:t>
      </w:r>
      <w:r>
        <w:rPr>
          <w:rFonts w:ascii="Palatino Linotype" w:hAnsi="Palatino Linotype" w:cs="Arial"/>
          <w:sz w:val="24"/>
          <w:szCs w:val="24"/>
        </w:rPr>
        <w:t xml:space="preserve"> fracción I</w:t>
      </w:r>
      <w:r w:rsidRPr="009F389D">
        <w:rPr>
          <w:rFonts w:ascii="Palatino Linotype" w:hAnsi="Palatino Linotype" w:cs="Arial"/>
          <w:sz w:val="24"/>
          <w:szCs w:val="24"/>
        </w:rPr>
        <w:t>,</w:t>
      </w:r>
      <w:r>
        <w:rPr>
          <w:rFonts w:ascii="Palatino Linotype" w:hAnsi="Palatino Linotype" w:cs="Arial"/>
          <w:sz w:val="24"/>
          <w:szCs w:val="24"/>
        </w:rPr>
        <w:t xml:space="preserve"> 181 párrafo tercero,</w:t>
      </w:r>
      <w:r w:rsidRPr="009F389D">
        <w:rPr>
          <w:rFonts w:ascii="Palatino Linotype" w:hAnsi="Palatino Linotype" w:cs="Arial"/>
          <w:sz w:val="24"/>
          <w:szCs w:val="24"/>
        </w:rPr>
        <w:t xml:space="preserve"> 182, 185, 188 y 194</w:t>
      </w:r>
      <w:r>
        <w:rPr>
          <w:rFonts w:ascii="Palatino Linotype" w:hAnsi="Palatino Linotype" w:cs="Arial"/>
          <w:sz w:val="24"/>
          <w:szCs w:val="24"/>
        </w:rPr>
        <w:t xml:space="preserve"> </w:t>
      </w:r>
      <w:r w:rsidRPr="00025A37">
        <w:rPr>
          <w:rFonts w:ascii="Palatino Linotype" w:hAnsi="Palatino Linotype" w:cs="Arial"/>
          <w:sz w:val="24"/>
        </w:rPr>
        <w:t xml:space="preserve">de la Ley de Transparencia y Acceso a la Información Pública del Estado de México y Municipios, </w:t>
      </w:r>
      <w:r>
        <w:rPr>
          <w:rFonts w:ascii="Palatino Linotype" w:hAnsi="Palatino Linotype" w:cs="Arial"/>
          <w:sz w:val="24"/>
        </w:rPr>
        <w:t xml:space="preserve">9 fracciones I, XXIV, </w:t>
      </w:r>
      <w:r w:rsidRPr="00FC4616">
        <w:rPr>
          <w:rFonts w:ascii="Palatino Linotype" w:hAnsi="Palatino Linotype" w:cs="Arial"/>
          <w:sz w:val="24"/>
        </w:rPr>
        <w:t>11</w:t>
      </w:r>
      <w:r w:rsidRPr="00025A37">
        <w:rPr>
          <w:rFonts w:ascii="Palatino Linotype" w:hAnsi="Palatino Linotype" w:cs="Arial"/>
          <w:sz w:val="24"/>
        </w:rPr>
        <w:t xml:space="preserve"> </w:t>
      </w:r>
      <w:r>
        <w:rPr>
          <w:rFonts w:ascii="Palatino Linotype" w:hAnsi="Palatino Linotype" w:cs="Arial"/>
          <w:sz w:val="24"/>
        </w:rPr>
        <w:t xml:space="preserve">y 14 fracción I </w:t>
      </w:r>
      <w:r w:rsidRPr="00025A37">
        <w:rPr>
          <w:rFonts w:ascii="Palatino Linotype" w:hAnsi="Palatino Linotype" w:cs="Arial"/>
          <w:sz w:val="24"/>
        </w:rPr>
        <w:t xml:space="preserve">del Reglamento Interior del </w:t>
      </w:r>
      <w:r>
        <w:rPr>
          <w:rFonts w:ascii="Palatino Linotype" w:hAnsi="Palatino Linotype" w:cs="Arial"/>
          <w:sz w:val="24"/>
        </w:rPr>
        <w:t>Instituto de Transparencia, Acceso a la Información Pública y Protección de Datos Personales del Estado de México</w:t>
      </w:r>
      <w:r w:rsidRPr="00025A37">
        <w:rPr>
          <w:rFonts w:ascii="Palatino Linotype" w:hAnsi="Palatino Linotype" w:cs="Arial"/>
          <w:sz w:val="24"/>
        </w:rPr>
        <w:t>.</w:t>
      </w:r>
    </w:p>
    <w:p w:rsidR="00F92D09" w:rsidRDefault="00F92D09" w:rsidP="007E2E80">
      <w:pPr>
        <w:pStyle w:val="Prrafodelista"/>
        <w:autoSpaceDE w:val="0"/>
        <w:autoSpaceDN w:val="0"/>
        <w:adjustRightInd w:val="0"/>
        <w:spacing w:before="240" w:after="160" w:line="360" w:lineRule="auto"/>
        <w:ind w:left="0"/>
        <w:jc w:val="both"/>
        <w:rPr>
          <w:rFonts w:ascii="Palatino Linotype" w:hAnsi="Palatino Linotype" w:cs="Arial"/>
          <w:b/>
          <w:sz w:val="28"/>
        </w:rPr>
      </w:pP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lastRenderedPageBreak/>
        <w:t xml:space="preserve">Derivado de la impugnación realizada, es menester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b/>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rsidR="007E2E80"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sidRPr="00A94477">
        <w:rPr>
          <w:rFonts w:ascii="Palatino Linotype" w:hAnsi="Palatino Linotype" w:cs="Aria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w:t>
      </w:r>
      <w:r>
        <w:rPr>
          <w:rFonts w:ascii="Palatino Linotype" w:hAnsi="Palatino Linotype" w:cs="Arial"/>
        </w:rPr>
        <w:lastRenderedPageBreak/>
        <w:t>máxime que es una figura procesal adoptada en la ley de la materia</w:t>
      </w:r>
      <w:r>
        <w:rPr>
          <w:rStyle w:val="Refdenotaalpie"/>
          <w:rFonts w:ascii="Palatino Linotype" w:hAnsi="Palatino Linotype" w:cs="Arial"/>
        </w:rPr>
        <w:footnoteReference w:id="1"/>
      </w:r>
      <w:r>
        <w:rPr>
          <w:rFonts w:ascii="Palatino Linotype" w:hAnsi="Palatino Linotype" w:cs="Arial"/>
        </w:rPr>
        <w:t>, la cual permite dilucidar alguna causal que impida el estudio y resolución, cuando una vez admitido el recurso de revisión se advierta una causa de improcedencia que permita sobreseerlo, sin estudiar el fondo del asunto.</w:t>
      </w:r>
    </w:p>
    <w:p w:rsidR="007E2E80" w:rsidRDefault="007E2E80" w:rsidP="007E2E80">
      <w:pPr>
        <w:pStyle w:val="Prrafodelista"/>
        <w:autoSpaceDE w:val="0"/>
        <w:autoSpaceDN w:val="0"/>
        <w:adjustRightInd w:val="0"/>
        <w:spacing w:line="360" w:lineRule="auto"/>
        <w:ind w:left="0"/>
        <w:jc w:val="both"/>
        <w:rPr>
          <w:rFonts w:ascii="Palatino Linotype" w:hAnsi="Palatino Linotype" w:cs="Arial"/>
        </w:rPr>
      </w:pPr>
    </w:p>
    <w:p w:rsidR="00D34487" w:rsidRDefault="007E2E80" w:rsidP="007E2E8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Así las cosas, en la especie, no se actualiza ninguna causa de improcedencia de las referidas en el artículo 191 de la Ley de Transparencia y Acceso a la Información Pública del Estado de México y Municipios, encon</w:t>
      </w:r>
      <w:r w:rsidR="00ED3F80">
        <w:rPr>
          <w:rFonts w:ascii="Palatino Linotype" w:hAnsi="Palatino Linotype" w:cs="Arial"/>
        </w:rPr>
        <w:t xml:space="preserve">trándose actualizados todos los </w:t>
      </w:r>
      <w:r>
        <w:rPr>
          <w:rFonts w:ascii="Palatino Linotype" w:hAnsi="Palatino Linotype" w:cs="Arial"/>
        </w:rPr>
        <w:t>presupuestos procesales para atender el fondo del asunto, en los términos del considerando posterior.</w:t>
      </w:r>
    </w:p>
    <w:p w:rsidR="007E2E80" w:rsidRPr="008C3CD8" w:rsidRDefault="007E2E80" w:rsidP="007E2E80">
      <w:pPr>
        <w:pStyle w:val="Prrafodelista"/>
        <w:autoSpaceDE w:val="0"/>
        <w:autoSpaceDN w:val="0"/>
        <w:adjustRightInd w:val="0"/>
        <w:spacing w:before="240" w:after="160" w:line="360" w:lineRule="auto"/>
        <w:ind w:left="0"/>
        <w:jc w:val="both"/>
        <w:rPr>
          <w:rFonts w:ascii="Palatino Linotype" w:hAnsi="Palatino Linotype" w:cs="Arial"/>
          <w:sz w:val="28"/>
          <w:szCs w:val="28"/>
        </w:rPr>
      </w:pPr>
      <w:r w:rsidRPr="00C43323">
        <w:rPr>
          <w:rFonts w:ascii="Palatino Linotype" w:hAnsi="Palatino Linotype" w:cs="Arial"/>
          <w:b/>
          <w:sz w:val="28"/>
        </w:rPr>
        <w:lastRenderedPageBreak/>
        <w:t>CUART</w:t>
      </w:r>
      <w:r w:rsidRPr="008C3CD8">
        <w:rPr>
          <w:rFonts w:ascii="Palatino Linotype" w:hAnsi="Palatino Linotype" w:cs="Arial"/>
          <w:b/>
          <w:sz w:val="28"/>
          <w:szCs w:val="28"/>
        </w:rPr>
        <w:t>O.</w:t>
      </w:r>
      <w:r w:rsidRPr="008C3CD8">
        <w:rPr>
          <w:rFonts w:ascii="Palatino Linotype" w:hAnsi="Palatino Linotype" w:cs="Arial"/>
          <w:sz w:val="28"/>
          <w:szCs w:val="28"/>
        </w:rPr>
        <w:t xml:space="preserve"> </w:t>
      </w:r>
      <w:r w:rsidRPr="008C3CD8">
        <w:rPr>
          <w:rFonts w:ascii="Palatino Linotype" w:hAnsi="Palatino Linotype" w:cs="Arial"/>
          <w:b/>
          <w:sz w:val="28"/>
          <w:szCs w:val="28"/>
        </w:rPr>
        <w:t>Estudio y resolución del asunto.</w:t>
      </w:r>
    </w:p>
    <w:p w:rsidR="007E2E80" w:rsidRPr="00823454" w:rsidRDefault="007E2E80" w:rsidP="00823454">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301A01" w:rsidRPr="00823454" w:rsidRDefault="00301A01" w:rsidP="00823454">
      <w:pPr>
        <w:pStyle w:val="Sinespaciado"/>
        <w:spacing w:line="360" w:lineRule="auto"/>
        <w:jc w:val="both"/>
        <w:rPr>
          <w:rFonts w:ascii="Palatino Linotype" w:hAnsi="Palatino Linotype"/>
          <w:sz w:val="24"/>
          <w:szCs w:val="24"/>
        </w:rPr>
      </w:pPr>
    </w:p>
    <w:p w:rsidR="00824894" w:rsidRDefault="00A9172E" w:rsidP="00823454">
      <w:pPr>
        <w:pStyle w:val="Sinespaciado"/>
        <w:spacing w:line="360" w:lineRule="auto"/>
        <w:jc w:val="both"/>
        <w:rPr>
          <w:rFonts w:ascii="Palatino Linotype" w:hAnsi="Palatino Linotype"/>
          <w:sz w:val="24"/>
          <w:szCs w:val="24"/>
        </w:rPr>
      </w:pPr>
      <w:r w:rsidRPr="00823454">
        <w:rPr>
          <w:rFonts w:ascii="Palatino Linotype" w:hAnsi="Palatino Linotype"/>
          <w:sz w:val="24"/>
          <w:szCs w:val="24"/>
        </w:rPr>
        <w:t>Por</w:t>
      </w:r>
      <w:r w:rsidR="00453A22">
        <w:rPr>
          <w:rFonts w:ascii="Palatino Linotype" w:hAnsi="Palatino Linotype"/>
          <w:sz w:val="24"/>
          <w:szCs w:val="24"/>
        </w:rPr>
        <w:t xml:space="preserve"> tanto, es conveniente recordar, c</w:t>
      </w:r>
      <w:r w:rsidR="00453A22" w:rsidRPr="00453A22">
        <w:rPr>
          <w:rFonts w:ascii="Palatino Linotype" w:hAnsi="Palatino Linotype"/>
          <w:sz w:val="24"/>
          <w:szCs w:val="24"/>
        </w:rPr>
        <w:t>omo se enunció en los antecedentes de la presente resolución, los requerimientos solicitados</w:t>
      </w:r>
      <w:r w:rsidR="00453A22">
        <w:rPr>
          <w:rFonts w:ascii="Palatino Linotype" w:hAnsi="Palatino Linotype"/>
          <w:sz w:val="24"/>
          <w:szCs w:val="24"/>
        </w:rPr>
        <w:t xml:space="preserve"> que</w:t>
      </w:r>
      <w:r w:rsidR="00453A22" w:rsidRPr="00453A22">
        <w:rPr>
          <w:rFonts w:ascii="Palatino Linotype" w:hAnsi="Palatino Linotype"/>
          <w:sz w:val="24"/>
          <w:szCs w:val="24"/>
        </w:rPr>
        <w:t xml:space="preserve"> fueron los siguientes:</w:t>
      </w:r>
    </w:p>
    <w:p w:rsidR="000A4D0A" w:rsidRDefault="000A4D0A" w:rsidP="00823454">
      <w:pPr>
        <w:pStyle w:val="Sinespaciado"/>
        <w:spacing w:line="360" w:lineRule="auto"/>
        <w:jc w:val="both"/>
        <w:rPr>
          <w:rFonts w:ascii="Palatino Linotype" w:hAnsi="Palatino Linotype"/>
          <w:sz w:val="24"/>
          <w:szCs w:val="24"/>
        </w:rPr>
      </w:pPr>
    </w:p>
    <w:p w:rsidR="000A4D0A" w:rsidRPr="000A4D0A" w:rsidRDefault="000A4D0A" w:rsidP="000A4D0A">
      <w:pPr>
        <w:pStyle w:val="Sinespaciado"/>
        <w:ind w:left="851" w:right="851"/>
        <w:jc w:val="both"/>
        <w:rPr>
          <w:rFonts w:ascii="Palatino Linotype" w:hAnsi="Palatino Linotype"/>
        </w:rPr>
      </w:pPr>
      <w:r w:rsidRPr="000A4D0A">
        <w:rPr>
          <w:rFonts w:ascii="Palatino Linotype" w:eastAsia="Times New Roman" w:hAnsi="Palatino Linotype" w:cs="Times New Roman"/>
          <w:i/>
          <w:lang w:val="es-ES_tradnl" w:eastAsia="es-ES"/>
        </w:rPr>
        <w:t>“</w:t>
      </w:r>
      <w:r w:rsidR="00FC0CA9" w:rsidRPr="00FC0CA9">
        <w:rPr>
          <w:rFonts w:ascii="Palatino Linotype" w:hAnsi="Palatino Linotype"/>
          <w:i/>
          <w:color w:val="000000"/>
        </w:rPr>
        <w:t>SOLICITO EL GAFETE-CREDENCIAL DE ALFREDO DEL MAZO MAZA</w:t>
      </w:r>
      <w:r w:rsidRPr="000A4D0A">
        <w:rPr>
          <w:rFonts w:ascii="Palatino Linotype" w:eastAsia="Times New Roman" w:hAnsi="Palatino Linotype" w:cs="Times New Roman"/>
          <w:i/>
          <w:lang w:val="es-ES_tradnl" w:eastAsia="es-ES"/>
        </w:rPr>
        <w:t xml:space="preserve">” </w:t>
      </w:r>
      <w:r w:rsidRPr="000A4D0A">
        <w:rPr>
          <w:rFonts w:ascii="Palatino Linotype" w:eastAsia="Times New Roman" w:hAnsi="Palatino Linotype" w:cs="Times New Roman"/>
          <w:lang w:val="es-ES_tradnl" w:eastAsia="es-ES"/>
        </w:rPr>
        <w:t>[Sic]</w:t>
      </w:r>
    </w:p>
    <w:p w:rsidR="00824894" w:rsidRDefault="00824894" w:rsidP="00823454">
      <w:pPr>
        <w:pStyle w:val="Sinespaciado"/>
        <w:spacing w:line="360" w:lineRule="auto"/>
        <w:jc w:val="both"/>
        <w:rPr>
          <w:rFonts w:ascii="Palatino Linotype" w:hAnsi="Palatino Linotype"/>
          <w:sz w:val="24"/>
          <w:szCs w:val="24"/>
        </w:rPr>
      </w:pPr>
    </w:p>
    <w:p w:rsidR="00027C81" w:rsidRDefault="00230177" w:rsidP="00027C81">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Consecuentemente, el </w:t>
      </w:r>
      <w:r w:rsidRPr="00230177">
        <w:rPr>
          <w:rFonts w:ascii="Palatino Linotype" w:hAnsi="Palatino Linotype"/>
          <w:b/>
          <w:sz w:val="24"/>
          <w:szCs w:val="24"/>
        </w:rPr>
        <w:t>Sujeto Obligado</w:t>
      </w:r>
      <w:r w:rsidRPr="00230177">
        <w:rPr>
          <w:rFonts w:ascii="Palatino Linotype" w:hAnsi="Palatino Linotype"/>
          <w:sz w:val="24"/>
          <w:szCs w:val="24"/>
        </w:rPr>
        <w:t xml:space="preserve"> en fecha </w:t>
      </w:r>
      <w:r>
        <w:rPr>
          <w:rFonts w:ascii="Palatino Linotype" w:hAnsi="Palatino Linotype"/>
          <w:sz w:val="24"/>
          <w:szCs w:val="24"/>
        </w:rPr>
        <w:t>quince de noviembre</w:t>
      </w:r>
      <w:r w:rsidRPr="00230177">
        <w:rPr>
          <w:rFonts w:ascii="Palatino Linotype" w:hAnsi="Palatino Linotype"/>
          <w:sz w:val="24"/>
          <w:szCs w:val="24"/>
        </w:rPr>
        <w:t xml:space="preserve"> de dos mil dieciocho, emit</w:t>
      </w:r>
      <w:r>
        <w:rPr>
          <w:rFonts w:ascii="Palatino Linotype" w:hAnsi="Palatino Linotype"/>
          <w:sz w:val="24"/>
          <w:szCs w:val="24"/>
        </w:rPr>
        <w:t>ió su respuesta, a través de un archivo electrónico</w:t>
      </w:r>
      <w:r w:rsidRPr="00230177">
        <w:rPr>
          <w:rFonts w:ascii="Palatino Linotype" w:hAnsi="Palatino Linotype"/>
          <w:sz w:val="24"/>
          <w:szCs w:val="24"/>
        </w:rPr>
        <w:t>, de cuyo contenido se advierte lo siguiente:</w:t>
      </w:r>
    </w:p>
    <w:p w:rsidR="00027C81" w:rsidRPr="00027C81" w:rsidRDefault="00027C81" w:rsidP="00027C81">
      <w:pPr>
        <w:pStyle w:val="Sinespaciado"/>
        <w:spacing w:line="360" w:lineRule="auto"/>
        <w:jc w:val="both"/>
        <w:rPr>
          <w:rFonts w:ascii="Palatino Linotype" w:hAnsi="Palatino Linotype"/>
          <w:sz w:val="24"/>
          <w:szCs w:val="24"/>
        </w:rPr>
      </w:pPr>
    </w:p>
    <w:p w:rsidR="00027C81" w:rsidRPr="00230177" w:rsidRDefault="00F33808" w:rsidP="003C6A48">
      <w:pPr>
        <w:pStyle w:val="Sinespaciado"/>
        <w:numPr>
          <w:ilvl w:val="0"/>
          <w:numId w:val="11"/>
        </w:numPr>
        <w:spacing w:line="360" w:lineRule="auto"/>
        <w:jc w:val="both"/>
        <w:rPr>
          <w:rFonts w:ascii="Palatino Linotype" w:hAnsi="Palatino Linotype"/>
          <w:b/>
          <w:sz w:val="24"/>
          <w:szCs w:val="24"/>
        </w:rPr>
      </w:pPr>
      <w:r>
        <w:rPr>
          <w:rFonts w:ascii="Palatino Linotype" w:hAnsi="Palatino Linotype"/>
          <w:sz w:val="24"/>
          <w:szCs w:val="24"/>
        </w:rPr>
        <w:t xml:space="preserve"> </w:t>
      </w:r>
      <w:r w:rsidR="00FC0CA9" w:rsidRPr="00FC0CA9">
        <w:rPr>
          <w:rFonts w:ascii="Palatino Linotype" w:hAnsi="Palatino Linotype"/>
          <w:b/>
          <w:sz w:val="24"/>
          <w:szCs w:val="24"/>
        </w:rPr>
        <w:t>0245 respuesta.PDF</w:t>
      </w:r>
      <w:r w:rsidR="00027C81">
        <w:rPr>
          <w:rFonts w:ascii="Palatino Linotype" w:hAnsi="Palatino Linotype"/>
          <w:sz w:val="24"/>
          <w:szCs w:val="24"/>
        </w:rPr>
        <w:t xml:space="preserve">: </w:t>
      </w:r>
      <w:r w:rsidR="00230177" w:rsidRPr="00230177">
        <w:rPr>
          <w:rFonts w:ascii="Palatino Linotype" w:hAnsi="Palatino Linotype"/>
          <w:sz w:val="24"/>
          <w:szCs w:val="24"/>
        </w:rPr>
        <w:t xml:space="preserve">consistente en los oficios </w:t>
      </w:r>
      <w:r w:rsidR="00230177">
        <w:rPr>
          <w:rFonts w:ascii="Palatino Linotype" w:hAnsi="Palatino Linotype"/>
          <w:sz w:val="24"/>
          <w:szCs w:val="24"/>
        </w:rPr>
        <w:t>N° UTG/00274/2018 y 20361A000/1437/2018</w:t>
      </w:r>
      <w:r w:rsidR="00230177" w:rsidRPr="00230177">
        <w:rPr>
          <w:rFonts w:ascii="Palatino Linotype" w:hAnsi="Palatino Linotype"/>
          <w:sz w:val="24"/>
          <w:szCs w:val="24"/>
        </w:rPr>
        <w:t xml:space="preserve">, de los cuales, el primero de ellos fue emitido por el Titular de la Unidad de </w:t>
      </w:r>
      <w:r w:rsidR="00230177">
        <w:rPr>
          <w:rFonts w:ascii="Palatino Linotype" w:hAnsi="Palatino Linotype"/>
          <w:sz w:val="24"/>
          <w:szCs w:val="24"/>
        </w:rPr>
        <w:t>Transparencia de la Gubernatura</w:t>
      </w:r>
      <w:r w:rsidR="00230177" w:rsidRPr="00230177">
        <w:rPr>
          <w:rFonts w:ascii="Palatino Linotype" w:hAnsi="Palatino Linotype"/>
          <w:sz w:val="24"/>
          <w:szCs w:val="24"/>
        </w:rPr>
        <w:t xml:space="preserve">, mediante el cual se informa a la solicitante de la información que </w:t>
      </w:r>
      <w:r w:rsidR="00230177">
        <w:rPr>
          <w:rFonts w:ascii="Palatino Linotype" w:hAnsi="Palatino Linotype"/>
          <w:sz w:val="24"/>
          <w:szCs w:val="24"/>
        </w:rPr>
        <w:t xml:space="preserve">en documento anexo, </w:t>
      </w:r>
      <w:r w:rsidR="003C6A48">
        <w:rPr>
          <w:rFonts w:ascii="Palatino Linotype" w:hAnsi="Palatino Linotype"/>
          <w:sz w:val="24"/>
          <w:szCs w:val="24"/>
        </w:rPr>
        <w:t xml:space="preserve">la </w:t>
      </w:r>
      <w:r w:rsidR="003C6A48" w:rsidRPr="003C6A48">
        <w:rPr>
          <w:rFonts w:ascii="Palatino Linotype" w:hAnsi="Palatino Linotype"/>
          <w:sz w:val="24"/>
          <w:szCs w:val="24"/>
        </w:rPr>
        <w:t xml:space="preserve">Servidora </w:t>
      </w:r>
      <w:r w:rsidR="003C6A48" w:rsidRPr="003C6A48">
        <w:rPr>
          <w:rFonts w:ascii="Palatino Linotype" w:hAnsi="Palatino Linotype"/>
          <w:sz w:val="24"/>
          <w:szCs w:val="24"/>
        </w:rPr>
        <w:lastRenderedPageBreak/>
        <w:t>Pública Habilitada y Encargada de Protección de Datos Personales del Comité de Transparencia de la Gubernatura</w:t>
      </w:r>
      <w:r w:rsidR="00230177">
        <w:rPr>
          <w:rFonts w:ascii="Palatino Linotype" w:hAnsi="Palatino Linotype"/>
          <w:sz w:val="24"/>
          <w:szCs w:val="24"/>
        </w:rPr>
        <w:t>, da su respuesta a lo solicitado</w:t>
      </w:r>
      <w:r w:rsidR="00230177" w:rsidRPr="00230177">
        <w:rPr>
          <w:rFonts w:ascii="Palatino Linotype" w:hAnsi="Palatino Linotype"/>
          <w:sz w:val="24"/>
          <w:szCs w:val="24"/>
        </w:rPr>
        <w:t>; y el</w:t>
      </w:r>
      <w:r w:rsidR="00230177">
        <w:rPr>
          <w:rFonts w:ascii="Palatino Linotype" w:hAnsi="Palatino Linotype"/>
          <w:sz w:val="24"/>
          <w:szCs w:val="24"/>
        </w:rPr>
        <w:t xml:space="preserve"> segundo de ellos emitido por la</w:t>
      </w:r>
      <w:r w:rsidR="00230177" w:rsidRPr="00230177">
        <w:rPr>
          <w:rFonts w:ascii="Palatino Linotype" w:hAnsi="Palatino Linotype"/>
          <w:sz w:val="24"/>
          <w:szCs w:val="24"/>
        </w:rPr>
        <w:t xml:space="preserve"> Lic. </w:t>
      </w:r>
      <w:r w:rsidR="00230177">
        <w:rPr>
          <w:rFonts w:ascii="Palatino Linotype" w:hAnsi="Palatino Linotype"/>
          <w:sz w:val="24"/>
          <w:szCs w:val="24"/>
        </w:rPr>
        <w:t>María Aurora Sosa Oblea</w:t>
      </w:r>
      <w:r w:rsidR="00230177" w:rsidRPr="00230177">
        <w:rPr>
          <w:rFonts w:ascii="Palatino Linotype" w:hAnsi="Palatino Linotype"/>
          <w:sz w:val="24"/>
          <w:szCs w:val="24"/>
        </w:rPr>
        <w:t xml:space="preserve">, </w:t>
      </w:r>
      <w:r w:rsidR="00230177">
        <w:rPr>
          <w:rFonts w:ascii="Palatino Linotype" w:hAnsi="Palatino Linotype"/>
          <w:sz w:val="24"/>
          <w:szCs w:val="24"/>
        </w:rPr>
        <w:t>Coordinadora de Administración,</w:t>
      </w:r>
      <w:r w:rsidR="00230177" w:rsidRPr="00230177">
        <w:rPr>
          <w:rFonts w:ascii="Palatino Linotype" w:hAnsi="Palatino Linotype"/>
          <w:sz w:val="24"/>
          <w:szCs w:val="24"/>
        </w:rPr>
        <w:t xml:space="preserve"> Servidor</w:t>
      </w:r>
      <w:r w:rsidR="00230177">
        <w:rPr>
          <w:rFonts w:ascii="Palatino Linotype" w:hAnsi="Palatino Linotype"/>
          <w:sz w:val="24"/>
          <w:szCs w:val="24"/>
        </w:rPr>
        <w:t>a Pública Habilitada y Encargada de Protección de Datos Personales</w:t>
      </w:r>
      <w:r w:rsidR="00230177" w:rsidRPr="00230177">
        <w:rPr>
          <w:rFonts w:ascii="Palatino Linotype" w:hAnsi="Palatino Linotype"/>
          <w:sz w:val="24"/>
          <w:szCs w:val="24"/>
        </w:rPr>
        <w:t xml:space="preserve"> </w:t>
      </w:r>
      <w:r w:rsidR="00230177">
        <w:rPr>
          <w:rFonts w:ascii="Palatino Linotype" w:hAnsi="Palatino Linotype"/>
          <w:sz w:val="24"/>
          <w:szCs w:val="24"/>
        </w:rPr>
        <w:t>del Comité</w:t>
      </w:r>
      <w:r w:rsidR="00230177" w:rsidRPr="00230177">
        <w:rPr>
          <w:rFonts w:ascii="Palatino Linotype" w:hAnsi="Palatino Linotype"/>
          <w:sz w:val="24"/>
          <w:szCs w:val="24"/>
        </w:rPr>
        <w:t xml:space="preserve"> de Transparencia</w:t>
      </w:r>
      <w:r w:rsidR="00230177">
        <w:rPr>
          <w:rFonts w:ascii="Palatino Linotype" w:hAnsi="Palatino Linotype"/>
          <w:sz w:val="24"/>
          <w:szCs w:val="24"/>
        </w:rPr>
        <w:t xml:space="preserve"> de la Gubernatura</w:t>
      </w:r>
      <w:r w:rsidR="00230177" w:rsidRPr="00230177">
        <w:rPr>
          <w:rFonts w:ascii="Palatino Linotype" w:hAnsi="Palatino Linotype"/>
          <w:sz w:val="24"/>
          <w:szCs w:val="24"/>
        </w:rPr>
        <w:t>,</w:t>
      </w:r>
      <w:r w:rsidR="003C6A48">
        <w:rPr>
          <w:rFonts w:ascii="Palatino Linotype" w:hAnsi="Palatino Linotype"/>
          <w:sz w:val="24"/>
          <w:szCs w:val="24"/>
        </w:rPr>
        <w:t xml:space="preserve"> a través del cual</w:t>
      </w:r>
      <w:r w:rsidR="009C2775">
        <w:rPr>
          <w:rFonts w:ascii="Palatino Linotype" w:hAnsi="Palatino Linotype"/>
          <w:sz w:val="24"/>
          <w:szCs w:val="24"/>
        </w:rPr>
        <w:t xml:space="preserve"> informa</w:t>
      </w:r>
      <w:r w:rsidR="00230177" w:rsidRPr="00230177">
        <w:rPr>
          <w:rFonts w:ascii="Palatino Linotype" w:hAnsi="Palatino Linotype"/>
          <w:sz w:val="24"/>
          <w:szCs w:val="24"/>
        </w:rPr>
        <w:t xml:space="preserve"> que</w:t>
      </w:r>
      <w:r w:rsidR="00230177">
        <w:rPr>
          <w:rFonts w:ascii="Palatino Linotype" w:hAnsi="Palatino Linotype"/>
          <w:sz w:val="24"/>
          <w:szCs w:val="24"/>
        </w:rPr>
        <w:t xml:space="preserve"> se realizó un</w:t>
      </w:r>
      <w:r w:rsidR="009C2775">
        <w:rPr>
          <w:rFonts w:ascii="Palatino Linotype" w:hAnsi="Palatino Linotype"/>
          <w:sz w:val="24"/>
          <w:szCs w:val="24"/>
        </w:rPr>
        <w:t>a</w:t>
      </w:r>
      <w:r w:rsidR="00230177">
        <w:rPr>
          <w:rFonts w:ascii="Palatino Linotype" w:hAnsi="Palatino Linotype"/>
          <w:sz w:val="24"/>
          <w:szCs w:val="24"/>
        </w:rPr>
        <w:t xml:space="preserve"> búsqueda exhaustiva y razonable en los archivos </w:t>
      </w:r>
      <w:r w:rsidR="009C2775">
        <w:rPr>
          <w:rFonts w:ascii="Palatino Linotype" w:hAnsi="Palatino Linotype"/>
          <w:sz w:val="24"/>
          <w:szCs w:val="24"/>
        </w:rPr>
        <w:t>del Sujeto Obligado</w:t>
      </w:r>
      <w:r w:rsidR="00230177">
        <w:rPr>
          <w:rFonts w:ascii="Palatino Linotype" w:hAnsi="Palatino Linotype"/>
          <w:sz w:val="24"/>
          <w:szCs w:val="24"/>
        </w:rPr>
        <w:t>, y no se encontró copia del gafete credencial del Servidor Público Alfredo del Mazo Maza</w:t>
      </w:r>
      <w:r w:rsidR="00027C81">
        <w:rPr>
          <w:rFonts w:ascii="Palatino Linotype" w:hAnsi="Palatino Linotype"/>
          <w:sz w:val="24"/>
          <w:szCs w:val="24"/>
        </w:rPr>
        <w:t>.</w:t>
      </w:r>
    </w:p>
    <w:p w:rsidR="00824894" w:rsidRDefault="00824894" w:rsidP="00824894">
      <w:pPr>
        <w:pStyle w:val="Sinespaciado"/>
        <w:spacing w:line="360" w:lineRule="auto"/>
        <w:jc w:val="both"/>
        <w:rPr>
          <w:rFonts w:ascii="Palatino Linotype" w:hAnsi="Palatino Linotype"/>
          <w:sz w:val="24"/>
          <w:szCs w:val="24"/>
        </w:rPr>
      </w:pPr>
    </w:p>
    <w:p w:rsidR="00824894" w:rsidRDefault="00462A7A" w:rsidP="00824894">
      <w:pPr>
        <w:pStyle w:val="Sinespaciado"/>
        <w:spacing w:line="360" w:lineRule="auto"/>
        <w:jc w:val="both"/>
        <w:rPr>
          <w:rFonts w:ascii="Palatino Linotype" w:hAnsi="Palatino Linotype"/>
          <w:sz w:val="24"/>
          <w:szCs w:val="24"/>
        </w:rPr>
      </w:pPr>
      <w:r w:rsidRPr="00462A7A">
        <w:rPr>
          <w:rFonts w:ascii="Palatino Linotype" w:hAnsi="Palatino Linotype"/>
          <w:sz w:val="24"/>
          <w:szCs w:val="24"/>
        </w:rPr>
        <w:t xml:space="preserve">Inconforme con la respuesta emitida por </w:t>
      </w:r>
      <w:r>
        <w:rPr>
          <w:rFonts w:ascii="Palatino Linotype" w:hAnsi="Palatino Linotype"/>
          <w:sz w:val="24"/>
          <w:szCs w:val="24"/>
        </w:rPr>
        <w:t>e</w:t>
      </w:r>
      <w:r w:rsidRPr="00462A7A">
        <w:rPr>
          <w:rFonts w:ascii="Palatino Linotype" w:hAnsi="Palatino Linotype"/>
          <w:sz w:val="24"/>
          <w:szCs w:val="24"/>
        </w:rPr>
        <w:t xml:space="preserve">l </w:t>
      </w:r>
      <w:r w:rsidRPr="00462A7A">
        <w:rPr>
          <w:rFonts w:ascii="Palatino Linotype" w:hAnsi="Palatino Linotype"/>
          <w:b/>
          <w:sz w:val="24"/>
          <w:szCs w:val="24"/>
        </w:rPr>
        <w:t>Sujeto Obligado</w:t>
      </w:r>
      <w:r w:rsidR="00B478C6">
        <w:rPr>
          <w:rFonts w:ascii="Palatino Linotype" w:hAnsi="Palatino Linotype"/>
          <w:sz w:val="24"/>
          <w:szCs w:val="24"/>
        </w:rPr>
        <w:t>, la</w:t>
      </w:r>
      <w:r w:rsidRPr="00462A7A">
        <w:rPr>
          <w:rFonts w:ascii="Palatino Linotype" w:hAnsi="Palatino Linotype"/>
          <w:sz w:val="24"/>
          <w:szCs w:val="24"/>
        </w:rPr>
        <w:t xml:space="preserve"> </w:t>
      </w:r>
      <w:r w:rsidRPr="00462A7A">
        <w:rPr>
          <w:rFonts w:ascii="Palatino Linotype" w:hAnsi="Palatino Linotype"/>
          <w:b/>
          <w:sz w:val="24"/>
          <w:szCs w:val="24"/>
        </w:rPr>
        <w:t>Recurrente</w:t>
      </w:r>
      <w:r w:rsidRPr="00462A7A">
        <w:rPr>
          <w:rFonts w:ascii="Palatino Linotype" w:hAnsi="Palatino Linotype"/>
          <w:sz w:val="24"/>
          <w:szCs w:val="24"/>
        </w:rPr>
        <w:t xml:space="preserve"> interpuso el presente recurso de revisión, señalando como motivos de inconformidad</w:t>
      </w:r>
      <w:r w:rsidR="00E65AE8" w:rsidRPr="00F92D09">
        <w:rPr>
          <w:rFonts w:ascii="Palatino Linotype" w:hAnsi="Palatino Linotype"/>
          <w:sz w:val="24"/>
          <w:szCs w:val="24"/>
        </w:rPr>
        <w:t>.</w:t>
      </w:r>
    </w:p>
    <w:p w:rsidR="00462A7A" w:rsidRDefault="00462A7A" w:rsidP="00824894">
      <w:pPr>
        <w:pStyle w:val="Sinespaciado"/>
        <w:spacing w:line="360" w:lineRule="auto"/>
        <w:jc w:val="both"/>
        <w:rPr>
          <w:rFonts w:ascii="Palatino Linotype" w:hAnsi="Palatino Linotype"/>
          <w:sz w:val="24"/>
          <w:szCs w:val="24"/>
        </w:rPr>
      </w:pPr>
    </w:p>
    <w:p w:rsidR="00462A7A" w:rsidRPr="00462A7A" w:rsidRDefault="00462A7A" w:rsidP="00462A7A">
      <w:pPr>
        <w:tabs>
          <w:tab w:val="left" w:pos="851"/>
        </w:tabs>
        <w:spacing w:line="240" w:lineRule="auto"/>
        <w:ind w:left="851" w:right="851"/>
        <w:jc w:val="both"/>
        <w:rPr>
          <w:rFonts w:ascii="Palatino Linotype" w:hAnsi="Palatino Linotype" w:cs="Arial"/>
          <w:sz w:val="24"/>
          <w:szCs w:val="24"/>
        </w:rPr>
      </w:pPr>
      <w:r w:rsidRPr="00462A7A">
        <w:rPr>
          <w:rFonts w:ascii="Palatino Linotype" w:hAnsi="Palatino Linotype" w:cs="Arial"/>
          <w:i/>
          <w:szCs w:val="24"/>
        </w:rPr>
        <w:t>“</w:t>
      </w:r>
      <w:r w:rsidR="00B478C6" w:rsidRPr="00B478C6">
        <w:rPr>
          <w:rFonts w:ascii="Palatino Linotype" w:hAnsi="Palatino Linotype" w:cs="Arial"/>
          <w:i/>
          <w:szCs w:val="24"/>
        </w:rPr>
        <w:t>EL TITULAR DEL PODER EJECUTIVO CUENTA CON GAFETE-CREDENCIAL Y SE LE PUEDE REQUERIR DE FORMA DIRECTA PARA QUE PUEDA ENTREGARSE LA INFORMACIÓN SOLICITADA DE MI PARTE. SOLICITO LA SUPLENCIA DE LA QUEJA</w:t>
      </w:r>
      <w:r w:rsidRPr="00462A7A">
        <w:rPr>
          <w:rFonts w:ascii="Palatino Linotype" w:hAnsi="Palatino Linotype" w:cs="Arial"/>
          <w:i/>
          <w:szCs w:val="24"/>
        </w:rPr>
        <w:t>” [Sic]</w:t>
      </w:r>
    </w:p>
    <w:p w:rsidR="00E65AE8" w:rsidRPr="00F92D09" w:rsidRDefault="00E65AE8" w:rsidP="00824894">
      <w:pPr>
        <w:pStyle w:val="Sinespaciado"/>
        <w:spacing w:line="360" w:lineRule="auto"/>
        <w:jc w:val="both"/>
        <w:rPr>
          <w:rFonts w:ascii="Palatino Linotype" w:hAnsi="Palatino Linotype"/>
          <w:sz w:val="24"/>
          <w:szCs w:val="24"/>
        </w:rPr>
      </w:pPr>
    </w:p>
    <w:p w:rsidR="00997712" w:rsidRDefault="00F92D09" w:rsidP="00824894">
      <w:pPr>
        <w:pStyle w:val="Sinespaciado"/>
        <w:spacing w:line="360" w:lineRule="auto"/>
        <w:jc w:val="both"/>
        <w:rPr>
          <w:rFonts w:ascii="Palatino Linotype" w:hAnsi="Palatino Linotype"/>
          <w:sz w:val="24"/>
          <w:szCs w:val="24"/>
        </w:rPr>
      </w:pPr>
      <w:r w:rsidRPr="00F92D09">
        <w:rPr>
          <w:rFonts w:ascii="Palatino Linotype" w:hAnsi="Palatino Linotype"/>
          <w:sz w:val="24"/>
          <w:szCs w:val="24"/>
        </w:rPr>
        <w:t xml:space="preserve">Por su parte, el </w:t>
      </w:r>
      <w:r w:rsidRPr="00462A7A">
        <w:rPr>
          <w:rFonts w:ascii="Palatino Linotype" w:hAnsi="Palatino Linotype"/>
          <w:b/>
          <w:sz w:val="24"/>
          <w:szCs w:val="24"/>
        </w:rPr>
        <w:t>Sujeto Obligado</w:t>
      </w:r>
      <w:r w:rsidRPr="00F92D09">
        <w:rPr>
          <w:rFonts w:ascii="Palatino Linotype" w:hAnsi="Palatino Linotype"/>
          <w:sz w:val="24"/>
          <w:szCs w:val="24"/>
        </w:rPr>
        <w:t xml:space="preserve"> remitió su Informe Justificado</w:t>
      </w:r>
      <w:r w:rsidR="00997712">
        <w:rPr>
          <w:rFonts w:ascii="Palatino Linotype" w:hAnsi="Palatino Linotype"/>
          <w:sz w:val="24"/>
          <w:szCs w:val="24"/>
        </w:rPr>
        <w:t xml:space="preserve"> en fecha </w:t>
      </w:r>
      <w:r w:rsidR="000C45D0">
        <w:rPr>
          <w:rFonts w:ascii="Palatino Linotype" w:hAnsi="Palatino Linotype"/>
          <w:sz w:val="24"/>
          <w:szCs w:val="24"/>
        </w:rPr>
        <w:t>cuatro de diciembre</w:t>
      </w:r>
      <w:r w:rsidR="00997712">
        <w:rPr>
          <w:rFonts w:ascii="Palatino Linotype" w:hAnsi="Palatino Linotype"/>
          <w:sz w:val="24"/>
          <w:szCs w:val="24"/>
        </w:rPr>
        <w:t xml:space="preserve"> de dos mil dieciocho,</w:t>
      </w:r>
      <w:r w:rsidRPr="00F92D09">
        <w:rPr>
          <w:rFonts w:ascii="Palatino Linotype" w:hAnsi="Palatino Linotype"/>
          <w:sz w:val="24"/>
          <w:szCs w:val="24"/>
        </w:rPr>
        <w:t xml:space="preserve"> en el que </w:t>
      </w:r>
      <w:r w:rsidR="008E7E9A">
        <w:rPr>
          <w:rFonts w:ascii="Palatino Linotype" w:hAnsi="Palatino Linotype"/>
          <w:sz w:val="24"/>
          <w:szCs w:val="24"/>
        </w:rPr>
        <w:t xml:space="preserve">medularmente ratificó su respuesta, </w:t>
      </w:r>
      <w:r w:rsidR="000C45D0">
        <w:rPr>
          <w:rFonts w:ascii="Palatino Linotype" w:hAnsi="Palatino Linotype"/>
          <w:sz w:val="24"/>
          <w:szCs w:val="24"/>
        </w:rPr>
        <w:t>motivo por el cual no se puso a la vista del particular. De igual forma la</w:t>
      </w:r>
      <w:r w:rsidR="000C45D0" w:rsidRPr="000C45D0">
        <w:rPr>
          <w:rFonts w:ascii="Palatino Linotype" w:hAnsi="Palatino Linotype"/>
          <w:sz w:val="24"/>
          <w:szCs w:val="24"/>
        </w:rPr>
        <w:t xml:space="preserve"> </w:t>
      </w:r>
      <w:r w:rsidR="000C45D0" w:rsidRPr="000C45D0">
        <w:rPr>
          <w:rFonts w:ascii="Palatino Linotype" w:hAnsi="Palatino Linotype"/>
          <w:b/>
          <w:sz w:val="24"/>
          <w:szCs w:val="24"/>
        </w:rPr>
        <w:t>Recurrente</w:t>
      </w:r>
      <w:r w:rsidR="000C45D0" w:rsidRPr="000C45D0">
        <w:rPr>
          <w:rFonts w:ascii="Palatino Linotype" w:hAnsi="Palatino Linotype"/>
          <w:sz w:val="24"/>
          <w:szCs w:val="24"/>
        </w:rPr>
        <w:t xml:space="preserve">, en fecha </w:t>
      </w:r>
      <w:r w:rsidR="000C45D0">
        <w:rPr>
          <w:rFonts w:ascii="Palatino Linotype" w:hAnsi="Palatino Linotype"/>
          <w:sz w:val="24"/>
          <w:szCs w:val="24"/>
        </w:rPr>
        <w:t>cuatro de diciembre</w:t>
      </w:r>
      <w:r w:rsidR="000C45D0" w:rsidRPr="000C45D0">
        <w:rPr>
          <w:rFonts w:ascii="Palatino Linotype" w:hAnsi="Palatino Linotype"/>
          <w:sz w:val="24"/>
          <w:szCs w:val="24"/>
        </w:rPr>
        <w:t xml:space="preserve"> de dos mil dieciocho rindió sus manifestaciones a través de los archivos electrónicos de nombre y contenido siguiente</w:t>
      </w:r>
      <w:r w:rsidR="000C45D0">
        <w:rPr>
          <w:rFonts w:ascii="Palatino Linotype" w:hAnsi="Palatino Linotype"/>
          <w:sz w:val="24"/>
          <w:szCs w:val="24"/>
        </w:rPr>
        <w:t>:</w:t>
      </w:r>
    </w:p>
    <w:p w:rsidR="004D6E44" w:rsidRDefault="004D6E44" w:rsidP="00824894">
      <w:pPr>
        <w:pStyle w:val="Sinespaciado"/>
        <w:spacing w:line="360" w:lineRule="auto"/>
        <w:jc w:val="both"/>
        <w:rPr>
          <w:rFonts w:ascii="Palatino Linotype" w:hAnsi="Palatino Linotype"/>
          <w:sz w:val="24"/>
          <w:szCs w:val="24"/>
        </w:rPr>
      </w:pPr>
    </w:p>
    <w:p w:rsidR="004D6E44" w:rsidRDefault="004D6E44" w:rsidP="006B3C3E">
      <w:pPr>
        <w:pStyle w:val="Sinespaciado"/>
        <w:numPr>
          <w:ilvl w:val="0"/>
          <w:numId w:val="11"/>
        </w:numPr>
        <w:spacing w:line="360" w:lineRule="auto"/>
        <w:jc w:val="both"/>
        <w:rPr>
          <w:rFonts w:ascii="Palatino Linotype" w:hAnsi="Palatino Linotype"/>
          <w:sz w:val="24"/>
          <w:szCs w:val="24"/>
        </w:rPr>
      </w:pPr>
      <w:r w:rsidRPr="004D6E44">
        <w:rPr>
          <w:rFonts w:ascii="Palatino Linotype" w:hAnsi="Palatino Linotype"/>
          <w:b/>
          <w:sz w:val="24"/>
          <w:szCs w:val="24"/>
        </w:rPr>
        <w:t>oct191.PDF</w:t>
      </w:r>
      <w:r>
        <w:rPr>
          <w:rFonts w:ascii="Palatino Linotype" w:hAnsi="Palatino Linotype"/>
          <w:b/>
          <w:sz w:val="24"/>
          <w:szCs w:val="24"/>
        </w:rPr>
        <w:t xml:space="preserve">: </w:t>
      </w:r>
      <w:r>
        <w:rPr>
          <w:rFonts w:ascii="Palatino Linotype" w:hAnsi="Palatino Linotype"/>
          <w:sz w:val="24"/>
          <w:szCs w:val="24"/>
        </w:rPr>
        <w:t xml:space="preserve">archivo electrónico que </w:t>
      </w:r>
      <w:r w:rsidR="00A66A92">
        <w:rPr>
          <w:rFonts w:ascii="Palatino Linotype" w:hAnsi="Palatino Linotype"/>
          <w:sz w:val="24"/>
          <w:szCs w:val="24"/>
        </w:rPr>
        <w:t xml:space="preserve">contiene la Gaceta de Gobierno No. 75 publicada en el Periódico Oficial del Gobierno del Estado Libre y Soberano de </w:t>
      </w:r>
      <w:r w:rsidR="00A66A92">
        <w:rPr>
          <w:rFonts w:ascii="Palatino Linotype" w:hAnsi="Palatino Linotype"/>
          <w:sz w:val="24"/>
          <w:szCs w:val="24"/>
        </w:rPr>
        <w:lastRenderedPageBreak/>
        <w:t>México de fecha 19 de octubre de 2011</w:t>
      </w:r>
      <w:r w:rsidR="006B3C3E">
        <w:rPr>
          <w:rFonts w:ascii="Palatino Linotype" w:hAnsi="Palatino Linotype"/>
          <w:sz w:val="24"/>
          <w:szCs w:val="24"/>
        </w:rPr>
        <w:t>, la cual contiene el Acuerdo</w:t>
      </w:r>
      <w:r w:rsidR="006B3C3E" w:rsidRPr="006B3C3E">
        <w:rPr>
          <w:rFonts w:ascii="Palatino Linotype" w:hAnsi="Palatino Linotype"/>
          <w:sz w:val="24"/>
          <w:szCs w:val="24"/>
        </w:rPr>
        <w:t xml:space="preserve"> del Pleno del Instituto de Transparencia y Acceso a la Información Pública del Estado de México y Municipios por</w:t>
      </w:r>
      <w:r w:rsidR="006B3C3E">
        <w:rPr>
          <w:rFonts w:ascii="Palatino Linotype" w:hAnsi="Palatino Linotype"/>
          <w:sz w:val="24"/>
          <w:szCs w:val="24"/>
        </w:rPr>
        <w:t xml:space="preserve"> </w:t>
      </w:r>
      <w:r w:rsidR="006B3C3E" w:rsidRPr="006B3C3E">
        <w:rPr>
          <w:rFonts w:ascii="Palatino Linotype" w:hAnsi="Palatino Linotype"/>
          <w:sz w:val="24"/>
          <w:szCs w:val="24"/>
        </w:rPr>
        <w:t>el cual aprueba el "Criterio de Interpretación en el orden administrativo</w:t>
      </w:r>
      <w:r w:rsidR="006B3C3E">
        <w:rPr>
          <w:rFonts w:ascii="Palatino Linotype" w:hAnsi="Palatino Linotype"/>
          <w:sz w:val="24"/>
          <w:szCs w:val="24"/>
        </w:rPr>
        <w:t xml:space="preserve"> con número “0002-11”, del cual, la Recurrente manifestó lo siguiente:</w:t>
      </w:r>
    </w:p>
    <w:p w:rsidR="006B3C3E" w:rsidRDefault="006B3C3E" w:rsidP="002A5837">
      <w:pPr>
        <w:pStyle w:val="Sinespaciado"/>
        <w:numPr>
          <w:ilvl w:val="1"/>
          <w:numId w:val="11"/>
        </w:numPr>
        <w:spacing w:after="360"/>
        <w:ind w:left="1434" w:hanging="357"/>
        <w:jc w:val="both"/>
        <w:rPr>
          <w:rFonts w:ascii="Palatino Linotype" w:hAnsi="Palatino Linotype"/>
          <w:sz w:val="24"/>
          <w:szCs w:val="24"/>
        </w:rPr>
      </w:pPr>
      <w:r w:rsidRPr="006B3C3E">
        <w:rPr>
          <w:rFonts w:ascii="Palatino Linotype" w:hAnsi="Palatino Linotype"/>
          <w:sz w:val="24"/>
          <w:szCs w:val="24"/>
        </w:rPr>
        <w:t>“</w:t>
      </w:r>
      <w:r w:rsidRPr="006B3C3E">
        <w:rPr>
          <w:rFonts w:ascii="Palatino Linotype" w:hAnsi="Palatino Linotype"/>
        </w:rPr>
        <w:t xml:space="preserve">EL CRITERIO 0002-11 EMITIDO POR EL PLENO DEL INFOEM, (VER ARCHIVO ADJUNTO) ESTABLECE QUE ES DEBER PARA LOS SUJETOS OBLIGADOS ENTREGAR INFORMACIÓN PÚBLICA REGISTRADA EN CUALQUIER SOPORTE DOCUMENTAL, ADMINISTRADA POR LOS SUJETOS OBLIGADOS Y/O INFORMACION REGISTRAD EN CUALQUIER SOPORTE DOCUMENTAL SE ENCUENTRE EN POSESION DE LOS SUJETOS OBLIGADOS. ES ASÍ QUE EN EL EJERCICIO DEL SERVICIO PÚBLICO, CADA SERVIDOR PÚBLICO DEBE PORTAR SU GAFETE-CREDENCIAL AL DESARROLLAR SUS ACTIVIDADES EN LA INSTITUCION, Y BAJO LA PREMISA DE QUE ES DEBER DE LOS SERVIDORES PÚBLICOS DE MENOR RANGO, ACCEDER A TRABAJAR, CON SU GAFETE-CREDNCIAL, TAMBIEN LO ES PÁRA LOS DE ALTO RANGO, CUANTO MÁS PARA AL PROPIO TITULAR DEL PODER EJECUTIVO ESTATAL, ES ENTONCES, QUE IMAGINANDO QUE EL PLENO DEL INFOEM PUEDE ANALIZAR IMPARCIALMENTE LA PROCEDENCIA D ELA ENTREGA DE LA INFORMACION REQUERIDA INDEPENDIENTEMENTE DE QUE SE TRATE DEL GOBERNADOR, ES QUE SE FORMULA EL PRESENTE RECURSO LEGAL, ADEMAS DE QUE ES UN DOCUMENTO DE UN PERSONAJE PÚBLICO, CUYA LABOR LO ES REPRESENTAR AL PODER EJECUTIVO ESTATAL, AUNADO A ELLO, PIDO CONSIDEREN QUE LOS DERECHOS HUMANOS, COMO LO ES EL DE INFORMACION, TIENEN INHERENTE EL PRINCIPIO DE PROGRESIVIDAD, ESTO ES, UNA EVOLUCIÓN A AMPLIARLOS, Y CUANTO MAS AL TRATARSE DE UN DOCUMENTO COMO LOE S EL GAFETE-CREDENCIAL QUE POR SI MISMO, ES DE NATURALEZA PÚBLICA. ASIMISMO, ES DE SUBRAYAR, QUE CONFORME AL ARTICULO 59 DE LA LEY DE TRANSPARENCIA Y ACCESO A LA INFORMACIÓN PÚBLICA DEL ESTADO DE MÉXICO Y MUNICIPIOS, EL SERVIDOR PÚBLICO HABILITADO ESATA EN POSIBILIDAD DE REQUERIRLE AL TITULAR DEL PODER EJECUTIVO ESTATAL LE PROPORCIONE SU GAFETE-CREDENCIAL , A FIN DE ENTREGAR LA INFORMACIÓN </w:t>
      </w:r>
      <w:r w:rsidRPr="006B3C3E">
        <w:rPr>
          <w:rFonts w:ascii="Palatino Linotype" w:hAnsi="Palatino Linotype"/>
        </w:rPr>
        <w:lastRenderedPageBreak/>
        <w:t>SOLICITADA, ES DECIR, DECIRLÑE AL GOBERNADOR: ME PRESTA SU GAFETE-CREDENCIAL PARA ENTREGAR LA INFORMACION PÚBLICA SOLICITADA POR UN PARTICULAR VIA SAIMEX, POR FAVOR, Y ESTO HAGA PALPABLE EL EJERCICIO CABAL DE ACCESO A LA INFORMACION, ES DECIR, NO ES ALGO IMPOSIBLE DE REALIZAR, ES HUMANAMENTE POSIBLE, ADEMAS EL GOBERNADOR HA DADO MUESTRAS DE SER RESPETUSO DE LAS LIBERTADES Y EJERCICIO PLENO DE LOS DERECHOS HUMANOS, ES POR TANTO, PIDO AL PLENO, REVOQUE LA RESPUESTA DEL SUJETO OBLIGADO, Y LE PIDA, EMITIR UNO NUEVO DONDE HAGA ENTREGA DE LA INFORMACIÓN REQUERIDA</w:t>
      </w:r>
      <w:r w:rsidRPr="006B3C3E">
        <w:rPr>
          <w:rFonts w:ascii="Palatino Linotype" w:hAnsi="Palatino Linotype"/>
          <w:sz w:val="24"/>
          <w:szCs w:val="24"/>
        </w:rPr>
        <w:t>” [Sic]</w:t>
      </w:r>
    </w:p>
    <w:p w:rsidR="00EF3258" w:rsidRDefault="00EF3258" w:rsidP="00EF3258">
      <w:pPr>
        <w:pStyle w:val="Sinespaciado"/>
        <w:spacing w:after="120"/>
        <w:ind w:left="1434"/>
        <w:jc w:val="both"/>
        <w:rPr>
          <w:rFonts w:ascii="Palatino Linotype" w:hAnsi="Palatino Linotype"/>
          <w:sz w:val="24"/>
          <w:szCs w:val="24"/>
        </w:rPr>
      </w:pPr>
    </w:p>
    <w:p w:rsidR="002A5837" w:rsidRPr="00555A33" w:rsidRDefault="00555A33" w:rsidP="00EF3258">
      <w:pPr>
        <w:pStyle w:val="Sinespaciado"/>
        <w:numPr>
          <w:ilvl w:val="0"/>
          <w:numId w:val="11"/>
        </w:numPr>
        <w:spacing w:before="240" w:line="360" w:lineRule="auto"/>
        <w:ind w:left="714" w:hanging="357"/>
        <w:jc w:val="both"/>
        <w:rPr>
          <w:rFonts w:ascii="Palatino Linotype" w:hAnsi="Palatino Linotype"/>
          <w:b/>
          <w:sz w:val="24"/>
          <w:szCs w:val="24"/>
        </w:rPr>
      </w:pPr>
      <w:r>
        <w:rPr>
          <w:rFonts w:ascii="Palatino Linotype" w:hAnsi="Palatino Linotype"/>
          <w:b/>
          <w:noProof/>
          <w:sz w:val="24"/>
          <w:szCs w:val="24"/>
          <w:lang w:eastAsia="es-MX"/>
        </w:rPr>
        <mc:AlternateContent>
          <mc:Choice Requires="wps">
            <w:drawing>
              <wp:anchor distT="0" distB="0" distL="114300" distR="114300" simplePos="0" relativeHeight="251672576" behindDoc="0" locked="0" layoutInCell="1" allowOverlap="1">
                <wp:simplePos x="0" y="0"/>
                <wp:positionH relativeFrom="column">
                  <wp:posOffset>47625</wp:posOffset>
                </wp:positionH>
                <wp:positionV relativeFrom="paragraph">
                  <wp:posOffset>1129030</wp:posOffset>
                </wp:positionV>
                <wp:extent cx="5608320" cy="3665220"/>
                <wp:effectExtent l="0" t="0" r="68580" b="49530"/>
                <wp:wrapNone/>
                <wp:docPr id="20" name="Conector recto de flecha 20"/>
                <wp:cNvGraphicFramePr/>
                <a:graphic xmlns:a="http://schemas.openxmlformats.org/drawingml/2006/main">
                  <a:graphicData uri="http://schemas.microsoft.com/office/word/2010/wordprocessingShape">
                    <wps:wsp>
                      <wps:cNvCnPr/>
                      <wps:spPr>
                        <a:xfrm>
                          <a:off x="0" y="0"/>
                          <a:ext cx="5608320" cy="36652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19B64E" id="_x0000_t32" coordsize="21600,21600" o:spt="32" o:oned="t" path="m,l21600,21600e" filled="f">
                <v:path arrowok="t" fillok="f" o:connecttype="none"/>
                <o:lock v:ext="edit" shapetype="t"/>
              </v:shapetype>
              <v:shape id="Conector recto de flecha 20" o:spid="_x0000_s1026" type="#_x0000_t32" style="position:absolute;margin-left:3.75pt;margin-top:88.9pt;width:441.6pt;height:28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" strokecolor="#5b9bd5 [3204]" strokeweight=".5pt">
                <v:stroke endarrow="block" joinstyle="miter"/>
              </v:shape>
            </w:pict>
          </mc:Fallback>
        </mc:AlternateContent>
      </w:r>
      <w:r w:rsidR="002A5837" w:rsidRPr="002A5837">
        <w:rPr>
          <w:rFonts w:ascii="Palatino Linotype" w:hAnsi="Palatino Linotype"/>
          <w:b/>
          <w:sz w:val="24"/>
          <w:szCs w:val="24"/>
        </w:rPr>
        <w:t>JURISPRUDENCIA.pdf</w:t>
      </w:r>
      <w:r w:rsidR="002A5837">
        <w:rPr>
          <w:rFonts w:ascii="Palatino Linotype" w:hAnsi="Palatino Linotype"/>
          <w:b/>
          <w:sz w:val="24"/>
          <w:szCs w:val="24"/>
        </w:rPr>
        <w:t>:</w:t>
      </w:r>
      <w:r>
        <w:rPr>
          <w:rFonts w:ascii="Palatino Linotype" w:hAnsi="Palatino Linotype"/>
          <w:b/>
          <w:sz w:val="24"/>
          <w:szCs w:val="24"/>
        </w:rPr>
        <w:t xml:space="preserve"> </w:t>
      </w:r>
      <w:r>
        <w:rPr>
          <w:rFonts w:ascii="Palatino Linotype" w:hAnsi="Palatino Linotype"/>
          <w:sz w:val="24"/>
          <w:szCs w:val="24"/>
        </w:rPr>
        <w:t>archivo electrónico que contiene la tesis jurisprudencial que a continuación se inserta:</w:t>
      </w:r>
    </w:p>
    <w:p w:rsidR="00555A33" w:rsidRPr="002A5837" w:rsidRDefault="00555A33" w:rsidP="00EF3233">
      <w:pPr>
        <w:pStyle w:val="Sinespaciado"/>
        <w:jc w:val="center"/>
        <w:rPr>
          <w:rFonts w:ascii="Palatino Linotype" w:hAnsi="Palatino Linotype"/>
          <w:b/>
          <w:sz w:val="24"/>
          <w:szCs w:val="24"/>
        </w:rPr>
      </w:pPr>
      <w:r>
        <w:rPr>
          <w:rFonts w:ascii="Palatino Linotype" w:hAnsi="Palatino Linotype"/>
          <w:b/>
          <w:noProof/>
          <w:sz w:val="24"/>
          <w:szCs w:val="24"/>
          <w:lang w:eastAsia="es-MX"/>
        </w:rPr>
        <w:lastRenderedPageBreak/>
        <w:drawing>
          <wp:inline distT="0" distB="0" distL="0" distR="0">
            <wp:extent cx="4777740" cy="5440680"/>
            <wp:effectExtent l="190500" t="190500" r="194310" b="19812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7740" cy="5440680"/>
                    </a:xfrm>
                    <a:prstGeom prst="rect">
                      <a:avLst/>
                    </a:prstGeom>
                    <a:noFill/>
                    <a:ln>
                      <a:noFill/>
                    </a:ln>
                    <a:effectLst>
                      <a:outerShdw blurRad="190500" algn="ctr" rotWithShape="0">
                        <a:prstClr val="black">
                          <a:alpha val="70000"/>
                        </a:prstClr>
                      </a:outerShdw>
                    </a:effectLst>
                  </pic:spPr>
                </pic:pic>
              </a:graphicData>
            </a:graphic>
          </wp:inline>
        </w:drawing>
      </w:r>
    </w:p>
    <w:p w:rsidR="00555A33" w:rsidRDefault="00555A33" w:rsidP="00555A33">
      <w:pPr>
        <w:pStyle w:val="Sinespaciado"/>
        <w:tabs>
          <w:tab w:val="left" w:pos="228"/>
          <w:tab w:val="left" w:pos="1260"/>
        </w:tabs>
        <w:spacing w:line="360" w:lineRule="auto"/>
        <w:jc w:val="both"/>
        <w:rPr>
          <w:rFonts w:ascii="Palatino Linotype" w:hAnsi="Palatino Linotype"/>
          <w:sz w:val="24"/>
          <w:szCs w:val="24"/>
        </w:rPr>
      </w:pPr>
      <w:r>
        <w:rPr>
          <w:rFonts w:ascii="Palatino Linotype" w:hAnsi="Palatino Linotype"/>
          <w:sz w:val="24"/>
          <w:szCs w:val="24"/>
        </w:rPr>
        <w:tab/>
        <w:t xml:space="preserve">Documento del cual </w:t>
      </w:r>
      <w:r w:rsidRPr="00555A33">
        <w:rPr>
          <w:rFonts w:ascii="Palatino Linotype" w:hAnsi="Palatino Linotype"/>
          <w:sz w:val="24"/>
          <w:szCs w:val="24"/>
        </w:rPr>
        <w:t xml:space="preserve">la </w:t>
      </w:r>
      <w:r w:rsidRPr="003A2535">
        <w:rPr>
          <w:rFonts w:ascii="Palatino Linotype" w:hAnsi="Palatino Linotype"/>
          <w:b/>
          <w:sz w:val="24"/>
          <w:szCs w:val="24"/>
        </w:rPr>
        <w:t>Recurrente</w:t>
      </w:r>
      <w:r w:rsidRPr="00555A33">
        <w:rPr>
          <w:rFonts w:ascii="Palatino Linotype" w:hAnsi="Palatino Linotype"/>
          <w:sz w:val="24"/>
          <w:szCs w:val="24"/>
        </w:rPr>
        <w:t xml:space="preserve"> manifestó lo siguiente:</w:t>
      </w:r>
    </w:p>
    <w:p w:rsidR="008C7589" w:rsidRDefault="00555A33" w:rsidP="00FE1E24">
      <w:pPr>
        <w:tabs>
          <w:tab w:val="left" w:pos="851"/>
        </w:tabs>
        <w:spacing w:line="240" w:lineRule="auto"/>
        <w:ind w:left="851" w:right="851"/>
        <w:jc w:val="both"/>
        <w:rPr>
          <w:rFonts w:ascii="Palatino Linotype" w:hAnsi="Palatino Linotype" w:cs="Arial"/>
          <w:i/>
          <w:szCs w:val="24"/>
        </w:rPr>
      </w:pPr>
      <w:r w:rsidRPr="00462A7A">
        <w:rPr>
          <w:rFonts w:ascii="Palatino Linotype" w:hAnsi="Palatino Linotype" w:cs="Arial"/>
          <w:i/>
          <w:szCs w:val="24"/>
        </w:rPr>
        <w:t>“</w:t>
      </w:r>
      <w:r w:rsidR="00FE1E24" w:rsidRPr="00FE1E24">
        <w:rPr>
          <w:rFonts w:ascii="Palatino Linotype" w:hAnsi="Palatino Linotype" w:cs="Arial"/>
          <w:i/>
          <w:szCs w:val="24"/>
        </w:rPr>
        <w:t xml:space="preserve">Época: Décima Época Registro: 2001445 Instancia: Segunda Sala Tipo de Tesis: Jurisprudencia Fuente: Semanario Judicial de la Federación y su Gaceta Libro XI, Agosto de 2012, Tomo 1 Materia(s): Laboral Tesis: 2a./J. 77/2012 (10a.) Página: 756 PRUEBA DOCUMENTAL EN UN JUICIO LABORAL CONSISTENTE EN CREDENCIAL O GAFETE. SI NO ES OBJETADA Y DESVIRTUADA POR EL PATRÓN, ES APTA PARA PRESUMIR LA RELACIÓN LABORAL. De los artículos 20, 21, 776, 784, 804, 805 y 830 al 834 de la Ley Federal del Trabajo se </w:t>
      </w:r>
      <w:r w:rsidR="00FE1E24" w:rsidRPr="00FE1E24">
        <w:rPr>
          <w:rFonts w:ascii="Palatino Linotype" w:hAnsi="Palatino Linotype" w:cs="Arial"/>
          <w:i/>
          <w:szCs w:val="24"/>
        </w:rPr>
        <w:lastRenderedPageBreak/>
        <w:t>infiere que si el actor, para acreditar la relación laboral cuya existencia niega el patrón, exhibe como prueba la documental consistente en la credencial o gafete que lo acredita como su trabajador, sin que aquél la objete o demuestre su objeción en cuanto a su contenido y firma, y de su análisis la Junta advierte diversos datos de identificación que lo vinculan laboralmente con aquél, dicha probanza resulta apta para demostrar la prestación de un trabajo personal y, por ende, para presumir la existencia de la relación laboral; sin embargo, en términos del artículo 21 de la Ley Federal del Trabajo tal presunción admite prueba en contrario, por lo que el valor probatorio que se le otorgue, debe sujetarse al análisis conjunto que la Junta realice para, en su caso, determinar si existen elementos probatorios que permitan desvirtuar la presunción mencionada. Época: Novena Época Registro: 162879 Instancia: Tribunales Colegiados de Circuito Tipo de Tesis: Jurisprudencia Fuente: Semanario Judicial de la Federación y su Gaceta Tomo XXXIII, Febrero de 2011 Materia(s): Constitucional Tesis: I.4o.A. J/95 Página: 2027 DERECHO DE PETICIÓN. SU RELACIÓN DE SINERGIA CON EL DERECHO A LA INFORMACIÓN. El derecho de petición consagrado en el artículo 8o. constitucional implica la obligación de las autoridades de dictar a una petición hecha por escrito, esté bien o mal formulada, un acuerdo, también por escrito que debe hacerse saber en breve término al peticionario. Por su parte, el artículo 6o. de la propia Constitución Federal establece que el derecho a la información será garantizado por el Estado. Ambos derechos, reconocidos además en tratados internacionales y leyes reglamentarias, se encuentran vinculados y relacionados en la medida que garantizan a los gobernados el derecho, no sólo a que se les dé respuesta a sus peticiones por escrito y en breve término, sino que se haga con la información completa, veraz y oportuna de que disponga o razonablemente deba disponer la autoridad, lo que constituye un derecho fundamental tanto de los individuos como de la sociedad. Criterio 1/2010 SOLICITUD DE ACCESO A LA INFORMACIÓN. SU OTORGAMIENTO ES RESPECTO DE AQUELLA QUE EXISTA Y SE HUBIESE GENERADO AL MOMENTO DE LA PETICIÓN. 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información de tal naturaleza, al tenor del artículo 6° constitucional, que dispone que la garantía del acceso a la información lo es respecto de aquella que se encuentre en posesión de cualquier autoridad, entidad, órgano y organismo federal, estatal y municipal, principio que se reitera en el artículo 1° de la Ley Federal de Transparencia y Acceso a la Información Pública Gubernamental.</w:t>
      </w:r>
      <w:r w:rsidRPr="00462A7A">
        <w:rPr>
          <w:rFonts w:ascii="Palatino Linotype" w:hAnsi="Palatino Linotype" w:cs="Arial"/>
          <w:i/>
          <w:szCs w:val="24"/>
        </w:rPr>
        <w:t>” [Sic]</w:t>
      </w:r>
    </w:p>
    <w:p w:rsidR="00FE1E24" w:rsidRPr="00FE1E24" w:rsidRDefault="00FE1E24" w:rsidP="00FE1E24">
      <w:pPr>
        <w:tabs>
          <w:tab w:val="left" w:pos="851"/>
        </w:tabs>
        <w:spacing w:line="240" w:lineRule="auto"/>
        <w:ind w:left="851" w:right="851"/>
        <w:jc w:val="both"/>
        <w:rPr>
          <w:rFonts w:ascii="Palatino Linotype" w:hAnsi="Palatino Linotype" w:cs="Arial"/>
          <w:sz w:val="24"/>
          <w:szCs w:val="24"/>
        </w:rPr>
      </w:pPr>
    </w:p>
    <w:p w:rsidR="008C119D" w:rsidRDefault="008C119D" w:rsidP="00824894">
      <w:pPr>
        <w:pStyle w:val="Sinespaciado"/>
        <w:spacing w:line="360" w:lineRule="auto"/>
        <w:jc w:val="both"/>
        <w:rPr>
          <w:rFonts w:ascii="Palatino Linotype" w:hAnsi="Palatino Linotype"/>
          <w:sz w:val="24"/>
          <w:szCs w:val="24"/>
        </w:rPr>
      </w:pPr>
      <w:r w:rsidRPr="008C119D">
        <w:rPr>
          <w:rFonts w:ascii="Palatino Linotype" w:hAnsi="Palatino Linotype"/>
          <w:sz w:val="24"/>
          <w:szCs w:val="24"/>
        </w:rPr>
        <w:lastRenderedPageBreak/>
        <w:t>En primera instancia, es necesario hacer referencia a los motivos o razones</w:t>
      </w:r>
      <w:r w:rsidR="00AA4C3B">
        <w:rPr>
          <w:rFonts w:ascii="Palatino Linotype" w:hAnsi="Palatino Linotype"/>
          <w:sz w:val="24"/>
          <w:szCs w:val="24"/>
        </w:rPr>
        <w:t xml:space="preserve"> de inconformidad que expresa la</w:t>
      </w:r>
      <w:r w:rsidRPr="008C119D">
        <w:rPr>
          <w:rFonts w:ascii="Palatino Linotype" w:hAnsi="Palatino Linotype"/>
          <w:sz w:val="24"/>
          <w:szCs w:val="24"/>
        </w:rPr>
        <w:t xml:space="preserve"> </w:t>
      </w:r>
      <w:r w:rsidRPr="008C119D">
        <w:rPr>
          <w:rFonts w:ascii="Palatino Linotype" w:hAnsi="Palatino Linotype"/>
          <w:b/>
          <w:sz w:val="24"/>
          <w:szCs w:val="24"/>
        </w:rPr>
        <w:t>Recurrente</w:t>
      </w:r>
      <w:r w:rsidRPr="008C119D">
        <w:rPr>
          <w:rFonts w:ascii="Palatino Linotype" w:hAnsi="Palatino Linotype"/>
          <w:sz w:val="24"/>
          <w:szCs w:val="24"/>
        </w:rPr>
        <w:t>, los cuales adminiculados con el acto impugnado, señalan que</w:t>
      </w:r>
      <w:r w:rsidR="005535C0">
        <w:rPr>
          <w:rFonts w:ascii="Palatino Linotype" w:hAnsi="Palatino Linotype"/>
          <w:sz w:val="24"/>
          <w:szCs w:val="24"/>
        </w:rPr>
        <w:t xml:space="preserve"> </w:t>
      </w:r>
      <w:r w:rsidR="00BD3AB3">
        <w:rPr>
          <w:rFonts w:ascii="Palatino Linotype" w:hAnsi="Palatino Linotype"/>
          <w:sz w:val="24"/>
          <w:szCs w:val="24"/>
        </w:rPr>
        <w:t>el Titular del Poder Ejecutivo, cuenta con gafete-credencial y se le puede requerir de forma directa para ser entregado</w:t>
      </w:r>
      <w:r>
        <w:rPr>
          <w:rFonts w:ascii="Palatino Linotype" w:hAnsi="Palatino Linotype"/>
          <w:sz w:val="24"/>
          <w:szCs w:val="24"/>
        </w:rPr>
        <w:t>.</w:t>
      </w:r>
    </w:p>
    <w:p w:rsidR="008C119D" w:rsidRDefault="008C119D" w:rsidP="00824894">
      <w:pPr>
        <w:pStyle w:val="Sinespaciado"/>
        <w:spacing w:line="360" w:lineRule="auto"/>
        <w:jc w:val="both"/>
        <w:rPr>
          <w:rFonts w:ascii="Palatino Linotype" w:hAnsi="Palatino Linotype"/>
          <w:sz w:val="24"/>
          <w:szCs w:val="24"/>
        </w:rPr>
      </w:pPr>
    </w:p>
    <w:p w:rsidR="008C119D" w:rsidRDefault="008E7E9A" w:rsidP="008C119D">
      <w:pPr>
        <w:pStyle w:val="Sinespaciado"/>
        <w:spacing w:line="360" w:lineRule="auto"/>
        <w:jc w:val="both"/>
        <w:rPr>
          <w:rFonts w:ascii="Palatino Linotype" w:hAnsi="Palatino Linotype"/>
          <w:sz w:val="24"/>
          <w:szCs w:val="24"/>
        </w:rPr>
      </w:pPr>
      <w:r>
        <w:rPr>
          <w:rFonts w:ascii="Palatino Linotype" w:hAnsi="Palatino Linotype"/>
          <w:sz w:val="24"/>
          <w:szCs w:val="24"/>
        </w:rPr>
        <w:t>Derivado de lo anterior, t</w:t>
      </w:r>
      <w:r w:rsidR="00E65AE8" w:rsidRPr="00F92D09">
        <w:rPr>
          <w:rFonts w:ascii="Palatino Linotype" w:hAnsi="Palatino Linotype"/>
          <w:sz w:val="24"/>
          <w:szCs w:val="24"/>
        </w:rPr>
        <w:t xml:space="preserve">oda vez que el </w:t>
      </w:r>
      <w:r w:rsidR="00E65AE8" w:rsidRPr="008E7E9A">
        <w:rPr>
          <w:rFonts w:ascii="Palatino Linotype" w:hAnsi="Palatino Linotype"/>
          <w:b/>
          <w:sz w:val="24"/>
          <w:szCs w:val="24"/>
        </w:rPr>
        <w:t>Sujeto Obligado</w:t>
      </w:r>
      <w:r w:rsidR="00E65AE8" w:rsidRPr="00F92D09">
        <w:rPr>
          <w:rFonts w:ascii="Palatino Linotype" w:hAnsi="Palatino Linotype"/>
          <w:sz w:val="24"/>
          <w:szCs w:val="24"/>
        </w:rPr>
        <w:t xml:space="preserve"> manifestó</w:t>
      </w:r>
      <w:r w:rsidR="001E1890">
        <w:rPr>
          <w:rFonts w:ascii="Palatino Linotype" w:hAnsi="Palatino Linotype"/>
          <w:sz w:val="24"/>
          <w:szCs w:val="24"/>
        </w:rPr>
        <w:t xml:space="preserve"> a través de la </w:t>
      </w:r>
      <w:r w:rsidR="001E1890" w:rsidRPr="00230177">
        <w:rPr>
          <w:rFonts w:ascii="Palatino Linotype" w:hAnsi="Palatino Linotype"/>
          <w:sz w:val="24"/>
          <w:szCs w:val="24"/>
        </w:rPr>
        <w:t>Servidor</w:t>
      </w:r>
      <w:r w:rsidR="001E1890">
        <w:rPr>
          <w:rFonts w:ascii="Palatino Linotype" w:hAnsi="Palatino Linotype"/>
          <w:sz w:val="24"/>
          <w:szCs w:val="24"/>
        </w:rPr>
        <w:t>a Pública Habilitada y Encargada de Protección de Datos Personales</w:t>
      </w:r>
      <w:r w:rsidR="001E1890" w:rsidRPr="00230177">
        <w:rPr>
          <w:rFonts w:ascii="Palatino Linotype" w:hAnsi="Palatino Linotype"/>
          <w:sz w:val="24"/>
          <w:szCs w:val="24"/>
        </w:rPr>
        <w:t xml:space="preserve"> </w:t>
      </w:r>
      <w:r w:rsidR="001E1890">
        <w:rPr>
          <w:rFonts w:ascii="Palatino Linotype" w:hAnsi="Palatino Linotype"/>
          <w:sz w:val="24"/>
          <w:szCs w:val="24"/>
        </w:rPr>
        <w:t>del Comité</w:t>
      </w:r>
      <w:r w:rsidR="001E1890" w:rsidRPr="00230177">
        <w:rPr>
          <w:rFonts w:ascii="Palatino Linotype" w:hAnsi="Palatino Linotype"/>
          <w:sz w:val="24"/>
          <w:szCs w:val="24"/>
        </w:rPr>
        <w:t xml:space="preserve"> de Transparencia</w:t>
      </w:r>
      <w:r w:rsidR="001E1890">
        <w:rPr>
          <w:rFonts w:ascii="Palatino Linotype" w:hAnsi="Palatino Linotype"/>
          <w:sz w:val="24"/>
          <w:szCs w:val="24"/>
        </w:rPr>
        <w:t xml:space="preserve"> de la Gubernatura,</w:t>
      </w:r>
      <w:r w:rsidR="00E65AE8" w:rsidRPr="00F92D09">
        <w:rPr>
          <w:rFonts w:ascii="Palatino Linotype" w:hAnsi="Palatino Linotype"/>
          <w:sz w:val="24"/>
          <w:szCs w:val="24"/>
        </w:rPr>
        <w:t xml:space="preserve"> que </w:t>
      </w:r>
      <w:r w:rsidR="00FC09E3">
        <w:rPr>
          <w:rFonts w:ascii="Palatino Linotype" w:hAnsi="Palatino Linotype"/>
          <w:sz w:val="24"/>
          <w:szCs w:val="24"/>
        </w:rPr>
        <w:t>después de realizada</w:t>
      </w:r>
      <w:r w:rsidR="00BD3AB3">
        <w:rPr>
          <w:rFonts w:ascii="Palatino Linotype" w:hAnsi="Palatino Linotype"/>
          <w:sz w:val="24"/>
          <w:szCs w:val="24"/>
        </w:rPr>
        <w:t xml:space="preserve"> una búsqueda exhaustiva y razonable en </w:t>
      </w:r>
      <w:r w:rsidR="001E1890">
        <w:rPr>
          <w:rFonts w:ascii="Palatino Linotype" w:hAnsi="Palatino Linotype"/>
          <w:sz w:val="24"/>
          <w:szCs w:val="24"/>
        </w:rPr>
        <w:t>sus archivos</w:t>
      </w:r>
      <w:r w:rsidR="00FC09E3">
        <w:rPr>
          <w:rFonts w:ascii="Palatino Linotype" w:hAnsi="Palatino Linotype"/>
          <w:sz w:val="24"/>
          <w:szCs w:val="24"/>
        </w:rPr>
        <w:t>,</w:t>
      </w:r>
      <w:r w:rsidR="00BD3AB3">
        <w:rPr>
          <w:rFonts w:ascii="Palatino Linotype" w:hAnsi="Palatino Linotype"/>
          <w:sz w:val="24"/>
          <w:szCs w:val="24"/>
        </w:rPr>
        <w:t xml:space="preserve"> no se encontró copia del gafete credencial del Servidor Púbico Alfredo del Mazo Maza</w:t>
      </w:r>
      <w:r w:rsidR="00E65AE8">
        <w:rPr>
          <w:rFonts w:ascii="Palatino Linotype" w:hAnsi="Palatino Linotype"/>
          <w:sz w:val="24"/>
          <w:szCs w:val="24"/>
        </w:rPr>
        <w:t xml:space="preserve">, el presente estudió versará </w:t>
      </w:r>
      <w:r w:rsidR="00401C86">
        <w:rPr>
          <w:rFonts w:ascii="Palatino Linotype" w:hAnsi="Palatino Linotype"/>
          <w:sz w:val="24"/>
          <w:szCs w:val="24"/>
        </w:rPr>
        <w:t>sobre si</w:t>
      </w:r>
      <w:r w:rsidR="00E65AE8">
        <w:rPr>
          <w:rFonts w:ascii="Palatino Linotype" w:hAnsi="Palatino Linotype"/>
          <w:sz w:val="24"/>
          <w:szCs w:val="24"/>
        </w:rPr>
        <w:t xml:space="preserve"> el </w:t>
      </w:r>
      <w:r w:rsidR="00E65AE8" w:rsidRPr="00401C86">
        <w:rPr>
          <w:rFonts w:ascii="Palatino Linotype" w:hAnsi="Palatino Linotype"/>
          <w:b/>
          <w:sz w:val="24"/>
          <w:szCs w:val="24"/>
        </w:rPr>
        <w:t>Sujeto Obligado</w:t>
      </w:r>
      <w:r w:rsidR="008C119D">
        <w:rPr>
          <w:rFonts w:ascii="Palatino Linotype" w:hAnsi="Palatino Linotype"/>
          <w:b/>
          <w:sz w:val="24"/>
          <w:szCs w:val="24"/>
        </w:rPr>
        <w:t xml:space="preserve"> </w:t>
      </w:r>
      <w:r w:rsidR="008C119D">
        <w:rPr>
          <w:rFonts w:ascii="Palatino Linotype" w:hAnsi="Palatino Linotype"/>
          <w:sz w:val="24"/>
          <w:szCs w:val="24"/>
        </w:rPr>
        <w:t xml:space="preserve">genera, administra, o posee </w:t>
      </w:r>
      <w:r w:rsidR="00AA4C3B">
        <w:rPr>
          <w:rFonts w:ascii="Palatino Linotype" w:hAnsi="Palatino Linotype"/>
          <w:sz w:val="24"/>
          <w:szCs w:val="24"/>
        </w:rPr>
        <w:t>la información solicitada por la</w:t>
      </w:r>
      <w:r w:rsidR="008C119D">
        <w:rPr>
          <w:rFonts w:ascii="Palatino Linotype" w:hAnsi="Palatino Linotype"/>
          <w:sz w:val="24"/>
          <w:szCs w:val="24"/>
        </w:rPr>
        <w:t xml:space="preserve"> hoy </w:t>
      </w:r>
      <w:r w:rsidR="008C119D" w:rsidRPr="008C119D">
        <w:rPr>
          <w:rFonts w:ascii="Palatino Linotype" w:hAnsi="Palatino Linotype"/>
          <w:b/>
          <w:sz w:val="24"/>
          <w:szCs w:val="24"/>
        </w:rPr>
        <w:t>Recurrente</w:t>
      </w:r>
      <w:r w:rsidR="008C119D">
        <w:rPr>
          <w:rFonts w:ascii="Palatino Linotype" w:hAnsi="Palatino Linotype"/>
          <w:sz w:val="24"/>
          <w:szCs w:val="24"/>
        </w:rPr>
        <w:t>.</w:t>
      </w:r>
    </w:p>
    <w:p w:rsidR="00E65AE8" w:rsidRDefault="00E65AE8" w:rsidP="00824894">
      <w:pPr>
        <w:pStyle w:val="Sinespaciado"/>
        <w:spacing w:line="360" w:lineRule="auto"/>
        <w:jc w:val="both"/>
        <w:rPr>
          <w:rFonts w:ascii="Palatino Linotype" w:hAnsi="Palatino Linotype"/>
          <w:sz w:val="24"/>
          <w:szCs w:val="24"/>
        </w:rPr>
      </w:pPr>
    </w:p>
    <w:p w:rsidR="00DA6917" w:rsidRDefault="00A76010" w:rsidP="00824894">
      <w:pPr>
        <w:pStyle w:val="Sinespaciado"/>
        <w:spacing w:line="360" w:lineRule="auto"/>
        <w:jc w:val="both"/>
        <w:rPr>
          <w:rFonts w:ascii="Palatino Linotype" w:hAnsi="Palatino Linotype"/>
          <w:sz w:val="24"/>
          <w:szCs w:val="24"/>
        </w:rPr>
      </w:pPr>
      <w:r>
        <w:rPr>
          <w:rFonts w:ascii="Palatino Linotype" w:hAnsi="Palatino Linotype"/>
          <w:sz w:val="24"/>
          <w:szCs w:val="24"/>
        </w:rPr>
        <w:t>A hora bien, d</w:t>
      </w:r>
      <w:r w:rsidR="00DA6917">
        <w:rPr>
          <w:rFonts w:ascii="Palatino Linotype" w:hAnsi="Palatino Linotype"/>
          <w:sz w:val="24"/>
          <w:szCs w:val="24"/>
        </w:rPr>
        <w:t xml:space="preserve">e lo manifestado por el </w:t>
      </w:r>
      <w:r w:rsidR="00DA6917" w:rsidRPr="00A76010">
        <w:rPr>
          <w:rFonts w:ascii="Palatino Linotype" w:hAnsi="Palatino Linotype"/>
          <w:b/>
          <w:sz w:val="24"/>
          <w:szCs w:val="24"/>
        </w:rPr>
        <w:t>Sujeto Obligado</w:t>
      </w:r>
      <w:r w:rsidR="00DA6917">
        <w:rPr>
          <w:rFonts w:ascii="Palatino Linotype" w:hAnsi="Palatino Linotype"/>
          <w:sz w:val="24"/>
          <w:szCs w:val="24"/>
        </w:rPr>
        <w:t xml:space="preserve"> se colige que no ha generado, poseído o administrado </w:t>
      </w:r>
      <w:r w:rsidR="00014336">
        <w:rPr>
          <w:rFonts w:ascii="Palatino Linotype" w:hAnsi="Palatino Linotype"/>
          <w:sz w:val="24"/>
          <w:szCs w:val="24"/>
        </w:rPr>
        <w:t>el gafete credencial del servidor público referido en la solicitud de acceso a la información, motivo por el cual, no se encontró copia del mismo</w:t>
      </w:r>
      <w:r w:rsidR="00DA6917">
        <w:rPr>
          <w:rFonts w:ascii="Palatino Linotype" w:hAnsi="Palatino Linotype"/>
          <w:sz w:val="24"/>
          <w:szCs w:val="24"/>
        </w:rPr>
        <w:t>. Además, no se debe pasar por desapercibido que la naturaleza del derecho de acceso a la información es de índole documental, y por tanto se delimita a los documentos que los sujetos obligados generen, administren o posean.</w:t>
      </w:r>
    </w:p>
    <w:p w:rsidR="00DA6917" w:rsidRDefault="00DA6917" w:rsidP="00824894">
      <w:pPr>
        <w:pStyle w:val="Sinespaciado"/>
        <w:spacing w:line="360" w:lineRule="auto"/>
        <w:jc w:val="both"/>
        <w:rPr>
          <w:rFonts w:ascii="Palatino Linotype" w:hAnsi="Palatino Linotype"/>
          <w:sz w:val="24"/>
          <w:szCs w:val="24"/>
        </w:rPr>
      </w:pPr>
    </w:p>
    <w:p w:rsidR="009E505F" w:rsidRDefault="00E65AE8" w:rsidP="00824894">
      <w:pPr>
        <w:pStyle w:val="Sinespaciado"/>
        <w:spacing w:line="360" w:lineRule="auto"/>
        <w:jc w:val="both"/>
        <w:rPr>
          <w:rFonts w:ascii="Palatino Linotype" w:hAnsi="Palatino Linotype"/>
          <w:sz w:val="24"/>
          <w:szCs w:val="24"/>
        </w:rPr>
      </w:pPr>
      <w:r>
        <w:rPr>
          <w:rFonts w:ascii="Palatino Linotype" w:hAnsi="Palatino Linotype"/>
          <w:sz w:val="24"/>
          <w:szCs w:val="24"/>
        </w:rPr>
        <w:t>Es así que se debe revisar las atribuciones con las que cuenta</w:t>
      </w:r>
      <w:r w:rsidR="00610093">
        <w:rPr>
          <w:rFonts w:ascii="Palatino Linotype" w:hAnsi="Palatino Linotype"/>
          <w:sz w:val="24"/>
          <w:szCs w:val="24"/>
        </w:rPr>
        <w:t>n las Unidades Administrativas adscritas a la gubernatura</w:t>
      </w:r>
      <w:r w:rsidR="00DA6917">
        <w:rPr>
          <w:rFonts w:ascii="Palatino Linotype" w:hAnsi="Palatino Linotype"/>
          <w:sz w:val="24"/>
          <w:szCs w:val="24"/>
        </w:rPr>
        <w:t xml:space="preserve">, en específico el </w:t>
      </w:r>
      <w:r w:rsidR="00DA6917" w:rsidRPr="008C7589">
        <w:rPr>
          <w:rFonts w:ascii="Palatino Linotype" w:hAnsi="Palatino Linotype"/>
          <w:b/>
          <w:sz w:val="24"/>
          <w:szCs w:val="24"/>
        </w:rPr>
        <w:t>Sujeto Obligado</w:t>
      </w:r>
      <w:r w:rsidR="005535C0">
        <w:rPr>
          <w:rFonts w:ascii="Palatino Linotype" w:hAnsi="Palatino Linotype"/>
          <w:sz w:val="24"/>
          <w:szCs w:val="24"/>
        </w:rPr>
        <w:t>, de acuerdo a la normatividad vigente y aplicable.</w:t>
      </w:r>
      <w:r>
        <w:rPr>
          <w:rFonts w:ascii="Palatino Linotype" w:hAnsi="Palatino Linotype"/>
          <w:sz w:val="24"/>
          <w:szCs w:val="24"/>
        </w:rPr>
        <w:t xml:space="preserve"> Así, se tiene que</w:t>
      </w:r>
      <w:r w:rsidR="00764BF1">
        <w:rPr>
          <w:rFonts w:ascii="Palatino Linotype" w:hAnsi="Palatino Linotype"/>
          <w:sz w:val="24"/>
          <w:szCs w:val="24"/>
        </w:rPr>
        <w:t xml:space="preserve"> </w:t>
      </w:r>
      <w:r w:rsidR="00610093">
        <w:rPr>
          <w:rFonts w:ascii="Palatino Linotype" w:hAnsi="Palatino Linotype"/>
          <w:sz w:val="24"/>
          <w:szCs w:val="24"/>
        </w:rPr>
        <w:t>la fracción V correspon</w:t>
      </w:r>
      <w:r w:rsidR="00315A99">
        <w:rPr>
          <w:rFonts w:ascii="Palatino Linotype" w:hAnsi="Palatino Linotype"/>
          <w:sz w:val="24"/>
          <w:szCs w:val="24"/>
        </w:rPr>
        <w:t>diente al Objetivo y Funciones p</w:t>
      </w:r>
      <w:r w:rsidR="00610093">
        <w:rPr>
          <w:rFonts w:ascii="Palatino Linotype" w:hAnsi="Palatino Linotype"/>
          <w:sz w:val="24"/>
          <w:szCs w:val="24"/>
        </w:rPr>
        <w:t xml:space="preserve">or Unidad Administrativa del Manual General de Organización de la Gubernatura, </w:t>
      </w:r>
      <w:r w:rsidR="00764BF1">
        <w:rPr>
          <w:rFonts w:ascii="Palatino Linotype" w:hAnsi="Palatino Linotype"/>
          <w:sz w:val="24"/>
          <w:szCs w:val="24"/>
        </w:rPr>
        <w:t xml:space="preserve">a la letra señala lo </w:t>
      </w:r>
      <w:r w:rsidR="00940265">
        <w:rPr>
          <w:rFonts w:ascii="Palatino Linotype" w:hAnsi="Palatino Linotype"/>
          <w:sz w:val="24"/>
          <w:szCs w:val="24"/>
        </w:rPr>
        <w:t>siguiente:</w:t>
      </w:r>
    </w:p>
    <w:p w:rsidR="005E39F0" w:rsidRDefault="000440B1" w:rsidP="009E505F">
      <w:pPr>
        <w:pStyle w:val="Sinespaciado"/>
        <w:ind w:left="-340"/>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4975860" cy="851135"/>
            <wp:effectExtent l="190500" t="190500" r="186690" b="1968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6976" cy="856457"/>
                    </a:xfrm>
                    <a:prstGeom prst="rect">
                      <a:avLst/>
                    </a:prstGeom>
                    <a:noFill/>
                    <a:ln>
                      <a:noFill/>
                    </a:ln>
                    <a:effectLst>
                      <a:outerShdw blurRad="190500" algn="ctr" rotWithShape="0">
                        <a:prstClr val="black">
                          <a:alpha val="70000"/>
                        </a:prstClr>
                      </a:outerShdw>
                    </a:effectLst>
                  </pic:spPr>
                </pic:pic>
              </a:graphicData>
            </a:graphic>
          </wp:inline>
        </w:drawing>
      </w:r>
    </w:p>
    <w:p w:rsidR="000440B1" w:rsidRDefault="000440B1" w:rsidP="005E39F0">
      <w:pPr>
        <w:pStyle w:val="Sinespaciado"/>
        <w:spacing w:line="360" w:lineRule="auto"/>
        <w:ind w:left="-340"/>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extent cx="4995962" cy="5730240"/>
            <wp:effectExtent l="190500" t="190500" r="186055" b="19431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95962" cy="5730240"/>
                    </a:xfrm>
                    <a:prstGeom prst="rect">
                      <a:avLst/>
                    </a:prstGeom>
                    <a:noFill/>
                    <a:ln>
                      <a:noFill/>
                    </a:ln>
                    <a:effectLst>
                      <a:outerShdw blurRad="190500" algn="ctr" rotWithShape="0">
                        <a:prstClr val="black">
                          <a:alpha val="70000"/>
                        </a:prstClr>
                      </a:outerShdw>
                    </a:effectLst>
                  </pic:spPr>
                </pic:pic>
              </a:graphicData>
            </a:graphic>
          </wp:inline>
        </w:drawing>
      </w:r>
    </w:p>
    <w:p w:rsidR="000440B1" w:rsidRDefault="000440B1" w:rsidP="009E505F">
      <w:pPr>
        <w:pStyle w:val="Sinespaciado"/>
        <w:ind w:left="-340"/>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4892040" cy="2536614"/>
            <wp:effectExtent l="190500" t="190500" r="194310" b="18796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98320" cy="2539871"/>
                    </a:xfrm>
                    <a:prstGeom prst="rect">
                      <a:avLst/>
                    </a:prstGeom>
                    <a:noFill/>
                    <a:ln>
                      <a:noFill/>
                    </a:ln>
                    <a:effectLst>
                      <a:outerShdw blurRad="190500" algn="ctr" rotWithShape="0">
                        <a:prstClr val="black">
                          <a:alpha val="70000"/>
                        </a:prstClr>
                      </a:outerShdw>
                    </a:effectLst>
                  </pic:spPr>
                </pic:pic>
              </a:graphicData>
            </a:graphic>
          </wp:inline>
        </w:drawing>
      </w:r>
      <w:r>
        <w:rPr>
          <w:rFonts w:ascii="Palatino Linotype" w:hAnsi="Palatino Linotype"/>
          <w:noProof/>
          <w:sz w:val="24"/>
          <w:szCs w:val="24"/>
          <w:lang w:eastAsia="es-MX"/>
        </w:rPr>
        <w:drawing>
          <wp:inline distT="0" distB="0" distL="0" distR="0">
            <wp:extent cx="4800600" cy="4177926"/>
            <wp:effectExtent l="190500" t="190500" r="190500" b="18478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800600" cy="4177926"/>
                    </a:xfrm>
                    <a:prstGeom prst="rect">
                      <a:avLst/>
                    </a:prstGeom>
                    <a:noFill/>
                    <a:ln>
                      <a:noFill/>
                    </a:ln>
                    <a:effectLst>
                      <a:outerShdw blurRad="190500" algn="ctr" rotWithShape="0">
                        <a:prstClr val="black">
                          <a:alpha val="70000"/>
                        </a:prstClr>
                      </a:outerShdw>
                    </a:effectLst>
                  </pic:spPr>
                </pic:pic>
              </a:graphicData>
            </a:graphic>
          </wp:inline>
        </w:drawing>
      </w:r>
    </w:p>
    <w:p w:rsidR="000440B1" w:rsidRDefault="000440B1" w:rsidP="005E39F0">
      <w:pPr>
        <w:pStyle w:val="Sinespaciado"/>
        <w:spacing w:line="360" w:lineRule="auto"/>
        <w:ind w:left="-340"/>
        <w:jc w:val="center"/>
        <w:rPr>
          <w:rFonts w:ascii="Palatino Linotype" w:hAnsi="Palatino Linotype"/>
          <w:sz w:val="24"/>
          <w:szCs w:val="24"/>
        </w:rPr>
      </w:pPr>
      <w:r>
        <w:rPr>
          <w:rFonts w:ascii="Palatino Linotype" w:hAnsi="Palatino Linotype"/>
          <w:noProof/>
          <w:sz w:val="24"/>
          <w:szCs w:val="24"/>
          <w:lang w:eastAsia="es-MX"/>
        </w:rPr>
        <w:lastRenderedPageBreak/>
        <w:drawing>
          <wp:inline distT="0" distB="0" distL="0" distR="0">
            <wp:extent cx="5288280" cy="3375660"/>
            <wp:effectExtent l="190500" t="190500" r="198120" b="18669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88280" cy="3375660"/>
                    </a:xfrm>
                    <a:prstGeom prst="rect">
                      <a:avLst/>
                    </a:prstGeom>
                    <a:noFill/>
                    <a:ln>
                      <a:noFill/>
                    </a:ln>
                    <a:effectLst>
                      <a:outerShdw blurRad="190500" algn="ctr" rotWithShape="0">
                        <a:prstClr val="black">
                          <a:alpha val="70000"/>
                        </a:prstClr>
                      </a:outerShdw>
                    </a:effectLst>
                  </pic:spPr>
                </pic:pic>
              </a:graphicData>
            </a:graphic>
          </wp:inline>
        </w:drawing>
      </w:r>
    </w:p>
    <w:p w:rsidR="00FD41E0" w:rsidRDefault="00FD41E0" w:rsidP="00824894">
      <w:pPr>
        <w:pStyle w:val="Sinespaciado"/>
        <w:spacing w:line="360" w:lineRule="auto"/>
        <w:jc w:val="both"/>
        <w:rPr>
          <w:rFonts w:ascii="Palatino Linotype" w:hAnsi="Palatino Linotype"/>
          <w:b/>
          <w:bCs/>
          <w:i/>
          <w:highlight w:val="yellow"/>
        </w:rPr>
      </w:pPr>
    </w:p>
    <w:p w:rsidR="00E25492" w:rsidRDefault="00FD41E0" w:rsidP="00824894">
      <w:pPr>
        <w:pStyle w:val="Sinespaciado"/>
        <w:spacing w:line="360" w:lineRule="auto"/>
        <w:jc w:val="both"/>
        <w:rPr>
          <w:rFonts w:ascii="Palatino Linotype" w:hAnsi="Palatino Linotype"/>
          <w:sz w:val="24"/>
          <w:szCs w:val="24"/>
        </w:rPr>
      </w:pPr>
      <w:r>
        <w:rPr>
          <w:rFonts w:ascii="Palatino Linotype" w:hAnsi="Palatino Linotype"/>
          <w:sz w:val="24"/>
          <w:szCs w:val="24"/>
        </w:rPr>
        <w:t>D</w:t>
      </w:r>
      <w:r w:rsidR="00F8521C">
        <w:rPr>
          <w:rFonts w:ascii="Palatino Linotype" w:hAnsi="Palatino Linotype"/>
          <w:sz w:val="24"/>
          <w:szCs w:val="24"/>
        </w:rPr>
        <w:t>e la lectura y análisis de</w:t>
      </w:r>
      <w:r w:rsidR="00095165">
        <w:rPr>
          <w:rFonts w:ascii="Palatino Linotype" w:hAnsi="Palatino Linotype"/>
          <w:sz w:val="24"/>
          <w:szCs w:val="24"/>
        </w:rPr>
        <w:t xml:space="preserve"> los preceptos </w:t>
      </w:r>
      <w:r w:rsidR="00D777C4">
        <w:rPr>
          <w:rFonts w:ascii="Palatino Linotype" w:hAnsi="Palatino Linotype"/>
          <w:sz w:val="24"/>
          <w:szCs w:val="24"/>
        </w:rPr>
        <w:t xml:space="preserve">antes </w:t>
      </w:r>
      <w:r w:rsidR="00AC6F1A">
        <w:rPr>
          <w:rFonts w:ascii="Palatino Linotype" w:hAnsi="Palatino Linotype"/>
          <w:sz w:val="24"/>
          <w:szCs w:val="24"/>
        </w:rPr>
        <w:t>referidos</w:t>
      </w:r>
      <w:r w:rsidR="00F8521C">
        <w:rPr>
          <w:rFonts w:ascii="Palatino Linotype" w:hAnsi="Palatino Linotype"/>
          <w:sz w:val="24"/>
          <w:szCs w:val="24"/>
        </w:rPr>
        <w:t>, se observa que</w:t>
      </w:r>
      <w:r w:rsidR="00235142">
        <w:rPr>
          <w:rFonts w:ascii="Palatino Linotype" w:hAnsi="Palatino Linotype"/>
          <w:sz w:val="24"/>
          <w:szCs w:val="24"/>
        </w:rPr>
        <w:t xml:space="preserve"> el </w:t>
      </w:r>
      <w:r w:rsidR="00235142" w:rsidRPr="000E0D32">
        <w:rPr>
          <w:rFonts w:ascii="Palatino Linotype" w:hAnsi="Palatino Linotype"/>
          <w:b/>
          <w:sz w:val="24"/>
          <w:szCs w:val="24"/>
        </w:rPr>
        <w:t>Sujeto Obligado</w:t>
      </w:r>
      <w:r w:rsidR="00235142">
        <w:rPr>
          <w:rFonts w:ascii="Palatino Linotype" w:hAnsi="Palatino Linotype"/>
          <w:sz w:val="24"/>
          <w:szCs w:val="24"/>
        </w:rPr>
        <w:t xml:space="preserve"> cuenta con diferentes Unidades Administrativas</w:t>
      </w:r>
      <w:r w:rsidR="00AC6F1A">
        <w:rPr>
          <w:rFonts w:ascii="Palatino Linotype" w:hAnsi="Palatino Linotype"/>
          <w:sz w:val="24"/>
          <w:szCs w:val="24"/>
        </w:rPr>
        <w:t>, entre las cuales se encuentra</w:t>
      </w:r>
      <w:r w:rsidR="00235142">
        <w:rPr>
          <w:rFonts w:ascii="Palatino Linotype" w:hAnsi="Palatino Linotype"/>
          <w:sz w:val="24"/>
          <w:szCs w:val="24"/>
        </w:rPr>
        <w:t xml:space="preserve"> la Secretaría Particular, Secretaría Particular Adjunta, Secretaría Auxiliar y la Secretaría Privada, </w:t>
      </w:r>
      <w:r w:rsidR="00AC6F1A">
        <w:rPr>
          <w:rFonts w:ascii="Palatino Linotype" w:hAnsi="Palatino Linotype"/>
          <w:sz w:val="24"/>
          <w:szCs w:val="24"/>
        </w:rPr>
        <w:t>mismas que</w:t>
      </w:r>
      <w:r w:rsidR="00EA1222">
        <w:rPr>
          <w:rFonts w:ascii="Palatino Linotype" w:hAnsi="Palatino Linotype"/>
          <w:sz w:val="24"/>
          <w:szCs w:val="24"/>
        </w:rPr>
        <w:t>, al analizar el</w:t>
      </w:r>
      <w:r w:rsidR="00235142">
        <w:rPr>
          <w:rFonts w:ascii="Palatino Linotype" w:hAnsi="Palatino Linotype"/>
          <w:sz w:val="24"/>
          <w:szCs w:val="24"/>
        </w:rPr>
        <w:t xml:space="preserve"> objetivo y funciones de cada una de ellas, podemos advertir que  </w:t>
      </w:r>
      <w:r w:rsidR="00F8521C">
        <w:rPr>
          <w:rFonts w:ascii="Palatino Linotype" w:hAnsi="Palatino Linotype"/>
          <w:sz w:val="24"/>
          <w:szCs w:val="24"/>
        </w:rPr>
        <w:t>no cuenta</w:t>
      </w:r>
      <w:r w:rsidR="00235142">
        <w:rPr>
          <w:rFonts w:ascii="Palatino Linotype" w:hAnsi="Palatino Linotype"/>
          <w:sz w:val="24"/>
          <w:szCs w:val="24"/>
        </w:rPr>
        <w:t>n</w:t>
      </w:r>
      <w:r w:rsidR="00F8521C">
        <w:rPr>
          <w:rFonts w:ascii="Palatino Linotype" w:hAnsi="Palatino Linotype"/>
          <w:sz w:val="24"/>
          <w:szCs w:val="24"/>
        </w:rPr>
        <w:t xml:space="preserve"> con atribuciones relativas a</w:t>
      </w:r>
      <w:r w:rsidR="00E95C5A" w:rsidRPr="00E95C5A">
        <w:rPr>
          <w:rFonts w:ascii="Palatino Linotype" w:hAnsi="Palatino Linotype"/>
          <w:sz w:val="24"/>
          <w:szCs w:val="24"/>
        </w:rPr>
        <w:t xml:space="preserve"> integrar algún expediente personal</w:t>
      </w:r>
      <w:r w:rsidR="00E95C5A">
        <w:rPr>
          <w:rFonts w:ascii="Palatino Linotype" w:hAnsi="Palatino Linotype"/>
          <w:sz w:val="24"/>
          <w:szCs w:val="24"/>
        </w:rPr>
        <w:t xml:space="preserve"> o a</w:t>
      </w:r>
      <w:r w:rsidR="00235142">
        <w:rPr>
          <w:rFonts w:ascii="Palatino Linotype" w:hAnsi="Palatino Linotype"/>
          <w:sz w:val="24"/>
          <w:szCs w:val="24"/>
        </w:rPr>
        <w:t xml:space="preserve"> generar, poseer o administrar algún documento oficial que acredite o identifique al servidor público referido en la solicitud de acceso a la información</w:t>
      </w:r>
      <w:r w:rsidR="00F8521C">
        <w:rPr>
          <w:rFonts w:ascii="Palatino Linotype" w:hAnsi="Palatino Linotype"/>
          <w:sz w:val="24"/>
          <w:szCs w:val="24"/>
        </w:rPr>
        <w:t>,</w:t>
      </w:r>
      <w:r w:rsidR="00A626E0">
        <w:rPr>
          <w:rFonts w:ascii="Palatino Linotype" w:hAnsi="Palatino Linotype"/>
          <w:sz w:val="24"/>
          <w:szCs w:val="24"/>
        </w:rPr>
        <w:t xml:space="preserve"> toda vez que, </w:t>
      </w:r>
      <w:r w:rsidR="000E0D32">
        <w:rPr>
          <w:rFonts w:ascii="Palatino Linotype" w:hAnsi="Palatino Linotype"/>
          <w:sz w:val="24"/>
          <w:szCs w:val="24"/>
        </w:rPr>
        <w:t>su</w:t>
      </w:r>
      <w:r w:rsidR="00D777C4">
        <w:rPr>
          <w:rFonts w:ascii="Palatino Linotype" w:hAnsi="Palatino Linotype"/>
          <w:sz w:val="24"/>
          <w:szCs w:val="24"/>
        </w:rPr>
        <w:t xml:space="preserve"> </w:t>
      </w:r>
      <w:r w:rsidR="000E0D32">
        <w:rPr>
          <w:rFonts w:ascii="Palatino Linotype" w:hAnsi="Palatino Linotype"/>
          <w:sz w:val="24"/>
          <w:szCs w:val="24"/>
        </w:rPr>
        <w:t>objetivo va encaminado</w:t>
      </w:r>
      <w:r w:rsidR="00D777C4">
        <w:rPr>
          <w:rFonts w:ascii="Palatino Linotype" w:hAnsi="Palatino Linotype"/>
          <w:sz w:val="24"/>
          <w:szCs w:val="24"/>
        </w:rPr>
        <w:t xml:space="preserve"> a</w:t>
      </w:r>
      <w:r w:rsidR="000E0D32">
        <w:rPr>
          <w:rFonts w:ascii="Palatino Linotype" w:hAnsi="Palatino Linotype"/>
          <w:sz w:val="24"/>
          <w:szCs w:val="24"/>
        </w:rPr>
        <w:t xml:space="preserve"> contribuir al eficiente desarrollo de las funciones del Titular del Ejecutivo Estatal, mediante la organización y coordinación de las actividades propias de su cargo, así como apoyar en la atención y tramitación de los asuntos que le confieran</w:t>
      </w:r>
      <w:r w:rsidR="00271762">
        <w:rPr>
          <w:rFonts w:ascii="Palatino Linotype" w:hAnsi="Palatino Linotype"/>
          <w:sz w:val="24"/>
          <w:szCs w:val="24"/>
        </w:rPr>
        <w:t>.</w:t>
      </w:r>
    </w:p>
    <w:p w:rsidR="00EF1D7F" w:rsidRDefault="00EF1D7F" w:rsidP="00824894">
      <w:pPr>
        <w:pStyle w:val="Sinespaciado"/>
        <w:spacing w:line="360" w:lineRule="auto"/>
        <w:jc w:val="both"/>
        <w:rPr>
          <w:rFonts w:ascii="Palatino Linotype" w:hAnsi="Palatino Linotype"/>
          <w:sz w:val="24"/>
          <w:szCs w:val="24"/>
        </w:rPr>
      </w:pPr>
    </w:p>
    <w:p w:rsidR="00E25492" w:rsidRDefault="00E25492" w:rsidP="0082489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Adicionalmente, no se debe perder de vista que el </w:t>
      </w:r>
      <w:r w:rsidRPr="00D777C4">
        <w:rPr>
          <w:rFonts w:ascii="Palatino Linotype" w:hAnsi="Palatino Linotype"/>
          <w:b/>
          <w:sz w:val="24"/>
          <w:szCs w:val="24"/>
        </w:rPr>
        <w:t>Sujeto Obligado</w:t>
      </w:r>
      <w:r>
        <w:rPr>
          <w:rFonts w:ascii="Palatino Linotype" w:hAnsi="Palatino Linotype"/>
          <w:sz w:val="24"/>
          <w:szCs w:val="24"/>
        </w:rPr>
        <w:t>,</w:t>
      </w:r>
      <w:r w:rsidR="00EF1D7F">
        <w:rPr>
          <w:rFonts w:ascii="Palatino Linotype" w:hAnsi="Palatino Linotype"/>
          <w:sz w:val="24"/>
          <w:szCs w:val="24"/>
        </w:rPr>
        <w:t xml:space="preserve"> no obstante de carecer de facultades, como se advirtió en los párrafos que preceden,</w:t>
      </w:r>
      <w:r>
        <w:rPr>
          <w:rFonts w:ascii="Palatino Linotype" w:hAnsi="Palatino Linotype"/>
          <w:sz w:val="24"/>
          <w:szCs w:val="24"/>
        </w:rPr>
        <w:t xml:space="preserve"> en su respuesta a la solicitud primigenia, manifestó que</w:t>
      </w:r>
      <w:r w:rsidR="00EF1D7F" w:rsidRPr="00EF1D7F">
        <w:rPr>
          <w:rFonts w:ascii="Palatino Linotype" w:hAnsi="Palatino Linotype"/>
          <w:sz w:val="24"/>
          <w:szCs w:val="24"/>
        </w:rPr>
        <w:t xml:space="preserve"> se realizó un búsque</w:t>
      </w:r>
      <w:r w:rsidR="00EF1D7F">
        <w:rPr>
          <w:rFonts w:ascii="Palatino Linotype" w:hAnsi="Palatino Linotype"/>
          <w:sz w:val="24"/>
          <w:szCs w:val="24"/>
        </w:rPr>
        <w:t>da exhaustiva y razonable en sus</w:t>
      </w:r>
      <w:r w:rsidR="00EF1D7F" w:rsidRPr="00EF1D7F">
        <w:rPr>
          <w:rFonts w:ascii="Palatino Linotype" w:hAnsi="Palatino Linotype"/>
          <w:sz w:val="24"/>
          <w:szCs w:val="24"/>
        </w:rPr>
        <w:t xml:space="preserve"> archivos, </w:t>
      </w:r>
      <w:r w:rsidR="00EF1D7F">
        <w:rPr>
          <w:rFonts w:ascii="Palatino Linotype" w:hAnsi="Palatino Linotype"/>
          <w:sz w:val="24"/>
          <w:szCs w:val="24"/>
        </w:rPr>
        <w:t>sin que se encontrara</w:t>
      </w:r>
      <w:r w:rsidR="00EF1D7F" w:rsidRPr="00EF1D7F">
        <w:rPr>
          <w:rFonts w:ascii="Palatino Linotype" w:hAnsi="Palatino Linotype"/>
          <w:sz w:val="24"/>
          <w:szCs w:val="24"/>
        </w:rPr>
        <w:t xml:space="preserve"> copia del gafete credencial del Servidor Público Alfredo del Mazo Maza</w:t>
      </w:r>
      <w:r w:rsidR="00EF1D7F">
        <w:rPr>
          <w:rFonts w:ascii="Palatino Linotype" w:hAnsi="Palatino Linotype"/>
          <w:sz w:val="24"/>
          <w:szCs w:val="24"/>
        </w:rPr>
        <w:t>.</w:t>
      </w:r>
    </w:p>
    <w:p w:rsidR="00E430CA" w:rsidRDefault="00E430CA" w:rsidP="00824894">
      <w:pPr>
        <w:pStyle w:val="Sinespaciado"/>
        <w:spacing w:line="360" w:lineRule="auto"/>
        <w:jc w:val="both"/>
        <w:rPr>
          <w:rFonts w:ascii="Palatino Linotype" w:hAnsi="Palatino Linotype"/>
          <w:sz w:val="24"/>
          <w:szCs w:val="24"/>
        </w:rPr>
      </w:pPr>
    </w:p>
    <w:p w:rsidR="00E430CA" w:rsidRDefault="00E430CA" w:rsidP="00824894">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Aunado a lo anteriormente expuesto, es de señalar </w:t>
      </w:r>
      <w:r w:rsidRPr="00E430CA">
        <w:rPr>
          <w:rFonts w:ascii="Palatino Linotype" w:hAnsi="Palatino Linotype"/>
          <w:sz w:val="24"/>
          <w:szCs w:val="24"/>
        </w:rPr>
        <w:t xml:space="preserve">que el documento oficial que acredita o identifica al servidor público </w:t>
      </w:r>
      <w:r>
        <w:rPr>
          <w:rFonts w:ascii="Palatino Linotype" w:hAnsi="Palatino Linotype"/>
          <w:sz w:val="24"/>
          <w:szCs w:val="24"/>
        </w:rPr>
        <w:t xml:space="preserve">como Titular del </w:t>
      </w:r>
      <w:r w:rsidR="00597707">
        <w:rPr>
          <w:rFonts w:ascii="Palatino Linotype" w:hAnsi="Palatino Linotype"/>
          <w:sz w:val="24"/>
          <w:szCs w:val="24"/>
        </w:rPr>
        <w:t xml:space="preserve">Poder </w:t>
      </w:r>
      <w:r>
        <w:rPr>
          <w:rFonts w:ascii="Palatino Linotype" w:hAnsi="Palatino Linotype"/>
          <w:sz w:val="24"/>
          <w:szCs w:val="24"/>
        </w:rPr>
        <w:t>Ejecutivo Estatal</w:t>
      </w:r>
      <w:r w:rsidRPr="00E430CA">
        <w:rPr>
          <w:rFonts w:ascii="Palatino Linotype" w:hAnsi="Palatino Linotype"/>
          <w:sz w:val="24"/>
          <w:szCs w:val="24"/>
        </w:rPr>
        <w:t>, consistente en el gafete-credencial</w:t>
      </w:r>
      <w:r>
        <w:rPr>
          <w:rFonts w:ascii="Palatino Linotype" w:hAnsi="Palatino Linotype"/>
          <w:sz w:val="24"/>
          <w:szCs w:val="24"/>
        </w:rPr>
        <w:t>, al momento de ser</w:t>
      </w:r>
      <w:r w:rsidRPr="00E430CA">
        <w:rPr>
          <w:rFonts w:ascii="Palatino Linotype" w:hAnsi="Palatino Linotype"/>
          <w:sz w:val="24"/>
          <w:szCs w:val="24"/>
        </w:rPr>
        <w:t xml:space="preserve"> entregado de manera directa y personal a su titular, </w:t>
      </w:r>
      <w:r>
        <w:rPr>
          <w:rFonts w:ascii="Palatino Linotype" w:hAnsi="Palatino Linotype"/>
          <w:sz w:val="24"/>
          <w:szCs w:val="24"/>
        </w:rPr>
        <w:t xml:space="preserve">no constriñe al </w:t>
      </w:r>
      <w:r w:rsidRPr="00E430CA">
        <w:rPr>
          <w:rFonts w:ascii="Palatino Linotype" w:hAnsi="Palatino Linotype"/>
          <w:b/>
          <w:sz w:val="24"/>
          <w:szCs w:val="24"/>
        </w:rPr>
        <w:t>Sujeto Obligado</w:t>
      </w:r>
      <w:r w:rsidRPr="00E430CA">
        <w:rPr>
          <w:rFonts w:ascii="Palatino Linotype" w:hAnsi="Palatino Linotype"/>
          <w:sz w:val="24"/>
          <w:szCs w:val="24"/>
        </w:rPr>
        <w:t xml:space="preserve"> </w:t>
      </w:r>
      <w:r>
        <w:rPr>
          <w:rFonts w:ascii="Palatino Linotype" w:hAnsi="Palatino Linotype"/>
          <w:sz w:val="24"/>
          <w:szCs w:val="24"/>
        </w:rPr>
        <w:t xml:space="preserve"> a conservar</w:t>
      </w:r>
      <w:r w:rsidRPr="00E430CA">
        <w:rPr>
          <w:rFonts w:ascii="Palatino Linotype" w:hAnsi="Palatino Linotype"/>
          <w:sz w:val="24"/>
          <w:szCs w:val="24"/>
        </w:rPr>
        <w:t xml:space="preserve"> copia alguna, ya que, </w:t>
      </w:r>
      <w:r>
        <w:rPr>
          <w:rFonts w:ascii="Palatino Linotype" w:hAnsi="Palatino Linotype"/>
          <w:sz w:val="24"/>
          <w:szCs w:val="24"/>
        </w:rPr>
        <w:t xml:space="preserve">se reitera, </w:t>
      </w:r>
      <w:r w:rsidRPr="00E430CA">
        <w:rPr>
          <w:rFonts w:ascii="Palatino Linotype" w:hAnsi="Palatino Linotype"/>
          <w:sz w:val="24"/>
          <w:szCs w:val="24"/>
        </w:rPr>
        <w:t>no existe procedimiento alguno que determine de deba inte</w:t>
      </w:r>
      <w:r>
        <w:rPr>
          <w:rFonts w:ascii="Palatino Linotype" w:hAnsi="Palatino Linotype"/>
          <w:sz w:val="24"/>
          <w:szCs w:val="24"/>
        </w:rPr>
        <w:t>grarlo a su expediente personal o a estar facultado para solicitarlo de manera directa al servidor pú</w:t>
      </w:r>
      <w:r w:rsidR="00597707">
        <w:rPr>
          <w:rFonts w:ascii="Palatino Linotype" w:hAnsi="Palatino Linotype"/>
          <w:sz w:val="24"/>
          <w:szCs w:val="24"/>
        </w:rPr>
        <w:t>blico referido, por lo tanto se encuentra imposibilitado a entregar las documentales requeridas por la hoy Recurrente.</w:t>
      </w:r>
    </w:p>
    <w:p w:rsidR="00E25492" w:rsidRDefault="00E25492" w:rsidP="00824894">
      <w:pPr>
        <w:pStyle w:val="Sinespaciado"/>
        <w:spacing w:line="360" w:lineRule="auto"/>
        <w:jc w:val="both"/>
        <w:rPr>
          <w:rFonts w:ascii="Palatino Linotype" w:hAnsi="Palatino Linotype"/>
          <w:sz w:val="24"/>
          <w:szCs w:val="24"/>
        </w:rPr>
      </w:pPr>
    </w:p>
    <w:p w:rsidR="008D17A8" w:rsidRDefault="00E25492" w:rsidP="008C7589">
      <w:pPr>
        <w:spacing w:after="0" w:line="360" w:lineRule="auto"/>
        <w:jc w:val="both"/>
        <w:rPr>
          <w:rFonts w:ascii="Palatino Linotype" w:hAnsi="Palatino Linotype" w:cs="Arial"/>
          <w:sz w:val="24"/>
          <w:szCs w:val="24"/>
          <w:lang w:eastAsia="es-MX"/>
        </w:rPr>
      </w:pPr>
      <w:r>
        <w:rPr>
          <w:rFonts w:ascii="Palatino Linotype" w:hAnsi="Palatino Linotype"/>
          <w:sz w:val="24"/>
          <w:szCs w:val="24"/>
        </w:rPr>
        <w:t>En ese tenor</w:t>
      </w:r>
      <w:r w:rsidR="008D17A8">
        <w:rPr>
          <w:rFonts w:ascii="Palatino Linotype" w:hAnsi="Palatino Linotype"/>
          <w:sz w:val="24"/>
          <w:szCs w:val="24"/>
        </w:rPr>
        <w:t xml:space="preserve">, se tiene que el </w:t>
      </w:r>
      <w:r w:rsidR="008D17A8" w:rsidRPr="008C7589">
        <w:rPr>
          <w:rFonts w:ascii="Palatino Linotype" w:hAnsi="Palatino Linotype"/>
          <w:b/>
          <w:sz w:val="24"/>
          <w:szCs w:val="24"/>
        </w:rPr>
        <w:t>Sujeto Obligado</w:t>
      </w:r>
      <w:r w:rsidR="008D17A8">
        <w:rPr>
          <w:rFonts w:ascii="Palatino Linotype" w:hAnsi="Palatino Linotype"/>
          <w:sz w:val="24"/>
          <w:szCs w:val="24"/>
        </w:rPr>
        <w:t xml:space="preserve"> no puede presentar</w:t>
      </w:r>
      <w:r w:rsidR="00557477">
        <w:rPr>
          <w:rFonts w:ascii="Palatino Linotype" w:hAnsi="Palatino Linotype"/>
          <w:sz w:val="24"/>
          <w:szCs w:val="24"/>
        </w:rPr>
        <w:t xml:space="preserve"> </w:t>
      </w:r>
      <w:r w:rsidR="00EF1D7F">
        <w:rPr>
          <w:rFonts w:ascii="Palatino Linotype" w:hAnsi="Palatino Linotype"/>
          <w:sz w:val="24"/>
          <w:szCs w:val="24"/>
        </w:rPr>
        <w:t>la información solicitada por la</w:t>
      </w:r>
      <w:r w:rsidR="004830B5">
        <w:rPr>
          <w:rFonts w:ascii="Palatino Linotype" w:hAnsi="Palatino Linotype"/>
          <w:sz w:val="24"/>
          <w:szCs w:val="24"/>
        </w:rPr>
        <w:t xml:space="preserve"> </w:t>
      </w:r>
      <w:r w:rsidR="004830B5" w:rsidRPr="00557477">
        <w:rPr>
          <w:rFonts w:ascii="Palatino Linotype" w:hAnsi="Palatino Linotype"/>
          <w:b/>
          <w:sz w:val="24"/>
          <w:szCs w:val="24"/>
        </w:rPr>
        <w:t>Recurrente</w:t>
      </w:r>
      <w:r w:rsidR="004830B5">
        <w:rPr>
          <w:rFonts w:ascii="Palatino Linotype" w:hAnsi="Palatino Linotype"/>
          <w:sz w:val="24"/>
          <w:szCs w:val="24"/>
        </w:rPr>
        <w:t>, toda vez que</w:t>
      </w:r>
      <w:r w:rsidR="008D17A8">
        <w:rPr>
          <w:rFonts w:ascii="Palatino Linotype" w:hAnsi="Palatino Linotype"/>
          <w:sz w:val="24"/>
          <w:szCs w:val="24"/>
        </w:rPr>
        <w:t xml:space="preserve"> no existe, pues esta no ha sido generada, administrada o poseída por el </w:t>
      </w:r>
      <w:r w:rsidR="008D17A8" w:rsidRPr="00557477">
        <w:rPr>
          <w:rFonts w:ascii="Palatino Linotype" w:hAnsi="Palatino Linotype"/>
          <w:b/>
          <w:sz w:val="24"/>
          <w:szCs w:val="24"/>
        </w:rPr>
        <w:t>Sujeto Obligado</w:t>
      </w:r>
      <w:r w:rsidR="008D17A8">
        <w:rPr>
          <w:rFonts w:ascii="Palatino Linotype" w:hAnsi="Palatino Linotype"/>
          <w:sz w:val="24"/>
          <w:szCs w:val="24"/>
        </w:rPr>
        <w:t xml:space="preserve"> en ejercicio de sus atribuciones. </w:t>
      </w:r>
      <w:r w:rsidR="008D17A8">
        <w:rPr>
          <w:rFonts w:ascii="Palatino Linotype" w:hAnsi="Palatino Linotype" w:cs="Arial"/>
          <w:sz w:val="24"/>
          <w:szCs w:val="24"/>
          <w:lang w:eastAsia="es-MX"/>
        </w:rPr>
        <w:t>Por lo</w:t>
      </w:r>
      <w:r w:rsidR="005E39F0">
        <w:rPr>
          <w:rFonts w:ascii="Palatino Linotype" w:hAnsi="Palatino Linotype" w:cs="Arial"/>
          <w:sz w:val="24"/>
          <w:szCs w:val="24"/>
          <w:lang w:eastAsia="es-MX"/>
        </w:rPr>
        <w:t xml:space="preserve"> tanto resulta evidente que el </w:t>
      </w:r>
      <w:r w:rsidR="005E39F0" w:rsidRPr="008C7589">
        <w:rPr>
          <w:rFonts w:ascii="Palatino Linotype" w:hAnsi="Palatino Linotype" w:cs="Arial"/>
          <w:b/>
          <w:sz w:val="24"/>
          <w:szCs w:val="24"/>
          <w:lang w:eastAsia="es-MX"/>
        </w:rPr>
        <w:t>Sujeto Obligado</w:t>
      </w:r>
      <w:r w:rsidR="005E39F0">
        <w:rPr>
          <w:rFonts w:ascii="Palatino Linotype" w:hAnsi="Palatino Linotype" w:cs="Arial"/>
          <w:sz w:val="24"/>
          <w:szCs w:val="24"/>
          <w:lang w:eastAsia="es-MX"/>
        </w:rPr>
        <w:t xml:space="preserve"> no generó,</w:t>
      </w:r>
      <w:r w:rsidR="004830B5">
        <w:rPr>
          <w:rFonts w:ascii="Palatino Linotype" w:hAnsi="Palatino Linotype" w:cs="Arial"/>
          <w:sz w:val="24"/>
          <w:szCs w:val="24"/>
          <w:lang w:eastAsia="es-MX"/>
        </w:rPr>
        <w:t xml:space="preserve"> administró o poseyó</w:t>
      </w:r>
      <w:r w:rsidR="00D70758">
        <w:rPr>
          <w:rFonts w:ascii="Palatino Linotype" w:hAnsi="Palatino Linotype" w:cs="Arial"/>
          <w:sz w:val="24"/>
          <w:szCs w:val="24"/>
          <w:lang w:eastAsia="es-MX"/>
        </w:rPr>
        <w:t xml:space="preserve"> dicha informaci</w:t>
      </w:r>
      <w:r w:rsidR="004830B5">
        <w:rPr>
          <w:rFonts w:ascii="Palatino Linotype" w:hAnsi="Palatino Linotype" w:cs="Arial"/>
          <w:sz w:val="24"/>
          <w:szCs w:val="24"/>
          <w:lang w:eastAsia="es-MX"/>
        </w:rPr>
        <w:t>ón</w:t>
      </w:r>
      <w:r w:rsidR="00FA3F04">
        <w:rPr>
          <w:rFonts w:ascii="Palatino Linotype" w:hAnsi="Palatino Linotype" w:cs="Arial"/>
          <w:sz w:val="24"/>
          <w:szCs w:val="24"/>
          <w:lang w:eastAsia="es-MX"/>
        </w:rPr>
        <w:t xml:space="preserve"> </w:t>
      </w:r>
      <w:r w:rsidR="00EF1D7F">
        <w:rPr>
          <w:rFonts w:ascii="Palatino Linotype" w:hAnsi="Palatino Linotype" w:cs="Arial"/>
          <w:sz w:val="24"/>
          <w:szCs w:val="24"/>
          <w:lang w:eastAsia="es-MX"/>
        </w:rPr>
        <w:t>en los términos referidos por la</w:t>
      </w:r>
      <w:r w:rsidR="00FA3F04">
        <w:rPr>
          <w:rFonts w:ascii="Palatino Linotype" w:hAnsi="Palatino Linotype" w:cs="Arial"/>
          <w:sz w:val="24"/>
          <w:szCs w:val="24"/>
          <w:lang w:eastAsia="es-MX"/>
        </w:rPr>
        <w:t xml:space="preserve"> hoy Recurrente</w:t>
      </w:r>
      <w:r w:rsidR="008D17A8">
        <w:rPr>
          <w:rFonts w:ascii="Palatino Linotype" w:hAnsi="Palatino Linotype" w:cs="Arial"/>
          <w:sz w:val="24"/>
          <w:szCs w:val="24"/>
          <w:lang w:eastAsia="es-MX"/>
        </w:rPr>
        <w:t xml:space="preserve"> y que </w:t>
      </w:r>
      <w:r w:rsidR="00D70758">
        <w:rPr>
          <w:rFonts w:ascii="Palatino Linotype" w:hAnsi="Palatino Linotype" w:cs="Arial"/>
          <w:sz w:val="24"/>
          <w:szCs w:val="24"/>
          <w:lang w:eastAsia="es-MX"/>
        </w:rPr>
        <w:t xml:space="preserve">su </w:t>
      </w:r>
      <w:r w:rsidR="008D17A8">
        <w:rPr>
          <w:rFonts w:ascii="Palatino Linotype" w:hAnsi="Palatino Linotype" w:cs="Arial"/>
          <w:sz w:val="24"/>
          <w:szCs w:val="24"/>
          <w:lang w:eastAsia="es-MX"/>
        </w:rPr>
        <w:t xml:space="preserve">inexistencia </w:t>
      </w:r>
      <w:r w:rsidR="004830B5">
        <w:rPr>
          <w:rFonts w:ascii="Palatino Linotype" w:hAnsi="Palatino Linotype" w:cs="Arial"/>
          <w:sz w:val="24"/>
          <w:szCs w:val="24"/>
          <w:lang w:eastAsia="es-MX"/>
        </w:rPr>
        <w:t>constituye</w:t>
      </w:r>
      <w:r w:rsidR="008D17A8">
        <w:rPr>
          <w:rFonts w:ascii="Palatino Linotype" w:hAnsi="Palatino Linotype" w:cs="Arial"/>
          <w:sz w:val="24"/>
          <w:szCs w:val="24"/>
          <w:lang w:eastAsia="es-MX"/>
        </w:rPr>
        <w:t xml:space="preserve"> hechos negativos, por tanto, dicha información no puede fácticamente obrar en los archivos del </w:t>
      </w:r>
      <w:r w:rsidR="008D17A8" w:rsidRPr="00557477">
        <w:rPr>
          <w:rFonts w:ascii="Palatino Linotype" w:hAnsi="Palatino Linotype" w:cs="Arial"/>
          <w:b/>
          <w:sz w:val="24"/>
          <w:szCs w:val="24"/>
          <w:lang w:eastAsia="es-MX"/>
        </w:rPr>
        <w:t>Sujeto Obligado</w:t>
      </w:r>
      <w:r w:rsidR="008D17A8">
        <w:rPr>
          <w:rFonts w:ascii="Palatino Linotype" w:hAnsi="Palatino Linotype" w:cs="Arial"/>
          <w:sz w:val="24"/>
          <w:szCs w:val="24"/>
          <w:lang w:eastAsia="es-MX"/>
        </w:rPr>
        <w:t>, ya que no puede probarse por ser lógica y materialmente imposible.</w:t>
      </w:r>
    </w:p>
    <w:p w:rsidR="008D17A8" w:rsidRDefault="008D17A8" w:rsidP="008C7589">
      <w:pPr>
        <w:spacing w:after="0" w:line="360" w:lineRule="auto"/>
        <w:jc w:val="both"/>
        <w:rPr>
          <w:rFonts w:ascii="Palatino Linotype" w:hAnsi="Palatino Linotype" w:cs="Arial"/>
          <w:sz w:val="24"/>
          <w:szCs w:val="24"/>
          <w:lang w:eastAsia="es-MX"/>
        </w:rPr>
      </w:pPr>
    </w:p>
    <w:p w:rsidR="00E50F4B" w:rsidRDefault="008D17A8" w:rsidP="008C7589">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Asimismo, no se trata de un caso por el cual la negación del hecho implique la afirmación del mismo, simplemente se está ante una notoria y evidente inexistencia fáctica de la información solicitada.</w:t>
      </w:r>
    </w:p>
    <w:p w:rsidR="00E50F4B" w:rsidRDefault="00E50F4B" w:rsidP="008D17A8">
      <w:pPr>
        <w:spacing w:after="0" w:line="360" w:lineRule="auto"/>
        <w:jc w:val="both"/>
        <w:rPr>
          <w:rFonts w:ascii="Palatino Linotype" w:hAnsi="Palatino Linotype" w:cs="Arial"/>
          <w:sz w:val="24"/>
          <w:szCs w:val="24"/>
          <w:lang w:eastAsia="es-MX"/>
        </w:rPr>
      </w:pPr>
    </w:p>
    <w:p w:rsidR="008D17A8" w:rsidRDefault="008D17A8" w:rsidP="008D17A8">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rsidR="008D17A8" w:rsidRDefault="008D17A8" w:rsidP="008D17A8">
      <w:pPr>
        <w:spacing w:after="0" w:line="360" w:lineRule="auto"/>
        <w:jc w:val="both"/>
        <w:rPr>
          <w:rFonts w:ascii="Palatino Linotype" w:hAnsi="Palatino Linotype" w:cs="Arial"/>
          <w:sz w:val="24"/>
          <w:szCs w:val="24"/>
          <w:lang w:eastAsia="es-MX"/>
        </w:rPr>
      </w:pPr>
    </w:p>
    <w:p w:rsidR="008D17A8" w:rsidRDefault="008D17A8" w:rsidP="008D17A8">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b/>
          <w:i/>
          <w:sz w:val="24"/>
          <w:szCs w:val="24"/>
          <w:lang w:eastAsia="es-MX"/>
        </w:rPr>
        <w:t>HECHOS NEGATIVOS, NO SON SUSCEPTIBLES DE DEMOSTRACIÓN</w:t>
      </w:r>
      <w:r>
        <w:rPr>
          <w:rFonts w:ascii="Palatino Linotype" w:hAnsi="Palatino Linotype" w:cs="Arial"/>
          <w:i/>
          <w:sz w:val="24"/>
          <w:szCs w:val="24"/>
          <w:lang w:eastAsia="es-MX"/>
        </w:rPr>
        <w:t xml:space="preserve">. </w:t>
      </w:r>
    </w:p>
    <w:p w:rsidR="008D17A8" w:rsidRDefault="008D17A8" w:rsidP="008D17A8">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Tratándose de un hecho ne</w:t>
      </w:r>
      <w:r w:rsidR="00D14E3B">
        <w:rPr>
          <w:rFonts w:ascii="Palatino Linotype" w:hAnsi="Palatino Linotype" w:cs="Arial"/>
          <w:i/>
          <w:sz w:val="24"/>
          <w:szCs w:val="24"/>
          <w:lang w:eastAsia="es-MX"/>
        </w:rPr>
        <w:t>gativo, el Juez no tiene por qué</w:t>
      </w:r>
      <w:r>
        <w:rPr>
          <w:rFonts w:ascii="Palatino Linotype" w:hAnsi="Palatino Linotype" w:cs="Arial"/>
          <w:i/>
          <w:sz w:val="24"/>
          <w:szCs w:val="24"/>
          <w:lang w:eastAsia="es-MX"/>
        </w:rPr>
        <w:t xml:space="preserve"> invocar prueba alguna de la que se desprenda, ya que es bien sabido que esta clase de hechos no son susceptibles de demostración.</w:t>
      </w:r>
    </w:p>
    <w:p w:rsidR="008D17A8" w:rsidRDefault="008D17A8" w:rsidP="008D17A8">
      <w:pPr>
        <w:spacing w:after="0" w:line="240" w:lineRule="auto"/>
        <w:ind w:left="567" w:right="567"/>
        <w:jc w:val="both"/>
        <w:rPr>
          <w:rFonts w:ascii="Palatino Linotype" w:hAnsi="Palatino Linotype" w:cs="Arial"/>
          <w:i/>
          <w:sz w:val="24"/>
          <w:szCs w:val="24"/>
          <w:lang w:eastAsia="es-MX"/>
        </w:rPr>
      </w:pPr>
    </w:p>
    <w:p w:rsidR="00E50F4B" w:rsidRDefault="008D17A8" w:rsidP="00557477">
      <w:pPr>
        <w:spacing w:after="0" w:line="240" w:lineRule="auto"/>
        <w:ind w:left="567" w:right="567"/>
        <w:jc w:val="both"/>
        <w:rPr>
          <w:rFonts w:ascii="Palatino Linotype" w:hAnsi="Palatino Linotype" w:cs="Arial"/>
          <w:i/>
          <w:sz w:val="24"/>
          <w:szCs w:val="24"/>
          <w:lang w:eastAsia="es-MX"/>
        </w:rPr>
      </w:pPr>
      <w:r>
        <w:rPr>
          <w:rFonts w:ascii="Palatino Linotype" w:hAnsi="Palatino Linotype" w:cs="Arial"/>
          <w:i/>
          <w:sz w:val="24"/>
          <w:szCs w:val="24"/>
          <w:lang w:eastAsia="es-MX"/>
        </w:rPr>
        <w:t>Amparo en revisión 2022/61. José García Florín (Menor). 9 de octubre de 1961. Cinco votos. Ponente: José Rivera Pérez Campos.”</w:t>
      </w:r>
    </w:p>
    <w:p w:rsidR="00557477" w:rsidRDefault="00557477" w:rsidP="00557477">
      <w:pPr>
        <w:spacing w:after="0" w:line="360" w:lineRule="auto"/>
        <w:ind w:right="567"/>
        <w:jc w:val="both"/>
        <w:rPr>
          <w:rFonts w:ascii="Palatino Linotype" w:hAnsi="Palatino Linotype" w:cs="Arial"/>
          <w:sz w:val="24"/>
          <w:szCs w:val="24"/>
          <w:lang w:eastAsia="es-MX"/>
        </w:rPr>
      </w:pPr>
    </w:p>
    <w:p w:rsidR="00E50F4B" w:rsidRDefault="008D17A8" w:rsidP="0064747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Además, y de conformidad con lo establecido en el artículo 12 de la Ley de Transparencia y Acceso a la Información Pública del Estado de México y Municip</w:t>
      </w:r>
      <w:r w:rsidR="00557477">
        <w:rPr>
          <w:rFonts w:ascii="Palatino Linotype" w:hAnsi="Palatino Linotype" w:cs="Arial"/>
          <w:sz w:val="24"/>
          <w:szCs w:val="24"/>
          <w:lang w:eastAsia="es-MX"/>
        </w:rPr>
        <w:t xml:space="preserve">ios, el </w:t>
      </w:r>
      <w:r w:rsidR="00557477" w:rsidRPr="0064747D">
        <w:rPr>
          <w:rFonts w:ascii="Palatino Linotype" w:hAnsi="Palatino Linotype" w:cs="Arial"/>
          <w:b/>
          <w:sz w:val="24"/>
          <w:szCs w:val="24"/>
          <w:lang w:eastAsia="es-MX"/>
        </w:rPr>
        <w:t>S</w:t>
      </w:r>
      <w:r w:rsidR="0064747D">
        <w:rPr>
          <w:rFonts w:ascii="Palatino Linotype" w:hAnsi="Palatino Linotype" w:cs="Arial"/>
          <w:b/>
          <w:sz w:val="24"/>
          <w:szCs w:val="24"/>
          <w:lang w:eastAsia="es-MX"/>
        </w:rPr>
        <w:t>ujeto O</w:t>
      </w:r>
      <w:r w:rsidRPr="0064747D">
        <w:rPr>
          <w:rFonts w:ascii="Palatino Linotype" w:hAnsi="Palatino Linotype" w:cs="Arial"/>
          <w:b/>
          <w:sz w:val="24"/>
          <w:szCs w:val="24"/>
          <w:lang w:eastAsia="es-MX"/>
        </w:rPr>
        <w:t>bligado</w:t>
      </w:r>
      <w:r>
        <w:rPr>
          <w:rFonts w:ascii="Palatino Linotype" w:hAnsi="Palatino Linotype" w:cs="Arial"/>
          <w:sz w:val="24"/>
          <w:szCs w:val="24"/>
          <w:lang w:eastAsia="es-MX"/>
        </w:rPr>
        <w:t xml:space="preserve"> sólo proporcionará la información que obra en sus archivos, lo que </w:t>
      </w:r>
      <w:r>
        <w:rPr>
          <w:rFonts w:ascii="Palatino Linotype" w:hAnsi="Palatino Linotype" w:cs="Arial"/>
          <w:i/>
          <w:sz w:val="24"/>
          <w:szCs w:val="24"/>
          <w:lang w:eastAsia="es-MX"/>
        </w:rPr>
        <w:t>a contrario sensu</w:t>
      </w:r>
      <w:r>
        <w:rPr>
          <w:rFonts w:ascii="Palatino Linotype" w:hAnsi="Palatino Linotype" w:cs="Arial"/>
          <w:sz w:val="24"/>
          <w:szCs w:val="24"/>
          <w:lang w:eastAsia="es-MX"/>
        </w:rPr>
        <w:t xml:space="preserve"> significa que no se está obligado a proporcionar</w:t>
      </w:r>
      <w:r w:rsidR="00E12A3B">
        <w:rPr>
          <w:rFonts w:ascii="Palatino Linotype" w:hAnsi="Palatino Linotype" w:cs="Arial"/>
          <w:sz w:val="24"/>
          <w:szCs w:val="24"/>
          <w:lang w:eastAsia="es-MX"/>
        </w:rPr>
        <w:t xml:space="preserve"> lo que no obre en sus archivos, </w:t>
      </w:r>
      <w:r w:rsidR="00330B63">
        <w:rPr>
          <w:rFonts w:ascii="Palatino Linotype" w:hAnsi="Palatino Linotype" w:cs="Arial"/>
          <w:sz w:val="24"/>
          <w:szCs w:val="24"/>
          <w:lang w:eastAsia="es-MX"/>
        </w:rPr>
        <w:t>mismo que se transcribe a continuación</w:t>
      </w:r>
      <w:r w:rsidR="00E12A3B">
        <w:rPr>
          <w:rFonts w:ascii="Palatino Linotype" w:hAnsi="Palatino Linotype" w:cs="Arial"/>
          <w:sz w:val="24"/>
          <w:szCs w:val="24"/>
          <w:lang w:eastAsia="es-MX"/>
        </w:rPr>
        <w:t>:</w:t>
      </w:r>
    </w:p>
    <w:p w:rsidR="00E12A3B" w:rsidRDefault="00E12A3B" w:rsidP="0064747D">
      <w:pPr>
        <w:spacing w:after="0" w:line="360" w:lineRule="auto"/>
        <w:jc w:val="both"/>
        <w:rPr>
          <w:rFonts w:ascii="Palatino Linotype" w:hAnsi="Palatino Linotype" w:cs="Arial"/>
          <w:sz w:val="24"/>
          <w:szCs w:val="24"/>
          <w:lang w:eastAsia="es-MX"/>
        </w:rPr>
      </w:pPr>
    </w:p>
    <w:p w:rsidR="00E12A3B" w:rsidRDefault="00E12A3B" w:rsidP="00E12A3B">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t>Artículo 12.</w:t>
      </w:r>
      <w:r w:rsidRPr="00E12A3B">
        <w:rPr>
          <w:rFonts w:ascii="Palatino Linotype"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rsidR="00E12A3B" w:rsidRDefault="00E12A3B" w:rsidP="00E12A3B">
      <w:pPr>
        <w:spacing w:after="0" w:line="240" w:lineRule="auto"/>
        <w:ind w:left="851" w:right="851"/>
        <w:jc w:val="both"/>
        <w:rPr>
          <w:rFonts w:ascii="Palatino Linotype" w:hAnsi="Palatino Linotype" w:cs="Arial"/>
          <w:b/>
          <w:i/>
          <w:lang w:eastAsia="es-MX"/>
        </w:rPr>
      </w:pPr>
    </w:p>
    <w:p w:rsidR="00E12A3B" w:rsidRPr="00E12A3B" w:rsidRDefault="00E12A3B" w:rsidP="00E12A3B">
      <w:pPr>
        <w:spacing w:after="0" w:line="240" w:lineRule="auto"/>
        <w:ind w:left="851" w:right="851"/>
        <w:jc w:val="both"/>
        <w:rPr>
          <w:rFonts w:ascii="Palatino Linotype" w:hAnsi="Palatino Linotype" w:cs="Arial"/>
          <w:i/>
          <w:lang w:eastAsia="es-MX"/>
        </w:rPr>
      </w:pPr>
      <w:r w:rsidRPr="00E12A3B">
        <w:rPr>
          <w:rFonts w:ascii="Palatino Linotype" w:hAnsi="Palatino Linotype" w:cs="Arial"/>
          <w:b/>
          <w:i/>
          <w:lang w:eastAsia="es-MX"/>
        </w:rPr>
        <w:lastRenderedPageBreak/>
        <w:t>Los sujetos obligados sólo proporcionarán la información pública que se les requiera y que obre en sus archivos y en el estado en que ésta se encuentre.</w:t>
      </w:r>
      <w:r w:rsidRPr="00E12A3B">
        <w:rPr>
          <w:rFonts w:ascii="Palatino Linotype"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rsidR="00E50F4B" w:rsidRDefault="00E50F4B" w:rsidP="0064747D">
      <w:pPr>
        <w:spacing w:after="0" w:line="360" w:lineRule="auto"/>
        <w:jc w:val="both"/>
        <w:rPr>
          <w:rFonts w:ascii="Palatino Linotype" w:hAnsi="Palatino Linotype" w:cs="Arial"/>
          <w:sz w:val="24"/>
          <w:szCs w:val="24"/>
          <w:lang w:eastAsia="es-MX"/>
        </w:rPr>
      </w:pPr>
    </w:p>
    <w:p w:rsidR="00E50F4B" w:rsidRDefault="00207DA3" w:rsidP="0064747D">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lang w:eastAsia="es-MX"/>
        </w:rPr>
        <w:t xml:space="preserve">Adicionalmente, toda vez que existió un pronunciamiento por parte del </w:t>
      </w:r>
      <w:r w:rsidRPr="00456301">
        <w:rPr>
          <w:rFonts w:ascii="Palatino Linotype" w:hAnsi="Palatino Linotype" w:cs="Arial"/>
          <w:b/>
          <w:sz w:val="24"/>
          <w:szCs w:val="24"/>
          <w:lang w:eastAsia="es-MX"/>
        </w:rPr>
        <w:t>Sujeto Obligado</w:t>
      </w:r>
      <w:r>
        <w:rPr>
          <w:rFonts w:ascii="Palatino Linotype" w:hAnsi="Palatino Linotype" w:cs="Arial"/>
          <w:sz w:val="24"/>
          <w:szCs w:val="24"/>
          <w:lang w:eastAsia="es-MX"/>
        </w:rPr>
        <w:t>, este Órgano Garante estima conveniente señalar que no está facultado para manifestarse sobre la veracidad de la información proporcionada, ya que</w:t>
      </w:r>
      <w:r w:rsidR="0064747D">
        <w:rPr>
          <w:rFonts w:ascii="Palatino Linotype" w:hAnsi="Palatino Linotype" w:cs="Arial"/>
          <w:sz w:val="24"/>
          <w:szCs w:val="24"/>
          <w:lang w:eastAsia="es-MX"/>
        </w:rPr>
        <w:t xml:space="preserve"> no existe precepto legal alguno</w:t>
      </w:r>
      <w:r>
        <w:rPr>
          <w:rFonts w:ascii="Palatino Linotype" w:hAnsi="Palatino Linotype" w:cs="Arial"/>
          <w:sz w:val="24"/>
          <w:szCs w:val="24"/>
          <w:lang w:eastAsia="es-MX"/>
        </w:rPr>
        <w:t xml:space="preserve"> en la Ley de la Materia que permita, vía recurso de revisión, que se pronuncia al respecto. </w:t>
      </w:r>
      <w:r w:rsidR="00BE100C">
        <w:rPr>
          <w:rFonts w:ascii="Palatino Linotype" w:hAnsi="Palatino Linotype" w:cs="Arial"/>
          <w:sz w:val="24"/>
          <w:szCs w:val="24"/>
          <w:lang w:eastAsia="es-MX"/>
        </w:rPr>
        <w:t>Por analogía, sirve de apoyo a lo anterior el Criterio 31-10 emitido por el entonces Instituto Federal de Accesos a la Información y Protección de Datos, que a la letra establece</w:t>
      </w:r>
      <w:r w:rsidR="0064747D">
        <w:rPr>
          <w:rFonts w:ascii="Palatino Linotype" w:hAnsi="Palatino Linotype" w:cs="Arial"/>
          <w:sz w:val="24"/>
          <w:szCs w:val="24"/>
          <w:lang w:eastAsia="es-MX"/>
        </w:rPr>
        <w:t>:</w:t>
      </w:r>
    </w:p>
    <w:p w:rsidR="00BE100C" w:rsidRDefault="00BE100C" w:rsidP="00E50F4B">
      <w:pPr>
        <w:spacing w:line="360" w:lineRule="auto"/>
        <w:jc w:val="both"/>
        <w:rPr>
          <w:rFonts w:ascii="Palatino Linotype" w:hAnsi="Palatino Linotype" w:cs="Arial"/>
          <w:sz w:val="24"/>
          <w:szCs w:val="24"/>
          <w:lang w:eastAsia="es-MX"/>
        </w:rPr>
      </w:pPr>
    </w:p>
    <w:p w:rsidR="00BE100C" w:rsidRPr="0064747D" w:rsidRDefault="00BE100C" w:rsidP="0064747D">
      <w:pPr>
        <w:spacing w:line="240" w:lineRule="auto"/>
        <w:ind w:left="567" w:right="567"/>
        <w:jc w:val="both"/>
        <w:rPr>
          <w:rFonts w:ascii="Palatino Linotype" w:hAnsi="Palatino Linotype" w:cs="Arial"/>
          <w:i/>
          <w:lang w:eastAsia="es-MX"/>
        </w:rPr>
      </w:pPr>
      <w:r w:rsidRPr="0064747D">
        <w:rPr>
          <w:rFonts w:ascii="Palatino Linotype" w:hAnsi="Palatino Linotype" w:cs="Arial"/>
          <w:i/>
          <w:lang w:eastAsia="es-MX"/>
        </w:rPr>
        <w:t>“El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w:t>
      </w:r>
      <w:r w:rsidR="00135494" w:rsidRPr="0064747D">
        <w:rPr>
          <w:rFonts w:ascii="Palatino Linotype" w:hAnsi="Palatino Linotype" w:cs="Arial"/>
          <w:i/>
          <w:lang w:eastAsia="es-MX"/>
        </w:rPr>
        <w:t xml:space="preserve"> a la información; resolver sobre la negativa de las solicitudes de acceso a la información</w:t>
      </w:r>
      <w:r w:rsidR="006E6C81" w:rsidRPr="0064747D">
        <w:rPr>
          <w:rFonts w:ascii="Palatino Linotype" w:hAnsi="Palatino Linotype" w:cs="Arial"/>
          <w:i/>
          <w:lang w:eastAsia="es-MX"/>
        </w:rPr>
        <w:t>;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rsidR="009E2A88" w:rsidRPr="00AF7266" w:rsidRDefault="009E2A88" w:rsidP="002E764B">
      <w:pPr>
        <w:spacing w:after="0" w:line="360" w:lineRule="auto"/>
        <w:jc w:val="both"/>
        <w:rPr>
          <w:rFonts w:ascii="Palatino Linotype" w:hAnsi="Palatino Linotype"/>
          <w:sz w:val="24"/>
        </w:rPr>
      </w:pPr>
    </w:p>
    <w:p w:rsidR="00330B63" w:rsidRDefault="00330B63" w:rsidP="00330B63">
      <w:pPr>
        <w:pStyle w:val="Textoindependiente"/>
        <w:spacing w:line="360" w:lineRule="auto"/>
        <w:jc w:val="both"/>
        <w:rPr>
          <w:rFonts w:ascii="Palatino Linotype" w:hAnsi="Palatino Linotype"/>
          <w:sz w:val="24"/>
          <w:szCs w:val="24"/>
          <w:lang w:val="es-MX"/>
        </w:rPr>
      </w:pPr>
      <w:r>
        <w:rPr>
          <w:rFonts w:ascii="Palatino Linotype" w:hAnsi="Palatino Linotype"/>
          <w:sz w:val="24"/>
          <w:szCs w:val="24"/>
          <w:lang w:val="es-MX"/>
        </w:rPr>
        <w:t xml:space="preserve">Así, en mérito de lo expuesto en líneas anteriores </w:t>
      </w:r>
      <w:r>
        <w:rPr>
          <w:rFonts w:ascii="Palatino Linotype" w:hAnsi="Palatino Linotype"/>
          <w:noProof/>
          <w:sz w:val="24"/>
          <w:szCs w:val="24"/>
          <w:lang w:val="es-MX" w:eastAsia="es-MX"/>
        </w:rPr>
        <w:t>resultan infundadas las razones o motivo</w:t>
      </w:r>
      <w:r w:rsidR="00657A7C">
        <w:rPr>
          <w:rFonts w:ascii="Palatino Linotype" w:hAnsi="Palatino Linotype"/>
          <w:noProof/>
          <w:sz w:val="24"/>
          <w:szCs w:val="24"/>
          <w:lang w:val="es-MX" w:eastAsia="es-MX"/>
        </w:rPr>
        <w:t>s de inconformidad que arguye la</w:t>
      </w:r>
      <w:r>
        <w:rPr>
          <w:rFonts w:ascii="Palatino Linotype" w:hAnsi="Palatino Linotype"/>
          <w:noProof/>
          <w:sz w:val="24"/>
          <w:szCs w:val="24"/>
          <w:lang w:val="es-MX" w:eastAsia="es-MX"/>
        </w:rPr>
        <w:t xml:space="preserve"> </w:t>
      </w:r>
      <w:r>
        <w:rPr>
          <w:rFonts w:ascii="Palatino Linotype" w:hAnsi="Palatino Linotype"/>
          <w:b/>
          <w:noProof/>
          <w:sz w:val="24"/>
          <w:szCs w:val="24"/>
          <w:lang w:val="es-MX" w:eastAsia="es-MX"/>
        </w:rPr>
        <w:t>Recurrente</w:t>
      </w:r>
      <w:r>
        <w:rPr>
          <w:rFonts w:ascii="Palatino Linotype" w:hAnsi="Palatino Linotype"/>
          <w:noProof/>
          <w:sz w:val="24"/>
          <w:szCs w:val="24"/>
          <w:lang w:val="es-MX" w:eastAsia="es-MX"/>
        </w:rPr>
        <w:t xml:space="preserve">; </w:t>
      </w:r>
      <w:r>
        <w:rPr>
          <w:rFonts w:ascii="Palatino Linotype" w:hAnsi="Palatino Linotype"/>
          <w:sz w:val="24"/>
          <w:szCs w:val="24"/>
          <w:lang w:val="es-MX"/>
        </w:rPr>
        <w:t xml:space="preserve">por ello, con fundamento en el artículo 186 fracción II de la Ley de Transparencia y Acceso a la Información Pública </w:t>
      </w:r>
      <w:r>
        <w:rPr>
          <w:rFonts w:ascii="Palatino Linotype" w:hAnsi="Palatino Linotype"/>
          <w:sz w:val="24"/>
          <w:szCs w:val="24"/>
          <w:lang w:val="es-MX"/>
        </w:rPr>
        <w:lastRenderedPageBreak/>
        <w:t xml:space="preserve">del Estado de México y Municipios, se </w:t>
      </w:r>
      <w:r>
        <w:rPr>
          <w:rFonts w:ascii="Palatino Linotype" w:hAnsi="Palatino Linotype"/>
          <w:b/>
          <w:sz w:val="24"/>
          <w:szCs w:val="24"/>
          <w:lang w:val="es-MX"/>
        </w:rPr>
        <w:t>CONFIRMA</w:t>
      </w:r>
      <w:r>
        <w:rPr>
          <w:rFonts w:ascii="Palatino Linotype" w:hAnsi="Palatino Linotype"/>
          <w:sz w:val="24"/>
          <w:szCs w:val="24"/>
          <w:lang w:val="es-MX"/>
        </w:rPr>
        <w:t xml:space="preserve"> la respuesta a la solicitud de información pública </w:t>
      </w:r>
      <w:r w:rsidR="00657A7C" w:rsidRPr="00657A7C">
        <w:rPr>
          <w:rFonts w:ascii="Palatino Linotype" w:hAnsi="Palatino Linotype"/>
          <w:b/>
          <w:sz w:val="24"/>
          <w:szCs w:val="24"/>
          <w:lang w:val="es-MX"/>
        </w:rPr>
        <w:t>00245/GUBERNA/IP/2018</w:t>
      </w:r>
      <w:r w:rsidR="00657A7C">
        <w:rPr>
          <w:rFonts w:ascii="Palatino Linotype" w:hAnsi="Palatino Linotype"/>
          <w:b/>
          <w:sz w:val="24"/>
          <w:szCs w:val="24"/>
          <w:lang w:val="es-MX"/>
        </w:rPr>
        <w:t xml:space="preserve"> </w:t>
      </w:r>
      <w:r>
        <w:rPr>
          <w:rFonts w:ascii="Palatino Linotype" w:hAnsi="Palatino Linotype"/>
          <w:bCs/>
          <w:sz w:val="24"/>
          <w:szCs w:val="24"/>
          <w:lang w:val="es-MX"/>
        </w:rPr>
        <w:t>que ha sido materia del presente fallo</w:t>
      </w:r>
      <w:r>
        <w:rPr>
          <w:rFonts w:ascii="Palatino Linotype" w:hAnsi="Palatino Linotype"/>
          <w:sz w:val="24"/>
          <w:szCs w:val="24"/>
          <w:lang w:val="es-MX"/>
        </w:rPr>
        <w:t>, por lo que este Pleno:</w:t>
      </w:r>
    </w:p>
    <w:p w:rsidR="00330B63" w:rsidRDefault="00330B63" w:rsidP="00330B63">
      <w:pPr>
        <w:pStyle w:val="Textoindependiente"/>
        <w:spacing w:line="360" w:lineRule="auto"/>
        <w:jc w:val="both"/>
        <w:rPr>
          <w:rFonts w:ascii="Palatino Linotype" w:hAnsi="Palatino Linotype"/>
          <w:sz w:val="24"/>
          <w:szCs w:val="24"/>
          <w:lang w:val="es-MX"/>
        </w:rPr>
      </w:pPr>
    </w:p>
    <w:p w:rsidR="00657A7C" w:rsidRDefault="00657A7C" w:rsidP="00330B63">
      <w:pPr>
        <w:pStyle w:val="Textoindependiente"/>
        <w:spacing w:line="360" w:lineRule="auto"/>
        <w:jc w:val="both"/>
        <w:rPr>
          <w:rFonts w:ascii="Palatino Linotype" w:hAnsi="Palatino Linotype"/>
          <w:sz w:val="24"/>
          <w:szCs w:val="24"/>
          <w:lang w:val="es-MX"/>
        </w:rPr>
      </w:pPr>
    </w:p>
    <w:p w:rsidR="00657A7C" w:rsidRPr="00657A7C" w:rsidRDefault="00657A7C" w:rsidP="00657A7C">
      <w:pPr>
        <w:spacing w:after="0" w:line="360" w:lineRule="auto"/>
        <w:jc w:val="center"/>
        <w:rPr>
          <w:rFonts w:ascii="Palatino Linotype" w:eastAsia="Calibri" w:hAnsi="Palatino Linotype" w:cs="Times New Roman"/>
          <w:b/>
          <w:sz w:val="28"/>
          <w:szCs w:val="24"/>
          <w:lang w:val="pt-BR"/>
        </w:rPr>
      </w:pPr>
      <w:r w:rsidRPr="00657A7C">
        <w:rPr>
          <w:rFonts w:ascii="Palatino Linotype" w:eastAsia="Calibri" w:hAnsi="Palatino Linotype" w:cs="Times New Roman"/>
          <w:b/>
          <w:sz w:val="28"/>
          <w:szCs w:val="24"/>
          <w:lang w:val="pt-BR"/>
        </w:rPr>
        <w:t>S E   R E S U E L V E</w:t>
      </w:r>
    </w:p>
    <w:p w:rsidR="00657A7C" w:rsidRPr="00657A7C" w:rsidRDefault="00657A7C" w:rsidP="00657A7C">
      <w:pPr>
        <w:spacing w:after="0" w:line="360" w:lineRule="auto"/>
        <w:jc w:val="center"/>
        <w:rPr>
          <w:rFonts w:ascii="Palatino Linotype" w:eastAsia="Calibri" w:hAnsi="Palatino Linotype" w:cs="Times New Roman"/>
          <w:b/>
          <w:sz w:val="24"/>
          <w:szCs w:val="24"/>
          <w:lang w:val="pt-BR"/>
        </w:rPr>
      </w:pP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r w:rsidRPr="00657A7C">
        <w:rPr>
          <w:rFonts w:ascii="Palatino Linotype" w:eastAsia="Calibri" w:hAnsi="Palatino Linotype" w:cs="Arial"/>
          <w:b/>
          <w:sz w:val="28"/>
          <w:szCs w:val="24"/>
        </w:rPr>
        <w:t>PRIMERO</w:t>
      </w:r>
      <w:r w:rsidRPr="00657A7C">
        <w:rPr>
          <w:rFonts w:ascii="Palatino Linotype" w:eastAsia="Calibri" w:hAnsi="Palatino Linotype" w:cs="Arial"/>
          <w:b/>
          <w:sz w:val="24"/>
          <w:szCs w:val="24"/>
        </w:rPr>
        <w:t xml:space="preserve">. </w:t>
      </w:r>
      <w:r w:rsidRPr="00657A7C">
        <w:rPr>
          <w:rFonts w:ascii="Palatino Linotype" w:eastAsia="Calibri" w:hAnsi="Palatino Linotype" w:cs="Arial"/>
          <w:sz w:val="24"/>
          <w:szCs w:val="24"/>
        </w:rPr>
        <w:t xml:space="preserve">Se </w:t>
      </w:r>
      <w:r w:rsidRPr="00657A7C">
        <w:rPr>
          <w:rFonts w:ascii="Palatino Linotype" w:eastAsia="Calibri" w:hAnsi="Palatino Linotype" w:cs="Arial"/>
          <w:b/>
          <w:sz w:val="24"/>
          <w:szCs w:val="24"/>
        </w:rPr>
        <w:t>CONFIRMA</w:t>
      </w:r>
      <w:r w:rsidRPr="00657A7C">
        <w:rPr>
          <w:rFonts w:ascii="Palatino Linotype" w:eastAsia="Calibri" w:hAnsi="Palatino Linotype" w:cs="Arial"/>
          <w:sz w:val="24"/>
          <w:szCs w:val="24"/>
        </w:rPr>
        <w:t xml:space="preserve"> la respuesta del </w:t>
      </w:r>
      <w:r>
        <w:rPr>
          <w:rFonts w:ascii="Palatino Linotype" w:eastAsia="Calibri" w:hAnsi="Palatino Linotype" w:cs="Arial"/>
          <w:b/>
          <w:sz w:val="24"/>
          <w:szCs w:val="24"/>
        </w:rPr>
        <w:t>Sujeto O</w:t>
      </w:r>
      <w:r w:rsidRPr="00657A7C">
        <w:rPr>
          <w:rFonts w:ascii="Palatino Linotype" w:eastAsia="Calibri" w:hAnsi="Palatino Linotype" w:cs="Arial"/>
          <w:b/>
          <w:sz w:val="24"/>
          <w:szCs w:val="24"/>
        </w:rPr>
        <w:t xml:space="preserve">bligado </w:t>
      </w:r>
      <w:r w:rsidRPr="00657A7C">
        <w:rPr>
          <w:rFonts w:ascii="Palatino Linotype" w:eastAsia="Calibri" w:hAnsi="Palatino Linotype" w:cs="Arial"/>
          <w:bCs/>
          <w:sz w:val="24"/>
          <w:szCs w:val="24"/>
        </w:rPr>
        <w:t xml:space="preserve">a la solicitud de información </w:t>
      </w:r>
      <w:r w:rsidRPr="00657A7C">
        <w:rPr>
          <w:rFonts w:ascii="Palatino Linotype" w:eastAsia="Calibri" w:hAnsi="Palatino Linotype" w:cs="Arial"/>
          <w:b/>
          <w:sz w:val="24"/>
          <w:szCs w:val="24"/>
        </w:rPr>
        <w:t>00245/GUBERNA/IP/2018,</w:t>
      </w:r>
      <w:r w:rsidRPr="00657A7C">
        <w:rPr>
          <w:rFonts w:ascii="Palatino Linotype" w:eastAsia="Calibri" w:hAnsi="Palatino Linotype" w:cs="Arial"/>
          <w:bCs/>
          <w:sz w:val="24"/>
          <w:szCs w:val="24"/>
        </w:rPr>
        <w:t xml:space="preserve"> </w:t>
      </w:r>
      <w:r w:rsidRPr="00657A7C">
        <w:rPr>
          <w:rFonts w:ascii="Palatino Linotype" w:eastAsia="Calibri" w:hAnsi="Palatino Linotype" w:cs="Arial"/>
          <w:sz w:val="24"/>
          <w:szCs w:val="24"/>
          <w:lang w:val="es-ES_tradnl"/>
        </w:rPr>
        <w:t xml:space="preserve">por resultar </w:t>
      </w:r>
      <w:r w:rsidRPr="00657A7C">
        <w:rPr>
          <w:rFonts w:ascii="Palatino Linotype" w:eastAsia="Calibri" w:hAnsi="Palatino Linotype" w:cs="Arial"/>
          <w:sz w:val="24"/>
          <w:szCs w:val="24"/>
        </w:rPr>
        <w:t xml:space="preserve">infundadas las razones o motivos de inconformidad hechos valer por la </w:t>
      </w:r>
      <w:r>
        <w:rPr>
          <w:rFonts w:ascii="Palatino Linotype" w:eastAsia="Calibri" w:hAnsi="Palatino Linotype" w:cs="Arial"/>
          <w:b/>
          <w:sz w:val="24"/>
          <w:szCs w:val="24"/>
        </w:rPr>
        <w:t>R</w:t>
      </w:r>
      <w:r w:rsidRPr="00657A7C">
        <w:rPr>
          <w:rFonts w:ascii="Palatino Linotype" w:eastAsia="Calibri" w:hAnsi="Palatino Linotype" w:cs="Arial"/>
          <w:b/>
          <w:sz w:val="24"/>
          <w:szCs w:val="24"/>
        </w:rPr>
        <w:t>ecurrente</w:t>
      </w:r>
      <w:r w:rsidRPr="00657A7C">
        <w:rPr>
          <w:rFonts w:ascii="Palatino Linotype" w:eastAsia="Calibri" w:hAnsi="Palatino Linotype" w:cs="Arial"/>
          <w:sz w:val="24"/>
          <w:szCs w:val="24"/>
        </w:rPr>
        <w:t xml:space="preserve">, en términos del Considerando </w:t>
      </w:r>
      <w:r w:rsidRPr="00657A7C">
        <w:rPr>
          <w:rFonts w:ascii="Palatino Linotype" w:eastAsia="Calibri" w:hAnsi="Palatino Linotype" w:cs="Arial"/>
          <w:b/>
          <w:sz w:val="24"/>
          <w:szCs w:val="24"/>
        </w:rPr>
        <w:t xml:space="preserve">CUARTO </w:t>
      </w:r>
      <w:r w:rsidRPr="00657A7C">
        <w:rPr>
          <w:rFonts w:ascii="Palatino Linotype" w:eastAsia="Calibri" w:hAnsi="Palatino Linotype" w:cs="Arial"/>
          <w:sz w:val="24"/>
          <w:szCs w:val="24"/>
        </w:rPr>
        <w:t>de esta resolución.</w:t>
      </w: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r w:rsidRPr="00657A7C">
        <w:rPr>
          <w:rFonts w:ascii="Palatino Linotype" w:eastAsia="Calibri" w:hAnsi="Palatino Linotype" w:cs="Arial"/>
          <w:b/>
          <w:sz w:val="28"/>
          <w:szCs w:val="24"/>
        </w:rPr>
        <w:t>SEGUNDO</w:t>
      </w:r>
      <w:r w:rsidRPr="00657A7C">
        <w:rPr>
          <w:rFonts w:ascii="Palatino Linotype" w:eastAsia="Calibri" w:hAnsi="Palatino Linotype" w:cs="Arial"/>
          <w:b/>
          <w:sz w:val="24"/>
          <w:szCs w:val="24"/>
        </w:rPr>
        <w:t>.</w:t>
      </w:r>
      <w:r w:rsidRPr="00657A7C">
        <w:rPr>
          <w:rFonts w:ascii="Palatino Linotype" w:eastAsia="Calibri" w:hAnsi="Palatino Linotype" w:cs="Arial"/>
          <w:sz w:val="24"/>
          <w:szCs w:val="24"/>
        </w:rPr>
        <w:t xml:space="preserve"> </w:t>
      </w:r>
      <w:r w:rsidRPr="00657A7C">
        <w:rPr>
          <w:rFonts w:ascii="Palatino Linotype" w:eastAsia="Calibri" w:hAnsi="Palatino Linotype" w:cs="Arial"/>
          <w:b/>
          <w:sz w:val="24"/>
          <w:szCs w:val="24"/>
        </w:rPr>
        <w:t>NOTIFÍQUESE</w:t>
      </w:r>
      <w:r w:rsidRPr="00657A7C">
        <w:rPr>
          <w:rFonts w:ascii="Palatino Linotype" w:eastAsia="Calibri" w:hAnsi="Palatino Linotype" w:cs="Arial"/>
          <w:sz w:val="24"/>
          <w:szCs w:val="24"/>
        </w:rPr>
        <w:t xml:space="preserve"> la presente resolución</w:t>
      </w:r>
      <w:r w:rsidRPr="00657A7C">
        <w:rPr>
          <w:rFonts w:ascii="Palatino Linotype" w:eastAsia="Times New Roman" w:hAnsi="Palatino Linotype" w:cs="Arial"/>
          <w:bCs/>
          <w:lang w:eastAsia="es-MX"/>
        </w:rPr>
        <w:t xml:space="preserve"> vía</w:t>
      </w:r>
      <w:r w:rsidRPr="00657A7C">
        <w:rPr>
          <w:rFonts w:ascii="Palatino Linotype" w:eastAsia="Calibri" w:hAnsi="Palatino Linotype" w:cs="Arial"/>
          <w:sz w:val="24"/>
          <w:szCs w:val="24"/>
        </w:rPr>
        <w:t xml:space="preserve"> </w:t>
      </w:r>
      <w:r w:rsidRPr="00657A7C">
        <w:rPr>
          <w:rFonts w:ascii="Palatino Linotype" w:eastAsia="Calibri" w:hAnsi="Palatino Linotype" w:cs="Arial"/>
          <w:b/>
          <w:sz w:val="24"/>
          <w:szCs w:val="24"/>
        </w:rPr>
        <w:t>SAIMEX</w:t>
      </w:r>
      <w:r w:rsidRPr="00657A7C">
        <w:rPr>
          <w:rFonts w:ascii="Palatino Linotype" w:eastAsia="Calibri" w:hAnsi="Palatino Linotype" w:cs="Arial"/>
          <w:sz w:val="24"/>
          <w:szCs w:val="24"/>
        </w:rPr>
        <w:t xml:space="preserve">, al Titular de la Unidad de Transparencia del </w:t>
      </w:r>
      <w:r>
        <w:rPr>
          <w:rFonts w:ascii="Palatino Linotype" w:eastAsia="Calibri" w:hAnsi="Palatino Linotype" w:cs="Arial"/>
          <w:b/>
          <w:sz w:val="24"/>
          <w:szCs w:val="24"/>
        </w:rPr>
        <w:t>Sujeto O</w:t>
      </w:r>
      <w:r w:rsidRPr="00657A7C">
        <w:rPr>
          <w:rFonts w:ascii="Palatino Linotype" w:eastAsia="Calibri" w:hAnsi="Palatino Linotype" w:cs="Arial"/>
          <w:b/>
          <w:sz w:val="24"/>
          <w:szCs w:val="24"/>
        </w:rPr>
        <w:t>bligado</w:t>
      </w:r>
      <w:r w:rsidRPr="00657A7C">
        <w:rPr>
          <w:rFonts w:ascii="Palatino Linotype" w:eastAsia="Calibri" w:hAnsi="Palatino Linotype" w:cs="Arial"/>
          <w:sz w:val="24"/>
          <w:szCs w:val="24"/>
        </w:rPr>
        <w:t>.</w:t>
      </w:r>
    </w:p>
    <w:p w:rsidR="00657A7C" w:rsidRPr="00657A7C" w:rsidRDefault="00657A7C" w:rsidP="00657A7C">
      <w:pPr>
        <w:tabs>
          <w:tab w:val="left" w:pos="8647"/>
        </w:tabs>
        <w:spacing w:after="0" w:line="360" w:lineRule="auto"/>
        <w:jc w:val="both"/>
        <w:rPr>
          <w:rFonts w:ascii="Palatino Linotype" w:eastAsia="Calibri" w:hAnsi="Palatino Linotype" w:cs="Arial"/>
          <w:sz w:val="24"/>
          <w:szCs w:val="24"/>
        </w:rPr>
      </w:pPr>
    </w:p>
    <w:p w:rsidR="00657A7C" w:rsidRPr="00657A7C" w:rsidRDefault="00657A7C" w:rsidP="00657A7C">
      <w:pPr>
        <w:spacing w:after="0" w:line="360" w:lineRule="auto"/>
        <w:jc w:val="both"/>
        <w:rPr>
          <w:rFonts w:ascii="Palatino Linotype" w:eastAsia="Calibri" w:hAnsi="Palatino Linotype" w:cs="Arial"/>
          <w:sz w:val="24"/>
          <w:szCs w:val="24"/>
        </w:rPr>
      </w:pPr>
      <w:r w:rsidRPr="00657A7C">
        <w:rPr>
          <w:rFonts w:ascii="Palatino Linotype" w:eastAsia="Calibri" w:hAnsi="Palatino Linotype" w:cs="Arial"/>
          <w:b/>
          <w:sz w:val="28"/>
          <w:szCs w:val="24"/>
        </w:rPr>
        <w:t>TERCERO</w:t>
      </w:r>
      <w:r w:rsidRPr="00657A7C">
        <w:rPr>
          <w:rFonts w:ascii="Palatino Linotype" w:eastAsia="Calibri" w:hAnsi="Palatino Linotype" w:cs="Arial"/>
          <w:b/>
          <w:sz w:val="24"/>
          <w:szCs w:val="24"/>
        </w:rPr>
        <w:t>.</w:t>
      </w:r>
      <w:r w:rsidRPr="00657A7C">
        <w:rPr>
          <w:rFonts w:ascii="Palatino Linotype" w:eastAsia="Calibri" w:hAnsi="Palatino Linotype" w:cs="Arial"/>
          <w:sz w:val="24"/>
          <w:szCs w:val="24"/>
        </w:rPr>
        <w:t xml:space="preserve"> </w:t>
      </w:r>
      <w:r w:rsidRPr="00657A7C">
        <w:rPr>
          <w:rFonts w:ascii="Palatino Linotype" w:eastAsia="Calibri" w:hAnsi="Palatino Linotype" w:cs="Arial"/>
          <w:b/>
          <w:sz w:val="24"/>
          <w:szCs w:val="24"/>
        </w:rPr>
        <w:t>NOTIFÍQUESE</w:t>
      </w:r>
      <w:r>
        <w:rPr>
          <w:rFonts w:ascii="Palatino Linotype" w:eastAsia="Calibri" w:hAnsi="Palatino Linotype" w:cs="Arial"/>
          <w:sz w:val="24"/>
          <w:szCs w:val="24"/>
        </w:rPr>
        <w:t xml:space="preserve"> a la</w:t>
      </w:r>
      <w:r w:rsidRPr="00657A7C">
        <w:rPr>
          <w:rFonts w:ascii="Palatino Linotype" w:eastAsia="Calibri" w:hAnsi="Palatino Linotype" w:cs="Arial"/>
          <w:sz w:val="24"/>
          <w:szCs w:val="24"/>
        </w:rPr>
        <w:t xml:space="preserve"> </w:t>
      </w:r>
      <w:r>
        <w:rPr>
          <w:rFonts w:ascii="Palatino Linotype" w:eastAsia="Calibri" w:hAnsi="Palatino Linotype" w:cs="Arial"/>
          <w:b/>
          <w:sz w:val="24"/>
          <w:szCs w:val="24"/>
        </w:rPr>
        <w:t>R</w:t>
      </w:r>
      <w:r w:rsidRPr="00657A7C">
        <w:rPr>
          <w:rFonts w:ascii="Palatino Linotype" w:eastAsia="Calibri" w:hAnsi="Palatino Linotype" w:cs="Arial"/>
          <w:b/>
          <w:sz w:val="24"/>
          <w:szCs w:val="24"/>
        </w:rPr>
        <w:t xml:space="preserve">ecurrente </w:t>
      </w:r>
      <w:r w:rsidRPr="00657A7C">
        <w:rPr>
          <w:rFonts w:ascii="Palatino Linotype" w:eastAsia="Calibri" w:hAnsi="Palatino Linotype" w:cs="Arial"/>
          <w:sz w:val="24"/>
          <w:szCs w:val="24"/>
        </w:rPr>
        <w:t>la presente resolución, así como el informe justificado.</w:t>
      </w:r>
    </w:p>
    <w:p w:rsidR="00657A7C" w:rsidRPr="00657A7C" w:rsidRDefault="00657A7C" w:rsidP="00657A7C">
      <w:pPr>
        <w:spacing w:after="0" w:line="360" w:lineRule="auto"/>
        <w:jc w:val="both"/>
        <w:rPr>
          <w:rFonts w:ascii="Palatino Linotype" w:eastAsia="Calibri" w:hAnsi="Palatino Linotype" w:cs="Arial"/>
          <w:sz w:val="24"/>
          <w:szCs w:val="24"/>
        </w:rPr>
      </w:pPr>
    </w:p>
    <w:p w:rsidR="00657A7C" w:rsidRPr="00657A7C" w:rsidRDefault="00657A7C" w:rsidP="00657A7C">
      <w:pPr>
        <w:spacing w:after="0" w:line="360" w:lineRule="auto"/>
        <w:jc w:val="both"/>
        <w:rPr>
          <w:rFonts w:ascii="Palatino Linotype" w:eastAsia="Calibri" w:hAnsi="Palatino Linotype" w:cs="Arial"/>
          <w:sz w:val="24"/>
          <w:szCs w:val="24"/>
        </w:rPr>
      </w:pPr>
      <w:r w:rsidRPr="00657A7C">
        <w:rPr>
          <w:rFonts w:ascii="Palatino Linotype" w:eastAsia="Calibri" w:hAnsi="Palatino Linotype" w:cs="Arial"/>
          <w:b/>
          <w:sz w:val="28"/>
          <w:szCs w:val="24"/>
        </w:rPr>
        <w:t xml:space="preserve">CUARTO. HÁGASE </w:t>
      </w:r>
      <w:r>
        <w:rPr>
          <w:rFonts w:ascii="Palatino Linotype" w:eastAsia="Calibri" w:hAnsi="Palatino Linotype" w:cs="Arial"/>
          <w:sz w:val="24"/>
          <w:szCs w:val="24"/>
        </w:rPr>
        <w:t>del conocimiento de la</w:t>
      </w:r>
      <w:r w:rsidRPr="00657A7C">
        <w:rPr>
          <w:rFonts w:ascii="Palatino Linotype" w:eastAsia="Calibri" w:hAnsi="Palatino Linotype" w:cs="Arial"/>
          <w:sz w:val="24"/>
          <w:szCs w:val="24"/>
        </w:rPr>
        <w:t xml:space="preserve"> </w:t>
      </w:r>
      <w:r>
        <w:rPr>
          <w:rFonts w:ascii="Palatino Linotype" w:eastAsia="Calibri" w:hAnsi="Palatino Linotype" w:cs="Arial"/>
          <w:b/>
          <w:sz w:val="24"/>
          <w:szCs w:val="24"/>
        </w:rPr>
        <w:t>R</w:t>
      </w:r>
      <w:r w:rsidRPr="00657A7C">
        <w:rPr>
          <w:rFonts w:ascii="Palatino Linotype" w:eastAsia="Calibri" w:hAnsi="Palatino Linotype" w:cs="Arial"/>
          <w:b/>
          <w:sz w:val="24"/>
          <w:szCs w:val="24"/>
        </w:rPr>
        <w:t>ecurrente</w:t>
      </w:r>
      <w:r w:rsidRPr="00657A7C">
        <w:rPr>
          <w:rFonts w:ascii="Palatino Linotype" w:eastAsia="Calibri" w:hAnsi="Palatino Linotype" w:cs="Arial"/>
          <w:sz w:val="24"/>
          <w:szCs w:val="24"/>
        </w:rPr>
        <w:t xml:space="preserve">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rsidR="00657A7C" w:rsidRPr="00657A7C" w:rsidRDefault="00657A7C" w:rsidP="00657A7C">
      <w:pPr>
        <w:spacing w:after="0" w:line="360" w:lineRule="auto"/>
        <w:jc w:val="both"/>
        <w:rPr>
          <w:rFonts w:ascii="Palatino Linotype" w:eastAsia="Calibri" w:hAnsi="Palatino Linotype" w:cs="Times New Roman"/>
          <w:sz w:val="24"/>
          <w:szCs w:val="24"/>
        </w:rPr>
      </w:pPr>
      <w:r w:rsidRPr="00657A7C">
        <w:rPr>
          <w:rFonts w:ascii="Palatino Linotype" w:eastAsia="Calibri" w:hAnsi="Palatino Linotype" w:cs="Arial"/>
          <w:sz w:val="24"/>
          <w:szCs w:val="24"/>
        </w:rPr>
        <w:lastRenderedPageBreak/>
        <w:t>ASÍ LO RESUELVE, POR UNANIMIDAD DE VOTOS, EL PLENO DEL</w:t>
      </w:r>
      <w:r w:rsidRPr="00657A7C">
        <w:rPr>
          <w:rFonts w:ascii="Palatino Linotype" w:eastAsia="Arial Unicode MS" w:hAnsi="Palatino Linotype" w:cs="Arial"/>
          <w:sz w:val="24"/>
          <w:szCs w:val="24"/>
        </w:rPr>
        <w:t xml:space="preserve"> INSTITUT</w:t>
      </w:r>
      <w:bookmarkStart w:id="0" w:name="_GoBack"/>
      <w:bookmarkEnd w:id="0"/>
      <w:r w:rsidRPr="00657A7C">
        <w:rPr>
          <w:rFonts w:ascii="Palatino Linotype" w:eastAsia="Arial Unicode MS" w:hAnsi="Palatino Linotype" w:cs="Arial"/>
          <w:sz w:val="24"/>
          <w:szCs w:val="24"/>
        </w:rPr>
        <w:t>O DE TRANSPARENCIA, ACCESO A LA INFORMACIÓN PÚBLICA Y PROTECCIÓN DE DATOS PERSONALES DEL ESTADO DE MÉXICO Y MUNICIPIOS</w:t>
      </w:r>
      <w:r w:rsidRPr="00657A7C">
        <w:rPr>
          <w:rFonts w:ascii="Palatino Linotype" w:eastAsia="Calibri" w:hAnsi="Palatino Linotype" w:cs="Arial"/>
          <w:sz w:val="24"/>
          <w:szCs w:val="24"/>
        </w:rPr>
        <w:t>, CONFORMADO POR LOS COMISIONADOS ZULEMA MARTÍNEZ SÁNCHEZ, EVA ABAID YAPUR, JOSÉ GUADALUPE LUNA H</w:t>
      </w:r>
      <w:r w:rsidR="00D3484A">
        <w:rPr>
          <w:rFonts w:ascii="Palatino Linotype" w:eastAsia="Calibri" w:hAnsi="Palatino Linotype" w:cs="Arial"/>
          <w:sz w:val="24"/>
          <w:szCs w:val="24"/>
        </w:rPr>
        <w:t>ERNÁNDEZ, JAVIER MARTÍNEZ CRUZ Y</w:t>
      </w:r>
      <w:r w:rsidRPr="00657A7C">
        <w:rPr>
          <w:rFonts w:ascii="Palatino Linotype" w:eastAsia="Calibri" w:hAnsi="Palatino Linotype" w:cs="Arial"/>
          <w:sz w:val="24"/>
          <w:szCs w:val="24"/>
        </w:rPr>
        <w:t xml:space="preserve"> LUIS GUSTAVO PARRA NORIEGA EN LA </w:t>
      </w:r>
      <w:r>
        <w:rPr>
          <w:rFonts w:ascii="Palatino Linotype" w:eastAsia="Calibri" w:hAnsi="Palatino Linotype" w:cs="Arial"/>
          <w:sz w:val="24"/>
          <w:szCs w:val="24"/>
        </w:rPr>
        <w:t>CUARTA</w:t>
      </w:r>
      <w:r w:rsidRPr="00657A7C">
        <w:rPr>
          <w:rFonts w:ascii="Palatino Linotype" w:eastAsia="Calibri" w:hAnsi="Palatino Linotype" w:cs="Arial"/>
          <w:sz w:val="24"/>
          <w:szCs w:val="24"/>
        </w:rPr>
        <w:t xml:space="preserve"> SESIÓN ORDINARIA CELEBRADA EL </w:t>
      </w:r>
      <w:r>
        <w:rPr>
          <w:rFonts w:ascii="Palatino Linotype" w:eastAsia="Calibri" w:hAnsi="Palatino Linotype" w:cs="Arial"/>
          <w:sz w:val="24"/>
          <w:szCs w:val="24"/>
        </w:rPr>
        <w:t>TREINTA</w:t>
      </w:r>
      <w:r w:rsidRPr="00657A7C">
        <w:rPr>
          <w:rFonts w:ascii="Palatino Linotype" w:eastAsia="Calibri" w:hAnsi="Palatino Linotype" w:cs="Arial"/>
          <w:sz w:val="24"/>
          <w:szCs w:val="24"/>
        </w:rPr>
        <w:t xml:space="preserve"> DE </w:t>
      </w:r>
      <w:r>
        <w:rPr>
          <w:rFonts w:ascii="Palatino Linotype" w:eastAsia="Calibri" w:hAnsi="Palatino Linotype" w:cs="Arial"/>
          <w:sz w:val="24"/>
          <w:szCs w:val="24"/>
        </w:rPr>
        <w:t>ENERO</w:t>
      </w:r>
      <w:r w:rsidRPr="00657A7C">
        <w:rPr>
          <w:rFonts w:ascii="Palatino Linotype" w:eastAsia="Calibri" w:hAnsi="Palatino Linotype" w:cs="Arial"/>
          <w:sz w:val="24"/>
          <w:szCs w:val="24"/>
        </w:rPr>
        <w:t xml:space="preserve"> DE DOS MIL DIECI</w:t>
      </w:r>
      <w:r>
        <w:rPr>
          <w:rFonts w:ascii="Palatino Linotype" w:eastAsia="Calibri" w:hAnsi="Palatino Linotype" w:cs="Arial"/>
          <w:sz w:val="24"/>
          <w:szCs w:val="24"/>
        </w:rPr>
        <w:t>NUEVE</w:t>
      </w:r>
      <w:r w:rsidRPr="00657A7C">
        <w:rPr>
          <w:rFonts w:ascii="Palatino Linotype" w:eastAsia="Calibri" w:hAnsi="Palatino Linotype" w:cs="Arial"/>
          <w:sz w:val="24"/>
          <w:szCs w:val="24"/>
        </w:rPr>
        <w:t>, ANTE EL SECRETARIO TÉCNICO DEL PLENO, ALEXIS TAPIA RAMÍREZ.-------------------------------------------------------------------------------------------------------------------------------------------------------------------------------------------------------------------------------------------- ---------------------------------------------------------------------------------------------------------------------------------------------------------------------------------------------------------------------------------------------------------------------------------------------------------------------------------------------------------------------------------------------------------------------------------------------------------------------------------------------------------------------------------------------------------------------------------------------------------------------------------------------------------------------------------------------------------------------------------------------------------------------------------------------------------------------------------------------------------------------------------------------------------------------------------------------</w:t>
      </w:r>
      <w:r>
        <w:rPr>
          <w:rFonts w:ascii="Palatino Linotype" w:eastAsia="Calibri" w:hAnsi="Palatino Linotype" w:cs="Arial"/>
          <w:sz w:val="24"/>
          <w:szCs w:val="24"/>
        </w:rPr>
        <w:t>----------------------------------------------------------------------------------------------------------------------------------------------------------------------------------------------------------------------------------------------------------------------------------------------------------------------------------------------------------------------------------------------------------------------------------------------------------</w:t>
      </w:r>
      <w:r w:rsidR="00597707">
        <w:rPr>
          <w:rFonts w:ascii="Palatino Linotype" w:eastAsia="Calibri" w:hAnsi="Palatino Linotype" w:cs="Arial"/>
          <w:sz w:val="24"/>
          <w:szCs w:val="24"/>
        </w:rPr>
        <w:t>-----</w:t>
      </w:r>
      <w:r w:rsidR="00D3484A">
        <w:rPr>
          <w:rFonts w:ascii="Palatino Linotype" w:eastAsia="Calibri" w:hAnsi="Palatino Linotype" w:cs="Arial"/>
          <w:sz w:val="24"/>
          <w:szCs w:val="24"/>
        </w:rPr>
        <w:t>----------------------------------------------------------------------------------------------------------------------------------------------------------------------------------------------------------------------------------</w:t>
      </w:r>
    </w:p>
    <w:tbl>
      <w:tblPr>
        <w:tblStyle w:val="Tablaconcuadrcula1"/>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57A7C" w:rsidRPr="00657A7C" w:rsidTr="00657A7C">
        <w:trPr>
          <w:jc w:val="center"/>
        </w:trPr>
        <w:tc>
          <w:tcPr>
            <w:tcW w:w="9062" w:type="dxa"/>
            <w:gridSpan w:val="2"/>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Zulema Martínez Sánchez</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Comisionada Presidenta</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color w:val="FFFFFF" w:themeColor="background1"/>
                <w:lang w:val="es-ES_tradnl"/>
              </w:rPr>
              <w:t>(Rúbrica)</w:t>
            </w:r>
          </w:p>
        </w:tc>
      </w:tr>
      <w:tr w:rsidR="00657A7C" w:rsidRPr="00657A7C" w:rsidTr="00657A7C">
        <w:trPr>
          <w:jc w:val="center"/>
        </w:trPr>
        <w:tc>
          <w:tcPr>
            <w:tcW w:w="4531" w:type="dxa"/>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Eva Abaid Yapur</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Comisionada</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b/>
                <w:lang w:val="es-ES_tradnl"/>
              </w:rPr>
            </w:pPr>
            <w:r w:rsidRPr="00657A7C">
              <w:rPr>
                <w:rFonts w:ascii="Palatino Linotype" w:eastAsia="Times New Roman" w:hAnsi="Palatino Linotype"/>
                <w:b/>
                <w:lang w:val="es-ES_tradnl"/>
              </w:rPr>
              <w:t>Javier Martínez Cruz</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Comisionado</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spacing w:line="276" w:lineRule="auto"/>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color w:val="FFFFFF" w:themeColor="background1"/>
                <w:lang w:val="es-ES_tradnl"/>
              </w:rPr>
              <w:t xml:space="preserve"> (rica)</w:t>
            </w:r>
          </w:p>
        </w:tc>
        <w:tc>
          <w:tcPr>
            <w:tcW w:w="4531" w:type="dxa"/>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José Guadalupe Luna Hernández</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Comisionado</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jc w:val="center"/>
              <w:rPr>
                <w:rFonts w:ascii="Palatino Linotype" w:eastAsia="Times New Roman" w:hAnsi="Palatino Linotype"/>
                <w:lang w:val="es-ES_tradnl"/>
              </w:rPr>
            </w:pPr>
          </w:p>
          <w:p w:rsidR="00657A7C" w:rsidRPr="00657A7C" w:rsidRDefault="00657A7C" w:rsidP="00657A7C">
            <w:pPr>
              <w:spacing w:line="276" w:lineRule="auto"/>
              <w:jc w:val="center"/>
              <w:rPr>
                <w:rFonts w:ascii="Palatino Linotype" w:eastAsia="Times New Roman" w:hAnsi="Palatino Linotype"/>
                <w:b/>
                <w:lang w:val="es-ES_tradnl"/>
              </w:rPr>
            </w:pPr>
            <w:r w:rsidRPr="00657A7C">
              <w:rPr>
                <w:rFonts w:ascii="Palatino Linotype" w:eastAsia="Times New Roman" w:hAnsi="Palatino Linotype"/>
                <w:b/>
                <w:lang w:val="es-ES_tradnl"/>
              </w:rPr>
              <w:t>Luis Gustavo Parra Noriega</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 xml:space="preserve">Comisionado </w:t>
            </w:r>
          </w:p>
          <w:p w:rsidR="00657A7C" w:rsidRPr="00657A7C" w:rsidRDefault="00657A7C" w:rsidP="00657A7C">
            <w:pPr>
              <w:spacing w:line="276" w:lineRule="auto"/>
              <w:jc w:val="center"/>
              <w:rPr>
                <w:rFonts w:ascii="Palatino Linotype" w:eastAsia="Times New Roman" w:hAnsi="Palatino Linotype"/>
                <w:lang w:val="es-ES_tradnl"/>
              </w:rPr>
            </w:pPr>
            <w:r w:rsidRPr="00657A7C">
              <w:rPr>
                <w:rFonts w:ascii="Palatino Linotype" w:eastAsia="Times New Roman" w:hAnsi="Palatino Linotype"/>
                <w:lang w:val="es-ES_tradnl"/>
              </w:rPr>
              <w:t>(Rúbrica)</w:t>
            </w:r>
          </w:p>
          <w:p w:rsidR="00657A7C" w:rsidRPr="00657A7C" w:rsidRDefault="00657A7C" w:rsidP="00657A7C">
            <w:pPr>
              <w:spacing w:line="276" w:lineRule="auto"/>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color w:val="FFFFFF" w:themeColor="background1"/>
                <w:lang w:val="es-ES_tradnl"/>
              </w:rPr>
              <w:t>(Rúbrica)</w:t>
            </w:r>
          </w:p>
        </w:tc>
      </w:tr>
      <w:tr w:rsidR="00657A7C" w:rsidRPr="00657A7C" w:rsidTr="00657A7C">
        <w:trPr>
          <w:jc w:val="center"/>
        </w:trPr>
        <w:tc>
          <w:tcPr>
            <w:tcW w:w="9062" w:type="dxa"/>
            <w:gridSpan w:val="2"/>
          </w:tcPr>
          <w:p w:rsidR="00657A7C" w:rsidRPr="00657A7C" w:rsidRDefault="00657A7C" w:rsidP="00657A7C">
            <w:pPr>
              <w:rPr>
                <w:rFonts w:ascii="Palatino Linotype" w:eastAsia="Times New Roman" w:hAnsi="Palatino Linotype"/>
                <w:lang w:val="es-ES_tradnl"/>
              </w:rPr>
            </w:pPr>
          </w:p>
        </w:tc>
      </w:tr>
      <w:tr w:rsidR="00657A7C" w:rsidRPr="00657A7C" w:rsidTr="00657A7C">
        <w:trPr>
          <w:jc w:val="center"/>
        </w:trPr>
        <w:tc>
          <w:tcPr>
            <w:tcW w:w="9062" w:type="dxa"/>
            <w:gridSpan w:val="2"/>
          </w:tcPr>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p>
          <w:p w:rsidR="00657A7C" w:rsidRPr="00657A7C" w:rsidRDefault="00657A7C" w:rsidP="00657A7C">
            <w:pPr>
              <w:jc w:val="center"/>
              <w:rPr>
                <w:rFonts w:ascii="Palatino Linotype" w:eastAsia="Times New Roman" w:hAnsi="Palatino Linotype"/>
                <w:b/>
                <w:lang w:val="es-ES_tradnl"/>
              </w:rPr>
            </w:pPr>
            <w:r w:rsidRPr="00657A7C">
              <w:rPr>
                <w:rFonts w:ascii="Palatino Linotype" w:eastAsia="Times New Roman" w:hAnsi="Palatino Linotype"/>
                <w:b/>
                <w:lang w:val="es-ES_tradnl"/>
              </w:rPr>
              <w:t>Alexis Tapia Ramírez</w:t>
            </w:r>
          </w:p>
          <w:p w:rsidR="00657A7C" w:rsidRPr="00657A7C" w:rsidRDefault="00657A7C" w:rsidP="00657A7C">
            <w:pPr>
              <w:jc w:val="center"/>
              <w:rPr>
                <w:rFonts w:ascii="Palatino Linotype" w:eastAsia="Times New Roman" w:hAnsi="Palatino Linotype"/>
                <w:lang w:val="es-ES_tradnl"/>
              </w:rPr>
            </w:pPr>
            <w:r w:rsidRPr="00657A7C">
              <w:rPr>
                <w:rFonts w:ascii="Palatino Linotype" w:eastAsia="Times New Roman" w:hAnsi="Palatino Linotype"/>
                <w:lang w:val="es-ES_tradnl"/>
              </w:rPr>
              <w:t>Secretario Técnico del Pleno</w:t>
            </w:r>
          </w:p>
          <w:p w:rsidR="00657A7C" w:rsidRPr="00D3484A" w:rsidRDefault="00657A7C" w:rsidP="00657A7C">
            <w:pPr>
              <w:jc w:val="center"/>
              <w:rPr>
                <w:rFonts w:ascii="Palatino Linotype" w:eastAsia="Times New Roman" w:hAnsi="Palatino Linotype"/>
                <w:lang w:val="es-ES_tradnl"/>
              </w:rPr>
            </w:pPr>
            <w:r w:rsidRPr="00D3484A">
              <w:rPr>
                <w:rFonts w:ascii="Palatino Linotype" w:eastAsia="Times New Roman" w:hAnsi="Palatino Linotype"/>
                <w:lang w:val="es-ES_tradnl"/>
              </w:rPr>
              <w:t>(Rúbrica)</w:t>
            </w:r>
            <w:r w:rsidRPr="00D3484A">
              <w:rPr>
                <w:rFonts w:ascii="Palatino Linotype" w:eastAsia="Times New Roman" w:hAnsi="Palatino Linotype"/>
                <w:color w:val="FFFFFF" w:themeColor="background1"/>
                <w:lang w:val="es-ES_tradnl"/>
              </w:rPr>
              <w:t>)</w:t>
            </w:r>
          </w:p>
        </w:tc>
      </w:tr>
    </w:tbl>
    <w:p w:rsidR="00657A7C" w:rsidRPr="00657A7C" w:rsidRDefault="00657A7C" w:rsidP="00657A7C">
      <w:pPr>
        <w:spacing w:after="0" w:line="276" w:lineRule="auto"/>
        <w:jc w:val="both"/>
        <w:rPr>
          <w:rFonts w:ascii="Palatino Linotype" w:eastAsia="Calibri" w:hAnsi="Palatino Linotype" w:cs="Arial"/>
          <w:sz w:val="10"/>
          <w:szCs w:val="24"/>
        </w:rPr>
      </w:pPr>
    </w:p>
    <w:p w:rsidR="00597707" w:rsidRDefault="00597707" w:rsidP="00657A7C">
      <w:pPr>
        <w:spacing w:after="0" w:line="276" w:lineRule="auto"/>
        <w:jc w:val="both"/>
        <w:rPr>
          <w:rFonts w:ascii="Palatino Linotype" w:eastAsia="Calibri" w:hAnsi="Palatino Linotype" w:cs="Arial"/>
          <w:sz w:val="16"/>
          <w:szCs w:val="16"/>
        </w:rPr>
      </w:pPr>
    </w:p>
    <w:p w:rsidR="00657A7C" w:rsidRPr="00657A7C" w:rsidRDefault="00657A7C" w:rsidP="00657A7C">
      <w:pPr>
        <w:spacing w:after="0" w:line="276" w:lineRule="auto"/>
        <w:jc w:val="both"/>
        <w:rPr>
          <w:rFonts w:ascii="Palatino Linotype" w:eastAsia="Calibri" w:hAnsi="Palatino Linotype" w:cs="Arial"/>
          <w:sz w:val="16"/>
          <w:szCs w:val="16"/>
        </w:rPr>
      </w:pPr>
      <w:r w:rsidRPr="00657A7C">
        <w:rPr>
          <w:rFonts w:ascii="Palatino Linotype" w:eastAsia="Calibri" w:hAnsi="Palatino Linotype" w:cs="Arial"/>
          <w:sz w:val="16"/>
          <w:szCs w:val="16"/>
        </w:rPr>
        <w:t xml:space="preserve">Esta hoja corresponde a la resolución de fecha </w:t>
      </w:r>
      <w:r>
        <w:rPr>
          <w:rFonts w:ascii="Palatino Linotype" w:eastAsia="Calibri" w:hAnsi="Palatino Linotype" w:cs="Arial"/>
          <w:sz w:val="16"/>
          <w:szCs w:val="16"/>
        </w:rPr>
        <w:t>treinta de enero de dos mil diecinueve</w:t>
      </w:r>
      <w:r w:rsidRPr="00657A7C">
        <w:rPr>
          <w:rFonts w:ascii="Palatino Linotype" w:eastAsia="Calibri" w:hAnsi="Palatino Linotype" w:cs="Arial"/>
          <w:sz w:val="16"/>
          <w:szCs w:val="16"/>
        </w:rPr>
        <w:t>, emitida en el recurso de revisión 04415/INFOEM/IP/RR/2018.</w:t>
      </w:r>
    </w:p>
    <w:p w:rsidR="00657A7C" w:rsidRPr="00657A7C" w:rsidRDefault="00657A7C" w:rsidP="00657A7C">
      <w:pPr>
        <w:spacing w:after="0" w:line="276" w:lineRule="auto"/>
        <w:jc w:val="both"/>
        <w:rPr>
          <w:rFonts w:ascii="Calibri" w:eastAsia="Calibri" w:hAnsi="Calibri" w:cs="Times New Roman"/>
        </w:rPr>
      </w:pPr>
      <w:r w:rsidRPr="00657A7C">
        <w:rPr>
          <w:rFonts w:ascii="Palatino Linotype" w:eastAsia="Calibri" w:hAnsi="Palatino Linotype" w:cs="Arial"/>
          <w:sz w:val="16"/>
          <w:szCs w:val="16"/>
        </w:rPr>
        <w:t>ZMS/OSAM/</w:t>
      </w:r>
      <w:r w:rsidR="00C028E9">
        <w:rPr>
          <w:rFonts w:ascii="Palatino Linotype" w:eastAsia="Calibri" w:hAnsi="Palatino Linotype" w:cs="Arial"/>
          <w:sz w:val="16"/>
          <w:szCs w:val="16"/>
        </w:rPr>
        <w:t>EJDG</w:t>
      </w:r>
    </w:p>
    <w:p w:rsidR="007E2E80" w:rsidRPr="00455D2F" w:rsidRDefault="007E2E80" w:rsidP="00657A7C">
      <w:pPr>
        <w:pStyle w:val="Textoindependiente"/>
        <w:spacing w:line="360" w:lineRule="auto"/>
        <w:jc w:val="center"/>
        <w:rPr>
          <w:rFonts w:ascii="Palatino Linotype" w:hAnsi="Palatino Linotype" w:cs="Arial"/>
          <w:sz w:val="16"/>
          <w:szCs w:val="16"/>
        </w:rPr>
      </w:pPr>
    </w:p>
    <w:sectPr w:rsidR="007E2E80" w:rsidRPr="00455D2F" w:rsidSect="00050A9C">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0300" w:rsidRDefault="007C0300" w:rsidP="007E2E80">
      <w:pPr>
        <w:spacing w:after="0" w:line="240" w:lineRule="auto"/>
      </w:pPr>
      <w:r>
        <w:separator/>
      </w:r>
    </w:p>
  </w:endnote>
  <w:endnote w:type="continuationSeparator" w:id="0">
    <w:p w:rsidR="007C0300" w:rsidRDefault="007C0300"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11" w:rsidRPr="000B69FA" w:rsidRDefault="00D23F1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21B4">
      <w:rPr>
        <w:rFonts w:ascii="Palatino Linotype" w:hAnsi="Palatino Linotype"/>
        <w:bCs/>
        <w:noProof/>
        <w:sz w:val="20"/>
      </w:rPr>
      <w:t>22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21B4">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11" w:rsidRPr="000B69FA" w:rsidRDefault="00D23F11"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21B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8721B4">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0300" w:rsidRDefault="007C0300" w:rsidP="007E2E80">
      <w:pPr>
        <w:spacing w:after="0" w:line="240" w:lineRule="auto"/>
      </w:pPr>
      <w:r>
        <w:separator/>
      </w:r>
    </w:p>
  </w:footnote>
  <w:footnote w:type="continuationSeparator" w:id="0">
    <w:p w:rsidR="007C0300" w:rsidRDefault="007C0300" w:rsidP="007E2E80">
      <w:pPr>
        <w:spacing w:after="0" w:line="240" w:lineRule="auto"/>
      </w:pPr>
      <w:r>
        <w:continuationSeparator/>
      </w:r>
    </w:p>
  </w:footnote>
  <w:footnote w:id="1">
    <w:p w:rsidR="00D23F11" w:rsidRPr="00615B4B" w:rsidRDefault="00D23F11"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D23F11" w:rsidRPr="00615B4B" w:rsidRDefault="00D23F11"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3F11" w:rsidRDefault="00D23F11">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D23F11" w:rsidTr="00050A9C">
      <w:trPr>
        <w:trHeight w:val="227"/>
      </w:trPr>
      <w:tc>
        <w:tcPr>
          <w:tcW w:w="4962"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rsidR="00D23F11" w:rsidRDefault="00A24CE9" w:rsidP="007E2E80">
          <w:pPr>
            <w:spacing w:after="120" w:line="256" w:lineRule="auto"/>
            <w:ind w:left="-778" w:right="214" w:firstLine="1585"/>
            <w:jc w:val="right"/>
            <w:rPr>
              <w:rFonts w:ascii="Palatino Linotype" w:hAnsi="Palatino Linotype" w:cs="Arial"/>
              <w:szCs w:val="20"/>
            </w:rPr>
          </w:pPr>
          <w:r w:rsidRPr="00A24CE9">
            <w:rPr>
              <w:rFonts w:ascii="Palatino Linotype" w:hAnsi="Palatino Linotype" w:cs="Arial"/>
              <w:bCs/>
              <w:sz w:val="24"/>
              <w:lang w:eastAsia="es-MX"/>
            </w:rPr>
            <w:t>04415/INFOEM/IP/RR/2018</w:t>
          </w:r>
        </w:p>
      </w:tc>
    </w:tr>
    <w:tr w:rsidR="00D23F11" w:rsidTr="00050A9C">
      <w:trPr>
        <w:trHeight w:val="242"/>
      </w:trPr>
      <w:tc>
        <w:tcPr>
          <w:tcW w:w="4962"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rsidR="00D23F11" w:rsidRDefault="00A24CE9" w:rsidP="00050A9C">
          <w:pPr>
            <w:spacing w:after="120" w:line="256" w:lineRule="auto"/>
            <w:ind w:left="-486" w:right="214" w:firstLine="284"/>
            <w:jc w:val="right"/>
            <w:rPr>
              <w:rFonts w:ascii="Palatino Linotype" w:hAnsi="Palatino Linotype" w:cs="Arial"/>
              <w:szCs w:val="20"/>
            </w:rPr>
          </w:pPr>
          <w:r w:rsidRPr="00A24CE9">
            <w:rPr>
              <w:rFonts w:ascii="Palatino Linotype" w:hAnsi="Palatino Linotype" w:cs="Arial"/>
              <w:szCs w:val="20"/>
            </w:rPr>
            <w:t>Gubernatura</w:t>
          </w:r>
        </w:p>
      </w:tc>
    </w:tr>
    <w:tr w:rsidR="00D23F11" w:rsidTr="00050A9C">
      <w:trPr>
        <w:trHeight w:val="342"/>
      </w:trPr>
      <w:tc>
        <w:tcPr>
          <w:tcW w:w="4962" w:type="dxa"/>
          <w:hideMark/>
        </w:tcPr>
        <w:p w:rsidR="00D23F11" w:rsidRDefault="00D23F1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rsidR="00D23F11" w:rsidRDefault="00D23F11"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3F11" w:rsidRDefault="00D23F1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D23F11" w:rsidTr="00050A9C">
      <w:trPr>
        <w:trHeight w:val="227"/>
      </w:trPr>
      <w:tc>
        <w:tcPr>
          <w:tcW w:w="5529"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D23F11" w:rsidRPr="00B4142F" w:rsidRDefault="00A24CE9" w:rsidP="007E2E80">
          <w:pPr>
            <w:spacing w:after="120" w:line="256" w:lineRule="auto"/>
            <w:ind w:left="-486" w:right="214" w:firstLine="1408"/>
            <w:jc w:val="right"/>
            <w:rPr>
              <w:rFonts w:ascii="Palatino Linotype" w:hAnsi="Palatino Linotype" w:cs="Arial"/>
              <w:szCs w:val="20"/>
            </w:rPr>
          </w:pPr>
          <w:r w:rsidRPr="00A24CE9">
            <w:rPr>
              <w:rFonts w:ascii="Palatino Linotype" w:hAnsi="Palatino Linotype" w:cs="Arial"/>
              <w:bCs/>
              <w:sz w:val="24"/>
              <w:lang w:eastAsia="es-MX"/>
            </w:rPr>
            <w:t>04415/INFOEM/IP/RR/2018</w:t>
          </w:r>
        </w:p>
      </w:tc>
    </w:tr>
    <w:tr w:rsidR="00D23F11" w:rsidTr="00050A9C">
      <w:trPr>
        <w:trHeight w:val="196"/>
      </w:trPr>
      <w:tc>
        <w:tcPr>
          <w:tcW w:w="5529"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D23F11" w:rsidRPr="00F06FED" w:rsidRDefault="003027D2" w:rsidP="00050A9C">
          <w:pPr>
            <w:spacing w:after="120" w:line="256" w:lineRule="auto"/>
            <w:ind w:left="-486" w:right="214" w:firstLine="567"/>
            <w:jc w:val="right"/>
            <w:rPr>
              <w:rFonts w:ascii="Palatino Linotype" w:hAnsi="Palatino Linotype" w:cs="Arial"/>
            </w:rPr>
          </w:pPr>
          <w:r>
            <w:rPr>
              <w:rFonts w:ascii="Palatino Linotype" w:hAnsi="Palatino Linotype" w:cs="Arial"/>
            </w:rPr>
            <w:t>XXXXXXXXXXXXXXXXXXX</w:t>
          </w:r>
        </w:p>
      </w:tc>
    </w:tr>
    <w:tr w:rsidR="00D23F11" w:rsidTr="00050A9C">
      <w:trPr>
        <w:trHeight w:val="242"/>
      </w:trPr>
      <w:tc>
        <w:tcPr>
          <w:tcW w:w="5529" w:type="dxa"/>
          <w:hideMark/>
        </w:tcPr>
        <w:p w:rsidR="00D23F11" w:rsidRDefault="00D23F11"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D23F11" w:rsidRDefault="00A24CE9" w:rsidP="007E2E80">
          <w:pPr>
            <w:spacing w:after="120" w:line="256" w:lineRule="auto"/>
            <w:ind w:left="-495" w:right="214" w:firstLine="567"/>
            <w:jc w:val="right"/>
            <w:rPr>
              <w:rFonts w:ascii="Palatino Linotype" w:hAnsi="Palatino Linotype" w:cs="Arial"/>
              <w:szCs w:val="20"/>
            </w:rPr>
          </w:pPr>
          <w:r w:rsidRPr="00A24CE9">
            <w:rPr>
              <w:rFonts w:ascii="Palatino Linotype" w:hAnsi="Palatino Linotype" w:cs="Arial"/>
              <w:szCs w:val="20"/>
            </w:rPr>
            <w:t>Gubernatura</w:t>
          </w:r>
        </w:p>
      </w:tc>
    </w:tr>
    <w:tr w:rsidR="00D23F11" w:rsidTr="00050A9C">
      <w:trPr>
        <w:trHeight w:val="342"/>
      </w:trPr>
      <w:tc>
        <w:tcPr>
          <w:tcW w:w="5529" w:type="dxa"/>
          <w:hideMark/>
        </w:tcPr>
        <w:p w:rsidR="00D23F11" w:rsidRDefault="00D23F11"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D23F11" w:rsidRDefault="00D23F11"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rsidR="00D23F11" w:rsidRDefault="00D23F1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DB76EA"/>
    <w:multiLevelType w:val="hybridMultilevel"/>
    <w:tmpl w:val="77A6BA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A996416"/>
    <w:multiLevelType w:val="hybridMultilevel"/>
    <w:tmpl w:val="D09EDC4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9157BCC"/>
    <w:multiLevelType w:val="hybridMultilevel"/>
    <w:tmpl w:val="3DFE8A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63643F4B"/>
    <w:multiLevelType w:val="hybridMultilevel"/>
    <w:tmpl w:val="AB684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760E4230"/>
    <w:multiLevelType w:val="hybridMultilevel"/>
    <w:tmpl w:val="B790AA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14"/>
  </w:num>
  <w:num w:numId="5">
    <w:abstractNumId w:val="3"/>
  </w:num>
  <w:num w:numId="6">
    <w:abstractNumId w:val="2"/>
  </w:num>
  <w:num w:numId="7">
    <w:abstractNumId w:val="8"/>
  </w:num>
  <w:num w:numId="8">
    <w:abstractNumId w:val="7"/>
  </w:num>
  <w:num w:numId="9">
    <w:abstractNumId w:val="11"/>
  </w:num>
  <w:num w:numId="10">
    <w:abstractNumId w:val="4"/>
  </w:num>
  <w:num w:numId="11">
    <w:abstractNumId w:val="9"/>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pt-BR" w:vendorID="64" w:dllVersion="131078" w:nlCheck="1" w:checkStyle="0"/>
  <w:activeWritingStyle w:appName="MSWord" w:lang="en-U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defaultTabStop w:val="709"/>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07FB"/>
    <w:rsid w:val="000044B4"/>
    <w:rsid w:val="00014336"/>
    <w:rsid w:val="000146A2"/>
    <w:rsid w:val="00014D80"/>
    <w:rsid w:val="00015A5D"/>
    <w:rsid w:val="00016275"/>
    <w:rsid w:val="000276E0"/>
    <w:rsid w:val="00027C81"/>
    <w:rsid w:val="00032DBD"/>
    <w:rsid w:val="00033949"/>
    <w:rsid w:val="00033A37"/>
    <w:rsid w:val="00043018"/>
    <w:rsid w:val="000440B1"/>
    <w:rsid w:val="00050A9C"/>
    <w:rsid w:val="00052C65"/>
    <w:rsid w:val="000536D7"/>
    <w:rsid w:val="00053C9B"/>
    <w:rsid w:val="00057570"/>
    <w:rsid w:val="000715BE"/>
    <w:rsid w:val="0007328F"/>
    <w:rsid w:val="000738E9"/>
    <w:rsid w:val="00084590"/>
    <w:rsid w:val="0008795C"/>
    <w:rsid w:val="00095165"/>
    <w:rsid w:val="00095218"/>
    <w:rsid w:val="000A27C1"/>
    <w:rsid w:val="000A4D0A"/>
    <w:rsid w:val="000A6597"/>
    <w:rsid w:val="000C45D0"/>
    <w:rsid w:val="000D6982"/>
    <w:rsid w:val="000D756B"/>
    <w:rsid w:val="000E0D32"/>
    <w:rsid w:val="000E7C0A"/>
    <w:rsid w:val="000F3238"/>
    <w:rsid w:val="000F3722"/>
    <w:rsid w:val="000F560C"/>
    <w:rsid w:val="00110A67"/>
    <w:rsid w:val="00114C3C"/>
    <w:rsid w:val="00117AF2"/>
    <w:rsid w:val="0012508A"/>
    <w:rsid w:val="00132E9F"/>
    <w:rsid w:val="00135494"/>
    <w:rsid w:val="00140AE4"/>
    <w:rsid w:val="001510E8"/>
    <w:rsid w:val="00162176"/>
    <w:rsid w:val="00166046"/>
    <w:rsid w:val="00166FB7"/>
    <w:rsid w:val="00180F6B"/>
    <w:rsid w:val="001A17B9"/>
    <w:rsid w:val="001A4700"/>
    <w:rsid w:val="001A75A1"/>
    <w:rsid w:val="001B2F00"/>
    <w:rsid w:val="001C0CE9"/>
    <w:rsid w:val="001E1890"/>
    <w:rsid w:val="001E60B7"/>
    <w:rsid w:val="00203FA5"/>
    <w:rsid w:val="00207DA3"/>
    <w:rsid w:val="00211473"/>
    <w:rsid w:val="002252AD"/>
    <w:rsid w:val="00230177"/>
    <w:rsid w:val="00235142"/>
    <w:rsid w:val="002515CC"/>
    <w:rsid w:val="002572CF"/>
    <w:rsid w:val="0026191D"/>
    <w:rsid w:val="00271762"/>
    <w:rsid w:val="00277235"/>
    <w:rsid w:val="0028585E"/>
    <w:rsid w:val="00287072"/>
    <w:rsid w:val="00290397"/>
    <w:rsid w:val="002A4C04"/>
    <w:rsid w:val="002A5837"/>
    <w:rsid w:val="002B0720"/>
    <w:rsid w:val="002D6110"/>
    <w:rsid w:val="002E22D8"/>
    <w:rsid w:val="002E6036"/>
    <w:rsid w:val="002E6919"/>
    <w:rsid w:val="002E764B"/>
    <w:rsid w:val="002F044A"/>
    <w:rsid w:val="002F0CEA"/>
    <w:rsid w:val="002F160B"/>
    <w:rsid w:val="002F17FB"/>
    <w:rsid w:val="00301A01"/>
    <w:rsid w:val="003021C1"/>
    <w:rsid w:val="003027D2"/>
    <w:rsid w:val="00304C91"/>
    <w:rsid w:val="00306295"/>
    <w:rsid w:val="00311191"/>
    <w:rsid w:val="00314202"/>
    <w:rsid w:val="00315A99"/>
    <w:rsid w:val="00330B63"/>
    <w:rsid w:val="00363308"/>
    <w:rsid w:val="00374450"/>
    <w:rsid w:val="00382FD0"/>
    <w:rsid w:val="0038385D"/>
    <w:rsid w:val="003908F4"/>
    <w:rsid w:val="003A13D2"/>
    <w:rsid w:val="003A2535"/>
    <w:rsid w:val="003C6A48"/>
    <w:rsid w:val="003C74AF"/>
    <w:rsid w:val="003D2672"/>
    <w:rsid w:val="003D3420"/>
    <w:rsid w:val="003E08B9"/>
    <w:rsid w:val="00401C86"/>
    <w:rsid w:val="00404F9D"/>
    <w:rsid w:val="00404FF3"/>
    <w:rsid w:val="004132B8"/>
    <w:rsid w:val="00423C27"/>
    <w:rsid w:val="00425199"/>
    <w:rsid w:val="00453A22"/>
    <w:rsid w:val="00455D2F"/>
    <w:rsid w:val="00456301"/>
    <w:rsid w:val="004572BE"/>
    <w:rsid w:val="004617C7"/>
    <w:rsid w:val="00462A7A"/>
    <w:rsid w:val="0046476A"/>
    <w:rsid w:val="004807F7"/>
    <w:rsid w:val="004830B5"/>
    <w:rsid w:val="00484E47"/>
    <w:rsid w:val="004D6E44"/>
    <w:rsid w:val="004F42CF"/>
    <w:rsid w:val="004F483E"/>
    <w:rsid w:val="004F7CD1"/>
    <w:rsid w:val="005023F4"/>
    <w:rsid w:val="0052084A"/>
    <w:rsid w:val="005328FB"/>
    <w:rsid w:val="00537419"/>
    <w:rsid w:val="005421C7"/>
    <w:rsid w:val="005448FA"/>
    <w:rsid w:val="005519AC"/>
    <w:rsid w:val="005535C0"/>
    <w:rsid w:val="00555A33"/>
    <w:rsid w:val="00557477"/>
    <w:rsid w:val="00562A00"/>
    <w:rsid w:val="005733EB"/>
    <w:rsid w:val="00586B33"/>
    <w:rsid w:val="00590126"/>
    <w:rsid w:val="00597707"/>
    <w:rsid w:val="005A3C24"/>
    <w:rsid w:val="005B2A31"/>
    <w:rsid w:val="005C057C"/>
    <w:rsid w:val="005D02A8"/>
    <w:rsid w:val="005D5EEB"/>
    <w:rsid w:val="005E39F0"/>
    <w:rsid w:val="006026BF"/>
    <w:rsid w:val="0060633A"/>
    <w:rsid w:val="00610093"/>
    <w:rsid w:val="00612517"/>
    <w:rsid w:val="00642541"/>
    <w:rsid w:val="0064747D"/>
    <w:rsid w:val="00657A7C"/>
    <w:rsid w:val="00661204"/>
    <w:rsid w:val="0066610F"/>
    <w:rsid w:val="00673D7C"/>
    <w:rsid w:val="00676C32"/>
    <w:rsid w:val="00686046"/>
    <w:rsid w:val="0069417C"/>
    <w:rsid w:val="006A3A54"/>
    <w:rsid w:val="006A5143"/>
    <w:rsid w:val="006A561E"/>
    <w:rsid w:val="006B3C3E"/>
    <w:rsid w:val="006C0B9C"/>
    <w:rsid w:val="006C6176"/>
    <w:rsid w:val="006D1136"/>
    <w:rsid w:val="006D4AD4"/>
    <w:rsid w:val="006E0601"/>
    <w:rsid w:val="006E6C81"/>
    <w:rsid w:val="006F18FD"/>
    <w:rsid w:val="006F4A35"/>
    <w:rsid w:val="006F5F8F"/>
    <w:rsid w:val="007218F2"/>
    <w:rsid w:val="00734791"/>
    <w:rsid w:val="00743E4A"/>
    <w:rsid w:val="007535BE"/>
    <w:rsid w:val="0075398D"/>
    <w:rsid w:val="0076458C"/>
    <w:rsid w:val="00764BF1"/>
    <w:rsid w:val="007676AF"/>
    <w:rsid w:val="007752E3"/>
    <w:rsid w:val="00781A83"/>
    <w:rsid w:val="00785145"/>
    <w:rsid w:val="00786497"/>
    <w:rsid w:val="007A0571"/>
    <w:rsid w:val="007A223B"/>
    <w:rsid w:val="007A4E13"/>
    <w:rsid w:val="007A76C7"/>
    <w:rsid w:val="007B0292"/>
    <w:rsid w:val="007B6D38"/>
    <w:rsid w:val="007C0300"/>
    <w:rsid w:val="007D0CFF"/>
    <w:rsid w:val="007D2B2C"/>
    <w:rsid w:val="007E2E80"/>
    <w:rsid w:val="007F282E"/>
    <w:rsid w:val="007F7846"/>
    <w:rsid w:val="008041A7"/>
    <w:rsid w:val="00821898"/>
    <w:rsid w:val="00823454"/>
    <w:rsid w:val="00824894"/>
    <w:rsid w:val="00852754"/>
    <w:rsid w:val="00853CC3"/>
    <w:rsid w:val="008721B4"/>
    <w:rsid w:val="008725EE"/>
    <w:rsid w:val="00892543"/>
    <w:rsid w:val="008955CF"/>
    <w:rsid w:val="008C0F70"/>
    <w:rsid w:val="008C119D"/>
    <w:rsid w:val="008C651F"/>
    <w:rsid w:val="008C7589"/>
    <w:rsid w:val="008C7CEB"/>
    <w:rsid w:val="008D17A8"/>
    <w:rsid w:val="008E572E"/>
    <w:rsid w:val="008E7E9A"/>
    <w:rsid w:val="00916BA8"/>
    <w:rsid w:val="009272C6"/>
    <w:rsid w:val="00927DF4"/>
    <w:rsid w:val="00930F68"/>
    <w:rsid w:val="00931A81"/>
    <w:rsid w:val="0093743A"/>
    <w:rsid w:val="00940265"/>
    <w:rsid w:val="00942349"/>
    <w:rsid w:val="00943B37"/>
    <w:rsid w:val="009462B8"/>
    <w:rsid w:val="009504C1"/>
    <w:rsid w:val="00954DC1"/>
    <w:rsid w:val="0096284F"/>
    <w:rsid w:val="00967270"/>
    <w:rsid w:val="0097416D"/>
    <w:rsid w:val="00984CA8"/>
    <w:rsid w:val="009859B8"/>
    <w:rsid w:val="0099222B"/>
    <w:rsid w:val="00994FE7"/>
    <w:rsid w:val="00997712"/>
    <w:rsid w:val="009B70C3"/>
    <w:rsid w:val="009C2775"/>
    <w:rsid w:val="009C3FC7"/>
    <w:rsid w:val="009D56AA"/>
    <w:rsid w:val="009E2A88"/>
    <w:rsid w:val="009E396D"/>
    <w:rsid w:val="009E505F"/>
    <w:rsid w:val="009E5997"/>
    <w:rsid w:val="009F7B22"/>
    <w:rsid w:val="00A06551"/>
    <w:rsid w:val="00A10000"/>
    <w:rsid w:val="00A10775"/>
    <w:rsid w:val="00A112EB"/>
    <w:rsid w:val="00A24CE9"/>
    <w:rsid w:val="00A3134D"/>
    <w:rsid w:val="00A33B3A"/>
    <w:rsid w:val="00A35B31"/>
    <w:rsid w:val="00A56ED7"/>
    <w:rsid w:val="00A626E0"/>
    <w:rsid w:val="00A62727"/>
    <w:rsid w:val="00A65C29"/>
    <w:rsid w:val="00A666CE"/>
    <w:rsid w:val="00A66A92"/>
    <w:rsid w:val="00A76010"/>
    <w:rsid w:val="00A9172E"/>
    <w:rsid w:val="00A94BF6"/>
    <w:rsid w:val="00AA4C3B"/>
    <w:rsid w:val="00AA4F9A"/>
    <w:rsid w:val="00AA78DE"/>
    <w:rsid w:val="00AB1AF3"/>
    <w:rsid w:val="00AC6F1A"/>
    <w:rsid w:val="00AD0168"/>
    <w:rsid w:val="00AD3C94"/>
    <w:rsid w:val="00AE658B"/>
    <w:rsid w:val="00AF7266"/>
    <w:rsid w:val="00B03C06"/>
    <w:rsid w:val="00B070F5"/>
    <w:rsid w:val="00B12CBA"/>
    <w:rsid w:val="00B16CAC"/>
    <w:rsid w:val="00B16DFC"/>
    <w:rsid w:val="00B23120"/>
    <w:rsid w:val="00B478C6"/>
    <w:rsid w:val="00B549E1"/>
    <w:rsid w:val="00B93C5C"/>
    <w:rsid w:val="00BD0541"/>
    <w:rsid w:val="00BD3AB3"/>
    <w:rsid w:val="00BE100C"/>
    <w:rsid w:val="00BE6D77"/>
    <w:rsid w:val="00BF123B"/>
    <w:rsid w:val="00BF123D"/>
    <w:rsid w:val="00BF3765"/>
    <w:rsid w:val="00BF5EE2"/>
    <w:rsid w:val="00C028E9"/>
    <w:rsid w:val="00C173A1"/>
    <w:rsid w:val="00C25822"/>
    <w:rsid w:val="00C34B47"/>
    <w:rsid w:val="00C40AE1"/>
    <w:rsid w:val="00C643B6"/>
    <w:rsid w:val="00C7098C"/>
    <w:rsid w:val="00CA2ED9"/>
    <w:rsid w:val="00CA3DD3"/>
    <w:rsid w:val="00CD2C44"/>
    <w:rsid w:val="00CE3BB9"/>
    <w:rsid w:val="00D01F38"/>
    <w:rsid w:val="00D0540D"/>
    <w:rsid w:val="00D13B83"/>
    <w:rsid w:val="00D14A2D"/>
    <w:rsid w:val="00D14D51"/>
    <w:rsid w:val="00D14E3B"/>
    <w:rsid w:val="00D21881"/>
    <w:rsid w:val="00D23F11"/>
    <w:rsid w:val="00D32E6F"/>
    <w:rsid w:val="00D34487"/>
    <w:rsid w:val="00D3484A"/>
    <w:rsid w:val="00D5329C"/>
    <w:rsid w:val="00D54889"/>
    <w:rsid w:val="00D57072"/>
    <w:rsid w:val="00D57BF9"/>
    <w:rsid w:val="00D64F6D"/>
    <w:rsid w:val="00D70758"/>
    <w:rsid w:val="00D776B3"/>
    <w:rsid w:val="00D777C4"/>
    <w:rsid w:val="00DA0E70"/>
    <w:rsid w:val="00DA21DB"/>
    <w:rsid w:val="00DA5A00"/>
    <w:rsid w:val="00DA6917"/>
    <w:rsid w:val="00DA6D67"/>
    <w:rsid w:val="00DB5FF7"/>
    <w:rsid w:val="00DC0CB0"/>
    <w:rsid w:val="00DC0E43"/>
    <w:rsid w:val="00DC4E35"/>
    <w:rsid w:val="00DD13E2"/>
    <w:rsid w:val="00DD2781"/>
    <w:rsid w:val="00DD2D53"/>
    <w:rsid w:val="00DE1C4E"/>
    <w:rsid w:val="00DF0AF9"/>
    <w:rsid w:val="00DF2F2C"/>
    <w:rsid w:val="00DF3485"/>
    <w:rsid w:val="00DF51C8"/>
    <w:rsid w:val="00DF703B"/>
    <w:rsid w:val="00E00817"/>
    <w:rsid w:val="00E014FE"/>
    <w:rsid w:val="00E12A3B"/>
    <w:rsid w:val="00E23E06"/>
    <w:rsid w:val="00E25492"/>
    <w:rsid w:val="00E31C2B"/>
    <w:rsid w:val="00E426C9"/>
    <w:rsid w:val="00E430CA"/>
    <w:rsid w:val="00E50EFF"/>
    <w:rsid w:val="00E50F4B"/>
    <w:rsid w:val="00E56111"/>
    <w:rsid w:val="00E65AE8"/>
    <w:rsid w:val="00E70CAE"/>
    <w:rsid w:val="00E81E33"/>
    <w:rsid w:val="00E95C5A"/>
    <w:rsid w:val="00EA0886"/>
    <w:rsid w:val="00EA1222"/>
    <w:rsid w:val="00EC1776"/>
    <w:rsid w:val="00ED3F80"/>
    <w:rsid w:val="00ED4829"/>
    <w:rsid w:val="00ED60C2"/>
    <w:rsid w:val="00ED78F3"/>
    <w:rsid w:val="00EF1D7F"/>
    <w:rsid w:val="00EF3233"/>
    <w:rsid w:val="00EF3258"/>
    <w:rsid w:val="00EF4D17"/>
    <w:rsid w:val="00EF6B28"/>
    <w:rsid w:val="00F02587"/>
    <w:rsid w:val="00F07DC2"/>
    <w:rsid w:val="00F2343A"/>
    <w:rsid w:val="00F33808"/>
    <w:rsid w:val="00F45389"/>
    <w:rsid w:val="00F4708B"/>
    <w:rsid w:val="00F53B53"/>
    <w:rsid w:val="00F568A9"/>
    <w:rsid w:val="00F66A72"/>
    <w:rsid w:val="00F8365F"/>
    <w:rsid w:val="00F8521C"/>
    <w:rsid w:val="00F92D09"/>
    <w:rsid w:val="00FA3F04"/>
    <w:rsid w:val="00FA47E2"/>
    <w:rsid w:val="00FB55E9"/>
    <w:rsid w:val="00FC09E3"/>
    <w:rsid w:val="00FC0CA9"/>
    <w:rsid w:val="00FD3A3C"/>
    <w:rsid w:val="00FD41E0"/>
    <w:rsid w:val="00FE1E24"/>
    <w:rsid w:val="00FF083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1"/>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inespaciado">
    <w:name w:val="No Spacing"/>
    <w:uiPriority w:val="1"/>
    <w:qFormat/>
    <w:rsid w:val="00B12CBA"/>
    <w:pPr>
      <w:spacing w:after="0" w:line="240" w:lineRule="auto"/>
    </w:pPr>
  </w:style>
  <w:style w:type="table" w:styleId="Tablaconcuadrcula">
    <w:name w:val="Table Grid"/>
    <w:basedOn w:val="Tablanormal"/>
    <w:uiPriority w:val="39"/>
    <w:rsid w:val="00D57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qFormat/>
    <w:rsid w:val="00EF4D1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EF4D1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5D5EE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EEB"/>
    <w:rPr>
      <w:rFonts w:ascii="Segoe UI" w:hAnsi="Segoe UI" w:cs="Segoe UI"/>
      <w:sz w:val="18"/>
      <w:szCs w:val="18"/>
    </w:rPr>
  </w:style>
  <w:style w:type="table" w:customStyle="1" w:styleId="Tablaconcuadrcula1">
    <w:name w:val="Tabla con cuadrícula1"/>
    <w:basedOn w:val="Tablanormal"/>
    <w:next w:val="Tablaconcuadrcula"/>
    <w:uiPriority w:val="39"/>
    <w:rsid w:val="00657A7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71162">
      <w:bodyDiv w:val="1"/>
      <w:marLeft w:val="0"/>
      <w:marRight w:val="0"/>
      <w:marTop w:val="0"/>
      <w:marBottom w:val="0"/>
      <w:divBdr>
        <w:top w:val="none" w:sz="0" w:space="0" w:color="auto"/>
        <w:left w:val="none" w:sz="0" w:space="0" w:color="auto"/>
        <w:bottom w:val="none" w:sz="0" w:space="0" w:color="auto"/>
        <w:right w:val="none" w:sz="0" w:space="0" w:color="auto"/>
      </w:divBdr>
    </w:div>
    <w:div w:id="455222993">
      <w:bodyDiv w:val="1"/>
      <w:marLeft w:val="0"/>
      <w:marRight w:val="0"/>
      <w:marTop w:val="0"/>
      <w:marBottom w:val="0"/>
      <w:divBdr>
        <w:top w:val="none" w:sz="0" w:space="0" w:color="auto"/>
        <w:left w:val="none" w:sz="0" w:space="0" w:color="auto"/>
        <w:bottom w:val="none" w:sz="0" w:space="0" w:color="auto"/>
        <w:right w:val="none" w:sz="0" w:space="0" w:color="auto"/>
      </w:divBdr>
    </w:div>
    <w:div w:id="803153912">
      <w:bodyDiv w:val="1"/>
      <w:marLeft w:val="0"/>
      <w:marRight w:val="0"/>
      <w:marTop w:val="0"/>
      <w:marBottom w:val="0"/>
      <w:divBdr>
        <w:top w:val="none" w:sz="0" w:space="0" w:color="auto"/>
        <w:left w:val="none" w:sz="0" w:space="0" w:color="auto"/>
        <w:bottom w:val="none" w:sz="0" w:space="0" w:color="auto"/>
        <w:right w:val="none" w:sz="0" w:space="0" w:color="auto"/>
      </w:divBdr>
    </w:div>
    <w:div w:id="924415535">
      <w:bodyDiv w:val="1"/>
      <w:marLeft w:val="0"/>
      <w:marRight w:val="0"/>
      <w:marTop w:val="0"/>
      <w:marBottom w:val="0"/>
      <w:divBdr>
        <w:top w:val="none" w:sz="0" w:space="0" w:color="auto"/>
        <w:left w:val="none" w:sz="0" w:space="0" w:color="auto"/>
        <w:bottom w:val="none" w:sz="0" w:space="0" w:color="auto"/>
        <w:right w:val="none" w:sz="0" w:space="0" w:color="auto"/>
      </w:divBdr>
    </w:div>
    <w:div w:id="1042899735">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239051677">
      <w:bodyDiv w:val="1"/>
      <w:marLeft w:val="0"/>
      <w:marRight w:val="0"/>
      <w:marTop w:val="0"/>
      <w:marBottom w:val="0"/>
      <w:divBdr>
        <w:top w:val="none" w:sz="0" w:space="0" w:color="auto"/>
        <w:left w:val="none" w:sz="0" w:space="0" w:color="auto"/>
        <w:bottom w:val="none" w:sz="0" w:space="0" w:color="auto"/>
        <w:right w:val="none" w:sz="0" w:space="0" w:color="auto"/>
      </w:divBdr>
    </w:div>
    <w:div w:id="1289240676">
      <w:bodyDiv w:val="1"/>
      <w:marLeft w:val="0"/>
      <w:marRight w:val="0"/>
      <w:marTop w:val="0"/>
      <w:marBottom w:val="0"/>
      <w:divBdr>
        <w:top w:val="none" w:sz="0" w:space="0" w:color="auto"/>
        <w:left w:val="none" w:sz="0" w:space="0" w:color="auto"/>
        <w:bottom w:val="none" w:sz="0" w:space="0" w:color="auto"/>
        <w:right w:val="none" w:sz="0" w:space="0" w:color="auto"/>
      </w:divBdr>
    </w:div>
    <w:div w:id="1411469307">
      <w:bodyDiv w:val="1"/>
      <w:marLeft w:val="0"/>
      <w:marRight w:val="0"/>
      <w:marTop w:val="0"/>
      <w:marBottom w:val="0"/>
      <w:divBdr>
        <w:top w:val="none" w:sz="0" w:space="0" w:color="auto"/>
        <w:left w:val="none" w:sz="0" w:space="0" w:color="auto"/>
        <w:bottom w:val="none" w:sz="0" w:space="0" w:color="auto"/>
        <w:right w:val="none" w:sz="0" w:space="0" w:color="auto"/>
      </w:divBdr>
    </w:div>
    <w:div w:id="1436949399">
      <w:bodyDiv w:val="1"/>
      <w:marLeft w:val="0"/>
      <w:marRight w:val="0"/>
      <w:marTop w:val="0"/>
      <w:marBottom w:val="0"/>
      <w:divBdr>
        <w:top w:val="none" w:sz="0" w:space="0" w:color="auto"/>
        <w:left w:val="none" w:sz="0" w:space="0" w:color="auto"/>
        <w:bottom w:val="none" w:sz="0" w:space="0" w:color="auto"/>
        <w:right w:val="none" w:sz="0" w:space="0" w:color="auto"/>
      </w:divBdr>
    </w:div>
    <w:div w:id="177085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49F219-BD49-480A-B2F8-983F5173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4458</Words>
  <Characters>24525</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cp:lastPrinted>2018-07-09T20:21:00Z</cp:lastPrinted>
  <dcterms:created xsi:type="dcterms:W3CDTF">2019-02-12T16:42:00Z</dcterms:created>
  <dcterms:modified xsi:type="dcterms:W3CDTF">2019-02-12T16:42:00Z</dcterms:modified>
</cp:coreProperties>
</file>