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130CB" w14:textId="08257E98" w:rsidR="00351CB3" w:rsidRDefault="00351CB3" w:rsidP="00351CB3">
      <w:pPr>
        <w:spacing w:before="240" w:after="240" w:line="360" w:lineRule="auto"/>
        <w:jc w:val="both"/>
        <w:rPr>
          <w:rFonts w:ascii="Palatino Linotype" w:hAnsi="Palatino Linotype" w:cs="Arial"/>
        </w:rPr>
      </w:pPr>
      <w:r>
        <w:rPr>
          <w:rFonts w:ascii="Palatino Linotype" w:hAnsi="Palatino Linotype"/>
          <w:color w:val="000000"/>
        </w:rPr>
        <w:t xml:space="preserve">Resolución del Pleno del Instituto de Transparencia, Acceso a la Información Pública y Protección de Datos Personales del Estado de México y Municipios, </w:t>
      </w:r>
      <w:r>
        <w:rPr>
          <w:rFonts w:ascii="Palatino Linotype" w:eastAsia="Calibri" w:hAnsi="Palatino Linotype" w:cs="Arial"/>
        </w:rPr>
        <w:t>con domicilio en Metepec, Estado de México,</w:t>
      </w:r>
      <w:r>
        <w:rPr>
          <w:rFonts w:ascii="Palatino Linotype" w:hAnsi="Palatino Linotype"/>
          <w:color w:val="000000"/>
        </w:rPr>
        <w:t xml:space="preserve"> de fecha</w:t>
      </w:r>
      <w:r>
        <w:rPr>
          <w:rStyle w:val="apple-converted-space"/>
          <w:rFonts w:ascii="Palatino Linotype" w:hAnsi="Palatino Linotype" w:cs="Arial"/>
          <w:color w:val="000000"/>
        </w:rPr>
        <w:t xml:space="preserve"> </w:t>
      </w:r>
      <w:r w:rsidR="00761573">
        <w:rPr>
          <w:rStyle w:val="normaltextrun"/>
          <w:rFonts w:ascii="Palatino Linotype" w:hAnsi="Palatino Linotype" w:cs="Arial"/>
          <w:color w:val="000000"/>
        </w:rPr>
        <w:t>trece</w:t>
      </w:r>
      <w:r>
        <w:rPr>
          <w:rStyle w:val="normaltextrun"/>
          <w:rFonts w:ascii="Palatino Linotype" w:hAnsi="Palatino Linotype" w:cs="Arial"/>
          <w:color w:val="000000"/>
        </w:rPr>
        <w:t xml:space="preserve"> de</w:t>
      </w:r>
      <w:r w:rsidR="00EF1BB0">
        <w:rPr>
          <w:rStyle w:val="apple-converted-space"/>
          <w:rFonts w:ascii="Palatino Linotype" w:hAnsi="Palatino Linotype" w:cs="Arial"/>
          <w:color w:val="000000"/>
        </w:rPr>
        <w:t xml:space="preserve"> febrero</w:t>
      </w:r>
      <w:r w:rsidR="00346FCB">
        <w:rPr>
          <w:rStyle w:val="normaltextrun"/>
          <w:rFonts w:ascii="Palatino Linotype" w:hAnsi="Palatino Linotype" w:cs="Arial"/>
          <w:color w:val="000000"/>
        </w:rPr>
        <w:t xml:space="preserve"> de dos mil diecinueve</w:t>
      </w:r>
      <w:r>
        <w:rPr>
          <w:rStyle w:val="normaltextrun"/>
          <w:rFonts w:ascii="Palatino Linotype" w:hAnsi="Palatino Linotype" w:cs="Arial"/>
          <w:color w:val="000000"/>
        </w:rPr>
        <w:t>.</w:t>
      </w:r>
    </w:p>
    <w:p w14:paraId="0C59D176" w14:textId="6239684B"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relativo al recurso de revisión </w:t>
      </w:r>
      <w:r w:rsidR="00EF1BB0">
        <w:rPr>
          <w:rFonts w:ascii="Palatino Linotype" w:hAnsi="Palatino Linotype" w:cs="Arial"/>
          <w:b/>
          <w:bCs/>
        </w:rPr>
        <w:t>04544</w:t>
      </w:r>
      <w:r>
        <w:rPr>
          <w:rFonts w:ascii="Palatino Linotype" w:hAnsi="Palatino Linotype" w:cs="Arial"/>
          <w:b/>
          <w:bCs/>
        </w:rPr>
        <w:t>/INFOEM/IP/RR/2018</w:t>
      </w:r>
      <w:r>
        <w:rPr>
          <w:rFonts w:ascii="Palatino Linotype" w:hAnsi="Palatino Linotype" w:cs="Arial"/>
        </w:rPr>
        <w:t xml:space="preserve">, interpuesto por </w:t>
      </w:r>
      <w:r w:rsidR="00015F84">
        <w:rPr>
          <w:rFonts w:ascii="Palatino Linotype" w:hAnsi="Palatino Linotype" w:cs="Arial"/>
          <w:b/>
        </w:rPr>
        <w:t>XXXXX XXXXX XXXXX XXXXXX XXXXX</w:t>
      </w:r>
      <w:r>
        <w:rPr>
          <w:rFonts w:ascii="Palatino Linotype" w:hAnsi="Palatino Linotype" w:cs="Arial"/>
        </w:rPr>
        <w:t xml:space="preserve">, </w:t>
      </w:r>
      <w:r w:rsidR="00EF1BB0">
        <w:rPr>
          <w:rFonts w:ascii="Palatino Linotype" w:hAnsi="Palatino Linotype" w:cs="Arial"/>
          <w:color w:val="000000" w:themeColor="text1"/>
        </w:rPr>
        <w:t>en lo sucesivo la</w:t>
      </w:r>
      <w:r>
        <w:rPr>
          <w:rFonts w:ascii="Palatino Linotype" w:hAnsi="Palatino Linotype" w:cs="Arial"/>
          <w:color w:val="000000" w:themeColor="text1"/>
        </w:rPr>
        <w:t xml:space="preserve"> </w:t>
      </w:r>
      <w:r>
        <w:rPr>
          <w:rFonts w:ascii="Palatino Linotype" w:hAnsi="Palatino Linotype" w:cs="Arial"/>
          <w:b/>
          <w:color w:val="000000" w:themeColor="text1"/>
        </w:rPr>
        <w:t>recurrente</w:t>
      </w:r>
      <w:r>
        <w:rPr>
          <w:rFonts w:ascii="Palatino Linotype" w:hAnsi="Palatino Linotype" w:cs="Arial"/>
          <w:color w:val="000000" w:themeColor="text1"/>
        </w:rPr>
        <w:t xml:space="preserve"> </w:t>
      </w:r>
      <w:r>
        <w:rPr>
          <w:rFonts w:ascii="Palatino Linotype" w:hAnsi="Palatino Linotype" w:cs="Arial"/>
        </w:rPr>
        <w:t xml:space="preserve">en contra de la falta de respuesta a su solicitud de información con número de folio </w:t>
      </w:r>
      <w:r w:rsidR="00EF1BB0">
        <w:rPr>
          <w:rFonts w:ascii="Palatino Linotype" w:hAnsi="Palatino Linotype" w:cs="Arial"/>
          <w:b/>
        </w:rPr>
        <w:t>00024/XALATLA</w:t>
      </w:r>
      <w:r>
        <w:rPr>
          <w:rFonts w:ascii="Palatino Linotype" w:hAnsi="Palatino Linotype" w:cs="Arial"/>
          <w:b/>
        </w:rPr>
        <w:t>/IP/2018</w:t>
      </w:r>
      <w:r>
        <w:rPr>
          <w:rFonts w:ascii="Palatino Linotype" w:hAnsi="Palatino Linotype" w:cs="Arial"/>
        </w:rPr>
        <w:t xml:space="preserve">, por parte del </w:t>
      </w:r>
      <w:r>
        <w:rPr>
          <w:rFonts w:ascii="Palatino Linotype" w:hAnsi="Palatino Linotype" w:cs="Arial"/>
          <w:b/>
        </w:rPr>
        <w:t xml:space="preserve">Ayuntamiento de </w:t>
      </w:r>
      <w:r w:rsidR="00EF1BB0">
        <w:rPr>
          <w:rFonts w:ascii="Palatino Linotype" w:hAnsi="Palatino Linotype" w:cs="Arial"/>
          <w:b/>
        </w:rPr>
        <w:t>Xalatlaco</w:t>
      </w:r>
      <w:r>
        <w:rPr>
          <w:rFonts w:ascii="Palatino Linotype" w:hAnsi="Palatino Linotype" w:cs="Arial"/>
        </w:rPr>
        <w:t xml:space="preserve">, en lo sucesivo el </w:t>
      </w:r>
      <w:r>
        <w:rPr>
          <w:rFonts w:ascii="Palatino Linotype" w:hAnsi="Palatino Linotype" w:cs="Arial"/>
          <w:b/>
        </w:rPr>
        <w:t xml:space="preserve">Sujeto Obligado; </w:t>
      </w:r>
      <w:r>
        <w:rPr>
          <w:rFonts w:ascii="Palatino Linotype" w:hAnsi="Palatino Linotype" w:cs="Arial"/>
        </w:rPr>
        <w:t>se procede a dictar la presente resolución, con base en lo siguiente.</w:t>
      </w:r>
    </w:p>
    <w:p w14:paraId="6CC55D0D" w14:textId="77777777" w:rsidR="00351CB3" w:rsidRDefault="00351CB3" w:rsidP="00746CA0">
      <w:pPr>
        <w:pStyle w:val="Prrafodelista"/>
        <w:numPr>
          <w:ilvl w:val="0"/>
          <w:numId w:val="1"/>
        </w:numPr>
        <w:spacing w:before="240" w:after="240" w:line="360" w:lineRule="auto"/>
        <w:ind w:left="1077"/>
        <w:contextualSpacing/>
        <w:jc w:val="center"/>
        <w:rPr>
          <w:rFonts w:ascii="Palatino Linotype" w:hAnsi="Palatino Linotype" w:cs="Arial"/>
          <w:b/>
        </w:rPr>
      </w:pPr>
      <w:r>
        <w:rPr>
          <w:rFonts w:ascii="Palatino Linotype" w:hAnsi="Palatino Linotype" w:cs="Arial"/>
          <w:b/>
        </w:rPr>
        <w:t>A N T E C E D E N T E S:</w:t>
      </w:r>
    </w:p>
    <w:p w14:paraId="6A8FBCF9" w14:textId="00AC562E" w:rsidR="00351CB3" w:rsidRDefault="00351CB3" w:rsidP="00351CB3">
      <w:pPr>
        <w:spacing w:before="240" w:after="240" w:line="360" w:lineRule="auto"/>
        <w:jc w:val="both"/>
        <w:rPr>
          <w:rFonts w:ascii="Palatino Linotype" w:hAnsi="Palatino Linotype" w:cs="Arial"/>
          <w:b/>
        </w:rPr>
      </w:pPr>
      <w:r>
        <w:rPr>
          <w:rFonts w:ascii="Palatino Linotype" w:hAnsi="Palatino Linotype" w:cs="Arial"/>
          <w:b/>
        </w:rPr>
        <w:t xml:space="preserve">1. Solicitud de acceso a la información. </w:t>
      </w:r>
      <w:r w:rsidR="00EF1BB0">
        <w:rPr>
          <w:rFonts w:ascii="Palatino Linotype" w:hAnsi="Palatino Linotype" w:cs="Arial"/>
        </w:rPr>
        <w:t>Con fecha doce de octubre</w:t>
      </w:r>
      <w:r>
        <w:rPr>
          <w:rFonts w:ascii="Palatino Linotype" w:hAnsi="Palatino Linotype" w:cs="Arial"/>
        </w:rPr>
        <w:t xml:space="preserve"> de dos mil dieciocho, la parte </w:t>
      </w:r>
      <w:r>
        <w:rPr>
          <w:rFonts w:ascii="Palatino Linotype" w:hAnsi="Palatino Linotype" w:cs="Arial"/>
          <w:b/>
        </w:rPr>
        <w:t>recurrente</w:t>
      </w:r>
      <w:r>
        <w:rPr>
          <w:rFonts w:ascii="Palatino Linotype" w:hAnsi="Palatino Linotype" w:cs="Arial"/>
        </w:rPr>
        <w:t xml:space="preserve"> formuló solicitud de acceso a la información pública al </w:t>
      </w:r>
      <w:r>
        <w:rPr>
          <w:rFonts w:ascii="Palatino Linotype" w:hAnsi="Palatino Linotype" w:cs="Arial"/>
          <w:b/>
        </w:rPr>
        <w:t>Sujeto Obligado</w:t>
      </w:r>
      <w:r>
        <w:rPr>
          <w:rFonts w:ascii="Palatino Linotype" w:hAnsi="Palatino Linotype" w:cs="Arial"/>
        </w:rPr>
        <w:t xml:space="preserve"> a través del Sistema de Acceso a la Información </w:t>
      </w:r>
      <w:bookmarkStart w:id="0" w:name="_GoBack"/>
      <w:bookmarkEnd w:id="0"/>
      <w:r>
        <w:rPr>
          <w:rFonts w:ascii="Palatino Linotype" w:hAnsi="Palatino Linotype" w:cs="Arial"/>
        </w:rPr>
        <w:t xml:space="preserve">Mexiquense, en adelante </w:t>
      </w:r>
      <w:r>
        <w:rPr>
          <w:rFonts w:ascii="Palatino Linotype" w:hAnsi="Palatino Linotype" w:cs="Arial"/>
          <w:b/>
        </w:rPr>
        <w:t>SAIMEX,</w:t>
      </w:r>
      <w:r w:rsidR="00FE576C">
        <w:rPr>
          <w:rFonts w:ascii="Palatino Linotype" w:hAnsi="Palatino Linotype" w:cs="Arial"/>
        </w:rPr>
        <w:t xml:space="preserve"> </w:t>
      </w:r>
      <w:r>
        <w:rPr>
          <w:rFonts w:ascii="Palatino Linotype" w:hAnsi="Palatino Linotype" w:cs="Arial"/>
          <w:color w:val="000000" w:themeColor="text1"/>
        </w:rPr>
        <w:t>requiriéndole lo siguiente:</w:t>
      </w:r>
    </w:p>
    <w:p w14:paraId="27518309" w14:textId="77777777" w:rsidR="00351CB3" w:rsidRDefault="00351CB3" w:rsidP="00351CB3">
      <w:pPr>
        <w:autoSpaceDE w:val="0"/>
        <w:autoSpaceDN w:val="0"/>
        <w:adjustRightInd w:val="0"/>
        <w:ind w:left="851" w:right="900"/>
        <w:jc w:val="both"/>
        <w:rPr>
          <w:rFonts w:ascii="Palatino Linotype" w:hAnsi="Palatino Linotype" w:cs="Arial"/>
          <w:i/>
          <w:sz w:val="22"/>
          <w:szCs w:val="22"/>
        </w:rPr>
      </w:pPr>
    </w:p>
    <w:p w14:paraId="7D1CBD4B" w14:textId="659F8A8F" w:rsidR="00351CB3" w:rsidRDefault="00351CB3" w:rsidP="00351CB3">
      <w:pPr>
        <w:autoSpaceDE w:val="0"/>
        <w:autoSpaceDN w:val="0"/>
        <w:adjustRightInd w:val="0"/>
        <w:ind w:left="851" w:right="900"/>
        <w:jc w:val="both"/>
        <w:rPr>
          <w:i/>
        </w:rPr>
      </w:pPr>
      <w:r w:rsidRPr="00EF1BB0">
        <w:rPr>
          <w:rFonts w:ascii="Palatino Linotype" w:hAnsi="Palatino Linotype"/>
          <w:i/>
          <w:color w:val="000000"/>
          <w:sz w:val="22"/>
          <w:szCs w:val="22"/>
        </w:rPr>
        <w:t>“</w:t>
      </w:r>
      <w:r w:rsidR="00EF1BB0" w:rsidRPr="00EF1BB0">
        <w:rPr>
          <w:rFonts w:ascii="Palatino Linotype" w:hAnsi="Palatino Linotype"/>
          <w:i/>
          <w:color w:val="000000"/>
          <w:sz w:val="22"/>
          <w:szCs w:val="22"/>
        </w:rPr>
        <w:t>Requiero información pública del salario bruto y neto mensual que percibe el PRESIDENTE MUNICIPAL, SINDICO Y REGIDORES del municipio de XALATLACO, esto con la finalidad de un trabajo de investigación de la Universidad</w:t>
      </w:r>
      <w:r w:rsidR="00FE576C" w:rsidRPr="00EF1BB0">
        <w:rPr>
          <w:rFonts w:ascii="Palatino Linotype" w:hAnsi="Palatino Linotype"/>
          <w:i/>
          <w:color w:val="000000"/>
          <w:sz w:val="22"/>
          <w:szCs w:val="22"/>
        </w:rPr>
        <w:t>.</w:t>
      </w:r>
      <w:r w:rsidRPr="00EF1BB0">
        <w:rPr>
          <w:rFonts w:ascii="Palatino Linotype" w:hAnsi="Palatino Linotype"/>
          <w:i/>
          <w:color w:val="000000"/>
          <w:sz w:val="22"/>
          <w:szCs w:val="22"/>
        </w:rPr>
        <w:t>”</w:t>
      </w:r>
      <w:r w:rsidR="00FE576C" w:rsidRPr="00EF1BB0">
        <w:rPr>
          <w:rFonts w:ascii="Palatino Linotype" w:hAnsi="Palatino Linotype"/>
          <w:i/>
          <w:sz w:val="22"/>
          <w:szCs w:val="22"/>
        </w:rPr>
        <w:t xml:space="preserve"> </w:t>
      </w:r>
      <w:r w:rsidRPr="00EF1BB0">
        <w:rPr>
          <w:rFonts w:ascii="Palatino Linotype" w:hAnsi="Palatino Linotype"/>
          <w:i/>
          <w:sz w:val="22"/>
          <w:szCs w:val="22"/>
        </w:rPr>
        <w:t>(Sic)</w:t>
      </w:r>
    </w:p>
    <w:p w14:paraId="5296DBF5" w14:textId="77777777" w:rsidR="00351CB3" w:rsidRDefault="00351CB3" w:rsidP="00351CB3">
      <w:pPr>
        <w:autoSpaceDE w:val="0"/>
        <w:autoSpaceDN w:val="0"/>
        <w:adjustRightInd w:val="0"/>
        <w:ind w:left="851" w:right="900"/>
        <w:jc w:val="both"/>
        <w:rPr>
          <w:rFonts w:ascii="Palatino Linotype" w:hAnsi="Palatino Linotype" w:cs="Arial"/>
          <w:i/>
          <w:sz w:val="22"/>
          <w:szCs w:val="22"/>
        </w:rPr>
      </w:pPr>
    </w:p>
    <w:p w14:paraId="00812DA2" w14:textId="77777777"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a través del SAIMEX.</w:t>
      </w:r>
    </w:p>
    <w:p w14:paraId="7C6CBC4A" w14:textId="3C8DE724" w:rsidR="00351CB3" w:rsidRDefault="00351CB3" w:rsidP="00351CB3">
      <w:pPr>
        <w:spacing w:before="240" w:after="240" w:line="360" w:lineRule="auto"/>
        <w:jc w:val="both"/>
        <w:rPr>
          <w:rFonts w:ascii="Palatino Linotype" w:hAnsi="Palatino Linotype"/>
        </w:rPr>
      </w:pPr>
      <w:r w:rsidRPr="001949D0">
        <w:rPr>
          <w:rFonts w:ascii="Palatino Linotype" w:hAnsi="Palatino Linotype" w:cs="Arial"/>
          <w:b/>
        </w:rPr>
        <w:lastRenderedPageBreak/>
        <w:t>2.</w:t>
      </w:r>
      <w:r>
        <w:rPr>
          <w:rFonts w:ascii="Palatino Linotype" w:hAnsi="Palatino Linotype" w:cs="Arial"/>
        </w:rPr>
        <w:t xml:space="preserve"> </w:t>
      </w:r>
      <w:r>
        <w:rPr>
          <w:rFonts w:ascii="Palatino Linotype" w:hAnsi="Palatino Linotype" w:cs="Arial"/>
          <w:b/>
        </w:rPr>
        <w:t xml:space="preserve">Respuesta. </w:t>
      </w:r>
      <w:r>
        <w:rPr>
          <w:rFonts w:ascii="Palatino Linotype" w:hAnsi="Palatino Linotype" w:cs="Arial"/>
        </w:rPr>
        <w:t xml:space="preserve">De las constancias que obran en el expediente electrónico del SAIMEX, </w:t>
      </w:r>
      <w:r>
        <w:rPr>
          <w:rFonts w:ascii="Palatino Linotype" w:hAnsi="Palatino Linotype"/>
        </w:rPr>
        <w:t xml:space="preserve">se advierte que el </w:t>
      </w:r>
      <w:r>
        <w:rPr>
          <w:rFonts w:ascii="Palatino Linotype" w:hAnsi="Palatino Linotype"/>
          <w:b/>
        </w:rPr>
        <w:t>Sujeto Obligado</w:t>
      </w:r>
      <w:r>
        <w:rPr>
          <w:rFonts w:ascii="Palatino Linotype" w:hAnsi="Palatino Linotype"/>
        </w:rPr>
        <w:t xml:space="preserve"> </w:t>
      </w:r>
      <w:r w:rsidR="00130DD0">
        <w:rPr>
          <w:rFonts w:ascii="Palatino Linotype" w:hAnsi="Palatino Linotype"/>
        </w:rPr>
        <w:t xml:space="preserve">no dio respuesta a </w:t>
      </w:r>
      <w:r w:rsidR="0004195C">
        <w:rPr>
          <w:rFonts w:ascii="Palatino Linotype" w:hAnsi="Palatino Linotype"/>
        </w:rPr>
        <w:t>la solicitud</w:t>
      </w:r>
      <w:r>
        <w:rPr>
          <w:rFonts w:ascii="Palatino Linotype" w:hAnsi="Palatino Linotype"/>
        </w:rPr>
        <w:t xml:space="preserve"> de acceso a la información.</w:t>
      </w:r>
    </w:p>
    <w:p w14:paraId="4393F579" w14:textId="155C71B3" w:rsidR="00351CB3" w:rsidRDefault="001949D0" w:rsidP="00351CB3">
      <w:pPr>
        <w:spacing w:before="240" w:after="240" w:line="360" w:lineRule="auto"/>
        <w:jc w:val="both"/>
        <w:rPr>
          <w:rFonts w:ascii="Palatino Linotype" w:hAnsi="Palatino Linotype" w:cs="Arial"/>
        </w:rPr>
      </w:pPr>
      <w:r>
        <w:rPr>
          <w:rFonts w:ascii="Palatino Linotype" w:hAnsi="Palatino Linotype" w:cs="Arial"/>
          <w:b/>
        </w:rPr>
        <w:t>3</w:t>
      </w:r>
      <w:r w:rsidR="00351CB3">
        <w:rPr>
          <w:rFonts w:ascii="Palatino Linotype" w:hAnsi="Palatino Linotype" w:cs="Arial"/>
          <w:b/>
        </w:rPr>
        <w:t xml:space="preserve">. Interposición del recurso de revisión. </w:t>
      </w:r>
      <w:r w:rsidR="00EF1BB0">
        <w:rPr>
          <w:rFonts w:ascii="Palatino Linotype" w:hAnsi="Palatino Linotype" w:cs="Arial"/>
        </w:rPr>
        <w:t>Inconforme la</w:t>
      </w:r>
      <w:r w:rsidR="00351CB3">
        <w:rPr>
          <w:rFonts w:ascii="Palatino Linotype" w:hAnsi="Palatino Linotype" w:cs="Arial"/>
        </w:rPr>
        <w:t xml:space="preserve"> solicitante con la falta de respuesta del </w:t>
      </w:r>
      <w:r w:rsidR="00351CB3">
        <w:rPr>
          <w:rFonts w:ascii="Palatino Linotype" w:hAnsi="Palatino Linotype" w:cs="Arial"/>
          <w:b/>
        </w:rPr>
        <w:t>Sujeto Obligado</w:t>
      </w:r>
      <w:r w:rsidR="00351CB3">
        <w:rPr>
          <w:rFonts w:ascii="Palatino Linotype" w:hAnsi="Palatino Linotype" w:cs="Arial"/>
        </w:rPr>
        <w:t xml:space="preserve"> interpuso recurso de revisión a </w:t>
      </w:r>
      <w:r>
        <w:rPr>
          <w:rFonts w:ascii="Palatino Linotype" w:hAnsi="Palatino Linotype" w:cs="Arial"/>
        </w:rPr>
        <w:t>través del SAIM</w:t>
      </w:r>
      <w:r w:rsidR="00EF1BB0">
        <w:rPr>
          <w:rFonts w:ascii="Palatino Linotype" w:hAnsi="Palatino Linotype" w:cs="Arial"/>
        </w:rPr>
        <w:t>EX, el veintinueve de noviembre</w:t>
      </w:r>
      <w:r w:rsidR="00351CB3">
        <w:rPr>
          <w:rFonts w:ascii="Palatino Linotype" w:hAnsi="Palatino Linotype" w:cs="Arial"/>
        </w:rPr>
        <w:t xml:space="preserve"> de dos mil dieciocho, a través del cual expresó lo siguiente:</w:t>
      </w:r>
    </w:p>
    <w:p w14:paraId="22598B33" w14:textId="77777777" w:rsidR="00351CB3" w:rsidRDefault="00351CB3" w:rsidP="00351CB3">
      <w:pPr>
        <w:spacing w:line="360" w:lineRule="auto"/>
        <w:rPr>
          <w:rFonts w:ascii="Palatino Linotype" w:hAnsi="Palatino Linotype" w:cs="Arial"/>
          <w:b/>
        </w:rPr>
      </w:pPr>
      <w:r>
        <w:rPr>
          <w:rFonts w:ascii="Palatino Linotype" w:hAnsi="Palatino Linotype" w:cs="Arial"/>
          <w:b/>
        </w:rPr>
        <w:t>a) Acto impugnado.</w:t>
      </w:r>
    </w:p>
    <w:p w14:paraId="603DF439" w14:textId="158B89AE" w:rsidR="00351CB3" w:rsidRDefault="00351CB3" w:rsidP="00351CB3">
      <w:pPr>
        <w:spacing w:before="240" w:after="240"/>
        <w:ind w:left="851" w:right="900"/>
        <w:jc w:val="both"/>
        <w:rPr>
          <w:rFonts w:ascii="Palatino Linotype" w:hAnsi="Palatino Linotype" w:cs="Arial"/>
          <w:i/>
          <w:sz w:val="22"/>
          <w:szCs w:val="22"/>
        </w:rPr>
      </w:pPr>
      <w:r w:rsidRPr="00351CB3">
        <w:rPr>
          <w:rFonts w:ascii="Palatino Linotype" w:hAnsi="Palatino Linotype"/>
          <w:i/>
          <w:color w:val="000000"/>
          <w:sz w:val="22"/>
          <w:szCs w:val="22"/>
        </w:rPr>
        <w:t>“</w:t>
      </w:r>
      <w:r w:rsidR="00EF1BB0" w:rsidRPr="00EF1BB0">
        <w:rPr>
          <w:rFonts w:ascii="Palatino Linotype" w:hAnsi="Palatino Linotype"/>
          <w:i/>
          <w:color w:val="000000"/>
          <w:sz w:val="22"/>
          <w:szCs w:val="22"/>
        </w:rPr>
        <w:t>De conformidad con los artículos 176, 178 Párrafo Segundo, y 179 fracción VII de la Ley de Transparencia y Acceso a la Información Pública del Estado de México y Municipios, comparezco para exponer: Mediante expediente número 00024/XALATLA/IP/2018 se solicitó al H. Ayuntamiento de XALATLACO INFORMACIÓN PÚBLICA respecto de las percepciones mensuales del PRESIDENTE MUNICIPAL, SINDICO Y REGIDORES que componen el cabildo. En fecha 05/11/2018 se venció el plazo de contestación, sin obtener respuesta del sujeto obligado, motivo por el cual me permito interponer en tiempo y forma recurso de recurso de revisión en contra de la omisión a mi solicitud por los sujetos obligados de la información solicitada. A su vez, se requiere sean brindados LOS RECIBOS DE NÓMINA O DOCUMENTO QUE ACREDITE LA REMUNERACIÓN DE LOS MESES SEPTIEMBRE y OCTUBRE DEL AÑO 2018 QUE PERCIBE EL PRESIDENTE MUNICIPAL, SINDICO Y REGIDORES EN VERSIÓN PUBLICA (REFLEJANDO ASI EL SALARIO BRUTO Y NETO MENSUAL). Adjunto al presente, acuse de solicitud formulada con antelación.</w:t>
      </w:r>
      <w:r w:rsidRPr="00351CB3">
        <w:rPr>
          <w:rFonts w:ascii="Palatino Linotype" w:hAnsi="Palatino Linotype"/>
          <w:i/>
          <w:color w:val="000000"/>
          <w:sz w:val="22"/>
          <w:szCs w:val="22"/>
        </w:rPr>
        <w:t>” (</w:t>
      </w:r>
      <w:r w:rsidR="00130DD0" w:rsidRPr="00351CB3">
        <w:rPr>
          <w:rFonts w:ascii="Palatino Linotype" w:hAnsi="Palatino Linotype"/>
          <w:i/>
          <w:color w:val="000000"/>
          <w:sz w:val="22"/>
          <w:szCs w:val="22"/>
        </w:rPr>
        <w:t>Sic</w:t>
      </w:r>
      <w:r>
        <w:rPr>
          <w:rFonts w:ascii="Palatino Linotype" w:hAnsi="Palatino Linotype" w:cs="Arial"/>
          <w:i/>
          <w:sz w:val="22"/>
          <w:szCs w:val="22"/>
        </w:rPr>
        <w:t>)</w:t>
      </w:r>
    </w:p>
    <w:p w14:paraId="43CF2099" w14:textId="48EFF213" w:rsidR="00351CB3" w:rsidRDefault="00351CB3" w:rsidP="00351CB3">
      <w:pPr>
        <w:spacing w:line="360" w:lineRule="auto"/>
        <w:jc w:val="both"/>
        <w:rPr>
          <w:rFonts w:ascii="Palatino Linotype" w:hAnsi="Palatino Linotype" w:cs="Arial"/>
          <w:b/>
        </w:rPr>
      </w:pPr>
      <w:r>
        <w:rPr>
          <w:rFonts w:ascii="Palatino Linotype" w:hAnsi="Palatino Linotype" w:cs="Arial"/>
          <w:b/>
        </w:rPr>
        <w:t>b) Razones o Motivos de inconformidad.</w:t>
      </w:r>
    </w:p>
    <w:p w14:paraId="7C226B04" w14:textId="09AFF9D0" w:rsidR="00351CB3" w:rsidRPr="00EF1BB0" w:rsidRDefault="00351CB3" w:rsidP="00EF1BB0">
      <w:pPr>
        <w:spacing w:before="240" w:after="240"/>
        <w:ind w:left="851" w:right="900"/>
        <w:jc w:val="both"/>
        <w:rPr>
          <w:rFonts w:ascii="Palatino Linotype" w:hAnsi="Palatino Linotype"/>
          <w:i/>
          <w:color w:val="000000"/>
          <w:sz w:val="22"/>
          <w:szCs w:val="22"/>
        </w:rPr>
      </w:pPr>
      <w:r w:rsidRPr="00FE576C">
        <w:rPr>
          <w:rFonts w:ascii="Palatino Linotype" w:hAnsi="Palatino Linotype"/>
          <w:i/>
          <w:color w:val="000000"/>
          <w:sz w:val="22"/>
          <w:szCs w:val="22"/>
        </w:rPr>
        <w:t>“</w:t>
      </w:r>
      <w:r w:rsidR="00EF1BB0" w:rsidRPr="00EF1BB0">
        <w:rPr>
          <w:rFonts w:ascii="Palatino Linotype" w:hAnsi="Palatino Linotype"/>
          <w:i/>
          <w:color w:val="000000"/>
          <w:sz w:val="22"/>
          <w:szCs w:val="22"/>
        </w:rPr>
        <w:t>NO SE DIO RESPUESTA A LA SOLICITUD</w:t>
      </w:r>
      <w:r w:rsidRPr="00351CB3">
        <w:rPr>
          <w:rFonts w:ascii="Palatino Linotype" w:hAnsi="Palatino Linotype"/>
          <w:i/>
          <w:color w:val="000000"/>
          <w:sz w:val="22"/>
          <w:szCs w:val="22"/>
        </w:rPr>
        <w:t>”</w:t>
      </w:r>
      <w:r w:rsidRPr="00EF1BB0">
        <w:rPr>
          <w:rFonts w:ascii="Palatino Linotype" w:hAnsi="Palatino Linotype"/>
          <w:i/>
          <w:color w:val="000000"/>
          <w:sz w:val="22"/>
          <w:szCs w:val="22"/>
        </w:rPr>
        <w:t xml:space="preserve"> (</w:t>
      </w:r>
      <w:r w:rsidR="00130DD0" w:rsidRPr="00EF1BB0">
        <w:rPr>
          <w:rFonts w:ascii="Palatino Linotype" w:hAnsi="Palatino Linotype"/>
          <w:i/>
          <w:color w:val="000000"/>
          <w:sz w:val="22"/>
          <w:szCs w:val="22"/>
        </w:rPr>
        <w:t>Sic</w:t>
      </w:r>
      <w:r w:rsidRPr="00EF1BB0">
        <w:rPr>
          <w:rFonts w:ascii="Palatino Linotype" w:hAnsi="Palatino Linotype"/>
          <w:i/>
          <w:color w:val="000000"/>
          <w:sz w:val="22"/>
          <w:szCs w:val="22"/>
        </w:rPr>
        <w:t>)</w:t>
      </w:r>
    </w:p>
    <w:p w14:paraId="1E685717" w14:textId="3C6AA0D5" w:rsidR="00FB3029" w:rsidRPr="00FB3029" w:rsidRDefault="00FB3029" w:rsidP="00FB3029">
      <w:pPr>
        <w:spacing w:before="240" w:after="240" w:line="360" w:lineRule="auto"/>
        <w:contextualSpacing/>
        <w:jc w:val="both"/>
        <w:rPr>
          <w:rFonts w:ascii="Palatino Linotype" w:hAnsi="Palatino Linotype"/>
          <w:color w:val="000000"/>
        </w:rPr>
      </w:pPr>
      <w:r w:rsidRPr="00FB3029">
        <w:rPr>
          <w:rFonts w:ascii="Palatino Linotype" w:hAnsi="Palatino Linotype"/>
        </w:rPr>
        <w:t>La recurrente adjuntó a su recurso de revisión el archivo electrónico</w:t>
      </w:r>
      <w:r>
        <w:rPr>
          <w:rFonts w:ascii="Palatino Linotype" w:hAnsi="Palatino Linotype"/>
        </w:rPr>
        <w:t xml:space="preserve"> “</w:t>
      </w:r>
      <w:hyperlink r:id="rId8" w:tgtFrame="_blank" w:history="1">
        <w:r w:rsidRPr="00FB3029">
          <w:rPr>
            <w:rFonts w:ascii="Palatino Linotype" w:hAnsi="Palatino Linotype"/>
            <w:color w:val="000000"/>
          </w:rPr>
          <w:t>Captura de pantalla 2018-11-29 a la(s) 10.49.38.png</w:t>
        </w:r>
      </w:hyperlink>
      <w:r>
        <w:rPr>
          <w:rFonts w:ascii="Palatino Linotype" w:hAnsi="Palatino Linotype"/>
          <w:color w:val="000000"/>
        </w:rPr>
        <w:t>”, el cual contiene una imagen de la solicitud de acceso a la información pública de la solicitante.</w:t>
      </w:r>
    </w:p>
    <w:p w14:paraId="12CD672D" w14:textId="2A575D67" w:rsidR="00C85E26" w:rsidRDefault="001949D0" w:rsidP="00C85E26">
      <w:pPr>
        <w:spacing w:before="240" w:after="240" w:line="360" w:lineRule="auto"/>
        <w:contextualSpacing/>
        <w:jc w:val="both"/>
        <w:rPr>
          <w:rFonts w:ascii="Palatino Linotype" w:eastAsia="Calibri" w:hAnsi="Palatino Linotype" w:cs="Arial"/>
        </w:rPr>
      </w:pPr>
      <w:r>
        <w:rPr>
          <w:rFonts w:ascii="Palatino Linotype" w:hAnsi="Palatino Linotype"/>
          <w:b/>
        </w:rPr>
        <w:lastRenderedPageBreak/>
        <w:t>4</w:t>
      </w:r>
      <w:r w:rsidR="00351CB3">
        <w:rPr>
          <w:rFonts w:ascii="Palatino Linotype" w:hAnsi="Palatino Linotype"/>
          <w:b/>
        </w:rPr>
        <w:t xml:space="preserve">. Turno. </w:t>
      </w:r>
      <w:r w:rsidR="00351CB3">
        <w:rPr>
          <w:rFonts w:ascii="Palatino Linotype" w:hAnsi="Palatino Linotype"/>
        </w:rPr>
        <w:t xml:space="preserve">De conformidad con el artículo 185, fracción I de la </w:t>
      </w:r>
      <w:r w:rsidR="00351CB3">
        <w:rPr>
          <w:rFonts w:ascii="Palatino Linotype" w:hAnsi="Palatino Linotype" w:cs="Arial"/>
        </w:rPr>
        <w:t xml:space="preserve">Ley de Transparencia y Acceso a la Información Pública del Estado de México y Municipios, el recurso de revisión número </w:t>
      </w:r>
      <w:r w:rsidR="00FB3029">
        <w:rPr>
          <w:rFonts w:ascii="Palatino Linotype" w:hAnsi="Palatino Linotype" w:cs="Arial"/>
          <w:b/>
        </w:rPr>
        <w:t>04544</w:t>
      </w:r>
      <w:r w:rsidR="00351CB3">
        <w:rPr>
          <w:rFonts w:ascii="Palatino Linotype" w:hAnsi="Palatino Linotype" w:cs="Arial"/>
          <w:b/>
        </w:rPr>
        <w:t>/INFOEM/IP/RR/2018</w:t>
      </w:r>
      <w:r>
        <w:rPr>
          <w:rFonts w:ascii="Palatino Linotype" w:hAnsi="Palatino Linotype" w:cs="Arial"/>
          <w:b/>
        </w:rPr>
        <w:t>,</w:t>
      </w:r>
      <w:r w:rsidR="00351CB3">
        <w:rPr>
          <w:rFonts w:ascii="Palatino Linotype" w:hAnsi="Palatino Linotype" w:cs="Arial"/>
          <w:b/>
        </w:rPr>
        <w:t xml:space="preserve"> </w:t>
      </w:r>
      <w:r w:rsidR="00C85E26">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C85E26">
        <w:rPr>
          <w:rFonts w:ascii="Palatino Linotype" w:hAnsi="Palatino Linotype" w:cs="Arial"/>
        </w:rPr>
        <w:t>al</w:t>
      </w:r>
      <w:r w:rsidR="00C85E26">
        <w:rPr>
          <w:rFonts w:ascii="Palatino Linotype" w:eastAsia="Calibri" w:hAnsi="Palatino Linotype" w:cs="Arial"/>
        </w:rPr>
        <w:t xml:space="preserve"> Comisionado </w:t>
      </w:r>
      <w:r w:rsidR="00C85E26">
        <w:rPr>
          <w:rFonts w:ascii="Palatino Linotype" w:eastAsia="Calibri" w:hAnsi="Palatino Linotype" w:cs="Arial"/>
          <w:b/>
        </w:rPr>
        <w:t>Javier Martínez Cruz</w:t>
      </w:r>
      <w:r w:rsidR="00C85E26">
        <w:rPr>
          <w:rFonts w:ascii="Palatino Linotype" w:hAnsi="Palatino Linotype" w:cs="Arial"/>
        </w:rPr>
        <w:t xml:space="preserve"> para su análisis, estudio, elaboración del proyecto y </w:t>
      </w:r>
      <w:r w:rsidR="00C85E26">
        <w:rPr>
          <w:rFonts w:ascii="Palatino Linotype" w:eastAsia="Calibri" w:hAnsi="Palatino Linotype" w:cs="Arial"/>
        </w:rPr>
        <w:t>presentación ante el Pleno de este Instituto.</w:t>
      </w:r>
    </w:p>
    <w:p w14:paraId="6DC2CE24" w14:textId="77777777" w:rsidR="00FE576C" w:rsidRDefault="00FE576C" w:rsidP="00C85E26">
      <w:pPr>
        <w:spacing w:before="240" w:after="240" w:line="360" w:lineRule="auto"/>
        <w:contextualSpacing/>
        <w:jc w:val="both"/>
        <w:rPr>
          <w:rFonts w:ascii="Palatino Linotype" w:eastAsia="Calibri" w:hAnsi="Palatino Linotype" w:cs="Arial"/>
        </w:rPr>
      </w:pPr>
    </w:p>
    <w:p w14:paraId="171185F4" w14:textId="5D047F6D" w:rsidR="00351CB3" w:rsidRDefault="001949D0" w:rsidP="00351CB3">
      <w:pPr>
        <w:spacing w:before="240" w:after="240" w:line="360" w:lineRule="auto"/>
        <w:contextualSpacing/>
        <w:jc w:val="both"/>
        <w:rPr>
          <w:rFonts w:ascii="Palatino Linotype" w:hAnsi="Palatino Linotype" w:cs="Arial"/>
        </w:rPr>
      </w:pPr>
      <w:r>
        <w:rPr>
          <w:rFonts w:ascii="Palatino Linotype" w:hAnsi="Palatino Linotype" w:cs="Arial"/>
          <w:b/>
        </w:rPr>
        <w:t>5</w:t>
      </w:r>
      <w:r w:rsidR="00351CB3">
        <w:rPr>
          <w:rFonts w:ascii="Palatino Linotype" w:hAnsi="Palatino Linotype" w:cs="Arial"/>
          <w:b/>
        </w:rPr>
        <w:t xml:space="preserve">. Admisión del recurso de revisión: </w:t>
      </w:r>
      <w:r w:rsidR="00351CB3">
        <w:rPr>
          <w:rFonts w:ascii="Palatino Linotype" w:hAnsi="Palatino Linotype" w:cs="Arial"/>
        </w:rPr>
        <w:t xml:space="preserve">En fecha </w:t>
      </w:r>
      <w:r w:rsidR="00FB3029">
        <w:rPr>
          <w:rFonts w:ascii="Palatino Linotype" w:hAnsi="Palatino Linotype" w:cs="Arial"/>
        </w:rPr>
        <w:t>cinco de diciembre</w:t>
      </w:r>
      <w:r w:rsidR="00351CB3">
        <w:rPr>
          <w:rFonts w:ascii="Palatino Linotype" w:hAnsi="Palatino Linotype" w:cs="Arial"/>
        </w:rPr>
        <w:t xml:space="preserve"> de </w:t>
      </w:r>
      <w:r w:rsidR="00C85E26">
        <w:rPr>
          <w:rFonts w:ascii="Palatino Linotype" w:hAnsi="Palatino Linotype" w:cs="Arial"/>
        </w:rPr>
        <w:t>dos mil dieciocho, se admitió</w:t>
      </w:r>
      <w:r w:rsidR="00351CB3">
        <w:rPr>
          <w:rFonts w:ascii="Palatino Linotype" w:hAnsi="Palatino Linotype" w:cs="Arial"/>
        </w:rPr>
        <w:t xml:space="preserve"> </w:t>
      </w:r>
      <w:r w:rsidR="00C85E26">
        <w:rPr>
          <w:rFonts w:ascii="Palatino Linotype" w:hAnsi="Palatino Linotype" w:cs="Arial"/>
        </w:rPr>
        <w:t>a trámite el</w:t>
      </w:r>
      <w:r w:rsidR="00351CB3">
        <w:rPr>
          <w:rFonts w:ascii="Palatino Linotype" w:hAnsi="Palatino Linotype" w:cs="Arial"/>
        </w:rPr>
        <w:t xml:space="preserve"> recurso de</w:t>
      </w:r>
      <w:r w:rsidR="0072358C">
        <w:rPr>
          <w:rFonts w:ascii="Palatino Linotype" w:hAnsi="Palatino Linotype" w:cs="Arial"/>
        </w:rPr>
        <w:t xml:space="preserve"> revisión que ahora se resuelve</w:t>
      </w:r>
      <w:r w:rsidR="00351CB3">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p>
    <w:p w14:paraId="4E9FEEF4" w14:textId="77777777" w:rsidR="0072358C" w:rsidRDefault="0072358C" w:rsidP="00351CB3">
      <w:pPr>
        <w:spacing w:before="240" w:after="240" w:line="360" w:lineRule="auto"/>
        <w:contextualSpacing/>
        <w:jc w:val="both"/>
        <w:rPr>
          <w:rFonts w:ascii="Palatino Linotype" w:hAnsi="Palatino Linotype" w:cs="Arial"/>
        </w:rPr>
      </w:pPr>
    </w:p>
    <w:p w14:paraId="499642F7" w14:textId="6DB6261E" w:rsidR="00351CB3" w:rsidRDefault="001949D0" w:rsidP="00351CB3">
      <w:pPr>
        <w:spacing w:after="240" w:line="360" w:lineRule="auto"/>
        <w:contextualSpacing/>
        <w:jc w:val="both"/>
        <w:rPr>
          <w:rFonts w:ascii="Palatino Linotype" w:hAnsi="Palatino Linotype" w:cs="Arial"/>
        </w:rPr>
      </w:pPr>
      <w:r>
        <w:rPr>
          <w:rFonts w:ascii="Palatino Linotype" w:hAnsi="Palatino Linotype" w:cs="Arial"/>
          <w:b/>
        </w:rPr>
        <w:t>6</w:t>
      </w:r>
      <w:r w:rsidR="00351CB3">
        <w:rPr>
          <w:rFonts w:ascii="Palatino Linotype" w:hAnsi="Palatino Linotype" w:cs="Arial"/>
          <w:b/>
        </w:rPr>
        <w:t xml:space="preserve">. Manifestaciones: </w:t>
      </w:r>
      <w:r w:rsidR="00351CB3">
        <w:rPr>
          <w:rFonts w:ascii="Palatino Linotype" w:hAnsi="Palatino Linotype" w:cs="Arial"/>
        </w:rPr>
        <w:t>De las constancias que integran el expediente en que se actúa se advierte que las partes fueron omisas en hacer valer manifestación alguna</w:t>
      </w:r>
      <w:r w:rsidR="00351CB3" w:rsidRPr="00A978C1">
        <w:rPr>
          <w:rFonts w:ascii="Palatino Linotype" w:hAnsi="Palatino Linotype" w:cs="Arial"/>
        </w:rPr>
        <w:t>, expresar alegatos o presentar pruebas en el pl</w:t>
      </w:r>
      <w:r w:rsidR="001E2436">
        <w:rPr>
          <w:rFonts w:ascii="Palatino Linotype" w:hAnsi="Palatino Linotype" w:cs="Arial"/>
        </w:rPr>
        <w:t>azo establecido para tal efecto y</w:t>
      </w:r>
      <w:r w:rsidR="00351CB3" w:rsidRPr="00A978C1">
        <w:rPr>
          <w:rFonts w:ascii="Palatino Linotype" w:hAnsi="Palatino Linotype" w:cs="Arial"/>
        </w:rPr>
        <w:t xml:space="preserve"> </w:t>
      </w:r>
      <w:r w:rsidR="001E2436">
        <w:rPr>
          <w:rFonts w:ascii="Palatino Linotype" w:hAnsi="Palatino Linotype" w:cs="Arial"/>
        </w:rPr>
        <w:t xml:space="preserve">rendir el informe justificado; </w:t>
      </w:r>
      <w:r w:rsidR="00351CB3" w:rsidRPr="00A978C1">
        <w:rPr>
          <w:rFonts w:ascii="Palatino Linotype" w:hAnsi="Palatino Linotype" w:cs="Arial"/>
        </w:rPr>
        <w:t xml:space="preserve">por lo que se </w:t>
      </w:r>
      <w:r w:rsidR="00351CB3">
        <w:rPr>
          <w:rFonts w:ascii="Palatino Linotype" w:hAnsi="Palatino Linotype" w:cs="Arial"/>
        </w:rPr>
        <w:t>tiene por precluido su derecho en tal sentido.</w:t>
      </w:r>
    </w:p>
    <w:p w14:paraId="2443F963" w14:textId="77777777" w:rsidR="0072358C" w:rsidRDefault="0072358C" w:rsidP="00351CB3">
      <w:pPr>
        <w:spacing w:after="240" w:line="360" w:lineRule="auto"/>
        <w:contextualSpacing/>
        <w:jc w:val="both"/>
        <w:rPr>
          <w:rFonts w:ascii="Palatino Linotype" w:hAnsi="Palatino Linotype" w:cs="Arial"/>
        </w:rPr>
      </w:pPr>
    </w:p>
    <w:p w14:paraId="20CDBE28" w14:textId="6FF4553E" w:rsidR="00351CB3" w:rsidRDefault="007F1F39" w:rsidP="00351CB3">
      <w:pPr>
        <w:spacing w:before="240" w:after="240" w:line="360" w:lineRule="auto"/>
        <w:jc w:val="both"/>
        <w:rPr>
          <w:rFonts w:ascii="Palatino Linotype" w:hAnsi="Palatino Linotype"/>
        </w:rPr>
      </w:pPr>
      <w:r>
        <w:rPr>
          <w:rFonts w:ascii="Palatino Linotype" w:hAnsi="Palatino Linotype"/>
          <w:b/>
        </w:rPr>
        <w:t>7</w:t>
      </w:r>
      <w:r w:rsidR="00351CB3">
        <w:rPr>
          <w:rFonts w:ascii="Palatino Linotype" w:hAnsi="Palatino Linotype"/>
          <w:b/>
        </w:rPr>
        <w:t xml:space="preserve">. Cierre de instrucción. </w:t>
      </w:r>
      <w:r w:rsidR="00A978C1" w:rsidRPr="00A978C1">
        <w:rPr>
          <w:rFonts w:ascii="Palatino Linotype" w:hAnsi="Palatino Linotype"/>
        </w:rPr>
        <w:t xml:space="preserve">En fecha </w:t>
      </w:r>
      <w:r w:rsidR="00FB3029">
        <w:rPr>
          <w:rFonts w:ascii="Palatino Linotype" w:hAnsi="Palatino Linotype"/>
        </w:rPr>
        <w:t xml:space="preserve">veinticuatro de enero de dos mil </w:t>
      </w:r>
      <w:r w:rsidR="00EF12FD">
        <w:rPr>
          <w:rFonts w:ascii="Palatino Linotype" w:hAnsi="Palatino Linotype"/>
        </w:rPr>
        <w:t>diecinueve</w:t>
      </w:r>
      <w:r w:rsidR="00351CB3" w:rsidRPr="007F1F39">
        <w:rPr>
          <w:rFonts w:ascii="Palatino Linotype" w:hAnsi="Palatino Linotype"/>
        </w:rPr>
        <w:t xml:space="preserve"> el </w:t>
      </w:r>
      <w:r w:rsidR="00351CB3">
        <w:rPr>
          <w:rFonts w:ascii="Palatino Linotype" w:hAnsi="Palatino Linotype"/>
        </w:rPr>
        <w:t>Comisionado ponente determinó el cierre de instrucción en términos de la fracción VI  del artículo 185 de la Ley de Transparencia y Acceso a la información Pública del Estado de México y Municipios.</w:t>
      </w:r>
    </w:p>
    <w:p w14:paraId="3A13EA79" w14:textId="37E6A615" w:rsidR="007F1F39" w:rsidRDefault="007F1F39" w:rsidP="007F1F39">
      <w:pPr>
        <w:widowControl w:val="0"/>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rPr>
        <w:t>8.-</w:t>
      </w:r>
      <w:r>
        <w:rPr>
          <w:rFonts w:ascii="Palatino Linotype" w:eastAsia="Palatino Linotype" w:hAnsi="Palatino Linotype" w:cs="Palatino Linotype"/>
        </w:rPr>
        <w:t xml:space="preserve"> </w:t>
      </w:r>
      <w:r>
        <w:rPr>
          <w:rFonts w:ascii="Palatino Linotype" w:eastAsia="Palatino Linotype" w:hAnsi="Palatino Linotype" w:cs="Palatino Linotype"/>
          <w:b/>
        </w:rPr>
        <w:t>Ampliación del plazo para emitir resolución</w:t>
      </w:r>
      <w:r w:rsidR="00FB3029">
        <w:rPr>
          <w:rFonts w:ascii="Palatino Linotype" w:eastAsia="Palatino Linotype" w:hAnsi="Palatino Linotype" w:cs="Palatino Linotype"/>
        </w:rPr>
        <w:t xml:space="preserve">. En fecha </w:t>
      </w:r>
      <w:r w:rsidR="00FB3029" w:rsidRPr="00905247">
        <w:rPr>
          <w:rFonts w:ascii="Palatino Linotype" w:eastAsia="Palatino Linotype" w:hAnsi="Palatino Linotype" w:cs="Palatino Linotype"/>
        </w:rPr>
        <w:t>uno de febrero</w:t>
      </w:r>
      <w:r w:rsidRPr="00905247">
        <w:rPr>
          <w:rFonts w:ascii="Palatino Linotype" w:eastAsia="Palatino Linotype" w:hAnsi="Palatino Linotype" w:cs="Palatino Linotype"/>
        </w:rPr>
        <w:t xml:space="preserve"> de dos mil </w:t>
      </w:r>
      <w:r w:rsidR="00FB3029" w:rsidRPr="00905247">
        <w:rPr>
          <w:rFonts w:ascii="Palatino Linotype" w:eastAsia="Palatino Linotype" w:hAnsi="Palatino Linotype" w:cs="Palatino Linotype"/>
        </w:rPr>
        <w:lastRenderedPageBreak/>
        <w:t>diecinueve</w:t>
      </w:r>
      <w:r w:rsidRPr="00905247">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w:t>
      </w:r>
      <w:r>
        <w:rPr>
          <w:rFonts w:ascii="Palatino Linotype" w:eastAsia="Palatino Linotype" w:hAnsi="Palatino Linotype" w:cs="Palatino Linotype"/>
        </w:rPr>
        <w:t>Municipios, determinó mediante el acuerdo respectivo, ampliar por quince días hábiles adicionales el plazo para emitir la presente resolución a fin de realizar un mejor estudio del asunto.</w:t>
      </w:r>
    </w:p>
    <w:p w14:paraId="1004BE14" w14:textId="77777777" w:rsidR="00351CB3" w:rsidRDefault="00351CB3" w:rsidP="00746CA0">
      <w:pPr>
        <w:pStyle w:val="Prrafodelista"/>
        <w:numPr>
          <w:ilvl w:val="0"/>
          <w:numId w:val="1"/>
        </w:numPr>
        <w:spacing w:before="240" w:after="240" w:line="360" w:lineRule="auto"/>
        <w:ind w:left="720"/>
        <w:contextualSpacing/>
        <w:jc w:val="center"/>
        <w:rPr>
          <w:rFonts w:ascii="Palatino Linotype" w:hAnsi="Palatino Linotype" w:cs="Arial"/>
          <w:b/>
        </w:rPr>
      </w:pPr>
      <w:r>
        <w:rPr>
          <w:rFonts w:ascii="Palatino Linotype" w:hAnsi="Palatino Linotype" w:cs="Arial"/>
          <w:b/>
        </w:rPr>
        <w:t>C O N S I D E R A N D O:</w:t>
      </w:r>
    </w:p>
    <w:p w14:paraId="20FCCBED" w14:textId="53B38532" w:rsidR="00351CB3" w:rsidRDefault="00351CB3" w:rsidP="00351CB3">
      <w:pPr>
        <w:spacing w:before="240" w:after="240" w:line="360" w:lineRule="auto"/>
        <w:jc w:val="both"/>
        <w:rPr>
          <w:rFonts w:ascii="Palatino Linotype" w:hAnsi="Palatino Linotype"/>
          <w:shd w:val="clear" w:color="auto" w:fill="FFFFFF"/>
        </w:rPr>
      </w:pPr>
      <w:r>
        <w:rPr>
          <w:rFonts w:ascii="Palatino Linotype" w:hAnsi="Palatino Linotype" w:cs="Arial"/>
          <w:b/>
        </w:rPr>
        <w:t xml:space="preserve">Primero. Competencia. </w:t>
      </w:r>
      <w:r>
        <w:rPr>
          <w:rFonts w:ascii="Palatino Linotype" w:hAnsi="Palatino Linotype"/>
          <w:shd w:val="clear" w:color="auto" w:fill="FFFFFF"/>
        </w:rPr>
        <w:t>El Instituto de Transparencia, Acceso a la Información Pública y Protección de Datos Personales del Estado de México y Municipios, es compet</w:t>
      </w:r>
      <w:r w:rsidR="00130DD0">
        <w:rPr>
          <w:rFonts w:ascii="Palatino Linotype" w:hAnsi="Palatino Linotype"/>
          <w:shd w:val="clear" w:color="auto" w:fill="FFFFFF"/>
        </w:rPr>
        <w:t>ente para conocer y resolver el</w:t>
      </w:r>
      <w:r>
        <w:rPr>
          <w:rFonts w:ascii="Palatino Linotype" w:hAnsi="Palatino Linotype"/>
          <w:shd w:val="clear" w:color="auto" w:fill="FFFFFF"/>
        </w:rPr>
        <w:t xml:space="preserve"> presente </w:t>
      </w:r>
      <w:r w:rsidR="00130DD0">
        <w:rPr>
          <w:rFonts w:ascii="Palatino Linotype" w:hAnsi="Palatino Linotype"/>
          <w:shd w:val="clear" w:color="auto" w:fill="FFFFFF"/>
        </w:rPr>
        <w:t>recurso de revisión interpuesto</w:t>
      </w:r>
      <w:r>
        <w:rPr>
          <w:rFonts w:ascii="Palatino Linotype" w:hAnsi="Palatino Linotype"/>
          <w:shd w:val="clear" w:color="auto" w:fill="FFFFFF"/>
        </w:rPr>
        <w:t xml:space="preserve">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130DD0">
        <w:rPr>
          <w:rStyle w:val="apple-converted-space"/>
          <w:rFonts w:ascii="Palatino Linotype" w:hAnsi="Palatino Linotype"/>
          <w:shd w:val="clear" w:color="auto" w:fill="FFFFFF"/>
        </w:rPr>
        <w:t xml:space="preserve"> </w:t>
      </w:r>
      <w:r>
        <w:rPr>
          <w:rFonts w:ascii="Palatino Linotype" w:hAnsi="Palatino Linotype" w:cs="Arial"/>
        </w:rPr>
        <w:t xml:space="preserve">9, fracciones I y XXIV y 11 </w:t>
      </w:r>
      <w:r>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D280197" w14:textId="5C70A618" w:rsidR="00351CB3" w:rsidRDefault="00351CB3" w:rsidP="00351CB3">
      <w:pPr>
        <w:spacing w:before="240" w:after="240" w:line="360" w:lineRule="auto"/>
        <w:jc w:val="both"/>
        <w:rPr>
          <w:rFonts w:ascii="Palatino Linotype" w:hAnsi="Palatino Linotype" w:cs="Arial"/>
        </w:rPr>
      </w:pPr>
      <w:r w:rsidRPr="0022002E">
        <w:rPr>
          <w:rFonts w:ascii="Palatino Linotype" w:hAnsi="Palatino Linotype" w:cs="Arial"/>
          <w:b/>
        </w:rPr>
        <w:t xml:space="preserve">Segundo. </w:t>
      </w:r>
      <w:r>
        <w:rPr>
          <w:rFonts w:ascii="Palatino Linotype" w:hAnsi="Palatino Linotype" w:cs="Arial"/>
          <w:b/>
        </w:rPr>
        <w:t>Oportunidad y Procedibilidad del Recurso de Revisión</w:t>
      </w:r>
      <w:r>
        <w:rPr>
          <w:rFonts w:ascii="Palatino Linotype" w:hAnsi="Palatino Linotype" w:cs="Arial"/>
        </w:rPr>
        <w:t>. Para el análisis de la oportunidad del recurso de revisión, en la especie resulta alusivo referir que de acuerdo a lo que establece el artículo 163 de la Ley de Transparencia vigente en la entidad, las Unidades de Transparencia deberá</w:t>
      </w:r>
      <w:r w:rsidR="00E32977">
        <w:rPr>
          <w:rFonts w:ascii="Palatino Linotype" w:hAnsi="Palatino Linotype" w:cs="Arial"/>
        </w:rPr>
        <w:t xml:space="preserve">n notificar la respuesta a las </w:t>
      </w:r>
      <w:r>
        <w:rPr>
          <w:rFonts w:ascii="Palatino Linotype" w:hAnsi="Palatino Linotype" w:cs="Arial"/>
        </w:rPr>
        <w:t xml:space="preserve">solicitudes de los interesados en el menor tiempo posible que no podrá exceder de quince días hábiles contados a partir del día siguiente a la presentación de la </w:t>
      </w:r>
      <w:r>
        <w:rPr>
          <w:rFonts w:ascii="Palatino Linotype" w:hAnsi="Palatino Linotype" w:cs="Arial"/>
        </w:rPr>
        <w:lastRenderedPageBreak/>
        <w:t>solicitud, plazo que podrá ampliarse excepcionalmente hasta por siete días cuando existan razones fundadas y motivadas para ello.</w:t>
      </w:r>
    </w:p>
    <w:p w14:paraId="00EAE4CA" w14:textId="7777777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Por otra parte el artículo 166 de la Ley en consulta, en su cuarto párrafo</w:t>
      </w:r>
      <w:r>
        <w:rPr>
          <w:rStyle w:val="Refdenotaalpie"/>
          <w:rFonts w:ascii="Palatino Linotype" w:hAnsi="Palatino Linotype" w:cs="Arial"/>
        </w:rPr>
        <w:footnoteReference w:id="1"/>
      </w:r>
      <w:r>
        <w:rPr>
          <w:rFonts w:ascii="Palatino Linotype" w:hAnsi="Palatino Linotype" w:cs="Arial"/>
        </w:rPr>
        <w:t xml:space="preserve"> indica que para el caso de que el Sujeto Obligado no entregue la respuesta a la solicitud dentro del plazo mencionado en el párrafo anterior; la solicitud se entenderá como negada, quedando a salvo el derecho del particular para interponer el recurso de revisión.</w:t>
      </w:r>
    </w:p>
    <w:p w14:paraId="05FE7A78" w14:textId="07C22765" w:rsidR="00130DD0" w:rsidRDefault="00E32977" w:rsidP="00E21836">
      <w:pPr>
        <w:spacing w:before="240" w:after="240" w:line="360" w:lineRule="auto"/>
        <w:jc w:val="both"/>
        <w:rPr>
          <w:rFonts w:ascii="Palatino Linotype" w:hAnsi="Palatino Linotype" w:cs="Arial"/>
        </w:rPr>
      </w:pPr>
      <w:r>
        <w:rPr>
          <w:rFonts w:ascii="Palatino Linotype" w:hAnsi="Palatino Linotype" w:cs="Arial"/>
        </w:rPr>
        <w:t>Es decir</w:t>
      </w:r>
      <w:r w:rsidR="00E21836">
        <w:rPr>
          <w:rFonts w:ascii="Palatino Linotype" w:hAnsi="Palatino Linotype" w:cs="Arial"/>
        </w:rPr>
        <w:t xml:space="preserve">, al Sujeto Obligado a quien se le formule una solicitud cuenta con el plazo de quince días para emitir una respuesta, por lo que una vez transcurrido dicho plazo sin que se entregue ésta, la solicitud se entenderá negada, generando como consecuencia el derecho del solicitante de </w:t>
      </w:r>
      <w:r w:rsidR="00130DD0">
        <w:rPr>
          <w:rFonts w:ascii="Palatino Linotype" w:hAnsi="Palatino Linotype" w:cs="Arial"/>
        </w:rPr>
        <w:t>inconformarse a través del recurso de revisión.</w:t>
      </w:r>
    </w:p>
    <w:p w14:paraId="16474908" w14:textId="1EA9D98D"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 xml:space="preserve">De tal manera que, ante la ausencia de la respuesta por parte del Sujeto Obligado </w:t>
      </w:r>
      <w:r w:rsidR="00046D1F">
        <w:rPr>
          <w:rFonts w:ascii="Palatino Linotype" w:hAnsi="Palatino Linotype" w:cs="Arial"/>
        </w:rPr>
        <w:t>a la solicitud de</w:t>
      </w:r>
      <w:r w:rsidR="0041371C">
        <w:rPr>
          <w:rFonts w:ascii="Palatino Linotype" w:hAnsi="Palatino Linotype" w:cs="Arial"/>
        </w:rPr>
        <w:t>l</w:t>
      </w:r>
      <w:r>
        <w:rPr>
          <w:rFonts w:ascii="Palatino Linotype" w:hAnsi="Palatino Linotype" w:cs="Arial"/>
        </w:rPr>
        <w:t xml:space="preserve"> recurrente, se constituye lo que se conoce como </w:t>
      </w:r>
      <w:r>
        <w:rPr>
          <w:rFonts w:ascii="Palatino Linotype" w:hAnsi="Palatino Linotype" w:cs="Arial"/>
          <w:i/>
        </w:rPr>
        <w:t>negativa ficta</w:t>
      </w:r>
      <w:r>
        <w:rPr>
          <w:rFonts w:ascii="Palatino Linotype" w:hAnsi="Palatino Linotype" w:cs="Arial"/>
        </w:rPr>
        <w:t xml:space="preserve">,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w:t>
      </w:r>
      <w:r>
        <w:rPr>
          <w:rFonts w:ascii="Palatino Linotype" w:hAnsi="Palatino Linotype" w:cs="Arial"/>
        </w:rPr>
        <w:lastRenderedPageBreak/>
        <w:t>Transparencia y Acceso a la Información Pública del Estado de México y Municipios</w:t>
      </w:r>
      <w:r>
        <w:rPr>
          <w:rStyle w:val="Refdenotaalpie"/>
          <w:rFonts w:ascii="Palatino Linotype" w:hAnsi="Palatino Linotype" w:cs="Arial"/>
        </w:rPr>
        <w:footnoteReference w:id="2"/>
      </w:r>
      <w:r>
        <w:rPr>
          <w:rFonts w:ascii="Palatino Linotype" w:hAnsi="Palatino Linotype" w:cs="Arial"/>
        </w:rPr>
        <w:t>.</w:t>
      </w:r>
    </w:p>
    <w:p w14:paraId="47C98708" w14:textId="7777777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Es importante mencionar que no hay necesidad de determinar una temporalidad respecto del momento de presentación del medio de impugnación, pues al no existir una respuesta por parte del Sujeto Obligado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194E108E" w14:textId="7777777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así se lee en su transcripción que enseguida se hace:</w:t>
      </w:r>
    </w:p>
    <w:p w14:paraId="62DDD879" w14:textId="1DF8D73E" w:rsidR="00E21836" w:rsidRDefault="00E21836" w:rsidP="00E21836">
      <w:pPr>
        <w:spacing w:before="240" w:after="240"/>
        <w:ind w:left="851" w:right="900"/>
        <w:jc w:val="both"/>
        <w:rPr>
          <w:rFonts w:ascii="Palatino Linotype" w:hAnsi="Palatino Linotype"/>
          <w:i/>
          <w:sz w:val="22"/>
          <w:szCs w:val="22"/>
        </w:rPr>
      </w:pPr>
      <w:r>
        <w:rPr>
          <w:rFonts w:ascii="Palatino Linotype" w:hAnsi="Palatino Linotype" w:cs="Arial"/>
          <w:i/>
          <w:sz w:val="22"/>
          <w:szCs w:val="22"/>
        </w:rPr>
        <w:t>“</w:t>
      </w:r>
      <w:r>
        <w:rPr>
          <w:rFonts w:ascii="Palatino Linotype" w:hAnsi="Palatino Linotype"/>
          <w:b/>
          <w:i/>
          <w:sz w:val="22"/>
          <w:szCs w:val="22"/>
        </w:rPr>
        <w:t>Artículo 178</w:t>
      </w:r>
      <w:r>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Pr>
          <w:rFonts w:ascii="Palatino Linotype" w:hAnsi="Palatino Linotype"/>
          <w:i/>
          <w:sz w:val="22"/>
          <w:szCs w:val="22"/>
        </w:rPr>
        <w:t xml:space="preserve"> acompañado con el documento que pruebe la fecha</w:t>
      </w:r>
      <w:r w:rsidR="00E32977">
        <w:rPr>
          <w:rFonts w:ascii="Palatino Linotype" w:hAnsi="Palatino Linotype"/>
          <w:i/>
          <w:sz w:val="22"/>
          <w:szCs w:val="22"/>
        </w:rPr>
        <w:t xml:space="preserve"> en que presentó la solicitud…”(Sic)</w:t>
      </w:r>
    </w:p>
    <w:p w14:paraId="73C67F55" w14:textId="77777777" w:rsidR="00E21836" w:rsidRDefault="00E21836" w:rsidP="00E21836">
      <w:pPr>
        <w:spacing w:before="240" w:after="240" w:line="360" w:lineRule="auto"/>
        <w:ind w:right="51"/>
        <w:jc w:val="both"/>
        <w:rPr>
          <w:rFonts w:ascii="Palatino Linotype" w:hAnsi="Palatino Linotype"/>
          <w:i/>
        </w:rPr>
      </w:pPr>
      <w:r>
        <w:rPr>
          <w:rFonts w:ascii="Palatino Linotype" w:hAnsi="Palatino Linotype" w:cs="Arial"/>
        </w:rPr>
        <w:t>Postura que ha sido adoptada por este Órgano Garante mediante criterio número</w:t>
      </w:r>
      <w:r>
        <w:rPr>
          <w:rFonts w:ascii="Palatino Linotype" w:hAnsi="Palatino Linotype" w:cs="Arial"/>
          <w:color w:val="FF0000"/>
        </w:rPr>
        <w:t xml:space="preserve"> </w:t>
      </w:r>
      <w:r>
        <w:rPr>
          <w:rFonts w:ascii="Palatino Linotype" w:hAnsi="Palatino Linotype" w:cs="Arial"/>
        </w:rPr>
        <w:t xml:space="preserve">001-15, aprobado por unanimidad del Pleno del Instituto de Transparencia, Acceso </w:t>
      </w:r>
      <w:r>
        <w:rPr>
          <w:rFonts w:ascii="Palatino Linotype" w:hAnsi="Palatino Linotype" w:cs="Arial"/>
        </w:rPr>
        <w:lastRenderedPageBreak/>
        <w:t>a la Información Pública y Protección de Datos Personales del Estado de México y Municipios, publicado en el Periódico Oficial del Estado de México “Gaceta del Gobierno”, el veintitrés de abril de dos mil quince, que establece:</w:t>
      </w:r>
    </w:p>
    <w:p w14:paraId="210FD6DE" w14:textId="77777777" w:rsidR="00E21836" w:rsidRDefault="00E21836" w:rsidP="00E21836">
      <w:pPr>
        <w:ind w:left="993" w:right="1041"/>
        <w:jc w:val="both"/>
        <w:rPr>
          <w:rFonts w:ascii="Palatino Linotype" w:hAnsi="Palatino Linotype"/>
          <w:i/>
          <w:sz w:val="22"/>
          <w:szCs w:val="22"/>
        </w:rPr>
      </w:pPr>
      <w:r>
        <w:rPr>
          <w:rFonts w:ascii="Palatino Linotype" w:hAnsi="Palatino Linotype"/>
          <w:b/>
          <w:i/>
          <w:sz w:val="22"/>
          <w:szCs w:val="22"/>
        </w:rPr>
        <w:t>“CRITERIO 0001-15 NEGATIVA FICTA. PLAZO PARA INTERPONER EL RECURSO DE REVISIÓN TRATÁNDOSE DE</w:t>
      </w:r>
      <w:r>
        <w:rPr>
          <w:rFonts w:ascii="Palatino Linotype"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7B2C734" w14:textId="77777777" w:rsidR="00E21836" w:rsidRDefault="00E21836" w:rsidP="00E21836">
      <w:pPr>
        <w:spacing w:before="240" w:after="240" w:line="360" w:lineRule="auto"/>
        <w:ind w:right="-93"/>
        <w:jc w:val="both"/>
        <w:rPr>
          <w:rFonts w:ascii="Palatino Linotype" w:hAnsi="Palatino Linotype"/>
          <w:color w:val="000000"/>
        </w:rPr>
      </w:pPr>
      <w:r>
        <w:rPr>
          <w:rFonts w:ascii="Palatino Linotype" w:hAnsi="Palatino Linotype"/>
          <w:color w:val="000000"/>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805A048" w14:textId="2456AD68" w:rsidR="00351CB3" w:rsidRDefault="00351CB3" w:rsidP="00351CB3">
      <w:pPr>
        <w:pStyle w:val="paragraph"/>
        <w:spacing w:before="0" w:beforeAutospacing="0" w:after="0" w:afterAutospacing="0" w:line="360" w:lineRule="auto"/>
        <w:ind w:right="-150"/>
        <w:jc w:val="both"/>
        <w:textAlignment w:val="baseline"/>
        <w:rPr>
          <w:rFonts w:ascii="Segoe UI" w:hAnsi="Segoe UI" w:cs="Segoe UI"/>
        </w:rPr>
      </w:pPr>
      <w:r>
        <w:rPr>
          <w:rStyle w:val="normaltextrun"/>
          <w:rFonts w:ascii="Palatino Linotype" w:hAnsi="Palatino Linotype" w:cs="Segoe UI"/>
        </w:rPr>
        <w:t>En tales circunstancias el presente recurso de revisión resulta procedente de acuerdo a la hipótesis jurídica que contempla el artículo</w:t>
      </w:r>
      <w:r w:rsidR="00BF61FC">
        <w:rPr>
          <w:rStyle w:val="apple-converted-space"/>
          <w:rFonts w:ascii="Palatino Linotype" w:hAnsi="Palatino Linotype" w:cs="Segoe UI"/>
        </w:rPr>
        <w:t xml:space="preserve"> </w:t>
      </w:r>
      <w:r>
        <w:rPr>
          <w:rStyle w:val="normaltextrun"/>
          <w:rFonts w:ascii="Palatino Linotype" w:hAnsi="Palatino Linotype" w:cs="Segoe UI"/>
        </w:rPr>
        <w:t>179 en su fracción VII del ordenamiento legal citado, que a la letra dice:</w:t>
      </w:r>
      <w:r>
        <w:rPr>
          <w:rStyle w:val="eop"/>
          <w:rFonts w:ascii="Palatino Linotype" w:eastAsiaTheme="minorHAnsi" w:hAnsi="Palatino Linotype" w:cs="Segoe UI"/>
        </w:rPr>
        <w:t> </w:t>
      </w:r>
    </w:p>
    <w:p w14:paraId="0AE2E09F" w14:textId="77777777" w:rsidR="00351CB3" w:rsidRDefault="00351CB3" w:rsidP="00351CB3">
      <w:pPr>
        <w:pStyle w:val="paragraph"/>
        <w:spacing w:before="240" w:beforeAutospacing="0" w:after="240" w:afterAutospacing="0"/>
        <w:ind w:left="851" w:right="900"/>
        <w:jc w:val="both"/>
        <w:textAlignment w:val="baseline"/>
        <w:rPr>
          <w:rFonts w:ascii="Palatino Linotype" w:hAnsi="Palatino Linotype"/>
          <w:i/>
          <w:sz w:val="22"/>
          <w:szCs w:val="22"/>
        </w:rPr>
      </w:pPr>
      <w:r>
        <w:rPr>
          <w:rStyle w:val="normaltextrun"/>
          <w:rFonts w:ascii="Palatino Linotype" w:hAnsi="Palatino Linotype" w:cs="Segoe UI"/>
          <w:b/>
          <w:bCs/>
          <w:i/>
          <w:iCs/>
          <w:sz w:val="22"/>
          <w:szCs w:val="22"/>
        </w:rPr>
        <w:t>“</w:t>
      </w:r>
      <w:r>
        <w:rPr>
          <w:rFonts w:ascii="Palatino Linotype" w:hAnsi="Palatino Linotype"/>
          <w:b/>
          <w:i/>
          <w:sz w:val="22"/>
          <w:szCs w:val="22"/>
        </w:rPr>
        <w:t>Artículo 179</w:t>
      </w:r>
      <w:r>
        <w:rPr>
          <w:rFonts w:ascii="Palatino Linotype" w:hAnsi="Palatino Linotype"/>
          <w:i/>
          <w:sz w:val="22"/>
          <w:szCs w:val="22"/>
        </w:rPr>
        <w:t xml:space="preserve">. </w:t>
      </w:r>
      <w:r>
        <w:rPr>
          <w:rFonts w:ascii="Palatino Linotype" w:hAnsi="Palatino Linotype"/>
          <w:b/>
          <w:i/>
          <w:sz w:val="22"/>
          <w:szCs w:val="22"/>
        </w:rPr>
        <w:t>El recurso de revisión</w:t>
      </w:r>
      <w:r>
        <w:rPr>
          <w:rFonts w:ascii="Palatino Linotype" w:hAnsi="Palatino Linotype"/>
          <w:i/>
          <w:sz w:val="22"/>
          <w:szCs w:val="22"/>
        </w:rPr>
        <w:t xml:space="preserve"> es un medio de protección que la Ley otorga a los particulares, para hacer valer su derecho de acceso a la información pública</w:t>
      </w:r>
      <w:r>
        <w:rPr>
          <w:rFonts w:ascii="Palatino Linotype" w:hAnsi="Palatino Linotype"/>
          <w:b/>
          <w:i/>
          <w:sz w:val="22"/>
          <w:szCs w:val="22"/>
        </w:rPr>
        <w:t>, y procederá en contra de las siguientes causas</w:t>
      </w:r>
      <w:r>
        <w:rPr>
          <w:rFonts w:ascii="Palatino Linotype" w:hAnsi="Palatino Linotype"/>
          <w:i/>
          <w:sz w:val="22"/>
          <w:szCs w:val="22"/>
        </w:rPr>
        <w:t>:</w:t>
      </w:r>
    </w:p>
    <w:p w14:paraId="3CCFEDFB" w14:textId="3FE40FD2" w:rsidR="00351CB3" w:rsidRDefault="00351CB3" w:rsidP="00351CB3">
      <w:pPr>
        <w:pStyle w:val="paragraph"/>
        <w:spacing w:before="240" w:beforeAutospacing="0" w:after="240" w:afterAutospacing="0"/>
        <w:ind w:left="851" w:right="900"/>
        <w:jc w:val="both"/>
        <w:textAlignment w:val="baseline"/>
        <w:rPr>
          <w:rFonts w:ascii="Palatino Linotype" w:hAnsi="Palatino Linotype" w:cs="Segoe UI"/>
          <w:i/>
          <w:sz w:val="22"/>
          <w:szCs w:val="22"/>
        </w:rPr>
      </w:pPr>
      <w:r>
        <w:rPr>
          <w:rFonts w:ascii="Palatino Linotype" w:hAnsi="Palatino Linotype"/>
          <w:sz w:val="22"/>
          <w:szCs w:val="22"/>
        </w:rPr>
        <w:lastRenderedPageBreak/>
        <w:t>…</w:t>
      </w:r>
    </w:p>
    <w:p w14:paraId="0FE99532" w14:textId="4F790E9C" w:rsidR="00351CB3" w:rsidRDefault="00351CB3" w:rsidP="00351CB3">
      <w:pPr>
        <w:pStyle w:val="paragraph"/>
        <w:spacing w:before="240" w:beforeAutospacing="0" w:after="240" w:afterAutospacing="0"/>
        <w:ind w:left="851" w:right="900"/>
        <w:jc w:val="both"/>
        <w:textAlignment w:val="baseline"/>
        <w:rPr>
          <w:rFonts w:ascii="Palatino Linotype" w:hAnsi="Palatino Linotype"/>
          <w:i/>
          <w:sz w:val="22"/>
          <w:szCs w:val="22"/>
        </w:rPr>
      </w:pPr>
      <w:r>
        <w:rPr>
          <w:rFonts w:ascii="Palatino Linotype" w:hAnsi="Palatino Linotype"/>
          <w:b/>
          <w:i/>
          <w:sz w:val="22"/>
          <w:szCs w:val="22"/>
        </w:rPr>
        <w:t>VII.</w:t>
      </w:r>
      <w:r>
        <w:rPr>
          <w:rFonts w:ascii="Palatino Linotype" w:hAnsi="Palatino Linotype"/>
          <w:i/>
          <w:sz w:val="22"/>
          <w:szCs w:val="22"/>
        </w:rPr>
        <w:t xml:space="preserve"> La falta de respuesta a una solicitud de acceso a la información</w:t>
      </w:r>
      <w:r w:rsidR="0005290A">
        <w:rPr>
          <w:rFonts w:ascii="Palatino Linotype" w:hAnsi="Palatino Linotype"/>
          <w:i/>
          <w:sz w:val="22"/>
          <w:szCs w:val="22"/>
        </w:rPr>
        <w:t>;</w:t>
      </w:r>
      <w:r w:rsidRPr="00257766">
        <w:rPr>
          <w:rFonts w:ascii="Palatino Linotype" w:hAnsi="Palatino Linotype"/>
          <w:i/>
          <w:sz w:val="22"/>
          <w:szCs w:val="22"/>
        </w:rPr>
        <w:t>…</w:t>
      </w:r>
      <w:r w:rsidRPr="00257766">
        <w:rPr>
          <w:rStyle w:val="normaltextrun"/>
          <w:rFonts w:ascii="Palatino Linotype" w:hAnsi="Palatino Linotype" w:cs="Segoe UI"/>
          <w:bCs/>
          <w:i/>
          <w:iCs/>
          <w:sz w:val="22"/>
          <w:szCs w:val="22"/>
        </w:rPr>
        <w:t>”</w:t>
      </w:r>
      <w:r w:rsidR="0005290A" w:rsidRPr="00257766">
        <w:rPr>
          <w:rStyle w:val="eop"/>
          <w:rFonts w:ascii="Palatino Linotype" w:eastAsiaTheme="minorHAnsi" w:hAnsi="Palatino Linotype" w:cs="Segoe UI"/>
          <w:i/>
          <w:sz w:val="22"/>
          <w:szCs w:val="22"/>
        </w:rPr>
        <w:t>(</w:t>
      </w:r>
      <w:r w:rsidR="0005290A">
        <w:rPr>
          <w:rStyle w:val="eop"/>
          <w:rFonts w:ascii="Palatino Linotype" w:eastAsiaTheme="minorHAnsi" w:hAnsi="Palatino Linotype" w:cs="Segoe UI"/>
          <w:i/>
          <w:sz w:val="22"/>
          <w:szCs w:val="22"/>
        </w:rPr>
        <w:t>Sic)</w:t>
      </w:r>
    </w:p>
    <w:p w14:paraId="3B939F96" w14:textId="77777777" w:rsidR="00786FA3" w:rsidRDefault="00786FA3" w:rsidP="006526E6">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p>
    <w:p w14:paraId="1C2EDB71" w14:textId="29AA2159" w:rsidR="006526E6" w:rsidRDefault="006526E6" w:rsidP="006526E6">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r w:rsidRPr="00911351">
        <w:rPr>
          <w:rStyle w:val="normaltextrun"/>
          <w:rFonts w:ascii="Palatino Linotype" w:hAnsi="Palatino Linotype" w:cs="Segoe UI"/>
        </w:rPr>
        <w:t>Lo anterior es a</w:t>
      </w:r>
      <w:r>
        <w:rPr>
          <w:rStyle w:val="normaltextrun"/>
          <w:rFonts w:ascii="Palatino Linotype" w:hAnsi="Palatino Linotype" w:cs="Segoe UI"/>
        </w:rPr>
        <w:t>sí</w:t>
      </w:r>
      <w:r w:rsidR="00555720">
        <w:rPr>
          <w:rStyle w:val="normaltextrun"/>
          <w:rFonts w:ascii="Palatino Linotype" w:hAnsi="Palatino Linotype" w:cs="Segoe UI"/>
        </w:rPr>
        <w:t>,</w:t>
      </w:r>
      <w:r>
        <w:rPr>
          <w:rStyle w:val="normaltextrun"/>
          <w:rFonts w:ascii="Palatino Linotype" w:hAnsi="Palatino Linotype" w:cs="Segoe UI"/>
        </w:rPr>
        <w:t xml:space="preserve"> ya que el recurrente alude en sur razones o </w:t>
      </w:r>
      <w:r w:rsidRPr="00911351">
        <w:rPr>
          <w:rStyle w:val="normaltextrun"/>
          <w:rFonts w:ascii="Palatino Linotype" w:hAnsi="Palatino Linotype" w:cs="Segoe UI"/>
        </w:rPr>
        <w:t>motivos de inconformidad</w:t>
      </w:r>
      <w:r w:rsidR="00555720">
        <w:rPr>
          <w:rStyle w:val="normaltextrun"/>
          <w:rFonts w:ascii="Palatino Linotype" w:hAnsi="Palatino Linotype" w:cs="Segoe UI"/>
        </w:rPr>
        <w:t>,</w:t>
      </w:r>
      <w:r w:rsidRPr="00911351">
        <w:rPr>
          <w:rStyle w:val="normaltextrun"/>
          <w:rFonts w:ascii="Palatino Linotype" w:hAnsi="Palatino Linotype" w:cs="Segoe UI"/>
        </w:rPr>
        <w:t xml:space="preserve"> </w:t>
      </w:r>
      <w:r w:rsidR="00174176">
        <w:rPr>
          <w:rStyle w:val="normaltextrun"/>
          <w:rFonts w:ascii="Palatino Linotype" w:hAnsi="Palatino Linotype" w:cs="Segoe UI"/>
        </w:rPr>
        <w:t>que “</w:t>
      </w:r>
      <w:r w:rsidR="0022002E">
        <w:rPr>
          <w:rStyle w:val="normaltextrun"/>
          <w:rFonts w:ascii="Palatino Linotype" w:hAnsi="Palatino Linotype" w:cs="Segoe UI"/>
          <w:i/>
        </w:rPr>
        <w:t>NO SE DIO RESPUESTA A LA SOLICITUD</w:t>
      </w:r>
      <w:r w:rsidR="00174176">
        <w:rPr>
          <w:rStyle w:val="normaltextrun"/>
          <w:rFonts w:ascii="Palatino Linotype" w:hAnsi="Palatino Linotype" w:cs="Segoe UI"/>
        </w:rPr>
        <w:t>” (Sic)</w:t>
      </w:r>
    </w:p>
    <w:p w14:paraId="0F0D5EEE" w14:textId="4109798C" w:rsidR="00351CB3" w:rsidRDefault="00351CB3" w:rsidP="00351CB3">
      <w:pPr>
        <w:spacing w:before="240" w:after="240" w:line="360" w:lineRule="auto"/>
        <w:contextualSpacing/>
        <w:jc w:val="both"/>
        <w:rPr>
          <w:rFonts w:ascii="Palatino Linotype" w:hAnsi="Palatino Linotype" w:cs="Arial"/>
          <w:b/>
        </w:rPr>
      </w:pPr>
      <w:r>
        <w:rPr>
          <w:rFonts w:ascii="Palatino Linotype" w:hAnsi="Palatino Linotype" w:cs="Arial"/>
          <w:b/>
        </w:rPr>
        <w:t xml:space="preserve">Tercero. Materia de la revisión. </w:t>
      </w:r>
      <w:r>
        <w:rPr>
          <w:rFonts w:ascii="Palatino Linotype" w:hAnsi="Palatino Linotype" w:cs="Arial"/>
        </w:rPr>
        <w:t>De la revisión a las constancias que obran en el expediente electrónico</w:t>
      </w:r>
      <w:r w:rsidR="00174176">
        <w:rPr>
          <w:rFonts w:ascii="Palatino Linotype" w:hAnsi="Palatino Linotype" w:cs="Arial"/>
        </w:rPr>
        <w:t>,</w:t>
      </w:r>
      <w:r>
        <w:rPr>
          <w:rFonts w:ascii="Palatino Linotype" w:hAnsi="Palatino Linotype" w:cs="Arial"/>
        </w:rPr>
        <w:t xml:space="preserve"> se advierte que el tema sobre el que este Instituto se pronunciará será: </w:t>
      </w:r>
      <w:r>
        <w:rPr>
          <w:rFonts w:ascii="Palatino Linotype" w:hAnsi="Palatino Linotype" w:cs="Arial"/>
          <w:b/>
        </w:rPr>
        <w:t>verificar si el sujeto obligado en el ejercicio de sus atribuciones posee, administra o genera la información solicitada y si</w:t>
      </w:r>
      <w:r w:rsidR="00486D54">
        <w:rPr>
          <w:rFonts w:ascii="Palatino Linotype" w:hAnsi="Palatino Linotype" w:cs="Arial"/>
          <w:b/>
        </w:rPr>
        <w:t xml:space="preserve"> resulta procedente su entrega.</w:t>
      </w:r>
    </w:p>
    <w:p w14:paraId="2E788B2F" w14:textId="77777777" w:rsidR="006634F9" w:rsidRDefault="006634F9" w:rsidP="00351CB3">
      <w:pPr>
        <w:spacing w:before="240" w:after="240" w:line="360" w:lineRule="auto"/>
        <w:contextualSpacing/>
        <w:jc w:val="both"/>
        <w:rPr>
          <w:rFonts w:ascii="Palatino Linotype" w:hAnsi="Palatino Linotype" w:cs="Arial"/>
          <w:b/>
        </w:rPr>
      </w:pPr>
    </w:p>
    <w:p w14:paraId="0BBA4410" w14:textId="0E138C5B" w:rsidR="00174176" w:rsidRDefault="00351CB3" w:rsidP="0022002E">
      <w:pPr>
        <w:spacing w:before="240" w:after="240" w:line="360" w:lineRule="auto"/>
        <w:jc w:val="both"/>
        <w:rPr>
          <w:rFonts w:ascii="Palatino Linotype" w:hAnsi="Palatino Linotype" w:cs="Arial"/>
        </w:rPr>
      </w:pPr>
      <w:r w:rsidRPr="00D27DE6">
        <w:rPr>
          <w:rFonts w:ascii="Palatino Linotype" w:hAnsi="Palatino Linotype" w:cs="Arial"/>
          <w:b/>
        </w:rPr>
        <w:t>Cuarto. Estudio del asunto</w:t>
      </w:r>
      <w:r>
        <w:rPr>
          <w:rFonts w:ascii="Palatino Linotype" w:hAnsi="Palatino Linotype" w:cs="Arial"/>
          <w:b/>
        </w:rPr>
        <w:t xml:space="preserve">. </w:t>
      </w:r>
      <w:r w:rsidR="00D27DE6">
        <w:rPr>
          <w:rFonts w:ascii="Palatino Linotype" w:hAnsi="Palatino Linotype" w:cs="Arial"/>
        </w:rPr>
        <w:t xml:space="preserve">Previo análisis del presente Recurso de Revisión es importante recordar que </w:t>
      </w:r>
      <w:r>
        <w:rPr>
          <w:rFonts w:ascii="Palatino Linotype" w:hAnsi="Palatino Linotype" w:cs="Arial"/>
        </w:rPr>
        <w:t xml:space="preserve">la parte solicitante le requirió al Ayuntamiento de </w:t>
      </w:r>
      <w:r w:rsidR="0022002E">
        <w:rPr>
          <w:rFonts w:ascii="Palatino Linotype" w:hAnsi="Palatino Linotype" w:cs="Arial"/>
        </w:rPr>
        <w:t>Xalatlaco</w:t>
      </w:r>
      <w:r>
        <w:rPr>
          <w:rFonts w:ascii="Palatino Linotype" w:hAnsi="Palatino Linotype" w:cs="Arial"/>
        </w:rPr>
        <w:t xml:space="preserve"> le proporci</w:t>
      </w:r>
      <w:r w:rsidR="0022002E">
        <w:rPr>
          <w:rFonts w:ascii="Palatino Linotype" w:hAnsi="Palatino Linotype" w:cs="Arial"/>
        </w:rPr>
        <w:t>onara del Presidente Municipal, Síndico y Regidores lo siguiente:</w:t>
      </w:r>
    </w:p>
    <w:p w14:paraId="73B79FAD" w14:textId="02B692C3" w:rsidR="0022002E" w:rsidRPr="0022002E" w:rsidRDefault="0022002E" w:rsidP="00746CA0">
      <w:pPr>
        <w:pStyle w:val="Prrafodelista"/>
        <w:numPr>
          <w:ilvl w:val="0"/>
          <w:numId w:val="3"/>
        </w:numPr>
        <w:spacing w:before="240" w:after="240" w:line="360" w:lineRule="auto"/>
        <w:jc w:val="both"/>
        <w:rPr>
          <w:rFonts w:ascii="Palatino Linotype" w:hAnsi="Palatino Linotype"/>
          <w:color w:val="000000"/>
        </w:rPr>
      </w:pPr>
      <w:r>
        <w:rPr>
          <w:rFonts w:ascii="Palatino Linotype" w:hAnsi="Palatino Linotype"/>
          <w:color w:val="000000"/>
        </w:rPr>
        <w:t>Salario bruto y neto mensual que perciben.</w:t>
      </w:r>
    </w:p>
    <w:p w14:paraId="73945A8D" w14:textId="617B6CF5" w:rsidR="000B1AD6" w:rsidRDefault="000B1AD6" w:rsidP="000B1AD6">
      <w:pPr>
        <w:spacing w:before="240" w:after="240" w:line="360" w:lineRule="auto"/>
        <w:jc w:val="both"/>
        <w:rPr>
          <w:rFonts w:ascii="Palatino Linotype" w:hAnsi="Palatino Linotype" w:cs="Arial"/>
        </w:rPr>
      </w:pPr>
      <w:r w:rsidRPr="003F5D4D">
        <w:rPr>
          <w:rFonts w:ascii="Palatino Linotype" w:hAnsi="Palatino Linotype" w:cs="Arial"/>
        </w:rPr>
        <w:t xml:space="preserve">Por </w:t>
      </w:r>
      <w:r>
        <w:rPr>
          <w:rFonts w:ascii="Palatino Linotype" w:hAnsi="Palatino Linotype" w:cs="Arial"/>
        </w:rPr>
        <w:t xml:space="preserve">su parte, </w:t>
      </w:r>
      <w:r w:rsidRPr="003F5D4D">
        <w:rPr>
          <w:rFonts w:ascii="Palatino Linotype" w:hAnsi="Palatino Linotype" w:cs="Arial"/>
        </w:rPr>
        <w:t xml:space="preserve">el </w:t>
      </w:r>
      <w:r w:rsidRPr="00A75E75">
        <w:rPr>
          <w:rFonts w:ascii="Palatino Linotype" w:hAnsi="Palatino Linotype" w:cs="Arial"/>
          <w:b/>
        </w:rPr>
        <w:t>Sujeto Obligado</w:t>
      </w:r>
      <w:r>
        <w:rPr>
          <w:rFonts w:ascii="Palatino Linotype" w:hAnsi="Palatino Linotype" w:cs="Arial"/>
        </w:rPr>
        <w:t>, omitió dar respuesta a la solicitud de información del particular.</w:t>
      </w:r>
    </w:p>
    <w:p w14:paraId="1D62B84E" w14:textId="10134004" w:rsidR="000B1AD6" w:rsidRDefault="000B1AD6" w:rsidP="000B1AD6">
      <w:pPr>
        <w:spacing w:before="240" w:after="240" w:line="360" w:lineRule="auto"/>
        <w:jc w:val="both"/>
        <w:rPr>
          <w:rFonts w:ascii="Palatino Linotype" w:hAnsi="Palatino Linotype" w:cs="Arial"/>
        </w:rPr>
      </w:pPr>
      <w:r>
        <w:rPr>
          <w:rFonts w:ascii="Palatino Linotype" w:hAnsi="Palatino Linotype" w:cs="Arial"/>
        </w:rPr>
        <w:t>In</w:t>
      </w:r>
      <w:r w:rsidR="005366B2">
        <w:rPr>
          <w:rFonts w:ascii="Palatino Linotype" w:hAnsi="Palatino Linotype" w:cs="Arial"/>
        </w:rPr>
        <w:t>conforme el recurrente, interpuso</w:t>
      </w:r>
      <w:r>
        <w:rPr>
          <w:rFonts w:ascii="Palatino Linotype" w:hAnsi="Palatino Linotype" w:cs="Arial"/>
        </w:rPr>
        <w:t xml:space="preserve"> el Recurso de Revisión que se resuelve, por </w:t>
      </w:r>
      <w:r w:rsidR="00E62C83">
        <w:rPr>
          <w:rFonts w:ascii="Palatino Linotype" w:hAnsi="Palatino Linotype" w:cs="Arial"/>
        </w:rPr>
        <w:t xml:space="preserve">no </w:t>
      </w:r>
      <w:r w:rsidR="0022002E">
        <w:rPr>
          <w:rFonts w:ascii="Palatino Linotype" w:hAnsi="Palatino Linotype" w:cs="Arial"/>
        </w:rPr>
        <w:t>dar respuesta el Sujeto Obligado a la solicitud de acceso a la información pública.</w:t>
      </w:r>
    </w:p>
    <w:p w14:paraId="7F67E415" w14:textId="77777777" w:rsidR="0022002E" w:rsidRDefault="000B1AD6" w:rsidP="000B1AD6">
      <w:pPr>
        <w:spacing w:before="240" w:after="240" w:line="360" w:lineRule="auto"/>
        <w:jc w:val="both"/>
        <w:rPr>
          <w:rFonts w:ascii="Palatino Linotype" w:hAnsi="Palatino Linotype" w:cs="Arial"/>
        </w:rPr>
      </w:pPr>
      <w:r>
        <w:rPr>
          <w:rFonts w:ascii="Palatino Linotype" w:hAnsi="Palatino Linotype" w:cs="Arial"/>
        </w:rPr>
        <w:t xml:space="preserve">Una vez notificado el recurso de revisión al Sujeto Obligado, este no rindió su informe justificado como así consta en el apartado de manifestaciones del </w:t>
      </w:r>
      <w:r w:rsidRPr="00A22E55">
        <w:rPr>
          <w:rFonts w:ascii="Palatino Linotype" w:hAnsi="Palatino Linotype" w:cs="Arial"/>
        </w:rPr>
        <w:t>Sistema de Acceso a la Información Mexiquense</w:t>
      </w:r>
      <w:r>
        <w:rPr>
          <w:rFonts w:ascii="Palatino Linotype" w:hAnsi="Palatino Linotype" w:cs="Arial"/>
        </w:rPr>
        <w:t xml:space="preserve"> (SAIMEX).</w:t>
      </w:r>
    </w:p>
    <w:p w14:paraId="4E4829E8" w14:textId="70FAC2A8" w:rsidR="000B1AD6" w:rsidRDefault="0022002E" w:rsidP="000B1AD6">
      <w:pPr>
        <w:spacing w:before="240" w:after="240" w:line="360" w:lineRule="auto"/>
        <w:jc w:val="both"/>
        <w:rPr>
          <w:rFonts w:ascii="Palatino Linotype" w:hAnsi="Palatino Linotype" w:cs="Arial"/>
        </w:rPr>
      </w:pPr>
      <w:r>
        <w:rPr>
          <w:rFonts w:ascii="Palatino Linotype" w:hAnsi="Palatino Linotype" w:cs="Arial"/>
        </w:rPr>
        <w:lastRenderedPageBreak/>
        <w:t>En esa tesitura, c</w:t>
      </w:r>
      <w:r w:rsidR="000B1AD6" w:rsidRPr="000534DD">
        <w:rPr>
          <w:rFonts w:ascii="Palatino Linotype" w:hAnsi="Palatino Linotype" w:cs="Arial"/>
        </w:rPr>
        <w:t>omo se puede observar en los antecedentes de la presente resolución, el Sujeto</w:t>
      </w:r>
      <w:r w:rsidR="000B1AD6">
        <w:rPr>
          <w:rFonts w:ascii="Palatino Linotype" w:hAnsi="Palatino Linotype" w:cs="Arial"/>
        </w:rPr>
        <w:t xml:space="preserve"> </w:t>
      </w:r>
      <w:r w:rsidR="000B1AD6" w:rsidRPr="000534DD">
        <w:rPr>
          <w:rFonts w:ascii="Palatino Linotype" w:hAnsi="Palatino Linotype" w:cs="Arial"/>
        </w:rPr>
        <w:t xml:space="preserve">Obligado fue omiso en emitir respuesta a </w:t>
      </w:r>
      <w:r w:rsidR="000B1AD6">
        <w:rPr>
          <w:rFonts w:ascii="Palatino Linotype" w:hAnsi="Palatino Linotype" w:cs="Arial"/>
        </w:rPr>
        <w:t>la</w:t>
      </w:r>
      <w:r w:rsidR="000B1AD6" w:rsidRPr="000534DD">
        <w:rPr>
          <w:rFonts w:ascii="Palatino Linotype" w:hAnsi="Palatino Linotype" w:cs="Arial"/>
        </w:rPr>
        <w:t xml:space="preserve"> </w:t>
      </w:r>
      <w:r w:rsidR="000B1AD6">
        <w:rPr>
          <w:rFonts w:ascii="Palatino Linotype" w:hAnsi="Palatino Linotype" w:cs="Arial"/>
        </w:rPr>
        <w:t>solicitud</w:t>
      </w:r>
      <w:r w:rsidR="000B1AD6" w:rsidRPr="000534DD">
        <w:rPr>
          <w:rFonts w:ascii="Palatino Linotype" w:hAnsi="Palatino Linotype" w:cs="Arial"/>
        </w:rPr>
        <w:t xml:space="preserve"> de información, por lo que se advierte que </w:t>
      </w:r>
      <w:r w:rsidR="000B1AD6">
        <w:rPr>
          <w:rFonts w:ascii="Palatino Linotype" w:hAnsi="Palatino Linotype" w:cs="Arial"/>
        </w:rPr>
        <w:t>el</w:t>
      </w:r>
      <w:r w:rsidR="000B1AD6" w:rsidRPr="000534DD">
        <w:rPr>
          <w:rFonts w:ascii="Palatino Linotype" w:hAnsi="Palatino Linotype" w:cs="Arial"/>
        </w:rPr>
        <w:t xml:space="preserve"> </w:t>
      </w:r>
      <w:r w:rsidR="000B1AD6">
        <w:rPr>
          <w:rFonts w:ascii="Palatino Linotype" w:hAnsi="Palatino Linotype" w:cs="Arial"/>
        </w:rPr>
        <w:t>motivo</w:t>
      </w:r>
      <w:r w:rsidR="000B1AD6" w:rsidRPr="000534DD">
        <w:rPr>
          <w:rFonts w:ascii="Palatino Linotype" w:hAnsi="Palatino Linotype" w:cs="Arial"/>
        </w:rPr>
        <w:t xml:space="preserve"> de inconformidad </w:t>
      </w:r>
      <w:r w:rsidR="000B1AD6">
        <w:rPr>
          <w:rFonts w:ascii="Palatino Linotype" w:hAnsi="Palatino Linotype" w:cs="Arial"/>
        </w:rPr>
        <w:t>enunciado</w:t>
      </w:r>
      <w:r w:rsidR="000B1AD6" w:rsidRPr="000534DD">
        <w:rPr>
          <w:rFonts w:ascii="Palatino Linotype" w:hAnsi="Palatino Linotype" w:cs="Arial"/>
        </w:rPr>
        <w:t xml:space="preserve"> por </w:t>
      </w:r>
      <w:r w:rsidR="0041371C">
        <w:rPr>
          <w:rFonts w:ascii="Palatino Linotype" w:hAnsi="Palatino Linotype" w:cs="Arial"/>
        </w:rPr>
        <w:t>el</w:t>
      </w:r>
      <w:r w:rsidR="000B1AD6">
        <w:rPr>
          <w:rFonts w:ascii="Palatino Linotype" w:hAnsi="Palatino Linotype" w:cs="Arial"/>
        </w:rPr>
        <w:t xml:space="preserve"> Recurrente resulta fundado</w:t>
      </w:r>
      <w:r w:rsidR="000B1AD6" w:rsidRPr="000534DD">
        <w:rPr>
          <w:rFonts w:ascii="Palatino Linotype" w:hAnsi="Palatino Linotype" w:cs="Arial"/>
        </w:rPr>
        <w:t>, pues efectivamente tr</w:t>
      </w:r>
      <w:r w:rsidR="000B1AD6">
        <w:rPr>
          <w:rFonts w:ascii="Palatino Linotype" w:hAnsi="Palatino Linotype" w:cs="Arial"/>
        </w:rPr>
        <w:t>anscurrió</w:t>
      </w:r>
      <w:r w:rsidR="000B1AD6" w:rsidRPr="000534DD">
        <w:rPr>
          <w:rFonts w:ascii="Palatino Linotype" w:hAnsi="Palatino Linotype" w:cs="Arial"/>
        </w:rPr>
        <w:t xml:space="preserve"> el plazo para dar respuesta</w:t>
      </w:r>
      <w:r w:rsidR="000B1AD6">
        <w:rPr>
          <w:rFonts w:ascii="Palatino Linotype" w:hAnsi="Palatino Linotype" w:cs="Arial"/>
        </w:rPr>
        <w:t>,</w:t>
      </w:r>
      <w:r w:rsidR="000B1AD6" w:rsidRPr="000534DD">
        <w:rPr>
          <w:rFonts w:ascii="Palatino Linotype" w:hAnsi="Palatino Linotype" w:cs="Arial"/>
        </w:rPr>
        <w:t xml:space="preserve"> determinado por la Ley</w:t>
      </w:r>
      <w:r w:rsidR="000B1AD6">
        <w:rPr>
          <w:rFonts w:ascii="Palatino Linotype" w:hAnsi="Palatino Linotype" w:cs="Arial"/>
        </w:rPr>
        <w:t xml:space="preserve"> </w:t>
      </w:r>
      <w:r w:rsidR="000B1AD6" w:rsidRPr="00B6113B">
        <w:rPr>
          <w:rFonts w:ascii="Palatino Linotype" w:hAnsi="Palatino Linotype" w:cs="Arial"/>
        </w:rPr>
        <w:t>de Transparencia y Acceso a la Información Pública del Estado de México y Municipios</w:t>
      </w:r>
      <w:r w:rsidR="000B1AD6" w:rsidRPr="000534DD">
        <w:rPr>
          <w:rFonts w:ascii="Palatino Linotype" w:hAnsi="Palatino Linotype" w:cs="Arial"/>
        </w:rPr>
        <w:t xml:space="preserve">, sin que el Sujeto Obligado atendiera </w:t>
      </w:r>
      <w:r w:rsidR="000B1AD6">
        <w:rPr>
          <w:rFonts w:ascii="Palatino Linotype" w:hAnsi="Palatino Linotype" w:cs="Arial"/>
        </w:rPr>
        <w:t>la</w:t>
      </w:r>
      <w:r w:rsidR="000B1AD6" w:rsidRPr="000534DD">
        <w:rPr>
          <w:rFonts w:ascii="Palatino Linotype" w:hAnsi="Palatino Linotype" w:cs="Arial"/>
        </w:rPr>
        <w:t xml:space="preserve"> </w:t>
      </w:r>
      <w:r w:rsidR="000B1AD6">
        <w:rPr>
          <w:rFonts w:ascii="Palatino Linotype" w:hAnsi="Palatino Linotype" w:cs="Arial"/>
        </w:rPr>
        <w:t>petición de información; en consecuencia</w:t>
      </w:r>
      <w:r w:rsidR="000B1AD6" w:rsidRPr="000534DD">
        <w:rPr>
          <w:rFonts w:ascii="Palatino Linotype" w:hAnsi="Palatino Linotype" w:cs="Arial"/>
        </w:rPr>
        <w:t>,</w:t>
      </w:r>
      <w:r w:rsidR="000B1AD6">
        <w:rPr>
          <w:rFonts w:ascii="Palatino Linotype" w:hAnsi="Palatino Linotype" w:cs="Arial"/>
        </w:rPr>
        <w:t xml:space="preserve"> </w:t>
      </w:r>
      <w:r w:rsidR="000B1AD6" w:rsidRPr="000534DD">
        <w:rPr>
          <w:rFonts w:ascii="Palatino Linotype" w:hAnsi="Palatino Linotype" w:cs="Arial"/>
        </w:rPr>
        <w:t xml:space="preserve">es </w:t>
      </w:r>
      <w:r w:rsidR="000B1AD6">
        <w:rPr>
          <w:rFonts w:ascii="Palatino Linotype" w:hAnsi="Palatino Linotype" w:cs="Arial"/>
        </w:rPr>
        <w:t>evidente que se transgredió su Derecho Constitucional de Acceso a la Información P</w:t>
      </w:r>
      <w:r w:rsidR="000B1AD6" w:rsidRPr="000534DD">
        <w:rPr>
          <w:rFonts w:ascii="Palatino Linotype" w:hAnsi="Palatino Linotype" w:cs="Arial"/>
        </w:rPr>
        <w:t>ública</w:t>
      </w:r>
      <w:r w:rsidR="000B1AD6">
        <w:rPr>
          <w:rFonts w:ascii="Palatino Linotype" w:hAnsi="Palatino Linotype" w:cs="Arial"/>
        </w:rPr>
        <w:t xml:space="preserve"> </w:t>
      </w:r>
      <w:r w:rsidR="000B1AD6" w:rsidRPr="000534DD">
        <w:rPr>
          <w:rFonts w:ascii="Palatino Linotype" w:hAnsi="Palatino Linotype" w:cs="Arial"/>
        </w:rPr>
        <w:t xml:space="preserve">previsto en el artículo 6 de la Constitución Política de los Estados Unidos Mexicanos y el artículo 5 de la Constitución Política del Estado Libre y Soberano de </w:t>
      </w:r>
      <w:r w:rsidR="000B1AD6">
        <w:rPr>
          <w:rFonts w:ascii="Palatino Linotype" w:hAnsi="Palatino Linotype" w:cs="Arial"/>
        </w:rPr>
        <w:t>México.</w:t>
      </w:r>
    </w:p>
    <w:p w14:paraId="417C8538" w14:textId="2B5BFA93" w:rsidR="000B1AD6" w:rsidRDefault="0022002E" w:rsidP="000B1AD6">
      <w:pPr>
        <w:spacing w:before="240" w:after="240" w:line="360" w:lineRule="auto"/>
        <w:jc w:val="both"/>
        <w:rPr>
          <w:rFonts w:ascii="Palatino Linotype" w:hAnsi="Palatino Linotype" w:cs="Arial"/>
        </w:rPr>
      </w:pPr>
      <w:r>
        <w:rPr>
          <w:rFonts w:ascii="Palatino Linotype" w:hAnsi="Palatino Linotype" w:cs="Arial"/>
        </w:rPr>
        <w:t xml:space="preserve">En otras palabra, </w:t>
      </w:r>
      <w:r w:rsidR="000B1AD6">
        <w:rPr>
          <w:rFonts w:ascii="Palatino Linotype" w:hAnsi="Palatino Linotype" w:cs="Arial"/>
        </w:rPr>
        <w:t xml:space="preserve">cualquier persona tiene el derecho al acceso de la información pública, información que consiste en aquella </w:t>
      </w:r>
      <w:r w:rsidR="000B1AD6" w:rsidRPr="000534DD">
        <w:rPr>
          <w:rFonts w:ascii="Palatino Linotype" w:hAnsi="Palatino Linotype" w:cs="Arial"/>
        </w:rPr>
        <w:t>que sea generada, obtenida, adquirida, transformada, administrada o en posesión de los Sujetos Obligados,</w:t>
      </w:r>
      <w:r w:rsidR="000B1AD6">
        <w:rPr>
          <w:rFonts w:ascii="Palatino Linotype" w:hAnsi="Palatino Linotype" w:cs="Arial"/>
        </w:rPr>
        <w:t xml:space="preserve"> como así también lo señala la </w:t>
      </w:r>
      <w:r w:rsidR="000B1AD6" w:rsidRPr="000534DD">
        <w:rPr>
          <w:rFonts w:ascii="Palatino Linotype" w:hAnsi="Palatino Linotype" w:cs="Arial"/>
        </w:rPr>
        <w:t>Ley</w:t>
      </w:r>
      <w:r w:rsidR="000B1AD6">
        <w:rPr>
          <w:rFonts w:ascii="Palatino Linotype" w:hAnsi="Palatino Linotype" w:cs="Arial"/>
        </w:rPr>
        <w:t xml:space="preserve"> </w:t>
      </w:r>
      <w:r w:rsidR="000B1AD6" w:rsidRPr="00B6113B">
        <w:rPr>
          <w:rFonts w:ascii="Palatino Linotype" w:hAnsi="Palatino Linotype" w:cs="Arial"/>
        </w:rPr>
        <w:t>de Transparencia y Acceso a la Información Pública del Estado de México y Municipios</w:t>
      </w:r>
      <w:r w:rsidR="000B1AD6">
        <w:rPr>
          <w:rFonts w:ascii="Palatino Linotype" w:hAnsi="Palatino Linotype" w:cs="Arial"/>
        </w:rPr>
        <w:t xml:space="preserve"> en su artículo 4, que toda la información </w:t>
      </w:r>
      <w:r w:rsidR="000B1AD6" w:rsidRPr="004B2697">
        <w:rPr>
          <w:rFonts w:ascii="Palatino Linotype" w:hAnsi="Palatino Linotype" w:cs="Arial"/>
        </w:rPr>
        <w:t>generada, obtenida, adquirida, transformada, administrada o en posesión de los sujetos obligados</w:t>
      </w:r>
      <w:r w:rsidR="00257766">
        <w:rPr>
          <w:rFonts w:ascii="Palatino Linotype" w:hAnsi="Palatino Linotype" w:cs="Arial"/>
        </w:rPr>
        <w:t>,</w:t>
      </w:r>
      <w:r w:rsidR="000B1AD6" w:rsidRPr="004B2697">
        <w:rPr>
          <w:rFonts w:ascii="Palatino Linotype" w:hAnsi="Palatino Linotype" w:cs="Arial"/>
        </w:rPr>
        <w:t xml:space="preserve"> es pública y accesible</w:t>
      </w:r>
      <w:r w:rsidR="00257766">
        <w:rPr>
          <w:rFonts w:ascii="Palatino Linotype" w:hAnsi="Palatino Linotype" w:cs="Arial"/>
        </w:rPr>
        <w:t>,</w:t>
      </w:r>
      <w:r w:rsidR="000B1AD6" w:rsidRPr="004B2697">
        <w:rPr>
          <w:rFonts w:ascii="Palatino Linotype" w:hAnsi="Palatino Linotype" w:cs="Arial"/>
        </w:rPr>
        <w:t xml:space="preserve"> de manera permanente a cualquier persona</w:t>
      </w:r>
      <w:r w:rsidR="000B1AD6" w:rsidRPr="000534DD">
        <w:rPr>
          <w:rFonts w:ascii="Palatino Linotype" w:hAnsi="Palatino Linotype" w:cs="Arial"/>
        </w:rPr>
        <w:t xml:space="preserve">, privilegiando el principio de máxima publicidad, como </w:t>
      </w:r>
      <w:r w:rsidR="000B1AD6">
        <w:rPr>
          <w:rFonts w:ascii="Palatino Linotype" w:hAnsi="Palatino Linotype" w:cs="Arial"/>
        </w:rPr>
        <w:t>así lo establece dicha determinación, que a continuación se trascribe para un mejor entendimiento:</w:t>
      </w:r>
    </w:p>
    <w:p w14:paraId="610F8A50" w14:textId="77777777" w:rsidR="000B1AD6" w:rsidRDefault="000B1AD6" w:rsidP="000B1AD6">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w:t>
      </w:r>
      <w:r w:rsidRPr="00935E2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C39F827" w14:textId="77777777" w:rsidR="000B1AD6" w:rsidRPr="00903A6F" w:rsidRDefault="000B1AD6" w:rsidP="000B1AD6">
      <w:pPr>
        <w:spacing w:before="240" w:after="240"/>
        <w:ind w:left="709" w:right="760"/>
        <w:contextualSpacing/>
        <w:jc w:val="both"/>
        <w:rPr>
          <w:rFonts w:ascii="Palatino Linotype" w:hAnsi="Palatino Linotype" w:cs="Arial"/>
          <w:b/>
          <w:i/>
          <w:sz w:val="22"/>
          <w:szCs w:val="22"/>
        </w:rPr>
      </w:pPr>
      <w:r w:rsidRPr="00903A6F">
        <w:rPr>
          <w:rFonts w:ascii="Palatino Linotype" w:hAnsi="Palatino Linotype" w:cs="Arial"/>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w:t>
      </w:r>
      <w:r w:rsidRPr="00903A6F">
        <w:rPr>
          <w:rFonts w:ascii="Palatino Linotype" w:hAnsi="Palatino Linotype" w:cs="Arial"/>
          <w:b/>
          <w:i/>
          <w:sz w:val="22"/>
          <w:szCs w:val="22"/>
        </w:rPr>
        <w:lastRenderedPageBreak/>
        <w:t>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6F1C8E2" w14:textId="77777777" w:rsidR="000B1AD6" w:rsidRDefault="000B1AD6" w:rsidP="000B1AD6">
      <w:pPr>
        <w:spacing w:before="240" w:after="240"/>
        <w:ind w:left="709" w:right="760"/>
        <w:contextualSpacing/>
        <w:jc w:val="both"/>
        <w:rPr>
          <w:rFonts w:ascii="Palatino Linotype" w:hAnsi="Palatino Linotype" w:cs="Arial"/>
          <w:i/>
          <w:sz w:val="22"/>
          <w:szCs w:val="22"/>
        </w:rPr>
      </w:pPr>
      <w:r w:rsidRPr="004B269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i/>
          <w:sz w:val="22"/>
          <w:szCs w:val="22"/>
        </w:rPr>
        <w:t>”(Sic)</w:t>
      </w:r>
    </w:p>
    <w:p w14:paraId="44B46257" w14:textId="77777777" w:rsidR="000B1AD6" w:rsidRDefault="000B1AD6" w:rsidP="000B1AD6">
      <w:pPr>
        <w:spacing w:before="240" w:after="240" w:line="360" w:lineRule="auto"/>
        <w:jc w:val="both"/>
        <w:rPr>
          <w:rFonts w:ascii="Palatino Linotype" w:hAnsi="Palatino Linotype" w:cs="Arial"/>
          <w:i/>
          <w:sz w:val="22"/>
          <w:szCs w:val="22"/>
        </w:rPr>
      </w:pPr>
    </w:p>
    <w:p w14:paraId="572D6E15" w14:textId="44C44C3F" w:rsidR="000B1AD6" w:rsidRDefault="000B1AD6" w:rsidP="000B1AD6">
      <w:pPr>
        <w:spacing w:before="240" w:after="240" w:line="360" w:lineRule="auto"/>
        <w:jc w:val="both"/>
        <w:rPr>
          <w:rFonts w:ascii="Palatino Linotype" w:hAnsi="Palatino Linotype" w:cs="Arial"/>
        </w:rPr>
      </w:pPr>
      <w:r>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935E29">
        <w:rPr>
          <w:rFonts w:ascii="Palatino Linotype" w:hAnsi="Palatino Linotype" w:cs="Arial"/>
          <w:b/>
        </w:rPr>
        <w:t>artículo 12</w:t>
      </w:r>
      <w:r>
        <w:rPr>
          <w:rFonts w:ascii="Palatino Linotype" w:hAnsi="Palatino Linotype" w:cs="Arial"/>
        </w:rPr>
        <w:t xml:space="preserve">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el cual a la letra dice:</w:t>
      </w:r>
    </w:p>
    <w:p w14:paraId="04E50A9A" w14:textId="349141E4" w:rsidR="000B1AD6" w:rsidRDefault="00786FA3" w:rsidP="000B1AD6">
      <w:pPr>
        <w:spacing w:before="240" w:after="240"/>
        <w:ind w:left="567" w:right="758"/>
        <w:contextualSpacing/>
        <w:jc w:val="both"/>
        <w:rPr>
          <w:rFonts w:ascii="Palatino Linotype" w:hAnsi="Palatino Linotype" w:cs="Arial"/>
          <w:i/>
          <w:sz w:val="22"/>
          <w:szCs w:val="22"/>
        </w:rPr>
      </w:pPr>
      <w:r w:rsidRPr="00786FA3">
        <w:rPr>
          <w:rFonts w:ascii="Palatino Linotype" w:hAnsi="Palatino Linotype" w:cs="Arial"/>
          <w:i/>
          <w:sz w:val="22"/>
          <w:szCs w:val="22"/>
        </w:rPr>
        <w:t>“</w:t>
      </w:r>
      <w:r w:rsidR="000B1AD6" w:rsidRPr="00903A6F">
        <w:rPr>
          <w:rFonts w:ascii="Palatino Linotype" w:hAnsi="Palatino Linotype" w:cs="Arial"/>
          <w:b/>
          <w:i/>
          <w:sz w:val="22"/>
          <w:szCs w:val="22"/>
        </w:rPr>
        <w:t>Artículo 12</w:t>
      </w:r>
      <w:r w:rsidR="000B1AD6">
        <w:rPr>
          <w:rFonts w:ascii="Palatino Linotype" w:hAnsi="Palatino Linotype" w:cs="Arial"/>
          <w:i/>
          <w:sz w:val="22"/>
          <w:szCs w:val="22"/>
        </w:rPr>
        <w:t xml:space="preserve">. </w:t>
      </w:r>
      <w:r w:rsidR="000B1AD6"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14:paraId="61D469CB" w14:textId="77777777" w:rsidR="000B1AD6" w:rsidRDefault="000B1AD6" w:rsidP="000B1AD6">
      <w:pPr>
        <w:spacing w:before="240" w:after="240"/>
        <w:ind w:left="567" w:right="758"/>
        <w:contextualSpacing/>
        <w:jc w:val="both"/>
        <w:rPr>
          <w:rFonts w:ascii="Palatino Linotype" w:hAnsi="Palatino Linotype" w:cs="Arial"/>
          <w:i/>
          <w:sz w:val="22"/>
          <w:szCs w:val="22"/>
        </w:rPr>
      </w:pPr>
    </w:p>
    <w:p w14:paraId="2CEB8543" w14:textId="5B55CAAB" w:rsidR="000B1AD6" w:rsidRPr="00B11B43" w:rsidRDefault="000B1AD6" w:rsidP="000B1AD6">
      <w:pPr>
        <w:spacing w:before="240" w:after="240"/>
        <w:ind w:left="567" w:right="758"/>
        <w:contextualSpacing/>
        <w:jc w:val="both"/>
        <w:rPr>
          <w:rFonts w:ascii="Palatino Linotype" w:hAnsi="Palatino Linotype" w:cs="Arial"/>
          <w:i/>
          <w:sz w:val="22"/>
          <w:szCs w:val="22"/>
        </w:rPr>
      </w:pPr>
      <w:r w:rsidRPr="00B11B43">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786FA3">
        <w:rPr>
          <w:rFonts w:ascii="Palatino Linotype" w:hAnsi="Palatino Linotype" w:cs="Arial"/>
          <w:i/>
          <w:sz w:val="22"/>
          <w:szCs w:val="22"/>
        </w:rPr>
        <w:t>” (Sic)</w:t>
      </w:r>
    </w:p>
    <w:p w14:paraId="6264201F" w14:textId="77777777" w:rsidR="000B1AD6" w:rsidRDefault="000B1AD6" w:rsidP="000B1AD6">
      <w:pPr>
        <w:spacing w:line="360" w:lineRule="auto"/>
        <w:jc w:val="both"/>
        <w:rPr>
          <w:rFonts w:ascii="Palatino Linotype" w:hAnsi="Palatino Linotype" w:cs="Arial"/>
        </w:rPr>
      </w:pPr>
    </w:p>
    <w:p w14:paraId="64076670" w14:textId="4FE0FF89" w:rsidR="00A8729B" w:rsidRPr="00A8729B" w:rsidRDefault="00AF1BDB" w:rsidP="00A8729B">
      <w:pPr>
        <w:spacing w:line="360" w:lineRule="auto"/>
        <w:jc w:val="both"/>
        <w:rPr>
          <w:rFonts w:ascii="Palatino Linotype" w:hAnsi="Palatino Linotype" w:cs="Arial"/>
          <w:color w:val="000000"/>
        </w:rPr>
      </w:pPr>
      <w:r>
        <w:rPr>
          <w:rFonts w:ascii="Palatino Linotype" w:hAnsi="Palatino Linotype" w:cs="Arial"/>
          <w:color w:val="000000"/>
        </w:rPr>
        <w:t>Es decir,</w:t>
      </w:r>
      <w:r w:rsidR="000B1AD6">
        <w:rPr>
          <w:rFonts w:ascii="Palatino Linotype" w:hAnsi="Palatino Linotype" w:cs="Arial"/>
          <w:color w:val="000000"/>
        </w:rPr>
        <w:t xml:space="preserve"> que</w:t>
      </w:r>
      <w:r w:rsidR="000B1AD6" w:rsidRPr="009E12B6">
        <w:rPr>
          <w:rFonts w:ascii="Palatino Linotype" w:hAnsi="Palatino Linotype" w:cs="Arial"/>
          <w:color w:val="000000"/>
        </w:rPr>
        <w:t xml:space="preserve"> el derecho de acceso a la información pública se satisface en aquellos casos en que</w:t>
      </w:r>
      <w:r w:rsidR="000B1AD6">
        <w:rPr>
          <w:rFonts w:ascii="Palatino Linotype" w:hAnsi="Palatino Linotype" w:cs="Arial"/>
          <w:color w:val="000000"/>
        </w:rPr>
        <w:t xml:space="preserve"> se entregue documento</w:t>
      </w:r>
      <w:r w:rsidR="000B1AD6" w:rsidRPr="009E12B6">
        <w:rPr>
          <w:rFonts w:ascii="Palatino Linotype" w:hAnsi="Palatino Linotype" w:cs="Arial"/>
          <w:color w:val="000000"/>
        </w:rPr>
        <w:t xml:space="preserve"> en q</w:t>
      </w:r>
      <w:r w:rsidR="00257766">
        <w:rPr>
          <w:rFonts w:ascii="Palatino Linotype" w:hAnsi="Palatino Linotype" w:cs="Arial"/>
          <w:color w:val="000000"/>
        </w:rPr>
        <w:t>ue conste la información requerida</w:t>
      </w:r>
      <w:r w:rsidR="000B1AD6" w:rsidRPr="009E12B6">
        <w:rPr>
          <w:rFonts w:ascii="Palatino Linotype" w:hAnsi="Palatino Linotype" w:cs="Arial"/>
          <w:color w:val="000000"/>
        </w:rPr>
        <w:t>, toda vez que, los Sujetos Obligados</w:t>
      </w:r>
      <w:r w:rsidR="000B1AD6" w:rsidRPr="009E12B6">
        <w:rPr>
          <w:rFonts w:ascii="Palatino Linotype" w:hAnsi="Palatino Linotype" w:cs="Arial"/>
          <w:b/>
          <w:color w:val="000000"/>
        </w:rPr>
        <w:t xml:space="preserve"> </w:t>
      </w:r>
      <w:r w:rsidR="000B1AD6" w:rsidRPr="009E12B6">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000B1AD6" w:rsidRPr="009E12B6">
        <w:rPr>
          <w:rFonts w:ascii="Palatino Linotype" w:hAnsi="Palatino Linotype" w:cs="Arial"/>
          <w:i/>
          <w:color w:val="000000"/>
        </w:rPr>
        <w:t>ad hoc</w:t>
      </w:r>
      <w:r w:rsidR="000B1AD6" w:rsidRPr="009E12B6">
        <w:rPr>
          <w:rFonts w:ascii="Palatino Linotype" w:hAnsi="Palatino Linotype" w:cs="Arial"/>
          <w:color w:val="000000"/>
        </w:rPr>
        <w:t>, para satisfacer el derecho de acceso a</w:t>
      </w:r>
      <w:r w:rsidR="00A8729B">
        <w:rPr>
          <w:rFonts w:ascii="Palatino Linotype" w:hAnsi="Palatino Linotype" w:cs="Arial"/>
          <w:color w:val="000000"/>
        </w:rPr>
        <w:t xml:space="preserve"> la información pública, </w:t>
      </w:r>
      <w:r w:rsidR="00A8729B">
        <w:rPr>
          <w:rFonts w:ascii="Palatino Linotype" w:hAnsi="Palatino Linotype" w:cs="Arial"/>
        </w:rPr>
        <w:t>como</w:t>
      </w:r>
      <w:r w:rsidR="00A8729B" w:rsidRPr="00DB74D3">
        <w:rPr>
          <w:rFonts w:ascii="Palatino Linotype" w:hAnsi="Palatino Linotype" w:cs="Arial"/>
        </w:rPr>
        <w:t xml:space="preserve"> </w:t>
      </w:r>
      <w:r w:rsidR="00A8729B">
        <w:rPr>
          <w:rFonts w:ascii="Palatino Linotype" w:hAnsi="Palatino Linotype" w:cs="Arial"/>
        </w:rPr>
        <w:t xml:space="preserve">así lo establece </w:t>
      </w:r>
      <w:r w:rsidR="00A8729B" w:rsidRPr="00DB74D3">
        <w:rPr>
          <w:rFonts w:ascii="Palatino Linotype" w:hAnsi="Palatino Linotype" w:cs="Arial"/>
        </w:rPr>
        <w:t xml:space="preserve">los criterios 09/10 y 03/17 emitidos por el </w:t>
      </w:r>
      <w:r w:rsidR="00A8729B" w:rsidRPr="00DB74D3">
        <w:rPr>
          <w:rFonts w:ascii="Palatino Linotype" w:hAnsi="Palatino Linotype" w:cs="Arial"/>
        </w:rPr>
        <w:lastRenderedPageBreak/>
        <w:t>Instituto Nacional de Transparencia, Acceso a la Información Pública y Protección de Datos</w:t>
      </w:r>
      <w:r w:rsidR="00A8729B">
        <w:rPr>
          <w:rFonts w:ascii="Palatino Linotype" w:hAnsi="Palatino Linotype" w:cs="Arial"/>
        </w:rPr>
        <w:t xml:space="preserve"> Personales, los cuales señalan lo siguiente</w:t>
      </w:r>
      <w:r w:rsidR="00A8729B" w:rsidRPr="00DB74D3">
        <w:rPr>
          <w:rFonts w:ascii="Palatino Linotype" w:hAnsi="Palatino Linotype" w:cs="Arial"/>
        </w:rPr>
        <w:t>:</w:t>
      </w:r>
    </w:p>
    <w:p w14:paraId="0AF1BED7" w14:textId="77777777" w:rsidR="00A8729B" w:rsidRDefault="00A8729B" w:rsidP="00A8729B">
      <w:pPr>
        <w:spacing w:before="120" w:after="240"/>
        <w:ind w:left="851" w:right="902"/>
        <w:jc w:val="both"/>
        <w:rPr>
          <w:rFonts w:ascii="Palatino Linotype" w:hAnsi="Palatino Linotype"/>
          <w:i/>
          <w:sz w:val="20"/>
          <w:szCs w:val="20"/>
        </w:rPr>
      </w:pPr>
      <w:r>
        <w:rPr>
          <w:rFonts w:ascii="Palatino Linotype" w:hAnsi="Palatino Linotype"/>
          <w:i/>
          <w:sz w:val="20"/>
          <w:szCs w:val="20"/>
        </w:rPr>
        <w:t>09/10</w:t>
      </w:r>
    </w:p>
    <w:p w14:paraId="77330403" w14:textId="77777777" w:rsidR="00A8729B" w:rsidRPr="005F724F" w:rsidRDefault="00A8729B" w:rsidP="00A8729B">
      <w:pPr>
        <w:spacing w:before="120" w:after="240"/>
        <w:ind w:left="851" w:right="902"/>
        <w:jc w:val="both"/>
        <w:rPr>
          <w:rFonts w:ascii="Palatino Linotype" w:hAnsi="Palatino Linotype"/>
          <w:i/>
          <w:sz w:val="20"/>
          <w:szCs w:val="20"/>
        </w:rPr>
      </w:pPr>
      <w:r w:rsidRPr="005F724F">
        <w:rPr>
          <w:rFonts w:ascii="Palatino Linotype" w:hAnsi="Palatino Linotype"/>
          <w:i/>
          <w:sz w:val="20"/>
          <w:szCs w:val="20"/>
        </w:rPr>
        <w:t>"LAS DEPENDENCIAS Y ENTIDADES NO ESTÁN OBLIGADAS A</w:t>
      </w:r>
      <w:r>
        <w:rPr>
          <w:rFonts w:ascii="Palatino Linotype" w:hAnsi="Palatino Linotype"/>
          <w:i/>
          <w:sz w:val="20"/>
          <w:szCs w:val="20"/>
        </w:rPr>
        <w:t xml:space="preserve"> GENERAR DOCUMENT</w:t>
      </w:r>
      <w:r w:rsidRPr="005F724F">
        <w:rPr>
          <w:rFonts w:ascii="Palatino Linotype" w:hAnsi="Palatino Linotype"/>
          <w:i/>
          <w:sz w:val="20"/>
          <w:szCs w:val="20"/>
        </w:rPr>
        <w:t>OS AD HOC PARA RESPONDER UNA SOLICITUD DE ACC ESO A LA INFORMACIÓN.</w:t>
      </w:r>
    </w:p>
    <w:p w14:paraId="7B2DD2FC" w14:textId="77777777" w:rsidR="00A8729B" w:rsidRDefault="00A8729B" w:rsidP="00A8729B">
      <w:pPr>
        <w:spacing w:before="120" w:after="240"/>
        <w:ind w:left="851" w:right="902"/>
        <w:jc w:val="both"/>
        <w:rPr>
          <w:rFonts w:ascii="Palatino Linotype" w:hAnsi="Palatino Linotype"/>
          <w:i/>
          <w:sz w:val="20"/>
          <w:szCs w:val="20"/>
        </w:rPr>
      </w:pPr>
      <w:r w:rsidRPr="005F724F">
        <w:rPr>
          <w:rFonts w:ascii="Palatino Linotype" w:hAnsi="Palatino Linotype"/>
          <w:i/>
          <w:sz w:val="20"/>
          <w:szCs w:val="20"/>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r>
        <w:rPr>
          <w:rFonts w:ascii="Palatino Linotype" w:hAnsi="Palatino Linotype"/>
          <w:i/>
          <w:sz w:val="20"/>
          <w:szCs w:val="20"/>
        </w:rPr>
        <w:t>”</w:t>
      </w:r>
    </w:p>
    <w:p w14:paraId="2803FCF8" w14:textId="77777777" w:rsidR="00A8729B" w:rsidRDefault="00A8729B" w:rsidP="00A8729B">
      <w:pPr>
        <w:spacing w:before="120" w:after="240"/>
        <w:ind w:left="851" w:right="902"/>
        <w:jc w:val="both"/>
        <w:rPr>
          <w:rFonts w:ascii="Palatino Linotype" w:hAnsi="Palatino Linotype"/>
          <w:i/>
          <w:sz w:val="20"/>
          <w:szCs w:val="20"/>
        </w:rPr>
      </w:pPr>
      <w:r>
        <w:rPr>
          <w:rFonts w:ascii="Palatino Linotype" w:hAnsi="Palatino Linotype"/>
          <w:i/>
          <w:sz w:val="20"/>
          <w:szCs w:val="20"/>
        </w:rPr>
        <w:t>03/17</w:t>
      </w:r>
    </w:p>
    <w:p w14:paraId="3C0C6D77" w14:textId="77777777" w:rsidR="00A8729B" w:rsidRPr="005F724F" w:rsidRDefault="00A8729B" w:rsidP="00A8729B">
      <w:pPr>
        <w:spacing w:before="120" w:after="240"/>
        <w:ind w:left="851" w:right="902"/>
        <w:jc w:val="both"/>
        <w:rPr>
          <w:rFonts w:ascii="Palatino Linotype" w:hAnsi="Palatino Linotype"/>
          <w:i/>
          <w:sz w:val="20"/>
          <w:szCs w:val="20"/>
        </w:rPr>
      </w:pPr>
      <w:r>
        <w:rPr>
          <w:rFonts w:ascii="Palatino Linotype" w:hAnsi="Palatino Linotype"/>
          <w:i/>
          <w:sz w:val="20"/>
          <w:szCs w:val="20"/>
        </w:rPr>
        <w:t>“</w:t>
      </w:r>
      <w:r w:rsidRPr="005F724F">
        <w:rPr>
          <w:rFonts w:ascii="Palatino Linotype" w:hAnsi="Palatino Linotype"/>
          <w:i/>
          <w:sz w:val="20"/>
          <w:szCs w:val="20"/>
        </w:rPr>
        <w:t>NO EXISTE OBLIGACIÓN DE ELABORAR DOCUM ENTOS AD</w:t>
      </w:r>
      <w:r>
        <w:rPr>
          <w:rFonts w:ascii="Palatino Linotype" w:hAnsi="Palatino Linotype"/>
          <w:i/>
          <w:sz w:val="20"/>
          <w:szCs w:val="20"/>
        </w:rPr>
        <w:t xml:space="preserve"> </w:t>
      </w:r>
      <w:r w:rsidRPr="005F724F">
        <w:rPr>
          <w:rFonts w:ascii="Palatino Linotype" w:hAnsi="Palatino Linotype"/>
          <w:i/>
          <w:sz w:val="20"/>
          <w:szCs w:val="20"/>
        </w:rPr>
        <w:t>HOC PARA ATENDER LAS SOLICITUDES DE ACCESO A LA INFORM ACIÓN.</w:t>
      </w:r>
    </w:p>
    <w:p w14:paraId="43D050FC" w14:textId="7F8D06BA" w:rsidR="00A8729B" w:rsidRPr="00003BBD" w:rsidRDefault="00A8729B" w:rsidP="00A8729B">
      <w:pPr>
        <w:spacing w:before="120" w:after="240"/>
        <w:ind w:left="851" w:right="902"/>
        <w:jc w:val="both"/>
        <w:rPr>
          <w:rFonts w:ascii="Palatino Linotype" w:hAnsi="Palatino Linotype"/>
          <w:i/>
          <w:sz w:val="20"/>
          <w:szCs w:val="20"/>
        </w:rPr>
      </w:pPr>
      <w:r w:rsidRPr="005F724F">
        <w:rPr>
          <w:rFonts w:ascii="Palatino Linotype" w:hAnsi="Palatino Linotype"/>
          <w:i/>
          <w:sz w:val="20"/>
          <w:szCs w:val="20"/>
        </w:rPr>
        <w:t>Los artículos 129 de la Ley General de Transparencia y Acceso a la Información Pública y 130, párrafo cuarto, de la Ley Federal de</w:t>
      </w:r>
      <w:r>
        <w:rPr>
          <w:rFonts w:ascii="Palatino Linotype" w:hAnsi="Palatino Linotype"/>
          <w:i/>
          <w:sz w:val="20"/>
          <w:szCs w:val="20"/>
        </w:rPr>
        <w:t xml:space="preserve"> </w:t>
      </w:r>
      <w:r w:rsidRPr="00003BBD">
        <w:rPr>
          <w:rFonts w:ascii="Palatino Linotype" w:hAnsi="Palatino Linotype"/>
          <w:i/>
          <w:sz w:val="20"/>
          <w:szCs w:val="20"/>
        </w:rPr>
        <w:t>Transparencia y Acceso a la Información Pública, señalan que los sujetos</w:t>
      </w:r>
      <w:r>
        <w:rPr>
          <w:rFonts w:ascii="Palatino Linotype" w:hAnsi="Palatino Linotype"/>
          <w:i/>
          <w:sz w:val="20"/>
          <w:szCs w:val="20"/>
        </w:rPr>
        <w:t xml:space="preserve"> </w:t>
      </w:r>
      <w:r w:rsidRPr="00003BBD">
        <w:rPr>
          <w:rFonts w:ascii="Palatino Linotype" w:hAnsi="Palatino Linotype"/>
          <w:i/>
          <w:sz w:val="20"/>
          <w:szCs w:val="20"/>
        </w:rPr>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w:t>
      </w:r>
      <w:r>
        <w:rPr>
          <w:rFonts w:ascii="Palatino Linotype" w:hAnsi="Palatino Linotype"/>
          <w:i/>
          <w:sz w:val="20"/>
          <w:szCs w:val="20"/>
        </w:rPr>
        <w:t>licitudes de información."(Sic)</w:t>
      </w:r>
    </w:p>
    <w:p w14:paraId="05C7FB7C" w14:textId="77777777" w:rsidR="00A8729B" w:rsidRPr="009E12B6" w:rsidRDefault="00A8729B" w:rsidP="000B1AD6">
      <w:pPr>
        <w:spacing w:line="360" w:lineRule="auto"/>
        <w:jc w:val="both"/>
        <w:rPr>
          <w:rFonts w:ascii="Palatino Linotype" w:hAnsi="Palatino Linotype" w:cs="Arial"/>
          <w:color w:val="000000"/>
        </w:rPr>
      </w:pPr>
    </w:p>
    <w:p w14:paraId="69D42C85" w14:textId="604819AF" w:rsidR="000B1AD6" w:rsidRDefault="000B1AD6" w:rsidP="000B1AD6">
      <w:pPr>
        <w:spacing w:line="360" w:lineRule="auto"/>
        <w:jc w:val="both"/>
        <w:rPr>
          <w:rFonts w:ascii="Palatino Linotype" w:hAnsi="Palatino Linotype" w:cs="Arial"/>
          <w:color w:val="000000" w:themeColor="text1"/>
        </w:rPr>
      </w:pPr>
      <w:r w:rsidRPr="004975CB">
        <w:rPr>
          <w:rFonts w:ascii="Palatino Linotype" w:hAnsi="Palatino Linotype" w:cs="Arial"/>
        </w:rPr>
        <w:t>Por otra parte y aunado a lo antepuesto</w:t>
      </w:r>
      <w:r w:rsidR="00A8729B">
        <w:rPr>
          <w:rFonts w:ascii="Palatino Linotype" w:hAnsi="Palatino Linotype" w:cs="Arial"/>
        </w:rPr>
        <w:t>,</w:t>
      </w:r>
      <w:r w:rsidRPr="004975CB">
        <w:rPr>
          <w:rFonts w:ascii="Palatino Linotype" w:hAnsi="Palatino Linotype" w:cs="Arial"/>
        </w:rPr>
        <w:t xml:space="preserve"> el artículo 24 de la Ley de la materia,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xml:space="preserve">, administren o posean en el ejercicio de sus atribuciones; por consiguiente, la información pública se encuentra a disposición de cualquier persona, lo que </w:t>
      </w:r>
      <w:r w:rsidRPr="009E12B6">
        <w:rPr>
          <w:rFonts w:ascii="Palatino Linotype" w:hAnsi="Palatino Linotype" w:cs="Arial"/>
          <w:color w:val="000000" w:themeColor="text1"/>
        </w:rPr>
        <w:lastRenderedPageBreak/>
        <w:t>implica que es deber de los Su</w:t>
      </w:r>
      <w:r>
        <w:rPr>
          <w:rFonts w:ascii="Palatino Linotype" w:hAnsi="Palatino Linotype" w:cs="Arial"/>
          <w:color w:val="000000" w:themeColor="text1"/>
        </w:rPr>
        <w:t>jetos Obligados, garantizar el Derecho de Acceso a la Información P</w:t>
      </w:r>
      <w:r w:rsidRPr="009E12B6">
        <w:rPr>
          <w:rFonts w:ascii="Palatino Linotype" w:hAnsi="Palatino Linotype" w:cs="Arial"/>
          <w:color w:val="000000" w:themeColor="text1"/>
        </w:rPr>
        <w:t>ública.</w:t>
      </w:r>
    </w:p>
    <w:p w14:paraId="02DFD694" w14:textId="77777777" w:rsidR="00904199" w:rsidRDefault="00904199" w:rsidP="000B1AD6">
      <w:pPr>
        <w:spacing w:line="360" w:lineRule="auto"/>
        <w:jc w:val="both"/>
        <w:rPr>
          <w:rFonts w:ascii="Palatino Linotype" w:hAnsi="Palatino Linotype" w:cs="Arial"/>
          <w:color w:val="000000" w:themeColor="text1"/>
        </w:rPr>
      </w:pPr>
    </w:p>
    <w:p w14:paraId="663387E1" w14:textId="77777777" w:rsidR="000B1AD6" w:rsidRDefault="000B1AD6" w:rsidP="000B1AD6">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14:paraId="61F0AE55" w14:textId="77777777" w:rsidR="000B1AD6" w:rsidRPr="009E12B6" w:rsidRDefault="000B1AD6" w:rsidP="000B1AD6">
      <w:pPr>
        <w:jc w:val="both"/>
        <w:rPr>
          <w:rFonts w:ascii="Palatino Linotype" w:hAnsi="Palatino Linotype" w:cs="Arial"/>
          <w:color w:val="000000" w:themeColor="text1"/>
        </w:rPr>
      </w:pPr>
    </w:p>
    <w:p w14:paraId="695CECC9" w14:textId="08EEEF8F" w:rsidR="000B1AD6" w:rsidRPr="004975CB" w:rsidRDefault="000B1AD6" w:rsidP="000B1AD6">
      <w:pPr>
        <w:spacing w:line="360" w:lineRule="auto"/>
        <w:jc w:val="both"/>
        <w:rPr>
          <w:rFonts w:ascii="Palatino Linotype" w:hAnsi="Palatino Linotype" w:cs="Arial"/>
        </w:rPr>
      </w:pPr>
      <w:r w:rsidRPr="004975CB">
        <w:rPr>
          <w:rFonts w:ascii="Palatino Linotype" w:hAnsi="Palatino Linotype" w:cs="Arial"/>
        </w:rPr>
        <w:t>En conclusión</w:t>
      </w:r>
      <w:r w:rsidR="00AF1BDB">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CF4C92A" w14:textId="77777777" w:rsidR="000B1AD6" w:rsidRPr="004975CB" w:rsidRDefault="000B1AD6" w:rsidP="000B1AD6">
      <w:pPr>
        <w:ind w:left="851" w:right="899"/>
        <w:jc w:val="both"/>
        <w:rPr>
          <w:rFonts w:ascii="Palatino Linotype" w:hAnsi="Palatino Linotype" w:cs="Arial"/>
          <w:i/>
          <w:sz w:val="22"/>
          <w:szCs w:val="22"/>
        </w:rPr>
      </w:pPr>
    </w:p>
    <w:p w14:paraId="45D62A8C" w14:textId="77777777" w:rsidR="000B1AD6" w:rsidRPr="004975CB" w:rsidRDefault="000B1AD6" w:rsidP="000B1AD6">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14:paraId="442B11FA" w14:textId="77777777" w:rsidR="000B1AD6" w:rsidRPr="004975CB" w:rsidRDefault="000B1AD6" w:rsidP="000B1AD6">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14:paraId="435D8AD9" w14:textId="77777777" w:rsidR="000B1AD6" w:rsidRPr="009E12B6" w:rsidRDefault="000B1AD6" w:rsidP="000B1AD6">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05622E">
        <w:rPr>
          <w:rFonts w:ascii="Palatino Linotype" w:hAnsi="Palatino Linotype" w:cs="Arial"/>
          <w:b/>
          <w:i/>
          <w:color w:val="000000"/>
          <w:sz w:val="22"/>
          <w:szCs w:val="22"/>
        </w:rPr>
        <w:t>actas,</w:t>
      </w:r>
      <w:r w:rsidRPr="009E12B6">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9E12B6">
        <w:rPr>
          <w:rFonts w:ascii="Palatino Linotype" w:hAnsi="Palatino Linotype" w:cs="Arial"/>
          <w:i/>
          <w:color w:val="000000"/>
          <w:sz w:val="22"/>
          <w:szCs w:val="22"/>
        </w:rPr>
        <w:lastRenderedPageBreak/>
        <w:t>o fecha de elaboración. Los documentos podrán estar en cualquier medio, sea escrito, impreso, sonoro, visual, electrónico, informático u holográfico;</w:t>
      </w:r>
    </w:p>
    <w:p w14:paraId="76A4774D" w14:textId="77777777" w:rsidR="000B1AD6" w:rsidRPr="009E12B6" w:rsidRDefault="000B1AD6" w:rsidP="000B1AD6">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w:t>
      </w:r>
      <w:r w:rsidRPr="009E12B6">
        <w:rPr>
          <w:rFonts w:ascii="Palatino Linotype" w:hAnsi="Palatino Linotype" w:cs="Arial"/>
          <w:i/>
          <w:color w:val="000000"/>
          <w:sz w:val="22"/>
          <w:szCs w:val="22"/>
        </w:rPr>
        <w:t>”</w:t>
      </w:r>
    </w:p>
    <w:p w14:paraId="1E81C853" w14:textId="77777777" w:rsidR="000B1AD6" w:rsidRPr="009E12B6" w:rsidRDefault="000B1AD6" w:rsidP="000B1AD6">
      <w:pPr>
        <w:ind w:left="851" w:right="899"/>
        <w:jc w:val="both"/>
        <w:rPr>
          <w:rFonts w:ascii="Palatino Linotype" w:hAnsi="Palatino Linotype" w:cs="Arial"/>
          <w:sz w:val="22"/>
          <w:szCs w:val="22"/>
        </w:rPr>
      </w:pPr>
    </w:p>
    <w:p w14:paraId="73EEDBA9" w14:textId="77777777" w:rsidR="000B1AD6" w:rsidRPr="009E12B6" w:rsidRDefault="000B1AD6" w:rsidP="000B1AD6">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14:paraId="2D6DD57C" w14:textId="77777777" w:rsidR="000B1AD6" w:rsidRPr="009E12B6" w:rsidRDefault="000B1AD6" w:rsidP="000B1AD6">
      <w:pPr>
        <w:ind w:left="851" w:right="899"/>
        <w:jc w:val="both"/>
        <w:rPr>
          <w:rFonts w:ascii="Palatino Linotype" w:hAnsi="Palatino Linotype" w:cs="Arial"/>
        </w:rPr>
      </w:pPr>
    </w:p>
    <w:p w14:paraId="69A3CFE2" w14:textId="77777777" w:rsidR="000B1AD6" w:rsidRPr="004B675A" w:rsidRDefault="000B1AD6" w:rsidP="000B1AD6">
      <w:pPr>
        <w:ind w:left="851"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14:paraId="4C6B0923" w14:textId="77777777" w:rsidR="000B1AD6" w:rsidRPr="009E12B6" w:rsidRDefault="000B1AD6" w:rsidP="000B1AD6">
      <w:pPr>
        <w:ind w:left="851"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4A5D1B" w14:textId="77777777" w:rsidR="000B1AD6" w:rsidRPr="009E12B6" w:rsidRDefault="000B1AD6" w:rsidP="000B1AD6">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14:paraId="5CE2A308" w14:textId="77777777" w:rsidR="000B1AD6" w:rsidRPr="009E12B6" w:rsidRDefault="000B1AD6" w:rsidP="000B1AD6">
      <w:pPr>
        <w:ind w:left="851" w:right="899"/>
        <w:jc w:val="both"/>
        <w:rPr>
          <w:rFonts w:ascii="Palatino Linotype" w:hAnsi="Palatino Linotype" w:cs="Arial"/>
          <w:b/>
          <w:i/>
          <w:sz w:val="22"/>
          <w:szCs w:val="22"/>
          <w:lang w:eastAsia="es-MX"/>
        </w:rPr>
      </w:pPr>
      <w:r w:rsidRPr="009E12B6">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14:paraId="7D955C05" w14:textId="77777777" w:rsidR="000B1AD6" w:rsidRPr="009E12B6" w:rsidRDefault="000B1AD6" w:rsidP="000B1AD6">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14:paraId="65F81E28" w14:textId="77777777" w:rsidR="000B1AD6" w:rsidRPr="009E12B6" w:rsidRDefault="000B1AD6" w:rsidP="000B1AD6">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 xml:space="preserve">3) Que se trate de información registrada en cualquier soporte documental, que en ejercicio de las atribuciones conferidas, se encuentre en posesión de los Sujetos Obligados.” </w:t>
      </w:r>
    </w:p>
    <w:p w14:paraId="7AA9C58F" w14:textId="77777777" w:rsidR="000B1AD6" w:rsidRDefault="000B1AD6" w:rsidP="000B1AD6">
      <w:pPr>
        <w:spacing w:before="240" w:after="240" w:line="360" w:lineRule="auto"/>
        <w:ind w:right="49"/>
        <w:contextualSpacing/>
        <w:jc w:val="both"/>
        <w:rPr>
          <w:rFonts w:ascii="Palatino Linotype" w:hAnsi="Palatino Linotype" w:cs="Arial"/>
        </w:rPr>
      </w:pPr>
    </w:p>
    <w:p w14:paraId="5E0D07C4" w14:textId="040D2146" w:rsidR="000B1AD6" w:rsidRPr="00C87203" w:rsidRDefault="00FD38B8" w:rsidP="000B1AD6">
      <w:pPr>
        <w:spacing w:before="240" w:after="240" w:line="360" w:lineRule="auto"/>
        <w:ind w:right="49"/>
        <w:contextualSpacing/>
        <w:jc w:val="both"/>
        <w:rPr>
          <w:rFonts w:ascii="Palatino Linotype" w:hAnsi="Palatino Linotype" w:cs="Arial"/>
        </w:rPr>
      </w:pPr>
      <w:r w:rsidRPr="00E520E0">
        <w:rPr>
          <w:rFonts w:ascii="Palatino Linotype" w:eastAsia="Calibri" w:hAnsi="Palatino Linotype" w:cs="Arial"/>
          <w:lang w:val="es-MX" w:eastAsia="en-US"/>
        </w:rPr>
        <w:t>Por otro lado,</w:t>
      </w:r>
      <w:r w:rsidR="000B1AD6" w:rsidRPr="00E520E0">
        <w:rPr>
          <w:rFonts w:ascii="Palatino Linotype" w:eastAsia="Calibri" w:hAnsi="Palatino Linotype" w:cs="Arial"/>
          <w:lang w:val="es-MX" w:eastAsia="en-US"/>
        </w:rPr>
        <w:t xml:space="preserve"> antes de entrar al estudio de fondo, </w:t>
      </w:r>
      <w:r w:rsidRPr="00E520E0">
        <w:rPr>
          <w:rFonts w:ascii="Palatino Linotype" w:eastAsia="Calibri" w:hAnsi="Palatino Linotype" w:cs="Arial"/>
          <w:lang w:val="es-MX" w:eastAsia="en-US"/>
        </w:rPr>
        <w:t>es im</w:t>
      </w:r>
      <w:r>
        <w:rPr>
          <w:rFonts w:ascii="Palatino Linotype" w:eastAsia="Calibri" w:hAnsi="Palatino Linotype" w:cs="Arial"/>
          <w:lang w:val="es-MX" w:eastAsia="en-US"/>
        </w:rPr>
        <w:t xml:space="preserve">portante </w:t>
      </w:r>
      <w:r w:rsidR="000B1AD6">
        <w:rPr>
          <w:rFonts w:ascii="Palatino Linotype" w:hAnsi="Palatino Linotype" w:cs="Arial"/>
        </w:rPr>
        <w:t>establecer de acuerdo a sus atribuciones, fun</w:t>
      </w:r>
      <w:r w:rsidR="00786FA3">
        <w:rPr>
          <w:rFonts w:ascii="Palatino Linotype" w:hAnsi="Palatino Linotype" w:cs="Arial"/>
        </w:rPr>
        <w:t>ciones o facultades, qué</w:t>
      </w:r>
      <w:r w:rsidR="00366153">
        <w:rPr>
          <w:rFonts w:ascii="Palatino Linotype" w:hAnsi="Palatino Linotype" w:cs="Arial"/>
        </w:rPr>
        <w:t xml:space="preserve"> área, unidad </w:t>
      </w:r>
      <w:r w:rsidR="000B1AD6">
        <w:rPr>
          <w:rFonts w:ascii="Palatino Linotype" w:hAnsi="Palatino Linotype" w:cs="Arial"/>
        </w:rPr>
        <w:t xml:space="preserve">o dependencia del Sujeto Obligado pudiera tener </w:t>
      </w:r>
      <w:r w:rsidR="00E520E0">
        <w:rPr>
          <w:rFonts w:ascii="Palatino Linotype" w:hAnsi="Palatino Linotype" w:cs="Arial"/>
        </w:rPr>
        <w:t>la información solicitada por la</w:t>
      </w:r>
      <w:r w:rsidR="000B1AD6">
        <w:rPr>
          <w:rFonts w:ascii="Palatino Linotype" w:hAnsi="Palatino Linotype" w:cs="Arial"/>
        </w:rPr>
        <w:t xml:space="preserve"> recurrente y así poder ordenar la entrega de la información; lo que conlleva a analizar en primer </w:t>
      </w:r>
      <w:r w:rsidR="000B1AD6">
        <w:rPr>
          <w:rFonts w:ascii="Palatino Linotype" w:hAnsi="Palatino Linotype" w:cs="Arial"/>
        </w:rPr>
        <w:lastRenderedPageBreak/>
        <w:t xml:space="preserve">lugar </w:t>
      </w:r>
      <w:r w:rsidR="0058621B">
        <w:rPr>
          <w:rFonts w:ascii="Palatino Linotype" w:hAnsi="Palatino Linotype" w:cs="Arial"/>
        </w:rPr>
        <w:t xml:space="preserve">los artículos </w:t>
      </w:r>
      <w:r w:rsidR="00204398">
        <w:rPr>
          <w:rFonts w:ascii="Palatino Linotype" w:hAnsi="Palatino Linotype" w:cs="Arial"/>
        </w:rPr>
        <w:t>48, fracción</w:t>
      </w:r>
      <w:r w:rsidR="00C14999">
        <w:rPr>
          <w:rFonts w:ascii="Palatino Linotype" w:hAnsi="Palatino Linotype" w:cs="Arial"/>
        </w:rPr>
        <w:t xml:space="preserve"> XIX y XX,</w:t>
      </w:r>
      <w:r w:rsidR="00204398">
        <w:rPr>
          <w:rFonts w:ascii="Palatino Linotype" w:hAnsi="Palatino Linotype" w:cs="Arial"/>
        </w:rPr>
        <w:t xml:space="preserve"> </w:t>
      </w:r>
      <w:r w:rsidR="0058621B">
        <w:rPr>
          <w:rFonts w:ascii="Palatino Linotype" w:hAnsi="Palatino Linotype" w:cs="Arial"/>
        </w:rPr>
        <w:t xml:space="preserve">53, fracción IV, VII, VIII, 93, 95 y 96 </w:t>
      </w:r>
      <w:r w:rsidRPr="00B0036A">
        <w:rPr>
          <w:rFonts w:ascii="Palatino Linotype" w:hAnsi="Palatino Linotype" w:cs="Arial"/>
        </w:rPr>
        <w:t xml:space="preserve">del </w:t>
      </w:r>
      <w:r w:rsidR="000B1AD6" w:rsidRPr="00B0036A">
        <w:rPr>
          <w:rFonts w:ascii="Palatino Linotype" w:hAnsi="Palatino Linotype" w:cs="Arial"/>
        </w:rPr>
        <w:t xml:space="preserve">Bando Municipal </w:t>
      </w:r>
      <w:r w:rsidR="004368E3" w:rsidRPr="00B0036A">
        <w:rPr>
          <w:rFonts w:ascii="Palatino Linotype" w:hAnsi="Palatino Linotype" w:cs="Arial"/>
        </w:rPr>
        <w:t>del</w:t>
      </w:r>
      <w:r w:rsidR="000B1AD6" w:rsidRPr="00B0036A">
        <w:rPr>
          <w:rFonts w:ascii="Palatino Linotype" w:hAnsi="Palatino Linotype" w:cs="Arial"/>
        </w:rPr>
        <w:t xml:space="preserve"> Ayuntamiento de </w:t>
      </w:r>
      <w:r w:rsidR="0058621B">
        <w:rPr>
          <w:rFonts w:ascii="Palatino Linotype" w:hAnsi="Palatino Linotype" w:cs="Arial"/>
        </w:rPr>
        <w:t>Xalatlaco</w:t>
      </w:r>
      <w:r w:rsidR="003A7D23" w:rsidRPr="00B0036A">
        <w:rPr>
          <w:rFonts w:ascii="Palatino Linotype" w:hAnsi="Palatino Linotype" w:cs="Arial"/>
        </w:rPr>
        <w:t xml:space="preserve"> del </w:t>
      </w:r>
      <w:r w:rsidR="003A7D23">
        <w:rPr>
          <w:rFonts w:ascii="Palatino Linotype" w:hAnsi="Palatino Linotype" w:cs="Arial"/>
        </w:rPr>
        <w:t>año 2018</w:t>
      </w:r>
      <w:r w:rsidR="00CA4BED">
        <w:rPr>
          <w:rFonts w:ascii="Palatino Linotype" w:hAnsi="Palatino Linotype" w:cs="Arial"/>
        </w:rPr>
        <w:t xml:space="preserve"> y 95, fracciones</w:t>
      </w:r>
      <w:r w:rsidR="00C14999">
        <w:rPr>
          <w:rFonts w:ascii="Palatino Linotype" w:hAnsi="Palatino Linotype" w:cs="Arial"/>
        </w:rPr>
        <w:t xml:space="preserve"> </w:t>
      </w:r>
      <w:r w:rsidR="00C14999">
        <w:rPr>
          <w:rFonts w:ascii="Palatino Linotype" w:hAnsi="Palatino Linotype"/>
        </w:rPr>
        <w:t xml:space="preserve">I, IV, V, </w:t>
      </w:r>
      <w:r w:rsidR="00CA4BED">
        <w:rPr>
          <w:rFonts w:ascii="Palatino Linotype" w:hAnsi="Palatino Linotype" w:cs="Arial"/>
        </w:rPr>
        <w:t xml:space="preserve">XIV, </w:t>
      </w:r>
      <w:r w:rsidR="000C288A">
        <w:rPr>
          <w:rFonts w:ascii="Palatino Linotype" w:hAnsi="Palatino Linotype" w:cs="Arial"/>
        </w:rPr>
        <w:t xml:space="preserve">XVI, </w:t>
      </w:r>
      <w:r w:rsidR="00C14999">
        <w:rPr>
          <w:rFonts w:ascii="Palatino Linotype" w:hAnsi="Palatino Linotype" w:cs="Arial"/>
        </w:rPr>
        <w:t>XVII, XVIII,</w:t>
      </w:r>
      <w:r w:rsidR="00CA4BED">
        <w:rPr>
          <w:rFonts w:ascii="Palatino Linotype" w:hAnsi="Palatino Linotype" w:cs="Arial"/>
        </w:rPr>
        <w:t xml:space="preserve"> XXI</w:t>
      </w:r>
      <w:r w:rsidR="00C14999">
        <w:rPr>
          <w:rFonts w:ascii="Palatino Linotype" w:hAnsi="Palatino Linotype" w:cs="Arial"/>
        </w:rPr>
        <w:t xml:space="preserve"> y </w:t>
      </w:r>
      <w:r w:rsidR="00C14999">
        <w:rPr>
          <w:rFonts w:ascii="Palatino Linotype" w:hAnsi="Palatino Linotype"/>
        </w:rPr>
        <w:t>XXII</w:t>
      </w:r>
      <w:r w:rsidR="001E3C0F">
        <w:rPr>
          <w:rFonts w:ascii="Palatino Linotype" w:hAnsi="Palatino Linotype" w:cs="Arial"/>
        </w:rPr>
        <w:t xml:space="preserve"> de la Ley Orgánica Municipal del Estado de México</w:t>
      </w:r>
      <w:r w:rsidR="00366153">
        <w:rPr>
          <w:rFonts w:ascii="Palatino Linotype" w:hAnsi="Palatino Linotype" w:cs="Arial"/>
        </w:rPr>
        <w:t xml:space="preserve">, </w:t>
      </w:r>
      <w:r>
        <w:rPr>
          <w:rFonts w:ascii="Palatino Linotype" w:hAnsi="Palatino Linotype" w:cs="Arial"/>
        </w:rPr>
        <w:t>que establece</w:t>
      </w:r>
      <w:r w:rsidR="003A7D23">
        <w:rPr>
          <w:rFonts w:ascii="Palatino Linotype" w:hAnsi="Palatino Linotype" w:cs="Arial"/>
        </w:rPr>
        <w:t>n</w:t>
      </w:r>
      <w:r w:rsidR="000B1AD6" w:rsidRPr="00C87203">
        <w:rPr>
          <w:rFonts w:ascii="Palatino Linotype" w:hAnsi="Palatino Linotype" w:cs="Arial"/>
        </w:rPr>
        <w:t>:</w:t>
      </w:r>
    </w:p>
    <w:p w14:paraId="50E262EC" w14:textId="77777777" w:rsidR="000C288A" w:rsidRDefault="000C288A" w:rsidP="00366153">
      <w:pPr>
        <w:ind w:left="851" w:right="899"/>
        <w:jc w:val="both"/>
        <w:rPr>
          <w:rFonts w:ascii="Palatino Linotype" w:hAnsi="Palatino Linotype" w:cs="Arial"/>
          <w:i/>
          <w:sz w:val="22"/>
          <w:szCs w:val="22"/>
          <w:lang w:eastAsia="es-MX"/>
        </w:rPr>
      </w:pPr>
    </w:p>
    <w:p w14:paraId="21147879" w14:textId="3F87BFB4" w:rsidR="00204398" w:rsidRDefault="00366153" w:rsidP="00C14999">
      <w:pPr>
        <w:ind w:left="851" w:right="902"/>
        <w:contextualSpacing/>
        <w:jc w:val="both"/>
        <w:rPr>
          <w:rFonts w:ascii="Palatino Linotype" w:hAnsi="Palatino Linotype"/>
          <w:i/>
          <w:sz w:val="22"/>
          <w:szCs w:val="22"/>
        </w:rPr>
      </w:pPr>
      <w:r w:rsidRPr="00C14999">
        <w:rPr>
          <w:rFonts w:ascii="Palatino Linotype" w:hAnsi="Palatino Linotype"/>
          <w:i/>
          <w:sz w:val="22"/>
          <w:szCs w:val="22"/>
        </w:rPr>
        <w:t>“</w:t>
      </w:r>
      <w:r w:rsidR="00C14999" w:rsidRPr="00C14999">
        <w:rPr>
          <w:rFonts w:ascii="Palatino Linotype" w:hAnsi="Palatino Linotype"/>
          <w:b/>
          <w:i/>
          <w:sz w:val="22"/>
          <w:szCs w:val="22"/>
        </w:rPr>
        <w:t>ARTÍCULO 48.</w:t>
      </w:r>
      <w:r w:rsidR="00C14999" w:rsidRPr="00C14999">
        <w:rPr>
          <w:rFonts w:ascii="Palatino Linotype" w:hAnsi="Palatino Linotype"/>
          <w:i/>
          <w:sz w:val="22"/>
          <w:szCs w:val="22"/>
        </w:rPr>
        <w:t xml:space="preserve"> Son atribuciones de los Ayuntamientos:</w:t>
      </w:r>
    </w:p>
    <w:p w14:paraId="0527E93F" w14:textId="778D1812" w:rsidR="00C14999" w:rsidRPr="00C14999" w:rsidRDefault="00C14999" w:rsidP="00C14999">
      <w:pPr>
        <w:ind w:left="851" w:right="902"/>
        <w:contextualSpacing/>
        <w:jc w:val="both"/>
        <w:rPr>
          <w:rFonts w:ascii="Palatino Linotype" w:hAnsi="Palatino Linotype"/>
          <w:i/>
          <w:sz w:val="22"/>
          <w:szCs w:val="22"/>
        </w:rPr>
      </w:pPr>
      <w:r>
        <w:rPr>
          <w:rFonts w:ascii="Palatino Linotype" w:hAnsi="Palatino Linotype"/>
          <w:i/>
          <w:sz w:val="22"/>
          <w:szCs w:val="22"/>
        </w:rPr>
        <w:t>…</w:t>
      </w:r>
    </w:p>
    <w:p w14:paraId="74675609" w14:textId="43526397" w:rsidR="00C14999" w:rsidRPr="00C14999" w:rsidRDefault="00204398" w:rsidP="00C14999">
      <w:pPr>
        <w:ind w:left="851" w:right="902"/>
        <w:contextualSpacing/>
        <w:jc w:val="both"/>
        <w:rPr>
          <w:rFonts w:ascii="Calibri" w:eastAsiaTheme="minorEastAsia" w:hAnsi="Calibri" w:cs="Calibri"/>
          <w:color w:val="000000"/>
          <w:lang w:val="es-MX"/>
        </w:rPr>
      </w:pPr>
      <w:r w:rsidRPr="00204398">
        <w:rPr>
          <w:rFonts w:ascii="Palatino Linotype" w:hAnsi="Palatino Linotype"/>
          <w:i/>
          <w:sz w:val="22"/>
          <w:szCs w:val="22"/>
        </w:rPr>
        <w:t xml:space="preserve">XIX. </w:t>
      </w:r>
      <w:r w:rsidRPr="00204398">
        <w:rPr>
          <w:rFonts w:ascii="Palatino Linotype" w:hAnsi="Palatino Linotype"/>
          <w:b/>
          <w:i/>
          <w:sz w:val="22"/>
          <w:szCs w:val="22"/>
        </w:rPr>
        <w:t>Aprobar anualmente a más tardar el 20 de diciembre, su Presupuesto de Egresos, en base a los ingresos presupuestados para el ejercicio que corresponda</w:t>
      </w:r>
      <w:r w:rsidRPr="00204398">
        <w:rPr>
          <w:rFonts w:ascii="Palatino Linotype" w:hAnsi="Palatino Linotype"/>
          <w:i/>
          <w:sz w:val="22"/>
          <w:szCs w:val="22"/>
        </w:rPr>
        <w:t xml:space="preserve">,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r w:rsidRPr="00204398">
        <w:rPr>
          <w:rFonts w:ascii="Palatino Linotype" w:hAnsi="Palatino Linotype"/>
          <w:b/>
          <w:i/>
          <w:sz w:val="22"/>
          <w:szCs w:val="22"/>
        </w:rP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204398">
        <w:rPr>
          <w:rFonts w:ascii="Palatino Linotype" w:hAnsi="Palatino Linotype"/>
          <w:i/>
          <w:sz w:val="22"/>
          <w:szCs w:val="22"/>
        </w:rPr>
        <w:t xml:space="preserve"> </w:t>
      </w:r>
    </w:p>
    <w:p w14:paraId="3B5C8018" w14:textId="77777777" w:rsidR="00C14999" w:rsidRPr="00C14999" w:rsidRDefault="00C14999" w:rsidP="00C14999">
      <w:pPr>
        <w:ind w:left="851" w:right="902"/>
        <w:contextualSpacing/>
        <w:jc w:val="both"/>
        <w:rPr>
          <w:rFonts w:ascii="Palatino Linotype" w:hAnsi="Palatino Linotype"/>
          <w:b/>
          <w:i/>
          <w:sz w:val="22"/>
          <w:szCs w:val="22"/>
        </w:rPr>
      </w:pPr>
      <w:r w:rsidRPr="00C14999">
        <w:rPr>
          <w:rFonts w:ascii="Palatino Linotype" w:hAnsi="Palatino Linotype"/>
          <w:i/>
          <w:sz w:val="22"/>
          <w:szCs w:val="22"/>
        </w:rPr>
        <w:t xml:space="preserve">XX. </w:t>
      </w:r>
      <w:r w:rsidRPr="00C14999">
        <w:rPr>
          <w:rFonts w:ascii="Palatino Linotype" w:hAnsi="Palatino Linotype"/>
          <w:b/>
          <w:i/>
          <w:sz w:val="22"/>
          <w:szCs w:val="22"/>
        </w:rPr>
        <w:t xml:space="preserve">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w:t>
      </w:r>
    </w:p>
    <w:p w14:paraId="514C95F4" w14:textId="33F04325" w:rsidR="003A7D23" w:rsidRPr="000C288A" w:rsidRDefault="0058621B" w:rsidP="000C288A">
      <w:pPr>
        <w:ind w:left="851" w:right="899"/>
        <w:jc w:val="both"/>
        <w:rPr>
          <w:rFonts w:ascii="Palatino Linotype" w:hAnsi="Palatino Linotype"/>
          <w:i/>
          <w:sz w:val="22"/>
          <w:szCs w:val="22"/>
        </w:rPr>
      </w:pPr>
      <w:r w:rsidRPr="00204398">
        <w:rPr>
          <w:rFonts w:ascii="Palatino Linotype" w:hAnsi="Palatino Linotype"/>
          <w:b/>
          <w:i/>
          <w:sz w:val="22"/>
          <w:szCs w:val="22"/>
        </w:rPr>
        <w:t>ARTÍCULO 53.</w:t>
      </w:r>
      <w:r w:rsidRPr="0058621B">
        <w:rPr>
          <w:rFonts w:ascii="Palatino Linotype" w:hAnsi="Palatino Linotype"/>
          <w:i/>
          <w:sz w:val="22"/>
          <w:szCs w:val="22"/>
        </w:rPr>
        <w:t xml:space="preserve"> </w:t>
      </w:r>
      <w:r w:rsidRPr="00904199">
        <w:rPr>
          <w:rFonts w:ascii="Palatino Linotype" w:hAnsi="Palatino Linotype"/>
          <w:b/>
          <w:i/>
          <w:sz w:val="22"/>
          <w:szCs w:val="22"/>
        </w:rPr>
        <w:t>El Síndico tendrá las siguientes atribuciones:</w:t>
      </w:r>
    </w:p>
    <w:p w14:paraId="68F638D6" w14:textId="77777777" w:rsidR="003A7D23" w:rsidRPr="000C288A" w:rsidRDefault="003A7D23" w:rsidP="000C288A">
      <w:pPr>
        <w:ind w:left="851" w:right="899"/>
        <w:jc w:val="both"/>
        <w:rPr>
          <w:rFonts w:ascii="Palatino Linotype" w:hAnsi="Palatino Linotype" w:cs="Arial"/>
          <w:i/>
          <w:sz w:val="22"/>
          <w:szCs w:val="22"/>
          <w:lang w:eastAsia="es-MX"/>
        </w:rPr>
      </w:pPr>
      <w:r w:rsidRPr="000C288A">
        <w:rPr>
          <w:rFonts w:ascii="Palatino Linotype" w:hAnsi="Palatino Linotype" w:cs="Arial"/>
          <w:i/>
          <w:sz w:val="22"/>
          <w:szCs w:val="22"/>
          <w:lang w:eastAsia="es-MX"/>
        </w:rPr>
        <w:t>…</w:t>
      </w:r>
    </w:p>
    <w:p w14:paraId="16F5F145" w14:textId="77777777" w:rsidR="0058621B" w:rsidRPr="00904199" w:rsidRDefault="0058621B" w:rsidP="0058621B">
      <w:pPr>
        <w:ind w:left="851" w:right="899"/>
        <w:jc w:val="both"/>
        <w:rPr>
          <w:rFonts w:ascii="Palatino Linotype" w:hAnsi="Palatino Linotype"/>
          <w:b/>
          <w:i/>
          <w:sz w:val="22"/>
          <w:szCs w:val="22"/>
        </w:rPr>
      </w:pPr>
      <w:r w:rsidRPr="0058621B">
        <w:rPr>
          <w:rFonts w:ascii="Palatino Linotype" w:hAnsi="Palatino Linotype"/>
          <w:i/>
          <w:sz w:val="22"/>
          <w:szCs w:val="22"/>
        </w:rPr>
        <w:t xml:space="preserve">IV. </w:t>
      </w:r>
      <w:r w:rsidRPr="00904199">
        <w:rPr>
          <w:rFonts w:ascii="Palatino Linotype" w:hAnsi="Palatino Linotype"/>
          <w:b/>
          <w:i/>
          <w:sz w:val="22"/>
          <w:szCs w:val="22"/>
        </w:rPr>
        <w:t xml:space="preserve">Revisar y firmar los cortes de caja de la Tesorería Municipal; </w:t>
      </w:r>
    </w:p>
    <w:p w14:paraId="5AB94470" w14:textId="77777777" w:rsidR="003A7D23" w:rsidRPr="000C288A" w:rsidRDefault="003A7D23" w:rsidP="000C288A">
      <w:pPr>
        <w:ind w:left="851" w:right="899"/>
        <w:jc w:val="both"/>
        <w:rPr>
          <w:rFonts w:ascii="Palatino Linotype" w:hAnsi="Palatino Linotype"/>
          <w:i/>
          <w:sz w:val="22"/>
          <w:szCs w:val="22"/>
        </w:rPr>
      </w:pPr>
      <w:r w:rsidRPr="000C288A">
        <w:rPr>
          <w:rFonts w:ascii="Palatino Linotype" w:hAnsi="Palatino Linotype"/>
          <w:i/>
          <w:sz w:val="22"/>
          <w:szCs w:val="22"/>
        </w:rPr>
        <w:t>…</w:t>
      </w:r>
    </w:p>
    <w:p w14:paraId="1A7EF718" w14:textId="77777777" w:rsidR="0058621B" w:rsidRPr="0058621B" w:rsidRDefault="0058621B" w:rsidP="0058621B">
      <w:pPr>
        <w:ind w:left="851" w:right="899"/>
        <w:jc w:val="both"/>
        <w:rPr>
          <w:rFonts w:ascii="Palatino Linotype" w:hAnsi="Palatino Linotype"/>
          <w:i/>
          <w:sz w:val="22"/>
          <w:szCs w:val="22"/>
        </w:rPr>
      </w:pPr>
      <w:r w:rsidRPr="0058621B">
        <w:rPr>
          <w:rFonts w:ascii="Palatino Linotype" w:hAnsi="Palatino Linotype"/>
          <w:i/>
          <w:sz w:val="22"/>
          <w:szCs w:val="22"/>
        </w:rPr>
        <w:t xml:space="preserve">VII. Asistir a las visitas de inspección que realice el Órgano Superior de Fiscalización del Estado de México a la Tesorería e informar de los resultados al Ayuntamiento; </w:t>
      </w:r>
    </w:p>
    <w:p w14:paraId="47D7F90E" w14:textId="77777777" w:rsidR="0058621B" w:rsidRPr="0058621B" w:rsidRDefault="0058621B" w:rsidP="0058621B">
      <w:pPr>
        <w:ind w:left="851" w:right="899"/>
        <w:jc w:val="both"/>
        <w:rPr>
          <w:rFonts w:ascii="Palatino Linotype" w:hAnsi="Palatino Linotype"/>
          <w:i/>
          <w:sz w:val="22"/>
          <w:szCs w:val="22"/>
        </w:rPr>
      </w:pPr>
      <w:r w:rsidRPr="0058621B">
        <w:rPr>
          <w:rFonts w:ascii="Palatino Linotype" w:hAnsi="Palatino Linotype"/>
          <w:i/>
          <w:sz w:val="22"/>
          <w:szCs w:val="22"/>
        </w:rPr>
        <w:t xml:space="preserve">VIII. Hacer que oportunamente se remitan al Órgano Superior de Fiscalización del Estado de México las cuentas de la Tesorería Municipal y remitir copia del resumen financiero a los miembros del </w:t>
      </w:r>
    </w:p>
    <w:p w14:paraId="0CD02CB1" w14:textId="77777777" w:rsidR="0058621B" w:rsidRDefault="0058621B" w:rsidP="0058621B">
      <w:pPr>
        <w:ind w:left="851" w:right="899"/>
        <w:jc w:val="both"/>
        <w:rPr>
          <w:rFonts w:ascii="Calibri" w:eastAsiaTheme="minorEastAsia" w:hAnsi="Calibri" w:cs="Calibri"/>
          <w:color w:val="000000"/>
          <w:sz w:val="20"/>
          <w:szCs w:val="20"/>
          <w:lang w:val="es-MX"/>
        </w:rPr>
      </w:pPr>
      <w:r w:rsidRPr="0058621B">
        <w:rPr>
          <w:rFonts w:ascii="Palatino Linotype" w:hAnsi="Palatino Linotype"/>
          <w:i/>
          <w:sz w:val="22"/>
          <w:szCs w:val="22"/>
        </w:rPr>
        <w:lastRenderedPageBreak/>
        <w:t>Ayuntamiento;</w:t>
      </w:r>
    </w:p>
    <w:p w14:paraId="092010F8" w14:textId="294F3D59" w:rsidR="003A7D23" w:rsidRPr="000C288A" w:rsidRDefault="003A7D23" w:rsidP="0058621B">
      <w:pPr>
        <w:ind w:left="851" w:right="899"/>
        <w:jc w:val="both"/>
        <w:rPr>
          <w:rFonts w:ascii="Palatino Linotype" w:hAnsi="Palatino Linotype"/>
          <w:i/>
          <w:sz w:val="22"/>
          <w:szCs w:val="22"/>
        </w:rPr>
      </w:pPr>
      <w:r w:rsidRPr="000C288A">
        <w:rPr>
          <w:rFonts w:ascii="Palatino Linotype" w:hAnsi="Palatino Linotype"/>
          <w:i/>
          <w:sz w:val="22"/>
          <w:szCs w:val="22"/>
        </w:rPr>
        <w:t>…</w:t>
      </w:r>
    </w:p>
    <w:p w14:paraId="6C972F03" w14:textId="77777777" w:rsidR="0058621B" w:rsidRDefault="0058621B" w:rsidP="000C288A">
      <w:pPr>
        <w:ind w:left="851" w:right="899"/>
        <w:jc w:val="both"/>
        <w:rPr>
          <w:rFonts w:ascii="Palatino Linotype" w:hAnsi="Palatino Linotype"/>
          <w:i/>
          <w:sz w:val="22"/>
          <w:szCs w:val="22"/>
        </w:rPr>
      </w:pPr>
      <w:r w:rsidRPr="0058621B">
        <w:rPr>
          <w:rFonts w:ascii="Palatino Linotype" w:hAnsi="Palatino Linotype"/>
          <w:i/>
          <w:sz w:val="22"/>
          <w:szCs w:val="22"/>
        </w:rPr>
        <w:t>ARTÍCULO 93. El Presidente Municipal es el órgano ejecutivo del Ayuntamiento para el ejercicio de sus atribuciones y responsabilidades, quien se auxiliará de las direcciones, dependencias y demás órganos administrativos que sean necesarios para el ejercicio de sus funciones.</w:t>
      </w:r>
    </w:p>
    <w:p w14:paraId="1A6EC2FF" w14:textId="7EF36D0A" w:rsidR="001E3C0F" w:rsidRPr="000C288A" w:rsidRDefault="001E3C0F" w:rsidP="000C288A">
      <w:pPr>
        <w:ind w:left="851" w:right="899"/>
        <w:jc w:val="both"/>
        <w:rPr>
          <w:rFonts w:ascii="Palatino Linotype" w:hAnsi="Palatino Linotype"/>
          <w:i/>
          <w:sz w:val="22"/>
          <w:szCs w:val="22"/>
        </w:rPr>
      </w:pPr>
      <w:r w:rsidRPr="000C288A">
        <w:rPr>
          <w:rFonts w:ascii="Palatino Linotype" w:hAnsi="Palatino Linotype"/>
          <w:i/>
          <w:sz w:val="22"/>
          <w:szCs w:val="22"/>
        </w:rPr>
        <w:t>…</w:t>
      </w:r>
    </w:p>
    <w:p w14:paraId="4AC49262" w14:textId="77777777" w:rsidR="0058621B" w:rsidRPr="00904199" w:rsidRDefault="0058621B" w:rsidP="000C288A">
      <w:pPr>
        <w:ind w:left="851" w:right="899"/>
        <w:jc w:val="both"/>
        <w:rPr>
          <w:b/>
          <w:sz w:val="20"/>
          <w:szCs w:val="20"/>
        </w:rPr>
      </w:pPr>
      <w:r w:rsidRPr="00904199">
        <w:rPr>
          <w:rFonts w:ascii="Palatino Linotype" w:hAnsi="Palatino Linotype"/>
          <w:b/>
          <w:i/>
          <w:sz w:val="22"/>
          <w:szCs w:val="22"/>
        </w:rPr>
        <w:t xml:space="preserve">De la Tesorería Municipal; </w:t>
      </w:r>
    </w:p>
    <w:p w14:paraId="027E19BB" w14:textId="77777777" w:rsidR="0058621B" w:rsidRDefault="0058621B" w:rsidP="000C288A">
      <w:pPr>
        <w:ind w:left="851" w:right="899"/>
        <w:jc w:val="both"/>
        <w:rPr>
          <w:sz w:val="20"/>
          <w:szCs w:val="20"/>
        </w:rPr>
      </w:pPr>
      <w:r>
        <w:rPr>
          <w:sz w:val="20"/>
          <w:szCs w:val="20"/>
        </w:rPr>
        <w:t>…</w:t>
      </w:r>
    </w:p>
    <w:p w14:paraId="289EF0AB" w14:textId="77777777" w:rsidR="00204398" w:rsidRPr="00904199" w:rsidRDefault="00204398" w:rsidP="00204398">
      <w:pPr>
        <w:ind w:left="851" w:right="899"/>
        <w:jc w:val="both"/>
        <w:rPr>
          <w:rFonts w:ascii="Palatino Linotype" w:hAnsi="Palatino Linotype"/>
          <w:b/>
          <w:i/>
          <w:sz w:val="22"/>
          <w:szCs w:val="22"/>
        </w:rPr>
      </w:pPr>
      <w:r w:rsidRPr="00904199">
        <w:rPr>
          <w:rFonts w:ascii="Palatino Linotype" w:hAnsi="Palatino Linotype"/>
          <w:b/>
          <w:i/>
          <w:sz w:val="22"/>
          <w:szCs w:val="22"/>
        </w:rPr>
        <w:t xml:space="preserve">TESORERÍA MUNICIPAL </w:t>
      </w:r>
    </w:p>
    <w:p w14:paraId="7483962D" w14:textId="77777777" w:rsidR="00204398" w:rsidRPr="00204398" w:rsidRDefault="00204398" w:rsidP="00204398">
      <w:pPr>
        <w:ind w:left="851" w:right="899"/>
        <w:jc w:val="both"/>
        <w:rPr>
          <w:rFonts w:ascii="Palatino Linotype" w:hAnsi="Palatino Linotype"/>
          <w:i/>
          <w:sz w:val="22"/>
          <w:szCs w:val="22"/>
        </w:rPr>
      </w:pPr>
      <w:r w:rsidRPr="00204398">
        <w:rPr>
          <w:rFonts w:ascii="Palatino Linotype" w:hAnsi="Palatino Linotype"/>
          <w:i/>
          <w:sz w:val="22"/>
          <w:szCs w:val="22"/>
        </w:rPr>
        <w:t xml:space="preserve">ARTÍCULO 95. Los ingresos que constituyen la hacienda pública municipal son los siguientes: </w:t>
      </w:r>
    </w:p>
    <w:p w14:paraId="7725362E" w14:textId="77777777" w:rsidR="00204398" w:rsidRPr="00204398" w:rsidRDefault="00204398" w:rsidP="00204398">
      <w:pPr>
        <w:ind w:left="851" w:right="899"/>
        <w:jc w:val="both"/>
        <w:rPr>
          <w:rFonts w:ascii="Palatino Linotype" w:hAnsi="Palatino Linotype"/>
          <w:i/>
          <w:sz w:val="22"/>
          <w:szCs w:val="22"/>
        </w:rPr>
      </w:pPr>
      <w:r w:rsidRPr="00204398">
        <w:rPr>
          <w:rFonts w:ascii="Palatino Linotype" w:hAnsi="Palatino Linotype"/>
          <w:i/>
          <w:sz w:val="22"/>
          <w:szCs w:val="22"/>
        </w:rPr>
        <w:t xml:space="preserve">I. Las contribuciones y demás ingresos determinados en la Ley de ingresos de los municipios; los que decrete la Legislatura y otros que por cualquier otro título legal reciba; </w:t>
      </w:r>
    </w:p>
    <w:p w14:paraId="699C6A09" w14:textId="77777777" w:rsidR="00204398" w:rsidRPr="00204398" w:rsidRDefault="00204398" w:rsidP="00204398">
      <w:pPr>
        <w:ind w:left="851" w:right="899"/>
        <w:jc w:val="both"/>
        <w:rPr>
          <w:rFonts w:ascii="Palatino Linotype" w:hAnsi="Palatino Linotype"/>
          <w:i/>
          <w:sz w:val="22"/>
          <w:szCs w:val="22"/>
        </w:rPr>
      </w:pPr>
      <w:r w:rsidRPr="00204398">
        <w:rPr>
          <w:rFonts w:ascii="Palatino Linotype" w:hAnsi="Palatino Linotype"/>
          <w:i/>
          <w:sz w:val="22"/>
          <w:szCs w:val="22"/>
        </w:rPr>
        <w:t xml:space="preserve">II. Los capitales y créditos a favor del municipio, así como los intereses y productos que generen los mismos; </w:t>
      </w:r>
    </w:p>
    <w:p w14:paraId="309CC7B1" w14:textId="77777777" w:rsidR="00204398" w:rsidRPr="00204398" w:rsidRDefault="00204398" w:rsidP="00204398">
      <w:pPr>
        <w:ind w:left="851" w:right="899"/>
        <w:jc w:val="both"/>
        <w:rPr>
          <w:rFonts w:ascii="Palatino Linotype" w:hAnsi="Palatino Linotype"/>
          <w:i/>
          <w:sz w:val="22"/>
          <w:szCs w:val="22"/>
        </w:rPr>
      </w:pPr>
      <w:r w:rsidRPr="00204398">
        <w:rPr>
          <w:rFonts w:ascii="Palatino Linotype" w:hAnsi="Palatino Linotype"/>
          <w:i/>
          <w:sz w:val="22"/>
          <w:szCs w:val="22"/>
        </w:rPr>
        <w:t xml:space="preserve">III. Las rentas y productos de todos los bienes municipales; </w:t>
      </w:r>
    </w:p>
    <w:p w14:paraId="09A5A4C6" w14:textId="77777777" w:rsidR="00204398" w:rsidRPr="00204398" w:rsidRDefault="00204398" w:rsidP="00204398">
      <w:pPr>
        <w:ind w:left="851" w:right="899"/>
        <w:jc w:val="both"/>
        <w:rPr>
          <w:rFonts w:ascii="Palatino Linotype" w:hAnsi="Palatino Linotype"/>
          <w:i/>
          <w:sz w:val="22"/>
          <w:szCs w:val="22"/>
        </w:rPr>
      </w:pPr>
      <w:r w:rsidRPr="00204398">
        <w:rPr>
          <w:rFonts w:ascii="Palatino Linotype" w:hAnsi="Palatino Linotype"/>
          <w:i/>
          <w:sz w:val="22"/>
          <w:szCs w:val="22"/>
        </w:rPr>
        <w:t xml:space="preserve">IV. Las donaciones, herencias y legados que reciban; </w:t>
      </w:r>
    </w:p>
    <w:p w14:paraId="32AF00BE" w14:textId="77777777" w:rsidR="00204398" w:rsidRPr="00204398" w:rsidRDefault="00204398" w:rsidP="00204398">
      <w:pPr>
        <w:ind w:left="851" w:right="899"/>
        <w:jc w:val="both"/>
        <w:rPr>
          <w:rFonts w:ascii="Palatino Linotype" w:hAnsi="Palatino Linotype"/>
          <w:i/>
          <w:sz w:val="22"/>
          <w:szCs w:val="22"/>
        </w:rPr>
      </w:pPr>
      <w:r w:rsidRPr="00204398">
        <w:rPr>
          <w:rFonts w:ascii="Palatino Linotype" w:hAnsi="Palatino Linotype"/>
          <w:i/>
          <w:sz w:val="22"/>
          <w:szCs w:val="22"/>
        </w:rPr>
        <w:t xml:space="preserve">V. Las participaciones que perciba el municipio de acuerdo con las Leyes Federales y del Estado; </w:t>
      </w:r>
    </w:p>
    <w:p w14:paraId="7EBC576E" w14:textId="77777777" w:rsidR="00204398" w:rsidRPr="00204398" w:rsidRDefault="00204398" w:rsidP="00204398">
      <w:pPr>
        <w:ind w:left="851" w:right="899"/>
        <w:jc w:val="both"/>
        <w:rPr>
          <w:rFonts w:ascii="Palatino Linotype" w:hAnsi="Palatino Linotype"/>
          <w:i/>
          <w:sz w:val="22"/>
          <w:szCs w:val="22"/>
        </w:rPr>
      </w:pPr>
      <w:r w:rsidRPr="00204398">
        <w:rPr>
          <w:rFonts w:ascii="Palatino Linotype" w:hAnsi="Palatino Linotype"/>
          <w:i/>
          <w:sz w:val="22"/>
          <w:szCs w:val="22"/>
        </w:rPr>
        <w:t xml:space="preserve">VI. Establecer política de recaudación y cobranza; y </w:t>
      </w:r>
    </w:p>
    <w:p w14:paraId="1A731212" w14:textId="77777777" w:rsidR="00204398" w:rsidRPr="00204398" w:rsidRDefault="00204398" w:rsidP="00204398">
      <w:pPr>
        <w:ind w:left="851" w:right="899"/>
        <w:jc w:val="both"/>
        <w:rPr>
          <w:rFonts w:ascii="Palatino Linotype" w:hAnsi="Palatino Linotype"/>
          <w:b/>
          <w:i/>
          <w:sz w:val="22"/>
          <w:szCs w:val="22"/>
        </w:rPr>
      </w:pPr>
      <w:r w:rsidRPr="00204398">
        <w:rPr>
          <w:rFonts w:ascii="Palatino Linotype" w:hAnsi="Palatino Linotype"/>
          <w:b/>
          <w:i/>
          <w:sz w:val="22"/>
          <w:szCs w:val="22"/>
        </w:rPr>
        <w:t xml:space="preserve">VII. Las establecidas en la Ley Orgánica Municipal del Estado de México. </w:t>
      </w:r>
    </w:p>
    <w:p w14:paraId="787F42EA" w14:textId="4C4D2141" w:rsidR="00204398" w:rsidRDefault="00204398" w:rsidP="00204398">
      <w:pPr>
        <w:ind w:left="851" w:right="899"/>
        <w:jc w:val="both"/>
        <w:rPr>
          <w:rFonts w:ascii="Palatino Linotype" w:hAnsi="Palatino Linotype"/>
          <w:b/>
          <w:i/>
          <w:sz w:val="22"/>
          <w:szCs w:val="22"/>
        </w:rPr>
      </w:pPr>
      <w:r w:rsidRPr="00204398">
        <w:rPr>
          <w:rFonts w:ascii="Palatino Linotype" w:hAnsi="Palatino Linotype"/>
          <w:b/>
          <w:i/>
          <w:sz w:val="22"/>
          <w:szCs w:val="22"/>
        </w:rPr>
        <w:t>ARTÍCULO 96. Son egresos del gasto público: gasto corriente</w:t>
      </w:r>
      <w:r w:rsidRPr="00204398">
        <w:rPr>
          <w:rFonts w:ascii="Palatino Linotype" w:hAnsi="Palatino Linotype"/>
          <w:i/>
          <w:sz w:val="22"/>
          <w:szCs w:val="22"/>
        </w:rPr>
        <w:t xml:space="preserve">, inversión física, inversión financiera y pago de deuda. Las Direcciones u órganos administrativos que generen servicios o cualquier concepto por los que se deba hacer un cobro expedirán las órdenes de pago correspondientes, a efecto de que la Tesorería Municipal, pueda realizar el cobro como órgano recaudador de los ingresos municipales. </w:t>
      </w:r>
      <w:r w:rsidRPr="00C14999">
        <w:rPr>
          <w:rFonts w:ascii="Palatino Linotype" w:hAnsi="Palatino Linotype"/>
          <w:b/>
          <w:i/>
          <w:sz w:val="22"/>
          <w:szCs w:val="22"/>
        </w:rPr>
        <w:t>Las órdenes de pago serán solicitadas a Tesorería Municipal, mediante vale que expida al efecto de conformidad con la legislación aplicable.</w:t>
      </w:r>
    </w:p>
    <w:p w14:paraId="3112FD03" w14:textId="3F0C14E1" w:rsidR="00C14999" w:rsidRDefault="00D156F5" w:rsidP="00C14999">
      <w:pPr>
        <w:ind w:left="851" w:right="899"/>
        <w:jc w:val="both"/>
        <w:rPr>
          <w:rFonts w:ascii="Palatino Linotype" w:hAnsi="Palatino Linotype"/>
          <w:b/>
          <w:i/>
          <w:sz w:val="22"/>
          <w:szCs w:val="22"/>
        </w:rPr>
      </w:pPr>
      <w:r>
        <w:rPr>
          <w:rFonts w:ascii="Palatino Linotype" w:hAnsi="Palatino Linotype"/>
          <w:b/>
          <w:i/>
          <w:sz w:val="22"/>
          <w:szCs w:val="22"/>
        </w:rPr>
        <w:t>“</w:t>
      </w:r>
      <w:r w:rsidR="00CA4BED" w:rsidRPr="00204398">
        <w:rPr>
          <w:rFonts w:ascii="Palatino Linotype" w:hAnsi="Palatino Linotype"/>
          <w:b/>
          <w:i/>
          <w:sz w:val="22"/>
          <w:szCs w:val="22"/>
        </w:rPr>
        <w:t>Artículo 95</w:t>
      </w:r>
      <w:r w:rsidR="00CA4BED" w:rsidRPr="000C288A">
        <w:rPr>
          <w:rFonts w:ascii="Palatino Linotype" w:hAnsi="Palatino Linotype"/>
          <w:i/>
          <w:sz w:val="22"/>
          <w:szCs w:val="22"/>
        </w:rPr>
        <w:t xml:space="preserve">.- </w:t>
      </w:r>
      <w:r w:rsidR="00CA4BED" w:rsidRPr="00C14999">
        <w:rPr>
          <w:rFonts w:ascii="Palatino Linotype" w:hAnsi="Palatino Linotype"/>
          <w:b/>
          <w:i/>
          <w:sz w:val="22"/>
          <w:szCs w:val="22"/>
        </w:rPr>
        <w:t>Son atribuciones del tesorero municipal:</w:t>
      </w:r>
    </w:p>
    <w:p w14:paraId="179BDE45" w14:textId="77777777" w:rsidR="00C14999" w:rsidRDefault="00C14999" w:rsidP="00C14999">
      <w:pPr>
        <w:ind w:left="851" w:right="899"/>
        <w:jc w:val="both"/>
        <w:rPr>
          <w:rFonts w:ascii="Palatino Linotype" w:hAnsi="Palatino Linotype"/>
          <w:i/>
          <w:sz w:val="22"/>
          <w:szCs w:val="22"/>
        </w:rPr>
      </w:pPr>
      <w:r w:rsidRPr="00C14999">
        <w:rPr>
          <w:rFonts w:ascii="Palatino Linotype" w:hAnsi="Palatino Linotype"/>
          <w:b/>
          <w:i/>
          <w:sz w:val="22"/>
          <w:szCs w:val="22"/>
        </w:rPr>
        <w:t>I. Administrar la hacienda pública municipal,</w:t>
      </w:r>
      <w:r w:rsidRPr="00A00606">
        <w:rPr>
          <w:rFonts w:ascii="Palatino Linotype" w:hAnsi="Palatino Linotype"/>
          <w:i/>
          <w:sz w:val="22"/>
          <w:szCs w:val="22"/>
        </w:rPr>
        <w:t xml:space="preserve"> de conformidad con las disposiciones legales aplicables; </w:t>
      </w:r>
    </w:p>
    <w:p w14:paraId="130507D1" w14:textId="77777777" w:rsidR="00C14999" w:rsidRDefault="00C14999" w:rsidP="00C14999">
      <w:pPr>
        <w:ind w:left="851" w:right="899"/>
        <w:jc w:val="both"/>
        <w:rPr>
          <w:rFonts w:ascii="Palatino Linotype" w:hAnsi="Palatino Linotype"/>
          <w:i/>
          <w:sz w:val="22"/>
          <w:szCs w:val="22"/>
        </w:rPr>
      </w:pPr>
      <w:r>
        <w:rPr>
          <w:rFonts w:ascii="Palatino Linotype" w:hAnsi="Palatino Linotype"/>
          <w:i/>
          <w:sz w:val="22"/>
          <w:szCs w:val="22"/>
        </w:rPr>
        <w:t>…</w:t>
      </w:r>
    </w:p>
    <w:p w14:paraId="21526058" w14:textId="77777777" w:rsidR="00C14999" w:rsidRPr="00C14999" w:rsidRDefault="00C14999" w:rsidP="00C14999">
      <w:pPr>
        <w:ind w:left="851" w:right="899"/>
        <w:jc w:val="both"/>
        <w:rPr>
          <w:rFonts w:ascii="Palatino Linotype" w:hAnsi="Palatino Linotype"/>
          <w:b/>
          <w:i/>
          <w:sz w:val="22"/>
          <w:szCs w:val="22"/>
        </w:rPr>
      </w:pPr>
      <w:r w:rsidRPr="00C14999">
        <w:rPr>
          <w:rFonts w:ascii="Palatino Linotype" w:hAnsi="Palatino Linotype"/>
          <w:b/>
          <w:i/>
          <w:sz w:val="22"/>
          <w:szCs w:val="22"/>
        </w:rPr>
        <w:t xml:space="preserve">IV. Llevar los registros contables, financieros y administrativos de los ingresos, egresos, e inventarios; </w:t>
      </w:r>
    </w:p>
    <w:p w14:paraId="5C452675" w14:textId="77777777" w:rsidR="00C14999" w:rsidRDefault="00C14999" w:rsidP="00C14999">
      <w:pPr>
        <w:ind w:left="851" w:right="899"/>
        <w:jc w:val="both"/>
        <w:rPr>
          <w:rFonts w:ascii="Palatino Linotype" w:hAnsi="Palatino Linotype" w:cs="Arial"/>
          <w:i/>
          <w:sz w:val="22"/>
          <w:szCs w:val="22"/>
        </w:rPr>
      </w:pPr>
      <w:r>
        <w:rPr>
          <w:rFonts w:ascii="Palatino Linotype" w:hAnsi="Palatino Linotype" w:cs="Arial"/>
          <w:i/>
          <w:sz w:val="22"/>
          <w:szCs w:val="22"/>
        </w:rPr>
        <w:t>…</w:t>
      </w:r>
    </w:p>
    <w:p w14:paraId="25EF1767" w14:textId="63E13A9B" w:rsidR="00C14999" w:rsidRDefault="00C14999" w:rsidP="00C14999">
      <w:pPr>
        <w:ind w:left="851" w:right="899"/>
        <w:jc w:val="both"/>
        <w:rPr>
          <w:rFonts w:ascii="Palatino Linotype" w:hAnsi="Palatino Linotype"/>
          <w:i/>
          <w:sz w:val="22"/>
          <w:szCs w:val="22"/>
        </w:rPr>
      </w:pPr>
      <w:r w:rsidRPr="00A00606">
        <w:rPr>
          <w:rFonts w:ascii="Palatino Linotype" w:hAnsi="Palatino Linotype"/>
          <w:i/>
          <w:sz w:val="22"/>
          <w:szCs w:val="22"/>
        </w:rPr>
        <w:t xml:space="preserve">V. Proporcionar oportunamente al ayuntamiento todos los datos o informes que sean necesarios para la formulación del Presupuesto de Egresos Municipales, </w:t>
      </w:r>
      <w:r w:rsidRPr="00A00606">
        <w:rPr>
          <w:rFonts w:ascii="Palatino Linotype" w:hAnsi="Palatino Linotype"/>
          <w:i/>
          <w:sz w:val="22"/>
          <w:szCs w:val="22"/>
        </w:rPr>
        <w:lastRenderedPageBreak/>
        <w:t xml:space="preserve">vigilando que se ajuste a las disposiciones de esta Ley y otros ordenamientos aplicables; </w:t>
      </w:r>
    </w:p>
    <w:p w14:paraId="33F2887A" w14:textId="1CD6CD57" w:rsidR="00CA4BED"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w:t>
      </w:r>
    </w:p>
    <w:p w14:paraId="757712C5" w14:textId="77777777" w:rsidR="00CA4BED"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 xml:space="preserve">XIV. Ministrar a su inmediato antecesor todos los datos oficiales que le solicitare, para contestar los pliegos de observaciones y alcances que formule y deduzca el Órgano Superior de Fiscalización del Estado de México; </w:t>
      </w:r>
    </w:p>
    <w:p w14:paraId="2CA1DD14" w14:textId="77777777" w:rsidR="00CA4BED"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w:t>
      </w:r>
    </w:p>
    <w:p w14:paraId="6E67D276" w14:textId="77777777" w:rsidR="000C288A" w:rsidRPr="00D156F5" w:rsidRDefault="00CA4BED" w:rsidP="000C288A">
      <w:pPr>
        <w:ind w:left="851" w:right="899"/>
        <w:jc w:val="both"/>
        <w:rPr>
          <w:rFonts w:ascii="Palatino Linotype" w:hAnsi="Palatino Linotype"/>
          <w:b/>
          <w:i/>
          <w:sz w:val="22"/>
          <w:szCs w:val="22"/>
        </w:rPr>
      </w:pPr>
      <w:r w:rsidRPr="00D156F5">
        <w:rPr>
          <w:rFonts w:ascii="Palatino Linotype" w:hAnsi="Palatino Linotype"/>
          <w:b/>
          <w:i/>
          <w:sz w:val="22"/>
          <w:szCs w:val="22"/>
        </w:rPr>
        <w:t>XVI. Glosar oportunamente las</w:t>
      </w:r>
      <w:r w:rsidR="000C288A" w:rsidRPr="00D156F5">
        <w:rPr>
          <w:rFonts w:ascii="Palatino Linotype" w:hAnsi="Palatino Linotype"/>
          <w:b/>
          <w:i/>
          <w:sz w:val="22"/>
          <w:szCs w:val="22"/>
        </w:rPr>
        <w:t xml:space="preserve"> cuentas del ayuntamiento;</w:t>
      </w:r>
    </w:p>
    <w:p w14:paraId="239E3CE9" w14:textId="77777777" w:rsidR="000C288A" w:rsidRPr="00D156F5" w:rsidRDefault="00CA4BED" w:rsidP="000C288A">
      <w:pPr>
        <w:ind w:left="851" w:right="899"/>
        <w:jc w:val="both"/>
        <w:rPr>
          <w:rFonts w:ascii="Palatino Linotype" w:hAnsi="Palatino Linotype"/>
          <w:b/>
          <w:i/>
          <w:sz w:val="22"/>
          <w:szCs w:val="22"/>
        </w:rPr>
      </w:pPr>
      <w:r w:rsidRPr="00D156F5">
        <w:rPr>
          <w:rFonts w:ascii="Palatino Linotype" w:hAnsi="Palatino Linotype"/>
          <w:b/>
          <w:i/>
          <w:sz w:val="22"/>
          <w:szCs w:val="22"/>
        </w:rPr>
        <w:t xml:space="preserve">XVII. Contestar oportunamente los pliegos de observaciones y responsabilidad que haga el Órgano Superior de Fiscalización del Estado de México, así como atender en tiempo y forma las solicitudes de información que éste requiera, </w:t>
      </w:r>
      <w:r w:rsidR="000C288A" w:rsidRPr="00D156F5">
        <w:rPr>
          <w:rFonts w:ascii="Palatino Linotype" w:hAnsi="Palatino Linotype"/>
          <w:b/>
          <w:i/>
          <w:sz w:val="22"/>
          <w:szCs w:val="22"/>
        </w:rPr>
        <w:t>informando al Ayuntamiento;</w:t>
      </w:r>
    </w:p>
    <w:p w14:paraId="7DC13C7D" w14:textId="77777777" w:rsidR="000C288A"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 xml:space="preserve">XVIII. Expedir copias certificadas de los documentos a su cuidado, por acuerdo expreso del Ayuntamiento y cuando se trate de documentación presentada ante el Órgano Superior de Fiscalización del Estado de México; </w:t>
      </w:r>
    </w:p>
    <w:p w14:paraId="423087F3" w14:textId="77777777" w:rsidR="000C288A" w:rsidRPr="000C288A" w:rsidRDefault="000C288A" w:rsidP="000C288A">
      <w:pPr>
        <w:ind w:left="851" w:right="899"/>
        <w:jc w:val="both"/>
        <w:rPr>
          <w:rFonts w:ascii="Palatino Linotype" w:hAnsi="Palatino Linotype"/>
          <w:i/>
          <w:sz w:val="22"/>
          <w:szCs w:val="22"/>
        </w:rPr>
      </w:pPr>
      <w:r w:rsidRPr="000C288A">
        <w:rPr>
          <w:rFonts w:ascii="Palatino Linotype" w:hAnsi="Palatino Linotype"/>
          <w:i/>
          <w:sz w:val="22"/>
          <w:szCs w:val="22"/>
        </w:rPr>
        <w:t>…</w:t>
      </w:r>
    </w:p>
    <w:p w14:paraId="3CFC3041" w14:textId="77777777" w:rsidR="00084B5D" w:rsidRPr="00D156F5" w:rsidRDefault="00CA4BED" w:rsidP="00084B5D">
      <w:pPr>
        <w:ind w:left="851" w:right="899"/>
        <w:contextualSpacing/>
        <w:jc w:val="both"/>
        <w:rPr>
          <w:rFonts w:ascii="Palatino Linotype" w:hAnsi="Palatino Linotype"/>
          <w:b/>
          <w:i/>
          <w:sz w:val="22"/>
          <w:szCs w:val="22"/>
        </w:rPr>
      </w:pPr>
      <w:r w:rsidRPr="00D156F5">
        <w:rPr>
          <w:rFonts w:ascii="Palatino Linotype" w:hAnsi="Palatino Linotype"/>
          <w:b/>
          <w:i/>
          <w:sz w:val="22"/>
          <w:szCs w:val="22"/>
        </w:rPr>
        <w:t>XXI. Entregar oportunamente a él o los Síndicos, según sea el caso, el informe mensual que corresponda, a fin de que se revise, y de ser necesario, para que se formulen las observaciones respectivas.</w:t>
      </w:r>
    </w:p>
    <w:p w14:paraId="680BE750" w14:textId="7F3AD859" w:rsidR="00366153" w:rsidRPr="000C288A" w:rsidRDefault="00084B5D" w:rsidP="00084B5D">
      <w:pPr>
        <w:ind w:left="851" w:right="899"/>
        <w:contextualSpacing/>
        <w:jc w:val="both"/>
        <w:rPr>
          <w:rFonts w:ascii="Palatino Linotype" w:hAnsi="Palatino Linotype" w:cs="Arial"/>
          <w:i/>
          <w:sz w:val="22"/>
          <w:szCs w:val="22"/>
          <w:lang w:eastAsia="es-MX"/>
        </w:rPr>
      </w:pPr>
      <w:r w:rsidRPr="00A00606">
        <w:rPr>
          <w:rFonts w:ascii="Palatino Linotype" w:hAnsi="Palatino Linotype"/>
          <w:i/>
          <w:sz w:val="22"/>
          <w:szCs w:val="22"/>
        </w:rPr>
        <w:t>XXII. Las que le señalen las demás disposici</w:t>
      </w:r>
      <w:r>
        <w:rPr>
          <w:rFonts w:ascii="Palatino Linotype" w:hAnsi="Palatino Linotype"/>
          <w:i/>
          <w:sz w:val="22"/>
          <w:szCs w:val="22"/>
        </w:rPr>
        <w:t>ones legales y el ayuntamiento.</w:t>
      </w:r>
      <w:r w:rsidR="00A87E6F" w:rsidRPr="000C288A">
        <w:rPr>
          <w:rFonts w:ascii="Palatino Linotype" w:hAnsi="Palatino Linotype" w:cs="Arial"/>
          <w:i/>
          <w:sz w:val="22"/>
          <w:szCs w:val="22"/>
          <w:lang w:eastAsia="es-MX"/>
        </w:rPr>
        <w:t>” (Sic)</w:t>
      </w:r>
    </w:p>
    <w:p w14:paraId="19FC1A93" w14:textId="77777777" w:rsidR="00366153" w:rsidRDefault="00366153" w:rsidP="000B1AD6">
      <w:pPr>
        <w:spacing w:before="240" w:after="240" w:line="360" w:lineRule="auto"/>
        <w:ind w:right="49"/>
        <w:contextualSpacing/>
        <w:jc w:val="both"/>
        <w:rPr>
          <w:rFonts w:ascii="Palatino Linotype" w:hAnsi="Palatino Linotype" w:cs="Arial"/>
        </w:rPr>
      </w:pPr>
    </w:p>
    <w:p w14:paraId="04C37D94" w14:textId="03B03F5A" w:rsidR="00A87E6F" w:rsidRPr="002B4020" w:rsidRDefault="000C288A" w:rsidP="000C288A">
      <w:pPr>
        <w:spacing w:before="240" w:after="240" w:line="360" w:lineRule="auto"/>
        <w:ind w:right="49"/>
        <w:contextualSpacing/>
        <w:jc w:val="both"/>
        <w:rPr>
          <w:rFonts w:ascii="Palatino Linotype" w:hAnsi="Palatino Linotype" w:cs="Arial"/>
        </w:rPr>
      </w:pPr>
      <w:r>
        <w:rPr>
          <w:rFonts w:ascii="Palatino Linotype" w:hAnsi="Palatino Linotype" w:cs="Arial"/>
        </w:rPr>
        <w:t xml:space="preserve">De los </w:t>
      </w:r>
      <w:r w:rsidR="000D7D55">
        <w:rPr>
          <w:rFonts w:ascii="Palatino Linotype" w:hAnsi="Palatino Linotype" w:cs="Arial"/>
        </w:rPr>
        <w:t>antepuestos</w:t>
      </w:r>
      <w:r>
        <w:rPr>
          <w:rFonts w:ascii="Palatino Linotype" w:hAnsi="Palatino Linotype" w:cs="Arial"/>
        </w:rPr>
        <w:t xml:space="preserve"> preceptos legales</w:t>
      </w:r>
      <w:r w:rsidR="00A87E6F">
        <w:rPr>
          <w:rFonts w:ascii="Palatino Linotype" w:hAnsi="Palatino Linotype" w:cs="Arial"/>
        </w:rPr>
        <w:t xml:space="preserve">, se establece que la </w:t>
      </w:r>
      <w:r>
        <w:rPr>
          <w:rFonts w:ascii="Palatino Linotype" w:hAnsi="Palatino Linotype" w:cs="Arial"/>
        </w:rPr>
        <w:t>Tesorería Municipal</w:t>
      </w:r>
      <w:r w:rsidR="00A87E6F">
        <w:rPr>
          <w:rFonts w:ascii="Palatino Linotype" w:hAnsi="Palatino Linotype" w:cs="Arial"/>
        </w:rPr>
        <w:t xml:space="preserve"> es </w:t>
      </w:r>
      <w:r>
        <w:rPr>
          <w:rFonts w:ascii="Palatino Linotype" w:hAnsi="Palatino Linotype" w:cs="Arial"/>
        </w:rPr>
        <w:t>la encargada de realizar todas las erogaciones</w:t>
      </w:r>
      <w:r w:rsidR="00084B5D">
        <w:rPr>
          <w:rFonts w:ascii="Palatino Linotype" w:hAnsi="Palatino Linotype" w:cs="Arial"/>
        </w:rPr>
        <w:t>, administrar la hacienda pública y llevar los registros contables, financieros y administrativos de los egresos del Ayuntamiento de Xalatlaco</w:t>
      </w:r>
      <w:r w:rsidR="0015020B">
        <w:rPr>
          <w:rFonts w:ascii="Palatino Linotype" w:hAnsi="Palatino Linotype" w:cs="Arial"/>
        </w:rPr>
        <w:t>,</w:t>
      </w:r>
      <w:r>
        <w:rPr>
          <w:rFonts w:ascii="Palatino Linotype" w:hAnsi="Palatino Linotype" w:cs="Arial"/>
        </w:rPr>
        <w:t xml:space="preserve"> </w:t>
      </w:r>
      <w:r w:rsidR="0015020B">
        <w:rPr>
          <w:rFonts w:ascii="Palatino Linotype" w:hAnsi="Palatino Linotype" w:cs="Arial"/>
        </w:rPr>
        <w:t xml:space="preserve">así como atender los informes requeridos por el Órgano Superior de Fiscalización del Estado de México; con la respectiva supervisión y observaciones que haga Síndico del Municipio a la Tesorería, </w:t>
      </w:r>
      <w:r w:rsidR="0015020B" w:rsidRPr="002B4020">
        <w:rPr>
          <w:rFonts w:ascii="Palatino Linotype" w:hAnsi="Palatino Linotype" w:cs="Arial"/>
        </w:rPr>
        <w:t>lo que con lleva analizar la Ley de Fiscalización Superior del Estado de México.</w:t>
      </w:r>
    </w:p>
    <w:p w14:paraId="7FC9910D" w14:textId="77777777" w:rsidR="000C288A" w:rsidRDefault="000C288A" w:rsidP="000C288A">
      <w:pPr>
        <w:spacing w:before="240" w:after="240" w:line="360" w:lineRule="auto"/>
        <w:ind w:right="49"/>
        <w:contextualSpacing/>
        <w:jc w:val="both"/>
        <w:rPr>
          <w:rFonts w:ascii="Palatino Linotype" w:hAnsi="Palatino Linotype" w:cs="Arial"/>
        </w:rPr>
      </w:pPr>
    </w:p>
    <w:p w14:paraId="614CB2FA" w14:textId="045426F6" w:rsidR="00E019B9" w:rsidRDefault="008A5044" w:rsidP="008A5044">
      <w:pPr>
        <w:spacing w:before="240" w:after="240" w:line="360" w:lineRule="auto"/>
        <w:jc w:val="both"/>
        <w:rPr>
          <w:rFonts w:ascii="Palatino Linotype" w:hAnsi="Palatino Linotype"/>
        </w:rPr>
      </w:pPr>
      <w:r>
        <w:rPr>
          <w:rFonts w:ascii="Palatino Linotype" w:hAnsi="Palatino Linotype" w:cs="Arial"/>
        </w:rPr>
        <w:t xml:space="preserve">Antes de entrar al estudio de la Ley de Fiscalización Superior del Estado de México; es necesario precisar </w:t>
      </w:r>
      <w:r w:rsidR="002B4020">
        <w:rPr>
          <w:rFonts w:ascii="Palatino Linotype" w:hAnsi="Palatino Linotype" w:cs="Arial"/>
        </w:rPr>
        <w:t xml:space="preserve">que </w:t>
      </w:r>
      <w:r>
        <w:rPr>
          <w:rFonts w:ascii="Palatino Linotype" w:hAnsi="Palatino Linotype"/>
        </w:rPr>
        <w:t>en atención</w:t>
      </w:r>
      <w:r w:rsidR="00E019B9">
        <w:rPr>
          <w:rFonts w:ascii="Palatino Linotype" w:hAnsi="Palatino Linotype"/>
        </w:rPr>
        <w:t xml:space="preserve"> a que el particular solicitó el “salario”</w:t>
      </w:r>
      <w:r w:rsidR="00934A27">
        <w:rPr>
          <w:rFonts w:ascii="Palatino Linotype" w:hAnsi="Palatino Linotype"/>
        </w:rPr>
        <w:t xml:space="preserve"> de los Servidores Públicos que señala en su solicitud</w:t>
      </w:r>
      <w:r>
        <w:rPr>
          <w:rFonts w:ascii="Palatino Linotype" w:hAnsi="Palatino Linotype"/>
        </w:rPr>
        <w:t xml:space="preserve">, razón </w:t>
      </w:r>
      <w:r w:rsidR="00D156F5">
        <w:rPr>
          <w:rFonts w:ascii="Palatino Linotype" w:hAnsi="Palatino Linotype"/>
        </w:rPr>
        <w:t xml:space="preserve">por la cual </w:t>
      </w:r>
      <w:r>
        <w:rPr>
          <w:rFonts w:ascii="Palatino Linotype" w:hAnsi="Palatino Linotype"/>
        </w:rPr>
        <w:t xml:space="preserve">nos lleva a </w:t>
      </w:r>
      <w:r w:rsidR="002B4020">
        <w:rPr>
          <w:rFonts w:ascii="Palatino Linotype" w:hAnsi="Palatino Linotype"/>
        </w:rPr>
        <w:t>conceptualizarlo y el D</w:t>
      </w:r>
      <w:r w:rsidR="00786FA3">
        <w:rPr>
          <w:rFonts w:ascii="Palatino Linotype" w:hAnsi="Palatino Linotype"/>
        </w:rPr>
        <w:t>iccionario de la Lengua Española</w:t>
      </w:r>
      <w:r w:rsidR="002B4020">
        <w:rPr>
          <w:rFonts w:ascii="Palatino Linotype" w:hAnsi="Palatino Linotype"/>
        </w:rPr>
        <w:t xml:space="preserve"> lo define como:</w:t>
      </w:r>
    </w:p>
    <w:p w14:paraId="279CA749" w14:textId="07D3329A" w:rsidR="002B4020" w:rsidRPr="002B4020" w:rsidRDefault="002B4020" w:rsidP="002B4020">
      <w:pPr>
        <w:spacing w:before="240" w:after="240" w:line="360" w:lineRule="auto"/>
        <w:ind w:left="709"/>
        <w:jc w:val="both"/>
        <w:rPr>
          <w:rFonts w:ascii="Palatino Linotype" w:hAnsi="Palatino Linotype"/>
          <w:sz w:val="22"/>
          <w:szCs w:val="22"/>
        </w:rPr>
      </w:pPr>
      <w:r w:rsidRPr="002B4020">
        <w:rPr>
          <w:rStyle w:val="nacep"/>
          <w:rFonts w:ascii="Palatino Linotype" w:eastAsia="Arial Unicode MS" w:hAnsi="Palatino Linotype" w:cs="Arial Unicode MS"/>
          <w:b/>
          <w:bCs/>
          <w:color w:val="000000"/>
          <w:spacing w:val="4"/>
          <w:sz w:val="22"/>
          <w:szCs w:val="22"/>
          <w:shd w:val="clear" w:color="auto" w:fill="FFFFFF"/>
        </w:rPr>
        <w:lastRenderedPageBreak/>
        <w:t>“</w:t>
      </w:r>
      <w:r w:rsidRPr="002B4020">
        <w:rPr>
          <w:rStyle w:val="nacep"/>
          <w:rFonts w:ascii="Palatino Linotype" w:eastAsia="Arial Unicode MS" w:hAnsi="Palatino Linotype" w:cs="Arial Unicode MS"/>
          <w:b/>
          <w:bCs/>
          <w:i/>
          <w:color w:val="000000"/>
          <w:spacing w:val="4"/>
          <w:sz w:val="22"/>
          <w:szCs w:val="22"/>
          <w:shd w:val="clear" w:color="auto" w:fill="FFFFFF"/>
        </w:rPr>
        <w:t xml:space="preserve">Salario. </w:t>
      </w:r>
      <w:r w:rsidRPr="002B4020">
        <w:rPr>
          <w:rFonts w:ascii="Palatino Linotype" w:hAnsi="Palatino Linotype"/>
          <w:i/>
          <w:sz w:val="22"/>
          <w:szCs w:val="22"/>
        </w:rPr>
        <w:t>Paga</w:t>
      </w:r>
      <w:r w:rsidRPr="002B4020">
        <w:rPr>
          <w:rFonts w:ascii="Palatino Linotype" w:eastAsia="Arial Unicode MS" w:hAnsi="Palatino Linotype" w:cs="Arial Unicode MS"/>
          <w:i/>
          <w:color w:val="000000"/>
          <w:spacing w:val="4"/>
          <w:sz w:val="22"/>
          <w:szCs w:val="22"/>
          <w:shd w:val="clear" w:color="auto" w:fill="FFFFFF"/>
        </w:rPr>
        <w:t xml:space="preserve"> </w:t>
      </w:r>
      <w:r w:rsidRPr="002B4020">
        <w:rPr>
          <w:rFonts w:ascii="Palatino Linotype" w:hAnsi="Palatino Linotype"/>
          <w:i/>
          <w:sz w:val="22"/>
          <w:szCs w:val="22"/>
        </w:rPr>
        <w:t>o</w:t>
      </w:r>
      <w:r w:rsidRPr="002B4020">
        <w:rPr>
          <w:rFonts w:ascii="Palatino Linotype" w:eastAsia="Arial Unicode MS" w:hAnsi="Palatino Linotype" w:cs="Arial Unicode MS"/>
          <w:i/>
          <w:color w:val="000000"/>
          <w:spacing w:val="4"/>
          <w:sz w:val="22"/>
          <w:szCs w:val="22"/>
          <w:shd w:val="clear" w:color="auto" w:fill="FFFFFF"/>
        </w:rPr>
        <w:t xml:space="preserve"> </w:t>
      </w:r>
      <w:r w:rsidRPr="002B4020">
        <w:rPr>
          <w:rFonts w:ascii="Palatino Linotype" w:hAnsi="Palatino Linotype"/>
          <w:i/>
          <w:sz w:val="22"/>
          <w:szCs w:val="22"/>
        </w:rPr>
        <w:t>remuneración</w:t>
      </w:r>
      <w:r w:rsidRPr="002B4020">
        <w:rPr>
          <w:rFonts w:ascii="Palatino Linotype" w:eastAsia="Arial Unicode MS" w:hAnsi="Palatino Linotype" w:cs="Arial Unicode MS"/>
          <w:i/>
          <w:color w:val="000000"/>
          <w:spacing w:val="4"/>
          <w:sz w:val="22"/>
          <w:szCs w:val="22"/>
          <w:shd w:val="clear" w:color="auto" w:fill="FFFFFF"/>
        </w:rPr>
        <w:t xml:space="preserve"> </w:t>
      </w:r>
      <w:r w:rsidRPr="002B4020">
        <w:rPr>
          <w:rFonts w:ascii="Palatino Linotype" w:hAnsi="Palatino Linotype"/>
          <w:i/>
          <w:sz w:val="22"/>
          <w:szCs w:val="22"/>
        </w:rPr>
        <w:t>regular</w:t>
      </w:r>
      <w:r w:rsidR="008E4E68" w:rsidRPr="008E4E68">
        <w:rPr>
          <w:rFonts w:ascii="Palatino Linotype" w:hAnsi="Palatino Linotype"/>
          <w:i/>
          <w:sz w:val="22"/>
          <w:szCs w:val="22"/>
        </w:rPr>
        <w:t>” (Sic)</w:t>
      </w:r>
    </w:p>
    <w:p w14:paraId="06C229B7" w14:textId="68A958E8" w:rsidR="00786FA3" w:rsidRDefault="00786FA3" w:rsidP="002B4020">
      <w:pPr>
        <w:autoSpaceDE w:val="0"/>
        <w:autoSpaceDN w:val="0"/>
        <w:adjustRightInd w:val="0"/>
        <w:spacing w:before="240" w:line="360" w:lineRule="auto"/>
        <w:jc w:val="both"/>
        <w:rPr>
          <w:rFonts w:ascii="Palatino Linotype" w:hAnsi="Palatino Linotype"/>
        </w:rPr>
      </w:pPr>
      <w:r>
        <w:rPr>
          <w:rFonts w:ascii="Palatino Linotype" w:hAnsi="Palatino Linotype"/>
        </w:rPr>
        <w:t>En cambio, el concepto de “sueldo” de acuerdo al Diccionario de la Lengua española lo define como:</w:t>
      </w:r>
    </w:p>
    <w:p w14:paraId="42664672" w14:textId="370E943A" w:rsidR="00786FA3" w:rsidRPr="00786FA3" w:rsidRDefault="00786FA3" w:rsidP="00786FA3">
      <w:pPr>
        <w:spacing w:before="240" w:after="240" w:line="360" w:lineRule="auto"/>
        <w:ind w:left="709"/>
        <w:jc w:val="both"/>
        <w:rPr>
          <w:rFonts w:ascii="Palatino Linotype" w:hAnsi="Palatino Linotype"/>
          <w:i/>
          <w:sz w:val="22"/>
          <w:szCs w:val="22"/>
        </w:rPr>
      </w:pPr>
      <w:r w:rsidRPr="00786FA3">
        <w:rPr>
          <w:rFonts w:ascii="Palatino Linotype" w:hAnsi="Palatino Linotype"/>
          <w:i/>
          <w:sz w:val="22"/>
          <w:szCs w:val="22"/>
        </w:rPr>
        <w:t>“</w:t>
      </w:r>
      <w:r w:rsidRPr="00786FA3">
        <w:rPr>
          <w:rFonts w:ascii="Palatino Linotype" w:hAnsi="Palatino Linotype"/>
          <w:b/>
          <w:i/>
          <w:sz w:val="22"/>
          <w:szCs w:val="22"/>
        </w:rPr>
        <w:t>Sueldo</w:t>
      </w:r>
      <w:r>
        <w:rPr>
          <w:rFonts w:ascii="Palatino Linotype" w:hAnsi="Palatino Linotype"/>
          <w:i/>
          <w:sz w:val="22"/>
          <w:szCs w:val="22"/>
        </w:rPr>
        <w:t>.</w:t>
      </w:r>
      <w:r w:rsidRPr="00786FA3">
        <w:rPr>
          <w:rFonts w:ascii="Palatino Linotype" w:hAnsi="Palatino Linotype"/>
          <w:i/>
          <w:sz w:val="22"/>
          <w:szCs w:val="22"/>
        </w:rPr>
        <w:t xml:space="preserve"> Remuneración</w:t>
      </w:r>
      <w:r>
        <w:rPr>
          <w:rFonts w:ascii="Palatino Linotype" w:hAnsi="Palatino Linotype" w:hint="eastAsia"/>
          <w:i/>
          <w:sz w:val="22"/>
          <w:szCs w:val="22"/>
        </w:rPr>
        <w:t xml:space="preserve"> </w:t>
      </w:r>
      <w:r w:rsidRPr="00786FA3">
        <w:rPr>
          <w:rFonts w:ascii="Palatino Linotype" w:hAnsi="Palatino Linotype"/>
          <w:i/>
          <w:sz w:val="22"/>
          <w:szCs w:val="22"/>
        </w:rPr>
        <w:t>regular</w:t>
      </w:r>
      <w:r>
        <w:rPr>
          <w:rFonts w:ascii="Palatino Linotype" w:hAnsi="Palatino Linotype" w:hint="eastAsia"/>
          <w:i/>
          <w:sz w:val="22"/>
          <w:szCs w:val="22"/>
        </w:rPr>
        <w:t xml:space="preserve"> </w:t>
      </w:r>
      <w:r w:rsidRPr="00786FA3">
        <w:rPr>
          <w:rFonts w:ascii="Palatino Linotype" w:hAnsi="Palatino Linotype"/>
          <w:i/>
          <w:sz w:val="22"/>
          <w:szCs w:val="22"/>
        </w:rPr>
        <w:t>asignada</w:t>
      </w:r>
      <w:r>
        <w:rPr>
          <w:rFonts w:ascii="Palatino Linotype" w:hAnsi="Palatino Linotype" w:hint="eastAsia"/>
          <w:i/>
          <w:sz w:val="22"/>
          <w:szCs w:val="22"/>
        </w:rPr>
        <w:t xml:space="preserve"> </w:t>
      </w:r>
      <w:r w:rsidRPr="00786FA3">
        <w:rPr>
          <w:rFonts w:ascii="Palatino Linotype" w:hAnsi="Palatino Linotype"/>
          <w:i/>
          <w:sz w:val="22"/>
          <w:szCs w:val="22"/>
        </w:rPr>
        <w:t>por</w:t>
      </w:r>
      <w:r>
        <w:rPr>
          <w:rFonts w:ascii="Palatino Linotype" w:hAnsi="Palatino Linotype" w:hint="eastAsia"/>
          <w:i/>
          <w:sz w:val="22"/>
          <w:szCs w:val="22"/>
        </w:rPr>
        <w:t xml:space="preserve"> </w:t>
      </w:r>
      <w:r w:rsidRPr="00786FA3">
        <w:rPr>
          <w:rFonts w:ascii="Palatino Linotype" w:hAnsi="Palatino Linotype"/>
          <w:i/>
          <w:sz w:val="22"/>
          <w:szCs w:val="22"/>
        </w:rPr>
        <w:t>el</w:t>
      </w:r>
      <w:r>
        <w:rPr>
          <w:rFonts w:ascii="Palatino Linotype" w:hAnsi="Palatino Linotype" w:hint="eastAsia"/>
          <w:i/>
          <w:sz w:val="22"/>
          <w:szCs w:val="22"/>
        </w:rPr>
        <w:t xml:space="preserve"> </w:t>
      </w:r>
      <w:r w:rsidRPr="00786FA3">
        <w:rPr>
          <w:rFonts w:ascii="Palatino Linotype" w:hAnsi="Palatino Linotype"/>
          <w:i/>
          <w:sz w:val="22"/>
          <w:szCs w:val="22"/>
        </w:rPr>
        <w:t>desempeño</w:t>
      </w:r>
      <w:r>
        <w:rPr>
          <w:rFonts w:ascii="Palatino Linotype" w:hAnsi="Palatino Linotype" w:hint="eastAsia"/>
          <w:i/>
          <w:sz w:val="22"/>
          <w:szCs w:val="22"/>
        </w:rPr>
        <w:t xml:space="preserve"> </w:t>
      </w:r>
      <w:r w:rsidRPr="00786FA3">
        <w:rPr>
          <w:rFonts w:ascii="Palatino Linotype" w:hAnsi="Palatino Linotype"/>
          <w:i/>
          <w:sz w:val="22"/>
          <w:szCs w:val="22"/>
        </w:rPr>
        <w:t>de</w:t>
      </w:r>
      <w:r>
        <w:rPr>
          <w:rFonts w:ascii="Palatino Linotype" w:hAnsi="Palatino Linotype" w:hint="eastAsia"/>
          <w:i/>
          <w:sz w:val="22"/>
          <w:szCs w:val="22"/>
        </w:rPr>
        <w:t xml:space="preserve"> </w:t>
      </w:r>
      <w:r w:rsidRPr="00786FA3">
        <w:rPr>
          <w:rFonts w:ascii="Palatino Linotype" w:hAnsi="Palatino Linotype"/>
          <w:i/>
          <w:sz w:val="22"/>
          <w:szCs w:val="22"/>
        </w:rPr>
        <w:t>un</w:t>
      </w:r>
      <w:r>
        <w:rPr>
          <w:rFonts w:ascii="Palatino Linotype" w:hAnsi="Palatino Linotype" w:hint="eastAsia"/>
          <w:i/>
          <w:sz w:val="22"/>
          <w:szCs w:val="22"/>
        </w:rPr>
        <w:t xml:space="preserve"> </w:t>
      </w:r>
      <w:r w:rsidRPr="00786FA3">
        <w:rPr>
          <w:rFonts w:ascii="Palatino Linotype" w:hAnsi="Palatino Linotype"/>
          <w:i/>
          <w:sz w:val="22"/>
          <w:szCs w:val="22"/>
        </w:rPr>
        <w:t>cargo</w:t>
      </w:r>
      <w:r>
        <w:rPr>
          <w:rFonts w:ascii="Palatino Linotype" w:hAnsi="Palatino Linotype" w:hint="eastAsia"/>
          <w:i/>
          <w:sz w:val="22"/>
          <w:szCs w:val="22"/>
        </w:rPr>
        <w:t xml:space="preserve"> </w:t>
      </w:r>
      <w:r w:rsidRPr="00786FA3">
        <w:rPr>
          <w:rFonts w:ascii="Palatino Linotype" w:hAnsi="Palatino Linotype"/>
          <w:i/>
          <w:sz w:val="22"/>
          <w:szCs w:val="22"/>
        </w:rPr>
        <w:t>o</w:t>
      </w:r>
      <w:r>
        <w:rPr>
          <w:rFonts w:ascii="Palatino Linotype" w:hAnsi="Palatino Linotype" w:hint="eastAsia"/>
          <w:i/>
          <w:sz w:val="22"/>
          <w:szCs w:val="22"/>
        </w:rPr>
        <w:t xml:space="preserve"> </w:t>
      </w:r>
      <w:r w:rsidRPr="00786FA3">
        <w:rPr>
          <w:rFonts w:ascii="Palatino Linotype" w:hAnsi="Palatino Linotype"/>
          <w:i/>
          <w:sz w:val="22"/>
          <w:szCs w:val="22"/>
        </w:rPr>
        <w:t>servicio</w:t>
      </w:r>
      <w:r>
        <w:rPr>
          <w:rFonts w:ascii="Palatino Linotype" w:hAnsi="Palatino Linotype" w:hint="eastAsia"/>
          <w:i/>
          <w:sz w:val="22"/>
          <w:szCs w:val="22"/>
        </w:rPr>
        <w:t xml:space="preserve"> </w:t>
      </w:r>
      <w:r w:rsidRPr="00786FA3">
        <w:rPr>
          <w:rFonts w:ascii="Palatino Linotype" w:hAnsi="Palatino Linotype"/>
          <w:i/>
          <w:sz w:val="22"/>
          <w:szCs w:val="22"/>
        </w:rPr>
        <w:t>profesional</w:t>
      </w:r>
      <w:r w:rsidRPr="00786FA3">
        <w:rPr>
          <w:rFonts w:ascii="Palatino Linotype" w:hAnsi="Palatino Linotype" w:hint="eastAsia"/>
          <w:i/>
          <w:sz w:val="22"/>
          <w:szCs w:val="22"/>
        </w:rPr>
        <w:t>.</w:t>
      </w:r>
      <w:r>
        <w:rPr>
          <w:rFonts w:ascii="Palatino Linotype" w:hAnsi="Palatino Linotype"/>
          <w:i/>
          <w:sz w:val="22"/>
          <w:szCs w:val="22"/>
        </w:rPr>
        <w:t>” (Sic)</w:t>
      </w:r>
    </w:p>
    <w:p w14:paraId="4708EDC9" w14:textId="6C53A69C" w:rsidR="002B4020" w:rsidRDefault="00786FA3" w:rsidP="002B4020">
      <w:pPr>
        <w:autoSpaceDE w:val="0"/>
        <w:autoSpaceDN w:val="0"/>
        <w:adjustRightInd w:val="0"/>
        <w:spacing w:before="240" w:line="360" w:lineRule="auto"/>
        <w:jc w:val="both"/>
        <w:rPr>
          <w:rFonts w:ascii="Palatino Linotype" w:hAnsi="Palatino Linotype"/>
        </w:rPr>
      </w:pPr>
      <w:r>
        <w:rPr>
          <w:rFonts w:ascii="Palatino Linotype" w:hAnsi="Palatino Linotype"/>
        </w:rPr>
        <w:t xml:space="preserve">De los conceptos anteriores, podemos determinar que tanto </w:t>
      </w:r>
      <w:r w:rsidR="00E95ACA">
        <w:rPr>
          <w:rFonts w:ascii="Palatino Linotype" w:hAnsi="Palatino Linotype"/>
        </w:rPr>
        <w:t xml:space="preserve">el </w:t>
      </w:r>
      <w:r>
        <w:rPr>
          <w:rFonts w:ascii="Palatino Linotype" w:hAnsi="Palatino Linotype"/>
        </w:rPr>
        <w:t>salario y sueldo son palabras semejantes en virtud de lo que significan, es decir, sinónimos</w:t>
      </w:r>
      <w:r w:rsidR="00E95ACA">
        <w:rPr>
          <w:rFonts w:ascii="Palatino Linotype" w:hAnsi="Palatino Linotype"/>
        </w:rPr>
        <w:t>; toda vez que ambos se refieren a que es una remuneración</w:t>
      </w:r>
      <w:r w:rsidR="002B4020" w:rsidRPr="002B4020">
        <w:rPr>
          <w:rFonts w:ascii="Palatino Linotype" w:hAnsi="Palatino Linotype"/>
        </w:rPr>
        <w:t>, luego entonces el concepto remuneración, de acuerdo al</w:t>
      </w:r>
      <w:r w:rsidR="002B4020">
        <w:rPr>
          <w:rFonts w:ascii="Palatino Linotype" w:hAnsi="Palatino Linotype"/>
        </w:rPr>
        <w:t xml:space="preserve"> artículo 3, </w:t>
      </w:r>
      <w:r w:rsidR="002B4020" w:rsidRPr="002B4020">
        <w:rPr>
          <w:rFonts w:ascii="Palatino Linotype" w:hAnsi="Palatino Linotype"/>
        </w:rPr>
        <w:t>fracción XXXII del Código Financiero del Estado de México y Municipios, es:</w:t>
      </w:r>
    </w:p>
    <w:p w14:paraId="00A3EB6B" w14:textId="77777777" w:rsidR="002B4020" w:rsidRDefault="002B4020" w:rsidP="002B4020">
      <w:pPr>
        <w:autoSpaceDE w:val="0"/>
        <w:autoSpaceDN w:val="0"/>
        <w:adjustRightInd w:val="0"/>
        <w:spacing w:before="240"/>
        <w:ind w:left="851" w:right="851"/>
        <w:contextualSpacing/>
        <w:jc w:val="both"/>
        <w:rPr>
          <w:rFonts w:ascii="Palatino Linotype" w:hAnsi="Palatino Linotype"/>
          <w:i/>
          <w:sz w:val="22"/>
          <w:szCs w:val="22"/>
        </w:rPr>
      </w:pPr>
    </w:p>
    <w:p w14:paraId="3C9723B1" w14:textId="77777777" w:rsidR="002B4020" w:rsidRPr="002B4020" w:rsidRDefault="002B4020" w:rsidP="002B4020">
      <w:pPr>
        <w:autoSpaceDE w:val="0"/>
        <w:autoSpaceDN w:val="0"/>
        <w:adjustRightInd w:val="0"/>
        <w:spacing w:before="240"/>
        <w:ind w:left="851" w:right="851"/>
        <w:contextualSpacing/>
        <w:jc w:val="both"/>
        <w:rPr>
          <w:rFonts w:ascii="Palatino Linotype" w:hAnsi="Palatino Linotype"/>
          <w:bCs/>
          <w:i/>
          <w:sz w:val="22"/>
          <w:szCs w:val="22"/>
          <w:lang w:val="es-ES_tradnl"/>
        </w:rPr>
      </w:pPr>
      <w:r w:rsidRPr="002B4020">
        <w:rPr>
          <w:rFonts w:ascii="Palatino Linotype" w:hAnsi="Palatino Linotype"/>
          <w:i/>
          <w:sz w:val="22"/>
          <w:szCs w:val="22"/>
        </w:rPr>
        <w:t>“Artículo 3. Para los efectos de la presente Ley se entenderá por:</w:t>
      </w:r>
    </w:p>
    <w:p w14:paraId="0D4117D1" w14:textId="1406871A" w:rsidR="002B4020" w:rsidRPr="002B4020" w:rsidRDefault="002B4020" w:rsidP="002B4020">
      <w:pPr>
        <w:autoSpaceDE w:val="0"/>
        <w:autoSpaceDN w:val="0"/>
        <w:adjustRightInd w:val="0"/>
        <w:spacing w:before="240"/>
        <w:ind w:left="851" w:right="851"/>
        <w:contextualSpacing/>
        <w:jc w:val="both"/>
        <w:rPr>
          <w:rFonts w:ascii="Palatino Linotype" w:hAnsi="Palatino Linotype"/>
          <w:bCs/>
          <w:i/>
          <w:sz w:val="22"/>
          <w:szCs w:val="22"/>
          <w:lang w:val="es-ES_tradnl"/>
        </w:rPr>
      </w:pPr>
      <w:r w:rsidRPr="002B4020">
        <w:rPr>
          <w:rFonts w:ascii="Palatino Linotype" w:hAnsi="Palatino Linotype"/>
          <w:bCs/>
          <w:i/>
          <w:sz w:val="22"/>
          <w:szCs w:val="22"/>
          <w:lang w:val="es-ES_tradnl"/>
        </w:rPr>
        <w:t>…</w:t>
      </w:r>
    </w:p>
    <w:p w14:paraId="245B0528" w14:textId="7D6F1BEC" w:rsidR="002B4020" w:rsidRPr="002B4020" w:rsidRDefault="002B4020" w:rsidP="002B4020">
      <w:pPr>
        <w:autoSpaceDE w:val="0"/>
        <w:autoSpaceDN w:val="0"/>
        <w:adjustRightInd w:val="0"/>
        <w:spacing w:before="240"/>
        <w:ind w:left="851" w:right="851"/>
        <w:contextualSpacing/>
        <w:jc w:val="both"/>
        <w:rPr>
          <w:rFonts w:ascii="Palatino Linotype" w:hAnsi="Palatino Linotype"/>
          <w:i/>
          <w:sz w:val="22"/>
          <w:szCs w:val="22"/>
          <w:lang w:val="es-ES_tradnl"/>
        </w:rPr>
      </w:pPr>
      <w:r w:rsidRPr="002B4020">
        <w:rPr>
          <w:rFonts w:ascii="Palatino Linotype" w:hAnsi="Palatino Linotype"/>
          <w:b/>
          <w:i/>
          <w:sz w:val="22"/>
          <w:szCs w:val="22"/>
          <w:lang w:val="es-ES_tradnl"/>
        </w:rPr>
        <w:t xml:space="preserve">XXXII. Remuneración: </w:t>
      </w:r>
      <w:r w:rsidRPr="002B4020">
        <w:rPr>
          <w:rFonts w:ascii="Palatino Linotype" w:hAnsi="Palatino Linotype"/>
          <w:i/>
          <w:sz w:val="22"/>
          <w:szCs w:val="22"/>
          <w:lang w:val="es-ES_tradnl"/>
        </w:rPr>
        <w:t xml:space="preserve">A los pagos hechos por concepto de </w:t>
      </w:r>
      <w:r w:rsidRPr="00E95ACA">
        <w:rPr>
          <w:rFonts w:ascii="Palatino Linotype" w:hAnsi="Palatino Linotype"/>
          <w:b/>
          <w:i/>
          <w:sz w:val="22"/>
          <w:szCs w:val="22"/>
          <w:lang w:val="es-ES_tradnl"/>
        </w:rPr>
        <w:t>sueldo</w:t>
      </w:r>
      <w:r w:rsidRPr="002B4020">
        <w:rPr>
          <w:rFonts w:ascii="Palatino Linotype" w:hAnsi="Palatino Linotype"/>
          <w:i/>
          <w:sz w:val="22"/>
          <w:szCs w:val="22"/>
          <w:lang w:val="es-ES_tradnl"/>
        </w:rPr>
        <w:t>,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 (Sic)</w:t>
      </w:r>
    </w:p>
    <w:p w14:paraId="7947FCC6" w14:textId="77777777" w:rsidR="00D156F5" w:rsidRDefault="00D156F5" w:rsidP="008A5044">
      <w:pPr>
        <w:spacing w:before="240" w:after="240" w:line="360" w:lineRule="auto"/>
        <w:contextualSpacing/>
        <w:jc w:val="both"/>
        <w:rPr>
          <w:rFonts w:ascii="Palatino Linotype" w:hAnsi="Palatino Linotype"/>
        </w:rPr>
      </w:pPr>
    </w:p>
    <w:p w14:paraId="6046CE17" w14:textId="791EDF23" w:rsidR="008A5044" w:rsidRDefault="008E4E68" w:rsidP="008A5044">
      <w:pPr>
        <w:spacing w:before="240" w:after="240" w:line="360" w:lineRule="auto"/>
        <w:contextualSpacing/>
        <w:jc w:val="both"/>
        <w:rPr>
          <w:rFonts w:ascii="Palatino Linotype" w:hAnsi="Palatino Linotype" w:cs="Arial"/>
        </w:rPr>
      </w:pPr>
      <w:r>
        <w:rPr>
          <w:rFonts w:ascii="Palatino Linotype" w:hAnsi="Palatino Linotype"/>
        </w:rPr>
        <w:t xml:space="preserve">En vista del concepto de remuneración, dentro de éste se puede apreciar diferentes rubros, lo cuales se contienen de manera enunciativa mas no limitada en la nómina, la cual si bien </w:t>
      </w:r>
      <w:r w:rsidR="008A5044">
        <w:rPr>
          <w:rFonts w:ascii="Palatino Linotype" w:hAnsi="Palatino Linotype" w:cs="Arial"/>
        </w:rPr>
        <w:t xml:space="preserve">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w:t>
      </w:r>
      <w:r w:rsidR="008A5044">
        <w:rPr>
          <w:rFonts w:ascii="Palatino Linotype" w:hAnsi="Palatino Linotype" w:cs="Arial"/>
        </w:rPr>
        <w:lastRenderedPageBreak/>
        <w:t>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75D2F03" w14:textId="77777777" w:rsidR="008A5044" w:rsidRPr="006F0935" w:rsidRDefault="008A5044" w:rsidP="008A5044">
      <w:pPr>
        <w:spacing w:before="240" w:after="240"/>
        <w:ind w:left="851" w:right="851"/>
        <w:contextualSpacing/>
        <w:jc w:val="both"/>
        <w:rPr>
          <w:rFonts w:ascii="Palatino Linotype" w:hAnsi="Palatino Linotype" w:cs="Arial"/>
          <w:i/>
          <w:sz w:val="22"/>
          <w:szCs w:val="22"/>
        </w:rPr>
      </w:pPr>
      <w:r w:rsidRPr="006F0935">
        <w:rPr>
          <w:rFonts w:ascii="Palatino Linotype" w:hAnsi="Palatino Linotype" w:cs="Arial"/>
          <w:b/>
          <w:bCs/>
          <w:i/>
          <w:sz w:val="22"/>
          <w:szCs w:val="22"/>
        </w:rPr>
        <w:t xml:space="preserve">“NÓMINA </w:t>
      </w:r>
      <w:r w:rsidRPr="006F0935">
        <w:rPr>
          <w:rFonts w:ascii="Palatino Linotype" w:hAnsi="Palatino Linotype" w:cs="Arial"/>
          <w:i/>
          <w:sz w:val="22"/>
          <w:szCs w:val="22"/>
        </w:rPr>
        <w:t>Listado general de los trabajadores de una institución, en</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el cual se asientan las percepciones brutas, deducciones y</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 xml:space="preserve">alcance neto </w:t>
      </w:r>
      <w:r w:rsidRPr="006F0935">
        <w:rPr>
          <w:rFonts w:ascii="Palatino Linotype" w:hAnsi="Palatino Linotype" w:cs="Arial"/>
          <w:i/>
          <w:color w:val="000000"/>
          <w:sz w:val="22"/>
          <w:szCs w:val="22"/>
        </w:rPr>
        <w:t>de</w:t>
      </w:r>
      <w:r w:rsidRPr="006F0935">
        <w:rPr>
          <w:rFonts w:ascii="Palatino Linotype" w:hAnsi="Palatino Linotype" w:cs="Arial"/>
          <w:i/>
          <w:sz w:val="22"/>
          <w:szCs w:val="22"/>
        </w:rPr>
        <w:t xml:space="preserve"> las mismas; la nómina es utilizada para</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efectuar los pagos periódicos (semanales, quincenales o</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 xml:space="preserve">mensuales) a los trabajadores por </w:t>
      </w:r>
      <w:r w:rsidRPr="00E95ACA">
        <w:rPr>
          <w:rFonts w:ascii="Palatino Linotype" w:hAnsi="Palatino Linotype" w:cs="Arial"/>
          <w:i/>
          <w:sz w:val="22"/>
          <w:szCs w:val="22"/>
        </w:rPr>
        <w:t>concepto de sueldos y</w:t>
      </w:r>
      <w:r w:rsidRPr="00E95ACA">
        <w:rPr>
          <w:rFonts w:ascii="Palatino Linotype" w:hAnsi="Palatino Linotype" w:cs="Arial"/>
          <w:bCs/>
          <w:i/>
          <w:sz w:val="22"/>
          <w:szCs w:val="22"/>
        </w:rPr>
        <w:t xml:space="preserve"> </w:t>
      </w:r>
      <w:r w:rsidRPr="00E95ACA">
        <w:rPr>
          <w:rFonts w:ascii="Palatino Linotype" w:hAnsi="Palatino Linotype" w:cs="Arial"/>
          <w:i/>
          <w:sz w:val="22"/>
          <w:szCs w:val="22"/>
        </w:rPr>
        <w:t>salarios.”</w:t>
      </w:r>
    </w:p>
    <w:p w14:paraId="168A0B70" w14:textId="77777777" w:rsidR="008A5044" w:rsidRDefault="008A5044" w:rsidP="008A5044">
      <w:pPr>
        <w:spacing w:line="360" w:lineRule="auto"/>
        <w:jc w:val="both"/>
        <w:rPr>
          <w:rFonts w:ascii="Palatino Linotype" w:hAnsi="Palatino Linotype" w:cs="Arial"/>
          <w:i/>
        </w:rPr>
      </w:pPr>
    </w:p>
    <w:p w14:paraId="48E58940" w14:textId="05A84E0E" w:rsidR="008A5044" w:rsidRDefault="0081036D" w:rsidP="008A5044">
      <w:pPr>
        <w:spacing w:line="360" w:lineRule="auto"/>
        <w:jc w:val="both"/>
        <w:rPr>
          <w:rFonts w:ascii="Palatino Linotype" w:hAnsi="Palatino Linotype" w:cs="Arial"/>
          <w:lang w:val="es-MX" w:eastAsia="es-MX"/>
        </w:rPr>
      </w:pPr>
      <w:r>
        <w:rPr>
          <w:rFonts w:ascii="Palatino Linotype" w:hAnsi="Palatino Linotype" w:cs="Arial"/>
        </w:rPr>
        <w:t xml:space="preserve">En </w:t>
      </w:r>
      <w:r w:rsidR="00D156F5">
        <w:rPr>
          <w:rFonts w:ascii="Palatino Linotype" w:hAnsi="Palatino Linotype" w:cs="Arial"/>
        </w:rPr>
        <w:t>analogía</w:t>
      </w:r>
      <w:r w:rsidR="008A5044">
        <w:rPr>
          <w:rFonts w:ascii="Palatino Linotype" w:hAnsi="Palatino Linotype" w:cs="Arial"/>
        </w:rPr>
        <w:t xml:space="preserve"> a lo </w:t>
      </w:r>
      <w:r w:rsidR="00D156F5">
        <w:rPr>
          <w:rFonts w:ascii="Palatino Linotype" w:hAnsi="Palatino Linotype" w:cs="Arial"/>
        </w:rPr>
        <w:t>antepuesto</w:t>
      </w:r>
      <w:r w:rsidR="008A5044">
        <w:rPr>
          <w:rFonts w:ascii="Palatino Linotype" w:hAnsi="Palatino Linotype" w:cs="Arial"/>
        </w:rPr>
        <w:t xml:space="preserve">, conviene a traer lo establecido por </w:t>
      </w:r>
      <w:r w:rsidR="008A5044">
        <w:rPr>
          <w:rFonts w:ascii="Palatino Linotype" w:hAnsi="Palatino Linotype" w:cs="Arial"/>
          <w:lang w:eastAsia="es-MX"/>
        </w:rPr>
        <w:t xml:space="preserve">el artículo 804, fracción II, de la Ley Federal de Trabajo, el cual a la letra establece: </w:t>
      </w:r>
    </w:p>
    <w:p w14:paraId="28CF339E" w14:textId="77777777" w:rsidR="008A5044" w:rsidRDefault="008A5044" w:rsidP="008A5044">
      <w:pPr>
        <w:spacing w:before="240"/>
        <w:ind w:left="851" w:right="851"/>
        <w:contextualSpacing/>
        <w:jc w:val="both"/>
        <w:rPr>
          <w:rFonts w:ascii="Palatino Linotype" w:hAnsi="Palatino Linotype" w:cs="Arial"/>
          <w:bCs/>
          <w:i/>
          <w:szCs w:val="20"/>
          <w:lang w:eastAsia="es-MX"/>
        </w:rPr>
      </w:pPr>
    </w:p>
    <w:p w14:paraId="2FFC064C" w14:textId="77777777" w:rsidR="008A5044" w:rsidRPr="006F0935" w:rsidRDefault="008A5044" w:rsidP="008A5044">
      <w:pPr>
        <w:spacing w:before="240"/>
        <w:ind w:left="851" w:right="851"/>
        <w:contextualSpacing/>
        <w:jc w:val="both"/>
        <w:rPr>
          <w:rFonts w:ascii="Palatino Linotype" w:hAnsi="Palatino Linotype" w:cs="Arial"/>
          <w:i/>
          <w:sz w:val="22"/>
          <w:szCs w:val="22"/>
          <w:lang w:eastAsia="es-MX"/>
        </w:rPr>
      </w:pPr>
      <w:r>
        <w:rPr>
          <w:rFonts w:ascii="Palatino Linotype" w:hAnsi="Palatino Linotype" w:cs="Arial"/>
          <w:bCs/>
          <w:i/>
          <w:szCs w:val="20"/>
          <w:lang w:eastAsia="es-MX"/>
        </w:rPr>
        <w:t>“</w:t>
      </w:r>
      <w:r w:rsidRPr="006F0935">
        <w:rPr>
          <w:rFonts w:ascii="Palatino Linotype" w:hAnsi="Palatino Linotype" w:cs="Arial"/>
          <w:b/>
          <w:i/>
          <w:sz w:val="22"/>
          <w:szCs w:val="22"/>
          <w:lang w:eastAsia="es-MX"/>
        </w:rPr>
        <w:t>Artículo 804.-</w:t>
      </w:r>
      <w:r w:rsidRPr="006F0935">
        <w:rPr>
          <w:rFonts w:ascii="Palatino Linotype" w:hAnsi="Palatino Linotype" w:cs="Arial"/>
          <w:i/>
          <w:sz w:val="22"/>
          <w:szCs w:val="22"/>
          <w:lang w:eastAsia="es-MX"/>
        </w:rPr>
        <w:t xml:space="preserve"> </w:t>
      </w:r>
      <w:r w:rsidRPr="006F0935">
        <w:rPr>
          <w:rFonts w:ascii="Palatino Linotype" w:hAnsi="Palatino Linotype" w:cs="Arial"/>
          <w:b/>
          <w:i/>
          <w:sz w:val="22"/>
          <w:szCs w:val="22"/>
          <w:lang w:eastAsia="es-MX"/>
        </w:rPr>
        <w:t>El patrón tiene obligación de conservar y exhibir en juicio los documentos que a continuación se precisan</w:t>
      </w:r>
      <w:r>
        <w:rPr>
          <w:rFonts w:ascii="Palatino Linotype" w:hAnsi="Palatino Linotype" w:cs="Arial"/>
          <w:i/>
          <w:sz w:val="22"/>
          <w:szCs w:val="22"/>
          <w:lang w:eastAsia="es-MX"/>
        </w:rPr>
        <w:t>:</w:t>
      </w:r>
    </w:p>
    <w:p w14:paraId="728A598A" w14:textId="77777777" w:rsidR="008A5044" w:rsidRPr="006F0935" w:rsidRDefault="008A5044" w:rsidP="008A5044">
      <w:pPr>
        <w:spacing w:before="240"/>
        <w:ind w:left="851" w:right="851"/>
        <w:contextualSpacing/>
        <w:jc w:val="both"/>
        <w:rPr>
          <w:rFonts w:ascii="Palatino Linotype" w:hAnsi="Palatino Linotype" w:cs="Arial"/>
          <w:i/>
          <w:sz w:val="22"/>
          <w:szCs w:val="22"/>
          <w:lang w:eastAsia="es-MX"/>
        </w:rPr>
      </w:pPr>
    </w:p>
    <w:p w14:paraId="4099EB5C" w14:textId="77777777" w:rsidR="008A5044" w:rsidRPr="006F0935" w:rsidRDefault="008A5044" w:rsidP="008A5044">
      <w:pPr>
        <w:spacing w:before="240"/>
        <w:ind w:left="851" w:right="851"/>
        <w:contextualSpacing/>
        <w:jc w:val="both"/>
        <w:rPr>
          <w:rFonts w:ascii="Palatino Linotype" w:hAnsi="Palatino Linotype" w:cs="Arial"/>
          <w:i/>
          <w:sz w:val="22"/>
          <w:szCs w:val="22"/>
          <w:lang w:eastAsia="es-MX"/>
        </w:rPr>
      </w:pPr>
      <w:r w:rsidRPr="006F0935">
        <w:rPr>
          <w:rFonts w:ascii="Palatino Linotype" w:hAnsi="Palatino Linotype" w:cs="Arial"/>
          <w:i/>
          <w:sz w:val="22"/>
          <w:szCs w:val="22"/>
          <w:lang w:eastAsia="es-MX"/>
        </w:rPr>
        <w:t xml:space="preserve">II. </w:t>
      </w:r>
      <w:r w:rsidRPr="008E4E68">
        <w:rPr>
          <w:rFonts w:ascii="Palatino Linotype" w:hAnsi="Palatino Linotype" w:cs="Arial"/>
          <w:i/>
          <w:sz w:val="22"/>
          <w:szCs w:val="22"/>
          <w:lang w:eastAsia="es-MX"/>
        </w:rPr>
        <w:t>Listas de raya o</w:t>
      </w:r>
      <w:r w:rsidRPr="006F0935">
        <w:rPr>
          <w:rFonts w:ascii="Palatino Linotype" w:hAnsi="Palatino Linotype" w:cs="Arial"/>
          <w:b/>
          <w:i/>
          <w:sz w:val="22"/>
          <w:szCs w:val="22"/>
          <w:lang w:eastAsia="es-MX"/>
        </w:rPr>
        <w:t xml:space="preserve"> nómina de personal</w:t>
      </w:r>
      <w:r w:rsidRPr="006F0935">
        <w:rPr>
          <w:rFonts w:ascii="Palatino Linotype" w:hAnsi="Palatino Linotype" w:cs="Arial"/>
          <w:i/>
          <w:sz w:val="22"/>
          <w:szCs w:val="22"/>
          <w:lang w:eastAsia="es-MX"/>
        </w:rPr>
        <w:t xml:space="preserve">, cuando se lleven en el centro de trabajo; o recibos de pagos de salarios; </w:t>
      </w:r>
    </w:p>
    <w:p w14:paraId="6BE6F55F" w14:textId="77777777" w:rsidR="008A5044" w:rsidRPr="006F0935" w:rsidRDefault="008A5044" w:rsidP="008A5044">
      <w:pPr>
        <w:spacing w:before="240"/>
        <w:ind w:left="851" w:right="851"/>
        <w:contextualSpacing/>
        <w:jc w:val="both"/>
        <w:rPr>
          <w:rFonts w:ascii="Palatino Linotype" w:hAnsi="Palatino Linotype" w:cs="Arial"/>
          <w:i/>
          <w:sz w:val="22"/>
          <w:szCs w:val="22"/>
          <w:lang w:eastAsia="es-MX"/>
        </w:rPr>
      </w:pPr>
      <w:r w:rsidRPr="006F0935">
        <w:rPr>
          <w:rFonts w:ascii="Palatino Linotype" w:hAnsi="Palatino Linotype" w:cs="Arial"/>
          <w:i/>
          <w:sz w:val="22"/>
          <w:szCs w:val="22"/>
          <w:lang w:eastAsia="es-MX"/>
        </w:rPr>
        <w:t>(…)</w:t>
      </w:r>
    </w:p>
    <w:p w14:paraId="16602C42" w14:textId="77777777" w:rsidR="008A5044" w:rsidRPr="006F0935" w:rsidRDefault="008A5044" w:rsidP="008A5044">
      <w:pPr>
        <w:spacing w:before="240"/>
        <w:ind w:left="851" w:right="851"/>
        <w:contextualSpacing/>
        <w:jc w:val="both"/>
        <w:rPr>
          <w:rFonts w:ascii="Palatino Linotype" w:hAnsi="Palatino Linotype" w:cs="Arial"/>
          <w:i/>
          <w:sz w:val="22"/>
          <w:szCs w:val="22"/>
          <w:lang w:eastAsia="es-MX"/>
        </w:rPr>
      </w:pPr>
      <w:r w:rsidRPr="006F0935">
        <w:rPr>
          <w:rFonts w:ascii="Palatino Linotype" w:hAnsi="Palatino Linotype" w:cs="Arial"/>
          <w:i/>
          <w:sz w:val="22"/>
          <w:szCs w:val="22"/>
          <w:lang w:eastAsia="es-MX"/>
        </w:rPr>
        <w:t xml:space="preserve">Los documentos señalados en la fracción I deberán conservarse mientras dure la relación laboral y hasta un año después; </w:t>
      </w:r>
      <w:r w:rsidRPr="006F0935">
        <w:rPr>
          <w:rFonts w:ascii="Palatino Linotype" w:hAnsi="Palatino Linotype" w:cs="Arial"/>
          <w:b/>
          <w:i/>
          <w:sz w:val="22"/>
          <w:szCs w:val="22"/>
          <w:lang w:eastAsia="es-MX"/>
        </w:rPr>
        <w:t>los señalados en las fracciones II, III y IV, durante el último año y un año después de que se extinga la relación laboral</w:t>
      </w:r>
      <w:r w:rsidRPr="006F0935">
        <w:rPr>
          <w:rFonts w:ascii="Palatino Linotype" w:hAnsi="Palatino Linotype" w:cs="Arial"/>
          <w:i/>
          <w:sz w:val="22"/>
          <w:szCs w:val="22"/>
          <w:lang w:eastAsia="es-MX"/>
        </w:rPr>
        <w:t xml:space="preserve">; y los mencionados en la fracción V, conforme lo señalen las Leyes que los rijan.” </w:t>
      </w:r>
      <w:r>
        <w:rPr>
          <w:rFonts w:ascii="Palatino Linotype" w:hAnsi="Palatino Linotype" w:cs="Arial"/>
          <w:i/>
          <w:sz w:val="22"/>
          <w:szCs w:val="22"/>
          <w:lang w:eastAsia="es-MX"/>
        </w:rPr>
        <w:t>(Sic)</w:t>
      </w:r>
    </w:p>
    <w:p w14:paraId="028EA570" w14:textId="77777777" w:rsidR="008A5044" w:rsidRDefault="008A5044" w:rsidP="008A5044">
      <w:pPr>
        <w:tabs>
          <w:tab w:val="right" w:leader="dot" w:pos="8505"/>
        </w:tabs>
        <w:spacing w:before="240" w:after="240" w:line="360" w:lineRule="auto"/>
        <w:contextualSpacing/>
        <w:jc w:val="both"/>
        <w:rPr>
          <w:rFonts w:ascii="Palatino Linotype" w:hAnsi="Palatino Linotype" w:cs="Arial"/>
          <w:lang w:eastAsia="es-MX"/>
        </w:rPr>
      </w:pPr>
    </w:p>
    <w:p w14:paraId="356D7BC6" w14:textId="7ED26B12" w:rsidR="008A5044" w:rsidRDefault="008A5044" w:rsidP="008A5044">
      <w:pPr>
        <w:spacing w:before="240" w:after="240" w:line="360" w:lineRule="auto"/>
        <w:jc w:val="both"/>
        <w:rPr>
          <w:rFonts w:ascii="Palatino Linotype" w:hAnsi="Palatino Linotype" w:cs="Arial"/>
        </w:rPr>
      </w:pPr>
      <w:r>
        <w:rPr>
          <w:rFonts w:ascii="Palatino Linotype" w:hAnsi="Palatino Linotype" w:cs="Arial"/>
          <w:lang w:eastAsia="es-MX"/>
        </w:rPr>
        <w:t>De lo precedente, se concluye que la nómina, es el registro utilizado para efectuar los pagos a los trabajadores por concepto de sueldos y salarios, el cual se compone por el conjunto de trabajadores en el que se asientan las percepciones brutas, deduccio</w:t>
      </w:r>
      <w:r w:rsidR="008E4E68">
        <w:rPr>
          <w:rFonts w:ascii="Palatino Linotype" w:hAnsi="Palatino Linotype" w:cs="Arial"/>
          <w:lang w:eastAsia="es-MX"/>
        </w:rPr>
        <w:t>nes y la cantidad neta a pagar.</w:t>
      </w:r>
    </w:p>
    <w:p w14:paraId="44323CB7" w14:textId="0B0EDEEA" w:rsidR="008A5044" w:rsidRPr="00034609" w:rsidRDefault="008A5044" w:rsidP="008A5044">
      <w:pPr>
        <w:spacing w:before="240" w:after="240" w:line="360" w:lineRule="auto"/>
        <w:jc w:val="both"/>
        <w:rPr>
          <w:rFonts w:ascii="Palatino Linotype" w:hAnsi="Palatino Linotype"/>
        </w:rPr>
      </w:pPr>
      <w:r w:rsidRPr="00034609">
        <w:rPr>
          <w:rFonts w:ascii="Palatino Linotype" w:hAnsi="Palatino Linotype"/>
        </w:rPr>
        <w:lastRenderedPageBreak/>
        <w:t xml:space="preserve">Por consiguiente, </w:t>
      </w:r>
      <w:r w:rsidR="00034609" w:rsidRPr="00034609">
        <w:rPr>
          <w:rFonts w:ascii="Palatino Linotype" w:hAnsi="Palatino Linotype"/>
        </w:rPr>
        <w:t>el presidente municipal, síndico y regidores de quienes se requirió la información</w:t>
      </w:r>
      <w:r w:rsidRPr="00034609">
        <w:rPr>
          <w:rFonts w:ascii="Palatino Linotype" w:hAnsi="Palatino Linotype"/>
        </w:rPr>
        <w:t>, constituyen el número de trabajadores que perciben una remuneración por los servicio</w:t>
      </w:r>
      <w:r w:rsidR="00034609" w:rsidRPr="00034609">
        <w:rPr>
          <w:rFonts w:ascii="Palatino Linotype" w:hAnsi="Palatino Linotype"/>
        </w:rPr>
        <w:t xml:space="preserve">s que éstos le prestan al municipio, </w:t>
      </w:r>
      <w:r w:rsidRPr="00034609">
        <w:rPr>
          <w:rFonts w:ascii="Palatino Linotype" w:hAnsi="Palatino Linotype"/>
        </w:rPr>
        <w:t>con las percepciones brutas, deducciones y el neto a recibir, delimitándose su diferencia</w:t>
      </w:r>
      <w:r w:rsidR="00034609" w:rsidRPr="00034609">
        <w:rPr>
          <w:rFonts w:ascii="Palatino Linotype" w:hAnsi="Palatino Linotype"/>
        </w:rPr>
        <w:t xml:space="preserve"> por las funciones que realizan.</w:t>
      </w:r>
    </w:p>
    <w:p w14:paraId="4F2D0C22" w14:textId="77777777" w:rsidR="008A5044" w:rsidRDefault="008A5044" w:rsidP="008A5044">
      <w:pPr>
        <w:spacing w:before="240" w:after="240" w:line="360" w:lineRule="auto"/>
        <w:ind w:right="49"/>
        <w:jc w:val="both"/>
        <w:rPr>
          <w:rFonts w:ascii="Palatino Linotype" w:hAnsi="Palatino Linotype" w:cs="Arial"/>
        </w:rPr>
      </w:pPr>
      <w:r>
        <w:rPr>
          <w:rFonts w:ascii="Palatino Linotype" w:hAnsi="Palatino Linotype" w:cs="Arial"/>
        </w:rPr>
        <w:t>En ese contexto, tratándose de servidores públicos de los Municipios la Ley del Trabajo de los Servidores Públicos del Estado y Municipios, en su artículo 220-K, establece lo siguiente:</w:t>
      </w:r>
    </w:p>
    <w:p w14:paraId="0E3755D6" w14:textId="77777777" w:rsidR="008A5044" w:rsidRPr="00425674" w:rsidRDefault="008A5044" w:rsidP="008A5044">
      <w:pPr>
        <w:tabs>
          <w:tab w:val="left" w:pos="9072"/>
        </w:tabs>
        <w:spacing w:before="240"/>
        <w:ind w:left="851" w:right="851"/>
        <w:contextualSpacing/>
        <w:jc w:val="both"/>
        <w:rPr>
          <w:rFonts w:ascii="Palatino Linotype" w:hAnsi="Palatino Linotype" w:cstheme="minorBidi"/>
          <w:bCs/>
          <w:i/>
          <w:sz w:val="22"/>
          <w:szCs w:val="22"/>
        </w:rPr>
      </w:pPr>
      <w:r w:rsidRPr="00425674">
        <w:rPr>
          <w:rFonts w:ascii="Palatino Linotype" w:hAnsi="Palatino Linotype"/>
          <w:b/>
          <w:bCs/>
          <w:i/>
          <w:sz w:val="22"/>
          <w:szCs w:val="22"/>
        </w:rPr>
        <w:t>“ARTÍCULO 220 K.-</w:t>
      </w:r>
      <w:r w:rsidRPr="00425674">
        <w:rPr>
          <w:rFonts w:ascii="Palatino Linotype" w:hAnsi="Palatino Linotype"/>
          <w:bCs/>
          <w:i/>
          <w:sz w:val="22"/>
          <w:szCs w:val="22"/>
        </w:rPr>
        <w:t xml:space="preserve"> </w:t>
      </w:r>
      <w:r w:rsidRPr="00034609">
        <w:rPr>
          <w:rFonts w:ascii="Palatino Linotype" w:hAnsi="Palatino Linotype"/>
          <w:b/>
          <w:bCs/>
          <w:i/>
          <w:sz w:val="22"/>
          <w:szCs w:val="22"/>
        </w:rPr>
        <w:t>La institución o dependencia pública tiene la obligación de conservar y exhibir en el proceso los documentos que a continuación se precisan</w:t>
      </w:r>
      <w:r w:rsidRPr="00425674">
        <w:rPr>
          <w:rFonts w:ascii="Palatino Linotype" w:hAnsi="Palatino Linotype"/>
          <w:bCs/>
          <w:i/>
          <w:sz w:val="22"/>
          <w:szCs w:val="22"/>
        </w:rPr>
        <w:t>:</w:t>
      </w:r>
    </w:p>
    <w:p w14:paraId="7BE4B247"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r>
        <w:rPr>
          <w:rFonts w:ascii="Palatino Linotype" w:hAnsi="Palatino Linotype"/>
          <w:bCs/>
          <w:i/>
          <w:sz w:val="22"/>
          <w:szCs w:val="22"/>
        </w:rPr>
        <w:t>…</w:t>
      </w:r>
    </w:p>
    <w:p w14:paraId="0F984F33"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r w:rsidRPr="00425674">
        <w:rPr>
          <w:rFonts w:ascii="Palatino Linotype" w:hAnsi="Palatino Linotype"/>
          <w:bCs/>
          <w:i/>
          <w:sz w:val="22"/>
          <w:szCs w:val="22"/>
        </w:rPr>
        <w:t xml:space="preserve">II. Recibos de pagos de salarios o </w:t>
      </w:r>
      <w:r w:rsidRPr="00425674">
        <w:rPr>
          <w:rFonts w:ascii="Palatino Linotype" w:hAnsi="Palatino Linotype"/>
          <w:b/>
          <w:bCs/>
          <w:i/>
          <w:sz w:val="22"/>
          <w:szCs w:val="22"/>
        </w:rPr>
        <w:t>las constancias documentales del pago de salario</w:t>
      </w:r>
      <w:r w:rsidRPr="00425674">
        <w:rPr>
          <w:rFonts w:ascii="Palatino Linotype" w:hAnsi="Palatino Linotype"/>
          <w:bCs/>
          <w:i/>
          <w:sz w:val="22"/>
          <w:szCs w:val="22"/>
        </w:rPr>
        <w:t xml:space="preserve"> cuando sea por depósito o mediante información electrónica;</w:t>
      </w:r>
    </w:p>
    <w:p w14:paraId="6122FF50"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r>
        <w:rPr>
          <w:rFonts w:ascii="Palatino Linotype" w:hAnsi="Palatino Linotype"/>
          <w:bCs/>
          <w:i/>
          <w:sz w:val="22"/>
          <w:szCs w:val="22"/>
        </w:rPr>
        <w:t>…</w:t>
      </w:r>
    </w:p>
    <w:p w14:paraId="16A98B36"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r w:rsidRPr="00425674">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14E66B8" w14:textId="77777777" w:rsidR="008A5044" w:rsidRDefault="008A5044" w:rsidP="008A5044">
      <w:pPr>
        <w:tabs>
          <w:tab w:val="left" w:pos="9072"/>
        </w:tabs>
        <w:spacing w:before="240"/>
        <w:ind w:left="851" w:right="851"/>
        <w:contextualSpacing/>
        <w:jc w:val="both"/>
        <w:rPr>
          <w:rFonts w:ascii="Palatino Linotype" w:hAnsi="Palatino Linotype"/>
          <w:bCs/>
          <w:i/>
          <w:sz w:val="22"/>
          <w:szCs w:val="22"/>
        </w:rPr>
      </w:pPr>
      <w:r w:rsidRPr="00425674">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14:paraId="602BAECC" w14:textId="77777777" w:rsidR="00E95ACA" w:rsidRPr="00425674" w:rsidRDefault="00E95ACA" w:rsidP="008A5044">
      <w:pPr>
        <w:tabs>
          <w:tab w:val="left" w:pos="9072"/>
        </w:tabs>
        <w:spacing w:before="240"/>
        <w:ind w:left="851" w:right="851"/>
        <w:contextualSpacing/>
        <w:jc w:val="both"/>
        <w:rPr>
          <w:rFonts w:ascii="Palatino Linotype" w:hAnsi="Palatino Linotype"/>
          <w:bCs/>
          <w:i/>
          <w:sz w:val="22"/>
          <w:szCs w:val="22"/>
        </w:rPr>
      </w:pPr>
    </w:p>
    <w:p w14:paraId="75FA73F3" w14:textId="77777777" w:rsidR="008A5044" w:rsidRDefault="008A5044" w:rsidP="008A5044">
      <w:pPr>
        <w:spacing w:before="240" w:after="240" w:line="360" w:lineRule="auto"/>
        <w:ind w:right="51"/>
        <w:contextualSpacing/>
        <w:jc w:val="both"/>
        <w:rPr>
          <w:rFonts w:ascii="Palatino Linotype" w:hAnsi="Palatino Linotype" w:cs="Arial"/>
        </w:rPr>
      </w:pPr>
      <w:r>
        <w:rPr>
          <w:rFonts w:ascii="Palatino Linotype" w:hAnsi="Palatino Linotype" w:cs="Arial"/>
        </w:rPr>
        <w:t xml:space="preserve">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w:t>
      </w:r>
      <w:r>
        <w:rPr>
          <w:rFonts w:ascii="Palatino Linotype" w:hAnsi="Palatino Linotype" w:cs="Arial"/>
        </w:rPr>
        <w:lastRenderedPageBreak/>
        <w:t>laboral a través de los sistemas de digitalización o de información magnética o electrónica.</w:t>
      </w:r>
    </w:p>
    <w:p w14:paraId="15C14BC0" w14:textId="77777777" w:rsidR="00025F38" w:rsidRDefault="00025F38" w:rsidP="008A5044">
      <w:pPr>
        <w:spacing w:before="240" w:after="240" w:line="360" w:lineRule="auto"/>
        <w:ind w:right="51"/>
        <w:contextualSpacing/>
        <w:jc w:val="both"/>
        <w:rPr>
          <w:rFonts w:ascii="Palatino Linotype" w:hAnsi="Palatino Linotype" w:cs="Arial"/>
        </w:rPr>
      </w:pPr>
    </w:p>
    <w:p w14:paraId="5C616F07" w14:textId="031B909B" w:rsidR="00025F38" w:rsidRDefault="00025F38" w:rsidP="00025F38">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Asimismo, </w:t>
      </w:r>
      <w:r w:rsidRPr="00025F38">
        <w:rPr>
          <w:rFonts w:ascii="Palatino Linotype" w:hAnsi="Palatino Linotype" w:cs="Arial"/>
        </w:rPr>
        <w:t xml:space="preserve">es de suma importancia señalar que de acuerdo a las obligaciones de transparencia comunes que le son atribuibles al </w:t>
      </w:r>
      <w:r w:rsidRPr="00025F38">
        <w:rPr>
          <w:rFonts w:ascii="Palatino Linotype" w:hAnsi="Palatino Linotype" w:cs="Arial"/>
          <w:b/>
        </w:rPr>
        <w:t>Sujeto Obligado</w:t>
      </w:r>
      <w:r w:rsidRPr="00025F38">
        <w:rPr>
          <w:rFonts w:ascii="Palatino Linotype" w:hAnsi="Palatino Linotype" w:cs="Arial"/>
        </w:rPr>
        <w:t xml:space="preserve"> de conformidad con el artículo 92, fracción VIII, de la Ley de Transparencia y Acceso a la Información Pública del Estado de México y Municipios, éste debe contar con el o los documentos en donde conste dicha remuneración, los cuales pueden contener </w:t>
      </w:r>
      <w:r w:rsidR="00E95ACA">
        <w:rPr>
          <w:rFonts w:ascii="Palatino Linotype" w:hAnsi="Palatino Linotype" w:cs="Arial"/>
        </w:rPr>
        <w:t>el sueldo</w:t>
      </w:r>
      <w:r w:rsidR="00D156F5">
        <w:rPr>
          <w:rFonts w:ascii="Palatino Linotype" w:hAnsi="Palatino Linotype" w:cs="Arial"/>
        </w:rPr>
        <w:t xml:space="preserve"> bruto y neto</w:t>
      </w:r>
      <w:r w:rsidRPr="00025F38">
        <w:rPr>
          <w:rFonts w:ascii="Palatino Linotype" w:hAnsi="Palatino Linotype" w:cs="Arial"/>
        </w:rPr>
        <w:t>, su periodicidad; artículo y fracción que para mayor referencia se cita a continuación:</w:t>
      </w:r>
    </w:p>
    <w:p w14:paraId="11F3F1D6" w14:textId="77777777" w:rsidR="00025F38" w:rsidRPr="00025F38" w:rsidRDefault="00025F38" w:rsidP="00025F38">
      <w:pPr>
        <w:autoSpaceDE w:val="0"/>
        <w:autoSpaceDN w:val="0"/>
        <w:adjustRightInd w:val="0"/>
        <w:spacing w:line="360" w:lineRule="auto"/>
        <w:jc w:val="both"/>
        <w:rPr>
          <w:rFonts w:ascii="Palatino Linotype" w:hAnsi="Palatino Linotype" w:cs="Arial"/>
        </w:rPr>
      </w:pPr>
    </w:p>
    <w:p w14:paraId="20ED47C5" w14:textId="77777777" w:rsidR="00025F38" w:rsidRPr="00025F38" w:rsidRDefault="00025F38" w:rsidP="00025F38">
      <w:pPr>
        <w:autoSpaceDE w:val="0"/>
        <w:autoSpaceDN w:val="0"/>
        <w:adjustRightInd w:val="0"/>
        <w:spacing w:before="240"/>
        <w:ind w:left="851" w:right="851"/>
        <w:contextualSpacing/>
        <w:jc w:val="both"/>
        <w:rPr>
          <w:rFonts w:ascii="Palatino Linotype" w:hAnsi="Palatino Linotype" w:cs="Arial"/>
          <w:i/>
          <w:sz w:val="22"/>
          <w:szCs w:val="22"/>
        </w:rPr>
      </w:pPr>
      <w:r w:rsidRPr="00025F38">
        <w:rPr>
          <w:rFonts w:ascii="Palatino Linotype" w:hAnsi="Palatino Linotype" w:cs="Arial"/>
          <w:i/>
          <w:sz w:val="22"/>
          <w:szCs w:val="22"/>
        </w:rPr>
        <w:t>“</w:t>
      </w:r>
      <w:r w:rsidRPr="0081036D">
        <w:rPr>
          <w:rFonts w:ascii="Palatino Linotype" w:hAnsi="Palatino Linotype" w:cs="Arial"/>
          <w:b/>
          <w:i/>
          <w:sz w:val="22"/>
          <w:szCs w:val="22"/>
        </w:rPr>
        <w:t>Artículo 92.</w:t>
      </w:r>
      <w:r w:rsidRPr="00025F38">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E71D71" w14:textId="77777777" w:rsidR="00025F38" w:rsidRPr="00025F38" w:rsidRDefault="00025F38" w:rsidP="00025F38">
      <w:pPr>
        <w:autoSpaceDE w:val="0"/>
        <w:autoSpaceDN w:val="0"/>
        <w:adjustRightInd w:val="0"/>
        <w:spacing w:before="240"/>
        <w:ind w:left="851" w:right="851"/>
        <w:contextualSpacing/>
        <w:jc w:val="both"/>
        <w:rPr>
          <w:rFonts w:ascii="Palatino Linotype" w:hAnsi="Palatino Linotype" w:cs="Arial"/>
          <w:i/>
          <w:sz w:val="22"/>
          <w:szCs w:val="22"/>
        </w:rPr>
      </w:pPr>
      <w:r w:rsidRPr="00025F38">
        <w:rPr>
          <w:rFonts w:ascii="Palatino Linotype" w:hAnsi="Palatino Linotype" w:cs="Arial"/>
          <w:i/>
          <w:sz w:val="22"/>
          <w:szCs w:val="22"/>
        </w:rPr>
        <w:t>(…)</w:t>
      </w:r>
    </w:p>
    <w:p w14:paraId="42615FD4" w14:textId="7B0DE5B7" w:rsidR="00025F38" w:rsidRPr="0081036D" w:rsidRDefault="00025F38" w:rsidP="00025F38">
      <w:pPr>
        <w:autoSpaceDE w:val="0"/>
        <w:autoSpaceDN w:val="0"/>
        <w:adjustRightInd w:val="0"/>
        <w:spacing w:before="240"/>
        <w:ind w:left="851" w:right="851"/>
        <w:contextualSpacing/>
        <w:jc w:val="both"/>
        <w:rPr>
          <w:rFonts w:ascii="Palatino Linotype" w:hAnsi="Palatino Linotype" w:cs="Arial"/>
          <w:b/>
          <w:i/>
          <w:sz w:val="22"/>
          <w:szCs w:val="22"/>
        </w:rPr>
      </w:pPr>
      <w:r w:rsidRPr="0081036D">
        <w:rPr>
          <w:rFonts w:ascii="Palatino Linotype" w:hAnsi="Palatino Linotype" w:cs="Arial"/>
          <w:b/>
          <w:i/>
          <w:sz w:val="22"/>
          <w:szCs w:val="22"/>
        </w:rPr>
        <w:t xml:space="preserve">VIII. La remuneración bruta y neta de todos los servidores públicos de base o de confianza, de todas las percepciones, </w:t>
      </w:r>
      <w:r w:rsidRPr="00E95ACA">
        <w:rPr>
          <w:rFonts w:ascii="Palatino Linotype" w:hAnsi="Palatino Linotype" w:cs="Arial"/>
          <w:b/>
          <w:i/>
          <w:sz w:val="22"/>
          <w:szCs w:val="22"/>
          <w:u w:val="single"/>
        </w:rPr>
        <w:t>incluyendo sueldos</w:t>
      </w:r>
      <w:r w:rsidRPr="0081036D">
        <w:rPr>
          <w:rFonts w:ascii="Palatino Linotype" w:hAnsi="Palatino Linotype" w:cs="Arial"/>
          <w:b/>
          <w:i/>
          <w:sz w:val="22"/>
          <w:szCs w:val="22"/>
        </w:rPr>
        <w:t>, prestaciones, gratificaciones, primas, comisiones, dietas, bonos, estímulos, ingresos y sistemas de compensación, señalando la periodicidad de dicha remuneración… (Sic)</w:t>
      </w:r>
    </w:p>
    <w:p w14:paraId="3383B2FB" w14:textId="6F138EFD" w:rsidR="00025F38" w:rsidRDefault="00025F38" w:rsidP="008A5044">
      <w:pPr>
        <w:spacing w:before="240" w:after="240" w:line="360" w:lineRule="auto"/>
        <w:ind w:right="51"/>
        <w:contextualSpacing/>
        <w:jc w:val="both"/>
        <w:rPr>
          <w:rFonts w:ascii="Palatino Linotype" w:hAnsi="Palatino Linotype" w:cs="Arial"/>
        </w:rPr>
      </w:pPr>
    </w:p>
    <w:p w14:paraId="461BC24D" w14:textId="3BCFE714" w:rsidR="0040670A" w:rsidRDefault="0040670A" w:rsidP="0040670A">
      <w:pPr>
        <w:autoSpaceDE w:val="0"/>
        <w:autoSpaceDN w:val="0"/>
        <w:adjustRightInd w:val="0"/>
        <w:spacing w:line="360" w:lineRule="auto"/>
        <w:jc w:val="both"/>
        <w:rPr>
          <w:rFonts w:ascii="Palatino Linotype" w:hAnsi="Palatino Linotype" w:cs="Arial"/>
        </w:rPr>
      </w:pPr>
      <w:r w:rsidRPr="0040670A">
        <w:rPr>
          <w:rFonts w:ascii="Palatino Linotype" w:hAnsi="Palatino Linotype" w:cs="Arial"/>
        </w:rPr>
        <w:t xml:space="preserve">En esa tesitura, de acuerdo a la naturaleza de la información solicitada,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w:t>
      </w:r>
      <w:r w:rsidRPr="0040670A">
        <w:rPr>
          <w:rFonts w:ascii="Palatino Linotype" w:hAnsi="Palatino Linotype" w:cs="Arial"/>
        </w:rPr>
        <w:lastRenderedPageBreak/>
        <w:t>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0BBD5C47" w14:textId="77777777" w:rsidR="0040670A" w:rsidRPr="0040670A" w:rsidRDefault="0040670A" w:rsidP="0040670A">
      <w:pPr>
        <w:autoSpaceDE w:val="0"/>
        <w:autoSpaceDN w:val="0"/>
        <w:adjustRightInd w:val="0"/>
        <w:spacing w:line="360" w:lineRule="auto"/>
        <w:jc w:val="both"/>
        <w:rPr>
          <w:rFonts w:ascii="Palatino Linotype" w:hAnsi="Palatino Linotype" w:cs="Arial"/>
        </w:rPr>
      </w:pPr>
    </w:p>
    <w:p w14:paraId="31F9D80B" w14:textId="77777777" w:rsidR="0040670A" w:rsidRPr="0040670A" w:rsidRDefault="0040670A" w:rsidP="0040670A">
      <w:pPr>
        <w:autoSpaceDE w:val="0"/>
        <w:autoSpaceDN w:val="0"/>
        <w:adjustRightInd w:val="0"/>
        <w:spacing w:before="240"/>
        <w:ind w:left="851" w:right="851"/>
        <w:contextualSpacing/>
        <w:jc w:val="both"/>
        <w:rPr>
          <w:rFonts w:ascii="Palatino Linotype" w:hAnsi="Palatino Linotype" w:cs="Arial"/>
          <w:i/>
          <w:sz w:val="22"/>
          <w:szCs w:val="22"/>
          <w:u w:val="single"/>
        </w:rPr>
      </w:pPr>
      <w:r w:rsidRPr="0040670A">
        <w:rPr>
          <w:rFonts w:ascii="Palatino Linotype" w:hAnsi="Palatino Linotype" w:cs="Arial"/>
          <w:b/>
          <w:i/>
          <w:sz w:val="22"/>
          <w:szCs w:val="22"/>
          <w:u w:val="single"/>
        </w:rPr>
        <w:t>“Artículo 7. El Estado de México garantizará el efectivo acceso de toda persona a la información en posesión de cualquier entidad,</w:t>
      </w:r>
      <w:r w:rsidRPr="0040670A">
        <w:rPr>
          <w:rFonts w:ascii="Palatino Linotype" w:hAnsi="Palatino Linotype" w:cs="Arial"/>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40670A">
        <w:rPr>
          <w:rFonts w:ascii="Palatino Linotype" w:hAnsi="Palatino Linotype" w:cs="Arial"/>
          <w:b/>
          <w:i/>
          <w:sz w:val="22"/>
          <w:szCs w:val="22"/>
          <w:u w:val="single"/>
        </w:rPr>
        <w:t>que reciba y ejerza recursos públicos</w:t>
      </w:r>
      <w:r w:rsidRPr="0040670A">
        <w:rPr>
          <w:rFonts w:ascii="Palatino Linotype" w:hAnsi="Palatino Linotype" w:cs="Arial"/>
          <w:i/>
          <w:sz w:val="22"/>
          <w:szCs w:val="22"/>
        </w:rPr>
        <w:t xml:space="preserve"> o realice actos de autoridad </w:t>
      </w:r>
      <w:r w:rsidRPr="0040670A">
        <w:rPr>
          <w:rFonts w:ascii="Palatino Linotype" w:hAnsi="Palatino Linotype" w:cs="Arial"/>
          <w:b/>
          <w:i/>
          <w:sz w:val="22"/>
          <w:szCs w:val="22"/>
          <w:u w:val="single"/>
        </w:rPr>
        <w:t>en el ámbito de competencia del Estado de México y sus municipios</w:t>
      </w:r>
      <w:r w:rsidRPr="0040670A">
        <w:rPr>
          <w:rFonts w:ascii="Palatino Linotype" w:hAnsi="Palatino Linotype" w:cs="Arial"/>
          <w:i/>
          <w:sz w:val="22"/>
          <w:szCs w:val="22"/>
          <w:u w:val="single"/>
        </w:rPr>
        <w:t>.</w:t>
      </w:r>
    </w:p>
    <w:p w14:paraId="58E1F031" w14:textId="77777777" w:rsidR="0040670A" w:rsidRPr="0040670A" w:rsidRDefault="0040670A" w:rsidP="0040670A">
      <w:pPr>
        <w:autoSpaceDE w:val="0"/>
        <w:autoSpaceDN w:val="0"/>
        <w:adjustRightInd w:val="0"/>
        <w:spacing w:before="240"/>
        <w:ind w:left="851" w:right="851"/>
        <w:contextualSpacing/>
        <w:jc w:val="both"/>
        <w:rPr>
          <w:rFonts w:ascii="Palatino Linotype" w:hAnsi="Palatino Linotype" w:cs="Arial"/>
          <w:i/>
          <w:sz w:val="22"/>
          <w:szCs w:val="22"/>
        </w:rPr>
      </w:pPr>
      <w:r w:rsidRPr="0040670A">
        <w:rPr>
          <w:rFonts w:ascii="Palatino Linotype" w:hAnsi="Palatino Linotype" w:cs="Arial"/>
          <w:i/>
          <w:sz w:val="22"/>
          <w:szCs w:val="22"/>
        </w:rPr>
        <w:t>Artículo 23. Son sujetos obligados a transparentar y permitir el acceso a su información y proteger los datos personales que obren en su poder:</w:t>
      </w:r>
    </w:p>
    <w:p w14:paraId="6EC86B9A" w14:textId="77777777" w:rsidR="0040670A" w:rsidRPr="0040670A" w:rsidRDefault="0040670A" w:rsidP="0040670A">
      <w:pPr>
        <w:autoSpaceDE w:val="0"/>
        <w:autoSpaceDN w:val="0"/>
        <w:adjustRightInd w:val="0"/>
        <w:spacing w:before="240"/>
        <w:ind w:left="851" w:right="851"/>
        <w:contextualSpacing/>
        <w:jc w:val="both"/>
        <w:rPr>
          <w:rFonts w:ascii="Palatino Linotype" w:hAnsi="Palatino Linotype" w:cs="Arial"/>
          <w:i/>
          <w:sz w:val="22"/>
          <w:szCs w:val="22"/>
        </w:rPr>
      </w:pPr>
      <w:r w:rsidRPr="0040670A">
        <w:rPr>
          <w:rFonts w:ascii="Palatino Linotype" w:hAnsi="Palatino Linotype" w:cs="Arial"/>
          <w:i/>
          <w:sz w:val="22"/>
          <w:szCs w:val="22"/>
        </w:rPr>
        <w:t>(…)</w:t>
      </w:r>
    </w:p>
    <w:p w14:paraId="19D4F10D" w14:textId="77777777" w:rsidR="0040670A" w:rsidRPr="0040670A" w:rsidRDefault="0040670A" w:rsidP="0040670A">
      <w:pPr>
        <w:autoSpaceDE w:val="0"/>
        <w:autoSpaceDN w:val="0"/>
        <w:adjustRightInd w:val="0"/>
        <w:spacing w:before="240"/>
        <w:ind w:left="851" w:right="851"/>
        <w:contextualSpacing/>
        <w:jc w:val="both"/>
        <w:rPr>
          <w:rFonts w:ascii="Palatino Linotype" w:hAnsi="Palatino Linotype" w:cs="Arial"/>
          <w:b/>
          <w:i/>
          <w:sz w:val="22"/>
          <w:szCs w:val="22"/>
          <w:u w:val="single"/>
        </w:rPr>
      </w:pPr>
      <w:r w:rsidRPr="0040670A">
        <w:rPr>
          <w:rFonts w:ascii="Palatino Linotype" w:hAnsi="Palatino Linotype" w:cs="Arial"/>
          <w:b/>
          <w:i/>
          <w:sz w:val="22"/>
          <w:szCs w:val="22"/>
          <w:u w:val="single"/>
        </w:rPr>
        <w:t>IV. Los ayuntamientos y las dependencias, organismos, órganos y entidades de la administración municipal;</w:t>
      </w:r>
    </w:p>
    <w:p w14:paraId="19304E2D" w14:textId="77777777" w:rsidR="0040670A" w:rsidRPr="0040670A" w:rsidRDefault="0040670A" w:rsidP="0040670A">
      <w:pPr>
        <w:autoSpaceDE w:val="0"/>
        <w:autoSpaceDN w:val="0"/>
        <w:adjustRightInd w:val="0"/>
        <w:spacing w:before="240"/>
        <w:ind w:left="851" w:right="851"/>
        <w:contextualSpacing/>
        <w:jc w:val="both"/>
        <w:rPr>
          <w:rFonts w:ascii="Palatino Linotype" w:hAnsi="Palatino Linotype" w:cs="Arial"/>
          <w:i/>
          <w:sz w:val="22"/>
          <w:szCs w:val="22"/>
        </w:rPr>
      </w:pPr>
      <w:r w:rsidRPr="0040670A">
        <w:rPr>
          <w:rFonts w:ascii="Palatino Linotype" w:hAnsi="Palatino Linotype" w:cs="Arial"/>
          <w:i/>
          <w:sz w:val="22"/>
          <w:szCs w:val="22"/>
        </w:rPr>
        <w:t>(…)</w:t>
      </w:r>
    </w:p>
    <w:p w14:paraId="6D33CEA4" w14:textId="77777777" w:rsidR="0040670A" w:rsidRPr="0040670A" w:rsidRDefault="0040670A" w:rsidP="0040670A">
      <w:pPr>
        <w:autoSpaceDE w:val="0"/>
        <w:autoSpaceDN w:val="0"/>
        <w:adjustRightInd w:val="0"/>
        <w:spacing w:before="240"/>
        <w:ind w:left="851" w:right="851"/>
        <w:contextualSpacing/>
        <w:jc w:val="both"/>
        <w:rPr>
          <w:rFonts w:ascii="Palatino Linotype" w:hAnsi="Palatino Linotype" w:cs="Arial"/>
          <w:b/>
          <w:i/>
          <w:sz w:val="22"/>
          <w:szCs w:val="22"/>
          <w:u w:val="single"/>
        </w:rPr>
      </w:pPr>
      <w:r w:rsidRPr="0040670A">
        <w:rPr>
          <w:rFonts w:ascii="Palatino Linotype" w:hAnsi="Palatino Linotype" w:cs="Arial"/>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78B4F8D" w14:textId="77777777" w:rsidR="0040670A" w:rsidRPr="0040670A" w:rsidRDefault="0040670A" w:rsidP="0040670A">
      <w:pPr>
        <w:autoSpaceDE w:val="0"/>
        <w:autoSpaceDN w:val="0"/>
        <w:adjustRightInd w:val="0"/>
        <w:spacing w:before="240"/>
        <w:ind w:left="851" w:right="851"/>
        <w:contextualSpacing/>
        <w:jc w:val="both"/>
        <w:rPr>
          <w:rFonts w:ascii="Palatino Linotype" w:hAnsi="Palatino Linotype" w:cs="Arial"/>
          <w:b/>
          <w:i/>
          <w:sz w:val="22"/>
          <w:szCs w:val="22"/>
        </w:rPr>
      </w:pPr>
      <w:r w:rsidRPr="0040670A">
        <w:rPr>
          <w:rFonts w:ascii="Palatino Linotype" w:hAnsi="Palatino Linotype" w:cs="Arial"/>
          <w:i/>
          <w:sz w:val="22"/>
          <w:szCs w:val="22"/>
        </w:rPr>
        <w:t>Los servidores públicos deberán transparentar sus acciones así como garantizar y respetar el derecho de acceso a la información pública.”</w:t>
      </w:r>
      <w:r w:rsidRPr="0040670A">
        <w:rPr>
          <w:rFonts w:ascii="Palatino Linotype" w:hAnsi="Palatino Linotype" w:cs="Arial"/>
          <w:b/>
          <w:i/>
          <w:sz w:val="22"/>
          <w:szCs w:val="22"/>
        </w:rPr>
        <w:t xml:space="preserve"> [Sic]</w:t>
      </w:r>
    </w:p>
    <w:p w14:paraId="3677DCAB" w14:textId="77777777" w:rsidR="0040670A" w:rsidRPr="00CC6278" w:rsidRDefault="0040670A" w:rsidP="0040670A">
      <w:pPr>
        <w:spacing w:line="360" w:lineRule="auto"/>
        <w:jc w:val="both"/>
        <w:rPr>
          <w:rFonts w:ascii="Palatino Linotype" w:hAnsi="Palatino Linotype" w:cs="Arial"/>
        </w:rPr>
      </w:pPr>
    </w:p>
    <w:p w14:paraId="2F595D1F" w14:textId="77777777" w:rsidR="0040670A" w:rsidRPr="0040670A" w:rsidRDefault="0040670A" w:rsidP="0040670A">
      <w:pPr>
        <w:spacing w:line="360" w:lineRule="auto"/>
        <w:jc w:val="both"/>
        <w:rPr>
          <w:rFonts w:ascii="Palatino Linotype" w:hAnsi="Palatino Linotype" w:cs="Arial"/>
        </w:rPr>
      </w:pPr>
      <w:r w:rsidRPr="0040670A">
        <w:rPr>
          <w:rFonts w:ascii="Palatino Linotype" w:hAnsi="Palatino Linotype" w:cs="Arial"/>
        </w:rPr>
        <w:t xml:space="preserve">Sirve de sustento por analogía, para justificar la publicidad sobre los datos relativos a los montos por concepto de pago de las remuneraciones, los criterios </w:t>
      </w:r>
      <w:r w:rsidRPr="0040670A">
        <w:rPr>
          <w:rFonts w:ascii="Palatino Linotype" w:hAnsi="Palatino Linotype" w:cs="Arial"/>
          <w:b/>
        </w:rPr>
        <w:t>01/2003</w:t>
      </w:r>
      <w:r w:rsidRPr="0040670A">
        <w:rPr>
          <w:rFonts w:ascii="Palatino Linotype" w:hAnsi="Palatino Linotype" w:cs="Arial"/>
        </w:rPr>
        <w:t xml:space="preserve"> y </w:t>
      </w:r>
      <w:r w:rsidRPr="0040670A">
        <w:rPr>
          <w:rFonts w:ascii="Palatino Linotype" w:hAnsi="Palatino Linotype" w:cs="Arial"/>
          <w:b/>
        </w:rPr>
        <w:t>02/2003</w:t>
      </w:r>
      <w:r w:rsidRPr="0040670A">
        <w:rPr>
          <w:rFonts w:ascii="Palatino Linotype" w:hAnsi="Palatino Linotype" w:cs="Arial"/>
        </w:rPr>
        <w:t xml:space="preserve"> emitidos por el Comité de Acceso a la Información Pública y Protección de Datos Personales de la Suprema Corte de Justicia de la Nación que a continuación se citan: </w:t>
      </w:r>
    </w:p>
    <w:p w14:paraId="12562F4D" w14:textId="77777777" w:rsidR="0040670A" w:rsidRPr="0040670A" w:rsidRDefault="0040670A" w:rsidP="0040670A">
      <w:pPr>
        <w:spacing w:before="240"/>
        <w:ind w:left="851" w:right="851"/>
        <w:contextualSpacing/>
        <w:rPr>
          <w:rFonts w:ascii="Palatino Linotype" w:hAnsi="Palatino Linotype" w:cs="Arial"/>
          <w:b/>
          <w:i/>
          <w:sz w:val="22"/>
          <w:szCs w:val="22"/>
        </w:rPr>
      </w:pPr>
      <w:r w:rsidRPr="0040670A">
        <w:rPr>
          <w:rFonts w:ascii="Palatino Linotype" w:hAnsi="Palatino Linotype" w:cs="Arial"/>
          <w:b/>
          <w:i/>
          <w:sz w:val="22"/>
          <w:szCs w:val="22"/>
        </w:rPr>
        <w:t>“Criterio 01/2003.</w:t>
      </w:r>
    </w:p>
    <w:p w14:paraId="0F6169ED" w14:textId="4B594BAA" w:rsidR="0040670A" w:rsidRPr="0040670A" w:rsidRDefault="0040670A" w:rsidP="0040670A">
      <w:pPr>
        <w:spacing w:before="240"/>
        <w:ind w:left="851" w:right="851"/>
        <w:contextualSpacing/>
        <w:jc w:val="both"/>
        <w:rPr>
          <w:rFonts w:ascii="Palatino Linotype" w:hAnsi="Palatino Linotype" w:cs="Arial"/>
          <w:i/>
          <w:sz w:val="22"/>
          <w:szCs w:val="22"/>
        </w:rPr>
      </w:pPr>
      <w:r w:rsidRPr="0040670A">
        <w:rPr>
          <w:rFonts w:ascii="Palatino Linotype" w:hAnsi="Palatino Linotype" w:cs="Arial"/>
          <w:b/>
          <w:i/>
          <w:sz w:val="22"/>
          <w:szCs w:val="22"/>
        </w:rPr>
        <w:lastRenderedPageBreak/>
        <w:t>INGRESOS DE LOS SERVIDORES PÚBLICOS. CONSTITUYEN INFORMACIÓN PÚBLICA AÚN Y CUANDO SU DIFUSIÓN PUEDE AFECTAR LA VIDA O LA SEGURIDAD DE AQUELLOS.</w:t>
      </w:r>
      <w:r w:rsidRPr="0040670A">
        <w:rPr>
          <w:rFonts w:ascii="Palatino Linotype" w:hAnsi="Palatino Linotype" w:cs="Arial"/>
          <w:i/>
          <w:sz w:val="22"/>
          <w:szCs w:val="22"/>
        </w:rPr>
        <w:t xml:space="preserve"> </w:t>
      </w:r>
    </w:p>
    <w:p w14:paraId="2729717B" w14:textId="77777777" w:rsidR="0040670A" w:rsidRPr="0040670A" w:rsidRDefault="0040670A" w:rsidP="0040670A">
      <w:pPr>
        <w:spacing w:before="240"/>
        <w:ind w:left="851" w:right="851"/>
        <w:contextualSpacing/>
        <w:jc w:val="both"/>
        <w:rPr>
          <w:rFonts w:ascii="Palatino Linotype" w:hAnsi="Palatino Linotype" w:cs="Arial"/>
          <w:i/>
          <w:sz w:val="22"/>
          <w:szCs w:val="22"/>
          <w:u w:val="single"/>
        </w:rPr>
      </w:pPr>
      <w:r w:rsidRPr="0040670A">
        <w:rPr>
          <w:rFonts w:ascii="Palatino Linotype" w:hAnsi="Palatino Linotype" w:cs="Arial"/>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40670A">
        <w:rPr>
          <w:rFonts w:ascii="Palatino Linotype" w:hAnsi="Palatino Linotype" w:cs="Arial"/>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40670A">
        <w:rPr>
          <w:rFonts w:ascii="Palatino Linotype" w:hAnsi="Palatino Linotype" w:cs="Arial"/>
          <w:i/>
          <w:sz w:val="22"/>
          <w:szCs w:val="22"/>
          <w:u w:val="single"/>
        </w:rPr>
        <w:t>…”</w:t>
      </w:r>
    </w:p>
    <w:p w14:paraId="3E112ACA" w14:textId="77777777" w:rsidR="0040670A" w:rsidRPr="0040670A" w:rsidRDefault="0040670A" w:rsidP="0040670A">
      <w:pPr>
        <w:spacing w:before="240"/>
        <w:ind w:left="851" w:right="851"/>
        <w:contextualSpacing/>
        <w:jc w:val="both"/>
        <w:rPr>
          <w:rFonts w:ascii="Palatino Linotype" w:hAnsi="Palatino Linotype" w:cs="Arial"/>
          <w:i/>
          <w:sz w:val="22"/>
          <w:szCs w:val="22"/>
        </w:rPr>
      </w:pPr>
    </w:p>
    <w:p w14:paraId="33A34B0B" w14:textId="49152987" w:rsidR="0040670A" w:rsidRPr="0040670A" w:rsidRDefault="0040670A" w:rsidP="0040670A">
      <w:pPr>
        <w:spacing w:before="240"/>
        <w:ind w:left="851" w:right="851"/>
        <w:contextualSpacing/>
        <w:rPr>
          <w:rFonts w:ascii="Palatino Linotype" w:hAnsi="Palatino Linotype" w:cs="Arial"/>
          <w:b/>
          <w:i/>
          <w:sz w:val="22"/>
          <w:szCs w:val="22"/>
        </w:rPr>
      </w:pPr>
      <w:r>
        <w:rPr>
          <w:rFonts w:ascii="Palatino Linotype" w:hAnsi="Palatino Linotype" w:cs="Arial"/>
          <w:b/>
          <w:i/>
          <w:sz w:val="22"/>
          <w:szCs w:val="22"/>
        </w:rPr>
        <w:t>“</w:t>
      </w:r>
      <w:r w:rsidRPr="0040670A">
        <w:rPr>
          <w:rFonts w:ascii="Palatino Linotype" w:hAnsi="Palatino Linotype" w:cs="Arial"/>
          <w:b/>
          <w:i/>
          <w:sz w:val="22"/>
          <w:szCs w:val="22"/>
        </w:rPr>
        <w:t>Criterio 02/2003.</w:t>
      </w:r>
    </w:p>
    <w:p w14:paraId="1A82BFA9" w14:textId="77777777" w:rsidR="0040670A" w:rsidRPr="0040670A" w:rsidRDefault="0040670A" w:rsidP="0040670A">
      <w:pPr>
        <w:spacing w:before="240"/>
        <w:ind w:left="851" w:right="851"/>
        <w:contextualSpacing/>
        <w:jc w:val="both"/>
        <w:rPr>
          <w:rFonts w:ascii="Palatino Linotype" w:hAnsi="Palatino Linotype" w:cs="Arial"/>
          <w:i/>
          <w:sz w:val="22"/>
          <w:szCs w:val="22"/>
        </w:rPr>
      </w:pPr>
      <w:r w:rsidRPr="0040670A">
        <w:rPr>
          <w:rFonts w:ascii="Palatino Linotype" w:hAnsi="Palatino Linotype" w:cs="Arial"/>
          <w:b/>
          <w:i/>
          <w:sz w:val="22"/>
          <w:szCs w:val="22"/>
        </w:rPr>
        <w:t>INGRESOS DE LOS SERVIDORES PÚBLICOS, SON INFORMACIÓN PÚBLICA AÚN Y CUANDO CONSTITUYEN DATOS PERSONALES QUE SE REFIEREN AL PATRIMONIO DE AQUÉLLOS.</w:t>
      </w:r>
      <w:r w:rsidRPr="0040670A">
        <w:rPr>
          <w:rFonts w:ascii="Palatino Linotype" w:hAnsi="Palatino Linotype" w:cs="Arial"/>
          <w:i/>
          <w:sz w:val="22"/>
          <w:szCs w:val="22"/>
        </w:rPr>
        <w:t xml:space="preserve"> </w:t>
      </w:r>
    </w:p>
    <w:p w14:paraId="24FF87FE" w14:textId="77777777" w:rsidR="0040670A" w:rsidRPr="0040670A" w:rsidRDefault="0040670A" w:rsidP="0040670A">
      <w:pPr>
        <w:spacing w:before="240"/>
        <w:ind w:left="851" w:right="851"/>
        <w:contextualSpacing/>
        <w:jc w:val="both"/>
        <w:rPr>
          <w:rFonts w:ascii="Palatino Linotype" w:hAnsi="Palatino Linotype" w:cs="Arial"/>
          <w:b/>
          <w:i/>
          <w:sz w:val="22"/>
          <w:szCs w:val="22"/>
        </w:rPr>
      </w:pPr>
      <w:r w:rsidRPr="0040670A">
        <w:rPr>
          <w:rFonts w:ascii="Palatino Linotype" w:hAnsi="Palatino Linotype" w:cs="Arial"/>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40670A">
        <w:rPr>
          <w:rFonts w:ascii="Palatino Linotype" w:hAnsi="Palatino Linotype" w:cs="Arial"/>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40670A">
        <w:rPr>
          <w:rFonts w:ascii="Palatino Linotype" w:hAnsi="Palatino Linotype" w:cs="Arial"/>
          <w:i/>
          <w:sz w:val="22"/>
          <w:szCs w:val="22"/>
        </w:rPr>
        <w:t xml:space="preserve"> el sistema de compensación…” </w:t>
      </w:r>
      <w:r w:rsidRPr="0040670A">
        <w:rPr>
          <w:rFonts w:ascii="Palatino Linotype" w:hAnsi="Palatino Linotype" w:cs="Arial"/>
          <w:b/>
          <w:i/>
          <w:sz w:val="22"/>
          <w:szCs w:val="22"/>
        </w:rPr>
        <w:t>[Sic]</w:t>
      </w:r>
    </w:p>
    <w:p w14:paraId="767B9802" w14:textId="77777777" w:rsidR="0040670A" w:rsidRPr="0040670A" w:rsidRDefault="0040670A" w:rsidP="0040670A">
      <w:pPr>
        <w:spacing w:before="240" w:after="240" w:line="360" w:lineRule="auto"/>
        <w:jc w:val="both"/>
        <w:rPr>
          <w:rFonts w:ascii="Palatino Linotype" w:hAnsi="Palatino Linotype" w:cs="Arial"/>
        </w:rPr>
      </w:pPr>
      <w:r w:rsidRPr="0040670A">
        <w:rPr>
          <w:rFonts w:ascii="Palatino Linotype" w:hAnsi="Palatino Linotype" w:cs="Arial"/>
        </w:rPr>
        <w:t xml:space="preserve">En este sentido, </w:t>
      </w:r>
      <w:r w:rsidRPr="0040670A">
        <w:rPr>
          <w:rFonts w:ascii="Palatino Linotype" w:hAnsi="Palatino Linotype" w:cs="Arial"/>
          <w:b/>
        </w:rPr>
        <w:t>El Sujeto Obligado</w:t>
      </w:r>
      <w:r w:rsidRPr="0040670A">
        <w:rPr>
          <w:rFonts w:ascii="Palatino Linotype" w:hAnsi="Palatino Linotype" w:cs="Arial"/>
        </w:rPr>
        <w:t xml:space="preserve"> se encuentra constreñido a entregar la información solicitada por </w:t>
      </w:r>
      <w:r w:rsidRPr="0040670A">
        <w:rPr>
          <w:rFonts w:ascii="Palatino Linotype" w:hAnsi="Palatino Linotype" w:cs="Arial"/>
          <w:b/>
          <w:lang w:eastAsia="es-MX"/>
        </w:rPr>
        <w:t>La Recurrente</w:t>
      </w:r>
      <w:r w:rsidRPr="0040670A">
        <w:rPr>
          <w:rFonts w:ascii="Palatino Linotype" w:hAnsi="Palatino Linotype" w:cs="Arial"/>
        </w:rPr>
        <w:t xml:space="preserve">, de acuerdo a lo dispuesto por los artículos 3, fracción XI y 12 </w:t>
      </w:r>
      <w:r w:rsidRPr="0040670A">
        <w:rPr>
          <w:rFonts w:ascii="Palatino Linotype" w:hAnsi="Palatino Linotype" w:cs="Arial"/>
          <w:bCs/>
        </w:rPr>
        <w:t>de la Ley de Transparencia y Acceso a la Información Pública del Estado de México y Municipios</w:t>
      </w:r>
      <w:r w:rsidRPr="0040670A">
        <w:rPr>
          <w:rFonts w:ascii="Palatino Linotype" w:hAnsi="Palatino Linotype" w:cs="Arial"/>
        </w:rPr>
        <w:t xml:space="preserve">, de los cuales se desprende que es información </w:t>
      </w:r>
      <w:r w:rsidRPr="0040670A">
        <w:rPr>
          <w:rFonts w:ascii="Palatino Linotype" w:hAnsi="Palatino Linotype" w:cs="Arial"/>
        </w:rPr>
        <w:lastRenderedPageBreak/>
        <w:t xml:space="preserve">pública la contenida en los documentos que los </w:t>
      </w:r>
      <w:r w:rsidRPr="0040670A">
        <w:rPr>
          <w:rFonts w:ascii="Palatino Linotype" w:hAnsi="Palatino Linotype" w:cs="Arial"/>
          <w:b/>
        </w:rPr>
        <w:t>Sujetos Obligados</w:t>
      </w:r>
      <w:r w:rsidRPr="0040670A">
        <w:rPr>
          <w:rFonts w:ascii="Palatino Linotype" w:hAnsi="Palatino Linotype" w:cs="Arial"/>
        </w:rPr>
        <w:t xml:space="preserve"> generen, administren o se encuentre en su posesión en ejercicio de sus atribuciones.</w:t>
      </w:r>
    </w:p>
    <w:p w14:paraId="0C2D9440" w14:textId="3E83DF4C" w:rsidR="00034609" w:rsidRDefault="0081036D" w:rsidP="004F1C4A">
      <w:pPr>
        <w:spacing w:before="240" w:after="240" w:line="360" w:lineRule="auto"/>
        <w:contextualSpacing/>
        <w:jc w:val="both"/>
        <w:rPr>
          <w:rFonts w:ascii="Palatino Linotype" w:hAnsi="Palatino Linotype" w:cs="Arial"/>
        </w:rPr>
      </w:pPr>
      <w:r>
        <w:rPr>
          <w:rFonts w:ascii="Palatino Linotype" w:hAnsi="Palatino Linotype" w:cs="Arial"/>
        </w:rPr>
        <w:t>En otro orden de ideas, c</w:t>
      </w:r>
      <w:r w:rsidR="00034609" w:rsidRPr="00934A27">
        <w:rPr>
          <w:rFonts w:ascii="Palatino Linotype" w:hAnsi="Palatino Linotype" w:cs="Arial"/>
        </w:rPr>
        <w:t xml:space="preserve">abe </w:t>
      </w:r>
      <w:r w:rsidR="00D625BC" w:rsidRPr="00934A27">
        <w:rPr>
          <w:rFonts w:ascii="Palatino Linotype" w:hAnsi="Palatino Linotype" w:cs="Arial"/>
        </w:rPr>
        <w:t>puntualizar, que el Ayuntamiento de Xalatlaco</w:t>
      </w:r>
      <w:r w:rsidR="00025F38" w:rsidRPr="00934A27">
        <w:rPr>
          <w:rFonts w:ascii="Palatino Linotype" w:hAnsi="Palatino Linotype" w:cs="Arial"/>
        </w:rPr>
        <w:t xml:space="preserve"> </w:t>
      </w:r>
      <w:r w:rsidR="00867A63" w:rsidRPr="00934A27">
        <w:rPr>
          <w:rFonts w:ascii="Palatino Linotype" w:hAnsi="Palatino Linotype" w:cs="Arial"/>
        </w:rPr>
        <w:t>se renovara cada tres años, iniciando</w:t>
      </w:r>
      <w:r>
        <w:rPr>
          <w:rFonts w:ascii="Palatino Linotype" w:hAnsi="Palatino Linotype" w:cs="Arial"/>
        </w:rPr>
        <w:t xml:space="preserve"> sus gestión</w:t>
      </w:r>
      <w:r w:rsidR="00867A63" w:rsidRPr="00934A27">
        <w:rPr>
          <w:rFonts w:ascii="Palatino Linotype" w:hAnsi="Palatino Linotype" w:cs="Arial"/>
        </w:rPr>
        <w:t xml:space="preserve"> el 1 de enero del año inmediato siguiente al de las elecciones municipales ordinarias y lo concluirán el 31 de diciembre del año de las elecciones para su renovación</w:t>
      </w:r>
      <w:r w:rsidR="00867A63" w:rsidRPr="00934A27">
        <w:rPr>
          <w:rStyle w:val="Refdenotaalpie"/>
          <w:rFonts w:ascii="Palatino Linotype" w:hAnsi="Palatino Linotype" w:cs="Arial"/>
        </w:rPr>
        <w:footnoteReference w:id="3"/>
      </w:r>
      <w:r w:rsidR="00867A63" w:rsidRPr="00934A27">
        <w:rPr>
          <w:rFonts w:ascii="Palatino Linotype" w:hAnsi="Palatino Linotype" w:cs="Arial"/>
        </w:rPr>
        <w:t xml:space="preserve">; el cual se integra por un Presidente, </w:t>
      </w:r>
      <w:r w:rsidR="00934A27" w:rsidRPr="00934A27">
        <w:rPr>
          <w:rFonts w:ascii="Palatino Linotype" w:hAnsi="Palatino Linotype" w:cs="Arial"/>
        </w:rPr>
        <w:t>un Síndico y diez R</w:t>
      </w:r>
      <w:r w:rsidR="00934A27">
        <w:rPr>
          <w:rFonts w:ascii="Palatino Linotype" w:hAnsi="Palatino Linotype" w:cs="Arial"/>
        </w:rPr>
        <w:t xml:space="preserve">egidores, como así lo señala </w:t>
      </w:r>
      <w:r w:rsidR="00934A27" w:rsidRPr="00934A27">
        <w:rPr>
          <w:rFonts w:ascii="Palatino Linotype" w:hAnsi="Palatino Linotype" w:cs="Arial"/>
        </w:rPr>
        <w:t>el artículo 46 del Bando Municipal del Sujeto Obligado para el año 2018, que a la letra establece:</w:t>
      </w:r>
    </w:p>
    <w:p w14:paraId="2E44D12E" w14:textId="77777777" w:rsidR="00934A27" w:rsidRDefault="00934A27" w:rsidP="004F1C4A">
      <w:pPr>
        <w:spacing w:before="240" w:after="240" w:line="360" w:lineRule="auto"/>
        <w:contextualSpacing/>
        <w:jc w:val="both"/>
        <w:rPr>
          <w:rFonts w:ascii="Palatino Linotype" w:hAnsi="Palatino Linotype" w:cs="Arial"/>
        </w:rPr>
      </w:pPr>
    </w:p>
    <w:p w14:paraId="7ADECB24" w14:textId="7A131DE0" w:rsidR="00934A27" w:rsidRPr="00934A27" w:rsidRDefault="00934A27" w:rsidP="00934A27">
      <w:pPr>
        <w:autoSpaceDE w:val="0"/>
        <w:autoSpaceDN w:val="0"/>
        <w:adjustRightInd w:val="0"/>
        <w:ind w:left="567" w:right="616"/>
        <w:contextualSpacing/>
        <w:jc w:val="both"/>
        <w:rPr>
          <w:rFonts w:ascii="Palatino Linotype" w:eastAsiaTheme="minorEastAsia" w:hAnsi="Palatino Linotype" w:cs="Calibri"/>
          <w:i/>
          <w:color w:val="000000"/>
          <w:sz w:val="22"/>
          <w:szCs w:val="22"/>
          <w:lang w:val="es-MX"/>
        </w:rPr>
      </w:pPr>
      <w:r>
        <w:rPr>
          <w:rFonts w:ascii="Palatino Linotype" w:eastAsiaTheme="minorEastAsia" w:hAnsi="Palatino Linotype" w:cs="Calibri"/>
          <w:b/>
          <w:bCs/>
          <w:i/>
          <w:color w:val="000000"/>
          <w:sz w:val="22"/>
          <w:szCs w:val="22"/>
          <w:lang w:val="es-MX"/>
        </w:rPr>
        <w:t>“</w:t>
      </w:r>
      <w:r w:rsidRPr="00934A27">
        <w:rPr>
          <w:rFonts w:ascii="Palatino Linotype" w:eastAsiaTheme="minorEastAsia" w:hAnsi="Palatino Linotype" w:cs="Calibri"/>
          <w:b/>
          <w:bCs/>
          <w:i/>
          <w:color w:val="000000"/>
          <w:sz w:val="22"/>
          <w:szCs w:val="22"/>
          <w:lang w:val="es-MX"/>
        </w:rPr>
        <w:t xml:space="preserve">ARTÍCULO </w:t>
      </w:r>
      <w:r w:rsidRPr="00934A27">
        <w:rPr>
          <w:rFonts w:ascii="Palatino Linotype" w:eastAsiaTheme="minorEastAsia" w:hAnsi="Palatino Linotype" w:cs="Calibri"/>
          <w:i/>
          <w:color w:val="000000"/>
          <w:sz w:val="22"/>
          <w:szCs w:val="22"/>
          <w:lang w:val="es-MX"/>
        </w:rPr>
        <w:t xml:space="preserve">46. </w:t>
      </w:r>
      <w:r w:rsidRPr="00934A27">
        <w:rPr>
          <w:rFonts w:ascii="Palatino Linotype" w:eastAsiaTheme="minorEastAsia" w:hAnsi="Palatino Linotype" w:cs="Calibri"/>
          <w:b/>
          <w:i/>
          <w:color w:val="000000"/>
          <w:sz w:val="22"/>
          <w:szCs w:val="22"/>
          <w:lang w:val="es-MX"/>
        </w:rPr>
        <w:t>El municipio de Xalatlaco</w:t>
      </w:r>
      <w:r w:rsidRPr="00934A27">
        <w:rPr>
          <w:rFonts w:ascii="Palatino Linotype" w:eastAsiaTheme="minorEastAsia" w:hAnsi="Palatino Linotype" w:cs="Calibri"/>
          <w:i/>
          <w:color w:val="000000"/>
          <w:sz w:val="22"/>
          <w:szCs w:val="22"/>
          <w:lang w:val="es-MX"/>
        </w:rPr>
        <w:t>, es gobernado por un Ayuntamiento de elección popular, electos conforme a los principios de mayoría relativa y</w:t>
      </w:r>
      <w:r>
        <w:rPr>
          <w:rFonts w:ascii="Palatino Linotype" w:eastAsiaTheme="minorEastAsia" w:hAnsi="Palatino Linotype" w:cs="Calibri"/>
          <w:i/>
          <w:color w:val="000000"/>
          <w:sz w:val="22"/>
          <w:szCs w:val="22"/>
          <w:lang w:val="es-MX"/>
        </w:rPr>
        <w:t xml:space="preserve"> </w:t>
      </w:r>
      <w:r w:rsidRPr="00934A27">
        <w:rPr>
          <w:rFonts w:ascii="Palatino Linotype" w:eastAsiaTheme="minorEastAsia" w:hAnsi="Palatino Linotype" w:cs="Calibri"/>
          <w:i/>
          <w:color w:val="000000"/>
          <w:sz w:val="22"/>
          <w:szCs w:val="22"/>
          <w:lang w:val="es-MX"/>
        </w:rPr>
        <w:t xml:space="preserve">representación proporcional. </w:t>
      </w:r>
    </w:p>
    <w:p w14:paraId="50242D59" w14:textId="77777777" w:rsidR="00934A27" w:rsidRPr="00934A27" w:rsidRDefault="00934A27" w:rsidP="00934A27">
      <w:pPr>
        <w:autoSpaceDE w:val="0"/>
        <w:autoSpaceDN w:val="0"/>
        <w:adjustRightInd w:val="0"/>
        <w:ind w:left="567" w:right="616"/>
        <w:contextualSpacing/>
        <w:jc w:val="both"/>
        <w:rPr>
          <w:rFonts w:ascii="Palatino Linotype" w:eastAsiaTheme="minorEastAsia" w:hAnsi="Palatino Linotype" w:cs="Calibri"/>
          <w:i/>
          <w:color w:val="000000"/>
          <w:sz w:val="22"/>
          <w:szCs w:val="22"/>
          <w:lang w:val="es-MX"/>
        </w:rPr>
      </w:pPr>
      <w:r w:rsidRPr="00934A27">
        <w:rPr>
          <w:rFonts w:ascii="Palatino Linotype" w:eastAsiaTheme="minorEastAsia" w:hAnsi="Palatino Linotype" w:cs="Calibri"/>
          <w:b/>
          <w:i/>
          <w:color w:val="000000"/>
          <w:sz w:val="22"/>
          <w:szCs w:val="22"/>
          <w:lang w:val="es-MX"/>
        </w:rPr>
        <w:t>Los Ayuntamientos se renovarán cada tres años, siendo el periodo vigente del 01 de enero de 2016 al 31 de diciembre del año 2018, integrándose por:</w:t>
      </w:r>
      <w:r w:rsidRPr="00934A27">
        <w:rPr>
          <w:rFonts w:ascii="Palatino Linotype" w:eastAsiaTheme="minorEastAsia" w:hAnsi="Palatino Linotype" w:cs="Calibri"/>
          <w:i/>
          <w:color w:val="000000"/>
          <w:sz w:val="22"/>
          <w:szCs w:val="22"/>
          <w:lang w:val="es-MX"/>
        </w:rPr>
        <w:t xml:space="preserve"> </w:t>
      </w:r>
    </w:p>
    <w:p w14:paraId="16EC802F" w14:textId="77777777" w:rsidR="00934A27" w:rsidRPr="00934A27" w:rsidRDefault="00934A27" w:rsidP="00934A27">
      <w:pPr>
        <w:autoSpaceDE w:val="0"/>
        <w:autoSpaceDN w:val="0"/>
        <w:adjustRightInd w:val="0"/>
        <w:spacing w:after="44"/>
        <w:ind w:left="567" w:right="616"/>
        <w:contextualSpacing/>
        <w:jc w:val="both"/>
        <w:rPr>
          <w:rFonts w:ascii="Palatino Linotype" w:eastAsiaTheme="minorEastAsia" w:hAnsi="Palatino Linotype" w:cs="Calibri"/>
          <w:b/>
          <w:i/>
          <w:color w:val="000000"/>
          <w:sz w:val="22"/>
          <w:szCs w:val="22"/>
          <w:lang w:val="es-MX"/>
        </w:rPr>
      </w:pPr>
      <w:r w:rsidRPr="00934A27">
        <w:rPr>
          <w:rFonts w:ascii="Palatino Linotype" w:eastAsiaTheme="minorEastAsia" w:hAnsi="Palatino Linotype" w:cs="Calibri"/>
          <w:i/>
          <w:color w:val="000000"/>
          <w:sz w:val="22"/>
          <w:szCs w:val="22"/>
          <w:lang w:val="es-MX"/>
        </w:rPr>
        <w:t xml:space="preserve">I. </w:t>
      </w:r>
      <w:r w:rsidRPr="00934A27">
        <w:rPr>
          <w:rFonts w:ascii="Palatino Linotype" w:eastAsiaTheme="minorEastAsia" w:hAnsi="Palatino Linotype" w:cs="Calibri"/>
          <w:b/>
          <w:i/>
          <w:color w:val="000000"/>
          <w:sz w:val="22"/>
          <w:szCs w:val="22"/>
          <w:lang w:val="es-MX"/>
        </w:rPr>
        <w:t xml:space="preserve">Un presidente, </w:t>
      </w:r>
    </w:p>
    <w:p w14:paraId="09FE3E2E" w14:textId="77777777" w:rsidR="00934A27" w:rsidRPr="00934A27" w:rsidRDefault="00934A27" w:rsidP="00934A27">
      <w:pPr>
        <w:autoSpaceDE w:val="0"/>
        <w:autoSpaceDN w:val="0"/>
        <w:adjustRightInd w:val="0"/>
        <w:spacing w:after="44"/>
        <w:ind w:left="567" w:right="616"/>
        <w:contextualSpacing/>
        <w:jc w:val="both"/>
        <w:rPr>
          <w:rFonts w:ascii="Palatino Linotype" w:eastAsiaTheme="minorEastAsia" w:hAnsi="Palatino Linotype" w:cs="Calibri"/>
          <w:b/>
          <w:i/>
          <w:color w:val="000000"/>
          <w:sz w:val="22"/>
          <w:szCs w:val="22"/>
          <w:lang w:val="es-MX"/>
        </w:rPr>
      </w:pPr>
      <w:r w:rsidRPr="00934A27">
        <w:rPr>
          <w:rFonts w:ascii="Palatino Linotype" w:eastAsiaTheme="minorEastAsia" w:hAnsi="Palatino Linotype" w:cs="Calibri"/>
          <w:b/>
          <w:i/>
          <w:color w:val="000000"/>
          <w:sz w:val="22"/>
          <w:szCs w:val="22"/>
          <w:lang w:val="es-MX"/>
        </w:rPr>
        <w:t xml:space="preserve">II. Un Síndico, </w:t>
      </w:r>
    </w:p>
    <w:p w14:paraId="79A4198A" w14:textId="77777777" w:rsidR="00934A27" w:rsidRPr="00934A27" w:rsidRDefault="00934A27" w:rsidP="00934A27">
      <w:pPr>
        <w:autoSpaceDE w:val="0"/>
        <w:autoSpaceDN w:val="0"/>
        <w:adjustRightInd w:val="0"/>
        <w:spacing w:after="44"/>
        <w:ind w:left="567" w:right="616"/>
        <w:contextualSpacing/>
        <w:jc w:val="both"/>
        <w:rPr>
          <w:rFonts w:ascii="Palatino Linotype" w:eastAsiaTheme="minorEastAsia" w:hAnsi="Palatino Linotype" w:cs="Calibri"/>
          <w:b/>
          <w:i/>
          <w:color w:val="000000"/>
          <w:sz w:val="22"/>
          <w:szCs w:val="22"/>
          <w:lang w:val="es-MX"/>
        </w:rPr>
      </w:pPr>
      <w:r w:rsidRPr="00934A27">
        <w:rPr>
          <w:rFonts w:ascii="Palatino Linotype" w:eastAsiaTheme="minorEastAsia" w:hAnsi="Palatino Linotype" w:cs="Calibri"/>
          <w:b/>
          <w:i/>
          <w:color w:val="000000"/>
          <w:sz w:val="22"/>
          <w:szCs w:val="22"/>
          <w:lang w:val="es-MX"/>
        </w:rPr>
        <w:t xml:space="preserve">III. Seis Regidores electos según el principio de mayoría relativa y </w:t>
      </w:r>
    </w:p>
    <w:p w14:paraId="2774B121" w14:textId="217AA7E2" w:rsidR="00934A27" w:rsidRPr="00934A27" w:rsidRDefault="00934A27" w:rsidP="00934A27">
      <w:pPr>
        <w:autoSpaceDE w:val="0"/>
        <w:autoSpaceDN w:val="0"/>
        <w:adjustRightInd w:val="0"/>
        <w:ind w:left="567" w:right="616"/>
        <w:contextualSpacing/>
        <w:jc w:val="both"/>
        <w:rPr>
          <w:rFonts w:ascii="Palatino Linotype" w:eastAsiaTheme="minorEastAsia" w:hAnsi="Palatino Linotype" w:cs="Calibri"/>
          <w:i/>
          <w:color w:val="000000"/>
          <w:sz w:val="22"/>
          <w:szCs w:val="22"/>
          <w:lang w:val="es-MX"/>
        </w:rPr>
      </w:pPr>
      <w:r w:rsidRPr="00934A27">
        <w:rPr>
          <w:rFonts w:ascii="Palatino Linotype" w:eastAsiaTheme="minorEastAsia" w:hAnsi="Palatino Linotype" w:cs="Calibri"/>
          <w:b/>
          <w:i/>
          <w:color w:val="000000"/>
          <w:sz w:val="22"/>
          <w:szCs w:val="22"/>
          <w:lang w:val="es-MX"/>
        </w:rPr>
        <w:t>IV. Cuatro Regidores según el principio de representación proporcional</w:t>
      </w:r>
      <w:r w:rsidRPr="00934A27">
        <w:rPr>
          <w:rFonts w:ascii="Palatino Linotype" w:eastAsiaTheme="minorEastAsia" w:hAnsi="Palatino Linotype" w:cs="Calibri"/>
          <w:i/>
          <w:color w:val="000000"/>
          <w:sz w:val="22"/>
          <w:szCs w:val="22"/>
          <w:lang w:val="es-MX"/>
        </w:rPr>
        <w:t>.</w:t>
      </w:r>
      <w:r>
        <w:rPr>
          <w:rFonts w:ascii="Palatino Linotype" w:eastAsiaTheme="minorEastAsia" w:hAnsi="Palatino Linotype" w:cs="Calibri"/>
          <w:i/>
          <w:color w:val="000000"/>
          <w:sz w:val="22"/>
          <w:szCs w:val="22"/>
          <w:lang w:val="es-MX"/>
        </w:rPr>
        <w:t>” (Sic)</w:t>
      </w:r>
    </w:p>
    <w:p w14:paraId="4E897AD1" w14:textId="77777777" w:rsidR="00934A27" w:rsidRPr="00934A27" w:rsidRDefault="00934A27" w:rsidP="00934A27">
      <w:pPr>
        <w:spacing w:before="240" w:after="240"/>
        <w:ind w:left="567" w:right="616"/>
        <w:contextualSpacing/>
        <w:jc w:val="both"/>
        <w:rPr>
          <w:rFonts w:ascii="Palatino Linotype" w:hAnsi="Palatino Linotype" w:cs="Arial"/>
          <w:i/>
          <w:sz w:val="22"/>
          <w:szCs w:val="22"/>
        </w:rPr>
      </w:pPr>
    </w:p>
    <w:p w14:paraId="2CA01F39" w14:textId="45F3A681" w:rsidR="00934A27" w:rsidRDefault="00934A27" w:rsidP="00934A27">
      <w:pPr>
        <w:spacing w:before="240" w:after="240" w:line="360" w:lineRule="auto"/>
        <w:contextualSpacing/>
        <w:jc w:val="both"/>
        <w:rPr>
          <w:rFonts w:ascii="Palatino Linotype" w:hAnsi="Palatino Linotype" w:cs="Arial"/>
        </w:rPr>
      </w:pPr>
      <w:r>
        <w:rPr>
          <w:rFonts w:ascii="Palatino Linotype" w:hAnsi="Palatino Linotype" w:cs="Arial"/>
        </w:rPr>
        <w:t xml:space="preserve">En base al precepto legal antes invocado, se acredita que el Sujeto Obligado cuenta con </w:t>
      </w:r>
      <w:r w:rsidR="006E4E71">
        <w:rPr>
          <w:rFonts w:ascii="Palatino Linotype" w:hAnsi="Palatino Linotype" w:cs="Arial"/>
        </w:rPr>
        <w:t xml:space="preserve">un </w:t>
      </w:r>
      <w:r>
        <w:rPr>
          <w:rFonts w:ascii="Palatino Linotype" w:hAnsi="Palatino Linotype" w:cs="Arial"/>
        </w:rPr>
        <w:t xml:space="preserve">Presidente Municipal, </w:t>
      </w:r>
      <w:r w:rsidR="006E4E71">
        <w:rPr>
          <w:rFonts w:ascii="Palatino Linotype" w:hAnsi="Palatino Linotype" w:cs="Arial"/>
        </w:rPr>
        <w:t xml:space="preserve">un </w:t>
      </w:r>
      <w:r>
        <w:rPr>
          <w:rFonts w:ascii="Palatino Linotype" w:hAnsi="Palatino Linotype" w:cs="Arial"/>
        </w:rPr>
        <w:t xml:space="preserve">Síndico y </w:t>
      </w:r>
      <w:r w:rsidR="006E4E71">
        <w:rPr>
          <w:rFonts w:ascii="Palatino Linotype" w:hAnsi="Palatino Linotype" w:cs="Arial"/>
        </w:rPr>
        <w:t xml:space="preserve">diez </w:t>
      </w:r>
      <w:r>
        <w:rPr>
          <w:rFonts w:ascii="Palatino Linotype" w:hAnsi="Palatino Linotype" w:cs="Arial"/>
        </w:rPr>
        <w:t>Regidores, para remitir la información requerida por</w:t>
      </w:r>
      <w:r w:rsidR="006E4E71">
        <w:rPr>
          <w:rFonts w:ascii="Palatino Linotype" w:hAnsi="Palatino Linotype" w:cs="Arial"/>
        </w:rPr>
        <w:t xml:space="preserve"> la solicitante relacionada con</w:t>
      </w:r>
      <w:r>
        <w:rPr>
          <w:rFonts w:ascii="Palatino Linotype" w:hAnsi="Palatino Linotype" w:cs="Arial"/>
        </w:rPr>
        <w:t xml:space="preserve"> estos.</w:t>
      </w:r>
    </w:p>
    <w:p w14:paraId="601661DE" w14:textId="77777777" w:rsidR="00986711" w:rsidRDefault="00986711" w:rsidP="00934A27">
      <w:pPr>
        <w:spacing w:before="240" w:after="240" w:line="360" w:lineRule="auto"/>
        <w:contextualSpacing/>
        <w:jc w:val="both"/>
        <w:rPr>
          <w:rFonts w:ascii="Palatino Linotype" w:hAnsi="Palatino Linotype" w:cs="Arial"/>
        </w:rPr>
      </w:pPr>
    </w:p>
    <w:p w14:paraId="1E17A1C6" w14:textId="0ED55A27" w:rsidR="00C0163B" w:rsidRDefault="006E4E71" w:rsidP="00C0163B">
      <w:pPr>
        <w:tabs>
          <w:tab w:val="right" w:leader="dot" w:pos="8505"/>
        </w:tabs>
        <w:spacing w:before="240" w:after="240" w:line="360" w:lineRule="auto"/>
        <w:jc w:val="both"/>
        <w:rPr>
          <w:rStyle w:val="apple-style-span"/>
          <w:rFonts w:cstheme="minorBidi"/>
          <w:color w:val="000000"/>
        </w:rPr>
      </w:pPr>
      <w:r w:rsidRPr="006E4E71">
        <w:rPr>
          <w:rFonts w:ascii="Palatino Linotype" w:hAnsi="Palatino Linotype"/>
        </w:rPr>
        <w:t>R</w:t>
      </w:r>
      <w:r w:rsidR="00C0163B" w:rsidRPr="006E4E71">
        <w:rPr>
          <w:rFonts w:ascii="Palatino Linotype" w:hAnsi="Palatino Linotype"/>
        </w:rPr>
        <w:t xml:space="preserve">egresando al estudio de la Ley de Fiscalización alusiva, es importante indicar que los municipios que conforman el Estado de México, entre ellos el Sujeto Obligado </w:t>
      </w:r>
      <w:r w:rsidR="00C0163B" w:rsidRPr="006E4E71">
        <w:rPr>
          <w:rFonts w:ascii="Palatino Linotype" w:hAnsi="Palatino Linotype"/>
        </w:rPr>
        <w:lastRenderedPageBreak/>
        <w:t xml:space="preserve">son considerados como entes fiscalizables, como así lo señala </w:t>
      </w:r>
      <w:r w:rsidR="00C0163B">
        <w:rPr>
          <w:rFonts w:ascii="Palatino Linotype" w:hAnsi="Palatino Linotype"/>
          <w:color w:val="000000"/>
        </w:rPr>
        <w:t xml:space="preserve">el artículo 4 fracción II de la </w:t>
      </w:r>
      <w:r w:rsidR="00C0163B">
        <w:rPr>
          <w:rStyle w:val="apple-style-span"/>
          <w:rFonts w:ascii="Palatino Linotype" w:hAnsi="Palatino Linotype" w:cs="Arial"/>
          <w:color w:val="000000"/>
        </w:rPr>
        <w:t>Ley de Fiscalización Superior del Es</w:t>
      </w:r>
      <w:r w:rsidR="00087B6F">
        <w:rPr>
          <w:rStyle w:val="apple-style-span"/>
          <w:rFonts w:ascii="Palatino Linotype" w:hAnsi="Palatino Linotype" w:cs="Arial"/>
          <w:color w:val="000000"/>
        </w:rPr>
        <w:t>tado de México, el cual señala:</w:t>
      </w:r>
    </w:p>
    <w:p w14:paraId="0BA5E6C0" w14:textId="77777777" w:rsidR="00C0163B" w:rsidRDefault="00C0163B" w:rsidP="00C0163B">
      <w:pPr>
        <w:autoSpaceDE w:val="0"/>
        <w:autoSpaceDN w:val="0"/>
        <w:adjustRightInd w:val="0"/>
        <w:spacing w:before="240"/>
        <w:ind w:left="851" w:right="851"/>
        <w:contextualSpacing/>
        <w:jc w:val="both"/>
        <w:rPr>
          <w:rFonts w:ascii="Palatino Linotype" w:hAnsi="Palatino Linotype" w:cs="Arial"/>
          <w:i/>
          <w:sz w:val="22"/>
          <w:szCs w:val="22"/>
          <w:lang w:eastAsia="es-MX"/>
        </w:rPr>
      </w:pPr>
      <w:r>
        <w:rPr>
          <w:rFonts w:ascii="Palatino Linotype" w:hAnsi="Palatino Linotype" w:cs="Arial"/>
          <w:b/>
          <w:bCs/>
          <w:i/>
          <w:lang w:eastAsia="es-MX"/>
        </w:rPr>
        <w:t>“</w:t>
      </w:r>
      <w:r w:rsidRPr="00425674">
        <w:rPr>
          <w:rFonts w:ascii="Palatino Linotype" w:hAnsi="Palatino Linotype" w:cs="Arial"/>
          <w:b/>
          <w:bCs/>
          <w:i/>
          <w:sz w:val="22"/>
          <w:szCs w:val="22"/>
          <w:lang w:eastAsia="es-MX"/>
        </w:rPr>
        <w:t xml:space="preserve">Artículo 4. </w:t>
      </w:r>
      <w:r w:rsidRPr="00425674">
        <w:rPr>
          <w:rFonts w:ascii="Palatino Linotype" w:hAnsi="Palatino Linotype" w:cs="Arial"/>
          <w:i/>
          <w:sz w:val="22"/>
          <w:szCs w:val="22"/>
          <w:lang w:eastAsia="es-MX"/>
        </w:rPr>
        <w:t>Son sujetos de fiscalización:</w:t>
      </w:r>
    </w:p>
    <w:p w14:paraId="7692019A" w14:textId="77777777" w:rsidR="00C0163B" w:rsidRPr="000B2171" w:rsidRDefault="00C0163B" w:rsidP="00C0163B">
      <w:pPr>
        <w:autoSpaceDE w:val="0"/>
        <w:autoSpaceDN w:val="0"/>
        <w:adjustRightInd w:val="0"/>
        <w:spacing w:before="240"/>
        <w:ind w:left="851" w:right="851"/>
        <w:contextualSpacing/>
        <w:jc w:val="both"/>
        <w:rPr>
          <w:rFonts w:cs="Arial"/>
          <w:i/>
          <w:sz w:val="22"/>
          <w:szCs w:val="22"/>
          <w:lang w:eastAsia="es-MX"/>
        </w:rPr>
      </w:pPr>
      <w:r w:rsidRPr="000B2171">
        <w:rPr>
          <w:rFonts w:ascii="Palatino Linotype" w:hAnsi="Palatino Linotype" w:cs="Arial"/>
          <w:bCs/>
          <w:i/>
          <w:lang w:eastAsia="es-MX"/>
        </w:rPr>
        <w:t>…</w:t>
      </w:r>
    </w:p>
    <w:p w14:paraId="5A547771" w14:textId="77777777" w:rsidR="00C0163B" w:rsidRPr="000B2171" w:rsidRDefault="00C0163B" w:rsidP="00C0163B">
      <w:pPr>
        <w:autoSpaceDE w:val="0"/>
        <w:autoSpaceDN w:val="0"/>
        <w:adjustRightInd w:val="0"/>
        <w:spacing w:before="240" w:after="160"/>
        <w:ind w:left="851" w:right="851"/>
        <w:contextualSpacing/>
        <w:jc w:val="both"/>
        <w:rPr>
          <w:rStyle w:val="apple-style-span"/>
          <w:b/>
          <w:color w:val="000000"/>
          <w:sz w:val="22"/>
          <w:szCs w:val="22"/>
          <w:lang w:eastAsia="en-US"/>
        </w:rPr>
      </w:pPr>
      <w:r>
        <w:rPr>
          <w:rFonts w:ascii="Palatino Linotype" w:hAnsi="Palatino Linotype" w:cs="Arial"/>
          <w:i/>
          <w:sz w:val="22"/>
          <w:szCs w:val="22"/>
          <w:lang w:eastAsia="es-MX"/>
        </w:rPr>
        <w:t xml:space="preserve">I. </w:t>
      </w:r>
      <w:r w:rsidRPr="000B2171">
        <w:rPr>
          <w:rFonts w:ascii="Palatino Linotype" w:hAnsi="Palatino Linotype" w:cs="Arial"/>
          <w:i/>
          <w:sz w:val="22"/>
          <w:szCs w:val="22"/>
          <w:lang w:eastAsia="es-MX"/>
        </w:rPr>
        <w:t xml:space="preserve">Los </w:t>
      </w:r>
      <w:r>
        <w:rPr>
          <w:rFonts w:ascii="Palatino Linotype" w:hAnsi="Palatino Linotype" w:cs="Arial"/>
          <w:i/>
          <w:sz w:val="22"/>
          <w:szCs w:val="22"/>
          <w:lang w:eastAsia="es-MX"/>
        </w:rPr>
        <w:t>municipios del Estado de México…</w:t>
      </w:r>
      <w:r w:rsidRPr="000B2171">
        <w:rPr>
          <w:rFonts w:ascii="Palatino Linotype" w:hAnsi="Palatino Linotype" w:cs="Arial"/>
          <w:i/>
          <w:sz w:val="22"/>
          <w:szCs w:val="22"/>
          <w:lang w:eastAsia="es-MX"/>
        </w:rPr>
        <w:t xml:space="preserve">” </w:t>
      </w:r>
      <w:r w:rsidRPr="000B2171">
        <w:rPr>
          <w:rFonts w:ascii="Palatino Linotype" w:hAnsi="Palatino Linotype" w:cs="Arial"/>
          <w:b/>
          <w:i/>
          <w:sz w:val="22"/>
          <w:szCs w:val="22"/>
          <w:lang w:eastAsia="es-MX"/>
        </w:rPr>
        <w:t>[Sic]</w:t>
      </w:r>
    </w:p>
    <w:p w14:paraId="757705AF" w14:textId="77777777" w:rsidR="00C0163B" w:rsidRDefault="00C0163B" w:rsidP="00C0163B">
      <w:pPr>
        <w:autoSpaceDE w:val="0"/>
        <w:autoSpaceDN w:val="0"/>
        <w:adjustRightInd w:val="0"/>
        <w:spacing w:line="360" w:lineRule="auto"/>
        <w:ind w:right="49"/>
        <w:jc w:val="both"/>
        <w:rPr>
          <w:rStyle w:val="apple-style-span"/>
          <w:rFonts w:ascii="Palatino Linotype" w:hAnsi="Palatino Linotype" w:cs="Arial"/>
          <w:color w:val="000000"/>
        </w:rPr>
      </w:pPr>
    </w:p>
    <w:p w14:paraId="72221065" w14:textId="0D51422B" w:rsidR="00C0163B" w:rsidRDefault="006E4E71" w:rsidP="00C0163B">
      <w:pPr>
        <w:autoSpaceDE w:val="0"/>
        <w:autoSpaceDN w:val="0"/>
        <w:adjustRightInd w:val="0"/>
        <w:spacing w:line="360" w:lineRule="auto"/>
        <w:ind w:right="49"/>
        <w:jc w:val="both"/>
        <w:rPr>
          <w:rStyle w:val="apple-style-span"/>
          <w:rFonts w:ascii="Palatino Linotype" w:hAnsi="Palatino Linotype" w:cs="Arial"/>
          <w:color w:val="000000"/>
        </w:rPr>
      </w:pPr>
      <w:r>
        <w:rPr>
          <w:rStyle w:val="apple-style-span"/>
          <w:rFonts w:ascii="Palatino Linotype" w:hAnsi="Palatino Linotype" w:cs="Arial"/>
          <w:color w:val="000000"/>
        </w:rPr>
        <w:t>También</w:t>
      </w:r>
      <w:r w:rsidR="00C0163B">
        <w:rPr>
          <w:rStyle w:val="apple-style-span"/>
          <w:rFonts w:ascii="Palatino Linotype" w:hAnsi="Palatino Linotype" w:cs="Arial"/>
          <w:color w:val="000000"/>
        </w:rPr>
        <w:t xml:space="preserve">, el ordenamiento legal referido señala en su artículo 8, fracción XI, que el Órgano Superior de Fiscalización del Estado de México, tiene como una de sus </w:t>
      </w:r>
      <w:r w:rsidR="00F22D69">
        <w:rPr>
          <w:rStyle w:val="apple-style-span"/>
          <w:rFonts w:ascii="Palatino Linotype" w:hAnsi="Palatino Linotype" w:cs="Arial"/>
          <w:color w:val="000000"/>
        </w:rPr>
        <w:t>atribuciones</w:t>
      </w:r>
      <w:r w:rsidR="00C0163B">
        <w:rPr>
          <w:rStyle w:val="apple-style-span"/>
          <w:rFonts w:ascii="Palatino Linotype" w:hAnsi="Palatino Linotype" w:cs="Arial"/>
          <w:color w:val="000000"/>
        </w:rPr>
        <w:t xml:space="preserve"> el de emitir los </w:t>
      </w:r>
      <w:r w:rsidR="00C0163B">
        <w:rPr>
          <w:rStyle w:val="apple-style-span"/>
          <w:rFonts w:ascii="Palatino Linotype" w:hAnsi="Palatino Linotype" w:cs="Arial"/>
          <w:b/>
          <w:color w:val="000000"/>
        </w:rPr>
        <w:t>Lineamientos para la Integración del Informe Mensual de forma anual</w:t>
      </w:r>
      <w:r w:rsidR="00C0163B">
        <w:rPr>
          <w:rStyle w:val="apple-style-span"/>
          <w:rFonts w:ascii="Palatino Linotype" w:hAnsi="Palatino Linotype" w:cs="Arial"/>
          <w:color w:val="000000"/>
        </w:rPr>
        <w:t xml:space="preserve">, </w:t>
      </w:r>
      <w:r w:rsidR="00F22D69">
        <w:rPr>
          <w:rStyle w:val="apple-style-span"/>
          <w:rFonts w:ascii="Palatino Linotype" w:hAnsi="Palatino Linotype" w:cs="Arial"/>
          <w:color w:val="000000"/>
        </w:rPr>
        <w:t>como así se advierte a continuación</w:t>
      </w:r>
      <w:r w:rsidR="00C0163B">
        <w:rPr>
          <w:rStyle w:val="apple-style-span"/>
          <w:rFonts w:ascii="Palatino Linotype" w:hAnsi="Palatino Linotype" w:cs="Arial"/>
          <w:color w:val="000000"/>
        </w:rPr>
        <w:t>:</w:t>
      </w:r>
    </w:p>
    <w:p w14:paraId="1FDBDC6B" w14:textId="77777777" w:rsidR="00C0163B" w:rsidRDefault="00C0163B" w:rsidP="00C0163B">
      <w:pPr>
        <w:autoSpaceDE w:val="0"/>
        <w:autoSpaceDN w:val="0"/>
        <w:adjustRightInd w:val="0"/>
        <w:spacing w:line="360" w:lineRule="auto"/>
        <w:ind w:right="49"/>
        <w:jc w:val="both"/>
        <w:rPr>
          <w:rStyle w:val="apple-style-span"/>
          <w:rFonts w:ascii="Palatino Linotype" w:eastAsiaTheme="minorHAnsi" w:hAnsi="Palatino Linotype" w:cs="Arial"/>
          <w:bCs/>
          <w:color w:val="000000"/>
        </w:rPr>
      </w:pPr>
    </w:p>
    <w:p w14:paraId="50A3B3BC" w14:textId="77777777" w:rsidR="00C0163B" w:rsidRPr="00A235C8" w:rsidRDefault="00C0163B" w:rsidP="00C0163B">
      <w:pPr>
        <w:autoSpaceDE w:val="0"/>
        <w:autoSpaceDN w:val="0"/>
        <w:adjustRightInd w:val="0"/>
        <w:spacing w:before="240"/>
        <w:ind w:left="851" w:right="851"/>
        <w:contextualSpacing/>
        <w:jc w:val="both"/>
        <w:rPr>
          <w:i/>
          <w:sz w:val="22"/>
          <w:szCs w:val="22"/>
        </w:rPr>
      </w:pPr>
      <w:r w:rsidRPr="00A235C8">
        <w:rPr>
          <w:rFonts w:ascii="Palatino Linotype" w:hAnsi="Palatino Linotype" w:cs="Arial"/>
          <w:b/>
          <w:bCs/>
          <w:i/>
          <w:sz w:val="22"/>
          <w:szCs w:val="22"/>
        </w:rPr>
        <w:t xml:space="preserve">“Artículo 8. </w:t>
      </w:r>
      <w:r w:rsidRPr="00A235C8">
        <w:rPr>
          <w:rFonts w:ascii="Palatino Linotype" w:hAnsi="Palatino Linotype" w:cs="Arial"/>
          <w:i/>
          <w:sz w:val="22"/>
          <w:szCs w:val="22"/>
        </w:rPr>
        <w:t>El Órgano Superior tendrá las siguientes atribuciones:</w:t>
      </w:r>
    </w:p>
    <w:p w14:paraId="33331C59" w14:textId="11ADD1B7" w:rsidR="00C0163B" w:rsidRPr="00A235C8" w:rsidRDefault="00C0163B" w:rsidP="00C0163B">
      <w:pPr>
        <w:autoSpaceDE w:val="0"/>
        <w:autoSpaceDN w:val="0"/>
        <w:adjustRightInd w:val="0"/>
        <w:spacing w:before="240"/>
        <w:ind w:left="851" w:right="851"/>
        <w:contextualSpacing/>
        <w:jc w:val="both"/>
        <w:rPr>
          <w:rFonts w:ascii="Palatino Linotype" w:hAnsi="Palatino Linotype" w:cs="Arial"/>
          <w:i/>
          <w:sz w:val="22"/>
          <w:szCs w:val="22"/>
        </w:rPr>
      </w:pPr>
      <w:r>
        <w:rPr>
          <w:rFonts w:ascii="Palatino Linotype" w:hAnsi="Palatino Linotype" w:cs="Arial"/>
          <w:i/>
          <w:sz w:val="22"/>
          <w:szCs w:val="22"/>
        </w:rPr>
        <w:t>…</w:t>
      </w:r>
    </w:p>
    <w:p w14:paraId="4AD34F22" w14:textId="6868D406" w:rsidR="00C0163B" w:rsidRDefault="00C0163B" w:rsidP="00C0163B">
      <w:pPr>
        <w:autoSpaceDE w:val="0"/>
        <w:autoSpaceDN w:val="0"/>
        <w:adjustRightInd w:val="0"/>
        <w:spacing w:before="240"/>
        <w:ind w:left="851" w:right="851"/>
        <w:contextualSpacing/>
        <w:jc w:val="both"/>
        <w:rPr>
          <w:rStyle w:val="apple-style-span"/>
          <w:rFonts w:ascii="Palatino Linotype" w:hAnsi="Palatino Linotype" w:cs="Arial"/>
          <w:b/>
          <w:i/>
          <w:sz w:val="22"/>
          <w:szCs w:val="22"/>
        </w:rPr>
      </w:pPr>
      <w:r w:rsidRPr="00A235C8">
        <w:rPr>
          <w:rFonts w:ascii="Palatino Linotype" w:hAnsi="Palatino Linotype" w:cs="Arial"/>
          <w:b/>
          <w:bCs/>
          <w:i/>
          <w:sz w:val="22"/>
          <w:szCs w:val="22"/>
        </w:rPr>
        <w:t xml:space="preserve">XI. </w:t>
      </w:r>
      <w:r w:rsidRPr="00A235C8">
        <w:rPr>
          <w:rFonts w:ascii="Palatino Linotype" w:hAnsi="Palatino Linotype" w:cs="Arial"/>
          <w:i/>
          <w:sz w:val="22"/>
          <w:szCs w:val="22"/>
        </w:rPr>
        <w:t>Establecer los lineamientos, criterios, procedimientos, métodos y sistemas para las acciones de control y evaluación, necesarios para la fiscalización de las cuentas públi</w:t>
      </w:r>
      <w:r>
        <w:rPr>
          <w:rFonts w:ascii="Palatino Linotype" w:hAnsi="Palatino Linotype" w:cs="Arial"/>
          <w:i/>
          <w:sz w:val="22"/>
          <w:szCs w:val="22"/>
        </w:rPr>
        <w:t>cas y los informes trimestrales</w:t>
      </w:r>
      <w:r w:rsidRPr="006E4E71">
        <w:rPr>
          <w:rFonts w:ascii="Palatino Linotype" w:hAnsi="Palatino Linotype" w:cs="Arial"/>
          <w:i/>
          <w:sz w:val="22"/>
          <w:szCs w:val="22"/>
        </w:rPr>
        <w:t>…</w:t>
      </w:r>
      <w:r w:rsidRPr="006E4E71">
        <w:rPr>
          <w:rStyle w:val="apple-style-span"/>
          <w:rFonts w:ascii="Palatino Linotype" w:hAnsi="Palatino Linotype" w:cs="Arial"/>
          <w:color w:val="000000"/>
          <w:sz w:val="22"/>
          <w:szCs w:val="22"/>
        </w:rPr>
        <w:t xml:space="preserve">” </w:t>
      </w:r>
      <w:r w:rsidRPr="006E4E71">
        <w:rPr>
          <w:rStyle w:val="apple-style-span"/>
          <w:rFonts w:ascii="Palatino Linotype" w:hAnsi="Palatino Linotype" w:cs="Arial"/>
          <w:sz w:val="22"/>
          <w:szCs w:val="22"/>
        </w:rPr>
        <w:t>(</w:t>
      </w:r>
      <w:r w:rsidRPr="006E4E71">
        <w:rPr>
          <w:rStyle w:val="apple-style-span"/>
          <w:rFonts w:ascii="Palatino Linotype" w:hAnsi="Palatino Linotype" w:cs="Arial"/>
          <w:i/>
          <w:sz w:val="22"/>
          <w:szCs w:val="22"/>
        </w:rPr>
        <w:t>Sic)</w:t>
      </w:r>
    </w:p>
    <w:p w14:paraId="01642731" w14:textId="77777777" w:rsidR="006E4E71" w:rsidRPr="00A235C8" w:rsidRDefault="006E4E71" w:rsidP="00C0163B">
      <w:pPr>
        <w:autoSpaceDE w:val="0"/>
        <w:autoSpaceDN w:val="0"/>
        <w:adjustRightInd w:val="0"/>
        <w:spacing w:before="240"/>
        <w:ind w:left="851" w:right="851"/>
        <w:contextualSpacing/>
        <w:jc w:val="both"/>
        <w:rPr>
          <w:rStyle w:val="apple-style-span"/>
          <w:rFonts w:ascii="Palatino Linotype" w:hAnsi="Palatino Linotype" w:cs="Arial"/>
          <w:b/>
          <w:i/>
          <w:sz w:val="22"/>
          <w:szCs w:val="22"/>
        </w:rPr>
      </w:pPr>
    </w:p>
    <w:p w14:paraId="4DCC6E72" w14:textId="4FBEAEC5" w:rsidR="00C0163B" w:rsidRDefault="00F22D69" w:rsidP="00C0163B">
      <w:pPr>
        <w:spacing w:line="360" w:lineRule="auto"/>
        <w:contextualSpacing/>
        <w:jc w:val="both"/>
        <w:rPr>
          <w:rFonts w:ascii="Palatino Linotype" w:hAnsi="Palatino Linotype"/>
        </w:rPr>
      </w:pPr>
      <w:r>
        <w:rPr>
          <w:rFonts w:ascii="Palatino Linotype" w:hAnsi="Palatino Linotype"/>
        </w:rPr>
        <w:t>Ahora bien, dichos</w:t>
      </w:r>
      <w:r w:rsidR="00C0163B">
        <w:rPr>
          <w:rFonts w:ascii="Palatino Linotype" w:hAnsi="Palatino Linotype"/>
        </w:rPr>
        <w:t xml:space="preserve"> </w:t>
      </w:r>
      <w:r w:rsidR="00C0163B" w:rsidRPr="00201BE8">
        <w:rPr>
          <w:rFonts w:ascii="Palatino Linotype" w:hAnsi="Palatino Linotype"/>
        </w:rPr>
        <w:t xml:space="preserve">Lineamientos </w:t>
      </w:r>
      <w:r w:rsidR="00C0163B" w:rsidRPr="00201BE8">
        <w:rPr>
          <w:rStyle w:val="apple-style-span"/>
          <w:rFonts w:ascii="Palatino Linotype" w:hAnsi="Palatino Linotype" w:cs="Arial"/>
          <w:color w:val="000000"/>
        </w:rPr>
        <w:t>para la Integración del Informe Mensual</w:t>
      </w:r>
      <w:r w:rsidR="00C0163B">
        <w:rPr>
          <w:rFonts w:ascii="Palatino Linotype" w:hAnsi="Palatino Linotype"/>
        </w:rPr>
        <w:t xml:space="preserve">, emitidos por el Órgano Superior de Fiscalización del Estado de México </w:t>
      </w:r>
      <w:r w:rsidR="00C0163B" w:rsidRPr="00201BE8">
        <w:rPr>
          <w:rStyle w:val="apple-style-span"/>
          <w:rFonts w:ascii="Palatino Linotype" w:hAnsi="Palatino Linotype" w:cs="Arial"/>
          <w:color w:val="000000"/>
        </w:rPr>
        <w:t>para el ejercicio fiscal 2018</w:t>
      </w:r>
      <w:r w:rsidR="00C0163B">
        <w:rPr>
          <w:rFonts w:ascii="Palatino Linotype" w:hAnsi="Palatino Linotype"/>
        </w:rPr>
        <w:t>, contienen los criterios, formatos y documentación necesaria para presentar los informes mensuales, dentro de los cuales se destaca en el Disco 4, lo relativo a la información de nómina, como así se aprecia en la siguiente imagen que de manera ilustrativa se inserta:</w:t>
      </w:r>
    </w:p>
    <w:p w14:paraId="6266EEF4" w14:textId="6143AD15" w:rsidR="00CC6278" w:rsidRDefault="00E95ACA" w:rsidP="00C0163B">
      <w:pPr>
        <w:spacing w:line="360" w:lineRule="auto"/>
        <w:contextualSpacing/>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75648" behindDoc="0" locked="0" layoutInCell="1" allowOverlap="1" wp14:anchorId="6668251C" wp14:editId="44A079AA">
                <wp:simplePos x="0" y="0"/>
                <wp:positionH relativeFrom="column">
                  <wp:posOffset>65913</wp:posOffset>
                </wp:positionH>
                <wp:positionV relativeFrom="paragraph">
                  <wp:posOffset>18542</wp:posOffset>
                </wp:positionV>
                <wp:extent cx="5474208" cy="1578864"/>
                <wp:effectExtent l="38100" t="38100" r="69850" b="97790"/>
                <wp:wrapNone/>
                <wp:docPr id="4" name="Conector recto 4"/>
                <wp:cNvGraphicFramePr/>
                <a:graphic xmlns:a="http://schemas.openxmlformats.org/drawingml/2006/main">
                  <a:graphicData uri="http://schemas.microsoft.com/office/word/2010/wordprocessingShape">
                    <wps:wsp>
                      <wps:cNvCnPr/>
                      <wps:spPr>
                        <a:xfrm>
                          <a:off x="0" y="0"/>
                          <a:ext cx="5474208" cy="157886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0555B" id="Conector recto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45pt" to="436.25pt,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" strokecolor="#4f81bd [3204]" strokeweight="2pt">
                <v:shadow on="t" color="black" opacity="24903f" origin=",.5" offset="0,.55556mm"/>
              </v:line>
            </w:pict>
          </mc:Fallback>
        </mc:AlternateContent>
      </w:r>
    </w:p>
    <w:p w14:paraId="21E9DFE2" w14:textId="77777777" w:rsidR="00CC6278" w:rsidRDefault="00CC6278" w:rsidP="00C0163B">
      <w:pPr>
        <w:spacing w:line="360" w:lineRule="auto"/>
        <w:contextualSpacing/>
        <w:jc w:val="both"/>
        <w:rPr>
          <w:rFonts w:ascii="Palatino Linotype" w:hAnsi="Palatino Linotype"/>
        </w:rPr>
      </w:pPr>
    </w:p>
    <w:p w14:paraId="5387298E" w14:textId="77777777" w:rsidR="00E95ACA" w:rsidRDefault="00E95ACA" w:rsidP="00C0163B">
      <w:pPr>
        <w:spacing w:line="360" w:lineRule="auto"/>
        <w:contextualSpacing/>
        <w:jc w:val="both"/>
        <w:rPr>
          <w:rFonts w:ascii="Palatino Linotype" w:hAnsi="Palatino Linotype"/>
        </w:rPr>
      </w:pPr>
    </w:p>
    <w:p w14:paraId="0351FC9E" w14:textId="77777777" w:rsidR="00E95ACA" w:rsidRDefault="00E95ACA" w:rsidP="00C0163B">
      <w:pPr>
        <w:spacing w:line="360" w:lineRule="auto"/>
        <w:contextualSpacing/>
        <w:jc w:val="both"/>
        <w:rPr>
          <w:rFonts w:ascii="Palatino Linotype" w:hAnsi="Palatino Linotype"/>
        </w:rPr>
      </w:pPr>
    </w:p>
    <w:p w14:paraId="27D101CD" w14:textId="51DA2B63" w:rsidR="006E4E71" w:rsidRDefault="006E4E71" w:rsidP="004F1C4A">
      <w:pPr>
        <w:spacing w:before="240" w:after="240" w:line="360" w:lineRule="auto"/>
        <w:contextualSpacing/>
        <w:jc w:val="both"/>
        <w:rPr>
          <w:rFonts w:ascii="Palatino Linotype" w:hAnsi="Palatino Linotype"/>
        </w:rPr>
      </w:pPr>
    </w:p>
    <w:p w14:paraId="038AA754" w14:textId="022FEC5E" w:rsidR="00C0163B" w:rsidRDefault="00F22D69" w:rsidP="004F1C4A">
      <w:pPr>
        <w:spacing w:before="240" w:after="240" w:line="360" w:lineRule="auto"/>
        <w:contextualSpacing/>
        <w:jc w:val="both"/>
        <w:rPr>
          <w:rFonts w:ascii="Palatino Linotype" w:hAnsi="Palatino Linotype"/>
        </w:rPr>
      </w:pPr>
      <w:r>
        <w:rPr>
          <w:noProof/>
          <w:lang w:val="es-MX" w:eastAsia="es-MX"/>
        </w:rPr>
        <w:lastRenderedPageBreak/>
        <w:drawing>
          <wp:anchor distT="0" distB="0" distL="114300" distR="114300" simplePos="0" relativeHeight="251659264" behindDoc="0" locked="0" layoutInCell="1" allowOverlap="1" wp14:anchorId="36B5E52E" wp14:editId="0A1D1051">
            <wp:simplePos x="0" y="0"/>
            <wp:positionH relativeFrom="column">
              <wp:posOffset>142911</wp:posOffset>
            </wp:positionH>
            <wp:positionV relativeFrom="paragraph">
              <wp:posOffset>137330</wp:posOffset>
            </wp:positionV>
            <wp:extent cx="5332730" cy="308673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528" t="13062" r="33127" b="5226"/>
                    <a:stretch/>
                  </pic:blipFill>
                  <pic:spPr bwMode="auto">
                    <a:xfrm>
                      <a:off x="0" y="0"/>
                      <a:ext cx="5332730" cy="3086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744206" w14:textId="77777777" w:rsidR="00F22D69" w:rsidRDefault="00F22D69" w:rsidP="00DF1EDA">
      <w:pPr>
        <w:spacing w:before="240" w:after="240" w:line="360" w:lineRule="auto"/>
        <w:contextualSpacing/>
        <w:jc w:val="both"/>
        <w:rPr>
          <w:rFonts w:ascii="Palatino Linotype" w:hAnsi="Palatino Linotype" w:cs="Arial"/>
        </w:rPr>
      </w:pPr>
    </w:p>
    <w:p w14:paraId="2215B24E" w14:textId="77777777" w:rsidR="00F22D69" w:rsidRDefault="00F22D69" w:rsidP="00DF1EDA">
      <w:pPr>
        <w:spacing w:before="240" w:after="240" w:line="360" w:lineRule="auto"/>
        <w:contextualSpacing/>
        <w:jc w:val="both"/>
        <w:rPr>
          <w:rFonts w:ascii="Palatino Linotype" w:hAnsi="Palatino Linotype" w:cs="Arial"/>
        </w:rPr>
      </w:pPr>
    </w:p>
    <w:p w14:paraId="356610CF" w14:textId="77777777" w:rsidR="00F22D69" w:rsidRDefault="00F22D69" w:rsidP="00DF1EDA">
      <w:pPr>
        <w:spacing w:before="240" w:after="240" w:line="360" w:lineRule="auto"/>
        <w:contextualSpacing/>
        <w:jc w:val="both"/>
        <w:rPr>
          <w:rFonts w:ascii="Palatino Linotype" w:hAnsi="Palatino Linotype" w:cs="Arial"/>
        </w:rPr>
      </w:pPr>
    </w:p>
    <w:p w14:paraId="279FB110" w14:textId="77777777" w:rsidR="00F22D69" w:rsidRDefault="00F22D69" w:rsidP="00DF1EDA">
      <w:pPr>
        <w:spacing w:before="240" w:after="240" w:line="360" w:lineRule="auto"/>
        <w:contextualSpacing/>
        <w:jc w:val="both"/>
        <w:rPr>
          <w:rFonts w:ascii="Palatino Linotype" w:hAnsi="Palatino Linotype" w:cs="Arial"/>
        </w:rPr>
      </w:pPr>
    </w:p>
    <w:p w14:paraId="345880D0" w14:textId="77777777" w:rsidR="00F22D69" w:rsidRDefault="00F22D69" w:rsidP="00DF1EDA">
      <w:pPr>
        <w:spacing w:before="240" w:after="240" w:line="360" w:lineRule="auto"/>
        <w:contextualSpacing/>
        <w:jc w:val="both"/>
        <w:rPr>
          <w:rFonts w:ascii="Palatino Linotype" w:hAnsi="Palatino Linotype" w:cs="Arial"/>
        </w:rPr>
      </w:pPr>
    </w:p>
    <w:p w14:paraId="425288C6" w14:textId="77777777" w:rsidR="00F22D69" w:rsidRDefault="00F22D69" w:rsidP="00DF1EDA">
      <w:pPr>
        <w:spacing w:before="240" w:after="240" w:line="360" w:lineRule="auto"/>
        <w:contextualSpacing/>
        <w:jc w:val="both"/>
        <w:rPr>
          <w:rFonts w:ascii="Palatino Linotype" w:hAnsi="Palatino Linotype" w:cs="Arial"/>
        </w:rPr>
      </w:pPr>
    </w:p>
    <w:p w14:paraId="7355EC44" w14:textId="02042DE2" w:rsidR="00F22D69" w:rsidRDefault="00F22D69" w:rsidP="00DF1EDA">
      <w:pPr>
        <w:spacing w:before="240" w:after="240" w:line="360" w:lineRule="auto"/>
        <w:contextualSpacing/>
        <w:jc w:val="both"/>
        <w:rPr>
          <w:rFonts w:ascii="Palatino Linotype" w:hAnsi="Palatino Linotype" w:cs="Arial"/>
        </w:rPr>
      </w:pPr>
    </w:p>
    <w:p w14:paraId="4255F2D3" w14:textId="7560D572" w:rsidR="00F22D69" w:rsidRDefault="00F22D69" w:rsidP="00DF1EDA">
      <w:pPr>
        <w:spacing w:before="240" w:after="240" w:line="360" w:lineRule="auto"/>
        <w:contextualSpacing/>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51708E82" wp14:editId="0A431AF2">
                <wp:simplePos x="0" y="0"/>
                <wp:positionH relativeFrom="column">
                  <wp:posOffset>214192</wp:posOffset>
                </wp:positionH>
                <wp:positionV relativeFrom="paragraph">
                  <wp:posOffset>47509</wp:posOffset>
                </wp:positionV>
                <wp:extent cx="2208530" cy="115766"/>
                <wp:effectExtent l="57150" t="38100" r="77470" b="93980"/>
                <wp:wrapNone/>
                <wp:docPr id="3" name="Rectángulo 3"/>
                <wp:cNvGraphicFramePr/>
                <a:graphic xmlns:a="http://schemas.openxmlformats.org/drawingml/2006/main">
                  <a:graphicData uri="http://schemas.microsoft.com/office/word/2010/wordprocessingShape">
                    <wps:wsp>
                      <wps:cNvSpPr/>
                      <wps:spPr>
                        <a:xfrm>
                          <a:off x="0" y="0"/>
                          <a:ext cx="2208530" cy="115766"/>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12044" id="Rectángulo 3" o:spid="_x0000_s1026" style="position:absolute;margin-left:16.85pt;margin-top:3.75pt;width:173.9pt;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" filled="f" strokecolor="#4579b8 [3044]" strokeweight="2.25pt">
                <v:shadow on="t" color="black" opacity="22937f" origin=",.5" offset="0,.63889mm"/>
              </v:rect>
            </w:pict>
          </mc:Fallback>
        </mc:AlternateContent>
      </w:r>
    </w:p>
    <w:p w14:paraId="765167E2" w14:textId="03892AA9" w:rsidR="00F22D69" w:rsidRDefault="00F22D69" w:rsidP="00DF1EDA">
      <w:pPr>
        <w:spacing w:before="240" w:after="240" w:line="360" w:lineRule="auto"/>
        <w:contextualSpacing/>
        <w:jc w:val="both"/>
        <w:rPr>
          <w:rFonts w:ascii="Palatino Linotype" w:hAnsi="Palatino Linotype" w:cs="Arial"/>
        </w:rPr>
      </w:pPr>
    </w:p>
    <w:p w14:paraId="2C0B4423" w14:textId="018C33BB" w:rsidR="00F22D69" w:rsidRDefault="00F22D69" w:rsidP="00DF1EDA">
      <w:pPr>
        <w:spacing w:before="240" w:after="240" w:line="360" w:lineRule="auto"/>
        <w:contextualSpacing/>
        <w:jc w:val="both"/>
        <w:rPr>
          <w:rFonts w:ascii="Palatino Linotype" w:hAnsi="Palatino Linotype" w:cs="Arial"/>
        </w:rPr>
      </w:pPr>
    </w:p>
    <w:p w14:paraId="75CB31F0" w14:textId="4E52BA87" w:rsidR="00F22D69" w:rsidRDefault="006E4E71" w:rsidP="006E4E71">
      <w:pPr>
        <w:spacing w:line="360" w:lineRule="auto"/>
        <w:contextualSpacing/>
        <w:jc w:val="both"/>
        <w:rPr>
          <w:rFonts w:ascii="Palatino Linotype" w:hAnsi="Palatino Linotype"/>
        </w:rPr>
      </w:pPr>
      <w:r w:rsidRPr="0040670A">
        <w:rPr>
          <w:rFonts w:ascii="Palatino Linotype" w:hAnsi="Palatino Linotype"/>
        </w:rPr>
        <w:t>R</w:t>
      </w:r>
      <w:r w:rsidR="00F22D69" w:rsidRPr="0040670A">
        <w:rPr>
          <w:rFonts w:ascii="Palatino Linotype" w:hAnsi="Palatino Linotype"/>
        </w:rPr>
        <w:t xml:space="preserve">esulta oportuno señalar </w:t>
      </w:r>
      <w:r w:rsidR="00F22D69" w:rsidRPr="00E3009B">
        <w:rPr>
          <w:rFonts w:ascii="Palatino Linotype" w:hAnsi="Palatino Linotype"/>
        </w:rPr>
        <w:t>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0F47BA0E" w14:textId="77777777" w:rsidR="00F22D69" w:rsidRPr="00E3009B" w:rsidRDefault="00F22D69" w:rsidP="00F22D69">
      <w:pPr>
        <w:spacing w:line="360" w:lineRule="auto"/>
        <w:jc w:val="both"/>
        <w:rPr>
          <w:rFonts w:ascii="Palatino Linotype" w:hAnsi="Palatino Linotype"/>
        </w:rPr>
      </w:pPr>
    </w:p>
    <w:p w14:paraId="4DB953EC" w14:textId="77777777" w:rsidR="00F22D69" w:rsidRPr="00E3009B" w:rsidRDefault="00F22D69" w:rsidP="00F22D69">
      <w:pPr>
        <w:spacing w:before="240"/>
        <w:ind w:left="851" w:right="851"/>
        <w:contextualSpacing/>
        <w:jc w:val="both"/>
        <w:rPr>
          <w:rFonts w:ascii="Palatino Linotype" w:hAnsi="Palatino Linotype"/>
          <w:i/>
          <w:sz w:val="22"/>
          <w:szCs w:val="22"/>
        </w:rPr>
      </w:pPr>
      <w:r w:rsidRPr="00E3009B">
        <w:rPr>
          <w:rFonts w:ascii="Palatino Linotype" w:hAnsi="Palatino Linotype"/>
          <w:b/>
          <w:i/>
          <w:sz w:val="22"/>
          <w:szCs w:val="22"/>
        </w:rPr>
        <w:t>“Artículo 32</w:t>
      </w:r>
      <w:r w:rsidRPr="00E3009B">
        <w:rPr>
          <w:rFonts w:ascii="Palatino Linotype" w:hAnsi="Palatino Linotype"/>
          <w:i/>
          <w:sz w:val="22"/>
          <w:szCs w:val="22"/>
        </w:rPr>
        <w:t>.- El Gobernador del Estado, por conducto del titular de la dependencia competente, presentará a la Legislatura la cuenta pública del Gobierno del Estado del ejercicio fiscal inmediato anterior, a más tardar el quince de mayo de cada año.</w:t>
      </w:r>
    </w:p>
    <w:p w14:paraId="59D55E59" w14:textId="77777777" w:rsidR="00F22D69" w:rsidRPr="00E3009B" w:rsidRDefault="00F22D69" w:rsidP="00F22D69">
      <w:pPr>
        <w:spacing w:before="240"/>
        <w:ind w:left="851" w:right="851"/>
        <w:contextualSpacing/>
        <w:jc w:val="both"/>
        <w:rPr>
          <w:rFonts w:ascii="Palatino Linotype" w:hAnsi="Palatino Linotype"/>
          <w:i/>
          <w:sz w:val="22"/>
          <w:szCs w:val="22"/>
        </w:rPr>
      </w:pPr>
      <w:r w:rsidRPr="00E3009B">
        <w:rPr>
          <w:rFonts w:ascii="Palatino Linotype" w:hAnsi="Palatino Linotype"/>
          <w:i/>
          <w:sz w:val="22"/>
          <w:szCs w:val="22"/>
        </w:rPr>
        <w:t xml:space="preserve">Los Presidentes Municipales presentarán a la Legislatura las cuentas públicas anuales de sus respectivos municipios, del ejercicio fiscal inmediato anterior, dentro de los quince primeros días del mes de marzo de cada año; asimismo, </w:t>
      </w:r>
      <w:r w:rsidRPr="00E3009B">
        <w:rPr>
          <w:rFonts w:ascii="Palatino Linotype" w:hAnsi="Palatino Linotype"/>
          <w:b/>
          <w:i/>
          <w:sz w:val="22"/>
          <w:szCs w:val="22"/>
        </w:rPr>
        <w:t xml:space="preserve">los </w:t>
      </w:r>
      <w:r w:rsidRPr="00E3009B">
        <w:rPr>
          <w:rFonts w:ascii="Palatino Linotype" w:hAnsi="Palatino Linotype"/>
          <w:b/>
          <w:i/>
          <w:sz w:val="22"/>
          <w:szCs w:val="22"/>
        </w:rPr>
        <w:lastRenderedPageBreak/>
        <w:t>informes mensuales los deberán presentar dentro de los veinte días posteriores al término del mes correspondiente</w:t>
      </w:r>
      <w:r w:rsidRPr="00E3009B">
        <w:rPr>
          <w:rFonts w:ascii="Palatino Linotype" w:hAnsi="Palatino Linotype"/>
          <w:i/>
          <w:sz w:val="22"/>
          <w:szCs w:val="22"/>
        </w:rPr>
        <w:t>.”</w:t>
      </w:r>
      <w:r>
        <w:rPr>
          <w:rFonts w:ascii="Palatino Linotype" w:hAnsi="Palatino Linotype"/>
          <w:i/>
          <w:sz w:val="22"/>
          <w:szCs w:val="22"/>
        </w:rPr>
        <w:t>(Sic)</w:t>
      </w:r>
    </w:p>
    <w:p w14:paraId="69915F76" w14:textId="77777777" w:rsidR="00F22D69" w:rsidRDefault="00F22D69" w:rsidP="00F22D69">
      <w:pPr>
        <w:ind w:left="851" w:right="758"/>
        <w:jc w:val="both"/>
        <w:rPr>
          <w:rFonts w:ascii="Palatino Linotype" w:hAnsi="Palatino Linotype"/>
          <w:i/>
        </w:rPr>
      </w:pPr>
    </w:p>
    <w:p w14:paraId="090817A0" w14:textId="77777777" w:rsidR="00F22D69" w:rsidRPr="00E3009B" w:rsidRDefault="00F22D69" w:rsidP="00F22D69">
      <w:pPr>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Lo que se robustece con lo establecido por </w:t>
      </w:r>
      <w:r w:rsidRPr="00E3009B">
        <w:rPr>
          <w:rFonts w:ascii="Palatino Linotype" w:hAnsi="Palatino Linotype"/>
        </w:rPr>
        <w:t xml:space="preserve">artículo 350 del Código Financiero del Estado de México y Municipios, </w:t>
      </w:r>
      <w:r>
        <w:rPr>
          <w:rFonts w:ascii="Palatino Linotype" w:hAnsi="Palatino Linotype"/>
        </w:rPr>
        <w:t>que señala</w:t>
      </w:r>
      <w:r w:rsidRPr="00E3009B">
        <w:rPr>
          <w:rFonts w:ascii="Palatino Linotype" w:hAnsi="Palatino Linotype"/>
        </w:rPr>
        <w:t>:</w:t>
      </w:r>
    </w:p>
    <w:p w14:paraId="167EFBDE" w14:textId="77777777" w:rsidR="00F22D69" w:rsidRPr="00E3009B" w:rsidRDefault="00F22D69" w:rsidP="00F22D69">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w:t>
      </w:r>
      <w:r w:rsidRPr="00E3009B">
        <w:rPr>
          <w:rFonts w:ascii="Palatino Linotype" w:hAnsi="Palatino Linotype"/>
          <w:b/>
          <w:i/>
          <w:sz w:val="22"/>
          <w:szCs w:val="22"/>
        </w:rPr>
        <w:t>Artículo 350</w:t>
      </w:r>
      <w:r w:rsidRPr="00E3009B">
        <w:rPr>
          <w:rFonts w:ascii="Palatino Linotype" w:hAnsi="Palatino Linotype"/>
          <w:i/>
          <w:sz w:val="22"/>
          <w:szCs w:val="22"/>
        </w:rPr>
        <w:t xml:space="preserve">.- Mensualmente dentro de los primeros veinte días hábiles, la Secretaría y las Tesorerías, enviarán para su análisis y evaluación al Órgano Superior de Fiscalización del Estado de México, la siguiente información: </w:t>
      </w:r>
    </w:p>
    <w:p w14:paraId="2091239B" w14:textId="77777777" w:rsidR="00F22D69" w:rsidRPr="00E3009B" w:rsidRDefault="00F22D69" w:rsidP="00F22D69">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 xml:space="preserve">I. Información patrimonial. </w:t>
      </w:r>
    </w:p>
    <w:p w14:paraId="7B0FAE5F" w14:textId="77777777" w:rsidR="00F22D69" w:rsidRPr="00E3009B" w:rsidRDefault="00F22D69" w:rsidP="00F22D69">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 xml:space="preserve">II. Información presupuestal. </w:t>
      </w:r>
    </w:p>
    <w:p w14:paraId="23A17424" w14:textId="77777777" w:rsidR="00F22D69" w:rsidRPr="00E3009B" w:rsidRDefault="00F22D69" w:rsidP="00F22D69">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 xml:space="preserve">III. Información de la obra pública. </w:t>
      </w:r>
    </w:p>
    <w:p w14:paraId="03F145D9" w14:textId="77777777" w:rsidR="00F22D69" w:rsidRPr="00E3009B" w:rsidRDefault="00F22D69" w:rsidP="00F22D69">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b/>
          <w:i/>
          <w:sz w:val="22"/>
          <w:szCs w:val="22"/>
        </w:rPr>
        <w:t>IV. Información de nómina</w:t>
      </w:r>
      <w:r w:rsidRPr="00E3009B">
        <w:rPr>
          <w:rFonts w:ascii="Palatino Linotype" w:hAnsi="Palatino Linotype"/>
          <w:i/>
          <w:sz w:val="22"/>
          <w:szCs w:val="22"/>
        </w:rPr>
        <w:t>.”</w:t>
      </w:r>
    </w:p>
    <w:p w14:paraId="5A115538" w14:textId="7EFDF49C" w:rsidR="00F22D69" w:rsidRDefault="00F22D69" w:rsidP="00F22D69">
      <w:pPr>
        <w:shd w:val="clear" w:color="auto" w:fill="FFFFFF"/>
        <w:spacing w:before="240" w:after="240" w:line="360" w:lineRule="auto"/>
        <w:jc w:val="both"/>
        <w:rPr>
          <w:rFonts w:asciiTheme="minorHAnsi" w:hAnsiTheme="minorHAnsi" w:cstheme="minorBidi"/>
          <w:noProof/>
          <w:sz w:val="22"/>
          <w:szCs w:val="22"/>
          <w:lang w:val="es-MX" w:eastAsia="es-MX"/>
        </w:rPr>
      </w:pPr>
    </w:p>
    <w:p w14:paraId="65FF38CE" w14:textId="49FC612B" w:rsidR="00F22D69" w:rsidRDefault="00CC6278" w:rsidP="00F22D69">
      <w:pPr>
        <w:shd w:val="clear" w:color="auto" w:fill="FFFFFF"/>
        <w:spacing w:before="240" w:after="240" w:line="360" w:lineRule="auto"/>
        <w:jc w:val="both"/>
        <w:rPr>
          <w:rFonts w:ascii="Palatino Linotype" w:hAnsi="Palatino Linotype" w:cs="Arial"/>
          <w:lang w:eastAsia="es-MX"/>
        </w:rPr>
      </w:pPr>
      <w:r>
        <w:rPr>
          <w:rFonts w:asciiTheme="minorHAnsi" w:hAnsiTheme="minorHAnsi" w:cstheme="minorBidi"/>
          <w:noProof/>
          <w:sz w:val="22"/>
          <w:szCs w:val="22"/>
          <w:lang w:val="es-MX" w:eastAsia="es-MX"/>
        </w:rPr>
        <w:drawing>
          <wp:anchor distT="0" distB="0" distL="114300" distR="114300" simplePos="0" relativeHeight="251663360" behindDoc="1" locked="0" layoutInCell="1" allowOverlap="1" wp14:anchorId="0B333385" wp14:editId="1C4C6225">
            <wp:simplePos x="0" y="0"/>
            <wp:positionH relativeFrom="margin">
              <wp:posOffset>148169</wp:posOffset>
            </wp:positionH>
            <wp:positionV relativeFrom="paragraph">
              <wp:posOffset>1628766</wp:posOffset>
            </wp:positionV>
            <wp:extent cx="5542915" cy="2910196"/>
            <wp:effectExtent l="19050" t="19050" r="19685" b="2413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rotWithShape="1">
                    <a:blip r:embed="rId10">
                      <a:extLst>
                        <a:ext uri="{28A0092B-C50C-407E-A947-70E740481C1C}">
                          <a14:useLocalDpi xmlns:a14="http://schemas.microsoft.com/office/drawing/2010/main" val="0"/>
                        </a:ext>
                      </a:extLst>
                    </a:blip>
                    <a:srcRect b="31456"/>
                    <a:stretch/>
                  </pic:blipFill>
                  <pic:spPr bwMode="auto">
                    <a:xfrm>
                      <a:off x="0" y="0"/>
                      <a:ext cx="5542915" cy="2910196"/>
                    </a:xfrm>
                    <a:prstGeom prst="rect">
                      <a:avLst/>
                    </a:prstGeom>
                    <a:noFill/>
                    <a:ln w="9525" cap="flat" cmpd="sng" algn="ctr">
                      <a:solidFill>
                        <a:sysClr val="windowText" lastClr="000000">
                          <a:lumMod val="100000"/>
                          <a:lumOff val="0"/>
                        </a:sysClr>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2D69">
        <w:rPr>
          <w:rFonts w:ascii="Palatino Linotype" w:hAnsi="Palatino Linotype" w:cs="Arial"/>
          <w:lang w:eastAsia="es-MX"/>
        </w:rPr>
        <w:t>En ese sentido, los repetitivos Lineamientos para el ejercicio fiscal 2018, contienen entre otras cosas, los formatos que permiten recopilar la información correspondiente a la nómina general y el reporte de pagos a servidores públicos de mandos medios y superiores, como así se observa en las siguientes imágenes que manera ilustrativa se insertan:</w:t>
      </w:r>
    </w:p>
    <w:p w14:paraId="491C0FBE" w14:textId="7F1C5DC0" w:rsidR="007B282D" w:rsidRDefault="007B282D" w:rsidP="00DF1EDA">
      <w:pPr>
        <w:spacing w:before="240" w:after="240" w:line="360" w:lineRule="auto"/>
        <w:contextualSpacing/>
        <w:jc w:val="both"/>
        <w:rPr>
          <w:rFonts w:ascii="Palatino Linotype" w:hAnsi="Palatino Linotype" w:cs="Arial"/>
        </w:rPr>
      </w:pPr>
    </w:p>
    <w:p w14:paraId="5494C0EB" w14:textId="7C121827" w:rsidR="007B282D" w:rsidRDefault="007B282D" w:rsidP="00DF1EDA">
      <w:pPr>
        <w:spacing w:before="240" w:after="240" w:line="360" w:lineRule="auto"/>
        <w:contextualSpacing/>
        <w:jc w:val="both"/>
        <w:rPr>
          <w:rFonts w:ascii="Palatino Linotype" w:hAnsi="Palatino Linotype" w:cs="Arial"/>
        </w:rPr>
      </w:pPr>
    </w:p>
    <w:p w14:paraId="69B9C97E" w14:textId="683957B5" w:rsidR="007B282D" w:rsidRDefault="007B282D" w:rsidP="00DF1EDA">
      <w:pPr>
        <w:spacing w:before="240" w:after="240" w:line="360" w:lineRule="auto"/>
        <w:contextualSpacing/>
        <w:jc w:val="both"/>
        <w:rPr>
          <w:rFonts w:ascii="Palatino Linotype" w:hAnsi="Palatino Linotype" w:cs="Arial"/>
        </w:rPr>
      </w:pPr>
    </w:p>
    <w:p w14:paraId="2EFC1851" w14:textId="51561A67" w:rsidR="0040670A" w:rsidRDefault="0040670A" w:rsidP="00DF1EDA">
      <w:pPr>
        <w:spacing w:before="240" w:after="240" w:line="360" w:lineRule="auto"/>
        <w:contextualSpacing/>
        <w:jc w:val="both"/>
        <w:rPr>
          <w:rFonts w:ascii="Palatino Linotype" w:hAnsi="Palatino Linotype" w:cs="Arial"/>
        </w:rPr>
      </w:pPr>
    </w:p>
    <w:p w14:paraId="183D9A25" w14:textId="5E1EA15E" w:rsidR="0040670A" w:rsidRDefault="0040670A" w:rsidP="00DF1EDA">
      <w:pPr>
        <w:spacing w:before="240" w:after="240" w:line="360" w:lineRule="auto"/>
        <w:contextualSpacing/>
        <w:jc w:val="both"/>
        <w:rPr>
          <w:rFonts w:ascii="Palatino Linotype" w:hAnsi="Palatino Linotype" w:cs="Arial"/>
        </w:rPr>
      </w:pPr>
    </w:p>
    <w:p w14:paraId="6FC32043" w14:textId="298DA0BC" w:rsidR="00CC6278" w:rsidRDefault="00CC6278" w:rsidP="00DF1EDA">
      <w:pPr>
        <w:spacing w:before="240" w:after="240" w:line="360" w:lineRule="auto"/>
        <w:contextualSpacing/>
        <w:jc w:val="both"/>
        <w:rPr>
          <w:rFonts w:ascii="Palatino Linotype" w:hAnsi="Palatino Linotype" w:cs="Arial"/>
        </w:rPr>
      </w:pPr>
    </w:p>
    <w:p w14:paraId="4A21E02F" w14:textId="617AFE11" w:rsidR="00CC6278" w:rsidRDefault="00CC6278" w:rsidP="00DF1EDA">
      <w:pPr>
        <w:spacing w:before="240" w:after="240" w:line="360" w:lineRule="auto"/>
        <w:contextualSpacing/>
        <w:jc w:val="both"/>
        <w:rPr>
          <w:rFonts w:ascii="Palatino Linotype" w:hAnsi="Palatino Linotype" w:cs="Arial"/>
        </w:rPr>
      </w:pPr>
    </w:p>
    <w:p w14:paraId="360E3CC5" w14:textId="6300380D" w:rsidR="007B282D" w:rsidRDefault="007B282D" w:rsidP="00DF1EDA">
      <w:pPr>
        <w:spacing w:before="240" w:after="240" w:line="360" w:lineRule="auto"/>
        <w:contextualSpacing/>
        <w:jc w:val="both"/>
        <w:rPr>
          <w:rFonts w:ascii="Palatino Linotype" w:hAnsi="Palatino Linotype" w:cs="Arial"/>
        </w:rPr>
      </w:pPr>
    </w:p>
    <w:p w14:paraId="5B3E2EC7" w14:textId="1F733E02" w:rsidR="007B282D" w:rsidRDefault="007B282D" w:rsidP="00DF1EDA">
      <w:pPr>
        <w:spacing w:before="240" w:after="240" w:line="360" w:lineRule="auto"/>
        <w:contextualSpacing/>
        <w:jc w:val="both"/>
        <w:rPr>
          <w:rFonts w:ascii="Palatino Linotype" w:hAnsi="Palatino Linotype" w:cs="Arial"/>
        </w:rPr>
      </w:pPr>
    </w:p>
    <w:p w14:paraId="7B9560A1" w14:textId="573BCB18" w:rsidR="007B282D" w:rsidRDefault="00CC6278" w:rsidP="00DF1EDA">
      <w:pPr>
        <w:spacing w:before="240" w:after="240" w:line="360" w:lineRule="auto"/>
        <w:contextualSpacing/>
        <w:jc w:val="both"/>
        <w:rPr>
          <w:rFonts w:ascii="Palatino Linotype" w:hAnsi="Palatino Linotype" w:cs="Arial"/>
        </w:rPr>
      </w:pPr>
      <w:r>
        <w:rPr>
          <w:rFonts w:asciiTheme="minorHAnsi" w:hAnsiTheme="minorHAnsi" w:cstheme="minorBidi"/>
          <w:noProof/>
          <w:sz w:val="22"/>
          <w:szCs w:val="22"/>
          <w:lang w:val="es-MX" w:eastAsia="es-MX"/>
        </w:rPr>
        <w:lastRenderedPageBreak/>
        <w:drawing>
          <wp:anchor distT="0" distB="0" distL="114300" distR="114300" simplePos="0" relativeHeight="251665408" behindDoc="0" locked="0" layoutInCell="1" allowOverlap="1" wp14:anchorId="51AEAA49" wp14:editId="2E997A7A">
            <wp:simplePos x="0" y="0"/>
            <wp:positionH relativeFrom="margin">
              <wp:posOffset>78964</wp:posOffset>
            </wp:positionH>
            <wp:positionV relativeFrom="paragraph">
              <wp:posOffset>-210847</wp:posOffset>
            </wp:positionV>
            <wp:extent cx="5558878" cy="3200400"/>
            <wp:effectExtent l="19050" t="19050" r="22860" b="1905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rotWithShape="1">
                    <a:blip r:embed="rId11">
                      <a:extLst>
                        <a:ext uri="{28A0092B-C50C-407E-A947-70E740481C1C}">
                          <a14:useLocalDpi xmlns:a14="http://schemas.microsoft.com/office/drawing/2010/main" val="0"/>
                        </a:ext>
                      </a:extLst>
                    </a:blip>
                    <a:srcRect b="28460"/>
                    <a:stretch/>
                  </pic:blipFill>
                  <pic:spPr bwMode="auto">
                    <a:xfrm>
                      <a:off x="0" y="0"/>
                      <a:ext cx="5563665" cy="3203156"/>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9069D" w14:textId="245E785A" w:rsidR="007B282D" w:rsidRDefault="007B282D" w:rsidP="00DF1EDA">
      <w:pPr>
        <w:spacing w:before="240" w:after="240" w:line="360" w:lineRule="auto"/>
        <w:contextualSpacing/>
        <w:jc w:val="both"/>
        <w:rPr>
          <w:rFonts w:ascii="Palatino Linotype" w:hAnsi="Palatino Linotype" w:cs="Arial"/>
        </w:rPr>
      </w:pPr>
    </w:p>
    <w:p w14:paraId="6B6F6DE7" w14:textId="13696474" w:rsidR="007B282D" w:rsidRDefault="007B282D" w:rsidP="00DF1EDA">
      <w:pPr>
        <w:spacing w:before="240" w:after="240" w:line="360" w:lineRule="auto"/>
        <w:contextualSpacing/>
        <w:jc w:val="both"/>
        <w:rPr>
          <w:rFonts w:ascii="Palatino Linotype" w:hAnsi="Palatino Linotype" w:cs="Arial"/>
        </w:rPr>
      </w:pPr>
    </w:p>
    <w:p w14:paraId="2CD831F4" w14:textId="7ABCFD00" w:rsidR="007B282D" w:rsidRDefault="007B282D" w:rsidP="00DF1EDA">
      <w:pPr>
        <w:spacing w:before="240" w:after="240" w:line="360" w:lineRule="auto"/>
        <w:contextualSpacing/>
        <w:jc w:val="both"/>
        <w:rPr>
          <w:rFonts w:ascii="Palatino Linotype" w:hAnsi="Palatino Linotype" w:cs="Arial"/>
        </w:rPr>
      </w:pPr>
    </w:p>
    <w:p w14:paraId="0B217EE1" w14:textId="5BCAD00D" w:rsidR="007B282D" w:rsidRDefault="007B282D" w:rsidP="00DF1EDA">
      <w:pPr>
        <w:spacing w:before="240" w:after="240" w:line="360" w:lineRule="auto"/>
        <w:contextualSpacing/>
        <w:jc w:val="both"/>
        <w:rPr>
          <w:rFonts w:ascii="Palatino Linotype" w:hAnsi="Palatino Linotype" w:cs="Arial"/>
        </w:rPr>
      </w:pPr>
    </w:p>
    <w:p w14:paraId="1F0D3663" w14:textId="52837CEE" w:rsidR="007B282D" w:rsidRDefault="007B282D" w:rsidP="00DF1EDA">
      <w:pPr>
        <w:spacing w:before="240" w:after="240" w:line="360" w:lineRule="auto"/>
        <w:contextualSpacing/>
        <w:jc w:val="both"/>
        <w:rPr>
          <w:rFonts w:ascii="Palatino Linotype" w:hAnsi="Palatino Linotype" w:cs="Arial"/>
        </w:rPr>
      </w:pPr>
    </w:p>
    <w:p w14:paraId="58EC3F3B" w14:textId="216A291A" w:rsidR="007B282D" w:rsidRDefault="007B282D" w:rsidP="00DF1EDA">
      <w:pPr>
        <w:spacing w:before="240" w:after="240" w:line="360" w:lineRule="auto"/>
        <w:contextualSpacing/>
        <w:jc w:val="both"/>
        <w:rPr>
          <w:rFonts w:ascii="Palatino Linotype" w:hAnsi="Palatino Linotype" w:cs="Arial"/>
        </w:rPr>
      </w:pPr>
    </w:p>
    <w:p w14:paraId="7A4292A9" w14:textId="45804C50" w:rsidR="007B282D" w:rsidRDefault="007B282D" w:rsidP="00DF1EDA">
      <w:pPr>
        <w:spacing w:before="240" w:after="240" w:line="360" w:lineRule="auto"/>
        <w:contextualSpacing/>
        <w:jc w:val="both"/>
        <w:rPr>
          <w:rFonts w:ascii="Palatino Linotype" w:hAnsi="Palatino Linotype" w:cs="Arial"/>
        </w:rPr>
      </w:pPr>
    </w:p>
    <w:p w14:paraId="670145D8" w14:textId="294FD373" w:rsidR="007B282D" w:rsidRDefault="007B282D" w:rsidP="00DF1EDA">
      <w:pPr>
        <w:spacing w:before="240" w:after="240" w:line="360" w:lineRule="auto"/>
        <w:contextualSpacing/>
        <w:jc w:val="both"/>
        <w:rPr>
          <w:rFonts w:ascii="Palatino Linotype" w:hAnsi="Palatino Linotype" w:cs="Arial"/>
        </w:rPr>
      </w:pPr>
    </w:p>
    <w:p w14:paraId="36E15167" w14:textId="766FB80B" w:rsidR="007B282D" w:rsidRDefault="00CC6278" w:rsidP="00DF1EDA">
      <w:pPr>
        <w:spacing w:before="240" w:after="240" w:line="360" w:lineRule="auto"/>
        <w:contextualSpacing/>
        <w:jc w:val="both"/>
        <w:rPr>
          <w:rFonts w:ascii="Palatino Linotype" w:hAnsi="Palatino Linotype" w:cs="Arial"/>
        </w:rPr>
      </w:pPr>
      <w:r>
        <w:rPr>
          <w:noProof/>
          <w:lang w:val="es-MX" w:eastAsia="es-MX"/>
        </w:rPr>
        <w:drawing>
          <wp:anchor distT="0" distB="0" distL="114300" distR="114300" simplePos="0" relativeHeight="251667456" behindDoc="1" locked="0" layoutInCell="1" allowOverlap="1" wp14:anchorId="7BA7B592" wp14:editId="13F2AE53">
            <wp:simplePos x="0" y="0"/>
            <wp:positionH relativeFrom="column">
              <wp:posOffset>-9652</wp:posOffset>
            </wp:positionH>
            <wp:positionV relativeFrom="paragraph">
              <wp:posOffset>43688</wp:posOffset>
            </wp:positionV>
            <wp:extent cx="5685790" cy="2040890"/>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2"/>
                    <a:stretch>
                      <a:fillRect/>
                    </a:stretch>
                  </pic:blipFill>
                  <pic:spPr>
                    <a:xfrm>
                      <a:off x="0" y="0"/>
                      <a:ext cx="5685790" cy="2040890"/>
                    </a:xfrm>
                    <a:prstGeom prst="rect">
                      <a:avLst/>
                    </a:prstGeom>
                  </pic:spPr>
                </pic:pic>
              </a:graphicData>
            </a:graphic>
            <wp14:sizeRelH relativeFrom="margin">
              <wp14:pctWidth>0</wp14:pctWidth>
            </wp14:sizeRelH>
            <wp14:sizeRelV relativeFrom="margin">
              <wp14:pctHeight>0</wp14:pctHeight>
            </wp14:sizeRelV>
          </wp:anchor>
        </w:drawing>
      </w:r>
    </w:p>
    <w:p w14:paraId="7CFC9F67" w14:textId="70EFCB13" w:rsidR="007B282D" w:rsidRDefault="007B282D" w:rsidP="00DF1EDA">
      <w:pPr>
        <w:spacing w:before="240" w:after="240" w:line="360" w:lineRule="auto"/>
        <w:contextualSpacing/>
        <w:jc w:val="both"/>
        <w:rPr>
          <w:rFonts w:ascii="Palatino Linotype" w:hAnsi="Palatino Linotype" w:cs="Arial"/>
        </w:rPr>
      </w:pPr>
    </w:p>
    <w:p w14:paraId="5BDA7B2D" w14:textId="19D6B52C" w:rsidR="007B282D" w:rsidRDefault="007B282D" w:rsidP="00DF1EDA">
      <w:pPr>
        <w:spacing w:before="240" w:after="240" w:line="360" w:lineRule="auto"/>
        <w:contextualSpacing/>
        <w:jc w:val="both"/>
        <w:rPr>
          <w:rFonts w:ascii="Palatino Linotype" w:hAnsi="Palatino Linotype" w:cs="Arial"/>
        </w:rPr>
      </w:pPr>
    </w:p>
    <w:p w14:paraId="7FB9C4D8" w14:textId="21942B3F" w:rsidR="007B282D" w:rsidRDefault="007B282D" w:rsidP="00DF1EDA">
      <w:pPr>
        <w:spacing w:before="240" w:after="240" w:line="360" w:lineRule="auto"/>
        <w:contextualSpacing/>
        <w:jc w:val="both"/>
        <w:rPr>
          <w:rFonts w:ascii="Palatino Linotype" w:hAnsi="Palatino Linotype" w:cs="Arial"/>
        </w:rPr>
      </w:pPr>
    </w:p>
    <w:p w14:paraId="14C188C9" w14:textId="0497E799" w:rsidR="007B282D" w:rsidRDefault="007B282D" w:rsidP="00DF1EDA">
      <w:pPr>
        <w:spacing w:before="240" w:after="240" w:line="360" w:lineRule="auto"/>
        <w:contextualSpacing/>
        <w:jc w:val="both"/>
        <w:rPr>
          <w:rFonts w:ascii="Palatino Linotype" w:hAnsi="Palatino Linotype" w:cs="Arial"/>
        </w:rPr>
      </w:pPr>
    </w:p>
    <w:p w14:paraId="5FA9334D" w14:textId="7C41F99F" w:rsidR="007B282D" w:rsidRDefault="007B282D" w:rsidP="00DF1EDA">
      <w:pPr>
        <w:spacing w:before="240" w:after="240" w:line="360" w:lineRule="auto"/>
        <w:contextualSpacing/>
        <w:jc w:val="both"/>
        <w:rPr>
          <w:rFonts w:ascii="Palatino Linotype" w:hAnsi="Palatino Linotype" w:cs="Arial"/>
        </w:rPr>
      </w:pPr>
    </w:p>
    <w:p w14:paraId="06005AD8" w14:textId="39B2EC8C" w:rsidR="007B282D" w:rsidRDefault="0088511E" w:rsidP="007B282D">
      <w:pPr>
        <w:autoSpaceDE w:val="0"/>
        <w:autoSpaceDN w:val="0"/>
        <w:adjustRightInd w:val="0"/>
        <w:spacing w:before="240" w:line="360" w:lineRule="auto"/>
        <w:jc w:val="both"/>
        <w:rPr>
          <w:rFonts w:ascii="Palatino Linotype" w:hAnsi="Palatino Linotype" w:cs="Arial"/>
        </w:rPr>
      </w:pPr>
      <w:r>
        <w:rPr>
          <w:rFonts w:asciiTheme="minorHAnsi" w:hAnsiTheme="minorHAnsi" w:cstheme="minorBidi"/>
          <w:noProof/>
          <w:sz w:val="22"/>
          <w:szCs w:val="22"/>
          <w:lang w:val="es-MX" w:eastAsia="es-MX"/>
        </w:rPr>
        <w:drawing>
          <wp:anchor distT="0" distB="0" distL="114300" distR="114300" simplePos="0" relativeHeight="251669504" behindDoc="1" locked="0" layoutInCell="1" allowOverlap="1" wp14:anchorId="6163D571" wp14:editId="7516FAE7">
            <wp:simplePos x="0" y="0"/>
            <wp:positionH relativeFrom="margin">
              <wp:posOffset>224155</wp:posOffset>
            </wp:positionH>
            <wp:positionV relativeFrom="paragraph">
              <wp:posOffset>307975</wp:posOffset>
            </wp:positionV>
            <wp:extent cx="5414010" cy="2884805"/>
            <wp:effectExtent l="19050" t="19050" r="15240" b="1079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4010" cy="28848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6A9B183" w14:textId="6DD5AF4C" w:rsidR="007B282D" w:rsidRDefault="007B282D" w:rsidP="007B282D">
      <w:pPr>
        <w:autoSpaceDE w:val="0"/>
        <w:autoSpaceDN w:val="0"/>
        <w:adjustRightInd w:val="0"/>
        <w:spacing w:before="240" w:line="360" w:lineRule="auto"/>
        <w:jc w:val="both"/>
        <w:rPr>
          <w:rFonts w:ascii="Palatino Linotype" w:hAnsi="Palatino Linotype" w:cs="Arial"/>
        </w:rPr>
      </w:pPr>
    </w:p>
    <w:p w14:paraId="4E57B753" w14:textId="46CFEE1C" w:rsidR="00E861E4" w:rsidRDefault="00E861E4" w:rsidP="00E861E4">
      <w:pPr>
        <w:autoSpaceDE w:val="0"/>
        <w:autoSpaceDN w:val="0"/>
        <w:adjustRightInd w:val="0"/>
        <w:spacing w:before="240" w:line="360" w:lineRule="auto"/>
        <w:contextualSpacing/>
        <w:jc w:val="both"/>
        <w:rPr>
          <w:rFonts w:ascii="Palatino Linotype" w:hAnsi="Palatino Linotype" w:cs="Arial"/>
        </w:rPr>
      </w:pPr>
    </w:p>
    <w:p w14:paraId="19CC6DC1" w14:textId="77777777" w:rsidR="0040670A" w:rsidRDefault="0040670A" w:rsidP="00E861E4">
      <w:pPr>
        <w:autoSpaceDE w:val="0"/>
        <w:autoSpaceDN w:val="0"/>
        <w:adjustRightInd w:val="0"/>
        <w:spacing w:before="240" w:line="360" w:lineRule="auto"/>
        <w:contextualSpacing/>
        <w:jc w:val="both"/>
        <w:rPr>
          <w:rFonts w:ascii="Palatino Linotype" w:hAnsi="Palatino Linotype" w:cs="Arial"/>
        </w:rPr>
      </w:pPr>
    </w:p>
    <w:p w14:paraId="529B34FE" w14:textId="77777777" w:rsidR="0040670A" w:rsidRDefault="0040670A" w:rsidP="00E861E4">
      <w:pPr>
        <w:autoSpaceDE w:val="0"/>
        <w:autoSpaceDN w:val="0"/>
        <w:adjustRightInd w:val="0"/>
        <w:spacing w:before="240" w:line="360" w:lineRule="auto"/>
        <w:contextualSpacing/>
        <w:jc w:val="both"/>
        <w:rPr>
          <w:rFonts w:ascii="Palatino Linotype" w:hAnsi="Palatino Linotype" w:cs="Arial"/>
        </w:rPr>
      </w:pPr>
    </w:p>
    <w:p w14:paraId="026067E3" w14:textId="77777777" w:rsidR="00CC6278" w:rsidRDefault="00CC6278" w:rsidP="00E861E4">
      <w:pPr>
        <w:autoSpaceDE w:val="0"/>
        <w:autoSpaceDN w:val="0"/>
        <w:adjustRightInd w:val="0"/>
        <w:spacing w:before="240" w:line="360" w:lineRule="auto"/>
        <w:contextualSpacing/>
        <w:jc w:val="both"/>
        <w:rPr>
          <w:rFonts w:ascii="Palatino Linotype" w:hAnsi="Palatino Linotype" w:cs="Arial"/>
        </w:rPr>
      </w:pPr>
    </w:p>
    <w:p w14:paraId="477E215E" w14:textId="47C45AE1" w:rsidR="00CC6278" w:rsidRDefault="00CC6278" w:rsidP="00E861E4">
      <w:pPr>
        <w:autoSpaceDE w:val="0"/>
        <w:autoSpaceDN w:val="0"/>
        <w:adjustRightInd w:val="0"/>
        <w:spacing w:before="240" w:line="360" w:lineRule="auto"/>
        <w:contextualSpacing/>
        <w:jc w:val="both"/>
        <w:rPr>
          <w:rFonts w:ascii="Palatino Linotype" w:hAnsi="Palatino Linotype" w:cs="Arial"/>
        </w:rPr>
      </w:pPr>
    </w:p>
    <w:p w14:paraId="4CD2EBF1" w14:textId="2C054614" w:rsidR="00CC6278" w:rsidRDefault="00CC6278" w:rsidP="00E861E4">
      <w:pPr>
        <w:autoSpaceDE w:val="0"/>
        <w:autoSpaceDN w:val="0"/>
        <w:adjustRightInd w:val="0"/>
        <w:spacing w:before="240" w:line="360" w:lineRule="auto"/>
        <w:contextualSpacing/>
        <w:jc w:val="both"/>
        <w:rPr>
          <w:rFonts w:ascii="Palatino Linotype" w:hAnsi="Palatino Linotype" w:cs="Arial"/>
        </w:rPr>
      </w:pPr>
    </w:p>
    <w:p w14:paraId="52B25065" w14:textId="161D038D" w:rsidR="00CC6278" w:rsidRDefault="00CC6278" w:rsidP="00E861E4">
      <w:pPr>
        <w:autoSpaceDE w:val="0"/>
        <w:autoSpaceDN w:val="0"/>
        <w:adjustRightInd w:val="0"/>
        <w:spacing w:before="240" w:line="360" w:lineRule="auto"/>
        <w:contextualSpacing/>
        <w:jc w:val="both"/>
        <w:rPr>
          <w:rFonts w:ascii="Palatino Linotype" w:hAnsi="Palatino Linotype" w:cs="Arial"/>
        </w:rPr>
      </w:pPr>
    </w:p>
    <w:p w14:paraId="1DC31659" w14:textId="766440F3" w:rsidR="00CC6278" w:rsidRDefault="00986711" w:rsidP="00E861E4">
      <w:pPr>
        <w:autoSpaceDE w:val="0"/>
        <w:autoSpaceDN w:val="0"/>
        <w:adjustRightInd w:val="0"/>
        <w:spacing w:before="240" w:line="360" w:lineRule="auto"/>
        <w:contextualSpacing/>
        <w:jc w:val="both"/>
        <w:rPr>
          <w:rFonts w:ascii="Palatino Linotype" w:hAnsi="Palatino Linotype" w:cs="Arial"/>
        </w:rPr>
      </w:pPr>
      <w:r>
        <w:rPr>
          <w:rFonts w:asciiTheme="minorHAnsi" w:hAnsiTheme="minorHAnsi" w:cstheme="minorBidi"/>
          <w:noProof/>
          <w:sz w:val="22"/>
          <w:szCs w:val="22"/>
          <w:lang w:val="es-MX" w:eastAsia="es-MX"/>
        </w:rPr>
        <w:lastRenderedPageBreak/>
        <mc:AlternateContent>
          <mc:Choice Requires="wps">
            <w:drawing>
              <wp:anchor distT="0" distB="0" distL="114300" distR="114300" simplePos="0" relativeHeight="251677696" behindDoc="0" locked="0" layoutInCell="1" allowOverlap="1" wp14:anchorId="7F1CA079" wp14:editId="6EB4D744">
                <wp:simplePos x="0" y="0"/>
                <wp:positionH relativeFrom="column">
                  <wp:posOffset>925449</wp:posOffset>
                </wp:positionH>
                <wp:positionV relativeFrom="paragraph">
                  <wp:posOffset>105029</wp:posOffset>
                </wp:positionV>
                <wp:extent cx="4151376" cy="225552"/>
                <wp:effectExtent l="57150" t="38100" r="78105" b="98425"/>
                <wp:wrapNone/>
                <wp:docPr id="5" name="Rectángulo 5"/>
                <wp:cNvGraphicFramePr/>
                <a:graphic xmlns:a="http://schemas.openxmlformats.org/drawingml/2006/main">
                  <a:graphicData uri="http://schemas.microsoft.com/office/word/2010/wordprocessingShape">
                    <wps:wsp>
                      <wps:cNvSpPr/>
                      <wps:spPr>
                        <a:xfrm>
                          <a:off x="0" y="0"/>
                          <a:ext cx="4151376" cy="225552"/>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B2263" id="Rectángulo 5" o:spid="_x0000_s1026" style="position:absolute;margin-left:72.85pt;margin-top:8.25pt;width:326.9pt;height:1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" filled="f" strokecolor="#4579b8 [3044]" strokeweight="2.25pt">
                <v:shadow on="t" color="black" opacity="22937f" origin=",.5" offset="0,.63889mm"/>
              </v:rect>
            </w:pict>
          </mc:Fallback>
        </mc:AlternateContent>
      </w:r>
      <w:r w:rsidR="0088511E">
        <w:rPr>
          <w:rFonts w:asciiTheme="minorHAnsi" w:hAnsiTheme="minorHAnsi" w:cstheme="minorBidi"/>
          <w:noProof/>
          <w:sz w:val="22"/>
          <w:szCs w:val="22"/>
          <w:lang w:val="es-MX" w:eastAsia="es-MX"/>
        </w:rPr>
        <w:drawing>
          <wp:anchor distT="0" distB="0" distL="114300" distR="114300" simplePos="0" relativeHeight="251671552" behindDoc="1" locked="0" layoutInCell="1" allowOverlap="1" wp14:anchorId="35FAD8BC" wp14:editId="1A5BDB94">
            <wp:simplePos x="0" y="0"/>
            <wp:positionH relativeFrom="page">
              <wp:posOffset>1267460</wp:posOffset>
            </wp:positionH>
            <wp:positionV relativeFrom="paragraph">
              <wp:posOffset>-95000</wp:posOffset>
            </wp:positionV>
            <wp:extent cx="5414010" cy="1390918"/>
            <wp:effectExtent l="19050" t="19050" r="15240" b="190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rotWithShape="1">
                    <a:blip r:embed="rId14">
                      <a:extLst>
                        <a:ext uri="{28A0092B-C50C-407E-A947-70E740481C1C}">
                          <a14:useLocalDpi xmlns:a14="http://schemas.microsoft.com/office/drawing/2010/main" val="0"/>
                        </a:ext>
                      </a:extLst>
                    </a:blip>
                    <a:srcRect t="10615" b="54358"/>
                    <a:stretch/>
                  </pic:blipFill>
                  <pic:spPr bwMode="auto">
                    <a:xfrm>
                      <a:off x="0" y="0"/>
                      <a:ext cx="5414010" cy="1390918"/>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3D1E22" w14:textId="31F6AACF" w:rsidR="00CC6278" w:rsidRDefault="00986711" w:rsidP="00E861E4">
      <w:pPr>
        <w:autoSpaceDE w:val="0"/>
        <w:autoSpaceDN w:val="0"/>
        <w:adjustRightInd w:val="0"/>
        <w:spacing w:before="240" w:line="360" w:lineRule="auto"/>
        <w:contextualSpacing/>
        <w:jc w:val="both"/>
        <w:rPr>
          <w:rFonts w:ascii="Palatino Linotype" w:hAnsi="Palatino Linotype" w:cs="Arial"/>
        </w:rPr>
      </w:pPr>
      <w:r>
        <w:rPr>
          <w:rFonts w:asciiTheme="minorHAnsi" w:hAnsiTheme="minorHAnsi" w:cstheme="minorBidi"/>
          <w:noProof/>
          <w:sz w:val="22"/>
          <w:szCs w:val="22"/>
          <w:lang w:val="es-MX" w:eastAsia="es-MX"/>
        </w:rPr>
        <mc:AlternateContent>
          <mc:Choice Requires="wps">
            <w:drawing>
              <wp:anchor distT="0" distB="0" distL="114300" distR="114300" simplePos="0" relativeHeight="251679744" behindDoc="0" locked="0" layoutInCell="1" allowOverlap="1" wp14:anchorId="7E06F5F3" wp14:editId="01DF6449">
                <wp:simplePos x="0" y="0"/>
                <wp:positionH relativeFrom="column">
                  <wp:posOffset>925449</wp:posOffset>
                </wp:positionH>
                <wp:positionV relativeFrom="paragraph">
                  <wp:posOffset>284099</wp:posOffset>
                </wp:positionV>
                <wp:extent cx="4200144" cy="146050"/>
                <wp:effectExtent l="57150" t="38100" r="67310" b="101600"/>
                <wp:wrapNone/>
                <wp:docPr id="6" name="Rectángulo 6"/>
                <wp:cNvGraphicFramePr/>
                <a:graphic xmlns:a="http://schemas.openxmlformats.org/drawingml/2006/main">
                  <a:graphicData uri="http://schemas.microsoft.com/office/word/2010/wordprocessingShape">
                    <wps:wsp>
                      <wps:cNvSpPr/>
                      <wps:spPr>
                        <a:xfrm>
                          <a:off x="0" y="0"/>
                          <a:ext cx="4200144" cy="146050"/>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4FE59" id="Rectángulo 6" o:spid="_x0000_s1026" style="position:absolute;margin-left:72.85pt;margin-top:22.35pt;width:330.7pt;height: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" filled="f" strokecolor="#4579b8 [3044]" strokeweight="2.25pt">
                <v:shadow on="t" color="black" opacity="22937f" origin=",.5" offset="0,.63889mm"/>
              </v:rect>
            </w:pict>
          </mc:Fallback>
        </mc:AlternateContent>
      </w:r>
    </w:p>
    <w:p w14:paraId="23B9FB56" w14:textId="19AD8C93" w:rsidR="00CC6278" w:rsidRDefault="00CC6278" w:rsidP="00E861E4">
      <w:pPr>
        <w:autoSpaceDE w:val="0"/>
        <w:autoSpaceDN w:val="0"/>
        <w:adjustRightInd w:val="0"/>
        <w:spacing w:before="240" w:line="360" w:lineRule="auto"/>
        <w:contextualSpacing/>
        <w:jc w:val="both"/>
        <w:rPr>
          <w:rFonts w:ascii="Palatino Linotype" w:hAnsi="Palatino Linotype" w:cs="Arial"/>
        </w:rPr>
      </w:pPr>
    </w:p>
    <w:p w14:paraId="30EBC4D2" w14:textId="71222219" w:rsidR="00CC6278" w:rsidRDefault="00CC6278" w:rsidP="00E861E4">
      <w:pPr>
        <w:autoSpaceDE w:val="0"/>
        <w:autoSpaceDN w:val="0"/>
        <w:adjustRightInd w:val="0"/>
        <w:spacing w:before="240" w:line="360" w:lineRule="auto"/>
        <w:contextualSpacing/>
        <w:jc w:val="both"/>
        <w:rPr>
          <w:rFonts w:ascii="Palatino Linotype" w:hAnsi="Palatino Linotype" w:cs="Arial"/>
        </w:rPr>
      </w:pPr>
    </w:p>
    <w:p w14:paraId="5FEA7711" w14:textId="6371E883" w:rsidR="00CC6278" w:rsidRDefault="00CC6278" w:rsidP="00E861E4">
      <w:pPr>
        <w:autoSpaceDE w:val="0"/>
        <w:autoSpaceDN w:val="0"/>
        <w:adjustRightInd w:val="0"/>
        <w:spacing w:before="240" w:line="360" w:lineRule="auto"/>
        <w:contextualSpacing/>
        <w:jc w:val="both"/>
        <w:rPr>
          <w:rFonts w:ascii="Palatino Linotype" w:hAnsi="Palatino Linotype" w:cs="Arial"/>
        </w:rPr>
      </w:pPr>
    </w:p>
    <w:p w14:paraId="2A654DE5" w14:textId="76F83A84" w:rsidR="007B282D" w:rsidRDefault="0088511E" w:rsidP="00E861E4">
      <w:pPr>
        <w:autoSpaceDE w:val="0"/>
        <w:autoSpaceDN w:val="0"/>
        <w:adjustRightInd w:val="0"/>
        <w:spacing w:before="240" w:line="360" w:lineRule="auto"/>
        <w:contextualSpacing/>
        <w:jc w:val="both"/>
        <w:rPr>
          <w:rFonts w:ascii="Palatino Linotype" w:hAnsi="Palatino Linotype" w:cs="Arial"/>
        </w:rPr>
      </w:pPr>
      <w:r>
        <w:rPr>
          <w:rFonts w:ascii="Palatino Linotype" w:hAnsi="Palatino Linotype" w:cs="Arial"/>
        </w:rPr>
        <w:t xml:space="preserve">En observancia a las imágenes </w:t>
      </w:r>
      <w:r w:rsidR="007B282D">
        <w:rPr>
          <w:rFonts w:ascii="Palatino Linotype" w:hAnsi="Palatino Linotype" w:cs="Arial"/>
        </w:rPr>
        <w:t>anterior</w:t>
      </w:r>
      <w:r>
        <w:rPr>
          <w:rFonts w:ascii="Palatino Linotype" w:hAnsi="Palatino Linotype" w:cs="Arial"/>
        </w:rPr>
        <w:t>es</w:t>
      </w:r>
      <w:r w:rsidR="007B282D">
        <w:rPr>
          <w:rFonts w:ascii="Palatino Linotype" w:hAnsi="Palatino Linotype" w:cs="Arial"/>
        </w:rPr>
        <w:t xml:space="preserve">, se acredita que el </w:t>
      </w:r>
      <w:r w:rsidR="007B282D" w:rsidRPr="00901159">
        <w:rPr>
          <w:rFonts w:ascii="Palatino Linotype" w:hAnsi="Palatino Linotype" w:cs="Arial"/>
        </w:rPr>
        <w:t>Sujeto Obligado</w:t>
      </w:r>
      <w:r w:rsidR="007B282D">
        <w:rPr>
          <w:rFonts w:ascii="Palatino Linotype" w:hAnsi="Palatino Linotype" w:cs="Arial"/>
        </w:rPr>
        <w:t xml:space="preserve">, </w:t>
      </w:r>
      <w:r w:rsidR="00E861E4">
        <w:rPr>
          <w:rFonts w:ascii="Palatino Linotype" w:hAnsi="Palatino Linotype" w:cs="Arial"/>
        </w:rPr>
        <w:t xml:space="preserve">debió generar la </w:t>
      </w:r>
      <w:r w:rsidR="00986711">
        <w:rPr>
          <w:rFonts w:ascii="Palatino Linotype" w:hAnsi="Palatino Linotype" w:cs="Arial"/>
        </w:rPr>
        <w:t>información respecto del sueldo</w:t>
      </w:r>
      <w:r w:rsidR="00E861E4">
        <w:rPr>
          <w:rFonts w:ascii="Palatino Linotype" w:hAnsi="Palatino Linotype" w:cs="Arial"/>
        </w:rPr>
        <w:t xml:space="preserve"> bruto y neto mensual que percibe el Presidente Municipal, </w:t>
      </w:r>
      <w:r w:rsidR="002E5492">
        <w:rPr>
          <w:rFonts w:ascii="Palatino Linotype" w:hAnsi="Palatino Linotype" w:cs="Arial"/>
        </w:rPr>
        <w:t>Síndico</w:t>
      </w:r>
      <w:r>
        <w:rPr>
          <w:rFonts w:ascii="Palatino Linotype" w:hAnsi="Palatino Linotype" w:cs="Arial"/>
        </w:rPr>
        <w:t xml:space="preserve"> y R</w:t>
      </w:r>
      <w:r w:rsidR="00E861E4">
        <w:rPr>
          <w:rFonts w:ascii="Palatino Linotype" w:hAnsi="Palatino Linotype" w:cs="Arial"/>
        </w:rPr>
        <w:t>egidores.</w:t>
      </w:r>
    </w:p>
    <w:p w14:paraId="0F82618A" w14:textId="77777777" w:rsidR="0088511E" w:rsidRDefault="0088511E" w:rsidP="00B0036A">
      <w:pPr>
        <w:spacing w:before="240" w:after="240" w:line="360" w:lineRule="auto"/>
        <w:ind w:right="51"/>
        <w:contextualSpacing/>
        <w:jc w:val="both"/>
        <w:rPr>
          <w:rFonts w:ascii="Palatino Linotype" w:hAnsi="Palatino Linotype" w:cs="Arial"/>
          <w:lang w:eastAsia="es-MX"/>
        </w:rPr>
      </w:pPr>
    </w:p>
    <w:p w14:paraId="6637E928" w14:textId="4146F19D" w:rsidR="00B0036A" w:rsidRDefault="00B0036A" w:rsidP="00B0036A">
      <w:pPr>
        <w:spacing w:before="240" w:after="240" w:line="360" w:lineRule="auto"/>
        <w:ind w:right="51"/>
        <w:contextualSpacing/>
        <w:jc w:val="both"/>
        <w:rPr>
          <w:rFonts w:ascii="Palatino Linotype" w:hAnsi="Palatino Linotype" w:cs="Arial"/>
        </w:rPr>
      </w:pPr>
      <w:r w:rsidRPr="00B135B8">
        <w:rPr>
          <w:rFonts w:ascii="Palatino Linotype" w:hAnsi="Palatino Linotype" w:cs="Arial"/>
          <w:lang w:eastAsia="es-MX"/>
        </w:rPr>
        <w:t xml:space="preserve">En resumen </w:t>
      </w:r>
      <w:r w:rsidR="00986711">
        <w:rPr>
          <w:rFonts w:ascii="Palatino Linotype" w:hAnsi="Palatino Linotype" w:cs="Arial"/>
          <w:lang w:eastAsia="es-MX"/>
        </w:rPr>
        <w:t>los sueldos</w:t>
      </w:r>
      <w:r w:rsidR="00E861E4">
        <w:rPr>
          <w:rFonts w:ascii="Palatino Linotype" w:hAnsi="Palatino Linotype" w:cs="Arial"/>
          <w:lang w:eastAsia="es-MX"/>
        </w:rPr>
        <w:t xml:space="preserve"> de los servidores públicos que se indican en la solicitud es </w:t>
      </w:r>
      <w:r w:rsidRPr="00B135B8">
        <w:rPr>
          <w:rFonts w:ascii="Palatino Linotype" w:hAnsi="Palatino Linotype" w:cs="Arial"/>
          <w:lang w:eastAsia="es-MX"/>
        </w:rPr>
        <w:t xml:space="preserve">información </w:t>
      </w:r>
      <w:r w:rsidR="00E861E4">
        <w:rPr>
          <w:rFonts w:ascii="Palatino Linotype" w:hAnsi="Palatino Linotype" w:cs="Arial"/>
          <w:lang w:eastAsia="es-MX"/>
        </w:rPr>
        <w:t xml:space="preserve">pública </w:t>
      </w:r>
      <w:r w:rsidRPr="00B135B8">
        <w:rPr>
          <w:rFonts w:ascii="Palatino Linotype" w:hAnsi="Palatino Linotype" w:cs="Arial"/>
          <w:lang w:eastAsia="es-MX"/>
        </w:rPr>
        <w:t xml:space="preserve">que el Ayuntamiento de </w:t>
      </w:r>
      <w:r w:rsidR="00901159">
        <w:rPr>
          <w:rFonts w:ascii="Palatino Linotype" w:hAnsi="Palatino Linotype" w:cs="Arial"/>
          <w:lang w:eastAsia="es-MX"/>
        </w:rPr>
        <w:t>Xalatlaco</w:t>
      </w:r>
      <w:r>
        <w:rPr>
          <w:rFonts w:ascii="Palatino Linotype" w:hAnsi="Palatino Linotype" w:cs="Arial"/>
          <w:lang w:eastAsia="es-MX"/>
        </w:rPr>
        <w:t xml:space="preserve"> debió haber</w:t>
      </w:r>
      <w:r w:rsidRPr="00B135B8">
        <w:rPr>
          <w:rFonts w:ascii="Palatino Linotype" w:hAnsi="Palatino Linotype" w:cs="Arial"/>
          <w:b/>
          <w:lang w:eastAsia="es-MX"/>
        </w:rPr>
        <w:t xml:space="preserve"> </w:t>
      </w:r>
      <w:r>
        <w:rPr>
          <w:rFonts w:ascii="Palatino Linotype" w:hAnsi="Palatino Linotype" w:cs="Arial"/>
          <w:lang w:eastAsia="es-MX"/>
        </w:rPr>
        <w:t>generado, administrado o poseído</w:t>
      </w:r>
      <w:r w:rsidRPr="00B135B8">
        <w:rPr>
          <w:rFonts w:ascii="Palatino Linotype" w:hAnsi="Palatino Linotype" w:cs="Arial"/>
          <w:lang w:eastAsia="es-MX"/>
        </w:rPr>
        <w:t xml:space="preserve">, de acuerdo a lo establecido en el presente considerando; </w:t>
      </w:r>
      <w:r w:rsidRPr="00B135B8">
        <w:rPr>
          <w:rFonts w:ascii="Palatino Linotype" w:hAnsi="Palatino Linotype" w:cs="Arial"/>
        </w:rPr>
        <w:t>por lo q</w:t>
      </w:r>
      <w:r>
        <w:rPr>
          <w:rFonts w:ascii="Palatino Linotype" w:hAnsi="Palatino Linotype" w:cs="Arial"/>
        </w:rPr>
        <w:t xml:space="preserve">ue resulta procedente ordenar al Sujeto Obligado su entrega salvaguardando los datos personales que contenga, de conformidad con el considerando </w:t>
      </w:r>
      <w:r w:rsidR="00E861E4">
        <w:rPr>
          <w:rFonts w:ascii="Palatino Linotype" w:hAnsi="Palatino Linotype" w:cs="Arial"/>
        </w:rPr>
        <w:t>quinto</w:t>
      </w:r>
      <w:r w:rsidRPr="00CD625F">
        <w:rPr>
          <w:rFonts w:ascii="Palatino Linotype" w:hAnsi="Palatino Linotype" w:cs="Arial"/>
        </w:rPr>
        <w:t xml:space="preserve">, esto en términos de los artículos 3 fracciones XI, XII 4, 12 y 24 último párrafo de la Ley de Transparencia y Acceso a la Información Pública del Estado de México y Municipios, </w:t>
      </w:r>
      <w:r>
        <w:rPr>
          <w:rFonts w:ascii="Palatino Linotype" w:hAnsi="Palatino Linotype" w:cs="Arial"/>
        </w:rPr>
        <w:t>los que ya fueron expuestos al inicio del presente considerando.</w:t>
      </w:r>
    </w:p>
    <w:p w14:paraId="0D3CCFB2" w14:textId="77777777" w:rsidR="002E5492" w:rsidRDefault="002E5492" w:rsidP="00B0036A">
      <w:pPr>
        <w:spacing w:before="240" w:after="240" w:line="360" w:lineRule="auto"/>
        <w:ind w:right="51"/>
        <w:contextualSpacing/>
        <w:jc w:val="both"/>
        <w:rPr>
          <w:rFonts w:ascii="Palatino Linotype" w:hAnsi="Palatino Linotype" w:cs="Arial"/>
        </w:rPr>
      </w:pPr>
    </w:p>
    <w:p w14:paraId="1133F7D2" w14:textId="001ED6D8" w:rsidR="00905247" w:rsidRPr="008B488C" w:rsidRDefault="00D04D8B" w:rsidP="004F2AA7">
      <w:pPr>
        <w:shd w:val="clear" w:color="auto" w:fill="FFFFFF"/>
        <w:spacing w:before="240" w:after="240" w:line="360" w:lineRule="auto"/>
        <w:jc w:val="both"/>
        <w:rPr>
          <w:rFonts w:ascii="Palatino Linotype" w:hAnsi="Palatino Linotype" w:cs="Arial"/>
        </w:rPr>
      </w:pPr>
      <w:r w:rsidRPr="008B488C">
        <w:rPr>
          <w:rFonts w:ascii="Palatino Linotype" w:hAnsi="Palatino Linotype" w:cs="Arial"/>
        </w:rPr>
        <w:t>En otro orden de ideas,</w:t>
      </w:r>
      <w:r w:rsidR="004D49B6" w:rsidRPr="008B488C">
        <w:rPr>
          <w:rFonts w:ascii="Palatino Linotype" w:hAnsi="Palatino Linotype" w:cs="Arial"/>
        </w:rPr>
        <w:t xml:space="preserve"> es menester señalar que mediante la solicitud de información </w:t>
      </w:r>
      <w:r w:rsidRPr="008B488C">
        <w:rPr>
          <w:rFonts w:ascii="Palatino Linotype" w:hAnsi="Palatino Linotype" w:cs="Arial"/>
          <w:b/>
        </w:rPr>
        <w:t>00024/XALATLA</w:t>
      </w:r>
      <w:r w:rsidR="004D49B6" w:rsidRPr="008B488C">
        <w:rPr>
          <w:rFonts w:ascii="Palatino Linotype" w:hAnsi="Palatino Linotype" w:cs="Arial"/>
          <w:b/>
        </w:rPr>
        <w:t xml:space="preserve">/IP/2018 </w:t>
      </w:r>
      <w:r w:rsidR="00905247" w:rsidRPr="008B488C">
        <w:rPr>
          <w:rFonts w:ascii="Palatino Linotype" w:hAnsi="Palatino Linotype"/>
        </w:rPr>
        <w:t xml:space="preserve">la particular solicitó el salario bruto y neto mensual del Presidente Municipal, Síndico y Regidores integrantes del Ayuntamiento, sin precisar el periodo por el que requiere la información, </w:t>
      </w:r>
      <w:r w:rsidR="00905247" w:rsidRPr="008B488C">
        <w:rPr>
          <w:rFonts w:ascii="Palatino Linotype" w:hAnsi="Palatino Linotype" w:cs="Arial"/>
        </w:rPr>
        <w:t xml:space="preserve">sin embargo, al momento de interponer el medio de defensa, requirió los recibos de nómina o documento que </w:t>
      </w:r>
      <w:r w:rsidR="00905247" w:rsidRPr="008B488C">
        <w:rPr>
          <w:rFonts w:ascii="Palatino Linotype" w:hAnsi="Palatino Linotype" w:cs="Arial"/>
        </w:rPr>
        <w:lastRenderedPageBreak/>
        <w:t xml:space="preserve">acredite la remuneración de los meses de septiembre y octubre del año dos </w:t>
      </w:r>
      <w:r w:rsidR="008B488C" w:rsidRPr="008B488C">
        <w:rPr>
          <w:rFonts w:ascii="Palatino Linotype" w:hAnsi="Palatino Linotype" w:cs="Arial"/>
        </w:rPr>
        <w:t>mil dieciocho</w:t>
      </w:r>
      <w:r w:rsidR="00905247" w:rsidRPr="008B488C">
        <w:rPr>
          <w:rFonts w:ascii="Palatino Linotype" w:hAnsi="Palatino Linotype" w:cs="Arial"/>
        </w:rPr>
        <w:t xml:space="preserve"> del Presidente Municipal, Síndico y Regidores.</w:t>
      </w:r>
    </w:p>
    <w:p w14:paraId="11B6DD67" w14:textId="77777777" w:rsidR="00905247" w:rsidRPr="008B488C" w:rsidRDefault="00905247" w:rsidP="00905247">
      <w:pPr>
        <w:pStyle w:val="Prrafodelista"/>
        <w:autoSpaceDE w:val="0"/>
        <w:autoSpaceDN w:val="0"/>
        <w:adjustRightInd w:val="0"/>
        <w:spacing w:before="240" w:after="240" w:line="360" w:lineRule="auto"/>
        <w:ind w:left="0"/>
        <w:jc w:val="both"/>
        <w:rPr>
          <w:rFonts w:ascii="Palatino Linotype" w:hAnsi="Palatino Linotype" w:cs="Arial"/>
        </w:rPr>
      </w:pPr>
      <w:r w:rsidRPr="008B488C">
        <w:rPr>
          <w:rFonts w:ascii="Palatino Linotype" w:hAnsi="Palatino Linotype" w:cs="Arial"/>
        </w:rPr>
        <w:t>Por lo anterior, este Instituto estima necesario subrayar que si bien en la interposición del escrito recursal, la particular especificó de manera enunciativa un documento al cual desea tener acceso y el periodo de entrega, también lo es, que la información solicitada primigeniamente no cambio; toda vez que sigue pidiendo el documento que sustente la remuneración del Presidente Municipal, Sindico y Regidores.</w:t>
      </w:r>
    </w:p>
    <w:p w14:paraId="2F586F0B" w14:textId="77777777" w:rsidR="00905247" w:rsidRPr="008B488C" w:rsidRDefault="00905247" w:rsidP="00905247">
      <w:pPr>
        <w:pStyle w:val="Prrafodelista"/>
        <w:autoSpaceDE w:val="0"/>
        <w:autoSpaceDN w:val="0"/>
        <w:adjustRightInd w:val="0"/>
        <w:spacing w:before="240" w:after="240" w:line="360" w:lineRule="auto"/>
        <w:ind w:left="0"/>
        <w:jc w:val="both"/>
        <w:rPr>
          <w:rFonts w:ascii="Palatino Linotype" w:hAnsi="Palatino Linotype"/>
        </w:rPr>
      </w:pPr>
      <w:r w:rsidRPr="008B488C">
        <w:rPr>
          <w:rFonts w:ascii="Palatino Linotype" w:hAnsi="Palatino Linotype" w:cs="Arial"/>
        </w:rPr>
        <w:t xml:space="preserve">De manera, que los agravios presentados no actualizan hipótesis de ampliación a la solicitud, al no constituir información adicional, lo que en la teoría jurídica se denomina como </w:t>
      </w:r>
      <w:r w:rsidRPr="008B488C">
        <w:rPr>
          <w:rFonts w:ascii="Palatino Linotype" w:hAnsi="Palatino Linotype" w:cs="Arial"/>
          <w:i/>
        </w:rPr>
        <w:t xml:space="preserve">plus petitio, </w:t>
      </w:r>
      <w:r w:rsidRPr="008B488C">
        <w:rPr>
          <w:rFonts w:ascii="Palatino Linotype" w:hAnsi="Palatino Linotype" w:cs="Arial"/>
        </w:rPr>
        <w:t>al encontrarse intimidante relacionados con la solicitud de información y con la negligencia del Sujeto Obligado</w:t>
      </w:r>
      <w:r w:rsidRPr="008B488C">
        <w:rPr>
          <w:rStyle w:val="Refdenotaalpie"/>
          <w:rFonts w:ascii="Palatino Linotype" w:hAnsi="Palatino Linotype" w:cs="Arial"/>
          <w:b/>
        </w:rPr>
        <w:footnoteReference w:id="4"/>
      </w:r>
      <w:r w:rsidRPr="008B488C">
        <w:rPr>
          <w:rFonts w:ascii="Palatino Linotype" w:hAnsi="Palatino Linotype" w:cs="Arial"/>
          <w:i/>
        </w:rPr>
        <w:t xml:space="preserve">, </w:t>
      </w:r>
      <w:r w:rsidRPr="008B488C">
        <w:rPr>
          <w:rFonts w:ascii="Palatino Linotype" w:hAnsi="Palatino Linotype" w:cs="Arial"/>
        </w:rPr>
        <w:t xml:space="preserve">sólo es, </w:t>
      </w:r>
      <w:r w:rsidRPr="008B488C">
        <w:rPr>
          <w:rFonts w:ascii="Palatino Linotype" w:hAnsi="Palatino Linotype"/>
        </w:rPr>
        <w:t>que</w:t>
      </w:r>
      <w:r w:rsidRPr="008B488C">
        <w:rPr>
          <w:rFonts w:ascii="Palatino Linotype" w:hAnsi="Palatino Linotype" w:cs="Arial"/>
          <w:b/>
          <w:i/>
        </w:rPr>
        <w:t xml:space="preserve"> </w:t>
      </w:r>
      <w:r w:rsidRPr="008B488C">
        <w:rPr>
          <w:rFonts w:ascii="Palatino Linotype" w:hAnsi="Palatino Linotype" w:cs="Arial"/>
        </w:rPr>
        <w:t>precisó el periodo de entrega de l</w:t>
      </w:r>
      <w:r w:rsidRPr="008B488C">
        <w:rPr>
          <w:rFonts w:ascii="Palatino Linotype" w:hAnsi="Palatino Linotype"/>
        </w:rPr>
        <w:t>os requerimientos planteados en la solicitud de acceso a la información que no fue atendida por el Sujeto Obligado</w:t>
      </w:r>
      <w:r w:rsidRPr="008B488C">
        <w:rPr>
          <w:rFonts w:ascii="Palatino Linotype" w:hAnsi="Palatino Linotype"/>
          <w:b/>
        </w:rPr>
        <w:t xml:space="preserve">, </w:t>
      </w:r>
      <w:r w:rsidRPr="008B488C">
        <w:rPr>
          <w:rFonts w:ascii="Palatino Linotype" w:hAnsi="Palatino Linotype"/>
        </w:rPr>
        <w:t>en consecuencia el soporte documental del salario neto y bruto del Presidente, Sindico y Regidores será el correspondiente a los meses de septiembre y octubre de dos mil dieciocho,</w:t>
      </w:r>
      <w:r w:rsidRPr="008B488C">
        <w:rPr>
          <w:rFonts w:ascii="Palatino Linotype" w:hAnsi="Palatino Linotype" w:cs="Arial"/>
        </w:rPr>
        <w:t xml:space="preserve"> en términos del </w:t>
      </w:r>
      <w:r w:rsidRPr="008B488C">
        <w:rPr>
          <w:rFonts w:ascii="Palatino Linotype" w:eastAsiaTheme="minorHAnsi" w:hAnsi="Palatino Linotype" w:cstheme="minorBidi"/>
          <w:lang w:eastAsia="en-US"/>
        </w:rPr>
        <w:t>artículo 13</w:t>
      </w:r>
      <w:r w:rsidRPr="008B488C">
        <w:rPr>
          <w:rFonts w:ascii="Palatino Linotype" w:hAnsi="Palatino Linotype"/>
        </w:rPr>
        <w:t xml:space="preserve"> de la Ley de Transparencia y Acceso a la Información Pública del Estado de México y Municipios, que estipula lo que se transcribe a continuación:</w:t>
      </w:r>
    </w:p>
    <w:p w14:paraId="6EA8BC6E" w14:textId="77777777" w:rsidR="00905247" w:rsidRPr="008B488C" w:rsidRDefault="00905247" w:rsidP="00905247">
      <w:pPr>
        <w:autoSpaceDE w:val="0"/>
        <w:autoSpaceDN w:val="0"/>
        <w:adjustRightInd w:val="0"/>
        <w:spacing w:after="120"/>
        <w:ind w:left="851" w:right="902"/>
        <w:jc w:val="both"/>
        <w:rPr>
          <w:rFonts w:ascii="Palatino Linotype" w:hAnsi="Palatino Linotype" w:cs="Arial"/>
          <w:i/>
          <w:sz w:val="20"/>
          <w:szCs w:val="20"/>
        </w:rPr>
      </w:pPr>
      <w:r w:rsidRPr="008B488C">
        <w:rPr>
          <w:rFonts w:ascii="Palatino Linotype" w:eastAsiaTheme="minorEastAsia" w:hAnsi="Palatino Linotype" w:cs="Bookman Old Style,Bold"/>
          <w:b/>
          <w:bCs/>
          <w:i/>
          <w:sz w:val="20"/>
          <w:szCs w:val="20"/>
          <w:lang w:val="es-MX"/>
        </w:rPr>
        <w:lastRenderedPageBreak/>
        <w:t>“</w:t>
      </w:r>
      <w:r w:rsidRPr="008B488C">
        <w:rPr>
          <w:rFonts w:ascii="Palatino Linotype" w:hAnsi="Palatino Linotype"/>
          <w:b/>
          <w:i/>
          <w:sz w:val="20"/>
          <w:szCs w:val="20"/>
        </w:rPr>
        <w:t>Artículo 13.</w:t>
      </w:r>
      <w:r w:rsidRPr="008B488C">
        <w:rPr>
          <w:rFonts w:ascii="Palatino Linotype" w:hAnsi="Palatino Linotype"/>
          <w:i/>
          <w:sz w:val="20"/>
          <w:szCs w:val="20"/>
        </w:rPr>
        <w:t xml:space="preserve"> El Instituto, en el ámbito de sus atribuciones, deberá suplir cualquier deficiencia para garantizar el ejercicio del derecho de acceso a la información.</w:t>
      </w:r>
      <w:r w:rsidRPr="008B488C">
        <w:rPr>
          <w:rFonts w:ascii="Palatino Linotype" w:eastAsiaTheme="minorEastAsia" w:hAnsi="Palatino Linotype" w:cs="Bookman Old Style"/>
          <w:i/>
          <w:sz w:val="20"/>
          <w:szCs w:val="20"/>
          <w:lang w:val="es-MX"/>
        </w:rPr>
        <w:t>”</w:t>
      </w:r>
    </w:p>
    <w:p w14:paraId="5A51B415" w14:textId="1D1B55FA" w:rsidR="00905247" w:rsidRPr="008B488C" w:rsidRDefault="00905247" w:rsidP="00905247">
      <w:pPr>
        <w:spacing w:before="240" w:after="240" w:line="360" w:lineRule="auto"/>
        <w:jc w:val="both"/>
        <w:rPr>
          <w:rFonts w:ascii="Palatino Linotype" w:hAnsi="Palatino Linotype" w:cs="Arial"/>
        </w:rPr>
      </w:pPr>
      <w:r w:rsidRPr="008B488C">
        <w:rPr>
          <w:rFonts w:ascii="Palatino Linotype" w:hAnsi="Palatino Linotype" w:cs="Arial"/>
        </w:rPr>
        <w:t>Sirve de sustento a lo anterior la te</w:t>
      </w:r>
      <w:r w:rsidR="004F2AA7" w:rsidRPr="008B488C">
        <w:rPr>
          <w:rFonts w:ascii="Palatino Linotype" w:hAnsi="Palatino Linotype" w:cs="Arial"/>
        </w:rPr>
        <w:t>sis aislada 1a. CCI/2018 (10a.)</w:t>
      </w:r>
      <w:r w:rsidRPr="008B488C">
        <w:rPr>
          <w:rFonts w:ascii="Palatino Linotype" w:hAnsi="Palatino Linotype" w:cs="Arial"/>
        </w:rPr>
        <w:t xml:space="preserve"> de la Décima Época, de Primera Sala en materia Constitucional de la Suprema Corte de Justicia de la Nación, que es del tenor literal siguiente: </w:t>
      </w:r>
    </w:p>
    <w:p w14:paraId="0B7667AB" w14:textId="77777777" w:rsidR="00905247" w:rsidRPr="008B488C" w:rsidRDefault="00905247" w:rsidP="00905247">
      <w:pPr>
        <w:spacing w:after="120"/>
        <w:ind w:left="851" w:right="902"/>
        <w:jc w:val="both"/>
        <w:rPr>
          <w:rFonts w:ascii="Palatino Linotype" w:hAnsi="Palatino Linotype" w:cs="Arial"/>
          <w:i/>
          <w:sz w:val="20"/>
          <w:szCs w:val="20"/>
        </w:rPr>
      </w:pPr>
      <w:r w:rsidRPr="008B488C">
        <w:rPr>
          <w:rFonts w:ascii="Palatino Linotype" w:hAnsi="Palatino Linotype" w:cs="Arial"/>
          <w:b/>
          <w:i/>
          <w:sz w:val="20"/>
          <w:szCs w:val="20"/>
        </w:rPr>
        <w:t xml:space="preserve">“SUPLENCIA DE LA QUEJA DEFICIENTE PREVISTA EN EL ARTÍCULO 79 DE LA LEY DE AMPARO. PERMITE A LAS PARTES ENCONTRARSE EN UN PLANO DE IGUALDAD Y HACER EFECTIVO LO DISPUESTO POR EL ARTÍCULO 1o. DE LA CONSTITUCIÓN POLÍTICA DE LOS ESTADOS UNIDOS MEXICANOS. </w:t>
      </w:r>
      <w:r w:rsidRPr="008B488C">
        <w:rPr>
          <w:rFonts w:ascii="Palatino Linotype" w:hAnsi="Palatino Linotype" w:cs="Arial"/>
          <w:i/>
          <w:sz w:val="20"/>
          <w:szCs w:val="20"/>
        </w:rPr>
        <w:t>En el artículo 79 de la Ley de Amparo se acogen distintos supuestos que el legislador, en ejercicio de su libertad configurativa, consideró que requerían especial protección, ya sea por la calidad de la persona o por el grupo al que pertenecen (menores de edad), la materia de que se trata (penal, agraria, laboral), porque su posición en el proceso involucra una concreta debilidad o vulnerabilidad (una violación evidente de la ley que lo haya dejado sin defensa), o bien se afecten ciertas instituciones (el orden y desarrollo de la familia). Así, con la suplencia de la queja se pretende que, a causa de una deficiente argumentación jurídica, no se produzca una violación mayor dejándose a la persona en estado de indefensión, dadas las particulares condiciones en las que se encuentra. Asimismo, la lógica de la suplencia de la queja deficiente implica la protección a ciertos supuestos concretos y específicos: el legislador ha estimado adecuado atemperar los tecnicismos del juicio de amparo para lograr una eficaz protección de los derechos humanos violados y sus garantías, al considerar que, por una serie de circunstancias de carácter histórico, social y/o jurídico, en esos supuestos se requiere especial protección. En definitiva, los supuestos de suplencia de la queja que prevé el artículo 79 aludido se caracterizan por presentar posiciones asimétricas entre las partes, y, en consecuencia, se asume que una de ellas cuenta con menores recursos (ya sea educativos, sociales, económicos o de cualquiera otra índole) ocasionándose una disparidad que repercute en su derecho de acceso a la justicia. Ante tal disparidad, la suplencia de la queja funciona como un mecanismo que permite a las partes encontrarse en un plano de igualdad y hacer efectivo lo dispuesto por el artículo 1o. constitucional.”</w:t>
      </w:r>
    </w:p>
    <w:p w14:paraId="5873BD06" w14:textId="230EAEDF" w:rsidR="00905247" w:rsidRPr="008B488C" w:rsidRDefault="00905247" w:rsidP="00905247">
      <w:pPr>
        <w:shd w:val="clear" w:color="auto" w:fill="FFFFFF"/>
        <w:spacing w:before="240" w:after="240" w:line="360" w:lineRule="auto"/>
        <w:jc w:val="both"/>
        <w:rPr>
          <w:rFonts w:ascii="Palatino Linotype" w:hAnsi="Palatino Linotype"/>
        </w:rPr>
      </w:pPr>
      <w:r w:rsidRPr="008B488C">
        <w:rPr>
          <w:rFonts w:ascii="Palatino Linotype" w:hAnsi="Palatino Linotype" w:cs="Arial"/>
          <w:lang w:val="es-MX" w:eastAsia="es-MX"/>
        </w:rPr>
        <w:t>Cabe precisar que si bien la solicitud de info</w:t>
      </w:r>
      <w:r w:rsidR="004F2AA7" w:rsidRPr="008B488C">
        <w:rPr>
          <w:rFonts w:ascii="Palatino Linotype" w:hAnsi="Palatino Linotype" w:cs="Arial"/>
          <w:lang w:val="es-MX" w:eastAsia="es-MX"/>
        </w:rPr>
        <w:t>rmación fue interpuesta en doce</w:t>
      </w:r>
      <w:r w:rsidRPr="008B488C">
        <w:rPr>
          <w:rFonts w:ascii="Palatino Linotype" w:hAnsi="Palatino Linotype" w:cs="Arial"/>
          <w:lang w:val="es-MX" w:eastAsia="es-MX"/>
        </w:rPr>
        <w:t xml:space="preserve"> de octubre de dos mil dieciocho, también lo es que a la fecha de dar cumplimiento a la presente resolución, la información del sueldo bruto y neto mensual del mes de octubre de dos mil dieciocho ya fue generada por el Sujeto Obligado</w:t>
      </w:r>
      <w:r w:rsidRPr="008B488C">
        <w:rPr>
          <w:rFonts w:ascii="Palatino Linotype" w:hAnsi="Palatino Linotype" w:cs="Arial"/>
          <w:b/>
          <w:lang w:val="es-MX" w:eastAsia="es-MX"/>
        </w:rPr>
        <w:t>,</w:t>
      </w:r>
      <w:r w:rsidRPr="008B488C">
        <w:rPr>
          <w:rFonts w:ascii="Palatino Linotype" w:hAnsi="Palatino Linotype" w:cs="Arial"/>
          <w:lang w:val="es-MX" w:eastAsia="es-MX"/>
        </w:rPr>
        <w:t xml:space="preserve"> por lo que con el objeto de garantizar el principio de máxima publicidad, así como los de </w:t>
      </w:r>
      <w:r w:rsidRPr="008B488C">
        <w:rPr>
          <w:rFonts w:ascii="Palatino Linotype" w:hAnsi="Palatino Linotype"/>
        </w:rPr>
        <w:t xml:space="preserve">prontitud, </w:t>
      </w:r>
      <w:r w:rsidRPr="008B488C">
        <w:rPr>
          <w:rFonts w:ascii="Palatino Linotype" w:hAnsi="Palatino Linotype"/>
        </w:rPr>
        <w:lastRenderedPageBreak/>
        <w:t>eficacia y expedites consagrados en el artículo 17 de la Constitución Política de los Estados Unidos Mexicanos, resulta procedente su entrega, toda vez que dejar a su salvo los derechos del particular para interponer nueva solicitud de acceso a la información, transgrediría más el derecho en cuestión, que de por sí ya se vio afectado con la falta de respuesta, en el tiempo previsto para ello</w:t>
      </w:r>
      <w:r w:rsidRPr="008B488C">
        <w:rPr>
          <w:rStyle w:val="Refdenotaalpie"/>
          <w:rFonts w:ascii="Palatino Linotype" w:hAnsi="Palatino Linotype"/>
        </w:rPr>
        <w:footnoteReference w:id="5"/>
      </w:r>
      <w:r w:rsidRPr="008B488C">
        <w:rPr>
          <w:rFonts w:ascii="Palatino Linotype" w:hAnsi="Palatino Linotype"/>
        </w:rPr>
        <w:t>,  no atender el requerimiento contravendría l</w:t>
      </w:r>
      <w:r w:rsidRPr="008B488C">
        <w:rPr>
          <w:rFonts w:ascii="Palatino Linotype" w:hAnsi="Palatino Linotype" w:cs="Arial"/>
          <w:lang w:eastAsia="es-MX"/>
        </w:rPr>
        <w:t xml:space="preserve">a protección más amplia a los derechos fundamentales del ser humano,  </w:t>
      </w:r>
      <w:r w:rsidRPr="008B488C">
        <w:rPr>
          <w:rFonts w:ascii="Palatino Linotype" w:hAnsi="Palatino Linotype"/>
        </w:rPr>
        <w:t>sirve de sustento la jurisprudencia que responde al rubro y texto siguiente:</w:t>
      </w:r>
    </w:p>
    <w:p w14:paraId="6B2767F8" w14:textId="77777777" w:rsidR="00905247" w:rsidRPr="004A6205" w:rsidRDefault="00905247" w:rsidP="00905247">
      <w:pPr>
        <w:shd w:val="clear" w:color="auto" w:fill="FFFFFF"/>
        <w:spacing w:after="120"/>
        <w:ind w:left="851" w:right="900"/>
        <w:jc w:val="both"/>
        <w:rPr>
          <w:rFonts w:ascii="Palatino Linotype" w:hAnsi="Palatino Linotype"/>
          <w:i/>
          <w:sz w:val="20"/>
          <w:szCs w:val="20"/>
        </w:rPr>
      </w:pPr>
      <w:r w:rsidRPr="008B488C">
        <w:rPr>
          <w:rFonts w:ascii="Palatino Linotype" w:hAnsi="Palatino Linotype"/>
          <w:b/>
          <w:i/>
          <w:sz w:val="20"/>
          <w:szCs w:val="20"/>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8B488C">
        <w:rPr>
          <w:rFonts w:ascii="Palatino Linotype" w:hAnsi="Palatino Linotype"/>
          <w:i/>
          <w:sz w:val="20"/>
          <w:szCs w:val="20"/>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subgarantías de prontitud, eficacia y expeditez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subgarantías de prontitud, eficacia y expeditez no pueden ser privativas del ámbito judicial, sino que comprenden la producción de los actos administrativos.”</w:t>
      </w:r>
    </w:p>
    <w:p w14:paraId="053291A0" w14:textId="77777777" w:rsidR="00905247" w:rsidRDefault="00905247" w:rsidP="00DF1EDA">
      <w:pPr>
        <w:spacing w:before="240" w:after="240" w:line="360" w:lineRule="auto"/>
        <w:contextualSpacing/>
        <w:jc w:val="both"/>
        <w:rPr>
          <w:rFonts w:ascii="Palatino Linotype" w:hAnsi="Palatino Linotype" w:cs="Arial"/>
        </w:rPr>
      </w:pPr>
    </w:p>
    <w:p w14:paraId="7616FCCD" w14:textId="799A489B" w:rsidR="00DF1EDA" w:rsidRPr="00904199" w:rsidRDefault="00536B8E" w:rsidP="00DF1EDA">
      <w:pPr>
        <w:spacing w:before="240" w:after="240" w:line="360" w:lineRule="auto"/>
        <w:contextualSpacing/>
        <w:jc w:val="both"/>
        <w:rPr>
          <w:rFonts w:ascii="Palatino Linotype" w:hAnsi="Palatino Linotype" w:cs="Arial"/>
        </w:rPr>
      </w:pPr>
      <w:r w:rsidRPr="00904199">
        <w:rPr>
          <w:rFonts w:ascii="Palatino Linotype" w:hAnsi="Palatino Linotype" w:cs="Arial"/>
        </w:rPr>
        <w:lastRenderedPageBreak/>
        <w:t>Finalmente</w:t>
      </w:r>
      <w:r w:rsidR="00904199" w:rsidRPr="00904199">
        <w:rPr>
          <w:rFonts w:ascii="Palatino Linotype" w:hAnsi="Palatino Linotype" w:cs="Arial"/>
        </w:rPr>
        <w:t>, en observancia a los motivos de inconformidad</w:t>
      </w:r>
      <w:r w:rsidR="0088511E">
        <w:rPr>
          <w:rFonts w:ascii="Palatino Linotype" w:hAnsi="Palatino Linotype" w:cs="Arial"/>
        </w:rPr>
        <w:t xml:space="preserve"> de la recurrente en donde manifiesta</w:t>
      </w:r>
      <w:r w:rsidR="009879C0" w:rsidRPr="00904199">
        <w:rPr>
          <w:rFonts w:ascii="Palatino Linotype" w:hAnsi="Palatino Linotype" w:cs="Arial"/>
        </w:rPr>
        <w:t xml:space="preserve"> “</w:t>
      </w:r>
      <w:r w:rsidR="00904199" w:rsidRPr="00904199">
        <w:rPr>
          <w:rFonts w:ascii="Palatino Linotype" w:hAnsi="Palatino Linotype" w:cs="Arial"/>
          <w:i/>
        </w:rPr>
        <w:t>NO SE DIO RESPUESTA A LA SOLICITUD</w:t>
      </w:r>
      <w:r w:rsidR="009879C0" w:rsidRPr="00904199">
        <w:rPr>
          <w:rFonts w:ascii="Palatino Linotype" w:hAnsi="Palatino Linotype" w:cs="Arial"/>
        </w:rPr>
        <w:t>”(sic)</w:t>
      </w:r>
      <w:r w:rsidRPr="00904199">
        <w:rPr>
          <w:rFonts w:ascii="Palatino Linotype" w:hAnsi="Palatino Linotype"/>
          <w:i/>
        </w:rPr>
        <w:t>,</w:t>
      </w:r>
      <w:r w:rsidRPr="00904199">
        <w:rPr>
          <w:rFonts w:ascii="Palatino Linotype" w:hAnsi="Palatino Linotype"/>
          <w:i/>
          <w:sz w:val="22"/>
          <w:szCs w:val="22"/>
        </w:rPr>
        <w:t xml:space="preserve"> </w:t>
      </w:r>
      <w:r w:rsidRPr="00904199">
        <w:rPr>
          <w:rFonts w:ascii="Palatino Linotype" w:hAnsi="Palatino Linotype"/>
        </w:rPr>
        <w:t xml:space="preserve">se determina lo siguiente: </w:t>
      </w:r>
      <w:r w:rsidR="00DF1EDA" w:rsidRPr="00904199">
        <w:rPr>
          <w:rFonts w:ascii="Palatino Linotype" w:hAnsi="Palatino Linotype" w:cs="Arial"/>
        </w:rPr>
        <w:t>toda vez que el presente recurso de revisión tuvo como origen la falta de respuesta por parte del Sujeto Obligado en el plazo que tienen los Sujetos Obligados para atender las solicitudes de información que les</w:t>
      </w:r>
      <w:r w:rsidRPr="00904199">
        <w:rPr>
          <w:rFonts w:ascii="Palatino Linotype" w:hAnsi="Palatino Linotype" w:cs="Arial"/>
        </w:rPr>
        <w:t xml:space="preserve"> son formuladas, de conformidad con lo establecido en</w:t>
      </w:r>
      <w:r w:rsidR="009879C0" w:rsidRPr="00904199">
        <w:rPr>
          <w:rFonts w:ascii="Palatino Linotype" w:hAnsi="Palatino Linotype" w:cs="Arial"/>
        </w:rPr>
        <w:t xml:space="preserve"> los</w:t>
      </w:r>
      <w:r w:rsidR="00DF1EDA" w:rsidRPr="00904199">
        <w:rPr>
          <w:rFonts w:ascii="Palatino Linotype" w:hAnsi="Palatino Linotype" w:cs="Arial"/>
        </w:rPr>
        <w:t xml:space="preserve"> artículo</w:t>
      </w:r>
      <w:r w:rsidR="009879C0" w:rsidRPr="00904199">
        <w:rPr>
          <w:rFonts w:ascii="Palatino Linotype" w:hAnsi="Palatino Linotype" w:cs="Arial"/>
        </w:rPr>
        <w:t>s</w:t>
      </w:r>
      <w:r w:rsidR="00DF1EDA" w:rsidRPr="00904199">
        <w:rPr>
          <w:rFonts w:ascii="Palatino Linotype" w:hAnsi="Palatino Linotype" w:cs="Arial"/>
        </w:rPr>
        <w:t xml:space="preserve"> 163</w:t>
      </w:r>
      <w:r w:rsidR="009879C0" w:rsidRPr="00904199">
        <w:rPr>
          <w:rFonts w:ascii="Palatino Linotype" w:hAnsi="Palatino Linotype" w:cs="Arial"/>
        </w:rPr>
        <w:t>, 190 y 222, fracción III</w:t>
      </w:r>
      <w:r w:rsidR="00DF1EDA" w:rsidRPr="00904199">
        <w:rPr>
          <w:rFonts w:ascii="Palatino Linotype" w:hAnsi="Palatino Linotype" w:cs="Arial"/>
        </w:rPr>
        <w:t xml:space="preserve"> de la Ley de Transparencia y Acceso a la Información Pública de</w:t>
      </w:r>
      <w:r w:rsidR="009879C0" w:rsidRPr="00904199">
        <w:rPr>
          <w:rFonts w:ascii="Palatino Linotype" w:hAnsi="Palatino Linotype" w:cs="Arial"/>
        </w:rPr>
        <w:t>l Estado de México y Municipios el pleno de este Órgano Garante</w:t>
      </w:r>
      <w:r w:rsidR="00DF1EDA" w:rsidRPr="00904199">
        <w:rPr>
          <w:rFonts w:ascii="Palatino Linotype" w:hAnsi="Palatino Linotype" w:cs="Arial"/>
        </w:rPr>
        <w:t>, ordena se de vista al Titular de la Contraloría Interna y Órgano de Control y Vigilancia de este Instituto a fin de que en ejercicio de sus funciones determine lo conducente.</w:t>
      </w:r>
    </w:p>
    <w:p w14:paraId="7D613450" w14:textId="77777777" w:rsidR="00046D1F" w:rsidRDefault="00046D1F" w:rsidP="00DF1EDA">
      <w:pPr>
        <w:spacing w:before="240" w:after="240" w:line="360" w:lineRule="auto"/>
        <w:contextualSpacing/>
        <w:jc w:val="both"/>
        <w:rPr>
          <w:rFonts w:ascii="Palatino Linotype" w:hAnsi="Palatino Linotype" w:cs="Arial"/>
        </w:rPr>
      </w:pPr>
    </w:p>
    <w:p w14:paraId="6BBDE2AC" w14:textId="77777777" w:rsidR="004A59DD" w:rsidRDefault="004A59DD" w:rsidP="004A59DD">
      <w:pPr>
        <w:spacing w:before="240" w:after="240" w:line="360" w:lineRule="auto"/>
        <w:jc w:val="both"/>
        <w:rPr>
          <w:rFonts w:ascii="Palatino Linotype" w:hAnsi="Palatino Linotype" w:cs="Arial"/>
        </w:rPr>
      </w:pPr>
      <w:r>
        <w:rPr>
          <w:rFonts w:ascii="Palatino Linotype" w:hAnsi="Palatino Linotype"/>
          <w:b/>
        </w:rPr>
        <w:t xml:space="preserve">Quinto. Versión Pública. </w:t>
      </w:r>
      <w:r w:rsidRPr="0074668D">
        <w:rPr>
          <w:rFonts w:ascii="Palatino Linotype" w:hAnsi="Palatino Linotype" w:cs="Arial"/>
          <w:bCs/>
        </w:rPr>
        <w:t xml:space="preserve">Respecto </w:t>
      </w:r>
      <w:r>
        <w:rPr>
          <w:rFonts w:ascii="Palatino Linotype" w:hAnsi="Palatino Linotype" w:cs="Arial"/>
          <w:bCs/>
        </w:rPr>
        <w:t>de la documentación con la cual se podría colmar la solicitud de información,</w:t>
      </w:r>
      <w:r w:rsidRPr="0074668D">
        <w:rPr>
          <w:rFonts w:ascii="Palatino Linotype" w:hAnsi="Palatino Linotype" w:cs="Arial"/>
          <w:bCs/>
        </w:rPr>
        <w:t xml:space="preserve"> </w:t>
      </w:r>
      <w:r w:rsidRPr="00BB1D9C">
        <w:rPr>
          <w:rFonts w:ascii="Palatino Linotype" w:hAnsi="Palatino Linotype" w:cs="Arial"/>
        </w:rPr>
        <w:t xml:space="preserve">resulta oportuno </w:t>
      </w:r>
      <w:r>
        <w:rPr>
          <w:rFonts w:ascii="Palatino Linotype" w:hAnsi="Palatino Linotype" w:cs="Arial"/>
        </w:rPr>
        <w:t>observar</w:t>
      </w:r>
      <w:r w:rsidRPr="00BB1D9C">
        <w:rPr>
          <w:rFonts w:ascii="Palatino Linotype" w:hAnsi="Palatino Linotype" w:cs="Arial"/>
        </w:rPr>
        <w:t xml:space="preserve"> l</w:t>
      </w:r>
      <w:r>
        <w:rPr>
          <w:rFonts w:ascii="Palatino Linotype" w:hAnsi="Palatino Linotype" w:cs="Arial"/>
        </w:rPr>
        <w:t xml:space="preserve">o dispuesto en los </w:t>
      </w:r>
      <w:r w:rsidRPr="00BB1D9C">
        <w:rPr>
          <w:rFonts w:ascii="Palatino Linotype" w:hAnsi="Palatino Linotype" w:cs="Arial"/>
        </w:rPr>
        <w:t xml:space="preserve">artículos </w:t>
      </w:r>
      <w:r>
        <w:rPr>
          <w:rFonts w:ascii="Palatino Linotype" w:hAnsi="Palatino Linotype" w:cs="Arial"/>
        </w:rPr>
        <w:t>3</w:t>
      </w:r>
      <w:r w:rsidRPr="00BB1D9C">
        <w:rPr>
          <w:rFonts w:ascii="Palatino Linotype" w:hAnsi="Palatino Linotype" w:cs="Arial"/>
        </w:rPr>
        <w:t>, fracciones I</w:t>
      </w:r>
      <w:r>
        <w:rPr>
          <w:rFonts w:ascii="Palatino Linotype" w:hAnsi="Palatino Linotype" w:cs="Arial"/>
        </w:rPr>
        <w:t>X</w:t>
      </w:r>
      <w:r w:rsidRPr="00BB1D9C">
        <w:rPr>
          <w:rFonts w:ascii="Palatino Linotype" w:hAnsi="Palatino Linotype" w:cs="Arial"/>
        </w:rPr>
        <w:t xml:space="preserve">, </w:t>
      </w:r>
      <w:r>
        <w:rPr>
          <w:rFonts w:ascii="Palatino Linotype" w:hAnsi="Palatino Linotype" w:cs="Arial"/>
        </w:rPr>
        <w:t>XX, XXI</w:t>
      </w:r>
      <w:r w:rsidRPr="00BB1D9C">
        <w:rPr>
          <w:rFonts w:ascii="Palatino Linotype" w:hAnsi="Palatino Linotype" w:cs="Arial"/>
        </w:rPr>
        <w:t xml:space="preserve"> y X</w:t>
      </w:r>
      <w:r>
        <w:rPr>
          <w:rFonts w:ascii="Palatino Linotype" w:hAnsi="Palatino Linotype" w:cs="Arial"/>
        </w:rPr>
        <w:t>LV; 4, 91</w:t>
      </w:r>
      <w:r w:rsidRPr="00BB1D9C">
        <w:rPr>
          <w:rFonts w:ascii="Palatino Linotype" w:hAnsi="Palatino Linotype" w:cs="Arial"/>
        </w:rPr>
        <w:t xml:space="preserve">, </w:t>
      </w:r>
      <w:r>
        <w:rPr>
          <w:rFonts w:ascii="Palatino Linotype" w:hAnsi="Palatino Linotype" w:cs="Arial"/>
        </w:rPr>
        <w:t>143</w:t>
      </w:r>
      <w:r w:rsidRPr="00BB1D9C">
        <w:rPr>
          <w:rFonts w:ascii="Palatino Linotype" w:hAnsi="Palatino Linotype" w:cs="Arial"/>
        </w:rPr>
        <w:t xml:space="preserve">, </w:t>
      </w:r>
      <w:r>
        <w:rPr>
          <w:rFonts w:ascii="Palatino Linotype" w:hAnsi="Palatino Linotype" w:cs="Arial"/>
        </w:rPr>
        <w:t>51</w:t>
      </w:r>
      <w:r w:rsidRPr="00BB1D9C">
        <w:rPr>
          <w:rFonts w:ascii="Palatino Linotype" w:hAnsi="Palatino Linotype" w:cs="Arial"/>
        </w:rPr>
        <w:t xml:space="preserve"> y </w:t>
      </w:r>
      <w:r>
        <w:rPr>
          <w:rFonts w:ascii="Palatino Linotype" w:hAnsi="Palatino Linotype" w:cs="Arial"/>
        </w:rPr>
        <w:t>137</w:t>
      </w:r>
      <w:r w:rsidRPr="00BB1D9C">
        <w:rPr>
          <w:rFonts w:ascii="Palatino Linotype" w:hAnsi="Palatino Linotype" w:cs="Arial"/>
        </w:rPr>
        <w:t xml:space="preserve"> de la Ley de Transparencia y Acceso a la Información Pública del Estado de México y Municipios</w:t>
      </w:r>
      <w:r>
        <w:rPr>
          <w:rFonts w:ascii="Palatino Linotype" w:hAnsi="Palatino Linotype" w:cs="Arial"/>
        </w:rPr>
        <w:t>, de los cuales</w:t>
      </w:r>
      <w:r w:rsidRPr="00BB1D9C">
        <w:rPr>
          <w:rFonts w:ascii="Palatino Linotype" w:hAnsi="Palatino Linotype" w:cs="Arial"/>
        </w:rPr>
        <w:t xml:space="preserve"> se desprende que el derecho de acceso a la información pública tiene como limitante el respeto a la intimidad y a la vida privada de las personas,</w:t>
      </w:r>
      <w:r>
        <w:rPr>
          <w:rFonts w:ascii="Palatino Linotype" w:hAnsi="Palatino Linotype" w:cs="Arial"/>
        </w:rPr>
        <w:t xml:space="preserve"> por lo que la entrega de la información, en caso de contener datos personales, deberá ser en versión pública </w:t>
      </w:r>
      <w:r w:rsidRPr="001304D2">
        <w:rPr>
          <w:rFonts w:ascii="Palatino Linotype" w:hAnsi="Palatino Linotype" w:cs="Arial"/>
        </w:rPr>
        <w:t>en la que se suprima aquella información relacionada con la vida privada de los servidores públicos.</w:t>
      </w:r>
    </w:p>
    <w:p w14:paraId="6EADDDFD" w14:textId="77777777" w:rsidR="004A59DD" w:rsidRDefault="004A59DD" w:rsidP="004A59DD">
      <w:pPr>
        <w:spacing w:before="240" w:after="240" w:line="360" w:lineRule="auto"/>
        <w:jc w:val="both"/>
        <w:rPr>
          <w:rFonts w:ascii="Palatino Linotype" w:hAnsi="Palatino Linotype" w:cs="Arial"/>
        </w:rPr>
      </w:pPr>
      <w:r>
        <w:rPr>
          <w:rFonts w:ascii="Palatino Linotype" w:hAnsi="Palatino Linotype" w:cs="Arial"/>
        </w:rPr>
        <w:t>En este sentido,</w:t>
      </w:r>
      <w:r w:rsidRPr="0074668D">
        <w:rPr>
          <w:rFonts w:ascii="Palatino Linotype" w:hAnsi="Palatino Linotype" w:cs="Arial"/>
        </w:rPr>
        <w:t xml:space="preserve"> los Sujetos Obligados </w:t>
      </w:r>
      <w:r>
        <w:rPr>
          <w:rFonts w:ascii="Palatino Linotype" w:hAnsi="Palatino Linotype" w:cs="Arial"/>
        </w:rPr>
        <w:t xml:space="preserve">deben observar que los datos personales en su posesión </w:t>
      </w:r>
      <w:r w:rsidRPr="0074668D">
        <w:rPr>
          <w:rFonts w:ascii="Palatino Linotype" w:hAnsi="Palatino Linotype" w:cs="Arial"/>
        </w:rPr>
        <w:t>estén protegidos, adopta</w:t>
      </w:r>
      <w:r>
        <w:rPr>
          <w:rFonts w:ascii="Palatino Linotype" w:hAnsi="Palatino Linotype" w:cs="Arial"/>
        </w:rPr>
        <w:t>ndo</w:t>
      </w:r>
      <w:r w:rsidRPr="0074668D">
        <w:rPr>
          <w:rFonts w:ascii="Palatino Linotype" w:hAnsi="Palatino Linotype" w:cs="Arial"/>
        </w:rPr>
        <w:t xml:space="preserve"> las medidas de seguridad administrativa, física y técnica necesarias para garantizar la integridad, confidencialidad y disponibilidad de los </w:t>
      </w:r>
      <w:r>
        <w:rPr>
          <w:rFonts w:ascii="Palatino Linotype" w:hAnsi="Palatino Linotype" w:cs="Arial"/>
        </w:rPr>
        <w:t>mismos</w:t>
      </w:r>
      <w:r w:rsidRPr="0074668D">
        <w:rPr>
          <w:rFonts w:ascii="Palatino Linotype" w:hAnsi="Palatino Linotype" w:cs="Arial"/>
        </w:rPr>
        <w:t xml:space="preserve">, considerando además, que conforme al principio de </w:t>
      </w:r>
      <w:r w:rsidRPr="0074668D">
        <w:rPr>
          <w:rFonts w:ascii="Palatino Linotype" w:hAnsi="Palatino Linotype" w:cs="Arial"/>
        </w:rPr>
        <w:lastRenderedPageBreak/>
        <w:t xml:space="preserve">finalidad todo tratamiento de datos personales que efectúen los Sujetos Obligados deberá estar justificado en la Ley, </w:t>
      </w:r>
      <w:r>
        <w:rPr>
          <w:rFonts w:ascii="Palatino Linotype" w:hAnsi="Palatino Linotype" w:cs="Arial"/>
        </w:rPr>
        <w:t>tal como lo</w:t>
      </w:r>
      <w:r w:rsidRPr="0074668D">
        <w:rPr>
          <w:rFonts w:ascii="Palatino Linotype" w:hAnsi="Palatino Linotype" w:cs="Arial"/>
        </w:rPr>
        <w:t xml:space="preserve"> disp</w:t>
      </w:r>
      <w:r>
        <w:rPr>
          <w:rFonts w:ascii="Palatino Linotype" w:hAnsi="Palatino Linotype" w:cs="Arial"/>
        </w:rPr>
        <w:t>one</w:t>
      </w:r>
      <w:r w:rsidRPr="0074668D">
        <w:rPr>
          <w:rFonts w:ascii="Palatino Linotype" w:hAnsi="Palatino Linotype" w:cs="Arial"/>
        </w:rPr>
        <w:t xml:space="preserve"> el artículo </w:t>
      </w:r>
      <w:r>
        <w:rPr>
          <w:rFonts w:ascii="Palatino Linotype" w:hAnsi="Palatino Linotype" w:cs="Arial"/>
        </w:rPr>
        <w:t>3</w:t>
      </w:r>
      <w:r w:rsidRPr="0074668D">
        <w:rPr>
          <w:rFonts w:ascii="Palatino Linotype" w:hAnsi="Palatino Linotype" w:cs="Arial"/>
        </w:rPr>
        <w:t xml:space="preserve">8 de la Ley de Protección de Datos Personales </w:t>
      </w:r>
      <w:r>
        <w:rPr>
          <w:rFonts w:ascii="Palatino Linotype" w:hAnsi="Palatino Linotype" w:cs="Arial"/>
        </w:rPr>
        <w:t xml:space="preserve">en Posesión de Sujetos Obligados </w:t>
      </w:r>
      <w:r w:rsidRPr="0074668D">
        <w:rPr>
          <w:rFonts w:ascii="Palatino Linotype" w:hAnsi="Palatino Linotype" w:cs="Arial"/>
        </w:rPr>
        <w:t>del Estado de México</w:t>
      </w:r>
      <w:r>
        <w:rPr>
          <w:rFonts w:ascii="Palatino Linotype" w:hAnsi="Palatino Linotype" w:cs="Arial"/>
        </w:rPr>
        <w:t xml:space="preserve"> y Municipios. </w:t>
      </w:r>
    </w:p>
    <w:p w14:paraId="1F2A1658" w14:textId="77777777" w:rsidR="004A59DD" w:rsidRDefault="004A59DD" w:rsidP="004A59DD">
      <w:pPr>
        <w:spacing w:before="240" w:after="240" w:line="360" w:lineRule="auto"/>
        <w:jc w:val="both"/>
        <w:rPr>
          <w:rFonts w:ascii="Palatino Linotype" w:hAnsi="Palatino Linotype" w:cs="Arial"/>
        </w:rPr>
      </w:pPr>
      <w:r w:rsidRPr="0074668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CA7E2F2" w14:textId="77777777" w:rsidR="004A59DD" w:rsidRDefault="004A59DD" w:rsidP="004A59DD">
      <w:pPr>
        <w:spacing w:before="240" w:after="240" w:line="360" w:lineRule="auto"/>
        <w:jc w:val="both"/>
        <w:rPr>
          <w:rFonts w:ascii="Palatino Linotype" w:hAnsi="Palatino Linotype" w:cs="Arial"/>
        </w:rPr>
      </w:pPr>
      <w:r>
        <w:rPr>
          <w:rFonts w:ascii="Palatino Linotype" w:hAnsi="Palatino Linotype" w:cs="Arial"/>
        </w:rPr>
        <w:t>E</w:t>
      </w:r>
      <w:r w:rsidRPr="0074668D">
        <w:rPr>
          <w:rFonts w:ascii="Palatino Linotype" w:hAnsi="Palatino Linotype" w:cs="Arial"/>
        </w:rPr>
        <w:t xml:space="preserve">n el caso específico, es criterio reiterado </w:t>
      </w:r>
      <w:r>
        <w:rPr>
          <w:rFonts w:ascii="Palatino Linotype" w:hAnsi="Palatino Linotype" w:cs="Arial"/>
        </w:rPr>
        <w:t>de este Instituto</w:t>
      </w:r>
      <w:r w:rsidRPr="0074668D">
        <w:rPr>
          <w:rFonts w:ascii="Palatino Linotype" w:hAnsi="Palatino Linotype" w:cs="Arial"/>
        </w:rPr>
        <w:t xml:space="preserve"> que además de los datos especificados en la Ley de Transparencia y Acceso a la Información Pública del Estado de México y Municipios</w:t>
      </w:r>
      <w:r>
        <w:rPr>
          <w:rFonts w:ascii="Palatino Linotype" w:hAnsi="Palatino Linotype" w:cs="Arial"/>
        </w:rPr>
        <w:t>,</w:t>
      </w:r>
      <w:r w:rsidRPr="0074668D">
        <w:rPr>
          <w:rFonts w:ascii="Palatino Linotype" w:hAnsi="Palatino Linotype" w:cs="Arial"/>
        </w:rPr>
        <w:t xml:space="preserve"> se consideran confidenciales y por tanto deben testarse al momento de la elaboración de versiones públicas el </w:t>
      </w:r>
      <w:r w:rsidRPr="0074668D">
        <w:rPr>
          <w:rFonts w:ascii="Palatino Linotype" w:hAnsi="Palatino Linotype" w:cs="Arial"/>
          <w:b/>
        </w:rPr>
        <w:t>Registro Federal de Contribuyentes</w:t>
      </w:r>
      <w:r w:rsidRPr="0074668D">
        <w:rPr>
          <w:rFonts w:ascii="Palatino Linotype" w:hAnsi="Palatino Linotype" w:cs="Arial"/>
        </w:rPr>
        <w:t xml:space="preserve"> (RFC), la </w:t>
      </w:r>
      <w:r w:rsidRPr="0074668D">
        <w:rPr>
          <w:rFonts w:ascii="Palatino Linotype" w:hAnsi="Palatino Linotype" w:cs="Arial"/>
          <w:b/>
        </w:rPr>
        <w:t>Clave Única de Registro de Población</w:t>
      </w:r>
      <w:r w:rsidRPr="0074668D">
        <w:rPr>
          <w:rFonts w:ascii="Palatino Linotype" w:hAnsi="Palatino Linotype" w:cs="Arial"/>
        </w:rPr>
        <w:t xml:space="preserve"> (CURP)</w:t>
      </w:r>
      <w:r>
        <w:rPr>
          <w:rFonts w:ascii="Palatino Linotype" w:hAnsi="Palatino Linotype" w:cs="Arial"/>
        </w:rPr>
        <w:t xml:space="preserve"> y</w:t>
      </w:r>
      <w:r w:rsidRPr="0074668D">
        <w:rPr>
          <w:rFonts w:ascii="Palatino Linotype" w:hAnsi="Palatino Linotype" w:cs="Arial"/>
        </w:rPr>
        <w:t xml:space="preserve"> la </w:t>
      </w:r>
      <w:r w:rsidRPr="0074668D">
        <w:rPr>
          <w:rFonts w:ascii="Palatino Linotype" w:hAnsi="Palatino Linotype" w:cs="Arial"/>
          <w:b/>
        </w:rPr>
        <w:t>Clave de cualquier tipo de seguridad social</w:t>
      </w:r>
      <w:r>
        <w:rPr>
          <w:rFonts w:ascii="Palatino Linotype" w:hAnsi="Palatino Linotype" w:cs="Arial"/>
        </w:rPr>
        <w:t xml:space="preserve"> (ISSEMYM, u otros), y los que de manera sucinta se analizan a continuación, entre otros.</w:t>
      </w:r>
    </w:p>
    <w:p w14:paraId="3FBA2180" w14:textId="77777777" w:rsidR="004A59DD" w:rsidRDefault="004A59DD" w:rsidP="004A59DD">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 xml:space="preserve">En cuanto al </w:t>
      </w:r>
      <w:r>
        <w:rPr>
          <w:rFonts w:ascii="Palatino Linotype" w:hAnsi="Palatino Linotype" w:cs="Arial"/>
          <w:lang w:eastAsia="es-MX"/>
        </w:rPr>
        <w:t xml:space="preserve">RFC, este </w:t>
      </w:r>
      <w:r w:rsidRPr="0074668D">
        <w:rPr>
          <w:rFonts w:ascii="Palatino Linotype" w:hAnsi="Palatino Linotype" w:cs="Arial"/>
          <w:lang w:eastAsia="es-MX"/>
        </w:rPr>
        <w:t>constituye un dato personal, ya que para su obtención es necesario acreditar ante la autoridad fiscal previamente la identidad de la persona, su fecha de nacimiento, entre otros aspectos.</w:t>
      </w:r>
    </w:p>
    <w:p w14:paraId="62A3FF31" w14:textId="77769A34" w:rsidR="004A59DD" w:rsidRDefault="004A59DD" w:rsidP="004A59DD">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w:t>
      </w:r>
      <w:r>
        <w:rPr>
          <w:rFonts w:ascii="Palatino Linotype" w:hAnsi="Palatino Linotype" w:cs="Arial"/>
          <w:lang w:eastAsia="es-MX"/>
        </w:rPr>
        <w:t>se</w:t>
      </w:r>
      <w:r w:rsidRPr="0074668D">
        <w:rPr>
          <w:rFonts w:ascii="Palatino Linotype" w:hAnsi="Palatino Linotype" w:cs="Arial"/>
          <w:lang w:eastAsia="es-MX"/>
        </w:rPr>
        <w:t xml:space="preserve"> identificable</w:t>
      </w:r>
      <w:r>
        <w:rPr>
          <w:rFonts w:ascii="Palatino Linotype" w:hAnsi="Palatino Linotype" w:cs="Arial"/>
          <w:lang w:eastAsia="es-MX"/>
        </w:rPr>
        <w:t>s</w:t>
      </w:r>
      <w:r w:rsidRPr="0074668D">
        <w:rPr>
          <w:rFonts w:ascii="Palatino Linotype" w:hAnsi="Palatino Linotype" w:cs="Arial"/>
          <w:lang w:eastAsia="es-MX"/>
        </w:rPr>
        <w:t xml:space="preserve"> respecto de una situación fiscal determinada.</w:t>
      </w:r>
    </w:p>
    <w:p w14:paraId="4881F6E2" w14:textId="77777777" w:rsidR="004A59DD" w:rsidRDefault="004A59DD" w:rsidP="004A59DD">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lastRenderedPageBreak/>
        <w:t xml:space="preserve">Lo anterior es compartido por el Instituto </w:t>
      </w:r>
      <w:r>
        <w:rPr>
          <w:rFonts w:ascii="Palatino Linotype" w:hAnsi="Palatino Linotype" w:cs="Arial"/>
          <w:lang w:eastAsia="es-MX"/>
        </w:rPr>
        <w:t xml:space="preserve">Nacional de Transparencia, Acceso </w:t>
      </w:r>
      <w:r w:rsidRPr="0074668D">
        <w:rPr>
          <w:rFonts w:ascii="Palatino Linotype" w:hAnsi="Palatino Linotype" w:cs="Arial"/>
          <w:lang w:eastAsia="es-MX"/>
        </w:rPr>
        <w:t xml:space="preserve">a la Información </w:t>
      </w:r>
      <w:r>
        <w:rPr>
          <w:rFonts w:ascii="Palatino Linotype" w:hAnsi="Palatino Linotype" w:cs="Arial"/>
          <w:lang w:eastAsia="es-MX"/>
        </w:rPr>
        <w:t xml:space="preserve">y </w:t>
      </w:r>
      <w:r w:rsidRPr="0074668D">
        <w:rPr>
          <w:rFonts w:ascii="Palatino Linotype" w:hAnsi="Palatino Linotype" w:cs="Arial"/>
          <w:lang w:eastAsia="es-MX"/>
        </w:rPr>
        <w:t>Prot</w:t>
      </w:r>
      <w:r>
        <w:rPr>
          <w:rFonts w:ascii="Palatino Linotype" w:hAnsi="Palatino Linotype" w:cs="Arial"/>
          <w:lang w:eastAsia="es-MX"/>
        </w:rPr>
        <w:t>ección de Datos (IN</w:t>
      </w:r>
      <w:r w:rsidRPr="0074668D">
        <w:rPr>
          <w:rFonts w:ascii="Palatino Linotype" w:hAnsi="Palatino Linotype" w:cs="Arial"/>
          <w:lang w:eastAsia="es-MX"/>
        </w:rPr>
        <w:t xml:space="preserve">AI) a través del Criterio </w:t>
      </w:r>
      <w:r>
        <w:rPr>
          <w:rFonts w:ascii="Palatino Linotype" w:hAnsi="Palatino Linotype" w:cs="Arial"/>
          <w:lang w:eastAsia="es-MX"/>
        </w:rPr>
        <w:t>19</w:t>
      </w:r>
      <w:r w:rsidRPr="0074668D">
        <w:rPr>
          <w:rFonts w:ascii="Palatino Linotype" w:hAnsi="Palatino Linotype" w:cs="Arial"/>
          <w:lang w:eastAsia="es-MX"/>
        </w:rPr>
        <w:t>/</w:t>
      </w:r>
      <w:r>
        <w:rPr>
          <w:rFonts w:ascii="Palatino Linotype" w:hAnsi="Palatino Linotype" w:cs="Arial"/>
          <w:lang w:eastAsia="es-MX"/>
        </w:rPr>
        <w:t>17</w:t>
      </w:r>
      <w:r w:rsidRPr="0074668D">
        <w:rPr>
          <w:rFonts w:ascii="Palatino Linotype" w:hAnsi="Palatino Linotype" w:cs="Arial"/>
          <w:lang w:eastAsia="es-MX"/>
        </w:rPr>
        <w:t>, el cual es del tenor literal siguiente:</w:t>
      </w:r>
    </w:p>
    <w:p w14:paraId="3CE90E26" w14:textId="77777777" w:rsidR="004A59DD" w:rsidRPr="00452AF2" w:rsidRDefault="004A59DD" w:rsidP="004A59DD">
      <w:pPr>
        <w:spacing w:after="120"/>
        <w:ind w:left="851" w:right="902"/>
        <w:jc w:val="both"/>
        <w:rPr>
          <w:rFonts w:ascii="Arial" w:hAnsi="Arial" w:cs="Arial"/>
          <w:lang w:val="es-MX"/>
        </w:rPr>
      </w:pPr>
      <w:r w:rsidRPr="00452AF2">
        <w:rPr>
          <w:rFonts w:ascii="Palatino Linotype" w:hAnsi="Palatino Linotype" w:cs="Arial"/>
          <w:b/>
          <w:bCs/>
          <w:i/>
          <w:sz w:val="20"/>
          <w:szCs w:val="20"/>
        </w:rPr>
        <w:t xml:space="preserve">“Registro Federal de Contribuyentes (RFC) de personas físicas. </w:t>
      </w:r>
      <w:r w:rsidRPr="00452AF2">
        <w:rPr>
          <w:rFonts w:ascii="Palatino Linotype" w:hAnsi="Palatino Linotype" w:cs="Arial"/>
          <w:bCs/>
          <w:i/>
          <w:sz w:val="20"/>
          <w:szCs w:val="20"/>
        </w:rPr>
        <w:t>E</w:t>
      </w:r>
      <w:r w:rsidRPr="00452AF2">
        <w:rPr>
          <w:rFonts w:ascii="Palatino Linotype" w:hAnsi="Palatino Linotype" w:cs="Arial"/>
          <w:i/>
          <w:sz w:val="20"/>
          <w:szCs w:val="20"/>
        </w:rPr>
        <w:t>l RFC es una clave de carácter fiscal, única e irrepetible, que permite identificar al titular, su edad y fecha de nacimiento, por lo que es un dato personal de carácter confidencial.</w:t>
      </w:r>
      <w:r w:rsidRPr="00452AF2">
        <w:rPr>
          <w:rFonts w:ascii="Palatino Linotype" w:hAnsi="Palatino Linotype" w:cs="Arial"/>
          <w:bCs/>
          <w:i/>
          <w:sz w:val="20"/>
          <w:szCs w:val="20"/>
        </w:rPr>
        <w:t xml:space="preserve">” </w:t>
      </w:r>
      <w:r w:rsidRPr="00A03658">
        <w:rPr>
          <w:rFonts w:ascii="Palatino Linotype" w:hAnsi="Palatino Linotype" w:cs="Arial"/>
          <w:bCs/>
          <w:i/>
          <w:sz w:val="20"/>
          <w:szCs w:val="20"/>
        </w:rPr>
        <w:t>(Sic)</w:t>
      </w:r>
    </w:p>
    <w:p w14:paraId="53D09DAC" w14:textId="77777777" w:rsidR="004A59DD" w:rsidRPr="005C1591" w:rsidRDefault="004A59DD" w:rsidP="004A59DD">
      <w:pPr>
        <w:pStyle w:val="Sinespaciado"/>
        <w:spacing w:before="240" w:after="240" w:line="360" w:lineRule="auto"/>
        <w:jc w:val="both"/>
        <w:rPr>
          <w:rFonts w:ascii="Palatino Linotype" w:hAnsi="Palatino Linotype" w:cs="Arial"/>
          <w:lang w:eastAsia="es-MX"/>
        </w:rPr>
      </w:pPr>
      <w:r w:rsidRPr="005C1591">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53DAF79" w14:textId="77777777" w:rsidR="004A59DD" w:rsidRPr="005C1591" w:rsidRDefault="004A59DD" w:rsidP="004A59DD">
      <w:pPr>
        <w:pStyle w:val="Sinespaciado"/>
        <w:spacing w:before="240" w:after="240" w:line="360" w:lineRule="auto"/>
        <w:jc w:val="both"/>
        <w:rPr>
          <w:rFonts w:ascii="Palatino Linotype" w:eastAsia="Calibri" w:hAnsi="Palatino Linotype" w:cs="Arial"/>
          <w:lang w:eastAsia="es-MX"/>
        </w:rPr>
      </w:pPr>
      <w:r w:rsidRPr="005C1591">
        <w:rPr>
          <w:rFonts w:ascii="Palatino Linotype" w:hAnsi="Palatino Linotype" w:cs="Arial"/>
          <w:lang w:eastAsia="es-MX"/>
        </w:rPr>
        <w:t>En cuanto al CURP,</w:t>
      </w:r>
      <w:r w:rsidRPr="005C1591">
        <w:rPr>
          <w:rFonts w:ascii="Palatino Linotype" w:hAnsi="Palatino Linotype" w:cs="Arial"/>
        </w:rPr>
        <w:t xml:space="preserve"> en virtud de que éste se </w:t>
      </w:r>
      <w:r w:rsidRPr="005C1591">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A815C39" w14:textId="77777777" w:rsidR="004A59DD" w:rsidRDefault="004A59DD" w:rsidP="004A59DD">
      <w:pPr>
        <w:spacing w:before="240" w:after="240" w:line="360" w:lineRule="auto"/>
        <w:jc w:val="both"/>
        <w:rPr>
          <w:rFonts w:ascii="Palatino Linotype" w:hAnsi="Palatino Linotype" w:cs="Arial"/>
        </w:rPr>
      </w:pPr>
      <w:r w:rsidRPr="0074668D">
        <w:rPr>
          <w:rFonts w:ascii="Palatino Linotype" w:hAnsi="Palatino Linotype" w:cs="Arial"/>
        </w:rPr>
        <w:t xml:space="preserve">Argumento que es compartido por el </w:t>
      </w:r>
      <w:r w:rsidRPr="0074668D">
        <w:rPr>
          <w:rFonts w:ascii="Palatino Linotype" w:hAnsi="Palatino Linotype" w:cs="Arial"/>
          <w:lang w:eastAsia="es-MX"/>
        </w:rPr>
        <w:t xml:space="preserve">Instituto </w:t>
      </w:r>
      <w:r>
        <w:rPr>
          <w:rFonts w:ascii="Palatino Linotype" w:hAnsi="Palatino Linotype" w:cs="Arial"/>
          <w:lang w:eastAsia="es-MX"/>
        </w:rPr>
        <w:t xml:space="preserve">Nacional de Transparencia, Acceso </w:t>
      </w:r>
      <w:r w:rsidRPr="0074668D">
        <w:rPr>
          <w:rFonts w:ascii="Palatino Linotype" w:hAnsi="Palatino Linotype" w:cs="Arial"/>
          <w:lang w:eastAsia="es-MX"/>
        </w:rPr>
        <w:t xml:space="preserve">a la Información </w:t>
      </w:r>
      <w:r>
        <w:rPr>
          <w:rFonts w:ascii="Palatino Linotype" w:hAnsi="Palatino Linotype" w:cs="Arial"/>
          <w:lang w:eastAsia="es-MX"/>
        </w:rPr>
        <w:t xml:space="preserve">y </w:t>
      </w:r>
      <w:r w:rsidRPr="0074668D">
        <w:rPr>
          <w:rFonts w:ascii="Palatino Linotype" w:hAnsi="Palatino Linotype" w:cs="Arial"/>
          <w:lang w:eastAsia="es-MX"/>
        </w:rPr>
        <w:t>Prot</w:t>
      </w:r>
      <w:r>
        <w:rPr>
          <w:rFonts w:ascii="Palatino Linotype" w:hAnsi="Palatino Linotype" w:cs="Arial"/>
          <w:lang w:eastAsia="es-MX"/>
        </w:rPr>
        <w:t>ección de Datos (IN</w:t>
      </w:r>
      <w:r w:rsidRPr="0074668D">
        <w:rPr>
          <w:rFonts w:ascii="Palatino Linotype" w:hAnsi="Palatino Linotype" w:cs="Arial"/>
          <w:lang w:eastAsia="es-MX"/>
        </w:rPr>
        <w:t>AI)</w:t>
      </w:r>
      <w:r w:rsidRPr="00155BC7">
        <w:rPr>
          <w:rStyle w:val="Textoennegrita"/>
          <w:rFonts w:ascii="Palatino Linotype" w:hAnsi="Palatino Linotype" w:cs="Arial"/>
        </w:rPr>
        <w:t>, conforme al</w:t>
      </w:r>
      <w:r w:rsidRPr="00C461A0">
        <w:rPr>
          <w:rStyle w:val="Textoennegrita"/>
          <w:rFonts w:ascii="Palatino Linotype" w:hAnsi="Palatino Linotype" w:cs="Arial"/>
        </w:rPr>
        <w:t xml:space="preserve"> </w:t>
      </w:r>
      <w:r w:rsidRPr="00C461A0">
        <w:rPr>
          <w:rFonts w:ascii="Palatino Linotype" w:hAnsi="Palatino Linotype" w:cs="Arial"/>
        </w:rPr>
        <w:t xml:space="preserve">criterio número </w:t>
      </w:r>
      <w:r>
        <w:rPr>
          <w:rFonts w:ascii="Palatino Linotype" w:hAnsi="Palatino Linotype" w:cs="Arial"/>
        </w:rPr>
        <w:t>18/17</w:t>
      </w:r>
      <w:r w:rsidRPr="00C461A0">
        <w:rPr>
          <w:rFonts w:ascii="Palatino Linotype" w:hAnsi="Palatino Linotype" w:cs="Arial"/>
        </w:rPr>
        <w:t>,</w:t>
      </w:r>
      <w:r w:rsidRPr="0074668D">
        <w:rPr>
          <w:rFonts w:ascii="Palatino Linotype" w:hAnsi="Palatino Linotype" w:cs="Arial"/>
        </w:rPr>
        <w:t xml:space="preserve"> el cual refiere: </w:t>
      </w:r>
    </w:p>
    <w:p w14:paraId="3FBBB114" w14:textId="77777777" w:rsidR="004A59DD" w:rsidRPr="00E3370D" w:rsidRDefault="004A59DD" w:rsidP="004A59DD">
      <w:pPr>
        <w:pStyle w:val="Default"/>
        <w:spacing w:after="120"/>
        <w:ind w:left="851" w:right="902"/>
        <w:jc w:val="both"/>
        <w:rPr>
          <w:b/>
        </w:rPr>
      </w:pPr>
      <w:r w:rsidRPr="00E3370D">
        <w:rPr>
          <w:rFonts w:ascii="Palatino Linotype" w:hAnsi="Palatino Linotype"/>
          <w:b/>
          <w:bCs/>
          <w:i/>
          <w:sz w:val="20"/>
          <w:szCs w:val="20"/>
          <w:lang w:eastAsia="es-MX"/>
        </w:rPr>
        <w:t>“</w:t>
      </w:r>
      <w:r w:rsidRPr="00E3370D">
        <w:rPr>
          <w:rFonts w:ascii="Palatino Linotype" w:hAnsi="Palatino Linotype"/>
          <w:b/>
          <w:bCs/>
          <w:i/>
          <w:sz w:val="20"/>
          <w:szCs w:val="20"/>
        </w:rPr>
        <w:t xml:space="preserve">Clave Única de Registro de Población (CURP). </w:t>
      </w:r>
      <w:r w:rsidRPr="00E3370D">
        <w:rPr>
          <w:rFonts w:ascii="Palatino Linotype" w:hAnsi="Palatino Linotype"/>
          <w:bCs/>
          <w:i/>
          <w:sz w:val="20"/>
          <w:szCs w:val="20"/>
        </w:rPr>
        <w:t xml:space="preserve">La </w:t>
      </w:r>
      <w:r w:rsidRPr="00E3370D">
        <w:rPr>
          <w:rFonts w:ascii="Palatino Linotype" w:hAnsi="Palatino Linotype"/>
          <w:i/>
          <w:sz w:val="20"/>
          <w:szCs w:val="20"/>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E3370D">
        <w:rPr>
          <w:rFonts w:ascii="Palatino Linotype" w:hAnsi="Palatino Linotype"/>
          <w:i/>
          <w:sz w:val="20"/>
          <w:szCs w:val="20"/>
          <w:lang w:eastAsia="es-MX"/>
        </w:rPr>
        <w:t>”</w:t>
      </w:r>
      <w:r w:rsidRPr="00A03658">
        <w:rPr>
          <w:rFonts w:ascii="Palatino Linotype" w:hAnsi="Palatino Linotype"/>
          <w:i/>
          <w:sz w:val="20"/>
          <w:szCs w:val="20"/>
          <w:lang w:eastAsia="es-MX"/>
        </w:rPr>
        <w:t xml:space="preserve"> (Sic)</w:t>
      </w:r>
    </w:p>
    <w:p w14:paraId="1E8512DA" w14:textId="77777777" w:rsidR="004A59DD" w:rsidRDefault="004A59DD" w:rsidP="004A59DD">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lastRenderedPageBreak/>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7230ECB7" w14:textId="77777777" w:rsidR="004A59DD" w:rsidRPr="00BE1510" w:rsidRDefault="004A59DD" w:rsidP="004A59DD">
      <w:pPr>
        <w:autoSpaceDE w:val="0"/>
        <w:autoSpaceDN w:val="0"/>
        <w:adjustRightInd w:val="0"/>
        <w:spacing w:before="240" w:after="240"/>
        <w:ind w:left="567" w:right="900"/>
        <w:jc w:val="both"/>
        <w:rPr>
          <w:rFonts w:ascii="Palatino Linotype" w:hAnsi="Palatino Linotype"/>
          <w:i/>
          <w:sz w:val="20"/>
          <w:szCs w:val="20"/>
        </w:rPr>
      </w:pPr>
      <w:r w:rsidRPr="00BE1510">
        <w:rPr>
          <w:rFonts w:ascii="Palatino Linotype" w:hAnsi="Palatino Linotype"/>
          <w:b/>
          <w:i/>
          <w:sz w:val="20"/>
          <w:szCs w:val="20"/>
        </w:rPr>
        <w:t>“El número de ficha de identificación única de los trabajadores es información de carácter confidencial.</w:t>
      </w:r>
      <w:r w:rsidRPr="00BE1510">
        <w:rPr>
          <w:rFonts w:ascii="Palatino Linotype" w:hAnsi="Palatino Linotype"/>
          <w:i/>
          <w:sz w:val="20"/>
          <w:szCs w:val="20"/>
        </w:rPr>
        <w:t xml:space="preserve"> </w:t>
      </w:r>
      <w:r w:rsidRPr="00BE1510">
        <w:rPr>
          <w:rFonts w:ascii="Palatino Linotype" w:hAnsi="Palatino Linotype"/>
          <w:i/>
          <w:sz w:val="20"/>
          <w:szCs w:val="20"/>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BE1510">
        <w:rPr>
          <w:rFonts w:ascii="Palatino Linotype" w:hAnsi="Palatino Linotype"/>
          <w:i/>
          <w:sz w:val="20"/>
          <w:szCs w:val="20"/>
        </w:rPr>
        <w:t xml:space="preserve">, </w:t>
      </w:r>
      <w:r w:rsidRPr="00BE1510">
        <w:rPr>
          <w:rFonts w:ascii="Palatino Linotype" w:hAnsi="Palatino Linotype"/>
          <w:i/>
          <w:sz w:val="20"/>
          <w:szCs w:val="20"/>
          <w:u w:val="single"/>
        </w:rPr>
        <w:t>dicha información es susceptible de clasificarse con el carácter de confidencial</w:t>
      </w:r>
      <w:r w:rsidRPr="00BE1510">
        <w:rPr>
          <w:rFonts w:ascii="Palatino Linotype" w:hAnsi="Palatino Linotype"/>
          <w:i/>
          <w:sz w:val="20"/>
          <w:szCs w:val="20"/>
        </w:rPr>
        <w:t>, en términos de lo establecido en el artículo 18, fracción II de la Ley Federal de Transparencia y Acceso a la Información Pública Gubernamental, en virtud de que a través de la misma es posible conocer información personal de su titular.” (Sic)</w:t>
      </w:r>
    </w:p>
    <w:p w14:paraId="59F6192C" w14:textId="77777777" w:rsidR="004A59DD" w:rsidRPr="00A2435B" w:rsidRDefault="004A59DD" w:rsidP="004A59DD">
      <w:pPr>
        <w:pStyle w:val="Sinespaciado"/>
        <w:spacing w:before="240" w:after="240" w:line="360" w:lineRule="auto"/>
        <w:jc w:val="both"/>
        <w:rPr>
          <w:rFonts w:ascii="Palatino Linotype" w:hAnsi="Palatino Linotype" w:cs="Arial"/>
        </w:rPr>
      </w:pPr>
      <w:r>
        <w:rPr>
          <w:rFonts w:ascii="Palatino Linotype" w:hAnsi="Palatino Linotype" w:cs="Arial"/>
        </w:rPr>
        <w:t>Por cuanto hace a las deducciones, p</w:t>
      </w:r>
      <w:r w:rsidRPr="00A2435B">
        <w:rPr>
          <w:rFonts w:ascii="Palatino Linotype" w:hAnsi="Palatino Linotype" w:cs="Arial"/>
        </w:rPr>
        <w:t>ara entender los límites y alcances de esta restricción, es oportuno recurrir al artículo 84 de la Ley del Trabajo de los Servidores Públicos del Estado y Municipios:</w:t>
      </w:r>
    </w:p>
    <w:p w14:paraId="51308E04" w14:textId="77777777" w:rsidR="004A59DD" w:rsidRPr="005C1591" w:rsidRDefault="004A59DD" w:rsidP="004A59DD">
      <w:pPr>
        <w:spacing w:after="120"/>
        <w:ind w:left="851" w:right="851"/>
        <w:contextualSpacing/>
        <w:jc w:val="both"/>
        <w:rPr>
          <w:rFonts w:ascii="Palatino Linotype" w:hAnsi="Palatino Linotype" w:cs="Arial"/>
          <w:b/>
          <w:bCs/>
          <w:i/>
          <w:noProof/>
          <w:sz w:val="22"/>
          <w:szCs w:val="22"/>
        </w:rPr>
      </w:pPr>
      <w:r w:rsidRPr="005C1591">
        <w:rPr>
          <w:rFonts w:ascii="Palatino Linotype" w:hAnsi="Palatino Linotype" w:cs="Arial"/>
          <w:b/>
          <w:bCs/>
          <w:i/>
          <w:noProof/>
          <w:sz w:val="22"/>
          <w:szCs w:val="22"/>
        </w:rPr>
        <w:t xml:space="preserve">“ARTÍCULO 84. </w:t>
      </w:r>
      <w:r w:rsidRPr="005C1591">
        <w:rPr>
          <w:rFonts w:ascii="Palatino Linotype" w:hAnsi="Palatino Linotype" w:cs="Arial"/>
          <w:bCs/>
          <w:i/>
          <w:noProof/>
          <w:sz w:val="22"/>
          <w:szCs w:val="22"/>
        </w:rPr>
        <w:t>Sólo podrán hacerse retenciones, descuentos o deducciones al sueldo de los servidores públicos por concepto de:</w:t>
      </w:r>
    </w:p>
    <w:p w14:paraId="4EC511E9"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 Gravámenes fiscales relacionados con el sueldo;</w:t>
      </w:r>
    </w:p>
    <w:p w14:paraId="794CE50B"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II. Deudas contraídas con las instituciones públicas o dependencias por concepto de anticipos de sueldo, pagos hechos con exceso, errores o pérdidas debidamente comprobados;</w:t>
      </w:r>
    </w:p>
    <w:p w14:paraId="15FBC931"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III. Cuotas sindicales;</w:t>
      </w:r>
    </w:p>
    <w:p w14:paraId="77620961"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IV. Cuotas de aportación a fondos para la constitución de cooperativas y de cajas de ahorro, siempre que el servidor público hubiese manifestado previamente, de manera expresa, su conformidad;</w:t>
      </w:r>
    </w:p>
    <w:p w14:paraId="070ED15E"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V. Descuentos ordenados por el Instituto de Seguridad Social del Estado de México y Municipios, con motivo de cuotas y obligaciones contraídas con éste por los servidores públicos;</w:t>
      </w:r>
    </w:p>
    <w:p w14:paraId="5E82B1D4"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lastRenderedPageBreak/>
        <w:t>VI. Obligaciones a cargo del servidor público con las que haya consentido, derivadas de la adquisición o del uso de habitaciones consideradas como de interés social;</w:t>
      </w:r>
    </w:p>
    <w:p w14:paraId="56ECF213"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VII. Faltas de puntualidad o de asistencia injustificadas;</w:t>
      </w:r>
    </w:p>
    <w:p w14:paraId="5B0F977F"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
          <w:bCs/>
          <w:i/>
          <w:noProof/>
          <w:sz w:val="22"/>
          <w:szCs w:val="22"/>
        </w:rPr>
        <w:t>VIII. Pensiones alimenticias ordenadas por la autoridad judicial;</w:t>
      </w:r>
      <w:r w:rsidRPr="005C1591">
        <w:rPr>
          <w:rFonts w:ascii="Palatino Linotype" w:hAnsi="Palatino Linotype" w:cs="Arial"/>
          <w:bCs/>
          <w:i/>
          <w:noProof/>
          <w:sz w:val="22"/>
          <w:szCs w:val="22"/>
        </w:rPr>
        <w:t xml:space="preserve"> o</w:t>
      </w:r>
    </w:p>
    <w:p w14:paraId="0033BFC1" w14:textId="77777777" w:rsidR="004A59DD" w:rsidRPr="005C1591" w:rsidRDefault="004A59DD" w:rsidP="004A59DD">
      <w:pPr>
        <w:spacing w:after="120"/>
        <w:ind w:left="851" w:right="851"/>
        <w:contextualSpacing/>
        <w:jc w:val="both"/>
        <w:rPr>
          <w:rFonts w:ascii="Palatino Linotype" w:hAnsi="Palatino Linotype" w:cs="Arial"/>
          <w:b/>
          <w:bCs/>
          <w:i/>
          <w:noProof/>
          <w:sz w:val="22"/>
          <w:szCs w:val="22"/>
        </w:rPr>
      </w:pPr>
      <w:r w:rsidRPr="005C1591">
        <w:rPr>
          <w:rFonts w:ascii="Palatino Linotype" w:hAnsi="Palatino Linotype" w:cs="Arial"/>
          <w:b/>
          <w:bCs/>
          <w:i/>
          <w:noProof/>
          <w:sz w:val="22"/>
          <w:szCs w:val="22"/>
        </w:rPr>
        <w:t>IX. Cualquier otro convenido con instituciones de servicios y aceptado por el servidor público.</w:t>
      </w:r>
    </w:p>
    <w:p w14:paraId="5C4FEFB5"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01ABCD1F" w14:textId="77777777" w:rsidR="004A59DD" w:rsidRPr="005C1591" w:rsidRDefault="004A59DD" w:rsidP="004A59DD">
      <w:pPr>
        <w:pStyle w:val="Sinespaciado"/>
        <w:spacing w:before="240" w:after="240" w:line="360" w:lineRule="auto"/>
        <w:jc w:val="both"/>
        <w:rPr>
          <w:rFonts w:ascii="Palatino Linotype" w:hAnsi="Palatino Linotype" w:cs="Arial"/>
        </w:rPr>
      </w:pPr>
      <w:r w:rsidRPr="005C1591">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36E8E25F" w14:textId="77777777" w:rsidR="004A59DD" w:rsidRPr="007E5B97" w:rsidRDefault="004A59DD" w:rsidP="004A59DD">
      <w:pPr>
        <w:spacing w:before="240" w:after="240" w:line="360" w:lineRule="auto"/>
        <w:jc w:val="both"/>
        <w:rPr>
          <w:rFonts w:ascii="Palatino Linotype" w:hAnsi="Palatino Linotype" w:cs="Arial"/>
        </w:rPr>
      </w:pPr>
      <w:r w:rsidRPr="00D73A46">
        <w:rPr>
          <w:rFonts w:ascii="Palatino Linotype" w:hAnsi="Palatino Linotype" w:cs="Arial"/>
        </w:rPr>
        <w:t>De esta manera, la entrega de documentos en su versión pública debe acompañarse necesariamente del Acuerdo del Comité de Transparencia que la sustente, en el que se expongan los fundamentos y razonamientos</w:t>
      </w:r>
      <w:r w:rsidRPr="007E5B97">
        <w:rPr>
          <w:rFonts w:ascii="Palatino Linotype" w:hAnsi="Palatino Linotype" w:cs="Arial"/>
        </w:rPr>
        <w:t xml:space="preserve">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7E5B97">
        <w:rPr>
          <w:rFonts w:ascii="Palatino Linotype" w:hAnsi="Palatino Linotype" w:cs="Arial"/>
        </w:rPr>
        <w:lastRenderedPageBreak/>
        <w:t>puntual las razones de ello se estaría violentando desde un inicio el derecho de acceso a la información del solicitante.</w:t>
      </w:r>
    </w:p>
    <w:p w14:paraId="1F4134A0" w14:textId="77777777" w:rsidR="004A59DD" w:rsidRPr="005C1591" w:rsidRDefault="004A59DD" w:rsidP="004A59DD">
      <w:pPr>
        <w:pStyle w:val="Prrafodelista"/>
        <w:spacing w:before="240" w:after="240" w:line="360" w:lineRule="auto"/>
        <w:ind w:left="0"/>
        <w:jc w:val="both"/>
        <w:rPr>
          <w:rFonts w:ascii="Palatino Linotype" w:hAnsi="Palatino Linotype" w:cs="Arial"/>
          <w:iCs/>
        </w:rPr>
      </w:pPr>
      <w:r w:rsidRPr="005C1591">
        <w:rPr>
          <w:rFonts w:ascii="Palatino Linotype" w:hAnsi="Palatino Linotype" w:cs="Arial"/>
        </w:rPr>
        <w:t>Entonces, el Sujeto Obligado debe seguir el procedimiento legal establecido para su declaración,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5C1591">
        <w:rPr>
          <w:rFonts w:ascii="Palatino Linotype" w:hAnsi="Palatino Linotype" w:cs="Arial"/>
          <w:iCs/>
        </w:rPr>
        <w:t>, que son del siguiente tenor:</w:t>
      </w:r>
    </w:p>
    <w:p w14:paraId="238CAE00"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481B30">
        <w:rPr>
          <w:rFonts w:ascii="Palatino Linotype" w:hAnsi="Palatino Linotype" w:cs="Arial"/>
          <w:i/>
          <w:iCs/>
          <w:sz w:val="20"/>
          <w:szCs w:val="20"/>
        </w:rPr>
        <w:t>“</w:t>
      </w:r>
      <w:r w:rsidRPr="005C1591">
        <w:rPr>
          <w:rFonts w:ascii="Palatino Linotype" w:hAnsi="Palatino Linotype" w:cs="Arial"/>
          <w:b/>
          <w:i/>
          <w:iCs/>
        </w:rPr>
        <w:t>Artículo 137.</w:t>
      </w:r>
      <w:r w:rsidRPr="005C1591">
        <w:rPr>
          <w:rFonts w:ascii="Palatino Linotype" w:hAnsi="Palatino Linotype" w:cs="Arial"/>
          <w:i/>
          <w:iC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FC019A"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t>Artículo 143.</w:t>
      </w:r>
      <w:r w:rsidRPr="005C1591">
        <w:rPr>
          <w:rFonts w:ascii="Palatino Linotype" w:hAnsi="Palatino Linotype" w:cs="Arial"/>
          <w:i/>
          <w:iCs/>
        </w:rPr>
        <w:t xml:space="preserve"> Para los efectos de esta Ley se considera información confidencial, la clasificada como tal, de manera permanente, por su naturaleza, cuando:</w:t>
      </w:r>
    </w:p>
    <w:p w14:paraId="6CD65559"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t>I.</w:t>
      </w:r>
      <w:r w:rsidRPr="005C1591">
        <w:rPr>
          <w:rFonts w:ascii="Palatino Linotype" w:hAnsi="Palatino Linotype" w:cs="Arial"/>
          <w:i/>
          <w:iCs/>
        </w:rPr>
        <w:t xml:space="preserve"> Se refiera a la información privada y los datos personales concernientes a una persona física o jurídico colectiva identificada o identificable; </w:t>
      </w:r>
    </w:p>
    <w:p w14:paraId="75952074"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t>II.</w:t>
      </w:r>
      <w:r w:rsidRPr="005C1591">
        <w:rPr>
          <w:rFonts w:ascii="Palatino Linotype" w:hAnsi="Palatino Linotype" w:cs="Arial"/>
          <w:i/>
          <w:iCs/>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750AFC59"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t>III.</w:t>
      </w:r>
      <w:r w:rsidRPr="005C1591">
        <w:rPr>
          <w:rFonts w:ascii="Palatino Linotype" w:hAnsi="Palatino Linotype" w:cs="Arial"/>
          <w:i/>
          <w:iCs/>
        </w:rPr>
        <w:t xml:space="preserve"> La que presenten los particulares a los sujetos obligados, de conformidad con lo dispuesto por las leyes o los tratados internacionales. </w:t>
      </w:r>
    </w:p>
    <w:p w14:paraId="417FC610"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i/>
          <w:iCs/>
        </w:rPr>
        <w:t xml:space="preserve">La información confidencial no estará sujeta a temporalidad alguna y sólo podrán tener acceso a ella los titulares de la misma, sus representantes y los servidores públicos facultados para ello. </w:t>
      </w:r>
    </w:p>
    <w:p w14:paraId="5DDE24A9"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i/>
          <w:iCs/>
        </w:rPr>
        <w:t>No se considerará confidencial la información que se encuentre en los registros públicos o en fuentes de acceso público, ni tampoco la que sea considerada por la presente ley como información pública.</w:t>
      </w:r>
    </w:p>
    <w:p w14:paraId="2E3140DC" w14:textId="77777777" w:rsidR="004A59DD" w:rsidRPr="005C1591" w:rsidRDefault="004A59DD" w:rsidP="004A59DD">
      <w:pPr>
        <w:pStyle w:val="Prrafodelista"/>
        <w:spacing w:before="240" w:after="240"/>
        <w:ind w:left="567"/>
        <w:contextualSpacing/>
        <w:jc w:val="both"/>
        <w:rPr>
          <w:rFonts w:ascii="Palatino Linotype" w:hAnsi="Palatino Linotype" w:cs="Arial"/>
        </w:rPr>
      </w:pPr>
      <w:r w:rsidRPr="005C1591">
        <w:rPr>
          <w:rFonts w:ascii="Palatino Linotype" w:hAnsi="Palatino Linotype" w:cs="Arial"/>
          <w:b/>
          <w:i/>
        </w:rPr>
        <w:t>Artículo 149.</w:t>
      </w:r>
      <w:r w:rsidRPr="005C1591">
        <w:rPr>
          <w:rFonts w:ascii="Palatino Linotype" w:hAnsi="Palatino Linotype" w:cs="Arial"/>
          <w:i/>
        </w:rPr>
        <w:t xml:space="preserve"> El acuerdo que clasifique la información como confidencial deberá contener un razonamiento lógico en el que demuestre que la información se encuentra en alguna o algunas de las hipótesis previstas en la presente Ley.” (Sic)</w:t>
      </w:r>
    </w:p>
    <w:p w14:paraId="32920D1E" w14:textId="77777777" w:rsidR="004A59DD" w:rsidRDefault="004A59DD" w:rsidP="004A59DD">
      <w:pPr>
        <w:spacing w:before="240" w:after="240" w:line="360" w:lineRule="auto"/>
        <w:jc w:val="both"/>
        <w:rPr>
          <w:rFonts w:ascii="Palatino Linotype" w:hAnsi="Palatino Linotype" w:cs="Arial"/>
        </w:rPr>
      </w:pPr>
      <w:r w:rsidRPr="0074668D">
        <w:rPr>
          <w:rFonts w:ascii="Palatino Linotype" w:hAnsi="Palatino Linotype" w:cs="Arial"/>
        </w:rPr>
        <w:lastRenderedPageBreak/>
        <w:t xml:space="preserve">De este modo, como ha </w:t>
      </w:r>
      <w:r>
        <w:rPr>
          <w:rFonts w:ascii="Palatino Linotype" w:hAnsi="Palatino Linotype" w:cs="Arial"/>
        </w:rPr>
        <w:t>sido</w:t>
      </w:r>
      <w:r w:rsidRPr="0074668D">
        <w:rPr>
          <w:rFonts w:ascii="Palatino Linotype" w:hAnsi="Palatino Linotype" w:cs="Arial"/>
        </w:rPr>
        <w:t xml:space="preserve">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280DFF88" w14:textId="77777777" w:rsidR="004A59DD" w:rsidRPr="001863D2" w:rsidRDefault="004A59DD" w:rsidP="004A59DD">
      <w:pPr>
        <w:spacing w:before="240" w:after="360" w:line="360" w:lineRule="auto"/>
        <w:jc w:val="both"/>
        <w:rPr>
          <w:rFonts w:ascii="Palatino Linotype" w:hAnsi="Palatino Linotype" w:cs="Arial"/>
          <w:bCs/>
          <w:iCs/>
          <w:color w:val="222222"/>
          <w:lang w:val="es-MX" w:eastAsia="es-MX"/>
        </w:rPr>
      </w:pPr>
      <w:r w:rsidRPr="001863D2">
        <w:rPr>
          <w:rFonts w:ascii="Palatino Linotype" w:hAnsi="Palatino Linotype" w:cs="Arial"/>
        </w:rPr>
        <w:t xml:space="preserve">Asimismo, deberá observar lo que para tal efecto señalen los </w:t>
      </w:r>
      <w:r w:rsidRPr="001863D2">
        <w:rPr>
          <w:rFonts w:ascii="Palatino Linotype" w:hAnsi="Palatino Linotype" w:cs="Arial"/>
          <w:bCs/>
          <w:iCs/>
          <w:color w:val="222222"/>
          <w:lang w:eastAsia="es-MX"/>
        </w:rPr>
        <w:t>Lineamientos Generale</w:t>
      </w:r>
      <w:r>
        <w:rPr>
          <w:rFonts w:ascii="Palatino Linotype" w:hAnsi="Palatino Linotype" w:cs="Arial"/>
          <w:bCs/>
          <w:iCs/>
          <w:color w:val="222222"/>
          <w:lang w:eastAsia="es-MX"/>
        </w:rPr>
        <w:t xml:space="preserve">s en Materia de Clasificación y </w:t>
      </w:r>
      <w:r w:rsidRPr="001863D2">
        <w:rPr>
          <w:rFonts w:ascii="Palatino Linotype" w:hAnsi="Palatino Linotype" w:cs="Arial"/>
          <w:bCs/>
          <w:iCs/>
          <w:color w:val="222222"/>
          <w:lang w:eastAsia="es-MX"/>
        </w:rPr>
        <w:t>Desclasificació</w:t>
      </w:r>
      <w:r>
        <w:rPr>
          <w:rFonts w:ascii="Palatino Linotype" w:hAnsi="Palatino Linotype" w:cs="Arial"/>
          <w:bCs/>
          <w:iCs/>
          <w:color w:val="222222"/>
          <w:lang w:eastAsia="es-MX"/>
        </w:rPr>
        <w:t xml:space="preserve">n de la Información, así </w:t>
      </w:r>
      <w:r w:rsidRPr="001863D2">
        <w:rPr>
          <w:rFonts w:ascii="Palatino Linotype" w:hAnsi="Palatino Linotype" w:cs="Arial"/>
          <w:bCs/>
          <w:iCs/>
          <w:color w:val="222222"/>
          <w:lang w:eastAsia="es-MX"/>
        </w:rPr>
        <w:t xml:space="preserve">como para la elaboración de Versiones Públicas, que fueron expedidos por el </w:t>
      </w:r>
      <w:r w:rsidRPr="001863D2">
        <w:rPr>
          <w:rFonts w:ascii="Palatino Linotype" w:hAnsi="Palatino Linotype" w:cs="Arial"/>
          <w:bCs/>
          <w:iCs/>
          <w:color w:val="222222"/>
          <w:lang w:val="es-MX" w:eastAsia="es-MX"/>
        </w:rPr>
        <w:t>Consejo Nacional del Sistema Nacional de Transparencia, Acceso a la Información Pública y Protección de Datos Personales, que dicen:</w:t>
      </w:r>
    </w:p>
    <w:p w14:paraId="3C10D0C2" w14:textId="77777777" w:rsidR="004A59DD" w:rsidRPr="001863D2" w:rsidRDefault="004A59DD" w:rsidP="004A59DD">
      <w:pPr>
        <w:spacing w:after="360"/>
        <w:ind w:left="567"/>
        <w:contextualSpacing/>
        <w:jc w:val="both"/>
        <w:rPr>
          <w:rFonts w:ascii="Arial" w:hAnsi="Arial" w:cs="Arial"/>
          <w:color w:val="222222"/>
          <w:sz w:val="20"/>
          <w:szCs w:val="20"/>
          <w:lang w:val="es-MX" w:eastAsia="es-MX"/>
        </w:rPr>
      </w:pPr>
      <w:r w:rsidRPr="001863D2">
        <w:rPr>
          <w:rFonts w:ascii="Palatino Linotype" w:hAnsi="Palatino Linotype" w:cs="Arial"/>
          <w:b/>
          <w:bCs/>
          <w:i/>
          <w:iCs/>
          <w:color w:val="222222"/>
          <w:sz w:val="20"/>
          <w:szCs w:val="20"/>
          <w:lang w:val="es-MX" w:eastAsia="es-MX"/>
        </w:rPr>
        <w:t>“Cuarto.</w:t>
      </w:r>
      <w:r>
        <w:rPr>
          <w:rFonts w:ascii="Palatino Linotype" w:hAnsi="Palatino Linotype" w:cs="Arial"/>
          <w:i/>
          <w:iCs/>
          <w:color w:val="222222"/>
          <w:sz w:val="20"/>
          <w:szCs w:val="20"/>
          <w:lang w:val="es-MX" w:eastAsia="es-MX"/>
        </w:rPr>
        <w:t xml:space="preserve"> </w:t>
      </w:r>
      <w:r w:rsidRPr="001863D2">
        <w:rPr>
          <w:rFonts w:ascii="Palatino Linotype" w:hAnsi="Palatino Linotype" w:cs="Arial"/>
          <w:i/>
          <w:iCs/>
          <w:color w:val="222222"/>
          <w:sz w:val="20"/>
          <w:szCs w:val="20"/>
          <w:u w:val="single"/>
          <w:lang w:val="es-MX" w:eastAsia="es-MX"/>
        </w:rPr>
        <w:t xml:space="preserve">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w:t>
      </w:r>
      <w:r>
        <w:rPr>
          <w:rFonts w:ascii="Palatino Linotype" w:hAnsi="Palatino Linotype" w:cs="Arial"/>
          <w:i/>
          <w:iCs/>
          <w:color w:val="222222"/>
          <w:sz w:val="20"/>
          <w:szCs w:val="20"/>
          <w:u w:val="single"/>
          <w:lang w:val="es-MX" w:eastAsia="es-MX"/>
        </w:rPr>
        <w:t xml:space="preserve">disposiciones legales </w:t>
      </w:r>
      <w:r w:rsidRPr="001863D2">
        <w:rPr>
          <w:rFonts w:ascii="Palatino Linotype" w:hAnsi="Palatino Linotype" w:cs="Arial"/>
          <w:i/>
          <w:iCs/>
          <w:color w:val="222222"/>
          <w:sz w:val="20"/>
          <w:szCs w:val="20"/>
          <w:u w:val="single"/>
          <w:lang w:val="es-MX" w:eastAsia="es-MX"/>
        </w:rPr>
        <w:t>aplicables a la materia en el ámbito de sus respectivas competencias</w:t>
      </w:r>
      <w:r w:rsidRPr="001863D2">
        <w:rPr>
          <w:rFonts w:ascii="Palatino Linotype" w:hAnsi="Palatino Linotype" w:cs="Arial"/>
          <w:i/>
          <w:iCs/>
          <w:color w:val="222222"/>
          <w:sz w:val="20"/>
          <w:szCs w:val="20"/>
          <w:lang w:val="es-MX" w:eastAsia="es-MX"/>
        </w:rPr>
        <w:t>, en tanto estas últimas no contravengan lo dispuesto en la Ley General.</w:t>
      </w:r>
    </w:p>
    <w:p w14:paraId="6C257FD6" w14:textId="77777777" w:rsidR="004A59DD" w:rsidRPr="001863D2" w:rsidRDefault="004A59DD" w:rsidP="004A59DD">
      <w:pPr>
        <w:shd w:val="clear" w:color="auto" w:fill="FFFFFF"/>
        <w:spacing w:before="240" w:after="240"/>
        <w:ind w:left="567"/>
        <w:contextualSpacing/>
        <w:jc w:val="both"/>
        <w:rPr>
          <w:rFonts w:ascii="Arial" w:hAnsi="Arial" w:cs="Arial"/>
          <w:color w:val="222222"/>
          <w:sz w:val="20"/>
          <w:szCs w:val="20"/>
          <w:lang w:val="es-MX" w:eastAsia="es-MX"/>
        </w:rPr>
      </w:pPr>
      <w:r w:rsidRPr="001863D2">
        <w:rPr>
          <w:rFonts w:ascii="Palatino Linotype" w:hAnsi="Palatino Linotype" w:cs="Arial"/>
          <w:i/>
          <w:iCs/>
          <w:color w:val="222222"/>
          <w:sz w:val="20"/>
          <w:szCs w:val="20"/>
          <w:lang w:val="es-MX" w:eastAsia="es-MX"/>
        </w:rPr>
        <w:t>Los sujetos obligados deberán aplicar, de manera estricta, las excepciones al derecho de acceso a la información y sólo podrán invocarlas cuando acrediten su procedencia.</w:t>
      </w:r>
    </w:p>
    <w:p w14:paraId="75A61B04" w14:textId="77777777" w:rsidR="004A59DD" w:rsidRPr="001863D2" w:rsidRDefault="004A59DD" w:rsidP="004A59DD">
      <w:pPr>
        <w:shd w:val="clear" w:color="auto" w:fill="FFFFFF"/>
        <w:spacing w:before="240" w:after="240"/>
        <w:ind w:left="567"/>
        <w:contextualSpacing/>
        <w:jc w:val="both"/>
        <w:rPr>
          <w:rFonts w:ascii="Arial" w:hAnsi="Arial" w:cs="Arial"/>
          <w:color w:val="222222"/>
          <w:sz w:val="20"/>
          <w:szCs w:val="20"/>
          <w:lang w:val="es-MX" w:eastAsia="es-MX"/>
        </w:rPr>
      </w:pPr>
      <w:r w:rsidRPr="001863D2">
        <w:rPr>
          <w:rFonts w:ascii="Palatino Linotype" w:hAnsi="Palatino Linotype" w:cs="Arial"/>
          <w:i/>
          <w:iCs/>
          <w:color w:val="222222"/>
          <w:sz w:val="20"/>
          <w:szCs w:val="20"/>
          <w:lang w:val="es-MX" w:eastAsia="es-MX"/>
        </w:rPr>
        <w:t>…</w:t>
      </w:r>
    </w:p>
    <w:p w14:paraId="00676669" w14:textId="77777777" w:rsidR="004A59DD" w:rsidRPr="001863D2" w:rsidRDefault="004A59DD" w:rsidP="004A59DD">
      <w:pPr>
        <w:shd w:val="clear" w:color="auto" w:fill="FFFFFF"/>
        <w:spacing w:before="240" w:after="240"/>
        <w:ind w:left="567"/>
        <w:contextualSpacing/>
        <w:jc w:val="both"/>
        <w:rPr>
          <w:rFonts w:ascii="Arial" w:hAnsi="Arial" w:cs="Arial"/>
          <w:color w:val="222222"/>
          <w:sz w:val="20"/>
          <w:szCs w:val="20"/>
          <w:lang w:val="es-MX" w:eastAsia="es-MX"/>
        </w:rPr>
      </w:pPr>
      <w:r w:rsidRPr="001863D2">
        <w:rPr>
          <w:rFonts w:ascii="Palatino Linotype" w:hAnsi="Palatino Linotype" w:cs="Arial"/>
          <w:b/>
          <w:bCs/>
          <w:i/>
          <w:iCs/>
          <w:color w:val="222222"/>
          <w:sz w:val="20"/>
          <w:szCs w:val="20"/>
          <w:lang w:val="es-MX" w:eastAsia="es-MX"/>
        </w:rPr>
        <w:t>Quinto.</w:t>
      </w:r>
      <w:r>
        <w:rPr>
          <w:rFonts w:ascii="Palatino Linotype" w:hAnsi="Palatino Linotype" w:cs="Arial"/>
          <w:b/>
          <w:bCs/>
          <w:i/>
          <w:iCs/>
          <w:color w:val="222222"/>
          <w:sz w:val="20"/>
          <w:szCs w:val="20"/>
          <w:lang w:val="es-MX" w:eastAsia="es-MX"/>
        </w:rPr>
        <w:t xml:space="preserve"> </w:t>
      </w:r>
      <w:r w:rsidRPr="001863D2">
        <w:rPr>
          <w:rFonts w:ascii="Palatino Linotype" w:hAnsi="Palatino Linotype" w:cs="Arial"/>
          <w:i/>
          <w:iCs/>
          <w:color w:val="222222"/>
          <w:sz w:val="20"/>
          <w:szCs w:val="20"/>
          <w:u w:val="single"/>
          <w:lang w:val="es-MX" w:eastAsia="es-MX"/>
        </w:rPr>
        <w:t>La carga de la prueba para justificar toda negativa de acceso a la información, por actualizarse cualquiera de los supuestos de clasificación previstos en la Ley General</w:t>
      </w:r>
      <w:r w:rsidRPr="001863D2">
        <w:rPr>
          <w:rFonts w:ascii="Palatino Linotype" w:hAnsi="Palatino Linotype" w:cs="Arial"/>
          <w:i/>
          <w:iCs/>
          <w:color w:val="222222"/>
          <w:sz w:val="20"/>
          <w:szCs w:val="20"/>
          <w:lang w:val="es-MX" w:eastAsia="es-MX"/>
        </w:rPr>
        <w:t>, la Ley Federal </w:t>
      </w:r>
      <w:r w:rsidRPr="001863D2">
        <w:rPr>
          <w:rFonts w:ascii="Palatino Linotype" w:hAnsi="Palatino Linotype" w:cs="Arial"/>
          <w:i/>
          <w:iCs/>
          <w:color w:val="222222"/>
          <w:sz w:val="20"/>
          <w:szCs w:val="20"/>
          <w:u w:val="single"/>
          <w:lang w:val="es-MX"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1863D2">
        <w:rPr>
          <w:rFonts w:ascii="Palatino Linotype" w:hAnsi="Palatino Linotype" w:cs="Arial"/>
          <w:i/>
          <w:iCs/>
          <w:color w:val="222222"/>
          <w:sz w:val="20"/>
          <w:szCs w:val="20"/>
          <w:lang w:val="es-MX" w:eastAsia="es-MX"/>
        </w:rPr>
        <w:t>, observando lo dispuesto en la Ley General y las demás disposiciones aplicables en la materia.</w:t>
      </w:r>
    </w:p>
    <w:p w14:paraId="19D08AA9" w14:textId="77777777" w:rsidR="004A59DD" w:rsidRPr="001863D2" w:rsidRDefault="004A59DD" w:rsidP="004A59DD">
      <w:pPr>
        <w:shd w:val="clear" w:color="auto" w:fill="FFFFFF"/>
        <w:spacing w:before="240" w:after="240"/>
        <w:ind w:left="567"/>
        <w:contextualSpacing/>
        <w:jc w:val="both"/>
        <w:rPr>
          <w:rFonts w:ascii="Arial" w:hAnsi="Arial" w:cs="Arial"/>
          <w:color w:val="222222"/>
          <w:sz w:val="20"/>
          <w:szCs w:val="20"/>
          <w:lang w:val="es-MX" w:eastAsia="es-MX"/>
        </w:rPr>
      </w:pPr>
      <w:r>
        <w:rPr>
          <w:rFonts w:ascii="Palatino Linotype" w:hAnsi="Palatino Linotype" w:cs="Arial"/>
          <w:b/>
          <w:bCs/>
          <w:i/>
          <w:iCs/>
          <w:color w:val="222222"/>
          <w:sz w:val="20"/>
          <w:szCs w:val="20"/>
          <w:lang w:val="es-MX" w:eastAsia="es-MX"/>
        </w:rPr>
        <w:t xml:space="preserve">Octavo. </w:t>
      </w:r>
      <w:r w:rsidRPr="001863D2">
        <w:rPr>
          <w:rFonts w:ascii="Palatino Linotype" w:hAnsi="Palatino Linotype" w:cs="Arial"/>
          <w:bCs/>
          <w:i/>
          <w:iCs/>
          <w:color w:val="222222"/>
          <w:sz w:val="20"/>
          <w:szCs w:val="20"/>
          <w:u w:val="single"/>
          <w:lang w:val="es-MX"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1863D2">
        <w:rPr>
          <w:rFonts w:ascii="Palatino Linotype" w:hAnsi="Palatino Linotype" w:cs="Arial"/>
          <w:i/>
          <w:iCs/>
          <w:color w:val="222222"/>
          <w:sz w:val="20"/>
          <w:szCs w:val="20"/>
          <w:lang w:val="es-MX" w:eastAsia="es-MX"/>
        </w:rPr>
        <w:t>.</w:t>
      </w:r>
    </w:p>
    <w:p w14:paraId="706437EE" w14:textId="77777777" w:rsidR="004A59DD" w:rsidRDefault="004A59DD" w:rsidP="004A59DD">
      <w:pPr>
        <w:shd w:val="clear" w:color="auto" w:fill="FFFFFF"/>
        <w:spacing w:before="240" w:after="240"/>
        <w:ind w:left="567"/>
        <w:contextualSpacing/>
        <w:jc w:val="both"/>
        <w:rPr>
          <w:rFonts w:ascii="Palatino Linotype" w:hAnsi="Palatino Linotype" w:cs="Arial"/>
          <w:i/>
          <w:iCs/>
          <w:color w:val="222222"/>
          <w:sz w:val="20"/>
          <w:szCs w:val="20"/>
          <w:lang w:val="es-MX" w:eastAsia="es-MX"/>
        </w:rPr>
      </w:pPr>
      <w:r w:rsidRPr="001863D2">
        <w:rPr>
          <w:rFonts w:ascii="Palatino Linotype" w:hAnsi="Palatino Linotype" w:cs="Arial"/>
          <w:bCs/>
          <w:i/>
          <w:iCs/>
          <w:color w:val="222222"/>
          <w:sz w:val="20"/>
          <w:szCs w:val="20"/>
          <w:u w:val="single"/>
          <w:lang w:val="es-MX" w:eastAsia="es-MX"/>
        </w:rPr>
        <w:t>Para motivar la clasificación se deberán señalar las razones o circunstancias especiales que lo llevaron a concluir que el caso particular se ajusta al supuesto previsto por la norma legal invocada como fundamento</w:t>
      </w:r>
      <w:r>
        <w:rPr>
          <w:rFonts w:ascii="Palatino Linotype" w:hAnsi="Palatino Linotype" w:cs="Arial"/>
          <w:bCs/>
          <w:i/>
          <w:iCs/>
          <w:color w:val="222222"/>
          <w:sz w:val="20"/>
          <w:szCs w:val="20"/>
          <w:u w:val="single"/>
          <w:lang w:val="es-MX" w:eastAsia="es-MX"/>
        </w:rPr>
        <w:t>.</w:t>
      </w:r>
      <w:r>
        <w:rPr>
          <w:rFonts w:ascii="Palatino Linotype" w:hAnsi="Palatino Linotype" w:cs="Arial"/>
          <w:i/>
          <w:iCs/>
          <w:color w:val="222222"/>
          <w:sz w:val="20"/>
          <w:szCs w:val="20"/>
          <w:lang w:val="es-MX" w:eastAsia="es-MX"/>
        </w:rPr>
        <w:t>” (Sic)</w:t>
      </w:r>
    </w:p>
    <w:p w14:paraId="4FC2990E" w14:textId="77777777" w:rsidR="004A59DD" w:rsidRPr="001863D2" w:rsidRDefault="004A59DD" w:rsidP="004A59DD">
      <w:pPr>
        <w:shd w:val="clear" w:color="auto" w:fill="FFFFFF"/>
        <w:spacing w:before="240" w:after="240"/>
        <w:ind w:left="567"/>
        <w:contextualSpacing/>
        <w:jc w:val="both"/>
        <w:rPr>
          <w:rFonts w:ascii="Arial" w:hAnsi="Arial" w:cs="Arial"/>
          <w:color w:val="222222"/>
          <w:sz w:val="20"/>
          <w:szCs w:val="20"/>
          <w:lang w:val="es-MX" w:eastAsia="es-MX"/>
        </w:rPr>
      </w:pPr>
    </w:p>
    <w:p w14:paraId="091ADD30" w14:textId="77777777" w:rsidR="00351CB3" w:rsidRDefault="00351CB3" w:rsidP="00351CB3">
      <w:pPr>
        <w:spacing w:before="240" w:after="240" w:line="360" w:lineRule="auto"/>
        <w:contextualSpacing/>
        <w:jc w:val="both"/>
        <w:rPr>
          <w:rFonts w:ascii="Palatino Linotype" w:hAnsi="Palatino Linotype" w:cs="Arial"/>
        </w:rPr>
      </w:pPr>
      <w:r>
        <w:rPr>
          <w:rFonts w:ascii="Palatino Linotype" w:hAnsi="Palatino Linotype" w:cs="Arial"/>
        </w:rPr>
        <w:lastRenderedPageBreak/>
        <w:t>Así, con fundamento en lo prescrito en los artículos 5 párrafos vigésimo, vigésimo primero y vigésimo segundo de la Constitución Política del Estado Libre y Soberano de México; 2, fracción II; 29, 36 fracciones I y II; 176, 178, 179, fracción VII, 181, 185 de la Ley de Transparencia y Acceso a la Información Pública del Estado de México y Municipios, este Pleno:</w:t>
      </w:r>
    </w:p>
    <w:p w14:paraId="66A42C43" w14:textId="77777777" w:rsidR="00351CB3" w:rsidRDefault="00351CB3" w:rsidP="00746CA0">
      <w:pPr>
        <w:pStyle w:val="Prrafodelista"/>
        <w:numPr>
          <w:ilvl w:val="0"/>
          <w:numId w:val="1"/>
        </w:numPr>
        <w:spacing w:before="240" w:after="240" w:line="360" w:lineRule="auto"/>
        <w:contextualSpacing/>
        <w:jc w:val="center"/>
        <w:rPr>
          <w:rFonts w:ascii="Palatino Linotype" w:hAnsi="Palatino Linotype" w:cs="Arial"/>
          <w:b/>
        </w:rPr>
      </w:pPr>
      <w:r>
        <w:rPr>
          <w:rFonts w:ascii="Palatino Linotype" w:hAnsi="Palatino Linotype" w:cs="Arial"/>
          <w:b/>
        </w:rPr>
        <w:t>R E S U E L V E:</w:t>
      </w:r>
    </w:p>
    <w:p w14:paraId="22913754" w14:textId="3035D915" w:rsidR="009D4E4B" w:rsidRDefault="00351CB3" w:rsidP="00351CB3">
      <w:pPr>
        <w:spacing w:before="240" w:after="240" w:line="360" w:lineRule="auto"/>
        <w:jc w:val="both"/>
        <w:rPr>
          <w:rFonts w:ascii="Palatino Linotype" w:hAnsi="Palatino Linotype" w:cs="Arial"/>
          <w:b/>
        </w:rPr>
      </w:pPr>
      <w:r>
        <w:rPr>
          <w:rFonts w:ascii="Palatino Linotype" w:hAnsi="Palatino Linotype" w:cs="Arial"/>
          <w:b/>
        </w:rPr>
        <w:t xml:space="preserve">Primero. </w:t>
      </w:r>
      <w:r w:rsidR="009D4E4B">
        <w:rPr>
          <w:rFonts w:ascii="Palatino Linotype" w:hAnsi="Palatino Linotype"/>
        </w:rPr>
        <w:t>Resultan</w:t>
      </w:r>
      <w:r w:rsidR="009D4E4B" w:rsidRPr="00311965">
        <w:rPr>
          <w:rFonts w:ascii="Palatino Linotype" w:hAnsi="Palatino Linotype"/>
        </w:rPr>
        <w:t xml:space="preserve"> </w:t>
      </w:r>
      <w:r w:rsidR="009D4E4B">
        <w:rPr>
          <w:rFonts w:ascii="Palatino Linotype" w:hAnsi="Palatino Linotype" w:cs="Arial"/>
          <w:b/>
        </w:rPr>
        <w:t>fundada</w:t>
      </w:r>
      <w:r w:rsidR="009D4E4B" w:rsidRPr="00311965">
        <w:rPr>
          <w:rFonts w:ascii="Palatino Linotype" w:hAnsi="Palatino Linotype" w:cs="Arial"/>
          <w:b/>
        </w:rPr>
        <w:t>s</w:t>
      </w:r>
      <w:r w:rsidR="009D4E4B" w:rsidRPr="00311965">
        <w:rPr>
          <w:rFonts w:ascii="Palatino Linotype" w:hAnsi="Palatino Linotype" w:cs="Arial"/>
        </w:rPr>
        <w:t xml:space="preserve"> las razones o motivo</w:t>
      </w:r>
      <w:r w:rsidR="009D4E4B">
        <w:rPr>
          <w:rFonts w:ascii="Palatino Linotype" w:hAnsi="Palatino Linotype" w:cs="Arial"/>
        </w:rPr>
        <w:t>s de la inconformidad planteadas</w:t>
      </w:r>
      <w:r w:rsidR="00904199">
        <w:rPr>
          <w:rFonts w:ascii="Palatino Linotype" w:hAnsi="Palatino Linotype" w:cs="Arial"/>
        </w:rPr>
        <w:t xml:space="preserve"> por la</w:t>
      </w:r>
      <w:r w:rsidR="009D4E4B" w:rsidRPr="00311965">
        <w:rPr>
          <w:rFonts w:ascii="Palatino Linotype" w:hAnsi="Palatino Linotype" w:cs="Arial"/>
          <w:b/>
        </w:rPr>
        <w:t xml:space="preserve"> RECURRENTE</w:t>
      </w:r>
      <w:r w:rsidR="009D4E4B" w:rsidRPr="00311965">
        <w:rPr>
          <w:rFonts w:ascii="Palatino Linotype" w:hAnsi="Palatino Linotype" w:cs="Arial"/>
        </w:rPr>
        <w:t xml:space="preserve"> </w:t>
      </w:r>
      <w:r w:rsidR="009D4E4B" w:rsidRPr="00311965">
        <w:rPr>
          <w:rFonts w:ascii="Palatino Linotype" w:hAnsi="Palatino Linotype" w:cs="Arial"/>
          <w:lang w:val="es-MX"/>
        </w:rPr>
        <w:t xml:space="preserve">en términos del Considerando </w:t>
      </w:r>
      <w:r w:rsidR="009D4E4B">
        <w:rPr>
          <w:rFonts w:ascii="Palatino Linotype" w:hAnsi="Palatino Linotype" w:cs="Arial"/>
          <w:b/>
          <w:lang w:val="es-MX"/>
        </w:rPr>
        <w:t>CUARTO</w:t>
      </w:r>
      <w:r w:rsidR="009D4E4B" w:rsidRPr="00311965">
        <w:rPr>
          <w:rFonts w:ascii="Palatino Linotype" w:hAnsi="Palatino Linotype" w:cs="Arial"/>
          <w:lang w:val="es-MX"/>
        </w:rPr>
        <w:t xml:space="preserve"> de esta Resolución</w:t>
      </w:r>
      <w:r w:rsidR="009D4E4B">
        <w:rPr>
          <w:rFonts w:ascii="Palatino Linotype" w:hAnsi="Palatino Linotype" w:cs="Arial"/>
          <w:b/>
        </w:rPr>
        <w:t>.</w:t>
      </w:r>
    </w:p>
    <w:p w14:paraId="41F49614" w14:textId="77777777" w:rsidR="0041371C" w:rsidRDefault="00351CB3" w:rsidP="0041371C">
      <w:pPr>
        <w:spacing w:before="240" w:after="240" w:line="360" w:lineRule="auto"/>
        <w:contextualSpacing/>
        <w:jc w:val="both"/>
        <w:rPr>
          <w:rFonts w:ascii="Palatino Linotype" w:hAnsi="Palatino Linotype"/>
        </w:rPr>
      </w:pPr>
      <w:r>
        <w:rPr>
          <w:rFonts w:ascii="Palatino Linotype" w:hAnsi="Palatino Linotype" w:cs="Arial"/>
          <w:b/>
        </w:rPr>
        <w:t xml:space="preserve">Segundo. </w:t>
      </w:r>
      <w:r w:rsidR="00D21F8C">
        <w:rPr>
          <w:rFonts w:ascii="Palatino Linotype" w:hAnsi="Palatino Linotype" w:cs="Arial"/>
          <w:b/>
        </w:rPr>
        <w:t>S</w:t>
      </w:r>
      <w:r>
        <w:rPr>
          <w:rFonts w:ascii="Palatino Linotype" w:hAnsi="Palatino Linotype" w:cs="Arial"/>
        </w:rPr>
        <w:t>e</w:t>
      </w:r>
      <w:r>
        <w:rPr>
          <w:rFonts w:ascii="Palatino Linotype" w:hAnsi="Palatino Linotype" w:cs="Arial"/>
          <w:b/>
        </w:rPr>
        <w:t xml:space="preserve"> </w:t>
      </w:r>
      <w:r>
        <w:rPr>
          <w:rFonts w:ascii="Palatino Linotype" w:hAnsi="Palatino Linotype"/>
          <w:b/>
        </w:rPr>
        <w:t xml:space="preserve">ORDENA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a que</w:t>
      </w:r>
      <w:r>
        <w:rPr>
          <w:rFonts w:ascii="Palatino Linotype" w:hAnsi="Palatino Linotype"/>
          <w:b/>
        </w:rPr>
        <w:t xml:space="preserve"> </w:t>
      </w:r>
      <w:r>
        <w:rPr>
          <w:rFonts w:ascii="Palatino Linotype" w:hAnsi="Palatino Linotype"/>
        </w:rPr>
        <w:t>en términos de los Considerandos Cuarto y Q</w:t>
      </w:r>
      <w:r w:rsidR="00D335D0">
        <w:rPr>
          <w:rFonts w:ascii="Palatino Linotype" w:hAnsi="Palatino Linotype"/>
        </w:rPr>
        <w:t>uinto, haga entrega vía SAIMEX,</w:t>
      </w:r>
      <w:r>
        <w:rPr>
          <w:rFonts w:ascii="Palatino Linotype" w:hAnsi="Palatino Linotype"/>
        </w:rPr>
        <w:t xml:space="preserve"> </w:t>
      </w:r>
      <w:r w:rsidR="0041371C">
        <w:rPr>
          <w:rFonts w:ascii="Palatino Linotype" w:hAnsi="Palatino Linotype"/>
        </w:rPr>
        <w:t>en versión pública</w:t>
      </w:r>
      <w:r w:rsidR="0041371C" w:rsidRPr="00911351">
        <w:rPr>
          <w:rFonts w:ascii="Palatino Linotype" w:hAnsi="Palatino Linotype"/>
        </w:rPr>
        <w:t xml:space="preserve"> </w:t>
      </w:r>
      <w:r w:rsidR="0041371C">
        <w:rPr>
          <w:rFonts w:ascii="Palatino Linotype" w:hAnsi="Palatino Linotype"/>
        </w:rPr>
        <w:t>del documento o documentos en donde conste lo siguiente</w:t>
      </w:r>
      <w:r w:rsidR="0041371C" w:rsidRPr="00911351">
        <w:rPr>
          <w:rFonts w:ascii="Palatino Linotype" w:hAnsi="Palatino Linotype"/>
        </w:rPr>
        <w:t>:</w:t>
      </w:r>
    </w:p>
    <w:p w14:paraId="5F2E559B" w14:textId="6F4F27C3" w:rsidR="0041371C" w:rsidRPr="008B488C" w:rsidRDefault="000D7D55" w:rsidP="008B488C">
      <w:pPr>
        <w:pStyle w:val="Prrafodelista"/>
        <w:numPr>
          <w:ilvl w:val="0"/>
          <w:numId w:val="5"/>
        </w:numPr>
        <w:spacing w:before="240" w:after="240" w:line="360" w:lineRule="auto"/>
        <w:ind w:right="49"/>
        <w:jc w:val="both"/>
        <w:rPr>
          <w:rFonts w:ascii="Palatino Linotype" w:hAnsi="Palatino Linotype" w:cs="Arial"/>
          <w:b/>
        </w:rPr>
      </w:pPr>
      <w:r>
        <w:rPr>
          <w:rFonts w:ascii="Palatino Linotype" w:hAnsi="Palatino Linotype"/>
          <w:b/>
          <w:lang w:val="es-MX" w:eastAsia="es-MX"/>
        </w:rPr>
        <w:t>Sueldo</w:t>
      </w:r>
      <w:r w:rsidR="00904199">
        <w:rPr>
          <w:rFonts w:ascii="Palatino Linotype" w:hAnsi="Palatino Linotype"/>
          <w:b/>
          <w:lang w:val="es-MX" w:eastAsia="es-MX"/>
        </w:rPr>
        <w:t xml:space="preserve"> bruto y neto que percibe el Presidente Municipal, </w:t>
      </w:r>
      <w:r w:rsidR="0088511E">
        <w:rPr>
          <w:rFonts w:ascii="Palatino Linotype" w:hAnsi="Palatino Linotype"/>
          <w:b/>
          <w:lang w:val="es-MX" w:eastAsia="es-MX"/>
        </w:rPr>
        <w:t>Síndico</w:t>
      </w:r>
      <w:r w:rsidR="008B488C">
        <w:rPr>
          <w:rFonts w:ascii="Palatino Linotype" w:hAnsi="Palatino Linotype"/>
          <w:b/>
          <w:lang w:val="es-MX" w:eastAsia="es-MX"/>
        </w:rPr>
        <w:t xml:space="preserve"> y R</w:t>
      </w:r>
      <w:r w:rsidR="00904199">
        <w:rPr>
          <w:rFonts w:ascii="Palatino Linotype" w:hAnsi="Palatino Linotype"/>
          <w:b/>
          <w:lang w:val="es-MX" w:eastAsia="es-MX"/>
        </w:rPr>
        <w:t xml:space="preserve">egidores, </w:t>
      </w:r>
      <w:r w:rsidR="001D468D">
        <w:rPr>
          <w:rFonts w:ascii="Palatino Linotype" w:hAnsi="Palatino Linotype" w:cs="Arial"/>
          <w:b/>
        </w:rPr>
        <w:t>correspondiente</w:t>
      </w:r>
      <w:r w:rsidR="00DD3E68">
        <w:rPr>
          <w:rFonts w:ascii="Palatino Linotype" w:hAnsi="Palatino Linotype" w:cs="Arial"/>
          <w:b/>
        </w:rPr>
        <w:t>s</w:t>
      </w:r>
      <w:r w:rsidR="008B488C" w:rsidRPr="008B488C">
        <w:rPr>
          <w:rFonts w:ascii="Palatino Linotype" w:hAnsi="Palatino Linotype" w:cs="Arial"/>
          <w:b/>
        </w:rPr>
        <w:t xml:space="preserve"> a la primera y segunda quincena de</w:t>
      </w:r>
      <w:r w:rsidR="001D468D">
        <w:rPr>
          <w:rFonts w:ascii="Palatino Linotype" w:hAnsi="Palatino Linotype" w:cs="Arial"/>
          <w:b/>
        </w:rPr>
        <w:t>l mes</w:t>
      </w:r>
      <w:r w:rsidR="008B488C" w:rsidRPr="008B488C">
        <w:rPr>
          <w:rFonts w:ascii="Palatino Linotype" w:hAnsi="Palatino Linotype" w:cs="Arial"/>
          <w:b/>
        </w:rPr>
        <w:t xml:space="preserve"> septiembre y octubre de dos mil dieciocho.</w:t>
      </w:r>
    </w:p>
    <w:p w14:paraId="0F96FB12" w14:textId="77777777" w:rsidR="0041371C" w:rsidRPr="00DD366A" w:rsidRDefault="0041371C" w:rsidP="0041371C">
      <w:pPr>
        <w:spacing w:before="240" w:after="240" w:line="360" w:lineRule="auto"/>
        <w:jc w:val="both"/>
        <w:rPr>
          <w:rFonts w:ascii="Palatino Linotype" w:hAnsi="Palatino Linotype"/>
        </w:rPr>
      </w:pPr>
      <w:r w:rsidRPr="00DD366A">
        <w:rPr>
          <w:rFonts w:ascii="Palatino Linotype" w:hAnsi="Palatino Linotype"/>
        </w:rPr>
        <w:t>Debiendo</w:t>
      </w:r>
      <w:r>
        <w:rPr>
          <w:rFonts w:ascii="Palatino Linotype" w:hAnsi="Palatino Linotype"/>
        </w:rPr>
        <w:t xml:space="preserve"> acompañar</w:t>
      </w:r>
      <w:r w:rsidRPr="00DD366A">
        <w:rPr>
          <w:rFonts w:ascii="Palatino Linotype" w:hAnsi="Palatino Linotype"/>
        </w:rPr>
        <w:t xml:space="preserve">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336CC313" w14:textId="77777777" w:rsidR="0041371C" w:rsidRDefault="0041371C" w:rsidP="0041371C">
      <w:pPr>
        <w:spacing w:before="240" w:after="240" w:line="360" w:lineRule="auto"/>
        <w:contextualSpacing/>
        <w:jc w:val="both"/>
        <w:rPr>
          <w:rFonts w:ascii="Palatino Linotype" w:hAnsi="Palatino Linotype"/>
          <w:shd w:val="clear" w:color="auto" w:fill="FFFFFF"/>
        </w:rPr>
      </w:pPr>
      <w:r w:rsidRPr="00911351">
        <w:rPr>
          <w:rFonts w:ascii="Palatino Linotype" w:hAnsi="Palatino Linotype" w:cs="Arial"/>
          <w:b/>
          <w:bCs/>
          <w:shd w:val="clear" w:color="auto" w:fill="FFFFFF"/>
        </w:rPr>
        <w:t>Tercero. Remítase</w:t>
      </w:r>
      <w:r>
        <w:rPr>
          <w:rStyle w:val="apple-converted-space"/>
          <w:rFonts w:ascii="Palatino Linotype" w:hAnsi="Palatino Linotype" w:cs="Arial"/>
          <w:b/>
          <w:bCs/>
          <w:i/>
          <w:iCs/>
          <w:shd w:val="clear" w:color="auto" w:fill="FFFFFF"/>
        </w:rPr>
        <w:t xml:space="preserve"> </w:t>
      </w:r>
      <w:r w:rsidRPr="00911351">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xml:space="preserve"> </w:t>
      </w:r>
      <w:r w:rsidRPr="00911351">
        <w:rPr>
          <w:rFonts w:ascii="Palatino Linotype" w:hAnsi="Palatino Linotype"/>
          <w:bCs/>
          <w:shd w:val="clear" w:color="auto" w:fill="FFFFFF"/>
        </w:rPr>
        <w:t>Sujeto Obligado</w:t>
      </w:r>
      <w:r>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xml:space="preserve">, para que conforme a los artículo 186, último párrafo </w:t>
      </w:r>
      <w:r w:rsidRPr="00911351">
        <w:rPr>
          <w:rFonts w:ascii="Palatino Linotype" w:hAnsi="Palatino Linotype"/>
          <w:shd w:val="clear" w:color="auto" w:fill="FFFFFF"/>
        </w:rPr>
        <w:lastRenderedPageBreak/>
        <w:t>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458776F1" w14:textId="77777777" w:rsidR="0041371C" w:rsidRDefault="0041371C" w:rsidP="0041371C">
      <w:pPr>
        <w:spacing w:line="360" w:lineRule="auto"/>
        <w:ind w:right="49"/>
        <w:contextualSpacing/>
        <w:jc w:val="both"/>
        <w:rPr>
          <w:rFonts w:ascii="Palatino Linotype" w:hAnsi="Palatino Linotype" w:cs="Arial"/>
          <w:b/>
        </w:rPr>
      </w:pPr>
    </w:p>
    <w:p w14:paraId="6A9732DF" w14:textId="77777777" w:rsidR="0041371C" w:rsidRDefault="0041371C" w:rsidP="0041371C">
      <w:pPr>
        <w:spacing w:line="360" w:lineRule="auto"/>
        <w:ind w:right="49"/>
        <w:contextualSpacing/>
        <w:jc w:val="both"/>
        <w:rPr>
          <w:rFonts w:ascii="Palatino Linotype" w:hAnsi="Palatino Linotype" w:cs="Arial"/>
          <w:sz w:val="25"/>
          <w:szCs w:val="25"/>
        </w:rPr>
      </w:pPr>
      <w:r>
        <w:rPr>
          <w:rFonts w:ascii="Palatino Linotype" w:hAnsi="Palatino Linotype" w:cs="Arial"/>
          <w:b/>
        </w:rPr>
        <w:t>Cuarto.</w:t>
      </w:r>
      <w:r w:rsidRPr="00911351">
        <w:rPr>
          <w:rFonts w:ascii="Palatino Linotype" w:hAnsi="Palatino Linotype" w:cs="Arial"/>
          <w:b/>
        </w:rPr>
        <w:t xml:space="preserve"> </w:t>
      </w:r>
      <w:r>
        <w:rPr>
          <w:rFonts w:ascii="Palatino Linotype" w:hAnsi="Palatino Linotype" w:cs="Arial"/>
          <w:b/>
        </w:rPr>
        <w:t>Notifíquese al</w:t>
      </w:r>
      <w:r w:rsidRPr="00911351">
        <w:rPr>
          <w:rFonts w:ascii="Palatino Linotype" w:hAnsi="Palatino Linotype" w:cs="Arial"/>
        </w:rPr>
        <w:t xml:space="preserve"> parte recurrente, la presente resolución, así como, que de conformidad con lo establecido en el artículo 196 de la Ley de Transparencia y Acceso a la Información Pública del Estado de México y Municipios,</w:t>
      </w:r>
      <w:r w:rsidRPr="00F00B3A">
        <w:rPr>
          <w:rFonts w:ascii="Palatino Linotype" w:eastAsia="Calibri" w:hAnsi="Palatino Linotype" w:cs="Arial"/>
          <w:sz w:val="25"/>
          <w:szCs w:val="25"/>
          <w:lang w:val="es-MX" w:eastAsia="en-US"/>
        </w:rPr>
        <w:t xml:space="preserve"> </w:t>
      </w:r>
      <w:r w:rsidRPr="009612D4">
        <w:rPr>
          <w:rFonts w:ascii="Palatino Linotype" w:hAnsi="Palatino Linotype" w:cs="Arial"/>
          <w:sz w:val="25"/>
          <w:szCs w:val="25"/>
        </w:rPr>
        <w:t>podrá impugnar la presente resolución vía Juicio de Amparo en los términos de las leyes aplicables.</w:t>
      </w:r>
    </w:p>
    <w:p w14:paraId="3091E669" w14:textId="77777777" w:rsidR="00904199" w:rsidRDefault="00904199" w:rsidP="0041371C">
      <w:pPr>
        <w:spacing w:line="360" w:lineRule="auto"/>
        <w:ind w:right="49"/>
        <w:contextualSpacing/>
        <w:jc w:val="both"/>
        <w:rPr>
          <w:rFonts w:ascii="Palatino Linotype" w:hAnsi="Palatino Linotype" w:cs="Arial"/>
          <w:sz w:val="25"/>
          <w:szCs w:val="25"/>
        </w:rPr>
      </w:pPr>
    </w:p>
    <w:p w14:paraId="71D2EBB2" w14:textId="3B799276" w:rsidR="00351CB3" w:rsidRDefault="00351CB3" w:rsidP="0041371C">
      <w:pPr>
        <w:spacing w:before="240" w:after="240" w:line="360" w:lineRule="auto"/>
        <w:contextualSpacing/>
        <w:jc w:val="both"/>
        <w:rPr>
          <w:rFonts w:ascii="Palatino Linotype" w:hAnsi="Palatino Linotype"/>
        </w:rPr>
      </w:pPr>
      <w:r>
        <w:rPr>
          <w:rFonts w:ascii="Palatino Linotype" w:hAnsi="Palatino Linotype"/>
          <w:b/>
        </w:rPr>
        <w:t>Quinto</w:t>
      </w:r>
      <w:r>
        <w:rPr>
          <w:rFonts w:ascii="Palatino Linotype" w:hAnsi="Palatino Linotype"/>
          <w:b/>
          <w:sz w:val="28"/>
          <w:szCs w:val="25"/>
        </w:rPr>
        <w:t xml:space="preserve">. </w:t>
      </w:r>
      <w:r w:rsidRPr="00904199">
        <w:rPr>
          <w:rFonts w:ascii="Palatino Linotype" w:hAnsi="Palatino Linotype"/>
          <w:szCs w:val="25"/>
        </w:rPr>
        <w:t>Gírese</w:t>
      </w:r>
      <w:r w:rsidRPr="00904199">
        <w:rPr>
          <w:rFonts w:ascii="Palatino Linotype" w:hAnsi="Palatino Linotype"/>
        </w:rPr>
        <w:t xml:space="preserve"> </w:t>
      </w:r>
      <w:r>
        <w:rPr>
          <w:rFonts w:ascii="Palatino Linotype" w:hAnsi="Palatino Linotype"/>
        </w:rPr>
        <w:t>oficio al Contralor Interno de este Instituto para que actúe en razón de su competencia, en términos de lo expuesto en el Considerando Cuarto de la presente resolución.</w:t>
      </w:r>
    </w:p>
    <w:p w14:paraId="0D425EE4" w14:textId="77777777" w:rsidR="00833E81" w:rsidRDefault="00833E81" w:rsidP="0041371C">
      <w:pPr>
        <w:spacing w:before="240" w:after="240" w:line="360" w:lineRule="auto"/>
        <w:contextualSpacing/>
        <w:jc w:val="both"/>
        <w:rPr>
          <w:rFonts w:ascii="Palatino Linotype" w:hAnsi="Palatino Linotype" w:cs="Arial"/>
        </w:rPr>
      </w:pPr>
    </w:p>
    <w:p w14:paraId="43A903C6" w14:textId="202C5987" w:rsidR="00351CB3" w:rsidRDefault="00351CB3" w:rsidP="00351CB3">
      <w:pPr>
        <w:spacing w:before="240" w:after="240" w:line="360" w:lineRule="auto"/>
        <w:jc w:val="both"/>
        <w:rPr>
          <w:rFonts w:ascii="Palatino Linotype" w:hAnsi="Palatino Linotype" w:cs="Arial"/>
        </w:rPr>
      </w:pPr>
      <w:r>
        <w:rPr>
          <w:rFonts w:ascii="Palatino Linotype" w:hAnsi="Palatino Linotype"/>
          <w:color w:val="000000"/>
        </w:rPr>
        <w:t>ASÍ LO RESUELVE, POR UNANIMIDAD DE VOTOS, EL PLENO DEL INSTITUTO DE TRANSPARENCIA, ACCESO A LA INFORMACIÓN PÚBLICA Y PROTECCIÓN DE DATOS PERSONALES DEL ESTADO DE MÉXICO Y MUNICIPIOS, CONFORMADO POR LOS COMISIONADOS; ZULEMA MARTÍNEZ SÁNCHEZ</w:t>
      </w:r>
      <w:r w:rsidR="009263CA">
        <w:rPr>
          <w:rFonts w:ascii="Palatino Linotype" w:hAnsi="Palatino Linotype"/>
          <w:color w:val="000000"/>
        </w:rPr>
        <w:t xml:space="preserve"> EMITIENDO VOTO PARTICULAR; EVA ABAID YAPUR EMITIENDO VOTO PARTICULAR; JO</w:t>
      </w:r>
      <w:r w:rsidR="00A07EBA">
        <w:rPr>
          <w:rFonts w:ascii="Palatino Linotype" w:hAnsi="Palatino Linotype"/>
          <w:color w:val="000000"/>
        </w:rPr>
        <w:t xml:space="preserve">SÉ GUADALUPE LUNA HERNÁNDEZ, </w:t>
      </w:r>
      <w:r>
        <w:rPr>
          <w:rFonts w:ascii="Palatino Linotype" w:hAnsi="Palatino Linotype"/>
          <w:color w:val="000000"/>
        </w:rPr>
        <w:t>JAVIER MARTÍNEZ CRUZ</w:t>
      </w:r>
      <w:r w:rsidR="00A07EBA">
        <w:rPr>
          <w:rFonts w:ascii="Palatino Linotype" w:hAnsi="Palatino Linotype"/>
          <w:color w:val="000000"/>
        </w:rPr>
        <w:t xml:space="preserve"> Y LUIS GUSTAVO PARRA NORIEGA</w:t>
      </w:r>
      <w:r w:rsidR="009263CA">
        <w:rPr>
          <w:rFonts w:ascii="Palatino Linotype" w:hAnsi="Palatino Linotype"/>
          <w:color w:val="000000"/>
        </w:rPr>
        <w:t xml:space="preserve"> EMITIENDO VOTO PARTICULAR; EN LA SEXTA SESIÓN ORDINARIA CELEBRADA EL T</w:t>
      </w:r>
      <w:r w:rsidR="00904199">
        <w:rPr>
          <w:rFonts w:ascii="Palatino Linotype" w:hAnsi="Palatino Linotype"/>
          <w:color w:val="000000"/>
        </w:rPr>
        <w:t>RECE</w:t>
      </w:r>
      <w:r w:rsidR="00FA7D29">
        <w:rPr>
          <w:rFonts w:ascii="Palatino Linotype" w:hAnsi="Palatino Linotype"/>
          <w:color w:val="000000"/>
        </w:rPr>
        <w:t xml:space="preserve"> DE </w:t>
      </w:r>
      <w:r w:rsidR="00904199">
        <w:rPr>
          <w:rFonts w:ascii="Palatino Linotype" w:hAnsi="Palatino Linotype"/>
          <w:color w:val="000000"/>
        </w:rPr>
        <w:t>FEBRERO</w:t>
      </w:r>
      <w:r w:rsidR="00FA7D29">
        <w:rPr>
          <w:rFonts w:ascii="Palatino Linotype" w:hAnsi="Palatino Linotype"/>
          <w:color w:val="000000"/>
        </w:rPr>
        <w:t xml:space="preserve"> </w:t>
      </w:r>
      <w:r>
        <w:rPr>
          <w:rFonts w:ascii="Palatino Linotype" w:hAnsi="Palatino Linotype"/>
          <w:color w:val="000000"/>
        </w:rPr>
        <w:t xml:space="preserve">DE DOS MIL </w:t>
      </w:r>
      <w:r w:rsidR="00346FCB">
        <w:rPr>
          <w:rFonts w:ascii="Palatino Linotype" w:hAnsi="Palatino Linotype"/>
          <w:color w:val="000000"/>
        </w:rPr>
        <w:t>DIECINUEVE</w:t>
      </w:r>
      <w:r>
        <w:rPr>
          <w:rFonts w:ascii="Palatino Linotype" w:hAnsi="Palatino Linotype"/>
          <w:color w:val="000000"/>
        </w:rPr>
        <w:t>, ANTE EL SECRETARIO TÉCNICO DEL PLENO ALEXIS TAPIA RAMÍREZ.</w:t>
      </w:r>
    </w:p>
    <w:p w14:paraId="4602A35D" w14:textId="77777777" w:rsidR="00351CB3" w:rsidRDefault="00351CB3" w:rsidP="00351CB3">
      <w:pPr>
        <w:spacing w:before="240"/>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351CB3" w14:paraId="346B8CAD" w14:textId="77777777" w:rsidTr="00351CB3">
        <w:trPr>
          <w:trHeight w:val="1807"/>
        </w:trPr>
        <w:tc>
          <w:tcPr>
            <w:tcW w:w="8838" w:type="dxa"/>
            <w:gridSpan w:val="2"/>
            <w:vAlign w:val="center"/>
          </w:tcPr>
          <w:p w14:paraId="6E41F7DB" w14:textId="77777777" w:rsidR="00351CB3" w:rsidRDefault="00351CB3">
            <w:pPr>
              <w:jc w:val="center"/>
              <w:rPr>
                <w:rFonts w:ascii="Palatino Linotype" w:hAnsi="Palatino Linotype" w:cs="Arial"/>
                <w:b/>
              </w:rPr>
            </w:pPr>
          </w:p>
          <w:p w14:paraId="0FF676F3" w14:textId="77777777" w:rsidR="00351CB3" w:rsidRDefault="00351CB3">
            <w:pPr>
              <w:jc w:val="center"/>
              <w:rPr>
                <w:rFonts w:ascii="Palatino Linotype" w:hAnsi="Palatino Linotype" w:cs="Arial"/>
                <w:b/>
              </w:rPr>
            </w:pPr>
          </w:p>
          <w:p w14:paraId="5F8F0868" w14:textId="77777777" w:rsidR="00833E81" w:rsidRDefault="00833E81">
            <w:pPr>
              <w:jc w:val="center"/>
              <w:rPr>
                <w:rFonts w:ascii="Palatino Linotype" w:hAnsi="Palatino Linotype" w:cs="Arial"/>
                <w:b/>
              </w:rPr>
            </w:pPr>
          </w:p>
          <w:p w14:paraId="7D3E0CE9" w14:textId="77777777" w:rsidR="00351CB3" w:rsidRDefault="00351CB3">
            <w:pPr>
              <w:jc w:val="center"/>
              <w:rPr>
                <w:rFonts w:ascii="Palatino Linotype" w:hAnsi="Palatino Linotype"/>
                <w:b/>
              </w:rPr>
            </w:pPr>
            <w:r>
              <w:rPr>
                <w:rFonts w:ascii="Palatino Linotype" w:hAnsi="Palatino Linotype" w:cs="Arial"/>
                <w:b/>
              </w:rPr>
              <w:t>Zulema Martínez Sánchez</w:t>
            </w:r>
            <w:r>
              <w:rPr>
                <w:rFonts w:ascii="Palatino Linotype" w:hAnsi="Palatino Linotype"/>
                <w:b/>
              </w:rPr>
              <w:t xml:space="preserve"> </w:t>
            </w:r>
          </w:p>
          <w:p w14:paraId="50822F2B" w14:textId="77777777" w:rsidR="00351CB3" w:rsidRDefault="00351CB3">
            <w:pPr>
              <w:jc w:val="center"/>
              <w:rPr>
                <w:rFonts w:ascii="Palatino Linotype" w:hAnsi="Palatino Linotype"/>
              </w:rPr>
            </w:pPr>
            <w:r>
              <w:rPr>
                <w:rFonts w:ascii="Palatino Linotype" w:hAnsi="Palatino Linotype"/>
              </w:rPr>
              <w:t>Comisionada Presidenta</w:t>
            </w:r>
          </w:p>
          <w:p w14:paraId="2D586D72" w14:textId="5C5FE9F6" w:rsidR="00351CB3" w:rsidRDefault="0034307C">
            <w:pPr>
              <w:jc w:val="center"/>
              <w:rPr>
                <w:rFonts w:ascii="Palatino Linotype" w:hAnsi="Palatino Linotype"/>
              </w:rPr>
            </w:pPr>
            <w:r>
              <w:rPr>
                <w:rFonts w:ascii="Palatino Linotype" w:hAnsi="Palatino Linotype"/>
              </w:rPr>
              <w:t>(Rúbrica)</w:t>
            </w:r>
          </w:p>
        </w:tc>
      </w:tr>
      <w:tr w:rsidR="00925836" w14:paraId="3FAD7C02" w14:textId="77777777" w:rsidTr="00351CB3">
        <w:trPr>
          <w:trHeight w:val="2156"/>
        </w:trPr>
        <w:tc>
          <w:tcPr>
            <w:tcW w:w="4419" w:type="dxa"/>
            <w:vAlign w:val="center"/>
          </w:tcPr>
          <w:p w14:paraId="47960DC9" w14:textId="77777777" w:rsidR="00E75BD1" w:rsidRDefault="00E75BD1" w:rsidP="00925836">
            <w:pPr>
              <w:jc w:val="center"/>
              <w:rPr>
                <w:rFonts w:ascii="Palatino Linotype" w:hAnsi="Palatino Linotype"/>
                <w:b/>
                <w:sz w:val="25"/>
                <w:szCs w:val="25"/>
              </w:rPr>
            </w:pPr>
          </w:p>
          <w:p w14:paraId="26E0D7AF" w14:textId="77777777" w:rsidR="00497A8C" w:rsidRDefault="00497A8C" w:rsidP="00925836">
            <w:pPr>
              <w:jc w:val="center"/>
              <w:rPr>
                <w:rFonts w:ascii="Palatino Linotype" w:hAnsi="Palatino Linotype"/>
                <w:b/>
                <w:sz w:val="25"/>
                <w:szCs w:val="25"/>
              </w:rPr>
            </w:pPr>
          </w:p>
          <w:p w14:paraId="1ABF29FF" w14:textId="77777777" w:rsidR="00497A8C" w:rsidRDefault="00497A8C" w:rsidP="00925836">
            <w:pPr>
              <w:jc w:val="center"/>
              <w:rPr>
                <w:rFonts w:ascii="Palatino Linotype" w:hAnsi="Palatino Linotype"/>
                <w:b/>
                <w:sz w:val="25"/>
                <w:szCs w:val="25"/>
              </w:rPr>
            </w:pPr>
          </w:p>
          <w:p w14:paraId="32BAD1D0" w14:textId="77777777" w:rsidR="00497A8C" w:rsidRDefault="00497A8C" w:rsidP="00925836">
            <w:pPr>
              <w:jc w:val="center"/>
              <w:rPr>
                <w:rFonts w:ascii="Palatino Linotype" w:hAnsi="Palatino Linotype"/>
                <w:b/>
                <w:sz w:val="25"/>
                <w:szCs w:val="25"/>
              </w:rPr>
            </w:pPr>
          </w:p>
          <w:p w14:paraId="5459513B" w14:textId="77777777" w:rsidR="00E75BD1" w:rsidRDefault="00E75BD1" w:rsidP="00925836">
            <w:pPr>
              <w:jc w:val="center"/>
              <w:rPr>
                <w:rFonts w:ascii="Palatino Linotype" w:hAnsi="Palatino Linotype"/>
                <w:b/>
                <w:sz w:val="25"/>
                <w:szCs w:val="25"/>
              </w:rPr>
            </w:pPr>
          </w:p>
          <w:p w14:paraId="1CCA3DBD"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Eva Abaid Yapur</w:t>
            </w:r>
          </w:p>
          <w:p w14:paraId="15AF4A43"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Comisionada</w:t>
            </w:r>
          </w:p>
          <w:p w14:paraId="00C0B493"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(Rúbrica)</w:t>
            </w:r>
          </w:p>
          <w:p w14:paraId="7BDC22C5" w14:textId="77777777" w:rsidR="00925836" w:rsidRDefault="00925836" w:rsidP="00925836">
            <w:pPr>
              <w:jc w:val="center"/>
              <w:rPr>
                <w:rFonts w:ascii="Palatino Linotype" w:hAnsi="Palatino Linotype"/>
                <w:sz w:val="25"/>
                <w:szCs w:val="25"/>
              </w:rPr>
            </w:pPr>
          </w:p>
          <w:p w14:paraId="631D7DE3" w14:textId="77777777" w:rsidR="00925836" w:rsidRDefault="00925836" w:rsidP="00925836">
            <w:pPr>
              <w:jc w:val="center"/>
              <w:rPr>
                <w:rFonts w:ascii="Palatino Linotype" w:hAnsi="Palatino Linotype"/>
                <w:sz w:val="25"/>
                <w:szCs w:val="25"/>
              </w:rPr>
            </w:pPr>
          </w:p>
          <w:p w14:paraId="7D735D67" w14:textId="77777777" w:rsidR="00925836" w:rsidRDefault="00925836" w:rsidP="00925836">
            <w:pPr>
              <w:jc w:val="center"/>
              <w:rPr>
                <w:rFonts w:ascii="Palatino Linotype" w:hAnsi="Palatino Linotype"/>
                <w:sz w:val="25"/>
                <w:szCs w:val="25"/>
              </w:rPr>
            </w:pPr>
          </w:p>
          <w:p w14:paraId="4CEA59A8" w14:textId="77777777" w:rsidR="00497A8C" w:rsidRDefault="00497A8C" w:rsidP="00925836">
            <w:pPr>
              <w:jc w:val="center"/>
              <w:rPr>
                <w:rFonts w:ascii="Palatino Linotype" w:hAnsi="Palatino Linotype"/>
                <w:sz w:val="25"/>
                <w:szCs w:val="25"/>
              </w:rPr>
            </w:pPr>
          </w:p>
          <w:p w14:paraId="557E677C" w14:textId="77777777" w:rsidR="00497A8C" w:rsidRDefault="00497A8C" w:rsidP="00925836">
            <w:pPr>
              <w:jc w:val="center"/>
              <w:rPr>
                <w:rFonts w:ascii="Palatino Linotype" w:hAnsi="Palatino Linotype"/>
                <w:sz w:val="25"/>
                <w:szCs w:val="25"/>
              </w:rPr>
            </w:pPr>
          </w:p>
          <w:p w14:paraId="4DD346DB"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Javier Martínez Cruz</w:t>
            </w:r>
          </w:p>
          <w:p w14:paraId="3D5224F0"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6CEEC10A" w14:textId="135FDBD0" w:rsidR="00925836" w:rsidRDefault="00925836" w:rsidP="00925836">
            <w:pPr>
              <w:jc w:val="center"/>
              <w:rPr>
                <w:rFonts w:ascii="Palatino Linotype" w:hAnsi="Palatino Linotype"/>
              </w:rPr>
            </w:pPr>
            <w:r>
              <w:rPr>
                <w:rFonts w:ascii="Palatino Linotype" w:hAnsi="Palatino Linotype"/>
                <w:sz w:val="25"/>
                <w:szCs w:val="25"/>
              </w:rPr>
              <w:t>(Rúbrica)</w:t>
            </w:r>
          </w:p>
        </w:tc>
        <w:tc>
          <w:tcPr>
            <w:tcW w:w="4419" w:type="dxa"/>
            <w:vAlign w:val="center"/>
          </w:tcPr>
          <w:p w14:paraId="440FD88D" w14:textId="77777777" w:rsidR="00497A8C" w:rsidRDefault="00497A8C" w:rsidP="00925836">
            <w:pPr>
              <w:jc w:val="center"/>
              <w:rPr>
                <w:rFonts w:ascii="Palatino Linotype" w:hAnsi="Palatino Linotype" w:cs="Arial"/>
                <w:b/>
                <w:sz w:val="25"/>
                <w:szCs w:val="25"/>
              </w:rPr>
            </w:pPr>
          </w:p>
          <w:p w14:paraId="2EF377B5" w14:textId="77777777" w:rsidR="00497A8C" w:rsidRDefault="00497A8C" w:rsidP="00925836">
            <w:pPr>
              <w:jc w:val="center"/>
              <w:rPr>
                <w:rFonts w:ascii="Palatino Linotype" w:hAnsi="Palatino Linotype" w:cs="Arial"/>
                <w:b/>
                <w:sz w:val="25"/>
                <w:szCs w:val="25"/>
              </w:rPr>
            </w:pPr>
          </w:p>
          <w:p w14:paraId="4D443677" w14:textId="77777777" w:rsidR="00497A8C" w:rsidRDefault="00497A8C" w:rsidP="00925836">
            <w:pPr>
              <w:jc w:val="center"/>
              <w:rPr>
                <w:rFonts w:ascii="Palatino Linotype" w:hAnsi="Palatino Linotype" w:cs="Arial"/>
                <w:b/>
                <w:sz w:val="25"/>
                <w:szCs w:val="25"/>
              </w:rPr>
            </w:pPr>
          </w:p>
          <w:p w14:paraId="6ECD483D" w14:textId="77777777" w:rsidR="00E75BD1" w:rsidRDefault="00E75BD1" w:rsidP="00925836">
            <w:pPr>
              <w:jc w:val="center"/>
              <w:rPr>
                <w:rFonts w:ascii="Palatino Linotype" w:hAnsi="Palatino Linotype" w:cs="Arial"/>
                <w:b/>
                <w:sz w:val="25"/>
                <w:szCs w:val="25"/>
              </w:rPr>
            </w:pPr>
          </w:p>
          <w:p w14:paraId="78139CC5" w14:textId="77777777" w:rsidR="001E2436" w:rsidRDefault="001E2436" w:rsidP="00925836">
            <w:pPr>
              <w:jc w:val="center"/>
              <w:rPr>
                <w:rFonts w:ascii="Palatino Linotype" w:hAnsi="Palatino Linotype" w:cs="Arial"/>
                <w:b/>
                <w:sz w:val="25"/>
                <w:szCs w:val="25"/>
              </w:rPr>
            </w:pPr>
          </w:p>
          <w:p w14:paraId="5F99A9D1" w14:textId="77777777" w:rsidR="00925836" w:rsidRDefault="00925836" w:rsidP="00925836">
            <w:pPr>
              <w:jc w:val="center"/>
              <w:rPr>
                <w:rFonts w:ascii="Palatino Linotype" w:hAnsi="Palatino Linotype"/>
                <w:b/>
                <w:sz w:val="25"/>
                <w:szCs w:val="25"/>
              </w:rPr>
            </w:pPr>
            <w:r>
              <w:rPr>
                <w:rFonts w:ascii="Palatino Linotype" w:hAnsi="Palatino Linotype" w:cs="Arial"/>
                <w:b/>
                <w:sz w:val="25"/>
                <w:szCs w:val="25"/>
              </w:rPr>
              <w:t>José Guadalupe Luna Hernández</w:t>
            </w:r>
          </w:p>
          <w:p w14:paraId="2514A3CC"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23DCA007"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(Rúbrica)</w:t>
            </w:r>
          </w:p>
          <w:p w14:paraId="689C2A80" w14:textId="77777777" w:rsidR="001E2436" w:rsidRDefault="001E2436" w:rsidP="00925836">
            <w:pPr>
              <w:jc w:val="center"/>
              <w:rPr>
                <w:rFonts w:ascii="Palatino Linotype" w:hAnsi="Palatino Linotype"/>
                <w:sz w:val="25"/>
                <w:szCs w:val="25"/>
              </w:rPr>
            </w:pPr>
          </w:p>
          <w:p w14:paraId="0E43C8BD" w14:textId="77777777" w:rsidR="001E2436" w:rsidRDefault="001E2436" w:rsidP="00925836">
            <w:pPr>
              <w:jc w:val="center"/>
              <w:rPr>
                <w:rFonts w:ascii="Palatino Linotype" w:hAnsi="Palatino Linotype"/>
                <w:sz w:val="25"/>
                <w:szCs w:val="25"/>
              </w:rPr>
            </w:pPr>
          </w:p>
          <w:p w14:paraId="6D54D7A3" w14:textId="77777777" w:rsidR="00497A8C" w:rsidRDefault="00497A8C" w:rsidP="00925836">
            <w:pPr>
              <w:jc w:val="center"/>
              <w:rPr>
                <w:rFonts w:ascii="Palatino Linotype" w:hAnsi="Palatino Linotype"/>
                <w:sz w:val="25"/>
                <w:szCs w:val="25"/>
              </w:rPr>
            </w:pPr>
          </w:p>
          <w:p w14:paraId="6AE16F04" w14:textId="77777777" w:rsidR="00497A8C" w:rsidRDefault="00497A8C" w:rsidP="00925836">
            <w:pPr>
              <w:jc w:val="center"/>
              <w:rPr>
                <w:rFonts w:ascii="Palatino Linotype" w:hAnsi="Palatino Linotype"/>
                <w:sz w:val="25"/>
                <w:szCs w:val="25"/>
              </w:rPr>
            </w:pPr>
          </w:p>
          <w:p w14:paraId="04DF129F" w14:textId="77777777" w:rsidR="00925836" w:rsidRDefault="00925836" w:rsidP="00925836">
            <w:pPr>
              <w:jc w:val="center"/>
              <w:rPr>
                <w:rFonts w:ascii="Palatino Linotype" w:hAnsi="Palatino Linotype"/>
                <w:sz w:val="25"/>
                <w:szCs w:val="25"/>
              </w:rPr>
            </w:pPr>
          </w:p>
          <w:p w14:paraId="566F3056"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Luis Gustavo Parra Noriega</w:t>
            </w:r>
          </w:p>
          <w:p w14:paraId="029E4536"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3141AD98" w14:textId="0CD1E6A9" w:rsidR="00925836" w:rsidRDefault="00925836" w:rsidP="00925836">
            <w:pPr>
              <w:jc w:val="center"/>
              <w:rPr>
                <w:rFonts w:ascii="Palatino Linotype" w:hAnsi="Palatino Linotype"/>
              </w:rPr>
            </w:pPr>
            <w:r>
              <w:rPr>
                <w:rFonts w:ascii="Palatino Linotype" w:hAnsi="Palatino Linotype"/>
                <w:sz w:val="25"/>
                <w:szCs w:val="25"/>
              </w:rPr>
              <w:t>(Rúbrica)</w:t>
            </w:r>
          </w:p>
        </w:tc>
      </w:tr>
      <w:tr w:rsidR="00925836" w14:paraId="18EA0F3B" w14:textId="77777777" w:rsidTr="00351CB3">
        <w:trPr>
          <w:trHeight w:val="1953"/>
        </w:trPr>
        <w:tc>
          <w:tcPr>
            <w:tcW w:w="8838" w:type="dxa"/>
            <w:gridSpan w:val="2"/>
            <w:vAlign w:val="center"/>
          </w:tcPr>
          <w:p w14:paraId="4EFE9D6C" w14:textId="1F3DC7E0" w:rsidR="00925836" w:rsidRDefault="00925836" w:rsidP="00925836">
            <w:pPr>
              <w:rPr>
                <w:rFonts w:ascii="Palatino Linotype" w:hAnsi="Palatino Linotype" w:cs="Arial"/>
              </w:rPr>
            </w:pPr>
          </w:p>
        </w:tc>
      </w:tr>
      <w:tr w:rsidR="00351CB3" w14:paraId="7F2A44C6" w14:textId="77777777" w:rsidTr="00351CB3">
        <w:trPr>
          <w:trHeight w:val="1544"/>
        </w:trPr>
        <w:tc>
          <w:tcPr>
            <w:tcW w:w="8838" w:type="dxa"/>
            <w:gridSpan w:val="2"/>
            <w:vAlign w:val="center"/>
          </w:tcPr>
          <w:p w14:paraId="7D338643" w14:textId="77777777" w:rsidR="00351CB3" w:rsidRDefault="00351CB3">
            <w:pPr>
              <w:jc w:val="center"/>
              <w:rPr>
                <w:rFonts w:ascii="Palatino Linotype" w:hAnsi="Palatino Linotype"/>
                <w:b/>
              </w:rPr>
            </w:pPr>
            <w:r>
              <w:rPr>
                <w:rFonts w:ascii="Palatino Linotype" w:hAnsi="Palatino Linotype" w:cs="Arial"/>
                <w:b/>
              </w:rPr>
              <w:t>Alexis Tapia Ramírez</w:t>
            </w:r>
          </w:p>
          <w:p w14:paraId="3CB2BD30" w14:textId="77777777" w:rsidR="00351CB3" w:rsidRDefault="00351CB3">
            <w:pPr>
              <w:jc w:val="center"/>
              <w:rPr>
                <w:rFonts w:ascii="Palatino Linotype" w:hAnsi="Palatino Linotype"/>
              </w:rPr>
            </w:pPr>
            <w:r>
              <w:rPr>
                <w:rFonts w:ascii="Palatino Linotype" w:hAnsi="Palatino Linotype"/>
              </w:rPr>
              <w:t>Secretario Técnico del Pleno</w:t>
            </w:r>
          </w:p>
          <w:p w14:paraId="3010B63A" w14:textId="090EEAC4" w:rsidR="00351CB3" w:rsidRDefault="0034307C">
            <w:pPr>
              <w:jc w:val="center"/>
              <w:rPr>
                <w:rFonts w:ascii="Palatino Linotype" w:hAnsi="Palatino Linotype"/>
              </w:rPr>
            </w:pPr>
            <w:r>
              <w:rPr>
                <w:rFonts w:ascii="Palatino Linotype" w:hAnsi="Palatino Linotype"/>
              </w:rPr>
              <w:t>(Rúbrica)</w:t>
            </w:r>
          </w:p>
          <w:p w14:paraId="0C2B961B" w14:textId="77777777" w:rsidR="00351CB3" w:rsidRDefault="00351CB3">
            <w:pPr>
              <w:jc w:val="center"/>
              <w:rPr>
                <w:rFonts w:ascii="Palatino Linotype" w:hAnsi="Palatino Linotype"/>
              </w:rPr>
            </w:pPr>
          </w:p>
        </w:tc>
      </w:tr>
    </w:tbl>
    <w:p w14:paraId="5D469C24" w14:textId="3F322C72" w:rsidR="003D560E" w:rsidRDefault="00351CB3" w:rsidP="00351CB3">
      <w:pPr>
        <w:jc w:val="both"/>
        <w:rPr>
          <w:rFonts w:ascii="Palatino Linotype" w:hAnsi="Palatino Linotype" w:cs="Arial"/>
          <w:sz w:val="20"/>
        </w:rPr>
      </w:pPr>
      <w:r>
        <w:rPr>
          <w:rFonts w:ascii="Palatino Linotype" w:hAnsi="Palatino Linotype" w:cs="Arial"/>
          <w:sz w:val="20"/>
        </w:rPr>
        <w:t>Esta hoja corresponde a la resolución de</w:t>
      </w:r>
      <w:r w:rsidR="00CF555B">
        <w:rPr>
          <w:rFonts w:ascii="Palatino Linotype" w:hAnsi="Palatino Linotype" w:cs="Arial"/>
          <w:sz w:val="20"/>
        </w:rPr>
        <w:t xml:space="preserve">l </w:t>
      </w:r>
      <w:r w:rsidR="00904199">
        <w:rPr>
          <w:rFonts w:ascii="Palatino Linotype" w:hAnsi="Palatino Linotype" w:cs="Arial"/>
          <w:sz w:val="20"/>
        </w:rPr>
        <w:t>trece de febrero</w:t>
      </w:r>
      <w:r w:rsidR="00346FCB">
        <w:rPr>
          <w:rFonts w:ascii="Palatino Linotype" w:hAnsi="Palatino Linotype" w:cs="Arial"/>
          <w:sz w:val="20"/>
        </w:rPr>
        <w:t xml:space="preserve"> de dos mil diecinueve</w:t>
      </w:r>
      <w:r>
        <w:rPr>
          <w:rFonts w:ascii="Palatino Linotype" w:hAnsi="Palatino Linotype" w:cs="Arial"/>
          <w:sz w:val="20"/>
        </w:rPr>
        <w:t xml:space="preserve">, emitida en el recurso de revisión </w:t>
      </w:r>
      <w:r w:rsidR="00904199">
        <w:rPr>
          <w:rFonts w:ascii="Palatino Linotype" w:hAnsi="Palatino Linotype" w:cs="Arial"/>
          <w:b/>
          <w:bCs/>
          <w:sz w:val="20"/>
        </w:rPr>
        <w:t>04544</w:t>
      </w:r>
      <w:r w:rsidR="0034307C">
        <w:rPr>
          <w:rFonts w:ascii="Palatino Linotype" w:hAnsi="Palatino Linotype" w:cs="Arial"/>
          <w:b/>
          <w:bCs/>
          <w:sz w:val="20"/>
        </w:rPr>
        <w:t>/INFOEM/IP/RR/2018.</w:t>
      </w:r>
    </w:p>
    <w:sectPr w:rsidR="003D560E" w:rsidSect="00C60714">
      <w:headerReference w:type="default" r:id="rId15"/>
      <w:footerReference w:type="default" r:id="rId16"/>
      <w:headerReference w:type="first" r:id="rId17"/>
      <w:footerReference w:type="first" r:id="rId18"/>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01C9E" w14:textId="77777777" w:rsidR="003E10EB" w:rsidRDefault="003E10EB" w:rsidP="00C80F8C">
      <w:r>
        <w:separator/>
      </w:r>
    </w:p>
  </w:endnote>
  <w:endnote w:type="continuationSeparator" w:id="0">
    <w:p w14:paraId="467BBFDD" w14:textId="77777777" w:rsidR="003E10EB" w:rsidRDefault="003E10E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2B4020" w:rsidRDefault="002B402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15F84">
      <w:rPr>
        <w:rFonts w:ascii="Arial" w:hAnsi="Arial" w:cs="Arial"/>
        <w:b/>
        <w:bCs/>
        <w:noProof/>
        <w:sz w:val="20"/>
        <w:szCs w:val="20"/>
      </w:rPr>
      <w:t>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15F84">
      <w:rPr>
        <w:rFonts w:ascii="Arial" w:hAnsi="Arial" w:cs="Arial"/>
        <w:b/>
        <w:bCs/>
        <w:noProof/>
        <w:sz w:val="20"/>
        <w:szCs w:val="20"/>
      </w:rPr>
      <w:t>41</w:t>
    </w:r>
    <w:r>
      <w:rPr>
        <w:rFonts w:ascii="Arial" w:hAnsi="Arial" w:cs="Arial"/>
        <w:b/>
        <w:bCs/>
        <w:sz w:val="20"/>
        <w:szCs w:val="20"/>
      </w:rPr>
      <w:fldChar w:fldCharType="end"/>
    </w:r>
  </w:p>
  <w:p w14:paraId="1192A578" w14:textId="77777777" w:rsidR="002B4020" w:rsidRDefault="002B4020" w:rsidP="00935A0D">
    <w:pPr>
      <w:pStyle w:val="Piedepgina"/>
      <w:rPr>
        <w:rFonts w:ascii="Times New Roman" w:hAnsi="Times New Roman" w:cs="Times New Roman"/>
      </w:rPr>
    </w:pPr>
  </w:p>
  <w:p w14:paraId="14A770F8" w14:textId="77777777" w:rsidR="002B4020" w:rsidRDefault="002B402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2B4020" w:rsidRDefault="002B402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15F8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15F84">
      <w:rPr>
        <w:rFonts w:ascii="Arial" w:hAnsi="Arial" w:cs="Arial"/>
        <w:b/>
        <w:bCs/>
        <w:noProof/>
        <w:sz w:val="20"/>
        <w:szCs w:val="20"/>
      </w:rPr>
      <w:t>41</w:t>
    </w:r>
    <w:r>
      <w:rPr>
        <w:rFonts w:ascii="Arial" w:hAnsi="Arial" w:cs="Arial"/>
        <w:b/>
        <w:bCs/>
        <w:sz w:val="20"/>
        <w:szCs w:val="20"/>
      </w:rPr>
      <w:fldChar w:fldCharType="end"/>
    </w:r>
  </w:p>
  <w:p w14:paraId="5D98ABD5" w14:textId="77777777" w:rsidR="002B4020" w:rsidRDefault="002B40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95D92" w14:textId="77777777" w:rsidR="003E10EB" w:rsidRDefault="003E10EB" w:rsidP="00C80F8C">
      <w:r>
        <w:separator/>
      </w:r>
    </w:p>
  </w:footnote>
  <w:footnote w:type="continuationSeparator" w:id="0">
    <w:p w14:paraId="37E25B71" w14:textId="77777777" w:rsidR="003E10EB" w:rsidRDefault="003E10EB" w:rsidP="00C80F8C">
      <w:r>
        <w:continuationSeparator/>
      </w:r>
    </w:p>
  </w:footnote>
  <w:footnote w:id="1">
    <w:p w14:paraId="20911DD0" w14:textId="77777777" w:rsidR="002B4020" w:rsidRDefault="002B4020" w:rsidP="00E21836">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footnoteRef/>
      </w:r>
      <w:r>
        <w:rPr>
          <w:rFonts w:ascii="Palatino Linotype" w:hAnsi="Palatino Linotype" w:cs="Arial"/>
          <w:i/>
          <w:sz w:val="16"/>
          <w:szCs w:val="16"/>
        </w:rPr>
        <w:t xml:space="preserve"> “Artículo 166. …</w:t>
      </w:r>
    </w:p>
    <w:p w14:paraId="7A317B37" w14:textId="77777777" w:rsidR="002B4020" w:rsidRDefault="002B4020" w:rsidP="00E21836">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Cuando el sujeto obligado no entregue la respuesta a la solicitud dentro del plazo previsto en la Ley, la solicitud se entenderá negada y el solicitante podrá interponer el recurso de revisión previsto en este ordenamiento…”(sic)</w:t>
      </w:r>
    </w:p>
  </w:footnote>
  <w:footnote w:id="2">
    <w:p w14:paraId="5750F832" w14:textId="77777777" w:rsidR="002B4020" w:rsidRDefault="002B4020" w:rsidP="00E21836">
      <w:pPr>
        <w:pStyle w:val="Textonotapie"/>
        <w:jc w:val="both"/>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footnoteRef/>
      </w:r>
      <w:r>
        <w:rPr>
          <w:rFonts w:ascii="Palatino Linotype" w:eastAsia="Times New Roman" w:hAnsi="Palatino Linotype" w:cs="Arial"/>
          <w:i/>
          <w:sz w:val="16"/>
          <w:szCs w:val="16"/>
          <w:lang w:val="es-ES" w:eastAsia="es-ES"/>
        </w:rPr>
        <w:t xml:space="preserve"> “Artículo 179. El recurso de revisión es un medio de protección que la Ley otorga a los particulares, para hacer valer su derecho de acceso a la información pública, y procederá en contra de las siguientes causas:</w:t>
      </w:r>
    </w:p>
    <w:p w14:paraId="584E82E2" w14:textId="77777777" w:rsidR="002B4020" w:rsidRDefault="002B4020" w:rsidP="00E21836">
      <w:pPr>
        <w:pStyle w:val="Textonotapie"/>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t>…</w:t>
      </w:r>
    </w:p>
    <w:p w14:paraId="57000772" w14:textId="77777777" w:rsidR="002B4020" w:rsidRDefault="002B4020" w:rsidP="00E21836">
      <w:pPr>
        <w:pStyle w:val="Textonotapie"/>
        <w:jc w:val="both"/>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t>VII. La falta de respuesta a una solicitud de acceso a la información;…”(sic)</w:t>
      </w:r>
    </w:p>
  </w:footnote>
  <w:footnote w:id="3">
    <w:p w14:paraId="2C7FA707" w14:textId="4E59E475" w:rsidR="00867A63" w:rsidRPr="00867A63" w:rsidRDefault="00867A63" w:rsidP="00867A63">
      <w:pPr>
        <w:tabs>
          <w:tab w:val="left" w:pos="709"/>
        </w:tabs>
        <w:spacing w:before="240"/>
        <w:ind w:right="851"/>
        <w:contextualSpacing/>
        <w:jc w:val="both"/>
        <w:rPr>
          <w:rFonts w:ascii="Palatino Linotype" w:hAnsi="Palatino Linotype"/>
          <w:b/>
          <w:i/>
          <w:sz w:val="16"/>
          <w:szCs w:val="16"/>
        </w:rPr>
      </w:pPr>
      <w:r w:rsidRPr="00867A63">
        <w:rPr>
          <w:rStyle w:val="Refdenotaalpie"/>
          <w:rFonts w:ascii="Palatino Linotype" w:hAnsi="Palatino Linotype"/>
          <w:sz w:val="16"/>
          <w:szCs w:val="16"/>
        </w:rPr>
        <w:footnoteRef/>
      </w:r>
      <w:r w:rsidRPr="00867A63">
        <w:rPr>
          <w:rFonts w:ascii="Palatino Linotype" w:hAnsi="Palatino Linotype"/>
          <w:b/>
          <w:i/>
          <w:sz w:val="16"/>
          <w:szCs w:val="16"/>
        </w:rPr>
        <w:t>Ley Orgánica Municipal del Estado de México</w:t>
      </w:r>
      <w:r>
        <w:rPr>
          <w:rFonts w:ascii="Palatino Linotype" w:hAnsi="Palatino Linotype"/>
          <w:b/>
          <w:i/>
          <w:sz w:val="16"/>
          <w:szCs w:val="16"/>
        </w:rPr>
        <w:t>:</w:t>
      </w:r>
    </w:p>
    <w:p w14:paraId="13E61124" w14:textId="699E2E2C" w:rsidR="00867A63" w:rsidRPr="00867A63" w:rsidRDefault="00867A63" w:rsidP="00867A63">
      <w:pPr>
        <w:pStyle w:val="Textonotapie"/>
        <w:contextualSpacing/>
        <w:jc w:val="both"/>
        <w:rPr>
          <w:rFonts w:ascii="Palatino Linotype" w:hAnsi="Palatino Linotype"/>
          <w:sz w:val="16"/>
          <w:szCs w:val="16"/>
        </w:rPr>
      </w:pPr>
      <w:r>
        <w:rPr>
          <w:rFonts w:ascii="Palatino Linotype" w:hAnsi="Palatino Linotype"/>
          <w:i/>
          <w:sz w:val="16"/>
          <w:szCs w:val="16"/>
        </w:rPr>
        <w:t>“</w:t>
      </w:r>
      <w:r w:rsidRPr="00867A63">
        <w:rPr>
          <w:rFonts w:ascii="Palatino Linotype" w:hAnsi="Palatino Linotype"/>
          <w:i/>
          <w:sz w:val="16"/>
          <w:szCs w:val="16"/>
        </w:rPr>
        <w:t xml:space="preserve">Artículo 16.- </w:t>
      </w:r>
      <w:r w:rsidRPr="00867A63">
        <w:rPr>
          <w:rFonts w:ascii="Palatino Linotype" w:hAnsi="Palatino Linotype"/>
          <w:b/>
          <w:i/>
          <w:sz w:val="16"/>
          <w:szCs w:val="16"/>
          <w:u w:val="single"/>
        </w:rPr>
        <w:t>Los Ayuntamientos</w:t>
      </w:r>
      <w:r w:rsidRPr="00867A63">
        <w:rPr>
          <w:rFonts w:ascii="Palatino Linotype" w:hAnsi="Palatino Linotype"/>
          <w:i/>
          <w:sz w:val="16"/>
          <w:szCs w:val="16"/>
        </w:rPr>
        <w:t xml:space="preserve"> se renovarán cada tres años, iniciarán su periodo el 1 de enero del año inmediato siguiente al de las elecciones municipales ordinarias y lo concluirán el 31 de diciembre del año de las elecciones para su renovación</w:t>
      </w:r>
      <w:r>
        <w:rPr>
          <w:rFonts w:ascii="Palatino Linotype" w:hAnsi="Palatino Linotype"/>
          <w:i/>
          <w:sz w:val="16"/>
          <w:szCs w:val="16"/>
        </w:rPr>
        <w:t>…(Sic)</w:t>
      </w:r>
    </w:p>
  </w:footnote>
  <w:footnote w:id="4">
    <w:p w14:paraId="61CC784C" w14:textId="77777777" w:rsidR="00905247" w:rsidRPr="00312EFF" w:rsidRDefault="00905247" w:rsidP="00905247">
      <w:pPr>
        <w:spacing w:after="120"/>
        <w:ind w:right="-93"/>
        <w:jc w:val="both"/>
        <w:rPr>
          <w:rFonts w:ascii="Palatino Linotype" w:hAnsi="Palatino Linotype"/>
          <w:i/>
          <w:sz w:val="16"/>
          <w:szCs w:val="16"/>
        </w:rPr>
      </w:pPr>
      <w:r w:rsidRPr="00312EFF">
        <w:rPr>
          <w:rStyle w:val="Refdenotaalpie"/>
          <w:sz w:val="16"/>
          <w:szCs w:val="16"/>
        </w:rPr>
        <w:footnoteRef/>
      </w:r>
      <w:r w:rsidRPr="00312EFF">
        <w:rPr>
          <w:sz w:val="16"/>
          <w:szCs w:val="16"/>
        </w:rPr>
        <w:t xml:space="preserve"> </w:t>
      </w:r>
      <w:r w:rsidRPr="00312EFF">
        <w:rPr>
          <w:rFonts w:ascii="Palatino Linotype" w:hAnsi="Palatino Linotype"/>
          <w:b/>
          <w:i/>
          <w:sz w:val="16"/>
          <w:szCs w:val="16"/>
        </w:rPr>
        <w:t>"AGRAVIOS EN LA REVISION. DEBEN ESTAR EN RELACION DIRECTA CON LOS FUNDAMENTOS Y CONSIDERACIONES DE LA SENTENCIA.-</w:t>
      </w:r>
      <w:r w:rsidRPr="00312EFF">
        <w:rPr>
          <w:rFonts w:ascii="Palatino Linotype" w:hAnsi="Palatino Linotype"/>
          <w:i/>
          <w:sz w:val="16"/>
          <w:szCs w:val="16"/>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7C2FE854" w14:textId="77777777" w:rsidR="00905247" w:rsidRDefault="00905247" w:rsidP="00905247">
      <w:pPr>
        <w:pStyle w:val="Textonotapie"/>
      </w:pPr>
    </w:p>
  </w:footnote>
  <w:footnote w:id="5">
    <w:p w14:paraId="54F0CDDC" w14:textId="77777777" w:rsidR="00905247" w:rsidRPr="00D439E6" w:rsidRDefault="00905247" w:rsidP="00905247">
      <w:pPr>
        <w:pStyle w:val="Textonotapie"/>
        <w:rPr>
          <w:rFonts w:ascii="Palatino Linotype" w:hAnsi="Palatino Linotype"/>
          <w:sz w:val="16"/>
          <w:szCs w:val="16"/>
        </w:rPr>
      </w:pPr>
      <w:r>
        <w:rPr>
          <w:rStyle w:val="Refdenotaalpie"/>
        </w:rPr>
        <w:footnoteRef/>
      </w:r>
      <w:r>
        <w:t xml:space="preserve"> </w:t>
      </w:r>
      <w:r w:rsidRPr="00D439E6">
        <w:rPr>
          <w:rFonts w:ascii="Palatino Linotype" w:hAnsi="Palatino Linotype"/>
          <w:i/>
          <w:sz w:val="16"/>
          <w:szCs w:val="16"/>
        </w:rPr>
        <w:t>Artículo 163. La Unidad de Transparencia deberá notificar la respuesta a la solicitud al interesado en el menor tiempo posible, que no podrá exceder de quince días hábiles, contados a partir del día siguiente a la presentación de aquélla.</w:t>
      </w:r>
      <w:r>
        <w:rPr>
          <w:rFonts w:ascii="Palatino Linotype" w:hAnsi="Palatino Linotype"/>
          <w:i/>
          <w:sz w:val="16"/>
          <w:szCs w:val="16"/>
        </w:rPr>
        <w:t xml:space="preserve"> </w:t>
      </w:r>
      <w:r>
        <w:rPr>
          <w:rFonts w:ascii="Palatino Linotype" w:hAnsi="Palatino Linotype"/>
          <w:sz w:val="16"/>
          <w:szCs w:val="16"/>
        </w:rPr>
        <w:t xml:space="preserve">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2B4020" w14:paraId="6B4E3B81" w14:textId="77777777" w:rsidTr="00C87203">
      <w:tc>
        <w:tcPr>
          <w:tcW w:w="2551" w:type="dxa"/>
          <w:vAlign w:val="center"/>
          <w:hideMark/>
        </w:tcPr>
        <w:p w14:paraId="0ABBC6C0" w14:textId="77777777" w:rsidR="002B4020" w:rsidRDefault="002B4020"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60C471CA" w14:textId="55F4F483" w:rsidR="002B4020" w:rsidRDefault="002B4020" w:rsidP="00A74766">
          <w:pPr>
            <w:jc w:val="both"/>
            <w:rPr>
              <w:rFonts w:ascii="Palatino Linotype" w:hAnsi="Palatino Linotype"/>
              <w:b/>
              <w:sz w:val="22"/>
              <w:szCs w:val="22"/>
              <w:lang w:val="es-ES_tradnl"/>
            </w:rPr>
          </w:pPr>
          <w:r>
            <w:rPr>
              <w:rFonts w:ascii="Palatino Linotype" w:hAnsi="Palatino Linotype"/>
              <w:b/>
              <w:sz w:val="22"/>
              <w:szCs w:val="22"/>
              <w:lang w:val="es-ES_tradnl"/>
            </w:rPr>
            <w:t>04544/INFOEM/IP/RR/2018</w:t>
          </w:r>
        </w:p>
      </w:tc>
    </w:tr>
    <w:tr w:rsidR="002B4020" w14:paraId="31CB780F" w14:textId="77777777" w:rsidTr="00C87203">
      <w:trPr>
        <w:trHeight w:val="228"/>
      </w:trPr>
      <w:tc>
        <w:tcPr>
          <w:tcW w:w="2551" w:type="dxa"/>
          <w:vAlign w:val="center"/>
          <w:hideMark/>
        </w:tcPr>
        <w:p w14:paraId="4F49CB4A" w14:textId="77777777" w:rsidR="002B4020" w:rsidRDefault="002B4020"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5D08B318" w14:textId="29BA8F9A" w:rsidR="002B4020" w:rsidRDefault="002B4020" w:rsidP="00174176">
          <w:pPr>
            <w:jc w:val="both"/>
            <w:rPr>
              <w:rFonts w:ascii="Palatino Linotype" w:hAnsi="Palatino Linotype"/>
              <w:b/>
              <w:sz w:val="22"/>
              <w:szCs w:val="22"/>
              <w:lang w:val="es-ES_tradnl"/>
            </w:rPr>
          </w:pPr>
          <w:r>
            <w:rPr>
              <w:rFonts w:ascii="Palatino Linotype" w:hAnsi="Palatino Linotype"/>
              <w:b/>
              <w:sz w:val="22"/>
              <w:szCs w:val="22"/>
              <w:lang w:val="es-ES_tradnl"/>
            </w:rPr>
            <w:t>Ayuntamiento de Xalatlaco.</w:t>
          </w:r>
        </w:p>
      </w:tc>
    </w:tr>
    <w:tr w:rsidR="002B4020" w14:paraId="69050F56" w14:textId="77777777" w:rsidTr="00C87203">
      <w:tc>
        <w:tcPr>
          <w:tcW w:w="2551" w:type="dxa"/>
          <w:vAlign w:val="center"/>
          <w:hideMark/>
        </w:tcPr>
        <w:p w14:paraId="65C9B735" w14:textId="3CB772C2" w:rsidR="002B4020" w:rsidRDefault="002B4020"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7" w:type="dxa"/>
          <w:vAlign w:val="center"/>
          <w:hideMark/>
        </w:tcPr>
        <w:p w14:paraId="06864B57" w14:textId="59BE39AA" w:rsidR="002B4020" w:rsidRDefault="002B4020"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8CFED12" w:rsidR="002B4020" w:rsidRDefault="002B4020" w:rsidP="007B282D">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269C405" w:rsidR="002B4020" w:rsidRDefault="002B4020" w:rsidP="00C47D1B">
    <w:pPr>
      <w:pStyle w:val="Encabezado"/>
      <w:jc w:val="both"/>
    </w:pPr>
  </w:p>
  <w:tbl>
    <w:tblPr>
      <w:tblW w:w="5812" w:type="dxa"/>
      <w:tblInd w:w="3119" w:type="dxa"/>
      <w:tblLayout w:type="fixed"/>
      <w:tblLook w:val="04A0" w:firstRow="1" w:lastRow="0" w:firstColumn="1" w:lastColumn="0" w:noHBand="0" w:noVBand="1"/>
    </w:tblPr>
    <w:tblGrid>
      <w:gridCol w:w="2551"/>
      <w:gridCol w:w="3261"/>
    </w:tblGrid>
    <w:tr w:rsidR="002B4020" w14:paraId="477E149B" w14:textId="77777777" w:rsidTr="00697BF4">
      <w:tc>
        <w:tcPr>
          <w:tcW w:w="2551" w:type="dxa"/>
          <w:vAlign w:val="center"/>
          <w:hideMark/>
        </w:tcPr>
        <w:p w14:paraId="5C0586E4" w14:textId="77777777" w:rsidR="002B4020" w:rsidRDefault="002B4020"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4D31EA7F" w:rsidR="002B4020" w:rsidRDefault="002B4020" w:rsidP="00697BF4">
          <w:pPr>
            <w:jc w:val="both"/>
            <w:rPr>
              <w:rFonts w:ascii="Palatino Linotype" w:hAnsi="Palatino Linotype"/>
              <w:b/>
              <w:sz w:val="22"/>
              <w:szCs w:val="22"/>
              <w:lang w:val="es-ES_tradnl"/>
            </w:rPr>
          </w:pPr>
          <w:r>
            <w:rPr>
              <w:rFonts w:ascii="Palatino Linotype" w:hAnsi="Palatino Linotype"/>
              <w:b/>
              <w:sz w:val="22"/>
              <w:szCs w:val="22"/>
              <w:lang w:val="es-ES_tradnl"/>
            </w:rPr>
            <w:t>04544/INFOEM/IP/RR/2018.</w:t>
          </w:r>
        </w:p>
      </w:tc>
    </w:tr>
    <w:tr w:rsidR="002B4020" w14:paraId="5B5BE21C" w14:textId="77777777" w:rsidTr="00697BF4">
      <w:tc>
        <w:tcPr>
          <w:tcW w:w="2551" w:type="dxa"/>
          <w:vAlign w:val="center"/>
          <w:hideMark/>
        </w:tcPr>
        <w:p w14:paraId="4AE96902" w14:textId="77777777" w:rsidR="002B4020" w:rsidRDefault="002B4020"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280FF20F" w:rsidR="002B4020" w:rsidRDefault="00015F84" w:rsidP="002E1568">
          <w:pPr>
            <w:jc w:val="both"/>
            <w:rPr>
              <w:rFonts w:ascii="Palatino Linotype" w:hAnsi="Palatino Linotype"/>
              <w:b/>
              <w:sz w:val="22"/>
              <w:szCs w:val="22"/>
              <w:lang w:val="es-ES_tradnl"/>
            </w:rPr>
          </w:pPr>
          <w:r>
            <w:rPr>
              <w:rFonts w:ascii="Palatino Linotype" w:hAnsi="Palatino Linotype"/>
              <w:b/>
              <w:sz w:val="22"/>
              <w:szCs w:val="22"/>
              <w:lang w:val="es-ES_tradnl"/>
            </w:rPr>
            <w:t>XXXXX XXXXX XXXXX XXXXX XXXXX</w:t>
          </w:r>
          <w:r w:rsidR="002B4020">
            <w:rPr>
              <w:rFonts w:ascii="Palatino Linotype" w:hAnsi="Palatino Linotype"/>
              <w:b/>
              <w:sz w:val="22"/>
              <w:szCs w:val="22"/>
              <w:lang w:val="es-ES_tradnl"/>
            </w:rPr>
            <w:t>.</w:t>
          </w:r>
        </w:p>
      </w:tc>
    </w:tr>
    <w:tr w:rsidR="002B4020" w14:paraId="22601A11" w14:textId="77777777" w:rsidTr="00697BF4">
      <w:trPr>
        <w:trHeight w:val="228"/>
      </w:trPr>
      <w:tc>
        <w:tcPr>
          <w:tcW w:w="2551" w:type="dxa"/>
          <w:vAlign w:val="center"/>
          <w:hideMark/>
        </w:tcPr>
        <w:p w14:paraId="6EFE221D" w14:textId="58B60B41" w:rsidR="002B4020" w:rsidRDefault="002B4020"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19887D47" w:rsidR="002B4020" w:rsidRDefault="002B4020" w:rsidP="00FE576C">
          <w:pPr>
            <w:jc w:val="both"/>
            <w:rPr>
              <w:rFonts w:ascii="Palatino Linotype" w:hAnsi="Palatino Linotype"/>
              <w:b/>
              <w:sz w:val="22"/>
              <w:szCs w:val="22"/>
              <w:lang w:val="es-ES_tradnl"/>
            </w:rPr>
          </w:pPr>
          <w:r>
            <w:rPr>
              <w:rFonts w:ascii="Palatino Linotype" w:hAnsi="Palatino Linotype"/>
              <w:b/>
              <w:sz w:val="22"/>
              <w:szCs w:val="22"/>
              <w:lang w:val="es-ES_tradnl"/>
            </w:rPr>
            <w:t>Ayuntamiento de Xalatlaco.</w:t>
          </w:r>
        </w:p>
      </w:tc>
    </w:tr>
    <w:tr w:rsidR="002B4020" w14:paraId="2D6C630E" w14:textId="77777777" w:rsidTr="00697BF4">
      <w:tc>
        <w:tcPr>
          <w:tcW w:w="2551" w:type="dxa"/>
          <w:vAlign w:val="center"/>
          <w:hideMark/>
        </w:tcPr>
        <w:p w14:paraId="5BD4C6DB" w14:textId="656677ED" w:rsidR="002B4020" w:rsidRDefault="002B4020"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2B4020" w:rsidRDefault="002B4020"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2B4020" w:rsidRDefault="002B402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D5E5A"/>
    <w:multiLevelType w:val="hybridMultilevel"/>
    <w:tmpl w:val="BCC8C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513E4F"/>
    <w:multiLevelType w:val="hybridMultilevel"/>
    <w:tmpl w:val="24265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35"/>
    <w:rsid w:val="0000184C"/>
    <w:rsid w:val="00004432"/>
    <w:rsid w:val="000054B4"/>
    <w:rsid w:val="00006B08"/>
    <w:rsid w:val="00010CC9"/>
    <w:rsid w:val="00012BBE"/>
    <w:rsid w:val="000130D3"/>
    <w:rsid w:val="00013210"/>
    <w:rsid w:val="00013961"/>
    <w:rsid w:val="000142A6"/>
    <w:rsid w:val="00015F84"/>
    <w:rsid w:val="000163E2"/>
    <w:rsid w:val="00021061"/>
    <w:rsid w:val="00022C89"/>
    <w:rsid w:val="00022DB0"/>
    <w:rsid w:val="00025F38"/>
    <w:rsid w:val="00026864"/>
    <w:rsid w:val="0003054C"/>
    <w:rsid w:val="0003179B"/>
    <w:rsid w:val="000332EF"/>
    <w:rsid w:val="00034609"/>
    <w:rsid w:val="000354B7"/>
    <w:rsid w:val="000416BB"/>
    <w:rsid w:val="0004195C"/>
    <w:rsid w:val="0004420F"/>
    <w:rsid w:val="00046D1F"/>
    <w:rsid w:val="0005034C"/>
    <w:rsid w:val="000507B6"/>
    <w:rsid w:val="0005290A"/>
    <w:rsid w:val="00052FFB"/>
    <w:rsid w:val="000542C7"/>
    <w:rsid w:val="000553DF"/>
    <w:rsid w:val="00055789"/>
    <w:rsid w:val="0005622E"/>
    <w:rsid w:val="000605DC"/>
    <w:rsid w:val="00060DA9"/>
    <w:rsid w:val="00064693"/>
    <w:rsid w:val="0006581C"/>
    <w:rsid w:val="000660BA"/>
    <w:rsid w:val="00066EC2"/>
    <w:rsid w:val="00067377"/>
    <w:rsid w:val="000679F8"/>
    <w:rsid w:val="00067DA3"/>
    <w:rsid w:val="00070DE6"/>
    <w:rsid w:val="00070E3A"/>
    <w:rsid w:val="000804EF"/>
    <w:rsid w:val="000821BA"/>
    <w:rsid w:val="000823B9"/>
    <w:rsid w:val="00084B5D"/>
    <w:rsid w:val="0008542A"/>
    <w:rsid w:val="00086BD9"/>
    <w:rsid w:val="00087A2F"/>
    <w:rsid w:val="00087B6F"/>
    <w:rsid w:val="0009491F"/>
    <w:rsid w:val="00096F4F"/>
    <w:rsid w:val="00096F56"/>
    <w:rsid w:val="000A406C"/>
    <w:rsid w:val="000A62D9"/>
    <w:rsid w:val="000A66C6"/>
    <w:rsid w:val="000A70F6"/>
    <w:rsid w:val="000B1AD6"/>
    <w:rsid w:val="000B3FFD"/>
    <w:rsid w:val="000B4B7B"/>
    <w:rsid w:val="000C06EC"/>
    <w:rsid w:val="000C15E2"/>
    <w:rsid w:val="000C288A"/>
    <w:rsid w:val="000C3815"/>
    <w:rsid w:val="000C3913"/>
    <w:rsid w:val="000C4453"/>
    <w:rsid w:val="000D05A8"/>
    <w:rsid w:val="000D0FBB"/>
    <w:rsid w:val="000D23E1"/>
    <w:rsid w:val="000D5DF8"/>
    <w:rsid w:val="000D7D55"/>
    <w:rsid w:val="000E0D4C"/>
    <w:rsid w:val="000E2DE5"/>
    <w:rsid w:val="000E3C08"/>
    <w:rsid w:val="000F128B"/>
    <w:rsid w:val="000F1551"/>
    <w:rsid w:val="000F1912"/>
    <w:rsid w:val="000F27A3"/>
    <w:rsid w:val="000F2894"/>
    <w:rsid w:val="00100085"/>
    <w:rsid w:val="00103284"/>
    <w:rsid w:val="00111B53"/>
    <w:rsid w:val="00111E67"/>
    <w:rsid w:val="00113827"/>
    <w:rsid w:val="001145E0"/>
    <w:rsid w:val="00114D84"/>
    <w:rsid w:val="00116B7B"/>
    <w:rsid w:val="00121A13"/>
    <w:rsid w:val="0012268D"/>
    <w:rsid w:val="0012354D"/>
    <w:rsid w:val="0012426A"/>
    <w:rsid w:val="00126830"/>
    <w:rsid w:val="00130DD0"/>
    <w:rsid w:val="00135983"/>
    <w:rsid w:val="0013718D"/>
    <w:rsid w:val="00137EEF"/>
    <w:rsid w:val="0014045C"/>
    <w:rsid w:val="001409A7"/>
    <w:rsid w:val="00150121"/>
    <w:rsid w:val="0015020B"/>
    <w:rsid w:val="0015369B"/>
    <w:rsid w:val="0015574D"/>
    <w:rsid w:val="001635A9"/>
    <w:rsid w:val="0017115F"/>
    <w:rsid w:val="001724F7"/>
    <w:rsid w:val="001731AC"/>
    <w:rsid w:val="00174176"/>
    <w:rsid w:val="001764BD"/>
    <w:rsid w:val="00176A2B"/>
    <w:rsid w:val="00176EF2"/>
    <w:rsid w:val="00181EBC"/>
    <w:rsid w:val="00181FEF"/>
    <w:rsid w:val="001823C9"/>
    <w:rsid w:val="00185685"/>
    <w:rsid w:val="001910A9"/>
    <w:rsid w:val="001949D0"/>
    <w:rsid w:val="00196928"/>
    <w:rsid w:val="001A211D"/>
    <w:rsid w:val="001A523B"/>
    <w:rsid w:val="001A564A"/>
    <w:rsid w:val="001A6401"/>
    <w:rsid w:val="001C07E1"/>
    <w:rsid w:val="001C1F72"/>
    <w:rsid w:val="001C32EB"/>
    <w:rsid w:val="001D468D"/>
    <w:rsid w:val="001E0301"/>
    <w:rsid w:val="001E2436"/>
    <w:rsid w:val="001E3C0F"/>
    <w:rsid w:val="001E3C7B"/>
    <w:rsid w:val="001E7F56"/>
    <w:rsid w:val="001F3A73"/>
    <w:rsid w:val="001F4095"/>
    <w:rsid w:val="001F5EDB"/>
    <w:rsid w:val="002028A3"/>
    <w:rsid w:val="00204398"/>
    <w:rsid w:val="00205E96"/>
    <w:rsid w:val="0020709A"/>
    <w:rsid w:val="002105DA"/>
    <w:rsid w:val="00210938"/>
    <w:rsid w:val="002129FB"/>
    <w:rsid w:val="002138F8"/>
    <w:rsid w:val="00213EDE"/>
    <w:rsid w:val="00214B43"/>
    <w:rsid w:val="00214C3D"/>
    <w:rsid w:val="00215360"/>
    <w:rsid w:val="002159FC"/>
    <w:rsid w:val="00215C52"/>
    <w:rsid w:val="0022002E"/>
    <w:rsid w:val="00220958"/>
    <w:rsid w:val="00221FB8"/>
    <w:rsid w:val="00222927"/>
    <w:rsid w:val="00223512"/>
    <w:rsid w:val="00223BA8"/>
    <w:rsid w:val="00224F8A"/>
    <w:rsid w:val="00225FDE"/>
    <w:rsid w:val="00226427"/>
    <w:rsid w:val="0022770E"/>
    <w:rsid w:val="0023124E"/>
    <w:rsid w:val="002318F2"/>
    <w:rsid w:val="00232423"/>
    <w:rsid w:val="0023264F"/>
    <w:rsid w:val="002365EE"/>
    <w:rsid w:val="002373CE"/>
    <w:rsid w:val="00237FDF"/>
    <w:rsid w:val="00241463"/>
    <w:rsid w:val="00241DD1"/>
    <w:rsid w:val="002420A7"/>
    <w:rsid w:val="00242391"/>
    <w:rsid w:val="00243654"/>
    <w:rsid w:val="002533CD"/>
    <w:rsid w:val="00255050"/>
    <w:rsid w:val="00255141"/>
    <w:rsid w:val="00257766"/>
    <w:rsid w:val="002605CD"/>
    <w:rsid w:val="00261EE8"/>
    <w:rsid w:val="002642E8"/>
    <w:rsid w:val="0026697E"/>
    <w:rsid w:val="00273018"/>
    <w:rsid w:val="00275929"/>
    <w:rsid w:val="002774F3"/>
    <w:rsid w:val="002775A8"/>
    <w:rsid w:val="00277666"/>
    <w:rsid w:val="00277878"/>
    <w:rsid w:val="00280EE2"/>
    <w:rsid w:val="002829D3"/>
    <w:rsid w:val="00283A9A"/>
    <w:rsid w:val="00283AA7"/>
    <w:rsid w:val="00283CFD"/>
    <w:rsid w:val="00284B27"/>
    <w:rsid w:val="0029069D"/>
    <w:rsid w:val="00293632"/>
    <w:rsid w:val="002A091E"/>
    <w:rsid w:val="002A2B65"/>
    <w:rsid w:val="002A47FD"/>
    <w:rsid w:val="002A4848"/>
    <w:rsid w:val="002A5C4A"/>
    <w:rsid w:val="002A7B2D"/>
    <w:rsid w:val="002B380D"/>
    <w:rsid w:val="002B39E9"/>
    <w:rsid w:val="002B3FFC"/>
    <w:rsid w:val="002B4020"/>
    <w:rsid w:val="002B4367"/>
    <w:rsid w:val="002B5C0B"/>
    <w:rsid w:val="002B6556"/>
    <w:rsid w:val="002B6758"/>
    <w:rsid w:val="002B6C95"/>
    <w:rsid w:val="002B78E9"/>
    <w:rsid w:val="002C0D47"/>
    <w:rsid w:val="002C15F5"/>
    <w:rsid w:val="002C5CBA"/>
    <w:rsid w:val="002C6154"/>
    <w:rsid w:val="002C73E9"/>
    <w:rsid w:val="002D5D77"/>
    <w:rsid w:val="002D659D"/>
    <w:rsid w:val="002D6B0B"/>
    <w:rsid w:val="002E1568"/>
    <w:rsid w:val="002E35F7"/>
    <w:rsid w:val="002E4BA2"/>
    <w:rsid w:val="002E5492"/>
    <w:rsid w:val="002E5C50"/>
    <w:rsid w:val="002E61CF"/>
    <w:rsid w:val="002F1226"/>
    <w:rsid w:val="002F4F52"/>
    <w:rsid w:val="002F546F"/>
    <w:rsid w:val="002F583B"/>
    <w:rsid w:val="002F58D0"/>
    <w:rsid w:val="002F6513"/>
    <w:rsid w:val="00302B8E"/>
    <w:rsid w:val="00304267"/>
    <w:rsid w:val="00305732"/>
    <w:rsid w:val="00305C64"/>
    <w:rsid w:val="00311EA8"/>
    <w:rsid w:val="00312F9E"/>
    <w:rsid w:val="003164B0"/>
    <w:rsid w:val="003170D1"/>
    <w:rsid w:val="00317872"/>
    <w:rsid w:val="00317987"/>
    <w:rsid w:val="00322A09"/>
    <w:rsid w:val="00323309"/>
    <w:rsid w:val="00325833"/>
    <w:rsid w:val="003330C5"/>
    <w:rsid w:val="00334625"/>
    <w:rsid w:val="00334C99"/>
    <w:rsid w:val="0033559E"/>
    <w:rsid w:val="0034129A"/>
    <w:rsid w:val="003412C2"/>
    <w:rsid w:val="00341718"/>
    <w:rsid w:val="0034307C"/>
    <w:rsid w:val="00343ED6"/>
    <w:rsid w:val="00344721"/>
    <w:rsid w:val="00345234"/>
    <w:rsid w:val="00346FCB"/>
    <w:rsid w:val="003500A5"/>
    <w:rsid w:val="00350C3A"/>
    <w:rsid w:val="00351CB3"/>
    <w:rsid w:val="00353977"/>
    <w:rsid w:val="003541EF"/>
    <w:rsid w:val="00355C79"/>
    <w:rsid w:val="00361262"/>
    <w:rsid w:val="00363F3A"/>
    <w:rsid w:val="00366153"/>
    <w:rsid w:val="003679C2"/>
    <w:rsid w:val="00372017"/>
    <w:rsid w:val="00373004"/>
    <w:rsid w:val="00374150"/>
    <w:rsid w:val="0037438E"/>
    <w:rsid w:val="0037499B"/>
    <w:rsid w:val="00375B4E"/>
    <w:rsid w:val="00376685"/>
    <w:rsid w:val="003904B3"/>
    <w:rsid w:val="00390B9F"/>
    <w:rsid w:val="0039329C"/>
    <w:rsid w:val="00393ABF"/>
    <w:rsid w:val="0039516A"/>
    <w:rsid w:val="003965AE"/>
    <w:rsid w:val="00396C1E"/>
    <w:rsid w:val="003A07BC"/>
    <w:rsid w:val="003A7D23"/>
    <w:rsid w:val="003A7F60"/>
    <w:rsid w:val="003B4C6A"/>
    <w:rsid w:val="003B5859"/>
    <w:rsid w:val="003C587C"/>
    <w:rsid w:val="003D3669"/>
    <w:rsid w:val="003D560E"/>
    <w:rsid w:val="003D66C9"/>
    <w:rsid w:val="003D6823"/>
    <w:rsid w:val="003D77EA"/>
    <w:rsid w:val="003D788C"/>
    <w:rsid w:val="003D7EAD"/>
    <w:rsid w:val="003E10EB"/>
    <w:rsid w:val="003E1CE6"/>
    <w:rsid w:val="003E68C4"/>
    <w:rsid w:val="003E6ADA"/>
    <w:rsid w:val="003E6BA7"/>
    <w:rsid w:val="003E7A7B"/>
    <w:rsid w:val="003F0B70"/>
    <w:rsid w:val="003F68A8"/>
    <w:rsid w:val="003F7FCE"/>
    <w:rsid w:val="0040007B"/>
    <w:rsid w:val="00404B86"/>
    <w:rsid w:val="004063AE"/>
    <w:rsid w:val="0040670A"/>
    <w:rsid w:val="00407B62"/>
    <w:rsid w:val="00411370"/>
    <w:rsid w:val="0041371C"/>
    <w:rsid w:val="0041466D"/>
    <w:rsid w:val="004162B0"/>
    <w:rsid w:val="004213EE"/>
    <w:rsid w:val="00424E3A"/>
    <w:rsid w:val="004252E2"/>
    <w:rsid w:val="00425800"/>
    <w:rsid w:val="00426DC4"/>
    <w:rsid w:val="00434666"/>
    <w:rsid w:val="004353C8"/>
    <w:rsid w:val="004357C4"/>
    <w:rsid w:val="004368E3"/>
    <w:rsid w:val="0044547C"/>
    <w:rsid w:val="0045150A"/>
    <w:rsid w:val="00456376"/>
    <w:rsid w:val="00457031"/>
    <w:rsid w:val="004579F1"/>
    <w:rsid w:val="00457A68"/>
    <w:rsid w:val="00466025"/>
    <w:rsid w:val="004660C8"/>
    <w:rsid w:val="0047014C"/>
    <w:rsid w:val="00472E08"/>
    <w:rsid w:val="004755EA"/>
    <w:rsid w:val="00477577"/>
    <w:rsid w:val="0047785E"/>
    <w:rsid w:val="00480BD4"/>
    <w:rsid w:val="004817F9"/>
    <w:rsid w:val="004836A2"/>
    <w:rsid w:val="00483A1C"/>
    <w:rsid w:val="00484663"/>
    <w:rsid w:val="00484F10"/>
    <w:rsid w:val="00486D54"/>
    <w:rsid w:val="00487F15"/>
    <w:rsid w:val="00487F9D"/>
    <w:rsid w:val="0049138B"/>
    <w:rsid w:val="004928C7"/>
    <w:rsid w:val="00497A8C"/>
    <w:rsid w:val="004A0615"/>
    <w:rsid w:val="004A284F"/>
    <w:rsid w:val="004A2C5A"/>
    <w:rsid w:val="004A52D4"/>
    <w:rsid w:val="004A59DD"/>
    <w:rsid w:val="004A63CC"/>
    <w:rsid w:val="004A6677"/>
    <w:rsid w:val="004B0C10"/>
    <w:rsid w:val="004B589D"/>
    <w:rsid w:val="004B7864"/>
    <w:rsid w:val="004C1020"/>
    <w:rsid w:val="004C1C62"/>
    <w:rsid w:val="004D0A26"/>
    <w:rsid w:val="004D4535"/>
    <w:rsid w:val="004D49B6"/>
    <w:rsid w:val="004D4AB0"/>
    <w:rsid w:val="004D576E"/>
    <w:rsid w:val="004E5DBD"/>
    <w:rsid w:val="004E795D"/>
    <w:rsid w:val="004F11D9"/>
    <w:rsid w:val="004F1C4A"/>
    <w:rsid w:val="004F1FD3"/>
    <w:rsid w:val="004F2AA7"/>
    <w:rsid w:val="004F2BE9"/>
    <w:rsid w:val="004F375B"/>
    <w:rsid w:val="004F4A54"/>
    <w:rsid w:val="004F6CD6"/>
    <w:rsid w:val="004F6DE4"/>
    <w:rsid w:val="004F7587"/>
    <w:rsid w:val="004F7DC1"/>
    <w:rsid w:val="00502101"/>
    <w:rsid w:val="0050484E"/>
    <w:rsid w:val="00506047"/>
    <w:rsid w:val="00506D2D"/>
    <w:rsid w:val="005103D1"/>
    <w:rsid w:val="005106D8"/>
    <w:rsid w:val="0051306F"/>
    <w:rsid w:val="005138B5"/>
    <w:rsid w:val="00515670"/>
    <w:rsid w:val="00520367"/>
    <w:rsid w:val="005215E1"/>
    <w:rsid w:val="0052170B"/>
    <w:rsid w:val="005264B5"/>
    <w:rsid w:val="00531572"/>
    <w:rsid w:val="005320E4"/>
    <w:rsid w:val="00532B50"/>
    <w:rsid w:val="005366B2"/>
    <w:rsid w:val="00536B8E"/>
    <w:rsid w:val="005442D6"/>
    <w:rsid w:val="005457D7"/>
    <w:rsid w:val="00545E2D"/>
    <w:rsid w:val="005462B2"/>
    <w:rsid w:val="0054655C"/>
    <w:rsid w:val="00553CA8"/>
    <w:rsid w:val="00554A07"/>
    <w:rsid w:val="00555720"/>
    <w:rsid w:val="00560504"/>
    <w:rsid w:val="005610F8"/>
    <w:rsid w:val="00561CA6"/>
    <w:rsid w:val="00564E97"/>
    <w:rsid w:val="005653C4"/>
    <w:rsid w:val="00566A83"/>
    <w:rsid w:val="005764B9"/>
    <w:rsid w:val="00577B41"/>
    <w:rsid w:val="0058621B"/>
    <w:rsid w:val="00586CE9"/>
    <w:rsid w:val="00591F82"/>
    <w:rsid w:val="00597DCB"/>
    <w:rsid w:val="005A6464"/>
    <w:rsid w:val="005A7392"/>
    <w:rsid w:val="005A74B9"/>
    <w:rsid w:val="005B36BD"/>
    <w:rsid w:val="005B5479"/>
    <w:rsid w:val="005B5867"/>
    <w:rsid w:val="005B695B"/>
    <w:rsid w:val="005B6FE0"/>
    <w:rsid w:val="005C068E"/>
    <w:rsid w:val="005C10F2"/>
    <w:rsid w:val="005C1553"/>
    <w:rsid w:val="005C4682"/>
    <w:rsid w:val="005C55AE"/>
    <w:rsid w:val="005C7879"/>
    <w:rsid w:val="005C78F4"/>
    <w:rsid w:val="005D0AE1"/>
    <w:rsid w:val="005D6C44"/>
    <w:rsid w:val="005E3085"/>
    <w:rsid w:val="005E4EC7"/>
    <w:rsid w:val="005E5433"/>
    <w:rsid w:val="005E5A26"/>
    <w:rsid w:val="005E73C7"/>
    <w:rsid w:val="005F1236"/>
    <w:rsid w:val="005F5D2E"/>
    <w:rsid w:val="005F5D92"/>
    <w:rsid w:val="005F6906"/>
    <w:rsid w:val="005F75BF"/>
    <w:rsid w:val="005F7C2B"/>
    <w:rsid w:val="00600768"/>
    <w:rsid w:val="0060151E"/>
    <w:rsid w:val="0060225F"/>
    <w:rsid w:val="0060398A"/>
    <w:rsid w:val="00603DA7"/>
    <w:rsid w:val="006101CF"/>
    <w:rsid w:val="006170E1"/>
    <w:rsid w:val="00617159"/>
    <w:rsid w:val="00621733"/>
    <w:rsid w:val="00623D84"/>
    <w:rsid w:val="0062438F"/>
    <w:rsid w:val="0062530A"/>
    <w:rsid w:val="00626DEA"/>
    <w:rsid w:val="00631228"/>
    <w:rsid w:val="00634485"/>
    <w:rsid w:val="0063576B"/>
    <w:rsid w:val="006364C2"/>
    <w:rsid w:val="00644269"/>
    <w:rsid w:val="00647E84"/>
    <w:rsid w:val="006526E6"/>
    <w:rsid w:val="00654870"/>
    <w:rsid w:val="00656E21"/>
    <w:rsid w:val="0065730C"/>
    <w:rsid w:val="00663143"/>
    <w:rsid w:val="006634F9"/>
    <w:rsid w:val="006638A1"/>
    <w:rsid w:val="0067588A"/>
    <w:rsid w:val="00676A20"/>
    <w:rsid w:val="00676F9F"/>
    <w:rsid w:val="00677B10"/>
    <w:rsid w:val="0068124D"/>
    <w:rsid w:val="006830FB"/>
    <w:rsid w:val="00683272"/>
    <w:rsid w:val="00685D2F"/>
    <w:rsid w:val="00686935"/>
    <w:rsid w:val="00686A8A"/>
    <w:rsid w:val="00687E13"/>
    <w:rsid w:val="00690914"/>
    <w:rsid w:val="006951DF"/>
    <w:rsid w:val="00695D91"/>
    <w:rsid w:val="006966DA"/>
    <w:rsid w:val="0069784D"/>
    <w:rsid w:val="00697BF4"/>
    <w:rsid w:val="006A1033"/>
    <w:rsid w:val="006A15D8"/>
    <w:rsid w:val="006A1780"/>
    <w:rsid w:val="006A69D4"/>
    <w:rsid w:val="006B08C8"/>
    <w:rsid w:val="006B18CE"/>
    <w:rsid w:val="006B3541"/>
    <w:rsid w:val="006B3C83"/>
    <w:rsid w:val="006B43CF"/>
    <w:rsid w:val="006C0F6B"/>
    <w:rsid w:val="006C15FD"/>
    <w:rsid w:val="006D494B"/>
    <w:rsid w:val="006E0567"/>
    <w:rsid w:val="006E21E9"/>
    <w:rsid w:val="006E23AC"/>
    <w:rsid w:val="006E4E71"/>
    <w:rsid w:val="006E5499"/>
    <w:rsid w:val="006E5F46"/>
    <w:rsid w:val="006E6389"/>
    <w:rsid w:val="006E7D82"/>
    <w:rsid w:val="006F009E"/>
    <w:rsid w:val="006F00F0"/>
    <w:rsid w:val="006F01F8"/>
    <w:rsid w:val="006F05C6"/>
    <w:rsid w:val="006F30F8"/>
    <w:rsid w:val="006F377B"/>
    <w:rsid w:val="006F6799"/>
    <w:rsid w:val="00701613"/>
    <w:rsid w:val="00704419"/>
    <w:rsid w:val="007072A6"/>
    <w:rsid w:val="00711E40"/>
    <w:rsid w:val="00715D7B"/>
    <w:rsid w:val="00721A45"/>
    <w:rsid w:val="00721C05"/>
    <w:rsid w:val="00722E96"/>
    <w:rsid w:val="0072358C"/>
    <w:rsid w:val="00723651"/>
    <w:rsid w:val="00723FB8"/>
    <w:rsid w:val="00724718"/>
    <w:rsid w:val="00727EC8"/>
    <w:rsid w:val="00731C38"/>
    <w:rsid w:val="00734B70"/>
    <w:rsid w:val="00735E7C"/>
    <w:rsid w:val="00736473"/>
    <w:rsid w:val="007368A0"/>
    <w:rsid w:val="00736C06"/>
    <w:rsid w:val="0073706D"/>
    <w:rsid w:val="00743800"/>
    <w:rsid w:val="00746CA0"/>
    <w:rsid w:val="00754F0B"/>
    <w:rsid w:val="00755508"/>
    <w:rsid w:val="00760811"/>
    <w:rsid w:val="0076141F"/>
    <w:rsid w:val="00761573"/>
    <w:rsid w:val="00763C29"/>
    <w:rsid w:val="00764252"/>
    <w:rsid w:val="00764327"/>
    <w:rsid w:val="007670B4"/>
    <w:rsid w:val="00771543"/>
    <w:rsid w:val="0077203A"/>
    <w:rsid w:val="007730D2"/>
    <w:rsid w:val="0077496D"/>
    <w:rsid w:val="00785B60"/>
    <w:rsid w:val="00786FA3"/>
    <w:rsid w:val="007907E7"/>
    <w:rsid w:val="007909AB"/>
    <w:rsid w:val="00795422"/>
    <w:rsid w:val="00797ACB"/>
    <w:rsid w:val="007A18BB"/>
    <w:rsid w:val="007A2B5F"/>
    <w:rsid w:val="007A3D28"/>
    <w:rsid w:val="007A4918"/>
    <w:rsid w:val="007A7712"/>
    <w:rsid w:val="007A7B20"/>
    <w:rsid w:val="007B0449"/>
    <w:rsid w:val="007B1B92"/>
    <w:rsid w:val="007B282D"/>
    <w:rsid w:val="007B584D"/>
    <w:rsid w:val="007B7281"/>
    <w:rsid w:val="007C0D0C"/>
    <w:rsid w:val="007C12D4"/>
    <w:rsid w:val="007C1CC4"/>
    <w:rsid w:val="007C3045"/>
    <w:rsid w:val="007C7783"/>
    <w:rsid w:val="007C7994"/>
    <w:rsid w:val="007D1D57"/>
    <w:rsid w:val="007D6C06"/>
    <w:rsid w:val="007D77B9"/>
    <w:rsid w:val="007E0136"/>
    <w:rsid w:val="007E045F"/>
    <w:rsid w:val="007E11A5"/>
    <w:rsid w:val="007E27E3"/>
    <w:rsid w:val="007E4D6A"/>
    <w:rsid w:val="007E5791"/>
    <w:rsid w:val="007E7088"/>
    <w:rsid w:val="007E7CEB"/>
    <w:rsid w:val="007F09A2"/>
    <w:rsid w:val="007F1F39"/>
    <w:rsid w:val="007F528B"/>
    <w:rsid w:val="007F6B87"/>
    <w:rsid w:val="007F71D0"/>
    <w:rsid w:val="007F7861"/>
    <w:rsid w:val="00801FF7"/>
    <w:rsid w:val="0080388A"/>
    <w:rsid w:val="00803D96"/>
    <w:rsid w:val="0080415E"/>
    <w:rsid w:val="0080558F"/>
    <w:rsid w:val="0081036D"/>
    <w:rsid w:val="00810B7D"/>
    <w:rsid w:val="00810BB2"/>
    <w:rsid w:val="00811492"/>
    <w:rsid w:val="0081629D"/>
    <w:rsid w:val="0082523D"/>
    <w:rsid w:val="00825EB2"/>
    <w:rsid w:val="0082612C"/>
    <w:rsid w:val="008266B9"/>
    <w:rsid w:val="008301CF"/>
    <w:rsid w:val="0083040F"/>
    <w:rsid w:val="008331EF"/>
    <w:rsid w:val="008332F3"/>
    <w:rsid w:val="00833E81"/>
    <w:rsid w:val="00833FBD"/>
    <w:rsid w:val="00834B0E"/>
    <w:rsid w:val="00840571"/>
    <w:rsid w:val="00840665"/>
    <w:rsid w:val="008432EE"/>
    <w:rsid w:val="008433C4"/>
    <w:rsid w:val="00845368"/>
    <w:rsid w:val="00845AFC"/>
    <w:rsid w:val="00845D5D"/>
    <w:rsid w:val="008505C9"/>
    <w:rsid w:val="008556C7"/>
    <w:rsid w:val="00855B50"/>
    <w:rsid w:val="00860343"/>
    <w:rsid w:val="00860AD2"/>
    <w:rsid w:val="00862F0E"/>
    <w:rsid w:val="008659CE"/>
    <w:rsid w:val="00867A63"/>
    <w:rsid w:val="008718F3"/>
    <w:rsid w:val="00873A70"/>
    <w:rsid w:val="00875A34"/>
    <w:rsid w:val="00880CEA"/>
    <w:rsid w:val="008822F0"/>
    <w:rsid w:val="0088511E"/>
    <w:rsid w:val="008900BC"/>
    <w:rsid w:val="00891775"/>
    <w:rsid w:val="00892AFC"/>
    <w:rsid w:val="00893080"/>
    <w:rsid w:val="008960BB"/>
    <w:rsid w:val="00896334"/>
    <w:rsid w:val="00896887"/>
    <w:rsid w:val="008A0D1F"/>
    <w:rsid w:val="008A1537"/>
    <w:rsid w:val="008A1C25"/>
    <w:rsid w:val="008A3400"/>
    <w:rsid w:val="008A5044"/>
    <w:rsid w:val="008A6036"/>
    <w:rsid w:val="008B06F5"/>
    <w:rsid w:val="008B4366"/>
    <w:rsid w:val="008B459E"/>
    <w:rsid w:val="008B488C"/>
    <w:rsid w:val="008B63C3"/>
    <w:rsid w:val="008B6FBC"/>
    <w:rsid w:val="008C0B1E"/>
    <w:rsid w:val="008C2E3A"/>
    <w:rsid w:val="008C3674"/>
    <w:rsid w:val="008C66DA"/>
    <w:rsid w:val="008C7739"/>
    <w:rsid w:val="008D0197"/>
    <w:rsid w:val="008D1526"/>
    <w:rsid w:val="008D40F7"/>
    <w:rsid w:val="008D59A3"/>
    <w:rsid w:val="008E20E3"/>
    <w:rsid w:val="008E2132"/>
    <w:rsid w:val="008E4E68"/>
    <w:rsid w:val="008E64B7"/>
    <w:rsid w:val="008E6E67"/>
    <w:rsid w:val="008E6E98"/>
    <w:rsid w:val="008F0B17"/>
    <w:rsid w:val="008F1B75"/>
    <w:rsid w:val="008F57F9"/>
    <w:rsid w:val="008F6437"/>
    <w:rsid w:val="00900DFA"/>
    <w:rsid w:val="00901159"/>
    <w:rsid w:val="0090362C"/>
    <w:rsid w:val="00904199"/>
    <w:rsid w:val="009042FC"/>
    <w:rsid w:val="00904ED9"/>
    <w:rsid w:val="00905247"/>
    <w:rsid w:val="009079C4"/>
    <w:rsid w:val="009079DC"/>
    <w:rsid w:val="009121CF"/>
    <w:rsid w:val="0091273B"/>
    <w:rsid w:val="00912D93"/>
    <w:rsid w:val="00914F3A"/>
    <w:rsid w:val="0092306A"/>
    <w:rsid w:val="00924451"/>
    <w:rsid w:val="00924461"/>
    <w:rsid w:val="009251B9"/>
    <w:rsid w:val="00925836"/>
    <w:rsid w:val="009263CA"/>
    <w:rsid w:val="00926647"/>
    <w:rsid w:val="009316A3"/>
    <w:rsid w:val="009323D4"/>
    <w:rsid w:val="00932904"/>
    <w:rsid w:val="00934A27"/>
    <w:rsid w:val="00935A0D"/>
    <w:rsid w:val="00937A4D"/>
    <w:rsid w:val="00940311"/>
    <w:rsid w:val="0094116E"/>
    <w:rsid w:val="009413B1"/>
    <w:rsid w:val="00942AF2"/>
    <w:rsid w:val="00942EE5"/>
    <w:rsid w:val="00944CA2"/>
    <w:rsid w:val="00947736"/>
    <w:rsid w:val="00951450"/>
    <w:rsid w:val="00951A45"/>
    <w:rsid w:val="00961C68"/>
    <w:rsid w:val="00971658"/>
    <w:rsid w:val="00971BD9"/>
    <w:rsid w:val="009730C5"/>
    <w:rsid w:val="00973896"/>
    <w:rsid w:val="00975EB9"/>
    <w:rsid w:val="00976DA1"/>
    <w:rsid w:val="009837D3"/>
    <w:rsid w:val="009838AF"/>
    <w:rsid w:val="00984078"/>
    <w:rsid w:val="00984615"/>
    <w:rsid w:val="00986711"/>
    <w:rsid w:val="009879C0"/>
    <w:rsid w:val="00987C1B"/>
    <w:rsid w:val="00990BCF"/>
    <w:rsid w:val="00991BC6"/>
    <w:rsid w:val="009952A4"/>
    <w:rsid w:val="009961B4"/>
    <w:rsid w:val="00996CC5"/>
    <w:rsid w:val="00997258"/>
    <w:rsid w:val="009A1810"/>
    <w:rsid w:val="009A23A6"/>
    <w:rsid w:val="009A2F11"/>
    <w:rsid w:val="009A646C"/>
    <w:rsid w:val="009A7B5A"/>
    <w:rsid w:val="009B1592"/>
    <w:rsid w:val="009B1B4F"/>
    <w:rsid w:val="009B21C8"/>
    <w:rsid w:val="009B5258"/>
    <w:rsid w:val="009B5C0F"/>
    <w:rsid w:val="009B5D9D"/>
    <w:rsid w:val="009C02B7"/>
    <w:rsid w:val="009C02EB"/>
    <w:rsid w:val="009C03F5"/>
    <w:rsid w:val="009C2616"/>
    <w:rsid w:val="009C44FE"/>
    <w:rsid w:val="009C4AB8"/>
    <w:rsid w:val="009C635B"/>
    <w:rsid w:val="009C7500"/>
    <w:rsid w:val="009D2C3E"/>
    <w:rsid w:val="009D4854"/>
    <w:rsid w:val="009D4E4B"/>
    <w:rsid w:val="009D55F7"/>
    <w:rsid w:val="009D7109"/>
    <w:rsid w:val="009E0BD8"/>
    <w:rsid w:val="009E5A7D"/>
    <w:rsid w:val="009E7D87"/>
    <w:rsid w:val="009F1363"/>
    <w:rsid w:val="009F3A94"/>
    <w:rsid w:val="009F459A"/>
    <w:rsid w:val="009F7CD6"/>
    <w:rsid w:val="00A0109D"/>
    <w:rsid w:val="00A03C08"/>
    <w:rsid w:val="00A0600E"/>
    <w:rsid w:val="00A06445"/>
    <w:rsid w:val="00A07EBA"/>
    <w:rsid w:val="00A114AA"/>
    <w:rsid w:val="00A12C94"/>
    <w:rsid w:val="00A13C93"/>
    <w:rsid w:val="00A17788"/>
    <w:rsid w:val="00A17B8D"/>
    <w:rsid w:val="00A20319"/>
    <w:rsid w:val="00A21121"/>
    <w:rsid w:val="00A22828"/>
    <w:rsid w:val="00A229B4"/>
    <w:rsid w:val="00A34CB7"/>
    <w:rsid w:val="00A36876"/>
    <w:rsid w:val="00A41A76"/>
    <w:rsid w:val="00A44ECA"/>
    <w:rsid w:val="00A55DA6"/>
    <w:rsid w:val="00A57155"/>
    <w:rsid w:val="00A60EB7"/>
    <w:rsid w:val="00A64716"/>
    <w:rsid w:val="00A66202"/>
    <w:rsid w:val="00A70C2A"/>
    <w:rsid w:val="00A711BD"/>
    <w:rsid w:val="00A726E7"/>
    <w:rsid w:val="00A74766"/>
    <w:rsid w:val="00A76798"/>
    <w:rsid w:val="00A77719"/>
    <w:rsid w:val="00A80FAC"/>
    <w:rsid w:val="00A81140"/>
    <w:rsid w:val="00A8620C"/>
    <w:rsid w:val="00A8729B"/>
    <w:rsid w:val="00A87E6F"/>
    <w:rsid w:val="00A87F94"/>
    <w:rsid w:val="00A909B9"/>
    <w:rsid w:val="00A91D61"/>
    <w:rsid w:val="00A91F41"/>
    <w:rsid w:val="00A93331"/>
    <w:rsid w:val="00A939F1"/>
    <w:rsid w:val="00A9446C"/>
    <w:rsid w:val="00A978C1"/>
    <w:rsid w:val="00AA078B"/>
    <w:rsid w:val="00AA2543"/>
    <w:rsid w:val="00AA2ECB"/>
    <w:rsid w:val="00AA544A"/>
    <w:rsid w:val="00AA6AE1"/>
    <w:rsid w:val="00AA6B72"/>
    <w:rsid w:val="00AB1CB2"/>
    <w:rsid w:val="00AB3A1F"/>
    <w:rsid w:val="00AB3ABF"/>
    <w:rsid w:val="00AB6258"/>
    <w:rsid w:val="00AC3CF9"/>
    <w:rsid w:val="00AC655D"/>
    <w:rsid w:val="00AC73A3"/>
    <w:rsid w:val="00AD172C"/>
    <w:rsid w:val="00AD3372"/>
    <w:rsid w:val="00AD60C5"/>
    <w:rsid w:val="00AD6ECC"/>
    <w:rsid w:val="00AE2380"/>
    <w:rsid w:val="00AE2B68"/>
    <w:rsid w:val="00AE49D8"/>
    <w:rsid w:val="00AE600C"/>
    <w:rsid w:val="00AF03F7"/>
    <w:rsid w:val="00AF0A24"/>
    <w:rsid w:val="00AF12D4"/>
    <w:rsid w:val="00AF15C7"/>
    <w:rsid w:val="00AF1BDB"/>
    <w:rsid w:val="00AF2212"/>
    <w:rsid w:val="00AF247E"/>
    <w:rsid w:val="00AF736E"/>
    <w:rsid w:val="00B0036A"/>
    <w:rsid w:val="00B0115D"/>
    <w:rsid w:val="00B01C83"/>
    <w:rsid w:val="00B0356B"/>
    <w:rsid w:val="00B05920"/>
    <w:rsid w:val="00B10826"/>
    <w:rsid w:val="00B10CD5"/>
    <w:rsid w:val="00B12F18"/>
    <w:rsid w:val="00B132B4"/>
    <w:rsid w:val="00B2395D"/>
    <w:rsid w:val="00B32540"/>
    <w:rsid w:val="00B33A3B"/>
    <w:rsid w:val="00B41457"/>
    <w:rsid w:val="00B419B1"/>
    <w:rsid w:val="00B44C5B"/>
    <w:rsid w:val="00B44E49"/>
    <w:rsid w:val="00B45FDA"/>
    <w:rsid w:val="00B4631A"/>
    <w:rsid w:val="00B52835"/>
    <w:rsid w:val="00B54AAC"/>
    <w:rsid w:val="00B54DA0"/>
    <w:rsid w:val="00B573A5"/>
    <w:rsid w:val="00B62C56"/>
    <w:rsid w:val="00B63035"/>
    <w:rsid w:val="00B63E00"/>
    <w:rsid w:val="00B66243"/>
    <w:rsid w:val="00B66292"/>
    <w:rsid w:val="00B75FCC"/>
    <w:rsid w:val="00B818D6"/>
    <w:rsid w:val="00B81B6F"/>
    <w:rsid w:val="00B91B25"/>
    <w:rsid w:val="00B941E0"/>
    <w:rsid w:val="00B94ECC"/>
    <w:rsid w:val="00B967A9"/>
    <w:rsid w:val="00BA376A"/>
    <w:rsid w:val="00BA4680"/>
    <w:rsid w:val="00BA4DE4"/>
    <w:rsid w:val="00BA6812"/>
    <w:rsid w:val="00BA6FA3"/>
    <w:rsid w:val="00BB2F04"/>
    <w:rsid w:val="00BB7434"/>
    <w:rsid w:val="00BC0588"/>
    <w:rsid w:val="00BC3B3A"/>
    <w:rsid w:val="00BC53C8"/>
    <w:rsid w:val="00BC7951"/>
    <w:rsid w:val="00BD410A"/>
    <w:rsid w:val="00BD441C"/>
    <w:rsid w:val="00BD4A22"/>
    <w:rsid w:val="00BD5234"/>
    <w:rsid w:val="00BD7483"/>
    <w:rsid w:val="00BD77B8"/>
    <w:rsid w:val="00BE207E"/>
    <w:rsid w:val="00BE3612"/>
    <w:rsid w:val="00BE3B71"/>
    <w:rsid w:val="00BE540E"/>
    <w:rsid w:val="00BF0C44"/>
    <w:rsid w:val="00BF2A03"/>
    <w:rsid w:val="00BF370A"/>
    <w:rsid w:val="00BF38B2"/>
    <w:rsid w:val="00BF3F78"/>
    <w:rsid w:val="00BF4AAD"/>
    <w:rsid w:val="00BF61FC"/>
    <w:rsid w:val="00BF7B9A"/>
    <w:rsid w:val="00BF7DA6"/>
    <w:rsid w:val="00C0163B"/>
    <w:rsid w:val="00C024B4"/>
    <w:rsid w:val="00C13D6C"/>
    <w:rsid w:val="00C14928"/>
    <w:rsid w:val="00C14999"/>
    <w:rsid w:val="00C16D19"/>
    <w:rsid w:val="00C17C5E"/>
    <w:rsid w:val="00C208B6"/>
    <w:rsid w:val="00C20B89"/>
    <w:rsid w:val="00C23332"/>
    <w:rsid w:val="00C240DC"/>
    <w:rsid w:val="00C257DD"/>
    <w:rsid w:val="00C26AEC"/>
    <w:rsid w:val="00C272B7"/>
    <w:rsid w:val="00C33490"/>
    <w:rsid w:val="00C403CA"/>
    <w:rsid w:val="00C40E73"/>
    <w:rsid w:val="00C44DF6"/>
    <w:rsid w:val="00C47D1B"/>
    <w:rsid w:val="00C503FF"/>
    <w:rsid w:val="00C53902"/>
    <w:rsid w:val="00C542A5"/>
    <w:rsid w:val="00C5500B"/>
    <w:rsid w:val="00C56A1D"/>
    <w:rsid w:val="00C60714"/>
    <w:rsid w:val="00C60D1F"/>
    <w:rsid w:val="00C61143"/>
    <w:rsid w:val="00C61381"/>
    <w:rsid w:val="00C653E1"/>
    <w:rsid w:val="00C657AA"/>
    <w:rsid w:val="00C74550"/>
    <w:rsid w:val="00C75600"/>
    <w:rsid w:val="00C77DD3"/>
    <w:rsid w:val="00C80956"/>
    <w:rsid w:val="00C80F8C"/>
    <w:rsid w:val="00C8128F"/>
    <w:rsid w:val="00C818DB"/>
    <w:rsid w:val="00C841D9"/>
    <w:rsid w:val="00C85E26"/>
    <w:rsid w:val="00C87203"/>
    <w:rsid w:val="00C8734B"/>
    <w:rsid w:val="00C944F9"/>
    <w:rsid w:val="00C94EA7"/>
    <w:rsid w:val="00CA1645"/>
    <w:rsid w:val="00CA172F"/>
    <w:rsid w:val="00CA24B4"/>
    <w:rsid w:val="00CA4BED"/>
    <w:rsid w:val="00CA4E9B"/>
    <w:rsid w:val="00CA5FA7"/>
    <w:rsid w:val="00CA6914"/>
    <w:rsid w:val="00CA71D7"/>
    <w:rsid w:val="00CB4725"/>
    <w:rsid w:val="00CB48AF"/>
    <w:rsid w:val="00CC08A9"/>
    <w:rsid w:val="00CC0977"/>
    <w:rsid w:val="00CC4293"/>
    <w:rsid w:val="00CC6278"/>
    <w:rsid w:val="00CD0312"/>
    <w:rsid w:val="00CD472A"/>
    <w:rsid w:val="00CE3657"/>
    <w:rsid w:val="00CE7F4A"/>
    <w:rsid w:val="00CF0100"/>
    <w:rsid w:val="00CF44F2"/>
    <w:rsid w:val="00CF5360"/>
    <w:rsid w:val="00CF555B"/>
    <w:rsid w:val="00CF623E"/>
    <w:rsid w:val="00D004B1"/>
    <w:rsid w:val="00D00629"/>
    <w:rsid w:val="00D0143F"/>
    <w:rsid w:val="00D01B2A"/>
    <w:rsid w:val="00D04D8B"/>
    <w:rsid w:val="00D068E5"/>
    <w:rsid w:val="00D07FBE"/>
    <w:rsid w:val="00D129B8"/>
    <w:rsid w:val="00D13DB5"/>
    <w:rsid w:val="00D1421D"/>
    <w:rsid w:val="00D156F5"/>
    <w:rsid w:val="00D17E59"/>
    <w:rsid w:val="00D21F8C"/>
    <w:rsid w:val="00D262BB"/>
    <w:rsid w:val="00D27239"/>
    <w:rsid w:val="00D279D5"/>
    <w:rsid w:val="00D27A6E"/>
    <w:rsid w:val="00D27DE6"/>
    <w:rsid w:val="00D30134"/>
    <w:rsid w:val="00D335D0"/>
    <w:rsid w:val="00D349FB"/>
    <w:rsid w:val="00D372EC"/>
    <w:rsid w:val="00D37816"/>
    <w:rsid w:val="00D42905"/>
    <w:rsid w:val="00D44C5C"/>
    <w:rsid w:val="00D44D22"/>
    <w:rsid w:val="00D45A6B"/>
    <w:rsid w:val="00D45CBD"/>
    <w:rsid w:val="00D4642F"/>
    <w:rsid w:val="00D47566"/>
    <w:rsid w:val="00D47D0C"/>
    <w:rsid w:val="00D54E7A"/>
    <w:rsid w:val="00D56842"/>
    <w:rsid w:val="00D62018"/>
    <w:rsid w:val="00D625BC"/>
    <w:rsid w:val="00D63459"/>
    <w:rsid w:val="00D65352"/>
    <w:rsid w:val="00D673D5"/>
    <w:rsid w:val="00D7036B"/>
    <w:rsid w:val="00D71FB6"/>
    <w:rsid w:val="00D73A56"/>
    <w:rsid w:val="00D766D9"/>
    <w:rsid w:val="00D766F2"/>
    <w:rsid w:val="00D823C6"/>
    <w:rsid w:val="00D8246A"/>
    <w:rsid w:val="00D829B9"/>
    <w:rsid w:val="00D918D4"/>
    <w:rsid w:val="00D93F72"/>
    <w:rsid w:val="00D94CF7"/>
    <w:rsid w:val="00D9525C"/>
    <w:rsid w:val="00DA2187"/>
    <w:rsid w:val="00DB01A1"/>
    <w:rsid w:val="00DB32C4"/>
    <w:rsid w:val="00DB500B"/>
    <w:rsid w:val="00DB7309"/>
    <w:rsid w:val="00DB7D54"/>
    <w:rsid w:val="00DC1E0E"/>
    <w:rsid w:val="00DC2F18"/>
    <w:rsid w:val="00DC46A7"/>
    <w:rsid w:val="00DC4CB4"/>
    <w:rsid w:val="00DD36DC"/>
    <w:rsid w:val="00DD3BAC"/>
    <w:rsid w:val="00DD3E68"/>
    <w:rsid w:val="00DD43B7"/>
    <w:rsid w:val="00DD60B9"/>
    <w:rsid w:val="00DD6120"/>
    <w:rsid w:val="00DD7119"/>
    <w:rsid w:val="00DD7F73"/>
    <w:rsid w:val="00DE0BC1"/>
    <w:rsid w:val="00DE13A6"/>
    <w:rsid w:val="00DE4EE6"/>
    <w:rsid w:val="00DE5262"/>
    <w:rsid w:val="00DE5807"/>
    <w:rsid w:val="00DE7D42"/>
    <w:rsid w:val="00DF0DBB"/>
    <w:rsid w:val="00DF1EDA"/>
    <w:rsid w:val="00DF204A"/>
    <w:rsid w:val="00DF2EE7"/>
    <w:rsid w:val="00E019B9"/>
    <w:rsid w:val="00E01A8B"/>
    <w:rsid w:val="00E029F0"/>
    <w:rsid w:val="00E0421F"/>
    <w:rsid w:val="00E1232F"/>
    <w:rsid w:val="00E130D3"/>
    <w:rsid w:val="00E17223"/>
    <w:rsid w:val="00E21836"/>
    <w:rsid w:val="00E218FD"/>
    <w:rsid w:val="00E22A00"/>
    <w:rsid w:val="00E24032"/>
    <w:rsid w:val="00E27C19"/>
    <w:rsid w:val="00E27CED"/>
    <w:rsid w:val="00E32977"/>
    <w:rsid w:val="00E37CCA"/>
    <w:rsid w:val="00E41E3C"/>
    <w:rsid w:val="00E43B93"/>
    <w:rsid w:val="00E44D06"/>
    <w:rsid w:val="00E45246"/>
    <w:rsid w:val="00E4569E"/>
    <w:rsid w:val="00E51E3E"/>
    <w:rsid w:val="00E51F48"/>
    <w:rsid w:val="00E520E0"/>
    <w:rsid w:val="00E538EE"/>
    <w:rsid w:val="00E61533"/>
    <w:rsid w:val="00E616BB"/>
    <w:rsid w:val="00E62C83"/>
    <w:rsid w:val="00E64FC8"/>
    <w:rsid w:val="00E65F50"/>
    <w:rsid w:val="00E7083D"/>
    <w:rsid w:val="00E74ADC"/>
    <w:rsid w:val="00E75BD1"/>
    <w:rsid w:val="00E8094D"/>
    <w:rsid w:val="00E84D0C"/>
    <w:rsid w:val="00E855EB"/>
    <w:rsid w:val="00E861E4"/>
    <w:rsid w:val="00E86E4F"/>
    <w:rsid w:val="00E91E1D"/>
    <w:rsid w:val="00E91EC5"/>
    <w:rsid w:val="00E95ACA"/>
    <w:rsid w:val="00E96B25"/>
    <w:rsid w:val="00E97D4C"/>
    <w:rsid w:val="00EA127D"/>
    <w:rsid w:val="00EA36D3"/>
    <w:rsid w:val="00EA42B0"/>
    <w:rsid w:val="00EA47B0"/>
    <w:rsid w:val="00EA5E51"/>
    <w:rsid w:val="00EA67A9"/>
    <w:rsid w:val="00EB2C90"/>
    <w:rsid w:val="00EB49E8"/>
    <w:rsid w:val="00EB4E95"/>
    <w:rsid w:val="00EB6513"/>
    <w:rsid w:val="00EB70B4"/>
    <w:rsid w:val="00EB71E4"/>
    <w:rsid w:val="00EC0064"/>
    <w:rsid w:val="00EC02AA"/>
    <w:rsid w:val="00EC1A67"/>
    <w:rsid w:val="00EC5842"/>
    <w:rsid w:val="00EC61EA"/>
    <w:rsid w:val="00EC69F7"/>
    <w:rsid w:val="00ED0428"/>
    <w:rsid w:val="00ED456A"/>
    <w:rsid w:val="00ED63B2"/>
    <w:rsid w:val="00EE234C"/>
    <w:rsid w:val="00EE3F2B"/>
    <w:rsid w:val="00EF12FD"/>
    <w:rsid w:val="00EF1BB0"/>
    <w:rsid w:val="00EF35A8"/>
    <w:rsid w:val="00EF4435"/>
    <w:rsid w:val="00EF7A7F"/>
    <w:rsid w:val="00F0086D"/>
    <w:rsid w:val="00F03889"/>
    <w:rsid w:val="00F04354"/>
    <w:rsid w:val="00F078A6"/>
    <w:rsid w:val="00F15A20"/>
    <w:rsid w:val="00F16F9E"/>
    <w:rsid w:val="00F20C33"/>
    <w:rsid w:val="00F212D2"/>
    <w:rsid w:val="00F21F38"/>
    <w:rsid w:val="00F22C03"/>
    <w:rsid w:val="00F22D69"/>
    <w:rsid w:val="00F238A4"/>
    <w:rsid w:val="00F25E0B"/>
    <w:rsid w:val="00F2719D"/>
    <w:rsid w:val="00F27FE0"/>
    <w:rsid w:val="00F300A4"/>
    <w:rsid w:val="00F30368"/>
    <w:rsid w:val="00F31344"/>
    <w:rsid w:val="00F318C9"/>
    <w:rsid w:val="00F320F9"/>
    <w:rsid w:val="00F416F1"/>
    <w:rsid w:val="00F42056"/>
    <w:rsid w:val="00F448AA"/>
    <w:rsid w:val="00F462C7"/>
    <w:rsid w:val="00F565D7"/>
    <w:rsid w:val="00F56B8D"/>
    <w:rsid w:val="00F56F30"/>
    <w:rsid w:val="00F60655"/>
    <w:rsid w:val="00F61E7C"/>
    <w:rsid w:val="00F630CE"/>
    <w:rsid w:val="00F64D76"/>
    <w:rsid w:val="00F64E1E"/>
    <w:rsid w:val="00F65120"/>
    <w:rsid w:val="00F654BB"/>
    <w:rsid w:val="00F7121A"/>
    <w:rsid w:val="00F7194C"/>
    <w:rsid w:val="00F731E0"/>
    <w:rsid w:val="00F771AB"/>
    <w:rsid w:val="00F7750F"/>
    <w:rsid w:val="00F81AF2"/>
    <w:rsid w:val="00F81FBD"/>
    <w:rsid w:val="00F83397"/>
    <w:rsid w:val="00F8646B"/>
    <w:rsid w:val="00F87384"/>
    <w:rsid w:val="00F90239"/>
    <w:rsid w:val="00F910A7"/>
    <w:rsid w:val="00F91CEB"/>
    <w:rsid w:val="00FA362E"/>
    <w:rsid w:val="00FA62D8"/>
    <w:rsid w:val="00FA69FB"/>
    <w:rsid w:val="00FA7D29"/>
    <w:rsid w:val="00FB3029"/>
    <w:rsid w:val="00FB3B77"/>
    <w:rsid w:val="00FB4712"/>
    <w:rsid w:val="00FB47F6"/>
    <w:rsid w:val="00FB48D6"/>
    <w:rsid w:val="00FB6933"/>
    <w:rsid w:val="00FB7797"/>
    <w:rsid w:val="00FC10CB"/>
    <w:rsid w:val="00FC19E9"/>
    <w:rsid w:val="00FC29DA"/>
    <w:rsid w:val="00FC74D3"/>
    <w:rsid w:val="00FD38B8"/>
    <w:rsid w:val="00FD5E90"/>
    <w:rsid w:val="00FD7CED"/>
    <w:rsid w:val="00FE0438"/>
    <w:rsid w:val="00FE04C0"/>
    <w:rsid w:val="00FE0F52"/>
    <w:rsid w:val="00FE576C"/>
    <w:rsid w:val="00FE78FB"/>
    <w:rsid w:val="00FF1505"/>
    <w:rsid w:val="00FF2434"/>
    <w:rsid w:val="00FF264D"/>
    <w:rsid w:val="00FF4F37"/>
    <w:rsid w:val="00FF505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55FB995-C07F-4C70-86B8-F5ED1857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customStyle="1" w:styleId="j">
    <w:name w:val="j"/>
    <w:basedOn w:val="Normal"/>
    <w:rsid w:val="00E24032"/>
    <w:pPr>
      <w:spacing w:before="100" w:beforeAutospacing="1" w:after="100" w:afterAutospacing="1"/>
    </w:pPr>
    <w:rPr>
      <w:lang w:val="es-MX" w:eastAsia="es-MX"/>
    </w:rPr>
  </w:style>
  <w:style w:type="character" w:customStyle="1" w:styleId="nacep">
    <w:name w:val="n_acep"/>
    <w:basedOn w:val="Fuentedeprrafopredeter"/>
    <w:rsid w:val="00E24032"/>
  </w:style>
  <w:style w:type="character" w:customStyle="1" w:styleId="SinespaciadoCar">
    <w:name w:val="Sin espaciado Car"/>
    <w:aliases w:val="Francesa Car"/>
    <w:link w:val="Sinespaciado"/>
    <w:uiPriority w:val="1"/>
    <w:locked/>
    <w:rsid w:val="00BA6FA3"/>
  </w:style>
  <w:style w:type="paragraph" w:styleId="Sinespaciado">
    <w:name w:val="No Spacing"/>
    <w:aliases w:val="Francesa"/>
    <w:link w:val="SinespaciadoCar"/>
    <w:uiPriority w:val="1"/>
    <w:qFormat/>
    <w:rsid w:val="00BA6FA3"/>
  </w:style>
  <w:style w:type="character" w:styleId="Textoennegrita">
    <w:name w:val="Strong"/>
    <w:basedOn w:val="Fuentedeprrafopredeter"/>
    <w:uiPriority w:val="22"/>
    <w:qFormat/>
    <w:rsid w:val="00BA6FA3"/>
    <w:rPr>
      <w:b/>
      <w:bCs/>
    </w:rPr>
  </w:style>
  <w:style w:type="character" w:customStyle="1" w:styleId="m-5890655947528156101gmail-msofootnotereference">
    <w:name w:val="m_-5890655947528156101gmail-msofootnotereference"/>
    <w:basedOn w:val="Fuentedeprrafopredeter"/>
    <w:rsid w:val="00E7083D"/>
  </w:style>
  <w:style w:type="paragraph" w:customStyle="1" w:styleId="m-5890655947528156101gmail-msofootnotetext">
    <w:name w:val="m_-5890655947528156101gmail-msofootnotetext"/>
    <w:basedOn w:val="Normal"/>
    <w:rsid w:val="00E7083D"/>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366153"/>
    <w:pPr>
      <w:autoSpaceDE w:val="0"/>
      <w:autoSpaceDN w:val="0"/>
      <w:adjustRightInd w:val="0"/>
      <w:ind w:left="40"/>
    </w:pPr>
    <w:rPr>
      <w:rFonts w:ascii="Tahoma" w:eastAsiaTheme="minorEastAsia" w:hAnsi="Tahoma" w:cs="Tahoma"/>
      <w:sz w:val="20"/>
      <w:szCs w:val="20"/>
      <w:lang w:val="es-MX"/>
    </w:rPr>
  </w:style>
  <w:style w:type="character" w:customStyle="1" w:styleId="TextoindependienteCar">
    <w:name w:val="Texto independiente Car"/>
    <w:basedOn w:val="Fuentedeprrafopredeter"/>
    <w:link w:val="Textoindependiente"/>
    <w:uiPriority w:val="1"/>
    <w:rsid w:val="00366153"/>
    <w:rPr>
      <w:rFonts w:ascii="Tahoma" w:hAnsi="Tahoma" w:cs="Tahoma"/>
      <w:sz w:val="20"/>
      <w:szCs w:val="20"/>
      <w:lang w:val="es-MX"/>
    </w:rPr>
  </w:style>
  <w:style w:type="character" w:customStyle="1" w:styleId="apple-style-span">
    <w:name w:val="apple-style-span"/>
    <w:rsid w:val="00C0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5378431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442990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189034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92661789">
      <w:bodyDiv w:val="1"/>
      <w:marLeft w:val="0"/>
      <w:marRight w:val="0"/>
      <w:marTop w:val="0"/>
      <w:marBottom w:val="0"/>
      <w:divBdr>
        <w:top w:val="none" w:sz="0" w:space="0" w:color="auto"/>
        <w:left w:val="none" w:sz="0" w:space="0" w:color="auto"/>
        <w:bottom w:val="none" w:sz="0" w:space="0" w:color="auto"/>
        <w:right w:val="none" w:sz="0" w:space="0" w:color="auto"/>
      </w:divBdr>
    </w:div>
    <w:div w:id="605117629">
      <w:bodyDiv w:val="1"/>
      <w:marLeft w:val="0"/>
      <w:marRight w:val="0"/>
      <w:marTop w:val="0"/>
      <w:marBottom w:val="0"/>
      <w:divBdr>
        <w:top w:val="none" w:sz="0" w:space="0" w:color="auto"/>
        <w:left w:val="none" w:sz="0" w:space="0" w:color="auto"/>
        <w:bottom w:val="none" w:sz="0" w:space="0" w:color="auto"/>
        <w:right w:val="none" w:sz="0" w:space="0" w:color="auto"/>
      </w:divBdr>
    </w:div>
    <w:div w:id="624581479">
      <w:bodyDiv w:val="1"/>
      <w:marLeft w:val="0"/>
      <w:marRight w:val="0"/>
      <w:marTop w:val="0"/>
      <w:marBottom w:val="0"/>
      <w:divBdr>
        <w:top w:val="none" w:sz="0" w:space="0" w:color="auto"/>
        <w:left w:val="none" w:sz="0" w:space="0" w:color="auto"/>
        <w:bottom w:val="none" w:sz="0" w:space="0" w:color="auto"/>
        <w:right w:val="none" w:sz="0" w:space="0" w:color="auto"/>
      </w:divBdr>
    </w:div>
    <w:div w:id="64863649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58542735">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2256590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3371713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14610629">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446273755">
      <w:bodyDiv w:val="1"/>
      <w:marLeft w:val="0"/>
      <w:marRight w:val="0"/>
      <w:marTop w:val="0"/>
      <w:marBottom w:val="0"/>
      <w:divBdr>
        <w:top w:val="none" w:sz="0" w:space="0" w:color="auto"/>
        <w:left w:val="none" w:sz="0" w:space="0" w:color="auto"/>
        <w:bottom w:val="none" w:sz="0" w:space="0" w:color="auto"/>
        <w:right w:val="none" w:sz="0" w:space="0" w:color="auto"/>
      </w:divBdr>
      <w:divsChild>
        <w:div w:id="2072535329">
          <w:marLeft w:val="0"/>
          <w:marRight w:val="0"/>
          <w:marTop w:val="0"/>
          <w:marBottom w:val="0"/>
          <w:divBdr>
            <w:top w:val="none" w:sz="0" w:space="0" w:color="auto"/>
            <w:left w:val="none" w:sz="0" w:space="0" w:color="auto"/>
            <w:bottom w:val="none" w:sz="0" w:space="0" w:color="auto"/>
            <w:right w:val="none" w:sz="0" w:space="0" w:color="auto"/>
          </w:divBdr>
          <w:divsChild>
            <w:div w:id="8541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0648454">
      <w:bodyDiv w:val="1"/>
      <w:marLeft w:val="0"/>
      <w:marRight w:val="0"/>
      <w:marTop w:val="0"/>
      <w:marBottom w:val="0"/>
      <w:divBdr>
        <w:top w:val="none" w:sz="0" w:space="0" w:color="auto"/>
        <w:left w:val="none" w:sz="0" w:space="0" w:color="auto"/>
        <w:bottom w:val="none" w:sz="0" w:space="0" w:color="auto"/>
        <w:right w:val="none" w:sz="0" w:space="0" w:color="auto"/>
      </w:divBdr>
    </w:div>
    <w:div w:id="1668442546">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7403771">
      <w:bodyDiv w:val="1"/>
      <w:marLeft w:val="0"/>
      <w:marRight w:val="0"/>
      <w:marTop w:val="0"/>
      <w:marBottom w:val="0"/>
      <w:divBdr>
        <w:top w:val="none" w:sz="0" w:space="0" w:color="auto"/>
        <w:left w:val="none" w:sz="0" w:space="0" w:color="auto"/>
        <w:bottom w:val="none" w:sz="0" w:space="0" w:color="auto"/>
        <w:right w:val="none" w:sz="0" w:space="0" w:color="auto"/>
      </w:divBdr>
    </w:div>
    <w:div w:id="181032510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41378043">
      <w:bodyDiv w:val="1"/>
      <w:marLeft w:val="0"/>
      <w:marRight w:val="0"/>
      <w:marTop w:val="0"/>
      <w:marBottom w:val="0"/>
      <w:divBdr>
        <w:top w:val="none" w:sz="0" w:space="0" w:color="auto"/>
        <w:left w:val="none" w:sz="0" w:space="0" w:color="auto"/>
        <w:bottom w:val="none" w:sz="0" w:space="0" w:color="auto"/>
        <w:right w:val="none" w:sz="0" w:space="0" w:color="auto"/>
      </w:divBdr>
    </w:div>
    <w:div w:id="1942832352">
      <w:bodyDiv w:val="1"/>
      <w:marLeft w:val="0"/>
      <w:marRight w:val="0"/>
      <w:marTop w:val="0"/>
      <w:marBottom w:val="0"/>
      <w:divBdr>
        <w:top w:val="none" w:sz="0" w:space="0" w:color="auto"/>
        <w:left w:val="none" w:sz="0" w:space="0" w:color="auto"/>
        <w:bottom w:val="none" w:sz="0" w:space="0" w:color="auto"/>
        <w:right w:val="none" w:sz="0" w:space="0" w:color="auto"/>
      </w:divBdr>
    </w:div>
    <w:div w:id="2024437056">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1296395">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13007.page"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6CC1-B4AE-40FE-9F3A-858E6CDBB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41</Pages>
  <Words>11008</Words>
  <Characters>60547</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15</cp:revision>
  <cp:lastPrinted>2019-02-14T15:24:00Z</cp:lastPrinted>
  <dcterms:created xsi:type="dcterms:W3CDTF">2019-01-24T14:56:00Z</dcterms:created>
  <dcterms:modified xsi:type="dcterms:W3CDTF">2019-03-14T22:58:00Z</dcterms:modified>
</cp:coreProperties>
</file>