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382AE6BB"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Resolución del Pleno del Instituto de Transparencia, Acceso a la Información Pública y Protección de Datos Personales del Estado de Méxi</w:t>
      </w:r>
      <w:bookmarkStart w:id="0" w:name="_GoBack"/>
      <w:bookmarkEnd w:id="0"/>
      <w:r w:rsidRPr="0040233B">
        <w:rPr>
          <w:rFonts w:ascii="Palatino Linotype" w:hAnsi="Palatino Linotype"/>
        </w:rPr>
        <w:t xml:space="preserve">co y Municipios, con domicilio en </w:t>
      </w:r>
      <w:r w:rsidR="004440AC" w:rsidRPr="0040233B">
        <w:rPr>
          <w:rFonts w:ascii="Palatino Linotype" w:hAnsi="Palatino Linotype"/>
        </w:rPr>
        <w:t xml:space="preserve">Metepec, Estado de México, de </w:t>
      </w:r>
      <w:r w:rsidR="00425BCD">
        <w:rPr>
          <w:rFonts w:ascii="Palatino Linotype" w:hAnsi="Palatino Linotype"/>
          <w:color w:val="C00000"/>
        </w:rPr>
        <w:t>treinta de enero</w:t>
      </w:r>
      <w:r w:rsidR="004440AC" w:rsidRPr="00DD4EA2">
        <w:rPr>
          <w:rFonts w:ascii="Palatino Linotype" w:hAnsi="Palatino Linotype"/>
          <w:color w:val="C00000"/>
        </w:rPr>
        <w:t xml:space="preserve"> </w:t>
      </w:r>
      <w:r w:rsidRPr="0040233B">
        <w:rPr>
          <w:rFonts w:ascii="Palatino Linotype" w:hAnsi="Palatino Linotype"/>
        </w:rPr>
        <w:t>de</w:t>
      </w:r>
      <w:r w:rsidR="00686279" w:rsidRPr="0040233B">
        <w:rPr>
          <w:rFonts w:ascii="Palatino Linotype" w:hAnsi="Palatino Linotype"/>
        </w:rPr>
        <w:t>l</w:t>
      </w:r>
      <w:r w:rsidRPr="0040233B">
        <w:rPr>
          <w:rFonts w:ascii="Palatino Linotype" w:hAnsi="Palatino Linotype"/>
        </w:rPr>
        <w:t xml:space="preserve"> dos mil dieci</w:t>
      </w:r>
      <w:r w:rsidR="00425BCD">
        <w:rPr>
          <w:rFonts w:ascii="Palatino Linotype" w:hAnsi="Palatino Linotype"/>
        </w:rPr>
        <w:t>nueve</w:t>
      </w:r>
      <w:r w:rsidRPr="0040233B">
        <w:rPr>
          <w:rFonts w:ascii="Palatino Linotype" w:hAnsi="Palatino Linotype"/>
        </w:rPr>
        <w:t>.</w:t>
      </w:r>
    </w:p>
    <w:p w14:paraId="7D53FE2D" w14:textId="176BDD42" w:rsidR="008E7698" w:rsidRPr="0040233B" w:rsidRDefault="008E7698" w:rsidP="008E7698">
      <w:pPr>
        <w:spacing w:before="240" w:after="240" w:line="360" w:lineRule="auto"/>
        <w:jc w:val="both"/>
        <w:rPr>
          <w:rFonts w:ascii="Palatino Linotype" w:hAnsi="Palatino Linotype" w:cs="Arial"/>
        </w:rPr>
      </w:pPr>
      <w:r w:rsidRPr="0040233B">
        <w:rPr>
          <w:rFonts w:ascii="Palatino Linotype" w:hAnsi="Palatino Linotype" w:cs="Arial"/>
          <w:b/>
          <w:sz w:val="28"/>
          <w:szCs w:val="28"/>
        </w:rPr>
        <w:t>Visto</w:t>
      </w:r>
      <w:r w:rsidRPr="0040233B">
        <w:rPr>
          <w:rFonts w:ascii="Palatino Linotype" w:hAnsi="Palatino Linotype" w:cs="Arial"/>
        </w:rPr>
        <w:t xml:space="preserve"> el expediente relativo al recurso de revisión </w:t>
      </w:r>
      <w:r w:rsidR="00425BCD">
        <w:rPr>
          <w:rFonts w:ascii="Palatino Linotype" w:eastAsiaTheme="minorEastAsia" w:hAnsi="Palatino Linotype" w:cs="Arial"/>
          <w:b/>
          <w:bCs/>
          <w:color w:val="C00000"/>
          <w:sz w:val="22"/>
          <w:szCs w:val="22"/>
          <w:lang w:val="es-MX"/>
        </w:rPr>
        <w:t>04569/INFOEM</w:t>
      </w:r>
      <w:r w:rsidR="004440AC" w:rsidRPr="0040233B">
        <w:rPr>
          <w:rFonts w:ascii="Palatino Linotype" w:eastAsiaTheme="minorEastAsia" w:hAnsi="Palatino Linotype" w:cs="Arial"/>
          <w:b/>
          <w:bCs/>
          <w:sz w:val="22"/>
          <w:szCs w:val="22"/>
          <w:lang w:val="es-MX"/>
        </w:rPr>
        <w:t>/IP/RR/201</w:t>
      </w:r>
      <w:r w:rsidR="00672EA1">
        <w:rPr>
          <w:rFonts w:ascii="Palatino Linotype" w:eastAsiaTheme="minorEastAsia" w:hAnsi="Palatino Linotype" w:cs="Arial"/>
          <w:b/>
          <w:bCs/>
          <w:sz w:val="22"/>
          <w:szCs w:val="22"/>
          <w:lang w:val="es-MX"/>
        </w:rPr>
        <w:t>8</w:t>
      </w:r>
      <w:r w:rsidR="00945D23">
        <w:rPr>
          <w:rFonts w:ascii="Palatino Linotype" w:hAnsi="Palatino Linotype" w:cs="Arial"/>
        </w:rPr>
        <w:t xml:space="preserve">, interpuesto por </w:t>
      </w:r>
      <w:proofErr w:type="spellStart"/>
      <w:r w:rsidR="004A2391" w:rsidRPr="004A2391">
        <w:rPr>
          <w:rFonts w:ascii="Palatino Linotype" w:hAnsi="Palatino Linotype"/>
          <w:b/>
          <w:lang w:val="es-ES_tradnl"/>
        </w:rPr>
        <w:t>Xxxxx</w:t>
      </w:r>
      <w:proofErr w:type="spellEnd"/>
      <w:r w:rsidR="004A2391" w:rsidRPr="004A2391">
        <w:rPr>
          <w:rFonts w:ascii="Palatino Linotype" w:hAnsi="Palatino Linotype"/>
          <w:b/>
          <w:lang w:val="es-ES_tradnl"/>
        </w:rPr>
        <w:t xml:space="preserve"> </w:t>
      </w:r>
      <w:proofErr w:type="spellStart"/>
      <w:r w:rsidR="004A2391" w:rsidRPr="004A2391">
        <w:rPr>
          <w:rFonts w:ascii="Palatino Linotype" w:hAnsi="Palatino Linotype"/>
          <w:b/>
          <w:lang w:val="es-ES_tradnl"/>
        </w:rPr>
        <w:t>Xxxxxxxxxx</w:t>
      </w:r>
      <w:proofErr w:type="spellEnd"/>
      <w:r w:rsidR="004A2391" w:rsidRPr="004A2391">
        <w:rPr>
          <w:rFonts w:ascii="Palatino Linotype" w:hAnsi="Palatino Linotype"/>
          <w:b/>
          <w:lang w:val="es-ES_tradnl"/>
        </w:rPr>
        <w:t xml:space="preserve"> </w:t>
      </w:r>
      <w:proofErr w:type="spellStart"/>
      <w:r w:rsidR="004A2391" w:rsidRPr="004A2391">
        <w:rPr>
          <w:rFonts w:ascii="Palatino Linotype" w:hAnsi="Palatino Linotype"/>
          <w:b/>
          <w:lang w:val="es-ES_tradnl"/>
        </w:rPr>
        <w:t>Xxxxx</w:t>
      </w:r>
      <w:proofErr w:type="spellEnd"/>
      <w:r w:rsidR="004A2391" w:rsidRPr="004A2391">
        <w:rPr>
          <w:rFonts w:ascii="Palatino Linotype" w:hAnsi="Palatino Linotype"/>
          <w:b/>
          <w:lang w:val="es-ES_tradnl"/>
        </w:rPr>
        <w:t xml:space="preserve"> </w:t>
      </w:r>
      <w:proofErr w:type="spellStart"/>
      <w:r w:rsidR="004A2391" w:rsidRPr="004A2391">
        <w:rPr>
          <w:rFonts w:ascii="Palatino Linotype" w:hAnsi="Palatino Linotype"/>
          <w:b/>
          <w:lang w:val="es-ES_tradnl"/>
        </w:rPr>
        <w:t>Xxxx</w:t>
      </w:r>
      <w:proofErr w:type="spellEnd"/>
      <w:r w:rsidRPr="0040233B">
        <w:rPr>
          <w:rFonts w:ascii="Palatino Linotype" w:hAnsi="Palatino Linotype" w:cs="Arial"/>
        </w:rPr>
        <w:t>,</w:t>
      </w:r>
      <w:r w:rsidR="00D66A2A">
        <w:rPr>
          <w:rFonts w:ascii="Palatino Linotype" w:hAnsi="Palatino Linotype" w:cs="Arial"/>
        </w:rPr>
        <w:t xml:space="preserve"> a </w:t>
      </w:r>
      <w:r w:rsidR="004440AC" w:rsidRPr="0040233B">
        <w:rPr>
          <w:rFonts w:ascii="Palatino Linotype" w:hAnsi="Palatino Linotype" w:cs="Arial"/>
        </w:rPr>
        <w:t>quien</w:t>
      </w:r>
      <w:r w:rsidRPr="0040233B">
        <w:rPr>
          <w:rFonts w:ascii="Palatino Linotype" w:hAnsi="Palatino Linotype" w:cs="Arial"/>
        </w:rPr>
        <w:t xml:space="preserve"> en lo sucesivo se le denominará </w:t>
      </w:r>
      <w:r w:rsidR="00672EA1">
        <w:rPr>
          <w:rFonts w:ascii="Palatino Linotype" w:hAnsi="Palatino Linotype" w:cs="Arial"/>
        </w:rPr>
        <w:t>el</w:t>
      </w:r>
      <w:r w:rsidR="00523451">
        <w:rPr>
          <w:rFonts w:ascii="Palatino Linotype" w:hAnsi="Palatino Linotype" w:cs="Arial"/>
        </w:rPr>
        <w:t xml:space="preserve"> </w:t>
      </w:r>
      <w:r w:rsidR="00523451" w:rsidRPr="00523451">
        <w:rPr>
          <w:rFonts w:ascii="Palatino Linotype" w:hAnsi="Palatino Linotype" w:cs="Arial"/>
          <w:b/>
          <w:i/>
        </w:rPr>
        <w:t>Recurrente</w:t>
      </w:r>
      <w:r w:rsidR="00523451">
        <w:rPr>
          <w:rFonts w:ascii="Palatino Linotype" w:hAnsi="Palatino Linotype" w:cs="Arial"/>
        </w:rPr>
        <w:t xml:space="preserve"> </w:t>
      </w:r>
      <w:r w:rsidRPr="0040233B">
        <w:rPr>
          <w:rFonts w:ascii="Palatino Linotype" w:hAnsi="Palatino Linotype" w:cs="Arial"/>
        </w:rPr>
        <w:t xml:space="preserve">en contra de la </w:t>
      </w:r>
      <w:r w:rsidR="0004214C">
        <w:rPr>
          <w:rFonts w:ascii="Palatino Linotype" w:hAnsi="Palatino Linotype" w:cs="Arial"/>
        </w:rPr>
        <w:t>respuesta</w:t>
      </w:r>
      <w:r w:rsidR="00E66AC9" w:rsidRPr="0040233B">
        <w:rPr>
          <w:rFonts w:ascii="Palatino Linotype" w:hAnsi="Palatino Linotype" w:cs="Arial"/>
        </w:rPr>
        <w:t xml:space="preserve"> a</w:t>
      </w:r>
      <w:r w:rsidRPr="0040233B">
        <w:rPr>
          <w:rFonts w:ascii="Palatino Linotype" w:hAnsi="Palatino Linotype" w:cs="Arial"/>
        </w:rPr>
        <w:t xml:space="preserve"> </w:t>
      </w:r>
      <w:r w:rsidR="00095E37">
        <w:rPr>
          <w:rFonts w:ascii="Palatino Linotype" w:hAnsi="Palatino Linotype" w:cs="Arial"/>
        </w:rPr>
        <w:t>la</w:t>
      </w:r>
      <w:r w:rsidRPr="0040233B">
        <w:rPr>
          <w:rFonts w:ascii="Palatino Linotype" w:hAnsi="Palatino Linotype" w:cs="Arial"/>
        </w:rPr>
        <w:t xml:space="preserve"> solicitud de in</w:t>
      </w:r>
      <w:r w:rsidR="004440AC" w:rsidRPr="0040233B">
        <w:rPr>
          <w:rFonts w:ascii="Palatino Linotype" w:hAnsi="Palatino Linotype" w:cs="Arial"/>
        </w:rPr>
        <w:t xml:space="preserve">formación con número de folio </w:t>
      </w:r>
      <w:r w:rsidR="00425BCD">
        <w:rPr>
          <w:rFonts w:ascii="Palatino Linotype" w:eastAsiaTheme="minorEastAsia" w:hAnsi="Palatino Linotype" w:cs="Arial"/>
          <w:b/>
          <w:color w:val="C00000"/>
          <w:sz w:val="22"/>
          <w:szCs w:val="22"/>
          <w:lang w:val="es-MX"/>
        </w:rPr>
        <w:t>00019/OASVACHASO</w:t>
      </w:r>
      <w:r w:rsidR="00672EA1">
        <w:rPr>
          <w:rFonts w:ascii="Palatino Linotype" w:eastAsiaTheme="minorEastAsia" w:hAnsi="Palatino Linotype" w:cs="Arial"/>
          <w:b/>
          <w:color w:val="C00000"/>
          <w:sz w:val="22"/>
          <w:szCs w:val="22"/>
          <w:lang w:val="es-MX"/>
        </w:rPr>
        <w:t>/IP/2018</w:t>
      </w:r>
      <w:r w:rsidRPr="0040233B">
        <w:rPr>
          <w:rFonts w:ascii="Palatino Linotype" w:hAnsi="Palatino Linotype" w:cs="Arial"/>
        </w:rPr>
        <w:t xml:space="preserve">, </w:t>
      </w:r>
      <w:r w:rsidR="00C20143">
        <w:rPr>
          <w:rFonts w:ascii="Palatino Linotype" w:hAnsi="Palatino Linotype" w:cs="Arial"/>
        </w:rPr>
        <w:t xml:space="preserve">del </w:t>
      </w:r>
      <w:r w:rsidR="00425BCD">
        <w:rPr>
          <w:rFonts w:ascii="Palatino Linotype" w:hAnsi="Palatino Linotype" w:cs="Arial"/>
          <w:b/>
        </w:rPr>
        <w:t>Organismo Descentralizado de Agua Potable Alcantarillado y Saneamiento de Valle de Chalco Solidaridad</w:t>
      </w:r>
      <w:r w:rsidRPr="0040233B">
        <w:rPr>
          <w:rFonts w:ascii="Palatino Linotype" w:hAnsi="Palatino Linotype" w:cs="Arial"/>
        </w:rPr>
        <w:t xml:space="preserve">, en lo sucesivo el </w:t>
      </w:r>
      <w:r w:rsidRPr="0040233B">
        <w:rPr>
          <w:rFonts w:ascii="Palatino Linotype" w:hAnsi="Palatino Linotype" w:cs="Arial"/>
          <w:b/>
        </w:rPr>
        <w:t>Sujeto Obligado</w:t>
      </w:r>
      <w:r w:rsidRPr="0040233B">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w:t>
      </w:r>
      <w:r w:rsidR="009A1584">
        <w:rPr>
          <w:rFonts w:ascii="Palatino Linotype" w:hAnsi="Palatino Linotype" w:cs="Arial"/>
        </w:rPr>
        <w:t>s</w:t>
      </w:r>
      <w:r w:rsidRPr="0040233B">
        <w:rPr>
          <w:rFonts w:ascii="Palatino Linotype" w:hAnsi="Palatino Linotype" w:cs="Arial"/>
        </w:rPr>
        <w:t xml:space="preserve"> siguiente</w:t>
      </w:r>
      <w:r w:rsidR="009A1584">
        <w:rPr>
          <w:rFonts w:ascii="Palatino Linotype" w:hAnsi="Palatino Linotype" w:cs="Arial"/>
        </w:rPr>
        <w:t>s</w:t>
      </w:r>
      <w:r w:rsidRPr="0040233B">
        <w:rPr>
          <w:rFonts w:ascii="Palatino Linotype" w:hAnsi="Palatino Linotype" w:cs="Arial"/>
        </w:rPr>
        <w:t>.</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59706851" w:rsidR="008E7698" w:rsidRPr="0040233B"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1. Solicitud de acceso a la información.</w:t>
      </w:r>
      <w:r w:rsidRPr="0040233B">
        <w:rPr>
          <w:rFonts w:ascii="Palatino Linotype" w:hAnsi="Palatino Linotype" w:cs="Arial"/>
          <w:b/>
        </w:rPr>
        <w:t xml:space="preserve"> </w:t>
      </w:r>
      <w:r w:rsidRPr="0040233B">
        <w:rPr>
          <w:rFonts w:ascii="Palatino Linotype" w:hAnsi="Palatino Linotype" w:cs="Arial"/>
        </w:rPr>
        <w:t>Con</w:t>
      </w:r>
      <w:r w:rsidR="004440AC" w:rsidRPr="0040233B">
        <w:rPr>
          <w:rFonts w:ascii="Palatino Linotype" w:hAnsi="Palatino Linotype" w:cs="Arial"/>
        </w:rPr>
        <w:t xml:space="preserve"> fecha </w:t>
      </w:r>
      <w:r w:rsidR="00425BCD">
        <w:rPr>
          <w:rFonts w:ascii="Palatino Linotype" w:hAnsi="Palatino Linotype" w:cs="Arial"/>
          <w:color w:val="C00000"/>
        </w:rPr>
        <w:t>seis de noviembre</w:t>
      </w:r>
      <w:r w:rsidR="004267B7">
        <w:rPr>
          <w:rFonts w:ascii="Palatino Linotype" w:hAnsi="Palatino Linotype" w:cs="Arial"/>
          <w:color w:val="C00000"/>
        </w:rPr>
        <w:t xml:space="preserve"> </w:t>
      </w:r>
      <w:r w:rsidR="00C673D1" w:rsidRPr="00DD4EA2">
        <w:rPr>
          <w:rFonts w:ascii="Palatino Linotype" w:hAnsi="Palatino Linotype" w:cs="Arial"/>
          <w:color w:val="C00000"/>
        </w:rPr>
        <w:t xml:space="preserve"> </w:t>
      </w:r>
      <w:r w:rsidRPr="0040233B">
        <w:rPr>
          <w:rFonts w:ascii="Palatino Linotype" w:hAnsi="Palatino Linotype" w:cs="Arial"/>
        </w:rPr>
        <w:t xml:space="preserve">de dos mil </w:t>
      </w:r>
      <w:r w:rsidR="00682656" w:rsidRPr="0040233B">
        <w:rPr>
          <w:rFonts w:ascii="Palatino Linotype" w:hAnsi="Palatino Linotype" w:cs="Arial"/>
        </w:rPr>
        <w:t>dieci</w:t>
      </w:r>
      <w:r w:rsidR="00951462">
        <w:rPr>
          <w:rFonts w:ascii="Palatino Linotype" w:hAnsi="Palatino Linotype" w:cs="Arial"/>
        </w:rPr>
        <w:t>ocho</w:t>
      </w:r>
      <w:r w:rsidR="00682656" w:rsidRPr="0040233B">
        <w:rPr>
          <w:rFonts w:ascii="Palatino Linotype" w:hAnsi="Palatino Linotype" w:cs="Arial"/>
        </w:rPr>
        <w:t xml:space="preserve">, </w:t>
      </w:r>
      <w:r w:rsidR="00917023">
        <w:rPr>
          <w:rFonts w:ascii="Palatino Linotype" w:hAnsi="Palatino Linotype" w:cs="Arial"/>
        </w:rPr>
        <w:t>el</w:t>
      </w:r>
      <w:r w:rsidR="00523451">
        <w:rPr>
          <w:rFonts w:ascii="Palatino Linotype" w:hAnsi="Palatino Linotype" w:cs="Arial"/>
        </w:rPr>
        <w:t xml:space="preserve"> ahora </w:t>
      </w:r>
      <w:r w:rsidR="00523451" w:rsidRPr="00523451">
        <w:rPr>
          <w:rFonts w:ascii="Palatino Linotype" w:hAnsi="Palatino Linotype" w:cs="Arial"/>
          <w:b/>
          <w:i/>
        </w:rPr>
        <w:t>Recurrente</w:t>
      </w:r>
      <w:r w:rsidR="00523451">
        <w:rPr>
          <w:rFonts w:ascii="Palatino Linotype" w:hAnsi="Palatino Linotype" w:cs="Arial"/>
        </w:rPr>
        <w:t xml:space="preserve"> </w:t>
      </w:r>
      <w:r w:rsidRPr="0040233B">
        <w:rPr>
          <w:rFonts w:ascii="Palatino Linotype" w:hAnsi="Palatino Linotype" w:cs="Arial"/>
        </w:rPr>
        <w:t xml:space="preserve">formuló solicitud de acceso a 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917023" w:rsidRPr="0040233B">
        <w:rPr>
          <w:rFonts w:ascii="Palatino Linotype" w:hAnsi="Palatino Linotype" w:cs="Arial"/>
        </w:rPr>
        <w:t>requiriendo</w:t>
      </w:r>
      <w:r w:rsidRPr="0040233B">
        <w:rPr>
          <w:rFonts w:ascii="Palatino Linotype" w:hAnsi="Palatino Linotype" w:cs="Arial"/>
        </w:rPr>
        <w:t xml:space="preserve"> lo siguiente:</w:t>
      </w:r>
    </w:p>
    <w:p w14:paraId="3F4E6C5F" w14:textId="7907B3DD" w:rsidR="00293DE5" w:rsidRPr="0041342A" w:rsidRDefault="00293DE5" w:rsidP="005128BF">
      <w:pPr>
        <w:pStyle w:val="Cuerpo"/>
        <w:spacing w:before="240" w:after="360" w:line="360" w:lineRule="auto"/>
        <w:ind w:left="851" w:right="902"/>
        <w:jc w:val="both"/>
        <w:rPr>
          <w:rFonts w:ascii="Verdana" w:hAnsi="Verdana"/>
        </w:rPr>
      </w:pPr>
      <w:r w:rsidRPr="00CB7775">
        <w:rPr>
          <w:rFonts w:ascii="Palatino Linotype" w:eastAsiaTheme="minorEastAsia" w:hAnsi="Palatino Linotype" w:cs="Arial"/>
          <w:i/>
          <w:sz w:val="24"/>
          <w:szCs w:val="24"/>
          <w:lang w:val="es-MX"/>
        </w:rPr>
        <w:t>“</w:t>
      </w:r>
      <w:r w:rsidR="00CB7775" w:rsidRPr="00CB7775">
        <w:rPr>
          <w:rFonts w:ascii="Palatino Linotype" w:hAnsi="Palatino Linotype" w:cs="Arial"/>
          <w:i/>
          <w:sz w:val="24"/>
          <w:szCs w:val="24"/>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w:t>
      </w:r>
      <w:r w:rsidR="00CB7775" w:rsidRPr="00CB7775">
        <w:rPr>
          <w:rFonts w:ascii="Palatino Linotype" w:hAnsi="Palatino Linotype" w:cs="Arial"/>
          <w:i/>
          <w:sz w:val="24"/>
          <w:szCs w:val="24"/>
        </w:rPr>
        <w:lastRenderedPageBreak/>
        <w:t xml:space="preserve">Municipios, tenemos a bien solicitar: a).Listado de servidores públicos del Odapas de Valle de Chalco Solidaridad al 31 de octubre de 2018 precisando el nombre del servidor público, indicando si es personal de nómina de confianza o sindicalizado, por honorarios o de lista de raya, área de adscripción, sueldo quincenal bruto y sueldo quincenal neta. Agradecemos su pronta respuesta. </w:t>
      </w:r>
      <w:r w:rsidR="004F5243" w:rsidRPr="00CB7775">
        <w:rPr>
          <w:rFonts w:ascii="Palatino Linotype" w:hAnsi="Palatino Linotype" w:cs="Arial"/>
          <w:i/>
          <w:sz w:val="24"/>
          <w:szCs w:val="24"/>
        </w:rPr>
        <w:t>”</w:t>
      </w:r>
      <w:r w:rsidR="00C673D1" w:rsidRPr="0041342A">
        <w:rPr>
          <w:rFonts w:ascii="Palatino Linotype" w:hAnsi="Palatino Linotype" w:cs="Arial"/>
          <w:i/>
        </w:rPr>
        <w:t>(</w:t>
      </w:r>
      <w:r w:rsidR="00C673D1" w:rsidRPr="0041342A">
        <w:rPr>
          <w:rFonts w:ascii="Palatino Linotype" w:hAnsi="Palatino Linotype" w:cs="Arial"/>
          <w:i/>
          <w:sz w:val="16"/>
        </w:rPr>
        <w:t>sic)</w:t>
      </w:r>
    </w:p>
    <w:p w14:paraId="649BFEDD" w14:textId="3478B8E0" w:rsidR="00293DE5" w:rsidRPr="0040233B" w:rsidRDefault="00C20143" w:rsidP="008E7698">
      <w:pPr>
        <w:spacing w:before="240" w:after="240" w:line="360" w:lineRule="auto"/>
        <w:jc w:val="both"/>
        <w:rPr>
          <w:rFonts w:ascii="Palatino Linotype" w:hAnsi="Palatino Linotype" w:cs="Arial"/>
          <w:b/>
        </w:rPr>
      </w:pPr>
      <w:r>
        <w:rPr>
          <w:rFonts w:ascii="Palatino Linotype" w:hAnsi="Palatino Linotype" w:cs="Arial"/>
        </w:rPr>
        <w:t>La</w:t>
      </w:r>
      <w:r w:rsidR="00293DE5" w:rsidRPr="0040233B">
        <w:rPr>
          <w:rFonts w:ascii="Palatino Linotype" w:hAnsi="Palatino Linotype" w:cs="Arial"/>
        </w:rPr>
        <w:t xml:space="preserve"> solicitante indicó como modalidad de entrega el</w:t>
      </w:r>
      <w:r w:rsidR="00293DE5" w:rsidRPr="0040233B">
        <w:rPr>
          <w:rFonts w:ascii="Palatino Linotype" w:hAnsi="Palatino Linotype" w:cs="Arial"/>
          <w:b/>
        </w:rPr>
        <w:t xml:space="preserve"> SAIMEX</w:t>
      </w:r>
      <w:r w:rsidR="00451F5B" w:rsidRPr="0040233B">
        <w:rPr>
          <w:rFonts w:ascii="Palatino Linotype" w:hAnsi="Palatino Linotype" w:cs="Arial"/>
          <w:b/>
        </w:rPr>
        <w:t>.</w:t>
      </w:r>
    </w:p>
    <w:p w14:paraId="4B8D3575" w14:textId="1C748C3B" w:rsidR="0004214C" w:rsidRDefault="00C20143" w:rsidP="0004214C">
      <w:pPr>
        <w:spacing w:before="240" w:after="240" w:line="360" w:lineRule="auto"/>
        <w:jc w:val="both"/>
        <w:rPr>
          <w:rFonts w:ascii="Palatino Linotype" w:hAnsi="Palatino Linotype" w:cs="Arial"/>
        </w:rPr>
      </w:pPr>
      <w:r>
        <w:rPr>
          <w:rFonts w:ascii="Palatino Linotype" w:hAnsi="Palatino Linotype" w:cs="Arial"/>
          <w:b/>
          <w:sz w:val="28"/>
          <w:szCs w:val="28"/>
        </w:rPr>
        <w:t xml:space="preserve">2. </w:t>
      </w:r>
      <w:r w:rsidR="008E7698" w:rsidRPr="0040233B">
        <w:rPr>
          <w:rFonts w:ascii="Palatino Linotype" w:hAnsi="Palatino Linotype" w:cs="Arial"/>
          <w:b/>
          <w:sz w:val="28"/>
          <w:szCs w:val="28"/>
        </w:rPr>
        <w:t>Respuesta.</w:t>
      </w:r>
      <w:r w:rsidR="009A1584">
        <w:rPr>
          <w:rFonts w:ascii="Palatino Linotype" w:hAnsi="Palatino Linotype" w:cs="Arial"/>
          <w:b/>
          <w:sz w:val="28"/>
          <w:szCs w:val="28"/>
        </w:rPr>
        <w:t xml:space="preserve"> </w:t>
      </w:r>
      <w:r w:rsidR="0004214C" w:rsidRPr="0040233B">
        <w:rPr>
          <w:rFonts w:ascii="Palatino Linotype" w:hAnsi="Palatino Linotype" w:cs="Arial"/>
        </w:rPr>
        <w:t xml:space="preserve">Con fecha </w:t>
      </w:r>
      <w:r w:rsidR="00CB7775">
        <w:rPr>
          <w:rFonts w:ascii="Palatino Linotype" w:hAnsi="Palatino Linotype" w:cs="Arial"/>
          <w:color w:val="C00000"/>
        </w:rPr>
        <w:t>veintiséis de noviembre</w:t>
      </w:r>
      <w:r w:rsidR="0004214C" w:rsidRPr="00DD4EA2">
        <w:rPr>
          <w:rFonts w:ascii="Palatino Linotype" w:hAnsi="Palatino Linotype" w:cs="Arial"/>
          <w:color w:val="C00000"/>
        </w:rPr>
        <w:t xml:space="preserve"> </w:t>
      </w:r>
      <w:r w:rsidR="00CB7775">
        <w:rPr>
          <w:rFonts w:ascii="Palatino Linotype" w:hAnsi="Palatino Linotype" w:cs="Arial"/>
        </w:rPr>
        <w:t>dedos mil dieciocho</w:t>
      </w:r>
      <w:r w:rsidR="00951462">
        <w:rPr>
          <w:rFonts w:ascii="Palatino Linotype" w:hAnsi="Palatino Linotype" w:cs="Arial"/>
        </w:rPr>
        <w:t xml:space="preserve">, </w:t>
      </w:r>
      <w:r w:rsidR="0004214C" w:rsidRPr="0040233B">
        <w:rPr>
          <w:rFonts w:ascii="Palatino Linotype" w:hAnsi="Palatino Linotype" w:cs="Arial"/>
        </w:rPr>
        <w:t xml:space="preserve">el </w:t>
      </w:r>
      <w:r w:rsidR="0004214C" w:rsidRPr="0040233B">
        <w:rPr>
          <w:rFonts w:ascii="Palatino Linotype" w:hAnsi="Palatino Linotype" w:cs="Arial"/>
          <w:b/>
        </w:rPr>
        <w:t>Sujeto Obligado</w:t>
      </w:r>
      <w:r w:rsidR="0004214C" w:rsidRPr="0040233B">
        <w:rPr>
          <w:rFonts w:ascii="Palatino Linotype" w:hAnsi="Palatino Linotype" w:cs="Arial"/>
        </w:rPr>
        <w:t xml:space="preserve">, a través del SAIMEX, </w:t>
      </w:r>
      <w:r w:rsidR="0004214C">
        <w:rPr>
          <w:rFonts w:ascii="Palatino Linotype" w:hAnsi="Palatino Linotype" w:cs="Arial"/>
        </w:rPr>
        <w:t>notificó la siguiente respuesta al particular:</w:t>
      </w: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23451" w:rsidRPr="00523451" w14:paraId="27CBE3AA" w14:textId="77777777" w:rsidTr="00523451">
        <w:trPr>
          <w:trHeight w:val="150"/>
          <w:tblCellSpacing w:w="0" w:type="dxa"/>
          <w:jc w:val="center"/>
        </w:trPr>
        <w:tc>
          <w:tcPr>
            <w:tcW w:w="0" w:type="auto"/>
            <w:vAlign w:val="center"/>
            <w:hideMark/>
          </w:tcPr>
          <w:p w14:paraId="5F465230" w14:textId="1F2DE575" w:rsidR="0041342A" w:rsidRPr="009F33B4" w:rsidRDefault="00FB5F73" w:rsidP="009F33B4">
            <w:pPr>
              <w:spacing w:before="240" w:after="240" w:line="360" w:lineRule="auto"/>
              <w:ind w:left="851" w:right="745"/>
              <w:jc w:val="both"/>
              <w:rPr>
                <w:rFonts w:ascii="Palatino Linotype" w:hAnsi="Palatino Linotype"/>
                <w:i/>
                <w:color w:val="000000"/>
              </w:rPr>
            </w:pPr>
            <w:r w:rsidRPr="004267B7">
              <w:rPr>
                <w:rFonts w:ascii="Palatino Linotype" w:hAnsi="Palatino Linotype"/>
                <w:i/>
                <w:lang w:val="es-MX" w:eastAsia="es-MX"/>
              </w:rPr>
              <w:t>“</w:t>
            </w:r>
            <w:r w:rsidR="00C20143" w:rsidRPr="004267B7">
              <w:rPr>
                <w:rFonts w:ascii="Palatino Linotype" w:hAnsi="Palatino Linotype"/>
                <w:i/>
                <w:lang w:val="es-MX" w:eastAsia="es-MX"/>
              </w:rPr>
              <w:t>…</w:t>
            </w:r>
            <w:r w:rsidR="00CB7775" w:rsidRPr="00CB7775">
              <w:rPr>
                <w:rFonts w:ascii="Palatino Linotype" w:hAnsi="Palatino Linotype"/>
                <w:i/>
                <w:color w:val="000000"/>
              </w:rPr>
              <w:t xml:space="preserve">POR MEDIO DE LA PRESENTE LE ENVIÓ UN ATENTO Y CORDIAL SALUDO, AL MISMO TIEMPO ADJUNTO LA INFORMACIÓN SOLICITADA DEL LISTADO DE LA NOMINA DEL ORGANISMO, EN TERMINO DE LO ESTABLECIDO POR EL ARTICULO 42 DE LA LEY FEDERAL DE TRANSPARENCIA Y ACCESO A LA INFORMACIÓN PUBLICA GUBERNAMENTAL, QUE ESTABLECE QUE LAS DEPENDENCIAS Y ENTIDADES SOLO ESTARÁN OBLIGADAS A ENTREGAR DOCUMENTOS QUE SE ENCUENTREN EN SUS ARCHIVOS, LA DEPENDENCIA Y ENTIDADES NO ESTÁN OBLIGADAS A ELABORAR DOCUMENTOS PARA ATENDER </w:t>
            </w:r>
            <w:r w:rsidR="00CB7775" w:rsidRPr="00CB7775">
              <w:rPr>
                <w:rFonts w:ascii="Palatino Linotype" w:hAnsi="Palatino Linotype"/>
                <w:i/>
                <w:color w:val="000000"/>
              </w:rPr>
              <w:lastRenderedPageBreak/>
              <w:t>LAS SOLICITUDES DE INFORMACIÓN, SINO QUE SOLO DEBEN GARANTIZAR EL ACCESO A LA INFORMACIÓN CON LA QUE CUENTAN EN EL FORMATO QUE ASÍ LA MISMA ASÍ LO PERMITA O SE ENCUENTRE, EN ARAS DE DAR SATISFACCIÓN A LA SOLICITUD YA PRESENTADA.</w:t>
            </w:r>
            <w:r w:rsidR="00CB7775" w:rsidRPr="009F33B4">
              <w:rPr>
                <w:rFonts w:ascii="Palatino Linotype" w:hAnsi="Palatino Linotype"/>
                <w:i/>
                <w:lang w:val="es-MX" w:eastAsia="es-MX"/>
              </w:rPr>
              <w:t xml:space="preserve"> </w:t>
            </w:r>
            <w:r w:rsidRPr="009F33B4">
              <w:rPr>
                <w:rFonts w:ascii="Palatino Linotype" w:hAnsi="Palatino Linotype"/>
                <w:i/>
                <w:lang w:val="es-MX" w:eastAsia="es-MX"/>
              </w:rPr>
              <w:t>“</w:t>
            </w:r>
            <w:r>
              <w:rPr>
                <w:rFonts w:ascii="Palatino Linotype" w:hAnsi="Palatino Linotype"/>
                <w:sz w:val="16"/>
                <w:lang w:val="es-MX" w:eastAsia="es-MX"/>
              </w:rPr>
              <w:t>(s</w:t>
            </w:r>
            <w:r w:rsidR="00523451">
              <w:rPr>
                <w:rFonts w:ascii="Palatino Linotype" w:hAnsi="Palatino Linotype"/>
                <w:sz w:val="16"/>
                <w:lang w:val="es-MX" w:eastAsia="es-MX"/>
              </w:rPr>
              <w:t>ic)</w:t>
            </w:r>
          </w:p>
        </w:tc>
      </w:tr>
    </w:tbl>
    <w:p w14:paraId="15FB599A" w14:textId="67152335" w:rsidR="00C06B2B" w:rsidRDefault="00C06B2B" w:rsidP="00C06B2B">
      <w:pPr>
        <w:spacing w:before="240" w:after="240" w:line="360" w:lineRule="auto"/>
        <w:jc w:val="both"/>
        <w:rPr>
          <w:rFonts w:ascii="Palatino Linotype" w:hAnsi="Palatino Linotype" w:cs="Arial"/>
          <w:b/>
          <w:sz w:val="28"/>
          <w:szCs w:val="28"/>
        </w:rPr>
      </w:pPr>
      <w:r>
        <w:rPr>
          <w:rFonts w:ascii="Palatino Linotype" w:hAnsi="Palatino Linotype" w:cs="Arial"/>
          <w:lang w:eastAsia="es-MX"/>
        </w:rPr>
        <w:lastRenderedPageBreak/>
        <w:t xml:space="preserve">Asimismo, adjuntó el archivo denominado </w:t>
      </w:r>
      <w:hyperlink r:id="rId8" w:tgtFrame="_blank" w:history="1">
        <w:r w:rsidRPr="00C06B2B">
          <w:rPr>
            <w:rStyle w:val="Hipervnculo"/>
            <w:rFonts w:ascii="Palatino Linotype" w:hAnsi="Palatino Linotype" w:cs="Arial"/>
            <w:b/>
            <w:bCs/>
            <w:color w:val="auto"/>
            <w:u w:val="none"/>
          </w:rPr>
          <w:t>RESPUESTA 19 NOVIEMBRE.xlsx</w:t>
        </w:r>
      </w:hyperlink>
      <w:r>
        <w:rPr>
          <w:rFonts w:ascii="Palatino Linotype" w:hAnsi="Palatino Linotype" w:cs="Arial"/>
          <w:b/>
          <w:lang w:eastAsia="es-MX"/>
        </w:rPr>
        <w:t xml:space="preserve">, </w:t>
      </w:r>
      <w:r>
        <w:rPr>
          <w:rFonts w:ascii="Palatino Linotype" w:hAnsi="Palatino Linotype" w:cs="Arial"/>
          <w:lang w:eastAsia="es-MX"/>
        </w:rPr>
        <w:t>que no se inserta por economía procesal, al ser del conocimiento de las partes, y toda vez que será materia de análisis del presente recurso de revisión.</w:t>
      </w:r>
    </w:p>
    <w:p w14:paraId="10057A83" w14:textId="5F5666FE" w:rsidR="00DB331E" w:rsidRDefault="009F33B4" w:rsidP="00DB331E">
      <w:pPr>
        <w:spacing w:before="360" w:after="240" w:line="360" w:lineRule="auto"/>
        <w:jc w:val="both"/>
        <w:rPr>
          <w:rFonts w:ascii="Palatino Linotype" w:hAnsi="Palatino Linotype" w:cs="Arial"/>
        </w:rPr>
      </w:pPr>
      <w:r>
        <w:rPr>
          <w:rFonts w:ascii="Palatino Linotype" w:hAnsi="Palatino Linotype" w:cs="Arial"/>
          <w:b/>
          <w:sz w:val="28"/>
          <w:szCs w:val="28"/>
        </w:rPr>
        <w:t>3</w:t>
      </w:r>
      <w:r w:rsidR="00DB331E" w:rsidRPr="0040233B">
        <w:rPr>
          <w:rFonts w:ascii="Palatino Linotype" w:hAnsi="Palatino Linotype" w:cs="Arial"/>
          <w:b/>
          <w:sz w:val="28"/>
          <w:szCs w:val="28"/>
        </w:rPr>
        <w:t>. Recurso de revisión.</w:t>
      </w:r>
      <w:r w:rsidR="00DB331E" w:rsidRPr="0040233B">
        <w:rPr>
          <w:rFonts w:ascii="Palatino Linotype" w:hAnsi="Palatino Linotype" w:cs="Arial"/>
          <w:b/>
        </w:rPr>
        <w:t xml:space="preserve"> </w:t>
      </w:r>
      <w:r w:rsidR="00DB331E" w:rsidRPr="0040233B">
        <w:rPr>
          <w:rFonts w:ascii="Palatino Linotype" w:hAnsi="Palatino Linotype" w:cs="Arial"/>
        </w:rPr>
        <w:t xml:space="preserve">El recurso de revisión se interpuso a través del SAIMEX con fecha </w:t>
      </w:r>
      <w:r w:rsidR="00C06B2B">
        <w:rPr>
          <w:rFonts w:ascii="Palatino Linotype" w:hAnsi="Palatino Linotype" w:cs="Arial"/>
          <w:color w:val="C00000"/>
        </w:rPr>
        <w:t>treinta de noviembre</w:t>
      </w:r>
      <w:r w:rsidR="00DB331E">
        <w:rPr>
          <w:rFonts w:ascii="Palatino Linotype" w:hAnsi="Palatino Linotype" w:cs="Arial"/>
          <w:color w:val="C00000"/>
        </w:rPr>
        <w:t xml:space="preserve"> </w:t>
      </w:r>
      <w:r w:rsidR="00DB331E">
        <w:rPr>
          <w:rFonts w:ascii="Palatino Linotype" w:hAnsi="Palatino Linotype" w:cs="Arial"/>
        </w:rPr>
        <w:t xml:space="preserve">de </w:t>
      </w:r>
      <w:r w:rsidR="00C06B2B">
        <w:rPr>
          <w:rFonts w:ascii="Palatino Linotype" w:hAnsi="Palatino Linotype" w:cs="Arial"/>
        </w:rPr>
        <w:t>dos mil dieciocho</w:t>
      </w:r>
      <w:r w:rsidR="00DB331E" w:rsidRPr="0040233B">
        <w:rPr>
          <w:rFonts w:ascii="Palatino Linotype" w:hAnsi="Palatino Linotype" w:cs="Arial"/>
        </w:rPr>
        <w:t xml:space="preserve"> por parte del solicitante de información, quien expresó las siguientes manifestaciones:</w:t>
      </w:r>
    </w:p>
    <w:p w14:paraId="3D39AF15" w14:textId="77777777" w:rsidR="00DB331E" w:rsidRPr="0040233B" w:rsidRDefault="00DB331E" w:rsidP="00DB331E">
      <w:pPr>
        <w:spacing w:before="240" w:after="240" w:line="360" w:lineRule="auto"/>
        <w:ind w:left="567"/>
        <w:rPr>
          <w:rFonts w:ascii="Palatino Linotype" w:hAnsi="Palatino Linotype" w:cs="Arial"/>
          <w:b/>
        </w:rPr>
      </w:pPr>
      <w:r w:rsidRPr="0040233B">
        <w:rPr>
          <w:rFonts w:ascii="Palatino Linotype" w:hAnsi="Palatino Linotype" w:cs="Arial"/>
          <w:b/>
        </w:rPr>
        <w:t>a) Acto impugnado.</w:t>
      </w:r>
    </w:p>
    <w:p w14:paraId="68FE9B02" w14:textId="6E7D0771" w:rsidR="00DB331E" w:rsidRDefault="00DB331E" w:rsidP="00DB331E">
      <w:pPr>
        <w:spacing w:before="240" w:after="240" w:line="360" w:lineRule="auto"/>
        <w:ind w:left="851" w:right="902"/>
        <w:jc w:val="both"/>
        <w:rPr>
          <w:rFonts w:ascii="Palatino Linotype" w:hAnsi="Palatino Linotype" w:cs="Arial"/>
          <w:sz w:val="16"/>
          <w:szCs w:val="16"/>
        </w:rPr>
      </w:pPr>
      <w:r w:rsidRPr="004267B7">
        <w:rPr>
          <w:rFonts w:ascii="Palatino Linotype" w:eastAsiaTheme="minorEastAsia" w:hAnsi="Palatino Linotype" w:cs="Arial"/>
          <w:i/>
          <w:lang w:val="es-MX"/>
        </w:rPr>
        <w:t>“</w:t>
      </w:r>
      <w:r w:rsidR="00C06B2B" w:rsidRPr="00C06B2B">
        <w:rPr>
          <w:rFonts w:ascii="Palatino Linotype" w:hAnsi="Palatino Linotype"/>
          <w:i/>
          <w:color w:val="000000"/>
        </w:rPr>
        <w:t>La entrega de información incompleta.</w:t>
      </w:r>
      <w:r w:rsidR="00951462">
        <w:rPr>
          <w:rFonts w:ascii="Palatino Linotype" w:hAnsi="Palatino Linotype"/>
          <w:i/>
          <w:lang w:val="es-MX" w:eastAsia="es-MX"/>
        </w:rPr>
        <w:t xml:space="preserve">” </w:t>
      </w:r>
      <w:r w:rsidRPr="00C20143">
        <w:rPr>
          <w:rFonts w:ascii="Palatino Linotype" w:hAnsi="Palatino Linotype" w:cs="Arial"/>
          <w:i/>
        </w:rPr>
        <w:t>(</w:t>
      </w:r>
      <w:proofErr w:type="gramStart"/>
      <w:r w:rsidRPr="00945D23">
        <w:rPr>
          <w:rFonts w:ascii="Palatino Linotype" w:hAnsi="Palatino Linotype" w:cs="Arial"/>
          <w:sz w:val="16"/>
          <w:szCs w:val="16"/>
        </w:rPr>
        <w:t>sic</w:t>
      </w:r>
      <w:proofErr w:type="gramEnd"/>
      <w:r w:rsidRPr="00945D23">
        <w:rPr>
          <w:rFonts w:ascii="Palatino Linotype" w:hAnsi="Palatino Linotype" w:cs="Arial"/>
          <w:sz w:val="16"/>
          <w:szCs w:val="16"/>
        </w:rPr>
        <w:t>)</w:t>
      </w:r>
    </w:p>
    <w:p w14:paraId="0A8D8887" w14:textId="77777777" w:rsidR="00DB331E" w:rsidRPr="0040233B" w:rsidRDefault="00DB331E" w:rsidP="00DB331E">
      <w:pPr>
        <w:spacing w:before="240" w:after="240" w:line="360" w:lineRule="auto"/>
        <w:ind w:left="567"/>
        <w:jc w:val="both"/>
        <w:rPr>
          <w:rFonts w:ascii="Palatino Linotype" w:hAnsi="Palatino Linotype" w:cs="Arial"/>
          <w:b/>
        </w:rPr>
      </w:pPr>
      <w:r w:rsidRPr="0040233B">
        <w:rPr>
          <w:rFonts w:ascii="Palatino Linotype" w:hAnsi="Palatino Linotype" w:cs="Arial"/>
          <w:b/>
        </w:rPr>
        <w:t>b) Motivos de inconformidad.</w:t>
      </w:r>
    </w:p>
    <w:p w14:paraId="72BB4CA0" w14:textId="42FBFDD7" w:rsidR="00DB331E" w:rsidRPr="00C06B2B" w:rsidRDefault="00DB331E" w:rsidP="00C06B2B">
      <w:pPr>
        <w:spacing w:before="240" w:after="240" w:line="360" w:lineRule="auto"/>
        <w:ind w:left="851" w:right="902"/>
        <w:jc w:val="both"/>
        <w:rPr>
          <w:rFonts w:ascii="Palatino Linotype" w:hAnsi="Palatino Linotype"/>
          <w:i/>
          <w:lang w:val="es-MX" w:eastAsia="es-MX"/>
        </w:rPr>
      </w:pPr>
      <w:r w:rsidRPr="00C06B2B">
        <w:rPr>
          <w:rFonts w:ascii="Palatino Linotype" w:hAnsi="Palatino Linotype"/>
          <w:i/>
          <w:color w:val="000000"/>
        </w:rPr>
        <w:t>“</w:t>
      </w:r>
      <w:r w:rsidR="00C06B2B" w:rsidRPr="00C06B2B">
        <w:rPr>
          <w:rFonts w:ascii="Palatino Linotype" w:hAnsi="Palatino Linotype"/>
          <w:i/>
          <w:lang w:val="es-MX" w:eastAsia="es-MX"/>
        </w:rPr>
        <w:t xml:space="preserve">En términos del artículo 179 de la Ley de Transparencia Local en su fracción V se interpone el presente Recurso de Revisión en virtud de que el sujeto obligado omite indicar del listado remitido, si es personal de nómina de confianza o sindicalizado, por honorarios o de lista de raya, indicando que no están obligados a elaborar documentos, sin embargo, sí poseen están </w:t>
      </w:r>
      <w:r w:rsidR="00C06B2B" w:rsidRPr="00C06B2B">
        <w:rPr>
          <w:rFonts w:ascii="Palatino Linotype" w:hAnsi="Palatino Linotype"/>
          <w:i/>
          <w:lang w:val="es-MX" w:eastAsia="es-MX"/>
        </w:rPr>
        <w:lastRenderedPageBreak/>
        <w:t>información, pues en la elaboración de nóminas, se define qué clase de servidor público es al que se le paga cada quincena y las obligaciones que el sujeto obligado tiene con estos trabajadores.</w:t>
      </w:r>
      <w:r w:rsidRPr="00C06B2B">
        <w:rPr>
          <w:rFonts w:ascii="Palatino Linotype" w:hAnsi="Palatino Linotype"/>
          <w:i/>
          <w:color w:val="000000"/>
        </w:rPr>
        <w:t>”</w:t>
      </w:r>
      <w:r w:rsidRPr="001000DF">
        <w:rPr>
          <w:rFonts w:ascii="Palatino Linotype" w:hAnsi="Palatino Linotype" w:cs="Arial"/>
          <w:i/>
          <w:sz w:val="16"/>
          <w:szCs w:val="16"/>
        </w:rPr>
        <w:t xml:space="preserve"> (</w:t>
      </w:r>
      <w:proofErr w:type="gramStart"/>
      <w:r w:rsidRPr="001000DF">
        <w:rPr>
          <w:rFonts w:ascii="Palatino Linotype" w:hAnsi="Palatino Linotype" w:cs="Arial"/>
          <w:i/>
          <w:sz w:val="16"/>
          <w:szCs w:val="16"/>
        </w:rPr>
        <w:t>sic</w:t>
      </w:r>
      <w:proofErr w:type="gramEnd"/>
      <w:r w:rsidRPr="001000DF">
        <w:rPr>
          <w:rFonts w:ascii="Palatino Linotype" w:hAnsi="Palatino Linotype" w:cs="Arial"/>
          <w:i/>
          <w:sz w:val="16"/>
          <w:szCs w:val="16"/>
        </w:rPr>
        <w:t>)</w:t>
      </w:r>
    </w:p>
    <w:p w14:paraId="16778F10" w14:textId="651306C8" w:rsidR="00DB331E" w:rsidRPr="0040233B" w:rsidRDefault="00951462" w:rsidP="00DB331E">
      <w:pPr>
        <w:spacing w:before="240" w:after="240" w:line="360" w:lineRule="auto"/>
        <w:jc w:val="both"/>
        <w:rPr>
          <w:rFonts w:ascii="Palatino Linotype" w:hAnsi="Palatino Linotype" w:cs="Arial"/>
        </w:rPr>
      </w:pPr>
      <w:r>
        <w:rPr>
          <w:rFonts w:ascii="Palatino Linotype" w:hAnsi="Palatino Linotype" w:cs="Arial"/>
          <w:b/>
          <w:sz w:val="28"/>
          <w:szCs w:val="28"/>
        </w:rPr>
        <w:t>4</w:t>
      </w:r>
      <w:r w:rsidR="00DB331E" w:rsidRPr="0040233B">
        <w:rPr>
          <w:rFonts w:ascii="Palatino Linotype" w:hAnsi="Palatino Linotype" w:cs="Arial"/>
          <w:b/>
          <w:sz w:val="28"/>
          <w:szCs w:val="28"/>
        </w:rPr>
        <w:t xml:space="preserve">. </w:t>
      </w:r>
      <w:r w:rsidR="00DB331E" w:rsidRPr="0040233B">
        <w:rPr>
          <w:rFonts w:ascii="Palatino Linotype" w:eastAsia="Calibri" w:hAnsi="Palatino Linotype" w:cs="Arial"/>
          <w:b/>
          <w:sz w:val="28"/>
          <w:szCs w:val="28"/>
        </w:rPr>
        <w:t xml:space="preserve">Turno. </w:t>
      </w:r>
      <w:r w:rsidR="00DB331E"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B331E" w:rsidRPr="0040233B">
        <w:rPr>
          <w:rFonts w:ascii="Palatino Linotype" w:hAnsi="Palatino Linotype" w:cs="Arial"/>
        </w:rPr>
        <w:t>por razón de turno fue asignado al</w:t>
      </w:r>
      <w:r w:rsidR="00DB331E" w:rsidRPr="0040233B">
        <w:rPr>
          <w:rFonts w:ascii="Palatino Linotype" w:eastAsia="Calibri" w:hAnsi="Palatino Linotype" w:cs="Arial"/>
        </w:rPr>
        <w:t xml:space="preserve"> Comisionado </w:t>
      </w:r>
      <w:r w:rsidR="00DB331E" w:rsidRPr="0040233B">
        <w:rPr>
          <w:rFonts w:ascii="Palatino Linotype" w:eastAsia="Calibri" w:hAnsi="Palatino Linotype" w:cs="Arial"/>
          <w:b/>
        </w:rPr>
        <w:t>Javier Martínez Cruz</w:t>
      </w:r>
      <w:r w:rsidR="00DB331E" w:rsidRPr="0040233B">
        <w:rPr>
          <w:rFonts w:ascii="Palatino Linotype" w:hAnsi="Palatino Linotype" w:cs="Arial"/>
        </w:rPr>
        <w:t xml:space="preserve"> para su análisis, estudio, elaboración del proyecto y </w:t>
      </w:r>
      <w:r w:rsidR="00DB331E" w:rsidRPr="0040233B">
        <w:rPr>
          <w:rFonts w:ascii="Palatino Linotype" w:eastAsia="Calibri" w:hAnsi="Palatino Linotype" w:cs="Arial"/>
        </w:rPr>
        <w:t>presentación ante el Pleno de este Instituto.</w:t>
      </w:r>
    </w:p>
    <w:p w14:paraId="03B812E3" w14:textId="6CFF5181" w:rsidR="00DB331E" w:rsidRPr="007C4CA8" w:rsidRDefault="00951462" w:rsidP="00DB331E">
      <w:pPr>
        <w:spacing w:before="240" w:after="240" w:line="360" w:lineRule="auto"/>
        <w:jc w:val="both"/>
        <w:rPr>
          <w:rFonts w:ascii="Palatino Linotype" w:hAnsi="Palatino Linotype" w:cs="Arial"/>
          <w:color w:val="C00000"/>
        </w:rPr>
      </w:pPr>
      <w:r>
        <w:rPr>
          <w:rFonts w:ascii="Palatino Linotype" w:hAnsi="Palatino Linotype" w:cs="Arial"/>
          <w:b/>
          <w:sz w:val="28"/>
          <w:szCs w:val="28"/>
        </w:rPr>
        <w:t>5</w:t>
      </w:r>
      <w:r w:rsidR="00DB331E" w:rsidRPr="0040233B">
        <w:rPr>
          <w:rFonts w:ascii="Palatino Linotype" w:hAnsi="Palatino Linotype" w:cs="Arial"/>
          <w:b/>
          <w:sz w:val="28"/>
          <w:szCs w:val="28"/>
        </w:rPr>
        <w:t xml:space="preserve">. Admisión. </w:t>
      </w:r>
      <w:r w:rsidR="00DB331E" w:rsidRPr="0040233B">
        <w:rPr>
          <w:rFonts w:ascii="Palatino Linotype" w:hAnsi="Palatino Linotype" w:cs="Arial"/>
        </w:rPr>
        <w:t xml:space="preserve">Mediante auto de fecha </w:t>
      </w:r>
      <w:r w:rsidR="00C06B2B">
        <w:rPr>
          <w:rFonts w:ascii="Palatino Linotype" w:hAnsi="Palatino Linotype" w:cs="Arial"/>
          <w:color w:val="C00000"/>
        </w:rPr>
        <w:t xml:space="preserve">cinco de diciembre </w:t>
      </w:r>
      <w:r w:rsidR="00C06B2B" w:rsidRPr="00C06B2B">
        <w:rPr>
          <w:rFonts w:ascii="Palatino Linotype" w:hAnsi="Palatino Linotype" w:cs="Arial"/>
        </w:rPr>
        <w:t>de dos mil dieciocho</w:t>
      </w:r>
      <w:r w:rsidR="00DB331E" w:rsidRPr="0040233B">
        <w:rPr>
          <w:rFonts w:ascii="Palatino Linotype" w:hAnsi="Palatino Linotype" w:cs="Arial"/>
        </w:rPr>
        <w:t xml:space="preserve">, este Órgano Garante, admitió a trámite el recurso de revisión respectivo, poniéndose a disposición de las partes, para que un plazo no mayor a siete días </w:t>
      </w:r>
      <w:r w:rsidR="00DB331E">
        <w:rPr>
          <w:rFonts w:ascii="Palatino Linotype" w:hAnsi="Palatino Linotype" w:cs="Arial"/>
        </w:rPr>
        <w:t xml:space="preserve">hábiles </w:t>
      </w:r>
      <w:r w:rsidR="00DB331E" w:rsidRPr="0040233B">
        <w:rPr>
          <w:rFonts w:ascii="Palatino Linotype" w:hAnsi="Palatino Linotype" w:cs="Arial"/>
        </w:rPr>
        <w:t xml:space="preserve">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14:paraId="47B9392D" w14:textId="7586F938" w:rsidR="00DB331E" w:rsidRPr="00241DDC" w:rsidRDefault="00951462" w:rsidP="00DB331E">
      <w:pPr>
        <w:spacing w:before="240" w:after="240" w:line="360" w:lineRule="auto"/>
        <w:jc w:val="both"/>
        <w:rPr>
          <w:rFonts w:ascii="Palatino Linotype" w:eastAsia="Calibri" w:hAnsi="Palatino Linotype" w:cs="Arial"/>
          <w:b/>
        </w:rPr>
      </w:pPr>
      <w:r>
        <w:rPr>
          <w:rFonts w:ascii="Palatino Linotype" w:hAnsi="Palatino Linotype" w:cs="Arial"/>
          <w:b/>
          <w:sz w:val="28"/>
          <w:szCs w:val="28"/>
        </w:rPr>
        <w:t>6</w:t>
      </w:r>
      <w:r w:rsidR="00DB331E" w:rsidRPr="0040233B">
        <w:rPr>
          <w:rFonts w:ascii="Palatino Linotype" w:hAnsi="Palatino Linotype" w:cs="Arial"/>
          <w:b/>
          <w:sz w:val="28"/>
          <w:szCs w:val="28"/>
        </w:rPr>
        <w:t>. Manifestaciones.</w:t>
      </w:r>
      <w:r w:rsidR="00DB331E" w:rsidRPr="0040233B">
        <w:t xml:space="preserve"> </w:t>
      </w:r>
      <w:r w:rsidR="00DB331E" w:rsidRPr="00F123D8">
        <w:rPr>
          <w:rFonts w:ascii="Palatino Linotype" w:hAnsi="Palatino Linotype"/>
        </w:rPr>
        <w:t>De las constancias del expediente electrónico del</w:t>
      </w:r>
      <w:r w:rsidR="00DB331E" w:rsidRPr="00F123D8">
        <w:rPr>
          <w:rFonts w:ascii="Palatino Linotype" w:hAnsi="Palatino Linotype" w:cs="Arial"/>
          <w:b/>
        </w:rPr>
        <w:t xml:space="preserve"> SAIMEX</w:t>
      </w:r>
      <w:r w:rsidR="00DB331E" w:rsidRPr="00F123D8">
        <w:rPr>
          <w:rFonts w:ascii="Palatino Linotype" w:hAnsi="Palatino Linotype"/>
        </w:rPr>
        <w:t xml:space="preserve">, se observa que </w:t>
      </w:r>
      <w:r w:rsidR="00DB331E">
        <w:rPr>
          <w:rFonts w:ascii="Palatino Linotype" w:hAnsi="Palatino Linotype"/>
        </w:rPr>
        <w:t xml:space="preserve">el </w:t>
      </w:r>
      <w:r>
        <w:rPr>
          <w:rFonts w:ascii="Palatino Linotype" w:hAnsi="Palatino Linotype"/>
          <w:b/>
          <w:i/>
        </w:rPr>
        <w:t>Recurrente</w:t>
      </w:r>
      <w:r w:rsidR="00DB331E">
        <w:rPr>
          <w:rFonts w:ascii="Palatino Linotype" w:hAnsi="Palatino Linotype"/>
          <w:b/>
        </w:rPr>
        <w:t xml:space="preserve"> </w:t>
      </w:r>
      <w:r w:rsidR="00DB331E">
        <w:rPr>
          <w:rFonts w:ascii="Palatino Linotype" w:hAnsi="Palatino Linotype"/>
        </w:rPr>
        <w:t xml:space="preserve">fue omiso en presentar </w:t>
      </w:r>
      <w:r>
        <w:rPr>
          <w:rFonts w:ascii="Palatino Linotype" w:hAnsi="Palatino Linotype"/>
        </w:rPr>
        <w:t>alegatos, pruebas o lo que a sus intereses conviniera</w:t>
      </w:r>
      <w:r w:rsidR="00DB331E">
        <w:rPr>
          <w:rFonts w:ascii="Palatino Linotype" w:hAnsi="Palatino Linotype"/>
        </w:rPr>
        <w:t xml:space="preserve">, mientras que </w:t>
      </w:r>
      <w:r>
        <w:rPr>
          <w:rFonts w:ascii="Palatino Linotype" w:hAnsi="Palatino Linotype"/>
        </w:rPr>
        <w:t xml:space="preserve">el </w:t>
      </w:r>
      <w:r>
        <w:rPr>
          <w:rFonts w:ascii="Palatino Linotype" w:hAnsi="Palatino Linotype"/>
          <w:b/>
        </w:rPr>
        <w:t xml:space="preserve">Sujeto Obligado </w:t>
      </w:r>
      <w:r>
        <w:rPr>
          <w:rFonts w:ascii="Palatino Linotype" w:hAnsi="Palatino Linotype"/>
        </w:rPr>
        <w:t xml:space="preserve">en fecha </w:t>
      </w:r>
      <w:r w:rsidR="00C06B2B">
        <w:rPr>
          <w:rFonts w:ascii="Palatino Linotype" w:hAnsi="Palatino Linotype"/>
        </w:rPr>
        <w:t>catorce de diciembre</w:t>
      </w:r>
      <w:r w:rsidR="004267B7">
        <w:rPr>
          <w:rFonts w:ascii="Palatino Linotype" w:hAnsi="Palatino Linotype"/>
        </w:rPr>
        <w:t xml:space="preserve"> </w:t>
      </w:r>
      <w:r>
        <w:rPr>
          <w:rFonts w:ascii="Palatino Linotype" w:hAnsi="Palatino Linotype"/>
        </w:rPr>
        <w:t xml:space="preserve">de dos mil dieciocho, rindió su informe justificado </w:t>
      </w:r>
      <w:r w:rsidR="00C06B2B">
        <w:rPr>
          <w:rFonts w:ascii="Palatino Linotype" w:hAnsi="Palatino Linotype"/>
        </w:rPr>
        <w:t xml:space="preserve">agregando una tabla con los </w:t>
      </w:r>
      <w:r w:rsidR="00C06B2B">
        <w:rPr>
          <w:rFonts w:ascii="Palatino Linotype" w:hAnsi="Palatino Linotype"/>
        </w:rPr>
        <w:lastRenderedPageBreak/>
        <w:t>rubros número de nómina, nombre, sueldo bruto, sueldo neto, área de adscripción y tipo de personal</w:t>
      </w:r>
      <w:r>
        <w:rPr>
          <w:rFonts w:ascii="Palatino Linotype" w:hAnsi="Palatino Linotype"/>
        </w:rPr>
        <w:t>, l</w:t>
      </w:r>
      <w:r w:rsidR="00C06B2B">
        <w:rPr>
          <w:rFonts w:ascii="Palatino Linotype" w:hAnsi="Palatino Linotype"/>
        </w:rPr>
        <w:t>a</w:t>
      </w:r>
      <w:r>
        <w:rPr>
          <w:rFonts w:ascii="Palatino Linotype" w:hAnsi="Palatino Linotype"/>
        </w:rPr>
        <w:t xml:space="preserve"> cual será analizad</w:t>
      </w:r>
      <w:r w:rsidR="00C06B2B">
        <w:rPr>
          <w:rFonts w:ascii="Palatino Linotype" w:hAnsi="Palatino Linotype"/>
        </w:rPr>
        <w:t>a</w:t>
      </w:r>
      <w:r>
        <w:rPr>
          <w:rFonts w:ascii="Palatino Linotype" w:hAnsi="Palatino Linotype"/>
        </w:rPr>
        <w:t xml:space="preserve"> en el apartado correspondiente, por lo que se reserva su transcripción en obvio de repeticiones, </w:t>
      </w:r>
      <w:r w:rsidR="00255E89">
        <w:rPr>
          <w:rFonts w:ascii="Palatino Linotype" w:hAnsi="Palatino Linotype"/>
        </w:rPr>
        <w:t>no obstante, que no atiende el requerimiento de información</w:t>
      </w:r>
      <w:r w:rsidR="00207251">
        <w:rPr>
          <w:rFonts w:ascii="Palatino Linotype" w:hAnsi="Palatino Linotype"/>
        </w:rPr>
        <w:t>.</w:t>
      </w:r>
    </w:p>
    <w:p w14:paraId="4B155E3D" w14:textId="5809833B" w:rsidR="007428C7" w:rsidRDefault="00951462" w:rsidP="00AC10EF">
      <w:pPr>
        <w:spacing w:before="240" w:after="240" w:line="360" w:lineRule="auto"/>
        <w:jc w:val="both"/>
        <w:rPr>
          <w:rFonts w:ascii="Palatino Linotype" w:hAnsi="Palatino Linotype"/>
        </w:rPr>
      </w:pPr>
      <w:r>
        <w:rPr>
          <w:rFonts w:ascii="Palatino Linotype" w:eastAsia="Calibri" w:hAnsi="Palatino Linotype" w:cs="Arial"/>
          <w:b/>
          <w:sz w:val="28"/>
          <w:szCs w:val="28"/>
        </w:rPr>
        <w:t>7</w:t>
      </w:r>
      <w:r w:rsidR="00945D23" w:rsidRPr="0040233B">
        <w:rPr>
          <w:rFonts w:ascii="Palatino Linotype" w:eastAsia="Calibri" w:hAnsi="Palatino Linotype" w:cs="Arial"/>
          <w:b/>
          <w:sz w:val="28"/>
          <w:szCs w:val="28"/>
        </w:rPr>
        <w:t xml:space="preserve">. Cierre de Instrucción. </w:t>
      </w:r>
      <w:r w:rsidR="00945D23" w:rsidRPr="0040233B">
        <w:rPr>
          <w:rFonts w:ascii="Palatino Linotype" w:eastAsia="Calibri" w:hAnsi="Palatino Linotype" w:cs="Arial"/>
        </w:rPr>
        <w:t>Una vez transcurrido el plazo otorgado</w:t>
      </w:r>
      <w:r w:rsidR="00945D23">
        <w:rPr>
          <w:rFonts w:ascii="Palatino Linotype" w:eastAsia="Calibri" w:hAnsi="Palatino Linotype" w:cs="Arial"/>
        </w:rPr>
        <w:t xml:space="preserve"> para que las partes manifestara</w:t>
      </w:r>
      <w:r w:rsidR="00945D23" w:rsidRPr="0040233B">
        <w:rPr>
          <w:rFonts w:ascii="Palatino Linotype" w:eastAsia="Calibri" w:hAnsi="Palatino Linotype" w:cs="Arial"/>
        </w:rPr>
        <w:t xml:space="preserve">n lo que a su derecho conviniera, y siguiendo </w:t>
      </w:r>
      <w:r w:rsidR="00945D23" w:rsidRPr="0040233B">
        <w:rPr>
          <w:rFonts w:ascii="Palatino Linotype" w:hAnsi="Palatino Linotype"/>
        </w:rPr>
        <w:t>los trámites correspondientes con fundamento en el artículo 185 fracción VI de la Ley de Transparencia y Acceso a la Información Pública del Estado de México y Municipios</w:t>
      </w:r>
      <w:r w:rsidR="00945D23">
        <w:rPr>
          <w:rFonts w:ascii="Palatino Linotype" w:hAnsi="Palatino Linotype"/>
        </w:rPr>
        <w:t>,</w:t>
      </w:r>
      <w:r w:rsidR="00945D23" w:rsidRPr="0040233B">
        <w:rPr>
          <w:rFonts w:ascii="Palatino Linotype" w:hAnsi="Palatino Linotype"/>
        </w:rPr>
        <w:t xml:space="preserve"> el día </w:t>
      </w:r>
      <w:r w:rsidR="00174B9F">
        <w:rPr>
          <w:rFonts w:ascii="Palatino Linotype" w:hAnsi="Palatino Linotype"/>
          <w:color w:val="C00000"/>
        </w:rPr>
        <w:t>cinco de febrero</w:t>
      </w:r>
      <w:r w:rsidR="00945D23" w:rsidRPr="001C5205">
        <w:rPr>
          <w:rFonts w:ascii="Palatino Linotype" w:hAnsi="Palatino Linotype"/>
          <w:color w:val="C00000"/>
        </w:rPr>
        <w:t xml:space="preserve"> </w:t>
      </w:r>
      <w:r w:rsidR="00945D23" w:rsidRPr="0040233B">
        <w:rPr>
          <w:rFonts w:ascii="Palatino Linotype" w:hAnsi="Palatino Linotype"/>
        </w:rPr>
        <w:t xml:space="preserve">de </w:t>
      </w:r>
      <w:r w:rsidR="00C06B2B">
        <w:rPr>
          <w:rFonts w:ascii="Palatino Linotype" w:hAnsi="Palatino Linotype"/>
        </w:rPr>
        <w:t>los corrientes,</w:t>
      </w:r>
      <w:r w:rsidR="00945D23" w:rsidRPr="0040233B">
        <w:rPr>
          <w:rFonts w:ascii="Palatino Linotype" w:hAnsi="Palatino Linotype"/>
        </w:rPr>
        <w:t xml:space="preserve"> se procedió a decretar el cierre de instrucción respectivo. </w:t>
      </w:r>
    </w:p>
    <w:p w14:paraId="7E999664" w14:textId="4C89E0E6" w:rsidR="00945D23" w:rsidRPr="00DA0B77" w:rsidRDefault="00945D23" w:rsidP="00945D23">
      <w:pPr>
        <w:spacing w:before="240" w:line="360" w:lineRule="auto"/>
        <w:jc w:val="both"/>
        <w:rPr>
          <w:rFonts w:ascii="Palatino Linotype" w:eastAsia="Calibri" w:hAnsi="Palatino Linotype" w:cs="Arial"/>
          <w:szCs w:val="28"/>
        </w:rPr>
      </w:pPr>
      <w:r w:rsidRPr="00DA0B77">
        <w:rPr>
          <w:rFonts w:ascii="Palatino Linotype" w:eastAsia="Calibri" w:hAnsi="Palatino Linotype" w:cs="Arial"/>
          <w:szCs w:val="28"/>
        </w:rPr>
        <w:t>En razón de que fue debidamente substanciado el expediente y no existiendo diligencia pendiente de desahogo, se ordenó emitir la resolución que conforme a derecho proceda, de acuerdo a los siguientes:</w:t>
      </w:r>
    </w:p>
    <w:p w14:paraId="2326DF6F" w14:textId="24030FE1" w:rsidR="000A515A" w:rsidRDefault="000A515A" w:rsidP="004A6EFE">
      <w:pPr>
        <w:pStyle w:val="Ttulo2"/>
        <w:jc w:val="center"/>
        <w:rPr>
          <w:rFonts w:ascii="Palatino Linotype" w:hAnsi="Palatino Linotype"/>
          <w:b/>
          <w:color w:val="auto"/>
          <w:sz w:val="24"/>
          <w:szCs w:val="24"/>
        </w:rPr>
      </w:pPr>
    </w:p>
    <w:p w14:paraId="7CD5D137" w14:textId="6E97D5DD"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445D27E5" w14:textId="7D1D7128" w:rsidR="002339A2" w:rsidRDefault="00516E6A"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PRIMERO</w:t>
      </w:r>
      <w:r w:rsidR="008E7698" w:rsidRPr="0040233B">
        <w:rPr>
          <w:rFonts w:ascii="Palatino Linotype" w:hAnsi="Palatino Linotype" w:cs="Arial"/>
          <w:b/>
          <w:sz w:val="28"/>
          <w:szCs w:val="28"/>
        </w:rPr>
        <w:t>. Competencia</w:t>
      </w:r>
      <w:r w:rsidR="008E7698" w:rsidRPr="0040233B">
        <w:rPr>
          <w:rFonts w:ascii="Palatino Linotype" w:hAnsi="Palatino Linotype" w:cs="Arial"/>
          <w:b/>
        </w:rPr>
        <w:t xml:space="preserve">. </w:t>
      </w:r>
    </w:p>
    <w:p w14:paraId="0B1FAD6B" w14:textId="6005CF00" w:rsidR="00A5404F" w:rsidRDefault="00A5404F" w:rsidP="008E7698">
      <w:pPr>
        <w:spacing w:before="240" w:after="240" w:line="360" w:lineRule="auto"/>
        <w:jc w:val="both"/>
        <w:rPr>
          <w:rFonts w:ascii="Palatino Linotype" w:hAnsi="Palatino Linotype"/>
          <w:shd w:val="clear" w:color="auto" w:fill="FFFFFF"/>
        </w:rPr>
      </w:pPr>
      <w:r w:rsidRPr="0040233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0233B">
        <w:rPr>
          <w:rFonts w:ascii="Palatino Linotype" w:hAnsi="Palatino Linotype"/>
          <w:shd w:val="clear" w:color="auto" w:fill="FFFFFF"/>
        </w:rPr>
        <w:t>Recurrente</w:t>
      </w:r>
      <w:r w:rsidRPr="0040233B">
        <w:rPr>
          <w:rFonts w:ascii="Palatino Linotype" w:hAnsi="Palatino Linotype"/>
          <w:shd w:val="clear" w:color="auto" w:fill="FFFFFF"/>
        </w:rPr>
        <w:t>, conforme a lo dispuesto en los artículos 6, apartado A de la Constitución Política de los Estados Unidos Mexican</w:t>
      </w:r>
      <w:r w:rsidR="00D371C6" w:rsidRPr="0040233B">
        <w:rPr>
          <w:rFonts w:ascii="Palatino Linotype" w:hAnsi="Palatino Linotype"/>
          <w:shd w:val="clear" w:color="auto" w:fill="FFFFFF"/>
        </w:rPr>
        <w:t xml:space="preserve">os; 5, párrafos </w:t>
      </w:r>
      <w:r w:rsidR="00492398">
        <w:rPr>
          <w:rFonts w:ascii="Palatino Linotype" w:hAnsi="Palatino Linotype"/>
          <w:shd w:val="clear" w:color="auto" w:fill="FFFFFF"/>
        </w:rPr>
        <w:t xml:space="preserve">vigésimo, vigésimo primero y vigésimo </w:t>
      </w:r>
      <w:r w:rsidR="00492398">
        <w:rPr>
          <w:rFonts w:ascii="Palatino Linotype" w:hAnsi="Palatino Linotype"/>
          <w:shd w:val="clear" w:color="auto" w:fill="FFFFFF"/>
        </w:rPr>
        <w:lastRenderedPageBreak/>
        <w:t>segundo</w:t>
      </w:r>
      <w:r w:rsidR="00077347" w:rsidRPr="0040233B">
        <w:rPr>
          <w:rFonts w:ascii="Palatino Linotype" w:hAnsi="Palatino Linotype"/>
          <w:shd w:val="clear" w:color="auto" w:fill="FFFFFF"/>
        </w:rPr>
        <w:t xml:space="preserve"> </w:t>
      </w:r>
      <w:r w:rsidR="00E672B7" w:rsidRPr="0040233B">
        <w:rPr>
          <w:rFonts w:ascii="Palatino Linotype" w:hAnsi="Palatino Linotype"/>
          <w:shd w:val="clear" w:color="auto" w:fill="FFFFFF"/>
        </w:rPr>
        <w:t>fraccio</w:t>
      </w:r>
      <w:r w:rsidR="00E672B7">
        <w:rPr>
          <w:rFonts w:ascii="Palatino Linotype" w:hAnsi="Palatino Linotype"/>
          <w:shd w:val="clear" w:color="auto" w:fill="FFFFFF"/>
        </w:rPr>
        <w:t>n</w:t>
      </w:r>
      <w:r w:rsidR="00E672B7" w:rsidRPr="0040233B">
        <w:rPr>
          <w:rFonts w:ascii="Palatino Linotype" w:hAnsi="Palatino Linotype"/>
          <w:shd w:val="clear" w:color="auto" w:fill="FFFFFF"/>
        </w:rPr>
        <w:t>e</w:t>
      </w:r>
      <w:r w:rsidR="00E672B7">
        <w:rPr>
          <w:rFonts w:ascii="Palatino Linotype" w:hAnsi="Palatino Linotype"/>
          <w:shd w:val="clear" w:color="auto" w:fill="FFFFFF"/>
        </w:rPr>
        <w:t>s</w:t>
      </w:r>
      <w:r w:rsidR="00D371C6" w:rsidRPr="0040233B">
        <w:rPr>
          <w:rFonts w:ascii="Palatino Linotype" w:hAnsi="Palatino Linotype"/>
          <w:shd w:val="clear" w:color="auto" w:fill="FFFFFF"/>
        </w:rPr>
        <w:t xml:space="preserve"> IV y V </w:t>
      </w:r>
      <w:r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del Estado de México y Municipios</w:t>
      </w:r>
      <w:r w:rsidRPr="0040233B">
        <w:rPr>
          <w:rFonts w:ascii="Palatino Linotype" w:hAnsi="Palatino Linotype"/>
          <w:shd w:val="clear" w:color="auto" w:fill="FFFFFF"/>
        </w:rPr>
        <w:t>;</w:t>
      </w:r>
      <w:r w:rsidRPr="0040233B">
        <w:rPr>
          <w:rStyle w:val="apple-converted-space"/>
          <w:rFonts w:ascii="Palatino Linotype" w:hAnsi="Palatino Linotype"/>
          <w:shd w:val="clear" w:color="auto" w:fill="FFFFFF"/>
        </w:rPr>
        <w:t> </w:t>
      </w:r>
      <w:r w:rsidR="00EB16EF" w:rsidRPr="00FC4616">
        <w:rPr>
          <w:rFonts w:ascii="Palatino Linotype" w:hAnsi="Palatino Linotype" w:cs="Arial"/>
        </w:rPr>
        <w:t>9 fracciones I, XXIV y 11</w:t>
      </w:r>
      <w:r w:rsidR="00EB16EF" w:rsidRPr="00025A37">
        <w:rPr>
          <w:rFonts w:ascii="Palatino Linotype" w:hAnsi="Palatino Linotype" w:cs="Arial"/>
        </w:rPr>
        <w:t xml:space="preserve"> </w:t>
      </w:r>
      <w:r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AC45332" w14:textId="77777777" w:rsidR="00EB16EF" w:rsidRPr="008E7F84" w:rsidRDefault="00DF134A" w:rsidP="00EB16EF">
      <w:pPr>
        <w:spacing w:before="240" w:after="240" w:line="360" w:lineRule="auto"/>
        <w:jc w:val="both"/>
        <w:rPr>
          <w:rFonts w:ascii="Palatino Linotype" w:hAnsi="Palatino Linotype" w:cs="Arial"/>
        </w:rPr>
      </w:pPr>
      <w:r w:rsidRPr="00CE4CC9">
        <w:rPr>
          <w:rFonts w:ascii="Palatino Linotype" w:hAnsi="Palatino Linotype" w:cs="Arial"/>
          <w:b/>
          <w:sz w:val="28"/>
          <w:szCs w:val="28"/>
        </w:rPr>
        <w:t xml:space="preserve">SEGUNDO. Oportunidad y </w:t>
      </w:r>
      <w:proofErr w:type="spellStart"/>
      <w:r w:rsidRPr="00CE4CC9">
        <w:rPr>
          <w:rFonts w:ascii="Palatino Linotype" w:hAnsi="Palatino Linotype" w:cs="Arial"/>
          <w:b/>
          <w:sz w:val="28"/>
          <w:szCs w:val="28"/>
        </w:rPr>
        <w:t>Procediblidad</w:t>
      </w:r>
      <w:proofErr w:type="spellEnd"/>
      <w:r w:rsidRPr="00CE4CC9">
        <w:rPr>
          <w:rFonts w:ascii="Palatino Linotype" w:hAnsi="Palatino Linotype" w:cs="Arial"/>
          <w:b/>
          <w:sz w:val="28"/>
          <w:szCs w:val="28"/>
        </w:rPr>
        <w:t xml:space="preserve"> del Recurso de Revisión.</w:t>
      </w:r>
      <w:r w:rsidRPr="0040233B">
        <w:rPr>
          <w:rFonts w:ascii="Palatino Linotype" w:hAnsi="Palatino Linotype" w:cs="Arial"/>
          <w:b/>
        </w:rPr>
        <w:t xml:space="preserve"> </w:t>
      </w:r>
      <w:r w:rsidR="00EB16EF" w:rsidRPr="009A0D0D">
        <w:rPr>
          <w:rFonts w:ascii="Palatino Linotype" w:hAnsi="Palatino Linotype" w:cs="Arial"/>
        </w:rPr>
        <w:t xml:space="preserve">Previo al estudio del fondo del asunto, se procede a analizar los requisitos de oportunidad y </w:t>
      </w:r>
      <w:proofErr w:type="spellStart"/>
      <w:r w:rsidR="00EB16EF" w:rsidRPr="009A0D0D">
        <w:rPr>
          <w:rFonts w:ascii="Palatino Linotype" w:hAnsi="Palatino Linotype" w:cs="Arial"/>
        </w:rPr>
        <w:t>procedibilidad</w:t>
      </w:r>
      <w:proofErr w:type="spellEnd"/>
      <w:r w:rsidR="00EB16EF" w:rsidRPr="009A0D0D">
        <w:rPr>
          <w:rFonts w:ascii="Palatino Linotype" w:hAnsi="Palatino Linotype" w:cs="Arial"/>
        </w:rPr>
        <w:t xml:space="preserve"> que debe reunir </w:t>
      </w:r>
      <w:r w:rsidR="00EB16EF">
        <w:rPr>
          <w:rFonts w:ascii="Palatino Linotype" w:hAnsi="Palatino Linotype" w:cs="Arial"/>
        </w:rPr>
        <w:t>el</w:t>
      </w:r>
      <w:r w:rsidR="00EB16EF" w:rsidRPr="009A0D0D">
        <w:rPr>
          <w:rFonts w:ascii="Palatino Linotype" w:hAnsi="Palatino Linotype" w:cs="Arial"/>
        </w:rPr>
        <w:t xml:space="preserve"> recurso de revisión interpuesto, previstos en los artículos </w:t>
      </w:r>
      <w:r w:rsidR="00EB16EF" w:rsidRPr="009A0D0D">
        <w:rPr>
          <w:rFonts w:ascii="Palatino Linotype" w:hAnsi="Palatino Linotype" w:cs="Arial"/>
          <w:lang w:val="es-MX"/>
        </w:rPr>
        <w:t>178 y 180 de la Ley de Transparencia y Acceso a la Información Pública del Estado de México y Municipios</w:t>
      </w:r>
      <w:r w:rsidR="00EB16EF" w:rsidRPr="009A0D0D">
        <w:rPr>
          <w:rFonts w:ascii="Palatino Linotype" w:hAnsi="Palatino Linotype" w:cs="Arial"/>
          <w:lang w:val="es-MX" w:eastAsia="es-MX"/>
        </w:rPr>
        <w:t>.</w:t>
      </w:r>
      <w:r w:rsidR="00EB16EF">
        <w:rPr>
          <w:rFonts w:ascii="Palatino Linotype" w:hAnsi="Palatino Linotype" w:cs="Arial"/>
          <w:lang w:val="es-MX" w:eastAsia="es-MX"/>
        </w:rPr>
        <w:t xml:space="preserve"> </w:t>
      </w:r>
    </w:p>
    <w:p w14:paraId="08B89569" w14:textId="16AB4B9A" w:rsidR="00EB16EF" w:rsidRPr="00DE5A2A" w:rsidRDefault="00EB16EF" w:rsidP="00EB16EF">
      <w:pPr>
        <w:spacing w:before="240" w:after="240" w:line="360" w:lineRule="auto"/>
        <w:jc w:val="both"/>
        <w:rPr>
          <w:rFonts w:ascii="Palatino Linotype" w:hAnsi="Palatino Linotype" w:cs="Arial"/>
          <w:i/>
        </w:rPr>
      </w:pPr>
      <w:r>
        <w:rPr>
          <w:rFonts w:ascii="Palatino Linotype" w:hAnsi="Palatino Linotype" w:cs="Arial"/>
        </w:rPr>
        <w:t>El recurso de revisión fue interpuesto</w:t>
      </w:r>
      <w:r w:rsidRPr="00A12934">
        <w:rPr>
          <w:rFonts w:ascii="Palatino Linotype" w:hAnsi="Palatino Linotype" w:cs="Arial"/>
        </w:rPr>
        <w:t xml:space="preserve"> dentro del plazo de quince días hábiles previsto en el artículo 178 de la </w:t>
      </w:r>
      <w:r w:rsidRPr="00A12934">
        <w:rPr>
          <w:rFonts w:ascii="Palatino Linotype" w:hAnsi="Palatino Linotype" w:cs="Arial"/>
          <w:lang w:val="es-MX"/>
        </w:rPr>
        <w:t xml:space="preserve">Ley de Transparencia y Acceso a la Información Pública del Estado de México y Municipios, </w:t>
      </w:r>
      <w:r w:rsidRPr="00A12934">
        <w:rPr>
          <w:rFonts w:ascii="Palatino Linotype" w:hAnsi="Palatino Linotype" w:cs="Arial"/>
        </w:rPr>
        <w:t xml:space="preserve">contados a partir de la fecha en que el Sujeto Obligado emitió la respuesta, toda vez que </w:t>
      </w:r>
      <w:r w:rsidR="00B51646">
        <w:rPr>
          <w:rFonts w:ascii="Palatino Linotype" w:hAnsi="Palatino Linotype" w:cs="Arial"/>
        </w:rPr>
        <w:t>ésta</w:t>
      </w:r>
      <w:r>
        <w:rPr>
          <w:rFonts w:ascii="Palatino Linotype" w:hAnsi="Palatino Linotype" w:cs="Arial"/>
        </w:rPr>
        <w:t xml:space="preserve"> fue </w:t>
      </w:r>
      <w:r w:rsidRPr="00A12934">
        <w:rPr>
          <w:rFonts w:ascii="Palatino Linotype" w:hAnsi="Palatino Linotype" w:cs="Arial"/>
        </w:rPr>
        <w:t xml:space="preserve">pronunciada el día </w:t>
      </w:r>
      <w:r w:rsidR="00A6358E">
        <w:rPr>
          <w:rFonts w:ascii="Palatino Linotype" w:hAnsi="Palatino Linotype" w:cs="Arial"/>
        </w:rPr>
        <w:t>veintiséis de noviembre</w:t>
      </w:r>
      <w:r w:rsidR="007277C3">
        <w:rPr>
          <w:rFonts w:ascii="Palatino Linotype" w:hAnsi="Palatino Linotype" w:cs="Arial"/>
        </w:rPr>
        <w:t xml:space="preserve"> de dos mil dieciocho</w:t>
      </w:r>
      <w:r w:rsidRPr="00A12934">
        <w:rPr>
          <w:rFonts w:ascii="Palatino Linotype" w:hAnsi="Palatino Linotype" w:cs="Arial"/>
        </w:rPr>
        <w:t xml:space="preserve">, mientras que </w:t>
      </w:r>
      <w:r w:rsidR="00523451">
        <w:rPr>
          <w:rFonts w:ascii="Palatino Linotype" w:hAnsi="Palatino Linotype" w:cs="Arial"/>
        </w:rPr>
        <w:t xml:space="preserve">el </w:t>
      </w:r>
      <w:r w:rsidR="00523451" w:rsidRPr="003D20B9">
        <w:rPr>
          <w:rFonts w:ascii="Palatino Linotype" w:hAnsi="Palatino Linotype" w:cs="Arial"/>
          <w:b/>
          <w:i/>
        </w:rPr>
        <w:t>Recurrente</w:t>
      </w:r>
      <w:r w:rsidR="00523451">
        <w:rPr>
          <w:rFonts w:ascii="Palatino Linotype" w:hAnsi="Palatino Linotype" w:cs="Arial"/>
        </w:rPr>
        <w:t xml:space="preserve"> </w:t>
      </w:r>
      <w:r w:rsidRPr="00A12934">
        <w:rPr>
          <w:rFonts w:ascii="Palatino Linotype" w:hAnsi="Palatino Linotype" w:cs="Arial"/>
        </w:rPr>
        <w:t xml:space="preserve">interpuso </w:t>
      </w:r>
      <w:r>
        <w:rPr>
          <w:rFonts w:ascii="Palatino Linotype" w:hAnsi="Palatino Linotype" w:cs="Arial"/>
        </w:rPr>
        <w:t xml:space="preserve">el recurso </w:t>
      </w:r>
      <w:r w:rsidRPr="00A12934">
        <w:rPr>
          <w:rFonts w:ascii="Palatino Linotype" w:hAnsi="Palatino Linotype" w:cs="Arial"/>
        </w:rPr>
        <w:t xml:space="preserve">de revisión el </w:t>
      </w:r>
      <w:r w:rsidR="00A6358E">
        <w:rPr>
          <w:rFonts w:ascii="Palatino Linotype" w:hAnsi="Palatino Linotype" w:cs="Arial"/>
        </w:rPr>
        <w:t>treinta</w:t>
      </w:r>
      <w:r w:rsidRPr="00733E1C">
        <w:rPr>
          <w:rFonts w:ascii="Palatino Linotype" w:hAnsi="Palatino Linotype" w:cs="Arial"/>
        </w:rPr>
        <w:t xml:space="preserve"> </w:t>
      </w:r>
      <w:r w:rsidR="007277C3" w:rsidRPr="00733E1C">
        <w:rPr>
          <w:rFonts w:ascii="Palatino Linotype" w:hAnsi="Palatino Linotype" w:cs="Arial"/>
        </w:rPr>
        <w:t>del mismo</w:t>
      </w:r>
      <w:r w:rsidR="00A6358E">
        <w:rPr>
          <w:rFonts w:ascii="Palatino Linotype" w:hAnsi="Palatino Linotype" w:cs="Arial"/>
        </w:rPr>
        <w:t xml:space="preserve"> mes y </w:t>
      </w:r>
      <w:r w:rsidR="007277C3" w:rsidRPr="00733E1C">
        <w:rPr>
          <w:rFonts w:ascii="Palatino Linotype" w:hAnsi="Palatino Linotype" w:cs="Arial"/>
        </w:rPr>
        <w:t>año</w:t>
      </w:r>
      <w:r w:rsidR="00421638" w:rsidRPr="00733E1C">
        <w:rPr>
          <w:rFonts w:ascii="Palatino Linotype" w:hAnsi="Palatino Linotype" w:cs="Arial"/>
        </w:rPr>
        <w:t>.</w:t>
      </w:r>
    </w:p>
    <w:p w14:paraId="2DF3D6D4" w14:textId="77777777" w:rsidR="00733E1C" w:rsidRDefault="00733E1C" w:rsidP="00733E1C">
      <w:pPr>
        <w:spacing w:before="240" w:after="240" w:line="360" w:lineRule="auto"/>
        <w:jc w:val="both"/>
        <w:rPr>
          <w:rFonts w:ascii="Palatino Linotype" w:hAnsi="Palatino Linotype" w:cs="Arial"/>
        </w:rPr>
      </w:pPr>
      <w:r w:rsidRPr="00A12934">
        <w:rPr>
          <w:rFonts w:ascii="Palatino Linotype" w:hAnsi="Palatino Linotype" w:cs="Arial"/>
        </w:rPr>
        <w:t xml:space="preserve">En ese sentido, al considerar la fecha en que se </w:t>
      </w:r>
      <w:r>
        <w:rPr>
          <w:rFonts w:ascii="Palatino Linotype" w:hAnsi="Palatino Linotype" w:cs="Arial"/>
        </w:rPr>
        <w:t>formuló</w:t>
      </w:r>
      <w:r w:rsidRPr="00A12934">
        <w:rPr>
          <w:rFonts w:ascii="Palatino Linotype" w:hAnsi="Palatino Linotype" w:cs="Arial"/>
        </w:rPr>
        <w:t xml:space="preserve"> la solicitud y la fecha en la que respondió a </w:t>
      </w:r>
      <w:r>
        <w:rPr>
          <w:rFonts w:ascii="Palatino Linotype" w:hAnsi="Palatino Linotype" w:cs="Arial"/>
        </w:rPr>
        <w:t xml:space="preserve">ésta </w:t>
      </w:r>
      <w:r w:rsidRPr="00A12934">
        <w:rPr>
          <w:rFonts w:ascii="Palatino Linotype" w:hAnsi="Palatino Linotype" w:cs="Arial"/>
        </w:rPr>
        <w:t xml:space="preserve">el </w:t>
      </w:r>
      <w:r w:rsidRPr="002A3196">
        <w:rPr>
          <w:rFonts w:ascii="Palatino Linotype" w:hAnsi="Palatino Linotype" w:cs="Arial"/>
          <w:b/>
        </w:rPr>
        <w:t>Sujeto Obligado</w:t>
      </w:r>
      <w:r w:rsidRPr="00A12934">
        <w:rPr>
          <w:rFonts w:ascii="Palatino Linotype" w:hAnsi="Palatino Linotype" w:cs="Arial"/>
        </w:rPr>
        <w:t xml:space="preserve">; así como, en la que se </w:t>
      </w:r>
      <w:r>
        <w:rPr>
          <w:rFonts w:ascii="Palatino Linotype" w:hAnsi="Palatino Linotype" w:cs="Arial"/>
        </w:rPr>
        <w:t xml:space="preserve">interpuso el recurso </w:t>
      </w:r>
      <w:r w:rsidRPr="00A12934">
        <w:rPr>
          <w:rFonts w:ascii="Palatino Linotype" w:hAnsi="Palatino Linotype" w:cs="Arial"/>
        </w:rPr>
        <w:t xml:space="preserve">de revisión, </w:t>
      </w:r>
      <w:r>
        <w:rPr>
          <w:rFonts w:ascii="Palatino Linotype" w:hAnsi="Palatino Linotype" w:cs="Arial"/>
        </w:rPr>
        <w:t xml:space="preserve">éste </w:t>
      </w:r>
      <w:r w:rsidRPr="00A12934">
        <w:rPr>
          <w:rFonts w:ascii="Palatino Linotype" w:hAnsi="Palatino Linotype" w:cs="Arial"/>
        </w:rPr>
        <w:t>se encuentra dentro de los márgenes temporales previstos en el citado precepto legal.</w:t>
      </w:r>
    </w:p>
    <w:p w14:paraId="59A66089" w14:textId="42D23DE1" w:rsidR="00060072" w:rsidRPr="00A0374D" w:rsidRDefault="00060072" w:rsidP="00060072">
      <w:pPr>
        <w:spacing w:before="240" w:after="240" w:line="360" w:lineRule="auto"/>
        <w:jc w:val="both"/>
        <w:rPr>
          <w:rFonts w:ascii="Palatino Linotype" w:hAnsi="Palatino Linotype" w:cs="Arial"/>
        </w:rPr>
      </w:pPr>
      <w:r w:rsidRPr="006A776D">
        <w:rPr>
          <w:rFonts w:ascii="Palatino Linotype" w:hAnsi="Palatino Linotype" w:cs="Arial"/>
        </w:rPr>
        <w:lastRenderedPageBreak/>
        <w:t xml:space="preserve">Asimismo, tras la revisión del escrito de interposición, se </w:t>
      </w:r>
      <w:r>
        <w:rPr>
          <w:rFonts w:ascii="Palatino Linotype" w:hAnsi="Palatino Linotype" w:cs="Arial"/>
        </w:rPr>
        <w:t xml:space="preserve">puede apreciar que en el presente medio de impugnación </w:t>
      </w:r>
      <w:proofErr w:type="spellStart"/>
      <w:r w:rsidR="004A2391" w:rsidRPr="004A2391">
        <w:rPr>
          <w:rFonts w:ascii="Palatino Linotype" w:hAnsi="Palatino Linotype"/>
          <w:lang w:val="es-ES_tradnl"/>
        </w:rPr>
        <w:t>Xxxxx</w:t>
      </w:r>
      <w:proofErr w:type="spellEnd"/>
      <w:r w:rsidR="004A2391" w:rsidRPr="004A2391">
        <w:rPr>
          <w:rFonts w:ascii="Palatino Linotype" w:hAnsi="Palatino Linotype"/>
          <w:lang w:val="es-ES_tradnl"/>
        </w:rPr>
        <w:t xml:space="preserve"> </w:t>
      </w:r>
      <w:proofErr w:type="spellStart"/>
      <w:r w:rsidR="004A2391" w:rsidRPr="004A2391">
        <w:rPr>
          <w:rFonts w:ascii="Palatino Linotype" w:hAnsi="Palatino Linotype"/>
          <w:lang w:val="es-ES_tradnl"/>
        </w:rPr>
        <w:t>Xxxxxxxxxx</w:t>
      </w:r>
      <w:proofErr w:type="spellEnd"/>
      <w:r w:rsidR="004A2391" w:rsidRPr="004A2391">
        <w:rPr>
          <w:rFonts w:ascii="Palatino Linotype" w:hAnsi="Palatino Linotype"/>
          <w:lang w:val="es-ES_tradnl"/>
        </w:rPr>
        <w:t xml:space="preserve"> </w:t>
      </w:r>
      <w:proofErr w:type="spellStart"/>
      <w:r w:rsidR="004A2391" w:rsidRPr="004A2391">
        <w:rPr>
          <w:rFonts w:ascii="Palatino Linotype" w:hAnsi="Palatino Linotype"/>
          <w:lang w:val="es-ES_tradnl"/>
        </w:rPr>
        <w:t>Xxxxx</w:t>
      </w:r>
      <w:proofErr w:type="spellEnd"/>
      <w:r w:rsidR="004A2391" w:rsidRPr="004A2391">
        <w:rPr>
          <w:rFonts w:ascii="Palatino Linotype" w:hAnsi="Palatino Linotype"/>
          <w:lang w:val="es-ES_tradnl"/>
        </w:rPr>
        <w:t xml:space="preserve"> </w:t>
      </w:r>
      <w:proofErr w:type="spellStart"/>
      <w:r w:rsidR="004A2391" w:rsidRPr="004A2391">
        <w:rPr>
          <w:rFonts w:ascii="Palatino Linotype" w:hAnsi="Palatino Linotype"/>
          <w:lang w:val="es-ES_tradnl"/>
        </w:rPr>
        <w:t>Xxxx</w:t>
      </w:r>
      <w:proofErr w:type="spellEnd"/>
      <w:r w:rsidR="004A2391" w:rsidRPr="00A0374D">
        <w:rPr>
          <w:rFonts w:ascii="Palatino Linotype" w:hAnsi="Palatino Linotype" w:cs="Arial"/>
        </w:rPr>
        <w:t xml:space="preserve"> </w:t>
      </w:r>
      <w:r w:rsidRPr="00A0374D">
        <w:rPr>
          <w:rFonts w:ascii="Palatino Linotype" w:hAnsi="Palatino Linotype" w:cs="Arial"/>
        </w:rPr>
        <w:t xml:space="preserve">solicitó información del Sujeto Obligado en supuesta representación de la persona jurídico colectiva </w:t>
      </w:r>
      <w:proofErr w:type="spellStart"/>
      <w:r w:rsidR="004A2391">
        <w:rPr>
          <w:rFonts w:ascii="Palatino Linotype" w:hAnsi="Palatino Linotype" w:cs="Arial"/>
        </w:rPr>
        <w:t>Xxxxxxxxxxxxx</w:t>
      </w:r>
      <w:proofErr w:type="spellEnd"/>
      <w:r w:rsidR="004A2391">
        <w:rPr>
          <w:rFonts w:ascii="Palatino Linotype" w:hAnsi="Palatino Linotype" w:cs="Arial"/>
        </w:rPr>
        <w:t xml:space="preserve"> </w:t>
      </w:r>
      <w:proofErr w:type="spellStart"/>
      <w:r w:rsidR="004A2391">
        <w:rPr>
          <w:rFonts w:ascii="Palatino Linotype" w:hAnsi="Palatino Linotype" w:cs="Arial"/>
        </w:rPr>
        <w:t>Xxxxx</w:t>
      </w:r>
      <w:proofErr w:type="spellEnd"/>
      <w:r w:rsidR="004A2391">
        <w:rPr>
          <w:rFonts w:ascii="Palatino Linotype" w:hAnsi="Palatino Linotype" w:cs="Arial"/>
        </w:rPr>
        <w:t xml:space="preserve"> xx </w:t>
      </w:r>
      <w:proofErr w:type="spellStart"/>
      <w:r w:rsidR="004A2391">
        <w:rPr>
          <w:rFonts w:ascii="Palatino Linotype" w:hAnsi="Palatino Linotype" w:cs="Arial"/>
        </w:rPr>
        <w:t>Xxxxxx</w:t>
      </w:r>
      <w:proofErr w:type="spellEnd"/>
      <w:r w:rsidRPr="00A0374D">
        <w:rPr>
          <w:rFonts w:ascii="Palatino Linotype" w:hAnsi="Palatino Linotype" w:cs="Arial"/>
          <w:b/>
        </w:rPr>
        <w:t xml:space="preserve">, </w:t>
      </w:r>
      <w:r w:rsidRPr="00A0374D">
        <w:rPr>
          <w:rFonts w:ascii="Palatino Linotype" w:hAnsi="Palatino Linotype" w:cs="Arial"/>
        </w:rPr>
        <w:t>sin que exhibiera documento legal que acredite tal representación.</w:t>
      </w:r>
    </w:p>
    <w:p w14:paraId="5ED25DC8" w14:textId="4FBD7933"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 xml:space="preserve">Ante tal situación, es de suma importancia que este Instituto como autoridad aplicativa del derecho, en el ejercicio de sus funciones materialmente jurisdiccionales, y siguiendo las directrices constitucionales del principio de máxima publicidad de la información se pronuncie respecto de la calidad con la que se ostenta </w:t>
      </w:r>
      <w:proofErr w:type="spellStart"/>
      <w:r w:rsidR="004A2391" w:rsidRPr="004A2391">
        <w:rPr>
          <w:rFonts w:ascii="Palatino Linotype" w:hAnsi="Palatino Linotype"/>
          <w:lang w:val="es-ES_tradnl"/>
        </w:rPr>
        <w:t>Xxxxx</w:t>
      </w:r>
      <w:proofErr w:type="spellEnd"/>
      <w:r w:rsidR="004A2391" w:rsidRPr="004A2391">
        <w:rPr>
          <w:rFonts w:ascii="Palatino Linotype" w:hAnsi="Palatino Linotype"/>
          <w:lang w:val="es-ES_tradnl"/>
        </w:rPr>
        <w:t xml:space="preserve"> </w:t>
      </w:r>
      <w:proofErr w:type="spellStart"/>
      <w:r w:rsidR="004A2391" w:rsidRPr="004A2391">
        <w:rPr>
          <w:rFonts w:ascii="Palatino Linotype" w:hAnsi="Palatino Linotype"/>
          <w:lang w:val="es-ES_tradnl"/>
        </w:rPr>
        <w:t>Xxxxxxxxxx</w:t>
      </w:r>
      <w:proofErr w:type="spellEnd"/>
      <w:r w:rsidR="004A2391" w:rsidRPr="004A2391">
        <w:rPr>
          <w:rFonts w:ascii="Palatino Linotype" w:hAnsi="Palatino Linotype"/>
          <w:lang w:val="es-ES_tradnl"/>
        </w:rPr>
        <w:t xml:space="preserve"> </w:t>
      </w:r>
      <w:proofErr w:type="spellStart"/>
      <w:r w:rsidR="004A2391" w:rsidRPr="004A2391">
        <w:rPr>
          <w:rFonts w:ascii="Palatino Linotype" w:hAnsi="Palatino Linotype"/>
          <w:lang w:val="es-ES_tradnl"/>
        </w:rPr>
        <w:t>Xxxxx</w:t>
      </w:r>
      <w:proofErr w:type="spellEnd"/>
      <w:r w:rsidR="004A2391" w:rsidRPr="004A2391">
        <w:rPr>
          <w:rFonts w:ascii="Palatino Linotype" w:hAnsi="Palatino Linotype"/>
          <w:lang w:val="es-ES_tradnl"/>
        </w:rPr>
        <w:t xml:space="preserve"> </w:t>
      </w:r>
      <w:proofErr w:type="spellStart"/>
      <w:r w:rsidR="004A2391" w:rsidRPr="004A2391">
        <w:rPr>
          <w:rFonts w:ascii="Palatino Linotype" w:hAnsi="Palatino Linotype"/>
          <w:lang w:val="es-ES_tradnl"/>
        </w:rPr>
        <w:t>Xxxx</w:t>
      </w:r>
      <w:proofErr w:type="spellEnd"/>
      <w:r w:rsidRPr="00A0374D">
        <w:rPr>
          <w:rFonts w:ascii="Palatino Linotype" w:hAnsi="Palatino Linotype" w:cs="Arial"/>
          <w:b/>
        </w:rPr>
        <w:t xml:space="preserve">, </w:t>
      </w:r>
      <w:r w:rsidRPr="00A0374D">
        <w:rPr>
          <w:rFonts w:ascii="Palatino Linotype" w:hAnsi="Palatino Linotype" w:cs="Arial"/>
        </w:rPr>
        <w:t>a fin de determinar el alcance frente a terceros de la presente resolución.</w:t>
      </w:r>
    </w:p>
    <w:p w14:paraId="47649EB8"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Nuestra Carta Magna dispone que para el ejercicio del derecho de acceso a la información los Estados deben observar diversos principios y bases, entre los cuales se establece que toda persona, sin necesidad de acreditar interés alguno o justificar su utilización tendrá acceso gratuito a la información púb</w:t>
      </w:r>
      <w:r>
        <w:rPr>
          <w:rFonts w:ascii="Palatino Linotype" w:hAnsi="Palatino Linotype" w:cs="Arial"/>
        </w:rPr>
        <w:t>lica. Tal y como se aprecia en los a</w:t>
      </w:r>
      <w:r w:rsidRPr="00A0374D">
        <w:rPr>
          <w:rFonts w:ascii="Palatino Linotype" w:hAnsi="Palatino Linotype" w:cs="Arial"/>
        </w:rPr>
        <w:t xml:space="preserve">rtículo 6, apartado A, numeral III de la Constitución Política de los Estados Unidos Mexicanos </w:t>
      </w:r>
      <w:r>
        <w:rPr>
          <w:rFonts w:ascii="Palatino Linotype" w:hAnsi="Palatino Linotype" w:cs="Arial"/>
        </w:rPr>
        <w:t xml:space="preserve"> y </w:t>
      </w:r>
      <w:r w:rsidRPr="00A0374D">
        <w:rPr>
          <w:rFonts w:ascii="Palatino Linotype" w:hAnsi="Palatino Linotype" w:cs="Arial"/>
        </w:rPr>
        <w:t xml:space="preserve">5 de la Constitución Política del Estado Libre y Soberano de México establece, </w:t>
      </w:r>
      <w:r>
        <w:rPr>
          <w:rFonts w:ascii="Palatino Linotype" w:hAnsi="Palatino Linotype" w:cs="Arial"/>
        </w:rPr>
        <w:t xml:space="preserve">que disponen que </w:t>
      </w:r>
      <w:r w:rsidRPr="00A0374D">
        <w:rPr>
          <w:rFonts w:ascii="Palatino Linotype" w:hAnsi="Palatino Linotype" w:cs="Arial"/>
        </w:rPr>
        <w:t xml:space="preserve">el derecho de acceso a la información pública, </w:t>
      </w:r>
      <w:r>
        <w:rPr>
          <w:rFonts w:ascii="Palatino Linotype" w:hAnsi="Palatino Linotype" w:cs="Arial"/>
        </w:rPr>
        <w:t xml:space="preserve">implica que los sujetos obligados pongan a disposición de cualquier persona </w:t>
      </w:r>
      <w:r w:rsidRPr="00A0374D">
        <w:rPr>
          <w:rFonts w:ascii="Palatino Linotype" w:hAnsi="Palatino Linotype" w:cs="Arial"/>
        </w:rPr>
        <w:t>sin necesidad de acreditar interés alguno o justificar su utilización</w:t>
      </w:r>
      <w:r>
        <w:rPr>
          <w:rFonts w:ascii="Palatino Linotype" w:hAnsi="Palatino Linotype" w:cs="Arial"/>
        </w:rPr>
        <w:t>, los documentos que generen en el ejercicio de sus atribuciones, de manera gratuita</w:t>
      </w:r>
      <w:r w:rsidRPr="00A0374D">
        <w:rPr>
          <w:rFonts w:ascii="Palatino Linotype" w:hAnsi="Palatino Linotype" w:cs="Arial"/>
        </w:rPr>
        <w:t>.</w:t>
      </w:r>
    </w:p>
    <w:p w14:paraId="7A29C33F" w14:textId="77777777" w:rsidR="00060072" w:rsidRPr="00A0374D" w:rsidRDefault="00060072" w:rsidP="00060072">
      <w:pPr>
        <w:shd w:val="clear" w:color="auto" w:fill="FFFFFF"/>
        <w:spacing w:before="240" w:after="240" w:line="360" w:lineRule="auto"/>
        <w:jc w:val="both"/>
        <w:rPr>
          <w:rFonts w:ascii="Palatino Linotype" w:hAnsi="Palatino Linotype"/>
          <w:lang w:val="es-MX" w:eastAsia="es-MX"/>
        </w:rPr>
      </w:pPr>
      <w:r w:rsidRPr="00A0374D">
        <w:rPr>
          <w:rFonts w:ascii="Palatino Linotype" w:hAnsi="Palatino Linotype"/>
          <w:lang w:eastAsia="es-MX"/>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342FE3" w14:textId="77777777" w:rsidR="00060072" w:rsidRPr="00A0374D" w:rsidRDefault="00060072" w:rsidP="00060072">
      <w:pPr>
        <w:shd w:val="clear" w:color="auto" w:fill="FFFFFF"/>
        <w:spacing w:before="240" w:after="240" w:line="360" w:lineRule="auto"/>
        <w:jc w:val="both"/>
        <w:rPr>
          <w:rFonts w:ascii="Palatino Linotype" w:hAnsi="Palatino Linotype"/>
          <w:lang w:val="es-MX" w:eastAsia="es-MX"/>
        </w:rPr>
      </w:pPr>
      <w:r w:rsidRPr="00A0374D">
        <w:rPr>
          <w:rFonts w:ascii="Palatino Linotype" w:hAnsi="Palatino Linotype"/>
          <w:lang w:eastAsia="es-MX"/>
        </w:rPr>
        <w:t>Robustece lo anterior, el Criterio 6/2014 del entonces Instituto Federal de Acceso a la Información y Protección de Datos, el cual se reproduce para una mayor referencia:</w:t>
      </w:r>
    </w:p>
    <w:p w14:paraId="001DF5CE" w14:textId="77777777" w:rsidR="00060072" w:rsidRPr="007A4155" w:rsidRDefault="00060072" w:rsidP="00060072">
      <w:pPr>
        <w:shd w:val="clear" w:color="auto" w:fill="FFFFFF"/>
        <w:spacing w:before="120" w:after="240"/>
        <w:ind w:left="851" w:right="902"/>
        <w:jc w:val="both"/>
        <w:rPr>
          <w:rFonts w:ascii="Palatino Linotype" w:hAnsi="Palatino Linotype"/>
          <w:sz w:val="20"/>
          <w:szCs w:val="20"/>
          <w:lang w:val="es-MX" w:eastAsia="es-MX"/>
        </w:rPr>
      </w:pPr>
      <w:r w:rsidRPr="007A4155">
        <w:rPr>
          <w:rFonts w:ascii="Palatino Linotype" w:hAnsi="Palatino Linotype"/>
          <w:b/>
          <w:bCs/>
          <w:i/>
          <w:iCs/>
          <w:sz w:val="20"/>
          <w:szCs w:val="20"/>
          <w:lang w:eastAsia="es-MX"/>
        </w:rPr>
        <w:t>“Acceso a información gubernamental. No debe condicionarse a que el solicitante acredite su personalidad, demuestre interés alguno o justifique su utilización.</w:t>
      </w:r>
      <w:r w:rsidRPr="007A4155">
        <w:rPr>
          <w:rFonts w:ascii="Palatino Linotype" w:hAnsi="Palatino Linotype"/>
          <w:i/>
          <w:iCs/>
          <w:sz w:val="20"/>
          <w:szCs w:val="20"/>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86B8740"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 xml:space="preserve">En virtud de lo anterior, la Ley de Transparencia y Acceso a la Información Pública del Estado de México y Municipios, en su artículo 4, establece que toda persona tiene el derecho de acceso a la información pública, sin necesidad de acreditar su personalidad ni interés jurídico, lo que debe entenderse que éste se refiere </w:t>
      </w:r>
      <w:r w:rsidRPr="00A0374D">
        <w:rPr>
          <w:rFonts w:ascii="Palatino Linotype" w:hAnsi="Palatino Linotype" w:cs="Arial"/>
        </w:rPr>
        <w:lastRenderedPageBreak/>
        <w:t>únicamente cuando el actuante realiza peticiones en su propio derecho, puesto que, como se verá más adelante, las actuaciones en nombre y representación de otras personas pueden afectar la esfera jurídica de terceros, lo cual no puede permearse debido a que el ejercicio de un derecho no debe afectar otros derechos.</w:t>
      </w:r>
    </w:p>
    <w:p w14:paraId="70306A8E"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Por tal motivo es necesario armonizar la interpretación del artículo 4 de la Ley de la materia con la Carta Magna y la Constitución Local a fin de determinar su alcance legal.</w:t>
      </w:r>
    </w:p>
    <w:p w14:paraId="0C74BCA9"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Bajo esas consideraciones, se hace necesario que este Instituto como Órgano Garante del derecho de acceso a la información emita pronunciamiento de interpretación al respecto, mediante el cual se satisfaga el principio de máxima publicidad constitucional y además se proteja la esfera jurídica de un posible tercero perjudicado.</w:t>
      </w:r>
    </w:p>
    <w:p w14:paraId="75765ACF"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Primeramente, es importante realizar la distinción entre representación legal y personalidad.</w:t>
      </w:r>
    </w:p>
    <w:p w14:paraId="5886B8F9" w14:textId="77777777" w:rsidR="00060072" w:rsidRPr="00A0374D" w:rsidRDefault="00060072" w:rsidP="00060072">
      <w:pPr>
        <w:autoSpaceDE w:val="0"/>
        <w:autoSpaceDN w:val="0"/>
        <w:adjustRightInd w:val="0"/>
        <w:spacing w:before="240" w:after="240" w:line="360" w:lineRule="auto"/>
        <w:ind w:right="51" w:firstLine="1"/>
        <w:jc w:val="both"/>
        <w:rPr>
          <w:rFonts w:ascii="Palatino Linotype" w:hAnsi="Palatino Linotype" w:cs="Arial"/>
          <w:i/>
        </w:rPr>
      </w:pPr>
      <w:r w:rsidRPr="00A0374D">
        <w:rPr>
          <w:rFonts w:ascii="Palatino Linotype" w:hAnsi="Palatino Linotype" w:cs="Arial"/>
        </w:rPr>
        <w:t xml:space="preserve">En cuanto a la representación legal el Diccionario Jurídico Mexicano del Instituto de Investigaciones Jurídicas de la Universidad Nacional Autónoma de México, la define como: </w:t>
      </w:r>
      <w:r w:rsidRPr="00A0374D">
        <w:rPr>
          <w:rFonts w:ascii="Palatino Linotype" w:hAnsi="Palatino Linotype" w:cs="Arial"/>
          <w:i/>
        </w:rPr>
        <w:t>“Es el acto de representar o la situación de ser representado. Sustituir a otro o hacer sus veces. La representación, en sentido general, es un fenómeno jurídico que implica la actuación a nombre de otro, en el campo del derecho.”</w:t>
      </w:r>
      <w:r w:rsidRPr="00A0374D">
        <w:rPr>
          <w:rFonts w:ascii="Palatino Linotype" w:hAnsi="Palatino Linotype" w:cs="Arial"/>
          <w:i/>
          <w:vertAlign w:val="superscript"/>
        </w:rPr>
        <w:footnoteReference w:id="1"/>
      </w:r>
    </w:p>
    <w:p w14:paraId="43731960"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lastRenderedPageBreak/>
        <w:t>En este sentido, la representación supone pues, que una persona ponga su propia actividad, su “querer”, al servicio de intereses ajenos, realizando un acto jurídico a nombre de la persona a quien pertenecen.</w:t>
      </w:r>
    </w:p>
    <w:p w14:paraId="31A14773"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Por ello, la naturaleza de la representación reside en el ejercicio por el representante, de los derechos del representado. En suma, la representación es meramente declarativa de la voluntad del representado, y sus efectos se producen frente a terceros en relación con los cuales actúa el representante, y declaran la voluntad del representado.</w:t>
      </w:r>
    </w:p>
    <w:p w14:paraId="133EDCDF"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Bajo esos supuestos, es importante vislumbrar que la representación funge como el ejercicio permitido de la personalidad de un sujeto, ya sea persona física, o bien, jurídico colectiva; ante tal directriz, debe entenderse que la personalidad se encuentra ligada inseparablemente con la noción de persona, puesto que la personalidad es la aptitud de poder ser sujeto de derechos y deberes; es la posibilidad de actuar en el mundo jurídico. La personalidad es la proyección de la persona en el ámbito jurídico.</w:t>
      </w:r>
      <w:r w:rsidRPr="00A0374D">
        <w:rPr>
          <w:rFonts w:ascii="Palatino Linotype" w:hAnsi="Palatino Linotype" w:cs="Arial"/>
          <w:vertAlign w:val="superscript"/>
        </w:rPr>
        <w:footnoteReference w:id="2"/>
      </w:r>
    </w:p>
    <w:p w14:paraId="6DAC2589"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Así, el jurista Eduardo de la Parra Trujillo considera que la personalidad se encuentra protegida a través del ejercicio del derecho a la personalidad, el cual tutela la dignidad humana.</w:t>
      </w:r>
    </w:p>
    <w:p w14:paraId="0028E066"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Al respecto, el Doctor Trinidad García define a dicho derecho como “</w:t>
      </w:r>
      <w:r w:rsidRPr="00A0374D">
        <w:rPr>
          <w:rFonts w:ascii="Palatino Linotype" w:hAnsi="Palatino Linotype" w:cs="Arial"/>
          <w:i/>
        </w:rPr>
        <w:t xml:space="preserve">derecho subjetivo que comprende las facultades que el propio Derecho reconoce al miembro de una </w:t>
      </w:r>
      <w:r w:rsidRPr="00A0374D">
        <w:rPr>
          <w:rFonts w:ascii="Palatino Linotype" w:hAnsi="Palatino Linotype" w:cs="Arial"/>
          <w:i/>
        </w:rPr>
        <w:lastRenderedPageBreak/>
        <w:t>sociedad y que deben ser respetados en su ejercicio por otros. De lo que se infiere que se trata de derechos que consisten en una permisión que la norma jurídica otorga a su titular”</w:t>
      </w:r>
      <w:r w:rsidRPr="00A0374D">
        <w:rPr>
          <w:rFonts w:ascii="Palatino Linotype" w:hAnsi="Palatino Linotype" w:cs="Arial"/>
        </w:rPr>
        <w:t>.</w:t>
      </w:r>
    </w:p>
    <w:p w14:paraId="3B3564A0"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De lo antes expuesto, se advierte que la personalidad (entendida como la aptitud de poder ser sujeto de derechos y deberes) atiende de manera inseparable a su titular, por lo que en caso de que otra persona actúe en su nombre y representación puede afectar su esfera jurídica; tan es así que dicho titular puede exigir a quien interfiera en su permisión que deje de hacerlo o, en caso contrario, puede acudir a los tribunales competentes para solicitar la reparación del daño moral que pudiese ser ocasionado.</w:t>
      </w:r>
    </w:p>
    <w:p w14:paraId="0A62111E"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Así las cosas, en materia de transparencia y de acuerdo con lo expuesto en el presente Considerando, para el ejercicio del derecho de acceso a la información no se requiere la acreditación de la personalidad ni interés jurídico alguno, empero no abarca el ejercer derechos de otra persona, o bien, en su nombre y representación; pues se está ante una situación de hecho distinta que implica el consentimiento expreso de dicha persona, ya sea física o jurídico colectiva, de que alguien más ejercite sus derechos.</w:t>
      </w:r>
    </w:p>
    <w:p w14:paraId="6F37563B"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 xml:space="preserve">En esa tesitura, es toral que no se confundan ni equiparen los derechos de la personalidad con otras figuras similares, como lo son las entonces garantías individuales, hoy derechos humanos; pues aunque dichas figuras coinciden en que tienen como finalidad la protección de la dignidad humana para el pleno desarrollo </w:t>
      </w:r>
      <w:r w:rsidRPr="00A0374D">
        <w:rPr>
          <w:rFonts w:ascii="Palatino Linotype" w:hAnsi="Palatino Linotype" w:cs="Arial"/>
        </w:rPr>
        <w:lastRenderedPageBreak/>
        <w:t>de la personalidad de las personas, en realidad son figuras afines, complementarias y coadyuvantes, pero no son lo mismo.</w:t>
      </w:r>
      <w:r w:rsidRPr="00A0374D">
        <w:rPr>
          <w:rFonts w:ascii="Palatino Linotype" w:hAnsi="Palatino Linotype" w:cs="Arial"/>
          <w:vertAlign w:val="superscript"/>
        </w:rPr>
        <w:footnoteReference w:id="3"/>
      </w:r>
      <w:r w:rsidRPr="00A0374D">
        <w:rPr>
          <w:rFonts w:ascii="Palatino Linotype" w:hAnsi="Palatino Linotype" w:cs="Arial"/>
        </w:rPr>
        <w:t xml:space="preserve"> </w:t>
      </w:r>
    </w:p>
    <w:p w14:paraId="38F40753"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Es decir, tratándose de la representación legal de una persona titular del derecho público subjetivo, en comento, se requiere de la acreditación de dicha calidad por parte del que dice tenerla, ya que implica una intromisión en su esfera jurídica, por tal motivo debe acreditarse que se actúa en nombre del titular del derecho, en este caso en específico, el de acceso a la información; sin que esto constituya un obstáculo o impedimento para el ejercicio de dicho derecho constitucional.</w:t>
      </w:r>
    </w:p>
    <w:p w14:paraId="04C9D898" w14:textId="7777777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Por tal motivo, este Órgano Garante del derecho humano de acceso a la información pública estima que, si bien es cierto, tanto el Sujeto Obligado como esta autoridad tienen el deber de garantizar el acceso a la información a toda persona sin necesidad de acreditar interés alguno, también lo es, que se tiene el deber de interpretar la totalidad de normas jurídicas aplicables al caso; en ese tenor, y haciendo una ponderación de derechos se llega a la convicción que el proporcionar la información solicitada a quien dice ser representante de otra persona, ya sea física o jurídico colectiva, sin que se acredite tal carácter, atenta en contra del derecho a la personalidad de ésta, puesto que pudiese materializarse una afectación real y concreta a su esfera jurídica.</w:t>
      </w:r>
    </w:p>
    <w:p w14:paraId="4E86DFBD" w14:textId="25B57F87" w:rsidR="00060072" w:rsidRPr="00A0374D" w:rsidRDefault="00060072" w:rsidP="00060072">
      <w:pPr>
        <w:autoSpaceDE w:val="0"/>
        <w:autoSpaceDN w:val="0"/>
        <w:adjustRightInd w:val="0"/>
        <w:spacing w:before="240" w:after="240" w:line="360" w:lineRule="auto"/>
        <w:ind w:right="51"/>
        <w:jc w:val="both"/>
        <w:rPr>
          <w:rFonts w:ascii="Palatino Linotype" w:hAnsi="Palatino Linotype" w:cs="Arial"/>
        </w:rPr>
      </w:pPr>
      <w:r w:rsidRPr="00A0374D">
        <w:rPr>
          <w:rFonts w:ascii="Palatino Linotype" w:hAnsi="Palatino Linotype" w:cs="Arial"/>
        </w:rPr>
        <w:t xml:space="preserve">En ese tenor, este Instituto en aras de privilegiar el principio de máxima publicidad debe resolver el presente medio de impugnación únicamente por cuanto hace a la </w:t>
      </w:r>
      <w:r w:rsidRPr="00A0374D">
        <w:rPr>
          <w:rFonts w:ascii="Palatino Linotype" w:hAnsi="Palatino Linotype" w:cs="Arial"/>
        </w:rPr>
        <w:lastRenderedPageBreak/>
        <w:t xml:space="preserve">calidad de persona física de </w:t>
      </w:r>
      <w:r w:rsidR="000A3BB8">
        <w:rPr>
          <w:rFonts w:ascii="Palatino Linotype" w:hAnsi="Palatino Linotype" w:cs="Arial"/>
        </w:rPr>
        <w:t>XXXXXXXXXXXXXXXXXXXXXXXXXXX</w:t>
      </w:r>
      <w:r w:rsidRPr="00A0374D">
        <w:rPr>
          <w:rFonts w:ascii="Palatino Linotype" w:hAnsi="Palatino Linotype" w:cs="Arial"/>
        </w:rPr>
        <w:t xml:space="preserve">, por no acreditar fehacientemente su calidad de representante legal de la persona jurídico colectiva </w:t>
      </w:r>
      <w:r w:rsidRPr="007A4155">
        <w:rPr>
          <w:rFonts w:ascii="Palatino Linotype" w:hAnsi="Palatino Linotype" w:cs="Arial"/>
        </w:rPr>
        <w:t>Transparencia Valle de Chalco</w:t>
      </w:r>
      <w:r w:rsidRPr="00A0374D">
        <w:rPr>
          <w:rFonts w:ascii="Palatino Linotype" w:hAnsi="Palatino Linotype" w:cs="Arial"/>
          <w:b/>
        </w:rPr>
        <w:t xml:space="preserve"> </w:t>
      </w:r>
      <w:r w:rsidRPr="00A0374D">
        <w:rPr>
          <w:rFonts w:ascii="Palatino Linotype" w:hAnsi="Palatino Linotype" w:cs="Arial"/>
        </w:rPr>
        <w:t>mediante documento legal alguno.</w:t>
      </w:r>
    </w:p>
    <w:p w14:paraId="2742290F" w14:textId="0406AEFC" w:rsidR="00060072" w:rsidRPr="00CD59DC" w:rsidRDefault="00060072" w:rsidP="00060072">
      <w:pPr>
        <w:spacing w:before="240" w:after="240" w:line="360" w:lineRule="auto"/>
        <w:jc w:val="both"/>
        <w:rPr>
          <w:rFonts w:ascii="Segoe UI" w:hAnsi="Segoe UI" w:cs="Segoe UI"/>
        </w:rPr>
      </w:pPr>
      <w:r>
        <w:rPr>
          <w:rFonts w:ascii="Palatino Linotype" w:hAnsi="Palatino Linotype" w:cs="Arial"/>
        </w:rPr>
        <w:t xml:space="preserve">Por lo que se </w:t>
      </w:r>
      <w:r w:rsidRPr="006A776D">
        <w:rPr>
          <w:rFonts w:ascii="Palatino Linotype" w:hAnsi="Palatino Linotype" w:cs="Arial"/>
        </w:rPr>
        <w:t xml:space="preserve">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l Estado de México y Municipios</w:t>
      </w:r>
      <w:r w:rsidRPr="00767196">
        <w:rPr>
          <w:rStyle w:val="normaltextrun"/>
          <w:rFonts w:ascii="Palatino Linotype" w:hAnsi="Palatino Linotype" w:cs="Segoe UI"/>
        </w:rPr>
        <w:t xml:space="preserve">, </w:t>
      </w:r>
      <w:r>
        <w:rPr>
          <w:rStyle w:val="normaltextrun"/>
          <w:rFonts w:ascii="Palatino Linotype" w:hAnsi="Palatino Linotype" w:cs="Segoe UI"/>
        </w:rPr>
        <w:t>por los artículos 176 y</w:t>
      </w:r>
      <w:r w:rsidRPr="00CD59DC">
        <w:rPr>
          <w:rStyle w:val="apple-converted-space"/>
          <w:rFonts w:ascii="Palatino Linotype" w:eastAsiaTheme="minorHAnsi" w:hAnsi="Palatino Linotype" w:cs="Segoe UI"/>
        </w:rPr>
        <w:t xml:space="preserve"> 179 </w:t>
      </w:r>
      <w:r>
        <w:rPr>
          <w:rStyle w:val="apple-converted-space"/>
          <w:rFonts w:ascii="Palatino Linotype" w:eastAsiaTheme="minorHAnsi" w:hAnsi="Palatino Linotype" w:cs="Segoe UI"/>
        </w:rPr>
        <w:t xml:space="preserve">fracción I </w:t>
      </w:r>
      <w:r w:rsidRPr="00CD59DC">
        <w:rPr>
          <w:rStyle w:val="normaltextrun"/>
          <w:rFonts w:ascii="Palatino Linotype" w:hAnsi="Palatino Linotype" w:cs="Segoe UI"/>
        </w:rPr>
        <w:t xml:space="preserve">del ordenamiento legal citado, que </w:t>
      </w:r>
      <w:r>
        <w:rPr>
          <w:rStyle w:val="normaltextrun"/>
          <w:rFonts w:ascii="Palatino Linotype" w:hAnsi="Palatino Linotype" w:cs="Segoe UI"/>
        </w:rPr>
        <w:t>establecen los supuestos en que puede interponerse el recurso de revisión:</w:t>
      </w:r>
    </w:p>
    <w:p w14:paraId="38F52B3F" w14:textId="7FA37BB6" w:rsidR="00EB16EF" w:rsidRDefault="00733E1C" w:rsidP="00733E1C">
      <w:pPr>
        <w:autoSpaceDE w:val="0"/>
        <w:autoSpaceDN w:val="0"/>
        <w:adjustRightInd w:val="0"/>
        <w:spacing w:after="120"/>
        <w:ind w:left="851" w:right="902"/>
        <w:jc w:val="both"/>
        <w:rPr>
          <w:rStyle w:val="normaltextrun"/>
          <w:rFonts w:ascii="Palatino Linotype" w:hAnsi="Palatino Linotype" w:cs="Segoe UI"/>
          <w:bCs/>
          <w:i/>
          <w:sz w:val="20"/>
          <w:szCs w:val="22"/>
        </w:rPr>
      </w:pPr>
      <w:r w:rsidRPr="00CD59DC">
        <w:rPr>
          <w:rStyle w:val="normaltextrun"/>
          <w:rFonts w:ascii="Palatino Linotype" w:hAnsi="Palatino Linotype" w:cs="Segoe UI"/>
          <w:b/>
          <w:bCs/>
          <w:i/>
          <w:iCs/>
          <w:sz w:val="20"/>
          <w:szCs w:val="22"/>
        </w:rPr>
        <w:t xml:space="preserve"> </w:t>
      </w:r>
      <w:r w:rsidR="00EB16EF" w:rsidRPr="00CD59DC">
        <w:rPr>
          <w:rStyle w:val="normaltextrun"/>
          <w:rFonts w:ascii="Palatino Linotype" w:hAnsi="Palatino Linotype" w:cs="Segoe UI"/>
          <w:b/>
          <w:bCs/>
          <w:i/>
          <w:iCs/>
          <w:sz w:val="20"/>
          <w:szCs w:val="22"/>
        </w:rPr>
        <w:t>“</w:t>
      </w:r>
      <w:r w:rsidR="00EB16EF" w:rsidRPr="00AC17F2">
        <w:rPr>
          <w:rStyle w:val="normaltextrun"/>
          <w:rFonts w:ascii="Palatino Linotype" w:hAnsi="Palatino Linotype" w:cs="Segoe UI"/>
          <w:b/>
          <w:bCs/>
          <w:i/>
          <w:sz w:val="20"/>
          <w:szCs w:val="22"/>
        </w:rPr>
        <w:t xml:space="preserve">Artículo 176. </w:t>
      </w:r>
      <w:r w:rsidR="00EB16EF" w:rsidRPr="00AC17F2">
        <w:rPr>
          <w:rStyle w:val="normaltextrun"/>
          <w:rFonts w:ascii="Palatino Linotype" w:hAnsi="Palatino Linotype" w:cs="Segoe UI"/>
          <w:bCs/>
          <w:i/>
          <w:sz w:val="20"/>
          <w:szCs w:val="22"/>
        </w:rPr>
        <w:t>El recurso de revisión  es la garantía secundaria</w:t>
      </w:r>
      <w:r w:rsidR="00EB16EF">
        <w:rPr>
          <w:rStyle w:val="normaltextrun"/>
          <w:rFonts w:ascii="Palatino Linotype" w:hAnsi="Palatino Linotype" w:cs="Segoe UI"/>
          <w:bCs/>
          <w:i/>
          <w:sz w:val="20"/>
          <w:szCs w:val="22"/>
        </w:rPr>
        <w:t xml:space="preserve"> mediante la cual se pretende reparar cualquier posible afectación al derecho de acceso a la información pública en términos del presente y siguiente Capítulo.</w:t>
      </w:r>
    </w:p>
    <w:p w14:paraId="3088F0EC" w14:textId="77777777" w:rsidR="00EB16EF" w:rsidRPr="00CD59DC" w:rsidRDefault="00EB16EF" w:rsidP="00B51646">
      <w:pPr>
        <w:autoSpaceDE w:val="0"/>
        <w:autoSpaceDN w:val="0"/>
        <w:adjustRightInd w:val="0"/>
        <w:spacing w:after="120"/>
        <w:ind w:left="851" w:right="902"/>
        <w:jc w:val="both"/>
        <w:rPr>
          <w:rStyle w:val="eop"/>
          <w:rFonts w:ascii="Palatino Linotype" w:eastAsiaTheme="majorEastAsia" w:hAnsi="Palatino Linotype" w:cs="Segoe UI"/>
          <w:i/>
          <w:sz w:val="20"/>
          <w:szCs w:val="20"/>
        </w:rPr>
      </w:pPr>
      <w:r w:rsidRPr="00613506">
        <w:rPr>
          <w:rStyle w:val="normaltextrun"/>
          <w:rFonts w:ascii="Palatino Linotype" w:hAnsi="Palatino Linotype" w:cs="Segoe UI"/>
          <w:b/>
          <w:bCs/>
          <w:i/>
          <w:sz w:val="20"/>
          <w:szCs w:val="22"/>
        </w:rPr>
        <w:t>Artículo 179</w:t>
      </w:r>
      <w:r w:rsidRPr="00613506">
        <w:rPr>
          <w:rStyle w:val="normaltextrun"/>
          <w:rFonts w:ascii="Palatino Linotype" w:hAnsi="Palatino Linotype" w:cs="Segoe UI"/>
          <w:b/>
          <w:bCs/>
          <w:sz w:val="20"/>
          <w:szCs w:val="22"/>
        </w:rPr>
        <w:t>.-</w:t>
      </w:r>
      <w:r w:rsidRPr="00613506">
        <w:rPr>
          <w:rFonts w:ascii="Bookman Old Style" w:eastAsiaTheme="minorEastAsia" w:hAnsi="Bookman Old Style" w:cs="Bookman Old Style"/>
          <w:sz w:val="18"/>
          <w:szCs w:val="20"/>
          <w:lang w:val="es-MX"/>
        </w:rPr>
        <w:t xml:space="preserve"> </w:t>
      </w:r>
      <w:r w:rsidRPr="00613506">
        <w:rPr>
          <w:rFonts w:ascii="Palatino Linotype" w:eastAsiaTheme="minorEastAsia" w:hAnsi="Palatino Linotype" w:cs="Bookman Old Style"/>
          <w:i/>
          <w:sz w:val="20"/>
          <w:szCs w:val="20"/>
          <w:lang w:val="es-MX"/>
        </w:rPr>
        <w:t>El recurso de revisión</w:t>
      </w:r>
      <w:r w:rsidRPr="00CD59DC">
        <w:rPr>
          <w:rFonts w:ascii="Palatino Linotype" w:eastAsiaTheme="minorEastAsia" w:hAnsi="Palatino Linotype" w:cs="Bookman Old Style"/>
          <w:i/>
          <w:sz w:val="20"/>
          <w:szCs w:val="20"/>
          <w:lang w:val="es-MX"/>
        </w:rPr>
        <w:t xml:space="preserve"> es un medio de protección que la Ley otorga a los particulares, para hacer valer su derecho de acceso a la información pública, y procederá en contra de las siguientes causas:</w:t>
      </w:r>
    </w:p>
    <w:p w14:paraId="108F49D5" w14:textId="6030F63D" w:rsidR="00EB16EF" w:rsidRPr="00892FBA" w:rsidRDefault="00C755CC" w:rsidP="00C755CC">
      <w:pPr>
        <w:autoSpaceDE w:val="0"/>
        <w:autoSpaceDN w:val="0"/>
        <w:adjustRightInd w:val="0"/>
        <w:spacing w:before="120" w:after="120" w:line="360" w:lineRule="auto"/>
        <w:ind w:left="1134" w:right="941"/>
        <w:rPr>
          <w:rFonts w:ascii="Palatino Linotype" w:eastAsiaTheme="majorEastAsia" w:hAnsi="Palatino Linotype" w:cs="Segoe UI"/>
          <w:i/>
          <w:sz w:val="22"/>
          <w:szCs w:val="22"/>
        </w:rPr>
      </w:pPr>
      <w:r w:rsidRPr="0006113D">
        <w:rPr>
          <w:rFonts w:ascii="Palatino Linotype" w:eastAsiaTheme="minorEastAsia" w:hAnsi="Palatino Linotype" w:cs="Bookman Old Style,Bold"/>
          <w:b/>
          <w:bCs/>
          <w:i/>
          <w:sz w:val="22"/>
          <w:szCs w:val="20"/>
          <w:lang w:val="es-MX"/>
        </w:rPr>
        <w:t xml:space="preserve">I. </w:t>
      </w:r>
      <w:r w:rsidRPr="0006113D">
        <w:rPr>
          <w:rFonts w:ascii="Palatino Linotype" w:eastAsiaTheme="minorEastAsia" w:hAnsi="Palatino Linotype" w:cs="Bookman Old Style"/>
          <w:b/>
          <w:i/>
          <w:sz w:val="22"/>
          <w:szCs w:val="20"/>
          <w:lang w:val="es-MX"/>
        </w:rPr>
        <w:t>La negativa a la información solicitada</w:t>
      </w:r>
      <w:proofErr w:type="gramStart"/>
      <w:r w:rsidRPr="0006113D">
        <w:rPr>
          <w:rFonts w:ascii="Palatino Linotype" w:eastAsiaTheme="minorEastAsia" w:hAnsi="Palatino Linotype" w:cs="Bookman Old Style"/>
          <w:b/>
          <w:i/>
          <w:sz w:val="22"/>
          <w:szCs w:val="20"/>
          <w:lang w:val="es-MX"/>
        </w:rPr>
        <w:t>;</w:t>
      </w:r>
      <w:r>
        <w:rPr>
          <w:rFonts w:ascii="Palatino Linotype" w:eastAsiaTheme="minorEastAsia" w:hAnsi="Palatino Linotype" w:cs="Bookman Old Style"/>
          <w:b/>
          <w:i/>
          <w:sz w:val="22"/>
          <w:szCs w:val="20"/>
          <w:lang w:val="es-MX"/>
        </w:rPr>
        <w:t xml:space="preserve"> </w:t>
      </w:r>
      <w:r w:rsidR="00E45EEF">
        <w:rPr>
          <w:rStyle w:val="eop"/>
          <w:rFonts w:ascii="Palatino Linotype" w:eastAsiaTheme="majorEastAsia" w:hAnsi="Palatino Linotype" w:cs="Segoe UI"/>
          <w:i/>
          <w:sz w:val="18"/>
          <w:szCs w:val="22"/>
        </w:rPr>
        <w:t>…</w:t>
      </w:r>
      <w:r w:rsidR="00EB16EF" w:rsidRPr="00892FBA">
        <w:rPr>
          <w:rFonts w:ascii="Palatino Linotype" w:eastAsiaTheme="minorEastAsia" w:hAnsi="Palatino Linotype" w:cs="Bookman Old Style"/>
          <w:i/>
          <w:sz w:val="22"/>
          <w:szCs w:val="22"/>
        </w:rPr>
        <w:t>”</w:t>
      </w:r>
      <w:proofErr w:type="gramEnd"/>
    </w:p>
    <w:p w14:paraId="6410176A" w14:textId="6AE9C157" w:rsidR="00EB16EF" w:rsidRDefault="00B54E6C" w:rsidP="00EB16EF">
      <w:pPr>
        <w:spacing w:before="240" w:after="240" w:line="360" w:lineRule="auto"/>
        <w:jc w:val="both"/>
        <w:rPr>
          <w:rFonts w:ascii="Palatino Linotype" w:hAnsi="Palatino Linotype" w:cs="Arial"/>
          <w:lang w:val="es-MX"/>
        </w:rPr>
      </w:pPr>
      <w:r>
        <w:rPr>
          <w:rFonts w:ascii="Palatino Linotype" w:hAnsi="Palatino Linotype" w:cs="Arial"/>
          <w:lang w:val="es-MX"/>
        </w:rPr>
        <w:t>E</w:t>
      </w:r>
      <w:r w:rsidR="00EB16EF">
        <w:rPr>
          <w:rFonts w:ascii="Palatino Linotype" w:hAnsi="Palatino Linotype" w:cs="Arial"/>
          <w:lang w:val="es-MX"/>
        </w:rPr>
        <w:t>n consecuencia resulta conforme a derecho entrar al estudio de fondo y resolver el presente medio de impugnación.</w:t>
      </w:r>
    </w:p>
    <w:p w14:paraId="0B21EDBE" w14:textId="77777777" w:rsidR="00D53F7C" w:rsidRPr="0040233B" w:rsidRDefault="00D53F7C" w:rsidP="00D53F7C">
      <w:pPr>
        <w:spacing w:before="240" w:after="240" w:line="360" w:lineRule="auto"/>
        <w:jc w:val="both"/>
        <w:rPr>
          <w:rFonts w:ascii="Palatino Linotype" w:hAnsi="Palatino Linotype"/>
          <w:b/>
        </w:rPr>
      </w:pPr>
      <w:r w:rsidRPr="00D66740">
        <w:rPr>
          <w:rFonts w:ascii="Palatino Linotype" w:hAnsi="Palatino Linotype"/>
          <w:b/>
          <w:sz w:val="28"/>
          <w:szCs w:val="28"/>
        </w:rPr>
        <w:t>TERCERO. Materia de la revisión</w:t>
      </w:r>
      <w:r w:rsidRPr="0040233B">
        <w:rPr>
          <w:rFonts w:ascii="Palatino Linotype" w:hAnsi="Palatino Linotype"/>
          <w:b/>
        </w:rPr>
        <w:t>.</w:t>
      </w:r>
    </w:p>
    <w:p w14:paraId="2FAA4D4B" w14:textId="77777777" w:rsidR="00D53F7C" w:rsidRPr="0020435D" w:rsidRDefault="00D53F7C" w:rsidP="00D53F7C">
      <w:pPr>
        <w:spacing w:before="240" w:after="240" w:line="360" w:lineRule="auto"/>
        <w:jc w:val="both"/>
        <w:rPr>
          <w:rFonts w:ascii="Palatino Linotype" w:hAnsi="Palatino Linotype"/>
        </w:rPr>
      </w:pPr>
      <w:r>
        <w:rPr>
          <w:rFonts w:ascii="Palatino Linotype" w:hAnsi="Palatino Linotype"/>
        </w:rPr>
        <w:t xml:space="preserve">Una vez realizado el análisis de las constancias que integran el expediente en que se actúa, se desprende que la resolución consiste en determinar la legalidad de la respuesta emitida por el </w:t>
      </w:r>
      <w:r>
        <w:rPr>
          <w:rFonts w:ascii="Palatino Linotype" w:hAnsi="Palatino Linotype"/>
          <w:b/>
        </w:rPr>
        <w:t xml:space="preserve">Sujeto Obligado </w:t>
      </w:r>
      <w:r>
        <w:rPr>
          <w:rFonts w:ascii="Palatino Linotype" w:hAnsi="Palatino Linotype"/>
        </w:rPr>
        <w:t xml:space="preserve">a la solicitud de acceso a la información, y en su caso resolver si resulta procedente ordenar lo requerido según la manifestaciones hechas al momento de interponerse el presente medio de </w:t>
      </w:r>
      <w:r>
        <w:rPr>
          <w:rFonts w:ascii="Palatino Linotype" w:hAnsi="Palatino Linotype"/>
        </w:rPr>
        <w:lastRenderedPageBreak/>
        <w:t>impugnación, de conformidad con lo dispuesto en la Ley de Transparencia y Acceso a la Información Pública del Estado de México y Municipios.</w:t>
      </w:r>
    </w:p>
    <w:p w14:paraId="336403B9" w14:textId="77777777" w:rsidR="00D53F7C" w:rsidRDefault="00D53F7C" w:rsidP="00D53F7C">
      <w:pPr>
        <w:spacing w:before="240" w:after="240" w:line="360" w:lineRule="auto"/>
        <w:jc w:val="both"/>
        <w:rPr>
          <w:rFonts w:ascii="Palatino Linotype" w:hAnsi="Palatino Linotype"/>
          <w:b/>
          <w:sz w:val="28"/>
          <w:szCs w:val="28"/>
        </w:rPr>
      </w:pPr>
      <w:r w:rsidRPr="00527294">
        <w:rPr>
          <w:rFonts w:ascii="Palatino Linotype" w:hAnsi="Palatino Linotype"/>
          <w:b/>
          <w:sz w:val="28"/>
          <w:szCs w:val="28"/>
        </w:rPr>
        <w:t>CUARTO. Estudio del asunto.</w:t>
      </w:r>
    </w:p>
    <w:p w14:paraId="1EEFA301" w14:textId="77777777" w:rsidR="00D53F7C" w:rsidRDefault="00D53F7C" w:rsidP="00D53F7C">
      <w:pPr>
        <w:autoSpaceDE w:val="0"/>
        <w:autoSpaceDN w:val="0"/>
        <w:adjustRightInd w:val="0"/>
        <w:spacing w:line="360" w:lineRule="auto"/>
        <w:jc w:val="both"/>
        <w:rPr>
          <w:rFonts w:ascii="Palatino Linotype" w:hAnsi="Palatino Linotype" w:cs="Arial"/>
        </w:rPr>
      </w:pPr>
      <w:r>
        <w:rPr>
          <w:rFonts w:ascii="Palatino Linotype" w:hAnsi="Palatino Linotype"/>
        </w:rPr>
        <w:t xml:space="preserve">Formuladas las precisiones que anteceden, este Órgano Garante procede a analizar el contenido de la respuesta impugnada de conformidad con el agravio formulado por el </w:t>
      </w:r>
      <w:r>
        <w:rPr>
          <w:rFonts w:ascii="Palatino Linotype" w:hAnsi="Palatino Linotype" w:cs="Arial"/>
          <w:b/>
          <w:i/>
        </w:rPr>
        <w:t xml:space="preserve">Recurrente, </w:t>
      </w:r>
      <w:r>
        <w:rPr>
          <w:rFonts w:ascii="Palatino Linotype" w:hAnsi="Palatino Linotype" w:cs="Arial"/>
        </w:rPr>
        <w:t>con la finalidad de determinar si la misma contravino las disposiciones y principios normativos que hacen operante el ejercicio del derecho de acceso a la información pública y, en consecuencia determinar si se transgredió este derecho del particular.</w:t>
      </w:r>
    </w:p>
    <w:p w14:paraId="6A4D2C30" w14:textId="77777777" w:rsidR="00D53F7C" w:rsidRDefault="00D53F7C" w:rsidP="00D53F7C">
      <w:pPr>
        <w:spacing w:before="240" w:after="240" w:line="360" w:lineRule="auto"/>
        <w:jc w:val="both"/>
        <w:rPr>
          <w:rFonts w:ascii="Palatino Linotype" w:hAnsi="Palatino Linotype" w:cs="Arial"/>
        </w:rPr>
      </w:pPr>
      <w:r>
        <w:rPr>
          <w:rFonts w:ascii="Palatino Linotype" w:hAnsi="Palatino Linotype" w:cs="Arial"/>
        </w:rPr>
        <w:t>Sobre esa base, es oportuno decir que el derecho de acceso a la información se define en el artículo 6 de la Constitución Política de los Estados Unidos Mexicanos y en el diverso 5 de la Constitución Política del Estado Libre y Soberano de México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p>
    <w:p w14:paraId="2DA50A93" w14:textId="77777777" w:rsidR="00D53F7C" w:rsidRDefault="00D53F7C" w:rsidP="00D53F7C">
      <w:pPr>
        <w:spacing w:before="240" w:after="240" w:line="360" w:lineRule="auto"/>
        <w:jc w:val="both"/>
        <w:rPr>
          <w:rFonts w:ascii="Palatino Linotype" w:hAnsi="Palatino Linotype"/>
        </w:rPr>
      </w:pPr>
      <w:r>
        <w:rPr>
          <w:rFonts w:ascii="Palatino Linotype" w:hAnsi="Palatino Linotype"/>
        </w:rPr>
        <w:t xml:space="preserve">Mientras que el diverso artículo 4 de la Ley de Transparencia y Acceso a la Información Pública del Estado de México y Municipios establece que toda la información generada, obtenida, adquirida, transformada o en posesión de los </w:t>
      </w:r>
      <w:r>
        <w:rPr>
          <w:rFonts w:ascii="Palatino Linotype" w:hAnsi="Palatino Linotype"/>
        </w:rPr>
        <w:lastRenderedPageBreak/>
        <w:t>sujetos obligados es pública y sólo podrá ser clasificada como reservada temporalmente por razones de interés público</w:t>
      </w:r>
      <w:r>
        <w:rPr>
          <w:rStyle w:val="Refdenotaalpie"/>
          <w:rFonts w:ascii="Palatino Linotype" w:hAnsi="Palatino Linotype"/>
        </w:rPr>
        <w:footnoteReference w:id="4"/>
      </w:r>
      <w:r>
        <w:rPr>
          <w:rFonts w:ascii="Palatino Linotype" w:hAnsi="Palatino Linotype"/>
        </w:rPr>
        <w:t>.</w:t>
      </w:r>
    </w:p>
    <w:p w14:paraId="15A35A0E" w14:textId="021CCDC5" w:rsidR="00893BD8" w:rsidRDefault="00AD5102" w:rsidP="00DA5E8B">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Bajo estas consideraciones</w:t>
      </w:r>
      <w:r w:rsidR="00065B4D">
        <w:rPr>
          <w:rFonts w:ascii="Palatino Linotype" w:hAnsi="Palatino Linotype" w:cs="Arial"/>
        </w:rPr>
        <w:t xml:space="preserve">, resulta conveniente </w:t>
      </w:r>
      <w:r w:rsidR="003F3F3C">
        <w:rPr>
          <w:rFonts w:ascii="Palatino Linotype" w:hAnsi="Palatino Linotype" w:cs="Arial"/>
        </w:rPr>
        <w:t>esquematizar la solicitud de información, la respuesta, el agravio formulado por el recurrente, y lo vertido mediante informe justificado, en los siguientes términos:</w:t>
      </w:r>
    </w:p>
    <w:tbl>
      <w:tblPr>
        <w:tblStyle w:val="Tablaconcuadrcula"/>
        <w:tblW w:w="8926" w:type="dxa"/>
        <w:tblLayout w:type="fixed"/>
        <w:tblLook w:val="04A0" w:firstRow="1" w:lastRow="0" w:firstColumn="1" w:lastColumn="0" w:noHBand="0" w:noVBand="1"/>
      </w:tblPr>
      <w:tblGrid>
        <w:gridCol w:w="2207"/>
        <w:gridCol w:w="3317"/>
        <w:gridCol w:w="3402"/>
      </w:tblGrid>
      <w:tr w:rsidR="00255E89" w14:paraId="39DEE51B" w14:textId="102B906D" w:rsidTr="00255E89">
        <w:tc>
          <w:tcPr>
            <w:tcW w:w="2207" w:type="dxa"/>
          </w:tcPr>
          <w:p w14:paraId="3ED01FA9" w14:textId="3CD3852D" w:rsidR="00255E89" w:rsidRPr="003F3F3C" w:rsidRDefault="00255E89" w:rsidP="003F3F3C">
            <w:pPr>
              <w:autoSpaceDE w:val="0"/>
              <w:autoSpaceDN w:val="0"/>
              <w:adjustRightInd w:val="0"/>
              <w:jc w:val="center"/>
              <w:rPr>
                <w:rFonts w:ascii="Palatino Linotype" w:hAnsi="Palatino Linotype" w:cs="Arial"/>
                <w:b/>
              </w:rPr>
            </w:pPr>
            <w:r>
              <w:rPr>
                <w:rFonts w:ascii="Palatino Linotype" w:hAnsi="Palatino Linotype" w:cs="Arial"/>
                <w:b/>
              </w:rPr>
              <w:t>Solicitud de Información</w:t>
            </w:r>
          </w:p>
        </w:tc>
        <w:tc>
          <w:tcPr>
            <w:tcW w:w="3317" w:type="dxa"/>
          </w:tcPr>
          <w:p w14:paraId="515B7939" w14:textId="5CD075FF" w:rsidR="00255E89" w:rsidRPr="003F3F3C" w:rsidRDefault="00255E89" w:rsidP="003F3F3C">
            <w:pPr>
              <w:autoSpaceDE w:val="0"/>
              <w:autoSpaceDN w:val="0"/>
              <w:adjustRightInd w:val="0"/>
              <w:jc w:val="center"/>
              <w:rPr>
                <w:rFonts w:ascii="Palatino Linotype" w:hAnsi="Palatino Linotype" w:cs="Arial"/>
                <w:b/>
              </w:rPr>
            </w:pPr>
            <w:r>
              <w:rPr>
                <w:rFonts w:ascii="Palatino Linotype" w:hAnsi="Palatino Linotype" w:cs="Arial"/>
                <w:b/>
              </w:rPr>
              <w:t>Respuesta del Sujeto Obligado</w:t>
            </w:r>
          </w:p>
        </w:tc>
        <w:tc>
          <w:tcPr>
            <w:tcW w:w="3402" w:type="dxa"/>
          </w:tcPr>
          <w:p w14:paraId="1E074E4E" w14:textId="77777777" w:rsidR="00255E89" w:rsidRDefault="00255E89" w:rsidP="003F3F3C">
            <w:pPr>
              <w:autoSpaceDE w:val="0"/>
              <w:autoSpaceDN w:val="0"/>
              <w:adjustRightInd w:val="0"/>
              <w:jc w:val="center"/>
              <w:rPr>
                <w:rFonts w:ascii="Palatino Linotype" w:hAnsi="Palatino Linotype" w:cs="Arial"/>
                <w:b/>
              </w:rPr>
            </w:pPr>
            <w:r>
              <w:rPr>
                <w:rFonts w:ascii="Palatino Linotype" w:hAnsi="Palatino Linotype" w:cs="Arial"/>
                <w:b/>
              </w:rPr>
              <w:t>Informe Justificado</w:t>
            </w:r>
          </w:p>
          <w:p w14:paraId="52419ADD" w14:textId="04295C96" w:rsidR="00255E89" w:rsidRPr="003F3F3C" w:rsidRDefault="00255E89" w:rsidP="003F3F3C">
            <w:pPr>
              <w:autoSpaceDE w:val="0"/>
              <w:autoSpaceDN w:val="0"/>
              <w:adjustRightInd w:val="0"/>
              <w:jc w:val="center"/>
              <w:rPr>
                <w:rFonts w:ascii="Palatino Linotype" w:hAnsi="Palatino Linotype" w:cs="Arial"/>
                <w:b/>
                <w:sz w:val="20"/>
                <w:szCs w:val="20"/>
              </w:rPr>
            </w:pPr>
          </w:p>
        </w:tc>
      </w:tr>
      <w:tr w:rsidR="00255E89" w14:paraId="73A6B1E5" w14:textId="0C3F6722" w:rsidTr="00255E89">
        <w:tc>
          <w:tcPr>
            <w:tcW w:w="2207" w:type="dxa"/>
          </w:tcPr>
          <w:p w14:paraId="370807F6" w14:textId="07E000F8" w:rsidR="00255E89" w:rsidRPr="00060072" w:rsidRDefault="00255E89" w:rsidP="00F71DBD">
            <w:pPr>
              <w:pStyle w:val="Prrafodelista"/>
              <w:spacing w:before="240" w:after="240"/>
              <w:ind w:left="0"/>
              <w:jc w:val="both"/>
              <w:rPr>
                <w:rFonts w:ascii="Palatino Linotype" w:hAnsi="Palatino Linotype"/>
                <w:sz w:val="20"/>
                <w:szCs w:val="20"/>
                <w:lang w:val="es-MX" w:eastAsia="es-MX"/>
              </w:rPr>
            </w:pPr>
            <w:r w:rsidRPr="00060072">
              <w:rPr>
                <w:rFonts w:ascii="Palatino Linotype" w:hAnsi="Palatino Linotype"/>
                <w:color w:val="000000"/>
                <w:sz w:val="20"/>
                <w:szCs w:val="20"/>
              </w:rPr>
              <w:t xml:space="preserve">1. </w:t>
            </w:r>
            <w:r>
              <w:rPr>
                <w:rFonts w:ascii="Palatino Linotype" w:hAnsi="Palatino Linotype"/>
                <w:color w:val="000000"/>
                <w:sz w:val="20"/>
                <w:szCs w:val="20"/>
              </w:rPr>
              <w:t>Nombre del servidor público.</w:t>
            </w:r>
          </w:p>
        </w:tc>
        <w:tc>
          <w:tcPr>
            <w:tcW w:w="3317" w:type="dxa"/>
          </w:tcPr>
          <w:p w14:paraId="4A264953" w14:textId="611A8C75" w:rsidR="00255E89" w:rsidRDefault="00255E89" w:rsidP="00F71DBD">
            <w:pPr>
              <w:autoSpaceDE w:val="0"/>
              <w:autoSpaceDN w:val="0"/>
              <w:adjustRightInd w:val="0"/>
              <w:rPr>
                <w:rFonts w:ascii="Palatino Linotype" w:hAnsi="Palatino Linotype" w:cs="Arial"/>
              </w:rPr>
            </w:pPr>
            <w:r w:rsidRPr="00201D17">
              <w:rPr>
                <w:rFonts w:ascii="Palatino Linotype" w:hAnsi="Palatino Linotype" w:cs="Arial"/>
                <w:noProof/>
                <w:lang w:val="es-MX" w:eastAsia="es-MX"/>
              </w:rPr>
              <w:drawing>
                <wp:anchor distT="0" distB="0" distL="114300" distR="114300" simplePos="0" relativeHeight="251664384" behindDoc="1" locked="0" layoutInCell="1" allowOverlap="1" wp14:anchorId="27D804BA" wp14:editId="16141580">
                  <wp:simplePos x="0" y="0"/>
                  <wp:positionH relativeFrom="column">
                    <wp:posOffset>-24319</wp:posOffset>
                  </wp:positionH>
                  <wp:positionV relativeFrom="paragraph">
                    <wp:posOffset>74261</wp:posOffset>
                  </wp:positionV>
                  <wp:extent cx="1886465" cy="52895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96835" cy="531863"/>
                          </a:xfrm>
                          <a:prstGeom prst="rect">
                            <a:avLst/>
                          </a:prstGeom>
                        </pic:spPr>
                      </pic:pic>
                    </a:graphicData>
                  </a:graphic>
                  <wp14:sizeRelH relativeFrom="page">
                    <wp14:pctWidth>0</wp14:pctWidth>
                  </wp14:sizeRelH>
                  <wp14:sizeRelV relativeFrom="page">
                    <wp14:pctHeight>0</wp14:pctHeight>
                  </wp14:sizeRelV>
                </wp:anchor>
              </w:drawing>
            </w:r>
          </w:p>
        </w:tc>
        <w:tc>
          <w:tcPr>
            <w:tcW w:w="3402" w:type="dxa"/>
          </w:tcPr>
          <w:p w14:paraId="276BF51A" w14:textId="09202B3A" w:rsidR="00255E89" w:rsidRDefault="00255E89" w:rsidP="003F3F3C">
            <w:pPr>
              <w:spacing w:before="240" w:after="240" w:line="360" w:lineRule="auto"/>
              <w:jc w:val="both"/>
              <w:rPr>
                <w:rFonts w:ascii="Palatino Linotype" w:hAnsi="Palatino Linotype" w:cs="Arial"/>
              </w:rPr>
            </w:pPr>
            <w:r w:rsidRPr="00F71DBD">
              <w:rPr>
                <w:rFonts w:ascii="Palatino Linotype" w:hAnsi="Palatino Linotype" w:cs="Arial"/>
                <w:noProof/>
                <w:lang w:val="es-MX" w:eastAsia="es-MX"/>
              </w:rPr>
              <w:drawing>
                <wp:anchor distT="0" distB="0" distL="114300" distR="114300" simplePos="0" relativeHeight="251665408" behindDoc="1" locked="0" layoutInCell="1" allowOverlap="1" wp14:anchorId="7B943DF8" wp14:editId="672C7F4F">
                  <wp:simplePos x="0" y="0"/>
                  <wp:positionH relativeFrom="column">
                    <wp:posOffset>-5252</wp:posOffset>
                  </wp:positionH>
                  <wp:positionV relativeFrom="paragraph">
                    <wp:posOffset>8358</wp:posOffset>
                  </wp:positionV>
                  <wp:extent cx="1977081" cy="592455"/>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82241" cy="594001"/>
                          </a:xfrm>
                          <a:prstGeom prst="rect">
                            <a:avLst/>
                          </a:prstGeom>
                        </pic:spPr>
                      </pic:pic>
                    </a:graphicData>
                  </a:graphic>
                  <wp14:sizeRelH relativeFrom="page">
                    <wp14:pctWidth>0</wp14:pctWidth>
                  </wp14:sizeRelH>
                  <wp14:sizeRelV relativeFrom="page">
                    <wp14:pctHeight>0</wp14:pctHeight>
                  </wp14:sizeRelV>
                </wp:anchor>
              </w:drawing>
            </w:r>
          </w:p>
        </w:tc>
      </w:tr>
      <w:tr w:rsidR="00255E89" w14:paraId="587BC6B2" w14:textId="58C0C9E5" w:rsidTr="00255E89">
        <w:trPr>
          <w:cantSplit/>
          <w:trHeight w:val="1134"/>
        </w:trPr>
        <w:tc>
          <w:tcPr>
            <w:tcW w:w="2207" w:type="dxa"/>
          </w:tcPr>
          <w:p w14:paraId="5D039B05" w14:textId="417DDE14" w:rsidR="00255E89" w:rsidRPr="003F3F3C" w:rsidRDefault="00255E89" w:rsidP="00F71DBD">
            <w:pPr>
              <w:pStyle w:val="Prrafodelista"/>
              <w:spacing w:before="240" w:after="240"/>
              <w:ind w:left="29"/>
              <w:jc w:val="both"/>
              <w:rPr>
                <w:rFonts w:ascii="Palatino Linotype" w:hAnsi="Palatino Linotype"/>
                <w:lang w:val="es-MX" w:eastAsia="es-MX"/>
              </w:rPr>
            </w:pPr>
            <w:r>
              <w:rPr>
                <w:rFonts w:ascii="Palatino Linotype" w:hAnsi="Palatino Linotype"/>
                <w:lang w:val="es-MX" w:eastAsia="es-MX"/>
              </w:rPr>
              <w:t xml:space="preserve">2. </w:t>
            </w:r>
            <w:r>
              <w:rPr>
                <w:rFonts w:ascii="Palatino Linotype" w:hAnsi="Palatino Linotype"/>
                <w:color w:val="000000"/>
                <w:sz w:val="20"/>
                <w:szCs w:val="20"/>
              </w:rPr>
              <w:t>I</w:t>
            </w:r>
            <w:r w:rsidRPr="00060072">
              <w:rPr>
                <w:rFonts w:ascii="Palatino Linotype" w:hAnsi="Palatino Linotype"/>
                <w:color w:val="000000"/>
                <w:sz w:val="20"/>
                <w:szCs w:val="20"/>
              </w:rPr>
              <w:t>ndicando si es personal de nómina</w:t>
            </w:r>
            <w:r>
              <w:rPr>
                <w:rFonts w:ascii="Palatino Linotype" w:hAnsi="Palatino Linotype"/>
                <w:color w:val="000000"/>
                <w:sz w:val="20"/>
                <w:szCs w:val="20"/>
              </w:rPr>
              <w:t xml:space="preserve">, </w:t>
            </w:r>
            <w:r w:rsidRPr="00060072">
              <w:rPr>
                <w:rFonts w:ascii="Palatino Linotype" w:hAnsi="Palatino Linotype"/>
                <w:color w:val="000000"/>
                <w:sz w:val="20"/>
                <w:szCs w:val="20"/>
              </w:rPr>
              <w:t>confianza o sindicalizado, por</w:t>
            </w:r>
            <w:r>
              <w:rPr>
                <w:rFonts w:ascii="Palatino Linotype" w:hAnsi="Palatino Linotype"/>
                <w:color w:val="000000"/>
                <w:sz w:val="20"/>
                <w:szCs w:val="20"/>
              </w:rPr>
              <w:t xml:space="preserve"> honorarios o de lista de raya.</w:t>
            </w:r>
          </w:p>
        </w:tc>
        <w:tc>
          <w:tcPr>
            <w:tcW w:w="3317" w:type="dxa"/>
          </w:tcPr>
          <w:p w14:paraId="6E5F0055" w14:textId="0614BD1A" w:rsidR="00255E89" w:rsidRPr="00F71DBD" w:rsidRDefault="00255E89" w:rsidP="003F3F3C">
            <w:pPr>
              <w:autoSpaceDE w:val="0"/>
              <w:autoSpaceDN w:val="0"/>
              <w:adjustRightInd w:val="0"/>
              <w:jc w:val="both"/>
              <w:rPr>
                <w:rFonts w:ascii="Palatino Linotype" w:hAnsi="Palatino Linotype" w:cs="Arial"/>
                <w:sz w:val="20"/>
                <w:szCs w:val="20"/>
              </w:rPr>
            </w:pPr>
            <w:r w:rsidRPr="00F71DBD">
              <w:rPr>
                <w:rFonts w:ascii="Palatino Linotype" w:hAnsi="Palatino Linotype" w:cs="Arial"/>
                <w:sz w:val="20"/>
                <w:szCs w:val="20"/>
              </w:rPr>
              <w:t>Sin contenido</w:t>
            </w:r>
          </w:p>
        </w:tc>
        <w:tc>
          <w:tcPr>
            <w:tcW w:w="3402" w:type="dxa"/>
          </w:tcPr>
          <w:p w14:paraId="0C5FF662" w14:textId="49DF576E" w:rsidR="00255E89" w:rsidRDefault="00255E89" w:rsidP="003F3F3C">
            <w:pPr>
              <w:spacing w:before="240" w:after="240" w:line="360" w:lineRule="auto"/>
              <w:jc w:val="both"/>
              <w:rPr>
                <w:rFonts w:ascii="Palatino Linotype" w:hAnsi="Palatino Linotype" w:cs="Arial"/>
              </w:rPr>
            </w:pPr>
            <w:r w:rsidRPr="00F71DBD">
              <w:rPr>
                <w:rFonts w:ascii="Palatino Linotype" w:hAnsi="Palatino Linotype" w:cs="Arial"/>
                <w:noProof/>
                <w:lang w:val="es-MX" w:eastAsia="es-MX"/>
              </w:rPr>
              <w:drawing>
                <wp:anchor distT="0" distB="0" distL="114300" distR="114300" simplePos="0" relativeHeight="251668480" behindDoc="1" locked="0" layoutInCell="1" allowOverlap="1" wp14:anchorId="756CB8F8" wp14:editId="5A084A33">
                  <wp:simplePos x="0" y="0"/>
                  <wp:positionH relativeFrom="column">
                    <wp:posOffset>2986</wp:posOffset>
                  </wp:positionH>
                  <wp:positionV relativeFrom="paragraph">
                    <wp:posOffset>154014</wp:posOffset>
                  </wp:positionV>
                  <wp:extent cx="1978093" cy="724930"/>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2976" cy="734049"/>
                          </a:xfrm>
                          <a:prstGeom prst="rect">
                            <a:avLst/>
                          </a:prstGeom>
                        </pic:spPr>
                      </pic:pic>
                    </a:graphicData>
                  </a:graphic>
                  <wp14:sizeRelV relativeFrom="margin">
                    <wp14:pctHeight>0</wp14:pctHeight>
                  </wp14:sizeRelV>
                </wp:anchor>
              </w:drawing>
            </w:r>
          </w:p>
        </w:tc>
      </w:tr>
      <w:tr w:rsidR="00255E89" w14:paraId="2F48DE60" w14:textId="79D64C3A" w:rsidTr="00255E89">
        <w:tc>
          <w:tcPr>
            <w:tcW w:w="2207" w:type="dxa"/>
          </w:tcPr>
          <w:p w14:paraId="1F82843E" w14:textId="33D3C95E" w:rsidR="00255E89" w:rsidRPr="003F3F3C" w:rsidRDefault="00255E89" w:rsidP="00F71DBD">
            <w:pPr>
              <w:spacing w:before="240" w:after="240"/>
              <w:jc w:val="both"/>
              <w:rPr>
                <w:rFonts w:ascii="Palatino Linotype" w:hAnsi="Palatino Linotype"/>
                <w:lang w:val="es-MX" w:eastAsia="es-MX"/>
              </w:rPr>
            </w:pPr>
            <w:r>
              <w:rPr>
                <w:rFonts w:ascii="Palatino Linotype" w:hAnsi="Palatino Linotype"/>
                <w:color w:val="000000"/>
                <w:sz w:val="20"/>
                <w:szCs w:val="20"/>
              </w:rPr>
              <w:t>3. Área de adscripción.</w:t>
            </w:r>
            <w:r w:rsidRPr="00060072">
              <w:rPr>
                <w:rFonts w:ascii="Palatino Linotype" w:hAnsi="Palatino Linotype"/>
                <w:color w:val="000000"/>
                <w:sz w:val="20"/>
                <w:szCs w:val="20"/>
              </w:rPr>
              <w:t xml:space="preserve"> </w:t>
            </w:r>
          </w:p>
        </w:tc>
        <w:tc>
          <w:tcPr>
            <w:tcW w:w="3317" w:type="dxa"/>
          </w:tcPr>
          <w:p w14:paraId="6D17EF60" w14:textId="34CE5AC0" w:rsidR="00255E89" w:rsidRDefault="00255E89" w:rsidP="003F3F3C">
            <w:pPr>
              <w:autoSpaceDE w:val="0"/>
              <w:autoSpaceDN w:val="0"/>
              <w:adjustRightInd w:val="0"/>
              <w:jc w:val="both"/>
              <w:rPr>
                <w:rFonts w:ascii="Palatino Linotype" w:hAnsi="Palatino Linotype" w:cs="Arial"/>
              </w:rPr>
            </w:pPr>
            <w:r w:rsidRPr="00F71DBD">
              <w:rPr>
                <w:rFonts w:ascii="Palatino Linotype" w:hAnsi="Palatino Linotype" w:cs="Arial"/>
                <w:noProof/>
                <w:lang w:val="es-MX" w:eastAsia="es-MX"/>
              </w:rPr>
              <w:drawing>
                <wp:inline distT="0" distB="0" distL="0" distR="0" wp14:anchorId="6B7C527C" wp14:editId="7EE3F32E">
                  <wp:extent cx="2018158" cy="518984"/>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9074" cy="529506"/>
                          </a:xfrm>
                          <a:prstGeom prst="rect">
                            <a:avLst/>
                          </a:prstGeom>
                        </pic:spPr>
                      </pic:pic>
                    </a:graphicData>
                  </a:graphic>
                </wp:inline>
              </w:drawing>
            </w:r>
          </w:p>
        </w:tc>
        <w:tc>
          <w:tcPr>
            <w:tcW w:w="3402" w:type="dxa"/>
          </w:tcPr>
          <w:p w14:paraId="25AB14C7" w14:textId="2D3DE231" w:rsidR="00255E89" w:rsidRDefault="00255E89" w:rsidP="000A6F33">
            <w:pPr>
              <w:autoSpaceDE w:val="0"/>
              <w:autoSpaceDN w:val="0"/>
              <w:adjustRightInd w:val="0"/>
              <w:spacing w:before="240" w:after="240" w:line="360" w:lineRule="auto"/>
              <w:jc w:val="both"/>
              <w:rPr>
                <w:rFonts w:ascii="Palatino Linotype" w:hAnsi="Palatino Linotype" w:cs="Arial"/>
              </w:rPr>
            </w:pPr>
            <w:r w:rsidRPr="00F71DBD">
              <w:rPr>
                <w:rFonts w:ascii="Palatino Linotype" w:hAnsi="Palatino Linotype" w:cs="Arial"/>
                <w:noProof/>
                <w:lang w:val="es-MX" w:eastAsia="es-MX"/>
              </w:rPr>
              <w:drawing>
                <wp:anchor distT="0" distB="0" distL="114300" distR="114300" simplePos="0" relativeHeight="251666432" behindDoc="1" locked="0" layoutInCell="1" allowOverlap="1" wp14:anchorId="0F01B372" wp14:editId="7EF71E5E">
                  <wp:simplePos x="0" y="0"/>
                  <wp:positionH relativeFrom="column">
                    <wp:posOffset>2986</wp:posOffset>
                  </wp:positionH>
                  <wp:positionV relativeFrom="paragraph">
                    <wp:posOffset>156227</wp:posOffset>
                  </wp:positionV>
                  <wp:extent cx="2016907" cy="30480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16907" cy="304800"/>
                          </a:xfrm>
                          <a:prstGeom prst="rect">
                            <a:avLst/>
                          </a:prstGeom>
                        </pic:spPr>
                      </pic:pic>
                    </a:graphicData>
                  </a:graphic>
                </wp:anchor>
              </w:drawing>
            </w:r>
          </w:p>
        </w:tc>
      </w:tr>
      <w:tr w:rsidR="00255E89" w14:paraId="06AB4BA9" w14:textId="3A99EAD6" w:rsidTr="00255E89">
        <w:tc>
          <w:tcPr>
            <w:tcW w:w="2207" w:type="dxa"/>
          </w:tcPr>
          <w:p w14:paraId="1987D8AD" w14:textId="331AD64F" w:rsidR="00255E89" w:rsidRPr="003F3F3C" w:rsidRDefault="00255E89" w:rsidP="00F71DBD">
            <w:pPr>
              <w:spacing w:before="240" w:after="240"/>
              <w:jc w:val="both"/>
              <w:rPr>
                <w:rFonts w:ascii="Palatino Linotype" w:hAnsi="Palatino Linotype"/>
                <w:lang w:val="es-MX" w:eastAsia="es-MX"/>
              </w:rPr>
            </w:pPr>
            <w:r>
              <w:rPr>
                <w:rFonts w:ascii="Palatino Linotype" w:hAnsi="Palatino Linotype"/>
                <w:lang w:val="es-MX" w:eastAsia="es-MX"/>
              </w:rPr>
              <w:t xml:space="preserve">4. </w:t>
            </w:r>
            <w:r w:rsidRPr="00060072">
              <w:rPr>
                <w:rFonts w:ascii="Palatino Linotype" w:hAnsi="Palatino Linotype"/>
                <w:color w:val="000000"/>
                <w:sz w:val="20"/>
                <w:szCs w:val="20"/>
              </w:rPr>
              <w:t xml:space="preserve">sueldo quincenal bruto </w:t>
            </w:r>
            <w:r>
              <w:rPr>
                <w:rFonts w:ascii="Palatino Linotype" w:hAnsi="Palatino Linotype"/>
                <w:color w:val="000000"/>
                <w:sz w:val="20"/>
                <w:szCs w:val="20"/>
              </w:rPr>
              <w:t>y neto</w:t>
            </w:r>
          </w:p>
        </w:tc>
        <w:tc>
          <w:tcPr>
            <w:tcW w:w="3317" w:type="dxa"/>
          </w:tcPr>
          <w:p w14:paraId="0B90297C" w14:textId="109DE813" w:rsidR="00255E89" w:rsidRDefault="00255E89" w:rsidP="003F3F3C">
            <w:pPr>
              <w:autoSpaceDE w:val="0"/>
              <w:autoSpaceDN w:val="0"/>
              <w:adjustRightInd w:val="0"/>
              <w:jc w:val="both"/>
              <w:rPr>
                <w:rFonts w:ascii="Palatino Linotype" w:hAnsi="Palatino Linotype" w:cs="Arial"/>
              </w:rPr>
            </w:pPr>
            <w:r w:rsidRPr="00F71DBD">
              <w:rPr>
                <w:rFonts w:ascii="Palatino Linotype" w:hAnsi="Palatino Linotype" w:cs="Arial"/>
                <w:noProof/>
                <w:lang w:val="es-MX" w:eastAsia="es-MX"/>
              </w:rPr>
              <w:drawing>
                <wp:inline distT="0" distB="0" distL="0" distR="0" wp14:anchorId="14DCCA0A" wp14:editId="7268F56F">
                  <wp:extent cx="1891447" cy="5766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8773" cy="581931"/>
                          </a:xfrm>
                          <a:prstGeom prst="rect">
                            <a:avLst/>
                          </a:prstGeom>
                        </pic:spPr>
                      </pic:pic>
                    </a:graphicData>
                  </a:graphic>
                </wp:inline>
              </w:drawing>
            </w:r>
          </w:p>
        </w:tc>
        <w:tc>
          <w:tcPr>
            <w:tcW w:w="3402" w:type="dxa"/>
          </w:tcPr>
          <w:p w14:paraId="35D6A601" w14:textId="6668C60B" w:rsidR="00255E89" w:rsidRPr="000A6F33" w:rsidRDefault="00255E89" w:rsidP="002F2F71">
            <w:pPr>
              <w:autoSpaceDE w:val="0"/>
              <w:autoSpaceDN w:val="0"/>
              <w:adjustRightInd w:val="0"/>
              <w:spacing w:before="240" w:after="240" w:line="360" w:lineRule="auto"/>
              <w:jc w:val="both"/>
              <w:rPr>
                <w:rFonts w:ascii="Palatino Linotype" w:hAnsi="Palatino Linotype" w:cs="Arial"/>
              </w:rPr>
            </w:pPr>
            <w:r w:rsidRPr="00F71DBD">
              <w:rPr>
                <w:rFonts w:ascii="Palatino Linotype" w:hAnsi="Palatino Linotype" w:cs="Arial"/>
                <w:noProof/>
                <w:lang w:val="es-MX" w:eastAsia="es-MX"/>
              </w:rPr>
              <w:drawing>
                <wp:anchor distT="0" distB="0" distL="114300" distR="114300" simplePos="0" relativeHeight="251667456" behindDoc="1" locked="0" layoutInCell="1" allowOverlap="1" wp14:anchorId="5862CA5E" wp14:editId="535B6CE0">
                  <wp:simplePos x="0" y="0"/>
                  <wp:positionH relativeFrom="column">
                    <wp:posOffset>2986</wp:posOffset>
                  </wp:positionH>
                  <wp:positionV relativeFrom="paragraph">
                    <wp:posOffset>154305</wp:posOffset>
                  </wp:positionV>
                  <wp:extent cx="2072591" cy="362465"/>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72591" cy="362465"/>
                          </a:xfrm>
                          <a:prstGeom prst="rect">
                            <a:avLst/>
                          </a:prstGeom>
                        </pic:spPr>
                      </pic:pic>
                    </a:graphicData>
                  </a:graphic>
                </wp:anchor>
              </w:drawing>
            </w:r>
          </w:p>
        </w:tc>
      </w:tr>
    </w:tbl>
    <w:p w14:paraId="7EDF459D" w14:textId="66F808D1" w:rsidR="00D948DE" w:rsidRDefault="00D948DE" w:rsidP="00FF1E67">
      <w:pPr>
        <w:spacing w:before="240" w:after="240" w:line="360" w:lineRule="auto"/>
        <w:jc w:val="both"/>
        <w:rPr>
          <w:rFonts w:ascii="Palatino Linotype" w:hAnsi="Palatino Linotype" w:cs="Arial"/>
        </w:rPr>
      </w:pPr>
      <w:r>
        <w:rPr>
          <w:rFonts w:ascii="Palatino Linotype" w:hAnsi="Palatino Linotype" w:cs="Arial"/>
        </w:rPr>
        <w:lastRenderedPageBreak/>
        <w:t xml:space="preserve">Visto de esta forma, </w:t>
      </w:r>
      <w:r w:rsidR="00FB3FDD">
        <w:rPr>
          <w:rFonts w:ascii="Palatino Linotype" w:hAnsi="Palatino Linotype" w:cs="Arial"/>
        </w:rPr>
        <w:t>de las actuaciones que integran el expediente electrónico que nos ocupa, se advierten</w:t>
      </w:r>
      <w:r w:rsidR="005C2EC3">
        <w:rPr>
          <w:rFonts w:ascii="Palatino Linotype" w:hAnsi="Palatino Linotype" w:cs="Arial"/>
        </w:rPr>
        <w:t xml:space="preserve"> parcialmente</w:t>
      </w:r>
      <w:r w:rsidR="00FB3FDD">
        <w:rPr>
          <w:rFonts w:ascii="Palatino Linotype" w:hAnsi="Palatino Linotype" w:cs="Arial"/>
        </w:rPr>
        <w:t xml:space="preserve"> fundados los motivos de inconformidad</w:t>
      </w:r>
      <w:r w:rsidR="00FF1E67">
        <w:rPr>
          <w:rFonts w:ascii="Palatino Linotype" w:hAnsi="Palatino Linotype" w:cs="Arial"/>
        </w:rPr>
        <w:t xml:space="preserve">, por lo cual resulta necesario </w:t>
      </w:r>
      <w:r w:rsidR="00FB3FDD">
        <w:rPr>
          <w:rFonts w:ascii="Palatino Linotype" w:hAnsi="Palatino Linotype" w:cs="Arial"/>
        </w:rPr>
        <w:t xml:space="preserve">para resolver el asunto que nos ocupa, </w:t>
      </w:r>
      <w:r>
        <w:rPr>
          <w:rFonts w:ascii="Palatino Linotype" w:hAnsi="Palatino Linotype" w:cs="Arial"/>
        </w:rPr>
        <w:t>tomar en cuenta el contenido íntegro del expediente electrónico</w:t>
      </w:r>
      <w:r w:rsidR="00E5678F">
        <w:rPr>
          <w:rFonts w:ascii="Palatino Linotype" w:hAnsi="Palatino Linotype" w:cs="Arial"/>
        </w:rPr>
        <w:t xml:space="preserve"> en términos de lo dispuesto en el </w:t>
      </w:r>
      <w:r w:rsidR="00E5678F">
        <w:rPr>
          <w:rFonts w:ascii="Palatino Linotype" w:hAnsi="Palatino Linotype"/>
        </w:rPr>
        <w:t xml:space="preserve">artículo 185 fracción IV </w:t>
      </w:r>
      <w:r w:rsidR="00E5678F">
        <w:rPr>
          <w:rFonts w:ascii="Palatino Linotype" w:hAnsi="Palatino Linotype" w:cs="Arial"/>
        </w:rPr>
        <w:t xml:space="preserve">de la Ley de Transparencia y Acceso a </w:t>
      </w:r>
      <w:r w:rsidR="00E5678F" w:rsidRPr="001E5075">
        <w:rPr>
          <w:rFonts w:ascii="Palatino Linotype" w:hAnsi="Palatino Linotype" w:cs="Arial"/>
        </w:rPr>
        <w:t xml:space="preserve">la </w:t>
      </w:r>
      <w:r w:rsidR="00E5678F">
        <w:rPr>
          <w:rFonts w:ascii="Palatino Linotype" w:hAnsi="Palatino Linotype" w:cs="Arial"/>
        </w:rPr>
        <w:t>I</w:t>
      </w:r>
      <w:r w:rsidR="00E5678F" w:rsidRPr="001E5075">
        <w:rPr>
          <w:rFonts w:ascii="Palatino Linotype" w:hAnsi="Palatino Linotype" w:cs="Arial"/>
        </w:rPr>
        <w:t>nformación Pública</w:t>
      </w:r>
      <w:r w:rsidR="00E5678F">
        <w:rPr>
          <w:rFonts w:ascii="Palatino Linotype" w:hAnsi="Palatino Linotype" w:cs="Arial"/>
        </w:rPr>
        <w:t xml:space="preserve"> del Estado de México y Municipios</w:t>
      </w:r>
      <w:r w:rsidR="00E5678F">
        <w:rPr>
          <w:rStyle w:val="Refdenotaalpie"/>
          <w:rFonts w:ascii="Palatino Linotype" w:hAnsi="Palatino Linotype"/>
        </w:rPr>
        <w:footnoteReference w:id="5"/>
      </w:r>
      <w:r w:rsidR="00E5678F">
        <w:rPr>
          <w:rFonts w:ascii="Palatino Linotype" w:hAnsi="Palatino Linotype" w:cs="Arial"/>
        </w:rPr>
        <w:t xml:space="preserve"> </w:t>
      </w:r>
      <w:r w:rsidR="00E5678F">
        <w:rPr>
          <w:rFonts w:ascii="Palatino Linotype" w:hAnsi="Palatino Linotype"/>
        </w:rPr>
        <w:t xml:space="preserve">en relación directa con los artículos 95 y 100 del Código de Procedimientos Administrativos del Estado de México que es de aplicación supletoria en la materia que nos ocupa, con base en lo dispuesto por el artículo </w:t>
      </w:r>
      <w:r w:rsidR="00E5678F">
        <w:rPr>
          <w:rFonts w:ascii="Palatino Linotype" w:hAnsi="Palatino Linotype" w:cs="Arial"/>
        </w:rPr>
        <w:t>195 de la Ley de la Materia</w:t>
      </w:r>
      <w:r w:rsidR="00E5678F">
        <w:rPr>
          <w:rFonts w:ascii="Palatino Linotype" w:hAnsi="Palatino Linotype" w:cs="Arial"/>
          <w:i/>
        </w:rPr>
        <w:t xml:space="preserve">, </w:t>
      </w:r>
      <w:r>
        <w:rPr>
          <w:rFonts w:ascii="Palatino Linotype" w:hAnsi="Palatino Linotype" w:cs="Arial"/>
        </w:rPr>
        <w:t xml:space="preserve"> para dictar la presente determinación, ello con la finalidad de cumplir con los principios de congruencia y exhaustividad en las resoluciones jurisdiccionales, con lo cual se logra dar respuesta a todos los planteamientos formulados por las partes.</w:t>
      </w:r>
    </w:p>
    <w:p w14:paraId="567E814F" w14:textId="4463FC66" w:rsidR="00D948DE" w:rsidRPr="00255E89" w:rsidRDefault="00D948DE" w:rsidP="00D948DE">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En este sentido, </w:t>
      </w:r>
      <w:r w:rsidR="00E5678F">
        <w:rPr>
          <w:rFonts w:ascii="Palatino Linotype" w:hAnsi="Palatino Linotype"/>
        </w:rPr>
        <w:t xml:space="preserve">los documentos que se anexaron </w:t>
      </w:r>
      <w:r w:rsidR="00255E89">
        <w:rPr>
          <w:rFonts w:ascii="Palatino Linotype" w:hAnsi="Palatino Linotype"/>
        </w:rPr>
        <w:t xml:space="preserve">en el momento procesal para rendir informe justificado y ofrecer pruebas </w:t>
      </w:r>
      <w:r>
        <w:rPr>
          <w:rFonts w:ascii="Palatino Linotype" w:hAnsi="Palatino Linotype"/>
        </w:rPr>
        <w:t>se tiene</w:t>
      </w:r>
      <w:r w:rsidR="00E5678F">
        <w:rPr>
          <w:rFonts w:ascii="Palatino Linotype" w:hAnsi="Palatino Linotype"/>
        </w:rPr>
        <w:t>n por desahogado</w:t>
      </w:r>
      <w:r>
        <w:rPr>
          <w:rFonts w:ascii="Palatino Linotype" w:hAnsi="Palatino Linotype"/>
        </w:rPr>
        <w:t>s dada su propia y especial naturaleza</w:t>
      </w:r>
      <w:r w:rsidR="00255E89">
        <w:rPr>
          <w:rStyle w:val="Refdenotaalpie"/>
          <w:rFonts w:ascii="Palatino Linotype" w:hAnsi="Palatino Linotype"/>
        </w:rPr>
        <w:footnoteReference w:id="6"/>
      </w:r>
      <w:r>
        <w:rPr>
          <w:rFonts w:ascii="Palatino Linotype" w:hAnsi="Palatino Linotype"/>
        </w:rPr>
        <w:t xml:space="preserve">, </w:t>
      </w:r>
      <w:r w:rsidR="00255E89">
        <w:rPr>
          <w:rFonts w:ascii="Palatino Linotype" w:hAnsi="Palatino Linotype"/>
        </w:rPr>
        <w:t xml:space="preserve">documentos que si bien es cierto, atienden lo relativo a que se </w:t>
      </w:r>
      <w:r w:rsidR="00255E89">
        <w:rPr>
          <w:rFonts w:ascii="Palatino Linotype" w:hAnsi="Palatino Linotype"/>
        </w:rPr>
        <w:lastRenderedPageBreak/>
        <w:t xml:space="preserve">indique si es personal de base, confianza o sindicalizado, también lo es que no satisfacen el requerimiento de información, toda vez que el </w:t>
      </w:r>
      <w:r w:rsidR="00255E89">
        <w:rPr>
          <w:rFonts w:ascii="Palatino Linotype" w:hAnsi="Palatino Linotype"/>
          <w:b/>
        </w:rPr>
        <w:t xml:space="preserve">Sujeto Obligado </w:t>
      </w:r>
      <w:r w:rsidR="00255E89">
        <w:rPr>
          <w:rFonts w:ascii="Palatino Linotype" w:hAnsi="Palatino Linotype"/>
        </w:rPr>
        <w:t>no se pronunció en lo relativo al personal por honorarios o lista de raya.</w:t>
      </w:r>
    </w:p>
    <w:p w14:paraId="3898DD32" w14:textId="77777777" w:rsidR="00335B31" w:rsidRDefault="00335B31" w:rsidP="005E05E7">
      <w:pPr>
        <w:spacing w:before="240" w:after="240" w:line="360" w:lineRule="auto"/>
        <w:jc w:val="both"/>
        <w:rPr>
          <w:rFonts w:ascii="Palatino Linotype" w:hAnsi="Palatino Linotype" w:cs="Arial"/>
        </w:rPr>
      </w:pPr>
      <w:r>
        <w:rPr>
          <w:rFonts w:ascii="Palatino Linotype" w:hAnsi="Palatino Linotype" w:cs="Arial"/>
        </w:rPr>
        <w:t xml:space="preserve">No obstante, que como fue hecho valer por el particular hoy </w:t>
      </w:r>
      <w:r>
        <w:rPr>
          <w:rFonts w:ascii="Palatino Linotype" w:hAnsi="Palatino Linotype" w:cs="Arial"/>
          <w:b/>
          <w:i/>
        </w:rPr>
        <w:t xml:space="preserve">Recurrente, </w:t>
      </w:r>
      <w:r w:rsidRPr="00335B31">
        <w:rPr>
          <w:rFonts w:ascii="Palatino Linotype" w:hAnsi="Palatino Linotype" w:cs="Arial"/>
        </w:rPr>
        <w:t xml:space="preserve">parte de </w:t>
      </w:r>
      <w:r>
        <w:rPr>
          <w:rFonts w:ascii="Palatino Linotype" w:hAnsi="Palatino Linotype" w:cs="Arial"/>
        </w:rPr>
        <w:t>la información requerida se encuentra inmersa en la nómina que está obligado a generar el Organismo Descentralizado de Agua Potable Alcantarillado y Saneamiento de Valle de Chalco Solidaridad en el ejercicio de las funciones y atribuciones.</w:t>
      </w:r>
    </w:p>
    <w:p w14:paraId="6DB736A4" w14:textId="63830F84" w:rsidR="00335B31" w:rsidRDefault="00335B31" w:rsidP="00335B31">
      <w:pPr>
        <w:spacing w:before="240" w:after="360" w:line="360" w:lineRule="auto"/>
        <w:jc w:val="both"/>
        <w:rPr>
          <w:rFonts w:ascii="Palatino Linotype" w:hAnsi="Palatino Linotype" w:cs="Arial"/>
          <w:color w:val="222222"/>
        </w:rPr>
      </w:pPr>
      <w:r>
        <w:rPr>
          <w:rFonts w:ascii="Palatino Linotype" w:hAnsi="Palatino Linotype" w:cs="Arial"/>
        </w:rPr>
        <w:t xml:space="preserve">En ese sentido, </w:t>
      </w:r>
      <w:r>
        <w:rPr>
          <w:rFonts w:ascii="Palatino Linotype" w:eastAsia="Calibri" w:hAnsi="Palatino Linotype" w:cs="Arial"/>
        </w:rPr>
        <w:t>se estima pertinente establecer que el concepto</w:t>
      </w:r>
      <w:r>
        <w:rPr>
          <w:rFonts w:ascii="Palatino Linotype" w:hAnsi="Palatino Linotype" w:cs="Arial"/>
        </w:rPr>
        <w:t xml:space="preserve"> </w:t>
      </w:r>
      <w:r>
        <w:rPr>
          <w:rFonts w:ascii="Palatino Linotype" w:hAnsi="Palatino Linotype" w:cs="Arial"/>
          <w:i/>
        </w:rPr>
        <w:t xml:space="preserve">nómina y lista de raya </w:t>
      </w:r>
      <w:r>
        <w:rPr>
          <w:rFonts w:ascii="Palatino Linotype" w:hAnsi="Palatino Linotype" w:cs="Arial"/>
        </w:rPr>
        <w:t xml:space="preserve">no se encuentran definidos en nuestra legislación, sin embargo, el </w:t>
      </w:r>
      <w:r w:rsidRPr="000D0980">
        <w:rPr>
          <w:rFonts w:ascii="Palatino Linotype" w:hAnsi="Palatino Linotype" w:cs="Arial"/>
          <w:i/>
          <w:color w:val="222222"/>
        </w:rPr>
        <w:t xml:space="preserve">Glosario de Términos para el Proceso de Planeación, Programación, </w:t>
      </w:r>
      <w:proofErr w:type="spellStart"/>
      <w:r>
        <w:rPr>
          <w:rFonts w:ascii="Palatino Linotype" w:hAnsi="Palatino Linotype" w:cs="Arial"/>
          <w:i/>
          <w:color w:val="222222"/>
        </w:rPr>
        <w:t>Presupuestación</w:t>
      </w:r>
      <w:proofErr w:type="spellEnd"/>
      <w:r w:rsidRPr="000D0980">
        <w:rPr>
          <w:rFonts w:ascii="Palatino Linotype" w:hAnsi="Palatino Linotype" w:cs="Arial"/>
          <w:i/>
          <w:color w:val="222222"/>
        </w:rPr>
        <w:t xml:space="preserve"> y </w:t>
      </w:r>
      <w:r>
        <w:rPr>
          <w:rFonts w:ascii="Palatino Linotype" w:hAnsi="Palatino Linotype" w:cs="Arial"/>
          <w:i/>
          <w:color w:val="222222"/>
        </w:rPr>
        <w:t>E</w:t>
      </w:r>
      <w:r w:rsidRPr="000D0980">
        <w:rPr>
          <w:rFonts w:ascii="Palatino Linotype" w:hAnsi="Palatino Linotype" w:cs="Arial"/>
          <w:i/>
          <w:color w:val="222222"/>
        </w:rPr>
        <w:t>valuación de la Administración Pública”</w:t>
      </w:r>
      <w:r>
        <w:rPr>
          <w:rFonts w:ascii="Palatino Linotype" w:hAnsi="Palatino Linotype" w:cs="Arial"/>
          <w:i/>
          <w:color w:val="222222"/>
        </w:rPr>
        <w:t xml:space="preserve"> </w:t>
      </w:r>
      <w:r>
        <w:rPr>
          <w:rFonts w:ascii="Palatino Linotype" w:hAnsi="Palatino Linotype" w:cs="Arial"/>
          <w:color w:val="222222"/>
        </w:rPr>
        <w:t xml:space="preserve">elaborado por el Grupo de Trabajo del Sistema de Información Financiera, Contable y Presupuestal de la Comisión Permanente de funciones Fiscales del Instituto para el Desarrollo Técnico de las Haciendas Públicas (INDETEC) y el </w:t>
      </w:r>
      <w:r w:rsidRPr="008A3D74">
        <w:rPr>
          <w:rFonts w:ascii="Palatino Linotype" w:hAnsi="Palatino Linotype" w:cs="Arial"/>
          <w:i/>
        </w:rPr>
        <w:t>Glosario de Términos Administrativos, de la Coordinación General de Estudios Administrativos del Instituto Nacional de Administración Pública, A.C.</w:t>
      </w:r>
      <w:r w:rsidRPr="0085760C">
        <w:rPr>
          <w:rFonts w:ascii="Palatino Linotype" w:hAnsi="Palatino Linotype" w:cs="Arial"/>
        </w:rPr>
        <w:t>,</w:t>
      </w:r>
      <w:r>
        <w:rPr>
          <w:rFonts w:ascii="Palatino Linotype" w:hAnsi="Palatino Linotype" w:cs="Arial"/>
        </w:rPr>
        <w:t xml:space="preserve"> </w:t>
      </w:r>
      <w:r>
        <w:rPr>
          <w:rFonts w:ascii="Palatino Linotype" w:hAnsi="Palatino Linotype" w:cs="Arial"/>
          <w:color w:val="222222"/>
        </w:rPr>
        <w:t xml:space="preserve"> establecen lo siguiente:</w:t>
      </w:r>
    </w:p>
    <w:p w14:paraId="28B81FA6" w14:textId="77777777" w:rsidR="00335B31" w:rsidRDefault="00335B31" w:rsidP="00335B31">
      <w:pPr>
        <w:autoSpaceDE w:val="0"/>
        <w:autoSpaceDN w:val="0"/>
        <w:adjustRightInd w:val="0"/>
        <w:spacing w:before="120" w:after="120"/>
        <w:ind w:left="851" w:right="902"/>
        <w:jc w:val="both"/>
        <w:rPr>
          <w:rFonts w:ascii="Palatino Linotype" w:hAnsi="Palatino Linotype" w:cs="Arial"/>
          <w:b/>
          <w:i/>
          <w:color w:val="222222"/>
          <w:sz w:val="20"/>
          <w:szCs w:val="20"/>
        </w:rPr>
      </w:pPr>
      <w:r>
        <w:rPr>
          <w:rFonts w:ascii="Palatino Linotype" w:hAnsi="Palatino Linotype" w:cs="Arial"/>
          <w:b/>
          <w:i/>
          <w:color w:val="222222"/>
          <w:sz w:val="20"/>
          <w:szCs w:val="20"/>
        </w:rPr>
        <w:t>“NÓMINA</w:t>
      </w:r>
    </w:p>
    <w:p w14:paraId="3AA2F6B3" w14:textId="77777777" w:rsidR="00335B31" w:rsidRDefault="00335B31" w:rsidP="00335B31">
      <w:pPr>
        <w:autoSpaceDE w:val="0"/>
        <w:autoSpaceDN w:val="0"/>
        <w:adjustRightInd w:val="0"/>
        <w:spacing w:before="120" w:after="120"/>
        <w:ind w:left="851" w:right="902"/>
        <w:jc w:val="both"/>
        <w:rPr>
          <w:rFonts w:ascii="Palatino Linotype" w:hAnsi="Palatino Linotype" w:cs="Arial"/>
          <w:i/>
          <w:color w:val="222222"/>
          <w:sz w:val="20"/>
          <w:szCs w:val="20"/>
        </w:rPr>
      </w:pPr>
      <w:r>
        <w:rPr>
          <w:rFonts w:ascii="Palatino Linotype" w:hAnsi="Palatino Linotype" w:cs="Arial"/>
          <w:i/>
          <w:color w:val="222222"/>
          <w:sz w:val="20"/>
          <w:szCs w:val="20"/>
        </w:rPr>
        <w:t xml:space="preserve">Listado general de los trabajadores de una institución, en el cual se asientan las percepciones brutas, deducciones y alcance neto de las mismas; la nómina es utilizada </w:t>
      </w:r>
      <w:r>
        <w:rPr>
          <w:rFonts w:ascii="Palatino Linotype" w:hAnsi="Palatino Linotype" w:cs="Arial"/>
          <w:i/>
          <w:color w:val="222222"/>
          <w:sz w:val="20"/>
          <w:szCs w:val="20"/>
        </w:rPr>
        <w:lastRenderedPageBreak/>
        <w:t>para efectuar los pagos periódicos (semanales, quincenales o mensuales) a los trabajadores por concepto de sueldos y salarios.</w:t>
      </w:r>
    </w:p>
    <w:p w14:paraId="18DF113D" w14:textId="77777777" w:rsidR="00335B31" w:rsidRDefault="00335B31" w:rsidP="00335B31">
      <w:pPr>
        <w:autoSpaceDE w:val="0"/>
        <w:autoSpaceDN w:val="0"/>
        <w:adjustRightInd w:val="0"/>
        <w:spacing w:before="120" w:after="120"/>
        <w:ind w:left="851" w:right="902"/>
        <w:jc w:val="both"/>
        <w:rPr>
          <w:rFonts w:ascii="Palatino Linotype" w:hAnsi="Palatino Linotype" w:cs="Arial"/>
          <w:i/>
          <w:sz w:val="20"/>
          <w:szCs w:val="20"/>
        </w:rPr>
      </w:pPr>
      <w:r w:rsidRPr="0014150A">
        <w:rPr>
          <w:rFonts w:ascii="Palatino Linotype" w:hAnsi="Palatino Linotype" w:cs="Arial"/>
          <w:b/>
          <w:i/>
          <w:sz w:val="20"/>
          <w:szCs w:val="20"/>
        </w:rPr>
        <w:t xml:space="preserve">PERSONAL DE LISTA DE RAYA. </w:t>
      </w:r>
      <w:r>
        <w:rPr>
          <w:rFonts w:ascii="Palatino Linotype" w:hAnsi="Palatino Linotype" w:cs="Arial"/>
          <w:i/>
          <w:sz w:val="20"/>
          <w:szCs w:val="20"/>
        </w:rPr>
        <w:t>Lo integran los trabajadores temporales cuya relación laboral se formaliza por su inclusión en nómina o documentos denominados “Lista de Raya” y que, por lo tanto, carecen de nombramiento.”</w:t>
      </w:r>
    </w:p>
    <w:p w14:paraId="6D0F03EC" w14:textId="77777777" w:rsidR="00745625" w:rsidRDefault="00335B31" w:rsidP="00335B31">
      <w:pPr>
        <w:spacing w:before="240" w:after="240" w:line="360" w:lineRule="auto"/>
        <w:jc w:val="both"/>
        <w:rPr>
          <w:rFonts w:ascii="Palatino Linotype" w:hAnsi="Palatino Linotype" w:cs="Arial"/>
          <w:lang w:eastAsia="es-MX"/>
        </w:rPr>
      </w:pPr>
      <w:r w:rsidRPr="00067AE2">
        <w:rPr>
          <w:rFonts w:ascii="Palatino Linotype" w:hAnsi="Palatino Linotype" w:cs="Arial"/>
          <w:lang w:eastAsia="es-MX"/>
        </w:rPr>
        <w:t xml:space="preserve">De lo </w:t>
      </w:r>
      <w:r>
        <w:rPr>
          <w:rFonts w:ascii="Palatino Linotype" w:hAnsi="Palatino Linotype" w:cs="Arial"/>
          <w:lang w:eastAsia="es-MX"/>
        </w:rPr>
        <w:t xml:space="preserve">que se desprende, que la nómina, es el </w:t>
      </w:r>
      <w:r w:rsidRPr="00067AE2">
        <w:rPr>
          <w:rFonts w:ascii="Palatino Linotype" w:hAnsi="Palatino Linotype" w:cs="Arial"/>
          <w:lang w:eastAsia="es-MX"/>
        </w:rPr>
        <w:t xml:space="preserve">registro </w:t>
      </w:r>
      <w:r>
        <w:rPr>
          <w:rFonts w:ascii="Palatino Linotype" w:hAnsi="Palatino Linotype" w:cs="Arial"/>
          <w:lang w:eastAsia="es-MX"/>
        </w:rPr>
        <w:t xml:space="preserve">utilizado para efectuar los pagos a los trabajadores concepto de sueldos y salarios, el cual se compone por el </w:t>
      </w:r>
      <w:r w:rsidRPr="00067AE2">
        <w:rPr>
          <w:rFonts w:ascii="Palatino Linotype" w:hAnsi="Palatino Linotype" w:cs="Arial"/>
          <w:lang w:eastAsia="es-MX"/>
        </w:rPr>
        <w:t>conjunto de trabajadores</w:t>
      </w:r>
      <w:r>
        <w:rPr>
          <w:rFonts w:ascii="Palatino Linotype" w:hAnsi="Palatino Linotype" w:cs="Arial"/>
          <w:lang w:eastAsia="es-MX"/>
        </w:rPr>
        <w:t xml:space="preserve"> en el que se asientan las percepciones brutas, deducciones y la cantidad neta a pagar; mientras que el personal de lista de raya se integra por los trabajadores temporales q</w:t>
      </w:r>
      <w:r w:rsidR="00745625">
        <w:rPr>
          <w:rFonts w:ascii="Palatino Linotype" w:hAnsi="Palatino Linotype" w:cs="Arial"/>
          <w:lang w:eastAsia="es-MX"/>
        </w:rPr>
        <w:t>ue no forman parte de la nómina.</w:t>
      </w:r>
    </w:p>
    <w:p w14:paraId="40A50D54" w14:textId="429D0B30" w:rsidR="00335B31" w:rsidRDefault="00745625" w:rsidP="00335B31">
      <w:pPr>
        <w:spacing w:before="240" w:after="240" w:line="360" w:lineRule="auto"/>
        <w:jc w:val="both"/>
        <w:rPr>
          <w:rFonts w:ascii="Palatino Linotype" w:hAnsi="Palatino Linotype"/>
          <w:color w:val="000000"/>
        </w:rPr>
      </w:pPr>
      <w:r>
        <w:rPr>
          <w:rFonts w:ascii="Palatino Linotype" w:hAnsi="Palatino Linotype" w:cs="Arial"/>
          <w:lang w:eastAsia="es-MX"/>
        </w:rPr>
        <w:t>A</w:t>
      </w:r>
      <w:r w:rsidR="00335B31">
        <w:rPr>
          <w:rFonts w:ascii="Palatino Linotype" w:hAnsi="Palatino Linotype" w:cs="Arial"/>
          <w:lang w:eastAsia="es-MX"/>
        </w:rPr>
        <w:t>l respecto</w:t>
      </w:r>
      <w:r>
        <w:rPr>
          <w:rFonts w:ascii="Palatino Linotype" w:hAnsi="Palatino Linotype" w:cs="Arial"/>
          <w:lang w:eastAsia="es-MX"/>
        </w:rPr>
        <w:t>,</w:t>
      </w:r>
      <w:r w:rsidR="00335B31">
        <w:rPr>
          <w:rFonts w:ascii="Palatino Linotype" w:hAnsi="Palatino Linotype" w:cs="Arial"/>
          <w:lang w:eastAsia="es-MX"/>
        </w:rPr>
        <w:t xml:space="preserve"> el</w:t>
      </w:r>
      <w:r w:rsidR="00335B31">
        <w:rPr>
          <w:rFonts w:ascii="Palatino Linotype" w:hAnsi="Palatino Linotype" w:cs="Arial"/>
        </w:rPr>
        <w:t xml:space="preserve"> máximo</w:t>
      </w:r>
      <w:r w:rsidR="00335B31" w:rsidRPr="000168FE">
        <w:rPr>
          <w:rFonts w:ascii="Palatino Linotype" w:hAnsi="Palatino Linotype" w:cs="Arial"/>
        </w:rPr>
        <w:t xml:space="preserve"> tribunal jurisdiccional del país ha precisado que </w:t>
      </w:r>
      <w:r w:rsidR="00335B31" w:rsidRPr="00F51C27">
        <w:rPr>
          <w:rFonts w:ascii="Palatino Linotype" w:hAnsi="Palatino Linotype"/>
          <w:color w:val="000000"/>
        </w:rPr>
        <w:t xml:space="preserve">la incorporación de un </w:t>
      </w:r>
      <w:r w:rsidR="00335B31">
        <w:rPr>
          <w:rFonts w:ascii="Palatino Linotype" w:hAnsi="Palatino Linotype"/>
          <w:color w:val="000000"/>
        </w:rPr>
        <w:t xml:space="preserve">trabajador a las listas de raya </w:t>
      </w:r>
      <w:r w:rsidR="00335B31" w:rsidRPr="00F51C27">
        <w:rPr>
          <w:rFonts w:ascii="Palatino Linotype" w:hAnsi="Palatino Linotype"/>
          <w:color w:val="000000"/>
        </w:rPr>
        <w:t>implica una temporalidad en la relación laboral, ya sea por obra o tiempo determinado</w:t>
      </w:r>
      <w:r w:rsidR="00335B31" w:rsidRPr="000168FE">
        <w:rPr>
          <w:rFonts w:ascii="Palatino Linotype" w:hAnsi="Palatino Linotype"/>
          <w:color w:val="000000"/>
        </w:rPr>
        <w:t>, lapso en el cual, si bien está amparado por los beneficios que le conceda la ley, una vez concluido dicho periodo termina la relación de trabajo sin responsabilidad para el patrón</w:t>
      </w:r>
      <w:r w:rsidR="00335B31" w:rsidRPr="001D0292">
        <w:rPr>
          <w:rStyle w:val="Refdenotaalpie"/>
          <w:rFonts w:ascii="Palatino Linotype" w:hAnsi="Palatino Linotype" w:cs="Arial"/>
        </w:rPr>
        <w:footnoteReference w:id="7"/>
      </w:r>
      <w:r w:rsidR="00335B31">
        <w:rPr>
          <w:rFonts w:ascii="Palatino Linotype" w:hAnsi="Palatino Linotype"/>
          <w:color w:val="000000"/>
        </w:rPr>
        <w:t>.</w:t>
      </w:r>
    </w:p>
    <w:p w14:paraId="49B2DB07" w14:textId="4332CF88" w:rsidR="00745625" w:rsidRDefault="00745625" w:rsidP="00745625">
      <w:pPr>
        <w:spacing w:before="240" w:after="360" w:line="360" w:lineRule="auto"/>
        <w:jc w:val="both"/>
        <w:rPr>
          <w:rFonts w:ascii="Palatino Linotype" w:eastAsia="Calibri" w:hAnsi="Palatino Linotype" w:cs="Arial"/>
        </w:rPr>
      </w:pPr>
      <w:r>
        <w:rPr>
          <w:rFonts w:ascii="Palatino Linotype" w:hAnsi="Palatino Linotype"/>
          <w:color w:val="000000"/>
        </w:rPr>
        <w:t>Bajo ese contexto, resulta indispensable remitirnos al contenido de la Ley</w:t>
      </w:r>
      <w:r w:rsidRPr="00067AE2">
        <w:rPr>
          <w:rFonts w:ascii="Palatino Linotype" w:eastAsia="Calibri" w:hAnsi="Palatino Linotype" w:cs="Arial"/>
        </w:rPr>
        <w:t xml:space="preserve"> del Trabajo de los Servidores Públicos del Estado y Municipios, </w:t>
      </w:r>
      <w:r>
        <w:rPr>
          <w:rFonts w:ascii="Palatino Linotype" w:eastAsia="Calibri" w:hAnsi="Palatino Linotype" w:cs="Arial"/>
        </w:rPr>
        <w:t>que en sus numerales 4, 5, 7, 8, 12, 13, 45 y 50 establecen lo siguiente:</w:t>
      </w:r>
    </w:p>
    <w:p w14:paraId="6D8973BC" w14:textId="77777777" w:rsidR="00745625" w:rsidRPr="004D0419" w:rsidRDefault="00745625" w:rsidP="00745625">
      <w:pPr>
        <w:spacing w:after="120"/>
        <w:ind w:left="851" w:right="902"/>
        <w:jc w:val="both"/>
        <w:rPr>
          <w:rFonts w:ascii="Palatino Linotype" w:hAnsi="Palatino Linotype"/>
          <w:i/>
          <w:sz w:val="20"/>
          <w:szCs w:val="20"/>
        </w:rPr>
      </w:pPr>
      <w:r w:rsidRPr="004D0419">
        <w:rPr>
          <w:rFonts w:ascii="Palatino Linotype" w:hAnsi="Palatino Linotype"/>
          <w:b/>
          <w:i/>
          <w:sz w:val="20"/>
          <w:szCs w:val="20"/>
        </w:rPr>
        <w:t>“ARTÍCULO 4.</w:t>
      </w:r>
      <w:r w:rsidRPr="004D0419">
        <w:rPr>
          <w:rFonts w:ascii="Palatino Linotype" w:hAnsi="Palatino Linotype"/>
          <w:i/>
          <w:sz w:val="20"/>
          <w:szCs w:val="20"/>
        </w:rPr>
        <w:t xml:space="preserve"> Para efectos de esta ley se entiende:</w:t>
      </w:r>
    </w:p>
    <w:p w14:paraId="4D29DC1F" w14:textId="77777777" w:rsidR="00745625" w:rsidRDefault="00745625" w:rsidP="00745625">
      <w:pPr>
        <w:spacing w:after="120"/>
        <w:ind w:left="1134" w:right="902"/>
        <w:jc w:val="both"/>
        <w:rPr>
          <w:rFonts w:ascii="Palatino Linotype" w:hAnsi="Palatino Linotype"/>
          <w:i/>
          <w:sz w:val="20"/>
          <w:szCs w:val="20"/>
        </w:rPr>
      </w:pPr>
      <w:r>
        <w:rPr>
          <w:rFonts w:ascii="Palatino Linotype" w:hAnsi="Palatino Linotype"/>
          <w:i/>
          <w:sz w:val="20"/>
          <w:szCs w:val="20"/>
        </w:rPr>
        <w:lastRenderedPageBreak/>
        <w:t>(…)</w:t>
      </w:r>
    </w:p>
    <w:p w14:paraId="59EE6F98" w14:textId="77777777" w:rsidR="00745625" w:rsidRPr="004D0419" w:rsidRDefault="00745625" w:rsidP="00745625">
      <w:pPr>
        <w:spacing w:after="120"/>
        <w:ind w:left="1134" w:right="902"/>
        <w:jc w:val="both"/>
        <w:rPr>
          <w:rFonts w:ascii="Palatino Linotype" w:hAnsi="Palatino Linotype"/>
          <w:i/>
          <w:sz w:val="20"/>
          <w:szCs w:val="20"/>
        </w:rPr>
      </w:pPr>
      <w:r w:rsidRPr="004D0419">
        <w:rPr>
          <w:rFonts w:ascii="Palatino Linotype" w:hAnsi="Palatino Linotype"/>
          <w:i/>
          <w:sz w:val="20"/>
          <w:szCs w:val="20"/>
        </w:rPr>
        <w:t>VI. Servidor Público: A toda persona física que preste a una institución pública un trabajo personal subordinado de carácter material o intelectual, o de ambos géneros, mediante el pago de un sueldo.</w:t>
      </w:r>
    </w:p>
    <w:p w14:paraId="2B3C0E5C" w14:textId="77777777" w:rsidR="00745625" w:rsidRDefault="00745625" w:rsidP="00745625">
      <w:pPr>
        <w:spacing w:after="120"/>
        <w:ind w:left="851" w:right="902"/>
        <w:jc w:val="both"/>
        <w:rPr>
          <w:rFonts w:ascii="Palatino Linotype" w:hAnsi="Palatino Linotype"/>
          <w:i/>
          <w:sz w:val="20"/>
          <w:szCs w:val="20"/>
        </w:rPr>
      </w:pPr>
      <w:r w:rsidRPr="0076037F">
        <w:rPr>
          <w:rFonts w:ascii="Palatino Linotype" w:hAnsi="Palatino Linotype"/>
          <w:b/>
          <w:i/>
          <w:sz w:val="20"/>
          <w:szCs w:val="20"/>
        </w:rPr>
        <w:t>ARTÍCULO 5.-</w:t>
      </w:r>
      <w:r w:rsidRPr="0076037F">
        <w:rPr>
          <w:rFonts w:ascii="Palatino Linotype" w:hAnsi="Palatino Linotype"/>
          <w:i/>
          <w:sz w:val="20"/>
          <w:szCs w:val="20"/>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Pr>
          <w:rFonts w:ascii="Palatino Linotype" w:hAnsi="Palatino Linotype"/>
          <w:i/>
          <w:sz w:val="20"/>
          <w:szCs w:val="20"/>
        </w:rPr>
        <w:t>…</w:t>
      </w:r>
    </w:p>
    <w:p w14:paraId="39FFA7BA" w14:textId="77777777" w:rsidR="00745625" w:rsidRPr="008648F8" w:rsidRDefault="00745625" w:rsidP="00745625">
      <w:pPr>
        <w:spacing w:after="120"/>
        <w:ind w:left="851" w:right="902"/>
        <w:jc w:val="both"/>
        <w:rPr>
          <w:rFonts w:ascii="Palatino Linotype" w:hAnsi="Palatino Linotype"/>
          <w:i/>
          <w:color w:val="000000"/>
          <w:sz w:val="20"/>
          <w:szCs w:val="20"/>
        </w:rPr>
      </w:pPr>
      <w:r w:rsidRPr="008648F8">
        <w:rPr>
          <w:rFonts w:ascii="Palatino Linotype" w:hAnsi="Palatino Linotype"/>
          <w:b/>
          <w:i/>
          <w:sz w:val="20"/>
          <w:szCs w:val="20"/>
        </w:rPr>
        <w:t>ARTÍCULO 7.</w:t>
      </w:r>
      <w:r w:rsidRPr="008648F8">
        <w:rPr>
          <w:rFonts w:ascii="Palatino Linotype" w:hAnsi="Palatino Linotype"/>
          <w:i/>
          <w:sz w:val="20"/>
          <w:szCs w:val="20"/>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14:paraId="1FD26F47" w14:textId="77777777" w:rsidR="00745625" w:rsidRDefault="00745625" w:rsidP="00745625">
      <w:pPr>
        <w:autoSpaceDE w:val="0"/>
        <w:autoSpaceDN w:val="0"/>
        <w:adjustRightInd w:val="0"/>
        <w:spacing w:after="120"/>
        <w:ind w:left="851" w:right="902"/>
        <w:jc w:val="both"/>
        <w:rPr>
          <w:rFonts w:ascii="Palatino Linotype" w:eastAsiaTheme="minorHAnsi" w:hAnsi="Palatino Linotype" w:cs="Bookman Old Style"/>
          <w:i/>
          <w:sz w:val="20"/>
          <w:szCs w:val="20"/>
          <w:lang w:val="es-MX" w:eastAsia="en-US"/>
        </w:rPr>
      </w:pPr>
      <w:r w:rsidRPr="008648F8">
        <w:rPr>
          <w:rFonts w:ascii="Palatino Linotype" w:eastAsiaTheme="minorHAnsi" w:hAnsi="Palatino Linotype" w:cs="Bookman Old Style,Bold"/>
          <w:b/>
          <w:bCs/>
          <w:i/>
          <w:sz w:val="20"/>
          <w:szCs w:val="20"/>
          <w:lang w:val="es-MX" w:eastAsia="en-US"/>
        </w:rPr>
        <w:t>ARTÍCULO 8.</w:t>
      </w:r>
      <w:r w:rsidRPr="008648F8">
        <w:rPr>
          <w:rFonts w:ascii="Palatino Linotype" w:eastAsiaTheme="minorHAnsi" w:hAnsi="Palatino Linotype" w:cs="Bookman Old Style,Bold"/>
          <w:bCs/>
          <w:i/>
          <w:sz w:val="20"/>
          <w:szCs w:val="20"/>
          <w:lang w:val="es-MX" w:eastAsia="en-US"/>
        </w:rPr>
        <w:t xml:space="preserve"> </w:t>
      </w:r>
      <w:r w:rsidRPr="008648F8">
        <w:rPr>
          <w:rFonts w:ascii="Palatino Linotype" w:eastAsiaTheme="minorHAnsi" w:hAnsi="Palatino Linotype" w:cs="Bookman Old Style"/>
          <w:i/>
          <w:sz w:val="20"/>
          <w:szCs w:val="20"/>
          <w:lang w:val="es-MX" w:eastAsia="en-US"/>
        </w:rPr>
        <w:t xml:space="preserve">Se entiende por servidores públicos de confianza: </w:t>
      </w:r>
    </w:p>
    <w:p w14:paraId="6703AF10" w14:textId="77777777" w:rsidR="00745625" w:rsidRDefault="00745625" w:rsidP="00745625">
      <w:pPr>
        <w:autoSpaceDE w:val="0"/>
        <w:autoSpaceDN w:val="0"/>
        <w:adjustRightInd w:val="0"/>
        <w:spacing w:after="120"/>
        <w:ind w:left="1134" w:right="902"/>
        <w:jc w:val="both"/>
        <w:rPr>
          <w:rFonts w:ascii="Palatino Linotype" w:eastAsiaTheme="minorHAnsi" w:hAnsi="Palatino Linotype"/>
          <w:i/>
          <w:sz w:val="20"/>
          <w:szCs w:val="20"/>
          <w:lang w:eastAsia="en-US"/>
        </w:rPr>
      </w:pPr>
      <w:r w:rsidRPr="008648F8">
        <w:rPr>
          <w:rFonts w:ascii="Palatino Linotype" w:eastAsiaTheme="minorHAnsi" w:hAnsi="Palatino Linotype"/>
          <w:i/>
          <w:sz w:val="20"/>
          <w:szCs w:val="20"/>
          <w:lang w:eastAsia="en-US"/>
        </w:rPr>
        <w:t xml:space="preserve">I.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14:paraId="135FE277" w14:textId="77777777" w:rsidR="00745625" w:rsidRDefault="00745625" w:rsidP="00745625">
      <w:pPr>
        <w:autoSpaceDE w:val="0"/>
        <w:autoSpaceDN w:val="0"/>
        <w:adjustRightInd w:val="0"/>
        <w:spacing w:after="120"/>
        <w:ind w:left="1134" w:right="902"/>
        <w:jc w:val="both"/>
        <w:rPr>
          <w:rFonts w:ascii="Palatino Linotype" w:eastAsiaTheme="minorHAnsi" w:hAnsi="Palatino Linotype"/>
          <w:i/>
          <w:sz w:val="20"/>
          <w:szCs w:val="20"/>
          <w:lang w:eastAsia="en-US"/>
        </w:rPr>
      </w:pPr>
      <w:r w:rsidRPr="008648F8">
        <w:rPr>
          <w:rFonts w:ascii="Palatino Linotype" w:eastAsiaTheme="minorHAnsi" w:hAnsi="Palatino Linotype"/>
          <w:i/>
          <w:sz w:val="20"/>
          <w:szCs w:val="20"/>
          <w:lang w:eastAsia="en-US"/>
        </w:rPr>
        <w:t xml:space="preserve">II. Aquéllos que tengan esa calidad en razón de la naturaleza de las funciones que desempeñen y no de la designación que se dé al puesto. </w:t>
      </w:r>
    </w:p>
    <w:p w14:paraId="607FA70D" w14:textId="77777777" w:rsidR="00745625" w:rsidRDefault="00745625" w:rsidP="00745625">
      <w:pPr>
        <w:autoSpaceDE w:val="0"/>
        <w:autoSpaceDN w:val="0"/>
        <w:adjustRightInd w:val="0"/>
        <w:spacing w:after="120"/>
        <w:ind w:left="1134" w:right="902"/>
        <w:jc w:val="both"/>
        <w:rPr>
          <w:rFonts w:ascii="Palatino Linotype" w:eastAsiaTheme="minorHAnsi" w:hAnsi="Palatino Linotype"/>
          <w:i/>
          <w:sz w:val="20"/>
          <w:szCs w:val="20"/>
          <w:lang w:eastAsia="en-US"/>
        </w:rPr>
      </w:pPr>
      <w:r w:rsidRPr="008648F8">
        <w:rPr>
          <w:rFonts w:ascii="Palatino Linotype" w:eastAsiaTheme="minorHAnsi" w:hAnsi="Palatino Linotype"/>
          <w:i/>
          <w:sz w:val="20"/>
          <w:szCs w:val="20"/>
          <w:lang w:eastAsia="en-US"/>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14:paraId="1C3883ED" w14:textId="77777777" w:rsidR="00745625" w:rsidRDefault="00745625" w:rsidP="00745625">
      <w:pPr>
        <w:autoSpaceDE w:val="0"/>
        <w:autoSpaceDN w:val="0"/>
        <w:adjustRightInd w:val="0"/>
        <w:spacing w:after="120"/>
        <w:ind w:left="851" w:right="902"/>
        <w:jc w:val="both"/>
        <w:rPr>
          <w:rFonts w:ascii="Palatino Linotype" w:hAnsi="Palatino Linotype"/>
          <w:i/>
          <w:sz w:val="20"/>
          <w:szCs w:val="20"/>
        </w:rPr>
      </w:pPr>
      <w:r w:rsidRPr="008648F8">
        <w:rPr>
          <w:rFonts w:ascii="Palatino Linotype" w:hAnsi="Palatino Linotype"/>
          <w:b/>
          <w:i/>
          <w:sz w:val="20"/>
          <w:szCs w:val="20"/>
        </w:rPr>
        <w:t>ARTÍCULO 12.</w:t>
      </w:r>
      <w:r w:rsidRPr="008648F8">
        <w:rPr>
          <w:rFonts w:ascii="Palatino Linotype" w:hAnsi="Palatino Linotype"/>
          <w:i/>
          <w:sz w:val="20"/>
          <w:szCs w:val="20"/>
        </w:rPr>
        <w:t xml:space="preserve"> Son servidores públicos por tiempo indeterminado quienes sean nombrados con tal carácter en plazas presupuestales. </w:t>
      </w:r>
    </w:p>
    <w:p w14:paraId="3F29EBA5" w14:textId="77777777" w:rsidR="00745625" w:rsidRPr="008648F8" w:rsidRDefault="00745625" w:rsidP="00745625">
      <w:pPr>
        <w:autoSpaceDE w:val="0"/>
        <w:autoSpaceDN w:val="0"/>
        <w:adjustRightInd w:val="0"/>
        <w:spacing w:after="120"/>
        <w:ind w:left="851" w:right="902"/>
        <w:jc w:val="both"/>
        <w:rPr>
          <w:rFonts w:ascii="Palatino Linotype" w:hAnsi="Palatino Linotype"/>
          <w:i/>
          <w:sz w:val="20"/>
          <w:szCs w:val="20"/>
        </w:rPr>
      </w:pPr>
      <w:r w:rsidRPr="008648F8">
        <w:rPr>
          <w:rFonts w:ascii="Palatino Linotype" w:hAnsi="Palatino Linotype"/>
          <w:b/>
          <w:i/>
          <w:sz w:val="20"/>
          <w:szCs w:val="20"/>
        </w:rPr>
        <w:t>ARTÍCULO 13.</w:t>
      </w:r>
      <w:r w:rsidRPr="008648F8">
        <w:rPr>
          <w:rFonts w:ascii="Palatino Linotype" w:hAnsi="Palatino Linotype"/>
          <w:i/>
          <w:sz w:val="20"/>
          <w:szCs w:val="20"/>
        </w:rPr>
        <w:t xml:space="preserve"> Son servidores públicos sujetos a una relación laboral por tiempo u obra determinados, aquéllos que presten sus servicios bajo esas condiciones, en razón de que la naturaleza del servicio así lo exija.</w:t>
      </w:r>
    </w:p>
    <w:p w14:paraId="4641FCE5" w14:textId="77777777" w:rsidR="00745625" w:rsidRDefault="00745625" w:rsidP="00745625">
      <w:pPr>
        <w:spacing w:after="120"/>
        <w:ind w:left="851" w:right="902"/>
        <w:jc w:val="both"/>
      </w:pPr>
      <w:r w:rsidRPr="00A21081">
        <w:rPr>
          <w:rFonts w:ascii="Palatino Linotype" w:hAnsi="Palatino Linotype"/>
          <w:b/>
          <w:i/>
          <w:sz w:val="20"/>
          <w:szCs w:val="20"/>
        </w:rPr>
        <w:t>ARTÍCULO 45.-</w:t>
      </w:r>
      <w:r>
        <w:rPr>
          <w:rFonts w:ascii="Palatino Linotype" w:hAnsi="Palatino Linotype"/>
          <w:b/>
          <w:i/>
          <w:sz w:val="20"/>
          <w:szCs w:val="20"/>
        </w:rPr>
        <w:t xml:space="preserve"> </w:t>
      </w:r>
      <w:r w:rsidRPr="00A21081">
        <w:rPr>
          <w:rFonts w:ascii="Palatino Linotype" w:hAnsi="Palatino Linotype"/>
          <w:i/>
          <w:sz w:val="20"/>
          <w:szCs w:val="20"/>
        </w:rPr>
        <w:t>Los servidores públicos prestarán sus servicios mediante nombramiento, contrato o formato único de Movimientos de Personal expedidos por quien estuviere facultado legalmente para extenderlo.</w:t>
      </w:r>
      <w:r>
        <w:t xml:space="preserve"> </w:t>
      </w:r>
    </w:p>
    <w:p w14:paraId="6C8FC2DE" w14:textId="77777777" w:rsidR="00745625" w:rsidRDefault="00745625" w:rsidP="00745625">
      <w:pPr>
        <w:spacing w:after="120"/>
        <w:ind w:left="851" w:right="902"/>
        <w:jc w:val="both"/>
        <w:rPr>
          <w:rFonts w:ascii="Palatino Linotype" w:hAnsi="Palatino Linotype"/>
          <w:i/>
          <w:sz w:val="20"/>
          <w:szCs w:val="20"/>
        </w:rPr>
      </w:pPr>
      <w:r w:rsidRPr="0076037F">
        <w:rPr>
          <w:rFonts w:ascii="Palatino Linotype" w:hAnsi="Palatino Linotype"/>
          <w:b/>
          <w:i/>
          <w:sz w:val="20"/>
          <w:szCs w:val="20"/>
        </w:rPr>
        <w:lastRenderedPageBreak/>
        <w:t>ARTÍCULO 50.-</w:t>
      </w:r>
      <w:r w:rsidRPr="0076037F">
        <w:rPr>
          <w:rFonts w:ascii="Palatino Linotype" w:hAnsi="Palatino Linotype"/>
          <w:i/>
          <w:sz w:val="20"/>
          <w:szCs w:val="20"/>
        </w:rPr>
        <w:t xml:space="preserve"> El nombramiento, contrato o formato único de Movimientos de Personal aceptado obliga al servidor público a cumplir con los deberes inherentes al puesto especificado en el mismo y a las consecuencias que sean conforme a la ley, al uso y a la buena fe.</w:t>
      </w:r>
    </w:p>
    <w:p w14:paraId="6233AB25" w14:textId="77777777" w:rsidR="00745625" w:rsidRDefault="00745625" w:rsidP="00745625">
      <w:pPr>
        <w:spacing w:after="120"/>
        <w:ind w:left="851" w:right="902"/>
        <w:jc w:val="both"/>
        <w:rPr>
          <w:rFonts w:ascii="Palatino Linotype" w:hAnsi="Palatino Linotype" w:cs="Arial"/>
        </w:rPr>
      </w:pPr>
      <w:r w:rsidRPr="0076037F">
        <w:rPr>
          <w:rFonts w:ascii="Palatino Linotype" w:hAnsi="Palatino Linotype"/>
          <w:i/>
          <w:sz w:val="20"/>
          <w:szCs w:val="20"/>
        </w:rPr>
        <w:t>Iguales consecuencias se generarán para todos los servidores públicos, cuando la relación de trabajo se formalice mediante un contrato o por encontrarse en lista de raya.</w:t>
      </w:r>
      <w:r>
        <w:rPr>
          <w:rFonts w:ascii="Palatino Linotype" w:hAnsi="Palatino Linotype"/>
          <w:i/>
          <w:sz w:val="20"/>
          <w:szCs w:val="20"/>
        </w:rPr>
        <w:t>”</w:t>
      </w:r>
    </w:p>
    <w:p w14:paraId="733984E1" w14:textId="1B601B89" w:rsidR="00745625" w:rsidRDefault="00745625" w:rsidP="00745625">
      <w:pPr>
        <w:spacing w:before="240" w:after="240" w:line="360" w:lineRule="auto"/>
        <w:jc w:val="both"/>
        <w:rPr>
          <w:rFonts w:ascii="Palatino Linotype" w:eastAsia="Calibri" w:hAnsi="Palatino Linotype" w:cs="Arial"/>
          <w:i/>
        </w:rPr>
      </w:pPr>
      <w:r>
        <w:rPr>
          <w:rFonts w:ascii="Palatino Linotype" w:eastAsia="Calibri" w:hAnsi="Palatino Linotype" w:cs="Arial"/>
        </w:rPr>
        <w:t xml:space="preserve">De los preceptos invocados se tiene, que son servidores públicos, todas aquellas personas que presten a una institución pública un trabajo personal subordinado de carácter material o intelectual mediante el pago de un sueldo, estableciéndose así una relación de trabajo entre las instituciones públicas y sus servidores públicos, que se acredita mediante nombramiento, contrato, formato único de movimiento o por cualquier otro acto que tenga como consecuencia la prestación personal subordinada del servicio y la </w:t>
      </w:r>
      <w:r>
        <w:rPr>
          <w:rFonts w:ascii="Palatino Linotype" w:eastAsia="Calibri" w:hAnsi="Palatino Linotype" w:cs="Arial"/>
          <w:b/>
        </w:rPr>
        <w:t xml:space="preserve">percepción de un sueldo, </w:t>
      </w:r>
      <w:r>
        <w:rPr>
          <w:rFonts w:ascii="Palatino Linotype" w:eastAsia="Calibri" w:hAnsi="Palatino Linotype" w:cs="Arial"/>
        </w:rPr>
        <w:t xml:space="preserve">mismos que a su vez obligan al servidor público a cumplir con los derechos inherentes al puesto especificado con las consecuencias que generan; consecuencias y deberes que también se actualizan cuando se incorpora a un servidor público a la denominada </w:t>
      </w:r>
      <w:r>
        <w:rPr>
          <w:rFonts w:ascii="Palatino Linotype" w:eastAsia="Calibri" w:hAnsi="Palatino Linotype" w:cs="Arial"/>
          <w:i/>
        </w:rPr>
        <w:t>lista de raya.</w:t>
      </w:r>
    </w:p>
    <w:p w14:paraId="00AB8ECC" w14:textId="77777777" w:rsidR="00745625" w:rsidRDefault="00745625" w:rsidP="00745625">
      <w:pPr>
        <w:autoSpaceDE w:val="0"/>
        <w:autoSpaceDN w:val="0"/>
        <w:adjustRightInd w:val="0"/>
        <w:spacing w:before="240" w:after="360" w:line="360" w:lineRule="auto"/>
        <w:jc w:val="both"/>
        <w:rPr>
          <w:rFonts w:ascii="Palatino Linotype" w:hAnsi="Palatino Linotype"/>
        </w:rPr>
      </w:pPr>
      <w:r>
        <w:rPr>
          <w:rFonts w:ascii="Palatino Linotype" w:eastAsia="Calibri" w:hAnsi="Palatino Linotype" w:cs="Arial"/>
        </w:rPr>
        <w:t xml:space="preserve">Ahora bien, son </w:t>
      </w:r>
      <w:r w:rsidRPr="008648F8">
        <w:rPr>
          <w:rFonts w:ascii="Palatino Linotype" w:hAnsi="Palatino Linotype"/>
          <w:color w:val="000000"/>
        </w:rPr>
        <w:t>servidores públicos generales</w:t>
      </w:r>
      <w:r>
        <w:rPr>
          <w:rFonts w:ascii="Palatino Linotype" w:hAnsi="Palatino Linotype"/>
          <w:color w:val="000000"/>
        </w:rPr>
        <w:t>,</w:t>
      </w:r>
      <w:r>
        <w:rPr>
          <w:rFonts w:ascii="Palatino Linotype" w:hAnsi="Palatino Linotype"/>
          <w:i/>
          <w:color w:val="000000"/>
        </w:rPr>
        <w:t xml:space="preserve"> </w:t>
      </w:r>
      <w:r>
        <w:rPr>
          <w:rFonts w:ascii="Palatino Linotype" w:hAnsi="Palatino Linotype"/>
          <w:color w:val="000000"/>
        </w:rPr>
        <w:t>aquellos que prestan servicios operativo</w:t>
      </w:r>
      <w:r w:rsidRPr="00132321">
        <w:rPr>
          <w:rFonts w:ascii="Palatino Linotype" w:hAnsi="Palatino Linotype"/>
          <w:color w:val="000000"/>
        </w:rPr>
        <w:t>s</w:t>
      </w:r>
      <w:r>
        <w:rPr>
          <w:rFonts w:ascii="Palatino Linotype" w:hAnsi="Palatino Linotype"/>
          <w:color w:val="000000"/>
        </w:rPr>
        <w:t xml:space="preserve"> </w:t>
      </w:r>
      <w:r w:rsidRPr="00F57A77">
        <w:rPr>
          <w:rFonts w:ascii="Palatino Linotype" w:hAnsi="Palatino Linotype"/>
        </w:rPr>
        <w:t>de carácter manual, material, administrativo, técnico, profesional o de apoyo</w:t>
      </w:r>
      <w:r>
        <w:rPr>
          <w:rFonts w:ascii="Palatino Linotype" w:hAnsi="Palatino Linotype"/>
        </w:rPr>
        <w:t xml:space="preserve"> asignadas por sus superiores; mientras que los </w:t>
      </w:r>
      <w:r w:rsidRPr="008648F8">
        <w:rPr>
          <w:rFonts w:ascii="Palatino Linotype" w:hAnsi="Palatino Linotype"/>
          <w:color w:val="000000"/>
        </w:rPr>
        <w:t xml:space="preserve">servidores públicos </w:t>
      </w:r>
      <w:r>
        <w:rPr>
          <w:rFonts w:ascii="Palatino Linotype" w:hAnsi="Palatino Linotype"/>
          <w:color w:val="000000"/>
        </w:rPr>
        <w:t xml:space="preserve">de </w:t>
      </w:r>
      <w:r w:rsidRPr="008648F8">
        <w:rPr>
          <w:rFonts w:ascii="Palatino Linotype" w:hAnsi="Palatino Linotype"/>
          <w:color w:val="000000"/>
        </w:rPr>
        <w:t>confianza</w:t>
      </w:r>
      <w:r>
        <w:rPr>
          <w:rFonts w:ascii="Palatino Linotype" w:hAnsi="Palatino Linotype"/>
          <w:color w:val="000000"/>
        </w:rPr>
        <w:t xml:space="preserve"> son</w:t>
      </w:r>
      <w:r>
        <w:rPr>
          <w:rFonts w:ascii="Palatino Linotype" w:hAnsi="Palatino Linotype"/>
          <w:i/>
          <w:color w:val="000000"/>
        </w:rPr>
        <w:t xml:space="preserve">, </w:t>
      </w:r>
      <w:r>
        <w:rPr>
          <w:rFonts w:ascii="Palatino Linotype" w:hAnsi="Palatino Linotype"/>
        </w:rPr>
        <w:t>aquellos cuyo nombramiento requieren de intervención directa del titular de la institución pública, sin soslayar que las instituciones también pueden contratar servidores públicos por tiempo indeterminado o por tiempo u obras determinados.</w:t>
      </w:r>
    </w:p>
    <w:p w14:paraId="0AFC40C8" w14:textId="77777777" w:rsidR="00745625" w:rsidRPr="000168FE" w:rsidRDefault="00745625" w:rsidP="00335B31">
      <w:pPr>
        <w:spacing w:before="240" w:after="240" w:line="360" w:lineRule="auto"/>
        <w:jc w:val="both"/>
        <w:rPr>
          <w:rFonts w:ascii="Palatino Linotype" w:hAnsi="Palatino Linotype" w:cs="Arial"/>
        </w:rPr>
      </w:pPr>
    </w:p>
    <w:p w14:paraId="16FD23E3" w14:textId="77777777" w:rsidR="00335B31" w:rsidRDefault="00335B31" w:rsidP="00335B31">
      <w:pPr>
        <w:spacing w:before="240" w:after="240" w:line="360" w:lineRule="auto"/>
        <w:ind w:right="49"/>
        <w:jc w:val="both"/>
        <w:rPr>
          <w:rFonts w:ascii="Palatino Linotype" w:hAnsi="Palatino Linotype" w:cs="Arial"/>
        </w:rPr>
      </w:pPr>
      <w:r>
        <w:rPr>
          <w:rFonts w:ascii="Palatino Linotype" w:hAnsi="Palatino Linotype" w:cs="Arial"/>
        </w:rPr>
        <w:lastRenderedPageBreak/>
        <w:t>En tal virtud,</w:t>
      </w:r>
      <w:r w:rsidRPr="006551EF">
        <w:rPr>
          <w:rFonts w:ascii="Palatino Linotype" w:hAnsi="Palatino Linotype" w:cs="Arial"/>
        </w:rPr>
        <w:t xml:space="preserve"> los servidores públicos de confianza, generales y de lista raya, constituyen el número de trabajadores </w:t>
      </w:r>
      <w:r>
        <w:rPr>
          <w:rFonts w:ascii="Palatino Linotype" w:hAnsi="Palatino Linotype" w:cs="Arial"/>
        </w:rPr>
        <w:t>que</w:t>
      </w:r>
      <w:r w:rsidRPr="006551EF">
        <w:rPr>
          <w:rFonts w:ascii="Palatino Linotype" w:hAnsi="Palatino Linotype" w:cs="Arial"/>
        </w:rPr>
        <w:t xml:space="preserve"> perciben una remuneración por los servicios que éstos le prestan al patrón, con las percepciones brutas, deducciones y el neto a recibir, delimitándose su diferencia por las funciones que realizan o bien por que la prestación del trabajo personal y/o subordinado c</w:t>
      </w:r>
      <w:r>
        <w:rPr>
          <w:rFonts w:ascii="Palatino Linotype" w:hAnsi="Palatino Linotype" w:cs="Arial"/>
        </w:rPr>
        <w:t>uando es por tiempo determinado o indeterminado</w:t>
      </w:r>
      <w:r w:rsidRPr="006551EF">
        <w:rPr>
          <w:rFonts w:ascii="Palatino Linotype" w:hAnsi="Palatino Linotype" w:cs="Arial"/>
        </w:rPr>
        <w:t xml:space="preserve"> como acontece con el personal de lista de raya</w:t>
      </w:r>
      <w:r>
        <w:rPr>
          <w:rFonts w:ascii="Palatino Linotype" w:hAnsi="Palatino Linotype" w:cs="Arial"/>
        </w:rPr>
        <w:t>.</w:t>
      </w:r>
    </w:p>
    <w:p w14:paraId="79F3024D" w14:textId="5B82A5F6" w:rsidR="00335B31" w:rsidRDefault="004F2261" w:rsidP="00335B31">
      <w:pPr>
        <w:autoSpaceDE w:val="0"/>
        <w:autoSpaceDN w:val="0"/>
        <w:adjustRightInd w:val="0"/>
        <w:spacing w:before="240" w:after="240" w:line="360" w:lineRule="auto"/>
        <w:jc w:val="both"/>
        <w:rPr>
          <w:rFonts w:ascii="Palatino Linotype" w:hAnsi="Palatino Linotype" w:cs="Arial"/>
          <w:color w:val="222222"/>
        </w:rPr>
      </w:pPr>
      <w:r>
        <w:rPr>
          <w:rFonts w:ascii="Palatino Linotype" w:hAnsi="Palatino Linotype" w:cs="Arial"/>
        </w:rPr>
        <w:t>Ahora bien, en términos d</w:t>
      </w:r>
      <w:r w:rsidR="00335B31">
        <w:rPr>
          <w:rFonts w:ascii="Palatino Linotype" w:hAnsi="Palatino Linotype" w:cs="Arial"/>
        </w:rPr>
        <w:t>e</w:t>
      </w:r>
      <w:r>
        <w:rPr>
          <w:rFonts w:ascii="Palatino Linotype" w:hAnsi="Palatino Linotype" w:cs="Arial"/>
        </w:rPr>
        <w:t xml:space="preserve"> </w:t>
      </w:r>
      <w:r w:rsidR="00335B31">
        <w:rPr>
          <w:rFonts w:ascii="Palatino Linotype" w:hAnsi="Palatino Linotype" w:cs="Arial"/>
        </w:rPr>
        <w:t>l</w:t>
      </w:r>
      <w:r>
        <w:rPr>
          <w:rFonts w:ascii="Palatino Linotype" w:hAnsi="Palatino Linotype" w:cs="Arial"/>
        </w:rPr>
        <w:t>os</w:t>
      </w:r>
      <w:r w:rsidR="00335B31">
        <w:rPr>
          <w:rFonts w:ascii="Palatino Linotype" w:hAnsi="Palatino Linotype" w:cs="Arial"/>
        </w:rPr>
        <w:t xml:space="preserve"> </w:t>
      </w:r>
      <w:r w:rsidR="00335B31" w:rsidRPr="00067AE2">
        <w:rPr>
          <w:rFonts w:ascii="Palatino Linotype" w:eastAsia="Arial Unicode MS" w:hAnsi="Palatino Linotype" w:cs="Arial"/>
        </w:rPr>
        <w:t>artículo</w:t>
      </w:r>
      <w:r>
        <w:rPr>
          <w:rFonts w:ascii="Palatino Linotype" w:eastAsia="Arial Unicode MS" w:hAnsi="Palatino Linotype" w:cs="Arial"/>
        </w:rPr>
        <w:t>s 349 y</w:t>
      </w:r>
      <w:r w:rsidR="00335B31" w:rsidRPr="00067AE2">
        <w:rPr>
          <w:rFonts w:ascii="Palatino Linotype" w:eastAsia="Arial Unicode MS" w:hAnsi="Palatino Linotype" w:cs="Arial"/>
        </w:rPr>
        <w:t xml:space="preserve"> </w:t>
      </w:r>
      <w:r w:rsidR="00335B31">
        <w:rPr>
          <w:rFonts w:ascii="Palatino Linotype" w:hAnsi="Palatino Linotype" w:cs="Arial"/>
          <w:color w:val="222222"/>
        </w:rPr>
        <w:t xml:space="preserve">350 del Código Financiero del Estado de México y Municipios, </w:t>
      </w:r>
      <w:r>
        <w:rPr>
          <w:rFonts w:ascii="Palatino Linotype" w:hAnsi="Palatino Linotype" w:cs="Arial"/>
        </w:rPr>
        <w:t xml:space="preserve">las </w:t>
      </w:r>
      <w:r w:rsidRPr="004F2261">
        <w:rPr>
          <w:rFonts w:ascii="Palatino Linotype" w:hAnsi="Palatino Linotype"/>
        </w:rPr>
        <w:t>Dependencias, Entidades Públicas y unidades administrativas</w:t>
      </w:r>
      <w:r>
        <w:t xml:space="preserve"> </w:t>
      </w:r>
      <w:r>
        <w:rPr>
          <w:rFonts w:ascii="Palatino Linotype" w:hAnsi="Palatino Linotype" w:cs="Arial"/>
        </w:rPr>
        <w:t xml:space="preserve"> deben remitir mensualmente dentro de los primeros veinte días al Órgano Superior de Fiscalización del Estado de México (OSFEM), </w:t>
      </w:r>
      <w:r>
        <w:rPr>
          <w:rFonts w:ascii="Palatino Linotype" w:hAnsi="Palatino Linotype" w:cs="Arial"/>
          <w:color w:val="222222"/>
        </w:rPr>
        <w:t xml:space="preserve">para su análisis y evaluación, </w:t>
      </w:r>
      <w:r>
        <w:rPr>
          <w:rFonts w:ascii="Palatino Linotype" w:hAnsi="Palatino Linotype" w:cs="Arial"/>
        </w:rPr>
        <w:t>la siguiente información</w:t>
      </w:r>
      <w:r w:rsidR="00335B31">
        <w:rPr>
          <w:rFonts w:ascii="Palatino Linotype" w:hAnsi="Palatino Linotype" w:cs="Arial"/>
          <w:color w:val="222222"/>
        </w:rPr>
        <w:t>:</w:t>
      </w:r>
    </w:p>
    <w:p w14:paraId="7AAC4393" w14:textId="77777777" w:rsidR="00335B31" w:rsidRDefault="00335B31" w:rsidP="00335B31">
      <w:pPr>
        <w:autoSpaceDE w:val="0"/>
        <w:autoSpaceDN w:val="0"/>
        <w:adjustRightInd w:val="0"/>
        <w:spacing w:before="120" w:after="240"/>
        <w:ind w:left="851" w:right="902"/>
        <w:jc w:val="both"/>
        <w:rPr>
          <w:rFonts w:ascii="Palatino Linotype" w:hAnsi="Palatino Linotype"/>
          <w:i/>
          <w:sz w:val="20"/>
          <w:szCs w:val="20"/>
        </w:rPr>
      </w:pPr>
      <w:r>
        <w:rPr>
          <w:rFonts w:ascii="Palatino Linotype" w:hAnsi="Palatino Linotype"/>
          <w:b/>
          <w:i/>
          <w:sz w:val="20"/>
          <w:szCs w:val="20"/>
        </w:rPr>
        <w:t>“</w:t>
      </w:r>
      <w:r w:rsidRPr="00A95947">
        <w:rPr>
          <w:rFonts w:ascii="Palatino Linotype" w:hAnsi="Palatino Linotype"/>
          <w:b/>
          <w:i/>
          <w:sz w:val="20"/>
          <w:szCs w:val="20"/>
        </w:rPr>
        <w:t>Artículo 350.-</w:t>
      </w:r>
      <w:r w:rsidRPr="00A95947">
        <w:rPr>
          <w:rFonts w:ascii="Palatino Linotype" w:hAnsi="Palatino Linotype"/>
          <w:i/>
          <w:sz w:val="20"/>
          <w:szCs w:val="20"/>
        </w:rPr>
        <w:t xml:space="preserve"> Mensualmente dentro de los primeros veinte días hábiles, la Secretaría y las Tesorerías, enviarán para su análisis y evaluación al Órgano Superior de Fiscalización del Estado de México, la siguiente información: </w:t>
      </w:r>
    </w:p>
    <w:p w14:paraId="3DA94521" w14:textId="77777777" w:rsidR="00335B31" w:rsidRDefault="00335B31" w:rsidP="004F2261">
      <w:pPr>
        <w:autoSpaceDE w:val="0"/>
        <w:autoSpaceDN w:val="0"/>
        <w:adjustRightInd w:val="0"/>
        <w:ind w:left="1134" w:right="902"/>
        <w:jc w:val="both"/>
        <w:rPr>
          <w:rFonts w:ascii="Palatino Linotype" w:hAnsi="Palatino Linotype"/>
          <w:i/>
          <w:sz w:val="20"/>
          <w:szCs w:val="20"/>
        </w:rPr>
      </w:pPr>
      <w:r w:rsidRPr="00A95947">
        <w:rPr>
          <w:rFonts w:ascii="Palatino Linotype" w:hAnsi="Palatino Linotype"/>
          <w:i/>
          <w:sz w:val="20"/>
          <w:szCs w:val="20"/>
        </w:rPr>
        <w:t xml:space="preserve">I. Información patrimonial. </w:t>
      </w:r>
    </w:p>
    <w:p w14:paraId="21CDDE07" w14:textId="77777777" w:rsidR="00335B31" w:rsidRDefault="00335B31" w:rsidP="004F2261">
      <w:pPr>
        <w:autoSpaceDE w:val="0"/>
        <w:autoSpaceDN w:val="0"/>
        <w:adjustRightInd w:val="0"/>
        <w:ind w:left="1134" w:right="902"/>
        <w:jc w:val="both"/>
        <w:rPr>
          <w:rFonts w:ascii="Palatino Linotype" w:hAnsi="Palatino Linotype"/>
          <w:i/>
          <w:sz w:val="20"/>
          <w:szCs w:val="20"/>
        </w:rPr>
      </w:pPr>
      <w:r w:rsidRPr="00A95947">
        <w:rPr>
          <w:rFonts w:ascii="Palatino Linotype" w:hAnsi="Palatino Linotype"/>
          <w:i/>
          <w:sz w:val="20"/>
          <w:szCs w:val="20"/>
        </w:rPr>
        <w:t xml:space="preserve">II. Información presupuestal. </w:t>
      </w:r>
    </w:p>
    <w:p w14:paraId="71CB809E" w14:textId="77777777" w:rsidR="00335B31" w:rsidRDefault="00335B31" w:rsidP="004F2261">
      <w:pPr>
        <w:autoSpaceDE w:val="0"/>
        <w:autoSpaceDN w:val="0"/>
        <w:adjustRightInd w:val="0"/>
        <w:ind w:left="1134" w:right="902"/>
        <w:jc w:val="both"/>
        <w:rPr>
          <w:rFonts w:ascii="Palatino Linotype" w:hAnsi="Palatino Linotype"/>
          <w:i/>
          <w:sz w:val="20"/>
          <w:szCs w:val="20"/>
        </w:rPr>
      </w:pPr>
      <w:r w:rsidRPr="00A95947">
        <w:rPr>
          <w:rFonts w:ascii="Palatino Linotype" w:hAnsi="Palatino Linotype"/>
          <w:i/>
          <w:sz w:val="20"/>
          <w:szCs w:val="20"/>
        </w:rPr>
        <w:t xml:space="preserve">III. Información de la obra pública. </w:t>
      </w:r>
    </w:p>
    <w:p w14:paraId="27121194" w14:textId="77777777" w:rsidR="00335B31" w:rsidRPr="00A95947" w:rsidRDefault="00335B31" w:rsidP="004F2261">
      <w:pPr>
        <w:autoSpaceDE w:val="0"/>
        <w:autoSpaceDN w:val="0"/>
        <w:adjustRightInd w:val="0"/>
        <w:ind w:left="1134" w:right="902"/>
        <w:jc w:val="both"/>
        <w:rPr>
          <w:rFonts w:ascii="Palatino Linotype" w:hAnsi="Palatino Linotype" w:cs="Arial"/>
          <w:i/>
          <w:color w:val="222222"/>
          <w:sz w:val="20"/>
          <w:szCs w:val="20"/>
        </w:rPr>
      </w:pPr>
      <w:r w:rsidRPr="00A95947">
        <w:rPr>
          <w:rFonts w:ascii="Palatino Linotype" w:hAnsi="Palatino Linotype"/>
          <w:i/>
          <w:sz w:val="20"/>
          <w:szCs w:val="20"/>
        </w:rPr>
        <w:t>IV. Información de nómina.</w:t>
      </w:r>
      <w:r>
        <w:rPr>
          <w:rFonts w:ascii="Palatino Linotype" w:hAnsi="Palatino Linotype"/>
          <w:i/>
          <w:sz w:val="20"/>
          <w:szCs w:val="20"/>
        </w:rPr>
        <w:t>”</w:t>
      </w:r>
    </w:p>
    <w:p w14:paraId="7B392F0F" w14:textId="45A0B5E9" w:rsidR="00335B31" w:rsidRDefault="00335B31" w:rsidP="00335B31">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bCs/>
        </w:rPr>
        <w:t xml:space="preserve">Misma que debe elaborarse mensualmente conforme a lo </w:t>
      </w:r>
      <w:r>
        <w:rPr>
          <w:rFonts w:ascii="Palatino Linotype" w:hAnsi="Palatino Linotype" w:cs="Arial"/>
          <w:lang w:eastAsia="es-MX"/>
        </w:rPr>
        <w:t xml:space="preserve">dispuesto por los Lineamientos para la Integración del Informe Mensual, emitidos por el OSFEM, toda vez que el artículo </w:t>
      </w:r>
      <w:r w:rsidRPr="00443EEA">
        <w:rPr>
          <w:rFonts w:ascii="Palatino Linotype" w:hAnsi="Palatino Linotype"/>
        </w:rPr>
        <w:t>32 de la Ley de Fiscalización Superior del Estado de México</w:t>
      </w:r>
      <w:r>
        <w:rPr>
          <w:rFonts w:ascii="Palatino Linotype" w:hAnsi="Palatino Linotype" w:cs="Arial"/>
          <w:lang w:eastAsia="es-MX"/>
        </w:rPr>
        <w:t xml:space="preserve">, prevé que los Presidentes Municipales presentarán a la Legislatura las cuentas públicas </w:t>
      </w:r>
      <w:r>
        <w:rPr>
          <w:rFonts w:ascii="Palatino Linotype" w:hAnsi="Palatino Linotype" w:cs="Arial"/>
          <w:lang w:eastAsia="es-MX"/>
        </w:rPr>
        <w:lastRenderedPageBreak/>
        <w:t>anuales</w:t>
      </w:r>
      <w:r w:rsidR="004F2261">
        <w:rPr>
          <w:rFonts w:ascii="Palatino Linotype" w:hAnsi="Palatino Linotype" w:cs="Arial"/>
          <w:lang w:eastAsia="es-MX"/>
        </w:rPr>
        <w:t xml:space="preserve"> de sus Municipios</w:t>
      </w:r>
      <w:r>
        <w:rPr>
          <w:rFonts w:ascii="Palatino Linotype" w:hAnsi="Palatino Linotype" w:cs="Arial"/>
          <w:lang w:eastAsia="es-MX"/>
        </w:rPr>
        <w:t>, así como los informes mensuales dentro de los veinte días posteriores al termino del mes correspondiente</w:t>
      </w:r>
      <w:r>
        <w:rPr>
          <w:rStyle w:val="Refdenotaalpie"/>
          <w:rFonts w:ascii="Palatino Linotype" w:hAnsi="Palatino Linotype" w:cs="Arial"/>
          <w:lang w:eastAsia="es-MX"/>
        </w:rPr>
        <w:footnoteReference w:id="8"/>
      </w:r>
      <w:r>
        <w:rPr>
          <w:rFonts w:ascii="Palatino Linotype" w:hAnsi="Palatino Linotype" w:cs="Arial"/>
          <w:lang w:eastAsia="es-MX"/>
        </w:rPr>
        <w:t>.</w:t>
      </w:r>
    </w:p>
    <w:p w14:paraId="5BCF398D" w14:textId="77777777" w:rsidR="00335B31" w:rsidRDefault="00335B31" w:rsidP="00335B31">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En ese entendido, los Lineamientos para la fiscalización de la cuenta pública emitidos para el ejercicio fiscal 2018, denominados “Lineamientos para la Elaboración y Presentación del Informe Mensual 2018”, contienen entre otras cosas, los formatos que permiten recopilar la información correspondiente a la nómina general y el reporte de pagos a servidores públicos de mandos medios y superiores, que según se pudo consultar son los siguientes:</w:t>
      </w:r>
    </w:p>
    <w:p w14:paraId="37DFADAA" w14:textId="77777777" w:rsidR="00335B31" w:rsidRDefault="00335B31" w:rsidP="00335B31">
      <w:pPr>
        <w:spacing w:before="240" w:after="240" w:line="360" w:lineRule="auto"/>
        <w:ind w:right="49"/>
        <w:jc w:val="both"/>
        <w:rPr>
          <w:rFonts w:ascii="Palatino Linotype" w:hAnsi="Palatino Linotype" w:cs="Arial"/>
          <w:bCs/>
        </w:rPr>
      </w:pPr>
      <w:r w:rsidRPr="005E5FD3">
        <w:rPr>
          <w:rFonts w:ascii="Palatino Linotype" w:hAnsi="Palatino Linotype" w:cs="Arial"/>
          <w:bCs/>
          <w:noProof/>
          <w:lang w:val="es-MX" w:eastAsia="es-MX"/>
        </w:rPr>
        <w:drawing>
          <wp:inline distT="0" distB="0" distL="0" distR="0" wp14:anchorId="22BE256D" wp14:editId="6CB6DDB3">
            <wp:extent cx="5612130" cy="27527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752725"/>
                    </a:xfrm>
                    <a:prstGeom prst="rect">
                      <a:avLst/>
                    </a:prstGeom>
                  </pic:spPr>
                </pic:pic>
              </a:graphicData>
            </a:graphic>
          </wp:inline>
        </w:drawing>
      </w:r>
    </w:p>
    <w:p w14:paraId="1B162BA0" w14:textId="77777777" w:rsidR="00335B31" w:rsidRPr="0099065F" w:rsidRDefault="00335B31" w:rsidP="00335B31">
      <w:pPr>
        <w:spacing w:before="240" w:after="240" w:line="360" w:lineRule="auto"/>
        <w:ind w:right="49"/>
        <w:jc w:val="both"/>
        <w:rPr>
          <w:rFonts w:ascii="Palatino Linotype" w:hAnsi="Palatino Linotype" w:cs="Arial"/>
          <w:bCs/>
        </w:rPr>
      </w:pPr>
      <w:r w:rsidRPr="005E5FD3">
        <w:rPr>
          <w:rFonts w:ascii="Palatino Linotype" w:hAnsi="Palatino Linotype" w:cs="Arial"/>
          <w:bCs/>
          <w:noProof/>
          <w:lang w:val="es-MX" w:eastAsia="es-MX"/>
        </w:rPr>
        <w:lastRenderedPageBreak/>
        <w:drawing>
          <wp:inline distT="0" distB="0" distL="0" distR="0" wp14:anchorId="0AD556D1" wp14:editId="35703504">
            <wp:extent cx="5612130" cy="17780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778000"/>
                    </a:xfrm>
                    <a:prstGeom prst="rect">
                      <a:avLst/>
                    </a:prstGeom>
                  </pic:spPr>
                </pic:pic>
              </a:graphicData>
            </a:graphic>
          </wp:inline>
        </w:drawing>
      </w:r>
    </w:p>
    <w:p w14:paraId="3533AD48" w14:textId="55733BE3" w:rsidR="006056F8" w:rsidRDefault="006056F8" w:rsidP="00335B31">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 xml:space="preserve">Asimismo, como parte de la información que se entrega en la integración del Disco 5, se advierte lo referente a los documentos que comprueban y justifican los ingresos y egresos, incluidas las facturas, pólizas, </w:t>
      </w:r>
      <w:r w:rsidRPr="006056F8">
        <w:rPr>
          <w:rFonts w:ascii="Palatino Linotype" w:hAnsi="Palatino Linotype" w:cs="Arial"/>
          <w:b/>
          <w:lang w:eastAsia="es-MX"/>
        </w:rPr>
        <w:t>lista de raya</w:t>
      </w:r>
      <w:r>
        <w:rPr>
          <w:rFonts w:ascii="Palatino Linotype" w:hAnsi="Palatino Linotype" w:cs="Arial"/>
          <w:lang w:eastAsia="es-MX"/>
        </w:rPr>
        <w:t xml:space="preserve"> y generadores, como se advierte en lo siguiente:</w:t>
      </w:r>
    </w:p>
    <w:p w14:paraId="7D237CAF" w14:textId="6402FA72" w:rsidR="006056F8" w:rsidRDefault="006056F8" w:rsidP="00335B31">
      <w:pPr>
        <w:spacing w:before="240" w:after="240" w:line="360" w:lineRule="auto"/>
        <w:ind w:right="49"/>
        <w:jc w:val="both"/>
        <w:rPr>
          <w:rFonts w:ascii="Palatino Linotype" w:hAnsi="Palatino Linotype" w:cs="Arial"/>
          <w:lang w:eastAsia="es-MX"/>
        </w:rPr>
      </w:pPr>
      <w:r w:rsidRPr="006056F8">
        <w:rPr>
          <w:rFonts w:ascii="Palatino Linotype" w:hAnsi="Palatino Linotype" w:cs="Arial"/>
          <w:noProof/>
          <w:lang w:val="es-MX" w:eastAsia="es-MX"/>
        </w:rPr>
        <w:drawing>
          <wp:inline distT="0" distB="0" distL="0" distR="0" wp14:anchorId="614EC7D8" wp14:editId="696A9C28">
            <wp:extent cx="5610543" cy="3641124"/>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4751" cy="3650345"/>
                    </a:xfrm>
                    <a:prstGeom prst="rect">
                      <a:avLst/>
                    </a:prstGeom>
                  </pic:spPr>
                </pic:pic>
              </a:graphicData>
            </a:graphic>
          </wp:inline>
        </w:drawing>
      </w:r>
    </w:p>
    <w:p w14:paraId="3C945CF0" w14:textId="77777777" w:rsidR="00335B31" w:rsidRDefault="00335B31" w:rsidP="00335B31">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lastRenderedPageBreak/>
        <w:t xml:space="preserve">No obstante, que en términos del artículo del artículo 804 fracción II de la Ley Federal del Trabajo, el patrón tiene la obligación de conservar y exhibir en juicio las listas </w:t>
      </w:r>
      <w:r w:rsidRPr="006056F8">
        <w:rPr>
          <w:rFonts w:ascii="Palatino Linotype" w:hAnsi="Palatino Linotype" w:cs="Arial"/>
          <w:lang w:eastAsia="es-MX"/>
        </w:rPr>
        <w:t>de raya o nómina del personal.</w:t>
      </w:r>
    </w:p>
    <w:p w14:paraId="1B14DA3B" w14:textId="1DC1CE1F" w:rsidR="007403EA" w:rsidRPr="008128AF" w:rsidRDefault="006056F8" w:rsidP="007403EA">
      <w:pPr>
        <w:spacing w:before="240" w:after="240" w:line="360" w:lineRule="auto"/>
        <w:jc w:val="both"/>
        <w:rPr>
          <w:rFonts w:ascii="Palatino Linotype" w:hAnsi="Palatino Linotype"/>
        </w:rPr>
      </w:pPr>
      <w:r>
        <w:rPr>
          <w:rFonts w:ascii="Palatino Linotype" w:hAnsi="Palatino Linotype" w:cs="Arial"/>
          <w:lang w:eastAsia="es-MX"/>
        </w:rPr>
        <w:t xml:space="preserve">Por lo que se puede concluir que el </w:t>
      </w:r>
      <w:r>
        <w:rPr>
          <w:rFonts w:ascii="Palatino Linotype" w:hAnsi="Palatino Linotype" w:cs="Arial"/>
          <w:b/>
          <w:lang w:eastAsia="es-MX"/>
        </w:rPr>
        <w:t xml:space="preserve">Sujeto Obligado </w:t>
      </w:r>
      <w:r>
        <w:rPr>
          <w:rFonts w:ascii="Palatino Linotype" w:hAnsi="Palatino Linotype" w:cs="Arial"/>
          <w:bCs/>
        </w:rPr>
        <w:t>atendió la solicitud de acceso a la información, sin embargo no colma el derecho de acceso a la información</w:t>
      </w:r>
      <w:r w:rsidR="00690181">
        <w:rPr>
          <w:rFonts w:ascii="Palatino Linotype" w:hAnsi="Palatino Linotype" w:cs="Arial"/>
          <w:bCs/>
        </w:rPr>
        <w:t xml:space="preserve">, toda vez que el particular solicitó las información correspondiente al </w:t>
      </w:r>
      <w:r w:rsidR="007403EA">
        <w:rPr>
          <w:rFonts w:ascii="Palatino Linotype" w:hAnsi="Palatino Linotype" w:cs="Arial"/>
          <w:bCs/>
        </w:rPr>
        <w:t xml:space="preserve">treinta y uno de octubre de dos mil dieciocho, y del listado enviado no se advierte que este corresponda a la fecha señalada, no obstante, que el documento enviado en respuesta hace referencia al </w:t>
      </w:r>
      <w:r w:rsidR="007403EA" w:rsidRPr="007403EA">
        <w:rPr>
          <w:rFonts w:ascii="Palatino Linotype" w:hAnsi="Palatino Linotype" w:cs="Arial"/>
          <w:bCs/>
        </w:rPr>
        <w:t>Servidor Público</w:t>
      </w:r>
      <w:r w:rsidR="007403EA">
        <w:rPr>
          <w:rFonts w:ascii="Palatino Linotype" w:hAnsi="Palatino Linotype" w:cs="Arial"/>
          <w:bCs/>
        </w:rPr>
        <w:t xml:space="preserve"> </w:t>
      </w:r>
      <w:r w:rsidR="007403EA">
        <w:rPr>
          <w:rFonts w:ascii="Palatino Linotype" w:hAnsi="Palatino Linotype" w:cs="Arial"/>
          <w:bCs/>
          <w:color w:val="C00000"/>
        </w:rPr>
        <w:t>Juan Lino Alonso Salgado con n</w:t>
      </w:r>
      <w:r w:rsidR="00DE7CE9">
        <w:rPr>
          <w:rFonts w:ascii="Palatino Linotype" w:hAnsi="Palatino Linotype" w:cs="Arial"/>
          <w:bCs/>
          <w:color w:val="C00000"/>
        </w:rPr>
        <w:t>ú</w:t>
      </w:r>
      <w:r w:rsidR="007403EA">
        <w:rPr>
          <w:rFonts w:ascii="Palatino Linotype" w:hAnsi="Palatino Linotype" w:cs="Arial"/>
          <w:bCs/>
          <w:color w:val="C00000"/>
        </w:rPr>
        <w:t xml:space="preserve">mero de clave 502, </w:t>
      </w:r>
      <w:r w:rsidR="007403EA">
        <w:rPr>
          <w:rFonts w:ascii="Palatino Linotype" w:hAnsi="Palatino Linotype" w:cs="Arial"/>
          <w:bCs/>
        </w:rPr>
        <w:t>mismo que no fue referido en el informe justificado, p</w:t>
      </w:r>
      <w:r w:rsidR="007403EA" w:rsidRPr="003D0919">
        <w:rPr>
          <w:rFonts w:ascii="Palatino Linotype" w:hAnsi="Palatino Linotype" w:cs="Arial"/>
        </w:rPr>
        <w:t xml:space="preserve">or lo que resulta procedente ordenar la entrega de la nómina y lista de raya de la segunda quincena del mes de octubre de dos mil dieciocho, </w:t>
      </w:r>
      <w:r w:rsidR="007403EA">
        <w:rPr>
          <w:rFonts w:ascii="Palatino Linotype" w:hAnsi="Palatino Linotype" w:cs="Arial"/>
        </w:rPr>
        <w:t xml:space="preserve">a efectos de brindar certeza y seguridad  jurídico al particular. </w:t>
      </w:r>
      <w:r w:rsidR="007403EA">
        <w:rPr>
          <w:rFonts w:ascii="Palatino Linotype" w:hAnsi="Palatino Linotype"/>
        </w:rPr>
        <w:t xml:space="preserve">Sirve de sustento por analogía a lo anterior, la tesis  jurisprudencial número </w:t>
      </w:r>
      <w:r w:rsidR="007403EA" w:rsidRPr="008128AF">
        <w:rPr>
          <w:rFonts w:ascii="Palatino Linotype" w:hAnsi="Palatino Linotype"/>
        </w:rPr>
        <w:t>P</w:t>
      </w:r>
      <w:proofErr w:type="gramStart"/>
      <w:r w:rsidR="007403EA" w:rsidRPr="008128AF">
        <w:rPr>
          <w:rFonts w:ascii="Palatino Linotype" w:hAnsi="Palatino Linotype"/>
        </w:rPr>
        <w:t>./</w:t>
      </w:r>
      <w:proofErr w:type="gramEnd"/>
      <w:r w:rsidR="007403EA" w:rsidRPr="008128AF">
        <w:rPr>
          <w:rFonts w:ascii="Palatino Linotype" w:hAnsi="Palatino Linotype"/>
        </w:rPr>
        <w:t>J. 190/2008, publicada en el Semanario Judicial de la Federación y su Gaceta Tomo XXX, al tenor siguiente:</w:t>
      </w:r>
    </w:p>
    <w:p w14:paraId="0A04BD70" w14:textId="77777777" w:rsidR="007403EA" w:rsidRDefault="007403EA" w:rsidP="007403EA"/>
    <w:p w14:paraId="72FC2591" w14:textId="4F8E13F3" w:rsidR="007403EA" w:rsidRPr="007403EA" w:rsidRDefault="007403EA" w:rsidP="007403EA">
      <w:pPr>
        <w:ind w:left="851"/>
        <w:jc w:val="both"/>
        <w:rPr>
          <w:rFonts w:ascii="Palatino Linotype" w:hAnsi="Palatino Linotype" w:cs="Arial"/>
          <w:i/>
          <w:sz w:val="20"/>
          <w:szCs w:val="20"/>
        </w:rPr>
      </w:pPr>
      <w:r w:rsidRPr="007403EA">
        <w:rPr>
          <w:rFonts w:ascii="Palatino Linotype" w:hAnsi="Palatino Linotype" w:cs="Arial"/>
          <w:i/>
          <w:sz w:val="20"/>
          <w:szCs w:val="20"/>
        </w:rPr>
        <w:t>“</w:t>
      </w:r>
      <w:r w:rsidRPr="007403EA">
        <w:rPr>
          <w:rFonts w:ascii="Palatino Linotype" w:hAnsi="Palatino Linotype" w:cs="Arial"/>
          <w:b/>
          <w:i/>
          <w:sz w:val="20"/>
          <w:szCs w:val="20"/>
        </w:rPr>
        <w:t>DIARIO OFICIAL DE LA FEDERACIÓN. EL ARTÍCULO 7 DE LA LEY QUE RIGE A ESE MEDIO DE DIFUSIÓN NO VIOLA LAS GARANTÍAS DE LEGALIDAD Y SEGURIDAD JURÍDICA.</w:t>
      </w:r>
      <w:r w:rsidRPr="007403EA">
        <w:rPr>
          <w:rFonts w:ascii="Palatino Linotype" w:hAnsi="Palatino Linotype" w:cs="Arial"/>
          <w:i/>
          <w:sz w:val="20"/>
          <w:szCs w:val="20"/>
        </w:rPr>
        <w:t xml:space="preserve"> Los principios de legalidad y seguridad jurídica contenidos en su expresión genérica en los artículos 14 y 16 constitucionales, se respetan por las autoridades legislativas cuando las disposiciones de observancia general que crean, por una parte, generan certidumbre a los gobernados sobre las consecuencias jurídicas que producirán y, por la otra, tratándose de normas que confieren alguna facultad a una autoridad, acotan en la medida necesaria y razonable tal atribución, en forma tal que se impida a la respectiva autoridad actuar de manera arbitraria o caprichosa en atención a las normas a que debe sujetarse al ejercer dicha facultad. Por otra parte, el referido precepto legal establece la posibilidad de publicar el Diario Oficial de la Federación todos los días del año, sin precisar alguna regla que establezca en qué supuestos y bajo qué condiciones se deberá hacer tal publicación; sin embargo, esa previsión no genera en los gobernados falta de certeza jurídica, en virtud de que si no </w:t>
      </w:r>
      <w:r w:rsidRPr="007403EA">
        <w:rPr>
          <w:rFonts w:ascii="Palatino Linotype" w:hAnsi="Palatino Linotype" w:cs="Arial"/>
          <w:i/>
          <w:sz w:val="20"/>
          <w:szCs w:val="20"/>
        </w:rPr>
        <w:lastRenderedPageBreak/>
        <w:t>estableció algún tipo de modalidad o circunstancia en la que deba hacerse esa publicación, es obvio que sin distinción alguna se hará todos los días del año, sin afectar su validez. Cabe puntualizar que de lo previsto en el artículo 72, inciso a), constitucional y 27, fracción II, de la Ley Orgánica de la Administración Pública Federal, se desprende que el Titular del Ejecutivo Federal por conducto de la Secretaría de Gobernación, tiene la obligación de publicar "inmediatamente" las leyes o decretos que le sean enviados por el Congreso de la Unión una vez que fueron aprobados por éste, siempre que el Presidente de la República no hubiera realizado observaciones. Bajo ese tenor, el imperativo "inmediatamente" implica que ese acto de publicación podrá efectuarse en cualquier fecha, lo que significa que la previsión contemplada en el citado artículo 7, lejos de contrariar la Ley Suprema, es acorde con lo previsto en la misma, ya que de esta manera, al poder publicarse el Diario Oficial de la Federación cualquier día del año permite acatar aquel mandato del Constituyente, determinación que no infringe las garantías de legalidad y seguridad jurídica.”</w:t>
      </w:r>
    </w:p>
    <w:p w14:paraId="2FC4657D" w14:textId="3B6F7521" w:rsidR="003D0919" w:rsidRPr="003D0919" w:rsidRDefault="007403EA" w:rsidP="00BE6AA1">
      <w:pPr>
        <w:autoSpaceDE w:val="0"/>
        <w:autoSpaceDN w:val="0"/>
        <w:adjustRightInd w:val="0"/>
        <w:spacing w:before="240" w:after="240" w:line="360" w:lineRule="auto"/>
        <w:jc w:val="both"/>
        <w:rPr>
          <w:rFonts w:ascii="Palatino Linotype" w:hAnsi="Palatino Linotype" w:cs="Arial"/>
          <w:i/>
          <w:sz w:val="20"/>
          <w:szCs w:val="20"/>
          <w:lang w:eastAsia="es-MX"/>
        </w:rPr>
      </w:pPr>
      <w:r>
        <w:rPr>
          <w:rFonts w:ascii="Palatino Linotype" w:hAnsi="Palatino Linotype" w:cs="Arial"/>
        </w:rPr>
        <w:t xml:space="preserve">No obstante, que el </w:t>
      </w:r>
      <w:r w:rsidRPr="00102700">
        <w:rPr>
          <w:rFonts w:ascii="Palatino Linotype" w:hAnsi="Palatino Linotype" w:cs="Arial"/>
          <w:color w:val="222222"/>
          <w:lang w:eastAsia="es-MX"/>
        </w:rPr>
        <w:t>artículo 12 de la Ley de Transparencia y Acceso a la Información Pública del Estado de México y Municipios,</w:t>
      </w:r>
      <w:r>
        <w:rPr>
          <w:rFonts w:ascii="Palatino Linotype" w:hAnsi="Palatino Linotype" w:cs="Arial"/>
          <w:color w:val="222222"/>
          <w:lang w:eastAsia="es-MX"/>
        </w:rPr>
        <w:t xml:space="preserve"> es claro en su texto, al disponer</w:t>
      </w:r>
      <w:r w:rsidRPr="00102700">
        <w:rPr>
          <w:rFonts w:ascii="Palatino Linotype" w:hAnsi="Palatino Linotype" w:cs="Arial"/>
          <w:color w:val="222222"/>
          <w:lang w:eastAsia="es-MX"/>
        </w:rPr>
        <w:t xml:space="preserve"> </w:t>
      </w:r>
      <w:r>
        <w:rPr>
          <w:rFonts w:ascii="Palatino Linotype" w:hAnsi="Palatino Linotype" w:cs="Arial"/>
        </w:rPr>
        <w:t xml:space="preserve">que el ejercicio del derecho de acceso a la información </w:t>
      </w:r>
      <w:r w:rsidRPr="00102700">
        <w:rPr>
          <w:rFonts w:ascii="Palatino Linotype" w:hAnsi="Palatino Linotype" w:cs="Arial"/>
          <w:color w:val="222222"/>
          <w:lang w:eastAsia="es-MX"/>
        </w:rPr>
        <w:t xml:space="preserve">pública se satisface con entregar el soporte documental </w:t>
      </w:r>
      <w:r w:rsidRPr="007D1F27">
        <w:rPr>
          <w:rFonts w:ascii="Palatino Linotype" w:hAnsi="Palatino Linotype" w:cs="Arial"/>
          <w:color w:val="222222"/>
          <w:lang w:eastAsia="es-MX"/>
        </w:rPr>
        <w:t>en el que consta la información pública</w:t>
      </w:r>
      <w:r w:rsidR="00BE6AA1">
        <w:rPr>
          <w:rFonts w:ascii="Palatino Linotype" w:hAnsi="Palatino Linotype" w:cs="Arial"/>
          <w:color w:val="222222"/>
          <w:lang w:eastAsia="es-MX"/>
        </w:rPr>
        <w:t xml:space="preserve">, de manera que </w:t>
      </w:r>
      <w:r w:rsidRPr="00102700">
        <w:rPr>
          <w:rFonts w:ascii="Palatino Linotype" w:eastAsiaTheme="minorHAnsi" w:hAnsi="Palatino Linotype" w:cs="Bookman Old Style"/>
          <w:lang w:val="es-MX" w:eastAsia="en-US"/>
        </w:rPr>
        <w:t>los sujetos obligados sólo proporcionarán la información pública que se les requiera y que obre en sus</w:t>
      </w:r>
      <w:r>
        <w:rPr>
          <w:rFonts w:ascii="Palatino Linotype" w:eastAsiaTheme="minorHAnsi" w:hAnsi="Palatino Linotype" w:cs="Bookman Old Style"/>
          <w:lang w:val="es-MX" w:eastAsia="en-US"/>
        </w:rPr>
        <w:t xml:space="preserve"> </w:t>
      </w:r>
      <w:r w:rsidRPr="00102700">
        <w:rPr>
          <w:rFonts w:ascii="Palatino Linotype" w:eastAsiaTheme="minorHAnsi" w:hAnsi="Palatino Linotype" w:cs="Bookman Old Style"/>
          <w:lang w:val="es-MX" w:eastAsia="en-US"/>
        </w:rPr>
        <w:t>archivos y en el estado en que ésta se encue</w:t>
      </w:r>
      <w:r w:rsidR="00BE6AA1">
        <w:rPr>
          <w:rFonts w:ascii="Palatino Linotype" w:eastAsiaTheme="minorHAnsi" w:hAnsi="Palatino Linotype" w:cs="Bookman Old Style"/>
          <w:lang w:val="es-MX" w:eastAsia="en-US"/>
        </w:rPr>
        <w:t>ntre; l</w:t>
      </w:r>
      <w:r w:rsidRPr="00102700">
        <w:rPr>
          <w:rFonts w:ascii="Palatino Linotype" w:eastAsiaTheme="minorHAnsi" w:hAnsi="Palatino Linotype" w:cs="Bookman Old Style"/>
          <w:lang w:val="es-MX" w:eastAsia="en-US"/>
        </w:rPr>
        <w:t xml:space="preserve">a obligación de proporcionar información no comprende el procesamiento de la </w:t>
      </w:r>
      <w:r w:rsidR="00BE6AA1" w:rsidRPr="00102700">
        <w:rPr>
          <w:rFonts w:ascii="Palatino Linotype" w:eastAsiaTheme="minorHAnsi" w:hAnsi="Palatino Linotype" w:cs="Bookman Old Style"/>
          <w:lang w:val="es-MX" w:eastAsia="en-US"/>
        </w:rPr>
        <w:t>misma</w:t>
      </w:r>
      <w:r w:rsidR="00BE6AA1">
        <w:rPr>
          <w:rFonts w:ascii="Palatino Linotype" w:eastAsiaTheme="minorHAnsi" w:hAnsi="Palatino Linotype" w:cs="Bookman Old Style"/>
          <w:lang w:val="es-MX" w:eastAsia="en-US"/>
        </w:rPr>
        <w:t>, consecuentemente el documento entregado no atiende el derecho de acceso a la información</w:t>
      </w:r>
      <w:r w:rsidR="0037168F">
        <w:rPr>
          <w:rFonts w:ascii="Palatino Linotype" w:eastAsiaTheme="minorHAnsi" w:hAnsi="Palatino Linotype" w:cs="Bookman Old Style"/>
          <w:lang w:val="es-MX" w:eastAsia="en-US"/>
        </w:rPr>
        <w:t xml:space="preserve"> por no tratarse de la nómina oficial</w:t>
      </w:r>
      <w:r w:rsidR="00BE6AA1">
        <w:rPr>
          <w:rFonts w:ascii="Palatino Linotype" w:eastAsiaTheme="minorHAnsi" w:hAnsi="Palatino Linotype" w:cs="Bookman Old Style"/>
          <w:lang w:val="es-MX" w:eastAsia="en-US"/>
        </w:rPr>
        <w:t>, aunado a que no refleja la fecha de actualización.</w:t>
      </w:r>
    </w:p>
    <w:p w14:paraId="19784C16" w14:textId="3D01B240" w:rsidR="003D0919" w:rsidRDefault="003D0919" w:rsidP="003D0919">
      <w:pPr>
        <w:spacing w:before="240" w:after="240" w:line="360" w:lineRule="auto"/>
        <w:jc w:val="both"/>
        <w:rPr>
          <w:rFonts w:ascii="Palatino Linotype" w:hAnsi="Palatino Linotype"/>
        </w:rPr>
      </w:pPr>
      <w:r>
        <w:rPr>
          <w:rFonts w:ascii="Palatino Linotype" w:hAnsi="Palatino Linotype" w:cs="Arial"/>
        </w:rPr>
        <w:t>En otro punto, p</w:t>
      </w:r>
      <w:r w:rsidR="004F0B1C">
        <w:rPr>
          <w:rFonts w:ascii="Palatino Linotype" w:hAnsi="Palatino Linotype" w:cs="Arial"/>
        </w:rPr>
        <w:t xml:space="preserve">ara analizar lo relativo al </w:t>
      </w:r>
      <w:r>
        <w:rPr>
          <w:rFonts w:ascii="Palatino Linotype" w:hAnsi="Palatino Linotype" w:cs="Arial"/>
        </w:rPr>
        <w:t xml:space="preserve">personal por honorarios, cabe </w:t>
      </w:r>
      <w:r w:rsidR="004F0B1C">
        <w:rPr>
          <w:rFonts w:ascii="Palatino Linotype" w:hAnsi="Palatino Linotype" w:cs="Arial"/>
        </w:rPr>
        <w:t xml:space="preserve">hacer alusión a lo dispuesto en el </w:t>
      </w:r>
      <w:r w:rsidR="004F0B1C">
        <w:rPr>
          <w:rFonts w:ascii="Palatino Linotype" w:hAnsi="Palatino Linotype"/>
        </w:rPr>
        <w:t xml:space="preserve">Código Civil del Estado de México, que en su Título Décimo, Capítulo I, regula lo concerniente a la prestación de Servicios Profesionales, y de manera específica en los artículos </w:t>
      </w:r>
      <w:r>
        <w:rPr>
          <w:rFonts w:ascii="Palatino Linotype" w:hAnsi="Palatino Linotype"/>
        </w:rPr>
        <w:t>7.828 y 7.832, dispone lo siguiente:</w:t>
      </w:r>
    </w:p>
    <w:p w14:paraId="370BB9AA" w14:textId="77777777" w:rsidR="003D0919" w:rsidRDefault="003D0919" w:rsidP="003D0919">
      <w:pPr>
        <w:spacing w:before="120" w:after="120"/>
        <w:ind w:left="851" w:right="902"/>
        <w:jc w:val="both"/>
        <w:rPr>
          <w:rFonts w:ascii="Palatino Linotype" w:hAnsi="Palatino Linotype"/>
          <w:i/>
          <w:sz w:val="20"/>
          <w:szCs w:val="20"/>
        </w:rPr>
      </w:pPr>
      <w:r>
        <w:rPr>
          <w:rFonts w:ascii="Palatino Linotype" w:hAnsi="Palatino Linotype"/>
          <w:b/>
          <w:i/>
          <w:sz w:val="20"/>
          <w:szCs w:val="20"/>
        </w:rPr>
        <w:lastRenderedPageBreak/>
        <w:t>“</w:t>
      </w:r>
      <w:r w:rsidRPr="0017555E">
        <w:rPr>
          <w:rFonts w:ascii="Palatino Linotype" w:hAnsi="Palatino Linotype"/>
          <w:b/>
          <w:i/>
          <w:sz w:val="20"/>
          <w:szCs w:val="20"/>
        </w:rPr>
        <w:t xml:space="preserve">Artículo 7.828.- </w:t>
      </w:r>
      <w:r w:rsidRPr="0017555E">
        <w:rPr>
          <w:rFonts w:ascii="Palatino Linotype" w:hAnsi="Palatino Linotype"/>
          <w:i/>
          <w:sz w:val="20"/>
          <w:szCs w:val="20"/>
        </w:rPr>
        <w:t>En la prestación de servicios profesionales pueden incluirse las expensas que hayan de hacerse en el negocio. A falta de convenio sobre su reembolso, los anticipos serán pagados en los términos del artículo siguiente, con el interés legal, desde el día en que fueren hechos, sin perjuicio de la responsabilidad por daños y perjuicios.</w:t>
      </w:r>
    </w:p>
    <w:p w14:paraId="57DE8825" w14:textId="77777777" w:rsidR="003D0919" w:rsidRPr="00A00BC6" w:rsidRDefault="003D0919" w:rsidP="003D0919">
      <w:pPr>
        <w:spacing w:before="120" w:after="120"/>
        <w:ind w:left="851" w:right="902"/>
        <w:jc w:val="both"/>
        <w:rPr>
          <w:rFonts w:ascii="Palatino Linotype" w:hAnsi="Palatino Linotype"/>
          <w:i/>
          <w:sz w:val="20"/>
          <w:szCs w:val="20"/>
        </w:rPr>
      </w:pPr>
      <w:r w:rsidRPr="00A00BC6">
        <w:rPr>
          <w:rFonts w:ascii="Palatino Linotype" w:hAnsi="Palatino Linotype"/>
          <w:b/>
          <w:i/>
          <w:sz w:val="20"/>
          <w:szCs w:val="20"/>
        </w:rPr>
        <w:t>Artículo 7.832.-</w:t>
      </w:r>
      <w:r w:rsidRPr="00A00BC6">
        <w:rPr>
          <w:rFonts w:ascii="Palatino Linotype" w:hAnsi="Palatino Linotype"/>
          <w:i/>
          <w:sz w:val="20"/>
          <w:szCs w:val="20"/>
        </w:rPr>
        <w:t xml:space="preserve"> Los profesionales tienen derecho de exigir sus honorarios, cualquiera que sea el éxito del negocio o trabajo que se les encomiende, salvo convenio en contrario.”</w:t>
      </w:r>
    </w:p>
    <w:p w14:paraId="101780A6" w14:textId="47443F56" w:rsidR="003D0919" w:rsidRDefault="004F0B1C" w:rsidP="006056F8">
      <w:pPr>
        <w:spacing w:before="240" w:after="240" w:line="360" w:lineRule="auto"/>
        <w:ind w:right="49"/>
        <w:jc w:val="both"/>
        <w:rPr>
          <w:rFonts w:ascii="Palatino Linotype" w:hAnsi="Palatino Linotype"/>
        </w:rPr>
      </w:pPr>
      <w:r>
        <w:rPr>
          <w:rFonts w:ascii="Palatino Linotype" w:hAnsi="Palatino Linotype" w:cs="Arial"/>
        </w:rPr>
        <w:t xml:space="preserve">De manera, que en la prestación de servicios profesionales, un profesionista se obliga a prestar determinados servicios a cambio de una retribución llamada honorarios, que es el </w:t>
      </w:r>
      <w:r>
        <w:rPr>
          <w:rFonts w:ascii="Palatino Linotype" w:hAnsi="Palatino Linotype"/>
          <w:i/>
        </w:rPr>
        <w:t>importe de los servicios de algunas profesiones liberales</w:t>
      </w:r>
      <w:r>
        <w:rPr>
          <w:rStyle w:val="Refdenotaalpie"/>
          <w:rFonts w:ascii="Palatino Linotype" w:hAnsi="Palatino Linotype"/>
          <w:i/>
        </w:rPr>
        <w:footnoteReference w:id="9"/>
      </w:r>
      <w:r>
        <w:rPr>
          <w:rFonts w:ascii="Palatino Linotype" w:hAnsi="Palatino Linotype"/>
          <w:i/>
        </w:rPr>
        <w:t xml:space="preserve">, </w:t>
      </w:r>
      <w:r>
        <w:rPr>
          <w:rFonts w:ascii="Palatino Linotype" w:hAnsi="Palatino Linotype"/>
        </w:rPr>
        <w:t>que se presta</w:t>
      </w:r>
      <w:r w:rsidR="0020432D">
        <w:rPr>
          <w:rFonts w:ascii="Palatino Linotype" w:hAnsi="Palatino Linotype"/>
        </w:rPr>
        <w:t>n</w:t>
      </w:r>
      <w:r>
        <w:rPr>
          <w:rFonts w:ascii="Palatino Linotype" w:hAnsi="Palatino Linotype"/>
        </w:rPr>
        <w:t xml:space="preserve"> mediante la celebración de un contrato consensual en el que las partes acuerdan los términos y condiciones</w:t>
      </w:r>
      <w:r>
        <w:rPr>
          <w:rStyle w:val="Refdenotaalpie"/>
          <w:rFonts w:ascii="Palatino Linotype" w:hAnsi="Palatino Linotype"/>
        </w:rPr>
        <w:footnoteReference w:id="10"/>
      </w:r>
      <w:r>
        <w:rPr>
          <w:rFonts w:ascii="Palatino Linotype" w:hAnsi="Palatino Linotype"/>
        </w:rPr>
        <w:t>.</w:t>
      </w:r>
    </w:p>
    <w:p w14:paraId="43EA8A42" w14:textId="77777777" w:rsidR="004F0B1C" w:rsidRPr="004F0B1C" w:rsidRDefault="004F0B1C" w:rsidP="006056F8">
      <w:pPr>
        <w:spacing w:before="240" w:after="240" w:line="360" w:lineRule="auto"/>
        <w:ind w:right="49"/>
        <w:jc w:val="both"/>
        <w:rPr>
          <w:rFonts w:ascii="Palatino Linotype" w:hAnsi="Palatino Linotype" w:cs="Arial"/>
        </w:rPr>
      </w:pPr>
    </w:p>
    <w:p w14:paraId="6CBD653A" w14:textId="717F16A6" w:rsidR="004F0B1C" w:rsidRDefault="004F0B1C" w:rsidP="004F0B1C">
      <w:pPr>
        <w:spacing w:before="240" w:after="240" w:line="360" w:lineRule="auto"/>
        <w:jc w:val="both"/>
        <w:rPr>
          <w:rFonts w:ascii="Palatino Linotype" w:hAnsi="Palatino Linotype"/>
        </w:rPr>
      </w:pPr>
      <w:r>
        <w:rPr>
          <w:rFonts w:ascii="Palatino Linotype" w:hAnsi="Palatino Linotype"/>
        </w:rPr>
        <w:t>Por su parte, el Manual para la Planeación, Programación y Presupuesto Municip</w:t>
      </w:r>
      <w:r w:rsidR="00D05E4B">
        <w:rPr>
          <w:rFonts w:ascii="Palatino Linotype" w:hAnsi="Palatino Linotype"/>
        </w:rPr>
        <w:t>al para el ejercicio fiscal 2018</w:t>
      </w:r>
      <w:r>
        <w:rPr>
          <w:rFonts w:ascii="Palatino Linotype" w:hAnsi="Palatino Linotype"/>
        </w:rPr>
        <w:t xml:space="preserve">, señala en el apartado Remuneraciones al Personal de </w:t>
      </w:r>
      <w:r>
        <w:rPr>
          <w:rFonts w:ascii="Palatino Linotype" w:hAnsi="Palatino Linotype"/>
        </w:rPr>
        <w:lastRenderedPageBreak/>
        <w:t>carácter transitorio, que las mismas son asignaciones destinadas a cubrir las percepciones correspondientes al personal de carácter eventual.</w:t>
      </w:r>
    </w:p>
    <w:p w14:paraId="38E150E4" w14:textId="77777777" w:rsidR="004F0B1C" w:rsidRDefault="004F0B1C" w:rsidP="004F0B1C">
      <w:pPr>
        <w:spacing w:before="240" w:after="240" w:line="360" w:lineRule="auto"/>
        <w:jc w:val="both"/>
        <w:rPr>
          <w:rFonts w:ascii="Palatino Linotype" w:hAnsi="Palatino Linotype"/>
        </w:rPr>
      </w:pPr>
      <w:r>
        <w:rPr>
          <w:rFonts w:ascii="Palatino Linotype" w:hAnsi="Palatino Linotype"/>
        </w:rPr>
        <w:t>A su vez, también dispone que son honorarios asimilables a salarios los siguientes:</w:t>
      </w:r>
    </w:p>
    <w:p w14:paraId="36E9072E" w14:textId="77777777" w:rsidR="004F0B1C" w:rsidRPr="00E62DB9" w:rsidRDefault="004F0B1C" w:rsidP="00D05E4B">
      <w:pPr>
        <w:spacing w:after="120"/>
        <w:ind w:left="851" w:right="902"/>
        <w:jc w:val="both"/>
        <w:rPr>
          <w:rFonts w:ascii="Palatino Linotype" w:hAnsi="Palatino Linotype"/>
          <w:i/>
          <w:sz w:val="20"/>
        </w:rPr>
      </w:pPr>
      <w:proofErr w:type="gramStart"/>
      <w:r w:rsidRPr="00E62DB9">
        <w:rPr>
          <w:rFonts w:ascii="Palatino Linotype" w:hAnsi="Palatino Linotype"/>
          <w:b/>
          <w:i/>
          <w:sz w:val="20"/>
        </w:rPr>
        <w:t>“ 1210</w:t>
      </w:r>
      <w:proofErr w:type="gramEnd"/>
      <w:r w:rsidRPr="00E62DB9">
        <w:rPr>
          <w:rFonts w:ascii="Palatino Linotype" w:hAnsi="Palatino Linotype"/>
          <w:b/>
          <w:i/>
          <w:sz w:val="20"/>
        </w:rPr>
        <w:t xml:space="preserve"> Honorarios asimilables a salarios.</w:t>
      </w:r>
      <w:r w:rsidRPr="00E62DB9">
        <w:rPr>
          <w:rFonts w:ascii="Palatino Linotype" w:hAnsi="Palatino Linotype"/>
          <w:i/>
          <w:sz w:val="20"/>
        </w:rPr>
        <w:t xml:space="preserve"> Asignaciones destinadas a cubrir el pago por la prestación de servicios contratados con personas físicas, como profesionistas, técnicos, expertos y peritos, entre otros, por estudios, obras o trabajos determinados que correspondan a su especialidad. El pago de honorarios deberá sujetarse a las disposiciones aplicables. Esta partida excluye los servicios profesionales contratados con personas físicas o morales previstos en el Capítulo 3000 Servicios Generales. </w:t>
      </w:r>
    </w:p>
    <w:p w14:paraId="24C54D13" w14:textId="77777777" w:rsidR="004F0B1C" w:rsidRPr="00E62DB9" w:rsidRDefault="004F0B1C" w:rsidP="00D05E4B">
      <w:pPr>
        <w:spacing w:after="120"/>
        <w:ind w:left="851" w:right="902"/>
        <w:jc w:val="both"/>
        <w:rPr>
          <w:rFonts w:ascii="Palatino Linotype" w:hAnsi="Palatino Linotype"/>
          <w:i/>
          <w:sz w:val="20"/>
        </w:rPr>
      </w:pPr>
      <w:r w:rsidRPr="00E62DB9">
        <w:rPr>
          <w:rFonts w:ascii="Palatino Linotype" w:hAnsi="Palatino Linotype"/>
          <w:b/>
          <w:i/>
          <w:sz w:val="20"/>
        </w:rPr>
        <w:t>1211 Honorarios asimilables al salario.</w:t>
      </w:r>
      <w:r w:rsidRPr="00E62DB9">
        <w:rPr>
          <w:rFonts w:ascii="Palatino Linotype" w:hAnsi="Palatino Linotype"/>
          <w:i/>
          <w:sz w:val="20"/>
        </w:rPr>
        <w:t xml:space="preserve"> Asignaciones destinadas para cubrir el pago por la prestación de servicios contratados con personas físicas, para la realización de trabajos determinados que correspondan a la especialidad.”</w:t>
      </w:r>
    </w:p>
    <w:p w14:paraId="402A91D1" w14:textId="77777777" w:rsidR="004F0B1C" w:rsidRDefault="004F0B1C" w:rsidP="004F0B1C">
      <w:pPr>
        <w:spacing w:before="240" w:after="240" w:line="360" w:lineRule="auto"/>
        <w:jc w:val="both"/>
        <w:rPr>
          <w:rFonts w:ascii="Palatino Linotype" w:hAnsi="Palatino Linotype"/>
        </w:rPr>
      </w:pPr>
      <w:r>
        <w:rPr>
          <w:rFonts w:ascii="Palatino Linotype" w:hAnsi="Palatino Linotype"/>
        </w:rPr>
        <w:t>De lo transcrito se advierte que la información base de la solicitud de acceso a la información del particular versa precisamente sobre el personal que es contratado de manera eventual; sin embargo, no se soslaya que dicha contratación debe ser única y exclusivamente para servicios de profesionistas, técnicos, expertos y peritos, entre otros, para realizar obras o trabajos que correspondan a su especialidad.</w:t>
      </w:r>
    </w:p>
    <w:p w14:paraId="3C28D671" w14:textId="77777777" w:rsidR="004F0B1C" w:rsidRPr="006E34B6" w:rsidRDefault="004F0B1C" w:rsidP="004F0B1C">
      <w:pPr>
        <w:spacing w:before="240" w:after="240" w:line="360" w:lineRule="auto"/>
        <w:jc w:val="both"/>
        <w:rPr>
          <w:rFonts w:ascii="Palatino Linotype" w:hAnsi="Palatino Linotype"/>
          <w:i/>
        </w:rPr>
      </w:pPr>
      <w:r>
        <w:rPr>
          <w:rFonts w:ascii="Palatino Linotype" w:hAnsi="Palatino Linotype"/>
        </w:rPr>
        <w:t>Una vez apuntado lo anterior, debe traerse a colación el artículo 61 fracción II inciso a) de Ley General de Contabilidad Gubernamental que establece lo siguiente:</w:t>
      </w:r>
    </w:p>
    <w:p w14:paraId="05B78CE3" w14:textId="77777777" w:rsidR="004F0B1C" w:rsidRPr="00735B0D" w:rsidRDefault="004F0B1C" w:rsidP="0065178D">
      <w:pPr>
        <w:spacing w:after="120"/>
        <w:ind w:left="851" w:right="902"/>
        <w:jc w:val="both"/>
        <w:rPr>
          <w:rFonts w:ascii="Palatino Linotype" w:hAnsi="Palatino Linotype"/>
          <w:i/>
          <w:sz w:val="20"/>
        </w:rPr>
      </w:pPr>
      <w:r>
        <w:rPr>
          <w:rFonts w:ascii="Palatino Linotype" w:hAnsi="Palatino Linotype"/>
          <w:i/>
          <w:sz w:val="20"/>
        </w:rPr>
        <w:t>“</w:t>
      </w:r>
      <w:r w:rsidRPr="00735B0D">
        <w:rPr>
          <w:rFonts w:ascii="Palatino Linotype" w:hAnsi="Palatino Linotype"/>
          <w:i/>
          <w:sz w:val="20"/>
        </w:rPr>
        <w:t xml:space="preserve">Artículo 61.-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 </w:t>
      </w:r>
    </w:p>
    <w:p w14:paraId="6DA4A027" w14:textId="77777777" w:rsidR="004F0B1C" w:rsidRDefault="004F0B1C" w:rsidP="0065178D">
      <w:pPr>
        <w:spacing w:after="120"/>
        <w:ind w:left="851" w:right="902"/>
        <w:jc w:val="both"/>
        <w:rPr>
          <w:rFonts w:ascii="Palatino Linotype" w:hAnsi="Palatino Linotype"/>
          <w:i/>
          <w:sz w:val="20"/>
        </w:rPr>
      </w:pPr>
      <w:r>
        <w:rPr>
          <w:rFonts w:ascii="Palatino Linotype" w:hAnsi="Palatino Linotype"/>
          <w:i/>
          <w:sz w:val="20"/>
        </w:rPr>
        <w:t>(…)</w:t>
      </w:r>
    </w:p>
    <w:p w14:paraId="5FA0E124" w14:textId="77777777" w:rsidR="004F0B1C" w:rsidRPr="00735B0D" w:rsidRDefault="004F0B1C" w:rsidP="0065178D">
      <w:pPr>
        <w:spacing w:after="120"/>
        <w:ind w:left="851" w:right="902"/>
        <w:jc w:val="both"/>
        <w:rPr>
          <w:rFonts w:ascii="Palatino Linotype" w:hAnsi="Palatino Linotype"/>
          <w:i/>
          <w:sz w:val="20"/>
        </w:rPr>
      </w:pPr>
      <w:r w:rsidRPr="00735B0D">
        <w:rPr>
          <w:rFonts w:ascii="Palatino Linotype" w:hAnsi="Palatino Linotype"/>
          <w:i/>
          <w:sz w:val="20"/>
        </w:rPr>
        <w:t xml:space="preserve">II. Presupuestos de Egresos: </w:t>
      </w:r>
    </w:p>
    <w:p w14:paraId="39EA0E5A" w14:textId="77777777" w:rsidR="004F0B1C" w:rsidRPr="00735B0D" w:rsidRDefault="004F0B1C" w:rsidP="0065178D">
      <w:pPr>
        <w:pStyle w:val="Prrafodelista"/>
        <w:numPr>
          <w:ilvl w:val="0"/>
          <w:numId w:val="14"/>
        </w:numPr>
        <w:spacing w:after="120"/>
        <w:ind w:left="1418" w:right="902" w:firstLine="0"/>
        <w:jc w:val="both"/>
        <w:rPr>
          <w:rFonts w:ascii="Palatino Linotype" w:hAnsi="Palatino Linotype"/>
          <w:i/>
          <w:sz w:val="20"/>
        </w:rPr>
      </w:pPr>
      <w:r w:rsidRPr="00735B0D">
        <w:rPr>
          <w:rFonts w:ascii="Palatino Linotype" w:hAnsi="Palatino Linotype"/>
          <w:i/>
          <w:sz w:val="20"/>
        </w:rPr>
        <w:lastRenderedPageBreak/>
        <w:t xml:space="preserve">Las prioridades de gasto, los programas y proyectos, así como la distribución del presupuesto, detallando el gasto en servicios personales, incluyendo el analítico de plazas y desglosando todas las remuneraciones; </w:t>
      </w:r>
      <w:r w:rsidRPr="00735B0D">
        <w:rPr>
          <w:rFonts w:ascii="Palatino Linotype" w:hAnsi="Palatino Linotype"/>
          <w:b/>
          <w:i/>
          <w:sz w:val="20"/>
        </w:rPr>
        <w:t>las contrataciones de servicios por honorarios</w:t>
      </w:r>
      <w:r w:rsidRPr="00735B0D">
        <w:rPr>
          <w:rFonts w:ascii="Palatino Linotype" w:hAnsi="Palatino Linotype"/>
          <w:i/>
          <w:sz w:val="20"/>
        </w:rPr>
        <w:t xml:space="preserve">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r>
        <w:rPr>
          <w:rFonts w:ascii="Palatino Linotype" w:hAnsi="Palatino Linotype"/>
          <w:i/>
          <w:sz w:val="20"/>
        </w:rPr>
        <w:t>…”</w:t>
      </w:r>
    </w:p>
    <w:p w14:paraId="6335583A" w14:textId="0456B58F" w:rsidR="004F0B1C" w:rsidRDefault="0065178D" w:rsidP="004F0B1C">
      <w:pPr>
        <w:spacing w:before="240" w:after="240" w:line="360" w:lineRule="auto"/>
        <w:jc w:val="both"/>
        <w:rPr>
          <w:rFonts w:ascii="Palatino Linotype" w:hAnsi="Palatino Linotype"/>
        </w:rPr>
      </w:pPr>
      <w:r>
        <w:rPr>
          <w:rFonts w:ascii="Palatino Linotype" w:hAnsi="Palatino Linotype"/>
        </w:rPr>
        <w:t>Bajo dicho contexto</w:t>
      </w:r>
      <w:r w:rsidR="004F0B1C">
        <w:rPr>
          <w:rFonts w:ascii="Palatino Linotype" w:hAnsi="Palatino Linotype"/>
        </w:rPr>
        <w:t>, las entidades federativas, los municipios, y en su caso las demarcaciones territoriales del Distrito Federal, tienen la obligación de incluir en sus respectivas leyes de ingresos y  presupuesto de egreso anual, u ordenamientos equivalentes, la información concerniente al municipio.</w:t>
      </w:r>
    </w:p>
    <w:p w14:paraId="1086987E" w14:textId="77777777" w:rsidR="004F0B1C" w:rsidRDefault="004F0B1C" w:rsidP="004F0B1C">
      <w:pPr>
        <w:spacing w:before="240" w:after="240" w:line="360" w:lineRule="auto"/>
        <w:jc w:val="both"/>
        <w:rPr>
          <w:rFonts w:ascii="Palatino Linotype" w:hAnsi="Palatino Linotype"/>
        </w:rPr>
      </w:pPr>
      <w:r>
        <w:rPr>
          <w:rFonts w:ascii="Palatino Linotype" w:hAnsi="Palatino Linotype"/>
        </w:rPr>
        <w:t xml:space="preserve">Así mismo, del citado ordenamiento se desprende, que por cuanto hace al presupuesto de egresos debe incluir lo relativo a los servicios personales, incluyendo el analítico de plazas y desglosando todas las remuneraciones por concepto de contrataciones de </w:t>
      </w:r>
      <w:r w:rsidRPr="00EB5BD5">
        <w:rPr>
          <w:rFonts w:ascii="Palatino Linotype" w:hAnsi="Palatino Linotype"/>
          <w:b/>
        </w:rPr>
        <w:t>servicios por honorarios</w:t>
      </w:r>
      <w:r>
        <w:rPr>
          <w:rFonts w:ascii="Palatino Linotype" w:hAnsi="Palatino Linotype"/>
        </w:rPr>
        <w:t>, y en su caso previsiones para personal eventual.</w:t>
      </w:r>
    </w:p>
    <w:p w14:paraId="1694D113" w14:textId="771FF945" w:rsidR="004F0B1C" w:rsidRDefault="004F0B1C" w:rsidP="004F0B1C">
      <w:pPr>
        <w:spacing w:before="240" w:after="240" w:line="360" w:lineRule="auto"/>
        <w:jc w:val="both"/>
        <w:rPr>
          <w:rFonts w:ascii="Palatino Linotype" w:hAnsi="Palatino Linotype"/>
        </w:rPr>
      </w:pPr>
      <w:r>
        <w:rPr>
          <w:rFonts w:ascii="Palatino Linotype" w:hAnsi="Palatino Linotype"/>
        </w:rPr>
        <w:t>Acogiendo lo dispuesto por el Marco Federal</w:t>
      </w:r>
      <w:r w:rsidR="0065178D">
        <w:rPr>
          <w:rFonts w:ascii="Palatino Linotype" w:hAnsi="Palatino Linotype"/>
        </w:rPr>
        <w:t>,</w:t>
      </w:r>
      <w:r>
        <w:rPr>
          <w:rFonts w:ascii="Palatino Linotype" w:hAnsi="Palatino Linotype"/>
        </w:rPr>
        <w:t xml:space="preserve"> el Manual para la Planeación, Programación y Presupuesto Municipal para el ejercicio fiscal 201</w:t>
      </w:r>
      <w:r w:rsidR="0065178D">
        <w:rPr>
          <w:rFonts w:ascii="Palatino Linotype" w:hAnsi="Palatino Linotype"/>
        </w:rPr>
        <w:t>8</w:t>
      </w:r>
      <w:r>
        <w:rPr>
          <w:rFonts w:ascii="Palatino Linotype" w:hAnsi="Palatino Linotype"/>
        </w:rPr>
        <w:t>, señala que el Clasificador por Objeto del Gasto se diseñó realizando una desagregación que permite que las cuentas faciliten el registro único de todas las transacciones con incidencia económica-financiera, de acuerdo a la siguiente estructura:</w:t>
      </w:r>
    </w:p>
    <w:p w14:paraId="46F90C8C" w14:textId="77777777" w:rsidR="004F0B1C" w:rsidRDefault="004F0B1C" w:rsidP="0065178D">
      <w:pPr>
        <w:spacing w:before="240" w:after="240" w:line="360" w:lineRule="auto"/>
        <w:ind w:left="708" w:hanging="708"/>
        <w:jc w:val="both"/>
        <w:rPr>
          <w:rFonts w:ascii="Palatino Linotype" w:hAnsi="Palatino Linotype"/>
        </w:rPr>
      </w:pPr>
      <w:r>
        <w:rPr>
          <w:rFonts w:ascii="Palatino Linotype" w:hAnsi="Palatino Linotype"/>
          <w:noProof/>
          <w:lang w:val="es-MX" w:eastAsia="es-MX"/>
        </w:rPr>
        <w:lastRenderedPageBreak/>
        <w:drawing>
          <wp:inline distT="0" distB="0" distL="0" distR="0" wp14:anchorId="7B867DF5" wp14:editId="719B07ED">
            <wp:extent cx="5610860" cy="3248025"/>
            <wp:effectExtent l="0" t="0" r="889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860" cy="3248025"/>
                    </a:xfrm>
                    <a:prstGeom prst="rect">
                      <a:avLst/>
                    </a:prstGeom>
                    <a:noFill/>
                    <a:ln>
                      <a:noFill/>
                    </a:ln>
                  </pic:spPr>
                </pic:pic>
              </a:graphicData>
            </a:graphic>
          </wp:inline>
        </w:drawing>
      </w:r>
    </w:p>
    <w:p w14:paraId="5B633831" w14:textId="51EA1624" w:rsidR="004F0B1C" w:rsidRDefault="004F0B1C" w:rsidP="004F0B1C">
      <w:pPr>
        <w:spacing w:before="240" w:after="240" w:line="360" w:lineRule="auto"/>
        <w:jc w:val="both"/>
        <w:rPr>
          <w:rFonts w:ascii="Palatino Linotype" w:hAnsi="Palatino Linotype"/>
        </w:rPr>
      </w:pPr>
      <w:r>
        <w:rPr>
          <w:rFonts w:ascii="Palatino Linotype" w:hAnsi="Palatino Linotype"/>
        </w:rPr>
        <w:t>De lo anterior, resulta necesario destacar</w:t>
      </w:r>
      <w:r w:rsidR="0065178D">
        <w:rPr>
          <w:rFonts w:ascii="Palatino Linotype" w:hAnsi="Palatino Linotype"/>
        </w:rPr>
        <w:t>,</w:t>
      </w:r>
      <w:r>
        <w:rPr>
          <w:rFonts w:ascii="Palatino Linotype" w:hAnsi="Palatino Linotype"/>
        </w:rPr>
        <w:t xml:space="preserve"> que el Capítulo 1000</w:t>
      </w:r>
      <w:r w:rsidR="0065178D">
        <w:rPr>
          <w:rFonts w:ascii="Palatino Linotype" w:hAnsi="Palatino Linotype"/>
        </w:rPr>
        <w:t>,</w:t>
      </w:r>
      <w:r>
        <w:rPr>
          <w:rFonts w:ascii="Palatino Linotype" w:hAnsi="Palatino Linotype"/>
        </w:rPr>
        <w:t xml:space="preserve"> agrupa las remuneraciones del personal al servicio de los entes públicos, tales como sueldos, salarios, dietas, </w:t>
      </w:r>
      <w:r w:rsidRPr="006D3F2C">
        <w:rPr>
          <w:rFonts w:ascii="Palatino Linotype" w:hAnsi="Palatino Linotype"/>
          <w:b/>
        </w:rPr>
        <w:t>honorarios asimilables a salarios</w:t>
      </w:r>
      <w:r>
        <w:rPr>
          <w:rFonts w:ascii="Palatino Linotype" w:hAnsi="Palatino Linotype"/>
        </w:rPr>
        <w:t>, prestación y gastos de seguridad social, obligaciones laborales y otras prestaciones derivadas de una relación laboral, pudiendo ser de manera permanente o transitorio.</w:t>
      </w:r>
    </w:p>
    <w:p w14:paraId="086F87C5" w14:textId="49C550B0" w:rsidR="004F0B1C" w:rsidRPr="00735B0D" w:rsidRDefault="004F0B1C" w:rsidP="004F0B1C">
      <w:pPr>
        <w:spacing w:before="240" w:after="240" w:line="360" w:lineRule="auto"/>
        <w:jc w:val="both"/>
        <w:rPr>
          <w:rFonts w:ascii="Palatino Linotype" w:hAnsi="Palatino Linotype"/>
        </w:rPr>
      </w:pPr>
      <w:r>
        <w:rPr>
          <w:rFonts w:ascii="Palatino Linotype" w:hAnsi="Palatino Linotype"/>
        </w:rPr>
        <w:t xml:space="preserve">Aunado a todo lo anterior, los Lineamientos para la </w:t>
      </w:r>
      <w:r w:rsidR="0060364C">
        <w:rPr>
          <w:rFonts w:ascii="Palatino Linotype" w:hAnsi="Palatino Linotype"/>
        </w:rPr>
        <w:t>Elaboración y Presentación</w:t>
      </w:r>
      <w:r>
        <w:rPr>
          <w:rFonts w:ascii="Palatino Linotype" w:hAnsi="Palatino Linotype"/>
        </w:rPr>
        <w:t xml:space="preserve"> del Informe</w:t>
      </w:r>
      <w:r w:rsidRPr="00735B0D">
        <w:rPr>
          <w:rFonts w:ascii="Palatino Linotype" w:hAnsi="Palatino Linotype"/>
        </w:rPr>
        <w:t xml:space="preserve"> Mensual 201</w:t>
      </w:r>
      <w:r w:rsidR="0060364C">
        <w:rPr>
          <w:rFonts w:ascii="Palatino Linotype" w:hAnsi="Palatino Linotype"/>
        </w:rPr>
        <w:t>8</w:t>
      </w:r>
      <w:r w:rsidRPr="00735B0D">
        <w:rPr>
          <w:rFonts w:ascii="Palatino Linotype" w:hAnsi="Palatino Linotype"/>
        </w:rPr>
        <w:t xml:space="preserve">, contiene los formatos e información que debe ser proporcionada para la integración de los informes mensuales que se entregan a </w:t>
      </w:r>
      <w:r>
        <w:rPr>
          <w:rFonts w:ascii="Palatino Linotype" w:hAnsi="Palatino Linotype"/>
        </w:rPr>
        <w:t>é</w:t>
      </w:r>
      <w:r w:rsidRPr="00735B0D">
        <w:rPr>
          <w:rFonts w:ascii="Palatino Linotype" w:hAnsi="Palatino Linotype"/>
        </w:rPr>
        <w:t>ste, siendo uno de ellos la información relativa a los “</w:t>
      </w:r>
      <w:r>
        <w:rPr>
          <w:rFonts w:ascii="Palatino Linotype" w:hAnsi="Palatino Linotype"/>
        </w:rPr>
        <w:t>c</w:t>
      </w:r>
      <w:r w:rsidRPr="00735B0D">
        <w:rPr>
          <w:rFonts w:ascii="Palatino Linotype" w:hAnsi="Palatino Linotype"/>
        </w:rPr>
        <w:t xml:space="preserve">omprobantes fiscales digitales por internet por concepto de honorarios” </w:t>
      </w:r>
      <w:r>
        <w:rPr>
          <w:rFonts w:ascii="Palatino Linotype" w:hAnsi="Palatino Linotype"/>
        </w:rPr>
        <w:t>que</w:t>
      </w:r>
      <w:r w:rsidRPr="00735B0D">
        <w:rPr>
          <w:rFonts w:ascii="Palatino Linotype" w:hAnsi="Palatino Linotype"/>
        </w:rPr>
        <w:t xml:space="preserve"> </w:t>
      </w:r>
      <w:r>
        <w:rPr>
          <w:rFonts w:ascii="Palatino Linotype" w:hAnsi="Palatino Linotype"/>
        </w:rPr>
        <w:t xml:space="preserve">tienen </w:t>
      </w:r>
      <w:r w:rsidRPr="00735B0D">
        <w:rPr>
          <w:rFonts w:ascii="Palatino Linotype" w:hAnsi="Palatino Linotype"/>
        </w:rPr>
        <w:t xml:space="preserve">como objetivo </w:t>
      </w:r>
      <w:r>
        <w:rPr>
          <w:rFonts w:ascii="Palatino Linotype" w:hAnsi="Palatino Linotype"/>
        </w:rPr>
        <w:t xml:space="preserve">que se </w:t>
      </w:r>
      <w:r w:rsidRPr="00735B0D">
        <w:rPr>
          <w:rFonts w:ascii="Palatino Linotype" w:hAnsi="Palatino Linotype"/>
        </w:rPr>
        <w:t>p</w:t>
      </w:r>
      <w:r>
        <w:rPr>
          <w:rFonts w:ascii="Palatino Linotype" w:hAnsi="Palatino Linotype"/>
        </w:rPr>
        <w:t>resente información del pago d</w:t>
      </w:r>
      <w:r w:rsidRPr="00735B0D">
        <w:rPr>
          <w:rFonts w:ascii="Palatino Linotype" w:hAnsi="Palatino Linotype"/>
        </w:rPr>
        <w:t>e</w:t>
      </w:r>
      <w:r>
        <w:rPr>
          <w:rFonts w:ascii="Palatino Linotype" w:hAnsi="Palatino Linotype"/>
        </w:rPr>
        <w:t xml:space="preserve"> </w:t>
      </w:r>
      <w:r w:rsidRPr="00735B0D">
        <w:rPr>
          <w:rFonts w:ascii="Palatino Linotype" w:hAnsi="Palatino Linotype"/>
        </w:rPr>
        <w:t xml:space="preserve">las remuneraciones de los servicios profesionales por </w:t>
      </w:r>
      <w:r w:rsidRPr="00735B0D">
        <w:rPr>
          <w:rFonts w:ascii="Palatino Linotype" w:hAnsi="Palatino Linotype"/>
        </w:rPr>
        <w:lastRenderedPageBreak/>
        <w:t xml:space="preserve">honorarios de la entidad fiscalizable de que se trate, correspondiente a un periodo determinado, de tal manera que dicho formato constituye un soporte documental de que la información solicitada por el hoy </w:t>
      </w:r>
      <w:r w:rsidRPr="00735B0D">
        <w:rPr>
          <w:rFonts w:ascii="Palatino Linotype" w:hAnsi="Palatino Linotype"/>
          <w:b/>
          <w:i/>
        </w:rPr>
        <w:t xml:space="preserve">Recurrente </w:t>
      </w:r>
      <w:r w:rsidRPr="00735B0D">
        <w:rPr>
          <w:rFonts w:ascii="Palatino Linotype" w:hAnsi="Palatino Linotype"/>
        </w:rPr>
        <w:t xml:space="preserve"> obra en los archivos del </w:t>
      </w:r>
      <w:r w:rsidRPr="00735B0D">
        <w:rPr>
          <w:rFonts w:ascii="Palatino Linotype" w:hAnsi="Palatino Linotype"/>
          <w:b/>
        </w:rPr>
        <w:t xml:space="preserve">Sujeto Obligado, </w:t>
      </w:r>
      <w:r w:rsidRPr="00735B0D">
        <w:rPr>
          <w:rFonts w:ascii="Palatino Linotype" w:hAnsi="Palatino Linotype"/>
        </w:rPr>
        <w:t xml:space="preserve"> como se advierte a continuación:</w:t>
      </w:r>
    </w:p>
    <w:p w14:paraId="39B84D7C" w14:textId="5629C17A" w:rsidR="004F0B1C" w:rsidRPr="00735B0D" w:rsidRDefault="0060364C" w:rsidP="004F0B1C">
      <w:pPr>
        <w:spacing w:before="240" w:after="240" w:line="360" w:lineRule="auto"/>
        <w:jc w:val="both"/>
        <w:rPr>
          <w:rFonts w:ascii="Palatino Linotype" w:hAnsi="Palatino Linotype"/>
        </w:rPr>
      </w:pPr>
      <w:r w:rsidRPr="0060364C">
        <w:rPr>
          <w:rFonts w:ascii="Palatino Linotype" w:hAnsi="Palatino Linotype"/>
          <w:noProof/>
          <w:lang w:val="es-MX" w:eastAsia="es-MX"/>
        </w:rPr>
        <w:drawing>
          <wp:inline distT="0" distB="0" distL="0" distR="0" wp14:anchorId="1AF05424" wp14:editId="596CED7D">
            <wp:extent cx="5612130" cy="217360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173605"/>
                    </a:xfrm>
                    <a:prstGeom prst="rect">
                      <a:avLst/>
                    </a:prstGeom>
                  </pic:spPr>
                </pic:pic>
              </a:graphicData>
            </a:graphic>
          </wp:inline>
        </w:drawing>
      </w:r>
    </w:p>
    <w:p w14:paraId="6E815B5F" w14:textId="77777777" w:rsidR="004F0B1C" w:rsidRDefault="004F0B1C" w:rsidP="004F0B1C">
      <w:pPr>
        <w:spacing w:before="240" w:after="240" w:line="360" w:lineRule="auto"/>
        <w:jc w:val="both"/>
        <w:rPr>
          <w:rFonts w:ascii="Palatino Linotype" w:hAnsi="Palatino Linotype"/>
        </w:rPr>
      </w:pPr>
      <w:r>
        <w:rPr>
          <w:rFonts w:ascii="Palatino Linotype" w:hAnsi="Palatino Linotype"/>
        </w:rPr>
        <w:t>Por su parte, los Lineamientos de Control Financiero y Administrativo para las Entidades Fiscalizables Municipales del Estado de México, emitidos por el Órgano Superior de Fiscalización del Estado de México, en su numeral Vigésimo Séptimo señala:</w:t>
      </w:r>
    </w:p>
    <w:p w14:paraId="739B36BB" w14:textId="77777777" w:rsidR="004F0B1C" w:rsidRPr="00B33C2F" w:rsidRDefault="004F0B1C" w:rsidP="004F0B1C">
      <w:pPr>
        <w:spacing w:before="240" w:after="240"/>
        <w:ind w:left="851" w:right="902"/>
        <w:jc w:val="both"/>
        <w:rPr>
          <w:rFonts w:ascii="Palatino Linotype" w:hAnsi="Palatino Linotype"/>
          <w:i/>
          <w:sz w:val="20"/>
          <w:szCs w:val="20"/>
        </w:rPr>
      </w:pPr>
      <w:r w:rsidRPr="00B33C2F">
        <w:rPr>
          <w:rFonts w:ascii="Palatino Linotype" w:hAnsi="Palatino Linotype"/>
          <w:i/>
          <w:sz w:val="20"/>
          <w:szCs w:val="20"/>
        </w:rPr>
        <w:t>“</w:t>
      </w:r>
      <w:r w:rsidRPr="001C304B">
        <w:rPr>
          <w:rFonts w:ascii="Palatino Linotype" w:hAnsi="Palatino Linotype"/>
          <w:b/>
          <w:i/>
          <w:sz w:val="20"/>
        </w:rPr>
        <w:t>VIGÉSIMO SÉPTIMO</w:t>
      </w:r>
      <w:r w:rsidRPr="001C304B">
        <w:rPr>
          <w:rFonts w:ascii="Palatino Linotype" w:hAnsi="Palatino Linotype"/>
          <w:i/>
          <w:sz w:val="20"/>
        </w:rPr>
        <w:t xml:space="preserve">: El tesorero deberá requerir de la autorización escrita del </w:t>
      </w:r>
      <w:r w:rsidRPr="004053FB">
        <w:rPr>
          <w:rFonts w:ascii="Palatino Linotype" w:hAnsi="Palatino Linotype"/>
          <w:b/>
          <w:i/>
          <w:sz w:val="20"/>
          <w:u w:val="single"/>
        </w:rPr>
        <w:t>titular de la unidad ejecutora</w:t>
      </w:r>
      <w:r w:rsidRPr="001C304B">
        <w:rPr>
          <w:rFonts w:ascii="Palatino Linotype" w:hAnsi="Palatino Linotype"/>
          <w:i/>
          <w:sz w:val="20"/>
        </w:rPr>
        <w:t xml:space="preserve"> para las contrataciones por servicios de honorarios, adjuntando la justificación de que no se cuenta con personal capacitado o disponible para realizar adecuadamente las funciones encomendadas, debiendo integrar un </w:t>
      </w:r>
      <w:r w:rsidRPr="004053FB">
        <w:rPr>
          <w:rFonts w:ascii="Palatino Linotype" w:hAnsi="Palatino Linotype"/>
          <w:b/>
          <w:i/>
          <w:sz w:val="20"/>
          <w:u w:val="single"/>
        </w:rPr>
        <w:t>expediente mensual</w:t>
      </w:r>
      <w:r w:rsidRPr="001C304B">
        <w:rPr>
          <w:rFonts w:ascii="Palatino Linotype" w:hAnsi="Palatino Linotype"/>
          <w:i/>
          <w:sz w:val="20"/>
        </w:rPr>
        <w:t xml:space="preserve"> por cada uno, que contenga la </w:t>
      </w:r>
      <w:r w:rsidRPr="004053FB">
        <w:rPr>
          <w:rFonts w:ascii="Palatino Linotype" w:hAnsi="Palatino Linotype"/>
          <w:b/>
          <w:i/>
          <w:sz w:val="20"/>
          <w:u w:val="single"/>
        </w:rPr>
        <w:t>evidencia documental comprobatoria</w:t>
      </w:r>
      <w:r w:rsidRPr="001C304B">
        <w:rPr>
          <w:rFonts w:ascii="Palatino Linotype" w:hAnsi="Palatino Linotype"/>
          <w:i/>
          <w:sz w:val="20"/>
        </w:rPr>
        <w:t xml:space="preserve">; así como los </w:t>
      </w:r>
      <w:r w:rsidRPr="004053FB">
        <w:rPr>
          <w:rFonts w:ascii="Palatino Linotype" w:hAnsi="Palatino Linotype"/>
          <w:b/>
          <w:i/>
          <w:sz w:val="20"/>
          <w:u w:val="single"/>
        </w:rPr>
        <w:t>entregables de los servicios</w:t>
      </w:r>
      <w:r w:rsidRPr="001C304B">
        <w:rPr>
          <w:rFonts w:ascii="Palatino Linotype" w:hAnsi="Palatino Linotype"/>
          <w:i/>
          <w:sz w:val="20"/>
        </w:rPr>
        <w:t>, según contrato</w:t>
      </w:r>
      <w:r>
        <w:t>.</w:t>
      </w:r>
      <w:r w:rsidRPr="00B33C2F">
        <w:rPr>
          <w:rFonts w:ascii="Palatino Linotype" w:hAnsi="Palatino Linotype"/>
          <w:i/>
          <w:sz w:val="20"/>
          <w:szCs w:val="20"/>
        </w:rPr>
        <w:t>”</w:t>
      </w:r>
    </w:p>
    <w:p w14:paraId="248FA171" w14:textId="2DA426D1" w:rsidR="004F0B1C" w:rsidRDefault="004F0B1C" w:rsidP="004F0B1C">
      <w:pPr>
        <w:spacing w:before="240" w:after="240" w:line="360" w:lineRule="auto"/>
        <w:ind w:right="49"/>
        <w:jc w:val="both"/>
        <w:rPr>
          <w:rFonts w:ascii="Palatino Linotype" w:hAnsi="Palatino Linotype"/>
        </w:rPr>
      </w:pPr>
      <w:r>
        <w:rPr>
          <w:rFonts w:ascii="Palatino Linotype" w:hAnsi="Palatino Linotype"/>
        </w:rPr>
        <w:t xml:space="preserve">Ante lo expuesto, este Instituto advierte que el Tesorero Municipal deberá contar con un recibo fiscal por concepto de honorarios esto de acuerdo a los Lineamientos </w:t>
      </w:r>
      <w:r>
        <w:rPr>
          <w:rFonts w:ascii="Palatino Linotype" w:hAnsi="Palatino Linotype"/>
        </w:rPr>
        <w:lastRenderedPageBreak/>
        <w:t>para la Integración del Informe Mensual 201</w:t>
      </w:r>
      <w:r w:rsidR="005D43D1">
        <w:rPr>
          <w:rFonts w:ascii="Palatino Linotype" w:hAnsi="Palatino Linotype"/>
        </w:rPr>
        <w:t>8</w:t>
      </w:r>
      <w:r>
        <w:rPr>
          <w:rFonts w:ascii="Palatino Linotype" w:hAnsi="Palatino Linotype"/>
        </w:rPr>
        <w:t xml:space="preserve">; y cabe resaltar que los Lineamientos de Control Financiero y Administrativo señalan que para contratar servicios por honorarios el Tesorero deberá contar con la autorización por escrito de la unidad ejecutora, en el que se deberá justificar y sustentar que no se cuenta con personal capacitado para realizar las funciones encomendadas, soslayando que para tal efecto se debe </w:t>
      </w:r>
      <w:r w:rsidRPr="00800475">
        <w:rPr>
          <w:rFonts w:ascii="Palatino Linotype" w:hAnsi="Palatino Linotype"/>
          <w:b/>
        </w:rPr>
        <w:t>integrar un expediente mensual por cada uno de los prestadores de servicios profesionales</w:t>
      </w:r>
      <w:r>
        <w:rPr>
          <w:rFonts w:ascii="Palatino Linotype" w:hAnsi="Palatino Linotype"/>
        </w:rPr>
        <w:t xml:space="preserve"> por honorarios, el cual deberá contener la </w:t>
      </w:r>
      <w:r w:rsidRPr="00800475">
        <w:rPr>
          <w:rFonts w:ascii="Palatino Linotype" w:hAnsi="Palatino Linotype"/>
          <w:b/>
        </w:rPr>
        <w:t>evidencia documental comprobatoria</w:t>
      </w:r>
      <w:r>
        <w:rPr>
          <w:rFonts w:ascii="Palatino Linotype" w:hAnsi="Palatino Linotype"/>
        </w:rPr>
        <w:t xml:space="preserve">, así como los </w:t>
      </w:r>
      <w:r w:rsidRPr="00800475">
        <w:rPr>
          <w:rFonts w:ascii="Palatino Linotype" w:hAnsi="Palatino Linotype"/>
          <w:b/>
        </w:rPr>
        <w:t>entregables por la prestación de su servicio</w:t>
      </w:r>
      <w:r>
        <w:rPr>
          <w:rFonts w:ascii="Palatino Linotype" w:hAnsi="Palatino Linotype"/>
        </w:rPr>
        <w:t>.</w:t>
      </w:r>
    </w:p>
    <w:p w14:paraId="3531291E" w14:textId="77777777" w:rsidR="004F0B1C" w:rsidRDefault="004F0B1C" w:rsidP="004F0B1C">
      <w:pPr>
        <w:spacing w:before="240" w:after="240" w:line="360" w:lineRule="auto"/>
        <w:ind w:right="49"/>
        <w:jc w:val="both"/>
        <w:rPr>
          <w:rFonts w:ascii="Palatino Linotype" w:hAnsi="Palatino Linotype"/>
          <w:b/>
          <w:i/>
        </w:rPr>
      </w:pPr>
      <w:r>
        <w:rPr>
          <w:rFonts w:ascii="Palatino Linotype" w:hAnsi="Palatino Linotype"/>
        </w:rPr>
        <w:t xml:space="preserve">De lo anterior este Organismo Garante advierte que mediante el comprobante fiscal de servicios por honorarios y del expediente mensual el </w:t>
      </w:r>
      <w:r>
        <w:rPr>
          <w:rFonts w:ascii="Palatino Linotype" w:hAnsi="Palatino Linotype"/>
          <w:b/>
        </w:rPr>
        <w:t xml:space="preserve">Sujeto Obligado </w:t>
      </w:r>
      <w:r>
        <w:rPr>
          <w:rFonts w:ascii="Palatino Linotype" w:hAnsi="Palatino Linotype"/>
        </w:rPr>
        <w:t xml:space="preserve">puede atender la solicitud de información del particular </w:t>
      </w:r>
      <w:r>
        <w:rPr>
          <w:rFonts w:ascii="Palatino Linotype" w:hAnsi="Palatino Linotype"/>
          <w:b/>
          <w:i/>
        </w:rPr>
        <w:t>Recurrente.</w:t>
      </w:r>
    </w:p>
    <w:p w14:paraId="3A033F29" w14:textId="11C74BFC" w:rsidR="004F0B1C" w:rsidRDefault="004F0B1C" w:rsidP="004F0B1C">
      <w:pPr>
        <w:spacing w:before="240" w:after="240" w:line="360" w:lineRule="auto"/>
        <w:ind w:right="49"/>
        <w:jc w:val="both"/>
        <w:rPr>
          <w:rFonts w:ascii="Palatino Linotype" w:hAnsi="Palatino Linotype"/>
        </w:rPr>
      </w:pPr>
      <w:r>
        <w:rPr>
          <w:rFonts w:ascii="Palatino Linotype" w:hAnsi="Palatino Linotype"/>
        </w:rPr>
        <w:t xml:space="preserve">En </w:t>
      </w:r>
      <w:r w:rsidR="00707C29">
        <w:rPr>
          <w:rFonts w:ascii="Palatino Linotype" w:hAnsi="Palatino Linotype"/>
        </w:rPr>
        <w:t xml:space="preserve">términos generales de </w:t>
      </w:r>
      <w:r>
        <w:rPr>
          <w:rFonts w:ascii="Palatino Linotype" w:hAnsi="Palatino Linotype"/>
        </w:rPr>
        <w:t xml:space="preserve">lo expuesto, se concluye que la naturaleza de la información solicitada es de interés general y de alcance público, puesto que la ciudadanía tiene el derecho de conocer la </w:t>
      </w:r>
      <w:r w:rsidR="00707C29">
        <w:rPr>
          <w:rFonts w:ascii="Palatino Linotype" w:hAnsi="Palatino Linotype"/>
        </w:rPr>
        <w:t xml:space="preserve">nómina, lista de raya y </w:t>
      </w:r>
      <w:r>
        <w:rPr>
          <w:rFonts w:ascii="Palatino Linotype" w:hAnsi="Palatino Linotype"/>
        </w:rPr>
        <w:t xml:space="preserve">relación de personal contratada por honorarios asimilados a salarios, toda vez que su acceso permite transparentar la aplicación de los recursos públicos que son otorgados para el cumplimiento de sus funciones conforme a lo dispuesto por el artículo 23 de la Ley de Transparencia y Acceso a la Información Pública del Estado de México y Municipios, que establece como deber de los Sujetos Obligados el hacer publica toda la información respecto a los montos y nombres de las personas a quienes se </w:t>
      </w:r>
      <w:r>
        <w:rPr>
          <w:rFonts w:ascii="Palatino Linotype" w:hAnsi="Palatino Linotype"/>
        </w:rPr>
        <w:lastRenderedPageBreak/>
        <w:t>entreguen recursos públicos y con ello transparentar la forma, términos, causas y finalidad en la disposición de esos recursos; ya que este precepto legal establece:</w:t>
      </w:r>
    </w:p>
    <w:p w14:paraId="299AEAE0" w14:textId="77777777" w:rsidR="004F0B1C" w:rsidRPr="00BE3B2F" w:rsidRDefault="004F0B1C" w:rsidP="00707C29">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Bold"/>
          <w:b/>
          <w:bCs/>
          <w:i/>
          <w:sz w:val="20"/>
          <w:szCs w:val="20"/>
          <w:lang w:val="es-MX"/>
        </w:rPr>
        <w:t>“</w:t>
      </w:r>
      <w:r w:rsidRPr="00BE3B2F">
        <w:rPr>
          <w:rFonts w:ascii="Palatino Linotype" w:eastAsiaTheme="minorEastAsia" w:hAnsi="Palatino Linotype" w:cs="Bookman Old Style,Bold"/>
          <w:b/>
          <w:bCs/>
          <w:i/>
          <w:sz w:val="20"/>
          <w:szCs w:val="20"/>
          <w:lang w:val="es-MX"/>
        </w:rPr>
        <w:t xml:space="preserve">Artículo 23. </w:t>
      </w:r>
      <w:r w:rsidRPr="00BE3B2F">
        <w:rPr>
          <w:rFonts w:ascii="Palatino Linotype" w:eastAsiaTheme="minorEastAsia" w:hAnsi="Palatino Linotype" w:cs="Bookman Old Style"/>
          <w:i/>
          <w:sz w:val="20"/>
          <w:szCs w:val="20"/>
          <w:lang w:val="es-MX"/>
        </w:rPr>
        <w:t>Son sujetos obligados a transparentar y permitir el acceso a su información y proteger los</w:t>
      </w:r>
      <w:r>
        <w:rPr>
          <w:rFonts w:ascii="Palatino Linotype" w:eastAsiaTheme="minorEastAsia" w:hAnsi="Palatino Linotype" w:cs="Bookman Old Style"/>
          <w:i/>
          <w:sz w:val="20"/>
          <w:szCs w:val="20"/>
          <w:lang w:val="es-MX"/>
        </w:rPr>
        <w:t xml:space="preserve"> </w:t>
      </w:r>
      <w:r w:rsidRPr="00BE3B2F">
        <w:rPr>
          <w:rFonts w:ascii="Palatino Linotype" w:eastAsiaTheme="minorEastAsia" w:hAnsi="Palatino Linotype" w:cs="Bookman Old Style"/>
          <w:i/>
          <w:sz w:val="20"/>
          <w:szCs w:val="20"/>
          <w:lang w:val="es-MX"/>
        </w:rPr>
        <w:t>datos personales que obren en su poder:</w:t>
      </w:r>
    </w:p>
    <w:p w14:paraId="37316B31" w14:textId="77777777" w:rsidR="004F0B1C" w:rsidRPr="00BE3B2F" w:rsidRDefault="004F0B1C" w:rsidP="00707C29">
      <w:pPr>
        <w:spacing w:after="120"/>
        <w:ind w:left="851" w:right="902"/>
        <w:jc w:val="both"/>
        <w:rPr>
          <w:rFonts w:ascii="Palatino Linotype" w:eastAsiaTheme="minorEastAsia" w:hAnsi="Palatino Linotype" w:cs="Bookman Old Style"/>
          <w:i/>
          <w:sz w:val="20"/>
          <w:szCs w:val="20"/>
          <w:lang w:val="es-MX"/>
        </w:rPr>
      </w:pPr>
      <w:r w:rsidRPr="00BE3B2F">
        <w:rPr>
          <w:rFonts w:ascii="Palatino Linotype" w:eastAsiaTheme="minorEastAsia" w:hAnsi="Palatino Linotype" w:cs="Bookman Old Style"/>
          <w:i/>
          <w:sz w:val="20"/>
          <w:szCs w:val="20"/>
          <w:lang w:val="es-MX"/>
        </w:rPr>
        <w:t>(…)</w:t>
      </w:r>
    </w:p>
    <w:p w14:paraId="7DEA0C24" w14:textId="77777777" w:rsidR="004F0B1C" w:rsidRPr="00BE3B2F" w:rsidRDefault="004F0B1C" w:rsidP="00707C29">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BE3B2F">
        <w:rPr>
          <w:rFonts w:ascii="Palatino Linotype" w:eastAsiaTheme="minorEastAsia" w:hAnsi="Palatino Linotype" w:cs="Bookman Old Style"/>
          <w:i/>
          <w:sz w:val="20"/>
          <w:szCs w:val="20"/>
          <w:lang w:val="es-MX"/>
        </w:rPr>
        <w:t>Los sujetos obligados deberán hacer pública toda aquella información relativa a los montos y las</w:t>
      </w:r>
      <w:r>
        <w:rPr>
          <w:rFonts w:ascii="Palatino Linotype" w:eastAsiaTheme="minorEastAsia" w:hAnsi="Palatino Linotype" w:cs="Bookman Old Style"/>
          <w:i/>
          <w:sz w:val="20"/>
          <w:szCs w:val="20"/>
          <w:lang w:val="es-MX"/>
        </w:rPr>
        <w:t xml:space="preserve"> </w:t>
      </w:r>
      <w:r w:rsidRPr="00BE3B2F">
        <w:rPr>
          <w:rFonts w:ascii="Palatino Linotype" w:eastAsiaTheme="minorEastAsia" w:hAnsi="Palatino Linotype" w:cs="Bookman Old Style"/>
          <w:i/>
          <w:sz w:val="20"/>
          <w:szCs w:val="20"/>
          <w:lang w:val="es-MX"/>
        </w:rPr>
        <w:t>personas a quienes entreguen, por cualquier motivo, recursos públicos, así como los informes que</w:t>
      </w:r>
      <w:r>
        <w:rPr>
          <w:rFonts w:ascii="Palatino Linotype" w:eastAsiaTheme="minorEastAsia" w:hAnsi="Palatino Linotype" w:cs="Bookman Old Style"/>
          <w:i/>
          <w:sz w:val="20"/>
          <w:szCs w:val="20"/>
          <w:lang w:val="es-MX"/>
        </w:rPr>
        <w:t xml:space="preserve"> </w:t>
      </w:r>
      <w:r w:rsidRPr="00BE3B2F">
        <w:rPr>
          <w:rFonts w:ascii="Palatino Linotype" w:eastAsiaTheme="minorEastAsia" w:hAnsi="Palatino Linotype" w:cs="Bookman Old Style"/>
          <w:i/>
          <w:sz w:val="20"/>
          <w:szCs w:val="20"/>
          <w:lang w:val="es-MX"/>
        </w:rPr>
        <w:t>dichas personas les entreguen sobre el uso y destino de dichos recursos.</w:t>
      </w:r>
    </w:p>
    <w:p w14:paraId="16E0BD03" w14:textId="77777777" w:rsidR="004F0B1C" w:rsidRPr="00BE3B2F" w:rsidRDefault="004F0B1C" w:rsidP="00707C29">
      <w:pPr>
        <w:autoSpaceDE w:val="0"/>
        <w:autoSpaceDN w:val="0"/>
        <w:adjustRightInd w:val="0"/>
        <w:spacing w:after="120"/>
        <w:ind w:left="851" w:right="902"/>
        <w:jc w:val="both"/>
        <w:rPr>
          <w:rFonts w:ascii="Palatino Linotype" w:hAnsi="Palatino Linotype"/>
          <w:i/>
        </w:rPr>
      </w:pPr>
      <w:r w:rsidRPr="00BE3B2F">
        <w:rPr>
          <w:rFonts w:ascii="Palatino Linotype" w:eastAsiaTheme="minorEastAsia" w:hAnsi="Palatino Linotype" w:cs="Bookman Old Style"/>
          <w:i/>
          <w:sz w:val="20"/>
          <w:szCs w:val="20"/>
          <w:lang w:val="es-MX"/>
        </w:rPr>
        <w:t>Los servidores públicos deberán transparentar sus acciones así como garantizar y respetar el derecho</w:t>
      </w:r>
      <w:r>
        <w:rPr>
          <w:rFonts w:ascii="Palatino Linotype" w:eastAsiaTheme="minorEastAsia" w:hAnsi="Palatino Linotype" w:cs="Bookman Old Style"/>
          <w:i/>
          <w:sz w:val="20"/>
          <w:szCs w:val="20"/>
          <w:lang w:val="es-MX"/>
        </w:rPr>
        <w:t xml:space="preserve"> </w:t>
      </w:r>
      <w:r w:rsidRPr="00BE3B2F">
        <w:rPr>
          <w:rFonts w:ascii="Palatino Linotype" w:eastAsiaTheme="minorEastAsia" w:hAnsi="Palatino Linotype" w:cs="Bookman Old Style"/>
          <w:i/>
          <w:sz w:val="20"/>
          <w:szCs w:val="20"/>
          <w:lang w:val="es-MX"/>
        </w:rPr>
        <w:t>de acceso a la información pública.</w:t>
      </w:r>
      <w:r>
        <w:rPr>
          <w:rFonts w:ascii="Palatino Linotype" w:eastAsiaTheme="minorEastAsia" w:hAnsi="Palatino Linotype" w:cs="Bookman Old Style"/>
          <w:i/>
          <w:sz w:val="20"/>
          <w:szCs w:val="20"/>
          <w:lang w:val="es-MX"/>
        </w:rPr>
        <w:t>”</w:t>
      </w:r>
    </w:p>
    <w:p w14:paraId="0F559D3B" w14:textId="4E40FD8E" w:rsidR="004F0B1C" w:rsidRDefault="004F0B1C" w:rsidP="004F0B1C">
      <w:pPr>
        <w:spacing w:before="240" w:after="240" w:line="360" w:lineRule="auto"/>
        <w:jc w:val="both"/>
        <w:rPr>
          <w:rFonts w:ascii="Palatino Linotype" w:hAnsi="Palatino Linotype"/>
        </w:rPr>
      </w:pPr>
      <w:r>
        <w:rPr>
          <w:rFonts w:ascii="Palatino Linotype" w:hAnsi="Palatino Linotype"/>
        </w:rPr>
        <w:t xml:space="preserve">En este sentido, </w:t>
      </w:r>
      <w:r w:rsidR="00707C29">
        <w:rPr>
          <w:rFonts w:ascii="Palatino Linotype" w:hAnsi="Palatino Linotype"/>
        </w:rPr>
        <w:t xml:space="preserve">en términos de </w:t>
      </w:r>
      <w:r>
        <w:rPr>
          <w:rFonts w:ascii="Palatino Linotype" w:hAnsi="Palatino Linotype"/>
        </w:rPr>
        <w:t>lo dispuesto por los artículos 4 fracciones XI y XXII, 4 y 12 de la Ley en la Materia</w:t>
      </w:r>
      <w:r w:rsidR="00707C29">
        <w:rPr>
          <w:rStyle w:val="Refdenotaalpie"/>
          <w:rFonts w:ascii="Palatino Linotype" w:hAnsi="Palatino Linotype"/>
        </w:rPr>
        <w:footnoteReference w:id="11"/>
      </w:r>
      <w:r>
        <w:rPr>
          <w:rFonts w:ascii="Palatino Linotype" w:hAnsi="Palatino Linotype"/>
        </w:rPr>
        <w:t>,</w:t>
      </w:r>
      <w:r w:rsidR="00707C29">
        <w:rPr>
          <w:rFonts w:ascii="Palatino Linotype" w:hAnsi="Palatino Linotype"/>
        </w:rPr>
        <w:t xml:space="preserve"> el </w:t>
      </w:r>
      <w:r w:rsidR="00707C29">
        <w:rPr>
          <w:rFonts w:ascii="Palatino Linotype" w:hAnsi="Palatino Linotype"/>
          <w:b/>
        </w:rPr>
        <w:t xml:space="preserve">Sujeto Obligado </w:t>
      </w:r>
      <w:r w:rsidR="00707C29">
        <w:rPr>
          <w:rFonts w:ascii="Palatino Linotype" w:hAnsi="Palatino Linotype"/>
        </w:rPr>
        <w:t>deberá otorgar acceso a los documentos que género, posee y administra en el ejercicio de las funciones que tienen encomendadas, por tratarse de información pública, s</w:t>
      </w:r>
      <w:r>
        <w:rPr>
          <w:rFonts w:ascii="Palatino Linotype" w:hAnsi="Palatino Linotype"/>
        </w:rPr>
        <w:t xml:space="preserve">iendo aplicable el </w:t>
      </w:r>
      <w:r>
        <w:rPr>
          <w:rFonts w:ascii="Palatino Linotype" w:hAnsi="Palatino Linotype"/>
        </w:rPr>
        <w:lastRenderedPageBreak/>
        <w:t>criterio de interpretación en el orden administrativo número 0002-11 emitido por Acuerdo del Plano de este Instituto, cuyo rubro y texto dispone:</w:t>
      </w:r>
    </w:p>
    <w:p w14:paraId="627D9E9F" w14:textId="77777777" w:rsidR="004F0B1C" w:rsidRDefault="004F0B1C" w:rsidP="00707C29">
      <w:pPr>
        <w:spacing w:after="120"/>
        <w:ind w:left="851" w:right="902"/>
        <w:jc w:val="both"/>
        <w:rPr>
          <w:rFonts w:ascii="Palatino Linotype" w:hAnsi="Palatino Linotype"/>
          <w:i/>
          <w:sz w:val="20"/>
        </w:rPr>
      </w:pPr>
      <w:r>
        <w:rPr>
          <w:rFonts w:ascii="Palatino Linotype" w:hAnsi="Palatino Linotype"/>
          <w:b/>
          <w:i/>
          <w:sz w:val="20"/>
        </w:rPr>
        <w:t>“</w:t>
      </w:r>
      <w:r w:rsidRPr="00E33369">
        <w:rPr>
          <w:rFonts w:ascii="Palatino Linotype" w:hAnsi="Palatino Linotype"/>
          <w:b/>
          <w:i/>
          <w:sz w:val="20"/>
        </w:rPr>
        <w:t>FORMACIÓN PÚBLICA, CONCEPTO DE, EN MATERIA DE TRANSPARENCIA. INTERPRETACIÓN TEMÁTICA DE LOS ARTÍCULOS 2°, FRACCIÓN V, XV, Y XVI, 32, 4,11 Y 41.</w:t>
      </w:r>
      <w:r w:rsidRPr="00E33369">
        <w:rPr>
          <w:rFonts w:ascii="Palatino Linotype" w:hAnsi="Palatino Linotype"/>
          <w:i/>
          <w:sz w:val="2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w:t>
      </w:r>
      <w:r>
        <w:rPr>
          <w:rFonts w:ascii="Palatino Linotype" w:hAnsi="Palatino Linotype"/>
          <w:i/>
          <w:sz w:val="20"/>
        </w:rPr>
        <w:t xml:space="preserve"> órganos u </w:t>
      </w:r>
      <w:r w:rsidRPr="00E33369">
        <w:rPr>
          <w:rFonts w:ascii="Palatino Linotype" w:hAnsi="Palatino Linotype"/>
          <w:i/>
          <w:sz w:val="20"/>
        </w:rPr>
        <w:t xml:space="preserve">organismos públicos, en virtud del ejercicio de sus funciones de derecho público, sin importar su fuente, soporte o fe ha de elaboración. Consecuencia el acceso a la información se refiere a que se cumplan cualquiera de los siguientes tres supuestos: </w:t>
      </w:r>
    </w:p>
    <w:p w14:paraId="083B30D4" w14:textId="77777777" w:rsidR="004F0B1C" w:rsidRDefault="004F0B1C" w:rsidP="00707C29">
      <w:pPr>
        <w:pStyle w:val="Prrafodelista"/>
        <w:numPr>
          <w:ilvl w:val="0"/>
          <w:numId w:val="15"/>
        </w:numPr>
        <w:spacing w:after="120"/>
        <w:ind w:right="902"/>
        <w:jc w:val="both"/>
        <w:rPr>
          <w:rFonts w:ascii="Palatino Linotype" w:hAnsi="Palatino Linotype"/>
          <w:i/>
          <w:sz w:val="20"/>
        </w:rPr>
      </w:pPr>
      <w:r w:rsidRPr="00E33369">
        <w:rPr>
          <w:rFonts w:ascii="Palatino Linotype" w:hAnsi="Palatino Linotype"/>
          <w:i/>
          <w:sz w:val="20"/>
        </w:rPr>
        <w:t xml:space="preserve">Que se trate de información registrada en cualquier soporte documental, que en ejercicio de las atribuciones conferidas, sea generada por los Sujetos Obligados; </w:t>
      </w:r>
    </w:p>
    <w:p w14:paraId="61CCDA2E" w14:textId="77777777" w:rsidR="004F0B1C" w:rsidRDefault="004F0B1C" w:rsidP="00707C29">
      <w:pPr>
        <w:pStyle w:val="Prrafodelista"/>
        <w:numPr>
          <w:ilvl w:val="0"/>
          <w:numId w:val="15"/>
        </w:numPr>
        <w:spacing w:after="120"/>
        <w:ind w:right="902"/>
        <w:jc w:val="both"/>
        <w:rPr>
          <w:rFonts w:ascii="Palatino Linotype" w:hAnsi="Palatino Linotype"/>
          <w:i/>
          <w:sz w:val="20"/>
        </w:rPr>
      </w:pPr>
      <w:r w:rsidRPr="00E33369">
        <w:rPr>
          <w:rFonts w:ascii="Palatino Linotype" w:hAnsi="Palatino Linotype"/>
          <w:i/>
          <w:sz w:val="20"/>
        </w:rPr>
        <w:t xml:space="preserve">Que se trate de información registrada en cualquier soporte documental, que en ejercicio de las atribuciones conferidas, sea administrada por los Sujetos Obligados, y </w:t>
      </w:r>
    </w:p>
    <w:p w14:paraId="0ADAF426" w14:textId="77777777" w:rsidR="004F0B1C" w:rsidRPr="00E33369" w:rsidRDefault="004F0B1C" w:rsidP="00707C29">
      <w:pPr>
        <w:pStyle w:val="Prrafodelista"/>
        <w:numPr>
          <w:ilvl w:val="0"/>
          <w:numId w:val="15"/>
        </w:numPr>
        <w:spacing w:after="120"/>
        <w:ind w:right="902"/>
        <w:jc w:val="both"/>
        <w:rPr>
          <w:rFonts w:ascii="Palatino Linotype" w:hAnsi="Palatino Linotype"/>
          <w:i/>
          <w:sz w:val="20"/>
        </w:rPr>
      </w:pPr>
      <w:r w:rsidRPr="00E33369">
        <w:rPr>
          <w:rFonts w:ascii="Palatino Linotype" w:hAnsi="Palatino Linotype"/>
          <w:i/>
          <w:sz w:val="20"/>
        </w:rPr>
        <w:t>Que se trate de información registrada en cualquier soporte documental, que en ejercicio de las atribuciones conferidas, se encuentre en posesión de los Sujetos Obligados.”</w:t>
      </w:r>
    </w:p>
    <w:p w14:paraId="3C341BFE" w14:textId="4CC1FF61" w:rsidR="00707C29" w:rsidRDefault="00707C29" w:rsidP="004F0B1C">
      <w:pPr>
        <w:spacing w:before="240" w:after="240" w:line="360" w:lineRule="auto"/>
        <w:jc w:val="both"/>
        <w:rPr>
          <w:rFonts w:ascii="Palatino Linotype" w:hAnsi="Palatino Linotype"/>
        </w:rPr>
      </w:pPr>
      <w:r>
        <w:rPr>
          <w:rFonts w:ascii="Palatino Linotype" w:hAnsi="Palatino Linotype"/>
        </w:rPr>
        <w:t>Toda vez que la información entregada fue generada para atender el requerimiento de información, y no así, a aquella cuya formulación está encomendada por ley dentro de los límites de sus facultades en el ejercicio de sus funciones, no obstante que no contienen sellos, firmas y signos exteriores que en su caso previenen las leyes</w:t>
      </w:r>
      <w:r>
        <w:rPr>
          <w:rStyle w:val="Refdenotaalpie"/>
          <w:rFonts w:ascii="Palatino Linotype" w:hAnsi="Palatino Linotype"/>
        </w:rPr>
        <w:footnoteReference w:id="12"/>
      </w:r>
      <w:r>
        <w:rPr>
          <w:rFonts w:ascii="Palatino Linotype" w:hAnsi="Palatino Linotype"/>
        </w:rPr>
        <w:t>.</w:t>
      </w:r>
    </w:p>
    <w:p w14:paraId="7D98E190" w14:textId="1AEE6284" w:rsidR="0065736D" w:rsidRDefault="00707C29" w:rsidP="000A2CE2">
      <w:pPr>
        <w:spacing w:before="240" w:after="240" w:line="360" w:lineRule="auto"/>
        <w:jc w:val="both"/>
        <w:rPr>
          <w:rFonts w:ascii="Palatino Linotype" w:eastAsiaTheme="minorEastAsia" w:hAnsi="Palatino Linotype" w:cs="Bookman Old Style"/>
          <w:b/>
          <w:sz w:val="28"/>
          <w:szCs w:val="28"/>
          <w:lang w:val="es-MX"/>
        </w:rPr>
      </w:pPr>
      <w:r>
        <w:rPr>
          <w:rFonts w:ascii="Palatino Linotype" w:hAnsi="Palatino Linotype"/>
        </w:rPr>
        <w:t xml:space="preserve"> </w:t>
      </w:r>
      <w:r w:rsidR="0065736D">
        <w:rPr>
          <w:rFonts w:ascii="Palatino Linotype" w:eastAsiaTheme="minorEastAsia" w:hAnsi="Palatino Linotype" w:cs="Bookman Old Style"/>
          <w:b/>
          <w:sz w:val="28"/>
          <w:szCs w:val="28"/>
          <w:lang w:val="es-MX"/>
        </w:rPr>
        <w:t>QUINTO. Versión Pública.</w:t>
      </w:r>
    </w:p>
    <w:p w14:paraId="440D7BC1" w14:textId="7130ADE2" w:rsidR="0065736D" w:rsidRDefault="0065736D" w:rsidP="006B2F59">
      <w:pPr>
        <w:spacing w:before="240" w:line="360" w:lineRule="auto"/>
        <w:jc w:val="both"/>
        <w:rPr>
          <w:rFonts w:ascii="Palatino Linotype" w:hAnsi="Palatino Linotype" w:cs="Arial"/>
        </w:rPr>
      </w:pPr>
      <w:r w:rsidRPr="00C0235B">
        <w:rPr>
          <w:rFonts w:ascii="Palatino Linotype" w:hAnsi="Palatino Linotype" w:cs="Arial"/>
        </w:rPr>
        <w:lastRenderedPageBreak/>
        <w:t>E</w:t>
      </w:r>
      <w:r>
        <w:rPr>
          <w:rFonts w:ascii="Palatino Linotype" w:hAnsi="Palatino Linotype" w:cs="Arial"/>
        </w:rPr>
        <w:t xml:space="preserve">ste Órgano Garante no pasa desapercibido que los documentos de los cuales se ordena su entrega, podrían contener </w:t>
      </w:r>
      <w:r w:rsidR="006B2F59">
        <w:rPr>
          <w:rFonts w:ascii="Palatino Linotype" w:hAnsi="Palatino Linotype" w:cs="Arial"/>
        </w:rPr>
        <w:t>información confidencial</w:t>
      </w:r>
      <w:r>
        <w:rPr>
          <w:rFonts w:ascii="Palatino Linotype" w:hAnsi="Palatino Linotype" w:cs="Arial"/>
        </w:rPr>
        <w:t xml:space="preserve">; por lo cual, se deberá realizar la versión pública de conformidad con lo dispuesto </w:t>
      </w:r>
      <w:r w:rsidR="006B2F59">
        <w:rPr>
          <w:rFonts w:ascii="Palatino Linotype" w:hAnsi="Palatino Linotype" w:cs="Arial"/>
        </w:rPr>
        <w:t>en</w:t>
      </w:r>
      <w:r>
        <w:rPr>
          <w:rFonts w:ascii="Palatino Linotype" w:hAnsi="Palatino Linotype" w:cs="Arial"/>
        </w:rPr>
        <w:t xml:space="preserve"> los </w:t>
      </w:r>
      <w:r w:rsidRPr="00BB1D9C">
        <w:rPr>
          <w:rFonts w:ascii="Palatino Linotype" w:hAnsi="Palatino Linotype" w:cs="Arial"/>
        </w:rPr>
        <w:t xml:space="preserve">artículos </w:t>
      </w:r>
      <w:r>
        <w:rPr>
          <w:rFonts w:ascii="Palatino Linotype" w:hAnsi="Palatino Linotype" w:cs="Arial"/>
        </w:rPr>
        <w:t>3</w:t>
      </w:r>
      <w:r w:rsidRPr="00BB1D9C">
        <w:rPr>
          <w:rFonts w:ascii="Palatino Linotype" w:hAnsi="Palatino Linotype" w:cs="Arial"/>
        </w:rPr>
        <w:t>, fracciones I</w:t>
      </w:r>
      <w:r>
        <w:rPr>
          <w:rFonts w:ascii="Palatino Linotype" w:hAnsi="Palatino Linotype" w:cs="Arial"/>
        </w:rPr>
        <w:t>X</w:t>
      </w:r>
      <w:r w:rsidRPr="00BB1D9C">
        <w:rPr>
          <w:rFonts w:ascii="Palatino Linotype" w:hAnsi="Palatino Linotype" w:cs="Arial"/>
        </w:rPr>
        <w:t xml:space="preserve">, </w:t>
      </w:r>
      <w:r>
        <w:rPr>
          <w:rFonts w:ascii="Palatino Linotype" w:hAnsi="Palatino Linotype" w:cs="Arial"/>
        </w:rPr>
        <w:t>XX, XXI</w:t>
      </w:r>
      <w:r w:rsidRPr="00BB1D9C">
        <w:rPr>
          <w:rFonts w:ascii="Palatino Linotype" w:hAnsi="Palatino Linotype" w:cs="Arial"/>
        </w:rPr>
        <w:t xml:space="preserve"> y X</w:t>
      </w:r>
      <w:r>
        <w:rPr>
          <w:rFonts w:ascii="Palatino Linotype" w:hAnsi="Palatino Linotype" w:cs="Arial"/>
        </w:rPr>
        <w:t>LV; 4, 91</w:t>
      </w:r>
      <w:r w:rsidRPr="00BB1D9C">
        <w:rPr>
          <w:rFonts w:ascii="Palatino Linotype" w:hAnsi="Palatino Linotype" w:cs="Arial"/>
        </w:rPr>
        <w:t xml:space="preserve">, </w:t>
      </w:r>
      <w:r>
        <w:rPr>
          <w:rFonts w:ascii="Palatino Linotype" w:hAnsi="Palatino Linotype" w:cs="Arial"/>
        </w:rPr>
        <w:t>51, 137 y 143</w:t>
      </w:r>
      <w:r w:rsidRPr="00BB1D9C">
        <w:rPr>
          <w:rFonts w:ascii="Palatino Linotype" w:hAnsi="Palatino Linotype" w:cs="Arial"/>
        </w:rPr>
        <w:t xml:space="preserve"> de la Ley de Transparencia y Acceso a la Información Pública del Estado de México y Municipios</w:t>
      </w:r>
      <w:r>
        <w:rPr>
          <w:rFonts w:ascii="Palatino Linotype" w:hAnsi="Palatino Linotype" w:cs="Arial"/>
        </w:rPr>
        <w:t xml:space="preserve"> que establecen:</w:t>
      </w:r>
    </w:p>
    <w:p w14:paraId="545172A1" w14:textId="77777777" w:rsidR="0065736D" w:rsidRPr="009E03BE" w:rsidRDefault="0065736D" w:rsidP="006B2F59">
      <w:pPr>
        <w:spacing w:after="12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Bold"/>
          <w:b/>
          <w:bCs/>
          <w:i/>
          <w:sz w:val="20"/>
          <w:szCs w:val="20"/>
          <w:lang w:val="es-MX"/>
        </w:rPr>
        <w:t>“</w:t>
      </w:r>
      <w:r w:rsidRPr="009E03BE">
        <w:rPr>
          <w:rFonts w:ascii="Palatino Linotype" w:eastAsiaTheme="minorEastAsia" w:hAnsi="Palatino Linotype" w:cs="Bookman Old Style,Bold"/>
          <w:b/>
          <w:bCs/>
          <w:i/>
          <w:sz w:val="20"/>
          <w:szCs w:val="20"/>
          <w:lang w:val="es-MX"/>
        </w:rPr>
        <w:t xml:space="preserve">Artículo 3. </w:t>
      </w:r>
      <w:r w:rsidRPr="009E03BE">
        <w:rPr>
          <w:rFonts w:ascii="Palatino Linotype" w:eastAsiaTheme="minorEastAsia" w:hAnsi="Palatino Linotype" w:cs="Bookman Old Style"/>
          <w:i/>
          <w:sz w:val="20"/>
          <w:szCs w:val="20"/>
          <w:lang w:val="es-MX"/>
        </w:rPr>
        <w:t>Para los efectos de la presente Ley se entenderá por:</w:t>
      </w:r>
    </w:p>
    <w:p w14:paraId="53A76A52" w14:textId="77777777" w:rsidR="0065736D" w:rsidRDefault="0065736D" w:rsidP="006B2F59">
      <w:pPr>
        <w:autoSpaceDE w:val="0"/>
        <w:autoSpaceDN w:val="0"/>
        <w:adjustRightInd w:val="0"/>
        <w:ind w:left="1134" w:right="902"/>
        <w:jc w:val="both"/>
        <w:rPr>
          <w:rFonts w:ascii="Palatino Linotype" w:eastAsiaTheme="minorEastAsia" w:hAnsi="Palatino Linotype" w:cs="Bookman Old Style,Bold"/>
          <w:b/>
          <w:bCs/>
          <w:i/>
          <w:sz w:val="20"/>
          <w:szCs w:val="20"/>
          <w:lang w:val="es-MX"/>
        </w:rPr>
      </w:pPr>
      <w:r>
        <w:rPr>
          <w:rFonts w:ascii="Palatino Linotype" w:eastAsiaTheme="minorEastAsia" w:hAnsi="Palatino Linotype" w:cs="Bookman Old Style,Bold"/>
          <w:b/>
          <w:bCs/>
          <w:i/>
          <w:sz w:val="20"/>
          <w:szCs w:val="20"/>
          <w:lang w:val="es-MX"/>
        </w:rPr>
        <w:t>(…)</w:t>
      </w:r>
    </w:p>
    <w:p w14:paraId="58A6B1D7" w14:textId="77777777" w:rsidR="0065736D" w:rsidRPr="009E03BE" w:rsidRDefault="0065736D" w:rsidP="006B2F59">
      <w:pPr>
        <w:autoSpaceDE w:val="0"/>
        <w:autoSpaceDN w:val="0"/>
        <w:adjustRightInd w:val="0"/>
        <w:ind w:left="1134"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IX. Datos personales: </w:t>
      </w:r>
      <w:r w:rsidRPr="009E03BE">
        <w:rPr>
          <w:rFonts w:ascii="Palatino Linotype" w:eastAsiaTheme="minorEastAsia" w:hAnsi="Palatino Linotype" w:cs="Bookman Old Style"/>
          <w:i/>
          <w:sz w:val="20"/>
          <w:szCs w:val="20"/>
          <w:lang w:val="es-MX"/>
        </w:rPr>
        <w:t>La información concerniente a una persona, identificada o identificable según lo</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dispuesto por la Ley de Protección de Datos Personales del Estado de México;</w:t>
      </w:r>
    </w:p>
    <w:p w14:paraId="0E016E15" w14:textId="77777777" w:rsidR="0065736D" w:rsidRDefault="0065736D" w:rsidP="006B2F59">
      <w:pPr>
        <w:autoSpaceDE w:val="0"/>
        <w:autoSpaceDN w:val="0"/>
        <w:adjustRightInd w:val="0"/>
        <w:ind w:left="1134" w:right="902"/>
        <w:jc w:val="both"/>
        <w:rPr>
          <w:rFonts w:ascii="Palatino Linotype" w:eastAsiaTheme="minorEastAsia" w:hAnsi="Palatino Linotype" w:cs="Bookman Old Style,Bold"/>
          <w:b/>
          <w:bCs/>
          <w:i/>
          <w:sz w:val="20"/>
          <w:szCs w:val="20"/>
          <w:lang w:val="es-MX"/>
        </w:rPr>
      </w:pPr>
      <w:r>
        <w:rPr>
          <w:rFonts w:ascii="Palatino Linotype" w:eastAsiaTheme="minorEastAsia" w:hAnsi="Palatino Linotype" w:cs="Bookman Old Style,Bold"/>
          <w:b/>
          <w:bCs/>
          <w:i/>
          <w:sz w:val="20"/>
          <w:szCs w:val="20"/>
          <w:lang w:val="es-MX"/>
        </w:rPr>
        <w:t>(…)</w:t>
      </w:r>
    </w:p>
    <w:p w14:paraId="67E8E176" w14:textId="77777777" w:rsidR="0065736D" w:rsidRPr="009E03BE" w:rsidRDefault="0065736D" w:rsidP="006B2F59">
      <w:pPr>
        <w:autoSpaceDE w:val="0"/>
        <w:autoSpaceDN w:val="0"/>
        <w:adjustRightInd w:val="0"/>
        <w:ind w:left="1134"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XX. Información clasificada: </w:t>
      </w:r>
      <w:r w:rsidRPr="009E03BE">
        <w:rPr>
          <w:rFonts w:ascii="Palatino Linotype" w:eastAsiaTheme="minorEastAsia" w:hAnsi="Palatino Linotype" w:cs="Bookman Old Style"/>
          <w:i/>
          <w:sz w:val="20"/>
          <w:szCs w:val="20"/>
          <w:lang w:val="es-MX"/>
        </w:rPr>
        <w:t>Aquella considerada por la presente Ley como reservada o confidencial;</w:t>
      </w:r>
    </w:p>
    <w:p w14:paraId="6C1E50CB" w14:textId="77777777" w:rsidR="0065736D" w:rsidRPr="009E03BE" w:rsidRDefault="0065736D" w:rsidP="006B2F59">
      <w:pPr>
        <w:autoSpaceDE w:val="0"/>
        <w:autoSpaceDN w:val="0"/>
        <w:adjustRightInd w:val="0"/>
        <w:ind w:left="1134"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XXI. Información confidencial: </w:t>
      </w:r>
      <w:r w:rsidRPr="009E03BE">
        <w:rPr>
          <w:rFonts w:ascii="Palatino Linotype" w:eastAsiaTheme="minorEastAsia" w:hAnsi="Palatino Linotype" w:cs="Bookman Old Style"/>
          <w:i/>
          <w:sz w:val="20"/>
          <w:szCs w:val="20"/>
          <w:lang w:val="es-MX"/>
        </w:rPr>
        <w:t>Se considera como información confidencial los secretos bancario,</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fiduciario, industrial, comercial, fiscal, bursátil y postal, cuya titularidad corresponda a particulares,</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sujetos de derecho internacional o a sujetos obligados cuando no involucren el ejercicio de recursos</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públicos;</w:t>
      </w:r>
    </w:p>
    <w:p w14:paraId="620E6F49" w14:textId="77777777" w:rsidR="0065736D" w:rsidRDefault="0065736D" w:rsidP="006B2F59">
      <w:pPr>
        <w:autoSpaceDE w:val="0"/>
        <w:autoSpaceDN w:val="0"/>
        <w:adjustRightInd w:val="0"/>
        <w:ind w:left="1134" w:right="902"/>
        <w:jc w:val="both"/>
        <w:rPr>
          <w:rFonts w:ascii="Palatino Linotype" w:eastAsiaTheme="minorEastAsia" w:hAnsi="Palatino Linotype" w:cs="Bookman Old Style,Bold"/>
          <w:b/>
          <w:bCs/>
          <w:i/>
          <w:sz w:val="20"/>
          <w:szCs w:val="20"/>
          <w:lang w:val="es-MX"/>
        </w:rPr>
      </w:pPr>
      <w:r>
        <w:rPr>
          <w:rFonts w:ascii="Palatino Linotype" w:eastAsiaTheme="minorEastAsia" w:hAnsi="Palatino Linotype" w:cs="Bookman Old Style,Bold"/>
          <w:b/>
          <w:bCs/>
          <w:i/>
          <w:sz w:val="20"/>
          <w:szCs w:val="20"/>
          <w:lang w:val="es-MX"/>
        </w:rPr>
        <w:t>(…)</w:t>
      </w:r>
    </w:p>
    <w:p w14:paraId="5ED020F4" w14:textId="77777777" w:rsidR="0065736D" w:rsidRPr="009E03BE" w:rsidRDefault="0065736D" w:rsidP="006B2F59">
      <w:pPr>
        <w:autoSpaceDE w:val="0"/>
        <w:autoSpaceDN w:val="0"/>
        <w:adjustRightInd w:val="0"/>
        <w:ind w:left="1134"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XLV. Versión pública: </w:t>
      </w:r>
      <w:r w:rsidRPr="009E03BE">
        <w:rPr>
          <w:rFonts w:ascii="Palatino Linotype" w:eastAsiaTheme="minorEastAsia" w:hAnsi="Palatino Linotype" w:cs="Bookman Old Style"/>
          <w:i/>
          <w:sz w:val="20"/>
          <w:szCs w:val="20"/>
          <w:lang w:val="es-MX"/>
        </w:rPr>
        <w:t>Documento en el que se elimine, suprime o borra la información clasificada</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como reservada o confidencial para permitir su acceso.</w:t>
      </w:r>
    </w:p>
    <w:p w14:paraId="4DC060DC" w14:textId="77777777" w:rsidR="0065736D" w:rsidRPr="009E03BE" w:rsidRDefault="0065736D" w:rsidP="006B2F59">
      <w:pPr>
        <w:autoSpaceDE w:val="0"/>
        <w:autoSpaceDN w:val="0"/>
        <w:adjustRightInd w:val="0"/>
        <w:spacing w:before="120" w:after="120"/>
        <w:ind w:left="851"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Artículo 4. </w:t>
      </w:r>
      <w:r w:rsidRPr="009E03BE">
        <w:rPr>
          <w:rFonts w:ascii="Palatino Linotype" w:eastAsiaTheme="minorEastAsia" w:hAnsi="Palatino Linotype" w:cs="Bookman Old Style"/>
          <w:i/>
          <w:sz w:val="20"/>
          <w:szCs w:val="20"/>
          <w:lang w:val="es-MX"/>
        </w:rPr>
        <w:t>El derecho humano de acceso a la información pública es la prerrogativa de las personas</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para buscar, difundir, investigar, recabar, recibir y solicitar información pública, sin necesidad de</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acreditar personalidad ni interés jurídico.</w:t>
      </w:r>
    </w:p>
    <w:p w14:paraId="6850B834" w14:textId="77777777" w:rsidR="0065736D" w:rsidRPr="009E03BE" w:rsidRDefault="0065736D" w:rsidP="006B2F59">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
          <w:i/>
          <w:sz w:val="20"/>
          <w:szCs w:val="20"/>
          <w:lang w:val="es-MX"/>
        </w:rPr>
        <w:t>Toda la información generada, obtenida, adquirida, transformada, administrada o en posesión de los</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sujetos obligados es pública y accesible de manera permanente a cualquier persona, en los términos y</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condiciones que se establezcan en los tratados internacionales de los que el Estado mexicano sea</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parte, en la Ley General, la presente Ley y demás disposiciones de la materia, privilegiando el principio</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de máxima publicidad de la información. Solo podrá ser clasificada excepcionalmente como reservada</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temporalmente por razones de interés público, en los términos de las causas legítimas y estrictamente</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necesarias previstas por esta Ley.</w:t>
      </w:r>
    </w:p>
    <w:p w14:paraId="4B91A893" w14:textId="77777777" w:rsidR="0065736D" w:rsidRPr="009E03BE" w:rsidRDefault="0065736D" w:rsidP="006B2F59">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Artículo 51. </w:t>
      </w:r>
      <w:r w:rsidRPr="009E03BE">
        <w:rPr>
          <w:rFonts w:ascii="Palatino Linotype" w:eastAsiaTheme="minorEastAsia" w:hAnsi="Palatino Linotype" w:cs="Bookman Old Style"/>
          <w:i/>
          <w:sz w:val="20"/>
          <w:szCs w:val="20"/>
          <w:lang w:val="es-MX"/>
        </w:rPr>
        <w:t>Los sujetos obligados designaran a un responsable para atender la Unidad de</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Transparencia, quien fungirá como enlace entre éstos y los solicitantes. Dicha Unidad será la</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encargada de tramitar internamente la solicitud de información y tendrá la responsabilidad de verificar</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 xml:space="preserve">en cada caso que la misma no sea confidencial o reservada. </w:t>
      </w:r>
      <w:r w:rsidRPr="009E03BE">
        <w:rPr>
          <w:rFonts w:ascii="Palatino Linotype" w:eastAsiaTheme="minorEastAsia" w:hAnsi="Palatino Linotype" w:cs="Bookman Old Style"/>
          <w:i/>
          <w:sz w:val="20"/>
          <w:szCs w:val="20"/>
          <w:lang w:val="es-MX"/>
        </w:rPr>
        <w:lastRenderedPageBreak/>
        <w:t>Dicha Unidad contará con las facultades</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internas necesarias para gestionar la atención a las solicitudes de información en los términos de la</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Ley General y la presente Ley.</w:t>
      </w:r>
    </w:p>
    <w:p w14:paraId="5DA61D80" w14:textId="77777777" w:rsidR="0065736D" w:rsidRDefault="0065736D" w:rsidP="006B2F59">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Artículo 91. </w:t>
      </w:r>
      <w:r w:rsidRPr="009E03BE">
        <w:rPr>
          <w:rFonts w:ascii="Palatino Linotype" w:eastAsiaTheme="minorEastAsia" w:hAnsi="Palatino Linotype" w:cs="Bookman Old Style"/>
          <w:i/>
          <w:sz w:val="20"/>
          <w:szCs w:val="20"/>
          <w:lang w:val="es-MX"/>
        </w:rPr>
        <w:t>El acceso a la información pública será restringido excepcionalmente, cuando ésta sea</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clasificada como reservada o confidencial.</w:t>
      </w:r>
    </w:p>
    <w:p w14:paraId="06B6B1C7" w14:textId="77777777" w:rsidR="0065736D" w:rsidRPr="009E03BE" w:rsidRDefault="0065736D" w:rsidP="006B2F59">
      <w:pPr>
        <w:autoSpaceDE w:val="0"/>
        <w:autoSpaceDN w:val="0"/>
        <w:adjustRightInd w:val="0"/>
        <w:spacing w:after="120"/>
        <w:ind w:left="851" w:right="902"/>
        <w:jc w:val="both"/>
        <w:rPr>
          <w:rFonts w:ascii="Palatino Linotype" w:eastAsiaTheme="minorEastAsia" w:hAnsi="Palatino Linotype" w:cs="Bookman Old Style,Bold"/>
          <w:b/>
          <w:bCs/>
          <w:i/>
          <w:sz w:val="20"/>
          <w:szCs w:val="20"/>
          <w:lang w:val="es-MX"/>
        </w:rPr>
      </w:pPr>
      <w:r w:rsidRPr="009E03BE">
        <w:rPr>
          <w:rFonts w:ascii="Palatino Linotype" w:eastAsiaTheme="minorEastAsia" w:hAnsi="Palatino Linotype" w:cs="Bookman Old Style,Bold"/>
          <w:b/>
          <w:bCs/>
          <w:i/>
          <w:sz w:val="20"/>
          <w:szCs w:val="20"/>
          <w:lang w:val="es-MX"/>
        </w:rPr>
        <w:t xml:space="preserve">Artículo 137. </w:t>
      </w:r>
      <w:r w:rsidRPr="009E03BE">
        <w:rPr>
          <w:rFonts w:ascii="Palatino Linotype" w:eastAsiaTheme="minorEastAsia" w:hAnsi="Palatino Linotype" w:cs="Bookman Old Style"/>
          <w:i/>
          <w:sz w:val="20"/>
          <w:szCs w:val="20"/>
          <w:lang w:val="es-MX"/>
        </w:rPr>
        <w:t>Cuando un mismo medio, impreso o electrónico, contenga información pública y</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reservada o confidencial, la Unidad de Transparencia para efectos de atender una solicitud de</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información, deberán elaborar una versión pública en la que se testen las partes o secciones</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clasificadas, indicando su contenido de manera genérica y fundando y motivando su clasificación.</w:t>
      </w:r>
    </w:p>
    <w:p w14:paraId="002D8D96" w14:textId="77777777" w:rsidR="0065736D" w:rsidRPr="009E03BE" w:rsidRDefault="0065736D" w:rsidP="006B2F59">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Artículo 143. </w:t>
      </w:r>
      <w:r w:rsidRPr="009E03BE">
        <w:rPr>
          <w:rFonts w:ascii="Palatino Linotype" w:eastAsiaTheme="minorEastAsia" w:hAnsi="Palatino Linotype" w:cs="Bookman Old Style"/>
          <w:i/>
          <w:sz w:val="20"/>
          <w:szCs w:val="20"/>
          <w:lang w:val="es-MX"/>
        </w:rPr>
        <w:t>Para los efectos de esta Ley se considera información confidencial, la clasificada como</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tal, de manera permanente, por su naturaleza, cuando:</w:t>
      </w:r>
    </w:p>
    <w:p w14:paraId="6E9D59EE" w14:textId="77777777" w:rsidR="0065736D" w:rsidRPr="009E03BE" w:rsidRDefault="0065736D" w:rsidP="006B2F59">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I. </w:t>
      </w:r>
      <w:r w:rsidRPr="009E03BE">
        <w:rPr>
          <w:rFonts w:ascii="Palatino Linotype" w:eastAsiaTheme="minorEastAsia" w:hAnsi="Palatino Linotype" w:cs="Bookman Old Style"/>
          <w:i/>
          <w:sz w:val="20"/>
          <w:szCs w:val="20"/>
          <w:lang w:val="es-MX"/>
        </w:rPr>
        <w:t>Se refiera a la información privada y los datos personales concernientes a una persona física o</w:t>
      </w:r>
      <w:r>
        <w:rPr>
          <w:rFonts w:ascii="Palatino Linotype" w:eastAsiaTheme="minorEastAsia" w:hAnsi="Palatino Linotype" w:cs="Bookman Old Style"/>
          <w:i/>
          <w:sz w:val="20"/>
          <w:szCs w:val="20"/>
          <w:lang w:val="es-MX"/>
        </w:rPr>
        <w:t xml:space="preserve"> </w:t>
      </w:r>
      <w:proofErr w:type="gramStart"/>
      <w:r w:rsidRPr="009E03BE">
        <w:rPr>
          <w:rFonts w:ascii="Palatino Linotype" w:eastAsiaTheme="minorEastAsia" w:hAnsi="Palatino Linotype" w:cs="Bookman Old Style"/>
          <w:i/>
          <w:sz w:val="20"/>
          <w:szCs w:val="20"/>
          <w:lang w:val="es-MX"/>
        </w:rPr>
        <w:t>jurídico</w:t>
      </w:r>
      <w:proofErr w:type="gramEnd"/>
      <w:r w:rsidRPr="009E03BE">
        <w:rPr>
          <w:rFonts w:ascii="Palatino Linotype" w:eastAsiaTheme="minorEastAsia" w:hAnsi="Palatino Linotype" w:cs="Bookman Old Style"/>
          <w:i/>
          <w:sz w:val="20"/>
          <w:szCs w:val="20"/>
          <w:lang w:val="es-MX"/>
        </w:rPr>
        <w:t xml:space="preserve"> colectiva identificada o identificable;</w:t>
      </w:r>
    </w:p>
    <w:p w14:paraId="258FE046" w14:textId="77777777" w:rsidR="0065736D" w:rsidRDefault="0065736D" w:rsidP="006B2F59">
      <w:pPr>
        <w:autoSpaceDE w:val="0"/>
        <w:autoSpaceDN w:val="0"/>
        <w:adjustRightInd w:val="0"/>
        <w:spacing w:after="120"/>
        <w:ind w:left="1134" w:right="902"/>
        <w:jc w:val="both"/>
        <w:rPr>
          <w:rFonts w:ascii="Palatino Linotype" w:eastAsiaTheme="minorEastAsia" w:hAnsi="Palatino Linotype" w:cs="Bookman Old Style,Bold"/>
          <w:b/>
          <w:bCs/>
          <w:i/>
          <w:sz w:val="20"/>
          <w:szCs w:val="20"/>
          <w:lang w:val="es-MX"/>
        </w:rPr>
      </w:pPr>
      <w:r>
        <w:rPr>
          <w:rFonts w:ascii="Palatino Linotype" w:eastAsiaTheme="minorEastAsia" w:hAnsi="Palatino Linotype" w:cs="Bookman Old Style,Bold"/>
          <w:b/>
          <w:bCs/>
          <w:i/>
          <w:sz w:val="20"/>
          <w:szCs w:val="20"/>
          <w:lang w:val="es-MX"/>
        </w:rPr>
        <w:t>(…)</w:t>
      </w:r>
    </w:p>
    <w:p w14:paraId="1B9B9302" w14:textId="77777777" w:rsidR="0065736D" w:rsidRPr="009E03BE" w:rsidRDefault="0065736D" w:rsidP="006B2F59">
      <w:pPr>
        <w:autoSpaceDE w:val="0"/>
        <w:autoSpaceDN w:val="0"/>
        <w:adjustRightInd w:val="0"/>
        <w:spacing w:after="120"/>
        <w:ind w:left="1134" w:right="902"/>
        <w:jc w:val="both"/>
        <w:rPr>
          <w:rFonts w:ascii="Palatino Linotype" w:eastAsiaTheme="minorEastAsia" w:hAnsi="Palatino Linotype" w:cs="Bookman Old Style"/>
          <w:i/>
          <w:sz w:val="20"/>
          <w:szCs w:val="20"/>
          <w:lang w:val="es-MX"/>
        </w:rPr>
      </w:pPr>
      <w:r w:rsidRPr="009E03BE">
        <w:rPr>
          <w:rFonts w:ascii="Palatino Linotype" w:eastAsiaTheme="minorEastAsia" w:hAnsi="Palatino Linotype" w:cs="Bookman Old Style,Bold"/>
          <w:b/>
          <w:bCs/>
          <w:i/>
          <w:sz w:val="20"/>
          <w:szCs w:val="20"/>
          <w:lang w:val="es-MX"/>
        </w:rPr>
        <w:t xml:space="preserve">III. </w:t>
      </w:r>
      <w:r w:rsidRPr="009E03BE">
        <w:rPr>
          <w:rFonts w:ascii="Palatino Linotype" w:eastAsiaTheme="minorEastAsia" w:hAnsi="Palatino Linotype" w:cs="Bookman Old Style"/>
          <w:i/>
          <w:sz w:val="20"/>
          <w:szCs w:val="20"/>
          <w:lang w:val="es-MX"/>
        </w:rPr>
        <w:t>La que presenten los particulares a los sujetos obligados, de conformidad con lo dispuesto por las</w:t>
      </w:r>
      <w:r>
        <w:rPr>
          <w:rFonts w:ascii="Palatino Linotype" w:eastAsiaTheme="minorEastAsia" w:hAnsi="Palatino Linotype" w:cs="Bookman Old Style"/>
          <w:i/>
          <w:sz w:val="20"/>
          <w:szCs w:val="20"/>
          <w:lang w:val="es-MX"/>
        </w:rPr>
        <w:t xml:space="preserve"> </w:t>
      </w:r>
      <w:r w:rsidRPr="009E03BE">
        <w:rPr>
          <w:rFonts w:ascii="Palatino Linotype" w:eastAsiaTheme="minorEastAsia" w:hAnsi="Palatino Linotype" w:cs="Bookman Old Style"/>
          <w:i/>
          <w:sz w:val="20"/>
          <w:szCs w:val="20"/>
          <w:lang w:val="es-MX"/>
        </w:rPr>
        <w:t>leyes o los tratados internacionales</w:t>
      </w:r>
      <w:r>
        <w:rPr>
          <w:rFonts w:ascii="Palatino Linotype" w:eastAsiaTheme="minorEastAsia" w:hAnsi="Palatino Linotype" w:cs="Bookman Old Style"/>
          <w:i/>
          <w:sz w:val="20"/>
          <w:szCs w:val="20"/>
          <w:lang w:val="es-MX"/>
        </w:rPr>
        <w:t>…”</w:t>
      </w:r>
    </w:p>
    <w:p w14:paraId="3A636255" w14:textId="77777777" w:rsidR="0065736D" w:rsidRDefault="0065736D" w:rsidP="0065736D">
      <w:pPr>
        <w:spacing w:before="240" w:line="360" w:lineRule="auto"/>
        <w:jc w:val="both"/>
        <w:rPr>
          <w:rFonts w:ascii="Palatino Linotype" w:hAnsi="Palatino Linotype" w:cs="Arial"/>
        </w:rPr>
      </w:pPr>
      <w:r w:rsidRPr="00AC2171">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AC2171">
        <w:rPr>
          <w:rFonts w:ascii="Palatino Linotype" w:eastAsia="Calibri" w:hAnsi="Palatino Linotype" w:cs="Arial"/>
        </w:rPr>
        <w:t xml:space="preserve">estén </w:t>
      </w:r>
      <w:r w:rsidRPr="00AC2171">
        <w:rPr>
          <w:rFonts w:ascii="Palatino Linotype" w:hAnsi="Palatino Linotype" w:cs="Arial"/>
        </w:rPr>
        <w:t>protegidos, quien deberá adoptar las medidas de seguridad administrativa, física y técnica necesarias para garantizar la integridad, confidencialidad y disponi</w:t>
      </w:r>
      <w:r>
        <w:rPr>
          <w:rFonts w:ascii="Palatino Linotype" w:hAnsi="Palatino Linotype" w:cs="Arial"/>
        </w:rPr>
        <w:t>bilidad de los datos personales.</w:t>
      </w:r>
    </w:p>
    <w:p w14:paraId="11C02FF9" w14:textId="37B7248F" w:rsidR="0065736D" w:rsidRPr="0074668D" w:rsidRDefault="0065736D" w:rsidP="0065736D">
      <w:pPr>
        <w:spacing w:before="240" w:after="240" w:line="360" w:lineRule="auto"/>
        <w:jc w:val="both"/>
        <w:rPr>
          <w:rFonts w:ascii="Palatino Linotype" w:hAnsi="Palatino Linotype" w:cs="Arial"/>
          <w:sz w:val="22"/>
        </w:rPr>
      </w:pPr>
      <w:r>
        <w:rPr>
          <w:rFonts w:ascii="Palatino Linotype" w:hAnsi="Palatino Linotype" w:cs="Arial"/>
        </w:rPr>
        <w:t>Esto en el entendido de</w:t>
      </w:r>
      <w:r w:rsidRPr="0074668D">
        <w:rPr>
          <w:rFonts w:ascii="Palatino Linotype" w:hAnsi="Palatino Linotype" w:cs="Arial"/>
        </w:rPr>
        <w:t xml:space="preserve"> que</w:t>
      </w:r>
      <w:r>
        <w:rPr>
          <w:rFonts w:ascii="Palatino Linotype" w:hAnsi="Palatino Linotype" w:cs="Arial"/>
        </w:rPr>
        <w:t>,</w:t>
      </w:r>
      <w:r w:rsidRPr="0074668D">
        <w:rPr>
          <w:rFonts w:ascii="Palatino Linotype" w:hAnsi="Palatino Linotype" w:cs="Arial"/>
        </w:rPr>
        <w:t xml:space="preserve"> este Instituto debe cuidar que los datos personales que obren en poder de los Sujetos Obligados estén protegidos, quien</w:t>
      </w:r>
      <w:r>
        <w:rPr>
          <w:rFonts w:ascii="Palatino Linotype" w:hAnsi="Palatino Linotype" w:cs="Arial"/>
        </w:rPr>
        <w:t>es</w:t>
      </w:r>
      <w:r w:rsidRPr="0074668D">
        <w:rPr>
          <w:rFonts w:ascii="Palatino Linotype" w:hAnsi="Palatino Linotype" w:cs="Arial"/>
        </w:rPr>
        <w:t xml:space="preserve"> deberá</w:t>
      </w:r>
      <w:r>
        <w:rPr>
          <w:rFonts w:ascii="Palatino Linotype" w:hAnsi="Palatino Linotype" w:cs="Arial"/>
        </w:rPr>
        <w:t>n</w:t>
      </w:r>
      <w:r w:rsidRPr="0074668D">
        <w:rPr>
          <w:rFonts w:ascii="Palatino Linotype" w:hAnsi="Palatino Linotype" w:cs="Arial"/>
        </w:rPr>
        <w:t xml:space="preserve">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w:t>
      </w:r>
      <w:r w:rsidRPr="0074668D">
        <w:rPr>
          <w:rFonts w:ascii="Palatino Linotype" w:hAnsi="Palatino Linotype" w:cs="Arial"/>
        </w:rPr>
        <w:lastRenderedPageBreak/>
        <w:t>Ley, lo anterior en términos d</w:t>
      </w:r>
      <w:r w:rsidR="006B2F59">
        <w:rPr>
          <w:rFonts w:ascii="Palatino Linotype" w:hAnsi="Palatino Linotype" w:cs="Arial"/>
        </w:rPr>
        <w:t>e lo dispuesto por el artículo 3</w:t>
      </w:r>
      <w:r w:rsidRPr="0074668D">
        <w:rPr>
          <w:rFonts w:ascii="Palatino Linotype" w:hAnsi="Palatino Linotype" w:cs="Arial"/>
        </w:rPr>
        <w:t xml:space="preserve">8 de la Ley de Protección de Datos Personales </w:t>
      </w:r>
      <w:r w:rsidR="006B2F59">
        <w:rPr>
          <w:rFonts w:ascii="Palatino Linotype" w:hAnsi="Palatino Linotype" w:cs="Arial"/>
        </w:rPr>
        <w:t xml:space="preserve">en Posesión de Sujetos Obligados </w:t>
      </w:r>
      <w:r w:rsidRPr="0074668D">
        <w:rPr>
          <w:rFonts w:ascii="Palatino Linotype" w:hAnsi="Palatino Linotype" w:cs="Arial"/>
        </w:rPr>
        <w:t>del Estado de México</w:t>
      </w:r>
      <w:r w:rsidR="006B2F59">
        <w:rPr>
          <w:rFonts w:ascii="Palatino Linotype" w:hAnsi="Palatino Linotype" w:cs="Arial"/>
        </w:rPr>
        <w:t xml:space="preserve"> y Municipios</w:t>
      </w:r>
      <w:r>
        <w:rPr>
          <w:rFonts w:ascii="Palatino Linotype" w:hAnsi="Palatino Linotype" w:cs="Arial"/>
        </w:rPr>
        <w:t xml:space="preserve">. </w:t>
      </w:r>
    </w:p>
    <w:p w14:paraId="14FD15D0" w14:textId="77777777" w:rsidR="0065736D" w:rsidRPr="0074668D" w:rsidRDefault="0065736D" w:rsidP="0065736D">
      <w:pPr>
        <w:pStyle w:val="Sinespaciado"/>
        <w:spacing w:before="240" w:after="240" w:line="360" w:lineRule="auto"/>
        <w:jc w:val="both"/>
        <w:rPr>
          <w:rFonts w:ascii="Palatino Linotype" w:hAnsi="Palatino Linotype" w:cs="Arial"/>
        </w:rPr>
      </w:pPr>
      <w:r w:rsidRPr="0074668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C3A826F" w14:textId="77777777" w:rsidR="0065736D" w:rsidRDefault="0065736D" w:rsidP="0065736D">
      <w:pPr>
        <w:pStyle w:val="Sinespaciado"/>
        <w:spacing w:before="240" w:after="240" w:line="360" w:lineRule="auto"/>
        <w:jc w:val="both"/>
        <w:rPr>
          <w:rFonts w:ascii="Palatino Linotype" w:hAnsi="Palatino Linotype" w:cs="Arial"/>
        </w:rPr>
      </w:pPr>
      <w:r w:rsidRPr="0074668D">
        <w:rPr>
          <w:rFonts w:ascii="Palatino Linotype" w:hAnsi="Palatino Linotype" w:cs="Arial"/>
        </w:rPr>
        <w:t xml:space="preserve">En el caso específico, </w:t>
      </w:r>
      <w:r>
        <w:rPr>
          <w:rFonts w:ascii="Palatino Linotype" w:hAnsi="Palatino Linotype" w:cs="Arial"/>
        </w:rPr>
        <w:t xml:space="preserve">la documentación ordenada, si bien contiene la información solicitada, también podría advertirse información confidencial que haga identificada o identificable a una persona, la cual de manera enunciativa más no limitativa podría ser </w:t>
      </w:r>
      <w:r w:rsidRPr="0074668D">
        <w:rPr>
          <w:rFonts w:ascii="Palatino Linotype" w:hAnsi="Palatino Linotype" w:cs="Arial"/>
        </w:rPr>
        <w:t xml:space="preserve">el </w:t>
      </w:r>
      <w:r w:rsidRPr="0074668D">
        <w:rPr>
          <w:rFonts w:ascii="Palatino Linotype" w:hAnsi="Palatino Linotype" w:cs="Arial"/>
          <w:b/>
        </w:rPr>
        <w:t>Registro Federal de Contribuyentes</w:t>
      </w:r>
      <w:r w:rsidRPr="0074668D">
        <w:rPr>
          <w:rFonts w:ascii="Palatino Linotype" w:hAnsi="Palatino Linotype" w:cs="Arial"/>
        </w:rPr>
        <w:t xml:space="preserve"> (RFC), la </w:t>
      </w:r>
      <w:r w:rsidRPr="0074668D">
        <w:rPr>
          <w:rFonts w:ascii="Palatino Linotype" w:hAnsi="Palatino Linotype" w:cs="Arial"/>
          <w:b/>
        </w:rPr>
        <w:t>Clave Única de Registro de Población</w:t>
      </w:r>
      <w:r>
        <w:rPr>
          <w:rFonts w:ascii="Palatino Linotype" w:hAnsi="Palatino Linotype" w:cs="Arial"/>
        </w:rPr>
        <w:t xml:space="preserve"> (CURP), y</w:t>
      </w:r>
      <w:r w:rsidRPr="0074668D">
        <w:rPr>
          <w:rFonts w:ascii="Palatino Linotype" w:hAnsi="Palatino Linotype" w:cs="Arial"/>
        </w:rPr>
        <w:t xml:space="preserve"> la </w:t>
      </w:r>
      <w:r w:rsidRPr="0074668D">
        <w:rPr>
          <w:rFonts w:ascii="Palatino Linotype" w:hAnsi="Palatino Linotype" w:cs="Arial"/>
          <w:b/>
        </w:rPr>
        <w:t>Clave de cualquier tipo de seguridad social</w:t>
      </w:r>
      <w:r>
        <w:rPr>
          <w:rFonts w:ascii="Palatino Linotype" w:hAnsi="Palatino Linotype" w:cs="Arial"/>
        </w:rPr>
        <w:t xml:space="preserve"> (ISSEMYM, u otros); los cuales, </w:t>
      </w:r>
      <w:r w:rsidRPr="0074668D">
        <w:rPr>
          <w:rFonts w:ascii="Palatino Linotype" w:hAnsi="Palatino Linotype" w:cs="Arial"/>
        </w:rPr>
        <w:t>deben testarse al momento de la elaboración de versiones públicas</w:t>
      </w:r>
      <w:r>
        <w:rPr>
          <w:rFonts w:ascii="Palatino Linotype" w:hAnsi="Palatino Linotype" w:cs="Arial"/>
        </w:rPr>
        <w:t>.</w:t>
      </w:r>
    </w:p>
    <w:p w14:paraId="7BAACD2A" w14:textId="77777777" w:rsidR="0065736D" w:rsidRPr="0074668D" w:rsidRDefault="0065736D" w:rsidP="0065736D">
      <w:pPr>
        <w:autoSpaceDE w:val="0"/>
        <w:autoSpaceDN w:val="0"/>
        <w:adjustRightInd w:val="0"/>
        <w:spacing w:before="240" w:after="240" w:line="360" w:lineRule="auto"/>
        <w:jc w:val="both"/>
        <w:rPr>
          <w:rFonts w:ascii="Palatino Linotype" w:hAnsi="Palatino Linotype" w:cs="Arial"/>
        </w:rPr>
      </w:pPr>
      <w:r w:rsidRPr="0074668D">
        <w:rPr>
          <w:rFonts w:ascii="Palatino Linotype" w:hAnsi="Palatino Linotype" w:cs="Arial"/>
          <w:lang w:eastAsia="es-MX"/>
        </w:rPr>
        <w:t xml:space="preserve">En cuanto al </w:t>
      </w:r>
      <w:r>
        <w:rPr>
          <w:rFonts w:ascii="Palatino Linotype" w:hAnsi="Palatino Linotype" w:cs="Arial"/>
          <w:lang w:eastAsia="es-MX"/>
        </w:rPr>
        <w:t>Registro Federal de Contribuyentes, este</w:t>
      </w:r>
      <w:r w:rsidRPr="0074668D">
        <w:rPr>
          <w:rFonts w:ascii="Palatino Linotype" w:hAnsi="Palatino Linotype" w:cs="Arial"/>
          <w:lang w:eastAsia="es-MX"/>
        </w:rPr>
        <w:t xml:space="preserve"> constituye un dato personal, ya que para su obtención es necesario acreditar ante la autoridad fiscal previamente la identidad de la persona, su fecha de nacimiento, entre otros aspectos.</w:t>
      </w:r>
    </w:p>
    <w:p w14:paraId="628DB33A" w14:textId="77777777" w:rsidR="0065736D" w:rsidRPr="0074668D" w:rsidRDefault="0065736D" w:rsidP="0065736D">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w:t>
      </w:r>
      <w:r>
        <w:rPr>
          <w:rFonts w:ascii="Palatino Linotype" w:hAnsi="Palatino Linotype" w:cs="Arial"/>
          <w:lang w:eastAsia="es-MX"/>
        </w:rPr>
        <w:t>se</w:t>
      </w:r>
      <w:r w:rsidRPr="0074668D">
        <w:rPr>
          <w:rFonts w:ascii="Palatino Linotype" w:hAnsi="Palatino Linotype" w:cs="Arial"/>
          <w:lang w:eastAsia="es-MX"/>
        </w:rPr>
        <w:t xml:space="preserve"> identificable</w:t>
      </w:r>
      <w:r>
        <w:rPr>
          <w:rFonts w:ascii="Palatino Linotype" w:hAnsi="Palatino Linotype" w:cs="Arial"/>
          <w:lang w:eastAsia="es-MX"/>
        </w:rPr>
        <w:t>s</w:t>
      </w:r>
      <w:r w:rsidRPr="0074668D">
        <w:rPr>
          <w:rFonts w:ascii="Palatino Linotype" w:hAnsi="Palatino Linotype" w:cs="Arial"/>
          <w:lang w:eastAsia="es-MX"/>
        </w:rPr>
        <w:t xml:space="preserve"> respecto de una situación fiscal determinada.</w:t>
      </w:r>
    </w:p>
    <w:p w14:paraId="7121925B" w14:textId="471E8310" w:rsidR="0065736D" w:rsidRPr="0074668D" w:rsidRDefault="0065736D" w:rsidP="0065736D">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lastRenderedPageBreak/>
        <w:t xml:space="preserve">Lo anterior es compartido por el Instituto </w:t>
      </w:r>
      <w:r w:rsidR="00893F03">
        <w:rPr>
          <w:rFonts w:ascii="Palatino Linotype" w:hAnsi="Palatino Linotype" w:cs="Arial"/>
          <w:lang w:eastAsia="es-MX"/>
        </w:rPr>
        <w:t>Nacional</w:t>
      </w:r>
      <w:r w:rsidR="006B2F59">
        <w:rPr>
          <w:rFonts w:ascii="Palatino Linotype" w:hAnsi="Palatino Linotype" w:cs="Arial"/>
          <w:lang w:eastAsia="es-MX"/>
        </w:rPr>
        <w:t xml:space="preserve"> de Transparencia, </w:t>
      </w:r>
      <w:r w:rsidRPr="0074668D">
        <w:rPr>
          <w:rFonts w:ascii="Palatino Linotype" w:hAnsi="Palatino Linotype" w:cs="Arial"/>
          <w:lang w:eastAsia="es-MX"/>
        </w:rPr>
        <w:t>Acceso a la Información Pública y Protección de Datos Personales (</w:t>
      </w:r>
      <w:r>
        <w:rPr>
          <w:rFonts w:ascii="Palatino Linotype" w:hAnsi="Palatino Linotype" w:cs="Arial"/>
          <w:lang w:eastAsia="es-MX"/>
        </w:rPr>
        <w:t>I</w:t>
      </w:r>
      <w:r w:rsidR="006B2F59">
        <w:rPr>
          <w:rFonts w:ascii="Palatino Linotype" w:hAnsi="Palatino Linotype" w:cs="Arial"/>
          <w:lang w:eastAsia="es-MX"/>
        </w:rPr>
        <w:t>N</w:t>
      </w:r>
      <w:r>
        <w:rPr>
          <w:rFonts w:ascii="Palatino Linotype" w:hAnsi="Palatino Linotype" w:cs="Arial"/>
          <w:lang w:eastAsia="es-MX"/>
        </w:rPr>
        <w:t>AI</w:t>
      </w:r>
      <w:r w:rsidRPr="0074668D">
        <w:rPr>
          <w:rFonts w:ascii="Palatino Linotype" w:hAnsi="Palatino Linotype" w:cs="Arial"/>
          <w:lang w:eastAsia="es-MX"/>
        </w:rPr>
        <w:t xml:space="preserve">) a través del Criterio </w:t>
      </w:r>
      <w:r w:rsidR="006B2F59">
        <w:rPr>
          <w:rFonts w:ascii="Palatino Linotype" w:hAnsi="Palatino Linotype" w:cs="Arial"/>
          <w:lang w:eastAsia="es-MX"/>
        </w:rPr>
        <w:t>19-17</w:t>
      </w:r>
      <w:r w:rsidRPr="0074668D">
        <w:rPr>
          <w:rFonts w:ascii="Palatino Linotype" w:hAnsi="Palatino Linotype" w:cs="Arial"/>
          <w:lang w:eastAsia="es-MX"/>
        </w:rPr>
        <w:t>, el cual es del tenor literal siguiente:</w:t>
      </w:r>
    </w:p>
    <w:p w14:paraId="2FF8A88B" w14:textId="1E5EC83B" w:rsidR="0065736D" w:rsidRPr="00E63BCA" w:rsidRDefault="0065736D" w:rsidP="006B2F59">
      <w:pPr>
        <w:spacing w:after="120" w:line="360" w:lineRule="auto"/>
        <w:ind w:left="851" w:right="902"/>
        <w:jc w:val="both"/>
        <w:rPr>
          <w:rFonts w:ascii="Palatino Linotype" w:hAnsi="Palatino Linotype" w:cs="Arial"/>
          <w:i/>
          <w:sz w:val="20"/>
          <w:szCs w:val="20"/>
        </w:rPr>
      </w:pPr>
      <w:r w:rsidRPr="006B2F59">
        <w:rPr>
          <w:rFonts w:ascii="Palatino Linotype" w:hAnsi="Palatino Linotype" w:cs="Arial"/>
          <w:b/>
          <w:bCs/>
          <w:i/>
          <w:sz w:val="20"/>
          <w:szCs w:val="20"/>
        </w:rPr>
        <w:t>“</w:t>
      </w:r>
      <w:r w:rsidR="006B2F59" w:rsidRPr="006B2F59">
        <w:rPr>
          <w:rFonts w:ascii="Palatino Linotype" w:hAnsi="Palatino Linotype" w:cs="Arial"/>
          <w:b/>
          <w:bCs/>
          <w:i/>
          <w:sz w:val="20"/>
          <w:szCs w:val="20"/>
        </w:rPr>
        <w:t xml:space="preserve">Registro Federal de Contribuyentes (RFC) de personas físicas. </w:t>
      </w:r>
      <w:r w:rsidR="006B2F59" w:rsidRPr="006B2F59">
        <w:rPr>
          <w:rFonts w:ascii="Palatino Linotype" w:hAnsi="Palatino Linotype" w:cs="Arial"/>
          <w:bCs/>
          <w:i/>
          <w:sz w:val="20"/>
          <w:szCs w:val="20"/>
        </w:rPr>
        <w:t>E</w:t>
      </w:r>
      <w:r w:rsidR="006B2F59" w:rsidRPr="006B2F59">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6B2F59">
        <w:rPr>
          <w:rFonts w:ascii="Palatino Linotype" w:hAnsi="Palatino Linotype" w:cs="Arial"/>
          <w:bCs/>
          <w:i/>
          <w:sz w:val="20"/>
          <w:szCs w:val="20"/>
        </w:rPr>
        <w:t>”</w:t>
      </w:r>
      <w:r w:rsidRPr="00E63BCA">
        <w:rPr>
          <w:rFonts w:ascii="Palatino Linotype" w:hAnsi="Palatino Linotype" w:cs="Arial"/>
          <w:bCs/>
          <w:i/>
          <w:sz w:val="20"/>
          <w:szCs w:val="20"/>
        </w:rPr>
        <w:t xml:space="preserve"> (Sic)</w:t>
      </w:r>
    </w:p>
    <w:p w14:paraId="08A7FE5F" w14:textId="4E9E0FBD" w:rsidR="0065736D" w:rsidRPr="0074668D" w:rsidRDefault="0065736D" w:rsidP="0065736D">
      <w:pPr>
        <w:pStyle w:val="Sinespaciado"/>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Así, el RFC se v</w:t>
      </w:r>
      <w:r>
        <w:rPr>
          <w:rFonts w:ascii="Palatino Linotype" w:hAnsi="Palatino Linotype" w:cs="Arial"/>
          <w:lang w:eastAsia="es-MX"/>
        </w:rPr>
        <w:t xml:space="preserve">incula al nombre de su titular y </w:t>
      </w:r>
      <w:r w:rsidRPr="0074668D">
        <w:rPr>
          <w:rFonts w:ascii="Palatino Linotype" w:hAnsi="Palatino Linotype" w:cs="Arial"/>
          <w:lang w:eastAsia="es-MX"/>
        </w:rPr>
        <w:t xml:space="preserve">permite identificar la edad de la persona, su fecha de nacimiento, así como su </w:t>
      </w:r>
      <w:proofErr w:type="spellStart"/>
      <w:r w:rsidRPr="0074668D">
        <w:rPr>
          <w:rFonts w:ascii="Palatino Linotype" w:hAnsi="Palatino Linotype" w:cs="Arial"/>
          <w:lang w:eastAsia="es-MX"/>
        </w:rPr>
        <w:t>homoclave</w:t>
      </w:r>
      <w:proofErr w:type="spellEnd"/>
      <w:r w:rsidRPr="0074668D">
        <w:rPr>
          <w:rFonts w:ascii="Palatino Linotype" w:hAnsi="Palatino Linotype" w:cs="Arial"/>
          <w:lang w:eastAsia="es-MX"/>
        </w:rPr>
        <w:t xml:space="preserve">, la cual es única e irrepetible y determina la identificación de dicha persona para efectos fiscales, por lo </w:t>
      </w:r>
      <w:r>
        <w:rPr>
          <w:rFonts w:ascii="Palatino Linotype" w:hAnsi="Palatino Linotype" w:cs="Arial"/>
          <w:lang w:eastAsia="es-MX"/>
        </w:rPr>
        <w:t>que</w:t>
      </w:r>
      <w:r w:rsidRPr="0074668D">
        <w:rPr>
          <w:rFonts w:ascii="Palatino Linotype" w:hAnsi="Palatino Linotype" w:cs="Arial"/>
          <w:lang w:eastAsia="es-MX"/>
        </w:rPr>
        <w:t xml:space="preserve"> constituye un dato personal que concierne a una persona física identificada e identificable en términos de los artículos </w:t>
      </w:r>
      <w:r>
        <w:rPr>
          <w:rFonts w:ascii="Palatino Linotype" w:hAnsi="Palatino Linotype" w:cs="Arial"/>
          <w:lang w:eastAsia="es-MX"/>
        </w:rPr>
        <w:t>3</w:t>
      </w:r>
      <w:r w:rsidRPr="0074668D">
        <w:rPr>
          <w:rFonts w:ascii="Palatino Linotype" w:hAnsi="Palatino Linotype" w:cs="Arial"/>
          <w:lang w:eastAsia="es-MX"/>
        </w:rPr>
        <w:t>, fracción I</w:t>
      </w:r>
      <w:r>
        <w:rPr>
          <w:rFonts w:ascii="Palatino Linotype" w:hAnsi="Palatino Linotype" w:cs="Arial"/>
          <w:lang w:eastAsia="es-MX"/>
        </w:rPr>
        <w:t>X</w:t>
      </w:r>
      <w:r w:rsidRPr="0074668D">
        <w:rPr>
          <w:rFonts w:ascii="Palatino Linotype" w:hAnsi="Palatino Linotype" w:cs="Arial"/>
          <w:lang w:eastAsia="es-MX"/>
        </w:rPr>
        <w:t xml:space="preserve"> de la Ley de Transparencia y Acceso a la Información Pública del Estado de México y Municipios</w:t>
      </w:r>
      <w:r>
        <w:rPr>
          <w:rFonts w:ascii="Palatino Linotype" w:hAnsi="Palatino Linotype" w:cs="Arial"/>
          <w:lang w:eastAsia="es-MX"/>
        </w:rPr>
        <w:t xml:space="preserve"> </w:t>
      </w:r>
      <w:r w:rsidRPr="00365A02">
        <w:rPr>
          <w:rFonts w:ascii="Palatino Linotype" w:hAnsi="Palatino Linotype" w:cs="Arial"/>
        </w:rPr>
        <w:t xml:space="preserve">publicada el día cuatro de mayo de dos mil dieciséis, </w:t>
      </w:r>
      <w:r w:rsidRPr="0074668D">
        <w:rPr>
          <w:rFonts w:ascii="Palatino Linotype" w:hAnsi="Palatino Linotype" w:cs="Arial"/>
          <w:lang w:eastAsia="es-MX"/>
        </w:rPr>
        <w:t xml:space="preserve">y  </w:t>
      </w:r>
      <w:r w:rsidR="006B2F59">
        <w:rPr>
          <w:rFonts w:ascii="Palatino Linotype" w:hAnsi="Palatino Linotype" w:cs="Arial"/>
        </w:rPr>
        <w:t>4 fracción XII de la Ley de Protección de Datos Personales en Posesión de Sujetos Obligados del Estado de México y Municipios</w:t>
      </w:r>
      <w:r w:rsidRPr="0074668D">
        <w:rPr>
          <w:rFonts w:ascii="Palatino Linotype" w:hAnsi="Palatino Linotype" w:cs="Arial"/>
          <w:lang w:eastAsia="es-MX"/>
        </w:rPr>
        <w:t>.</w:t>
      </w:r>
    </w:p>
    <w:p w14:paraId="2FD63949" w14:textId="77777777" w:rsidR="0065736D" w:rsidRPr="0074668D" w:rsidRDefault="0065736D" w:rsidP="0065736D">
      <w:pPr>
        <w:pStyle w:val="Sinespaciado"/>
        <w:spacing w:before="240" w:after="240" w:line="360" w:lineRule="auto"/>
        <w:jc w:val="both"/>
        <w:rPr>
          <w:rFonts w:ascii="Palatino Linotype" w:eastAsia="Calibri" w:hAnsi="Palatino Linotype" w:cs="Arial"/>
          <w:lang w:eastAsia="es-MX"/>
        </w:rPr>
      </w:pPr>
      <w:r>
        <w:rPr>
          <w:rFonts w:ascii="Palatino Linotype" w:hAnsi="Palatino Linotype" w:cs="Arial"/>
          <w:lang w:eastAsia="es-MX"/>
        </w:rPr>
        <w:t>En cuanto a</w:t>
      </w:r>
      <w:r w:rsidRPr="0074668D">
        <w:rPr>
          <w:rFonts w:ascii="Palatino Linotype" w:hAnsi="Palatino Linotype" w:cs="Arial"/>
          <w:lang w:eastAsia="es-MX"/>
        </w:rPr>
        <w:t xml:space="preserve">l </w:t>
      </w:r>
      <w:r w:rsidRPr="0074668D">
        <w:rPr>
          <w:rFonts w:ascii="Palatino Linotype" w:hAnsi="Palatino Linotype" w:cs="Arial"/>
        </w:rPr>
        <w:t>C</w:t>
      </w:r>
      <w:r>
        <w:rPr>
          <w:rFonts w:ascii="Palatino Linotype" w:hAnsi="Palatino Linotype" w:cs="Arial"/>
        </w:rPr>
        <w:t xml:space="preserve">lave </w:t>
      </w:r>
      <w:r w:rsidRPr="0074668D">
        <w:rPr>
          <w:rFonts w:ascii="Palatino Linotype" w:hAnsi="Palatino Linotype" w:cs="Arial"/>
        </w:rPr>
        <w:t>Ú</w:t>
      </w:r>
      <w:r>
        <w:rPr>
          <w:rFonts w:ascii="Palatino Linotype" w:hAnsi="Palatino Linotype" w:cs="Arial"/>
        </w:rPr>
        <w:t xml:space="preserve">nica de </w:t>
      </w:r>
      <w:r w:rsidRPr="0074668D">
        <w:rPr>
          <w:rFonts w:ascii="Palatino Linotype" w:hAnsi="Palatino Linotype" w:cs="Arial"/>
        </w:rPr>
        <w:t>R</w:t>
      </w:r>
      <w:r>
        <w:rPr>
          <w:rFonts w:ascii="Palatino Linotype" w:hAnsi="Palatino Linotype" w:cs="Arial"/>
        </w:rPr>
        <w:t xml:space="preserve">egistro de </w:t>
      </w:r>
      <w:r w:rsidRPr="0074668D">
        <w:rPr>
          <w:rFonts w:ascii="Palatino Linotype" w:hAnsi="Palatino Linotype" w:cs="Arial"/>
        </w:rPr>
        <w:t>P</w:t>
      </w:r>
      <w:r>
        <w:rPr>
          <w:rFonts w:ascii="Palatino Linotype" w:hAnsi="Palatino Linotype" w:cs="Arial"/>
        </w:rPr>
        <w:t>oblación (CURP),</w:t>
      </w:r>
      <w:r w:rsidRPr="0074668D">
        <w:rPr>
          <w:rFonts w:ascii="Palatino Linotype" w:hAnsi="Palatino Linotype" w:cs="Arial"/>
        </w:rPr>
        <w:t xml:space="preserve"> en virtud de que éste se </w:t>
      </w:r>
      <w:r w:rsidRPr="0074668D">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A017424" w14:textId="77777777" w:rsidR="006B2F59" w:rsidRPr="008F2BA9" w:rsidRDefault="006B2F59" w:rsidP="006B2F59">
      <w:pPr>
        <w:spacing w:before="240" w:after="240" w:line="360" w:lineRule="auto"/>
        <w:jc w:val="both"/>
        <w:rPr>
          <w:rFonts w:ascii="Palatino Linotype" w:hAnsi="Palatino Linotype" w:cs="Arial"/>
        </w:rPr>
      </w:pPr>
      <w:r w:rsidRPr="008F2BA9">
        <w:rPr>
          <w:rFonts w:ascii="Palatino Linotype" w:hAnsi="Palatino Linotype" w:cs="Arial"/>
        </w:rPr>
        <w:lastRenderedPageBreak/>
        <w:t xml:space="preserve">Argumento que es compartido por el </w:t>
      </w:r>
      <w:r w:rsidRPr="008F2BA9">
        <w:rPr>
          <w:rFonts w:ascii="Palatino Linotype" w:hAnsi="Palatino Linotype" w:cs="Arial"/>
          <w:lang w:eastAsia="es-MX"/>
        </w:rPr>
        <w:t xml:space="preserve">Instituto </w:t>
      </w:r>
      <w:r>
        <w:rPr>
          <w:rFonts w:ascii="Palatino Linotype" w:hAnsi="Palatino Linotype" w:cs="Arial"/>
          <w:lang w:eastAsia="es-MX"/>
        </w:rPr>
        <w:t xml:space="preserve">Nacional de Transparencia, </w:t>
      </w:r>
      <w:r w:rsidRPr="008F2BA9">
        <w:rPr>
          <w:rFonts w:ascii="Palatino Linotype" w:hAnsi="Palatino Linotype" w:cs="Arial"/>
          <w:lang w:eastAsia="es-MX"/>
        </w:rPr>
        <w:t>Acceso a la Información Pública y Protección de Datos Personales (I</w:t>
      </w:r>
      <w:r>
        <w:rPr>
          <w:rFonts w:ascii="Palatino Linotype" w:hAnsi="Palatino Linotype" w:cs="Arial"/>
          <w:lang w:eastAsia="es-MX"/>
        </w:rPr>
        <w:t>N</w:t>
      </w:r>
      <w:r w:rsidRPr="008F2BA9">
        <w:rPr>
          <w:rFonts w:ascii="Palatino Linotype" w:hAnsi="Palatino Linotype" w:cs="Arial"/>
          <w:lang w:eastAsia="es-MX"/>
        </w:rPr>
        <w:t>AI)</w:t>
      </w:r>
      <w:r w:rsidRPr="008F2BA9">
        <w:rPr>
          <w:rFonts w:ascii="Palatino Linotype" w:hAnsi="Palatino Linotype" w:cs="Arial"/>
          <w:bCs/>
        </w:rPr>
        <w:t xml:space="preserve">, conforme al </w:t>
      </w:r>
      <w:r w:rsidRPr="008F2BA9">
        <w:rPr>
          <w:rFonts w:ascii="Palatino Linotype" w:hAnsi="Palatino Linotype" w:cs="Arial"/>
        </w:rPr>
        <w:t xml:space="preserve">criterio número </w:t>
      </w:r>
      <w:r>
        <w:rPr>
          <w:rFonts w:ascii="Palatino Linotype" w:hAnsi="Palatino Linotype" w:cs="Arial"/>
        </w:rPr>
        <w:t>18-17</w:t>
      </w:r>
      <w:r w:rsidRPr="008F2BA9">
        <w:rPr>
          <w:rFonts w:ascii="Palatino Linotype" w:hAnsi="Palatino Linotype" w:cs="Arial"/>
        </w:rPr>
        <w:t xml:space="preserve">, el cual refiere: </w:t>
      </w:r>
    </w:p>
    <w:p w14:paraId="64D15C9F" w14:textId="77777777" w:rsidR="006B2F59" w:rsidRPr="00716040" w:rsidRDefault="006B2F59" w:rsidP="006B2F59">
      <w:pPr>
        <w:pStyle w:val="Default"/>
        <w:spacing w:after="120"/>
        <w:ind w:left="851" w:right="902"/>
        <w:jc w:val="both"/>
        <w:rPr>
          <w:b/>
        </w:rPr>
      </w:pPr>
      <w:r w:rsidRPr="00716040">
        <w:rPr>
          <w:rFonts w:ascii="Palatino Linotype" w:hAnsi="Palatino Linotype"/>
          <w:b/>
          <w:bCs/>
          <w:i/>
          <w:sz w:val="20"/>
          <w:szCs w:val="20"/>
          <w:lang w:eastAsia="es-MX"/>
        </w:rPr>
        <w:t>“</w:t>
      </w:r>
      <w:r w:rsidRPr="00716040">
        <w:rPr>
          <w:rFonts w:ascii="Palatino Linotype" w:hAnsi="Palatino Linotype"/>
          <w:b/>
          <w:bCs/>
          <w:i/>
          <w:sz w:val="20"/>
          <w:szCs w:val="20"/>
        </w:rPr>
        <w:t xml:space="preserve">Clave Única de Registro de Población (CURP). </w:t>
      </w:r>
      <w:r w:rsidRPr="00716040">
        <w:rPr>
          <w:rFonts w:ascii="Palatino Linotype" w:hAnsi="Palatino Linotype"/>
          <w:bCs/>
          <w:i/>
          <w:sz w:val="20"/>
          <w:szCs w:val="20"/>
        </w:rPr>
        <w:t xml:space="preserve">La </w:t>
      </w:r>
      <w:r w:rsidRPr="00716040">
        <w:rPr>
          <w:rFonts w:ascii="Palatino Linotype" w:hAnsi="Palatino Linotype"/>
          <w:i/>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716040">
        <w:rPr>
          <w:rFonts w:ascii="Palatino Linotype" w:hAnsi="Palatino Linotype"/>
          <w:i/>
          <w:sz w:val="20"/>
          <w:szCs w:val="20"/>
          <w:lang w:eastAsia="es-MX"/>
        </w:rPr>
        <w:t>”</w:t>
      </w:r>
      <w:r w:rsidRPr="008F2BA9">
        <w:rPr>
          <w:rFonts w:ascii="Palatino Linotype" w:hAnsi="Palatino Linotype"/>
          <w:i/>
          <w:sz w:val="22"/>
          <w:lang w:eastAsia="es-MX"/>
        </w:rPr>
        <w:t xml:space="preserve"> (Sic)</w:t>
      </w:r>
    </w:p>
    <w:p w14:paraId="77B4317B" w14:textId="77777777" w:rsidR="0065736D" w:rsidRPr="0074668D" w:rsidRDefault="0065736D" w:rsidP="0065736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Finalmente, p</w:t>
      </w:r>
      <w:r w:rsidRPr="0074668D">
        <w:rPr>
          <w:rFonts w:ascii="Palatino Linotype" w:hAnsi="Palatino Linotype" w:cs="Arial"/>
        </w:rPr>
        <w:t>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6DB3C1C" w14:textId="77777777" w:rsidR="0065736D" w:rsidRPr="007E5B97" w:rsidRDefault="0065736D" w:rsidP="0065736D">
      <w:pPr>
        <w:spacing w:before="240" w:after="360" w:line="360" w:lineRule="auto"/>
        <w:jc w:val="both"/>
        <w:rPr>
          <w:rFonts w:ascii="Palatino Linotype" w:hAnsi="Palatino Linotype" w:cs="Arial"/>
        </w:rPr>
      </w:pPr>
      <w:r w:rsidRPr="007E5B97">
        <w:rPr>
          <w:rFonts w:ascii="Palatino Linotype" w:hAnsi="Palatino Linotype" w:cs="Arial"/>
        </w:rPr>
        <w:t xml:space="preserve">Por lo tanto, la entrega de documentos en su versión pública debe acompañarse necesariamente del Acuerdo del Comité de </w:t>
      </w:r>
      <w:r>
        <w:rPr>
          <w:rFonts w:ascii="Palatino Linotype" w:hAnsi="Palatino Linotype" w:cs="Arial"/>
        </w:rPr>
        <w:t>Transparencia</w:t>
      </w:r>
      <w:r w:rsidRPr="007E5B97">
        <w:rPr>
          <w:rFonts w:ascii="Palatino Linotype" w:hAnsi="Palatino Linotype" w:cs="Arial"/>
        </w:rPr>
        <w:t xml:space="preserve">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39DE4E6" w14:textId="77777777" w:rsidR="0065736D" w:rsidRDefault="0065736D" w:rsidP="0065736D">
      <w:pPr>
        <w:pStyle w:val="Prrafodelista"/>
        <w:spacing w:before="240" w:after="360" w:line="360" w:lineRule="auto"/>
        <w:ind w:left="0"/>
        <w:jc w:val="both"/>
        <w:rPr>
          <w:rFonts w:ascii="Palatino Linotype" w:hAnsi="Palatino Linotype" w:cs="Arial"/>
        </w:rPr>
      </w:pPr>
      <w:r w:rsidRPr="007E5B97">
        <w:rPr>
          <w:rFonts w:ascii="Palatino Linotype" w:hAnsi="Palatino Linotype" w:cs="Arial"/>
        </w:rPr>
        <w:lastRenderedPageBreak/>
        <w:t xml:space="preserve">Entonces, para la clasificación </w:t>
      </w:r>
      <w:r>
        <w:rPr>
          <w:rFonts w:ascii="Palatino Linotype" w:hAnsi="Palatino Linotype" w:cs="Arial"/>
        </w:rPr>
        <w:t xml:space="preserve">de la información </w:t>
      </w:r>
      <w:r w:rsidRPr="007E5B97">
        <w:rPr>
          <w:rFonts w:ascii="Palatino Linotype" w:hAnsi="Palatino Linotype" w:cs="Arial"/>
        </w:rPr>
        <w:t xml:space="preserve">como </w:t>
      </w:r>
      <w:r>
        <w:rPr>
          <w:rFonts w:ascii="Palatino Linotype" w:hAnsi="Palatino Linotype" w:cs="Arial"/>
        </w:rPr>
        <w:t>confidencial</w:t>
      </w:r>
      <w:r w:rsidRPr="007E5B97">
        <w:rPr>
          <w:rFonts w:ascii="Palatino Linotype" w:hAnsi="Palatino Linotype" w:cs="Arial"/>
        </w:rPr>
        <w:t xml:space="preserve"> </w:t>
      </w:r>
      <w:r>
        <w:rPr>
          <w:rFonts w:ascii="Palatino Linotype" w:hAnsi="Palatino Linotype" w:cs="Arial"/>
        </w:rPr>
        <w:t>y reservada</w:t>
      </w:r>
      <w:r w:rsidRPr="007E5B97">
        <w:rPr>
          <w:rFonts w:ascii="Palatino Linotype" w:hAnsi="Palatino Linotype" w:cs="Arial"/>
        </w:rPr>
        <w:t xml:space="preserve">, el Sujeto Obligado debe seguir el procedimiento legal </w:t>
      </w:r>
      <w:r>
        <w:rPr>
          <w:rFonts w:ascii="Palatino Linotype" w:hAnsi="Palatino Linotype" w:cs="Arial"/>
        </w:rPr>
        <w:t>establecido para su declaración, e</w:t>
      </w:r>
      <w:r w:rsidRPr="007E5B97">
        <w:rPr>
          <w:rFonts w:ascii="Palatino Linotype" w:hAnsi="Palatino Linotype" w:cs="Arial"/>
        </w:rPr>
        <w:t xml:space="preserve">s decir, es necesario que el Comité de </w:t>
      </w:r>
      <w:r>
        <w:rPr>
          <w:rFonts w:ascii="Palatino Linotype" w:hAnsi="Palatino Linotype" w:cs="Arial"/>
        </w:rPr>
        <w:t>Transparencia</w:t>
      </w:r>
      <w:r w:rsidRPr="007E5B97">
        <w:rPr>
          <w:rFonts w:ascii="Palatino Linotype" w:hAnsi="Palatino Linotype" w:cs="Arial"/>
        </w:rPr>
        <w:t xml:space="preserve"> emita un acuerdo de clasificación que cumpla con las formalidades previstas en los artículos </w:t>
      </w:r>
      <w:r>
        <w:rPr>
          <w:rFonts w:ascii="Palatino Linotype" w:hAnsi="Palatino Linotype" w:cs="Arial"/>
        </w:rPr>
        <w:t>137, 140 y</w:t>
      </w:r>
      <w:r w:rsidRPr="00213722">
        <w:rPr>
          <w:rFonts w:ascii="Palatino Linotype" w:hAnsi="Palatino Linotype" w:cs="Arial"/>
        </w:rPr>
        <w:t xml:space="preserve"> 149</w:t>
      </w:r>
      <w:r w:rsidRPr="007E5B97">
        <w:rPr>
          <w:rFonts w:ascii="Palatino Linotype" w:hAnsi="Palatino Linotype" w:cs="Arial"/>
        </w:rPr>
        <w:t xml:space="preserve"> de la Ley de Transparencia y Acceso a la Información Pública del Estado de México y Municipios</w:t>
      </w:r>
      <w:r>
        <w:rPr>
          <w:rFonts w:ascii="Palatino Linotype" w:hAnsi="Palatino Linotype" w:cs="Arial"/>
        </w:rPr>
        <w:t>.</w:t>
      </w:r>
    </w:p>
    <w:p w14:paraId="4B632684" w14:textId="22DCA6E4" w:rsidR="0065736D" w:rsidRPr="0031046F" w:rsidRDefault="0065736D" w:rsidP="0065736D">
      <w:pPr>
        <w:spacing w:before="240" w:after="240" w:line="360" w:lineRule="auto"/>
        <w:jc w:val="both"/>
        <w:rPr>
          <w:rFonts w:ascii="Palatino Linotype" w:hAnsi="Palatino Linotype"/>
        </w:rPr>
      </w:pPr>
      <w:r>
        <w:rPr>
          <w:rFonts w:ascii="Palatino Linotype" w:hAnsi="Palatino Linotype"/>
        </w:rPr>
        <w:t xml:space="preserve">Por lo expuesto y fundado, con fundamento en lo dispuesto en el artículo 186 fracción III de la Ley de Transparencia y acceso a la Información Pública del Estado de México y Municipios, resulta procedente </w:t>
      </w:r>
      <w:r w:rsidR="00176A7B">
        <w:rPr>
          <w:rFonts w:ascii="Palatino Linotype" w:hAnsi="Palatino Linotype"/>
          <w:b/>
        </w:rPr>
        <w:t>MODIFI</w:t>
      </w:r>
      <w:r>
        <w:rPr>
          <w:rFonts w:ascii="Palatino Linotype" w:hAnsi="Palatino Linotype"/>
          <w:b/>
        </w:rPr>
        <w:t xml:space="preserve">CAR </w:t>
      </w:r>
      <w:r>
        <w:rPr>
          <w:rFonts w:ascii="Palatino Linotype" w:hAnsi="Palatino Linotype"/>
        </w:rPr>
        <w:t xml:space="preserve">la respuesta emitida por el </w:t>
      </w:r>
      <w:r w:rsidR="00CC6E3C" w:rsidRPr="00CC6E3C">
        <w:rPr>
          <w:rFonts w:ascii="Palatino Linotype" w:hAnsi="Palatino Linotype"/>
          <w:sz w:val="22"/>
          <w:szCs w:val="22"/>
          <w:lang w:val="es-ES_tradnl"/>
        </w:rPr>
        <w:t>Organismo Descentralizado de Agua Potable Alcantarillado y Saneamiento</w:t>
      </w:r>
      <w:r>
        <w:rPr>
          <w:rFonts w:ascii="Palatino Linotype" w:hAnsi="Palatino Linotype"/>
        </w:rPr>
        <w:t xml:space="preserve"> de Valle de Chalco Solidaridad, a efecto de que haga entrega </w:t>
      </w:r>
      <w:r w:rsidR="006B2F59">
        <w:rPr>
          <w:rFonts w:ascii="Palatino Linotype" w:hAnsi="Palatino Linotype"/>
        </w:rPr>
        <w:t xml:space="preserve">soporte documental emitido en el ejercicio de las funciones que tiene encomendadas, </w:t>
      </w:r>
      <w:r w:rsidR="002801D2">
        <w:rPr>
          <w:rFonts w:ascii="Palatino Linotype" w:hAnsi="Palatino Linotype"/>
        </w:rPr>
        <w:t xml:space="preserve">que contenga la nómina de personal de confianza y sindicalizado, lista de raya, </w:t>
      </w:r>
      <w:r w:rsidRPr="00AA4B65">
        <w:rPr>
          <w:rFonts w:ascii="Palatino Linotype" w:hAnsi="Palatino Linotype"/>
        </w:rPr>
        <w:t xml:space="preserve"> </w:t>
      </w:r>
      <w:r>
        <w:rPr>
          <w:rFonts w:ascii="Palatino Linotype" w:hAnsi="Palatino Linotype"/>
        </w:rPr>
        <w:t xml:space="preserve">contratado por honorarios asimilados a salarios, del que se desprenda nombre, área de asignación y </w:t>
      </w:r>
      <w:r w:rsidR="002801D2">
        <w:rPr>
          <w:rFonts w:ascii="Palatino Linotype" w:hAnsi="Palatino Linotype"/>
        </w:rPr>
        <w:t>salario neto y bruto.</w:t>
      </w:r>
    </w:p>
    <w:p w14:paraId="1BD4809D" w14:textId="63AB4F0A" w:rsidR="00DF134A" w:rsidRDefault="00DF134A" w:rsidP="00F47385">
      <w:pPr>
        <w:shd w:val="clear" w:color="auto" w:fill="FFFFFF"/>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sidR="00F00F13">
        <w:rPr>
          <w:rFonts w:ascii="Palatino Linotype" w:hAnsi="Palatino Linotype" w:cs="Arial"/>
          <w:lang w:eastAsia="es-MX"/>
        </w:rPr>
        <w:t>vigésimo, vigésimo primero y vigésimo segundo</w:t>
      </w:r>
      <w:r w:rsidRPr="0040233B">
        <w:rPr>
          <w:rFonts w:ascii="Palatino Linotype" w:hAnsi="Palatino Linotype" w:cs="Arial"/>
          <w:lang w:eastAsia="es-MX"/>
        </w:rPr>
        <w:t xml:space="preserve"> de la Constitución Política del Estado Libre y Soberano de México; 2, fracción II; 29, 36 fracciones I y II; 176, 178, 179, 181</w:t>
      </w:r>
      <w:r w:rsidR="00E6267E">
        <w:rPr>
          <w:rFonts w:ascii="Palatino Linotype" w:hAnsi="Palatino Linotype" w:cs="Arial"/>
          <w:lang w:eastAsia="es-MX"/>
        </w:rPr>
        <w:t xml:space="preserve"> y</w:t>
      </w:r>
      <w:r w:rsidRPr="0040233B">
        <w:rPr>
          <w:rFonts w:ascii="Palatino Linotype" w:hAnsi="Palatino Linotype" w:cs="Arial"/>
          <w:lang w:eastAsia="es-MX"/>
        </w:rPr>
        <w:t xml:space="preserve"> 185 de la Ley de Transparencia y Acceso a la Información Pública del Estado de México y Municipios, este Pleno:</w:t>
      </w:r>
    </w:p>
    <w:p w14:paraId="175481B3" w14:textId="77777777" w:rsidR="00DF134A" w:rsidRPr="0040233B" w:rsidRDefault="00DF134A" w:rsidP="00DF134A">
      <w:pPr>
        <w:pStyle w:val="Prrafodelista"/>
        <w:spacing w:before="240" w:after="240" w:line="360" w:lineRule="auto"/>
        <w:ind w:left="0"/>
        <w:jc w:val="center"/>
        <w:rPr>
          <w:rFonts w:ascii="Palatino Linotype" w:hAnsi="Palatino Linotype" w:cs="Arial"/>
          <w:b/>
        </w:rPr>
      </w:pPr>
      <w:r w:rsidRPr="0040233B">
        <w:rPr>
          <w:rFonts w:ascii="Palatino Linotype" w:hAnsi="Palatino Linotype" w:cs="Arial"/>
          <w:b/>
        </w:rPr>
        <w:t>R E S U E L V E</w:t>
      </w:r>
    </w:p>
    <w:p w14:paraId="06EAF54A" w14:textId="4B6E2A3E" w:rsidR="00EB1D3A" w:rsidRPr="0040233B" w:rsidRDefault="00EB1D3A" w:rsidP="00EB1D3A">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lastRenderedPageBreak/>
        <w:t>PRIMERO</w:t>
      </w:r>
      <w:r w:rsidRPr="0040233B">
        <w:rPr>
          <w:rFonts w:ascii="Palatino Linotype" w:hAnsi="Palatino Linotype" w:cs="Arial"/>
          <w:sz w:val="28"/>
        </w:rPr>
        <w:t xml:space="preserve">. </w:t>
      </w:r>
      <w:r w:rsidRPr="002C4011">
        <w:rPr>
          <w:rFonts w:ascii="Palatino Linotype" w:hAnsi="Palatino Linotype" w:cs="Arial"/>
          <w:bCs/>
          <w:lang w:eastAsia="es-MX"/>
        </w:rPr>
        <w:t>Resulta</w:t>
      </w:r>
      <w:r>
        <w:rPr>
          <w:rFonts w:ascii="Palatino Linotype" w:hAnsi="Palatino Linotype" w:cs="Arial"/>
          <w:bCs/>
          <w:lang w:eastAsia="es-MX"/>
        </w:rPr>
        <w:t>n</w:t>
      </w:r>
      <w:r w:rsidRPr="002C4011">
        <w:rPr>
          <w:rFonts w:ascii="Palatino Linotype" w:hAnsi="Palatino Linotype" w:cs="Arial"/>
          <w:bCs/>
          <w:lang w:eastAsia="es-MX"/>
        </w:rPr>
        <w:t xml:space="preserve"> </w:t>
      </w:r>
      <w:r w:rsidR="005C2EC3">
        <w:rPr>
          <w:rFonts w:ascii="Palatino Linotype" w:hAnsi="Palatino Linotype" w:cs="Arial"/>
          <w:bCs/>
          <w:lang w:eastAsia="es-MX"/>
        </w:rPr>
        <w:t xml:space="preserve">parcialmente </w:t>
      </w:r>
      <w:r>
        <w:rPr>
          <w:rFonts w:ascii="Palatino Linotype" w:hAnsi="Palatino Linotype" w:cs="Arial"/>
          <w:bCs/>
          <w:lang w:eastAsia="es-MX"/>
        </w:rPr>
        <w:t xml:space="preserve">fundados los motivos </w:t>
      </w:r>
      <w:r w:rsidRPr="004B7C83">
        <w:rPr>
          <w:rFonts w:ascii="Palatino Linotype" w:hAnsi="Palatino Linotype" w:cs="Arial"/>
          <w:bCs/>
          <w:lang w:eastAsia="es-MX"/>
        </w:rPr>
        <w:t xml:space="preserve">de inconformidad </w:t>
      </w:r>
      <w:r>
        <w:rPr>
          <w:rFonts w:ascii="Palatino Linotype" w:hAnsi="Palatino Linotype" w:cs="Arial"/>
          <w:bCs/>
          <w:lang w:eastAsia="es-MX"/>
        </w:rPr>
        <w:t xml:space="preserve">planteados por </w:t>
      </w:r>
      <w:r w:rsidR="00362E37">
        <w:rPr>
          <w:rFonts w:ascii="Palatino Linotype" w:hAnsi="Palatino Linotype" w:cs="Arial"/>
          <w:bCs/>
          <w:lang w:eastAsia="es-MX"/>
        </w:rPr>
        <w:t>el</w:t>
      </w:r>
      <w:r w:rsidRPr="004B7C83">
        <w:rPr>
          <w:rFonts w:ascii="Palatino Linotype" w:hAnsi="Palatino Linotype" w:cs="Arial"/>
          <w:bCs/>
          <w:lang w:eastAsia="es-MX"/>
        </w:rPr>
        <w:t xml:space="preserve"> </w:t>
      </w:r>
      <w:r>
        <w:rPr>
          <w:rFonts w:ascii="Palatino Linotype" w:hAnsi="Palatino Linotype" w:cs="Arial"/>
          <w:b/>
          <w:bCs/>
          <w:i/>
          <w:lang w:eastAsia="es-MX"/>
        </w:rPr>
        <w:t>R</w:t>
      </w:r>
      <w:r w:rsidRPr="00EB3E96">
        <w:rPr>
          <w:rFonts w:ascii="Palatino Linotype" w:hAnsi="Palatino Linotype" w:cs="Arial"/>
          <w:b/>
          <w:bCs/>
          <w:i/>
          <w:lang w:eastAsia="es-MX"/>
        </w:rPr>
        <w:t>ecurrente</w:t>
      </w:r>
      <w:r>
        <w:rPr>
          <w:rFonts w:ascii="Palatino Linotype" w:hAnsi="Palatino Linotype" w:cs="Arial"/>
        </w:rPr>
        <w:t xml:space="preserve">, en términos del Considerando CUARTO de esta resolución, por lo que </w:t>
      </w:r>
      <w:r w:rsidRPr="00CD59DC">
        <w:rPr>
          <w:rFonts w:ascii="Palatino Linotype" w:hAnsi="Palatino Linotype" w:cs="Arial"/>
        </w:rPr>
        <w:t xml:space="preserve">se determina </w:t>
      </w:r>
      <w:r w:rsidR="005C2EC3">
        <w:rPr>
          <w:rFonts w:ascii="Palatino Linotype" w:hAnsi="Palatino Linotype" w:cs="Arial"/>
          <w:b/>
          <w:color w:val="000000" w:themeColor="text1"/>
        </w:rPr>
        <w:t>MODIFIC</w:t>
      </w:r>
      <w:r w:rsidRPr="00213D2C">
        <w:rPr>
          <w:rFonts w:ascii="Palatino Linotype" w:hAnsi="Palatino Linotype" w:cs="Arial"/>
          <w:b/>
          <w:color w:val="000000" w:themeColor="text1"/>
        </w:rPr>
        <w:t>AR</w:t>
      </w:r>
      <w:r w:rsidRPr="00CD59DC">
        <w:rPr>
          <w:rFonts w:ascii="Palatino Linotype" w:hAnsi="Palatino Linotype" w:cs="Arial"/>
          <w:b/>
        </w:rPr>
        <w:t xml:space="preserve"> </w:t>
      </w:r>
      <w:r>
        <w:rPr>
          <w:rFonts w:ascii="Palatino Linotype" w:hAnsi="Palatino Linotype" w:cs="Arial"/>
        </w:rPr>
        <w:t xml:space="preserve">la respuesta emitida por </w:t>
      </w:r>
      <w:r w:rsidR="00F068B3">
        <w:rPr>
          <w:rFonts w:ascii="Palatino Linotype" w:hAnsi="Palatino Linotype" w:cs="Arial"/>
        </w:rPr>
        <w:t>e</w:t>
      </w:r>
      <w:r>
        <w:rPr>
          <w:rFonts w:ascii="Palatino Linotype" w:hAnsi="Palatino Linotype" w:cs="Arial"/>
        </w:rPr>
        <w:t xml:space="preserve">l </w:t>
      </w:r>
      <w:r w:rsidR="00425BCD">
        <w:rPr>
          <w:rFonts w:ascii="Palatino Linotype" w:hAnsi="Palatino Linotype" w:cs="Arial"/>
        </w:rPr>
        <w:t>Organismo Descentralizado de Agua Potable Alcantarillado y Saneamiento de Valle de Chalco Solidaridad</w:t>
      </w:r>
      <w:r>
        <w:rPr>
          <w:rFonts w:ascii="Palatino Linotype" w:hAnsi="Palatino Linotype" w:cs="Arial"/>
        </w:rPr>
        <w:t>.</w:t>
      </w:r>
    </w:p>
    <w:p w14:paraId="7ED0D1CD" w14:textId="5553D188" w:rsidR="00EB1D3A" w:rsidRPr="000D40FE" w:rsidRDefault="00EB1D3A" w:rsidP="00EB1D3A">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sz w:val="28"/>
          <w:szCs w:val="28"/>
          <w:lang w:val="es-MX" w:eastAsia="es-MX"/>
        </w:rPr>
        <w:t>SEGUNDO</w:t>
      </w:r>
      <w:r w:rsidRPr="000D40FE">
        <w:rPr>
          <w:rFonts w:ascii="Palatino Linotype" w:hAnsi="Palatino Linotype" w:cs="Arial"/>
          <w:b/>
          <w:sz w:val="28"/>
          <w:szCs w:val="28"/>
          <w:lang w:val="es-MX" w:eastAsia="es-MX"/>
        </w:rPr>
        <w:t>.</w:t>
      </w:r>
      <w:r w:rsidRPr="000D40FE">
        <w:rPr>
          <w:rFonts w:ascii="Palatino Linotype" w:hAnsi="Palatino Linotype" w:cs="Arial"/>
          <w:b/>
          <w:sz w:val="28"/>
        </w:rPr>
        <w:t xml:space="preserve"> </w:t>
      </w:r>
      <w:r w:rsidRPr="000D40FE">
        <w:rPr>
          <w:rFonts w:ascii="Palatino Linotype" w:hAnsi="Palatino Linotype" w:cs="Arial"/>
        </w:rPr>
        <w:t>Se</w:t>
      </w:r>
      <w:r w:rsidRPr="000D40FE">
        <w:rPr>
          <w:rFonts w:ascii="Palatino Linotype" w:hAnsi="Palatino Linotype" w:cs="Arial"/>
          <w:b/>
        </w:rPr>
        <w:t xml:space="preserve"> ORDENA </w:t>
      </w:r>
      <w:r w:rsidRPr="000D40FE">
        <w:rPr>
          <w:rFonts w:ascii="Palatino Linotype" w:hAnsi="Palatino Linotype" w:cs="Arial"/>
        </w:rPr>
        <w:t>a</w:t>
      </w:r>
      <w:r>
        <w:rPr>
          <w:rFonts w:ascii="Palatino Linotype" w:hAnsi="Palatino Linotype" w:cs="Arial"/>
        </w:rPr>
        <w:t xml:space="preserve"> </w:t>
      </w:r>
      <w:r w:rsidRPr="000D40FE">
        <w:rPr>
          <w:rFonts w:ascii="Palatino Linotype" w:hAnsi="Palatino Linotype" w:cs="Arial"/>
        </w:rPr>
        <w:t>l</w:t>
      </w:r>
      <w:r>
        <w:rPr>
          <w:rFonts w:ascii="Palatino Linotype" w:hAnsi="Palatino Linotype" w:cs="Arial"/>
        </w:rPr>
        <w:t>a</w:t>
      </w:r>
      <w:r w:rsidRPr="000D40FE">
        <w:rPr>
          <w:rFonts w:ascii="Palatino Linotype" w:hAnsi="Palatino Linotype" w:cs="Arial"/>
        </w:rPr>
        <w:t xml:space="preserve"> </w:t>
      </w:r>
      <w:r w:rsidR="00425BCD">
        <w:rPr>
          <w:rFonts w:ascii="Palatino Linotype" w:hAnsi="Palatino Linotype" w:cs="Arial"/>
          <w:b/>
        </w:rPr>
        <w:t>Organismo Descentralizado de Agua Potable Alcantarillado y Saneamiento de Valle de Chalco Solidaridad</w:t>
      </w:r>
      <w:r w:rsidRPr="000D40FE">
        <w:rPr>
          <w:rFonts w:ascii="Palatino Linotype" w:hAnsi="Palatino Linotype" w:cs="Arial"/>
          <w:b/>
        </w:rPr>
        <w:t xml:space="preserve">, </w:t>
      </w:r>
      <w:r w:rsidRPr="000D40FE">
        <w:rPr>
          <w:rFonts w:ascii="Palatino Linotype" w:hAnsi="Palatino Linotype" w:cs="Arial"/>
        </w:rPr>
        <w:t xml:space="preserve">Sujeto Obligado, atienda la solicitud de información número </w:t>
      </w:r>
      <w:r w:rsidR="00425BCD">
        <w:rPr>
          <w:rFonts w:ascii="Palatino Linotype" w:hAnsi="Palatino Linotype" w:cs="Arial"/>
          <w:b/>
        </w:rPr>
        <w:t>00019/OASVACHASO</w:t>
      </w:r>
      <w:r>
        <w:rPr>
          <w:rFonts w:ascii="Palatino Linotype" w:hAnsi="Palatino Linotype" w:cs="Arial"/>
          <w:b/>
        </w:rPr>
        <w:t>/IP/2018</w:t>
      </w:r>
      <w:r w:rsidRPr="000D40FE">
        <w:rPr>
          <w:rFonts w:ascii="Palatino Linotype" w:hAnsi="Palatino Linotype"/>
          <w:bCs/>
        </w:rPr>
        <w:t xml:space="preserve">, y </w:t>
      </w:r>
      <w:r w:rsidRPr="000D40FE">
        <w:rPr>
          <w:rFonts w:ascii="Palatino Linotype" w:hAnsi="Palatino Linotype" w:cs="Arial"/>
        </w:rPr>
        <w:t>haga entrega vía SAIMEX</w:t>
      </w:r>
      <w:r w:rsidR="002801D2">
        <w:rPr>
          <w:rFonts w:ascii="Palatino Linotype" w:hAnsi="Palatino Linotype" w:cs="Arial"/>
        </w:rPr>
        <w:t xml:space="preserve"> en versión pública</w:t>
      </w:r>
      <w:r w:rsidRPr="000D40FE">
        <w:rPr>
          <w:rFonts w:ascii="Palatino Linotype" w:hAnsi="Palatino Linotype" w:cs="Arial"/>
        </w:rPr>
        <w:t xml:space="preserve">, </w:t>
      </w:r>
      <w:r>
        <w:rPr>
          <w:rFonts w:ascii="Palatino Linotype" w:hAnsi="Palatino Linotype" w:cs="Arial"/>
        </w:rPr>
        <w:t xml:space="preserve">en </w:t>
      </w:r>
      <w:r w:rsidRPr="000D40FE">
        <w:rPr>
          <w:rFonts w:ascii="Palatino Linotype" w:hAnsi="Palatino Linotype" w:cs="Arial"/>
        </w:rPr>
        <w:t xml:space="preserve">términos del Considerando </w:t>
      </w:r>
      <w:r>
        <w:rPr>
          <w:rFonts w:ascii="Palatino Linotype" w:hAnsi="Palatino Linotype" w:cs="Arial"/>
        </w:rPr>
        <w:t>CUARTO</w:t>
      </w:r>
      <w:r w:rsidR="002801D2">
        <w:rPr>
          <w:rFonts w:ascii="Palatino Linotype" w:hAnsi="Palatino Linotype" w:cs="Arial"/>
        </w:rPr>
        <w:t xml:space="preserve"> y QUINTO</w:t>
      </w:r>
      <w:r>
        <w:rPr>
          <w:rFonts w:ascii="Palatino Linotype" w:hAnsi="Palatino Linotype" w:cs="Arial"/>
        </w:rPr>
        <w:t xml:space="preserve"> de esta resolución</w:t>
      </w:r>
      <w:r w:rsidRPr="006058FE">
        <w:rPr>
          <w:rFonts w:ascii="Palatino Linotype" w:hAnsi="Palatino Linotype" w:cs="Arial"/>
        </w:rPr>
        <w:t xml:space="preserve">, </w:t>
      </w:r>
      <w:r w:rsidR="002801D2">
        <w:rPr>
          <w:rFonts w:ascii="Palatino Linotype" w:hAnsi="Palatino Linotype" w:cs="Arial"/>
        </w:rPr>
        <w:t>de</w:t>
      </w:r>
      <w:r w:rsidR="00A646E8">
        <w:rPr>
          <w:rFonts w:ascii="Palatino Linotype" w:hAnsi="Palatino Linotype" w:cs="Arial"/>
        </w:rPr>
        <w:t xml:space="preserve"> lo siguiente</w:t>
      </w:r>
      <w:r>
        <w:rPr>
          <w:rFonts w:ascii="Palatino Linotype" w:hAnsi="Palatino Linotype" w:cs="Arial"/>
        </w:rPr>
        <w:t>:</w:t>
      </w:r>
    </w:p>
    <w:p w14:paraId="1F32B6B5" w14:textId="0650ECEE" w:rsidR="00EB1D3A" w:rsidRDefault="00A646E8" w:rsidP="00845D48">
      <w:pPr>
        <w:pStyle w:val="Prrafodelista"/>
        <w:numPr>
          <w:ilvl w:val="0"/>
          <w:numId w:val="10"/>
        </w:numPr>
        <w:spacing w:before="240" w:after="240" w:line="360" w:lineRule="auto"/>
        <w:ind w:right="900"/>
        <w:jc w:val="both"/>
        <w:rPr>
          <w:rFonts w:ascii="Palatino Linotype" w:hAnsi="Palatino Linotype"/>
          <w:b/>
        </w:rPr>
      </w:pPr>
      <w:r w:rsidRPr="00A646E8">
        <w:rPr>
          <w:rFonts w:ascii="Palatino Linotype" w:hAnsi="Palatino Linotype" w:cs="Arial"/>
          <w:b/>
        </w:rPr>
        <w:t xml:space="preserve">Soporte documental que contenga </w:t>
      </w:r>
      <w:r w:rsidRPr="00A646E8">
        <w:rPr>
          <w:rFonts w:ascii="Palatino Linotype" w:hAnsi="Palatino Linotype"/>
          <w:b/>
        </w:rPr>
        <w:t xml:space="preserve">nombre, área de asignación, salario neto y bruto, del personal de </w:t>
      </w:r>
      <w:r w:rsidR="002801D2" w:rsidRPr="00A646E8">
        <w:rPr>
          <w:rFonts w:ascii="Palatino Linotype" w:hAnsi="Palatino Linotype"/>
          <w:b/>
        </w:rPr>
        <w:t>confianza</w:t>
      </w:r>
      <w:r w:rsidRPr="00A646E8">
        <w:rPr>
          <w:rFonts w:ascii="Palatino Linotype" w:hAnsi="Palatino Linotype"/>
          <w:b/>
        </w:rPr>
        <w:t xml:space="preserve">, </w:t>
      </w:r>
      <w:r w:rsidR="002801D2" w:rsidRPr="00A646E8">
        <w:rPr>
          <w:rFonts w:ascii="Palatino Linotype" w:hAnsi="Palatino Linotype"/>
          <w:b/>
        </w:rPr>
        <w:t>sindicalizado, lista</w:t>
      </w:r>
      <w:r w:rsidR="00845D48">
        <w:rPr>
          <w:rFonts w:ascii="Palatino Linotype" w:hAnsi="Palatino Linotype"/>
          <w:b/>
        </w:rPr>
        <w:t xml:space="preserve"> de raya</w:t>
      </w:r>
      <w:r>
        <w:rPr>
          <w:rFonts w:ascii="Palatino Linotype" w:hAnsi="Palatino Linotype"/>
          <w:b/>
        </w:rPr>
        <w:t xml:space="preserve"> y</w:t>
      </w:r>
      <w:r w:rsidR="002801D2" w:rsidRPr="00A646E8">
        <w:rPr>
          <w:rFonts w:ascii="Palatino Linotype" w:hAnsi="Palatino Linotype"/>
          <w:b/>
        </w:rPr>
        <w:t xml:space="preserve">  contratado por honorarios, </w:t>
      </w:r>
      <w:r>
        <w:rPr>
          <w:rFonts w:ascii="Palatino Linotype" w:hAnsi="Palatino Linotype"/>
          <w:b/>
        </w:rPr>
        <w:t>al treinta y uno de octubre de dos mil dieciocho.</w:t>
      </w:r>
    </w:p>
    <w:p w14:paraId="18E81313" w14:textId="77777777" w:rsidR="00845D48" w:rsidRDefault="00845D48" w:rsidP="00845D48">
      <w:pPr>
        <w:tabs>
          <w:tab w:val="left" w:pos="8080"/>
        </w:tabs>
        <w:spacing w:after="120"/>
        <w:jc w:val="both"/>
        <w:rPr>
          <w:rFonts w:ascii="Palatino Linotype" w:hAnsi="Palatino Linotype" w:cs="Arial"/>
          <w:i/>
          <w:sz w:val="20"/>
          <w:szCs w:val="20"/>
        </w:rPr>
      </w:pPr>
      <w:r w:rsidRPr="00845D48">
        <w:rPr>
          <w:rFonts w:ascii="Palatino Linotype" w:hAnsi="Palatino Linotype" w:cs="Arial"/>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845D48">
        <w:rPr>
          <w:rFonts w:ascii="Palatino Linotype" w:hAnsi="Palatino Linotype" w:cs="Arial"/>
          <w:b/>
          <w:i/>
          <w:sz w:val="20"/>
          <w:szCs w:val="20"/>
        </w:rPr>
        <w:t>Recurrente</w:t>
      </w:r>
      <w:r w:rsidRPr="00845D48">
        <w:rPr>
          <w:rFonts w:ascii="Palatino Linotype" w:hAnsi="Palatino Linotype" w:cs="Arial"/>
          <w:i/>
          <w:sz w:val="20"/>
          <w:szCs w:val="20"/>
        </w:rPr>
        <w:t>.</w:t>
      </w:r>
    </w:p>
    <w:p w14:paraId="4E4FA874" w14:textId="4E9A0FD3" w:rsidR="00845D48" w:rsidRDefault="00845D48" w:rsidP="00845D48">
      <w:pPr>
        <w:spacing w:before="240" w:after="240"/>
        <w:jc w:val="both"/>
        <w:rPr>
          <w:rFonts w:ascii="Palatino Linotype" w:hAnsi="Palatino Linotype"/>
          <w:b/>
          <w:i/>
          <w:sz w:val="20"/>
          <w:szCs w:val="20"/>
        </w:rPr>
      </w:pPr>
      <w:r w:rsidRPr="00CD59DC">
        <w:rPr>
          <w:rFonts w:ascii="Palatino Linotype" w:hAnsi="Palatino Linotype"/>
          <w:i/>
          <w:sz w:val="20"/>
          <w:szCs w:val="20"/>
        </w:rPr>
        <w:t xml:space="preserve">En el supuesto de que no se </w:t>
      </w:r>
      <w:r>
        <w:rPr>
          <w:rFonts w:ascii="Palatino Linotype" w:hAnsi="Palatino Linotype"/>
          <w:i/>
          <w:sz w:val="20"/>
          <w:szCs w:val="20"/>
        </w:rPr>
        <w:t xml:space="preserve">haya generado la información relativa a la “Lista de Raya” y </w:t>
      </w:r>
      <w:r w:rsidRPr="00845D48">
        <w:rPr>
          <w:rFonts w:ascii="Palatino Linotype" w:hAnsi="Palatino Linotype"/>
          <w:i/>
          <w:sz w:val="20"/>
          <w:szCs w:val="20"/>
        </w:rPr>
        <w:t>“</w:t>
      </w:r>
      <w:r>
        <w:rPr>
          <w:rFonts w:ascii="Palatino Linotype" w:hAnsi="Palatino Linotype"/>
          <w:i/>
          <w:sz w:val="20"/>
          <w:szCs w:val="20"/>
        </w:rPr>
        <w:t xml:space="preserve">Personal </w:t>
      </w:r>
      <w:r w:rsidRPr="00845D48">
        <w:rPr>
          <w:rFonts w:ascii="Palatino Linotype" w:hAnsi="Palatino Linotype"/>
          <w:i/>
          <w:sz w:val="20"/>
          <w:szCs w:val="20"/>
        </w:rPr>
        <w:t>contratado por honorarios”</w:t>
      </w:r>
      <w:r w:rsidRPr="00CD59DC">
        <w:rPr>
          <w:rFonts w:ascii="Palatino Linotype" w:hAnsi="Palatino Linotype"/>
          <w:i/>
          <w:sz w:val="20"/>
          <w:szCs w:val="20"/>
        </w:rPr>
        <w:t xml:space="preserve">, bastara con </w:t>
      </w:r>
      <w:r>
        <w:rPr>
          <w:rFonts w:ascii="Palatino Linotype" w:hAnsi="Palatino Linotype"/>
          <w:i/>
          <w:sz w:val="20"/>
          <w:szCs w:val="20"/>
        </w:rPr>
        <w:t>el sólo pronunciamiento del</w:t>
      </w:r>
      <w:r w:rsidRPr="00CD59DC">
        <w:rPr>
          <w:rFonts w:ascii="Palatino Linotype" w:hAnsi="Palatino Linotype"/>
          <w:i/>
          <w:sz w:val="20"/>
          <w:szCs w:val="20"/>
        </w:rPr>
        <w:t xml:space="preserve"> </w:t>
      </w:r>
      <w:r w:rsidRPr="00CD59DC">
        <w:rPr>
          <w:rFonts w:ascii="Palatino Linotype" w:hAnsi="Palatino Linotype"/>
          <w:b/>
          <w:i/>
          <w:sz w:val="20"/>
          <w:szCs w:val="20"/>
        </w:rPr>
        <w:t xml:space="preserve">Sujeto Obligado </w:t>
      </w:r>
      <w:r>
        <w:rPr>
          <w:rFonts w:ascii="Palatino Linotype" w:hAnsi="Palatino Linotype"/>
          <w:i/>
          <w:sz w:val="20"/>
          <w:szCs w:val="20"/>
        </w:rPr>
        <w:t>para tener por colmado el requerimiento de información, mismo que deberá hacer del</w:t>
      </w:r>
      <w:r w:rsidRPr="00CD59DC">
        <w:rPr>
          <w:rFonts w:ascii="Palatino Linotype" w:hAnsi="Palatino Linotype"/>
          <w:i/>
          <w:sz w:val="20"/>
          <w:szCs w:val="20"/>
        </w:rPr>
        <w:t xml:space="preserve"> conocimiento del </w:t>
      </w:r>
      <w:r w:rsidRPr="00CD59DC">
        <w:rPr>
          <w:rFonts w:ascii="Palatino Linotype" w:hAnsi="Palatino Linotype"/>
          <w:b/>
          <w:i/>
          <w:sz w:val="20"/>
          <w:szCs w:val="20"/>
        </w:rPr>
        <w:t>Recurrente.</w:t>
      </w:r>
    </w:p>
    <w:p w14:paraId="5D1A69F2" w14:textId="77777777" w:rsidR="00845D48" w:rsidRPr="00845D48" w:rsidRDefault="00845D48" w:rsidP="00845D48">
      <w:pPr>
        <w:tabs>
          <w:tab w:val="left" w:pos="8080"/>
        </w:tabs>
        <w:spacing w:after="120"/>
        <w:jc w:val="both"/>
        <w:rPr>
          <w:rFonts w:ascii="Palatino Linotype" w:hAnsi="Palatino Linotype" w:cs="Arial"/>
          <w:i/>
          <w:sz w:val="20"/>
          <w:szCs w:val="20"/>
        </w:rPr>
      </w:pPr>
    </w:p>
    <w:p w14:paraId="035386AD" w14:textId="77777777" w:rsidR="00845D48" w:rsidRPr="00845D48" w:rsidRDefault="00845D48" w:rsidP="00845D48">
      <w:pPr>
        <w:spacing w:before="240" w:after="240" w:line="360" w:lineRule="auto"/>
        <w:ind w:right="900"/>
        <w:jc w:val="both"/>
        <w:rPr>
          <w:rFonts w:ascii="Palatino Linotype" w:hAnsi="Palatino Linotype"/>
          <w:b/>
        </w:rPr>
      </w:pPr>
    </w:p>
    <w:p w14:paraId="1E24B28B" w14:textId="77777777" w:rsidR="00EB1D3A" w:rsidRPr="009B5CBA" w:rsidRDefault="00EB1D3A" w:rsidP="00EB1D3A">
      <w:pPr>
        <w:tabs>
          <w:tab w:val="left" w:pos="709"/>
        </w:tabs>
        <w:autoSpaceDE w:val="0"/>
        <w:autoSpaceDN w:val="0"/>
        <w:adjustRightInd w:val="0"/>
        <w:spacing w:before="240" w:after="240" w:line="360" w:lineRule="auto"/>
        <w:ind w:right="49"/>
        <w:jc w:val="both"/>
        <w:rPr>
          <w:rFonts w:ascii="Palatino Linotype" w:hAnsi="Palatino Linotype" w:cs="Arial"/>
          <w:lang w:val="es-MX" w:eastAsia="es-MX"/>
        </w:rPr>
      </w:pPr>
      <w:r>
        <w:rPr>
          <w:rFonts w:ascii="Palatino Linotype" w:hAnsi="Palatino Linotype" w:cs="Arial"/>
          <w:b/>
          <w:sz w:val="28"/>
          <w:szCs w:val="28"/>
          <w:lang w:val="es-MX" w:eastAsia="es-MX"/>
        </w:rPr>
        <w:lastRenderedPageBreak/>
        <w:t xml:space="preserve">TERCERO. </w:t>
      </w:r>
      <w:r w:rsidRPr="009B5CBA">
        <w:rPr>
          <w:rFonts w:ascii="Palatino Linotype" w:hAnsi="Palatino Linotype" w:cs="Arial"/>
          <w:b/>
          <w:lang w:val="es-MX" w:eastAsia="es-MX"/>
        </w:rPr>
        <w:t>Notifíquese,</w:t>
      </w:r>
      <w:r w:rsidRPr="009B5CBA">
        <w:rPr>
          <w:rFonts w:ascii="Palatino Linotype" w:hAnsi="Palatino Linotype" w:cs="Arial"/>
          <w:b/>
          <w:sz w:val="28"/>
          <w:szCs w:val="28"/>
          <w:lang w:val="es-MX" w:eastAsia="es-MX"/>
        </w:rPr>
        <w:t xml:space="preserve"> </w:t>
      </w:r>
      <w:r w:rsidRPr="009B5CB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0E24336" w14:textId="0FFDF6A6" w:rsidR="00EB1D3A" w:rsidRDefault="00EB1D3A" w:rsidP="00EB1D3A">
      <w:pPr>
        <w:spacing w:before="240" w:after="240" w:line="360" w:lineRule="auto"/>
        <w:jc w:val="both"/>
        <w:rPr>
          <w:rFonts w:ascii="Palatino Linotype" w:hAnsi="Palatino Linotype" w:cs="Arial"/>
        </w:rPr>
      </w:pPr>
      <w:r w:rsidRPr="00DD0FEA">
        <w:rPr>
          <w:rFonts w:ascii="Palatino Linotype" w:hAnsi="Palatino Linotype" w:cs="Arial"/>
          <w:b/>
          <w:sz w:val="28"/>
          <w:szCs w:val="28"/>
          <w:lang w:val="es-MX" w:eastAsia="es-MX"/>
        </w:rPr>
        <w:t xml:space="preserve">CUARTO. </w:t>
      </w:r>
      <w:r>
        <w:rPr>
          <w:rFonts w:ascii="Palatino Linotype" w:hAnsi="Palatino Linotype" w:cs="Arial"/>
          <w:b/>
        </w:rPr>
        <w:t>Notifíquese,</w:t>
      </w:r>
      <w:r>
        <w:rPr>
          <w:rFonts w:ascii="Palatino Linotype" w:hAnsi="Palatino Linotype" w:cs="Arial"/>
        </w:rPr>
        <w:t xml:space="preserve"> a</w:t>
      </w:r>
      <w:r>
        <w:rPr>
          <w:rFonts w:ascii="Palatino Linotype" w:hAnsi="Palatino Linotype" w:cs="Arial"/>
          <w:bCs/>
        </w:rPr>
        <w:t xml:space="preserve">l </w:t>
      </w:r>
      <w:r w:rsidRPr="00DE7CBF">
        <w:rPr>
          <w:rFonts w:ascii="Palatino Linotype" w:hAnsi="Palatino Linotype" w:cs="Arial"/>
          <w:bCs/>
        </w:rPr>
        <w:t xml:space="preserve">recurrente </w:t>
      </w:r>
      <w:r w:rsidRPr="00E44638">
        <w:rPr>
          <w:rFonts w:ascii="Palatino Linotype" w:hAnsi="Palatino Linotype"/>
          <w:shd w:val="clear" w:color="auto" w:fill="FFFFFF"/>
        </w:rPr>
        <w:t>la presente resolución, así como,</w:t>
      </w:r>
      <w:r>
        <w:rPr>
          <w:rFonts w:ascii="Palatino Linotype" w:hAnsi="Palatino Linotype"/>
          <w:shd w:val="clear" w:color="auto" w:fill="FFFFFF"/>
        </w:rPr>
        <w:t xml:space="preserve"> </w:t>
      </w:r>
      <w:r w:rsidRPr="00DE7CBF">
        <w:rPr>
          <w:rFonts w:ascii="Palatino Linotype" w:hAnsi="Palatino Linotype" w:cs="Arial"/>
          <w:bCs/>
        </w:rPr>
        <w:t xml:space="preserve">que </w:t>
      </w:r>
      <w:r w:rsidRPr="008F168A">
        <w:rPr>
          <w:rFonts w:ascii="Palatino Linotype" w:hAnsi="Palatino Linotype" w:cs="Arial"/>
          <w:bCs/>
        </w:rPr>
        <w:t>podrá impugnarla vía Juicio de Amparo en los términos de las leyes aplicables</w:t>
      </w:r>
      <w:r>
        <w:rPr>
          <w:rFonts w:ascii="Palatino Linotype" w:hAnsi="Palatino Linotype" w:cs="Arial"/>
          <w:bCs/>
        </w:rPr>
        <w:t>,</w:t>
      </w:r>
      <w:r w:rsidRPr="00DE7CBF">
        <w:rPr>
          <w:rFonts w:ascii="Palatino Linotype" w:hAnsi="Palatino Linotype" w:cs="Arial"/>
          <w:bCs/>
        </w:rPr>
        <w:t xml:space="preserve"> de conformidad con lo establecido en el artículo </w:t>
      </w:r>
      <w:r w:rsidRPr="008F168A">
        <w:rPr>
          <w:rFonts w:ascii="Palatino Linotype" w:hAnsi="Palatino Linotype" w:cs="Arial"/>
          <w:bCs/>
        </w:rPr>
        <w:t>196 de la Ley de Transparencia y Acceso a la Información Pública del</w:t>
      </w:r>
      <w:r>
        <w:rPr>
          <w:rFonts w:ascii="Palatino Linotype" w:hAnsi="Palatino Linotype" w:cs="Arial"/>
          <w:bCs/>
        </w:rPr>
        <w:t xml:space="preserve"> Estado de México y Municipios</w:t>
      </w:r>
      <w:r w:rsidRPr="00DE7CBF">
        <w:rPr>
          <w:rFonts w:ascii="Palatino Linotype" w:hAnsi="Palatino Linotype" w:cs="Arial"/>
          <w:bCs/>
        </w:rPr>
        <w:t>.</w:t>
      </w:r>
      <w:r>
        <w:rPr>
          <w:rFonts w:ascii="Palatino Linotype" w:hAnsi="Palatino Linotype" w:cs="Arial"/>
        </w:rPr>
        <w:t xml:space="preserve"> </w:t>
      </w:r>
    </w:p>
    <w:p w14:paraId="73015D1A" w14:textId="13ED5448" w:rsidR="008E7698" w:rsidRPr="0040233B" w:rsidRDefault="00026D94" w:rsidP="00AA2350">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rPr>
        <w:t>ASÍ LO RESUELVE, POR UNANIMIDAD DE VOTOS EL PLENO DEL</w:t>
      </w:r>
      <w:r w:rsidRPr="0040233B">
        <w:rPr>
          <w:rFonts w:ascii="Palatino Linotype" w:eastAsia="Arial Unicode MS" w:hAnsi="Palatino Linotype" w:cs="Arial"/>
        </w:rPr>
        <w:t xml:space="preserve"> INSTITUTO DE TRANSPARENCIA, ACCESO A LA INFORMACIÓN PÚBLICA Y PROTECCIÓN DE DATOS PERSONALES DEL ESTADO DE MÉXICO Y MUNICIPIOS</w:t>
      </w:r>
      <w:r w:rsidRPr="0040233B">
        <w:rPr>
          <w:rFonts w:ascii="Palatino Linotype" w:hAnsi="Palatino Linotype" w:cs="Arial"/>
        </w:rPr>
        <w:t xml:space="preserve">, CONFORMADO POR LOS COMISIONADOS </w:t>
      </w:r>
      <w:r w:rsidR="00D90043" w:rsidRPr="0040233B">
        <w:rPr>
          <w:rFonts w:ascii="Palatino Linotype" w:hAnsi="Palatino Linotype" w:cs="Arial"/>
        </w:rPr>
        <w:t>ZULEMA MARTÍNEZ SÁNCHEZ</w:t>
      </w:r>
      <w:r w:rsidRPr="0040233B">
        <w:rPr>
          <w:rFonts w:ascii="Palatino Linotype" w:hAnsi="Palatino Linotype" w:cs="Arial"/>
        </w:rPr>
        <w:t>; EVA ABAID YAPUR</w:t>
      </w:r>
      <w:r w:rsidR="00375BD2">
        <w:rPr>
          <w:rFonts w:ascii="Palatino Linotype" w:hAnsi="Palatino Linotype" w:cs="Arial"/>
        </w:rPr>
        <w:t xml:space="preserve"> CON VOTO PARTICULAR</w:t>
      </w:r>
      <w:r w:rsidRPr="0040233B">
        <w:rPr>
          <w:rFonts w:ascii="Palatino Linotype" w:hAnsi="Palatino Linotype" w:cs="Arial"/>
        </w:rPr>
        <w:t>; JOSÉ GUADALUPE LUNA HERNÁNDEZ</w:t>
      </w:r>
      <w:r w:rsidR="00375BD2">
        <w:rPr>
          <w:rFonts w:ascii="Palatino Linotype" w:hAnsi="Palatino Linotype" w:cs="Arial"/>
        </w:rPr>
        <w:t xml:space="preserve"> CON VOTO PARTICULAR</w:t>
      </w:r>
      <w:r w:rsidR="00C7513F">
        <w:rPr>
          <w:rFonts w:ascii="Palatino Linotype" w:hAnsi="Palatino Linotype" w:cs="Arial"/>
        </w:rPr>
        <w:t xml:space="preserve">; </w:t>
      </w:r>
      <w:r w:rsidR="00D90043">
        <w:rPr>
          <w:rFonts w:ascii="Palatino Linotype" w:hAnsi="Palatino Linotype" w:cs="Arial"/>
        </w:rPr>
        <w:t>JAVIER MARTÍNEZ CRUZ</w:t>
      </w:r>
      <w:r w:rsidR="00C7513F">
        <w:rPr>
          <w:rFonts w:ascii="Palatino Linotype" w:hAnsi="Palatino Linotype" w:cs="Arial"/>
        </w:rPr>
        <w:t xml:space="preserve"> Y LUIS GUSTAVO PARRA NORIEGA</w:t>
      </w:r>
      <w:r w:rsidRPr="0040233B">
        <w:rPr>
          <w:rFonts w:ascii="Palatino Linotype" w:hAnsi="Palatino Linotype" w:cs="Arial"/>
        </w:rPr>
        <w:t xml:space="preserve">; EN LA </w:t>
      </w:r>
      <w:r w:rsidR="00375BD2">
        <w:rPr>
          <w:rFonts w:ascii="Palatino Linotype" w:hAnsi="Palatino Linotype" w:cs="Arial"/>
        </w:rPr>
        <w:t>CUARTA</w:t>
      </w:r>
      <w:r w:rsidR="00362689" w:rsidRPr="0040233B">
        <w:rPr>
          <w:rFonts w:ascii="Palatino Linotype" w:hAnsi="Palatino Linotype" w:cs="Arial"/>
        </w:rPr>
        <w:t xml:space="preserve"> </w:t>
      </w:r>
      <w:r w:rsidRPr="0040233B">
        <w:rPr>
          <w:rFonts w:ascii="Palatino Linotype" w:hAnsi="Palatino Linotype" w:cs="Arial"/>
        </w:rPr>
        <w:t xml:space="preserve">SESIÓN ORDINARIA CELEBRADA EL </w:t>
      </w:r>
      <w:r w:rsidR="00375BD2">
        <w:rPr>
          <w:rFonts w:ascii="Palatino Linotype" w:hAnsi="Palatino Linotype" w:cs="Arial"/>
        </w:rPr>
        <w:t>TREINTA DE ENERO</w:t>
      </w:r>
      <w:r w:rsidRPr="0040233B">
        <w:rPr>
          <w:rFonts w:ascii="Palatino Linotype" w:hAnsi="Palatino Linotype" w:cs="Arial"/>
        </w:rPr>
        <w:t xml:space="preserve"> DEL DOS MIL DIECI</w:t>
      </w:r>
      <w:r w:rsidR="00375BD2">
        <w:rPr>
          <w:rFonts w:ascii="Palatino Linotype" w:hAnsi="Palatino Linotype" w:cs="Arial"/>
        </w:rPr>
        <w:t>NUEVE</w:t>
      </w:r>
      <w:r w:rsidRPr="0040233B">
        <w:rPr>
          <w:rFonts w:ascii="Palatino Linotype" w:hAnsi="Palatino Linotype" w:cs="Arial"/>
        </w:rPr>
        <w:t xml:space="preserve">, ANTE </w:t>
      </w:r>
      <w:r w:rsidR="002B5958">
        <w:rPr>
          <w:rFonts w:ascii="Palatino Linotype" w:hAnsi="Palatino Linotype" w:cs="Arial"/>
        </w:rPr>
        <w:t>EL</w:t>
      </w:r>
      <w:r w:rsidRPr="0040233B">
        <w:rPr>
          <w:rFonts w:ascii="Palatino Linotype" w:hAnsi="Palatino Linotype" w:cs="Arial"/>
        </w:rPr>
        <w:t xml:space="preserve"> SECRETARI</w:t>
      </w:r>
      <w:r w:rsidR="002B5958">
        <w:rPr>
          <w:rFonts w:ascii="Palatino Linotype" w:hAnsi="Palatino Linotype" w:cs="Arial"/>
        </w:rPr>
        <w:t>O</w:t>
      </w:r>
      <w:r w:rsidRPr="0040233B">
        <w:rPr>
          <w:rFonts w:ascii="Palatino Linotype" w:hAnsi="Palatino Linotype" w:cs="Arial"/>
        </w:rPr>
        <w:t xml:space="preserve"> TÉCNIC</w:t>
      </w:r>
      <w:r w:rsidR="002B5958">
        <w:rPr>
          <w:rFonts w:ascii="Palatino Linotype" w:hAnsi="Palatino Linotype" w:cs="Arial"/>
        </w:rPr>
        <w:t>O</w:t>
      </w:r>
      <w:r w:rsidRPr="0040233B">
        <w:rPr>
          <w:rFonts w:ascii="Palatino Linotype" w:hAnsi="Palatino Linotype" w:cs="Arial"/>
        </w:rPr>
        <w:t xml:space="preserve"> DEL PLENO, </w:t>
      </w:r>
      <w:r w:rsidR="002B5958">
        <w:rPr>
          <w:rFonts w:ascii="Palatino Linotype" w:hAnsi="Palatino Linotype" w:cs="Arial"/>
        </w:rPr>
        <w:t>ALEXIS TAPIA RAMÍREZ.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112067" w:rsidRPr="0040233B" w14:paraId="5672C997" w14:textId="77777777" w:rsidTr="00112067">
        <w:trPr>
          <w:trHeight w:val="793"/>
          <w:jc w:val="center"/>
        </w:trPr>
        <w:tc>
          <w:tcPr>
            <w:tcW w:w="8472" w:type="dxa"/>
          </w:tcPr>
          <w:tbl>
            <w:tblPr>
              <w:tblStyle w:val="Tablaconcuadrcula"/>
              <w:tblW w:w="8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4477"/>
            </w:tblGrid>
            <w:tr w:rsidR="00112067" w:rsidRPr="00B6174A" w14:paraId="558A006B" w14:textId="77777777" w:rsidTr="00112067">
              <w:trPr>
                <w:trHeight w:val="793"/>
                <w:jc w:val="center"/>
              </w:trPr>
              <w:tc>
                <w:tcPr>
                  <w:tcW w:w="8256" w:type="dxa"/>
                  <w:gridSpan w:val="2"/>
                  <w:vAlign w:val="center"/>
                </w:tcPr>
                <w:p w14:paraId="16F1770D" w14:textId="71596D7B" w:rsidR="00112067" w:rsidRPr="00B6174A" w:rsidRDefault="00112067" w:rsidP="00112067">
                  <w:pPr>
                    <w:jc w:val="center"/>
                    <w:rPr>
                      <w:rFonts w:ascii="Palatino Linotype" w:hAnsi="Palatino Linotype" w:cs="Arial"/>
                    </w:rPr>
                  </w:pPr>
                  <w:r w:rsidRPr="00B6174A">
                    <w:rPr>
                      <w:rFonts w:ascii="Palatino Linotype" w:hAnsi="Palatino Linotype" w:cs="Arial"/>
                    </w:rPr>
                    <w:lastRenderedPageBreak/>
                    <w:br w:type="page"/>
                  </w:r>
                </w:p>
                <w:p w14:paraId="4870F5BB" w14:textId="77777777" w:rsidR="00112067" w:rsidRPr="00B6174A" w:rsidRDefault="00112067" w:rsidP="00112067">
                  <w:pPr>
                    <w:jc w:val="center"/>
                    <w:rPr>
                      <w:rFonts w:ascii="Palatino Linotype" w:hAnsi="Palatino Linotype" w:cs="Arial"/>
                    </w:rPr>
                  </w:pPr>
                </w:p>
                <w:p w14:paraId="308FCFC4" w14:textId="77777777" w:rsidR="00112067" w:rsidRPr="00B6174A" w:rsidRDefault="00112067" w:rsidP="00112067">
                  <w:pPr>
                    <w:jc w:val="center"/>
                    <w:rPr>
                      <w:rFonts w:ascii="Palatino Linotype" w:hAnsi="Palatino Linotype" w:cs="Arial"/>
                    </w:rPr>
                  </w:pPr>
                </w:p>
                <w:p w14:paraId="18225AF6" w14:textId="77777777" w:rsidR="00112067" w:rsidRDefault="00112067" w:rsidP="00112067">
                  <w:pPr>
                    <w:jc w:val="center"/>
                    <w:rPr>
                      <w:rFonts w:ascii="Palatino Linotype" w:hAnsi="Palatino Linotype" w:cs="Arial"/>
                    </w:rPr>
                  </w:pPr>
                </w:p>
                <w:p w14:paraId="39924E19" w14:textId="77777777" w:rsidR="000E52E1" w:rsidRDefault="000E52E1" w:rsidP="00112067">
                  <w:pPr>
                    <w:jc w:val="center"/>
                    <w:rPr>
                      <w:rFonts w:ascii="Palatino Linotype" w:hAnsi="Palatino Linotype" w:cs="Arial"/>
                    </w:rPr>
                  </w:pPr>
                </w:p>
                <w:p w14:paraId="22B10892" w14:textId="77777777" w:rsidR="000E52E1" w:rsidRPr="00B6174A" w:rsidRDefault="000E52E1" w:rsidP="00112067">
                  <w:pPr>
                    <w:jc w:val="center"/>
                    <w:rPr>
                      <w:rFonts w:ascii="Palatino Linotype" w:hAnsi="Palatino Linotype" w:cs="Arial"/>
                    </w:rPr>
                  </w:pPr>
                </w:p>
                <w:p w14:paraId="420A9D78" w14:textId="77777777" w:rsidR="00D90043" w:rsidRPr="00B6174A" w:rsidRDefault="00D90043" w:rsidP="00D90043">
                  <w:pPr>
                    <w:jc w:val="center"/>
                    <w:rPr>
                      <w:rFonts w:ascii="Palatino Linotype" w:hAnsi="Palatino Linotype"/>
                      <w:b/>
                      <w:sz w:val="28"/>
                      <w:szCs w:val="28"/>
                    </w:rPr>
                  </w:pPr>
                  <w:r w:rsidRPr="00B6174A">
                    <w:rPr>
                      <w:rFonts w:ascii="Palatino Linotype" w:hAnsi="Palatino Linotype"/>
                      <w:b/>
                      <w:sz w:val="28"/>
                      <w:szCs w:val="28"/>
                    </w:rPr>
                    <w:t>Zulema Martínez Sánchez</w:t>
                  </w:r>
                </w:p>
                <w:p w14:paraId="4F1E3170" w14:textId="77777777" w:rsidR="00112067" w:rsidRDefault="00112067" w:rsidP="00112067">
                  <w:pPr>
                    <w:jc w:val="center"/>
                    <w:rPr>
                      <w:rFonts w:ascii="Palatino Linotype" w:hAnsi="Palatino Linotype"/>
                    </w:rPr>
                  </w:pPr>
                  <w:r w:rsidRPr="00B6174A">
                    <w:rPr>
                      <w:rFonts w:ascii="Palatino Linotype" w:hAnsi="Palatino Linotype"/>
                    </w:rPr>
                    <w:t>Comisionada Presidenta</w:t>
                  </w:r>
                </w:p>
                <w:p w14:paraId="545B81A9" w14:textId="7B2EF85F" w:rsidR="00112067" w:rsidRPr="00B6174A" w:rsidRDefault="000652AD" w:rsidP="00473B43">
                  <w:pPr>
                    <w:jc w:val="center"/>
                    <w:rPr>
                      <w:rFonts w:ascii="Palatino Linotype" w:hAnsi="Palatino Linotype"/>
                    </w:rPr>
                  </w:pPr>
                  <w:r>
                    <w:rPr>
                      <w:rFonts w:ascii="Palatino Linotype" w:hAnsi="Palatino Linotype"/>
                    </w:rPr>
                    <w:t>(Rúbrica)</w:t>
                  </w:r>
                </w:p>
              </w:tc>
            </w:tr>
            <w:tr w:rsidR="00112067" w:rsidRPr="00B6174A" w14:paraId="41DF9BEC" w14:textId="77777777" w:rsidTr="00112067">
              <w:trPr>
                <w:trHeight w:val="2063"/>
                <w:jc w:val="center"/>
              </w:trPr>
              <w:tc>
                <w:tcPr>
                  <w:tcW w:w="3779" w:type="dxa"/>
                  <w:vAlign w:val="center"/>
                </w:tcPr>
                <w:p w14:paraId="4793380B" w14:textId="77777777" w:rsidR="00037990" w:rsidRDefault="00037990" w:rsidP="00112067">
                  <w:pPr>
                    <w:jc w:val="center"/>
                    <w:rPr>
                      <w:rFonts w:ascii="Palatino Linotype" w:hAnsi="Palatino Linotype"/>
                      <w:b/>
                      <w:sz w:val="28"/>
                      <w:szCs w:val="28"/>
                    </w:rPr>
                  </w:pPr>
                </w:p>
                <w:p w14:paraId="75D9D715" w14:textId="77777777" w:rsidR="00037990" w:rsidRDefault="00037990" w:rsidP="00112067">
                  <w:pPr>
                    <w:jc w:val="center"/>
                    <w:rPr>
                      <w:rFonts w:ascii="Palatino Linotype" w:hAnsi="Palatino Linotype"/>
                      <w:b/>
                      <w:sz w:val="28"/>
                      <w:szCs w:val="28"/>
                    </w:rPr>
                  </w:pPr>
                </w:p>
                <w:p w14:paraId="411D3FB5" w14:textId="77777777" w:rsidR="00037990" w:rsidRPr="00037990" w:rsidRDefault="00037990" w:rsidP="00112067">
                  <w:pPr>
                    <w:jc w:val="center"/>
                    <w:rPr>
                      <w:rFonts w:ascii="Palatino Linotype" w:hAnsi="Palatino Linotype"/>
                      <w:b/>
                      <w:sz w:val="16"/>
                      <w:szCs w:val="28"/>
                    </w:rPr>
                  </w:pPr>
                </w:p>
                <w:p w14:paraId="21569859" w14:textId="77777777" w:rsidR="00112067" w:rsidRPr="00B6174A" w:rsidRDefault="00112067" w:rsidP="00112067">
                  <w:pPr>
                    <w:jc w:val="center"/>
                    <w:rPr>
                      <w:rFonts w:ascii="Palatino Linotype" w:hAnsi="Palatino Linotype"/>
                      <w:b/>
                      <w:sz w:val="28"/>
                      <w:szCs w:val="28"/>
                    </w:rPr>
                  </w:pPr>
                  <w:r w:rsidRPr="00B6174A">
                    <w:rPr>
                      <w:rFonts w:ascii="Palatino Linotype" w:hAnsi="Palatino Linotype"/>
                      <w:b/>
                      <w:sz w:val="28"/>
                      <w:szCs w:val="28"/>
                    </w:rPr>
                    <w:t xml:space="preserve">Eva </w:t>
                  </w:r>
                  <w:proofErr w:type="spellStart"/>
                  <w:r w:rsidRPr="00B6174A">
                    <w:rPr>
                      <w:rFonts w:ascii="Palatino Linotype" w:hAnsi="Palatino Linotype"/>
                      <w:b/>
                      <w:sz w:val="28"/>
                      <w:szCs w:val="28"/>
                    </w:rPr>
                    <w:t>Abaid</w:t>
                  </w:r>
                  <w:proofErr w:type="spellEnd"/>
                  <w:r w:rsidRPr="00B6174A">
                    <w:rPr>
                      <w:rFonts w:ascii="Palatino Linotype" w:hAnsi="Palatino Linotype"/>
                      <w:b/>
                      <w:sz w:val="28"/>
                      <w:szCs w:val="28"/>
                    </w:rPr>
                    <w:t xml:space="preserve"> </w:t>
                  </w:r>
                  <w:proofErr w:type="spellStart"/>
                  <w:r w:rsidRPr="00B6174A">
                    <w:rPr>
                      <w:rFonts w:ascii="Palatino Linotype" w:hAnsi="Palatino Linotype"/>
                      <w:b/>
                      <w:sz w:val="28"/>
                      <w:szCs w:val="28"/>
                    </w:rPr>
                    <w:t>Yapur</w:t>
                  </w:r>
                  <w:proofErr w:type="spellEnd"/>
                </w:p>
                <w:p w14:paraId="121F41D0" w14:textId="77777777" w:rsidR="00112067" w:rsidRPr="00B6174A" w:rsidRDefault="00112067" w:rsidP="00112067">
                  <w:pPr>
                    <w:jc w:val="center"/>
                    <w:rPr>
                      <w:rFonts w:ascii="Palatino Linotype" w:hAnsi="Palatino Linotype"/>
                    </w:rPr>
                  </w:pPr>
                  <w:r w:rsidRPr="00B6174A">
                    <w:rPr>
                      <w:rFonts w:ascii="Palatino Linotype" w:hAnsi="Palatino Linotype"/>
                    </w:rPr>
                    <w:t>Comisionada</w:t>
                  </w:r>
                </w:p>
                <w:p w14:paraId="542C73DF" w14:textId="183E116D" w:rsidR="00112067" w:rsidRPr="00B6174A" w:rsidRDefault="000652AD" w:rsidP="00473B43">
                  <w:pPr>
                    <w:jc w:val="center"/>
                    <w:rPr>
                      <w:rFonts w:ascii="Palatino Linotype" w:hAnsi="Palatino Linotype"/>
                    </w:rPr>
                  </w:pPr>
                  <w:r>
                    <w:rPr>
                      <w:rFonts w:ascii="Palatino Linotype" w:hAnsi="Palatino Linotype"/>
                    </w:rPr>
                    <w:t>(Rúbrica)</w:t>
                  </w:r>
                </w:p>
              </w:tc>
              <w:tc>
                <w:tcPr>
                  <w:tcW w:w="4477" w:type="dxa"/>
                  <w:vAlign w:val="center"/>
                </w:tcPr>
                <w:p w14:paraId="0DD03CA6" w14:textId="77777777" w:rsidR="00112067" w:rsidRPr="00B6174A" w:rsidRDefault="00112067" w:rsidP="00112067">
                  <w:pPr>
                    <w:jc w:val="center"/>
                    <w:rPr>
                      <w:rFonts w:ascii="Palatino Linotype" w:hAnsi="Palatino Linotype"/>
                      <w:b/>
                    </w:rPr>
                  </w:pPr>
                </w:p>
                <w:p w14:paraId="0A4F7464" w14:textId="77777777" w:rsidR="00112067" w:rsidRDefault="00112067" w:rsidP="00112067">
                  <w:pPr>
                    <w:jc w:val="center"/>
                    <w:rPr>
                      <w:rFonts w:ascii="Palatino Linotype" w:hAnsi="Palatino Linotype"/>
                      <w:b/>
                    </w:rPr>
                  </w:pPr>
                </w:p>
                <w:p w14:paraId="0B530B19" w14:textId="77777777" w:rsidR="000F1991" w:rsidRDefault="000F1991" w:rsidP="00112067">
                  <w:pPr>
                    <w:jc w:val="center"/>
                    <w:rPr>
                      <w:rFonts w:ascii="Palatino Linotype" w:hAnsi="Palatino Linotype"/>
                      <w:b/>
                    </w:rPr>
                  </w:pPr>
                </w:p>
                <w:p w14:paraId="283587E9" w14:textId="77777777" w:rsidR="00037990" w:rsidRDefault="00037990" w:rsidP="00112067">
                  <w:pPr>
                    <w:jc w:val="center"/>
                    <w:rPr>
                      <w:rFonts w:ascii="Palatino Linotype" w:hAnsi="Palatino Linotype"/>
                      <w:b/>
                    </w:rPr>
                  </w:pPr>
                </w:p>
                <w:p w14:paraId="28ABAB4C" w14:textId="77777777" w:rsidR="00037990" w:rsidRDefault="00037990" w:rsidP="00112067">
                  <w:pPr>
                    <w:jc w:val="center"/>
                    <w:rPr>
                      <w:rFonts w:ascii="Palatino Linotype" w:hAnsi="Palatino Linotype"/>
                      <w:b/>
                    </w:rPr>
                  </w:pPr>
                </w:p>
                <w:p w14:paraId="5CD7382F" w14:textId="77777777" w:rsidR="00037990" w:rsidRPr="00B6174A" w:rsidRDefault="00037990" w:rsidP="00112067">
                  <w:pPr>
                    <w:jc w:val="center"/>
                    <w:rPr>
                      <w:rFonts w:ascii="Palatino Linotype" w:hAnsi="Palatino Linotype"/>
                      <w:b/>
                    </w:rPr>
                  </w:pPr>
                </w:p>
                <w:p w14:paraId="02D4C5BE" w14:textId="77777777" w:rsidR="00112067" w:rsidRPr="00B6174A" w:rsidRDefault="00112067" w:rsidP="00112067">
                  <w:pPr>
                    <w:jc w:val="center"/>
                    <w:rPr>
                      <w:rFonts w:ascii="Palatino Linotype" w:hAnsi="Palatino Linotype"/>
                      <w:b/>
                      <w:sz w:val="28"/>
                      <w:szCs w:val="28"/>
                    </w:rPr>
                  </w:pPr>
                  <w:r w:rsidRPr="00B6174A">
                    <w:rPr>
                      <w:rFonts w:ascii="Palatino Linotype" w:hAnsi="Palatino Linotype"/>
                      <w:b/>
                      <w:sz w:val="28"/>
                      <w:szCs w:val="28"/>
                    </w:rPr>
                    <w:t>José Guadalupe Luna Hernández</w:t>
                  </w:r>
                </w:p>
                <w:p w14:paraId="37B2C345" w14:textId="77777777" w:rsidR="00112067" w:rsidRPr="00B6174A" w:rsidRDefault="00112067" w:rsidP="00112067">
                  <w:pPr>
                    <w:jc w:val="center"/>
                    <w:rPr>
                      <w:rFonts w:ascii="Palatino Linotype" w:hAnsi="Palatino Linotype"/>
                    </w:rPr>
                  </w:pPr>
                  <w:r w:rsidRPr="00B6174A">
                    <w:rPr>
                      <w:rFonts w:ascii="Palatino Linotype" w:hAnsi="Palatino Linotype"/>
                    </w:rPr>
                    <w:t>Comisionado</w:t>
                  </w:r>
                </w:p>
                <w:p w14:paraId="5FF9FF37" w14:textId="202F413D" w:rsidR="00112067" w:rsidRPr="00B6174A" w:rsidRDefault="000652AD" w:rsidP="00112067">
                  <w:pPr>
                    <w:jc w:val="center"/>
                    <w:rPr>
                      <w:rFonts w:ascii="Palatino Linotype" w:hAnsi="Palatino Linotype"/>
                    </w:rPr>
                  </w:pPr>
                  <w:r>
                    <w:rPr>
                      <w:rFonts w:ascii="Palatino Linotype" w:hAnsi="Palatino Linotype"/>
                    </w:rPr>
                    <w:t>(Rúbrica)</w:t>
                  </w:r>
                </w:p>
                <w:p w14:paraId="14C0C6F6" w14:textId="77777777" w:rsidR="00112067" w:rsidRPr="00B6174A" w:rsidRDefault="00112067" w:rsidP="00112067">
                  <w:pPr>
                    <w:jc w:val="center"/>
                    <w:rPr>
                      <w:rFonts w:ascii="Palatino Linotype" w:hAnsi="Palatino Linotype"/>
                    </w:rPr>
                  </w:pPr>
                </w:p>
                <w:p w14:paraId="429D8703" w14:textId="77777777" w:rsidR="00112067" w:rsidRPr="00B6174A" w:rsidRDefault="00112067" w:rsidP="00112067">
                  <w:pPr>
                    <w:jc w:val="center"/>
                    <w:rPr>
                      <w:rFonts w:ascii="Palatino Linotype" w:hAnsi="Palatino Linotype"/>
                    </w:rPr>
                  </w:pPr>
                </w:p>
                <w:p w14:paraId="3945B28D" w14:textId="77777777" w:rsidR="00112067" w:rsidRPr="00B6174A" w:rsidRDefault="00112067" w:rsidP="00112067">
                  <w:pPr>
                    <w:jc w:val="center"/>
                    <w:rPr>
                      <w:rFonts w:ascii="Palatino Linotype" w:hAnsi="Palatino Linotype"/>
                    </w:rPr>
                  </w:pPr>
                </w:p>
              </w:tc>
            </w:tr>
            <w:tr w:rsidR="00C7513F" w:rsidRPr="00B6174A" w14:paraId="0E05385B" w14:textId="77777777" w:rsidTr="00112067">
              <w:trPr>
                <w:trHeight w:val="2063"/>
                <w:jc w:val="center"/>
              </w:trPr>
              <w:tc>
                <w:tcPr>
                  <w:tcW w:w="3779" w:type="dxa"/>
                  <w:vAlign w:val="center"/>
                </w:tcPr>
                <w:p w14:paraId="276D7967" w14:textId="77777777" w:rsidR="00C7513F" w:rsidRDefault="00C7513F" w:rsidP="00C7513F">
                  <w:pPr>
                    <w:jc w:val="center"/>
                    <w:rPr>
                      <w:rFonts w:ascii="Palatino Linotype" w:hAnsi="Palatino Linotype"/>
                      <w:b/>
                      <w:sz w:val="28"/>
                      <w:szCs w:val="28"/>
                    </w:rPr>
                  </w:pPr>
                </w:p>
                <w:p w14:paraId="2DD73711" w14:textId="77777777" w:rsidR="00C7513F" w:rsidRDefault="00C7513F" w:rsidP="00C7513F">
                  <w:pPr>
                    <w:jc w:val="center"/>
                    <w:rPr>
                      <w:rFonts w:ascii="Palatino Linotype" w:hAnsi="Palatino Linotype"/>
                      <w:b/>
                      <w:sz w:val="28"/>
                      <w:szCs w:val="28"/>
                    </w:rPr>
                  </w:pPr>
                </w:p>
                <w:p w14:paraId="34684811" w14:textId="77777777" w:rsidR="00C7513F" w:rsidRDefault="00C7513F" w:rsidP="00C7513F">
                  <w:pPr>
                    <w:jc w:val="center"/>
                    <w:rPr>
                      <w:rFonts w:ascii="Palatino Linotype" w:hAnsi="Palatino Linotype"/>
                      <w:b/>
                      <w:sz w:val="28"/>
                      <w:szCs w:val="28"/>
                    </w:rPr>
                  </w:pPr>
                </w:p>
                <w:p w14:paraId="1FA17331" w14:textId="77777777" w:rsidR="00C7513F" w:rsidRDefault="00C7513F" w:rsidP="00C7513F">
                  <w:pPr>
                    <w:jc w:val="center"/>
                    <w:rPr>
                      <w:rFonts w:ascii="Palatino Linotype" w:hAnsi="Palatino Linotype"/>
                      <w:b/>
                      <w:sz w:val="28"/>
                      <w:szCs w:val="28"/>
                    </w:rPr>
                  </w:pPr>
                </w:p>
                <w:p w14:paraId="0FCCEF6D" w14:textId="77777777" w:rsidR="00C7513F" w:rsidRDefault="00C7513F" w:rsidP="00C7513F">
                  <w:pPr>
                    <w:jc w:val="center"/>
                    <w:rPr>
                      <w:rFonts w:ascii="Palatino Linotype" w:hAnsi="Palatino Linotype"/>
                      <w:b/>
                      <w:sz w:val="28"/>
                      <w:szCs w:val="28"/>
                    </w:rPr>
                  </w:pPr>
                </w:p>
                <w:p w14:paraId="097933FA" w14:textId="77777777" w:rsidR="00C7513F" w:rsidRPr="00B6174A" w:rsidRDefault="00C7513F" w:rsidP="00C7513F">
                  <w:pPr>
                    <w:jc w:val="center"/>
                    <w:rPr>
                      <w:rFonts w:ascii="Palatino Linotype" w:hAnsi="Palatino Linotype"/>
                      <w:b/>
                      <w:sz w:val="28"/>
                      <w:szCs w:val="28"/>
                    </w:rPr>
                  </w:pPr>
                  <w:r w:rsidRPr="00B6174A">
                    <w:rPr>
                      <w:rFonts w:ascii="Palatino Linotype" w:hAnsi="Palatino Linotype"/>
                      <w:b/>
                      <w:sz w:val="28"/>
                      <w:szCs w:val="28"/>
                    </w:rPr>
                    <w:t>Javier Martínez Cruz</w:t>
                  </w:r>
                </w:p>
                <w:p w14:paraId="09CBB1F9" w14:textId="77777777" w:rsidR="00C7513F" w:rsidRPr="00B6174A" w:rsidRDefault="00C7513F" w:rsidP="00C7513F">
                  <w:pPr>
                    <w:jc w:val="center"/>
                    <w:rPr>
                      <w:rFonts w:ascii="Palatino Linotype" w:hAnsi="Palatino Linotype"/>
                    </w:rPr>
                  </w:pPr>
                  <w:r w:rsidRPr="00B6174A">
                    <w:rPr>
                      <w:rFonts w:ascii="Palatino Linotype" w:hAnsi="Palatino Linotype"/>
                    </w:rPr>
                    <w:t>Comisionado</w:t>
                  </w:r>
                </w:p>
                <w:p w14:paraId="6677611E" w14:textId="77777777" w:rsidR="00C7513F" w:rsidRPr="00B6174A" w:rsidRDefault="00C7513F" w:rsidP="00C7513F">
                  <w:pPr>
                    <w:jc w:val="center"/>
                    <w:rPr>
                      <w:rFonts w:ascii="Palatino Linotype" w:hAnsi="Palatino Linotype"/>
                    </w:rPr>
                  </w:pPr>
                  <w:r>
                    <w:rPr>
                      <w:rFonts w:ascii="Palatino Linotype" w:hAnsi="Palatino Linotype"/>
                    </w:rPr>
                    <w:t>(Rúbrica)</w:t>
                  </w:r>
                </w:p>
                <w:p w14:paraId="23B18112" w14:textId="77777777" w:rsidR="00C7513F" w:rsidRDefault="00C7513F" w:rsidP="00112067">
                  <w:pPr>
                    <w:jc w:val="center"/>
                    <w:rPr>
                      <w:rFonts w:ascii="Palatino Linotype" w:hAnsi="Palatino Linotype"/>
                      <w:b/>
                      <w:sz w:val="28"/>
                      <w:szCs w:val="28"/>
                    </w:rPr>
                  </w:pPr>
                </w:p>
              </w:tc>
              <w:tc>
                <w:tcPr>
                  <w:tcW w:w="4477" w:type="dxa"/>
                  <w:vAlign w:val="center"/>
                </w:tcPr>
                <w:p w14:paraId="4409ED28" w14:textId="77777777" w:rsidR="00C7513F" w:rsidRDefault="00C7513F" w:rsidP="00C7513F">
                  <w:pPr>
                    <w:jc w:val="center"/>
                    <w:rPr>
                      <w:rFonts w:ascii="Palatino Linotype" w:hAnsi="Palatino Linotype"/>
                      <w:b/>
                      <w:sz w:val="28"/>
                      <w:szCs w:val="28"/>
                    </w:rPr>
                  </w:pPr>
                </w:p>
                <w:p w14:paraId="4BDBF916" w14:textId="77777777" w:rsidR="00C7513F" w:rsidRDefault="00C7513F" w:rsidP="00C7513F">
                  <w:pPr>
                    <w:jc w:val="center"/>
                    <w:rPr>
                      <w:rFonts w:ascii="Palatino Linotype" w:hAnsi="Palatino Linotype"/>
                      <w:b/>
                      <w:sz w:val="28"/>
                      <w:szCs w:val="28"/>
                    </w:rPr>
                  </w:pPr>
                </w:p>
                <w:p w14:paraId="50EFADDD" w14:textId="77777777" w:rsidR="00C7513F" w:rsidRDefault="00C7513F" w:rsidP="00C7513F">
                  <w:pPr>
                    <w:jc w:val="center"/>
                    <w:rPr>
                      <w:rFonts w:ascii="Palatino Linotype" w:hAnsi="Palatino Linotype"/>
                      <w:b/>
                      <w:sz w:val="28"/>
                      <w:szCs w:val="28"/>
                    </w:rPr>
                  </w:pPr>
                </w:p>
                <w:p w14:paraId="15EDCE34" w14:textId="77777777" w:rsidR="00C7513F" w:rsidRDefault="00C7513F" w:rsidP="00C7513F">
                  <w:pPr>
                    <w:jc w:val="center"/>
                    <w:rPr>
                      <w:rFonts w:ascii="Palatino Linotype" w:hAnsi="Palatino Linotype"/>
                      <w:b/>
                      <w:sz w:val="28"/>
                      <w:szCs w:val="28"/>
                    </w:rPr>
                  </w:pPr>
                </w:p>
                <w:p w14:paraId="5F0C6F57" w14:textId="77777777" w:rsidR="00C7513F" w:rsidRDefault="00C7513F" w:rsidP="00C7513F">
                  <w:pPr>
                    <w:jc w:val="center"/>
                    <w:rPr>
                      <w:rFonts w:ascii="Palatino Linotype" w:hAnsi="Palatino Linotype"/>
                      <w:b/>
                      <w:sz w:val="28"/>
                      <w:szCs w:val="28"/>
                    </w:rPr>
                  </w:pPr>
                </w:p>
                <w:p w14:paraId="0CD59691" w14:textId="78E940F2" w:rsidR="00C7513F" w:rsidRPr="00B6174A" w:rsidRDefault="00C7513F" w:rsidP="00C7513F">
                  <w:pPr>
                    <w:jc w:val="center"/>
                    <w:rPr>
                      <w:rFonts w:ascii="Palatino Linotype" w:hAnsi="Palatino Linotype"/>
                      <w:b/>
                      <w:sz w:val="28"/>
                      <w:szCs w:val="28"/>
                    </w:rPr>
                  </w:pPr>
                  <w:r>
                    <w:rPr>
                      <w:rFonts w:ascii="Palatino Linotype" w:hAnsi="Palatino Linotype"/>
                      <w:b/>
                      <w:sz w:val="28"/>
                      <w:szCs w:val="28"/>
                    </w:rPr>
                    <w:t>Luis Gustavo Parra Noriega</w:t>
                  </w:r>
                </w:p>
                <w:p w14:paraId="78FDE3E8" w14:textId="77777777" w:rsidR="00C7513F" w:rsidRPr="00B6174A" w:rsidRDefault="00C7513F" w:rsidP="00C7513F">
                  <w:pPr>
                    <w:jc w:val="center"/>
                    <w:rPr>
                      <w:rFonts w:ascii="Palatino Linotype" w:hAnsi="Palatino Linotype"/>
                    </w:rPr>
                  </w:pPr>
                  <w:r w:rsidRPr="00B6174A">
                    <w:rPr>
                      <w:rFonts w:ascii="Palatino Linotype" w:hAnsi="Palatino Linotype"/>
                    </w:rPr>
                    <w:t>Comisionado</w:t>
                  </w:r>
                </w:p>
                <w:p w14:paraId="3F1D3411" w14:textId="77777777" w:rsidR="00C7513F" w:rsidRPr="00B6174A" w:rsidRDefault="00C7513F" w:rsidP="00C7513F">
                  <w:pPr>
                    <w:jc w:val="center"/>
                    <w:rPr>
                      <w:rFonts w:ascii="Palatino Linotype" w:hAnsi="Palatino Linotype"/>
                    </w:rPr>
                  </w:pPr>
                  <w:r>
                    <w:rPr>
                      <w:rFonts w:ascii="Palatino Linotype" w:hAnsi="Palatino Linotype"/>
                    </w:rPr>
                    <w:t>(Rúbrica)</w:t>
                  </w:r>
                </w:p>
                <w:p w14:paraId="6BB15B37" w14:textId="77777777" w:rsidR="00C7513F" w:rsidRPr="00B6174A" w:rsidRDefault="00C7513F" w:rsidP="00112067">
                  <w:pPr>
                    <w:jc w:val="center"/>
                    <w:rPr>
                      <w:rFonts w:ascii="Palatino Linotype" w:hAnsi="Palatino Linotype"/>
                      <w:b/>
                    </w:rPr>
                  </w:pPr>
                </w:p>
              </w:tc>
            </w:tr>
            <w:tr w:rsidR="00112067" w:rsidRPr="00B6174A" w14:paraId="0187B999" w14:textId="77777777" w:rsidTr="00112067">
              <w:trPr>
                <w:trHeight w:val="1869"/>
                <w:jc w:val="center"/>
              </w:trPr>
              <w:tc>
                <w:tcPr>
                  <w:tcW w:w="8256" w:type="dxa"/>
                  <w:gridSpan w:val="2"/>
                  <w:vAlign w:val="center"/>
                </w:tcPr>
                <w:p w14:paraId="14CC73F2" w14:textId="77777777" w:rsidR="00112067" w:rsidRPr="00B6174A" w:rsidRDefault="00112067" w:rsidP="00112067">
                  <w:pPr>
                    <w:jc w:val="center"/>
                    <w:rPr>
                      <w:rFonts w:ascii="Palatino Linotype" w:hAnsi="Palatino Linotype"/>
                      <w:b/>
                    </w:rPr>
                  </w:pPr>
                </w:p>
                <w:p w14:paraId="0288D8FE" w14:textId="77777777" w:rsidR="00112067" w:rsidRPr="00B6174A" w:rsidRDefault="00112067" w:rsidP="00112067">
                  <w:pPr>
                    <w:jc w:val="center"/>
                    <w:rPr>
                      <w:rFonts w:ascii="Palatino Linotype" w:hAnsi="Palatino Linotype"/>
                      <w:b/>
                      <w:sz w:val="28"/>
                      <w:szCs w:val="28"/>
                    </w:rPr>
                  </w:pPr>
                </w:p>
                <w:p w14:paraId="66D66289" w14:textId="77777777" w:rsidR="00112067" w:rsidRDefault="00112067" w:rsidP="00112067">
                  <w:pPr>
                    <w:jc w:val="center"/>
                    <w:rPr>
                      <w:rFonts w:ascii="Palatino Linotype" w:hAnsi="Palatino Linotype"/>
                      <w:b/>
                      <w:sz w:val="28"/>
                      <w:szCs w:val="28"/>
                    </w:rPr>
                  </w:pPr>
                </w:p>
                <w:p w14:paraId="7B183D42" w14:textId="77777777" w:rsidR="00C7513F" w:rsidRDefault="00C7513F" w:rsidP="00112067">
                  <w:pPr>
                    <w:jc w:val="center"/>
                    <w:rPr>
                      <w:rFonts w:ascii="Palatino Linotype" w:hAnsi="Palatino Linotype"/>
                      <w:b/>
                      <w:sz w:val="28"/>
                      <w:szCs w:val="28"/>
                    </w:rPr>
                  </w:pPr>
                </w:p>
                <w:p w14:paraId="6BF31951" w14:textId="77777777" w:rsidR="00C7513F" w:rsidRPr="00B6174A" w:rsidRDefault="00C7513F" w:rsidP="00112067">
                  <w:pPr>
                    <w:jc w:val="center"/>
                    <w:rPr>
                      <w:rFonts w:ascii="Palatino Linotype" w:hAnsi="Palatino Linotype"/>
                      <w:b/>
                      <w:sz w:val="28"/>
                      <w:szCs w:val="28"/>
                    </w:rPr>
                  </w:pPr>
                </w:p>
                <w:p w14:paraId="498F1AA1" w14:textId="20F14263" w:rsidR="00112067" w:rsidRPr="00B6174A" w:rsidRDefault="00D90043" w:rsidP="00112067">
                  <w:pPr>
                    <w:jc w:val="center"/>
                    <w:rPr>
                      <w:rFonts w:ascii="Palatino Linotype" w:hAnsi="Palatino Linotype"/>
                      <w:b/>
                      <w:sz w:val="28"/>
                      <w:szCs w:val="28"/>
                    </w:rPr>
                  </w:pPr>
                  <w:r>
                    <w:rPr>
                      <w:rFonts w:ascii="Palatino Linotype" w:hAnsi="Palatino Linotype"/>
                      <w:b/>
                      <w:sz w:val="28"/>
                      <w:szCs w:val="28"/>
                    </w:rPr>
                    <w:t>Alexis Tapia Ramírez</w:t>
                  </w:r>
                </w:p>
                <w:p w14:paraId="11FD6BCE" w14:textId="31E3787A" w:rsidR="00112067" w:rsidRPr="00B6174A" w:rsidRDefault="00112067" w:rsidP="00112067">
                  <w:pPr>
                    <w:jc w:val="center"/>
                    <w:rPr>
                      <w:rFonts w:ascii="Palatino Linotype" w:hAnsi="Palatino Linotype"/>
                    </w:rPr>
                  </w:pPr>
                  <w:r w:rsidRPr="00B6174A">
                    <w:rPr>
                      <w:rFonts w:ascii="Palatino Linotype" w:hAnsi="Palatino Linotype"/>
                    </w:rPr>
                    <w:t>Secretari</w:t>
                  </w:r>
                  <w:r w:rsidR="00D90043">
                    <w:rPr>
                      <w:rFonts w:ascii="Palatino Linotype" w:hAnsi="Palatino Linotype"/>
                    </w:rPr>
                    <w:t>o</w:t>
                  </w:r>
                  <w:r w:rsidRPr="00B6174A">
                    <w:rPr>
                      <w:rFonts w:ascii="Palatino Linotype" w:hAnsi="Palatino Linotype"/>
                    </w:rPr>
                    <w:t xml:space="preserve"> Técnic</w:t>
                  </w:r>
                  <w:r w:rsidR="00D90043">
                    <w:rPr>
                      <w:rFonts w:ascii="Palatino Linotype" w:hAnsi="Palatino Linotype"/>
                    </w:rPr>
                    <w:t>o</w:t>
                  </w:r>
                  <w:r w:rsidRPr="00B6174A">
                    <w:rPr>
                      <w:rFonts w:ascii="Palatino Linotype" w:hAnsi="Palatino Linotype"/>
                    </w:rPr>
                    <w:t xml:space="preserve"> del Pleno</w:t>
                  </w:r>
                </w:p>
                <w:p w14:paraId="421D8518" w14:textId="3A6BD02F" w:rsidR="00112067" w:rsidRPr="00B6174A" w:rsidRDefault="000652AD" w:rsidP="00473B43">
                  <w:pPr>
                    <w:jc w:val="center"/>
                    <w:rPr>
                      <w:rFonts w:ascii="Palatino Linotype" w:hAnsi="Palatino Linotype"/>
                    </w:rPr>
                  </w:pPr>
                  <w:r>
                    <w:rPr>
                      <w:rFonts w:ascii="Palatino Linotype" w:hAnsi="Palatino Linotype"/>
                    </w:rPr>
                    <w:t>(Rúbrica)</w:t>
                  </w:r>
                </w:p>
              </w:tc>
            </w:tr>
          </w:tbl>
          <w:p w14:paraId="22E56C27" w14:textId="49D74DEF" w:rsidR="00112067" w:rsidRPr="0040233B" w:rsidRDefault="00112067" w:rsidP="00112067">
            <w:pPr>
              <w:jc w:val="center"/>
              <w:rPr>
                <w:rFonts w:ascii="Palatino Linotype" w:hAnsi="Palatino Linotype"/>
              </w:rPr>
            </w:pPr>
          </w:p>
        </w:tc>
      </w:tr>
    </w:tbl>
    <w:p w14:paraId="333B787C" w14:textId="77777777" w:rsidR="007F37C5" w:rsidRDefault="007F37C5" w:rsidP="007F37C5">
      <w:pPr>
        <w:spacing w:before="240" w:after="240"/>
        <w:jc w:val="both"/>
        <w:rPr>
          <w:rFonts w:ascii="Palatino Linotype" w:hAnsi="Palatino Linotype" w:cs="Arial"/>
          <w:sz w:val="16"/>
        </w:rPr>
      </w:pPr>
    </w:p>
    <w:p w14:paraId="64087348" w14:textId="56057A62" w:rsidR="007F37C5" w:rsidRPr="0040233B" w:rsidRDefault="007F37C5" w:rsidP="007F37C5">
      <w:pPr>
        <w:spacing w:before="240" w:after="240"/>
        <w:jc w:val="both"/>
        <w:rPr>
          <w:rFonts w:ascii="Palatino Linotype" w:hAnsi="Palatino Linotype" w:cs="Arial"/>
          <w:sz w:val="16"/>
        </w:rPr>
      </w:pPr>
      <w:r w:rsidRPr="0040233B">
        <w:rPr>
          <w:rFonts w:ascii="Palatino Linotype" w:hAnsi="Palatino Linotype" w:cs="Arial"/>
          <w:sz w:val="16"/>
        </w:rPr>
        <w:t xml:space="preserve">Esta hoja corresponde a la resolución de </w:t>
      </w:r>
      <w:r w:rsidR="00375BD2">
        <w:rPr>
          <w:rFonts w:ascii="Palatino Linotype" w:hAnsi="Palatino Linotype" w:cs="Arial"/>
          <w:sz w:val="16"/>
        </w:rPr>
        <w:t>treinta de enero</w:t>
      </w:r>
      <w:r w:rsidRPr="0040233B">
        <w:rPr>
          <w:rFonts w:ascii="Palatino Linotype" w:hAnsi="Palatino Linotype" w:cs="Arial"/>
          <w:sz w:val="16"/>
        </w:rPr>
        <w:t xml:space="preserve"> del dos mil dieci</w:t>
      </w:r>
      <w:r w:rsidR="00375BD2">
        <w:rPr>
          <w:rFonts w:ascii="Palatino Linotype" w:hAnsi="Palatino Linotype" w:cs="Arial"/>
          <w:sz w:val="16"/>
        </w:rPr>
        <w:t>nueve</w:t>
      </w:r>
      <w:r w:rsidRPr="0040233B">
        <w:rPr>
          <w:rFonts w:ascii="Palatino Linotype" w:hAnsi="Palatino Linotype" w:cs="Arial"/>
          <w:sz w:val="16"/>
        </w:rPr>
        <w:t xml:space="preserve">, emitida en el recurso de revisión </w:t>
      </w:r>
      <w:r w:rsidR="00425BCD">
        <w:rPr>
          <w:rFonts w:ascii="Palatino Linotype" w:hAnsi="Palatino Linotype" w:cs="Arial"/>
          <w:bCs/>
          <w:sz w:val="16"/>
        </w:rPr>
        <w:t>04569/INFOEM</w:t>
      </w:r>
      <w:r w:rsidRPr="0040233B">
        <w:rPr>
          <w:rFonts w:ascii="Palatino Linotype" w:hAnsi="Palatino Linotype" w:cs="Arial"/>
          <w:bCs/>
          <w:sz w:val="16"/>
        </w:rPr>
        <w:t>/IP/RR/201</w:t>
      </w:r>
      <w:r w:rsidR="00D90043">
        <w:rPr>
          <w:rFonts w:ascii="Palatino Linotype" w:hAnsi="Palatino Linotype" w:cs="Arial"/>
          <w:bCs/>
          <w:sz w:val="16"/>
        </w:rPr>
        <w:t>8</w:t>
      </w:r>
      <w:r w:rsidRPr="0040233B">
        <w:rPr>
          <w:rFonts w:ascii="Palatino Linotype" w:hAnsi="Palatino Linotype" w:cs="Arial"/>
          <w:sz w:val="16"/>
        </w:rPr>
        <w:t xml:space="preserve">. </w:t>
      </w:r>
    </w:p>
    <w:sectPr w:rsidR="007F37C5" w:rsidRPr="0040233B" w:rsidSect="00D47E75">
      <w:headerReference w:type="default" r:id="rId21"/>
      <w:footerReference w:type="default" r:id="rId22"/>
      <w:headerReference w:type="first" r:id="rId23"/>
      <w:footerReference w:type="first" r:id="rId24"/>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DC757B" w14:textId="77777777" w:rsidR="00080EEC" w:rsidRDefault="00080EEC" w:rsidP="00C80F8C">
      <w:r>
        <w:separator/>
      </w:r>
    </w:p>
  </w:endnote>
  <w:endnote w:type="continuationSeparator" w:id="0">
    <w:p w14:paraId="5ED1DDE6" w14:textId="77777777" w:rsidR="00080EEC" w:rsidRDefault="00080EE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65178D" w:rsidRDefault="0065178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A3BB8">
      <w:rPr>
        <w:rFonts w:ascii="Arial" w:hAnsi="Arial" w:cs="Arial"/>
        <w:b/>
        <w:bCs/>
        <w:noProof/>
        <w:sz w:val="20"/>
        <w:szCs w:val="20"/>
      </w:rPr>
      <w:t>43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A3BB8">
      <w:rPr>
        <w:rFonts w:ascii="Arial" w:hAnsi="Arial" w:cs="Arial"/>
        <w:b/>
        <w:bCs/>
        <w:noProof/>
        <w:sz w:val="20"/>
        <w:szCs w:val="20"/>
      </w:rPr>
      <w:t>43</w:t>
    </w:r>
    <w:r>
      <w:rPr>
        <w:rFonts w:ascii="Arial" w:hAnsi="Arial" w:cs="Arial"/>
        <w:b/>
        <w:bCs/>
        <w:sz w:val="20"/>
        <w:szCs w:val="20"/>
      </w:rPr>
      <w:fldChar w:fldCharType="end"/>
    </w:r>
  </w:p>
  <w:p w14:paraId="1192A578" w14:textId="77777777" w:rsidR="0065178D" w:rsidRDefault="0065178D" w:rsidP="00935A0D">
    <w:pPr>
      <w:pStyle w:val="Piedepgina"/>
      <w:rPr>
        <w:rFonts w:ascii="Times New Roman" w:hAnsi="Times New Roman" w:cs="Times New Roman"/>
      </w:rPr>
    </w:pPr>
  </w:p>
  <w:p w14:paraId="14A770F8" w14:textId="77777777" w:rsidR="0065178D" w:rsidRDefault="0065178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65178D" w:rsidRDefault="0065178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A3BB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A3BB8">
      <w:rPr>
        <w:rFonts w:ascii="Arial" w:hAnsi="Arial" w:cs="Arial"/>
        <w:b/>
        <w:bCs/>
        <w:noProof/>
        <w:sz w:val="20"/>
        <w:szCs w:val="20"/>
      </w:rPr>
      <w:t>43</w:t>
    </w:r>
    <w:r>
      <w:rPr>
        <w:rFonts w:ascii="Arial" w:hAnsi="Arial" w:cs="Arial"/>
        <w:b/>
        <w:bCs/>
        <w:sz w:val="20"/>
        <w:szCs w:val="20"/>
      </w:rPr>
      <w:fldChar w:fldCharType="end"/>
    </w:r>
  </w:p>
  <w:p w14:paraId="5D98ABD5" w14:textId="77777777" w:rsidR="0065178D" w:rsidRDefault="006517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B8626" w14:textId="77777777" w:rsidR="00080EEC" w:rsidRDefault="00080EEC" w:rsidP="00C80F8C">
      <w:r>
        <w:separator/>
      </w:r>
    </w:p>
  </w:footnote>
  <w:footnote w:type="continuationSeparator" w:id="0">
    <w:p w14:paraId="23A1F3E3" w14:textId="77777777" w:rsidR="00080EEC" w:rsidRDefault="00080EEC" w:rsidP="00C80F8C">
      <w:r>
        <w:continuationSeparator/>
      </w:r>
    </w:p>
  </w:footnote>
  <w:footnote w:id="1">
    <w:p w14:paraId="302DDE4C" w14:textId="77777777" w:rsidR="0065178D" w:rsidRPr="00F10C7C" w:rsidRDefault="0065178D" w:rsidP="00060072">
      <w:pPr>
        <w:pStyle w:val="Textonotapie"/>
        <w:rPr>
          <w:rFonts w:ascii="Palatino Linotype" w:hAnsi="Palatino Linotype"/>
          <w:sz w:val="16"/>
          <w:szCs w:val="16"/>
        </w:rPr>
      </w:pPr>
      <w:r w:rsidRPr="00F10C7C">
        <w:rPr>
          <w:rStyle w:val="Refdenotaalpie"/>
          <w:rFonts w:ascii="Palatino Linotype" w:hAnsi="Palatino Linotype"/>
          <w:sz w:val="16"/>
          <w:szCs w:val="16"/>
        </w:rPr>
        <w:footnoteRef/>
      </w:r>
      <w:r w:rsidRPr="00F10C7C">
        <w:rPr>
          <w:rFonts w:ascii="Palatino Linotype" w:hAnsi="Palatino Linotype"/>
          <w:sz w:val="16"/>
          <w:szCs w:val="16"/>
        </w:rPr>
        <w:t xml:space="preserve"> </w:t>
      </w:r>
      <w:r w:rsidRPr="00D21310">
        <w:rPr>
          <w:rFonts w:ascii="Palatino Linotype" w:hAnsi="Palatino Linotype" w:cs="Arial"/>
          <w:color w:val="000000"/>
          <w:sz w:val="16"/>
          <w:szCs w:val="16"/>
        </w:rPr>
        <w:t xml:space="preserve">Instituto de Investigaciones Jurídicas de la Universidad Nacional Autónoma de México. </w:t>
      </w:r>
      <w:r w:rsidRPr="00D21310">
        <w:rPr>
          <w:rFonts w:ascii="Palatino Linotype" w:hAnsi="Palatino Linotype" w:cs="Arial"/>
          <w:i/>
          <w:color w:val="000000"/>
          <w:sz w:val="16"/>
          <w:szCs w:val="16"/>
        </w:rPr>
        <w:t>Diccionario Jurídico Mexicano.</w:t>
      </w:r>
      <w:r w:rsidRPr="00D21310">
        <w:rPr>
          <w:rFonts w:ascii="Palatino Linotype" w:hAnsi="Palatino Linotype" w:cs="Arial"/>
          <w:color w:val="000000"/>
          <w:sz w:val="16"/>
          <w:szCs w:val="16"/>
        </w:rPr>
        <w:t xml:space="preserve"> Editorial Porrúa. México, 2009.</w:t>
      </w:r>
    </w:p>
  </w:footnote>
  <w:footnote w:id="2">
    <w:p w14:paraId="6AB5C5C6" w14:textId="77777777" w:rsidR="0065178D" w:rsidRPr="00EE15B6" w:rsidRDefault="0065178D" w:rsidP="00060072">
      <w:pPr>
        <w:pStyle w:val="Textonotapie"/>
        <w:rPr>
          <w:rFonts w:ascii="Palatino Linotype" w:hAnsi="Palatino Linotype"/>
        </w:rPr>
      </w:pPr>
      <w:r w:rsidRPr="00EE15B6">
        <w:rPr>
          <w:rStyle w:val="Refdenotaalpie"/>
          <w:rFonts w:ascii="Palatino Linotype" w:hAnsi="Palatino Linotype"/>
          <w:sz w:val="16"/>
        </w:rPr>
        <w:footnoteRef/>
      </w:r>
      <w:r w:rsidRPr="00EE15B6">
        <w:rPr>
          <w:rFonts w:ascii="Palatino Linotype" w:hAnsi="Palatino Linotype"/>
          <w:sz w:val="16"/>
        </w:rPr>
        <w:t xml:space="preserve"> Galindo Garfias, Ignacio. Derecho Civil. Décima cuarta edición. Porrúa. México, 1995. Pp. 303 y 307</w:t>
      </w:r>
    </w:p>
  </w:footnote>
  <w:footnote w:id="3">
    <w:p w14:paraId="5A7137A9" w14:textId="77777777" w:rsidR="0065178D" w:rsidRPr="00EE15B6" w:rsidRDefault="0065178D" w:rsidP="00060072">
      <w:pPr>
        <w:pStyle w:val="Textonotapie"/>
        <w:rPr>
          <w:rFonts w:ascii="Palatino Linotype" w:hAnsi="Palatino Linotype"/>
        </w:rPr>
      </w:pPr>
      <w:r w:rsidRPr="00EE15B6">
        <w:rPr>
          <w:rStyle w:val="Refdenotaalpie"/>
          <w:rFonts w:ascii="Palatino Linotype" w:hAnsi="Palatino Linotype"/>
          <w:sz w:val="16"/>
        </w:rPr>
        <w:footnoteRef/>
      </w:r>
      <w:r w:rsidRPr="00EE15B6">
        <w:rPr>
          <w:rFonts w:ascii="Palatino Linotype" w:hAnsi="Palatino Linotype"/>
          <w:sz w:val="16"/>
        </w:rPr>
        <w:t xml:space="preserve"> De la Parra, Trujillo, Eduardo. Los Derechos de la Personalidad: Teoría General y su distinción con los Derechos Humanos y las Garantías Individuales.</w:t>
      </w:r>
    </w:p>
  </w:footnote>
  <w:footnote w:id="4">
    <w:p w14:paraId="2F937AC7" w14:textId="77777777" w:rsidR="0065178D" w:rsidRPr="000E20F0" w:rsidRDefault="0065178D" w:rsidP="00D53F7C">
      <w:pPr>
        <w:pStyle w:val="Prrafodelista"/>
        <w:spacing w:after="120"/>
        <w:ind w:left="0" w:right="49"/>
        <w:jc w:val="both"/>
        <w:rPr>
          <w:rFonts w:ascii="Palatino Linotype" w:hAnsi="Palatino Linotype"/>
          <w:i/>
          <w:sz w:val="16"/>
          <w:szCs w:val="16"/>
        </w:rPr>
      </w:pPr>
      <w:r>
        <w:rPr>
          <w:rStyle w:val="Refdenotaalpie"/>
        </w:rPr>
        <w:footnoteRef/>
      </w:r>
      <w:r>
        <w:t xml:space="preserve"> </w:t>
      </w:r>
      <w:r w:rsidRPr="000E20F0">
        <w:rPr>
          <w:rFonts w:ascii="Palatino Linotype" w:hAnsi="Palatino Linotype"/>
          <w:b/>
          <w:i/>
          <w:sz w:val="16"/>
          <w:szCs w:val="16"/>
        </w:rPr>
        <w:t>Artículo 4.</w:t>
      </w:r>
      <w:r w:rsidRPr="000E20F0">
        <w:rPr>
          <w:rFonts w:ascii="Palatino Linotype" w:hAnsi="Palatino Linotype"/>
          <w:i/>
          <w:sz w:val="16"/>
          <w:szCs w:val="16"/>
        </w:rPr>
        <w:t xml:space="preserve"> El derecho humano de acceso a la información comprende solicitar, investigar, difundir, buscar y recibir información. Toda la información generada, obtenida, adquirida, transformada o en posesión de los sujetos obligados es pública y accesible a cualquier persona 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footnote>
  <w:footnote w:id="5">
    <w:p w14:paraId="53319213" w14:textId="77777777" w:rsidR="0065178D" w:rsidRDefault="0065178D" w:rsidP="00E5678F">
      <w:pPr>
        <w:pStyle w:val="Textonotapie"/>
      </w:pPr>
      <w:r>
        <w:rPr>
          <w:rStyle w:val="Refdenotaalpie"/>
        </w:rPr>
        <w:footnoteRef/>
      </w:r>
      <w:r>
        <w:t xml:space="preserve"> </w:t>
      </w:r>
      <w:r w:rsidRPr="00A44A00">
        <w:rPr>
          <w:rFonts w:ascii="Palatino Linotype" w:hAnsi="Palatino Linotype"/>
          <w:i/>
          <w:sz w:val="16"/>
          <w:szCs w:val="16"/>
        </w:rPr>
        <w:t>IV. Dentro del plazo mencionado en la fracción II, las partes podrán ofrecer todo tipo de pruebas o alegatos excepto la confesional por parte de los sujetos obligados y aquéllas que sean contrarias a derecho</w:t>
      </w:r>
    </w:p>
  </w:footnote>
  <w:footnote w:id="6">
    <w:p w14:paraId="5B25CC34" w14:textId="77777777" w:rsidR="0065178D" w:rsidRPr="00255E89" w:rsidRDefault="0065178D" w:rsidP="00255E89">
      <w:pPr>
        <w:autoSpaceDE w:val="0"/>
        <w:autoSpaceDN w:val="0"/>
        <w:adjustRightInd w:val="0"/>
        <w:spacing w:after="120"/>
        <w:ind w:right="-93"/>
        <w:jc w:val="both"/>
        <w:rPr>
          <w:rFonts w:ascii="Palatino Linotype" w:hAnsi="Palatino Linotype"/>
          <w:i/>
          <w:sz w:val="16"/>
          <w:szCs w:val="16"/>
        </w:rPr>
      </w:pPr>
      <w:r w:rsidRPr="00255E89">
        <w:rPr>
          <w:rStyle w:val="Refdenotaalpie"/>
          <w:rFonts w:ascii="Palatino Linotype" w:hAnsi="Palatino Linotype"/>
          <w:sz w:val="16"/>
          <w:szCs w:val="16"/>
        </w:rPr>
        <w:footnoteRef/>
      </w:r>
      <w:r w:rsidRPr="00255E89">
        <w:rPr>
          <w:rFonts w:ascii="Palatino Linotype" w:hAnsi="Palatino Linotype"/>
          <w:sz w:val="16"/>
          <w:szCs w:val="16"/>
        </w:rPr>
        <w:t xml:space="preserve"> </w:t>
      </w:r>
      <w:r w:rsidRPr="00255E89">
        <w:rPr>
          <w:rFonts w:ascii="Palatino Linotype" w:hAnsi="Palatino Linotype"/>
          <w:b/>
          <w:i/>
          <w:sz w:val="16"/>
          <w:szCs w:val="16"/>
        </w:rPr>
        <w:t xml:space="preserve">“INSTRUMENTAL DE ACTUACIONES EN EL JUICIO CONTENCIOSO ADMINISTRATIVO FEDERAL. CUANDO ALGUNA DE LAS PARTES LA OFREZCA, LA SALA SÓLO ESTÁ OBLIGADA A TOMAR EN CUENTA LAS CONSTANCIAS QUE OBREN EN EL EXPEDIENTE, AL HABER SIDO APORTADAS DURANTE ESE PROCEDIMIENTO Y NO EN UNO PREVIO. </w:t>
      </w:r>
      <w:r w:rsidRPr="00255E89">
        <w:rPr>
          <w:rFonts w:ascii="Palatino Linotype" w:hAnsi="Palatino Linotype"/>
          <w:i/>
          <w:sz w:val="16"/>
          <w:szCs w:val="16"/>
        </w:rPr>
        <w:t>El artículo 93 del Código Federal de Procedimientos Civiles, de aplicación supletoria al juicio contencioso administrativo federal, no considera expresamente como medio de prueba a la instrumental de actuaciones. Por su parte, la Suprema Corte de Justicia de la Nación, a través de su otrora Cuarta Sala, en la tesis publicada en el Semanario Judicial de la Federación, Séptima Época, Volumen 52, Quinta Parte, abril de 1973, página 58, de rubro: "PRUEBA INSTRUMENTAL DE ACTUACIONES, QUÉ SE ENTIENDE POR.", determinó que aquélla no existe propiamente, pues no es más que el nombre que, en la práctica, se da a todas las pruebas recabadas en un determinado negocio. Asimismo, en términos de los artículos 46 y 50 de la Ley Federal de Procedimiento Contencioso Administrativo, las Salas, al dictar sus sentencias, deben examinar todas las constancias que integran el expediente, con la finalidad de resolver en concordancia con lo actuado ante aquéllas, lo cual implica que no se tomen en cuenta documentos que no se hubiesen allegado al juicio, como puede ser el expediente administrativo de origen, si no se exhibió. En consecuencia, cuando alguna de las partes ofrezca la instrumental de actuaciones, la Sala sólo está obligada a tomar en cuenta las constancias que obren en el expediente del juicio contencioso administrativo, de lo cual se infiere que, para que ello suceda, éstas deben estar agregadas en autos, al haber sido aportadas durante ese procedimiento y no en uno previo.”</w:t>
      </w:r>
    </w:p>
    <w:p w14:paraId="6AEE2120" w14:textId="738547F1" w:rsidR="0065178D" w:rsidRDefault="0065178D">
      <w:pPr>
        <w:pStyle w:val="Textonotapie"/>
      </w:pPr>
    </w:p>
  </w:footnote>
  <w:footnote w:id="7">
    <w:p w14:paraId="2CAEB0EC" w14:textId="77777777" w:rsidR="0065178D" w:rsidRPr="00D577FA" w:rsidRDefault="0065178D" w:rsidP="00335B31">
      <w:pPr>
        <w:pStyle w:val="Textonotapie"/>
        <w:jc w:val="both"/>
        <w:rPr>
          <w:sz w:val="16"/>
          <w:szCs w:val="16"/>
        </w:rPr>
      </w:pPr>
      <w:r>
        <w:rPr>
          <w:rStyle w:val="Refdenotaalpie"/>
        </w:rPr>
        <w:footnoteRef/>
      </w:r>
      <w:r>
        <w:t xml:space="preserve"> </w:t>
      </w:r>
      <w:r w:rsidRPr="003170C1">
        <w:rPr>
          <w:rStyle w:val="Refdenotaalpie"/>
          <w:rFonts w:ascii="Palatino Linotype" w:hAnsi="Palatino Linotype"/>
          <w:sz w:val="18"/>
          <w:szCs w:val="18"/>
        </w:rPr>
        <w:footnoteRef/>
      </w:r>
      <w:r w:rsidRPr="003170C1">
        <w:rPr>
          <w:rFonts w:ascii="Palatino Linotype" w:hAnsi="Palatino Linotype"/>
          <w:sz w:val="18"/>
          <w:szCs w:val="18"/>
        </w:rPr>
        <w:t xml:space="preserve"> </w:t>
      </w:r>
      <w:r>
        <w:rPr>
          <w:rFonts w:ascii="Palatino Linotype" w:hAnsi="Palatino Linotype"/>
          <w:sz w:val="18"/>
          <w:szCs w:val="18"/>
        </w:rPr>
        <w:t>“L</w:t>
      </w:r>
      <w:r w:rsidRPr="00F51C27">
        <w:rPr>
          <w:rFonts w:ascii="Palatino Linotype" w:hAnsi="Palatino Linotype"/>
          <w:b/>
          <w:sz w:val="16"/>
          <w:szCs w:val="16"/>
        </w:rPr>
        <w:t>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sidRPr="00F51C27">
        <w:rPr>
          <w:rFonts w:ascii="Palatino Linotype" w:hAnsi="Palatino Linotype"/>
          <w:sz w:val="16"/>
          <w:szCs w:val="16"/>
        </w:rPr>
        <w:t xml:space="preserve">; sin embargo, como en todo caso, es la situación específica la que orienta la naturaleza de los servicios prestados si un trabajador incluido en una lista de raya demanda su </w:t>
      </w:r>
      <w:proofErr w:type="spellStart"/>
      <w:r w:rsidRPr="00F51C27">
        <w:rPr>
          <w:rFonts w:ascii="Palatino Linotype" w:hAnsi="Palatino Linotype"/>
          <w:sz w:val="16"/>
          <w:szCs w:val="16"/>
        </w:rPr>
        <w:t>recategorización</w:t>
      </w:r>
      <w:proofErr w:type="spellEnd"/>
      <w:r w:rsidRPr="00F51C27">
        <w:rPr>
          <w:rFonts w:ascii="Palatino Linotype" w:hAnsi="Palatino Linotype"/>
          <w:sz w:val="16"/>
          <w:szCs w:val="16"/>
        </w:rPr>
        <w:t xml:space="preserve"> y acredita la realización de labores distintas a las contratadas, con mejor remuneración, mientras que la demandada, quien alegó la improcedencia respectiva por la incorporación del trabajador en las listas de raya, no demuestra que la relación laboral fue por obra o tiempo determinado, ello genera, por consecuencia, estimar que aquélla es permanente y, por tanto, la procedencia de la acción de </w:t>
      </w:r>
      <w:proofErr w:type="spellStart"/>
      <w:r w:rsidRPr="00F51C27">
        <w:rPr>
          <w:rFonts w:ascii="Palatino Linotype" w:hAnsi="Palatino Linotype"/>
          <w:sz w:val="16"/>
          <w:szCs w:val="16"/>
        </w:rPr>
        <w:t>recategorización</w:t>
      </w:r>
      <w:proofErr w:type="spellEnd"/>
      <w:r w:rsidRPr="00F51C27">
        <w:rPr>
          <w:rFonts w:ascii="Palatino Linotype" w:hAnsi="Palatino Linotype"/>
          <w:sz w:val="16"/>
          <w:szCs w:val="16"/>
        </w:rPr>
        <w:t>.</w:t>
      </w:r>
      <w:r>
        <w:rPr>
          <w:rFonts w:ascii="Palatino Linotype" w:hAnsi="Palatino Linotype"/>
          <w:sz w:val="16"/>
          <w:szCs w:val="16"/>
        </w:rPr>
        <w:t>”</w:t>
      </w:r>
    </w:p>
  </w:footnote>
  <w:footnote w:id="8">
    <w:p w14:paraId="44C618BD" w14:textId="77777777" w:rsidR="0065178D" w:rsidRPr="001F6D50" w:rsidRDefault="0065178D" w:rsidP="00335B31">
      <w:pPr>
        <w:ind w:right="51"/>
        <w:jc w:val="both"/>
        <w:rPr>
          <w:rFonts w:ascii="Palatino Linotype" w:hAnsi="Palatino Linotype"/>
          <w:i/>
          <w:sz w:val="16"/>
          <w:szCs w:val="16"/>
        </w:rPr>
      </w:pPr>
      <w:r>
        <w:rPr>
          <w:rStyle w:val="Refdenotaalpie"/>
        </w:rPr>
        <w:footnoteRef/>
      </w:r>
      <w:r>
        <w:t xml:space="preserve"> </w:t>
      </w:r>
      <w:r w:rsidRPr="001F6D50">
        <w:rPr>
          <w:rFonts w:ascii="Palatino Linotype" w:hAnsi="Palatino Linotype"/>
          <w:i/>
          <w:sz w:val="16"/>
          <w:szCs w:val="16"/>
        </w:rPr>
        <w:t>“Artículo 32.- El Gobernador del Estado, por conducto del titular de la dependencia competente, presentará a la Legislatura la cuenta pública del Gobierno del Estado del ejercicio fiscal inmediato anterior, a más tardar el quince de mayo de cada año.</w:t>
      </w:r>
      <w:r>
        <w:rPr>
          <w:rFonts w:ascii="Palatino Linotype" w:hAnsi="Palatino Linotype"/>
          <w:i/>
          <w:sz w:val="16"/>
          <w:szCs w:val="16"/>
        </w:rPr>
        <w:t xml:space="preserve"> </w:t>
      </w:r>
      <w:r w:rsidRPr="001F6D50">
        <w:rPr>
          <w:rFonts w:ascii="Palatino Linotype" w:hAnsi="Palatino Linotype"/>
          <w:i/>
          <w:sz w:val="16"/>
          <w:szCs w:val="16"/>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7EAFDDAD" w14:textId="77777777" w:rsidR="0065178D" w:rsidRDefault="0065178D" w:rsidP="00335B31">
      <w:pPr>
        <w:pStyle w:val="Textonotapie"/>
      </w:pPr>
    </w:p>
  </w:footnote>
  <w:footnote w:id="9">
    <w:p w14:paraId="10C2F2F5" w14:textId="77777777" w:rsidR="0065178D" w:rsidRDefault="0065178D" w:rsidP="004F0B1C">
      <w:pPr>
        <w:pStyle w:val="Textonotapie"/>
      </w:pPr>
      <w:r>
        <w:rPr>
          <w:rStyle w:val="Refdenotaalpie"/>
        </w:rPr>
        <w:footnoteRef/>
      </w:r>
      <w:r>
        <w:t xml:space="preserve"> </w:t>
      </w:r>
      <w:r w:rsidRPr="006E34B6">
        <w:rPr>
          <w:rFonts w:ascii="Palatino Linotype" w:hAnsi="Palatino Linotype"/>
          <w:sz w:val="16"/>
        </w:rPr>
        <w:t>Diccionario de la “</w:t>
      </w:r>
      <w:r w:rsidRPr="006E34B6">
        <w:rPr>
          <w:rFonts w:ascii="Palatino Linotype" w:eastAsia="Arial Unicode MS" w:hAnsi="Palatino Linotype" w:cs="Arial Unicode MS"/>
          <w:i/>
          <w:iCs/>
          <w:color w:val="000000"/>
          <w:spacing w:val="-4"/>
          <w:sz w:val="16"/>
          <w:shd w:val="clear" w:color="auto" w:fill="FFFFFF"/>
        </w:rPr>
        <w:t>Real Academia Española</w:t>
      </w:r>
      <w:r w:rsidRPr="006E34B6">
        <w:rPr>
          <w:rStyle w:val="apple-converted-space"/>
          <w:rFonts w:ascii="Palatino Linotype" w:eastAsia="Arial Unicode MS" w:hAnsi="Palatino Linotype" w:cs="Arial Unicode MS"/>
          <w:i/>
          <w:iCs/>
          <w:color w:val="000000"/>
          <w:spacing w:val="-4"/>
          <w:sz w:val="16"/>
          <w:shd w:val="clear" w:color="auto" w:fill="FFFFFF"/>
        </w:rPr>
        <w:t>”.</w:t>
      </w:r>
    </w:p>
  </w:footnote>
  <w:footnote w:id="10">
    <w:p w14:paraId="2887D21C" w14:textId="77777777" w:rsidR="0065178D" w:rsidRPr="00DE03DC" w:rsidRDefault="0065178D" w:rsidP="004F0B1C">
      <w:pPr>
        <w:pStyle w:val="Textonotapie"/>
        <w:jc w:val="both"/>
        <w:rPr>
          <w:rFonts w:ascii="Palatino Linotype" w:hAnsi="Palatino Linotype"/>
          <w:i/>
          <w:sz w:val="16"/>
        </w:rPr>
      </w:pPr>
      <w:r>
        <w:rPr>
          <w:rStyle w:val="Refdenotaalpie"/>
        </w:rPr>
        <w:footnoteRef/>
      </w:r>
      <w:r>
        <w:t xml:space="preserve"> </w:t>
      </w:r>
      <w:r w:rsidRPr="00DE03DC">
        <w:rPr>
          <w:rFonts w:ascii="Palatino Linotype" w:hAnsi="Palatino Linotype"/>
          <w:i/>
          <w:sz w:val="16"/>
        </w:rPr>
        <w:t>Tesis: I.2o.C.22 C (10a.) CONTRATO DE PRESTACIÓN DE SERVICIOS PROFESIONALES. EL PAGO CONSTITUYE LA CORRESPONDENCIA AL SERVICIO PRESTADO. De lo dispuesto en los artículos 2606, 2610 y 2614 del Código Civil para el Distrito Federal, se puede conceptuar al contrato de prestación de servicios profesionales como aquel por el que una persona llamada profesionista, se obliga a prestar determinados servicios que requieren una preparación técnica o un título profesional, a otra persona llamada cliente, quien por su parte se obliga a pagar una determinada retribución llamada honorarios. Por su naturaleza, el contrato de prestación de servicios profesionales es consensual, no requiere de una formalidad especial, sino que las partes pueden acordar libremente sus términos y condiciones; es de carácter principal porque no depende de otro; es bilateral porque una parte se obliga a prestar un servicio de tipo profesional, artístico, científico o técnico y la otra a remunerar mediante el pago de honorarios; es oneroso, ya que los provechos o gravámenes son recíprocos; es de tracto sucesivo, pues por regla general, las obligaciones se van cumpliendo a través del tiempo; excepcionalmente es de ejecución instantánea. Por ello, cuando no hay pacto expreso sobre el tiempo de cumplimiento de las obligaciones, debe atenderse a la naturaleza sui géneris del contrato, el cual conforme a las características anotadas, no es de resultado, salvo que se pacte entre las partes, razón por la cual, de acuerdo al principio ontológico de la prueba, que parte de la premisa de que lo ordinario se presume, pues se presenta por sí mismo como un elemento de prueba que se apoya en la experiencia común, y lo extraordinario se prueba, se concluye que por su naturaleza, en este tipo de contratos, lo ordinario es que el pago de honorarios se efectúe hasta el final, pues por cuestión natural, la satisfacción de la obligación principal a cargo del profesional, es la que hace surgir para su contraparte el correlativo deber de pago.</w:t>
      </w:r>
    </w:p>
    <w:p w14:paraId="7D943BDC" w14:textId="77777777" w:rsidR="0065178D" w:rsidRDefault="0065178D" w:rsidP="004F0B1C">
      <w:pPr>
        <w:pStyle w:val="Textonotapie"/>
      </w:pPr>
    </w:p>
  </w:footnote>
  <w:footnote w:id="11">
    <w:p w14:paraId="3C8DDC08" w14:textId="77777777" w:rsidR="00707C29" w:rsidRDefault="00707C29" w:rsidP="00707C29">
      <w:pPr>
        <w:ind w:right="51"/>
        <w:jc w:val="both"/>
        <w:rPr>
          <w:rFonts w:ascii="Palatino Linotype" w:eastAsiaTheme="minorEastAsia" w:hAnsi="Palatino Linotype" w:cs="Bookman Old Style,Bold"/>
          <w:b/>
          <w:bCs/>
          <w:i/>
          <w:sz w:val="16"/>
          <w:szCs w:val="16"/>
          <w:lang w:val="es-MX"/>
        </w:rPr>
      </w:pPr>
      <w:r w:rsidRPr="00707C29">
        <w:rPr>
          <w:rStyle w:val="Refdenotaalpie"/>
          <w:sz w:val="16"/>
          <w:szCs w:val="16"/>
        </w:rPr>
        <w:footnoteRef/>
      </w:r>
      <w:r w:rsidRPr="00707C29">
        <w:rPr>
          <w:sz w:val="16"/>
          <w:szCs w:val="16"/>
        </w:rPr>
        <w:t xml:space="preserve"> </w:t>
      </w:r>
      <w:r w:rsidRPr="00707C29">
        <w:rPr>
          <w:rFonts w:ascii="Palatino Linotype" w:eastAsiaTheme="minorEastAsia" w:hAnsi="Palatino Linotype" w:cs="Bookman Old Style,Bold"/>
          <w:b/>
          <w:bCs/>
          <w:i/>
          <w:sz w:val="16"/>
          <w:szCs w:val="16"/>
          <w:lang w:val="es-MX"/>
        </w:rPr>
        <w:t xml:space="preserve">Artículo 3. </w:t>
      </w:r>
      <w:r w:rsidRPr="00707C29">
        <w:rPr>
          <w:rFonts w:ascii="Palatino Linotype" w:eastAsiaTheme="minorEastAsia" w:hAnsi="Palatino Linotype" w:cs="Bookman Old Style"/>
          <w:i/>
          <w:sz w:val="16"/>
          <w:szCs w:val="16"/>
          <w:lang w:val="es-MX"/>
        </w:rPr>
        <w:t>Para los efectos de la presente Ley se entenderá por:</w:t>
      </w:r>
      <w:r>
        <w:rPr>
          <w:rFonts w:ascii="Palatino Linotype" w:eastAsiaTheme="minorEastAsia" w:hAnsi="Palatino Linotype" w:cs="Bookman Old Style"/>
          <w:i/>
          <w:sz w:val="16"/>
          <w:szCs w:val="16"/>
          <w:lang w:val="es-MX"/>
        </w:rPr>
        <w:t xml:space="preserve"> </w:t>
      </w:r>
      <w:r w:rsidRPr="00707C29">
        <w:rPr>
          <w:rFonts w:ascii="Palatino Linotype" w:eastAsiaTheme="minorEastAsia" w:hAnsi="Palatino Linotype" w:cs="Bookman Old Style,Bold"/>
          <w:b/>
          <w:bCs/>
          <w:i/>
          <w:sz w:val="16"/>
          <w:szCs w:val="16"/>
          <w:lang w:val="es-MX"/>
        </w:rPr>
        <w:t>(…</w:t>
      </w:r>
      <w:r w:rsidRPr="00707C29">
        <w:rPr>
          <w:rFonts w:ascii="Palatino Linotype" w:eastAsiaTheme="minorEastAsia" w:hAnsi="Palatino Linotype" w:cs="Bookman Old Style"/>
          <w:i/>
          <w:sz w:val="16"/>
          <w:szCs w:val="16"/>
          <w:lang w:val="es-MX"/>
        </w:rPr>
        <w:t>)</w:t>
      </w:r>
      <w:r>
        <w:rPr>
          <w:rFonts w:ascii="Palatino Linotype" w:eastAsiaTheme="minorEastAsia" w:hAnsi="Palatino Linotype" w:cs="Bookman Old Style"/>
          <w:i/>
          <w:sz w:val="16"/>
          <w:szCs w:val="16"/>
          <w:lang w:val="es-MX"/>
        </w:rPr>
        <w:t xml:space="preserve"> </w:t>
      </w:r>
      <w:r w:rsidRPr="00707C29">
        <w:rPr>
          <w:rFonts w:ascii="Palatino Linotype" w:eastAsiaTheme="minorEastAsia" w:hAnsi="Palatino Linotype" w:cs="Bookman Old Style,Bold"/>
          <w:b/>
          <w:bCs/>
          <w:i/>
          <w:sz w:val="16"/>
          <w:szCs w:val="16"/>
          <w:lang w:val="es-MX"/>
        </w:rPr>
        <w:t xml:space="preserve">XI. Documento: </w:t>
      </w:r>
      <w:r w:rsidRPr="00707C29">
        <w:rPr>
          <w:rFonts w:ascii="Palatino Linotype" w:eastAsiaTheme="minorEastAsia" w:hAnsi="Palatino Linotype" w:cs="Bookman Old Style"/>
          <w:i/>
          <w:sz w:val="16"/>
          <w:szCs w:val="16"/>
          <w:lang w:val="es-MX"/>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Theme="minorEastAsia" w:hAnsi="Palatino Linotype" w:cs="Bookman Old Style"/>
          <w:i/>
          <w:sz w:val="16"/>
          <w:szCs w:val="16"/>
          <w:lang w:val="es-MX"/>
        </w:rPr>
        <w:t xml:space="preserve"> </w:t>
      </w:r>
      <w:r w:rsidRPr="00707C29">
        <w:rPr>
          <w:rFonts w:ascii="Palatino Linotype" w:eastAsiaTheme="minorEastAsia" w:hAnsi="Palatino Linotype" w:cs="Bookman Old Style,Bold"/>
          <w:b/>
          <w:bCs/>
          <w:i/>
          <w:sz w:val="16"/>
          <w:szCs w:val="16"/>
          <w:lang w:val="es-MX"/>
        </w:rPr>
        <w:t>(…</w:t>
      </w:r>
      <w:r w:rsidRPr="00707C29">
        <w:rPr>
          <w:rFonts w:ascii="Palatino Linotype" w:eastAsiaTheme="minorEastAsia" w:hAnsi="Palatino Linotype" w:cs="Bookman Old Style"/>
          <w:i/>
          <w:sz w:val="16"/>
          <w:szCs w:val="16"/>
          <w:lang w:val="es-MX"/>
        </w:rPr>
        <w:t>)</w:t>
      </w:r>
      <w:r>
        <w:rPr>
          <w:rFonts w:ascii="Palatino Linotype" w:eastAsiaTheme="minorEastAsia" w:hAnsi="Palatino Linotype" w:cs="Bookman Old Style"/>
          <w:i/>
          <w:sz w:val="16"/>
          <w:szCs w:val="16"/>
          <w:lang w:val="es-MX"/>
        </w:rPr>
        <w:t xml:space="preserve"> </w:t>
      </w:r>
      <w:r w:rsidRPr="00707C29">
        <w:rPr>
          <w:rFonts w:ascii="Palatino Linotype" w:eastAsiaTheme="minorEastAsia" w:hAnsi="Palatino Linotype" w:cs="Bookman Old Style,Bold"/>
          <w:b/>
          <w:bCs/>
          <w:i/>
          <w:sz w:val="16"/>
          <w:szCs w:val="16"/>
          <w:lang w:val="es-MX"/>
        </w:rPr>
        <w:t xml:space="preserve">XXII. Información de interés público: </w:t>
      </w:r>
      <w:r w:rsidRPr="00707C29">
        <w:rPr>
          <w:rFonts w:ascii="Palatino Linotype" w:eastAsiaTheme="minorEastAsia" w:hAnsi="Palatino Linotype" w:cs="Bookman Old Style"/>
          <w:i/>
          <w:sz w:val="16"/>
          <w:szCs w:val="16"/>
          <w:lang w:val="es-MX"/>
        </w:rPr>
        <w:t>Se refiere a la información que resulta relevante o beneficiosa para la sociedad y no simplemente de interés individual, cuya divulgación resulta útil para que el público comprenda las actividades que llevan a cabo los sujetos obligados;…</w:t>
      </w:r>
      <w:r>
        <w:rPr>
          <w:rFonts w:ascii="Palatino Linotype" w:eastAsiaTheme="minorEastAsia" w:hAnsi="Palatino Linotype" w:cs="Bookman Old Style,Bold"/>
          <w:b/>
          <w:bCs/>
          <w:i/>
          <w:sz w:val="16"/>
          <w:szCs w:val="16"/>
          <w:lang w:val="es-MX"/>
        </w:rPr>
        <w:t xml:space="preserve"> </w:t>
      </w:r>
    </w:p>
    <w:p w14:paraId="756D4CC3" w14:textId="42A78CA8" w:rsidR="00707C29" w:rsidRPr="00707C29" w:rsidRDefault="00707C29" w:rsidP="00707C29">
      <w:pPr>
        <w:ind w:right="51"/>
        <w:jc w:val="both"/>
        <w:rPr>
          <w:rFonts w:ascii="Palatino Linotype" w:eastAsiaTheme="minorEastAsia" w:hAnsi="Palatino Linotype" w:cs="Bookman Old Style"/>
          <w:i/>
          <w:sz w:val="16"/>
          <w:szCs w:val="16"/>
          <w:lang w:val="es-MX"/>
        </w:rPr>
      </w:pPr>
      <w:r w:rsidRPr="00707C29">
        <w:rPr>
          <w:rFonts w:ascii="Palatino Linotype" w:eastAsiaTheme="minorEastAsia" w:hAnsi="Palatino Linotype" w:cs="Bookman Old Style,Bold"/>
          <w:b/>
          <w:bCs/>
          <w:i/>
          <w:sz w:val="16"/>
          <w:szCs w:val="16"/>
          <w:lang w:val="es-MX"/>
        </w:rPr>
        <w:t xml:space="preserve">Artículo 4. </w:t>
      </w:r>
      <w:r w:rsidRPr="00707C29">
        <w:rPr>
          <w:rFonts w:ascii="Palatino Linotype" w:eastAsiaTheme="minorEastAsia" w:hAnsi="Palatino Linotype" w:cs="Bookman Old Style"/>
          <w:i/>
          <w:sz w:val="16"/>
          <w:szCs w:val="16"/>
          <w:lang w:val="es-MX"/>
        </w:rPr>
        <w:t>El derecho humano de acceso a la información pública es la prerrogativa de las personas para buscar, difundir, investigar, recabar, recibir y solicitar información pública, sin necesidad de acreditar personalidad ni interés jurídico.</w:t>
      </w:r>
      <w:r>
        <w:rPr>
          <w:rFonts w:ascii="Palatino Linotype" w:eastAsiaTheme="minorEastAsia" w:hAnsi="Palatino Linotype" w:cs="Bookman Old Style"/>
          <w:i/>
          <w:sz w:val="16"/>
          <w:szCs w:val="16"/>
          <w:lang w:val="es-MX"/>
        </w:rPr>
        <w:t xml:space="preserve"> </w:t>
      </w:r>
      <w:r w:rsidRPr="00707C29">
        <w:rPr>
          <w:rFonts w:ascii="Palatino Linotype" w:eastAsiaTheme="minorEastAsia" w:hAnsi="Palatino Linotype" w:cs="Bookman Old Style"/>
          <w:i/>
          <w:sz w:val="16"/>
          <w:szCs w:val="16"/>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w:t>
      </w:r>
      <w:r>
        <w:rPr>
          <w:rFonts w:ascii="Palatino Linotype" w:eastAsiaTheme="minorEastAsia" w:hAnsi="Palatino Linotype" w:cs="Bookman Old Style"/>
          <w:i/>
          <w:sz w:val="16"/>
          <w:szCs w:val="16"/>
          <w:lang w:val="es-MX"/>
        </w:rPr>
        <w:t xml:space="preserve">a publicidad de la información. </w:t>
      </w:r>
      <w:r w:rsidRPr="00707C29">
        <w:rPr>
          <w:rFonts w:ascii="Palatino Linotype" w:eastAsiaTheme="minorEastAsia" w:hAnsi="Palatino Linotype" w:cs="Bookman Old Style"/>
          <w:i/>
          <w:sz w:val="16"/>
          <w:szCs w:val="16"/>
          <w:lang w:val="es-MX"/>
        </w:rPr>
        <w:t>Solo podrá ser clasificada excepcionalmente como reservada temporalmente por razones de interés público, en los términos de las causas legítimas y estrictamente necesarias previstas por esta Ley.</w:t>
      </w:r>
      <w:r>
        <w:rPr>
          <w:rFonts w:ascii="Palatino Linotype" w:eastAsiaTheme="minorEastAsia" w:hAnsi="Palatino Linotype" w:cs="Bookman Old Style"/>
          <w:i/>
          <w:sz w:val="16"/>
          <w:szCs w:val="16"/>
          <w:lang w:val="es-MX"/>
        </w:rPr>
        <w:t xml:space="preserve"> </w:t>
      </w:r>
    </w:p>
    <w:p w14:paraId="37E54CCC" w14:textId="7E41DDC7" w:rsidR="00707C29" w:rsidRDefault="00707C29" w:rsidP="00707C29">
      <w:pPr>
        <w:autoSpaceDE w:val="0"/>
        <w:autoSpaceDN w:val="0"/>
        <w:adjustRightInd w:val="0"/>
        <w:ind w:right="51"/>
        <w:jc w:val="both"/>
      </w:pPr>
      <w:r w:rsidRPr="00707C29">
        <w:rPr>
          <w:rFonts w:ascii="Palatino Linotype" w:eastAsiaTheme="minorEastAsia" w:hAnsi="Palatino Linotype" w:cs="Bookman Old Style,Bold"/>
          <w:b/>
          <w:bCs/>
          <w:i/>
          <w:sz w:val="16"/>
          <w:szCs w:val="16"/>
          <w:lang w:val="es-MX"/>
        </w:rPr>
        <w:t xml:space="preserve">Artículo 12. </w:t>
      </w:r>
      <w:r w:rsidRPr="00707C29">
        <w:rPr>
          <w:rFonts w:ascii="Palatino Linotype" w:eastAsiaTheme="minorEastAsia" w:hAnsi="Palatino Linotype" w:cs="Bookman Old Style"/>
          <w:i/>
          <w:sz w:val="16"/>
          <w:szCs w:val="16"/>
          <w:lang w:val="es-MX"/>
        </w:rPr>
        <w:t>Quienes generen, recopilen, administren, manejen, procesen, archiven o conserven información pública serán responsables de la misma en los términos de las disposiciones jurídicas aplicables.</w:t>
      </w:r>
      <w:r>
        <w:rPr>
          <w:rFonts w:ascii="Palatino Linotype" w:eastAsiaTheme="minorEastAsia" w:hAnsi="Palatino Linotype" w:cs="Bookman Old Style"/>
          <w:i/>
          <w:sz w:val="16"/>
          <w:szCs w:val="16"/>
          <w:lang w:val="es-MX"/>
        </w:rPr>
        <w:t xml:space="preserve"> </w:t>
      </w:r>
      <w:r w:rsidRPr="00707C29">
        <w:rPr>
          <w:rFonts w:ascii="Palatino Linotype" w:eastAsiaTheme="minorEastAsia" w:hAnsi="Palatino Linotype" w:cs="Bookman Old Style"/>
          <w:i/>
          <w:sz w:val="16"/>
          <w:szCs w:val="16"/>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Theme="minorEastAsia" w:hAnsi="Palatino Linotype" w:cs="Bookman Old Style"/>
          <w:i/>
          <w:sz w:val="16"/>
          <w:szCs w:val="16"/>
          <w:lang w:val="es-MX"/>
        </w:rPr>
        <w:t>”</w:t>
      </w:r>
    </w:p>
  </w:footnote>
  <w:footnote w:id="12">
    <w:p w14:paraId="496F1297" w14:textId="1F316FB5" w:rsidR="00707C29" w:rsidRPr="00707C29" w:rsidRDefault="00707C29">
      <w:pPr>
        <w:pStyle w:val="Textonotapie"/>
        <w:rPr>
          <w:rFonts w:ascii="Palatino Linotype" w:hAnsi="Palatino Linotype"/>
          <w:sz w:val="16"/>
          <w:szCs w:val="16"/>
        </w:rPr>
      </w:pPr>
      <w:r>
        <w:rPr>
          <w:rStyle w:val="Refdenotaalpie"/>
        </w:rPr>
        <w:footnoteRef/>
      </w:r>
      <w:r>
        <w:t xml:space="preserve"> </w:t>
      </w:r>
      <w:r w:rsidRPr="00707C29">
        <w:rPr>
          <w:rFonts w:ascii="Palatino Linotype" w:hAnsi="Palatino Linotype"/>
          <w:i/>
          <w:sz w:val="16"/>
          <w:szCs w:val="16"/>
        </w:rPr>
        <w:t xml:space="preserve">Cfr. </w:t>
      </w:r>
      <w:r w:rsidRPr="00707C29">
        <w:rPr>
          <w:rFonts w:ascii="Palatino Linotype" w:hAnsi="Palatino Linotype"/>
          <w:sz w:val="16"/>
          <w:szCs w:val="16"/>
        </w:rPr>
        <w:t>Artículo 57 del Código de Procedimientos Administrativos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65178D" w14:paraId="6B4E3B81" w14:textId="77777777" w:rsidTr="009D4854">
      <w:tc>
        <w:tcPr>
          <w:tcW w:w="2553" w:type="dxa"/>
          <w:vAlign w:val="center"/>
          <w:hideMark/>
        </w:tcPr>
        <w:p w14:paraId="0ABBC6C0" w14:textId="77777777" w:rsidR="0065178D" w:rsidRDefault="0065178D"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6D64A9B5" w:rsidR="0065178D" w:rsidRDefault="0065178D" w:rsidP="00425BCD">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04569/INFOEM/IP/RR/2018</w:t>
          </w:r>
        </w:p>
      </w:tc>
    </w:tr>
    <w:tr w:rsidR="0065178D" w14:paraId="31CB780F" w14:textId="77777777" w:rsidTr="009D4854">
      <w:trPr>
        <w:trHeight w:val="228"/>
      </w:trPr>
      <w:tc>
        <w:tcPr>
          <w:tcW w:w="2553" w:type="dxa"/>
          <w:vAlign w:val="center"/>
          <w:hideMark/>
        </w:tcPr>
        <w:p w14:paraId="4F49CB4A" w14:textId="6966D32E" w:rsidR="0065178D" w:rsidRDefault="0065178D"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390FBE0B" w:rsidR="0065178D" w:rsidRDefault="0065178D" w:rsidP="004267B7">
          <w:pPr>
            <w:rPr>
              <w:rFonts w:ascii="Palatino Linotype" w:hAnsi="Palatino Linotype"/>
              <w:b/>
              <w:sz w:val="22"/>
              <w:szCs w:val="22"/>
              <w:lang w:val="es-ES_tradnl"/>
            </w:rPr>
          </w:pPr>
          <w:r>
            <w:rPr>
              <w:rFonts w:ascii="Palatino Linotype" w:hAnsi="Palatino Linotype"/>
              <w:b/>
              <w:sz w:val="22"/>
              <w:szCs w:val="22"/>
              <w:lang w:val="es-ES_tradnl"/>
            </w:rPr>
            <w:t>Organismo Descentralizado de Agua Potable Alcantarillado y Saneamiento de Valle de Chalco Solidaridad</w:t>
          </w:r>
        </w:p>
      </w:tc>
    </w:tr>
    <w:tr w:rsidR="0065178D" w14:paraId="69050F56" w14:textId="77777777" w:rsidTr="009D4854">
      <w:tc>
        <w:tcPr>
          <w:tcW w:w="2553" w:type="dxa"/>
          <w:vAlign w:val="center"/>
          <w:hideMark/>
        </w:tcPr>
        <w:p w14:paraId="65C9B735" w14:textId="1BD9C7F4" w:rsidR="0065178D" w:rsidRDefault="0065178D"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65178D" w:rsidRDefault="0065178D"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65178D" w:rsidRDefault="0065178D" w:rsidP="006F30F8">
    <w:pPr>
      <w:pStyle w:val="Encabezado"/>
      <w:tabs>
        <w:tab w:val="clear" w:pos="4252"/>
        <w:tab w:val="clear" w:pos="8504"/>
        <w:tab w:val="left" w:pos="2326"/>
      </w:tabs>
    </w:pPr>
    <w:r>
      <w:tab/>
    </w:r>
  </w:p>
  <w:p w14:paraId="23403E59" w14:textId="77777777" w:rsidR="0065178D" w:rsidRDefault="0065178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65178D" w:rsidRDefault="0065178D"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65178D" w14:paraId="477E149B" w14:textId="77777777" w:rsidTr="00C47D1B">
      <w:tc>
        <w:tcPr>
          <w:tcW w:w="2553" w:type="dxa"/>
          <w:vAlign w:val="center"/>
          <w:hideMark/>
        </w:tcPr>
        <w:p w14:paraId="5C0586E4" w14:textId="77777777" w:rsidR="0065178D" w:rsidRDefault="0065178D"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000C62A4" w:rsidR="0065178D" w:rsidRPr="004440AC" w:rsidRDefault="0065178D" w:rsidP="00425BCD">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04569/INFOEM/IP/RR/2018</w:t>
          </w:r>
        </w:p>
      </w:tc>
    </w:tr>
    <w:tr w:rsidR="0065178D" w14:paraId="5B5BE21C" w14:textId="77777777" w:rsidTr="00C47D1B">
      <w:tc>
        <w:tcPr>
          <w:tcW w:w="2553" w:type="dxa"/>
          <w:vAlign w:val="center"/>
          <w:hideMark/>
        </w:tcPr>
        <w:p w14:paraId="4AE96902" w14:textId="4E063913" w:rsidR="0065178D" w:rsidRDefault="0065178D"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100C5194" w:rsidR="0065178D" w:rsidRPr="004440AC" w:rsidRDefault="004A2391" w:rsidP="004A2391">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
      </w:tc>
    </w:tr>
    <w:tr w:rsidR="0065178D" w14:paraId="22601A11" w14:textId="77777777" w:rsidTr="00C47D1B">
      <w:trPr>
        <w:trHeight w:val="228"/>
      </w:trPr>
      <w:tc>
        <w:tcPr>
          <w:tcW w:w="2553" w:type="dxa"/>
          <w:vAlign w:val="center"/>
          <w:hideMark/>
        </w:tcPr>
        <w:p w14:paraId="6EFE221D" w14:textId="49C5F800" w:rsidR="0065178D" w:rsidRDefault="0065178D"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5C84778E" w:rsidR="0065178D" w:rsidRPr="004440AC" w:rsidRDefault="0065178D" w:rsidP="00C20143">
          <w:pPr>
            <w:rPr>
              <w:rFonts w:ascii="Palatino Linotype" w:hAnsi="Palatino Linotype"/>
              <w:b/>
              <w:sz w:val="22"/>
              <w:szCs w:val="22"/>
              <w:lang w:val="es-ES_tradnl"/>
            </w:rPr>
          </w:pPr>
          <w:r>
            <w:rPr>
              <w:rFonts w:ascii="Palatino Linotype" w:hAnsi="Palatino Linotype"/>
              <w:b/>
              <w:sz w:val="22"/>
              <w:szCs w:val="22"/>
              <w:lang w:val="es-ES_tradnl"/>
            </w:rPr>
            <w:t>Organismo Descentralizado de Agua Potable Alcantarillado y Saneamiento de Valle de Chalco Solidaridad</w:t>
          </w:r>
        </w:p>
      </w:tc>
    </w:tr>
    <w:tr w:rsidR="0065178D" w14:paraId="2D6C630E" w14:textId="77777777" w:rsidTr="00C47D1B">
      <w:tc>
        <w:tcPr>
          <w:tcW w:w="2553" w:type="dxa"/>
          <w:vAlign w:val="center"/>
          <w:hideMark/>
        </w:tcPr>
        <w:p w14:paraId="5BD4C6DB" w14:textId="0AEF79C2" w:rsidR="0065178D" w:rsidRDefault="0065178D"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65178D" w:rsidRPr="004440AC" w:rsidRDefault="0065178D"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65178D" w:rsidRDefault="0065178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274"/>
    <w:multiLevelType w:val="hybridMultilevel"/>
    <w:tmpl w:val="0B807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E167B"/>
    <w:multiLevelType w:val="hybridMultilevel"/>
    <w:tmpl w:val="20945A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4554E"/>
    <w:multiLevelType w:val="hybridMultilevel"/>
    <w:tmpl w:val="3CC4B44C"/>
    <w:lvl w:ilvl="0" w:tplc="0F6047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E83AF4"/>
    <w:multiLevelType w:val="hybridMultilevel"/>
    <w:tmpl w:val="E7321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30113752"/>
    <w:multiLevelType w:val="hybridMultilevel"/>
    <w:tmpl w:val="F76A2C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51735D"/>
    <w:multiLevelType w:val="hybridMultilevel"/>
    <w:tmpl w:val="5BFC62E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8C20B1"/>
    <w:multiLevelType w:val="hybridMultilevel"/>
    <w:tmpl w:val="D2A80F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B60FE2"/>
    <w:multiLevelType w:val="hybridMultilevel"/>
    <w:tmpl w:val="27204C06"/>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47137945"/>
    <w:multiLevelType w:val="hybridMultilevel"/>
    <w:tmpl w:val="5960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8A11F1"/>
    <w:multiLevelType w:val="hybridMultilevel"/>
    <w:tmpl w:val="059CAFA0"/>
    <w:lvl w:ilvl="0" w:tplc="149038CA">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53CC7554"/>
    <w:multiLevelType w:val="hybridMultilevel"/>
    <w:tmpl w:val="E7321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3" w15:restartNumberingAfterBreak="0">
    <w:nsid w:val="637E218F"/>
    <w:multiLevelType w:val="hybridMultilevel"/>
    <w:tmpl w:val="63FAFFF6"/>
    <w:lvl w:ilvl="0" w:tplc="942E294A">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C570433"/>
    <w:multiLevelType w:val="hybridMultilevel"/>
    <w:tmpl w:val="90EE7FBC"/>
    <w:lvl w:ilvl="0" w:tplc="6542F6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9"/>
  </w:num>
  <w:num w:numId="5">
    <w:abstractNumId w:val="10"/>
  </w:num>
  <w:num w:numId="6">
    <w:abstractNumId w:val="2"/>
  </w:num>
  <w:num w:numId="7">
    <w:abstractNumId w:val="8"/>
  </w:num>
  <w:num w:numId="8">
    <w:abstractNumId w:val="3"/>
  </w:num>
  <w:num w:numId="9">
    <w:abstractNumId w:val="12"/>
  </w:num>
  <w:num w:numId="10">
    <w:abstractNumId w:val="11"/>
  </w:num>
  <w:num w:numId="11">
    <w:abstractNumId w:val="0"/>
  </w:num>
  <w:num w:numId="12">
    <w:abstractNumId w:val="14"/>
  </w:num>
  <w:num w:numId="13">
    <w:abstractNumId w:val="1"/>
  </w:num>
  <w:num w:numId="14">
    <w:abstractNumId w:val="4"/>
  </w:num>
  <w:num w:numId="15">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FAC"/>
    <w:rsid w:val="00002BAD"/>
    <w:rsid w:val="000035AE"/>
    <w:rsid w:val="0000625E"/>
    <w:rsid w:val="000064FC"/>
    <w:rsid w:val="0000706A"/>
    <w:rsid w:val="00007CF3"/>
    <w:rsid w:val="00007D6B"/>
    <w:rsid w:val="00011B2C"/>
    <w:rsid w:val="000121D7"/>
    <w:rsid w:val="00012A5F"/>
    <w:rsid w:val="000155F8"/>
    <w:rsid w:val="000163E2"/>
    <w:rsid w:val="000172A2"/>
    <w:rsid w:val="00017BE1"/>
    <w:rsid w:val="00017DDD"/>
    <w:rsid w:val="00020A18"/>
    <w:rsid w:val="00020FBB"/>
    <w:rsid w:val="00021B85"/>
    <w:rsid w:val="00021E8D"/>
    <w:rsid w:val="0002371F"/>
    <w:rsid w:val="000239D7"/>
    <w:rsid w:val="00023C79"/>
    <w:rsid w:val="000252E9"/>
    <w:rsid w:val="00025820"/>
    <w:rsid w:val="000258CE"/>
    <w:rsid w:val="00026705"/>
    <w:rsid w:val="00026D94"/>
    <w:rsid w:val="00030E18"/>
    <w:rsid w:val="00030F03"/>
    <w:rsid w:val="0003132F"/>
    <w:rsid w:val="0003194C"/>
    <w:rsid w:val="0003282D"/>
    <w:rsid w:val="0003385D"/>
    <w:rsid w:val="00035413"/>
    <w:rsid w:val="000354B7"/>
    <w:rsid w:val="000359D8"/>
    <w:rsid w:val="00035B1B"/>
    <w:rsid w:val="00035F2E"/>
    <w:rsid w:val="00036575"/>
    <w:rsid w:val="00036B8A"/>
    <w:rsid w:val="00036BA5"/>
    <w:rsid w:val="00037990"/>
    <w:rsid w:val="0004214C"/>
    <w:rsid w:val="000423C7"/>
    <w:rsid w:val="00042E1A"/>
    <w:rsid w:val="000444EF"/>
    <w:rsid w:val="0004471E"/>
    <w:rsid w:val="0004502C"/>
    <w:rsid w:val="00045FD8"/>
    <w:rsid w:val="0004750C"/>
    <w:rsid w:val="00047F41"/>
    <w:rsid w:val="00051914"/>
    <w:rsid w:val="00053FE1"/>
    <w:rsid w:val="00054830"/>
    <w:rsid w:val="00055065"/>
    <w:rsid w:val="00057073"/>
    <w:rsid w:val="00060072"/>
    <w:rsid w:val="00060CD1"/>
    <w:rsid w:val="0006192A"/>
    <w:rsid w:val="000646E3"/>
    <w:rsid w:val="00065235"/>
    <w:rsid w:val="000652AD"/>
    <w:rsid w:val="00065B4D"/>
    <w:rsid w:val="000667E0"/>
    <w:rsid w:val="00066C8A"/>
    <w:rsid w:val="0006730A"/>
    <w:rsid w:val="00071462"/>
    <w:rsid w:val="00071A99"/>
    <w:rsid w:val="000737D0"/>
    <w:rsid w:val="000739EC"/>
    <w:rsid w:val="000752EF"/>
    <w:rsid w:val="00075D7A"/>
    <w:rsid w:val="00076B35"/>
    <w:rsid w:val="00077347"/>
    <w:rsid w:val="00077788"/>
    <w:rsid w:val="00080EEC"/>
    <w:rsid w:val="0008304C"/>
    <w:rsid w:val="00083058"/>
    <w:rsid w:val="00083113"/>
    <w:rsid w:val="0008321B"/>
    <w:rsid w:val="0008387F"/>
    <w:rsid w:val="0008542A"/>
    <w:rsid w:val="00085A01"/>
    <w:rsid w:val="00085BBC"/>
    <w:rsid w:val="00086219"/>
    <w:rsid w:val="00086447"/>
    <w:rsid w:val="00086787"/>
    <w:rsid w:val="00087498"/>
    <w:rsid w:val="00087514"/>
    <w:rsid w:val="00090EBA"/>
    <w:rsid w:val="00091682"/>
    <w:rsid w:val="00092D2C"/>
    <w:rsid w:val="00093DEB"/>
    <w:rsid w:val="00094E67"/>
    <w:rsid w:val="00095E37"/>
    <w:rsid w:val="00096078"/>
    <w:rsid w:val="00097EF0"/>
    <w:rsid w:val="000A0234"/>
    <w:rsid w:val="000A0D0B"/>
    <w:rsid w:val="000A1707"/>
    <w:rsid w:val="000A1C9A"/>
    <w:rsid w:val="000A1E1F"/>
    <w:rsid w:val="000A2B28"/>
    <w:rsid w:val="000A2CE2"/>
    <w:rsid w:val="000A351A"/>
    <w:rsid w:val="000A3BB8"/>
    <w:rsid w:val="000A4EC4"/>
    <w:rsid w:val="000A515A"/>
    <w:rsid w:val="000A577A"/>
    <w:rsid w:val="000A6211"/>
    <w:rsid w:val="000A6651"/>
    <w:rsid w:val="000A6F33"/>
    <w:rsid w:val="000A7C0E"/>
    <w:rsid w:val="000B2720"/>
    <w:rsid w:val="000B2B61"/>
    <w:rsid w:val="000B2CE3"/>
    <w:rsid w:val="000B2FE2"/>
    <w:rsid w:val="000B3C77"/>
    <w:rsid w:val="000B3FFD"/>
    <w:rsid w:val="000B4744"/>
    <w:rsid w:val="000B5351"/>
    <w:rsid w:val="000B7B5A"/>
    <w:rsid w:val="000C057C"/>
    <w:rsid w:val="000C23D6"/>
    <w:rsid w:val="000C299C"/>
    <w:rsid w:val="000C3622"/>
    <w:rsid w:val="000C4453"/>
    <w:rsid w:val="000C54A3"/>
    <w:rsid w:val="000C63F2"/>
    <w:rsid w:val="000C7714"/>
    <w:rsid w:val="000C77C6"/>
    <w:rsid w:val="000C7C04"/>
    <w:rsid w:val="000D03C2"/>
    <w:rsid w:val="000D0980"/>
    <w:rsid w:val="000D353B"/>
    <w:rsid w:val="000D3C88"/>
    <w:rsid w:val="000D3E76"/>
    <w:rsid w:val="000D42E6"/>
    <w:rsid w:val="000D432B"/>
    <w:rsid w:val="000D5CD9"/>
    <w:rsid w:val="000D6BB0"/>
    <w:rsid w:val="000D7676"/>
    <w:rsid w:val="000D7F06"/>
    <w:rsid w:val="000E0400"/>
    <w:rsid w:val="000E0439"/>
    <w:rsid w:val="000E059C"/>
    <w:rsid w:val="000E08B8"/>
    <w:rsid w:val="000E0E8E"/>
    <w:rsid w:val="000E2FAC"/>
    <w:rsid w:val="000E42C5"/>
    <w:rsid w:val="000E52E1"/>
    <w:rsid w:val="000E5699"/>
    <w:rsid w:val="000E605F"/>
    <w:rsid w:val="000F1991"/>
    <w:rsid w:val="000F2922"/>
    <w:rsid w:val="000F71B5"/>
    <w:rsid w:val="000F7B90"/>
    <w:rsid w:val="000F7FE2"/>
    <w:rsid w:val="001000DF"/>
    <w:rsid w:val="0010152C"/>
    <w:rsid w:val="00101879"/>
    <w:rsid w:val="00102EEE"/>
    <w:rsid w:val="00104420"/>
    <w:rsid w:val="00104E08"/>
    <w:rsid w:val="00106129"/>
    <w:rsid w:val="001068A0"/>
    <w:rsid w:val="00106AA8"/>
    <w:rsid w:val="00107249"/>
    <w:rsid w:val="001073CC"/>
    <w:rsid w:val="00107A49"/>
    <w:rsid w:val="001110FC"/>
    <w:rsid w:val="00112067"/>
    <w:rsid w:val="00112892"/>
    <w:rsid w:val="001129DF"/>
    <w:rsid w:val="00114D4B"/>
    <w:rsid w:val="00114DDF"/>
    <w:rsid w:val="00115AAD"/>
    <w:rsid w:val="00122600"/>
    <w:rsid w:val="00124762"/>
    <w:rsid w:val="00124FF9"/>
    <w:rsid w:val="00125637"/>
    <w:rsid w:val="00130642"/>
    <w:rsid w:val="001306E4"/>
    <w:rsid w:val="00133D84"/>
    <w:rsid w:val="00135B39"/>
    <w:rsid w:val="00136083"/>
    <w:rsid w:val="001407EE"/>
    <w:rsid w:val="00141F78"/>
    <w:rsid w:val="00143967"/>
    <w:rsid w:val="00144389"/>
    <w:rsid w:val="00145395"/>
    <w:rsid w:val="00145D65"/>
    <w:rsid w:val="00147E1D"/>
    <w:rsid w:val="00151D19"/>
    <w:rsid w:val="00152866"/>
    <w:rsid w:val="001529DA"/>
    <w:rsid w:val="0015442F"/>
    <w:rsid w:val="0015464D"/>
    <w:rsid w:val="00155116"/>
    <w:rsid w:val="0015575F"/>
    <w:rsid w:val="00156F81"/>
    <w:rsid w:val="00160ECF"/>
    <w:rsid w:val="00161883"/>
    <w:rsid w:val="00161C6D"/>
    <w:rsid w:val="00161FC4"/>
    <w:rsid w:val="00162AEF"/>
    <w:rsid w:val="00163B98"/>
    <w:rsid w:val="00166139"/>
    <w:rsid w:val="001667F0"/>
    <w:rsid w:val="00166EF9"/>
    <w:rsid w:val="00167F89"/>
    <w:rsid w:val="001701C4"/>
    <w:rsid w:val="00170257"/>
    <w:rsid w:val="00170E0A"/>
    <w:rsid w:val="00170EEB"/>
    <w:rsid w:val="00172089"/>
    <w:rsid w:val="001723BF"/>
    <w:rsid w:val="00173BAF"/>
    <w:rsid w:val="001740BB"/>
    <w:rsid w:val="00174B9F"/>
    <w:rsid w:val="0017530C"/>
    <w:rsid w:val="0017555E"/>
    <w:rsid w:val="00175974"/>
    <w:rsid w:val="00176A7B"/>
    <w:rsid w:val="001777B9"/>
    <w:rsid w:val="00177A27"/>
    <w:rsid w:val="00181791"/>
    <w:rsid w:val="0018276A"/>
    <w:rsid w:val="001831D6"/>
    <w:rsid w:val="00183275"/>
    <w:rsid w:val="00184474"/>
    <w:rsid w:val="00184FBA"/>
    <w:rsid w:val="00185B9B"/>
    <w:rsid w:val="00186B63"/>
    <w:rsid w:val="001911CC"/>
    <w:rsid w:val="001914E2"/>
    <w:rsid w:val="00194C19"/>
    <w:rsid w:val="00197DA4"/>
    <w:rsid w:val="001A0542"/>
    <w:rsid w:val="001A1810"/>
    <w:rsid w:val="001A2131"/>
    <w:rsid w:val="001A21C9"/>
    <w:rsid w:val="001A2A37"/>
    <w:rsid w:val="001A2FF3"/>
    <w:rsid w:val="001A373A"/>
    <w:rsid w:val="001A4A32"/>
    <w:rsid w:val="001A5E46"/>
    <w:rsid w:val="001A7913"/>
    <w:rsid w:val="001B0493"/>
    <w:rsid w:val="001B3256"/>
    <w:rsid w:val="001B38A0"/>
    <w:rsid w:val="001B5099"/>
    <w:rsid w:val="001B5583"/>
    <w:rsid w:val="001B6BDC"/>
    <w:rsid w:val="001C08D3"/>
    <w:rsid w:val="001C09C3"/>
    <w:rsid w:val="001C0C3F"/>
    <w:rsid w:val="001C2B8C"/>
    <w:rsid w:val="001C2DE9"/>
    <w:rsid w:val="001C304B"/>
    <w:rsid w:val="001C3595"/>
    <w:rsid w:val="001C4584"/>
    <w:rsid w:val="001C5205"/>
    <w:rsid w:val="001C5AA1"/>
    <w:rsid w:val="001C5E2E"/>
    <w:rsid w:val="001C775A"/>
    <w:rsid w:val="001D064E"/>
    <w:rsid w:val="001D22FD"/>
    <w:rsid w:val="001D36C6"/>
    <w:rsid w:val="001D54C7"/>
    <w:rsid w:val="001D5C46"/>
    <w:rsid w:val="001D5DD1"/>
    <w:rsid w:val="001D63C6"/>
    <w:rsid w:val="001D6864"/>
    <w:rsid w:val="001D7A7E"/>
    <w:rsid w:val="001E089C"/>
    <w:rsid w:val="001E1C02"/>
    <w:rsid w:val="001E39C4"/>
    <w:rsid w:val="001E5075"/>
    <w:rsid w:val="001E50ED"/>
    <w:rsid w:val="001E5309"/>
    <w:rsid w:val="001E60A4"/>
    <w:rsid w:val="001E63F1"/>
    <w:rsid w:val="001E64BE"/>
    <w:rsid w:val="001F1B46"/>
    <w:rsid w:val="001F1DFE"/>
    <w:rsid w:val="001F1F7D"/>
    <w:rsid w:val="001F2CA8"/>
    <w:rsid w:val="001F4965"/>
    <w:rsid w:val="001F501F"/>
    <w:rsid w:val="001F5BEA"/>
    <w:rsid w:val="0020054B"/>
    <w:rsid w:val="00201D17"/>
    <w:rsid w:val="00201E21"/>
    <w:rsid w:val="0020432D"/>
    <w:rsid w:val="0020435D"/>
    <w:rsid w:val="002048C6"/>
    <w:rsid w:val="00204C2A"/>
    <w:rsid w:val="00205361"/>
    <w:rsid w:val="00205F0F"/>
    <w:rsid w:val="00207251"/>
    <w:rsid w:val="00212FE4"/>
    <w:rsid w:val="002153F3"/>
    <w:rsid w:val="002155B0"/>
    <w:rsid w:val="00215922"/>
    <w:rsid w:val="00215C54"/>
    <w:rsid w:val="00220958"/>
    <w:rsid w:val="002214CC"/>
    <w:rsid w:val="00221545"/>
    <w:rsid w:val="00221AB0"/>
    <w:rsid w:val="00221D2C"/>
    <w:rsid w:val="00222F65"/>
    <w:rsid w:val="00223136"/>
    <w:rsid w:val="00223D0B"/>
    <w:rsid w:val="00225145"/>
    <w:rsid w:val="00227980"/>
    <w:rsid w:val="00230CD4"/>
    <w:rsid w:val="0023160A"/>
    <w:rsid w:val="002320BF"/>
    <w:rsid w:val="0023264F"/>
    <w:rsid w:val="0023380E"/>
    <w:rsid w:val="002339A2"/>
    <w:rsid w:val="00233F88"/>
    <w:rsid w:val="002343B2"/>
    <w:rsid w:val="00235FB4"/>
    <w:rsid w:val="00236FC8"/>
    <w:rsid w:val="0023733C"/>
    <w:rsid w:val="0024060B"/>
    <w:rsid w:val="002440EB"/>
    <w:rsid w:val="00244EEF"/>
    <w:rsid w:val="002473A9"/>
    <w:rsid w:val="00251066"/>
    <w:rsid w:val="00251C63"/>
    <w:rsid w:val="00253D31"/>
    <w:rsid w:val="00253E81"/>
    <w:rsid w:val="002556CA"/>
    <w:rsid w:val="00255E89"/>
    <w:rsid w:val="00256193"/>
    <w:rsid w:val="002608CE"/>
    <w:rsid w:val="0026164E"/>
    <w:rsid w:val="0026271B"/>
    <w:rsid w:val="002629E7"/>
    <w:rsid w:val="002630EE"/>
    <w:rsid w:val="00265307"/>
    <w:rsid w:val="002657BB"/>
    <w:rsid w:val="0026683E"/>
    <w:rsid w:val="00267FF3"/>
    <w:rsid w:val="002702A1"/>
    <w:rsid w:val="002729C3"/>
    <w:rsid w:val="00272EB2"/>
    <w:rsid w:val="00273D22"/>
    <w:rsid w:val="00276F2E"/>
    <w:rsid w:val="002801D2"/>
    <w:rsid w:val="00281EF2"/>
    <w:rsid w:val="00283308"/>
    <w:rsid w:val="00283705"/>
    <w:rsid w:val="00290A2D"/>
    <w:rsid w:val="00290C42"/>
    <w:rsid w:val="00291E15"/>
    <w:rsid w:val="00292D30"/>
    <w:rsid w:val="002937C6"/>
    <w:rsid w:val="00293DE5"/>
    <w:rsid w:val="002948A1"/>
    <w:rsid w:val="00294E82"/>
    <w:rsid w:val="00295078"/>
    <w:rsid w:val="00295C72"/>
    <w:rsid w:val="00295CAC"/>
    <w:rsid w:val="00295DE7"/>
    <w:rsid w:val="00297AB0"/>
    <w:rsid w:val="00297FDC"/>
    <w:rsid w:val="002A2BE2"/>
    <w:rsid w:val="002A6CC7"/>
    <w:rsid w:val="002B0A1D"/>
    <w:rsid w:val="002B0EF8"/>
    <w:rsid w:val="002B1708"/>
    <w:rsid w:val="002B2D77"/>
    <w:rsid w:val="002B393B"/>
    <w:rsid w:val="002B4787"/>
    <w:rsid w:val="002B4950"/>
    <w:rsid w:val="002B5958"/>
    <w:rsid w:val="002B5C57"/>
    <w:rsid w:val="002B62AF"/>
    <w:rsid w:val="002B7622"/>
    <w:rsid w:val="002B7AA6"/>
    <w:rsid w:val="002C0C5C"/>
    <w:rsid w:val="002C0C63"/>
    <w:rsid w:val="002C0F5C"/>
    <w:rsid w:val="002C4011"/>
    <w:rsid w:val="002C4BC2"/>
    <w:rsid w:val="002C4EBB"/>
    <w:rsid w:val="002C4F45"/>
    <w:rsid w:val="002C6154"/>
    <w:rsid w:val="002C6C4B"/>
    <w:rsid w:val="002D07B6"/>
    <w:rsid w:val="002D0CCE"/>
    <w:rsid w:val="002D46BF"/>
    <w:rsid w:val="002D508B"/>
    <w:rsid w:val="002D60EC"/>
    <w:rsid w:val="002D6962"/>
    <w:rsid w:val="002E100C"/>
    <w:rsid w:val="002E3F03"/>
    <w:rsid w:val="002E5744"/>
    <w:rsid w:val="002E6172"/>
    <w:rsid w:val="002E6B74"/>
    <w:rsid w:val="002E7939"/>
    <w:rsid w:val="002F1C4D"/>
    <w:rsid w:val="002F2653"/>
    <w:rsid w:val="002F2F71"/>
    <w:rsid w:val="002F3A84"/>
    <w:rsid w:val="002F3C14"/>
    <w:rsid w:val="002F411A"/>
    <w:rsid w:val="002F4B70"/>
    <w:rsid w:val="002F5078"/>
    <w:rsid w:val="002F5A90"/>
    <w:rsid w:val="002F6F61"/>
    <w:rsid w:val="002F700E"/>
    <w:rsid w:val="00300A29"/>
    <w:rsid w:val="003013B4"/>
    <w:rsid w:val="00302787"/>
    <w:rsid w:val="00302FBC"/>
    <w:rsid w:val="00306B09"/>
    <w:rsid w:val="0030711C"/>
    <w:rsid w:val="00307205"/>
    <w:rsid w:val="0031046F"/>
    <w:rsid w:val="0031189B"/>
    <w:rsid w:val="00313107"/>
    <w:rsid w:val="00313AFB"/>
    <w:rsid w:val="00314023"/>
    <w:rsid w:val="0031413C"/>
    <w:rsid w:val="00314587"/>
    <w:rsid w:val="003156AE"/>
    <w:rsid w:val="00321226"/>
    <w:rsid w:val="00321D72"/>
    <w:rsid w:val="0032278E"/>
    <w:rsid w:val="00322AE2"/>
    <w:rsid w:val="00323623"/>
    <w:rsid w:val="00324337"/>
    <w:rsid w:val="0033030C"/>
    <w:rsid w:val="0033396B"/>
    <w:rsid w:val="00333C7C"/>
    <w:rsid w:val="003349F4"/>
    <w:rsid w:val="00335047"/>
    <w:rsid w:val="00335B31"/>
    <w:rsid w:val="003404F0"/>
    <w:rsid w:val="00340B86"/>
    <w:rsid w:val="0034164E"/>
    <w:rsid w:val="00347274"/>
    <w:rsid w:val="00347E11"/>
    <w:rsid w:val="003519B1"/>
    <w:rsid w:val="00351CB7"/>
    <w:rsid w:val="00351DDD"/>
    <w:rsid w:val="003537DE"/>
    <w:rsid w:val="00355706"/>
    <w:rsid w:val="003557C1"/>
    <w:rsid w:val="00355B75"/>
    <w:rsid w:val="003561CE"/>
    <w:rsid w:val="00356259"/>
    <w:rsid w:val="0035716F"/>
    <w:rsid w:val="0036086E"/>
    <w:rsid w:val="00361383"/>
    <w:rsid w:val="00362689"/>
    <w:rsid w:val="00362E37"/>
    <w:rsid w:val="003633DD"/>
    <w:rsid w:val="00365405"/>
    <w:rsid w:val="00366C6B"/>
    <w:rsid w:val="00367CE5"/>
    <w:rsid w:val="00370970"/>
    <w:rsid w:val="003710D0"/>
    <w:rsid w:val="0037168F"/>
    <w:rsid w:val="00371EF9"/>
    <w:rsid w:val="0037225D"/>
    <w:rsid w:val="003729E8"/>
    <w:rsid w:val="00373B44"/>
    <w:rsid w:val="00373EDE"/>
    <w:rsid w:val="00375BD2"/>
    <w:rsid w:val="0037611E"/>
    <w:rsid w:val="00381E05"/>
    <w:rsid w:val="00382014"/>
    <w:rsid w:val="0038692A"/>
    <w:rsid w:val="00390B07"/>
    <w:rsid w:val="00391F37"/>
    <w:rsid w:val="00392EE5"/>
    <w:rsid w:val="00393317"/>
    <w:rsid w:val="0039727B"/>
    <w:rsid w:val="003A11DD"/>
    <w:rsid w:val="003A12B9"/>
    <w:rsid w:val="003A1AF1"/>
    <w:rsid w:val="003A2B96"/>
    <w:rsid w:val="003A3114"/>
    <w:rsid w:val="003A5A6E"/>
    <w:rsid w:val="003A6186"/>
    <w:rsid w:val="003A640F"/>
    <w:rsid w:val="003A7A6D"/>
    <w:rsid w:val="003B0688"/>
    <w:rsid w:val="003B0F61"/>
    <w:rsid w:val="003B17BA"/>
    <w:rsid w:val="003B27EA"/>
    <w:rsid w:val="003B31F9"/>
    <w:rsid w:val="003B3C22"/>
    <w:rsid w:val="003B5D25"/>
    <w:rsid w:val="003B6431"/>
    <w:rsid w:val="003B72E9"/>
    <w:rsid w:val="003C4A79"/>
    <w:rsid w:val="003C55F5"/>
    <w:rsid w:val="003C5621"/>
    <w:rsid w:val="003C5A54"/>
    <w:rsid w:val="003C74A1"/>
    <w:rsid w:val="003D03DA"/>
    <w:rsid w:val="003D0919"/>
    <w:rsid w:val="003D0A56"/>
    <w:rsid w:val="003D1883"/>
    <w:rsid w:val="003D18A4"/>
    <w:rsid w:val="003D1F78"/>
    <w:rsid w:val="003D202C"/>
    <w:rsid w:val="003D20B9"/>
    <w:rsid w:val="003D48A3"/>
    <w:rsid w:val="003D4D18"/>
    <w:rsid w:val="003D5B72"/>
    <w:rsid w:val="003D5EEB"/>
    <w:rsid w:val="003D61B0"/>
    <w:rsid w:val="003E0676"/>
    <w:rsid w:val="003E0A67"/>
    <w:rsid w:val="003E3949"/>
    <w:rsid w:val="003E5D59"/>
    <w:rsid w:val="003E5DB7"/>
    <w:rsid w:val="003E6D0E"/>
    <w:rsid w:val="003F09F0"/>
    <w:rsid w:val="003F1EE6"/>
    <w:rsid w:val="003F2039"/>
    <w:rsid w:val="003F2BA9"/>
    <w:rsid w:val="003F3F3C"/>
    <w:rsid w:val="003F52C2"/>
    <w:rsid w:val="003F58C3"/>
    <w:rsid w:val="003F5CBA"/>
    <w:rsid w:val="003F7A0F"/>
    <w:rsid w:val="00401EB9"/>
    <w:rsid w:val="0040233B"/>
    <w:rsid w:val="00402E72"/>
    <w:rsid w:val="00403362"/>
    <w:rsid w:val="00403B52"/>
    <w:rsid w:val="004053FB"/>
    <w:rsid w:val="00407518"/>
    <w:rsid w:val="004078D6"/>
    <w:rsid w:val="00407B8F"/>
    <w:rsid w:val="00410650"/>
    <w:rsid w:val="004106C1"/>
    <w:rsid w:val="004126F7"/>
    <w:rsid w:val="0041342A"/>
    <w:rsid w:val="00414AE6"/>
    <w:rsid w:val="00414EE8"/>
    <w:rsid w:val="00416410"/>
    <w:rsid w:val="00416BBD"/>
    <w:rsid w:val="0042006D"/>
    <w:rsid w:val="00421318"/>
    <w:rsid w:val="00421638"/>
    <w:rsid w:val="0042327C"/>
    <w:rsid w:val="00423786"/>
    <w:rsid w:val="00424241"/>
    <w:rsid w:val="00425613"/>
    <w:rsid w:val="00425BCD"/>
    <w:rsid w:val="004267B7"/>
    <w:rsid w:val="004272E8"/>
    <w:rsid w:val="00430C71"/>
    <w:rsid w:val="00432C5F"/>
    <w:rsid w:val="0043317E"/>
    <w:rsid w:val="00433345"/>
    <w:rsid w:val="00434264"/>
    <w:rsid w:val="004347EA"/>
    <w:rsid w:val="004350B4"/>
    <w:rsid w:val="00436503"/>
    <w:rsid w:val="00436572"/>
    <w:rsid w:val="00440BAF"/>
    <w:rsid w:val="00441BF3"/>
    <w:rsid w:val="00441C23"/>
    <w:rsid w:val="004436ED"/>
    <w:rsid w:val="004440AC"/>
    <w:rsid w:val="004443A2"/>
    <w:rsid w:val="00444919"/>
    <w:rsid w:val="0044547C"/>
    <w:rsid w:val="0044590C"/>
    <w:rsid w:val="00446BB3"/>
    <w:rsid w:val="00447A35"/>
    <w:rsid w:val="004502EF"/>
    <w:rsid w:val="00450869"/>
    <w:rsid w:val="00450FA6"/>
    <w:rsid w:val="00451F5B"/>
    <w:rsid w:val="00453028"/>
    <w:rsid w:val="00453918"/>
    <w:rsid w:val="00453D4B"/>
    <w:rsid w:val="00454571"/>
    <w:rsid w:val="00455768"/>
    <w:rsid w:val="00455AE2"/>
    <w:rsid w:val="00455E8A"/>
    <w:rsid w:val="00456E2C"/>
    <w:rsid w:val="00457077"/>
    <w:rsid w:val="0045780B"/>
    <w:rsid w:val="00457FC7"/>
    <w:rsid w:val="00462417"/>
    <w:rsid w:val="00464624"/>
    <w:rsid w:val="00465E62"/>
    <w:rsid w:val="00465F07"/>
    <w:rsid w:val="00466478"/>
    <w:rsid w:val="004677F9"/>
    <w:rsid w:val="00471EC2"/>
    <w:rsid w:val="00472A9B"/>
    <w:rsid w:val="00473B43"/>
    <w:rsid w:val="004760B1"/>
    <w:rsid w:val="004776DB"/>
    <w:rsid w:val="0047775E"/>
    <w:rsid w:val="00482731"/>
    <w:rsid w:val="0048286C"/>
    <w:rsid w:val="00483A0F"/>
    <w:rsid w:val="00484625"/>
    <w:rsid w:val="0048559B"/>
    <w:rsid w:val="0048589D"/>
    <w:rsid w:val="004879E2"/>
    <w:rsid w:val="00487CDF"/>
    <w:rsid w:val="00487F15"/>
    <w:rsid w:val="00490FFE"/>
    <w:rsid w:val="004912A0"/>
    <w:rsid w:val="00492398"/>
    <w:rsid w:val="004928DE"/>
    <w:rsid w:val="00493E2F"/>
    <w:rsid w:val="00494630"/>
    <w:rsid w:val="0049576C"/>
    <w:rsid w:val="00496318"/>
    <w:rsid w:val="00496506"/>
    <w:rsid w:val="004A0EA8"/>
    <w:rsid w:val="004A14D9"/>
    <w:rsid w:val="004A21F6"/>
    <w:rsid w:val="004A2391"/>
    <w:rsid w:val="004A2BB3"/>
    <w:rsid w:val="004A3711"/>
    <w:rsid w:val="004A3B39"/>
    <w:rsid w:val="004A4B61"/>
    <w:rsid w:val="004A6DAB"/>
    <w:rsid w:val="004A6EFE"/>
    <w:rsid w:val="004A70C9"/>
    <w:rsid w:val="004B11D6"/>
    <w:rsid w:val="004B1341"/>
    <w:rsid w:val="004B1858"/>
    <w:rsid w:val="004B2540"/>
    <w:rsid w:val="004B2DFE"/>
    <w:rsid w:val="004B308F"/>
    <w:rsid w:val="004B34F0"/>
    <w:rsid w:val="004B58C3"/>
    <w:rsid w:val="004B675F"/>
    <w:rsid w:val="004B72C5"/>
    <w:rsid w:val="004B7A1B"/>
    <w:rsid w:val="004C08BF"/>
    <w:rsid w:val="004C0925"/>
    <w:rsid w:val="004C0C2C"/>
    <w:rsid w:val="004C0D54"/>
    <w:rsid w:val="004C3804"/>
    <w:rsid w:val="004C45A2"/>
    <w:rsid w:val="004C56DE"/>
    <w:rsid w:val="004C7629"/>
    <w:rsid w:val="004C7701"/>
    <w:rsid w:val="004C7B3D"/>
    <w:rsid w:val="004D0A26"/>
    <w:rsid w:val="004D0EE4"/>
    <w:rsid w:val="004D1171"/>
    <w:rsid w:val="004D11A9"/>
    <w:rsid w:val="004D16CB"/>
    <w:rsid w:val="004D25E0"/>
    <w:rsid w:val="004D2725"/>
    <w:rsid w:val="004D3240"/>
    <w:rsid w:val="004D482C"/>
    <w:rsid w:val="004D5AC0"/>
    <w:rsid w:val="004D5FEF"/>
    <w:rsid w:val="004D764F"/>
    <w:rsid w:val="004E0842"/>
    <w:rsid w:val="004E10CE"/>
    <w:rsid w:val="004E1EBF"/>
    <w:rsid w:val="004E27AD"/>
    <w:rsid w:val="004E2E17"/>
    <w:rsid w:val="004E43F7"/>
    <w:rsid w:val="004E45B8"/>
    <w:rsid w:val="004E4987"/>
    <w:rsid w:val="004E585B"/>
    <w:rsid w:val="004E6AA5"/>
    <w:rsid w:val="004F0B1C"/>
    <w:rsid w:val="004F14E3"/>
    <w:rsid w:val="004F2009"/>
    <w:rsid w:val="004F2261"/>
    <w:rsid w:val="004F227C"/>
    <w:rsid w:val="004F3B64"/>
    <w:rsid w:val="004F49F9"/>
    <w:rsid w:val="004F5243"/>
    <w:rsid w:val="00503B63"/>
    <w:rsid w:val="005047A9"/>
    <w:rsid w:val="00505B26"/>
    <w:rsid w:val="00506969"/>
    <w:rsid w:val="00507449"/>
    <w:rsid w:val="0051041D"/>
    <w:rsid w:val="00511092"/>
    <w:rsid w:val="00511602"/>
    <w:rsid w:val="00511810"/>
    <w:rsid w:val="005128BF"/>
    <w:rsid w:val="0051367E"/>
    <w:rsid w:val="005136B6"/>
    <w:rsid w:val="0051396D"/>
    <w:rsid w:val="00513F6F"/>
    <w:rsid w:val="005151AE"/>
    <w:rsid w:val="005164B6"/>
    <w:rsid w:val="00516E6A"/>
    <w:rsid w:val="0051705C"/>
    <w:rsid w:val="00517087"/>
    <w:rsid w:val="00517437"/>
    <w:rsid w:val="005206C8"/>
    <w:rsid w:val="005218EA"/>
    <w:rsid w:val="00521EE1"/>
    <w:rsid w:val="00523451"/>
    <w:rsid w:val="005238A4"/>
    <w:rsid w:val="0052414D"/>
    <w:rsid w:val="00524752"/>
    <w:rsid w:val="0052498A"/>
    <w:rsid w:val="005254C1"/>
    <w:rsid w:val="005273F3"/>
    <w:rsid w:val="005301EF"/>
    <w:rsid w:val="00530C38"/>
    <w:rsid w:val="00531999"/>
    <w:rsid w:val="00531ABD"/>
    <w:rsid w:val="00535560"/>
    <w:rsid w:val="00540B8A"/>
    <w:rsid w:val="005413A9"/>
    <w:rsid w:val="00542D8A"/>
    <w:rsid w:val="00544117"/>
    <w:rsid w:val="00544AA3"/>
    <w:rsid w:val="00544E0A"/>
    <w:rsid w:val="00551B39"/>
    <w:rsid w:val="00551BA4"/>
    <w:rsid w:val="00552D59"/>
    <w:rsid w:val="00553604"/>
    <w:rsid w:val="00553D6D"/>
    <w:rsid w:val="005559E0"/>
    <w:rsid w:val="00556F30"/>
    <w:rsid w:val="0055751D"/>
    <w:rsid w:val="00557D61"/>
    <w:rsid w:val="005608B3"/>
    <w:rsid w:val="005609B4"/>
    <w:rsid w:val="0056588E"/>
    <w:rsid w:val="00567A2D"/>
    <w:rsid w:val="00571391"/>
    <w:rsid w:val="005728D9"/>
    <w:rsid w:val="00573949"/>
    <w:rsid w:val="00573ECF"/>
    <w:rsid w:val="00575B60"/>
    <w:rsid w:val="00577287"/>
    <w:rsid w:val="0058269D"/>
    <w:rsid w:val="00582AA0"/>
    <w:rsid w:val="0058439D"/>
    <w:rsid w:val="00585149"/>
    <w:rsid w:val="00585C24"/>
    <w:rsid w:val="00585C6E"/>
    <w:rsid w:val="0058743A"/>
    <w:rsid w:val="005875A9"/>
    <w:rsid w:val="005921E5"/>
    <w:rsid w:val="00592755"/>
    <w:rsid w:val="00592AA0"/>
    <w:rsid w:val="00593DB7"/>
    <w:rsid w:val="00594366"/>
    <w:rsid w:val="00594BC5"/>
    <w:rsid w:val="005954E9"/>
    <w:rsid w:val="005A232E"/>
    <w:rsid w:val="005A3DA4"/>
    <w:rsid w:val="005A5048"/>
    <w:rsid w:val="005A6845"/>
    <w:rsid w:val="005A7C3F"/>
    <w:rsid w:val="005B18D0"/>
    <w:rsid w:val="005B1EE9"/>
    <w:rsid w:val="005B6589"/>
    <w:rsid w:val="005B6938"/>
    <w:rsid w:val="005B7350"/>
    <w:rsid w:val="005B7B63"/>
    <w:rsid w:val="005C2C5F"/>
    <w:rsid w:val="005C2EC3"/>
    <w:rsid w:val="005C3C37"/>
    <w:rsid w:val="005C5486"/>
    <w:rsid w:val="005C5799"/>
    <w:rsid w:val="005C66B1"/>
    <w:rsid w:val="005D1DF5"/>
    <w:rsid w:val="005D314A"/>
    <w:rsid w:val="005D37E5"/>
    <w:rsid w:val="005D43D1"/>
    <w:rsid w:val="005D45A0"/>
    <w:rsid w:val="005D6415"/>
    <w:rsid w:val="005D7248"/>
    <w:rsid w:val="005E0300"/>
    <w:rsid w:val="005E05E7"/>
    <w:rsid w:val="005E0BC4"/>
    <w:rsid w:val="005E15A3"/>
    <w:rsid w:val="005E2FB2"/>
    <w:rsid w:val="005E35A0"/>
    <w:rsid w:val="005E4A3D"/>
    <w:rsid w:val="005E4C1B"/>
    <w:rsid w:val="005E4F05"/>
    <w:rsid w:val="005E5859"/>
    <w:rsid w:val="005E5DC1"/>
    <w:rsid w:val="005E67EC"/>
    <w:rsid w:val="005F178D"/>
    <w:rsid w:val="005F1841"/>
    <w:rsid w:val="005F4DCE"/>
    <w:rsid w:val="005F5725"/>
    <w:rsid w:val="005F7D33"/>
    <w:rsid w:val="00600733"/>
    <w:rsid w:val="00600A27"/>
    <w:rsid w:val="006010BF"/>
    <w:rsid w:val="00601296"/>
    <w:rsid w:val="006018BB"/>
    <w:rsid w:val="006031FE"/>
    <w:rsid w:val="0060364C"/>
    <w:rsid w:val="006047FC"/>
    <w:rsid w:val="006048D2"/>
    <w:rsid w:val="006056F8"/>
    <w:rsid w:val="00606485"/>
    <w:rsid w:val="006077EB"/>
    <w:rsid w:val="006079C9"/>
    <w:rsid w:val="006100A1"/>
    <w:rsid w:val="00611D69"/>
    <w:rsid w:val="00611F9E"/>
    <w:rsid w:val="00612501"/>
    <w:rsid w:val="00613634"/>
    <w:rsid w:val="0061429D"/>
    <w:rsid w:val="0061663A"/>
    <w:rsid w:val="006222EA"/>
    <w:rsid w:val="00623EA3"/>
    <w:rsid w:val="00624AD2"/>
    <w:rsid w:val="00624BDB"/>
    <w:rsid w:val="0062541D"/>
    <w:rsid w:val="00625AFD"/>
    <w:rsid w:val="00625E1B"/>
    <w:rsid w:val="00627B5D"/>
    <w:rsid w:val="0063130F"/>
    <w:rsid w:val="006338B3"/>
    <w:rsid w:val="00633AB7"/>
    <w:rsid w:val="00634485"/>
    <w:rsid w:val="006345A0"/>
    <w:rsid w:val="00634DB6"/>
    <w:rsid w:val="006354DC"/>
    <w:rsid w:val="00637C16"/>
    <w:rsid w:val="00640A35"/>
    <w:rsid w:val="00641592"/>
    <w:rsid w:val="00641FC0"/>
    <w:rsid w:val="00642833"/>
    <w:rsid w:val="00643D82"/>
    <w:rsid w:val="006445D2"/>
    <w:rsid w:val="00645D45"/>
    <w:rsid w:val="00647094"/>
    <w:rsid w:val="006473CC"/>
    <w:rsid w:val="00650DCC"/>
    <w:rsid w:val="0065178D"/>
    <w:rsid w:val="00654708"/>
    <w:rsid w:val="00655294"/>
    <w:rsid w:val="00655B83"/>
    <w:rsid w:val="00655F33"/>
    <w:rsid w:val="00656C59"/>
    <w:rsid w:val="006570C0"/>
    <w:rsid w:val="0065736D"/>
    <w:rsid w:val="00657D7A"/>
    <w:rsid w:val="006606FE"/>
    <w:rsid w:val="0066498D"/>
    <w:rsid w:val="00664A9E"/>
    <w:rsid w:val="00665134"/>
    <w:rsid w:val="00666655"/>
    <w:rsid w:val="00666755"/>
    <w:rsid w:val="00667522"/>
    <w:rsid w:val="006707B8"/>
    <w:rsid w:val="00670BF0"/>
    <w:rsid w:val="00672EA1"/>
    <w:rsid w:val="006747B5"/>
    <w:rsid w:val="006749FF"/>
    <w:rsid w:val="00675974"/>
    <w:rsid w:val="00675EFA"/>
    <w:rsid w:val="006774F8"/>
    <w:rsid w:val="006803E8"/>
    <w:rsid w:val="0068103F"/>
    <w:rsid w:val="00682656"/>
    <w:rsid w:val="00683EAC"/>
    <w:rsid w:val="00684B43"/>
    <w:rsid w:val="00684EF6"/>
    <w:rsid w:val="00686279"/>
    <w:rsid w:val="00686A8A"/>
    <w:rsid w:val="00687118"/>
    <w:rsid w:val="006878A4"/>
    <w:rsid w:val="00690181"/>
    <w:rsid w:val="00690877"/>
    <w:rsid w:val="00690B63"/>
    <w:rsid w:val="00694779"/>
    <w:rsid w:val="006954F2"/>
    <w:rsid w:val="006957B8"/>
    <w:rsid w:val="00696BBE"/>
    <w:rsid w:val="006A03CD"/>
    <w:rsid w:val="006A06FE"/>
    <w:rsid w:val="006A42D4"/>
    <w:rsid w:val="006A4E98"/>
    <w:rsid w:val="006A5E05"/>
    <w:rsid w:val="006A5F6F"/>
    <w:rsid w:val="006A64B1"/>
    <w:rsid w:val="006A6B9B"/>
    <w:rsid w:val="006A77F3"/>
    <w:rsid w:val="006A7829"/>
    <w:rsid w:val="006B095F"/>
    <w:rsid w:val="006B2A9B"/>
    <w:rsid w:val="006B2BA6"/>
    <w:rsid w:val="006B2F59"/>
    <w:rsid w:val="006B4A50"/>
    <w:rsid w:val="006B4B65"/>
    <w:rsid w:val="006B537E"/>
    <w:rsid w:val="006B6D25"/>
    <w:rsid w:val="006C24A5"/>
    <w:rsid w:val="006C24CD"/>
    <w:rsid w:val="006C48DF"/>
    <w:rsid w:val="006C60B5"/>
    <w:rsid w:val="006C6127"/>
    <w:rsid w:val="006C7D68"/>
    <w:rsid w:val="006D046F"/>
    <w:rsid w:val="006D0BF8"/>
    <w:rsid w:val="006D1A5E"/>
    <w:rsid w:val="006D284C"/>
    <w:rsid w:val="006D2C17"/>
    <w:rsid w:val="006D338D"/>
    <w:rsid w:val="006D3F2C"/>
    <w:rsid w:val="006D5C23"/>
    <w:rsid w:val="006D64F9"/>
    <w:rsid w:val="006D66AF"/>
    <w:rsid w:val="006E07DE"/>
    <w:rsid w:val="006E1147"/>
    <w:rsid w:val="006E13E8"/>
    <w:rsid w:val="006E2E56"/>
    <w:rsid w:val="006E34B6"/>
    <w:rsid w:val="006E4BFB"/>
    <w:rsid w:val="006E6278"/>
    <w:rsid w:val="006E6389"/>
    <w:rsid w:val="006E662E"/>
    <w:rsid w:val="006E689A"/>
    <w:rsid w:val="006E69AA"/>
    <w:rsid w:val="006E6D0D"/>
    <w:rsid w:val="006F1B5C"/>
    <w:rsid w:val="006F2013"/>
    <w:rsid w:val="006F30F8"/>
    <w:rsid w:val="006F3144"/>
    <w:rsid w:val="006F3CA9"/>
    <w:rsid w:val="006F3F2B"/>
    <w:rsid w:val="006F4A65"/>
    <w:rsid w:val="006F5B9E"/>
    <w:rsid w:val="006F6E1B"/>
    <w:rsid w:val="00700AB7"/>
    <w:rsid w:val="00700C41"/>
    <w:rsid w:val="00702038"/>
    <w:rsid w:val="007027EB"/>
    <w:rsid w:val="00702CB3"/>
    <w:rsid w:val="00703CBB"/>
    <w:rsid w:val="00703E92"/>
    <w:rsid w:val="00704AE7"/>
    <w:rsid w:val="007053A8"/>
    <w:rsid w:val="007061DF"/>
    <w:rsid w:val="00707C29"/>
    <w:rsid w:val="007112A9"/>
    <w:rsid w:val="00711B09"/>
    <w:rsid w:val="0071646D"/>
    <w:rsid w:val="00716CE1"/>
    <w:rsid w:val="00726296"/>
    <w:rsid w:val="00726FA5"/>
    <w:rsid w:val="007277C3"/>
    <w:rsid w:val="0073000D"/>
    <w:rsid w:val="00730313"/>
    <w:rsid w:val="00730BC4"/>
    <w:rsid w:val="00731304"/>
    <w:rsid w:val="00731BD7"/>
    <w:rsid w:val="00731D9B"/>
    <w:rsid w:val="00733CB7"/>
    <w:rsid w:val="00733E1C"/>
    <w:rsid w:val="00734A8B"/>
    <w:rsid w:val="00735210"/>
    <w:rsid w:val="00735B0D"/>
    <w:rsid w:val="00736C06"/>
    <w:rsid w:val="007401BB"/>
    <w:rsid w:val="007403EA"/>
    <w:rsid w:val="00740E5C"/>
    <w:rsid w:val="00741FEA"/>
    <w:rsid w:val="007428C7"/>
    <w:rsid w:val="00743405"/>
    <w:rsid w:val="007446D8"/>
    <w:rsid w:val="00744736"/>
    <w:rsid w:val="00745625"/>
    <w:rsid w:val="007501D9"/>
    <w:rsid w:val="00750F05"/>
    <w:rsid w:val="00751311"/>
    <w:rsid w:val="0075239A"/>
    <w:rsid w:val="00752585"/>
    <w:rsid w:val="00754E74"/>
    <w:rsid w:val="0075580F"/>
    <w:rsid w:val="00755BAC"/>
    <w:rsid w:val="00756952"/>
    <w:rsid w:val="00757444"/>
    <w:rsid w:val="00757541"/>
    <w:rsid w:val="00757C27"/>
    <w:rsid w:val="00757F23"/>
    <w:rsid w:val="007622E4"/>
    <w:rsid w:val="00763381"/>
    <w:rsid w:val="007645A1"/>
    <w:rsid w:val="00764B6A"/>
    <w:rsid w:val="00765163"/>
    <w:rsid w:val="00765F03"/>
    <w:rsid w:val="00767196"/>
    <w:rsid w:val="00767912"/>
    <w:rsid w:val="00770C87"/>
    <w:rsid w:val="00770E29"/>
    <w:rsid w:val="00771D9A"/>
    <w:rsid w:val="0077203A"/>
    <w:rsid w:val="0077266E"/>
    <w:rsid w:val="00772872"/>
    <w:rsid w:val="00773601"/>
    <w:rsid w:val="007753ED"/>
    <w:rsid w:val="00775CB2"/>
    <w:rsid w:val="0077689F"/>
    <w:rsid w:val="00777545"/>
    <w:rsid w:val="0077768C"/>
    <w:rsid w:val="00782DD9"/>
    <w:rsid w:val="007830E3"/>
    <w:rsid w:val="00784C44"/>
    <w:rsid w:val="00786835"/>
    <w:rsid w:val="00787598"/>
    <w:rsid w:val="00787DB5"/>
    <w:rsid w:val="00790309"/>
    <w:rsid w:val="00791E4F"/>
    <w:rsid w:val="00791EF6"/>
    <w:rsid w:val="00794305"/>
    <w:rsid w:val="00794381"/>
    <w:rsid w:val="007A02EB"/>
    <w:rsid w:val="007A1015"/>
    <w:rsid w:val="007A11F1"/>
    <w:rsid w:val="007A30F8"/>
    <w:rsid w:val="007A35F6"/>
    <w:rsid w:val="007A4155"/>
    <w:rsid w:val="007A4E83"/>
    <w:rsid w:val="007A5F1A"/>
    <w:rsid w:val="007A7693"/>
    <w:rsid w:val="007B1F7C"/>
    <w:rsid w:val="007B334D"/>
    <w:rsid w:val="007B593F"/>
    <w:rsid w:val="007B5B76"/>
    <w:rsid w:val="007B755C"/>
    <w:rsid w:val="007C025F"/>
    <w:rsid w:val="007C09AA"/>
    <w:rsid w:val="007C0AFD"/>
    <w:rsid w:val="007C20AF"/>
    <w:rsid w:val="007C3D29"/>
    <w:rsid w:val="007C3E67"/>
    <w:rsid w:val="007C4870"/>
    <w:rsid w:val="007C4CA8"/>
    <w:rsid w:val="007C5443"/>
    <w:rsid w:val="007C5DCE"/>
    <w:rsid w:val="007C6783"/>
    <w:rsid w:val="007C6BA4"/>
    <w:rsid w:val="007C7E5A"/>
    <w:rsid w:val="007D0373"/>
    <w:rsid w:val="007D0C6E"/>
    <w:rsid w:val="007D112D"/>
    <w:rsid w:val="007D1598"/>
    <w:rsid w:val="007D2513"/>
    <w:rsid w:val="007D36FC"/>
    <w:rsid w:val="007D4445"/>
    <w:rsid w:val="007D5B23"/>
    <w:rsid w:val="007D7334"/>
    <w:rsid w:val="007E07A7"/>
    <w:rsid w:val="007E0B2B"/>
    <w:rsid w:val="007E1D4E"/>
    <w:rsid w:val="007E2062"/>
    <w:rsid w:val="007E2831"/>
    <w:rsid w:val="007E376B"/>
    <w:rsid w:val="007E3963"/>
    <w:rsid w:val="007E4023"/>
    <w:rsid w:val="007E5F98"/>
    <w:rsid w:val="007E5FA1"/>
    <w:rsid w:val="007F0250"/>
    <w:rsid w:val="007F18A3"/>
    <w:rsid w:val="007F1A70"/>
    <w:rsid w:val="007F36DE"/>
    <w:rsid w:val="007F37C5"/>
    <w:rsid w:val="007F528B"/>
    <w:rsid w:val="007F61DA"/>
    <w:rsid w:val="007F69E3"/>
    <w:rsid w:val="007F72B7"/>
    <w:rsid w:val="00800381"/>
    <w:rsid w:val="00800475"/>
    <w:rsid w:val="00800DDC"/>
    <w:rsid w:val="00801648"/>
    <w:rsid w:val="00801D34"/>
    <w:rsid w:val="00802EE8"/>
    <w:rsid w:val="00804852"/>
    <w:rsid w:val="00805639"/>
    <w:rsid w:val="00805A48"/>
    <w:rsid w:val="008063E2"/>
    <w:rsid w:val="00807739"/>
    <w:rsid w:val="008100C2"/>
    <w:rsid w:val="00811637"/>
    <w:rsid w:val="00814930"/>
    <w:rsid w:val="00817DA8"/>
    <w:rsid w:val="008204E8"/>
    <w:rsid w:val="0082055E"/>
    <w:rsid w:val="008207CA"/>
    <w:rsid w:val="008223A5"/>
    <w:rsid w:val="008235DE"/>
    <w:rsid w:val="008254D3"/>
    <w:rsid w:val="00825915"/>
    <w:rsid w:val="00825CA4"/>
    <w:rsid w:val="008331EF"/>
    <w:rsid w:val="00833271"/>
    <w:rsid w:val="0083402A"/>
    <w:rsid w:val="00835546"/>
    <w:rsid w:val="00835741"/>
    <w:rsid w:val="008367D9"/>
    <w:rsid w:val="00837520"/>
    <w:rsid w:val="008422A0"/>
    <w:rsid w:val="0084270E"/>
    <w:rsid w:val="00842C37"/>
    <w:rsid w:val="008442E6"/>
    <w:rsid w:val="00844D31"/>
    <w:rsid w:val="00845C1A"/>
    <w:rsid w:val="00845D48"/>
    <w:rsid w:val="00847828"/>
    <w:rsid w:val="008505CE"/>
    <w:rsid w:val="00851A59"/>
    <w:rsid w:val="00851F8C"/>
    <w:rsid w:val="00854691"/>
    <w:rsid w:val="00855BF3"/>
    <w:rsid w:val="00856585"/>
    <w:rsid w:val="00856990"/>
    <w:rsid w:val="00856F7A"/>
    <w:rsid w:val="00857279"/>
    <w:rsid w:val="0085736B"/>
    <w:rsid w:val="00857B52"/>
    <w:rsid w:val="00861B32"/>
    <w:rsid w:val="00861DE6"/>
    <w:rsid w:val="008649BD"/>
    <w:rsid w:val="00867048"/>
    <w:rsid w:val="00867C9A"/>
    <w:rsid w:val="008701A1"/>
    <w:rsid w:val="008718F3"/>
    <w:rsid w:val="00872A28"/>
    <w:rsid w:val="00874685"/>
    <w:rsid w:val="00874DC9"/>
    <w:rsid w:val="0087561C"/>
    <w:rsid w:val="00875664"/>
    <w:rsid w:val="00876615"/>
    <w:rsid w:val="00877E3C"/>
    <w:rsid w:val="0088137B"/>
    <w:rsid w:val="00881D8A"/>
    <w:rsid w:val="00882131"/>
    <w:rsid w:val="0088473B"/>
    <w:rsid w:val="00884877"/>
    <w:rsid w:val="0088510A"/>
    <w:rsid w:val="00885CB3"/>
    <w:rsid w:val="008860BB"/>
    <w:rsid w:val="00886BFC"/>
    <w:rsid w:val="00887493"/>
    <w:rsid w:val="008900BC"/>
    <w:rsid w:val="0089039E"/>
    <w:rsid w:val="00892AFC"/>
    <w:rsid w:val="00892FBA"/>
    <w:rsid w:val="00893BD8"/>
    <w:rsid w:val="00893F03"/>
    <w:rsid w:val="0089436A"/>
    <w:rsid w:val="00895AEB"/>
    <w:rsid w:val="00895C62"/>
    <w:rsid w:val="008963A8"/>
    <w:rsid w:val="008A0602"/>
    <w:rsid w:val="008A0C05"/>
    <w:rsid w:val="008A1764"/>
    <w:rsid w:val="008A42B0"/>
    <w:rsid w:val="008A450F"/>
    <w:rsid w:val="008A4982"/>
    <w:rsid w:val="008A6085"/>
    <w:rsid w:val="008A663F"/>
    <w:rsid w:val="008B0803"/>
    <w:rsid w:val="008B1273"/>
    <w:rsid w:val="008B3151"/>
    <w:rsid w:val="008B36C5"/>
    <w:rsid w:val="008B3A27"/>
    <w:rsid w:val="008B542E"/>
    <w:rsid w:val="008B590E"/>
    <w:rsid w:val="008B5BE2"/>
    <w:rsid w:val="008B6320"/>
    <w:rsid w:val="008C04B3"/>
    <w:rsid w:val="008C0694"/>
    <w:rsid w:val="008C06D5"/>
    <w:rsid w:val="008C3963"/>
    <w:rsid w:val="008C7431"/>
    <w:rsid w:val="008C7ECC"/>
    <w:rsid w:val="008D0787"/>
    <w:rsid w:val="008D095F"/>
    <w:rsid w:val="008D0B33"/>
    <w:rsid w:val="008D0D25"/>
    <w:rsid w:val="008D1526"/>
    <w:rsid w:val="008D2273"/>
    <w:rsid w:val="008D4B2A"/>
    <w:rsid w:val="008D4DD6"/>
    <w:rsid w:val="008D6A54"/>
    <w:rsid w:val="008D75E7"/>
    <w:rsid w:val="008E094D"/>
    <w:rsid w:val="008E176A"/>
    <w:rsid w:val="008E2822"/>
    <w:rsid w:val="008E2982"/>
    <w:rsid w:val="008E4713"/>
    <w:rsid w:val="008E5BC1"/>
    <w:rsid w:val="008E6620"/>
    <w:rsid w:val="008E767E"/>
    <w:rsid w:val="008E7698"/>
    <w:rsid w:val="008F0F17"/>
    <w:rsid w:val="008F15EA"/>
    <w:rsid w:val="008F1885"/>
    <w:rsid w:val="008F47CD"/>
    <w:rsid w:val="008F4C62"/>
    <w:rsid w:val="008F5E3B"/>
    <w:rsid w:val="008F647F"/>
    <w:rsid w:val="008F7D25"/>
    <w:rsid w:val="008F7F12"/>
    <w:rsid w:val="00900C8D"/>
    <w:rsid w:val="00904CBC"/>
    <w:rsid w:val="00905A0D"/>
    <w:rsid w:val="0090613B"/>
    <w:rsid w:val="00911559"/>
    <w:rsid w:val="009118D8"/>
    <w:rsid w:val="00914668"/>
    <w:rsid w:val="00914ECC"/>
    <w:rsid w:val="00914FDF"/>
    <w:rsid w:val="0091599A"/>
    <w:rsid w:val="00916E21"/>
    <w:rsid w:val="00917023"/>
    <w:rsid w:val="0091715D"/>
    <w:rsid w:val="00917A07"/>
    <w:rsid w:val="00917EB1"/>
    <w:rsid w:val="00921436"/>
    <w:rsid w:val="00921C47"/>
    <w:rsid w:val="009220C6"/>
    <w:rsid w:val="009239BB"/>
    <w:rsid w:val="0092433B"/>
    <w:rsid w:val="00926342"/>
    <w:rsid w:val="00926B57"/>
    <w:rsid w:val="00930C56"/>
    <w:rsid w:val="00930F79"/>
    <w:rsid w:val="00931040"/>
    <w:rsid w:val="00931EF0"/>
    <w:rsid w:val="00932CFF"/>
    <w:rsid w:val="00932F08"/>
    <w:rsid w:val="00933AC9"/>
    <w:rsid w:val="00934D2C"/>
    <w:rsid w:val="00935A0D"/>
    <w:rsid w:val="00935FEB"/>
    <w:rsid w:val="00936419"/>
    <w:rsid w:val="00937B0E"/>
    <w:rsid w:val="009409C8"/>
    <w:rsid w:val="00940FFE"/>
    <w:rsid w:val="009411A0"/>
    <w:rsid w:val="00943B74"/>
    <w:rsid w:val="0094486F"/>
    <w:rsid w:val="00944CA2"/>
    <w:rsid w:val="00945395"/>
    <w:rsid w:val="00945C0D"/>
    <w:rsid w:val="00945C24"/>
    <w:rsid w:val="00945D23"/>
    <w:rsid w:val="00945E79"/>
    <w:rsid w:val="0094714C"/>
    <w:rsid w:val="009472B3"/>
    <w:rsid w:val="00947905"/>
    <w:rsid w:val="009500DD"/>
    <w:rsid w:val="00950AF2"/>
    <w:rsid w:val="00951462"/>
    <w:rsid w:val="009547DD"/>
    <w:rsid w:val="009573BD"/>
    <w:rsid w:val="0096089C"/>
    <w:rsid w:val="00962E4E"/>
    <w:rsid w:val="00964E79"/>
    <w:rsid w:val="00964F37"/>
    <w:rsid w:val="00966631"/>
    <w:rsid w:val="0096675A"/>
    <w:rsid w:val="009667AC"/>
    <w:rsid w:val="009674A8"/>
    <w:rsid w:val="00967C2E"/>
    <w:rsid w:val="00970220"/>
    <w:rsid w:val="009712B0"/>
    <w:rsid w:val="00974437"/>
    <w:rsid w:val="009744EA"/>
    <w:rsid w:val="00975762"/>
    <w:rsid w:val="00975A2A"/>
    <w:rsid w:val="00975EB9"/>
    <w:rsid w:val="00976342"/>
    <w:rsid w:val="009763B8"/>
    <w:rsid w:val="00977456"/>
    <w:rsid w:val="00980B9C"/>
    <w:rsid w:val="00981B2C"/>
    <w:rsid w:val="00981F51"/>
    <w:rsid w:val="00982C62"/>
    <w:rsid w:val="009837CB"/>
    <w:rsid w:val="0098423D"/>
    <w:rsid w:val="009858EF"/>
    <w:rsid w:val="00985D83"/>
    <w:rsid w:val="0099075B"/>
    <w:rsid w:val="009909ED"/>
    <w:rsid w:val="00990C4E"/>
    <w:rsid w:val="00990E7A"/>
    <w:rsid w:val="00992009"/>
    <w:rsid w:val="009925EC"/>
    <w:rsid w:val="009930B4"/>
    <w:rsid w:val="00993585"/>
    <w:rsid w:val="00993A9E"/>
    <w:rsid w:val="0099427D"/>
    <w:rsid w:val="00996390"/>
    <w:rsid w:val="009969DF"/>
    <w:rsid w:val="009A00BC"/>
    <w:rsid w:val="009A0F6D"/>
    <w:rsid w:val="009A1584"/>
    <w:rsid w:val="009A34EE"/>
    <w:rsid w:val="009A3ADA"/>
    <w:rsid w:val="009A7573"/>
    <w:rsid w:val="009A78A9"/>
    <w:rsid w:val="009B299F"/>
    <w:rsid w:val="009B29BB"/>
    <w:rsid w:val="009B49B1"/>
    <w:rsid w:val="009B5134"/>
    <w:rsid w:val="009B5315"/>
    <w:rsid w:val="009B55C4"/>
    <w:rsid w:val="009B6C33"/>
    <w:rsid w:val="009B6EF8"/>
    <w:rsid w:val="009C1976"/>
    <w:rsid w:val="009C3731"/>
    <w:rsid w:val="009C4D40"/>
    <w:rsid w:val="009C5252"/>
    <w:rsid w:val="009C6A35"/>
    <w:rsid w:val="009D00FC"/>
    <w:rsid w:val="009D04AF"/>
    <w:rsid w:val="009D4854"/>
    <w:rsid w:val="009D5847"/>
    <w:rsid w:val="009D605C"/>
    <w:rsid w:val="009D6900"/>
    <w:rsid w:val="009D7C05"/>
    <w:rsid w:val="009E03BE"/>
    <w:rsid w:val="009E093F"/>
    <w:rsid w:val="009E11BB"/>
    <w:rsid w:val="009E1E5F"/>
    <w:rsid w:val="009E2235"/>
    <w:rsid w:val="009E30D5"/>
    <w:rsid w:val="009E4CF0"/>
    <w:rsid w:val="009E4D74"/>
    <w:rsid w:val="009E6154"/>
    <w:rsid w:val="009E6FB3"/>
    <w:rsid w:val="009E7036"/>
    <w:rsid w:val="009F08B6"/>
    <w:rsid w:val="009F14DA"/>
    <w:rsid w:val="009F19E6"/>
    <w:rsid w:val="009F33B4"/>
    <w:rsid w:val="009F352B"/>
    <w:rsid w:val="009F704F"/>
    <w:rsid w:val="00A00110"/>
    <w:rsid w:val="00A00A6B"/>
    <w:rsid w:val="00A00BC6"/>
    <w:rsid w:val="00A00C79"/>
    <w:rsid w:val="00A014EE"/>
    <w:rsid w:val="00A01A3D"/>
    <w:rsid w:val="00A01EB5"/>
    <w:rsid w:val="00A037CB"/>
    <w:rsid w:val="00A04697"/>
    <w:rsid w:val="00A0469A"/>
    <w:rsid w:val="00A04F89"/>
    <w:rsid w:val="00A06153"/>
    <w:rsid w:val="00A07A9A"/>
    <w:rsid w:val="00A126E6"/>
    <w:rsid w:val="00A15663"/>
    <w:rsid w:val="00A17699"/>
    <w:rsid w:val="00A20F7B"/>
    <w:rsid w:val="00A23FF0"/>
    <w:rsid w:val="00A24EDC"/>
    <w:rsid w:val="00A24FA7"/>
    <w:rsid w:val="00A25AF8"/>
    <w:rsid w:val="00A262C3"/>
    <w:rsid w:val="00A26B5C"/>
    <w:rsid w:val="00A3143A"/>
    <w:rsid w:val="00A320AB"/>
    <w:rsid w:val="00A322BE"/>
    <w:rsid w:val="00A35622"/>
    <w:rsid w:val="00A35A05"/>
    <w:rsid w:val="00A369E2"/>
    <w:rsid w:val="00A36ED5"/>
    <w:rsid w:val="00A37066"/>
    <w:rsid w:val="00A3759D"/>
    <w:rsid w:val="00A37AD0"/>
    <w:rsid w:val="00A41054"/>
    <w:rsid w:val="00A41591"/>
    <w:rsid w:val="00A41E44"/>
    <w:rsid w:val="00A42D27"/>
    <w:rsid w:val="00A43472"/>
    <w:rsid w:val="00A44A00"/>
    <w:rsid w:val="00A4679F"/>
    <w:rsid w:val="00A46A52"/>
    <w:rsid w:val="00A51D2C"/>
    <w:rsid w:val="00A52C18"/>
    <w:rsid w:val="00A5404F"/>
    <w:rsid w:val="00A55E21"/>
    <w:rsid w:val="00A56AF7"/>
    <w:rsid w:val="00A57AFC"/>
    <w:rsid w:val="00A60371"/>
    <w:rsid w:val="00A60D94"/>
    <w:rsid w:val="00A60FAB"/>
    <w:rsid w:val="00A6220A"/>
    <w:rsid w:val="00A6358E"/>
    <w:rsid w:val="00A646E8"/>
    <w:rsid w:val="00A66811"/>
    <w:rsid w:val="00A67754"/>
    <w:rsid w:val="00A711B7"/>
    <w:rsid w:val="00A717E4"/>
    <w:rsid w:val="00A7186E"/>
    <w:rsid w:val="00A76FB1"/>
    <w:rsid w:val="00A80FC0"/>
    <w:rsid w:val="00A81140"/>
    <w:rsid w:val="00A81830"/>
    <w:rsid w:val="00A830F9"/>
    <w:rsid w:val="00A86F3F"/>
    <w:rsid w:val="00A87982"/>
    <w:rsid w:val="00A900E2"/>
    <w:rsid w:val="00A90F59"/>
    <w:rsid w:val="00A92027"/>
    <w:rsid w:val="00A9371A"/>
    <w:rsid w:val="00A94713"/>
    <w:rsid w:val="00A95493"/>
    <w:rsid w:val="00A95947"/>
    <w:rsid w:val="00A96BC3"/>
    <w:rsid w:val="00A96EE6"/>
    <w:rsid w:val="00A97959"/>
    <w:rsid w:val="00A97AD2"/>
    <w:rsid w:val="00AA19A7"/>
    <w:rsid w:val="00AA204D"/>
    <w:rsid w:val="00AA2350"/>
    <w:rsid w:val="00AA2C2B"/>
    <w:rsid w:val="00AA37FC"/>
    <w:rsid w:val="00AA44B0"/>
    <w:rsid w:val="00AA4B65"/>
    <w:rsid w:val="00AA57EF"/>
    <w:rsid w:val="00AA79FF"/>
    <w:rsid w:val="00AB0948"/>
    <w:rsid w:val="00AB3ED5"/>
    <w:rsid w:val="00AB3F5E"/>
    <w:rsid w:val="00AB4396"/>
    <w:rsid w:val="00AB5E8E"/>
    <w:rsid w:val="00AB6036"/>
    <w:rsid w:val="00AB7491"/>
    <w:rsid w:val="00AC03F2"/>
    <w:rsid w:val="00AC078E"/>
    <w:rsid w:val="00AC10EF"/>
    <w:rsid w:val="00AC1CB3"/>
    <w:rsid w:val="00AC6E31"/>
    <w:rsid w:val="00AD06FD"/>
    <w:rsid w:val="00AD0910"/>
    <w:rsid w:val="00AD1D3D"/>
    <w:rsid w:val="00AD1E03"/>
    <w:rsid w:val="00AD233F"/>
    <w:rsid w:val="00AD4BEF"/>
    <w:rsid w:val="00AD4E71"/>
    <w:rsid w:val="00AD5102"/>
    <w:rsid w:val="00AD5C04"/>
    <w:rsid w:val="00AD5CB3"/>
    <w:rsid w:val="00AD7ADF"/>
    <w:rsid w:val="00AE013D"/>
    <w:rsid w:val="00AE34E5"/>
    <w:rsid w:val="00AE3A46"/>
    <w:rsid w:val="00AF0E9C"/>
    <w:rsid w:val="00AF200E"/>
    <w:rsid w:val="00AF203D"/>
    <w:rsid w:val="00AF299E"/>
    <w:rsid w:val="00AF2AD6"/>
    <w:rsid w:val="00AF3E08"/>
    <w:rsid w:val="00AF4015"/>
    <w:rsid w:val="00AF4BD7"/>
    <w:rsid w:val="00AF5542"/>
    <w:rsid w:val="00AF55A6"/>
    <w:rsid w:val="00B00326"/>
    <w:rsid w:val="00B0060F"/>
    <w:rsid w:val="00B006A9"/>
    <w:rsid w:val="00B03CE2"/>
    <w:rsid w:val="00B06BA1"/>
    <w:rsid w:val="00B11275"/>
    <w:rsid w:val="00B116A1"/>
    <w:rsid w:val="00B11E6A"/>
    <w:rsid w:val="00B13770"/>
    <w:rsid w:val="00B14149"/>
    <w:rsid w:val="00B146CB"/>
    <w:rsid w:val="00B17E9D"/>
    <w:rsid w:val="00B21982"/>
    <w:rsid w:val="00B22EFD"/>
    <w:rsid w:val="00B2436C"/>
    <w:rsid w:val="00B24604"/>
    <w:rsid w:val="00B247CB"/>
    <w:rsid w:val="00B25866"/>
    <w:rsid w:val="00B25A6F"/>
    <w:rsid w:val="00B31231"/>
    <w:rsid w:val="00B33C2F"/>
    <w:rsid w:val="00B35432"/>
    <w:rsid w:val="00B37095"/>
    <w:rsid w:val="00B373AD"/>
    <w:rsid w:val="00B378A6"/>
    <w:rsid w:val="00B4134E"/>
    <w:rsid w:val="00B417AF"/>
    <w:rsid w:val="00B42B2D"/>
    <w:rsid w:val="00B435CB"/>
    <w:rsid w:val="00B44DA3"/>
    <w:rsid w:val="00B451CE"/>
    <w:rsid w:val="00B45904"/>
    <w:rsid w:val="00B5061D"/>
    <w:rsid w:val="00B5114C"/>
    <w:rsid w:val="00B51646"/>
    <w:rsid w:val="00B518F7"/>
    <w:rsid w:val="00B51A2C"/>
    <w:rsid w:val="00B5267C"/>
    <w:rsid w:val="00B5328A"/>
    <w:rsid w:val="00B54374"/>
    <w:rsid w:val="00B54E6C"/>
    <w:rsid w:val="00B5510F"/>
    <w:rsid w:val="00B55515"/>
    <w:rsid w:val="00B557B8"/>
    <w:rsid w:val="00B55D96"/>
    <w:rsid w:val="00B566AE"/>
    <w:rsid w:val="00B61BF2"/>
    <w:rsid w:val="00B61C53"/>
    <w:rsid w:val="00B623CE"/>
    <w:rsid w:val="00B662AD"/>
    <w:rsid w:val="00B671AA"/>
    <w:rsid w:val="00B70066"/>
    <w:rsid w:val="00B714F7"/>
    <w:rsid w:val="00B72ACE"/>
    <w:rsid w:val="00B73357"/>
    <w:rsid w:val="00B73A1F"/>
    <w:rsid w:val="00B73BC0"/>
    <w:rsid w:val="00B75A8B"/>
    <w:rsid w:val="00B77041"/>
    <w:rsid w:val="00B77788"/>
    <w:rsid w:val="00B82000"/>
    <w:rsid w:val="00B84265"/>
    <w:rsid w:val="00B8551C"/>
    <w:rsid w:val="00B86E05"/>
    <w:rsid w:val="00B91560"/>
    <w:rsid w:val="00B91A02"/>
    <w:rsid w:val="00B92B46"/>
    <w:rsid w:val="00B92E1C"/>
    <w:rsid w:val="00B93A60"/>
    <w:rsid w:val="00B93B60"/>
    <w:rsid w:val="00B95C29"/>
    <w:rsid w:val="00B961CC"/>
    <w:rsid w:val="00B96729"/>
    <w:rsid w:val="00BA00A9"/>
    <w:rsid w:val="00BA0426"/>
    <w:rsid w:val="00BA1B7A"/>
    <w:rsid w:val="00BA36A5"/>
    <w:rsid w:val="00BA65A5"/>
    <w:rsid w:val="00BA65FF"/>
    <w:rsid w:val="00BA69F4"/>
    <w:rsid w:val="00BB0CC2"/>
    <w:rsid w:val="00BB1A72"/>
    <w:rsid w:val="00BB37FC"/>
    <w:rsid w:val="00BB3E24"/>
    <w:rsid w:val="00BB6202"/>
    <w:rsid w:val="00BB7698"/>
    <w:rsid w:val="00BB78FD"/>
    <w:rsid w:val="00BC15AB"/>
    <w:rsid w:val="00BC250E"/>
    <w:rsid w:val="00BC26D1"/>
    <w:rsid w:val="00BC30AA"/>
    <w:rsid w:val="00BC3FE1"/>
    <w:rsid w:val="00BC58C2"/>
    <w:rsid w:val="00BC5C46"/>
    <w:rsid w:val="00BC63BC"/>
    <w:rsid w:val="00BC6991"/>
    <w:rsid w:val="00BC7267"/>
    <w:rsid w:val="00BC7DB1"/>
    <w:rsid w:val="00BD000E"/>
    <w:rsid w:val="00BD0947"/>
    <w:rsid w:val="00BD1191"/>
    <w:rsid w:val="00BD1625"/>
    <w:rsid w:val="00BD1784"/>
    <w:rsid w:val="00BD1BDB"/>
    <w:rsid w:val="00BD247D"/>
    <w:rsid w:val="00BD24F0"/>
    <w:rsid w:val="00BD2524"/>
    <w:rsid w:val="00BD2E25"/>
    <w:rsid w:val="00BD3667"/>
    <w:rsid w:val="00BD3AD2"/>
    <w:rsid w:val="00BD3E01"/>
    <w:rsid w:val="00BD428D"/>
    <w:rsid w:val="00BD43CF"/>
    <w:rsid w:val="00BD4548"/>
    <w:rsid w:val="00BD4F79"/>
    <w:rsid w:val="00BD6BED"/>
    <w:rsid w:val="00BD7483"/>
    <w:rsid w:val="00BE0E74"/>
    <w:rsid w:val="00BE1033"/>
    <w:rsid w:val="00BE1BEE"/>
    <w:rsid w:val="00BE226E"/>
    <w:rsid w:val="00BE3B2F"/>
    <w:rsid w:val="00BE630D"/>
    <w:rsid w:val="00BE67A1"/>
    <w:rsid w:val="00BE6AA1"/>
    <w:rsid w:val="00BE72D4"/>
    <w:rsid w:val="00BE78DD"/>
    <w:rsid w:val="00BF0748"/>
    <w:rsid w:val="00BF329C"/>
    <w:rsid w:val="00BF6D06"/>
    <w:rsid w:val="00C00AC4"/>
    <w:rsid w:val="00C0130F"/>
    <w:rsid w:val="00C0343A"/>
    <w:rsid w:val="00C0590E"/>
    <w:rsid w:val="00C06B2B"/>
    <w:rsid w:val="00C10C3B"/>
    <w:rsid w:val="00C1122F"/>
    <w:rsid w:val="00C134E5"/>
    <w:rsid w:val="00C13832"/>
    <w:rsid w:val="00C16490"/>
    <w:rsid w:val="00C17535"/>
    <w:rsid w:val="00C20143"/>
    <w:rsid w:val="00C20E42"/>
    <w:rsid w:val="00C21477"/>
    <w:rsid w:val="00C22635"/>
    <w:rsid w:val="00C22842"/>
    <w:rsid w:val="00C23048"/>
    <w:rsid w:val="00C23621"/>
    <w:rsid w:val="00C24798"/>
    <w:rsid w:val="00C25515"/>
    <w:rsid w:val="00C265CC"/>
    <w:rsid w:val="00C273AE"/>
    <w:rsid w:val="00C3093C"/>
    <w:rsid w:val="00C3109F"/>
    <w:rsid w:val="00C3292E"/>
    <w:rsid w:val="00C33AD2"/>
    <w:rsid w:val="00C3636E"/>
    <w:rsid w:val="00C36883"/>
    <w:rsid w:val="00C400E5"/>
    <w:rsid w:val="00C41A4C"/>
    <w:rsid w:val="00C41E21"/>
    <w:rsid w:val="00C421E4"/>
    <w:rsid w:val="00C4317A"/>
    <w:rsid w:val="00C44529"/>
    <w:rsid w:val="00C45509"/>
    <w:rsid w:val="00C46981"/>
    <w:rsid w:val="00C472F7"/>
    <w:rsid w:val="00C4730F"/>
    <w:rsid w:val="00C475A0"/>
    <w:rsid w:val="00C47D1B"/>
    <w:rsid w:val="00C503FF"/>
    <w:rsid w:val="00C50CFF"/>
    <w:rsid w:val="00C515D8"/>
    <w:rsid w:val="00C51B23"/>
    <w:rsid w:val="00C53782"/>
    <w:rsid w:val="00C53E72"/>
    <w:rsid w:val="00C546A6"/>
    <w:rsid w:val="00C54BE5"/>
    <w:rsid w:val="00C56A45"/>
    <w:rsid w:val="00C57553"/>
    <w:rsid w:val="00C6012D"/>
    <w:rsid w:val="00C60ECB"/>
    <w:rsid w:val="00C61B3E"/>
    <w:rsid w:val="00C62190"/>
    <w:rsid w:val="00C636D0"/>
    <w:rsid w:val="00C64008"/>
    <w:rsid w:val="00C64BF2"/>
    <w:rsid w:val="00C673D1"/>
    <w:rsid w:val="00C67D0A"/>
    <w:rsid w:val="00C71136"/>
    <w:rsid w:val="00C716E5"/>
    <w:rsid w:val="00C71B02"/>
    <w:rsid w:val="00C722CA"/>
    <w:rsid w:val="00C73CC8"/>
    <w:rsid w:val="00C74C5A"/>
    <w:rsid w:val="00C7513F"/>
    <w:rsid w:val="00C755CC"/>
    <w:rsid w:val="00C76706"/>
    <w:rsid w:val="00C7739C"/>
    <w:rsid w:val="00C77CD0"/>
    <w:rsid w:val="00C8009A"/>
    <w:rsid w:val="00C80153"/>
    <w:rsid w:val="00C8083C"/>
    <w:rsid w:val="00C80F8C"/>
    <w:rsid w:val="00C8162E"/>
    <w:rsid w:val="00C81D68"/>
    <w:rsid w:val="00C828BE"/>
    <w:rsid w:val="00C82C57"/>
    <w:rsid w:val="00C84585"/>
    <w:rsid w:val="00C863C0"/>
    <w:rsid w:val="00C87926"/>
    <w:rsid w:val="00C90A72"/>
    <w:rsid w:val="00C917E1"/>
    <w:rsid w:val="00C92091"/>
    <w:rsid w:val="00C92FA3"/>
    <w:rsid w:val="00C93CDA"/>
    <w:rsid w:val="00C94DA4"/>
    <w:rsid w:val="00C94EA7"/>
    <w:rsid w:val="00C958DD"/>
    <w:rsid w:val="00C9749E"/>
    <w:rsid w:val="00C97E22"/>
    <w:rsid w:val="00C97F35"/>
    <w:rsid w:val="00CA066D"/>
    <w:rsid w:val="00CA14C9"/>
    <w:rsid w:val="00CA247E"/>
    <w:rsid w:val="00CA2E56"/>
    <w:rsid w:val="00CA30DF"/>
    <w:rsid w:val="00CA456C"/>
    <w:rsid w:val="00CA460D"/>
    <w:rsid w:val="00CA4FB8"/>
    <w:rsid w:val="00CA501B"/>
    <w:rsid w:val="00CA50BF"/>
    <w:rsid w:val="00CA66DF"/>
    <w:rsid w:val="00CA7476"/>
    <w:rsid w:val="00CA7C1E"/>
    <w:rsid w:val="00CB2A57"/>
    <w:rsid w:val="00CB4C45"/>
    <w:rsid w:val="00CB6011"/>
    <w:rsid w:val="00CB6FB3"/>
    <w:rsid w:val="00CB7775"/>
    <w:rsid w:val="00CB7A83"/>
    <w:rsid w:val="00CB7F63"/>
    <w:rsid w:val="00CC04E4"/>
    <w:rsid w:val="00CC0C5D"/>
    <w:rsid w:val="00CC0EE1"/>
    <w:rsid w:val="00CC22DD"/>
    <w:rsid w:val="00CC2BF2"/>
    <w:rsid w:val="00CC30A8"/>
    <w:rsid w:val="00CC515E"/>
    <w:rsid w:val="00CC5E23"/>
    <w:rsid w:val="00CC6E3C"/>
    <w:rsid w:val="00CD2AE3"/>
    <w:rsid w:val="00CD4A97"/>
    <w:rsid w:val="00CD510A"/>
    <w:rsid w:val="00CD6439"/>
    <w:rsid w:val="00CD7C46"/>
    <w:rsid w:val="00CD7CEB"/>
    <w:rsid w:val="00CE02D6"/>
    <w:rsid w:val="00CE1592"/>
    <w:rsid w:val="00CE46FC"/>
    <w:rsid w:val="00CE4AA8"/>
    <w:rsid w:val="00CE4CC9"/>
    <w:rsid w:val="00CE544C"/>
    <w:rsid w:val="00CE657B"/>
    <w:rsid w:val="00CF0C04"/>
    <w:rsid w:val="00CF23A3"/>
    <w:rsid w:val="00CF34E6"/>
    <w:rsid w:val="00CF4431"/>
    <w:rsid w:val="00CF67F8"/>
    <w:rsid w:val="00CF6886"/>
    <w:rsid w:val="00CF6971"/>
    <w:rsid w:val="00CF6B0F"/>
    <w:rsid w:val="00CF6DDD"/>
    <w:rsid w:val="00D00365"/>
    <w:rsid w:val="00D00EAC"/>
    <w:rsid w:val="00D01EDC"/>
    <w:rsid w:val="00D027E3"/>
    <w:rsid w:val="00D02E61"/>
    <w:rsid w:val="00D035FA"/>
    <w:rsid w:val="00D04E88"/>
    <w:rsid w:val="00D05E4B"/>
    <w:rsid w:val="00D0619E"/>
    <w:rsid w:val="00D06A3D"/>
    <w:rsid w:val="00D072CA"/>
    <w:rsid w:val="00D073F7"/>
    <w:rsid w:val="00D11533"/>
    <w:rsid w:val="00D12E08"/>
    <w:rsid w:val="00D16EAC"/>
    <w:rsid w:val="00D17DCA"/>
    <w:rsid w:val="00D225B8"/>
    <w:rsid w:val="00D22D28"/>
    <w:rsid w:val="00D236C3"/>
    <w:rsid w:val="00D24764"/>
    <w:rsid w:val="00D24A5F"/>
    <w:rsid w:val="00D24F6D"/>
    <w:rsid w:val="00D25E23"/>
    <w:rsid w:val="00D269B7"/>
    <w:rsid w:val="00D278A7"/>
    <w:rsid w:val="00D31A46"/>
    <w:rsid w:val="00D31B82"/>
    <w:rsid w:val="00D31BFC"/>
    <w:rsid w:val="00D32B38"/>
    <w:rsid w:val="00D33B5C"/>
    <w:rsid w:val="00D35C16"/>
    <w:rsid w:val="00D371C6"/>
    <w:rsid w:val="00D37292"/>
    <w:rsid w:val="00D372B2"/>
    <w:rsid w:val="00D4136B"/>
    <w:rsid w:val="00D41D70"/>
    <w:rsid w:val="00D42175"/>
    <w:rsid w:val="00D42497"/>
    <w:rsid w:val="00D43337"/>
    <w:rsid w:val="00D44392"/>
    <w:rsid w:val="00D44D34"/>
    <w:rsid w:val="00D469EA"/>
    <w:rsid w:val="00D47351"/>
    <w:rsid w:val="00D47E75"/>
    <w:rsid w:val="00D47F4B"/>
    <w:rsid w:val="00D50580"/>
    <w:rsid w:val="00D518E8"/>
    <w:rsid w:val="00D520E3"/>
    <w:rsid w:val="00D53645"/>
    <w:rsid w:val="00D53A41"/>
    <w:rsid w:val="00D53F7C"/>
    <w:rsid w:val="00D547F7"/>
    <w:rsid w:val="00D649B8"/>
    <w:rsid w:val="00D66740"/>
    <w:rsid w:val="00D66A2A"/>
    <w:rsid w:val="00D7015C"/>
    <w:rsid w:val="00D70B6F"/>
    <w:rsid w:val="00D71585"/>
    <w:rsid w:val="00D72B26"/>
    <w:rsid w:val="00D75214"/>
    <w:rsid w:val="00D75FE4"/>
    <w:rsid w:val="00D76D12"/>
    <w:rsid w:val="00D76DA7"/>
    <w:rsid w:val="00D77B71"/>
    <w:rsid w:val="00D803BA"/>
    <w:rsid w:val="00D820EC"/>
    <w:rsid w:val="00D83675"/>
    <w:rsid w:val="00D83CE5"/>
    <w:rsid w:val="00D844A4"/>
    <w:rsid w:val="00D86C87"/>
    <w:rsid w:val="00D90043"/>
    <w:rsid w:val="00D90475"/>
    <w:rsid w:val="00D91FB9"/>
    <w:rsid w:val="00D948DE"/>
    <w:rsid w:val="00D950A6"/>
    <w:rsid w:val="00D95EF8"/>
    <w:rsid w:val="00DA0AF6"/>
    <w:rsid w:val="00DA0B77"/>
    <w:rsid w:val="00DA183F"/>
    <w:rsid w:val="00DA213A"/>
    <w:rsid w:val="00DA299A"/>
    <w:rsid w:val="00DA4C11"/>
    <w:rsid w:val="00DA4C41"/>
    <w:rsid w:val="00DA4CCD"/>
    <w:rsid w:val="00DA5E8B"/>
    <w:rsid w:val="00DA63C9"/>
    <w:rsid w:val="00DB006F"/>
    <w:rsid w:val="00DB331E"/>
    <w:rsid w:val="00DB3B05"/>
    <w:rsid w:val="00DB4758"/>
    <w:rsid w:val="00DB573B"/>
    <w:rsid w:val="00DB57CE"/>
    <w:rsid w:val="00DC215D"/>
    <w:rsid w:val="00DC2B54"/>
    <w:rsid w:val="00DC3657"/>
    <w:rsid w:val="00DC3B6D"/>
    <w:rsid w:val="00DC3E83"/>
    <w:rsid w:val="00DC4F84"/>
    <w:rsid w:val="00DC72A6"/>
    <w:rsid w:val="00DC752F"/>
    <w:rsid w:val="00DD0FEA"/>
    <w:rsid w:val="00DD14AC"/>
    <w:rsid w:val="00DD16B2"/>
    <w:rsid w:val="00DD1B85"/>
    <w:rsid w:val="00DD1D6B"/>
    <w:rsid w:val="00DD324F"/>
    <w:rsid w:val="00DD36E9"/>
    <w:rsid w:val="00DD43B7"/>
    <w:rsid w:val="00DD4B66"/>
    <w:rsid w:val="00DD4EA2"/>
    <w:rsid w:val="00DD63B7"/>
    <w:rsid w:val="00DD747F"/>
    <w:rsid w:val="00DE03DC"/>
    <w:rsid w:val="00DE0BC1"/>
    <w:rsid w:val="00DE18CF"/>
    <w:rsid w:val="00DE1D18"/>
    <w:rsid w:val="00DE3BE0"/>
    <w:rsid w:val="00DE62E7"/>
    <w:rsid w:val="00DE6E91"/>
    <w:rsid w:val="00DE7CE9"/>
    <w:rsid w:val="00DE7F9A"/>
    <w:rsid w:val="00DF0B40"/>
    <w:rsid w:val="00DF0D44"/>
    <w:rsid w:val="00DF1223"/>
    <w:rsid w:val="00DF134A"/>
    <w:rsid w:val="00DF13C0"/>
    <w:rsid w:val="00DF1EDF"/>
    <w:rsid w:val="00DF1FFA"/>
    <w:rsid w:val="00DF3014"/>
    <w:rsid w:val="00DF37FE"/>
    <w:rsid w:val="00DF3CE0"/>
    <w:rsid w:val="00DF3F63"/>
    <w:rsid w:val="00DF56F2"/>
    <w:rsid w:val="00DF73B9"/>
    <w:rsid w:val="00E00017"/>
    <w:rsid w:val="00E01862"/>
    <w:rsid w:val="00E020A1"/>
    <w:rsid w:val="00E023C9"/>
    <w:rsid w:val="00E03758"/>
    <w:rsid w:val="00E048A0"/>
    <w:rsid w:val="00E05C70"/>
    <w:rsid w:val="00E05E70"/>
    <w:rsid w:val="00E10D68"/>
    <w:rsid w:val="00E111F6"/>
    <w:rsid w:val="00E15877"/>
    <w:rsid w:val="00E16244"/>
    <w:rsid w:val="00E162C7"/>
    <w:rsid w:val="00E16369"/>
    <w:rsid w:val="00E165A5"/>
    <w:rsid w:val="00E16AC1"/>
    <w:rsid w:val="00E207FE"/>
    <w:rsid w:val="00E21052"/>
    <w:rsid w:val="00E21C20"/>
    <w:rsid w:val="00E21D6A"/>
    <w:rsid w:val="00E23058"/>
    <w:rsid w:val="00E2306B"/>
    <w:rsid w:val="00E2538E"/>
    <w:rsid w:val="00E261A8"/>
    <w:rsid w:val="00E31871"/>
    <w:rsid w:val="00E33369"/>
    <w:rsid w:val="00E339B5"/>
    <w:rsid w:val="00E34890"/>
    <w:rsid w:val="00E369C3"/>
    <w:rsid w:val="00E36FF7"/>
    <w:rsid w:val="00E4041D"/>
    <w:rsid w:val="00E405D3"/>
    <w:rsid w:val="00E41FE6"/>
    <w:rsid w:val="00E42CDD"/>
    <w:rsid w:val="00E430A9"/>
    <w:rsid w:val="00E44638"/>
    <w:rsid w:val="00E45EEF"/>
    <w:rsid w:val="00E45F6B"/>
    <w:rsid w:val="00E46895"/>
    <w:rsid w:val="00E47425"/>
    <w:rsid w:val="00E478E4"/>
    <w:rsid w:val="00E51B50"/>
    <w:rsid w:val="00E5532F"/>
    <w:rsid w:val="00E558B1"/>
    <w:rsid w:val="00E55E95"/>
    <w:rsid w:val="00E55ECE"/>
    <w:rsid w:val="00E5678F"/>
    <w:rsid w:val="00E57D52"/>
    <w:rsid w:val="00E619AC"/>
    <w:rsid w:val="00E6267E"/>
    <w:rsid w:val="00E62DB9"/>
    <w:rsid w:val="00E62F48"/>
    <w:rsid w:val="00E63026"/>
    <w:rsid w:val="00E630F7"/>
    <w:rsid w:val="00E640ED"/>
    <w:rsid w:val="00E64143"/>
    <w:rsid w:val="00E6514E"/>
    <w:rsid w:val="00E66AC9"/>
    <w:rsid w:val="00E66CA0"/>
    <w:rsid w:val="00E672B7"/>
    <w:rsid w:val="00E70607"/>
    <w:rsid w:val="00E71476"/>
    <w:rsid w:val="00E72486"/>
    <w:rsid w:val="00E72B2C"/>
    <w:rsid w:val="00E7373D"/>
    <w:rsid w:val="00E73FB2"/>
    <w:rsid w:val="00E744D4"/>
    <w:rsid w:val="00E805C5"/>
    <w:rsid w:val="00E81221"/>
    <w:rsid w:val="00E8169E"/>
    <w:rsid w:val="00E8229B"/>
    <w:rsid w:val="00E82A1C"/>
    <w:rsid w:val="00E82A53"/>
    <w:rsid w:val="00E8698E"/>
    <w:rsid w:val="00E86E4F"/>
    <w:rsid w:val="00E87542"/>
    <w:rsid w:val="00E87ACA"/>
    <w:rsid w:val="00E92F80"/>
    <w:rsid w:val="00E95015"/>
    <w:rsid w:val="00E954B7"/>
    <w:rsid w:val="00E95D22"/>
    <w:rsid w:val="00E96A5C"/>
    <w:rsid w:val="00EA0030"/>
    <w:rsid w:val="00EA09C6"/>
    <w:rsid w:val="00EA4CD3"/>
    <w:rsid w:val="00EA6925"/>
    <w:rsid w:val="00EA6D71"/>
    <w:rsid w:val="00EB108B"/>
    <w:rsid w:val="00EB1551"/>
    <w:rsid w:val="00EB16EF"/>
    <w:rsid w:val="00EB1965"/>
    <w:rsid w:val="00EB1D3A"/>
    <w:rsid w:val="00EB29D3"/>
    <w:rsid w:val="00EB2C71"/>
    <w:rsid w:val="00EB3E96"/>
    <w:rsid w:val="00EB4AF6"/>
    <w:rsid w:val="00EB56AF"/>
    <w:rsid w:val="00EB57EC"/>
    <w:rsid w:val="00EB5BD5"/>
    <w:rsid w:val="00EB648C"/>
    <w:rsid w:val="00EB69E1"/>
    <w:rsid w:val="00EC0103"/>
    <w:rsid w:val="00EC05CA"/>
    <w:rsid w:val="00EC1B34"/>
    <w:rsid w:val="00EC35B4"/>
    <w:rsid w:val="00ED3020"/>
    <w:rsid w:val="00ED32AD"/>
    <w:rsid w:val="00ED3CB1"/>
    <w:rsid w:val="00ED4486"/>
    <w:rsid w:val="00ED4629"/>
    <w:rsid w:val="00ED4E84"/>
    <w:rsid w:val="00ED7C7A"/>
    <w:rsid w:val="00ED7CAF"/>
    <w:rsid w:val="00ED7D9E"/>
    <w:rsid w:val="00EE08E7"/>
    <w:rsid w:val="00EE1150"/>
    <w:rsid w:val="00EE12AB"/>
    <w:rsid w:val="00EE5537"/>
    <w:rsid w:val="00EE65D4"/>
    <w:rsid w:val="00EF00D9"/>
    <w:rsid w:val="00EF079E"/>
    <w:rsid w:val="00EF0E89"/>
    <w:rsid w:val="00EF15F9"/>
    <w:rsid w:val="00EF185D"/>
    <w:rsid w:val="00EF4435"/>
    <w:rsid w:val="00EF5C22"/>
    <w:rsid w:val="00EF63B8"/>
    <w:rsid w:val="00F00AB6"/>
    <w:rsid w:val="00F00D29"/>
    <w:rsid w:val="00F00F13"/>
    <w:rsid w:val="00F02049"/>
    <w:rsid w:val="00F02317"/>
    <w:rsid w:val="00F032DB"/>
    <w:rsid w:val="00F04F66"/>
    <w:rsid w:val="00F0509D"/>
    <w:rsid w:val="00F068B3"/>
    <w:rsid w:val="00F069F1"/>
    <w:rsid w:val="00F077CA"/>
    <w:rsid w:val="00F122A0"/>
    <w:rsid w:val="00F124D5"/>
    <w:rsid w:val="00F12A0E"/>
    <w:rsid w:val="00F172EE"/>
    <w:rsid w:val="00F179D8"/>
    <w:rsid w:val="00F2098F"/>
    <w:rsid w:val="00F300EF"/>
    <w:rsid w:val="00F302F4"/>
    <w:rsid w:val="00F30A7B"/>
    <w:rsid w:val="00F30F7B"/>
    <w:rsid w:val="00F32733"/>
    <w:rsid w:val="00F32BCB"/>
    <w:rsid w:val="00F3329C"/>
    <w:rsid w:val="00F349A7"/>
    <w:rsid w:val="00F37637"/>
    <w:rsid w:val="00F403E5"/>
    <w:rsid w:val="00F41053"/>
    <w:rsid w:val="00F41380"/>
    <w:rsid w:val="00F414B3"/>
    <w:rsid w:val="00F43C14"/>
    <w:rsid w:val="00F45839"/>
    <w:rsid w:val="00F4715B"/>
    <w:rsid w:val="00F47385"/>
    <w:rsid w:val="00F47EF8"/>
    <w:rsid w:val="00F5164C"/>
    <w:rsid w:val="00F524EE"/>
    <w:rsid w:val="00F533A1"/>
    <w:rsid w:val="00F547CB"/>
    <w:rsid w:val="00F552FA"/>
    <w:rsid w:val="00F5530B"/>
    <w:rsid w:val="00F56225"/>
    <w:rsid w:val="00F567A8"/>
    <w:rsid w:val="00F574F8"/>
    <w:rsid w:val="00F57FA1"/>
    <w:rsid w:val="00F600F2"/>
    <w:rsid w:val="00F6065B"/>
    <w:rsid w:val="00F60CB5"/>
    <w:rsid w:val="00F63C1F"/>
    <w:rsid w:val="00F63E1C"/>
    <w:rsid w:val="00F6471B"/>
    <w:rsid w:val="00F702B4"/>
    <w:rsid w:val="00F71DBD"/>
    <w:rsid w:val="00F75138"/>
    <w:rsid w:val="00F75628"/>
    <w:rsid w:val="00F75810"/>
    <w:rsid w:val="00F760BA"/>
    <w:rsid w:val="00F80729"/>
    <w:rsid w:val="00F80996"/>
    <w:rsid w:val="00F82380"/>
    <w:rsid w:val="00F84BAA"/>
    <w:rsid w:val="00F84D35"/>
    <w:rsid w:val="00F8531B"/>
    <w:rsid w:val="00F86FC8"/>
    <w:rsid w:val="00F8725D"/>
    <w:rsid w:val="00F87384"/>
    <w:rsid w:val="00F87555"/>
    <w:rsid w:val="00F87556"/>
    <w:rsid w:val="00F907B2"/>
    <w:rsid w:val="00F917F8"/>
    <w:rsid w:val="00F92058"/>
    <w:rsid w:val="00F93F35"/>
    <w:rsid w:val="00F944D7"/>
    <w:rsid w:val="00F959AF"/>
    <w:rsid w:val="00F95C1D"/>
    <w:rsid w:val="00F9757A"/>
    <w:rsid w:val="00F97F78"/>
    <w:rsid w:val="00FA1F6E"/>
    <w:rsid w:val="00FA2107"/>
    <w:rsid w:val="00FA43A4"/>
    <w:rsid w:val="00FA499D"/>
    <w:rsid w:val="00FA5129"/>
    <w:rsid w:val="00FA62D8"/>
    <w:rsid w:val="00FA6656"/>
    <w:rsid w:val="00FA73A3"/>
    <w:rsid w:val="00FA7B5A"/>
    <w:rsid w:val="00FA7FF8"/>
    <w:rsid w:val="00FB0B96"/>
    <w:rsid w:val="00FB1D39"/>
    <w:rsid w:val="00FB3591"/>
    <w:rsid w:val="00FB3FDD"/>
    <w:rsid w:val="00FB48D6"/>
    <w:rsid w:val="00FB59B6"/>
    <w:rsid w:val="00FB5F73"/>
    <w:rsid w:val="00FB76E2"/>
    <w:rsid w:val="00FC0D38"/>
    <w:rsid w:val="00FC3122"/>
    <w:rsid w:val="00FC3695"/>
    <w:rsid w:val="00FC5D01"/>
    <w:rsid w:val="00FC6CDB"/>
    <w:rsid w:val="00FC78BB"/>
    <w:rsid w:val="00FD1DE6"/>
    <w:rsid w:val="00FD37B4"/>
    <w:rsid w:val="00FD6EAB"/>
    <w:rsid w:val="00FD74D8"/>
    <w:rsid w:val="00FD7CD2"/>
    <w:rsid w:val="00FE021A"/>
    <w:rsid w:val="00FE0697"/>
    <w:rsid w:val="00FE1A69"/>
    <w:rsid w:val="00FE1B57"/>
    <w:rsid w:val="00FE1F79"/>
    <w:rsid w:val="00FE24FC"/>
    <w:rsid w:val="00FE43BA"/>
    <w:rsid w:val="00FE5006"/>
    <w:rsid w:val="00FE5219"/>
    <w:rsid w:val="00FE539E"/>
    <w:rsid w:val="00FE56B4"/>
    <w:rsid w:val="00FE68CE"/>
    <w:rsid w:val="00FE6C02"/>
    <w:rsid w:val="00FE6CC0"/>
    <w:rsid w:val="00FE71F9"/>
    <w:rsid w:val="00FF0383"/>
    <w:rsid w:val="00FF16D2"/>
    <w:rsid w:val="00FF1E67"/>
    <w:rsid w:val="00FF30B2"/>
    <w:rsid w:val="00FF4377"/>
    <w:rsid w:val="00FF607A"/>
    <w:rsid w:val="00FF76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379A7AE-6A8D-4CB1-BB7B-570C3291B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1E60A4"/>
    <w:pPr>
      <w:autoSpaceDE w:val="0"/>
      <w:autoSpaceDN w:val="0"/>
      <w:adjustRightInd w:val="0"/>
      <w:ind w:left="4"/>
    </w:pPr>
    <w:rPr>
      <w:rFonts w:ascii="Arial" w:eastAsiaTheme="minorEastAsia" w:hAnsi="Arial" w:cs="Arial"/>
      <w:sz w:val="23"/>
      <w:szCs w:val="23"/>
      <w:lang w:val="es-MX"/>
    </w:rPr>
  </w:style>
  <w:style w:type="character" w:customStyle="1" w:styleId="TextoindependienteCar">
    <w:name w:val="Texto independiente Car"/>
    <w:basedOn w:val="Fuentedeprrafopredeter"/>
    <w:link w:val="Textoindependiente"/>
    <w:uiPriority w:val="1"/>
    <w:rsid w:val="001E60A4"/>
    <w:rPr>
      <w:rFonts w:ascii="Arial" w:hAnsi="Arial" w:cs="Arial"/>
      <w:sz w:val="23"/>
      <w:szCs w:val="23"/>
      <w:lang w:val="es-MX"/>
    </w:rPr>
  </w:style>
  <w:style w:type="paragraph" w:styleId="Textosinformato">
    <w:name w:val="Plain Text"/>
    <w:basedOn w:val="Normal"/>
    <w:link w:val="TextosinformatoCar"/>
    <w:rsid w:val="007F69E3"/>
    <w:rPr>
      <w:rFonts w:ascii="Courier New" w:hAnsi="Courier New"/>
      <w:sz w:val="20"/>
      <w:szCs w:val="20"/>
    </w:rPr>
  </w:style>
  <w:style w:type="character" w:customStyle="1" w:styleId="TextosinformatoCar">
    <w:name w:val="Texto sin formato Car"/>
    <w:basedOn w:val="Fuentedeprrafopredeter"/>
    <w:link w:val="Textosinformato"/>
    <w:rsid w:val="007F69E3"/>
    <w:rPr>
      <w:rFonts w:ascii="Courier New" w:eastAsia="Times New Roman" w:hAnsi="Courier New" w:cs="Times New Roman"/>
      <w:sz w:val="20"/>
      <w:szCs w:val="20"/>
      <w:lang w:val="es-ES"/>
    </w:rPr>
  </w:style>
  <w:style w:type="paragraph" w:customStyle="1" w:styleId="Cuerpo">
    <w:name w:val="Cuerpo"/>
    <w:rsid w:val="0041342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41342A"/>
    <w:rPr>
      <w:lang w:val="es-ES_tradnl"/>
    </w:rPr>
  </w:style>
  <w:style w:type="numbering" w:customStyle="1" w:styleId="Estiloimportado2">
    <w:name w:val="Estilo importado 2"/>
    <w:rsid w:val="0041342A"/>
    <w:pPr>
      <w:numPr>
        <w:numId w:val="3"/>
      </w:numPr>
    </w:pPr>
  </w:style>
  <w:style w:type="character" w:styleId="Hipervnculovisitado">
    <w:name w:val="FollowedHyperlink"/>
    <w:basedOn w:val="Fuentedeprrafopredeter"/>
    <w:uiPriority w:val="99"/>
    <w:semiHidden/>
    <w:unhideWhenUsed/>
    <w:rsid w:val="000A6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604409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2982839">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73288884">
      <w:bodyDiv w:val="1"/>
      <w:marLeft w:val="0"/>
      <w:marRight w:val="0"/>
      <w:marTop w:val="0"/>
      <w:marBottom w:val="0"/>
      <w:divBdr>
        <w:top w:val="none" w:sz="0" w:space="0" w:color="auto"/>
        <w:left w:val="none" w:sz="0" w:space="0" w:color="auto"/>
        <w:bottom w:val="none" w:sz="0" w:space="0" w:color="auto"/>
        <w:right w:val="none" w:sz="0" w:space="0" w:color="auto"/>
      </w:divBdr>
    </w:div>
    <w:div w:id="85966679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731550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49593805">
      <w:bodyDiv w:val="1"/>
      <w:marLeft w:val="0"/>
      <w:marRight w:val="0"/>
      <w:marTop w:val="0"/>
      <w:marBottom w:val="0"/>
      <w:divBdr>
        <w:top w:val="none" w:sz="0" w:space="0" w:color="auto"/>
        <w:left w:val="none" w:sz="0" w:space="0" w:color="auto"/>
        <w:bottom w:val="none" w:sz="0" w:space="0" w:color="auto"/>
        <w:right w:val="none" w:sz="0" w:space="0" w:color="auto"/>
      </w:divBdr>
    </w:div>
    <w:div w:id="1189638450">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4759495">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24891496">
      <w:bodyDiv w:val="1"/>
      <w:marLeft w:val="0"/>
      <w:marRight w:val="0"/>
      <w:marTop w:val="0"/>
      <w:marBottom w:val="0"/>
      <w:divBdr>
        <w:top w:val="none" w:sz="0" w:space="0" w:color="auto"/>
        <w:left w:val="none" w:sz="0" w:space="0" w:color="auto"/>
        <w:bottom w:val="none" w:sz="0" w:space="0" w:color="auto"/>
        <w:right w:val="none" w:sz="0" w:space="0" w:color="auto"/>
      </w:divBdr>
    </w:div>
    <w:div w:id="13480937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59741946">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27814048">
      <w:bodyDiv w:val="1"/>
      <w:marLeft w:val="0"/>
      <w:marRight w:val="0"/>
      <w:marTop w:val="0"/>
      <w:marBottom w:val="0"/>
      <w:divBdr>
        <w:top w:val="none" w:sz="0" w:space="0" w:color="auto"/>
        <w:left w:val="none" w:sz="0" w:space="0" w:color="auto"/>
        <w:bottom w:val="none" w:sz="0" w:space="0" w:color="auto"/>
        <w:right w:val="none" w:sz="0" w:space="0" w:color="auto"/>
      </w:divBdr>
    </w:div>
    <w:div w:id="162827104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5114362">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1193.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D6950-7FC7-4A04-85FD-FFDF3A71B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43</Pages>
  <Words>9474</Words>
  <Characters>52108</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104</cp:revision>
  <cp:lastPrinted>2018-10-09T22:55:00Z</cp:lastPrinted>
  <dcterms:created xsi:type="dcterms:W3CDTF">2017-09-05T16:40:00Z</dcterms:created>
  <dcterms:modified xsi:type="dcterms:W3CDTF">2019-03-12T18:20:00Z</dcterms:modified>
</cp:coreProperties>
</file>