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Protección de Datos Personales del </w:t>
      </w:r>
      <w:r w:rsidRPr="005C7F9E">
        <w:rPr>
          <w:rFonts w:ascii="Palatino Linotype" w:eastAsia="Times New Roman" w:hAnsi="Palatino Linotype" w:cs="Arial"/>
          <w:color w:val="000000"/>
          <w:sz w:val="24"/>
          <w:szCs w:val="24"/>
          <w:lang w:eastAsia="es-MX"/>
        </w:rPr>
        <w:t xml:space="preserve">Estado de México y Municipios, con domicilio en Metepec, Estado de México, a </w:t>
      </w:r>
      <w:r w:rsidR="002C6AA7" w:rsidRPr="002C6AA7">
        <w:rPr>
          <w:rFonts w:ascii="Palatino Linotype" w:eastAsia="Times New Roman" w:hAnsi="Palatino Linotype" w:cs="Arial"/>
          <w:color w:val="000000"/>
          <w:sz w:val="24"/>
          <w:szCs w:val="24"/>
          <w:lang w:eastAsia="es-MX"/>
        </w:rPr>
        <w:t>trece de marzo</w:t>
      </w:r>
      <w:r w:rsidR="005C7F9E" w:rsidRPr="002C6AA7">
        <w:rPr>
          <w:rFonts w:ascii="Palatino Linotype" w:eastAsia="Times New Roman" w:hAnsi="Palatino Linotype" w:cs="Arial"/>
          <w:color w:val="000000"/>
          <w:sz w:val="24"/>
          <w:szCs w:val="24"/>
          <w:lang w:eastAsia="es-MX"/>
        </w:rPr>
        <w:t xml:space="preserve"> </w:t>
      </w:r>
      <w:r w:rsidR="00D06CA0" w:rsidRPr="002C6AA7">
        <w:rPr>
          <w:rFonts w:ascii="Palatino Linotype" w:eastAsia="Times New Roman" w:hAnsi="Palatino Linotype" w:cs="Arial"/>
          <w:color w:val="000000"/>
          <w:sz w:val="24"/>
          <w:szCs w:val="24"/>
          <w:lang w:eastAsia="es-MX"/>
        </w:rPr>
        <w:t xml:space="preserve">de </w:t>
      </w:r>
      <w:r w:rsidRPr="002C6AA7">
        <w:rPr>
          <w:rFonts w:ascii="Palatino Linotype" w:eastAsia="Times New Roman" w:hAnsi="Palatino Linotype" w:cs="Arial"/>
          <w:color w:val="000000"/>
          <w:sz w:val="24"/>
          <w:szCs w:val="24"/>
          <w:lang w:eastAsia="es-MX"/>
        </w:rPr>
        <w:t>dos mil dieci</w:t>
      </w:r>
      <w:r w:rsidR="002C6AA7" w:rsidRPr="002C6AA7">
        <w:rPr>
          <w:rFonts w:ascii="Palatino Linotype" w:eastAsia="Times New Roman" w:hAnsi="Palatino Linotype" w:cs="Arial"/>
          <w:color w:val="000000"/>
          <w:sz w:val="24"/>
          <w:szCs w:val="24"/>
          <w:lang w:eastAsia="es-MX"/>
        </w:rPr>
        <w:t>nueve</w:t>
      </w:r>
      <w:r w:rsidRPr="002C6AA7">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37A94">
        <w:rPr>
          <w:rFonts w:ascii="Palatino Linotype" w:hAnsi="Palatino Linotype" w:cs="Arial"/>
          <w:b/>
          <w:bCs/>
          <w:sz w:val="24"/>
          <w:lang w:eastAsia="es-MX"/>
        </w:rPr>
        <w:t>4</w:t>
      </w:r>
      <w:r w:rsidR="00275092">
        <w:rPr>
          <w:rFonts w:ascii="Palatino Linotype" w:hAnsi="Palatino Linotype" w:cs="Arial"/>
          <w:b/>
          <w:bCs/>
          <w:sz w:val="24"/>
          <w:lang w:eastAsia="es-MX"/>
        </w:rPr>
        <w:t>590</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C87B2F">
        <w:rPr>
          <w:rFonts w:ascii="Palatino Linotype" w:hAnsi="Palatino Linotype" w:cs="Arial"/>
          <w:sz w:val="24"/>
          <w:szCs w:val="24"/>
        </w:rPr>
        <w:t>e</w:t>
      </w:r>
      <w:r w:rsidR="00F51E44">
        <w:rPr>
          <w:rFonts w:ascii="Palatino Linotype" w:hAnsi="Palatino Linotype" w:cs="Arial"/>
          <w:sz w:val="24"/>
          <w:szCs w:val="24"/>
        </w:rPr>
        <w:t>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2C6AA7">
        <w:rPr>
          <w:rFonts w:ascii="Palatino Linotype" w:hAnsi="Palatino Linotype" w:cs="Arial"/>
          <w:b/>
          <w:sz w:val="24"/>
          <w:szCs w:val="24"/>
        </w:rPr>
        <w:t>XXXXXXXXXXXXXXXXXXXXXX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5365E8">
        <w:rPr>
          <w:rFonts w:ascii="Palatino Linotype" w:hAnsi="Palatino Linotype" w:cs="Arial"/>
          <w:sz w:val="24"/>
          <w:szCs w:val="24"/>
        </w:rPr>
        <w:t xml:space="preserve"> la</w:t>
      </w:r>
      <w:r w:rsidR="00F847C1">
        <w:rPr>
          <w:rFonts w:ascii="Palatino Linotype" w:hAnsi="Palatino Linotype" w:cs="Arial"/>
          <w:sz w:val="24"/>
          <w:szCs w:val="24"/>
        </w:rPr>
        <w:t xml:space="preserve"> </w:t>
      </w:r>
      <w:r w:rsidR="005365E8" w:rsidRPr="005365E8">
        <w:rPr>
          <w:rFonts w:ascii="Palatino Linotype" w:hAnsi="Palatino Linotype" w:cs="Arial"/>
          <w:b/>
          <w:sz w:val="24"/>
          <w:szCs w:val="24"/>
        </w:rPr>
        <w:t>Secretaría del Medio Ambiente</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315BE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A33D8F">
        <w:rPr>
          <w:rFonts w:ascii="Palatino Linotype" w:hAnsi="Palatino Linotype" w:cs="Arial"/>
          <w:sz w:val="24"/>
        </w:rPr>
        <w:t xml:space="preserve"> </w:t>
      </w:r>
      <w:r w:rsidR="00315BE1">
        <w:rPr>
          <w:rFonts w:ascii="Palatino Linotype" w:hAnsi="Palatino Linotype" w:cs="Arial"/>
          <w:sz w:val="24"/>
        </w:rPr>
        <w:t>veintitrés de noviembre</w:t>
      </w:r>
      <w:r w:rsidR="00A70440">
        <w:rPr>
          <w:rFonts w:ascii="Palatino Linotype" w:hAnsi="Palatino Linotype" w:cs="Arial"/>
          <w:sz w:val="24"/>
        </w:rPr>
        <w:t xml:space="preserve"> </w:t>
      </w:r>
      <w:r w:rsidR="00315BE1">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315BE1" w:rsidRPr="00315BE1">
        <w:rPr>
          <w:rFonts w:ascii="Palatino Linotype" w:hAnsi="Palatino Linotype" w:cs="Arial"/>
          <w:b/>
          <w:sz w:val="24"/>
        </w:rPr>
        <w:t>00447/SMA/IP/2018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315BE1" w:rsidRPr="00315BE1">
        <w:rPr>
          <w:rFonts w:ascii="Palatino Linotype" w:eastAsia="Times New Roman" w:hAnsi="Palatino Linotype" w:cs="Times New Roman"/>
          <w:i/>
          <w:sz w:val="24"/>
          <w:szCs w:val="24"/>
          <w:lang w:val="es-ES_tradnl" w:eastAsia="es-ES"/>
        </w:rPr>
        <w:t xml:space="preserve">Información de si esa Secretaría ha elaborado, emitido y/o publicado los estudios justificativos a los que hace referencia el punto SEGUNDO del Acuerdo del ejecutivo del estado por el que se abroga el diverso para el Manejo, Conservación y Aprovechamiento de las Cimas de Montañas Lomeríos y Cerros </w:t>
      </w:r>
      <w:r w:rsidR="00315BE1" w:rsidRPr="00315BE1">
        <w:rPr>
          <w:rFonts w:ascii="Palatino Linotype" w:eastAsia="Times New Roman" w:hAnsi="Palatino Linotype" w:cs="Times New Roman"/>
          <w:i/>
          <w:sz w:val="24"/>
          <w:szCs w:val="24"/>
          <w:lang w:val="es-ES_tradnl" w:eastAsia="es-ES"/>
        </w:rPr>
        <w:lastRenderedPageBreak/>
        <w:t>del Estado de México, declarados como áreas naturales protegidas publicado en la Gaceta del Gobierno del Estado de México en fecha 27 de agosto de 2009, particularmente los estudios de las siguientes zonas: Zona: Cerro el Ídolo, Cerro Piedra Herrada (21). Zona: Cerro Gordo, Cerro Sacamecate (23). Zona: Pinal del Marquezado (24). Zona: Ixtapa del oro (25). En caso de ser afirmativa la respuesta de esa Secretaría se solicita la fecha de emisión y, en su caso, copia de los estudios respectivos.</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5A7397" w:rsidRDefault="005A7397"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C37A94" w:rsidRDefault="00315BE1" w:rsidP="00C37A94">
      <w:pPr>
        <w:spacing w:before="240" w:line="360" w:lineRule="auto"/>
        <w:jc w:val="both"/>
        <w:rPr>
          <w:rFonts w:ascii="Palatino Linotype" w:hAnsi="Palatino Linotype" w:cs="Arial"/>
          <w:b/>
          <w:sz w:val="28"/>
          <w:szCs w:val="20"/>
        </w:rPr>
      </w:pPr>
      <w:r>
        <w:rPr>
          <w:rFonts w:ascii="Palatino Linotype" w:hAnsi="Palatino Linotype" w:cs="Arial"/>
          <w:b/>
          <w:sz w:val="28"/>
        </w:rPr>
        <w:t>SEGUNDO</w:t>
      </w:r>
      <w:r w:rsidR="00C37A94">
        <w:rPr>
          <w:rFonts w:ascii="Palatino Linotype" w:hAnsi="Palatino Linotype" w:cs="Arial"/>
          <w:b/>
          <w:sz w:val="28"/>
        </w:rPr>
        <w:t xml:space="preserve">. </w:t>
      </w:r>
      <w:r w:rsidR="00C37A94" w:rsidRPr="00165D6E">
        <w:rPr>
          <w:rFonts w:ascii="Palatino Linotype" w:hAnsi="Palatino Linotype" w:cs="Arial"/>
          <w:b/>
          <w:sz w:val="28"/>
          <w:szCs w:val="20"/>
        </w:rPr>
        <w:t>De la</w:t>
      </w:r>
      <w:r w:rsidR="00C37A94">
        <w:rPr>
          <w:rFonts w:ascii="Palatino Linotype" w:hAnsi="Palatino Linotype" w:cs="Arial"/>
          <w:b/>
          <w:sz w:val="28"/>
          <w:szCs w:val="20"/>
        </w:rPr>
        <w:t xml:space="preserve"> respuesta del Sujeto Obligado</w:t>
      </w:r>
      <w:r w:rsidR="00C37A94" w:rsidRPr="00165D6E">
        <w:rPr>
          <w:rFonts w:ascii="Palatino Linotype" w:hAnsi="Palatino Linotype" w:cs="Arial"/>
          <w:b/>
          <w:sz w:val="28"/>
          <w:szCs w:val="20"/>
        </w:rPr>
        <w:t>.</w:t>
      </w:r>
    </w:p>
    <w:p w:rsidR="00C37A94" w:rsidRDefault="00C37A94" w:rsidP="00C37A9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504C1E">
        <w:rPr>
          <w:rFonts w:ascii="Palatino Linotype" w:hAnsi="Palatino Linotype" w:cs="Arial"/>
          <w:sz w:val="24"/>
          <w:szCs w:val="24"/>
        </w:rPr>
        <w:t xml:space="preserve"> </w:t>
      </w:r>
      <w:r w:rsidR="00315BE1">
        <w:rPr>
          <w:rFonts w:ascii="Palatino Linotype" w:hAnsi="Palatino Linotype" w:cs="Arial"/>
          <w:sz w:val="24"/>
          <w:szCs w:val="24"/>
        </w:rPr>
        <w:t>veintitrés</w:t>
      </w:r>
      <w:r w:rsidR="00504C1E">
        <w:rPr>
          <w:rFonts w:ascii="Palatino Linotype" w:hAnsi="Palatino Linotype" w:cs="Arial"/>
          <w:sz w:val="24"/>
          <w:szCs w:val="24"/>
        </w:rPr>
        <w:t xml:space="preserve"> de noviembre </w:t>
      </w:r>
      <w:r>
        <w:rPr>
          <w:rFonts w:ascii="Palatino Linotype" w:hAnsi="Palatino Linotype" w:cs="Arial"/>
          <w:sz w:val="24"/>
          <w:szCs w:val="24"/>
        </w:rPr>
        <w:t xml:space="preserve">de </w:t>
      </w:r>
      <w:r w:rsidRPr="001B05B9">
        <w:rPr>
          <w:rFonts w:ascii="Palatino Linotype" w:hAnsi="Palatino Linotype" w:cs="Arial"/>
          <w:sz w:val="24"/>
          <w:szCs w:val="24"/>
        </w:rPr>
        <w:t>dos mil dieci</w:t>
      </w:r>
      <w:r>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Pr>
          <w:rFonts w:ascii="Palatino Linotype" w:hAnsi="Palatino Linotype" w:cs="Arial"/>
          <w:sz w:val="24"/>
          <w:szCs w:val="24"/>
        </w:rPr>
        <w:t xml:space="preserve"> en síntesis lo siguiente:</w:t>
      </w:r>
    </w:p>
    <w:p w:rsidR="00504C1E" w:rsidRDefault="00504C1E" w:rsidP="00C37A94">
      <w:pPr>
        <w:spacing w:before="240" w:line="360" w:lineRule="auto"/>
        <w:jc w:val="both"/>
        <w:rPr>
          <w:rFonts w:ascii="Palatino Linotype" w:hAnsi="Palatino Linotype" w:cs="Arial"/>
          <w:b/>
          <w:sz w:val="28"/>
          <w:szCs w:val="20"/>
        </w:rPr>
      </w:pPr>
    </w:p>
    <w:p w:rsidR="00C37A94" w:rsidRDefault="00315BE1" w:rsidP="00C37A94">
      <w:pPr>
        <w:spacing w:before="240" w:line="360" w:lineRule="auto"/>
        <w:jc w:val="both"/>
        <w:rPr>
          <w:rFonts w:ascii="Palatino Linotype" w:hAnsi="Palatino Linotype" w:cs="Arial"/>
          <w:i/>
          <w:sz w:val="24"/>
        </w:rPr>
      </w:pPr>
      <w:r w:rsidRPr="00315BE1">
        <w:rPr>
          <w:rFonts w:ascii="Palatino Linotype" w:hAnsi="Palatino Linotype" w:cs="Arial"/>
          <w:i/>
          <w:sz w:val="24"/>
        </w:rPr>
        <w:t xml:space="preserve">“En atención a su solicitud de información ingresada en el Sistema de Información Mexiquense, SAIMEX, y registrada con el folio 00447/SMA/IP/2018, bajo los siguientes términos: “Información de si esa Secretaría ha elaborado, emitido y/o publicado los estudios justificativos a los que hace referencia el punto SEGUNDO del Acuerdo del ejecutivo del estado por el que se abroga el diverso para el Manejo, Conservación y Aprovechamiento de las Cimas de Montañas Lomeríos y Cerros del Estado de México, declarados como áreas naturales protegidas publicado en la Gaceta del Gobierno del Estado de México en fecha 27 de agosto de 2009, particularmente </w:t>
      </w:r>
      <w:r w:rsidRPr="00315BE1">
        <w:rPr>
          <w:rFonts w:ascii="Palatino Linotype" w:hAnsi="Palatino Linotype" w:cs="Arial"/>
          <w:i/>
          <w:sz w:val="24"/>
        </w:rPr>
        <w:lastRenderedPageBreak/>
        <w:t xml:space="preserve">los estudios de las siguientes zonas: Zona: Cerro el Ídolo, Cerro Piedra Herrada (21). Zona: Cerro Gordo, Cerro Sacamecate (23). Zona: Pinal del Marquezado (24). Zona: Ixtapa del oro (25). En caso de ser afirmativa la respuesta de esa Secretaría se solicita la fecha de emisión y, en su caso, copia de los estudios respectivos”; </w:t>
      </w:r>
      <w:r w:rsidRPr="00315BE1">
        <w:rPr>
          <w:rFonts w:ascii="Palatino Linotype" w:hAnsi="Palatino Linotype" w:cs="Arial"/>
          <w:b/>
          <w:i/>
          <w:sz w:val="24"/>
          <w:u w:val="single"/>
        </w:rPr>
        <w:t>con fundamento en el Artículo 167 de la Ley de Transparencia y Acceso a la Información Pública del Estado de México y Municipio, hago de su conocimiento que dicha información es competencia de la Comisión Estatal de Parques Naturales y de la Fauna, CEPANAF, organismo descentralizado de la Secretaría del Medio Ambiente del Gobierno del Estado de México. Por lo que deberá ingresar a través del mismo SAIMEX, su solicitud ante dicha Comisión, la cual funge como sujeto obligado “independiente” en materia de transparencia y acceso a la información pública</w:t>
      </w:r>
      <w:r w:rsidRPr="00315BE1">
        <w:rPr>
          <w:rFonts w:ascii="Palatino Linotype" w:hAnsi="Palatino Linotype" w:cs="Arial"/>
          <w:i/>
          <w:sz w:val="24"/>
        </w:rPr>
        <w:t>. Sin otro particular, reciba un cordial saludo.</w:t>
      </w:r>
    </w:p>
    <w:p w:rsidR="00315BE1" w:rsidRPr="00315BE1" w:rsidRDefault="00315BE1" w:rsidP="00315BE1">
      <w:pPr>
        <w:spacing w:before="240" w:line="360" w:lineRule="auto"/>
        <w:jc w:val="right"/>
        <w:rPr>
          <w:rFonts w:ascii="Palatino Linotype" w:hAnsi="Palatino Linotype" w:cs="Arial"/>
          <w:sz w:val="24"/>
        </w:rPr>
      </w:pPr>
      <w:r>
        <w:rPr>
          <w:rFonts w:ascii="Palatino Linotype" w:hAnsi="Palatino Linotype" w:cs="Arial"/>
          <w:sz w:val="24"/>
        </w:rPr>
        <w:t>(El resaltado es nuestro)</w:t>
      </w:r>
    </w:p>
    <w:p w:rsidR="00397614" w:rsidRDefault="00397614" w:rsidP="00315BE1">
      <w:pPr>
        <w:spacing w:before="240" w:line="360" w:lineRule="auto"/>
        <w:jc w:val="right"/>
        <w:rPr>
          <w:rFonts w:ascii="Palatino Linotype" w:hAnsi="Palatino Linotype" w:cs="Arial"/>
          <w:b/>
          <w:sz w:val="28"/>
        </w:rPr>
      </w:pPr>
    </w:p>
    <w:p w:rsidR="006168E4" w:rsidRDefault="00315BE1"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el sujeto obligado, </w:t>
      </w:r>
      <w:r w:rsidR="007A078B" w:rsidRPr="00ED1711">
        <w:rPr>
          <w:rFonts w:ascii="Palatino Linotype" w:hAnsi="Palatino Linotype" w:cs="Arial"/>
          <w:b/>
          <w:sz w:val="24"/>
          <w:szCs w:val="24"/>
        </w:rPr>
        <w:t>El</w:t>
      </w:r>
      <w:r w:rsidRPr="00ED171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397614">
        <w:rPr>
          <w:rFonts w:ascii="Palatino Linotype" w:hAnsi="Palatino Linotype" w:cs="Arial"/>
          <w:sz w:val="24"/>
          <w:szCs w:val="24"/>
        </w:rPr>
        <w:t xml:space="preserve"> </w:t>
      </w:r>
      <w:r w:rsidR="00315BE1">
        <w:rPr>
          <w:rFonts w:ascii="Palatino Linotype" w:hAnsi="Palatino Linotype" w:cs="Arial"/>
          <w:sz w:val="24"/>
          <w:szCs w:val="24"/>
        </w:rPr>
        <w:t xml:space="preserve">tres de diciembre </w:t>
      </w:r>
      <w:r w:rsidR="00B57CC2">
        <w:rPr>
          <w:rFonts w:ascii="Palatino Linotype" w:hAnsi="Palatino Linotype" w:cs="Arial"/>
          <w:sz w:val="24"/>
          <w:szCs w:val="24"/>
        </w:rPr>
        <w:t xml:space="preserve">de </w:t>
      </w:r>
      <w:r w:rsidRPr="0096643B">
        <w:rPr>
          <w:rFonts w:ascii="Palatino Linotype" w:hAnsi="Palatino Linotype" w:cs="Arial"/>
          <w:sz w:val="24"/>
          <w:szCs w:val="24"/>
        </w:rPr>
        <w:t>dos mil dieci</w:t>
      </w:r>
      <w:r w:rsidR="00176DE1">
        <w:rPr>
          <w:rFonts w:ascii="Palatino Linotype" w:hAnsi="Palatino Linotype" w:cs="Arial"/>
          <w:sz w:val="24"/>
          <w:szCs w:val="24"/>
        </w:rPr>
        <w:t>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5570BA">
        <w:rPr>
          <w:rFonts w:ascii="Palatino Linotype" w:hAnsi="Palatino Linotype" w:cs="Arial"/>
          <w:b/>
          <w:bCs/>
          <w:sz w:val="24"/>
          <w:szCs w:val="24"/>
          <w:lang w:eastAsia="es-MX"/>
        </w:rPr>
        <w:t>4</w:t>
      </w:r>
      <w:r w:rsidR="00315BE1">
        <w:rPr>
          <w:rFonts w:ascii="Palatino Linotype" w:hAnsi="Palatino Linotype" w:cs="Arial"/>
          <w:b/>
          <w:bCs/>
          <w:sz w:val="24"/>
          <w:szCs w:val="24"/>
          <w:lang w:eastAsia="es-MX"/>
        </w:rPr>
        <w:t>590</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lastRenderedPageBreak/>
        <w:t>“</w:t>
      </w:r>
      <w:r w:rsidR="00315BE1" w:rsidRPr="00315BE1">
        <w:rPr>
          <w:rFonts w:ascii="Palatino Linotype" w:hAnsi="Palatino Linotype" w:cs="Arial"/>
          <w:i/>
        </w:rPr>
        <w:t>La respuesta a la solicitud con número de folio 00447/SMA/IP/2018 de fecha 23 de Noviembre de 2018.</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315BE1" w:rsidRPr="00315BE1">
        <w:rPr>
          <w:rFonts w:ascii="Palatino Linotype" w:hAnsi="Palatino Linotype" w:cs="Arial"/>
          <w:i/>
        </w:rPr>
        <w:t xml:space="preserve">La declaración de incompetencia por parte de la autoridad en relación con la solicitud hecha por el hoy recurrente en virtud de que el sujeto obligado alude que la información solicitada es competencia de la Comisión Estatal de Parques Naturales y de la Fauna, CEPANAF, organismo descentralizado de dicha Secretaría, sin embargo, como se puede apreciar del archivo pdf adjunto al presente recurso de revisión es precisamente el Titular del sujeto obligado quién expide los acuerdos donde se ponen a disposición del público diversos estudios justificativos relativos a la obligación prevista en el punto SEGUNDO del Acuerdo del ejecutivo del estado por el que se abroga el diverso para el Manejo, Conservación y Aprovechamiento de las Cimas de Montañas Lomeríos y Cerros del Estado de México, declarados como áreas naturales protegidas publicado en la Gaceta del Gobierno del Estado de México en fecha 27 de agosto de 2009, con fundamento en los artículos 78 DE LA CONSTITUCION POLITICA DEL ESTADO LIBRE Y SOBERANO DE MEXICO Y CON FUNDAMENTO EN LOS ARTICULOS 19 FRACCION XVII Y 32 BIS FRACCION XX DE LA LEY ORGANICA DE LA ADMINISTRACION PCIBLICA DEL ESTADO DE MEXICO; 1.1 FRACCION I; 2.1, 2.2, 2.3 FRACCION I; 2.6 FRACCION II, 2.8 FRACCION X, 2.88, 2.101, 2.102, 2105, 2.106 Y 2.111 DEL CODIGO PARA LA BIODIVERSIDAD DEL ESTADO DE MEXICO; 171, 172, 173, 177, 178 Y 179 DEL REGLAMENTO DEL LIBRO SEGUNDO DEL CODIGO PARA LA BIODIVERSIDAD DEL ESTADO DE MEXICO, disposiciones que le otorgan la facultad al sujeto obligado para publicar </w:t>
      </w:r>
      <w:r w:rsidR="00315BE1" w:rsidRPr="00315BE1">
        <w:rPr>
          <w:rFonts w:ascii="Palatino Linotype" w:hAnsi="Palatino Linotype" w:cs="Arial"/>
          <w:i/>
        </w:rPr>
        <w:lastRenderedPageBreak/>
        <w:t>estos estudios. Por ende, es meridiano que el sujeto obligado es el idóneo para contestar la solicitud del hoy recurrente, ya que precisamente se le pidió que se respondiera si estos mismos estudios se habían emitido o publicado para las zonas de Cerro el Ídolo, Cerro Piedra Herrada (21); Cerro Gordo, Cerro Sacamecate (23); Pinal del Marquezado (24) e Ixtapa del oro (25)., tal cual lo hace en el archivo pdf adjunto para otra zonas diferentes pero referentes al mismo Acuerdo citado líneas arriba, por lo cual si bien los estudios correspondientes estarían en manos de la CEPANAF, lo cierto es que, la publicación de estos estudios es competencia de dicho sujeto obligado, y por lo menos debía responder si estos estudios habían sido emitidos y publicados.</w:t>
      </w:r>
      <w:r w:rsidR="006168E4" w:rsidRPr="00295668">
        <w:rPr>
          <w:rFonts w:ascii="Palatino Linotype" w:hAnsi="Palatino Linotype" w:cs="Arial"/>
          <w:i/>
        </w:rPr>
        <w:t>” [sic]</w:t>
      </w:r>
    </w:p>
    <w:p w:rsidR="002C5CC3" w:rsidRDefault="00397614" w:rsidP="0075091A">
      <w:pPr>
        <w:spacing w:before="240" w:line="360" w:lineRule="auto"/>
        <w:jc w:val="both"/>
        <w:rPr>
          <w:rFonts w:ascii="Palatino Linotype" w:hAnsi="Palatino Linotype"/>
          <w:color w:val="000000"/>
          <w:sz w:val="24"/>
          <w:szCs w:val="24"/>
        </w:rPr>
      </w:pPr>
      <w:r w:rsidRPr="00397614">
        <w:rPr>
          <w:rFonts w:ascii="Palatino Linotype" w:hAnsi="Palatino Linotype"/>
          <w:color w:val="000000"/>
          <w:sz w:val="24"/>
          <w:szCs w:val="24"/>
        </w:rPr>
        <w:t xml:space="preserve">Adjuntando </w:t>
      </w:r>
      <w:r>
        <w:rPr>
          <w:rFonts w:ascii="Palatino Linotype" w:hAnsi="Palatino Linotype"/>
          <w:color w:val="000000"/>
          <w:sz w:val="24"/>
          <w:szCs w:val="24"/>
        </w:rPr>
        <w:t>el archivo denominado “</w:t>
      </w:r>
      <w:r w:rsidR="00315BE1" w:rsidRPr="00315BE1">
        <w:rPr>
          <w:rFonts w:ascii="Palatino Linotype" w:hAnsi="Palatino Linotype"/>
          <w:color w:val="000000"/>
          <w:sz w:val="24"/>
          <w:szCs w:val="24"/>
        </w:rPr>
        <w:t>sep063 (1).PDF</w:t>
      </w:r>
      <w:r>
        <w:rPr>
          <w:rFonts w:ascii="Palatino Linotype" w:hAnsi="Palatino Linotype"/>
          <w:color w:val="000000"/>
          <w:sz w:val="24"/>
          <w:szCs w:val="24"/>
        </w:rPr>
        <w:t xml:space="preserve">” del que se desprende una </w:t>
      </w:r>
      <w:r w:rsidR="00315BE1">
        <w:rPr>
          <w:rFonts w:ascii="Palatino Linotype" w:hAnsi="Palatino Linotype"/>
          <w:color w:val="000000"/>
          <w:sz w:val="24"/>
          <w:szCs w:val="24"/>
        </w:rPr>
        <w:t>Gaceta del Gobierno del Estado de México de fecha seis de septiembre de dos mil trece</w:t>
      </w:r>
      <w:r w:rsidR="003A656C">
        <w:rPr>
          <w:rFonts w:ascii="Palatino Linotype" w:hAnsi="Palatino Linotype"/>
          <w:color w:val="000000"/>
          <w:sz w:val="24"/>
          <w:szCs w:val="24"/>
        </w:rPr>
        <w:t>, documento del que se inserta únicamente la primera hoja</w:t>
      </w:r>
      <w:r w:rsidR="0075091A">
        <w:rPr>
          <w:rFonts w:ascii="Palatino Linotype" w:hAnsi="Palatino Linotype"/>
          <w:color w:val="000000"/>
          <w:sz w:val="24"/>
          <w:szCs w:val="24"/>
        </w:rPr>
        <w:t>.</w:t>
      </w:r>
    </w:p>
    <w:p w:rsidR="0075091A" w:rsidRDefault="00315BE1" w:rsidP="0075091A">
      <w:pPr>
        <w:spacing w:before="24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82816" behindDoc="0" locked="0" layoutInCell="1" allowOverlap="1">
                <wp:simplePos x="0" y="0"/>
                <wp:positionH relativeFrom="column">
                  <wp:posOffset>386715</wp:posOffset>
                </wp:positionH>
                <wp:positionV relativeFrom="paragraph">
                  <wp:posOffset>338455</wp:posOffset>
                </wp:positionV>
                <wp:extent cx="5372100" cy="2990850"/>
                <wp:effectExtent l="0" t="0" r="19050" b="19050"/>
                <wp:wrapNone/>
                <wp:docPr id="17" name="Conector recto 17"/>
                <wp:cNvGraphicFramePr/>
                <a:graphic xmlns:a="http://schemas.openxmlformats.org/drawingml/2006/main">
                  <a:graphicData uri="http://schemas.microsoft.com/office/word/2010/wordprocessingShape">
                    <wps:wsp>
                      <wps:cNvCnPr/>
                      <wps:spPr>
                        <a:xfrm flipV="1">
                          <a:off x="0" y="0"/>
                          <a:ext cx="5372100"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02E05" id="Conector recto 1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0.45pt,26.65pt" to="453.45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" strokecolor="#5b9bd5 [3204]" strokeweight=".5pt">
                <v:stroke joinstyle="miter"/>
              </v:line>
            </w:pict>
          </mc:Fallback>
        </mc:AlternateContent>
      </w:r>
    </w:p>
    <w:p w:rsidR="00315BE1" w:rsidRDefault="00315BE1" w:rsidP="0075091A">
      <w:pPr>
        <w:spacing w:before="240" w:line="360" w:lineRule="auto"/>
        <w:jc w:val="both"/>
        <w:rPr>
          <w:rFonts w:ascii="Palatino Linotype" w:hAnsi="Palatino Linotype"/>
          <w:color w:val="000000"/>
          <w:sz w:val="24"/>
          <w:szCs w:val="24"/>
        </w:rPr>
      </w:pPr>
    </w:p>
    <w:p w:rsidR="0075091A" w:rsidRDefault="00315BE1" w:rsidP="0075091A">
      <w:pPr>
        <w:spacing w:before="240" w:line="360" w:lineRule="auto"/>
        <w:jc w:val="both"/>
        <w:rPr>
          <w:rFonts w:ascii="Palatino Linotype" w:hAnsi="Palatino Linotype"/>
          <w:color w:val="000000"/>
          <w:sz w:val="24"/>
          <w:szCs w:val="24"/>
        </w:rPr>
      </w:pPr>
      <w:r>
        <w:rPr>
          <w:noProof/>
          <w:lang w:eastAsia="es-MX"/>
        </w:rPr>
        <w:lastRenderedPageBreak/>
        <w:drawing>
          <wp:inline distT="0" distB="0" distL="0" distR="0" wp14:anchorId="34726313" wp14:editId="4AA4226B">
            <wp:extent cx="5819775" cy="74533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96" t="5879" r="32705" b="8289"/>
                    <a:stretch/>
                  </pic:blipFill>
                  <pic:spPr bwMode="auto">
                    <a:xfrm>
                      <a:off x="0" y="0"/>
                      <a:ext cx="5823562" cy="7458246"/>
                    </a:xfrm>
                    <a:prstGeom prst="rect">
                      <a:avLst/>
                    </a:prstGeom>
                    <a:ln>
                      <a:noFill/>
                    </a:ln>
                    <a:extLst>
                      <a:ext uri="{53640926-AAD7-44D8-BBD7-CCE9431645EC}">
                        <a14:shadowObscured xmlns:a14="http://schemas.microsoft.com/office/drawing/2010/main"/>
                      </a:ext>
                    </a:extLst>
                  </pic:spPr>
                </pic:pic>
              </a:graphicData>
            </a:graphic>
          </wp:inline>
        </w:drawing>
      </w:r>
    </w:p>
    <w:p w:rsidR="006168E4" w:rsidRDefault="003A656C"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BD450B">
        <w:rPr>
          <w:rFonts w:ascii="Palatino Linotype" w:hAnsi="Palatino Linotype" w:cs="Arial"/>
          <w:sz w:val="24"/>
          <w:szCs w:val="24"/>
        </w:rPr>
        <w:t xml:space="preserve"> </w:t>
      </w:r>
      <w:r w:rsidR="003A656C">
        <w:rPr>
          <w:rFonts w:ascii="Palatino Linotype" w:hAnsi="Palatino Linotype" w:cs="Arial"/>
          <w:sz w:val="24"/>
          <w:szCs w:val="24"/>
        </w:rPr>
        <w:t xml:space="preserve">siete de diciembre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3A656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922885">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99747F">
        <w:rPr>
          <w:rFonts w:ascii="Palatino Linotype" w:hAnsi="Palatino Linotype" w:cs="Arial"/>
          <w:sz w:val="24"/>
          <w:szCs w:val="24"/>
        </w:rPr>
        <w:t xml:space="preserve">se advierte que </w:t>
      </w:r>
      <w:r w:rsidR="00450AB6">
        <w:rPr>
          <w:rFonts w:ascii="Palatino Linotype" w:hAnsi="Palatino Linotype" w:cs="Arial"/>
          <w:sz w:val="24"/>
          <w:szCs w:val="24"/>
        </w:rPr>
        <w:t>tanto el sujeto obligado como el recurrente fueron omisos en presentar manifestaciones</w:t>
      </w:r>
      <w:r w:rsidR="0099747F">
        <w:rPr>
          <w:rFonts w:ascii="Palatino Linotype" w:hAnsi="Palatino Linotype" w:cs="Arial"/>
          <w:sz w:val="24"/>
          <w:szCs w:val="24"/>
        </w:rPr>
        <w:t xml:space="preserve">, por lo que se decretó el </w:t>
      </w:r>
      <w:r w:rsidRPr="00523CF0">
        <w:rPr>
          <w:rFonts w:ascii="Palatino Linotype" w:hAnsi="Palatino Linotype" w:cs="Arial"/>
          <w:sz w:val="24"/>
          <w:szCs w:val="24"/>
        </w:rPr>
        <w:t xml:space="preserve">cierre de la </w:t>
      </w:r>
      <w:r w:rsidR="0099747F">
        <w:rPr>
          <w:rFonts w:ascii="Palatino Linotype" w:hAnsi="Palatino Linotype" w:cs="Arial"/>
          <w:sz w:val="24"/>
          <w:szCs w:val="24"/>
        </w:rPr>
        <w:t xml:space="preserve">instrucción </w:t>
      </w:r>
      <w:r w:rsidRPr="00523CF0">
        <w:rPr>
          <w:rFonts w:ascii="Palatino Linotype" w:hAnsi="Palatino Linotype" w:cs="Arial"/>
          <w:sz w:val="24"/>
          <w:szCs w:val="24"/>
        </w:rPr>
        <w:t xml:space="preserve">en fecha </w:t>
      </w:r>
      <w:r w:rsidR="00922885">
        <w:rPr>
          <w:rFonts w:ascii="Palatino Linotype" w:hAnsi="Palatino Linotype" w:cs="Arial"/>
          <w:sz w:val="24"/>
          <w:szCs w:val="24"/>
        </w:rPr>
        <w:t>dieciocho de enero de</w:t>
      </w:r>
      <w:r w:rsidR="00526244">
        <w:rPr>
          <w:rFonts w:ascii="Palatino Linotype" w:hAnsi="Palatino Linotype" w:cs="Arial"/>
          <w:sz w:val="24"/>
          <w:szCs w:val="24"/>
        </w:rPr>
        <w:t xml:space="preserv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35AD1">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el presente </w:t>
      </w:r>
      <w:r w:rsidRPr="00FA55A4">
        <w:rPr>
          <w:rFonts w:ascii="Palatino Linotype" w:hAnsi="Palatino Linotype" w:cs="Arial"/>
          <w:sz w:val="24"/>
        </w:rPr>
        <w:lastRenderedPageBreak/>
        <w:t>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00D84" w:rsidRDefault="00800D84" w:rsidP="00844569">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526244">
      <w:pPr>
        <w:tabs>
          <w:tab w:val="left" w:pos="709"/>
        </w:tabs>
        <w:spacing w:line="360" w:lineRule="auto"/>
        <w:jc w:val="both"/>
        <w:rPr>
          <w:rFonts w:ascii="Palatino Linotype" w:hAnsi="Palatino Linotype" w:cs="Arial"/>
          <w:sz w:val="24"/>
          <w:szCs w:val="24"/>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390E13">
        <w:rPr>
          <w:rFonts w:ascii="Palatino Linotype" w:hAnsi="Palatino Linotype" w:cs="Arial"/>
          <w:color w:val="000000" w:themeColor="text1"/>
        </w:rPr>
        <w:lastRenderedPageBreak/>
        <w:t xml:space="preserve">Como se enunció en </w:t>
      </w:r>
      <w:r w:rsidRPr="006641B5">
        <w:rPr>
          <w:rFonts w:ascii="Palatino Linotype" w:hAnsi="Palatino Linotype" w:cs="Arial"/>
          <w:color w:val="000000" w:themeColor="text1"/>
        </w:rPr>
        <w:t>los antecedentes de la presente resolución, los requerimientos solicitados fueron los siguientes:</w:t>
      </w:r>
    </w:p>
    <w:p w:rsidR="00836BAC" w:rsidRDefault="00836BAC" w:rsidP="00526244">
      <w:pPr>
        <w:tabs>
          <w:tab w:val="left" w:pos="709"/>
        </w:tabs>
        <w:spacing w:before="240" w:line="360" w:lineRule="auto"/>
        <w:ind w:right="51"/>
        <w:jc w:val="both"/>
        <w:rPr>
          <w:rFonts w:ascii="Palatino Linotype" w:hAnsi="Palatino Linotype" w:cs="Arial"/>
          <w:sz w:val="24"/>
          <w:szCs w:val="24"/>
        </w:rPr>
      </w:pPr>
    </w:p>
    <w:p w:rsidR="001349FA" w:rsidRDefault="001349FA" w:rsidP="001349FA">
      <w:pPr>
        <w:ind w:left="851" w:right="708"/>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“Información de si esa Secretaría ha elaborado, emitido y/o publicado los estudios justificativos a los que hace referencia el punto SEGUNDO del Acuerdo del ejecutivo del estado por el que se abroga el diverso para el Manejo, Conservación y Aprovechamiento de las Cimas de Montañas Lomeríos y Cerros del Estado de México, declarados como áreas naturales protegidas publicado en la Gaceta del Gobierno del Estado de México en fecha 27 de agosto de 2009, particularmente los estudios de las siguientes zonas: Zona: Cerro el Ídolo, Cerro Piedra Herrada (21). Zona: Cerro Gordo, Cerro Sacamecate (23). Zona: Pinal del Marquezado (24). Zona: Ixtapa del oro (25). En caso de ser afirmativa la respuesta de esa Secretaría se solicita la fecha de emisión y, en su caso, copia de los estudios respectivos.”</w:t>
      </w:r>
      <w:r>
        <w:rPr>
          <w:rFonts w:ascii="Palatino Linotype" w:eastAsia="Times New Roman" w:hAnsi="Palatino Linotype" w:cs="Times New Roman"/>
          <w:sz w:val="24"/>
          <w:szCs w:val="24"/>
          <w:lang w:val="es-ES_tradnl" w:eastAsia="es-ES"/>
        </w:rPr>
        <w:t xml:space="preserve"> [Sic]</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49082B" w:rsidRDefault="00D301F6" w:rsidP="00D301F6">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De lo anterior</w:t>
      </w:r>
      <w:r>
        <w:rPr>
          <w:rFonts w:ascii="Palatino Linotype" w:hAnsi="Palatino Linotype" w:cs="Arial"/>
          <w:sz w:val="24"/>
          <w:szCs w:val="24"/>
        </w:rPr>
        <w:t>,</w:t>
      </w:r>
      <w:r w:rsidRPr="00523CF0">
        <w:rPr>
          <w:rFonts w:ascii="Palatino Linotype" w:hAnsi="Palatino Linotype" w:cs="Arial"/>
          <w:sz w:val="24"/>
          <w:szCs w:val="24"/>
        </w:rPr>
        <w:t xml:space="preserve"> </w:t>
      </w:r>
      <w:r w:rsidRPr="008217D2">
        <w:rPr>
          <w:rFonts w:ascii="Palatino Linotype" w:hAnsi="Palatino Linotype" w:cs="Arial"/>
          <w:b/>
          <w:sz w:val="24"/>
          <w:szCs w:val="24"/>
        </w:rPr>
        <w:t>EL SUJETO OBLIGADO</w:t>
      </w:r>
      <w:r>
        <w:rPr>
          <w:rFonts w:ascii="Palatino Linotype" w:hAnsi="Palatino Linotype" w:cs="Arial"/>
          <w:sz w:val="24"/>
          <w:szCs w:val="24"/>
        </w:rPr>
        <w:t xml:space="preserve"> </w:t>
      </w:r>
      <w:r w:rsidR="001349FA">
        <w:rPr>
          <w:rFonts w:ascii="Palatino Linotype" w:hAnsi="Palatino Linotype" w:cs="Arial"/>
          <w:sz w:val="24"/>
          <w:szCs w:val="24"/>
        </w:rPr>
        <w:t>respondió</w:t>
      </w:r>
      <w:r w:rsidR="0049082B">
        <w:rPr>
          <w:rFonts w:ascii="Palatino Linotype" w:hAnsi="Palatino Linotype" w:cs="Arial"/>
          <w:sz w:val="24"/>
          <w:szCs w:val="24"/>
        </w:rPr>
        <w:t>:</w:t>
      </w:r>
    </w:p>
    <w:p w:rsidR="001349FA" w:rsidRDefault="001349FA" w:rsidP="001349FA">
      <w:pPr>
        <w:spacing w:before="240" w:line="360" w:lineRule="auto"/>
        <w:jc w:val="both"/>
        <w:rPr>
          <w:rFonts w:ascii="Palatino Linotype" w:hAnsi="Palatino Linotype" w:cs="Arial"/>
          <w:i/>
          <w:sz w:val="24"/>
        </w:rPr>
      </w:pPr>
      <w:r>
        <w:rPr>
          <w:rFonts w:ascii="Palatino Linotype" w:hAnsi="Palatino Linotype" w:cs="Arial"/>
          <w:i/>
          <w:sz w:val="24"/>
        </w:rPr>
        <w:t xml:space="preserve">“En atención a su solicitud de información ingresada en el Sistema de Información Mexiquense, SAIMEX, y registrada con el folio 00447/SMA/IP/2018, bajo los siguientes términos: “Información de si esa Secretaría ha elaborado, emitido y/o publicado los estudios justificativos a los que hace referencia el punto SEGUNDO del Acuerdo del ejecutivo del estado por el que se abroga el diverso para el Manejo, Conservación y Aprovechamiento de las Cimas de Montañas Lomeríos y Cerros del Estado de México, declarados como áreas naturales protegidas publicado en la Gaceta del Gobierno del Estado de México en fecha 27 de agosto de 2009, particularmente los estudios de las siguientes zonas: Zona: Cerro el Ídolo, Cerro Piedra Herrada (21). Zona: Cerro Gordo, Cerro Sacamecate (23). Zona: Pinal del Marquezado (24). Zona: Ixtapa del oro </w:t>
      </w:r>
      <w:r>
        <w:rPr>
          <w:rFonts w:ascii="Palatino Linotype" w:hAnsi="Palatino Linotype" w:cs="Arial"/>
          <w:i/>
          <w:sz w:val="24"/>
        </w:rPr>
        <w:lastRenderedPageBreak/>
        <w:t xml:space="preserve">(25). En caso de ser afirmativa la respuesta de esa Secretaría se solicita la fecha de emisión y, en su caso, copia de los estudios respectivos”; </w:t>
      </w:r>
      <w:r>
        <w:rPr>
          <w:rFonts w:ascii="Palatino Linotype" w:hAnsi="Palatino Linotype" w:cs="Arial"/>
          <w:b/>
          <w:i/>
          <w:sz w:val="24"/>
          <w:u w:val="single"/>
        </w:rPr>
        <w:t>con fundamento en el Artículo 167 de la Ley de Transparencia y Acceso a la Información Pública del Estado de México y Municipio, hago de su conocimiento que dicha información es competencia de la Comisión Estatal de Parques Naturales y de la Fauna, CEPANAF, organismo descentralizado de la Secretaría del Medio Ambiente del Gobierno del Estado de México. Por lo que deberá ingresar a través del mismo SAIMEX, su solicitud ante dicha Comisión, la cual funge como sujeto obligado “independiente” en materia de transparencia y acceso a la información pública</w:t>
      </w:r>
      <w:r>
        <w:rPr>
          <w:rFonts w:ascii="Palatino Linotype" w:hAnsi="Palatino Linotype" w:cs="Arial"/>
          <w:i/>
          <w:sz w:val="24"/>
        </w:rPr>
        <w:t>. Sin otro particular, reciba un cordial saludo.</w:t>
      </w:r>
    </w:p>
    <w:p w:rsidR="0049082B" w:rsidRDefault="0049082B" w:rsidP="00D301F6">
      <w:pPr>
        <w:spacing w:before="240" w:line="360" w:lineRule="auto"/>
        <w:jc w:val="both"/>
        <w:rPr>
          <w:rFonts w:ascii="Palatino Linotype" w:hAnsi="Palatino Linotype" w:cs="Arial"/>
          <w:sz w:val="24"/>
          <w:szCs w:val="24"/>
        </w:rPr>
      </w:pPr>
    </w:p>
    <w:p w:rsidR="001E5249" w:rsidRPr="00523CF0" w:rsidRDefault="001E5249" w:rsidP="001E5249">
      <w:pPr>
        <w:spacing w:before="240" w:line="360" w:lineRule="auto"/>
        <w:jc w:val="both"/>
        <w:rPr>
          <w:rFonts w:ascii="Palatino Linotype" w:hAnsi="Palatino Linotype" w:cs="Arial"/>
          <w:sz w:val="24"/>
          <w:szCs w:val="24"/>
        </w:rPr>
      </w:pPr>
      <w:r>
        <w:rPr>
          <w:rFonts w:ascii="Palatino Linotype" w:hAnsi="Palatino Linotype" w:cs="Arial"/>
          <w:sz w:val="24"/>
          <w:szCs w:val="24"/>
        </w:rPr>
        <w:t>R</w:t>
      </w:r>
      <w:r w:rsidRPr="00523CF0">
        <w:rPr>
          <w:rFonts w:ascii="Palatino Linotype" w:hAnsi="Palatino Linotype" w:cs="Arial"/>
          <w:sz w:val="24"/>
          <w:szCs w:val="24"/>
        </w:rPr>
        <w:t>espuesta</w:t>
      </w:r>
      <w:r>
        <w:rPr>
          <w:rFonts w:ascii="Palatino Linotype" w:hAnsi="Palatino Linotype" w:cs="Arial"/>
          <w:sz w:val="24"/>
          <w:szCs w:val="24"/>
        </w:rPr>
        <w:t xml:space="preserve"> que el particular considera que le es</w:t>
      </w:r>
      <w:r w:rsidRPr="00523CF0">
        <w:rPr>
          <w:rFonts w:ascii="Palatino Linotype" w:hAnsi="Palatino Linotype" w:cs="Arial"/>
          <w:sz w:val="24"/>
          <w:szCs w:val="24"/>
        </w:rPr>
        <w:t xml:space="preserve"> desfavorable y hace valer las siguientes razones o motivos de inconformidad.</w:t>
      </w:r>
    </w:p>
    <w:p w:rsidR="001E5249" w:rsidRPr="00295668" w:rsidRDefault="001E5249" w:rsidP="001E5249">
      <w:pPr>
        <w:spacing w:line="360" w:lineRule="auto"/>
        <w:ind w:left="851" w:right="851"/>
        <w:jc w:val="both"/>
        <w:rPr>
          <w:rFonts w:ascii="Palatino Linotype" w:hAnsi="Palatino Linotype" w:cs="Arial"/>
          <w:i/>
        </w:rPr>
      </w:pPr>
    </w:p>
    <w:p w:rsidR="001349FA" w:rsidRDefault="001349FA" w:rsidP="001349F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1349FA" w:rsidRDefault="001349FA" w:rsidP="001349FA">
      <w:pPr>
        <w:spacing w:line="360" w:lineRule="auto"/>
        <w:ind w:left="851" w:right="851"/>
        <w:jc w:val="both"/>
        <w:rPr>
          <w:rFonts w:ascii="Palatino Linotype" w:hAnsi="Palatino Linotype" w:cs="Arial"/>
          <w:i/>
        </w:rPr>
      </w:pPr>
      <w:r>
        <w:rPr>
          <w:rFonts w:ascii="Palatino Linotype" w:hAnsi="Palatino Linotype" w:cs="Arial"/>
          <w:i/>
        </w:rPr>
        <w:t xml:space="preserve">“La declaración de incompetencia por parte de la autoridad en relación con la solicitud hecha por el hoy recurrente en virtud de que el sujeto obligado alude que la información solicitada es competencia de la Comisión Estatal de Parques Naturales y de la Fauna, CEPANAF, organismo descentralizado de dicha Secretaría, sin embargo, como se puede apreciar del archivo pdf adjunto al presente recurso de revisión es precisamente el Titular del sujeto obligado quién expide los acuerdos donde se ponen a disposición del público diversos estudios justificativos relativos a la obligación prevista en el punto SEGUNDO del Acuerdo del ejecutivo del estado por el que se abroga el diverso para el Manejo, Conservación y Aprovechamiento de </w:t>
      </w:r>
      <w:r>
        <w:rPr>
          <w:rFonts w:ascii="Palatino Linotype" w:hAnsi="Palatino Linotype" w:cs="Arial"/>
          <w:i/>
        </w:rPr>
        <w:lastRenderedPageBreak/>
        <w:t>las Cimas de Montañas Lomeríos y Cerros del Estado de México, declarados como áreas naturales protegidas publicado en la Gaceta del Gobierno del Estado de México en fecha 27 de agosto de 2009, con fundamento en los artículos 78 DE LA CONSTITUCION POLITICA DEL ESTADO LIBRE Y SOBERANO DE MEXICO Y CON FUNDAMENTO EN LOS ARTICULOS 19 FRACCION XVII Y 32 BIS FRACCION XX DE LA LEY ORGANICA DE LA ADMINISTRACION PCIBLICA DEL ESTADO DE MEXICO; 1.1 FRACCION I; 2.1, 2.2, 2.3 FRACCION I; 2.6 FRACCION II, 2.8 FRACCION X, 2.88, 2.101, 2.102, 2105, 2.106 Y 2.111 DEL CODIGO PARA LA BIODIVERSIDAD DEL ESTADO DE MEXICO; 171, 172, 173, 177, 178 Y 179 DEL REGLAMENTO DEL LIBRO SEGUNDO DEL CODIGO PARA LA BIODIVERSIDAD DEL ESTADO DE MEXICO, disposiciones que le otorgan la facultad al sujeto obligado para publicar estos estudios. Por ende, es meridiano que el sujeto obligado es el idóneo para contestar la solicitud del hoy recurrente, ya que precisamente se le pidió que se respondiera si estos mismos estudios se habían emitido o publicado para las zonas de Cerro el Ídolo, Cerro Piedra Herrada (21); Cerro Gordo, Cerro Sacamecate (23); Pinal del Marquezado (24) e Ixtapa del oro (25)., tal cual lo hace en el archivo pdf adjunto para otra zonas diferentes pero referentes al mismo Acuerdo citado líneas arriba, por lo cual si bien los estudios correspondientes estarían en manos de la CEPANAF, lo cierto es que, la publicación de estos estudios es competencia de dicho sujeto obligado, y por lo menos debía responder si estos estudios habían sido emitidos y publicados.” [sic]</w:t>
      </w:r>
    </w:p>
    <w:p w:rsidR="001E5249" w:rsidRDefault="001E5249" w:rsidP="00526244">
      <w:pPr>
        <w:tabs>
          <w:tab w:val="left" w:pos="709"/>
        </w:tabs>
        <w:spacing w:before="240" w:line="360" w:lineRule="auto"/>
        <w:ind w:right="51"/>
        <w:jc w:val="both"/>
        <w:rPr>
          <w:rFonts w:ascii="Palatino Linotype" w:hAnsi="Palatino Linotype" w:cs="Arial"/>
          <w:sz w:val="24"/>
          <w:szCs w:val="24"/>
        </w:rPr>
      </w:pPr>
    </w:p>
    <w:p w:rsidR="001E5249" w:rsidRDefault="00EA55DA" w:rsidP="00526244">
      <w:pPr>
        <w:tabs>
          <w:tab w:val="left" w:pos="709"/>
        </w:tabs>
        <w:spacing w:before="240" w:line="360" w:lineRule="auto"/>
        <w:ind w:right="51"/>
        <w:jc w:val="both"/>
        <w:rPr>
          <w:rFonts w:ascii="Palatino Linotype" w:hAnsi="Palatino Linotype" w:cs="Arial"/>
          <w:sz w:val="24"/>
          <w:szCs w:val="24"/>
        </w:rPr>
      </w:pPr>
      <w:r w:rsidRPr="00646CAD">
        <w:rPr>
          <w:rFonts w:ascii="Palatino Linotype" w:hAnsi="Palatino Linotype" w:cs="Arial"/>
          <w:sz w:val="24"/>
          <w:szCs w:val="24"/>
        </w:rPr>
        <w:t xml:space="preserve">Como se aprecia de los motivos de inconformidad, se advierte </w:t>
      </w:r>
      <w:r w:rsidR="001349FA" w:rsidRPr="00646CAD">
        <w:rPr>
          <w:rFonts w:ascii="Palatino Linotype" w:hAnsi="Palatino Linotype" w:cs="Arial"/>
          <w:sz w:val="24"/>
          <w:szCs w:val="24"/>
        </w:rPr>
        <w:t>en síntesis</w:t>
      </w:r>
      <w:r w:rsidR="00646CAD">
        <w:rPr>
          <w:rFonts w:ascii="Palatino Linotype" w:hAnsi="Palatino Linotype" w:cs="Arial"/>
          <w:sz w:val="24"/>
          <w:szCs w:val="24"/>
        </w:rPr>
        <w:t>,</w:t>
      </w:r>
      <w:r>
        <w:rPr>
          <w:rFonts w:ascii="Palatino Linotype" w:hAnsi="Palatino Linotype" w:cs="Arial"/>
          <w:sz w:val="24"/>
          <w:szCs w:val="24"/>
        </w:rPr>
        <w:t xml:space="preserve"> el </w:t>
      </w:r>
      <w:r w:rsidR="00646CAD">
        <w:rPr>
          <w:rFonts w:ascii="Palatino Linotype" w:hAnsi="Palatino Linotype" w:cs="Arial"/>
          <w:sz w:val="24"/>
          <w:szCs w:val="24"/>
        </w:rPr>
        <w:t xml:space="preserve">ahora </w:t>
      </w:r>
      <w:r w:rsidR="00646CAD" w:rsidRPr="00ED1711">
        <w:rPr>
          <w:rFonts w:ascii="Palatino Linotype" w:hAnsi="Palatino Linotype" w:cs="Arial"/>
          <w:b/>
          <w:sz w:val="24"/>
          <w:szCs w:val="24"/>
        </w:rPr>
        <w:t>Recurrente</w:t>
      </w:r>
      <w:r>
        <w:rPr>
          <w:rFonts w:ascii="Palatino Linotype" w:hAnsi="Palatino Linotype" w:cs="Arial"/>
          <w:sz w:val="24"/>
          <w:szCs w:val="24"/>
        </w:rPr>
        <w:t xml:space="preserve"> </w:t>
      </w:r>
      <w:r w:rsidR="00646CAD">
        <w:rPr>
          <w:rFonts w:ascii="Palatino Linotype" w:hAnsi="Palatino Linotype" w:cs="Arial"/>
          <w:sz w:val="24"/>
          <w:szCs w:val="24"/>
        </w:rPr>
        <w:t xml:space="preserve">se adolece por la declaratoria de incompetencia por parte del Sujeto </w:t>
      </w:r>
      <w:r w:rsidR="00646CAD">
        <w:rPr>
          <w:rFonts w:ascii="Palatino Linotype" w:hAnsi="Palatino Linotype" w:cs="Arial"/>
          <w:sz w:val="24"/>
          <w:szCs w:val="24"/>
        </w:rPr>
        <w:lastRenderedPageBreak/>
        <w:t>Obligado, asimismo manifiesta</w:t>
      </w:r>
      <w:r>
        <w:rPr>
          <w:rFonts w:ascii="Palatino Linotype" w:hAnsi="Palatino Linotype" w:cs="Arial"/>
          <w:sz w:val="24"/>
          <w:szCs w:val="24"/>
        </w:rPr>
        <w:t xml:space="preserve"> que </w:t>
      </w:r>
      <w:r w:rsidR="00646CAD">
        <w:rPr>
          <w:rFonts w:ascii="Palatino Linotype" w:hAnsi="Palatino Linotype" w:cs="Arial"/>
          <w:sz w:val="24"/>
          <w:szCs w:val="24"/>
        </w:rPr>
        <w:t xml:space="preserve">si bien los estudios referidos en la solicitud de información </w:t>
      </w:r>
      <w:r w:rsidR="00646CAD" w:rsidRPr="00646CAD">
        <w:rPr>
          <w:rFonts w:ascii="Palatino Linotype" w:hAnsi="Palatino Linotype" w:cs="Arial"/>
          <w:sz w:val="24"/>
          <w:szCs w:val="24"/>
        </w:rPr>
        <w:t xml:space="preserve">estarían en manos de la CEPANAF, lo </w:t>
      </w:r>
      <w:r w:rsidR="006641B5">
        <w:rPr>
          <w:rFonts w:ascii="Palatino Linotype" w:hAnsi="Palatino Linotype" w:cs="Arial"/>
          <w:sz w:val="24"/>
          <w:szCs w:val="24"/>
        </w:rPr>
        <w:t>cierto es que, la publicación</w:t>
      </w:r>
      <w:r w:rsidR="00646CAD" w:rsidRPr="00646CAD">
        <w:rPr>
          <w:rFonts w:ascii="Palatino Linotype" w:hAnsi="Palatino Linotype" w:cs="Arial"/>
          <w:sz w:val="24"/>
          <w:szCs w:val="24"/>
        </w:rPr>
        <w:t xml:space="preserve"> </w:t>
      </w:r>
      <w:r w:rsidR="00646CAD">
        <w:rPr>
          <w:rFonts w:ascii="Palatino Linotype" w:hAnsi="Palatino Linotype" w:cs="Arial"/>
          <w:sz w:val="24"/>
          <w:szCs w:val="24"/>
        </w:rPr>
        <w:t>de los mismos</w:t>
      </w:r>
      <w:r w:rsidR="00646CAD" w:rsidRPr="00646CAD">
        <w:rPr>
          <w:rFonts w:ascii="Palatino Linotype" w:hAnsi="Palatino Linotype" w:cs="Arial"/>
          <w:sz w:val="24"/>
          <w:szCs w:val="24"/>
        </w:rPr>
        <w:t xml:space="preserve"> es competencia </w:t>
      </w:r>
      <w:r w:rsidR="00646CAD">
        <w:rPr>
          <w:rFonts w:ascii="Palatino Linotype" w:hAnsi="Palatino Linotype" w:cs="Arial"/>
          <w:sz w:val="24"/>
          <w:szCs w:val="24"/>
        </w:rPr>
        <w:t>de la Secretaría del Medio Ambiente</w:t>
      </w:r>
      <w:r w:rsidR="00646CAD" w:rsidRPr="00646CAD">
        <w:rPr>
          <w:rFonts w:ascii="Palatino Linotype" w:hAnsi="Palatino Linotype" w:cs="Arial"/>
          <w:sz w:val="24"/>
          <w:szCs w:val="24"/>
        </w:rPr>
        <w:t xml:space="preserve">, y </w:t>
      </w:r>
      <w:r w:rsidR="00646CAD">
        <w:rPr>
          <w:rFonts w:ascii="Palatino Linotype" w:hAnsi="Palatino Linotype" w:cs="Arial"/>
          <w:sz w:val="24"/>
          <w:szCs w:val="24"/>
        </w:rPr>
        <w:t>por lo tanto debe</w:t>
      </w:r>
      <w:r w:rsidR="00646CAD" w:rsidRPr="00646CAD">
        <w:rPr>
          <w:rFonts w:ascii="Palatino Linotype" w:hAnsi="Palatino Linotype" w:cs="Arial"/>
          <w:sz w:val="24"/>
          <w:szCs w:val="24"/>
        </w:rPr>
        <w:t xml:space="preserve"> re</w:t>
      </w:r>
      <w:r w:rsidR="00ED1711">
        <w:rPr>
          <w:rFonts w:ascii="Palatino Linotype" w:hAnsi="Palatino Linotype" w:cs="Arial"/>
          <w:sz w:val="24"/>
          <w:szCs w:val="24"/>
        </w:rPr>
        <w:t>sponder si estos estudios han</w:t>
      </w:r>
      <w:r w:rsidR="00646CAD" w:rsidRPr="00646CAD">
        <w:rPr>
          <w:rFonts w:ascii="Palatino Linotype" w:hAnsi="Palatino Linotype" w:cs="Arial"/>
          <w:sz w:val="24"/>
          <w:szCs w:val="24"/>
        </w:rPr>
        <w:t xml:space="preserve"> sido emitidos y publicados</w:t>
      </w:r>
      <w:r w:rsidRPr="00390E13">
        <w:rPr>
          <w:rFonts w:ascii="Palatino Linotype" w:hAnsi="Palatino Linotype" w:cs="Arial"/>
          <w:sz w:val="24"/>
          <w:szCs w:val="24"/>
        </w:rPr>
        <w:t>.</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D90F88" w:rsidRPr="004D6786" w:rsidRDefault="00D90F88" w:rsidP="00D90F88">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Bajo las premisas anteriores, se concluye que en la especie será motivo de análisis si efectivamente, la re</w:t>
      </w:r>
      <w:r w:rsidR="0032155B">
        <w:rPr>
          <w:rFonts w:ascii="Palatino Linotype" w:hAnsi="Palatino Linotype" w:cs="Arial"/>
          <w:sz w:val="24"/>
          <w:szCs w:val="24"/>
        </w:rPr>
        <w:t xml:space="preserve">spuesta otorgada por parte del </w:t>
      </w:r>
      <w:r w:rsidR="0032155B" w:rsidRPr="0032155B">
        <w:rPr>
          <w:rFonts w:ascii="Palatino Linotype" w:hAnsi="Palatino Linotype" w:cs="Arial"/>
          <w:b/>
          <w:sz w:val="24"/>
          <w:szCs w:val="24"/>
        </w:rPr>
        <w:t>Sujeto O</w:t>
      </w:r>
      <w:r w:rsidRPr="0032155B">
        <w:rPr>
          <w:rFonts w:ascii="Palatino Linotype" w:hAnsi="Palatino Linotype" w:cs="Arial"/>
          <w:b/>
          <w:sz w:val="24"/>
          <w:szCs w:val="24"/>
        </w:rPr>
        <w:t>bligado</w:t>
      </w:r>
      <w:r w:rsidRPr="004D6786">
        <w:rPr>
          <w:rFonts w:ascii="Palatino Linotype" w:hAnsi="Palatino Linotype" w:cs="Arial"/>
          <w:sz w:val="24"/>
          <w:szCs w:val="24"/>
        </w:rPr>
        <w:t xml:space="preserve"> satisface los requisitos establecidos por la Ley de la materia.</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EA55DA" w:rsidRPr="009B3996" w:rsidRDefault="00EA55DA" w:rsidP="00EA55DA">
      <w:pPr>
        <w:autoSpaceDE w:val="0"/>
        <w:autoSpaceDN w:val="0"/>
        <w:adjustRightInd w:val="0"/>
        <w:spacing w:before="240" w:after="36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w:t>
      </w:r>
      <w:r w:rsidRPr="009B3996">
        <w:rPr>
          <w:rFonts w:ascii="Palatino Linotype" w:hAnsi="Palatino Linotype" w:cs="Arial"/>
          <w:color w:val="000000"/>
          <w:sz w:val="24"/>
          <w:szCs w:val="24"/>
        </w:rPr>
        <w:t xml:space="preserve">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“Artículo 6</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EA55DA" w:rsidRPr="009B3996" w:rsidRDefault="00EA55DA" w:rsidP="00EA55DA">
      <w:pPr>
        <w:spacing w:after="0" w:line="240" w:lineRule="auto"/>
        <w:ind w:left="567" w:right="708"/>
        <w:jc w:val="both"/>
        <w:rPr>
          <w:rFonts w:ascii="Palatino Linotype" w:hAnsi="Palatino Linotype" w:cs="Arial"/>
          <w:bCs/>
          <w:i/>
          <w:sz w:val="24"/>
          <w:szCs w:val="24"/>
        </w:rPr>
      </w:pPr>
    </w:p>
    <w:p w:rsidR="00EA55DA" w:rsidRPr="009B3996" w:rsidRDefault="00EA55DA" w:rsidP="00EA55DA">
      <w:pPr>
        <w:tabs>
          <w:tab w:val="left" w:pos="709"/>
        </w:tabs>
        <w:spacing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A55DA" w:rsidRPr="009B3996" w:rsidRDefault="00EA55DA" w:rsidP="00EA55DA">
      <w:pPr>
        <w:tabs>
          <w:tab w:val="left" w:pos="709"/>
        </w:tabs>
        <w:spacing w:line="480" w:lineRule="auto"/>
        <w:jc w:val="both"/>
        <w:rPr>
          <w:rFonts w:ascii="Palatino Linotype" w:hAnsi="Palatino Linotype" w:cs="Arial"/>
          <w:sz w:val="24"/>
          <w:szCs w:val="24"/>
        </w:rPr>
      </w:pPr>
    </w:p>
    <w:p w:rsidR="00EA55DA" w:rsidRDefault="00EA55DA" w:rsidP="00EA55D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EA55DA" w:rsidRPr="009B3996" w:rsidRDefault="00EA55DA" w:rsidP="00EA55DA">
      <w:pPr>
        <w:tabs>
          <w:tab w:val="left" w:pos="709"/>
        </w:tabs>
        <w:spacing w:line="360" w:lineRule="auto"/>
        <w:jc w:val="both"/>
        <w:rPr>
          <w:rFonts w:ascii="Palatino Linotype" w:hAnsi="Palatino Linotype" w:cs="Arial"/>
          <w:sz w:val="24"/>
          <w:szCs w:val="24"/>
        </w:rPr>
      </w:pPr>
    </w:p>
    <w:p w:rsidR="00EA55DA" w:rsidRPr="009B3996" w:rsidRDefault="00EA55DA" w:rsidP="0009084B">
      <w:pPr>
        <w:spacing w:after="0" w:line="360" w:lineRule="auto"/>
        <w:ind w:lef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EA55DA" w:rsidRPr="009B3996" w:rsidRDefault="00EA55DA" w:rsidP="0009084B">
      <w:pPr>
        <w:spacing w:after="0" w:line="360" w:lineRule="auto"/>
        <w:ind w:left="567"/>
        <w:jc w:val="both"/>
        <w:rPr>
          <w:rFonts w:ascii="Palatino Linotype" w:hAnsi="Palatino Linotype" w:cs="Arial"/>
          <w:i/>
          <w:sz w:val="24"/>
          <w:szCs w:val="24"/>
        </w:rPr>
      </w:pPr>
      <w:r w:rsidRPr="009B3996">
        <w:rPr>
          <w:rFonts w:ascii="Palatino Linotype" w:hAnsi="Palatino Linotype" w:cs="Arial"/>
          <w:i/>
          <w:sz w:val="24"/>
          <w:szCs w:val="24"/>
        </w:rPr>
        <w:t>…</w:t>
      </w:r>
    </w:p>
    <w:p w:rsidR="00EA55DA" w:rsidRPr="009B3996" w:rsidRDefault="00EA55DA" w:rsidP="0009084B">
      <w:pPr>
        <w:spacing w:after="0" w:line="36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5DA" w:rsidRPr="009B3996" w:rsidRDefault="00EA55DA" w:rsidP="0009084B">
      <w:pPr>
        <w:autoSpaceDE w:val="0"/>
        <w:autoSpaceDN w:val="0"/>
        <w:adjustRightInd w:val="0"/>
        <w:spacing w:after="0" w:line="36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9B3996" w:rsidRDefault="00EA55DA" w:rsidP="0009084B">
      <w:pPr>
        <w:spacing w:after="0" w:line="36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EA55DA" w:rsidRPr="009B3996" w:rsidRDefault="00EA55DA" w:rsidP="0009084B">
      <w:pPr>
        <w:spacing w:after="0" w:line="360" w:lineRule="auto"/>
        <w:ind w:left="567" w:right="708"/>
        <w:jc w:val="both"/>
        <w:rPr>
          <w:rFonts w:ascii="Palatino Linotype" w:hAnsi="Palatino Linotype" w:cs="Arial"/>
          <w:i/>
          <w:sz w:val="24"/>
          <w:szCs w:val="24"/>
        </w:rPr>
      </w:pPr>
    </w:p>
    <w:p w:rsidR="00EA55DA" w:rsidRPr="007C58CA" w:rsidRDefault="00EA55DA" w:rsidP="0009084B">
      <w:pPr>
        <w:spacing w:after="0" w:line="360" w:lineRule="auto"/>
        <w:ind w:left="567" w:right="708"/>
        <w:jc w:val="both"/>
        <w:rPr>
          <w:rFonts w:ascii="Palatino Linotype" w:hAnsi="Palatino Linotype" w:cs="Arial"/>
          <w:i/>
          <w:sz w:val="24"/>
          <w:szCs w:val="24"/>
          <w:u w:val="single"/>
        </w:rPr>
      </w:pPr>
      <w:r w:rsidRPr="005473DC">
        <w:rPr>
          <w:rFonts w:ascii="Palatino Linotype" w:hAnsi="Palatino Linotype" w:cs="Arial"/>
          <w:b/>
          <w:i/>
          <w:sz w:val="24"/>
          <w:szCs w:val="24"/>
          <w:u w:val="single"/>
        </w:rPr>
        <w:t xml:space="preserve">Los sujetos obligados sólo proporcionarán la información pública que se les requiera y que obre en sus archivos y en el estado en que ésta se </w:t>
      </w:r>
      <w:r w:rsidRPr="005473DC">
        <w:rPr>
          <w:rFonts w:ascii="Palatino Linotype" w:hAnsi="Palatino Linotype" w:cs="Arial"/>
          <w:b/>
          <w:i/>
          <w:sz w:val="24"/>
          <w:szCs w:val="24"/>
          <w:u w:val="single"/>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EA55DA" w:rsidRDefault="00EA55DA" w:rsidP="00EA55DA">
      <w:pPr>
        <w:spacing w:after="0" w:line="480" w:lineRule="auto"/>
        <w:jc w:val="right"/>
        <w:rPr>
          <w:rFonts w:ascii="Palatino Linotype" w:hAnsi="Palatino Linotype" w:cs="Arial"/>
          <w:sz w:val="24"/>
          <w:szCs w:val="24"/>
        </w:rPr>
      </w:pPr>
    </w:p>
    <w:p w:rsidR="00EA55DA" w:rsidRPr="005355FA" w:rsidRDefault="00EA55DA" w:rsidP="00EA55DA">
      <w:pPr>
        <w:spacing w:after="0" w:line="480" w:lineRule="auto"/>
        <w:jc w:val="right"/>
        <w:rPr>
          <w:rFonts w:ascii="Palatino Linotype" w:hAnsi="Palatino Linotype" w:cs="Arial"/>
          <w:sz w:val="24"/>
          <w:szCs w:val="24"/>
        </w:rPr>
      </w:pPr>
      <w:r w:rsidRPr="005355FA">
        <w:rPr>
          <w:rFonts w:ascii="Palatino Linotype" w:hAnsi="Palatino Linotype" w:cs="Arial"/>
          <w:sz w:val="24"/>
          <w:szCs w:val="24"/>
        </w:rPr>
        <w:t>[Énfasis añadido]</w:t>
      </w:r>
    </w:p>
    <w:p w:rsidR="00EA55DA" w:rsidRDefault="00EA55DA" w:rsidP="00EA55DA">
      <w:pPr>
        <w:spacing w:before="240" w:after="24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r>
        <w:rPr>
          <w:rFonts w:ascii="Palatino Linotype" w:hAnsi="Palatino Linotype" w:cs="Arial"/>
          <w:sz w:val="24"/>
          <w:szCs w:val="24"/>
        </w:rPr>
        <w:t>; que los sujetos obligados proporcionarán únicamente la información pública que se les requiera y en el estado que se encuentre y que, no se encuentran obligados a presentarla de conformidad con el interés del solicitante</w:t>
      </w:r>
      <w:r w:rsidRPr="005355FA">
        <w:rPr>
          <w:rFonts w:ascii="Palatino Linotype" w:hAnsi="Palatino Linotype" w:cs="Arial"/>
          <w:sz w:val="24"/>
          <w:szCs w:val="24"/>
        </w:rPr>
        <w:t>.</w:t>
      </w:r>
    </w:p>
    <w:p w:rsidR="00EA55DA" w:rsidRDefault="00EA55DA" w:rsidP="00EA55DA">
      <w:pPr>
        <w:tabs>
          <w:tab w:val="left" w:pos="709"/>
        </w:tabs>
        <w:spacing w:before="240" w:line="360" w:lineRule="auto"/>
        <w:ind w:right="51"/>
        <w:jc w:val="both"/>
        <w:rPr>
          <w:rFonts w:ascii="Palatino Linotype" w:hAnsi="Palatino Linotype" w:cs="Arial"/>
          <w:sz w:val="24"/>
          <w:szCs w:val="24"/>
        </w:rPr>
      </w:pPr>
    </w:p>
    <w:p w:rsidR="00CA30AC" w:rsidRPr="00713D8F" w:rsidRDefault="00CA30AC" w:rsidP="00CA30AC">
      <w:pPr>
        <w:tabs>
          <w:tab w:val="left" w:pos="709"/>
        </w:tabs>
        <w:spacing w:line="360" w:lineRule="auto"/>
        <w:jc w:val="both"/>
        <w:rPr>
          <w:rFonts w:ascii="Palatino Linotype" w:hAnsi="Palatino Linotype" w:cs="Arial"/>
          <w:sz w:val="24"/>
          <w:szCs w:val="24"/>
        </w:rPr>
      </w:pPr>
      <w:r w:rsidRPr="00713D8F">
        <w:rPr>
          <w:rFonts w:ascii="Palatino Linotype" w:hAnsi="Palatino Linotype" w:cs="Arial"/>
          <w:sz w:val="24"/>
          <w:szCs w:val="24"/>
        </w:rPr>
        <w:t>Es menester señalar que la Ley de Transparencia y Acceso a la Información Pública del Estado de México y Municipios establece la imperativa a que todo sujeto obligado deberá documentar todo acto que derive del ejercicio de sus facultades, competencias o funciones como se desprende del arábigo 18 de la citada ley que a la letra señala:</w:t>
      </w:r>
    </w:p>
    <w:p w:rsidR="00CA30AC" w:rsidRPr="00713D8F" w:rsidRDefault="00CA30AC" w:rsidP="00CA30AC">
      <w:pPr>
        <w:spacing w:before="240" w:after="240" w:line="360" w:lineRule="auto"/>
        <w:ind w:left="851" w:right="1275"/>
        <w:jc w:val="both"/>
        <w:rPr>
          <w:rFonts w:ascii="Palatino Linotype" w:hAnsi="Palatino Linotype" w:cs="Arial"/>
          <w:i/>
          <w:color w:val="000000" w:themeColor="text1"/>
        </w:rPr>
      </w:pPr>
      <w:r w:rsidRPr="00713D8F">
        <w:rPr>
          <w:rFonts w:ascii="Palatino Linotype" w:hAnsi="Palatino Linotype" w:cs="Arial"/>
          <w:i/>
          <w:color w:val="000000" w:themeColor="text1"/>
          <w:sz w:val="24"/>
          <w:szCs w:val="24"/>
        </w:rPr>
        <w:t>“</w:t>
      </w:r>
      <w:r w:rsidRPr="00713D8F">
        <w:rPr>
          <w:rFonts w:ascii="Palatino Linotype" w:hAnsi="Palatino Linotype" w:cs="Arial"/>
          <w:b/>
          <w:i/>
          <w:color w:val="000000" w:themeColor="text1"/>
          <w:sz w:val="24"/>
          <w:szCs w:val="24"/>
          <w:u w:val="single"/>
        </w:rPr>
        <w:t>Artículo 18.</w:t>
      </w:r>
      <w:r w:rsidRPr="00713D8F">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w:t>
      </w:r>
      <w:r w:rsidRPr="00713D8F">
        <w:rPr>
          <w:rFonts w:ascii="Palatino Linotype" w:hAnsi="Palatino Linotype" w:cs="Arial"/>
          <w:i/>
          <w:color w:val="000000" w:themeColor="text1"/>
          <w:sz w:val="24"/>
          <w:szCs w:val="24"/>
          <w:u w:val="single"/>
        </w:rPr>
        <w:lastRenderedPageBreak/>
        <w:t>considerando desde su origen la eventual publicidad y reutilización de la información que generen</w:t>
      </w:r>
      <w:r w:rsidRPr="00713D8F">
        <w:rPr>
          <w:rFonts w:ascii="Palatino Linotype" w:hAnsi="Palatino Linotype" w:cs="Arial"/>
          <w:i/>
          <w:color w:val="000000" w:themeColor="text1"/>
          <w:u w:val="single"/>
        </w:rPr>
        <w:t>.</w:t>
      </w:r>
      <w:r w:rsidRPr="005A0A08">
        <w:rPr>
          <w:rFonts w:ascii="Palatino Linotype" w:hAnsi="Palatino Linotype" w:cs="Arial"/>
          <w:i/>
          <w:color w:val="000000" w:themeColor="text1"/>
        </w:rPr>
        <w:t xml:space="preserve"> </w:t>
      </w:r>
      <w:r>
        <w:rPr>
          <w:rFonts w:ascii="Palatino Linotype" w:hAnsi="Palatino Linotype" w:cs="Arial"/>
          <w:i/>
          <w:color w:val="000000" w:themeColor="text1"/>
        </w:rPr>
        <w:t xml:space="preserve">  </w:t>
      </w:r>
      <w:r w:rsidRPr="005A0A08">
        <w:rPr>
          <w:rFonts w:ascii="Palatino Linotype" w:hAnsi="Palatino Linotype" w:cs="Arial"/>
          <w:i/>
          <w:color w:val="000000" w:themeColor="text1"/>
        </w:rPr>
        <w:t>(Sic)</w:t>
      </w:r>
    </w:p>
    <w:p w:rsidR="00CA30AC" w:rsidRPr="00713D8F" w:rsidRDefault="00CA30AC" w:rsidP="00CA30AC">
      <w:pPr>
        <w:tabs>
          <w:tab w:val="left" w:pos="709"/>
        </w:tabs>
        <w:spacing w:line="360" w:lineRule="auto"/>
        <w:jc w:val="both"/>
        <w:rPr>
          <w:rFonts w:ascii="Palatino Linotype" w:hAnsi="Palatino Linotype" w:cs="Arial"/>
          <w:sz w:val="24"/>
          <w:szCs w:val="24"/>
        </w:rPr>
      </w:pPr>
    </w:p>
    <w:p w:rsidR="00CA30AC" w:rsidRPr="00713D8F" w:rsidRDefault="00CA30AC" w:rsidP="00CA30AC">
      <w:pPr>
        <w:tabs>
          <w:tab w:val="left" w:pos="709"/>
        </w:tabs>
        <w:spacing w:line="360" w:lineRule="auto"/>
        <w:jc w:val="both"/>
        <w:rPr>
          <w:rFonts w:ascii="Palatino Linotype" w:hAnsi="Palatino Linotype"/>
          <w:sz w:val="24"/>
          <w:szCs w:val="24"/>
          <w:lang w:val="es-ES_tradnl"/>
        </w:rPr>
      </w:pPr>
      <w:r w:rsidRPr="00713D8F">
        <w:rPr>
          <w:rFonts w:ascii="Palatino Linotype" w:hAnsi="Palatino Linotype" w:cs="Arial"/>
          <w:sz w:val="24"/>
          <w:szCs w:val="24"/>
        </w:rPr>
        <w:t xml:space="preserve">Luego entonces, resulta inconcuso que del numeral en cita se arriba a la determinación de que en el presente asunto se actualiza el </w:t>
      </w:r>
      <w:r w:rsidRPr="00713D8F">
        <w:rPr>
          <w:rFonts w:ascii="Palatino Linotype" w:hAnsi="Palatino Linotype"/>
          <w:sz w:val="24"/>
          <w:szCs w:val="24"/>
          <w:lang w:val="es-ES_tradnl"/>
        </w:rPr>
        <w:t>principio de presunción de existencia y principio de documentar, conforme a lo establecido en los numerales 18 y 19 de la ley local en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CA30AC" w:rsidRPr="00713D8F" w:rsidRDefault="00CA30AC" w:rsidP="00CA30AC">
      <w:pPr>
        <w:tabs>
          <w:tab w:val="left" w:pos="709"/>
        </w:tabs>
        <w:spacing w:line="360" w:lineRule="auto"/>
        <w:jc w:val="both"/>
        <w:rPr>
          <w:rFonts w:ascii="Palatino Linotype" w:hAnsi="Palatino Linotype"/>
          <w:sz w:val="24"/>
          <w:szCs w:val="24"/>
          <w:lang w:val="es-ES_tradnl"/>
        </w:rPr>
      </w:pPr>
    </w:p>
    <w:p w:rsidR="00CA30AC" w:rsidRPr="00713D8F" w:rsidRDefault="00CA30AC" w:rsidP="00CA30AC">
      <w:pPr>
        <w:spacing w:before="240" w:after="240" w:line="276" w:lineRule="auto"/>
        <w:ind w:left="851" w:right="850"/>
        <w:jc w:val="both"/>
        <w:rPr>
          <w:rFonts w:ascii="Palatino Linotype" w:hAnsi="Palatino Linotype" w:cs="Arial"/>
          <w:i/>
          <w:color w:val="000000" w:themeColor="text1"/>
          <w:sz w:val="24"/>
          <w:szCs w:val="24"/>
          <w:u w:val="single"/>
        </w:rPr>
      </w:pPr>
      <w:r w:rsidRPr="00713D8F">
        <w:rPr>
          <w:rFonts w:ascii="Palatino Linotype" w:hAnsi="Palatino Linotype" w:cs="Arial"/>
          <w:i/>
          <w:color w:val="000000" w:themeColor="text1"/>
          <w:sz w:val="24"/>
          <w:szCs w:val="24"/>
        </w:rPr>
        <w:t>“</w:t>
      </w:r>
      <w:r w:rsidRPr="00713D8F">
        <w:rPr>
          <w:rFonts w:ascii="Palatino Linotype" w:hAnsi="Palatino Linotype" w:cs="Arial"/>
          <w:b/>
          <w:i/>
          <w:color w:val="000000" w:themeColor="text1"/>
          <w:sz w:val="24"/>
          <w:szCs w:val="24"/>
          <w:u w:val="single"/>
        </w:rPr>
        <w:t>Artículo 19.</w:t>
      </w:r>
      <w:r w:rsidRPr="00713D8F">
        <w:rPr>
          <w:rFonts w:ascii="Palatino Linotype" w:hAnsi="Palatino Linotype" w:cs="Arial"/>
          <w:i/>
          <w:color w:val="000000" w:themeColor="text1"/>
          <w:sz w:val="24"/>
          <w:szCs w:val="24"/>
          <w:u w:val="single"/>
        </w:rPr>
        <w:t xml:space="preserve"> Se presume que la información debe existir si se refiere a las facultades, competencias y funciones que los ordenamientos jurídicos aplicables otorgan a los sujetos obligados.</w:t>
      </w:r>
    </w:p>
    <w:p w:rsidR="00CA30AC" w:rsidRPr="00713D8F" w:rsidRDefault="00CA30AC" w:rsidP="00CA30AC">
      <w:pPr>
        <w:spacing w:before="240" w:after="240" w:line="276" w:lineRule="auto"/>
        <w:ind w:left="851" w:right="850"/>
        <w:jc w:val="both"/>
        <w:rPr>
          <w:rFonts w:ascii="Palatino Linotype" w:hAnsi="Palatino Linotype" w:cs="Arial"/>
          <w:i/>
          <w:color w:val="000000" w:themeColor="text1"/>
          <w:sz w:val="24"/>
          <w:szCs w:val="24"/>
        </w:rPr>
      </w:pPr>
      <w:r w:rsidRPr="00713D8F">
        <w:rPr>
          <w:rFonts w:ascii="Palatino Linotype" w:hAnsi="Palatino Linotype" w:cs="Arial"/>
          <w:i/>
          <w:color w:val="000000" w:themeColor="text1"/>
          <w:sz w:val="24"/>
          <w:szCs w:val="24"/>
        </w:rPr>
        <w:t>En los casos en que ciertas facultades, competencias o funciones no se hayan ejercido, se debe motivar la respuesta en función de las causas que motiven tal circunstancia.</w:t>
      </w:r>
    </w:p>
    <w:p w:rsidR="00CA30AC" w:rsidRPr="00713D8F" w:rsidRDefault="00CA30AC" w:rsidP="00CA30AC">
      <w:pPr>
        <w:spacing w:before="240" w:after="0" w:line="276" w:lineRule="auto"/>
        <w:ind w:left="851" w:right="851"/>
        <w:jc w:val="both"/>
        <w:rPr>
          <w:rFonts w:ascii="Palatino Linotype" w:hAnsi="Palatino Linotype" w:cs="Arial"/>
          <w:i/>
          <w:color w:val="000000" w:themeColor="text1"/>
          <w:sz w:val="24"/>
          <w:szCs w:val="24"/>
        </w:rPr>
      </w:pPr>
      <w:r w:rsidRPr="00713D8F">
        <w:rPr>
          <w:rFonts w:ascii="Palatino Linotype" w:hAnsi="Palatino Linotype" w:cs="Arial"/>
          <w:i/>
          <w:color w:val="000000" w:themeColor="text1"/>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(Sic)</w:t>
      </w:r>
    </w:p>
    <w:p w:rsidR="00CA30AC" w:rsidRPr="00713D8F" w:rsidRDefault="00CA30AC" w:rsidP="00CA30AC">
      <w:pPr>
        <w:spacing w:before="240" w:line="360" w:lineRule="auto"/>
        <w:jc w:val="both"/>
        <w:rPr>
          <w:rFonts w:ascii="Palatino Linotype" w:hAnsi="Palatino Linotype" w:cs="Arial"/>
          <w:sz w:val="24"/>
          <w:szCs w:val="24"/>
        </w:rPr>
      </w:pPr>
    </w:p>
    <w:p w:rsidR="00CA30AC" w:rsidRDefault="00CA30AC" w:rsidP="00CA30AC">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Ahora bien, a efecto de determinar si efectivamente lo solicitado por el particular se encuentra dentro de sus facultades, competencias y/o funciones del sujeto obligado, este Órgano Resolutor deberá analizar cuál</w:t>
      </w:r>
      <w:r w:rsidR="0032155B">
        <w:rPr>
          <w:rFonts w:ascii="Palatino Linotype" w:hAnsi="Palatino Linotype" w:cs="Arial"/>
          <w:sz w:val="24"/>
          <w:szCs w:val="24"/>
        </w:rPr>
        <w:t xml:space="preserve"> es o cuales son las áreas del </w:t>
      </w:r>
      <w:r w:rsidR="0032155B" w:rsidRPr="0032155B">
        <w:rPr>
          <w:rFonts w:ascii="Palatino Linotype" w:hAnsi="Palatino Linotype" w:cs="Arial"/>
          <w:b/>
          <w:sz w:val="24"/>
          <w:szCs w:val="24"/>
        </w:rPr>
        <w:t>Sujeto O</w:t>
      </w:r>
      <w:r w:rsidRPr="0032155B">
        <w:rPr>
          <w:rFonts w:ascii="Palatino Linotype" w:hAnsi="Palatino Linotype" w:cs="Arial"/>
          <w:b/>
          <w:sz w:val="24"/>
          <w:szCs w:val="24"/>
        </w:rPr>
        <w:t>bligado</w:t>
      </w:r>
      <w:r>
        <w:rPr>
          <w:rFonts w:ascii="Palatino Linotype" w:hAnsi="Palatino Linotype" w:cs="Arial"/>
          <w:sz w:val="24"/>
          <w:szCs w:val="24"/>
        </w:rPr>
        <w:t xml:space="preserve"> que podrían contener o generar la in</w:t>
      </w:r>
      <w:r w:rsidR="0032155B">
        <w:rPr>
          <w:rFonts w:ascii="Palatino Linotype" w:hAnsi="Palatino Linotype" w:cs="Arial"/>
          <w:sz w:val="24"/>
          <w:szCs w:val="24"/>
        </w:rPr>
        <w:t xml:space="preserve">formación que desea conocer </w:t>
      </w:r>
      <w:r w:rsidR="0032155B" w:rsidRPr="0032155B">
        <w:rPr>
          <w:rFonts w:ascii="Palatino Linotype" w:hAnsi="Palatino Linotype" w:cs="Arial"/>
          <w:b/>
          <w:sz w:val="24"/>
          <w:szCs w:val="24"/>
        </w:rPr>
        <w:t>E</w:t>
      </w:r>
      <w:r w:rsidR="0032155B">
        <w:rPr>
          <w:rFonts w:ascii="Palatino Linotype" w:hAnsi="Palatino Linotype" w:cs="Arial"/>
          <w:b/>
          <w:sz w:val="24"/>
          <w:szCs w:val="24"/>
        </w:rPr>
        <w:t>l R</w:t>
      </w:r>
      <w:r w:rsidRPr="0032155B">
        <w:rPr>
          <w:rFonts w:ascii="Palatino Linotype" w:hAnsi="Palatino Linotype" w:cs="Arial"/>
          <w:b/>
          <w:sz w:val="24"/>
          <w:szCs w:val="24"/>
        </w:rPr>
        <w:t>ecurrente</w:t>
      </w:r>
      <w:r>
        <w:rPr>
          <w:rFonts w:ascii="Palatino Linotype" w:hAnsi="Palatino Linotype" w:cs="Arial"/>
          <w:sz w:val="24"/>
          <w:szCs w:val="24"/>
        </w:rPr>
        <w:t>, como se verá en las líneas subsecuentes.</w:t>
      </w:r>
    </w:p>
    <w:p w:rsidR="00CA30AC" w:rsidRDefault="00CA30AC" w:rsidP="00EA55DA">
      <w:pPr>
        <w:tabs>
          <w:tab w:val="left" w:pos="709"/>
        </w:tabs>
        <w:spacing w:before="240" w:line="360" w:lineRule="auto"/>
        <w:ind w:right="51"/>
        <w:jc w:val="both"/>
        <w:rPr>
          <w:rFonts w:ascii="Palatino Linotype" w:hAnsi="Palatino Linotype" w:cs="Arial"/>
          <w:sz w:val="24"/>
          <w:szCs w:val="24"/>
        </w:rPr>
      </w:pPr>
    </w:p>
    <w:p w:rsidR="002B0AB6" w:rsidRPr="004D6786" w:rsidRDefault="00CA30AC" w:rsidP="002B0AB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D</w:t>
      </w:r>
      <w:r w:rsidR="002B0AB6" w:rsidRPr="004D6786">
        <w:rPr>
          <w:rFonts w:ascii="Palatino Linotype" w:hAnsi="Palatino Linotype" w:cs="Arial"/>
          <w:sz w:val="24"/>
          <w:szCs w:val="24"/>
        </w:rPr>
        <w:t xml:space="preserve">e la solicitud primigenia se advierte que lo que </w:t>
      </w:r>
      <w:r>
        <w:rPr>
          <w:rFonts w:ascii="Palatino Linotype" w:hAnsi="Palatino Linotype" w:cs="Arial"/>
          <w:sz w:val="24"/>
          <w:szCs w:val="24"/>
        </w:rPr>
        <w:t>e</w:t>
      </w:r>
      <w:r w:rsidR="002B0AB6" w:rsidRPr="004D6786">
        <w:rPr>
          <w:rFonts w:ascii="Palatino Linotype" w:hAnsi="Palatino Linotype" w:cs="Arial"/>
          <w:sz w:val="24"/>
          <w:szCs w:val="24"/>
        </w:rPr>
        <w:t>l particular desea conocer es, a manera de desglose, lo siguiente.</w:t>
      </w:r>
    </w:p>
    <w:p w:rsidR="002B0AB6" w:rsidRDefault="00A42C78" w:rsidP="00A42C78">
      <w:pPr>
        <w:pStyle w:val="Prrafodelista"/>
        <w:numPr>
          <w:ilvl w:val="0"/>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 xml:space="preserve">Los estudios </w:t>
      </w:r>
      <w:r w:rsidRPr="00A42C78">
        <w:rPr>
          <w:rFonts w:ascii="Palatino Linotype" w:hAnsi="Palatino Linotype" w:cs="Arial"/>
          <w:b/>
        </w:rPr>
        <w:t>técnicos justificativos para la emisión de las declaratorias como áreas naturales protegidas</w:t>
      </w:r>
      <w:r w:rsidR="00A64FC9">
        <w:rPr>
          <w:rFonts w:ascii="Palatino Linotype" w:hAnsi="Palatino Linotype" w:cs="Arial"/>
          <w:b/>
        </w:rPr>
        <w:t>, así como la fecha de emisión</w:t>
      </w:r>
      <w:r>
        <w:rPr>
          <w:rFonts w:ascii="Palatino Linotype" w:hAnsi="Palatino Linotype" w:cs="Arial"/>
          <w:b/>
        </w:rPr>
        <w:t xml:space="preserve"> de las zonas siguientes:</w:t>
      </w:r>
    </w:p>
    <w:p w:rsidR="00A42C78" w:rsidRDefault="00A42C78" w:rsidP="00A42C78">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Cerro el Ídolo</w:t>
      </w:r>
      <w:r w:rsidR="00A64FC9">
        <w:rPr>
          <w:rFonts w:ascii="Palatino Linotype" w:hAnsi="Palatino Linotype" w:cs="Arial"/>
          <w:b/>
        </w:rPr>
        <w:t>.</w:t>
      </w:r>
    </w:p>
    <w:p w:rsidR="00A42C78" w:rsidRDefault="00A42C78" w:rsidP="00A42C78">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Cerro Piedra Herrada</w:t>
      </w:r>
      <w:r w:rsidR="00A64FC9">
        <w:rPr>
          <w:rFonts w:ascii="Palatino Linotype" w:hAnsi="Palatino Linotype" w:cs="Arial"/>
          <w:b/>
        </w:rPr>
        <w:t>.</w:t>
      </w:r>
    </w:p>
    <w:p w:rsidR="00A42C78" w:rsidRDefault="00A64FC9" w:rsidP="00A42C78">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Cerro Gordo.</w:t>
      </w:r>
    </w:p>
    <w:p w:rsidR="00A64FC9" w:rsidRDefault="00A64FC9" w:rsidP="00A42C78">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Cerro Sacamecate.</w:t>
      </w:r>
    </w:p>
    <w:p w:rsidR="00A64FC9" w:rsidRDefault="00A64FC9" w:rsidP="00A42C78">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Pinal de Marquezado.</w:t>
      </w:r>
    </w:p>
    <w:p w:rsidR="00A64FC9" w:rsidRPr="00A64FC9" w:rsidRDefault="00A64FC9" w:rsidP="00A64FC9">
      <w:pPr>
        <w:pStyle w:val="Prrafodelista"/>
        <w:numPr>
          <w:ilvl w:val="1"/>
          <w:numId w:val="10"/>
        </w:numPr>
        <w:tabs>
          <w:tab w:val="left" w:pos="709"/>
        </w:tabs>
        <w:spacing w:before="240" w:line="360" w:lineRule="auto"/>
        <w:ind w:right="51"/>
        <w:jc w:val="both"/>
        <w:rPr>
          <w:rFonts w:ascii="Palatino Linotype" w:hAnsi="Palatino Linotype" w:cs="Arial"/>
          <w:b/>
        </w:rPr>
      </w:pPr>
      <w:r>
        <w:rPr>
          <w:rFonts w:ascii="Palatino Linotype" w:hAnsi="Palatino Linotype" w:cs="Arial"/>
          <w:b/>
        </w:rPr>
        <w:t>Ixtapa del Oro.</w:t>
      </w:r>
    </w:p>
    <w:p w:rsidR="002B0AB6" w:rsidRDefault="002B0AB6" w:rsidP="00EA55DA">
      <w:pPr>
        <w:tabs>
          <w:tab w:val="left" w:pos="709"/>
        </w:tabs>
        <w:spacing w:before="240" w:line="360" w:lineRule="auto"/>
        <w:ind w:right="51"/>
        <w:jc w:val="both"/>
        <w:rPr>
          <w:rFonts w:ascii="Palatino Linotype" w:hAnsi="Palatino Linotype" w:cs="Arial"/>
          <w:sz w:val="24"/>
          <w:szCs w:val="24"/>
        </w:rPr>
      </w:pPr>
    </w:p>
    <w:p w:rsidR="002B0AB6" w:rsidRDefault="0032155B" w:rsidP="00EA55D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ese sentido, </w:t>
      </w:r>
      <w:r w:rsidRPr="0032155B">
        <w:rPr>
          <w:rFonts w:ascii="Palatino Linotype" w:hAnsi="Palatino Linotype" w:cs="Arial"/>
          <w:b/>
          <w:sz w:val="24"/>
          <w:szCs w:val="24"/>
        </w:rPr>
        <w:t>El Sujeto O</w:t>
      </w:r>
      <w:r w:rsidR="002B0AB6" w:rsidRPr="0032155B">
        <w:rPr>
          <w:rFonts w:ascii="Palatino Linotype" w:hAnsi="Palatino Linotype" w:cs="Arial"/>
          <w:b/>
          <w:sz w:val="24"/>
          <w:szCs w:val="24"/>
        </w:rPr>
        <w:t>bligado</w:t>
      </w:r>
      <w:r w:rsidR="002B0AB6">
        <w:rPr>
          <w:rFonts w:ascii="Palatino Linotype" w:hAnsi="Palatino Linotype" w:cs="Arial"/>
          <w:sz w:val="24"/>
          <w:szCs w:val="24"/>
        </w:rPr>
        <w:t xml:space="preserve"> </w:t>
      </w:r>
      <w:r w:rsidR="00F937CC">
        <w:rPr>
          <w:rFonts w:ascii="Palatino Linotype" w:hAnsi="Palatino Linotype" w:cs="Arial"/>
          <w:sz w:val="24"/>
          <w:szCs w:val="24"/>
        </w:rPr>
        <w:t xml:space="preserve">refirió en su respuesta primigenia </w:t>
      </w:r>
      <w:r w:rsidR="00F937CC" w:rsidRPr="00F937CC">
        <w:rPr>
          <w:rFonts w:ascii="Palatino Linotype" w:hAnsi="Palatino Linotype" w:cs="Arial"/>
          <w:sz w:val="24"/>
          <w:szCs w:val="24"/>
        </w:rPr>
        <w:t>que dicha información es competencia de la Comisión Estatal de Parques Naturales y de la Fauna, CEPANAF, organismo descentralizado de la Secretaría del Medio Ambiente del Gobierno del Estado de México. Por lo que deberá ingresar a través del mismo SAIMEX, su solicitud ante dicha Comisión, la cual funge como sujeto obligado “independiente” en materia de transparencia y acceso a la información pública</w:t>
      </w:r>
      <w:r w:rsidR="002B0AB6">
        <w:rPr>
          <w:rFonts w:ascii="Palatino Linotype" w:hAnsi="Palatino Linotype" w:cs="Arial"/>
          <w:sz w:val="24"/>
          <w:szCs w:val="24"/>
        </w:rPr>
        <w:t>.</w:t>
      </w:r>
    </w:p>
    <w:p w:rsidR="002B0AB6" w:rsidRDefault="002B0AB6" w:rsidP="00EA55DA">
      <w:pPr>
        <w:tabs>
          <w:tab w:val="left" w:pos="709"/>
        </w:tabs>
        <w:spacing w:before="240" w:line="360" w:lineRule="auto"/>
        <w:ind w:right="51"/>
        <w:jc w:val="both"/>
        <w:rPr>
          <w:rFonts w:ascii="Palatino Linotype" w:hAnsi="Palatino Linotype" w:cs="Arial"/>
          <w:sz w:val="24"/>
          <w:szCs w:val="24"/>
        </w:rPr>
      </w:pPr>
    </w:p>
    <w:p w:rsidR="00EA55DA" w:rsidRPr="0006149A" w:rsidRDefault="00D0744B" w:rsidP="00EA55D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ese orden de ideas,</w:t>
      </w:r>
      <w:r w:rsidR="00EA55DA" w:rsidRPr="0006149A">
        <w:rPr>
          <w:rFonts w:ascii="Palatino Linotype" w:hAnsi="Palatino Linotype" w:cs="Arial"/>
        </w:rPr>
        <w:t xml:space="preserve"> se desprenden elementos necesarios para que los Sujetos Obligados den acceso a la información pública como son:</w:t>
      </w: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06149A">
        <w:rPr>
          <w:rFonts w:ascii="Palatino Linotype" w:hAnsi="Palatino Linotype" w:cs="Arial"/>
        </w:rPr>
        <w:t xml:space="preserve">Deberán proporcionar información que </w:t>
      </w:r>
      <w:r w:rsidRPr="00AA08FA">
        <w:rPr>
          <w:rFonts w:ascii="Palatino Linotype" w:hAnsi="Palatino Linotype" w:cs="Arial"/>
          <w:b/>
        </w:rPr>
        <w:t>se les requiera</w:t>
      </w:r>
      <w:r w:rsidRPr="0006149A">
        <w:rPr>
          <w:rFonts w:ascii="Palatino Linotype" w:hAnsi="Palatino Linotype" w:cs="Arial"/>
        </w:rPr>
        <w:t xml:space="preserve"> </w:t>
      </w:r>
      <w:r w:rsidRPr="00AA08FA">
        <w:rPr>
          <w:rFonts w:ascii="Palatino Linotype" w:hAnsi="Palatino Linotype" w:cs="Arial"/>
        </w:rPr>
        <w:t xml:space="preserve">y </w:t>
      </w:r>
      <w:r w:rsidRPr="00D0744B">
        <w:rPr>
          <w:rFonts w:ascii="Palatino Linotype" w:hAnsi="Palatino Linotype" w:cs="Arial"/>
          <w:b/>
        </w:rPr>
        <w:t>obre en sus archivos</w:t>
      </w:r>
      <w:r w:rsidRPr="0006149A">
        <w:rPr>
          <w:rFonts w:ascii="Palatino Linotype" w:hAnsi="Palatino Linotype" w:cs="Arial"/>
        </w:rPr>
        <w:t>.</w:t>
      </w: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Deberán documentar todo acto </w:t>
      </w:r>
      <w:r w:rsidRPr="0006149A">
        <w:rPr>
          <w:rFonts w:ascii="Palatino Linotype" w:hAnsi="Palatino Linotype" w:cs="Arial"/>
          <w:b/>
        </w:rPr>
        <w:t>siempre y cuando derive de sus facultades, competencias o funciones.</w:t>
      </w:r>
    </w:p>
    <w:p w:rsidR="00EA55DA" w:rsidRPr="0006149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Proporcionar a información pública que </w:t>
      </w:r>
      <w:r w:rsidRPr="0006149A">
        <w:rPr>
          <w:rFonts w:ascii="Palatino Linotype" w:hAnsi="Palatino Linotype" w:cs="Arial"/>
          <w:b/>
        </w:rPr>
        <w:t>generen, administren o posean en el ejercicio de sus atribuciones.</w:t>
      </w: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6C6F05" w:rsidRDefault="006C6F05" w:rsidP="006C6F05">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Tal y como se observa de los requerimientos del particular, las referidas excepciones se actualizan, toda vez que la información solicitada </w:t>
      </w:r>
      <w:r w:rsidR="003C39E8">
        <w:rPr>
          <w:rFonts w:ascii="Palatino Linotype" w:hAnsi="Palatino Linotype" w:cs="Arial"/>
        </w:rPr>
        <w:t xml:space="preserve">pudiera </w:t>
      </w:r>
      <w:r w:rsidRPr="005C39AD">
        <w:rPr>
          <w:rFonts w:ascii="Palatino Linotype" w:hAnsi="Palatino Linotype" w:cs="Arial"/>
        </w:rPr>
        <w:t>obra</w:t>
      </w:r>
      <w:r w:rsidR="003C39E8">
        <w:rPr>
          <w:rFonts w:ascii="Palatino Linotype" w:hAnsi="Palatino Linotype" w:cs="Arial"/>
        </w:rPr>
        <w:t>r</w:t>
      </w:r>
      <w:r w:rsidRPr="005C39AD">
        <w:rPr>
          <w:rFonts w:ascii="Palatino Linotype" w:hAnsi="Palatino Linotype" w:cs="Arial"/>
        </w:rPr>
        <w:t xml:space="preserve"> en los archivos del sujeto obligado </w:t>
      </w:r>
      <w:r w:rsidR="00D0744B">
        <w:rPr>
          <w:rFonts w:ascii="Palatino Linotype" w:hAnsi="Palatino Linotype" w:cs="Arial"/>
        </w:rPr>
        <w:t>por los argumentos que a continuación se exponen</w:t>
      </w:r>
      <w:r w:rsidRPr="005C39AD">
        <w:rPr>
          <w:rFonts w:ascii="Palatino Linotype" w:hAnsi="Palatino Linotype" w:cs="Arial"/>
        </w:rPr>
        <w:t>.</w:t>
      </w:r>
    </w:p>
    <w:p w:rsidR="00F937CC" w:rsidRDefault="00F937CC" w:rsidP="006C6F05">
      <w:pPr>
        <w:pStyle w:val="Prrafodelista"/>
        <w:autoSpaceDE w:val="0"/>
        <w:autoSpaceDN w:val="0"/>
        <w:adjustRightInd w:val="0"/>
        <w:spacing w:before="240" w:after="160" w:line="360" w:lineRule="auto"/>
        <w:ind w:left="0"/>
        <w:jc w:val="both"/>
        <w:rPr>
          <w:rFonts w:ascii="Palatino Linotype" w:hAnsi="Palatino Linotype" w:cs="Arial"/>
        </w:rPr>
      </w:pP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BB1FE3" w:rsidRDefault="00BB1FE3" w:rsidP="00BB1FE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La </w:t>
      </w:r>
      <w:r w:rsidR="00662949">
        <w:rPr>
          <w:rFonts w:ascii="Palatino Linotype" w:hAnsi="Palatino Linotype" w:cs="Arial"/>
          <w:sz w:val="24"/>
          <w:szCs w:val="24"/>
        </w:rPr>
        <w:t>Ley Orgánica de l</w:t>
      </w:r>
      <w:r w:rsidR="00662949" w:rsidRPr="00662949">
        <w:rPr>
          <w:rFonts w:ascii="Palatino Linotype" w:hAnsi="Palatino Linotype" w:cs="Arial"/>
          <w:sz w:val="24"/>
          <w:szCs w:val="24"/>
        </w:rPr>
        <w:t xml:space="preserve">a </w:t>
      </w:r>
      <w:r w:rsidR="00662949">
        <w:rPr>
          <w:rFonts w:ascii="Palatino Linotype" w:hAnsi="Palatino Linotype" w:cs="Arial"/>
          <w:sz w:val="24"/>
          <w:szCs w:val="24"/>
        </w:rPr>
        <w:t>Administración Pública d</w:t>
      </w:r>
      <w:r w:rsidR="00662949" w:rsidRPr="00662949">
        <w:rPr>
          <w:rFonts w:ascii="Palatino Linotype" w:hAnsi="Palatino Linotype" w:cs="Arial"/>
          <w:sz w:val="24"/>
          <w:szCs w:val="24"/>
        </w:rPr>
        <w:t>el Estado De México</w:t>
      </w:r>
      <w:r>
        <w:rPr>
          <w:rFonts w:ascii="Palatino Linotype" w:hAnsi="Palatino Linotype" w:cs="Arial"/>
          <w:sz w:val="24"/>
          <w:szCs w:val="24"/>
        </w:rPr>
        <w:t>, establece en su artículo 3</w:t>
      </w:r>
      <w:r w:rsidR="00662949">
        <w:rPr>
          <w:rFonts w:ascii="Palatino Linotype" w:hAnsi="Palatino Linotype" w:cs="Arial"/>
          <w:sz w:val="24"/>
          <w:szCs w:val="24"/>
        </w:rPr>
        <w:t>2 bis fracción XX</w:t>
      </w:r>
      <w:r w:rsidR="0032155B">
        <w:rPr>
          <w:rFonts w:ascii="Palatino Linotype" w:hAnsi="Palatino Linotype" w:cs="Arial"/>
          <w:sz w:val="24"/>
          <w:szCs w:val="24"/>
        </w:rPr>
        <w:t xml:space="preserve"> lo siguiente:</w:t>
      </w:r>
    </w:p>
    <w:p w:rsidR="00662949" w:rsidRPr="00662949" w:rsidRDefault="00BB1FE3" w:rsidP="00662949">
      <w:pPr>
        <w:tabs>
          <w:tab w:val="left" w:pos="709"/>
        </w:tabs>
        <w:spacing w:before="240" w:line="240" w:lineRule="auto"/>
        <w:ind w:left="851" w:right="850"/>
        <w:jc w:val="both"/>
        <w:rPr>
          <w:rFonts w:ascii="Palatino Linotype" w:hAnsi="Palatino Linotype" w:cs="Arial"/>
          <w:i/>
          <w:szCs w:val="24"/>
        </w:rPr>
      </w:pPr>
      <w:r w:rsidRPr="00662949">
        <w:rPr>
          <w:rFonts w:ascii="Palatino Linotype" w:hAnsi="Palatino Linotype" w:cs="Arial"/>
          <w:i/>
          <w:szCs w:val="24"/>
        </w:rPr>
        <w:t>“</w:t>
      </w:r>
      <w:r w:rsidR="00662949" w:rsidRPr="00662949">
        <w:rPr>
          <w:rFonts w:ascii="Palatino Linotype" w:hAnsi="Palatino Linotype" w:cs="Arial"/>
          <w:b/>
          <w:i/>
          <w:szCs w:val="24"/>
        </w:rPr>
        <w:t>Artículo 32 Bis.</w:t>
      </w:r>
      <w:r w:rsidR="00662949" w:rsidRPr="00662949">
        <w:rPr>
          <w:rFonts w:ascii="Palatino Linotype" w:hAnsi="Palatino Linotype" w:cs="Arial"/>
          <w:i/>
          <w:szCs w:val="24"/>
        </w:rPr>
        <w:t xml:space="preserve">- La Secretaría del Medio Ambiente, es el órgano encargado de la formulación, ejecución y evaluación de la política estatal en materia de conservación ecológica, biodiversidad y protección al medio ambiente para el desarrollo sostenible. </w:t>
      </w:r>
    </w:p>
    <w:p w:rsidR="00662949" w:rsidRPr="00662949" w:rsidRDefault="00662949" w:rsidP="0002141B">
      <w:pPr>
        <w:tabs>
          <w:tab w:val="left" w:pos="709"/>
        </w:tabs>
        <w:spacing w:before="240" w:line="240" w:lineRule="auto"/>
        <w:ind w:left="851" w:right="850"/>
        <w:jc w:val="both"/>
        <w:rPr>
          <w:rFonts w:ascii="Palatino Linotype" w:hAnsi="Palatino Linotype" w:cs="Arial"/>
          <w:i/>
          <w:szCs w:val="24"/>
        </w:rPr>
      </w:pPr>
      <w:r w:rsidRPr="00662949">
        <w:rPr>
          <w:rFonts w:ascii="Palatino Linotype" w:hAnsi="Palatino Linotype" w:cs="Arial"/>
          <w:i/>
          <w:szCs w:val="24"/>
        </w:rPr>
        <w:t>A esta Secretaría</w:t>
      </w:r>
      <w:r w:rsidR="0002141B">
        <w:rPr>
          <w:rFonts w:ascii="Palatino Linotype" w:hAnsi="Palatino Linotype" w:cs="Arial"/>
          <w:i/>
          <w:szCs w:val="24"/>
        </w:rPr>
        <w:t xml:space="preserve"> </w:t>
      </w:r>
      <w:r w:rsidRPr="00662949">
        <w:rPr>
          <w:rFonts w:ascii="Palatino Linotype" w:hAnsi="Palatino Linotype" w:cs="Arial"/>
          <w:i/>
          <w:szCs w:val="24"/>
        </w:rPr>
        <w:t>le corresponde el despacho de los siguientes asuntos:</w:t>
      </w:r>
    </w:p>
    <w:p w:rsidR="00BB1FE3" w:rsidRPr="00662949" w:rsidRDefault="00662949" w:rsidP="00662949">
      <w:pPr>
        <w:tabs>
          <w:tab w:val="left" w:pos="709"/>
        </w:tabs>
        <w:spacing w:before="240" w:line="240" w:lineRule="auto"/>
        <w:ind w:left="851" w:right="850"/>
        <w:jc w:val="both"/>
        <w:rPr>
          <w:rFonts w:ascii="Palatino Linotype" w:hAnsi="Palatino Linotype" w:cs="Arial"/>
          <w:i/>
          <w:szCs w:val="24"/>
        </w:rPr>
      </w:pPr>
      <w:r w:rsidRPr="00662949">
        <w:rPr>
          <w:rFonts w:ascii="Palatino Linotype" w:hAnsi="Palatino Linotype" w:cs="Arial"/>
          <w:b/>
          <w:i/>
          <w:szCs w:val="24"/>
        </w:rPr>
        <w:t>XX.</w:t>
      </w:r>
      <w:r w:rsidRPr="00662949">
        <w:rPr>
          <w:rFonts w:ascii="Palatino Linotype" w:hAnsi="Palatino Linotype" w:cs="Arial"/>
          <w:i/>
          <w:szCs w:val="24"/>
        </w:rPr>
        <w:t xml:space="preserve"> Declarar las áreas naturales protegidas de interés Estatal.</w:t>
      </w:r>
      <w:r w:rsidR="00BB1FE3" w:rsidRPr="00662949">
        <w:rPr>
          <w:rFonts w:ascii="Palatino Linotype" w:hAnsi="Palatino Linotype" w:cs="Arial"/>
          <w:i/>
          <w:szCs w:val="24"/>
        </w:rPr>
        <w:t>”</w:t>
      </w:r>
      <w:r w:rsidR="00BB1FE3" w:rsidRPr="00662949">
        <w:rPr>
          <w:rFonts w:ascii="Palatino Linotype" w:hAnsi="Palatino Linotype" w:cs="Arial"/>
          <w:i/>
          <w:szCs w:val="24"/>
        </w:rPr>
        <w:cr/>
      </w:r>
    </w:p>
    <w:p w:rsidR="00DA2940" w:rsidRDefault="00DA2940" w:rsidP="005262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Robustece lo antes expuesto, lo establecido en el </w:t>
      </w:r>
      <w:r w:rsidRPr="00DA2940">
        <w:rPr>
          <w:rFonts w:ascii="Palatino Linotype" w:hAnsi="Palatino Linotype" w:cs="Arial"/>
          <w:sz w:val="24"/>
          <w:szCs w:val="24"/>
        </w:rPr>
        <w:t>Código para la Biodiversidad del Estado de México</w:t>
      </w:r>
      <w:r>
        <w:rPr>
          <w:rFonts w:ascii="Palatino Linotype" w:hAnsi="Palatino Linotype" w:cs="Arial"/>
          <w:sz w:val="24"/>
          <w:szCs w:val="24"/>
        </w:rPr>
        <w:t>, el cual establece lo siguiente:</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b/>
          <w:i/>
        </w:rPr>
        <w:t>Artículo 2.88</w:t>
      </w:r>
      <w:r w:rsidRPr="004A70BD">
        <w:rPr>
          <w:rFonts w:ascii="Palatino Linotype" w:hAnsi="Palatino Linotype" w:cs="Arial"/>
          <w:i/>
        </w:rPr>
        <w:t xml:space="preserve">. Se consideran áreas naturales protegidas: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I. Las reservas estatales;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II. Los parques estatales;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III. Los parques urbanos;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IV. Los parques municipales;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V. Las reservas naturales privadas o comunitarias;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VI. Los paisajes protegidos;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VII. Las zonas de preservación ecológica de los centros de población;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 xml:space="preserve">VIII. Los santuarios del agua; y </w:t>
      </w:r>
    </w:p>
    <w:p w:rsidR="00DA2940" w:rsidRPr="004A70BD"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i/>
        </w:rPr>
        <w:t>IX. Las que determinen otras disposiciones aplicables.</w:t>
      </w:r>
    </w:p>
    <w:p w:rsidR="00DA2940" w:rsidRDefault="00DA2940" w:rsidP="00DA2940">
      <w:pPr>
        <w:tabs>
          <w:tab w:val="left" w:pos="709"/>
        </w:tabs>
        <w:spacing w:before="240" w:line="240" w:lineRule="auto"/>
        <w:ind w:left="851" w:right="851"/>
        <w:jc w:val="both"/>
        <w:rPr>
          <w:rFonts w:ascii="Palatino Linotype" w:hAnsi="Palatino Linotype" w:cs="Arial"/>
          <w:i/>
        </w:rPr>
      </w:pPr>
      <w:r w:rsidRPr="004A70BD">
        <w:rPr>
          <w:rFonts w:ascii="Palatino Linotype" w:hAnsi="Palatino Linotype" w:cs="Arial"/>
          <w:b/>
          <w:i/>
        </w:rPr>
        <w:t>Artículo 2.101</w:t>
      </w:r>
      <w:r w:rsidRPr="004A70BD">
        <w:rPr>
          <w:rFonts w:ascii="Palatino Linotype" w:hAnsi="Palatino Linotype" w:cs="Arial"/>
          <w:i/>
        </w:rPr>
        <w:t xml:space="preserve">. Las áreas naturales protegidas de competencia estatal se establecerán mediante declaratoria expedida por el Gobernador del Estado conforme al presente Libro y a las demás disposiciones aplicables según proceda, </w:t>
      </w:r>
      <w:r w:rsidRPr="00B362B1">
        <w:rPr>
          <w:rFonts w:ascii="Palatino Linotype" w:hAnsi="Palatino Linotype" w:cs="Arial"/>
          <w:b/>
          <w:i/>
        </w:rPr>
        <w:t>previo estudio técnico que se elabore en los términos que emita la Secretaría</w:t>
      </w:r>
      <w:r w:rsidRPr="004A70BD">
        <w:rPr>
          <w:rFonts w:ascii="Palatino Linotype" w:hAnsi="Palatino Linotype" w:cs="Arial"/>
          <w:i/>
        </w:rPr>
        <w:t xml:space="preserve">, la que </w:t>
      </w:r>
      <w:r w:rsidRPr="004A70BD">
        <w:rPr>
          <w:rFonts w:ascii="Palatino Linotype" w:hAnsi="Palatino Linotype" w:cs="Arial"/>
          <w:i/>
        </w:rPr>
        <w:lastRenderedPageBreak/>
        <w:t>coordinará dicho estudio con la participación de los Ayuntamientos que corresponda, las dependencias federales y estatales competentes y con sectores público y social.</w:t>
      </w:r>
    </w:p>
    <w:p w:rsidR="004A70BD" w:rsidRPr="00DA2940" w:rsidRDefault="004A70BD" w:rsidP="00DA2940">
      <w:pPr>
        <w:tabs>
          <w:tab w:val="left" w:pos="709"/>
        </w:tabs>
        <w:spacing w:before="240" w:line="240" w:lineRule="auto"/>
        <w:ind w:left="851" w:right="851"/>
        <w:jc w:val="both"/>
        <w:rPr>
          <w:rFonts w:ascii="Palatino Linotype" w:hAnsi="Palatino Linotype" w:cs="Arial"/>
          <w:i/>
          <w:sz w:val="24"/>
          <w:szCs w:val="24"/>
        </w:rPr>
      </w:pPr>
    </w:p>
    <w:p w:rsidR="00884BA0" w:rsidRDefault="00BB1FE3" w:rsidP="005262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otra parte, </w:t>
      </w:r>
      <w:r w:rsidR="0002141B">
        <w:rPr>
          <w:rFonts w:ascii="Palatino Linotype" w:hAnsi="Palatino Linotype" w:cs="Arial"/>
          <w:sz w:val="24"/>
          <w:szCs w:val="24"/>
        </w:rPr>
        <w:t>Reglamento del Libro Segundo del Código para la Biodiversidad del Estado d</w:t>
      </w:r>
      <w:r w:rsidR="0002141B" w:rsidRPr="0002141B">
        <w:rPr>
          <w:rFonts w:ascii="Palatino Linotype" w:hAnsi="Palatino Linotype" w:cs="Arial"/>
          <w:sz w:val="24"/>
          <w:szCs w:val="24"/>
        </w:rPr>
        <w:t>e México</w:t>
      </w:r>
      <w:r w:rsidR="003378CE">
        <w:rPr>
          <w:rFonts w:ascii="Palatino Linotype" w:hAnsi="Palatino Linotype" w:cs="Arial"/>
          <w:sz w:val="24"/>
          <w:szCs w:val="24"/>
        </w:rPr>
        <w:t xml:space="preserve">, </w:t>
      </w:r>
      <w:r>
        <w:rPr>
          <w:rFonts w:ascii="Palatino Linotype" w:hAnsi="Palatino Linotype" w:cs="Arial"/>
          <w:sz w:val="24"/>
          <w:szCs w:val="24"/>
        </w:rPr>
        <w:t>contiene</w:t>
      </w:r>
      <w:r w:rsidR="003378CE">
        <w:rPr>
          <w:rFonts w:ascii="Palatino Linotype" w:hAnsi="Palatino Linotype" w:cs="Arial"/>
          <w:sz w:val="24"/>
          <w:szCs w:val="24"/>
        </w:rPr>
        <w:t xml:space="preserve"> </w:t>
      </w:r>
      <w:r w:rsidR="00884BA0">
        <w:rPr>
          <w:rFonts w:ascii="Palatino Linotype" w:hAnsi="Palatino Linotype" w:cs="Arial"/>
          <w:sz w:val="24"/>
          <w:szCs w:val="24"/>
        </w:rPr>
        <w:t>lo siguiente:</w:t>
      </w:r>
    </w:p>
    <w:p w:rsidR="00884BA0" w:rsidRPr="0002141B" w:rsidRDefault="0002141B" w:rsidP="0002141B">
      <w:pPr>
        <w:tabs>
          <w:tab w:val="left" w:pos="709"/>
        </w:tabs>
        <w:spacing w:before="240" w:line="240" w:lineRule="auto"/>
        <w:ind w:left="851" w:right="851"/>
        <w:jc w:val="both"/>
        <w:rPr>
          <w:rFonts w:ascii="Palatino Linotype" w:hAnsi="Palatino Linotype" w:cs="Arial"/>
          <w:i/>
          <w:szCs w:val="24"/>
        </w:rPr>
      </w:pPr>
      <w:r w:rsidRPr="0002141B">
        <w:rPr>
          <w:rFonts w:ascii="Palatino Linotype" w:hAnsi="Palatino Linotype" w:cs="Arial"/>
          <w:b/>
          <w:i/>
          <w:szCs w:val="24"/>
        </w:rPr>
        <w:t>Artículo 2.</w:t>
      </w:r>
      <w:r w:rsidRPr="0002141B">
        <w:rPr>
          <w:rFonts w:ascii="Palatino Linotype" w:hAnsi="Palatino Linotype" w:cs="Arial"/>
          <w:i/>
          <w:szCs w:val="24"/>
        </w:rPr>
        <w:t xml:space="preserve"> Para los efectos de este reglamento, además de los conceptos previstos en la Ley General del Equilibrio Ecológico y la Protección al Ambiente, se entenderá por:</w:t>
      </w:r>
    </w:p>
    <w:p w:rsidR="0002141B" w:rsidRDefault="0002141B" w:rsidP="0002141B">
      <w:pPr>
        <w:tabs>
          <w:tab w:val="left" w:pos="709"/>
        </w:tabs>
        <w:spacing w:before="240" w:line="240" w:lineRule="auto"/>
        <w:ind w:left="851" w:right="851"/>
        <w:jc w:val="both"/>
        <w:rPr>
          <w:rFonts w:ascii="Palatino Linotype" w:hAnsi="Palatino Linotype" w:cs="Arial"/>
          <w:i/>
          <w:szCs w:val="24"/>
        </w:rPr>
      </w:pPr>
      <w:r w:rsidRPr="0002141B">
        <w:rPr>
          <w:rFonts w:ascii="Palatino Linotype" w:hAnsi="Palatino Linotype" w:cs="Arial"/>
          <w:b/>
          <w:i/>
          <w:szCs w:val="24"/>
        </w:rPr>
        <w:t>CXXX.</w:t>
      </w:r>
      <w:r w:rsidRPr="0002141B">
        <w:rPr>
          <w:rFonts w:ascii="Palatino Linotype" w:hAnsi="Palatino Linotype" w:cs="Arial"/>
          <w:i/>
          <w:szCs w:val="24"/>
        </w:rPr>
        <w:t xml:space="preserve"> </w:t>
      </w:r>
      <w:r w:rsidRPr="0002141B">
        <w:rPr>
          <w:rFonts w:ascii="Palatino Linotype" w:hAnsi="Palatino Linotype" w:cs="Arial"/>
          <w:b/>
          <w:i/>
          <w:szCs w:val="24"/>
        </w:rPr>
        <w:t>Secretaría</w:t>
      </w:r>
      <w:r w:rsidRPr="0002141B">
        <w:rPr>
          <w:rFonts w:ascii="Palatino Linotype" w:hAnsi="Palatino Linotype" w:cs="Arial"/>
          <w:i/>
          <w:szCs w:val="24"/>
        </w:rPr>
        <w:t xml:space="preserve">: </w:t>
      </w:r>
      <w:r w:rsidRPr="0002141B">
        <w:rPr>
          <w:rFonts w:ascii="Palatino Linotype" w:hAnsi="Palatino Linotype" w:cs="Arial"/>
          <w:i/>
          <w:szCs w:val="24"/>
          <w:u w:val="single"/>
        </w:rPr>
        <w:t>Secretaría del Medio Ambiente del Gobierno del Estado de México</w:t>
      </w:r>
      <w:r w:rsidRPr="0002141B">
        <w:rPr>
          <w:rFonts w:ascii="Palatino Linotype" w:hAnsi="Palatino Linotype" w:cs="Arial"/>
          <w:i/>
          <w:szCs w:val="24"/>
        </w:rPr>
        <w:t>.</w:t>
      </w:r>
    </w:p>
    <w:p w:rsidR="0002141B" w:rsidRDefault="0002141B" w:rsidP="0002141B">
      <w:pPr>
        <w:tabs>
          <w:tab w:val="left" w:pos="709"/>
        </w:tabs>
        <w:spacing w:before="240" w:line="240" w:lineRule="auto"/>
        <w:ind w:left="851" w:right="851"/>
        <w:jc w:val="both"/>
        <w:rPr>
          <w:rFonts w:ascii="Palatino Linotype" w:hAnsi="Palatino Linotype" w:cs="Arial"/>
          <w:i/>
          <w:szCs w:val="24"/>
        </w:rPr>
      </w:pPr>
      <w:r w:rsidRPr="0002141B">
        <w:rPr>
          <w:rFonts w:ascii="Palatino Linotype" w:hAnsi="Palatino Linotype" w:cs="Arial"/>
          <w:b/>
          <w:i/>
          <w:szCs w:val="24"/>
        </w:rPr>
        <w:t>Artículo 171.</w:t>
      </w:r>
      <w:r w:rsidRPr="0002141B">
        <w:rPr>
          <w:rFonts w:ascii="Palatino Linotype" w:hAnsi="Palatino Linotype" w:cs="Arial"/>
          <w:i/>
          <w:szCs w:val="24"/>
        </w:rPr>
        <w:t xml:space="preserve"> </w:t>
      </w:r>
      <w:r w:rsidRPr="0002141B">
        <w:rPr>
          <w:rFonts w:ascii="Palatino Linotype" w:hAnsi="Palatino Linotype" w:cs="Arial"/>
          <w:b/>
          <w:i/>
          <w:szCs w:val="24"/>
        </w:rPr>
        <w:t>Los estudios que justifiquen la expedición de las declaratorias para el establecimiento de las Áreas Naturales Protegidas</w:t>
      </w:r>
      <w:r w:rsidRPr="0002141B">
        <w:rPr>
          <w:rFonts w:ascii="Palatino Linotype" w:hAnsi="Palatino Linotype" w:cs="Arial"/>
          <w:i/>
          <w:szCs w:val="24"/>
        </w:rPr>
        <w:t xml:space="preserve">, </w:t>
      </w:r>
      <w:r w:rsidRPr="0002141B">
        <w:rPr>
          <w:rFonts w:ascii="Palatino Linotype" w:hAnsi="Palatino Linotype" w:cs="Arial"/>
          <w:b/>
          <w:i/>
          <w:szCs w:val="24"/>
        </w:rPr>
        <w:t>serán elaborados por la Secretaría</w:t>
      </w:r>
      <w:r w:rsidRPr="0002141B">
        <w:rPr>
          <w:rFonts w:ascii="Palatino Linotype" w:hAnsi="Palatino Linotype" w:cs="Arial"/>
          <w:i/>
          <w:szCs w:val="24"/>
        </w:rPr>
        <w:t xml:space="preserve"> y en su caso, ésta podrá solicitar la colaboración de otras dependencias del Ejecuti</w:t>
      </w:r>
      <w:r>
        <w:rPr>
          <w:rFonts w:ascii="Palatino Linotype" w:hAnsi="Palatino Linotype" w:cs="Arial"/>
          <w:i/>
          <w:szCs w:val="24"/>
        </w:rPr>
        <w:t>vo Estatal, así como de or</w:t>
      </w:r>
      <w:r w:rsidRPr="0002141B">
        <w:rPr>
          <w:rFonts w:ascii="Palatino Linotype" w:hAnsi="Palatino Linotype" w:cs="Arial"/>
          <w:i/>
          <w:szCs w:val="24"/>
        </w:rPr>
        <w:t xml:space="preserve">ganizaciones públicas o privadas, universidades, instituciones de investigación o cualquier persona física o jurídica colectiva con experiencia y capacidad técnica en la materia. </w:t>
      </w:r>
    </w:p>
    <w:p w:rsidR="0002141B" w:rsidRDefault="0002141B" w:rsidP="0002141B">
      <w:pPr>
        <w:tabs>
          <w:tab w:val="left" w:pos="709"/>
        </w:tabs>
        <w:spacing w:before="240" w:line="240" w:lineRule="auto"/>
        <w:ind w:left="851" w:right="851"/>
        <w:jc w:val="both"/>
        <w:rPr>
          <w:rFonts w:ascii="Palatino Linotype" w:hAnsi="Palatino Linotype" w:cs="Arial"/>
          <w:i/>
          <w:szCs w:val="24"/>
        </w:rPr>
      </w:pPr>
      <w:r w:rsidRPr="0002141B">
        <w:rPr>
          <w:rFonts w:ascii="Palatino Linotype" w:hAnsi="Palatino Linotype" w:cs="Arial"/>
          <w:i/>
          <w:szCs w:val="24"/>
        </w:rPr>
        <w:t>El tipo de Área Natural Protegida que se pretenda declarar, deberá estar sustentada en las características biológicas y la vocación de uso de suelo, tomando en consideración los aspectos sociales de las poblaciones locales, así como los aprovechamientos que en ella se realicen.</w:t>
      </w:r>
    </w:p>
    <w:p w:rsidR="0002141B" w:rsidRDefault="0002141B" w:rsidP="0002141B">
      <w:pPr>
        <w:tabs>
          <w:tab w:val="left" w:pos="709"/>
        </w:tabs>
        <w:spacing w:before="240" w:line="240" w:lineRule="auto"/>
        <w:ind w:left="851" w:right="851"/>
        <w:jc w:val="both"/>
        <w:rPr>
          <w:rFonts w:ascii="Palatino Linotype" w:hAnsi="Palatino Linotype" w:cs="Arial"/>
          <w:i/>
          <w:szCs w:val="24"/>
        </w:rPr>
      </w:pPr>
      <w:r w:rsidRPr="0002141B">
        <w:rPr>
          <w:rFonts w:ascii="Palatino Linotype" w:hAnsi="Palatino Linotype" w:cs="Arial"/>
          <w:b/>
          <w:i/>
          <w:szCs w:val="24"/>
        </w:rPr>
        <w:t>Artículo 173</w:t>
      </w:r>
      <w:r w:rsidRPr="0002141B">
        <w:rPr>
          <w:rFonts w:ascii="Palatino Linotype" w:hAnsi="Palatino Linotype" w:cs="Arial"/>
          <w:i/>
          <w:szCs w:val="24"/>
        </w:rPr>
        <w:t xml:space="preserve">. </w:t>
      </w:r>
      <w:r w:rsidRPr="0002141B">
        <w:rPr>
          <w:rFonts w:ascii="Palatino Linotype" w:hAnsi="Palatino Linotype" w:cs="Arial"/>
          <w:b/>
          <w:i/>
          <w:szCs w:val="24"/>
        </w:rPr>
        <w:t>Una vez concluidos los estudios previos justificativos, deberán ser puestos a disposición del público</w:t>
      </w:r>
      <w:r w:rsidRPr="0002141B">
        <w:rPr>
          <w:rFonts w:ascii="Palatino Linotype" w:hAnsi="Palatino Linotype" w:cs="Arial"/>
          <w:i/>
          <w:szCs w:val="24"/>
        </w:rPr>
        <w:t xml:space="preserve"> </w:t>
      </w:r>
      <w:r w:rsidRPr="00D14990">
        <w:rPr>
          <w:rFonts w:ascii="Palatino Linotype" w:hAnsi="Palatino Linotype" w:cs="Arial"/>
          <w:b/>
          <w:i/>
          <w:szCs w:val="24"/>
        </w:rPr>
        <w:t>para su consulta</w:t>
      </w:r>
      <w:r w:rsidRPr="0002141B">
        <w:rPr>
          <w:rFonts w:ascii="Palatino Linotype" w:hAnsi="Palatino Linotype" w:cs="Arial"/>
          <w:i/>
          <w:szCs w:val="24"/>
        </w:rPr>
        <w:t xml:space="preserve"> por un plazo no menor de treinta días naturales, mediante aviso que se publique por una sola vez en la Gaceta del Gobierno del Estado de México. La Secretaría deberá tomar en cuenta los comentarios recibidos y poner a disposición de los interesados, en su caso, la respuesta a dichos comentarios.</w:t>
      </w:r>
    </w:p>
    <w:p w:rsidR="00DA2940" w:rsidRDefault="00DA2940" w:rsidP="0002141B">
      <w:pPr>
        <w:tabs>
          <w:tab w:val="left" w:pos="709"/>
        </w:tabs>
        <w:spacing w:before="240" w:line="240" w:lineRule="auto"/>
        <w:ind w:left="851" w:right="851"/>
        <w:jc w:val="both"/>
        <w:rPr>
          <w:rFonts w:ascii="Palatino Linotype" w:hAnsi="Palatino Linotype" w:cs="Arial"/>
          <w:i/>
          <w:szCs w:val="24"/>
        </w:rPr>
      </w:pPr>
      <w:r w:rsidRPr="00DA2940">
        <w:rPr>
          <w:rFonts w:ascii="Palatino Linotype" w:hAnsi="Palatino Linotype" w:cs="Arial"/>
          <w:i/>
          <w:szCs w:val="24"/>
        </w:rPr>
        <w:t xml:space="preserve">Artículo 177. La Secretaría podrá proponer al titular del Ejecutivo Estatal, la modificación de una declaratoria de Área Natural Protegida, cuando hayan variado las condiciones que dieron origen a su establecimiento. </w:t>
      </w:r>
    </w:p>
    <w:p w:rsidR="00DA2940" w:rsidRDefault="00DA2940" w:rsidP="0002141B">
      <w:pPr>
        <w:tabs>
          <w:tab w:val="left" w:pos="709"/>
        </w:tabs>
        <w:spacing w:before="240" w:line="240" w:lineRule="auto"/>
        <w:ind w:left="851" w:right="851"/>
        <w:jc w:val="both"/>
        <w:rPr>
          <w:rFonts w:ascii="Palatino Linotype" w:hAnsi="Palatino Linotype" w:cs="Arial"/>
          <w:i/>
          <w:szCs w:val="24"/>
        </w:rPr>
      </w:pPr>
      <w:r w:rsidRPr="00DA2940">
        <w:rPr>
          <w:rFonts w:ascii="Palatino Linotype" w:hAnsi="Palatino Linotype" w:cs="Arial"/>
          <w:i/>
          <w:szCs w:val="24"/>
        </w:rPr>
        <w:lastRenderedPageBreak/>
        <w:t>Artículo 178. Las propuestas de modificación a los decretos por los que se hubieren declarado Áreas Naturales Protegidas, deberán referirse al cambio de categoría, extensión, delimitación y en su caso, de zonas o subzonas.</w:t>
      </w:r>
    </w:p>
    <w:p w:rsidR="00DA2940" w:rsidRPr="0002141B" w:rsidRDefault="00DA2940" w:rsidP="0002141B">
      <w:pPr>
        <w:tabs>
          <w:tab w:val="left" w:pos="709"/>
        </w:tabs>
        <w:spacing w:before="240" w:line="240" w:lineRule="auto"/>
        <w:ind w:left="851" w:right="851"/>
        <w:jc w:val="both"/>
        <w:rPr>
          <w:rFonts w:ascii="Palatino Linotype" w:hAnsi="Palatino Linotype" w:cs="Arial"/>
          <w:i/>
          <w:szCs w:val="24"/>
        </w:rPr>
      </w:pPr>
      <w:r w:rsidRPr="00DA2940">
        <w:rPr>
          <w:rFonts w:ascii="Palatino Linotype" w:hAnsi="Palatino Linotype" w:cs="Arial"/>
          <w:i/>
          <w:szCs w:val="24"/>
        </w:rPr>
        <w:t xml:space="preserve"> Artículo 179. </w:t>
      </w:r>
      <w:r w:rsidRPr="00D14990">
        <w:rPr>
          <w:rFonts w:ascii="Palatino Linotype" w:hAnsi="Palatino Linotype" w:cs="Arial"/>
          <w:b/>
          <w:i/>
          <w:szCs w:val="24"/>
        </w:rPr>
        <w:t>Los decretos modificatorios de un Área Natural Protegida, deberán sustentarse en estudios previos justificativos</w:t>
      </w:r>
      <w:r w:rsidRPr="00DA2940">
        <w:rPr>
          <w:rFonts w:ascii="Palatino Linotype" w:hAnsi="Palatino Linotype" w:cs="Arial"/>
          <w:i/>
          <w:szCs w:val="24"/>
        </w:rPr>
        <w:t xml:space="preserve"> y cumplir con los mismos procedimientos establecidos para la declaración inicial de un Área Natural Protegida en los términos del Código.</w:t>
      </w:r>
    </w:p>
    <w:p w:rsidR="003378CE" w:rsidRDefault="003378CE" w:rsidP="00526244">
      <w:pPr>
        <w:tabs>
          <w:tab w:val="left" w:pos="709"/>
        </w:tabs>
        <w:spacing w:before="240" w:line="360" w:lineRule="auto"/>
        <w:ind w:right="51"/>
        <w:jc w:val="both"/>
        <w:rPr>
          <w:rFonts w:ascii="Palatino Linotype" w:hAnsi="Palatino Linotype" w:cs="Arial"/>
          <w:sz w:val="24"/>
          <w:szCs w:val="24"/>
        </w:rPr>
      </w:pPr>
    </w:p>
    <w:p w:rsidR="00B362B1" w:rsidRDefault="00B74FEE" w:rsidP="00A13C4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conformidad con los preceptos anteriormente transcritos, se advierte que </w:t>
      </w:r>
      <w:r w:rsidR="007A52D0">
        <w:rPr>
          <w:rFonts w:ascii="Palatino Linotype" w:hAnsi="Palatino Linotype" w:cs="Arial"/>
          <w:sz w:val="24"/>
          <w:szCs w:val="24"/>
        </w:rPr>
        <w:t xml:space="preserve">la Secretaría del Medio Ambiente, es </w:t>
      </w:r>
      <w:r w:rsidR="007A52D0" w:rsidRPr="007A52D0">
        <w:rPr>
          <w:rFonts w:ascii="Palatino Linotype" w:hAnsi="Palatino Linotype" w:cs="Arial"/>
          <w:sz w:val="24"/>
          <w:szCs w:val="24"/>
        </w:rPr>
        <w:t>el órgano encargado de la formulación, ejecución y evaluación de la política estatal en materia de conservación ecológica</w:t>
      </w:r>
      <w:r w:rsidR="007A52D0">
        <w:rPr>
          <w:rFonts w:ascii="Palatino Linotype" w:hAnsi="Palatino Linotype" w:cs="Arial"/>
          <w:sz w:val="24"/>
          <w:szCs w:val="24"/>
        </w:rPr>
        <w:t xml:space="preserve">, a su vez, le corresponde a la misma el declarar las áreas naturales protegidas de interés Estatal entre las cuales se encuentran las reservas estatales, parques estatales y urbanos, </w:t>
      </w:r>
      <w:r w:rsidR="00B362B1">
        <w:rPr>
          <w:rFonts w:ascii="Palatino Linotype" w:hAnsi="Palatino Linotype" w:cs="Arial"/>
          <w:sz w:val="24"/>
          <w:szCs w:val="24"/>
        </w:rPr>
        <w:t>parques municipales, las reservas naturales privadas o comunitarias, paisajes protegidos, l</w:t>
      </w:r>
      <w:r w:rsidR="00B362B1" w:rsidRPr="00B362B1">
        <w:rPr>
          <w:rFonts w:ascii="Palatino Linotype" w:hAnsi="Palatino Linotype" w:cs="Arial"/>
          <w:sz w:val="24"/>
          <w:szCs w:val="24"/>
        </w:rPr>
        <w:t>as zonas de preservación ecológica de los centros de población</w:t>
      </w:r>
      <w:r w:rsidR="00B362B1">
        <w:rPr>
          <w:rFonts w:ascii="Palatino Linotype" w:hAnsi="Palatino Linotype" w:cs="Arial"/>
          <w:sz w:val="24"/>
          <w:szCs w:val="24"/>
        </w:rPr>
        <w:t xml:space="preserve"> y l</w:t>
      </w:r>
      <w:r w:rsidR="00B362B1" w:rsidRPr="00B362B1">
        <w:rPr>
          <w:rFonts w:ascii="Palatino Linotype" w:hAnsi="Palatino Linotype" w:cs="Arial"/>
          <w:sz w:val="24"/>
          <w:szCs w:val="24"/>
        </w:rPr>
        <w:t>os santuarios del agua</w:t>
      </w:r>
      <w:r w:rsidR="00B362B1">
        <w:rPr>
          <w:rFonts w:ascii="Palatino Linotype" w:hAnsi="Palatino Linotype" w:cs="Arial"/>
          <w:sz w:val="24"/>
          <w:szCs w:val="24"/>
        </w:rPr>
        <w:t>.</w:t>
      </w:r>
    </w:p>
    <w:p w:rsidR="00AC2710" w:rsidRDefault="00B362B1" w:rsidP="00600AF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Continuando con el análisis de los preceptos referidos, advertimos que dichas</w:t>
      </w:r>
      <w:r w:rsidRPr="00B362B1">
        <w:rPr>
          <w:rFonts w:ascii="Palatino Linotype" w:hAnsi="Palatino Linotype" w:cs="Arial"/>
          <w:sz w:val="24"/>
          <w:szCs w:val="24"/>
        </w:rPr>
        <w:t xml:space="preserve"> áreas naturales protegidas de competencia estatal se establecerán mediante declaratoria expedida por el Gobernador del Estado</w:t>
      </w:r>
      <w:r>
        <w:rPr>
          <w:rFonts w:ascii="Palatino Linotype" w:hAnsi="Palatino Linotype" w:cs="Arial"/>
          <w:sz w:val="24"/>
          <w:szCs w:val="24"/>
        </w:rPr>
        <w:t>,</w:t>
      </w:r>
      <w:r w:rsidRPr="00B362B1">
        <w:t xml:space="preserve"> </w:t>
      </w:r>
      <w:r w:rsidRPr="00D14990">
        <w:rPr>
          <w:rFonts w:ascii="Palatino Linotype" w:hAnsi="Palatino Linotype" w:cs="Arial"/>
          <w:sz w:val="24"/>
          <w:szCs w:val="24"/>
          <w:u w:val="single"/>
        </w:rPr>
        <w:t>previo estudio técnico</w:t>
      </w:r>
      <w:r w:rsidRPr="00B362B1">
        <w:rPr>
          <w:rFonts w:ascii="Palatino Linotype" w:hAnsi="Palatino Linotype" w:cs="Arial"/>
          <w:sz w:val="24"/>
          <w:szCs w:val="24"/>
        </w:rPr>
        <w:t xml:space="preserve"> que se elabore en los términos que emita la Secretaría</w:t>
      </w:r>
      <w:r>
        <w:rPr>
          <w:rFonts w:ascii="Palatino Linotype" w:hAnsi="Palatino Linotype" w:cs="Arial"/>
          <w:sz w:val="24"/>
          <w:szCs w:val="24"/>
        </w:rPr>
        <w:t xml:space="preserve"> del Medio Ambiente. De igual forma se establece que</w:t>
      </w:r>
      <w:r w:rsidRPr="00B362B1">
        <w:t xml:space="preserve"> </w:t>
      </w:r>
      <w:r>
        <w:rPr>
          <w:rFonts w:ascii="Palatino Linotype" w:hAnsi="Palatino Linotype" w:cs="Arial"/>
          <w:sz w:val="24"/>
          <w:szCs w:val="24"/>
        </w:rPr>
        <w:t>l</w:t>
      </w:r>
      <w:r w:rsidRPr="00B362B1">
        <w:rPr>
          <w:rFonts w:ascii="Palatino Linotype" w:hAnsi="Palatino Linotype" w:cs="Arial"/>
          <w:sz w:val="24"/>
          <w:szCs w:val="24"/>
        </w:rPr>
        <w:t xml:space="preserve">os estudios que justifiquen la expedición de las declaratorias para el establecimiento de las Áreas Naturales Protegidas, </w:t>
      </w:r>
      <w:r w:rsidRPr="00B362B1">
        <w:rPr>
          <w:rFonts w:ascii="Palatino Linotype" w:hAnsi="Palatino Linotype" w:cs="Arial"/>
          <w:sz w:val="24"/>
          <w:szCs w:val="24"/>
          <w:u w:val="single"/>
        </w:rPr>
        <w:t>serán elaborados por la Secretaría del Medio Ambiente</w:t>
      </w:r>
      <w:r>
        <w:rPr>
          <w:rFonts w:ascii="Palatino Linotype" w:hAnsi="Palatino Linotype" w:cs="Arial"/>
          <w:sz w:val="24"/>
          <w:szCs w:val="24"/>
        </w:rPr>
        <w:t xml:space="preserve">, </w:t>
      </w:r>
      <w:r w:rsidR="006D20EF">
        <w:rPr>
          <w:rFonts w:ascii="Palatino Linotype" w:hAnsi="Palatino Linotype" w:cs="Arial"/>
          <w:sz w:val="24"/>
          <w:szCs w:val="24"/>
        </w:rPr>
        <w:t>en ese o</w:t>
      </w:r>
      <w:r w:rsidR="00D14990">
        <w:rPr>
          <w:rFonts w:ascii="Palatino Linotype" w:hAnsi="Palatino Linotype" w:cs="Arial"/>
          <w:sz w:val="24"/>
          <w:szCs w:val="24"/>
        </w:rPr>
        <w:t xml:space="preserve">rden de ideas, se advierte que </w:t>
      </w:r>
      <w:r w:rsidR="00D14990" w:rsidRPr="00D14990">
        <w:rPr>
          <w:rFonts w:ascii="Palatino Linotype" w:hAnsi="Palatino Linotype" w:cs="Arial"/>
          <w:b/>
          <w:sz w:val="24"/>
          <w:szCs w:val="24"/>
        </w:rPr>
        <w:t>El Sujeto O</w:t>
      </w:r>
      <w:r w:rsidR="006D20EF" w:rsidRPr="00D14990">
        <w:rPr>
          <w:rFonts w:ascii="Palatino Linotype" w:hAnsi="Palatino Linotype" w:cs="Arial"/>
          <w:b/>
          <w:sz w:val="24"/>
          <w:szCs w:val="24"/>
        </w:rPr>
        <w:t>bligado</w:t>
      </w:r>
      <w:r w:rsidR="006D20EF">
        <w:rPr>
          <w:rFonts w:ascii="Palatino Linotype" w:hAnsi="Palatino Linotype" w:cs="Arial"/>
          <w:sz w:val="24"/>
          <w:szCs w:val="24"/>
        </w:rPr>
        <w:t xml:space="preserve"> podría contar en sus archivos con la información a la que desea tener acceso el solicitante, ya sea porque la genere, la obtenga de alguna manera, la administre o de alguna forma la posea, toda </w:t>
      </w:r>
      <w:r w:rsidR="006D20EF">
        <w:rPr>
          <w:rFonts w:ascii="Palatino Linotype" w:hAnsi="Palatino Linotype" w:cs="Arial"/>
          <w:sz w:val="24"/>
          <w:szCs w:val="24"/>
        </w:rPr>
        <w:lastRenderedPageBreak/>
        <w:t xml:space="preserve">vez que de los preceptos transcritos se advierte que </w:t>
      </w:r>
      <w:r>
        <w:rPr>
          <w:rFonts w:ascii="Palatino Linotype" w:hAnsi="Palatino Linotype" w:cs="Arial"/>
          <w:sz w:val="24"/>
          <w:szCs w:val="24"/>
        </w:rPr>
        <w:t xml:space="preserve">dentro de las atribuciones del </w:t>
      </w:r>
      <w:r w:rsidRPr="003712C6">
        <w:rPr>
          <w:rFonts w:ascii="Palatino Linotype" w:hAnsi="Palatino Linotype" w:cs="Arial"/>
          <w:b/>
          <w:sz w:val="24"/>
          <w:szCs w:val="24"/>
        </w:rPr>
        <w:t>Sujeto Obligado</w:t>
      </w:r>
      <w:r>
        <w:rPr>
          <w:rFonts w:ascii="Palatino Linotype" w:hAnsi="Palatino Linotype" w:cs="Arial"/>
          <w:sz w:val="24"/>
          <w:szCs w:val="24"/>
        </w:rPr>
        <w:t xml:space="preserve"> se encuentra que este deberá elaborar los estudios justificativos para </w:t>
      </w:r>
      <w:r w:rsidRPr="00B362B1">
        <w:rPr>
          <w:rFonts w:ascii="Palatino Linotype" w:hAnsi="Palatino Linotype" w:cs="Arial"/>
          <w:sz w:val="24"/>
          <w:szCs w:val="24"/>
        </w:rPr>
        <w:t>la expedición de las declaratorias para el establecimiento de las Áreas Naturales Protegidas</w:t>
      </w:r>
      <w:r>
        <w:rPr>
          <w:rFonts w:ascii="Palatino Linotype" w:hAnsi="Palatino Linotype" w:cs="Arial"/>
          <w:sz w:val="24"/>
          <w:szCs w:val="24"/>
        </w:rPr>
        <w:t xml:space="preserve">, mismos que </w:t>
      </w:r>
      <w:r w:rsidR="00174CF5">
        <w:rPr>
          <w:rFonts w:ascii="Palatino Linotype" w:hAnsi="Palatino Linotype" w:cs="Arial"/>
          <w:sz w:val="24"/>
          <w:szCs w:val="24"/>
        </w:rPr>
        <w:t>fueron</w:t>
      </w:r>
      <w:r>
        <w:rPr>
          <w:rFonts w:ascii="Palatino Linotype" w:hAnsi="Palatino Linotype" w:cs="Arial"/>
          <w:sz w:val="24"/>
          <w:szCs w:val="24"/>
        </w:rPr>
        <w:t xml:space="preserve"> </w:t>
      </w:r>
      <w:r w:rsidR="00174CF5">
        <w:rPr>
          <w:rFonts w:ascii="Palatino Linotype" w:hAnsi="Palatino Linotype" w:cs="Arial"/>
          <w:sz w:val="24"/>
          <w:szCs w:val="24"/>
        </w:rPr>
        <w:t xml:space="preserve">requeridos por el hoy </w:t>
      </w:r>
      <w:r w:rsidR="00174CF5" w:rsidRPr="003712C6">
        <w:rPr>
          <w:rFonts w:ascii="Palatino Linotype" w:hAnsi="Palatino Linotype" w:cs="Arial"/>
          <w:b/>
          <w:sz w:val="24"/>
          <w:szCs w:val="24"/>
        </w:rPr>
        <w:t>Recurrente</w:t>
      </w:r>
      <w:r w:rsidR="006D20EF">
        <w:rPr>
          <w:rFonts w:ascii="Palatino Linotype" w:hAnsi="Palatino Linotype" w:cs="Arial"/>
          <w:sz w:val="24"/>
          <w:szCs w:val="24"/>
        </w:rPr>
        <w:t>,</w:t>
      </w:r>
      <w:r w:rsidR="00174CF5" w:rsidRPr="00174CF5">
        <w:t xml:space="preserve"> </w:t>
      </w:r>
      <w:r w:rsidR="00174CF5" w:rsidRPr="00174CF5">
        <w:rPr>
          <w:rFonts w:ascii="Palatino Linotype" w:hAnsi="Palatino Linotype" w:cs="Arial"/>
          <w:sz w:val="24"/>
          <w:szCs w:val="24"/>
        </w:rPr>
        <w:t xml:space="preserve">y por lo tanto, se presume que debe tener </w:t>
      </w:r>
      <w:r w:rsidR="00174CF5">
        <w:rPr>
          <w:rFonts w:ascii="Palatino Linotype" w:hAnsi="Palatino Linotype" w:cs="Arial"/>
          <w:sz w:val="24"/>
          <w:szCs w:val="24"/>
        </w:rPr>
        <w:t>dicha información</w:t>
      </w:r>
      <w:r w:rsidR="00174CF5" w:rsidRPr="00174CF5">
        <w:rPr>
          <w:rFonts w:ascii="Palatino Linotype" w:hAnsi="Palatino Linotype" w:cs="Arial"/>
          <w:sz w:val="24"/>
          <w:szCs w:val="24"/>
        </w:rPr>
        <w:t xml:space="preserve"> y por ello, </w:t>
      </w:r>
      <w:r w:rsidR="00051CA7">
        <w:rPr>
          <w:rFonts w:ascii="Palatino Linotype" w:hAnsi="Palatino Linotype" w:cs="Arial"/>
          <w:sz w:val="24"/>
          <w:szCs w:val="24"/>
        </w:rPr>
        <w:t>será dable ordenar el documento donde conste lo requerido.</w:t>
      </w:r>
    </w:p>
    <w:p w:rsidR="003712C6" w:rsidRDefault="003712C6" w:rsidP="00600AF7">
      <w:pPr>
        <w:tabs>
          <w:tab w:val="left" w:pos="709"/>
        </w:tabs>
        <w:spacing w:before="240" w:line="360" w:lineRule="auto"/>
        <w:ind w:right="51"/>
        <w:jc w:val="both"/>
        <w:rPr>
          <w:rFonts w:ascii="Palatino Linotype" w:hAnsi="Palatino Linotype" w:cs="Arial"/>
          <w:sz w:val="24"/>
          <w:szCs w:val="24"/>
        </w:rPr>
      </w:pPr>
    </w:p>
    <w:p w:rsidR="00174CF5" w:rsidRDefault="00174CF5" w:rsidP="00600AF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Aunado a lo antes expuesto, resulta oportuno traer a colación </w:t>
      </w:r>
      <w:r w:rsidR="003075AB">
        <w:rPr>
          <w:rFonts w:ascii="Palatino Linotype" w:hAnsi="Palatino Linotype" w:cs="Arial"/>
          <w:sz w:val="24"/>
          <w:szCs w:val="24"/>
        </w:rPr>
        <w:t>lo establecido en el Acuerdo del Ejecutivo del Estado por el que se Abroga el Diverso para el Manejo, Conservación y Aprovechamiento de las Cimas d</w:t>
      </w:r>
      <w:r w:rsidR="003075AB" w:rsidRPr="003075AB">
        <w:rPr>
          <w:rFonts w:ascii="Palatino Linotype" w:hAnsi="Palatino Linotype" w:cs="Arial"/>
          <w:sz w:val="24"/>
          <w:szCs w:val="24"/>
        </w:rPr>
        <w:t>e Montañas, Lomerios Y Cerros Del Estado De México, Declarados Como Áreas Naturales Protegidas</w:t>
      </w:r>
      <w:r w:rsidR="003075AB">
        <w:rPr>
          <w:rFonts w:ascii="Palatino Linotype" w:hAnsi="Palatino Linotype" w:cs="Arial"/>
          <w:sz w:val="24"/>
          <w:szCs w:val="24"/>
        </w:rPr>
        <w:t xml:space="preserve">, referido por el hoy </w:t>
      </w:r>
      <w:r w:rsidR="003075AB" w:rsidRPr="003712C6">
        <w:rPr>
          <w:rFonts w:ascii="Palatino Linotype" w:hAnsi="Palatino Linotype" w:cs="Arial"/>
          <w:b/>
          <w:sz w:val="24"/>
          <w:szCs w:val="24"/>
        </w:rPr>
        <w:t>Recurrente</w:t>
      </w:r>
      <w:r w:rsidR="003075AB">
        <w:rPr>
          <w:rFonts w:ascii="Palatino Linotype" w:hAnsi="Palatino Linotype" w:cs="Arial"/>
          <w:sz w:val="24"/>
          <w:szCs w:val="24"/>
        </w:rPr>
        <w:t xml:space="preserve"> en la solicitud de acceso a la información, el cual se inserta en su parte medular a continuación:</w:t>
      </w:r>
    </w:p>
    <w:p w:rsidR="003075AB" w:rsidRPr="00174CF5" w:rsidRDefault="003712C6" w:rsidP="00600AF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simplePos x="0" y="0"/>
                <wp:positionH relativeFrom="column">
                  <wp:posOffset>2059305</wp:posOffset>
                </wp:positionH>
                <wp:positionV relativeFrom="paragraph">
                  <wp:posOffset>1981200</wp:posOffset>
                </wp:positionV>
                <wp:extent cx="3406140" cy="0"/>
                <wp:effectExtent l="0" t="0" r="22860" b="19050"/>
                <wp:wrapNone/>
                <wp:docPr id="3" name="Conector recto 3"/>
                <wp:cNvGraphicFramePr/>
                <a:graphic xmlns:a="http://schemas.openxmlformats.org/drawingml/2006/main">
                  <a:graphicData uri="http://schemas.microsoft.com/office/word/2010/wordprocessingShape">
                    <wps:wsp>
                      <wps:cNvCnPr/>
                      <wps:spPr>
                        <a:xfrm flipV="1">
                          <a:off x="0" y="0"/>
                          <a:ext cx="340614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65429" id="Conector recto 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5pt,156pt" to="430.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" strokecolor="#c00000" strokeweight="1.5pt">
                <v:stroke joinstyle="miter"/>
              </v:line>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7F2257C5" wp14:editId="638E1C32">
                <wp:simplePos x="0" y="0"/>
                <wp:positionH relativeFrom="column">
                  <wp:posOffset>62865</wp:posOffset>
                </wp:positionH>
                <wp:positionV relativeFrom="paragraph">
                  <wp:posOffset>2133600</wp:posOffset>
                </wp:positionV>
                <wp:extent cx="4564380" cy="0"/>
                <wp:effectExtent l="0" t="0" r="26670" b="19050"/>
                <wp:wrapNone/>
                <wp:docPr id="6" name="Conector recto 6"/>
                <wp:cNvGraphicFramePr/>
                <a:graphic xmlns:a="http://schemas.openxmlformats.org/drawingml/2006/main">
                  <a:graphicData uri="http://schemas.microsoft.com/office/word/2010/wordprocessingShape">
                    <wps:wsp>
                      <wps:cNvCnPr/>
                      <wps:spPr>
                        <a:xfrm flipV="1">
                          <a:off x="0" y="0"/>
                          <a:ext cx="456438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7407D" id="Conector recto 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68pt" to="364.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" strokecolor="#c00000" strokeweight="1.5pt">
                <v:stroke joinstyle="miter"/>
              </v:line>
            </w:pict>
          </mc:Fallback>
        </mc:AlternateContent>
      </w:r>
      <w:r w:rsidR="003075AB">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simplePos x="0" y="0"/>
                <wp:positionH relativeFrom="column">
                  <wp:posOffset>62865</wp:posOffset>
                </wp:positionH>
                <wp:positionV relativeFrom="paragraph">
                  <wp:posOffset>1604010</wp:posOffset>
                </wp:positionV>
                <wp:extent cx="5463540" cy="859790"/>
                <wp:effectExtent l="0" t="0" r="22860" b="16510"/>
                <wp:wrapNone/>
                <wp:docPr id="7" name="Rectángulo 7"/>
                <wp:cNvGraphicFramePr/>
                <a:graphic xmlns:a="http://schemas.openxmlformats.org/drawingml/2006/main">
                  <a:graphicData uri="http://schemas.microsoft.com/office/word/2010/wordprocessingShape">
                    <wps:wsp>
                      <wps:cNvSpPr/>
                      <wps:spPr>
                        <a:xfrm>
                          <a:off x="0" y="0"/>
                          <a:ext cx="5463540" cy="85979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4F740" id="Rectángulo 7" o:spid="_x0000_s1026" style="position:absolute;margin-left:4.95pt;margin-top:126.3pt;width:430.2pt;height:67.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" filled="f" strokecolor="#c00000" strokeweight="1.5pt"/>
            </w:pict>
          </mc:Fallback>
        </mc:AlternateContent>
      </w:r>
      <w:r w:rsidR="003075AB">
        <w:rPr>
          <w:rFonts w:ascii="Palatino Linotype" w:hAnsi="Palatino Linotype" w:cs="Arial"/>
          <w:noProof/>
          <w:sz w:val="24"/>
          <w:szCs w:val="24"/>
          <w:lang w:eastAsia="es-MX"/>
        </w:rPr>
        <w:drawing>
          <wp:inline distT="0" distB="0" distL="0" distR="0">
            <wp:extent cx="5524500" cy="2414682"/>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500" cy="2415119"/>
                    </a:xfrm>
                    <a:prstGeom prst="rect">
                      <a:avLst/>
                    </a:prstGeom>
                    <a:noFill/>
                    <a:ln>
                      <a:noFill/>
                    </a:ln>
                  </pic:spPr>
                </pic:pic>
              </a:graphicData>
            </a:graphic>
          </wp:inline>
        </w:drawing>
      </w:r>
    </w:p>
    <w:p w:rsidR="00C458A6" w:rsidRDefault="003075AB" w:rsidP="003712C6">
      <w:pPr>
        <w:tabs>
          <w:tab w:val="left" w:pos="709"/>
        </w:tabs>
        <w:spacing w:before="240" w:line="360" w:lineRule="auto"/>
        <w:jc w:val="both"/>
        <w:rPr>
          <w:rFonts w:ascii="Palatino Linotype" w:hAnsi="Palatino Linotype" w:cs="Arial"/>
          <w:sz w:val="24"/>
          <w:szCs w:val="24"/>
        </w:rPr>
      </w:pPr>
      <w:r>
        <w:rPr>
          <w:rFonts w:ascii="Palatino Linotype" w:hAnsi="Palatino Linotype"/>
          <w:sz w:val="24"/>
          <w:szCs w:val="24"/>
        </w:rPr>
        <w:lastRenderedPageBreak/>
        <w:t xml:space="preserve">De la imagen antes referida, advertimos que derivado del Acuerdo citado, la Secretaría </w:t>
      </w:r>
      <w:bookmarkStart w:id="0" w:name="_GoBack"/>
      <w:bookmarkEnd w:id="0"/>
      <w:r>
        <w:rPr>
          <w:rFonts w:ascii="Palatino Linotype" w:hAnsi="Palatino Linotype"/>
          <w:sz w:val="24"/>
          <w:szCs w:val="24"/>
        </w:rPr>
        <w:t>del Medio Ambiente debió elaborar los estudios técnicos justificativos para la emisión de las declaratorias como áreas naturales protegidas, por lo tanto este generó la información a la cual prete</w:t>
      </w:r>
      <w:r w:rsidR="003712C6">
        <w:rPr>
          <w:rFonts w:ascii="Palatino Linotype" w:hAnsi="Palatino Linotype"/>
          <w:sz w:val="24"/>
          <w:szCs w:val="24"/>
        </w:rPr>
        <w:t xml:space="preserve">nde acceder </w:t>
      </w:r>
      <w:r w:rsidR="003712C6" w:rsidRPr="003712C6">
        <w:rPr>
          <w:rFonts w:ascii="Palatino Linotype" w:hAnsi="Palatino Linotype"/>
          <w:b/>
          <w:sz w:val="24"/>
          <w:szCs w:val="24"/>
        </w:rPr>
        <w:t>E</w:t>
      </w:r>
      <w:r w:rsidRPr="003712C6">
        <w:rPr>
          <w:rFonts w:ascii="Palatino Linotype" w:hAnsi="Palatino Linotype"/>
          <w:b/>
          <w:sz w:val="24"/>
          <w:szCs w:val="24"/>
        </w:rPr>
        <w:t>l Recurrente</w:t>
      </w:r>
      <w:r>
        <w:rPr>
          <w:rFonts w:ascii="Palatino Linotype" w:hAnsi="Palatino Linotype"/>
          <w:sz w:val="24"/>
          <w:szCs w:val="24"/>
        </w:rPr>
        <w:t xml:space="preserve"> </w:t>
      </w:r>
      <w:r w:rsidR="00C458A6">
        <w:rPr>
          <w:rFonts w:ascii="Palatino Linotype" w:hAnsi="Palatino Linotype" w:cs="Arial"/>
          <w:sz w:val="24"/>
          <w:szCs w:val="24"/>
        </w:rPr>
        <w:t>y por ende éstos deben obrar en sus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citado con anterioridad.</w:t>
      </w:r>
    </w:p>
    <w:p w:rsidR="00C458A6" w:rsidRPr="00C458A6" w:rsidRDefault="00C458A6" w:rsidP="003712C6">
      <w:pPr>
        <w:tabs>
          <w:tab w:val="left" w:pos="709"/>
        </w:tabs>
        <w:spacing w:before="240" w:line="360" w:lineRule="auto"/>
        <w:jc w:val="both"/>
        <w:rPr>
          <w:rFonts w:ascii="Palatino Linotype" w:hAnsi="Palatino Linotype" w:cs="Arial"/>
          <w:sz w:val="24"/>
          <w:szCs w:val="24"/>
        </w:rPr>
      </w:pPr>
    </w:p>
    <w:p w:rsidR="007F14F1" w:rsidRPr="003712C6" w:rsidRDefault="001973D2" w:rsidP="003712C6">
      <w:pPr>
        <w:tabs>
          <w:tab w:val="left" w:pos="709"/>
        </w:tabs>
        <w:spacing w:before="240" w:line="360" w:lineRule="auto"/>
        <w:jc w:val="both"/>
        <w:rPr>
          <w:rFonts w:ascii="Palatino Linotype" w:hAnsi="Palatino Linotype" w:cs="Arial"/>
          <w:sz w:val="24"/>
          <w:szCs w:val="24"/>
        </w:rPr>
      </w:pPr>
      <w:r w:rsidRPr="003712C6">
        <w:rPr>
          <w:rFonts w:ascii="Palatino Linotype" w:hAnsi="Palatino Linotype" w:cs="Arial"/>
          <w:sz w:val="24"/>
          <w:szCs w:val="24"/>
        </w:rPr>
        <w:t>En conclusión de todo</w:t>
      </w:r>
      <w:r w:rsidR="003712C6">
        <w:rPr>
          <w:rFonts w:ascii="Palatino Linotype" w:hAnsi="Palatino Linotype" w:cs="Arial"/>
          <w:sz w:val="24"/>
          <w:szCs w:val="24"/>
        </w:rPr>
        <w:t xml:space="preserve"> lo anterior, como se observó, </w:t>
      </w:r>
      <w:r w:rsidR="003712C6" w:rsidRPr="003712C6">
        <w:rPr>
          <w:rFonts w:ascii="Palatino Linotype" w:hAnsi="Palatino Linotype" w:cs="Arial"/>
          <w:b/>
          <w:sz w:val="24"/>
          <w:szCs w:val="24"/>
        </w:rPr>
        <w:t>E</w:t>
      </w:r>
      <w:r w:rsidRPr="003712C6">
        <w:rPr>
          <w:rFonts w:ascii="Palatino Linotype" w:hAnsi="Palatino Linotype" w:cs="Arial"/>
          <w:b/>
          <w:sz w:val="24"/>
          <w:szCs w:val="24"/>
        </w:rPr>
        <w:t>l Sujeto Obligado</w:t>
      </w:r>
      <w:r w:rsidRPr="003712C6">
        <w:rPr>
          <w:rFonts w:ascii="Palatino Linotype" w:hAnsi="Palatino Linotype" w:cs="Arial"/>
          <w:sz w:val="24"/>
          <w:szCs w:val="24"/>
        </w:rPr>
        <w:t xml:space="preserve"> puede contar entre sus archivos con el o los documentos a través de los cuales puede colmarse el derecho de acceso </w:t>
      </w:r>
      <w:r w:rsidR="003712C6">
        <w:rPr>
          <w:rFonts w:ascii="Palatino Linotype" w:hAnsi="Palatino Linotype" w:cs="Arial"/>
          <w:sz w:val="24"/>
          <w:szCs w:val="24"/>
        </w:rPr>
        <w:t xml:space="preserve">a la información del </w:t>
      </w:r>
      <w:r w:rsidR="003712C6" w:rsidRPr="003712C6">
        <w:rPr>
          <w:rFonts w:ascii="Palatino Linotype" w:hAnsi="Palatino Linotype" w:cs="Arial"/>
          <w:b/>
          <w:sz w:val="24"/>
          <w:szCs w:val="24"/>
        </w:rPr>
        <w:t>R</w:t>
      </w:r>
      <w:r w:rsidR="00C458A6" w:rsidRPr="003712C6">
        <w:rPr>
          <w:rFonts w:ascii="Palatino Linotype" w:hAnsi="Palatino Linotype" w:cs="Arial"/>
          <w:b/>
          <w:sz w:val="24"/>
          <w:szCs w:val="24"/>
        </w:rPr>
        <w:t>ecurrente</w:t>
      </w:r>
      <w:r w:rsidRPr="003712C6">
        <w:rPr>
          <w:rFonts w:ascii="Palatino Linotype" w:hAnsi="Palatino Linotype" w:cs="Arial"/>
          <w:sz w:val="24"/>
          <w:szCs w:val="24"/>
        </w:rPr>
        <w:t>,</w:t>
      </w:r>
      <w:r w:rsidR="00C458A6" w:rsidRPr="003712C6">
        <w:rPr>
          <w:rFonts w:ascii="Palatino Linotype" w:hAnsi="Palatino Linotype" w:cs="Arial"/>
          <w:sz w:val="24"/>
          <w:szCs w:val="24"/>
        </w:rPr>
        <w:t xml:space="preserve"> por lo cual, se reitera,</w:t>
      </w:r>
      <w:r w:rsidRPr="003712C6">
        <w:rPr>
          <w:rFonts w:ascii="Palatino Linotype" w:hAnsi="Palatino Linotype" w:cs="Arial"/>
          <w:sz w:val="24"/>
          <w:szCs w:val="24"/>
        </w:rPr>
        <w:t xml:space="preserve"> es procedente la entrega del o de los documentos</w:t>
      </w:r>
      <w:r w:rsidR="00C458A6" w:rsidRPr="003712C6">
        <w:rPr>
          <w:rFonts w:ascii="Palatino Linotype" w:hAnsi="Palatino Linotype" w:cs="Arial"/>
          <w:sz w:val="24"/>
          <w:szCs w:val="24"/>
        </w:rPr>
        <w:t xml:space="preserve"> en donde conste los estudios técnicos justificativos para la emisión de las declaratorias como áreas naturales protegidas, así como la fecha de emisión de las zonas Cerro el Ídolo, Cerro Piedra Herrada, Cerro Gordo, Cerro Sacamecate, Pina</w:t>
      </w:r>
      <w:r w:rsidR="007F14F1">
        <w:rPr>
          <w:rFonts w:ascii="Palatino Linotype" w:hAnsi="Palatino Linotype" w:cs="Arial"/>
          <w:sz w:val="24"/>
          <w:szCs w:val="24"/>
        </w:rPr>
        <w:t>l de Marquezado, Ixtapa del Oro; no obstante lo anterior, pudiera ser el caso de que las zonas a las que se hace referencia no hayan sido declaradas como áreas naturales protegidas y por consecuencia no se haya generado la información solicitada, en tal caso bastará con que así lo manifieste</w:t>
      </w:r>
      <w:r w:rsidR="000065A1">
        <w:rPr>
          <w:rFonts w:ascii="Palatino Linotype" w:hAnsi="Palatino Linotype" w:cs="Arial"/>
          <w:sz w:val="24"/>
          <w:szCs w:val="24"/>
        </w:rPr>
        <w:t xml:space="preserve"> el sujeto obligado al momento de dar cumplimiento a la presente resolución</w:t>
      </w:r>
      <w:r w:rsidR="007F14F1">
        <w:rPr>
          <w:rFonts w:ascii="Palatino Linotype" w:hAnsi="Palatino Linotype" w:cs="Arial"/>
          <w:sz w:val="24"/>
          <w:szCs w:val="24"/>
        </w:rPr>
        <w:t>.</w:t>
      </w:r>
    </w:p>
    <w:p w:rsidR="00282F22" w:rsidRDefault="00282F22" w:rsidP="003712C6">
      <w:pPr>
        <w:tabs>
          <w:tab w:val="left" w:pos="709"/>
        </w:tabs>
        <w:spacing w:before="240" w:line="360" w:lineRule="auto"/>
        <w:jc w:val="both"/>
        <w:rPr>
          <w:rFonts w:ascii="Palatino Linotype" w:hAnsi="Palatino Linotype"/>
          <w:i/>
          <w:lang w:val="es-ES_tradnl"/>
        </w:rPr>
      </w:pPr>
    </w:p>
    <w:p w:rsidR="00282F22" w:rsidRDefault="00282F22" w:rsidP="003712C6">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mérito de lo expuesto en líneas anteriores, resultan fundados los motivos de inconformidad que arguye </w:t>
      </w:r>
      <w:r w:rsidR="003712C6">
        <w:rPr>
          <w:rFonts w:ascii="Palatino Linotype" w:hAnsi="Palatino Linotype"/>
          <w:b/>
          <w:sz w:val="24"/>
          <w:szCs w:val="24"/>
        </w:rPr>
        <w:t>E</w:t>
      </w:r>
      <w:r w:rsidR="00D855ED">
        <w:rPr>
          <w:rFonts w:ascii="Palatino Linotype" w:hAnsi="Palatino Linotype"/>
          <w:b/>
          <w:sz w:val="24"/>
          <w:szCs w:val="24"/>
        </w:rPr>
        <w:t>l</w:t>
      </w:r>
      <w:r>
        <w:rPr>
          <w:rFonts w:ascii="Palatino Linotype" w:hAnsi="Palatino Linotype"/>
          <w:b/>
          <w:sz w:val="24"/>
          <w:szCs w:val="24"/>
        </w:rPr>
        <w:t xml:space="preserve"> Recurrente</w:t>
      </w:r>
      <w:r>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primera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la respuesta a la solicitud de información número</w:t>
      </w:r>
      <w:r>
        <w:rPr>
          <w:rFonts w:ascii="Palatino Linotype" w:hAnsi="Palatino Linotype"/>
          <w:b/>
          <w:sz w:val="24"/>
          <w:szCs w:val="24"/>
        </w:rPr>
        <w:t xml:space="preserve"> </w:t>
      </w:r>
      <w:r w:rsidR="00BC709D" w:rsidRPr="00BC709D">
        <w:rPr>
          <w:rFonts w:ascii="Palatino Linotype" w:hAnsi="Palatino Linotype" w:cs="Arial"/>
          <w:b/>
          <w:sz w:val="24"/>
        </w:rPr>
        <w:t>00447/SMA/IP/2018</w:t>
      </w:r>
      <w:r w:rsidR="009F0427">
        <w:rPr>
          <w:rFonts w:ascii="Palatino Linotype" w:hAnsi="Palatino Linotype" w:cs="Arial"/>
          <w:b/>
          <w:sz w:val="24"/>
        </w:rPr>
        <w:t xml:space="preserve"> </w:t>
      </w:r>
      <w:r>
        <w:rPr>
          <w:rFonts w:ascii="Palatino Linotype" w:hAnsi="Palatino Linotype"/>
          <w:sz w:val="24"/>
          <w:szCs w:val="24"/>
        </w:rPr>
        <w:t>que ha sido materia del presente fallo.</w:t>
      </w:r>
    </w:p>
    <w:p w:rsidR="00282F22" w:rsidRDefault="00282F22" w:rsidP="00282F22">
      <w:pPr>
        <w:tabs>
          <w:tab w:val="left" w:pos="709"/>
        </w:tabs>
        <w:spacing w:before="240" w:line="360" w:lineRule="auto"/>
        <w:ind w:right="51"/>
        <w:jc w:val="both"/>
        <w:rPr>
          <w:rFonts w:ascii="Palatino Linotype" w:hAnsi="Palatino Linotype"/>
          <w:b/>
          <w:sz w:val="24"/>
          <w:szCs w:val="24"/>
        </w:rPr>
      </w:pPr>
    </w:p>
    <w:p w:rsidR="00282F22" w:rsidRDefault="00282F22" w:rsidP="00282F2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282F22" w:rsidRDefault="00282F22" w:rsidP="00282F22">
      <w:pPr>
        <w:tabs>
          <w:tab w:val="left" w:pos="709"/>
        </w:tabs>
        <w:spacing w:before="240" w:line="360" w:lineRule="auto"/>
        <w:ind w:right="51"/>
        <w:jc w:val="both"/>
        <w:rPr>
          <w:rFonts w:ascii="Palatino Linotype" w:hAnsi="Palatino Linotype"/>
          <w:sz w:val="24"/>
          <w:szCs w:val="24"/>
        </w:rPr>
      </w:pPr>
    </w:p>
    <w:p w:rsidR="00282F22" w:rsidRDefault="00282F22" w:rsidP="00282F2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rsidR="00282F22" w:rsidRDefault="00282F22" w:rsidP="00282F22">
      <w:pPr>
        <w:spacing w:before="240" w:line="360" w:lineRule="auto"/>
        <w:jc w:val="both"/>
        <w:rPr>
          <w:rFonts w:ascii="Palatino Linotype" w:hAnsi="Palatino Linotype" w:cs="Arial"/>
          <w:sz w:val="24"/>
          <w:szCs w:val="24"/>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REVOCA</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entregada por </w:t>
      </w:r>
      <w:r w:rsidR="00603254">
        <w:rPr>
          <w:rFonts w:ascii="Palatino Linotype" w:eastAsia="Arial Unicode MS" w:hAnsi="Palatino Linotype" w:cs="Arial"/>
          <w:b/>
          <w:sz w:val="24"/>
          <w:szCs w:val="24"/>
        </w:rPr>
        <w:t>E</w:t>
      </w:r>
      <w:r>
        <w:rPr>
          <w:rFonts w:ascii="Palatino Linotype" w:eastAsia="Arial Unicode MS" w:hAnsi="Palatino Linotype" w:cs="Arial"/>
          <w:b/>
          <w:sz w:val="24"/>
          <w:szCs w:val="24"/>
        </w:rPr>
        <w:t xml:space="preserve">l Sujeto Obligado </w:t>
      </w:r>
      <w:r>
        <w:rPr>
          <w:rFonts w:ascii="Palatino Linotype" w:eastAsia="Arial Unicode MS" w:hAnsi="Palatino Linotype" w:cs="Arial"/>
          <w:sz w:val="24"/>
          <w:szCs w:val="24"/>
        </w:rPr>
        <w:t xml:space="preserve">a la solicitud de información número </w:t>
      </w:r>
      <w:r w:rsidR="00BC709D" w:rsidRPr="00BC709D">
        <w:rPr>
          <w:rFonts w:ascii="Palatino Linotype" w:hAnsi="Palatino Linotype" w:cs="Arial"/>
          <w:b/>
          <w:sz w:val="24"/>
        </w:rPr>
        <w:t>00447/SMA/IP/2018</w:t>
      </w:r>
      <w:r>
        <w:rPr>
          <w:rFonts w:ascii="Palatino Linotype" w:hAnsi="Palatino Linotype" w:cs="Arial"/>
          <w:b/>
          <w:sz w:val="24"/>
        </w:rPr>
        <w:t xml:space="preserve">, </w:t>
      </w:r>
      <w:r>
        <w:rPr>
          <w:rFonts w:ascii="Palatino Linotype" w:eastAsia="Arial Unicode MS" w:hAnsi="Palatino Linotype" w:cs="Arial"/>
          <w:sz w:val="24"/>
          <w:szCs w:val="24"/>
        </w:rPr>
        <w:t xml:space="preserve">por resultar fundados los motivos de inconformidad que arguye </w:t>
      </w:r>
      <w:r w:rsidR="009F0427" w:rsidRPr="00603254">
        <w:rPr>
          <w:rFonts w:ascii="Palatino Linotype" w:eastAsia="Arial Unicode MS" w:hAnsi="Palatino Linotype" w:cs="Arial"/>
          <w:b/>
          <w:sz w:val="24"/>
          <w:szCs w:val="24"/>
        </w:rPr>
        <w:t>El</w:t>
      </w:r>
      <w:r w:rsidRPr="00603254">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en términos del</w:t>
      </w:r>
      <w:r>
        <w:rPr>
          <w:rFonts w:ascii="Palatino Linotype" w:eastAsia="Arial Unicode MS" w:hAnsi="Palatino Linotype" w:cs="Arial"/>
          <w:b/>
          <w:sz w:val="24"/>
          <w:szCs w:val="24"/>
        </w:rPr>
        <w:t xml:space="preserve"> </w:t>
      </w:r>
      <w:r>
        <w:rPr>
          <w:rFonts w:ascii="Palatino Linotype" w:hAnsi="Palatino Linotype" w:cs="Arial"/>
          <w:b/>
          <w:sz w:val="24"/>
          <w:szCs w:val="24"/>
        </w:rPr>
        <w:t>Considerando Cuarto</w:t>
      </w:r>
      <w:r>
        <w:rPr>
          <w:rFonts w:ascii="Palatino Linotype" w:hAnsi="Palatino Linotype" w:cs="Arial"/>
          <w:sz w:val="24"/>
          <w:szCs w:val="24"/>
        </w:rPr>
        <w:t xml:space="preserve"> de la presente resolución.</w:t>
      </w:r>
    </w:p>
    <w:p w:rsidR="00282F22" w:rsidRDefault="00282F22" w:rsidP="00282F22">
      <w:pPr>
        <w:spacing w:before="240" w:line="360" w:lineRule="auto"/>
        <w:jc w:val="both"/>
        <w:rPr>
          <w:rFonts w:ascii="Palatino Linotype" w:hAnsi="Palatino Linotype" w:cs="Arial"/>
          <w:sz w:val="18"/>
          <w:szCs w:val="18"/>
        </w:rPr>
      </w:pPr>
    </w:p>
    <w:p w:rsidR="00BD68F2" w:rsidRDefault="00282F22" w:rsidP="00282F22">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SEGUNDO.</w:t>
      </w:r>
      <w:r>
        <w:rPr>
          <w:rFonts w:ascii="Palatino Linotype" w:hAnsi="Palatino Linotype" w:cs="Arial"/>
          <w:sz w:val="24"/>
          <w:szCs w:val="24"/>
        </w:rPr>
        <w:t xml:space="preserve"> Se ordena al </w:t>
      </w:r>
      <w:r>
        <w:rPr>
          <w:rFonts w:ascii="Palatino Linotype" w:hAnsi="Palatino Linotype" w:cs="Arial"/>
          <w:b/>
          <w:sz w:val="24"/>
          <w:szCs w:val="24"/>
        </w:rPr>
        <w:t>Sujeto Obligado</w:t>
      </w:r>
      <w:r>
        <w:rPr>
          <w:rFonts w:ascii="Palatino Linotype" w:hAnsi="Palatino Linotype" w:cs="Arial"/>
          <w:sz w:val="24"/>
          <w:szCs w:val="24"/>
        </w:rPr>
        <w:t xml:space="preserve"> hag</w:t>
      </w:r>
      <w:r w:rsidR="00BB5C7B">
        <w:rPr>
          <w:rFonts w:ascii="Palatino Linotype" w:hAnsi="Palatino Linotype" w:cs="Arial"/>
          <w:sz w:val="24"/>
          <w:szCs w:val="24"/>
        </w:rPr>
        <w:t xml:space="preserve">a entrega al </w:t>
      </w:r>
      <w:r w:rsidR="00BC709D" w:rsidRPr="00603254">
        <w:rPr>
          <w:rFonts w:ascii="Palatino Linotype" w:hAnsi="Palatino Linotype" w:cs="Arial"/>
          <w:b/>
          <w:sz w:val="24"/>
          <w:szCs w:val="24"/>
        </w:rPr>
        <w:t>Recurrente</w:t>
      </w:r>
      <w:r w:rsidR="00BC709D">
        <w:rPr>
          <w:rFonts w:ascii="Palatino Linotype" w:hAnsi="Palatino Linotype" w:cs="Arial"/>
          <w:sz w:val="24"/>
          <w:szCs w:val="24"/>
        </w:rPr>
        <w:t xml:space="preserve"> a través del SAIMEX,</w:t>
      </w:r>
      <w:r w:rsidR="00BC709D" w:rsidRPr="00BC709D">
        <w:t xml:space="preserve"> </w:t>
      </w:r>
      <w:r w:rsidR="00BC709D" w:rsidRPr="00BC709D">
        <w:rPr>
          <w:rFonts w:ascii="Palatino Linotype" w:hAnsi="Palatino Linotype" w:cs="Arial"/>
          <w:sz w:val="24"/>
          <w:szCs w:val="24"/>
        </w:rPr>
        <w:t xml:space="preserve">en términos del Considerando </w:t>
      </w:r>
      <w:r w:rsidR="00BC709D" w:rsidRPr="00BC709D">
        <w:rPr>
          <w:rFonts w:ascii="Palatino Linotype" w:hAnsi="Palatino Linotype" w:cs="Arial"/>
          <w:b/>
          <w:sz w:val="24"/>
          <w:szCs w:val="24"/>
        </w:rPr>
        <w:t>Cuarto</w:t>
      </w:r>
      <w:r w:rsidR="00BC709D">
        <w:rPr>
          <w:rFonts w:ascii="Palatino Linotype" w:hAnsi="Palatino Linotype" w:cs="Arial"/>
          <w:sz w:val="24"/>
          <w:szCs w:val="24"/>
        </w:rPr>
        <w:t>,</w:t>
      </w:r>
      <w:r>
        <w:rPr>
          <w:rFonts w:ascii="Palatino Linotype" w:hAnsi="Palatino Linotype" w:cs="Arial"/>
          <w:sz w:val="24"/>
          <w:szCs w:val="24"/>
        </w:rPr>
        <w:t xml:space="preserve"> de</w:t>
      </w:r>
      <w:r w:rsidR="00BC709D">
        <w:rPr>
          <w:rFonts w:ascii="Palatino Linotype" w:hAnsi="Palatino Linotype" w:cs="Arial"/>
          <w:sz w:val="24"/>
          <w:szCs w:val="24"/>
        </w:rPr>
        <w:t xml:space="preserve"> lo siguiente</w:t>
      </w:r>
      <w:r w:rsidR="00BD68F2">
        <w:rPr>
          <w:rFonts w:ascii="Palatino Linotype" w:hAnsi="Palatino Linotype" w:cs="Arial"/>
          <w:sz w:val="24"/>
          <w:szCs w:val="24"/>
        </w:rPr>
        <w:t>:</w:t>
      </w:r>
    </w:p>
    <w:p w:rsidR="00BD68F2" w:rsidRDefault="00BD68F2" w:rsidP="00282F22">
      <w:pPr>
        <w:autoSpaceDE w:val="0"/>
        <w:autoSpaceDN w:val="0"/>
        <w:adjustRightInd w:val="0"/>
        <w:spacing w:before="240" w:line="360" w:lineRule="auto"/>
        <w:ind w:right="49"/>
        <w:jc w:val="both"/>
        <w:rPr>
          <w:rFonts w:ascii="Palatino Linotype" w:hAnsi="Palatino Linotype" w:cs="Arial"/>
          <w:sz w:val="24"/>
          <w:szCs w:val="24"/>
        </w:rPr>
      </w:pPr>
    </w:p>
    <w:p w:rsidR="00BD68F2" w:rsidRPr="00BC709D" w:rsidRDefault="00BD68F2" w:rsidP="00BC709D">
      <w:pPr>
        <w:pStyle w:val="Prrafodelista"/>
        <w:numPr>
          <w:ilvl w:val="0"/>
          <w:numId w:val="14"/>
        </w:numPr>
        <w:tabs>
          <w:tab w:val="left" w:pos="709"/>
        </w:tabs>
        <w:spacing w:before="240" w:line="360" w:lineRule="auto"/>
        <w:ind w:right="51"/>
        <w:jc w:val="both"/>
        <w:rPr>
          <w:rFonts w:ascii="Palatino Linotype" w:hAnsi="Palatino Linotype" w:cs="Arial"/>
        </w:rPr>
      </w:pPr>
      <w:r>
        <w:rPr>
          <w:rFonts w:ascii="Palatino Linotype" w:hAnsi="Palatino Linotype" w:cs="Arial"/>
        </w:rPr>
        <w:t>El</w:t>
      </w:r>
      <w:r w:rsidRPr="00BD68F2">
        <w:rPr>
          <w:rFonts w:ascii="Palatino Linotype" w:hAnsi="Palatino Linotype" w:cs="Arial"/>
        </w:rPr>
        <w:t xml:space="preserve"> o los documentos </w:t>
      </w:r>
      <w:r w:rsidR="00BC709D">
        <w:rPr>
          <w:rFonts w:ascii="Palatino Linotype" w:hAnsi="Palatino Linotype" w:cs="Arial"/>
        </w:rPr>
        <w:t>en donde conste</w:t>
      </w:r>
      <w:r w:rsidR="005B5E78">
        <w:rPr>
          <w:rFonts w:ascii="Palatino Linotype" w:hAnsi="Palatino Linotype" w:cs="Arial"/>
        </w:rPr>
        <w:t>n</w:t>
      </w:r>
      <w:r w:rsidR="00BC709D">
        <w:rPr>
          <w:rFonts w:ascii="Palatino Linotype" w:hAnsi="Palatino Linotype" w:cs="Arial"/>
        </w:rPr>
        <w:t xml:space="preserve"> </w:t>
      </w:r>
      <w:r w:rsidR="00BC709D" w:rsidRPr="00BC709D">
        <w:rPr>
          <w:rFonts w:ascii="Palatino Linotype" w:hAnsi="Palatino Linotype" w:cs="Arial"/>
        </w:rPr>
        <w:t xml:space="preserve">los estudios </w:t>
      </w:r>
      <w:r w:rsidR="00A42C78" w:rsidRPr="00BC709D">
        <w:rPr>
          <w:rFonts w:ascii="Palatino Linotype" w:hAnsi="Palatino Linotype" w:cs="Arial"/>
        </w:rPr>
        <w:t>técnicos justificativos para la emisión de las declaratorias como áreas naturales protegidas</w:t>
      </w:r>
      <w:r w:rsidR="00BC709D" w:rsidRPr="00BC709D">
        <w:rPr>
          <w:rFonts w:ascii="Palatino Linotype" w:hAnsi="Palatino Linotype" w:cs="Arial"/>
        </w:rPr>
        <w:t xml:space="preserve">, así como la </w:t>
      </w:r>
      <w:r w:rsidR="00BC709D" w:rsidRPr="00BC709D">
        <w:rPr>
          <w:rFonts w:ascii="Palatino Linotype" w:hAnsi="Palatino Linotype" w:cs="Arial"/>
        </w:rPr>
        <w:lastRenderedPageBreak/>
        <w:t>fecha de emisión de las zonas</w:t>
      </w:r>
      <w:r w:rsidR="00BC709D">
        <w:rPr>
          <w:rFonts w:ascii="Palatino Linotype" w:hAnsi="Palatino Linotype" w:cs="Arial"/>
        </w:rPr>
        <w:t>:</w:t>
      </w:r>
      <w:r w:rsidR="00BC709D" w:rsidRPr="00BC709D">
        <w:rPr>
          <w:rFonts w:ascii="Palatino Linotype" w:hAnsi="Palatino Linotype" w:cs="Arial"/>
        </w:rPr>
        <w:t xml:space="preserve"> </w:t>
      </w:r>
      <w:r w:rsidR="00C458A6" w:rsidRPr="00BC709D">
        <w:rPr>
          <w:rFonts w:ascii="Palatino Linotype" w:hAnsi="Palatino Linotype" w:cs="Arial"/>
        </w:rPr>
        <w:t>Cerro el Ídolo</w:t>
      </w:r>
      <w:r w:rsidR="00BC709D" w:rsidRPr="00BC709D">
        <w:rPr>
          <w:rFonts w:ascii="Palatino Linotype" w:hAnsi="Palatino Linotype" w:cs="Arial"/>
        </w:rPr>
        <w:t xml:space="preserve">, </w:t>
      </w:r>
      <w:r w:rsidR="00C458A6" w:rsidRPr="00BC709D">
        <w:rPr>
          <w:rFonts w:ascii="Palatino Linotype" w:hAnsi="Palatino Linotype" w:cs="Arial"/>
        </w:rPr>
        <w:t>Cerro Piedra Herrada</w:t>
      </w:r>
      <w:r w:rsidR="00BC709D" w:rsidRPr="00BC709D">
        <w:rPr>
          <w:rFonts w:ascii="Palatino Linotype" w:hAnsi="Palatino Linotype" w:cs="Arial"/>
        </w:rPr>
        <w:t xml:space="preserve">, </w:t>
      </w:r>
      <w:r w:rsidR="00C458A6" w:rsidRPr="00BC709D">
        <w:rPr>
          <w:rFonts w:ascii="Palatino Linotype" w:hAnsi="Palatino Linotype" w:cs="Arial"/>
        </w:rPr>
        <w:t>Cerro Gordo</w:t>
      </w:r>
      <w:r w:rsidR="00BC709D" w:rsidRPr="00BC709D">
        <w:rPr>
          <w:rFonts w:ascii="Palatino Linotype" w:hAnsi="Palatino Linotype" w:cs="Arial"/>
        </w:rPr>
        <w:t xml:space="preserve">, </w:t>
      </w:r>
      <w:r w:rsidR="00C458A6" w:rsidRPr="00BC709D">
        <w:rPr>
          <w:rFonts w:ascii="Palatino Linotype" w:hAnsi="Palatino Linotype" w:cs="Arial"/>
        </w:rPr>
        <w:t>Cerro Sacamecate</w:t>
      </w:r>
      <w:r w:rsidR="00BC709D" w:rsidRPr="00BC709D">
        <w:rPr>
          <w:rFonts w:ascii="Palatino Linotype" w:hAnsi="Palatino Linotype" w:cs="Arial"/>
        </w:rPr>
        <w:t xml:space="preserve">, </w:t>
      </w:r>
      <w:r w:rsidR="00C458A6" w:rsidRPr="00BC709D">
        <w:rPr>
          <w:rFonts w:ascii="Palatino Linotype" w:hAnsi="Palatino Linotype" w:cs="Arial"/>
        </w:rPr>
        <w:t>Pinal de Marquezado</w:t>
      </w:r>
      <w:r w:rsidR="00BC709D" w:rsidRPr="00BC709D">
        <w:rPr>
          <w:rFonts w:ascii="Palatino Linotype" w:hAnsi="Palatino Linotype" w:cs="Arial"/>
        </w:rPr>
        <w:t xml:space="preserve">, </w:t>
      </w:r>
      <w:r w:rsidR="00C458A6" w:rsidRPr="00BC709D">
        <w:rPr>
          <w:rFonts w:ascii="Palatino Linotype" w:hAnsi="Palatino Linotype" w:cs="Arial"/>
        </w:rPr>
        <w:t>Ixtapa del Oro.</w:t>
      </w:r>
    </w:p>
    <w:p w:rsidR="00282F22" w:rsidRDefault="00282F22" w:rsidP="00282F22">
      <w:pPr>
        <w:autoSpaceDE w:val="0"/>
        <w:autoSpaceDN w:val="0"/>
        <w:adjustRightInd w:val="0"/>
        <w:spacing w:before="240" w:line="360" w:lineRule="auto"/>
        <w:jc w:val="both"/>
        <w:rPr>
          <w:rFonts w:ascii="Palatino Linotype" w:hAnsi="Palatino Linotype" w:cs="Arial"/>
          <w:b/>
          <w:sz w:val="24"/>
          <w:szCs w:val="28"/>
        </w:rPr>
      </w:pPr>
    </w:p>
    <w:p w:rsidR="007F14F1" w:rsidRPr="007F14F1" w:rsidRDefault="007F14F1" w:rsidP="00282F22">
      <w:pPr>
        <w:autoSpaceDE w:val="0"/>
        <w:autoSpaceDN w:val="0"/>
        <w:adjustRightInd w:val="0"/>
        <w:spacing w:before="240" w:line="360" w:lineRule="auto"/>
        <w:jc w:val="both"/>
        <w:rPr>
          <w:rFonts w:ascii="Palatino Linotype" w:hAnsi="Palatino Linotype" w:cs="Arial"/>
          <w:sz w:val="24"/>
          <w:szCs w:val="28"/>
        </w:rPr>
      </w:pPr>
      <w:r>
        <w:rPr>
          <w:rFonts w:ascii="Palatino Linotype" w:hAnsi="Palatino Linotype" w:cs="Arial"/>
          <w:sz w:val="24"/>
          <w:szCs w:val="28"/>
        </w:rPr>
        <w:t>En el caso de que la información de la que se ordena la entrega en el punto 1 que antecede no se haya generado, bastará con que así lo manifieste al momento de dar cumplimiento a la presente resolución.</w:t>
      </w:r>
    </w:p>
    <w:p w:rsidR="007F14F1" w:rsidRDefault="007F14F1" w:rsidP="00282F22">
      <w:pPr>
        <w:autoSpaceDE w:val="0"/>
        <w:autoSpaceDN w:val="0"/>
        <w:adjustRightInd w:val="0"/>
        <w:spacing w:before="240" w:line="360" w:lineRule="auto"/>
        <w:jc w:val="both"/>
        <w:rPr>
          <w:rFonts w:ascii="Palatino Linotype" w:hAnsi="Palatino Linotype" w:cs="Arial"/>
          <w:b/>
          <w:sz w:val="24"/>
          <w:szCs w:val="28"/>
        </w:rPr>
      </w:pPr>
    </w:p>
    <w:p w:rsidR="00282F22" w:rsidRDefault="00282F22" w:rsidP="00282F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w:t>
      </w:r>
      <w:r w:rsidR="00603254">
        <w:rPr>
          <w:rFonts w:ascii="Palatino Linotype" w:hAnsi="Palatino Linotype" w:cs="Arial"/>
          <w:b/>
          <w:sz w:val="24"/>
          <w:szCs w:val="24"/>
        </w:rPr>
        <w:t>Sujeto Obligado</w:t>
      </w:r>
      <w:r>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82F22" w:rsidRDefault="00282F22" w:rsidP="00282F22">
      <w:pPr>
        <w:autoSpaceDE w:val="0"/>
        <w:autoSpaceDN w:val="0"/>
        <w:adjustRightInd w:val="0"/>
        <w:spacing w:before="240" w:line="360" w:lineRule="auto"/>
        <w:jc w:val="both"/>
        <w:rPr>
          <w:rFonts w:ascii="Palatino Linotype" w:hAnsi="Palatino Linotype" w:cs="Arial"/>
          <w:sz w:val="16"/>
          <w:szCs w:val="16"/>
        </w:rPr>
      </w:pPr>
    </w:p>
    <w:p w:rsidR="00282F22" w:rsidRDefault="00282F22" w:rsidP="00282F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680CF8">
        <w:rPr>
          <w:rFonts w:ascii="Palatino Linotype" w:hAnsi="Palatino Linotype" w:cs="Arial"/>
          <w:sz w:val="24"/>
          <w:szCs w:val="24"/>
        </w:rPr>
        <w:t xml:space="preserve"> al </w:t>
      </w:r>
      <w:r w:rsidR="00680CF8" w:rsidRPr="00680CF8">
        <w:rPr>
          <w:rFonts w:ascii="Palatino Linotype" w:hAnsi="Palatino Linotype" w:cs="Arial"/>
          <w:b/>
          <w:sz w:val="24"/>
          <w:szCs w:val="24"/>
        </w:rPr>
        <w:t>R</w:t>
      </w:r>
      <w:r w:rsidRPr="00680CF8">
        <w:rPr>
          <w:rFonts w:ascii="Palatino Linotype" w:hAnsi="Palatino Linotype" w:cs="Arial"/>
          <w:b/>
          <w:sz w:val="24"/>
          <w:szCs w:val="24"/>
        </w:rPr>
        <w:t>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282F22" w:rsidRDefault="00282F22" w:rsidP="006D03D2">
      <w:pPr>
        <w:tabs>
          <w:tab w:val="left" w:pos="709"/>
        </w:tabs>
        <w:spacing w:before="240" w:line="360" w:lineRule="auto"/>
        <w:ind w:right="51"/>
        <w:jc w:val="both"/>
        <w:rPr>
          <w:rFonts w:ascii="Palatino Linotype" w:hAnsi="Palatino Linotype" w:cs="Arial"/>
          <w:sz w:val="24"/>
          <w:szCs w:val="24"/>
        </w:rPr>
      </w:pP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CONFORMADO POR LOS COMISIONADOS </w:t>
      </w:r>
      <w:r w:rsidR="00AB6C3B">
        <w:rPr>
          <w:rFonts w:ascii="Palatino Linotype" w:hAnsi="Palatino Linotype" w:cs="Arial"/>
          <w:sz w:val="24"/>
          <w:szCs w:val="24"/>
        </w:rPr>
        <w:t>ZULEMA MARTÍNEZ SÁNCHEZ</w:t>
      </w:r>
      <w:r w:rsidRPr="00D05C83">
        <w:rPr>
          <w:rFonts w:ascii="Palatino Linotype" w:hAnsi="Palatino Linotype" w:cs="Arial"/>
          <w:sz w:val="24"/>
          <w:szCs w:val="24"/>
        </w:rPr>
        <w:t>, EVA ABAID YAPUR, JOSÉ GUADALUPE LUNA HERNÁNDEZ</w:t>
      </w:r>
      <w:r w:rsidR="00F0052A">
        <w:rPr>
          <w:rFonts w:ascii="Palatino Linotype" w:hAnsi="Palatino Linotype" w:cs="Arial"/>
          <w:sz w:val="24"/>
          <w:szCs w:val="24"/>
        </w:rPr>
        <w:t>,</w:t>
      </w:r>
      <w:r w:rsidRPr="00D05C83">
        <w:rPr>
          <w:rFonts w:ascii="Palatino Linotype" w:hAnsi="Palatino Linotype" w:cs="Arial"/>
          <w:sz w:val="24"/>
          <w:szCs w:val="24"/>
        </w:rPr>
        <w:t xml:space="preserve"> JAVIER MARTÍNEZ CRUZ</w:t>
      </w:r>
      <w:r w:rsidR="00F0052A">
        <w:rPr>
          <w:rFonts w:ascii="Palatino Linotype" w:hAnsi="Palatino Linotype" w:cs="Arial"/>
          <w:sz w:val="24"/>
          <w:szCs w:val="24"/>
        </w:rPr>
        <w:t xml:space="preserve"> Y LUIS GUSTAVO PARRA NORIEGA</w:t>
      </w:r>
      <w:r w:rsidRPr="00D05C83">
        <w:rPr>
          <w:rFonts w:ascii="Palatino Linotype" w:hAnsi="Palatino Linotype" w:cs="Arial"/>
          <w:sz w:val="24"/>
          <w:szCs w:val="24"/>
        </w:rPr>
        <w:t xml:space="preserve">, </w:t>
      </w:r>
      <w:r w:rsidR="002C6AA7" w:rsidRPr="002C6AA7">
        <w:rPr>
          <w:rFonts w:ascii="Palatino Linotype" w:hAnsi="Palatino Linotype" w:cs="Arial"/>
          <w:sz w:val="24"/>
          <w:szCs w:val="24"/>
        </w:rPr>
        <w:t xml:space="preserve">EN LA DÉCIMA SESIÓN DE FECHA </w:t>
      </w:r>
      <w:r w:rsidR="002C6AA7" w:rsidRPr="002C6AA7">
        <w:rPr>
          <w:rFonts w:ascii="Palatino Linotype" w:eastAsia="Times New Roman" w:hAnsi="Palatino Linotype" w:cs="Arial"/>
          <w:color w:val="000000"/>
          <w:sz w:val="24"/>
          <w:szCs w:val="24"/>
          <w:lang w:eastAsia="es-MX"/>
        </w:rPr>
        <w:t>TRECE DE MARZO DE DOS MIL DIECINUEVE</w:t>
      </w:r>
      <w:r w:rsidRPr="0009084B">
        <w:rPr>
          <w:rFonts w:ascii="Palatino Linotype" w:hAnsi="Palatino Linotype" w:cs="Arial"/>
          <w:sz w:val="24"/>
          <w:szCs w:val="24"/>
        </w:rPr>
        <w:t xml:space="preserve">, ANTE </w:t>
      </w:r>
      <w:r w:rsidR="00FC732A" w:rsidRPr="0009084B">
        <w:rPr>
          <w:rFonts w:ascii="Palatino Linotype" w:hAnsi="Palatino Linotype" w:cs="Arial"/>
          <w:sz w:val="24"/>
          <w:szCs w:val="24"/>
        </w:rPr>
        <w:t>E</w:t>
      </w:r>
      <w:r w:rsidRPr="0009084B">
        <w:rPr>
          <w:rFonts w:ascii="Palatino Linotype" w:hAnsi="Palatino Linotype" w:cs="Arial"/>
          <w:sz w:val="24"/>
          <w:szCs w:val="24"/>
        </w:rPr>
        <w:t>L</w:t>
      </w:r>
      <w:r w:rsidR="00FC732A" w:rsidRPr="0009084B">
        <w:rPr>
          <w:rFonts w:ascii="Palatino Linotype" w:hAnsi="Palatino Linotype" w:cs="Arial"/>
          <w:sz w:val="24"/>
          <w:szCs w:val="24"/>
        </w:rPr>
        <w:t xml:space="preserve"> SECRETARIO TÉCNICO</w:t>
      </w:r>
      <w:r w:rsidRPr="0009084B">
        <w:rPr>
          <w:rFonts w:ascii="Palatino Linotype" w:hAnsi="Palatino Linotype" w:cs="Arial"/>
          <w:sz w:val="24"/>
          <w:szCs w:val="24"/>
        </w:rPr>
        <w:t xml:space="preserve"> DEL PLENO, </w:t>
      </w:r>
      <w:r w:rsidR="00FC732A" w:rsidRPr="0009084B">
        <w:rPr>
          <w:rFonts w:ascii="Palatino Linotype" w:hAnsi="Palatino Linotype" w:cs="Arial"/>
          <w:sz w:val="24"/>
          <w:szCs w:val="24"/>
        </w:rPr>
        <w:t>ALEXIS TAPIA RAMÍREZ</w:t>
      </w:r>
      <w:r w:rsidRPr="0009084B">
        <w:rPr>
          <w:rFonts w:ascii="Palatino Linotype" w:hAnsi="Palatino Linotype" w:cs="Arial"/>
          <w:sz w:val="24"/>
          <w:szCs w:val="24"/>
        </w:rPr>
        <w:t>.</w:t>
      </w:r>
    </w:p>
    <w:p w:rsidR="002C6AA7" w:rsidRDefault="002C6AA7" w:rsidP="00680CF8">
      <w:pPr>
        <w:spacing w:after="0" w:line="360" w:lineRule="auto"/>
        <w:jc w:val="both"/>
        <w:rPr>
          <w:rFonts w:ascii="Palatino Linotype" w:hAnsi="Palatino Linotype" w:cs="Arial"/>
          <w:sz w:val="24"/>
          <w:szCs w:val="24"/>
        </w:rPr>
      </w:pPr>
    </w:p>
    <w:p w:rsidR="006168E4" w:rsidRDefault="006168E4" w:rsidP="00680CF8">
      <w:pPr>
        <w:spacing w:after="0" w:line="36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Default="006168E4" w:rsidP="00680CF8">
      <w:pPr>
        <w:spacing w:after="0" w:line="360" w:lineRule="auto"/>
        <w:rPr>
          <w:rFonts w:ascii="Palatino Linotype" w:hAnsi="Palatino Linotype"/>
          <w:b/>
        </w:rPr>
      </w:pPr>
    </w:p>
    <w:p w:rsidR="0009084B" w:rsidRDefault="0009084B" w:rsidP="00680CF8">
      <w:pPr>
        <w:spacing w:after="0" w:line="360" w:lineRule="auto"/>
        <w:rPr>
          <w:rFonts w:ascii="Palatino Linotype" w:hAnsi="Palatino Linotype"/>
          <w:b/>
        </w:rPr>
      </w:pPr>
    </w:p>
    <w:p w:rsidR="006168E4" w:rsidRDefault="006168E4" w:rsidP="00680CF8">
      <w:pPr>
        <w:spacing w:after="0" w:line="360" w:lineRule="auto"/>
        <w:rPr>
          <w:rFonts w:ascii="Palatino Linotype" w:hAnsi="Palatino Linotype"/>
          <w:b/>
        </w:rPr>
      </w:pPr>
    </w:p>
    <w:p w:rsidR="00680CF8" w:rsidRDefault="00680CF8" w:rsidP="00680CF8">
      <w:pPr>
        <w:spacing w:after="0" w:line="360" w:lineRule="auto"/>
        <w:rPr>
          <w:rFonts w:ascii="Palatino Linotype" w:hAnsi="Palatino Linotype"/>
          <w:b/>
        </w:rPr>
      </w:pPr>
    </w:p>
    <w:p w:rsidR="00680CF8" w:rsidRDefault="00680CF8" w:rsidP="00680CF8">
      <w:pPr>
        <w:spacing w:after="0" w:line="360" w:lineRule="auto"/>
        <w:rPr>
          <w:rFonts w:ascii="Palatino Linotype" w:hAnsi="Palatino Linotype"/>
          <w:b/>
        </w:rPr>
      </w:pPr>
    </w:p>
    <w:p w:rsidR="006168E4" w:rsidRDefault="006168E4" w:rsidP="00680CF8">
      <w:pPr>
        <w:spacing w:after="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680CF8">
      <w:pPr>
        <w:spacing w:after="0" w:line="360" w:lineRule="auto"/>
        <w:rPr>
          <w:rFonts w:ascii="Palatino Linotype" w:hAnsi="Palatino Linotype"/>
          <w:b/>
        </w:rPr>
      </w:pPr>
    </w:p>
    <w:p w:rsidR="006168E4" w:rsidRDefault="006168E4" w:rsidP="00680CF8">
      <w:pPr>
        <w:spacing w:after="0" w:line="360" w:lineRule="auto"/>
        <w:rPr>
          <w:rFonts w:ascii="Palatino Linotype" w:hAnsi="Palatino Linotype"/>
          <w:b/>
        </w:rPr>
      </w:pPr>
    </w:p>
    <w:p w:rsidR="006168E4" w:rsidRDefault="006168E4" w:rsidP="00680CF8">
      <w:pPr>
        <w:spacing w:after="0" w:line="360" w:lineRule="auto"/>
        <w:rPr>
          <w:rFonts w:ascii="Palatino Linotype" w:hAnsi="Palatino Linotype"/>
          <w:b/>
          <w:sz w:val="18"/>
          <w:szCs w:val="18"/>
        </w:rPr>
      </w:pPr>
    </w:p>
    <w:p w:rsidR="00680CF8" w:rsidRDefault="00680CF8" w:rsidP="00680CF8">
      <w:pPr>
        <w:spacing w:after="0" w:line="360" w:lineRule="auto"/>
        <w:rPr>
          <w:rFonts w:ascii="Palatino Linotype" w:hAnsi="Palatino Linotype"/>
          <w:b/>
          <w:sz w:val="18"/>
          <w:szCs w:val="18"/>
        </w:rPr>
      </w:pPr>
    </w:p>
    <w:p w:rsidR="00680CF8" w:rsidRDefault="00680CF8" w:rsidP="00680CF8">
      <w:pPr>
        <w:spacing w:after="0" w:line="360" w:lineRule="auto"/>
        <w:rPr>
          <w:rFonts w:ascii="Palatino Linotype" w:hAnsi="Palatino Linotype"/>
          <w:b/>
          <w:sz w:val="18"/>
          <w:szCs w:val="18"/>
        </w:rPr>
      </w:pPr>
    </w:p>
    <w:p w:rsidR="006168E4" w:rsidRPr="00B93570" w:rsidRDefault="00F0052A" w:rsidP="00680CF8">
      <w:pPr>
        <w:spacing w:after="0"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BD0D541" wp14:editId="2591ED97">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D541"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2AD8A1" wp14:editId="30C571E1">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680CF8">
      <w:pPr>
        <w:spacing w:after="0" w:line="360" w:lineRule="auto"/>
        <w:rPr>
          <w:rFonts w:ascii="Palatino Linotype" w:hAnsi="Palatino Linotype"/>
          <w:b/>
          <w:sz w:val="18"/>
          <w:szCs w:val="18"/>
        </w:rPr>
      </w:pPr>
    </w:p>
    <w:p w:rsidR="0009084B" w:rsidRDefault="0009084B" w:rsidP="00680CF8">
      <w:pPr>
        <w:spacing w:after="0" w:line="360" w:lineRule="auto"/>
        <w:rPr>
          <w:rFonts w:ascii="Palatino Linotype" w:hAnsi="Palatino Linotype"/>
          <w:b/>
        </w:rPr>
      </w:pPr>
    </w:p>
    <w:p w:rsidR="00680CF8" w:rsidRDefault="00680CF8" w:rsidP="00680CF8">
      <w:pPr>
        <w:spacing w:after="0" w:line="360" w:lineRule="auto"/>
        <w:rPr>
          <w:rFonts w:ascii="Palatino Linotype" w:hAnsi="Palatino Linotype" w:cs="Arial"/>
          <w:szCs w:val="20"/>
        </w:rPr>
      </w:pPr>
    </w:p>
    <w:p w:rsidR="00680CF8" w:rsidRDefault="00680CF8" w:rsidP="00680CF8">
      <w:pPr>
        <w:spacing w:after="0" w:line="360" w:lineRule="auto"/>
        <w:rPr>
          <w:rFonts w:ascii="Palatino Linotype" w:hAnsi="Palatino Linotype" w:cs="Arial"/>
          <w:szCs w:val="20"/>
        </w:rPr>
      </w:pPr>
    </w:p>
    <w:p w:rsidR="006168E4" w:rsidRDefault="00FC732A" w:rsidP="00680CF8">
      <w:pPr>
        <w:spacing w:after="0" w:line="360" w:lineRule="auto"/>
        <w:rPr>
          <w:rFonts w:ascii="Palatino Linotype" w:hAnsi="Palatino Linotype" w:cs="Arial"/>
          <w:szCs w:val="20"/>
        </w:rPr>
      </w:pPr>
      <w:r w:rsidRPr="00D54B7D">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226E5DB1" wp14:editId="7F0D1714">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680CF8">
      <w:pPr>
        <w:spacing w:after="0" w:line="360" w:lineRule="auto"/>
        <w:rPr>
          <w:rFonts w:ascii="Palatino Linotype" w:hAnsi="Palatino Linotype" w:cs="Arial"/>
          <w:szCs w:val="20"/>
        </w:rPr>
      </w:pPr>
    </w:p>
    <w:p w:rsidR="006168E4" w:rsidRDefault="006168E4" w:rsidP="00680CF8">
      <w:pPr>
        <w:spacing w:after="0" w:line="360" w:lineRule="auto"/>
        <w:rPr>
          <w:rFonts w:ascii="Palatino Linotype" w:hAnsi="Palatino Linotype" w:cs="Arial"/>
          <w:sz w:val="18"/>
          <w:szCs w:val="18"/>
        </w:rPr>
      </w:pPr>
    </w:p>
    <w:p w:rsidR="00680CF8" w:rsidRDefault="00680CF8" w:rsidP="00680CF8">
      <w:pPr>
        <w:spacing w:after="0" w:line="360" w:lineRule="auto"/>
        <w:jc w:val="both"/>
        <w:rPr>
          <w:rFonts w:ascii="Palatino Linotype" w:hAnsi="Palatino Linotype" w:cs="Arial"/>
          <w:sz w:val="16"/>
          <w:szCs w:val="16"/>
        </w:rPr>
      </w:pPr>
    </w:p>
    <w:p w:rsidR="00680CF8" w:rsidRDefault="00680CF8" w:rsidP="00680CF8">
      <w:pPr>
        <w:spacing w:after="0" w:line="360" w:lineRule="auto"/>
        <w:jc w:val="both"/>
        <w:rPr>
          <w:rFonts w:ascii="Palatino Linotype" w:hAnsi="Palatino Linotype" w:cs="Arial"/>
          <w:sz w:val="16"/>
          <w:szCs w:val="16"/>
        </w:rPr>
      </w:pPr>
    </w:p>
    <w:p w:rsidR="00680CF8" w:rsidRDefault="00680CF8" w:rsidP="00680CF8">
      <w:pPr>
        <w:spacing w:after="0" w:line="360" w:lineRule="auto"/>
        <w:jc w:val="both"/>
        <w:rPr>
          <w:rFonts w:ascii="Palatino Linotype" w:hAnsi="Palatino Linotype" w:cs="Arial"/>
          <w:sz w:val="16"/>
          <w:szCs w:val="16"/>
        </w:rPr>
      </w:pPr>
    </w:p>
    <w:p w:rsidR="00680CF8" w:rsidRDefault="00680CF8" w:rsidP="00680CF8">
      <w:pPr>
        <w:spacing w:after="0" w:line="360" w:lineRule="auto"/>
        <w:jc w:val="both"/>
        <w:rPr>
          <w:rFonts w:ascii="Palatino Linotype" w:hAnsi="Palatino Linotype" w:cs="Arial"/>
          <w:sz w:val="16"/>
          <w:szCs w:val="16"/>
        </w:rPr>
      </w:pPr>
    </w:p>
    <w:p w:rsidR="00680CF8" w:rsidRDefault="00680CF8" w:rsidP="00680CF8">
      <w:pPr>
        <w:spacing w:after="0" w:line="240" w:lineRule="auto"/>
        <w:jc w:val="both"/>
        <w:rPr>
          <w:rFonts w:ascii="Palatino Linotype" w:hAnsi="Palatino Linotype" w:cs="Arial"/>
          <w:sz w:val="16"/>
          <w:szCs w:val="16"/>
        </w:rPr>
      </w:pPr>
    </w:p>
    <w:p w:rsidR="00680CF8" w:rsidRDefault="006168E4" w:rsidP="00680CF8">
      <w:pPr>
        <w:spacing w:after="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resolución de </w:t>
      </w:r>
      <w:r w:rsidRPr="0009084B">
        <w:rPr>
          <w:rFonts w:ascii="Palatino Linotype" w:hAnsi="Palatino Linotype" w:cs="Arial"/>
          <w:sz w:val="16"/>
          <w:szCs w:val="16"/>
        </w:rPr>
        <w:t xml:space="preserve">fecha </w:t>
      </w:r>
      <w:r w:rsidR="002C6AA7" w:rsidRPr="002C6AA7">
        <w:rPr>
          <w:rFonts w:ascii="Palatino Linotype" w:hAnsi="Palatino Linotype" w:cs="Arial"/>
          <w:sz w:val="16"/>
          <w:szCs w:val="16"/>
        </w:rPr>
        <w:t>trece de marzo de dos mil diecinueve</w:t>
      </w:r>
      <w:r w:rsidR="00061821" w:rsidRPr="0009084B">
        <w:rPr>
          <w:rFonts w:ascii="Palatino Linotype" w:hAnsi="Palatino Linotype" w:cs="Arial"/>
          <w:sz w:val="16"/>
          <w:szCs w:val="16"/>
        </w:rPr>
        <w:t>,</w:t>
      </w:r>
      <w:r w:rsidRPr="00017E30">
        <w:rPr>
          <w:rFonts w:ascii="Palatino Linotype" w:hAnsi="Palatino Linotype" w:cs="Arial"/>
          <w:sz w:val="16"/>
          <w:szCs w:val="16"/>
        </w:rPr>
        <w:t xml:space="preserve"> e</w:t>
      </w:r>
      <w:r w:rsidRPr="009E19C7">
        <w:rPr>
          <w:rFonts w:ascii="Palatino Linotype" w:hAnsi="Palatino Linotype" w:cs="Arial"/>
          <w:sz w:val="16"/>
          <w:szCs w:val="16"/>
        </w:rPr>
        <w:t xml:space="preserve">mitida en el recurso de revisión </w:t>
      </w:r>
      <w:r w:rsidR="00BC709D" w:rsidRPr="00BC709D">
        <w:rPr>
          <w:rFonts w:ascii="Palatino Linotype" w:hAnsi="Palatino Linotype" w:cs="Arial"/>
          <w:bCs/>
          <w:sz w:val="16"/>
          <w:szCs w:val="16"/>
          <w:lang w:eastAsia="es-MX"/>
        </w:rPr>
        <w:t>04590/INFOEM/IP/RR/2018</w:t>
      </w:r>
      <w:r w:rsidRPr="009E19C7">
        <w:rPr>
          <w:rFonts w:ascii="Palatino Linotype" w:hAnsi="Palatino Linotype" w:cs="Arial"/>
          <w:sz w:val="16"/>
          <w:szCs w:val="16"/>
        </w:rPr>
        <w:t>.</w:t>
      </w:r>
    </w:p>
    <w:p w:rsidR="00DD13E2" w:rsidRPr="00680CF8" w:rsidRDefault="006168E4" w:rsidP="00680CF8">
      <w:pPr>
        <w:spacing w:after="0" w:line="240" w:lineRule="auto"/>
        <w:jc w:val="both"/>
        <w:rPr>
          <w:rFonts w:ascii="Palatino Linotype" w:hAnsi="Palatino Linotype" w:cs="Arial"/>
          <w:sz w:val="16"/>
          <w:szCs w:val="16"/>
        </w:rPr>
      </w:pPr>
      <w:r>
        <w:rPr>
          <w:rFonts w:ascii="Palatino Linotype" w:hAnsi="Palatino Linotype"/>
          <w:sz w:val="16"/>
          <w:szCs w:val="16"/>
        </w:rPr>
        <w:t>OSAM</w:t>
      </w:r>
      <w:r w:rsidR="00FC732A">
        <w:rPr>
          <w:rFonts w:ascii="Palatino Linotype" w:hAnsi="Palatino Linotype"/>
          <w:sz w:val="16"/>
          <w:szCs w:val="16"/>
        </w:rPr>
        <w:t>/LASF</w:t>
      </w:r>
    </w:p>
    <w:sectPr w:rsidR="00DD13E2" w:rsidRPr="00680CF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268" w:rsidRDefault="004E2268" w:rsidP="006168E4">
      <w:pPr>
        <w:spacing w:after="0" w:line="240" w:lineRule="auto"/>
      </w:pPr>
      <w:r>
        <w:separator/>
      </w:r>
    </w:p>
  </w:endnote>
  <w:endnote w:type="continuationSeparator" w:id="0">
    <w:p w:rsidR="004E2268" w:rsidRDefault="004E226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6AA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6AA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6A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6AA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268" w:rsidRDefault="004E2268" w:rsidP="006168E4">
      <w:pPr>
        <w:spacing w:after="0" w:line="240" w:lineRule="auto"/>
      </w:pPr>
      <w:r>
        <w:separator/>
      </w:r>
    </w:p>
  </w:footnote>
  <w:footnote w:type="continuationSeparator" w:id="0">
    <w:p w:rsidR="004E2268" w:rsidRDefault="004E2268"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275092" w:rsidP="00C37A9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04590/INFOEM/IP/RR/2018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275092" w:rsidP="00952219">
          <w:pPr>
            <w:spacing w:after="120" w:line="256" w:lineRule="auto"/>
            <w:ind w:left="639" w:right="214"/>
            <w:jc w:val="both"/>
            <w:rPr>
              <w:rFonts w:ascii="Palatino Linotype" w:hAnsi="Palatino Linotype" w:cs="Arial"/>
            </w:rPr>
          </w:pPr>
          <w:r w:rsidRPr="00275092">
            <w:rPr>
              <w:rFonts w:ascii="Palatino Linotype" w:hAnsi="Palatino Linotype" w:cs="Arial"/>
              <w:szCs w:val="20"/>
            </w:rPr>
            <w:t>Secretaría del Medio Ambiente</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224C24" w:rsidP="0027509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37A94">
            <w:rPr>
              <w:rFonts w:ascii="Palatino Linotype" w:hAnsi="Palatino Linotype" w:cs="Arial"/>
              <w:bCs/>
              <w:sz w:val="24"/>
              <w:lang w:eastAsia="es-MX"/>
            </w:rPr>
            <w:t>4</w:t>
          </w:r>
          <w:r w:rsidR="00275092">
            <w:rPr>
              <w:rFonts w:ascii="Palatino Linotype" w:hAnsi="Palatino Linotype" w:cs="Arial"/>
              <w:bCs/>
              <w:sz w:val="24"/>
              <w:lang w:eastAsia="es-MX"/>
            </w:rPr>
            <w:t>590</w:t>
          </w:r>
          <w:r w:rsidR="00FE6A66">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2C6AA7" w:rsidP="00C37A94">
          <w:pPr>
            <w:spacing w:after="120" w:line="256" w:lineRule="auto"/>
            <w:ind w:left="639" w:right="214"/>
            <w:jc w:val="both"/>
            <w:rPr>
              <w:rFonts w:ascii="Palatino Linotype" w:hAnsi="Palatino Linotype" w:cs="Arial"/>
            </w:rPr>
          </w:pPr>
          <w:r>
            <w:rPr>
              <w:rFonts w:ascii="Palatino Linotype" w:hAnsi="Palatino Linotype" w:cs="Arial"/>
            </w:rPr>
            <w:t>XXXXXXXXXXXXXXXXXXX</w:t>
          </w:r>
          <w:r w:rsidR="00C37A94">
            <w:rPr>
              <w:rFonts w:ascii="Palatino Linotype" w:hAnsi="Palatino Linotype" w:cs="Arial"/>
            </w:rPr>
            <w:t xml:space="preserve"> </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275092" w:rsidP="00952219">
          <w:pPr>
            <w:spacing w:after="120" w:line="256" w:lineRule="auto"/>
            <w:ind w:left="639" w:right="214"/>
            <w:jc w:val="both"/>
            <w:rPr>
              <w:rFonts w:ascii="Palatino Linotype" w:hAnsi="Palatino Linotype" w:cs="Arial"/>
              <w:szCs w:val="20"/>
            </w:rPr>
          </w:pPr>
          <w:r w:rsidRPr="00275092">
            <w:rPr>
              <w:rFonts w:ascii="Palatino Linotype" w:hAnsi="Palatino Linotype" w:cs="Arial"/>
              <w:szCs w:val="20"/>
            </w:rPr>
            <w:t>Secretaría del Medio Ambiente</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97690"/>
    <w:multiLevelType w:val="hybridMultilevel"/>
    <w:tmpl w:val="DFE4C6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D01BB"/>
    <w:multiLevelType w:val="hybridMultilevel"/>
    <w:tmpl w:val="DFE4C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D105A"/>
    <w:multiLevelType w:val="hybridMultilevel"/>
    <w:tmpl w:val="DFE4C6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1" w15:restartNumberingAfterBreak="0">
    <w:nsid w:val="76BF4ADD"/>
    <w:multiLevelType w:val="hybridMultilevel"/>
    <w:tmpl w:val="5AFA8F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9F509C5"/>
    <w:multiLevelType w:val="hybridMultilevel"/>
    <w:tmpl w:val="DFE4C6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10"/>
  </w:num>
  <w:num w:numId="3">
    <w:abstractNumId w:val="1"/>
  </w:num>
  <w:num w:numId="4">
    <w:abstractNumId w:val="6"/>
  </w:num>
  <w:num w:numId="5">
    <w:abstractNumId w:val="9"/>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065A1"/>
    <w:rsid w:val="000148DF"/>
    <w:rsid w:val="00016E58"/>
    <w:rsid w:val="0002141B"/>
    <w:rsid w:val="000306A7"/>
    <w:rsid w:val="00032F93"/>
    <w:rsid w:val="00045379"/>
    <w:rsid w:val="00051CA7"/>
    <w:rsid w:val="00055224"/>
    <w:rsid w:val="00061821"/>
    <w:rsid w:val="000623F9"/>
    <w:rsid w:val="00063A10"/>
    <w:rsid w:val="000662F8"/>
    <w:rsid w:val="00073E78"/>
    <w:rsid w:val="0009084B"/>
    <w:rsid w:val="00091552"/>
    <w:rsid w:val="00091C3A"/>
    <w:rsid w:val="000A0615"/>
    <w:rsid w:val="000A1AE4"/>
    <w:rsid w:val="000A244E"/>
    <w:rsid w:val="000A3486"/>
    <w:rsid w:val="000A79DA"/>
    <w:rsid w:val="000B09A8"/>
    <w:rsid w:val="000B15C9"/>
    <w:rsid w:val="000B2341"/>
    <w:rsid w:val="000B4B51"/>
    <w:rsid w:val="000B7158"/>
    <w:rsid w:val="000C5B8B"/>
    <w:rsid w:val="000D1B55"/>
    <w:rsid w:val="000D3C75"/>
    <w:rsid w:val="000E53AB"/>
    <w:rsid w:val="000E686B"/>
    <w:rsid w:val="000F0E50"/>
    <w:rsid w:val="00111DCD"/>
    <w:rsid w:val="00114CF9"/>
    <w:rsid w:val="00116475"/>
    <w:rsid w:val="00120736"/>
    <w:rsid w:val="001231E6"/>
    <w:rsid w:val="00124855"/>
    <w:rsid w:val="001254F5"/>
    <w:rsid w:val="00125A95"/>
    <w:rsid w:val="00125CAA"/>
    <w:rsid w:val="001349FA"/>
    <w:rsid w:val="00135AD1"/>
    <w:rsid w:val="00136FAD"/>
    <w:rsid w:val="0014604C"/>
    <w:rsid w:val="00146F0A"/>
    <w:rsid w:val="00152C2B"/>
    <w:rsid w:val="001564EA"/>
    <w:rsid w:val="00160D15"/>
    <w:rsid w:val="001741A2"/>
    <w:rsid w:val="00174CF5"/>
    <w:rsid w:val="00175897"/>
    <w:rsid w:val="00176DE1"/>
    <w:rsid w:val="00180B9F"/>
    <w:rsid w:val="00181CC5"/>
    <w:rsid w:val="00184EA4"/>
    <w:rsid w:val="00193784"/>
    <w:rsid w:val="001973D2"/>
    <w:rsid w:val="001A02EC"/>
    <w:rsid w:val="001A577E"/>
    <w:rsid w:val="001A5B30"/>
    <w:rsid w:val="001A7C9B"/>
    <w:rsid w:val="001B05B9"/>
    <w:rsid w:val="001B7032"/>
    <w:rsid w:val="001B7B88"/>
    <w:rsid w:val="001C7319"/>
    <w:rsid w:val="001C7D87"/>
    <w:rsid w:val="001D0E5D"/>
    <w:rsid w:val="001D2B2C"/>
    <w:rsid w:val="001D2B71"/>
    <w:rsid w:val="001D3E87"/>
    <w:rsid w:val="001D54D9"/>
    <w:rsid w:val="001E5249"/>
    <w:rsid w:val="001F2C9A"/>
    <w:rsid w:val="0021501E"/>
    <w:rsid w:val="00215523"/>
    <w:rsid w:val="002164AC"/>
    <w:rsid w:val="002201D4"/>
    <w:rsid w:val="002205C0"/>
    <w:rsid w:val="00224C24"/>
    <w:rsid w:val="00230C20"/>
    <w:rsid w:val="0023373D"/>
    <w:rsid w:val="0023423C"/>
    <w:rsid w:val="0024491F"/>
    <w:rsid w:val="0025188E"/>
    <w:rsid w:val="002546C4"/>
    <w:rsid w:val="002577FE"/>
    <w:rsid w:val="00273D0E"/>
    <w:rsid w:val="00273E49"/>
    <w:rsid w:val="00275092"/>
    <w:rsid w:val="00282F22"/>
    <w:rsid w:val="002A2034"/>
    <w:rsid w:val="002A24F4"/>
    <w:rsid w:val="002A38BF"/>
    <w:rsid w:val="002A597E"/>
    <w:rsid w:val="002B0AB6"/>
    <w:rsid w:val="002B107F"/>
    <w:rsid w:val="002B28A2"/>
    <w:rsid w:val="002B5DBD"/>
    <w:rsid w:val="002C5CC3"/>
    <w:rsid w:val="002C6AA7"/>
    <w:rsid w:val="002C72D2"/>
    <w:rsid w:val="002D43D6"/>
    <w:rsid w:val="002E2D7B"/>
    <w:rsid w:val="002E5E6A"/>
    <w:rsid w:val="002F2630"/>
    <w:rsid w:val="002F37BE"/>
    <w:rsid w:val="00300D0B"/>
    <w:rsid w:val="00306096"/>
    <w:rsid w:val="003075AB"/>
    <w:rsid w:val="00315BE1"/>
    <w:rsid w:val="0031645D"/>
    <w:rsid w:val="00320A67"/>
    <w:rsid w:val="0032155B"/>
    <w:rsid w:val="003235EA"/>
    <w:rsid w:val="00326073"/>
    <w:rsid w:val="003272FB"/>
    <w:rsid w:val="003378CE"/>
    <w:rsid w:val="00355E4E"/>
    <w:rsid w:val="003607E0"/>
    <w:rsid w:val="00361B9C"/>
    <w:rsid w:val="003712C6"/>
    <w:rsid w:val="00376CEC"/>
    <w:rsid w:val="00380758"/>
    <w:rsid w:val="003842E2"/>
    <w:rsid w:val="00390E13"/>
    <w:rsid w:val="00392302"/>
    <w:rsid w:val="00394927"/>
    <w:rsid w:val="00394A1E"/>
    <w:rsid w:val="00397614"/>
    <w:rsid w:val="003A61F9"/>
    <w:rsid w:val="003A656C"/>
    <w:rsid w:val="003B1E88"/>
    <w:rsid w:val="003B3D7E"/>
    <w:rsid w:val="003C39E8"/>
    <w:rsid w:val="003D0774"/>
    <w:rsid w:val="003E16E1"/>
    <w:rsid w:val="004012CF"/>
    <w:rsid w:val="00402FF3"/>
    <w:rsid w:val="004055E9"/>
    <w:rsid w:val="004069EB"/>
    <w:rsid w:val="00412FC2"/>
    <w:rsid w:val="00423213"/>
    <w:rsid w:val="0042416D"/>
    <w:rsid w:val="00437C40"/>
    <w:rsid w:val="00450AB6"/>
    <w:rsid w:val="004516EB"/>
    <w:rsid w:val="004529B6"/>
    <w:rsid w:val="00453DBD"/>
    <w:rsid w:val="00454CE6"/>
    <w:rsid w:val="0045795D"/>
    <w:rsid w:val="004616B8"/>
    <w:rsid w:val="00462670"/>
    <w:rsid w:val="00462881"/>
    <w:rsid w:val="00463B4A"/>
    <w:rsid w:val="00475F48"/>
    <w:rsid w:val="00477CC2"/>
    <w:rsid w:val="0048180A"/>
    <w:rsid w:val="00481C7A"/>
    <w:rsid w:val="00486142"/>
    <w:rsid w:val="004906C8"/>
    <w:rsid w:val="0049082B"/>
    <w:rsid w:val="004928FA"/>
    <w:rsid w:val="004967E2"/>
    <w:rsid w:val="004A290F"/>
    <w:rsid w:val="004A5FFD"/>
    <w:rsid w:val="004A70BD"/>
    <w:rsid w:val="004A7CE2"/>
    <w:rsid w:val="004B076B"/>
    <w:rsid w:val="004C2585"/>
    <w:rsid w:val="004C650A"/>
    <w:rsid w:val="004D08EB"/>
    <w:rsid w:val="004E2268"/>
    <w:rsid w:val="004E2371"/>
    <w:rsid w:val="004E6BE9"/>
    <w:rsid w:val="00503655"/>
    <w:rsid w:val="00504C1E"/>
    <w:rsid w:val="00515090"/>
    <w:rsid w:val="00521E57"/>
    <w:rsid w:val="00526244"/>
    <w:rsid w:val="005305EA"/>
    <w:rsid w:val="005365E8"/>
    <w:rsid w:val="005371E7"/>
    <w:rsid w:val="00540538"/>
    <w:rsid w:val="005520FE"/>
    <w:rsid w:val="00556513"/>
    <w:rsid w:val="005570BA"/>
    <w:rsid w:val="00562653"/>
    <w:rsid w:val="005733EB"/>
    <w:rsid w:val="00580802"/>
    <w:rsid w:val="00581A22"/>
    <w:rsid w:val="00593E91"/>
    <w:rsid w:val="0059448B"/>
    <w:rsid w:val="005A0B49"/>
    <w:rsid w:val="005A6D57"/>
    <w:rsid w:val="005A6FF6"/>
    <w:rsid w:val="005A7397"/>
    <w:rsid w:val="005B5B70"/>
    <w:rsid w:val="005B5E78"/>
    <w:rsid w:val="005B5F05"/>
    <w:rsid w:val="005C5834"/>
    <w:rsid w:val="005C6982"/>
    <w:rsid w:val="005C7F9E"/>
    <w:rsid w:val="005D2B59"/>
    <w:rsid w:val="005D362F"/>
    <w:rsid w:val="005D370F"/>
    <w:rsid w:val="005E10EC"/>
    <w:rsid w:val="005E4D7C"/>
    <w:rsid w:val="005F048E"/>
    <w:rsid w:val="005F2D7A"/>
    <w:rsid w:val="005F3769"/>
    <w:rsid w:val="005F57F0"/>
    <w:rsid w:val="006001B9"/>
    <w:rsid w:val="00600AF7"/>
    <w:rsid w:val="00603254"/>
    <w:rsid w:val="006073EF"/>
    <w:rsid w:val="0061042F"/>
    <w:rsid w:val="006168E4"/>
    <w:rsid w:val="00637512"/>
    <w:rsid w:val="00640EE4"/>
    <w:rsid w:val="0064599E"/>
    <w:rsid w:val="006466F5"/>
    <w:rsid w:val="00646CAD"/>
    <w:rsid w:val="00661753"/>
    <w:rsid w:val="00662949"/>
    <w:rsid w:val="006641B5"/>
    <w:rsid w:val="00665035"/>
    <w:rsid w:val="00680CF8"/>
    <w:rsid w:val="006848B7"/>
    <w:rsid w:val="006B1953"/>
    <w:rsid w:val="006B1BF1"/>
    <w:rsid w:val="006B26E3"/>
    <w:rsid w:val="006B4A8B"/>
    <w:rsid w:val="006B7444"/>
    <w:rsid w:val="006C6F05"/>
    <w:rsid w:val="006D03D2"/>
    <w:rsid w:val="006D20EF"/>
    <w:rsid w:val="006D23FC"/>
    <w:rsid w:val="006E2D8D"/>
    <w:rsid w:val="006E48F6"/>
    <w:rsid w:val="00701033"/>
    <w:rsid w:val="00715E04"/>
    <w:rsid w:val="007407EE"/>
    <w:rsid w:val="007424D1"/>
    <w:rsid w:val="00744EEF"/>
    <w:rsid w:val="0075091A"/>
    <w:rsid w:val="00754CAE"/>
    <w:rsid w:val="007664DA"/>
    <w:rsid w:val="007851D5"/>
    <w:rsid w:val="0079486A"/>
    <w:rsid w:val="00794F80"/>
    <w:rsid w:val="007A0426"/>
    <w:rsid w:val="007A078B"/>
    <w:rsid w:val="007A1C9E"/>
    <w:rsid w:val="007A52D0"/>
    <w:rsid w:val="007B2C77"/>
    <w:rsid w:val="007B496F"/>
    <w:rsid w:val="007D1A27"/>
    <w:rsid w:val="007D1B24"/>
    <w:rsid w:val="007D1F15"/>
    <w:rsid w:val="007D25B1"/>
    <w:rsid w:val="007D2878"/>
    <w:rsid w:val="007E7BAB"/>
    <w:rsid w:val="007E7DCE"/>
    <w:rsid w:val="007F14F1"/>
    <w:rsid w:val="007F20AC"/>
    <w:rsid w:val="00800D84"/>
    <w:rsid w:val="00802C56"/>
    <w:rsid w:val="00811205"/>
    <w:rsid w:val="00812C48"/>
    <w:rsid w:val="008146F9"/>
    <w:rsid w:val="008178FC"/>
    <w:rsid w:val="00824DCD"/>
    <w:rsid w:val="00827F11"/>
    <w:rsid w:val="00836BAC"/>
    <w:rsid w:val="00836EDB"/>
    <w:rsid w:val="00837B4D"/>
    <w:rsid w:val="00844569"/>
    <w:rsid w:val="00847D23"/>
    <w:rsid w:val="00857750"/>
    <w:rsid w:val="00863327"/>
    <w:rsid w:val="00870F44"/>
    <w:rsid w:val="00884054"/>
    <w:rsid w:val="00884BA0"/>
    <w:rsid w:val="008928C8"/>
    <w:rsid w:val="00895089"/>
    <w:rsid w:val="008951ED"/>
    <w:rsid w:val="008A41A4"/>
    <w:rsid w:val="008A75BE"/>
    <w:rsid w:val="008B597F"/>
    <w:rsid w:val="008C32A8"/>
    <w:rsid w:val="008C55A3"/>
    <w:rsid w:val="008E1E4A"/>
    <w:rsid w:val="008E6375"/>
    <w:rsid w:val="008F4C65"/>
    <w:rsid w:val="00905422"/>
    <w:rsid w:val="00913133"/>
    <w:rsid w:val="00921DB9"/>
    <w:rsid w:val="00922885"/>
    <w:rsid w:val="0092403D"/>
    <w:rsid w:val="0092607C"/>
    <w:rsid w:val="009402DB"/>
    <w:rsid w:val="009449B8"/>
    <w:rsid w:val="00944DC9"/>
    <w:rsid w:val="00952219"/>
    <w:rsid w:val="009605CD"/>
    <w:rsid w:val="009611E0"/>
    <w:rsid w:val="00965FEE"/>
    <w:rsid w:val="0096643B"/>
    <w:rsid w:val="00970220"/>
    <w:rsid w:val="009706B5"/>
    <w:rsid w:val="00972BDF"/>
    <w:rsid w:val="00974E2C"/>
    <w:rsid w:val="0098182D"/>
    <w:rsid w:val="00985DC0"/>
    <w:rsid w:val="00986753"/>
    <w:rsid w:val="0099747F"/>
    <w:rsid w:val="009A686F"/>
    <w:rsid w:val="009B33A8"/>
    <w:rsid w:val="009B3487"/>
    <w:rsid w:val="009B7C61"/>
    <w:rsid w:val="009C2348"/>
    <w:rsid w:val="009C3793"/>
    <w:rsid w:val="009E1411"/>
    <w:rsid w:val="009E52F2"/>
    <w:rsid w:val="009F0427"/>
    <w:rsid w:val="009F3C1F"/>
    <w:rsid w:val="009F614E"/>
    <w:rsid w:val="009F762B"/>
    <w:rsid w:val="00A001BF"/>
    <w:rsid w:val="00A02047"/>
    <w:rsid w:val="00A036BE"/>
    <w:rsid w:val="00A12205"/>
    <w:rsid w:val="00A13C45"/>
    <w:rsid w:val="00A211E5"/>
    <w:rsid w:val="00A3330B"/>
    <w:rsid w:val="00A33D8F"/>
    <w:rsid w:val="00A42C78"/>
    <w:rsid w:val="00A453DC"/>
    <w:rsid w:val="00A52D7E"/>
    <w:rsid w:val="00A625E2"/>
    <w:rsid w:val="00A64FC9"/>
    <w:rsid w:val="00A70440"/>
    <w:rsid w:val="00A72465"/>
    <w:rsid w:val="00A80C92"/>
    <w:rsid w:val="00A82461"/>
    <w:rsid w:val="00A851D8"/>
    <w:rsid w:val="00A953BA"/>
    <w:rsid w:val="00AA5D62"/>
    <w:rsid w:val="00AB2C6F"/>
    <w:rsid w:val="00AB3710"/>
    <w:rsid w:val="00AB4B0F"/>
    <w:rsid w:val="00AB6C3B"/>
    <w:rsid w:val="00AC2710"/>
    <w:rsid w:val="00AD304C"/>
    <w:rsid w:val="00AE008F"/>
    <w:rsid w:val="00AE0449"/>
    <w:rsid w:val="00AE6C8A"/>
    <w:rsid w:val="00B00658"/>
    <w:rsid w:val="00B10BDF"/>
    <w:rsid w:val="00B11E08"/>
    <w:rsid w:val="00B32CD3"/>
    <w:rsid w:val="00B34819"/>
    <w:rsid w:val="00B35A93"/>
    <w:rsid w:val="00B362B1"/>
    <w:rsid w:val="00B3672D"/>
    <w:rsid w:val="00B4281E"/>
    <w:rsid w:val="00B435BD"/>
    <w:rsid w:val="00B4745C"/>
    <w:rsid w:val="00B53C91"/>
    <w:rsid w:val="00B57CC2"/>
    <w:rsid w:val="00B74D91"/>
    <w:rsid w:val="00B74FEE"/>
    <w:rsid w:val="00B808CD"/>
    <w:rsid w:val="00B83CE8"/>
    <w:rsid w:val="00B87DE1"/>
    <w:rsid w:val="00B9223B"/>
    <w:rsid w:val="00BA182F"/>
    <w:rsid w:val="00BA4D1F"/>
    <w:rsid w:val="00BA7AD1"/>
    <w:rsid w:val="00BB1FE3"/>
    <w:rsid w:val="00BB2250"/>
    <w:rsid w:val="00BB5C7B"/>
    <w:rsid w:val="00BC0FDD"/>
    <w:rsid w:val="00BC22E0"/>
    <w:rsid w:val="00BC709D"/>
    <w:rsid w:val="00BD450B"/>
    <w:rsid w:val="00BD53B0"/>
    <w:rsid w:val="00BD68F2"/>
    <w:rsid w:val="00BE11AC"/>
    <w:rsid w:val="00BE28ED"/>
    <w:rsid w:val="00BE3D94"/>
    <w:rsid w:val="00C1282B"/>
    <w:rsid w:val="00C25084"/>
    <w:rsid w:val="00C3380E"/>
    <w:rsid w:val="00C37A94"/>
    <w:rsid w:val="00C42173"/>
    <w:rsid w:val="00C458A6"/>
    <w:rsid w:val="00C71CD1"/>
    <w:rsid w:val="00C73143"/>
    <w:rsid w:val="00C77685"/>
    <w:rsid w:val="00C77815"/>
    <w:rsid w:val="00C85374"/>
    <w:rsid w:val="00C85378"/>
    <w:rsid w:val="00C87B2F"/>
    <w:rsid w:val="00C9297C"/>
    <w:rsid w:val="00CA30AC"/>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0744B"/>
    <w:rsid w:val="00D14990"/>
    <w:rsid w:val="00D17789"/>
    <w:rsid w:val="00D21565"/>
    <w:rsid w:val="00D262C8"/>
    <w:rsid w:val="00D2737E"/>
    <w:rsid w:val="00D274A9"/>
    <w:rsid w:val="00D301F6"/>
    <w:rsid w:val="00D32644"/>
    <w:rsid w:val="00D33619"/>
    <w:rsid w:val="00D365F2"/>
    <w:rsid w:val="00D36D84"/>
    <w:rsid w:val="00D41C5F"/>
    <w:rsid w:val="00D52AC7"/>
    <w:rsid w:val="00D54CA9"/>
    <w:rsid w:val="00D56AB4"/>
    <w:rsid w:val="00D6340F"/>
    <w:rsid w:val="00D72D16"/>
    <w:rsid w:val="00D8195B"/>
    <w:rsid w:val="00D855ED"/>
    <w:rsid w:val="00D8619F"/>
    <w:rsid w:val="00D86764"/>
    <w:rsid w:val="00D90F88"/>
    <w:rsid w:val="00DA2940"/>
    <w:rsid w:val="00DB0194"/>
    <w:rsid w:val="00DB121A"/>
    <w:rsid w:val="00DB5C0A"/>
    <w:rsid w:val="00DD13E2"/>
    <w:rsid w:val="00DD5620"/>
    <w:rsid w:val="00DF003C"/>
    <w:rsid w:val="00DF4501"/>
    <w:rsid w:val="00DF78AE"/>
    <w:rsid w:val="00E023F7"/>
    <w:rsid w:val="00E0311A"/>
    <w:rsid w:val="00E11E2E"/>
    <w:rsid w:val="00E30A6E"/>
    <w:rsid w:val="00E371EC"/>
    <w:rsid w:val="00E46E26"/>
    <w:rsid w:val="00E70E35"/>
    <w:rsid w:val="00E72AE3"/>
    <w:rsid w:val="00E73B51"/>
    <w:rsid w:val="00E753C9"/>
    <w:rsid w:val="00E77E55"/>
    <w:rsid w:val="00E90602"/>
    <w:rsid w:val="00EA10DB"/>
    <w:rsid w:val="00EA1F89"/>
    <w:rsid w:val="00EA55DA"/>
    <w:rsid w:val="00EA64CB"/>
    <w:rsid w:val="00EB117B"/>
    <w:rsid w:val="00EB40D6"/>
    <w:rsid w:val="00EB5F75"/>
    <w:rsid w:val="00EB6EF6"/>
    <w:rsid w:val="00EB79CD"/>
    <w:rsid w:val="00ED1711"/>
    <w:rsid w:val="00EE0F2E"/>
    <w:rsid w:val="00EE2A41"/>
    <w:rsid w:val="00EE4BE2"/>
    <w:rsid w:val="00EF09FB"/>
    <w:rsid w:val="00F0052A"/>
    <w:rsid w:val="00F02923"/>
    <w:rsid w:val="00F0351B"/>
    <w:rsid w:val="00F06472"/>
    <w:rsid w:val="00F12CB5"/>
    <w:rsid w:val="00F145B9"/>
    <w:rsid w:val="00F22566"/>
    <w:rsid w:val="00F22963"/>
    <w:rsid w:val="00F403EA"/>
    <w:rsid w:val="00F41077"/>
    <w:rsid w:val="00F41CF9"/>
    <w:rsid w:val="00F42753"/>
    <w:rsid w:val="00F510DB"/>
    <w:rsid w:val="00F51E44"/>
    <w:rsid w:val="00F727B0"/>
    <w:rsid w:val="00F847C1"/>
    <w:rsid w:val="00F937CC"/>
    <w:rsid w:val="00F95796"/>
    <w:rsid w:val="00FA2545"/>
    <w:rsid w:val="00FA5745"/>
    <w:rsid w:val="00FA59DD"/>
    <w:rsid w:val="00FB4AAD"/>
    <w:rsid w:val="00FB4E3D"/>
    <w:rsid w:val="00FB5F2A"/>
    <w:rsid w:val="00FC4F9B"/>
    <w:rsid w:val="00FC59F0"/>
    <w:rsid w:val="00FC732A"/>
    <w:rsid w:val="00FD4599"/>
    <w:rsid w:val="00FD4784"/>
    <w:rsid w:val="00FD65FE"/>
    <w:rsid w:val="00FE3653"/>
    <w:rsid w:val="00FE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8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2596452">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7211137">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044373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0465570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450316807">
      <w:bodyDiv w:val="1"/>
      <w:marLeft w:val="0"/>
      <w:marRight w:val="0"/>
      <w:marTop w:val="0"/>
      <w:marBottom w:val="0"/>
      <w:divBdr>
        <w:top w:val="none" w:sz="0" w:space="0" w:color="auto"/>
        <w:left w:val="none" w:sz="0" w:space="0" w:color="auto"/>
        <w:bottom w:val="none" w:sz="0" w:space="0" w:color="auto"/>
        <w:right w:val="none" w:sz="0" w:space="0" w:color="auto"/>
      </w:divBdr>
    </w:div>
    <w:div w:id="147563557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28508042">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1386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100726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F239F-31BF-4E9D-9ACD-758EA991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5610</Words>
  <Characters>30856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2019-02-07T02:00:00Z</cp:lastPrinted>
  <dcterms:created xsi:type="dcterms:W3CDTF">2019-03-29T16:45:00Z</dcterms:created>
  <dcterms:modified xsi:type="dcterms:W3CDTF">2019-03-29T16:45:00Z</dcterms:modified>
</cp:coreProperties>
</file>