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A83BA9">
        <w:rPr>
          <w:rStyle w:val="normaltextrun"/>
          <w:rFonts w:ascii="Palatino Linotype" w:hAnsi="Palatino Linotype" w:cs="Arial"/>
        </w:rPr>
        <w:t>,</w:t>
      </w:r>
      <w:r w:rsidRPr="00A83BA9">
        <w:rPr>
          <w:rStyle w:val="apple-converted-space"/>
          <w:rFonts w:ascii="Palatino Linotype" w:hAnsi="Palatino Linotype" w:cs="Arial"/>
        </w:rPr>
        <w:t> </w:t>
      </w:r>
      <w:r w:rsidR="000055E6" w:rsidRPr="00A83BA9">
        <w:rPr>
          <w:rStyle w:val="apple-converted-space"/>
          <w:rFonts w:ascii="Palatino Linotype" w:hAnsi="Palatino Linotype" w:cs="Arial"/>
        </w:rPr>
        <w:t xml:space="preserve">de fecha </w:t>
      </w:r>
      <w:r w:rsidR="000055E6" w:rsidRPr="00A83BA9">
        <w:rPr>
          <w:rStyle w:val="normaltextrun"/>
          <w:rFonts w:ascii="Palatino Linotype" w:hAnsi="Palatino Linotype" w:cs="Arial"/>
        </w:rPr>
        <w:t xml:space="preserve">veinte </w:t>
      </w:r>
      <w:r w:rsidRPr="00A83BA9">
        <w:rPr>
          <w:rStyle w:val="normaltextrun"/>
          <w:rFonts w:ascii="Palatino Linotype" w:hAnsi="Palatino Linotype" w:cs="Arial"/>
        </w:rPr>
        <w:t>de febrero de dos mil diecinueve.</w:t>
      </w:r>
    </w:p>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cs="Arial"/>
          <w:b/>
        </w:rPr>
        <w:t xml:space="preserve">Visto </w:t>
      </w:r>
      <w:r w:rsidRPr="00A83BA9">
        <w:rPr>
          <w:rFonts w:ascii="Palatino Linotype" w:hAnsi="Palatino Linotype" w:cs="Arial"/>
        </w:rPr>
        <w:t xml:space="preserve">el expediente relativo al recurso de revisión </w:t>
      </w:r>
      <w:r w:rsidRPr="00A83BA9">
        <w:rPr>
          <w:rFonts w:ascii="Palatino Linotype" w:hAnsi="Palatino Linotype" w:cs="Arial"/>
          <w:b/>
          <w:bCs/>
        </w:rPr>
        <w:t>04609/INFOEM/IP/RR/2018</w:t>
      </w:r>
      <w:r w:rsidRPr="00A83BA9">
        <w:rPr>
          <w:rFonts w:ascii="Palatino Linotype" w:hAnsi="Palatino Linotype" w:cs="Arial"/>
        </w:rPr>
        <w:t xml:space="preserve">, interpuesto por </w:t>
      </w:r>
      <w:r w:rsidR="0085564E" w:rsidRPr="00A83BA9">
        <w:rPr>
          <w:rFonts w:ascii="Palatino Linotype" w:hAnsi="Palatino Linotype" w:cs="Arial"/>
          <w:b/>
          <w:lang w:val="es-ES_tradnl"/>
        </w:rPr>
        <w:t>XXXXXXX XXXXX XXXXXXX</w:t>
      </w:r>
      <w:r w:rsidRPr="00A83BA9">
        <w:rPr>
          <w:rFonts w:ascii="Palatino Linotype" w:hAnsi="Palatino Linotype" w:cs="Arial"/>
        </w:rPr>
        <w:t xml:space="preserve">, en lo sucesivo el </w:t>
      </w:r>
      <w:r w:rsidRPr="00A83BA9">
        <w:rPr>
          <w:rFonts w:ascii="Palatino Linotype" w:hAnsi="Palatino Linotype" w:cs="Arial"/>
          <w:b/>
        </w:rPr>
        <w:t>recurrente</w:t>
      </w:r>
      <w:r w:rsidRPr="00A83BA9">
        <w:rPr>
          <w:rFonts w:ascii="Palatino Linotype" w:hAnsi="Palatino Linotype" w:cs="Arial"/>
        </w:rPr>
        <w:t xml:space="preserve"> en contra de la respuesta emitida a la solicitud de información con número de folio </w:t>
      </w:r>
      <w:r w:rsidRPr="00A83BA9">
        <w:rPr>
          <w:rFonts w:ascii="Palatino Linotype" w:hAnsi="Palatino Linotype" w:cs="Arial"/>
          <w:b/>
          <w:bCs/>
        </w:rPr>
        <w:t>00209/SECOGEM/IP/2018</w:t>
      </w:r>
      <w:r w:rsidRPr="00A83BA9">
        <w:rPr>
          <w:rFonts w:ascii="Palatino Linotype" w:hAnsi="Palatino Linotype" w:cs="Arial"/>
        </w:rPr>
        <w:t xml:space="preserve">, por parte de la </w:t>
      </w:r>
      <w:r w:rsidRPr="00A83BA9">
        <w:rPr>
          <w:rFonts w:ascii="Palatino Linotype" w:hAnsi="Palatino Linotype" w:cs="Arial"/>
          <w:b/>
          <w:bCs/>
        </w:rPr>
        <w:t>Secretaría de la Contraloría</w:t>
      </w:r>
      <w:r w:rsidRPr="00A83BA9">
        <w:rPr>
          <w:rFonts w:ascii="Palatino Linotype" w:hAnsi="Palatino Linotype" w:cs="Arial"/>
        </w:rPr>
        <w:t xml:space="preserve">, en lo sucesivo el </w:t>
      </w:r>
      <w:r w:rsidRPr="00A83BA9">
        <w:rPr>
          <w:rFonts w:ascii="Palatino Linotype" w:hAnsi="Palatino Linotype" w:cs="Arial"/>
          <w:b/>
        </w:rPr>
        <w:t xml:space="preserve">Sujeto Obligado; </w:t>
      </w:r>
      <w:r w:rsidRPr="00A83BA9">
        <w:rPr>
          <w:rFonts w:ascii="Palatino Linotype" w:hAnsi="Palatino Linotype" w:cs="Arial"/>
        </w:rPr>
        <w:t>se procede a dictar la presente resolución, con base en lo siguiente.</w:t>
      </w:r>
    </w:p>
    <w:p w:rsidR="00C14BA5" w:rsidRPr="00A83BA9" w:rsidRDefault="00C14BA5" w:rsidP="00C14BA5">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A83BA9">
        <w:rPr>
          <w:rFonts w:ascii="Palatino Linotype" w:hAnsi="Palatino Linotype" w:cs="Arial"/>
          <w:b/>
          <w:sz w:val="24"/>
          <w:szCs w:val="24"/>
        </w:rPr>
        <w:t>A N T E C E D E N T E S:</w:t>
      </w:r>
    </w:p>
    <w:p w:rsidR="00C14BA5" w:rsidRPr="00A83BA9" w:rsidRDefault="00C14BA5" w:rsidP="00C14BA5">
      <w:pPr>
        <w:spacing w:before="240" w:after="240" w:line="360" w:lineRule="auto"/>
        <w:jc w:val="both"/>
        <w:rPr>
          <w:rFonts w:ascii="Palatino Linotype" w:hAnsi="Palatino Linotype" w:cs="Arial"/>
          <w:b/>
        </w:rPr>
      </w:pPr>
      <w:r w:rsidRPr="00A83BA9">
        <w:rPr>
          <w:rFonts w:ascii="Palatino Linotype" w:hAnsi="Palatino Linotype" w:cs="Arial"/>
          <w:b/>
        </w:rPr>
        <w:t xml:space="preserve">1. Solicitud de acceso a la información. </w:t>
      </w:r>
      <w:r w:rsidRPr="00A83BA9">
        <w:rPr>
          <w:rFonts w:ascii="Palatino Linotype" w:hAnsi="Palatino Linotype" w:cs="Arial"/>
        </w:rPr>
        <w:t xml:space="preserve">Con fecha veintiséis de noviembre del dos mil dieciocho, la parte </w:t>
      </w:r>
      <w:r w:rsidRPr="00A83BA9">
        <w:rPr>
          <w:rFonts w:ascii="Palatino Linotype" w:hAnsi="Palatino Linotype" w:cs="Arial"/>
          <w:b/>
        </w:rPr>
        <w:t>recurrente</w:t>
      </w:r>
      <w:r w:rsidRPr="00A83BA9">
        <w:rPr>
          <w:rFonts w:ascii="Palatino Linotype" w:hAnsi="Palatino Linotype" w:cs="Arial"/>
        </w:rPr>
        <w:t xml:space="preserve"> formuló solicitud de acceso a información pública al </w:t>
      </w:r>
      <w:r w:rsidRPr="00A83BA9">
        <w:rPr>
          <w:rFonts w:ascii="Palatino Linotype" w:hAnsi="Palatino Linotype" w:cs="Arial"/>
          <w:b/>
        </w:rPr>
        <w:t>Sujeto Obligado</w:t>
      </w:r>
      <w:r w:rsidRPr="00A83BA9">
        <w:rPr>
          <w:rFonts w:ascii="Palatino Linotype" w:hAnsi="Palatino Linotype" w:cs="Arial"/>
        </w:rPr>
        <w:t xml:space="preserve"> a través del Sistema de Acceso a la Información Mexiquense, en adelante </w:t>
      </w:r>
      <w:r w:rsidRPr="00A83BA9">
        <w:rPr>
          <w:rFonts w:ascii="Palatino Linotype" w:hAnsi="Palatino Linotype" w:cs="Arial"/>
          <w:b/>
        </w:rPr>
        <w:t>SAIMEX,</w:t>
      </w:r>
      <w:r w:rsidRPr="00A83BA9">
        <w:rPr>
          <w:rFonts w:ascii="Palatino Linotype" w:hAnsi="Palatino Linotype" w:cs="Arial"/>
        </w:rPr>
        <w:t xml:space="preserve"> requiriéndole lo siguiente:</w:t>
      </w:r>
    </w:p>
    <w:p w:rsidR="00C14BA5" w:rsidRPr="00A83BA9" w:rsidRDefault="00C14BA5" w:rsidP="00C14BA5">
      <w:pPr>
        <w:autoSpaceDE w:val="0"/>
        <w:autoSpaceDN w:val="0"/>
        <w:adjustRightInd w:val="0"/>
        <w:ind w:left="992" w:right="1043"/>
        <w:jc w:val="both"/>
        <w:rPr>
          <w:rFonts w:ascii="Palatino Linotype" w:hAnsi="Palatino Linotype" w:cs="Arial"/>
          <w:i/>
          <w:sz w:val="22"/>
          <w:szCs w:val="22"/>
        </w:rPr>
      </w:pPr>
      <w:r w:rsidRPr="00A83BA9">
        <w:rPr>
          <w:rFonts w:ascii="Palatino Linotype" w:hAnsi="Palatino Linotype" w:cs="Arial"/>
          <w:i/>
          <w:sz w:val="22"/>
          <w:szCs w:val="22"/>
        </w:rPr>
        <w:t xml:space="preserve"> “REQUERIMOS SE NOS INFORME CUÁL DEBE SER EL PROCEDIMIENTO LEGAL QUE DEBEN ATENDER LAS DEPENDENCIAS Y ENTIDADES DE LA ADMINISTRACIÓN PUBLICA DEL GOBIERNO DEL ESTADO DE MÉXICO, CON RELACIÓN A LA SELECCIÓN, DESIGNACIÓN Y CONTRATACIÓN DE LA PARTICIPACIÓN DE TESTIGOS SOCIALES EN LOS PROCEDIMIENTOS ADQUISITIVOS Y DE CONTRATACIÓN, CONSIDERANDO LA RESPUESTA DE CONTRALORÍA EN EL SENTIDO DE APLICAR LO SEÑALADO EN EL INDICE DEL EXPEDIENTE DE PARTICIPACIÓN DEL TESTIGO SOCIAL Y LA RESPUESTA EMITIDA POR EL COMITÉ DE REGISTRO DE TESTIGOS SOCIALES EN EL SENTIDO DE QUE ESE COMITÉ NO </w:t>
      </w:r>
      <w:r w:rsidRPr="00A83BA9">
        <w:rPr>
          <w:rFonts w:ascii="Palatino Linotype" w:hAnsi="Palatino Linotype" w:cs="Arial"/>
          <w:i/>
          <w:sz w:val="22"/>
          <w:szCs w:val="22"/>
        </w:rPr>
        <w:lastRenderedPageBreak/>
        <w:t>DESIGNA A TESTIGO SOCIAL ALGUNO. SE ANEXAN AMBOS DOCUMENTOS</w:t>
      </w:r>
      <w:r w:rsidRPr="00A83BA9">
        <w:rPr>
          <w:rFonts w:ascii="Palatino Linotype" w:hAnsi="Palatino Linotype"/>
          <w:i/>
          <w:sz w:val="22"/>
          <w:szCs w:val="22"/>
        </w:rPr>
        <w:t>.</w:t>
      </w:r>
      <w:r w:rsidRPr="00A83BA9">
        <w:rPr>
          <w:rFonts w:ascii="Palatino Linotype" w:hAnsi="Palatino Linotype" w:cs="Arial"/>
          <w:i/>
          <w:sz w:val="22"/>
          <w:szCs w:val="22"/>
        </w:rPr>
        <w:t>” (sic)</w:t>
      </w:r>
    </w:p>
    <w:p w:rsidR="00C14BA5" w:rsidRPr="00A83BA9" w:rsidRDefault="00C14BA5" w:rsidP="00C14BA5">
      <w:pPr>
        <w:autoSpaceDE w:val="0"/>
        <w:autoSpaceDN w:val="0"/>
        <w:adjustRightInd w:val="0"/>
        <w:ind w:left="992" w:right="1043"/>
        <w:jc w:val="both"/>
        <w:rPr>
          <w:rFonts w:ascii="Palatino Linotype" w:hAnsi="Palatino Linotype" w:cs="Arial"/>
          <w:i/>
          <w:sz w:val="22"/>
          <w:szCs w:val="22"/>
        </w:rPr>
      </w:pPr>
    </w:p>
    <w:p w:rsidR="00C14BA5" w:rsidRPr="00A83BA9" w:rsidRDefault="00C14BA5" w:rsidP="00C14BA5">
      <w:pPr>
        <w:autoSpaceDE w:val="0"/>
        <w:autoSpaceDN w:val="0"/>
        <w:adjustRightInd w:val="0"/>
        <w:ind w:left="992" w:right="1043"/>
        <w:jc w:val="both"/>
        <w:rPr>
          <w:rFonts w:ascii="Palatino Linotype" w:hAnsi="Palatino Linotype" w:cs="Arial"/>
          <w:i/>
          <w:sz w:val="22"/>
          <w:szCs w:val="22"/>
        </w:rPr>
      </w:pPr>
      <w:r w:rsidRPr="00A83BA9">
        <w:rPr>
          <w:rFonts w:ascii="Palatino Linotype" w:hAnsi="Palatino Linotype" w:cs="Arial"/>
          <w:i/>
          <w:sz w:val="22"/>
          <w:szCs w:val="22"/>
        </w:rPr>
        <w:t>Énfasis añadido.</w:t>
      </w:r>
    </w:p>
    <w:p w:rsidR="00C14BA5" w:rsidRPr="00A83BA9" w:rsidRDefault="00C14BA5" w:rsidP="00C14BA5">
      <w:pPr>
        <w:autoSpaceDE w:val="0"/>
        <w:autoSpaceDN w:val="0"/>
        <w:adjustRightInd w:val="0"/>
        <w:ind w:right="1043"/>
        <w:jc w:val="both"/>
        <w:rPr>
          <w:rFonts w:ascii="Palatino Linotype" w:hAnsi="Palatino Linotype"/>
          <w:i/>
          <w:sz w:val="22"/>
          <w:szCs w:val="22"/>
        </w:rPr>
      </w:pPr>
    </w:p>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cs="Arial"/>
          <w:b/>
        </w:rPr>
        <w:t xml:space="preserve">Modalidad elegida para la entrega de la información: </w:t>
      </w:r>
      <w:r w:rsidRPr="00A83BA9">
        <w:rPr>
          <w:rFonts w:ascii="Palatino Linotype" w:hAnsi="Palatino Linotype" w:cs="Arial"/>
        </w:rPr>
        <w:t>a través del SAIMEX.</w:t>
      </w:r>
    </w:p>
    <w:p w:rsidR="00C14BA5" w:rsidRPr="00A83BA9" w:rsidRDefault="00C14BA5" w:rsidP="00C14BA5">
      <w:pPr>
        <w:spacing w:before="240" w:after="240" w:line="360" w:lineRule="auto"/>
        <w:jc w:val="both"/>
        <w:rPr>
          <w:rFonts w:ascii="Palatino Linotype" w:hAnsi="Palatino Linotype" w:cs="Arial"/>
          <w:color w:val="333333"/>
          <w:lang w:val="es-MX" w:eastAsia="es-MX"/>
        </w:rPr>
      </w:pPr>
      <w:r w:rsidRPr="00A83BA9">
        <w:rPr>
          <w:rFonts w:ascii="Palatino Linotype" w:hAnsi="Palatino Linotype" w:cs="Arial"/>
        </w:rPr>
        <w:t>Al respecto es de suma importancia mencionar que el solicitante adjuntó los archivos electrónicos denominados “</w:t>
      </w:r>
      <w:hyperlink r:id="rId7" w:tgtFrame="_blank" w:history="1">
        <w:r w:rsidRPr="00A83BA9">
          <w:rPr>
            <w:rStyle w:val="Hipervnculo"/>
            <w:rFonts w:ascii="Palatino Linotype" w:hAnsi="Palatino Linotype" w:cs="Arial"/>
            <w:b/>
            <w:bCs/>
            <w:color w:val="67C19D"/>
          </w:rPr>
          <w:t>RESPUESTA TRANSPARENCIA EDO MEX.pdf</w:t>
        </w:r>
      </w:hyperlink>
      <w:r w:rsidRPr="00A83BA9">
        <w:rPr>
          <w:rFonts w:ascii="Palatino Linotype" w:hAnsi="Palatino Linotype" w:cs="Arial"/>
          <w:color w:val="333333"/>
        </w:rPr>
        <w:t>” y “</w:t>
      </w:r>
      <w:hyperlink r:id="rId8" w:tgtFrame="_blank" w:history="1">
        <w:r w:rsidRPr="00A83BA9">
          <w:rPr>
            <w:rStyle w:val="Hipervnculo"/>
            <w:rFonts w:ascii="Palatino Linotype" w:hAnsi="Palatino Linotype" w:cs="Arial"/>
            <w:b/>
            <w:bCs/>
            <w:color w:val="67C19D"/>
          </w:rPr>
          <w:t>RESPUESTA CONTRALORIA EDO MEX.PDF</w:t>
        </w:r>
      </w:hyperlink>
      <w:r w:rsidRPr="00A83BA9">
        <w:rPr>
          <w:rFonts w:ascii="Palatino Linotype" w:hAnsi="Palatino Linotype" w:cs="Arial"/>
          <w:color w:val="333333"/>
        </w:rPr>
        <w:t>”, cuyo contenido no se inserta por ser del conocimiento de las partes.</w:t>
      </w:r>
    </w:p>
    <w:p w:rsidR="00C14BA5" w:rsidRPr="00A83BA9" w:rsidRDefault="00C14BA5" w:rsidP="00C14BA5">
      <w:pPr>
        <w:spacing w:before="240" w:after="240" w:line="360" w:lineRule="auto"/>
        <w:jc w:val="both"/>
        <w:rPr>
          <w:rFonts w:ascii="Palatino Linotype" w:hAnsi="Palatino Linotype" w:cs="Arial"/>
          <w:b/>
        </w:rPr>
      </w:pPr>
      <w:r w:rsidRPr="00A83BA9">
        <w:rPr>
          <w:rFonts w:ascii="Palatino Linotype" w:hAnsi="Palatino Linotype" w:cs="Arial"/>
          <w:b/>
        </w:rPr>
        <w:t xml:space="preserve">2. Respuesta. </w:t>
      </w:r>
      <w:r w:rsidRPr="00A83BA9">
        <w:rPr>
          <w:rFonts w:ascii="Palatino Linotype" w:hAnsi="Palatino Linotype" w:cs="Arial"/>
        </w:rPr>
        <w:t xml:space="preserve">De las constancias que obran en </w:t>
      </w:r>
      <w:r w:rsidRPr="00A83BA9">
        <w:rPr>
          <w:rFonts w:ascii="Palatino Linotype" w:hAnsi="Palatino Linotype" w:cs="Arial"/>
          <w:b/>
        </w:rPr>
        <w:t>SAIMEX</w:t>
      </w:r>
      <w:r w:rsidRPr="00A83BA9">
        <w:rPr>
          <w:rFonts w:ascii="Palatino Linotype" w:hAnsi="Palatino Linotype" w:cs="Arial"/>
        </w:rPr>
        <w:t xml:space="preserve">, se observa que </w:t>
      </w:r>
      <w:r w:rsidRPr="00A83BA9">
        <w:rPr>
          <w:rFonts w:ascii="Palatino Linotype" w:hAnsi="Palatino Linotype" w:cs="Arial"/>
          <w:b/>
        </w:rPr>
        <w:t xml:space="preserve">El Sujeto Obligado </w:t>
      </w:r>
      <w:r w:rsidRPr="00A83BA9">
        <w:rPr>
          <w:rFonts w:ascii="Palatino Linotype" w:hAnsi="Palatino Linotype" w:cs="Arial"/>
        </w:rPr>
        <w:t>en fecha cuatro de diciembre de dos mil dieciocho emitió respuesta, en los siguientes términos:</w:t>
      </w:r>
    </w:p>
    <w:p w:rsidR="00C14BA5" w:rsidRPr="00A83BA9" w:rsidRDefault="00C14BA5" w:rsidP="00C14BA5">
      <w:pPr>
        <w:ind w:left="851" w:right="851"/>
        <w:jc w:val="both"/>
        <w:rPr>
          <w:rFonts w:ascii="Palatino Linotype" w:hAnsi="Palatino Linotype"/>
          <w:i/>
          <w:color w:val="000000"/>
          <w:sz w:val="22"/>
          <w:szCs w:val="22"/>
        </w:rPr>
      </w:pPr>
      <w:r w:rsidRPr="00A83BA9">
        <w:rPr>
          <w:rFonts w:ascii="Palatino Linotype" w:hAnsi="Palatino Linotype"/>
          <w:i/>
          <w:color w:val="000000"/>
          <w:sz w:val="22"/>
          <w:szCs w:val="22"/>
        </w:rPr>
        <w:t>“SE ANEXA OFICIO DE RESPUESTA.”</w:t>
      </w:r>
    </w:p>
    <w:p w:rsidR="00C14BA5" w:rsidRPr="00A83BA9" w:rsidRDefault="00C14BA5" w:rsidP="00C14BA5">
      <w:pPr>
        <w:ind w:right="851"/>
        <w:jc w:val="both"/>
        <w:rPr>
          <w:rFonts w:ascii="Palatino Linotype" w:hAnsi="Palatino Linotype" w:cs="Arial"/>
          <w:i/>
          <w:sz w:val="22"/>
          <w:szCs w:val="22"/>
        </w:rPr>
      </w:pPr>
    </w:p>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cs="Arial"/>
        </w:rPr>
        <w:t>Es de suma importancia mencionar que el Sujeto Obligado adjuntó los archivos electrónicos cuyo contenido se detalla a continuación:</w:t>
      </w:r>
    </w:p>
    <w:p w:rsidR="00C14BA5" w:rsidRPr="00A83BA9" w:rsidRDefault="00C14BA5" w:rsidP="00C14BA5">
      <w:pPr>
        <w:pStyle w:val="Prrafodelista"/>
        <w:numPr>
          <w:ilvl w:val="0"/>
          <w:numId w:val="4"/>
        </w:numPr>
        <w:spacing w:before="240" w:after="240" w:line="360" w:lineRule="auto"/>
        <w:jc w:val="both"/>
        <w:rPr>
          <w:rFonts w:ascii="Palatino Linotype" w:hAnsi="Palatino Linotype"/>
        </w:rPr>
      </w:pPr>
      <w:r w:rsidRPr="00A83BA9">
        <w:rPr>
          <w:rFonts w:ascii="Palatino Linotype" w:hAnsi="Palatino Linotype"/>
        </w:rPr>
        <w:t xml:space="preserve">Archivo </w:t>
      </w:r>
      <w:hyperlink r:id="rId9" w:tgtFrame="_blank" w:history="1">
        <w:r w:rsidRPr="00A83BA9">
          <w:rPr>
            <w:rStyle w:val="Hipervnculo"/>
            <w:rFonts w:ascii="Palatino Linotype" w:hAnsi="Palatino Linotype" w:cs="Arial"/>
            <w:b/>
            <w:bCs/>
            <w:color w:val="67C19D"/>
          </w:rPr>
          <w:t>OFICIO DE RESPUESTA SPH.PDF</w:t>
        </w:r>
      </w:hyperlink>
      <w:r w:rsidRPr="00A83BA9">
        <w:rPr>
          <w:rFonts w:ascii="Palatino Linotype" w:hAnsi="Palatino Linotype"/>
        </w:rPr>
        <w:t xml:space="preserve"> contiene el oficio número 2100E0000/015/2018 a través del cual la Jefa de la Unidad de Políticas en Contrataciones Públicas informa al Jefe de la Unidad de Prevención de la Corrupción que el procedimiento que deben atender las Dependencias y Entidades de la Administración Pública del Gobierno del Estado de México, con relación a la selección, designación y contratación de la participación de testigos sociales en los procedimientos adquisitivos y de contratación lo regulan los artículos 1.46, 1.61 y 1.63 del Título Décimo del Libro Primero del Código Administrativo del Estado de </w:t>
      </w:r>
      <w:r w:rsidRPr="00A83BA9">
        <w:rPr>
          <w:rFonts w:ascii="Palatino Linotype" w:hAnsi="Palatino Linotype"/>
        </w:rPr>
        <w:lastRenderedPageBreak/>
        <w:t>México y 2, 12, 17, 22, 29 y 30 de su Reglamento, agregando que el Acuerdo por el que se establece el “Índice del Expediente de la Participación del Testigo Social”, publicado en la Gaceta del Gobierno del Estado en fecha ocho de septiembre de dos mil once, en el apartado denominado “Procedimiento: Participación de Testigos Sociales en los Procedimientos de Contratación que realiza el Poder Ejecutivo del Gobierno del Estado de México”, “Proceso I” (pag.8) y en el apartado denominado “Desarrollo”(pag.10), numerales 1, 2, 3, 4, 5, 6, 7, 9, 11 y 12.</w:t>
      </w:r>
    </w:p>
    <w:p w:rsidR="00C14BA5" w:rsidRPr="00A83BA9" w:rsidRDefault="00C14BA5" w:rsidP="00C14BA5">
      <w:pPr>
        <w:pStyle w:val="Prrafodelista"/>
        <w:numPr>
          <w:ilvl w:val="0"/>
          <w:numId w:val="4"/>
        </w:numPr>
        <w:spacing w:before="240" w:after="240" w:line="360" w:lineRule="auto"/>
        <w:jc w:val="both"/>
        <w:rPr>
          <w:rFonts w:ascii="Palatino Linotype" w:hAnsi="Palatino Linotype"/>
        </w:rPr>
      </w:pPr>
      <w:r w:rsidRPr="00A83BA9">
        <w:rPr>
          <w:rFonts w:ascii="Palatino Linotype" w:hAnsi="Palatino Linotype"/>
        </w:rPr>
        <w:t xml:space="preserve">Archivo </w:t>
      </w:r>
      <w:hyperlink r:id="rId10" w:tgtFrame="_blank" w:history="1">
        <w:r w:rsidRPr="00A83BA9">
          <w:rPr>
            <w:rStyle w:val="Hipervnculo"/>
            <w:rFonts w:ascii="Palatino Linotype" w:hAnsi="Palatino Linotype" w:cs="Arial"/>
            <w:b/>
            <w:bCs/>
            <w:color w:val="67C19D"/>
          </w:rPr>
          <w:t>OFICIO DE RESPUESTA.PDF</w:t>
        </w:r>
      </w:hyperlink>
      <w:r w:rsidRPr="00A83BA9">
        <w:rPr>
          <w:rFonts w:ascii="Palatino Linotype" w:hAnsi="Palatino Linotype"/>
        </w:rPr>
        <w:t xml:space="preserve"> contiene el oficio de fecha tres de diciembre de dos mil dieciocho a través del cual el Titular de la Unidad de Transparencia del sujeto Obligado le notifica la respuesta al solicitante.</w:t>
      </w:r>
    </w:p>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b/>
        </w:rPr>
        <w:t>3.</w:t>
      </w:r>
      <w:r w:rsidRPr="00A83BA9">
        <w:rPr>
          <w:rFonts w:ascii="Palatino Linotype" w:hAnsi="Palatino Linotype" w:cs="Arial"/>
          <w:b/>
        </w:rPr>
        <w:t xml:space="preserve"> Interposición del recurso de revisión. </w:t>
      </w:r>
      <w:r w:rsidRPr="00A83BA9">
        <w:rPr>
          <w:rFonts w:ascii="Palatino Linotype" w:hAnsi="Palatino Linotype" w:cs="Arial"/>
        </w:rPr>
        <w:t>Inconforme el solicitante con la respuesta del Sujeto Obligado interpuso recurso de revisión a través del SAIMEX con fecha cinco de diciembre del dos mil dieciocho, a través del cual expresó lo siguiente:</w:t>
      </w:r>
    </w:p>
    <w:p w:rsidR="00C14BA5" w:rsidRPr="00A83BA9" w:rsidRDefault="00C14BA5" w:rsidP="00C14BA5">
      <w:pPr>
        <w:spacing w:line="360" w:lineRule="auto"/>
        <w:rPr>
          <w:rFonts w:ascii="Palatino Linotype" w:hAnsi="Palatino Linotype" w:cs="Arial"/>
          <w:b/>
        </w:rPr>
      </w:pPr>
      <w:r w:rsidRPr="00A83BA9">
        <w:rPr>
          <w:rFonts w:ascii="Palatino Linotype" w:hAnsi="Palatino Linotype" w:cs="Arial"/>
          <w:b/>
        </w:rPr>
        <w:t>a) Acto impugnado.</w:t>
      </w:r>
    </w:p>
    <w:p w:rsidR="00C14BA5" w:rsidRPr="00A83BA9" w:rsidRDefault="00C14BA5" w:rsidP="00C14BA5">
      <w:pPr>
        <w:spacing w:before="240" w:after="240"/>
        <w:ind w:left="992" w:right="1043"/>
        <w:jc w:val="both"/>
        <w:rPr>
          <w:rFonts w:ascii="Palatino Linotype" w:hAnsi="Palatino Linotype" w:cs="Arial"/>
          <w:i/>
        </w:rPr>
      </w:pPr>
      <w:r w:rsidRPr="00A83BA9">
        <w:rPr>
          <w:rFonts w:ascii="Palatino Linotype" w:hAnsi="Palatino Linotype" w:cs="Arial"/>
          <w:i/>
          <w:sz w:val="22"/>
          <w:szCs w:val="22"/>
        </w:rPr>
        <w:t xml:space="preserve"> “RESPUESTA PROPORCIONADA POR LA SECRETARÍA DE LA CONTRALORÍA</w:t>
      </w:r>
      <w:r w:rsidRPr="00A83BA9">
        <w:rPr>
          <w:rFonts w:ascii="Palatino Linotype" w:hAnsi="Palatino Linotype"/>
          <w:i/>
        </w:rPr>
        <w:t>.</w:t>
      </w:r>
      <w:r w:rsidRPr="00A83BA9">
        <w:rPr>
          <w:rFonts w:ascii="Palatino Linotype" w:hAnsi="Palatino Linotype" w:cs="Arial"/>
          <w:i/>
        </w:rPr>
        <w:t>” (sic)</w:t>
      </w:r>
    </w:p>
    <w:p w:rsidR="00C14BA5" w:rsidRPr="00A83BA9" w:rsidRDefault="00C14BA5" w:rsidP="00C14BA5">
      <w:pPr>
        <w:spacing w:line="360" w:lineRule="auto"/>
        <w:jc w:val="both"/>
        <w:rPr>
          <w:rFonts w:ascii="Palatino Linotype" w:hAnsi="Palatino Linotype" w:cs="Arial"/>
          <w:b/>
        </w:rPr>
      </w:pPr>
      <w:r w:rsidRPr="00A83BA9">
        <w:rPr>
          <w:rFonts w:ascii="Palatino Linotype" w:hAnsi="Palatino Linotype" w:cs="Arial"/>
          <w:b/>
        </w:rPr>
        <w:t>b) Motivos de inconformidad.</w:t>
      </w:r>
    </w:p>
    <w:p w:rsidR="00C14BA5" w:rsidRPr="00A83BA9" w:rsidRDefault="00C14BA5" w:rsidP="00C14BA5">
      <w:pPr>
        <w:spacing w:line="276" w:lineRule="auto"/>
        <w:ind w:right="1041"/>
        <w:jc w:val="both"/>
        <w:rPr>
          <w:rFonts w:ascii="Palatino Linotype" w:hAnsi="Palatino Linotype" w:cs="Arial"/>
          <w:i/>
          <w:sz w:val="22"/>
          <w:szCs w:val="22"/>
        </w:rPr>
      </w:pPr>
    </w:p>
    <w:p w:rsidR="00C14BA5" w:rsidRPr="00A83BA9" w:rsidRDefault="00C14BA5" w:rsidP="00C14BA5">
      <w:pPr>
        <w:ind w:left="993" w:right="1043"/>
        <w:jc w:val="both"/>
        <w:rPr>
          <w:rFonts w:ascii="Palatino Linotype" w:hAnsi="Palatino Linotype" w:cs="Arial"/>
          <w:i/>
        </w:rPr>
      </w:pPr>
      <w:r w:rsidRPr="00A83BA9">
        <w:rPr>
          <w:rFonts w:ascii="Palatino Linotype" w:hAnsi="Palatino Linotype" w:cs="Arial"/>
          <w:i/>
          <w:sz w:val="22"/>
          <w:szCs w:val="22"/>
        </w:rPr>
        <w:t>“</w:t>
      </w:r>
      <w:r w:rsidRPr="00A83BA9">
        <w:rPr>
          <w:rFonts w:ascii="Palatino Linotype" w:hAnsi="Palatino Linotype"/>
          <w:i/>
          <w:sz w:val="22"/>
          <w:szCs w:val="22"/>
        </w:rPr>
        <w:t>LA CONTRALORÍA SE LIMITA A REPETIR LO QUE DICEN LAS NORMAS Y NO CONTESTA LO CUESTIONADO, PARA ESTE CASO LA CONTRALORÍA PUBLICA UN ÍNDICE QUE OBLIGARÍA AL COMITÉ DE REGISTRO DE TESTIGOS SOCIALES A DESIGNAR A LOS TESTIGOS SOCIALES, Y LA CONSULTA REQUIERE SE ACLARE CUÁL DEBE SER EL PROCEDIMIENTO A SEGUIR YA QUE EL SEÑALADO COMITÉ HA MANIFESTADO QUE ENTRE SUS FUNCIONES NO SE ENCUENTRA EL DESIGNAR A LOS TESTIGOS SOCIALES POR LO QUE SE CREA UN VACÍO NORMATIVO QUE PUEDE GENERAR CONFLICTOS.</w:t>
      </w:r>
      <w:r w:rsidRPr="00A83BA9">
        <w:rPr>
          <w:rFonts w:ascii="Palatino Linotype" w:hAnsi="Palatino Linotype" w:cs="Arial"/>
          <w:i/>
        </w:rPr>
        <w:t>” (sic)</w:t>
      </w:r>
    </w:p>
    <w:p w:rsidR="00C14BA5" w:rsidRPr="00A83BA9" w:rsidRDefault="00C14BA5" w:rsidP="00C14BA5">
      <w:pPr>
        <w:ind w:right="1043"/>
        <w:jc w:val="both"/>
        <w:rPr>
          <w:rFonts w:ascii="Palatino Linotype" w:hAnsi="Palatino Linotype"/>
          <w:i/>
          <w:lang w:val="es-MX" w:eastAsia="es-MX"/>
        </w:rPr>
      </w:pPr>
    </w:p>
    <w:p w:rsidR="00C14BA5" w:rsidRPr="00A83BA9" w:rsidRDefault="00C14BA5" w:rsidP="00C14BA5">
      <w:pPr>
        <w:spacing w:before="240" w:after="240" w:line="360" w:lineRule="auto"/>
        <w:jc w:val="both"/>
        <w:rPr>
          <w:rFonts w:ascii="Palatino Linotype" w:hAnsi="Palatino Linotype"/>
        </w:rPr>
      </w:pPr>
      <w:r w:rsidRPr="00A83BA9">
        <w:rPr>
          <w:rFonts w:ascii="Palatino Linotype" w:hAnsi="Palatino Linotype" w:cs="Arial"/>
          <w:b/>
        </w:rPr>
        <w:t xml:space="preserve">4. </w:t>
      </w:r>
      <w:r w:rsidRPr="00A83BA9">
        <w:rPr>
          <w:rFonts w:ascii="Palatino Linotype" w:hAnsi="Palatino Linotype"/>
          <w:b/>
        </w:rPr>
        <w:t xml:space="preserve">Turno. </w:t>
      </w:r>
      <w:r w:rsidRPr="00A83BA9">
        <w:rPr>
          <w:rFonts w:ascii="Palatino Linotype" w:hAnsi="Palatino Linotype"/>
        </w:rPr>
        <w:t xml:space="preserve">De conformidad con el artículo 185 fracción I </w:t>
      </w:r>
      <w:r w:rsidRPr="00A83BA9">
        <w:rPr>
          <w:rFonts w:ascii="Palatino Linotype" w:hAnsi="Palatino Linotype"/>
          <w:shd w:val="clear" w:color="auto" w:fill="FFFFFF"/>
        </w:rPr>
        <w:t>de la Ley Transparencia y Acceso a la Información Pública</w:t>
      </w:r>
      <w:r w:rsidRPr="00A83BA9">
        <w:rPr>
          <w:rFonts w:ascii="Palatino Linotype" w:hAnsi="Palatino Linotype" w:cs="Arial"/>
        </w:rPr>
        <w:t xml:space="preserve">, el recurso de revisión número </w:t>
      </w:r>
      <w:r w:rsidRPr="00A83BA9">
        <w:rPr>
          <w:rFonts w:ascii="Palatino Linotype" w:hAnsi="Palatino Linotype" w:cs="Arial"/>
          <w:b/>
        </w:rPr>
        <w:t xml:space="preserve">04609/INFOEM/IP/RR/2018 </w:t>
      </w:r>
      <w:r w:rsidRPr="00A83BA9">
        <w:rPr>
          <w:rFonts w:ascii="Palatino Linotype" w:hAnsi="Palatino Linotype" w:cs="Arial"/>
          <w:bCs/>
          <w:lang w:eastAsia="es-MX"/>
        </w:rPr>
        <w:t xml:space="preserve">fue </w:t>
      </w:r>
      <w:r w:rsidRPr="00A83BA9">
        <w:rPr>
          <w:rFonts w:ascii="Palatino Linotype" w:hAnsi="Palatino Linotype"/>
        </w:rPr>
        <w:t>turnado al Comisionado Ponente Javier Martínez Cruz; a efecto de presentar al Pleno el proyecto de resolución correspondiente.</w:t>
      </w:r>
    </w:p>
    <w:p w:rsidR="00C14BA5" w:rsidRPr="00A83BA9" w:rsidRDefault="00C14BA5" w:rsidP="00C14BA5">
      <w:pPr>
        <w:spacing w:before="240" w:after="240" w:line="360" w:lineRule="auto"/>
        <w:jc w:val="both"/>
        <w:rPr>
          <w:rFonts w:ascii="Palatino Linotype" w:hAnsi="Palatino Linotype"/>
        </w:rPr>
      </w:pPr>
      <w:r w:rsidRPr="00A83BA9">
        <w:rPr>
          <w:rFonts w:ascii="Palatino Linotype" w:hAnsi="Palatino Linotype"/>
          <w:b/>
        </w:rPr>
        <w:t xml:space="preserve">5. Admisión. </w:t>
      </w:r>
      <w:r w:rsidRPr="00A83BA9">
        <w:rPr>
          <w:rFonts w:ascii="Palatino Linotype" w:hAnsi="Palatino Linotype"/>
        </w:rPr>
        <w:t>En fecha once de diciembre del año dos mil dieciocho, en términos de lo dispuesto en el artículo 185 fracciones I, II y IV de la Ley de Transparencia y Acceso a la Información Pública del Estado de México y Municipios, se admitió a trámite el presente recurso de revisión.</w:t>
      </w:r>
    </w:p>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cs="Arial"/>
          <w:b/>
        </w:rPr>
        <w:t xml:space="preserve">6. Informe de justificación. </w:t>
      </w:r>
      <w:r w:rsidRPr="00A83BA9">
        <w:rPr>
          <w:rFonts w:ascii="Palatino Linotype" w:hAnsi="Palatino Linotype" w:cs="Arial"/>
        </w:rPr>
        <w:t xml:space="preserve">De las constancias que obran en el expediente electrónico del SAIMEX se desprende que en fecha siete de enero de la anualidad que transcurre, el </w:t>
      </w:r>
      <w:r w:rsidRPr="00A83BA9">
        <w:rPr>
          <w:rFonts w:ascii="Palatino Linotype" w:hAnsi="Palatino Linotype" w:cs="Arial"/>
          <w:b/>
        </w:rPr>
        <w:t>Sujeto Obligado</w:t>
      </w:r>
      <w:r w:rsidRPr="00A83BA9">
        <w:rPr>
          <w:rFonts w:ascii="Palatino Linotype" w:hAnsi="Palatino Linotype" w:cs="Arial"/>
        </w:rPr>
        <w:t xml:space="preserve"> rindió su informe de justificación, tal y como se muestra a continuación:</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19"/>
        <w:gridCol w:w="6703"/>
      </w:tblGrid>
      <w:tr w:rsidR="00C14BA5" w:rsidRPr="00A83BA9" w:rsidTr="00BC263F">
        <w:trPr>
          <w:tblCellSpacing w:w="0" w:type="dxa"/>
        </w:trPr>
        <w:tc>
          <w:tcPr>
            <w:tcW w:w="2119"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C14BA5" w:rsidRPr="00A83BA9" w:rsidRDefault="00C14BA5" w:rsidP="00BC263F">
            <w:pPr>
              <w:jc w:val="center"/>
              <w:rPr>
                <w:rFonts w:ascii="Palatino Linotype" w:hAnsi="Palatino Linotype"/>
                <w:b/>
                <w:i/>
                <w:sz w:val="20"/>
                <w:szCs w:val="20"/>
              </w:rPr>
            </w:pPr>
            <w:r w:rsidRPr="00A83BA9">
              <w:rPr>
                <w:rFonts w:ascii="Palatino Linotype" w:hAnsi="Palatino Linotype"/>
                <w:b/>
                <w:i/>
                <w:sz w:val="20"/>
                <w:szCs w:val="20"/>
              </w:rPr>
              <w:t xml:space="preserve">Archivo </w:t>
            </w:r>
          </w:p>
        </w:tc>
        <w:tc>
          <w:tcPr>
            <w:tcW w:w="6703"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rsidR="00C14BA5" w:rsidRPr="00A83BA9" w:rsidRDefault="00C14BA5" w:rsidP="00BC263F">
            <w:pPr>
              <w:jc w:val="center"/>
              <w:rPr>
                <w:rFonts w:ascii="Palatino Linotype" w:hAnsi="Palatino Linotype"/>
                <w:b/>
                <w:i/>
                <w:sz w:val="20"/>
                <w:szCs w:val="20"/>
              </w:rPr>
            </w:pPr>
            <w:r w:rsidRPr="00A83BA9">
              <w:rPr>
                <w:rFonts w:ascii="Palatino Linotype" w:hAnsi="Palatino Linotype"/>
                <w:b/>
                <w:i/>
                <w:sz w:val="20"/>
                <w:szCs w:val="20"/>
              </w:rPr>
              <w:t xml:space="preserve">Contenido </w:t>
            </w:r>
          </w:p>
        </w:tc>
      </w:tr>
      <w:tr w:rsidR="00C14BA5" w:rsidRPr="00A83BA9" w:rsidTr="00BC263F">
        <w:trPr>
          <w:trHeight w:val="978"/>
          <w:tblCellSpacing w:w="0" w:type="dxa"/>
        </w:trPr>
        <w:tc>
          <w:tcPr>
            <w:tcW w:w="211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4BA5" w:rsidRPr="00A83BA9" w:rsidRDefault="00A83BA9" w:rsidP="00BC263F">
            <w:pPr>
              <w:jc w:val="both"/>
              <w:rPr>
                <w:rFonts w:ascii="Palatino Linotype" w:hAnsi="Palatino Linotype" w:cs="Arial"/>
                <w:i/>
                <w:sz w:val="20"/>
                <w:szCs w:val="20"/>
                <w:lang w:val="es-MX" w:eastAsia="es-MX"/>
              </w:rPr>
            </w:pPr>
            <w:hyperlink r:id="rId11" w:history="1">
              <w:r w:rsidR="00C14BA5" w:rsidRPr="00A83BA9">
                <w:rPr>
                  <w:rStyle w:val="Hipervnculo"/>
                  <w:rFonts w:ascii="Palatino Linotype" w:hAnsi="Palatino Linotype" w:cs="Arial"/>
                  <w:b/>
                  <w:bCs/>
                  <w:i/>
                  <w:color w:val="67C19D"/>
                  <w:sz w:val="20"/>
                  <w:szCs w:val="20"/>
                </w:rPr>
                <w:t>INFORME DE JUSTIFICACIÓN.PDF</w:t>
              </w:r>
            </w:hyperlink>
          </w:p>
        </w:tc>
        <w:tc>
          <w:tcPr>
            <w:tcW w:w="670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14BA5" w:rsidRPr="00A83BA9" w:rsidRDefault="00C14BA5" w:rsidP="00BC263F">
            <w:pPr>
              <w:jc w:val="both"/>
              <w:rPr>
                <w:rFonts w:ascii="Palatino Linotype" w:hAnsi="Palatino Linotype"/>
                <w:i/>
                <w:sz w:val="20"/>
                <w:szCs w:val="20"/>
              </w:rPr>
            </w:pPr>
            <w:r w:rsidRPr="00A83BA9">
              <w:rPr>
                <w:rFonts w:ascii="Palatino Linotype" w:hAnsi="Palatino Linotype"/>
                <w:i/>
                <w:sz w:val="20"/>
                <w:szCs w:val="20"/>
              </w:rPr>
              <w:t>Contiene el oficio a través del cual el Titular de la Unidad de Transparencia rindió informe justificado manifestando entre otras cosas que las aseveraciones del recurrente son incorrectas, toda vez que no vulnera el derecho de acceso a la información pública en virtud de que la servidora pública habilitada de la Unidad de Políticas en Contrataciones Públicas informó que el procedimiento que deben atender las Dependencias y Entidades de la Administración Pública del Gobierno del Estado de México para la selección, designación y contratación de la participación de testigos sociales en los procedimientos adquisitivos y de contratación que se realicen con recursos económicos estatales de manera parcial o total, se encuentra en los artículos 1.46, 1.61 y 1.63 del Título Décimo del Libro Primero del Código Administrativo del Estado de México; artículos 2, 12, 17, 22, 29 y 30 del Reglamento del Título Décimo del Libro Primero del Código Administrativo.</w:t>
            </w:r>
          </w:p>
          <w:p w:rsidR="00C14BA5" w:rsidRPr="00A83BA9" w:rsidRDefault="00C14BA5" w:rsidP="00BC263F">
            <w:pPr>
              <w:jc w:val="both"/>
              <w:rPr>
                <w:rFonts w:ascii="Palatino Linotype" w:hAnsi="Palatino Linotype"/>
                <w:i/>
                <w:sz w:val="20"/>
                <w:szCs w:val="20"/>
              </w:rPr>
            </w:pPr>
            <w:r w:rsidRPr="00A83BA9">
              <w:rPr>
                <w:rFonts w:ascii="Palatino Linotype" w:hAnsi="Palatino Linotype"/>
                <w:i/>
                <w:sz w:val="20"/>
                <w:szCs w:val="20"/>
              </w:rPr>
              <w:t>Es importante mencionar que el Sujeto Obligado refiere que la solicitud de información no está dirigida a ejercer el derecho de acceso a la información pública, solicitando información pública generada, administrada o que está en posesión del Sujeto Obligado, razón por la cual no es viable atender la solicitud del impetrante.</w:t>
            </w:r>
          </w:p>
          <w:p w:rsidR="00C14BA5" w:rsidRPr="00A83BA9" w:rsidRDefault="00C14BA5" w:rsidP="00BC263F">
            <w:pPr>
              <w:jc w:val="both"/>
              <w:rPr>
                <w:rFonts w:ascii="Palatino Linotype" w:hAnsi="Palatino Linotype"/>
                <w:i/>
                <w:sz w:val="20"/>
                <w:szCs w:val="20"/>
              </w:rPr>
            </w:pPr>
            <w:r w:rsidRPr="00A83BA9">
              <w:rPr>
                <w:rFonts w:ascii="Palatino Linotype" w:hAnsi="Palatino Linotype"/>
                <w:i/>
                <w:sz w:val="20"/>
                <w:szCs w:val="20"/>
              </w:rPr>
              <w:lastRenderedPageBreak/>
              <w:t>Del mismo modo refiere que el Acuerdo por el que se establece el “Índice del Expediente de la Participación del Testigo Social”, publicado en la Gaceta del Gobierno del Estado en fecha ocho de septiembre de dos mil once, en el apartado denominado “Procedimiento: Participación de Testigos Sociales en los Procedimientos de Contratación que realiza el Poder Ejecutivo del Gobierno del Estado de México”, “Proceso I” (pag.8) y en el apartado denominado “Desarrollo”(pag.10), numerales 1, 2, 3, 4, 5, 6, 7, 9, 11 y 12.</w:t>
            </w:r>
          </w:p>
          <w:p w:rsidR="00C14BA5" w:rsidRPr="00A83BA9" w:rsidRDefault="00C14BA5" w:rsidP="00BC263F">
            <w:pPr>
              <w:jc w:val="both"/>
              <w:rPr>
                <w:rFonts w:ascii="Palatino Linotype" w:hAnsi="Palatino Linotype"/>
                <w:i/>
                <w:sz w:val="20"/>
                <w:szCs w:val="20"/>
              </w:rPr>
            </w:pPr>
            <w:r w:rsidRPr="00A83BA9">
              <w:rPr>
                <w:rFonts w:ascii="Palatino Linotype" w:hAnsi="Palatino Linotype"/>
                <w:i/>
                <w:sz w:val="20"/>
                <w:szCs w:val="20"/>
              </w:rPr>
              <w:t>Por ultimo manifiesta que no incurrió en ninguna falta que diera origen a la inconformidad del recurrente, toda vez que dio respuesta en tiempo y forma, de conformidad a la normatividad aplicable.</w:t>
            </w:r>
          </w:p>
        </w:tc>
      </w:tr>
    </w:tbl>
    <w:p w:rsidR="00C14BA5" w:rsidRPr="00A83BA9" w:rsidRDefault="00C14BA5" w:rsidP="00C14BA5"/>
    <w:p w:rsidR="00C14BA5" w:rsidRPr="00A83BA9" w:rsidRDefault="00C14BA5" w:rsidP="00C14BA5">
      <w:pPr>
        <w:spacing w:before="240" w:after="240" w:line="360" w:lineRule="auto"/>
        <w:jc w:val="both"/>
        <w:rPr>
          <w:rFonts w:ascii="Palatino Linotype" w:hAnsi="Palatino Linotype"/>
        </w:rPr>
      </w:pPr>
      <w:r w:rsidRPr="00A83BA9">
        <w:rPr>
          <w:rFonts w:ascii="Palatino Linotype" w:hAnsi="Palatino Linotype"/>
        </w:rPr>
        <w:t>Debe precisarse en fecha uno de febrero de dos mil diecinueve se dio vista del informe justificado lo anterior con la finalidad de que el impetrante realizara las manifestaciones que a sus intereses estimara convenientes.</w:t>
      </w:r>
    </w:p>
    <w:p w:rsidR="00C14BA5" w:rsidRPr="00A83BA9" w:rsidRDefault="00C14BA5" w:rsidP="00C14BA5">
      <w:pPr>
        <w:spacing w:before="240" w:after="240" w:line="360" w:lineRule="auto"/>
        <w:jc w:val="both"/>
        <w:rPr>
          <w:rFonts w:ascii="Palatino Linotype" w:hAnsi="Palatino Linotype"/>
          <w:b/>
        </w:rPr>
      </w:pPr>
      <w:r w:rsidRPr="00A83BA9">
        <w:rPr>
          <w:rFonts w:ascii="Palatino Linotype" w:hAnsi="Palatino Linotype"/>
          <w:b/>
        </w:rPr>
        <w:t xml:space="preserve">7. Cierre de Instrucción. </w:t>
      </w:r>
      <w:r w:rsidRPr="00A83BA9">
        <w:rPr>
          <w:rFonts w:ascii="Palatino Linotype" w:hAnsi="Palatino Linotype"/>
        </w:rPr>
        <w:t xml:space="preserve">En fecha </w:t>
      </w:r>
      <w:r w:rsidR="000170CF" w:rsidRPr="00A83BA9">
        <w:rPr>
          <w:rFonts w:ascii="Palatino Linotype" w:hAnsi="Palatino Linotype"/>
        </w:rPr>
        <w:t xml:space="preserve">doce </w:t>
      </w:r>
      <w:r w:rsidRPr="00A83BA9">
        <w:rPr>
          <w:rFonts w:ascii="Palatino Linotype" w:hAnsi="Palatino Linotype"/>
        </w:rPr>
        <w:t xml:space="preserve">de febrero de dos mil diecinueve, con fundamento en lo establecido en los artículos 185, fracción VI de la </w:t>
      </w:r>
      <w:r w:rsidRPr="00A83BA9">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C14BA5" w:rsidRPr="00A83BA9" w:rsidRDefault="00C14BA5" w:rsidP="00C14BA5">
      <w:pPr>
        <w:pStyle w:val="Prrafodelista"/>
        <w:numPr>
          <w:ilvl w:val="0"/>
          <w:numId w:val="1"/>
        </w:numPr>
        <w:spacing w:before="240" w:after="240" w:line="360" w:lineRule="auto"/>
        <w:jc w:val="center"/>
        <w:rPr>
          <w:rFonts w:ascii="Palatino Linotype" w:hAnsi="Palatino Linotype" w:cs="Arial"/>
          <w:b/>
          <w:sz w:val="24"/>
          <w:szCs w:val="24"/>
        </w:rPr>
      </w:pPr>
      <w:r w:rsidRPr="00A83BA9">
        <w:rPr>
          <w:rFonts w:ascii="Palatino Linotype" w:hAnsi="Palatino Linotype" w:cs="Arial"/>
          <w:b/>
          <w:sz w:val="24"/>
          <w:szCs w:val="24"/>
        </w:rPr>
        <w:t>C O N S I D E R A N D O:</w:t>
      </w:r>
    </w:p>
    <w:p w:rsidR="00C14BA5" w:rsidRPr="00A83BA9" w:rsidRDefault="00C14BA5" w:rsidP="00C14BA5">
      <w:pPr>
        <w:spacing w:before="240" w:after="240" w:line="360" w:lineRule="auto"/>
        <w:jc w:val="both"/>
        <w:rPr>
          <w:rFonts w:ascii="Palatino Linotype" w:hAnsi="Palatino Linotype"/>
          <w:shd w:val="clear" w:color="auto" w:fill="FFFFFF"/>
        </w:rPr>
      </w:pPr>
      <w:r w:rsidRPr="00A83BA9">
        <w:rPr>
          <w:rFonts w:ascii="Palatino Linotype" w:hAnsi="Palatino Linotype" w:cs="Arial"/>
          <w:b/>
        </w:rPr>
        <w:t xml:space="preserve">Primero. Competencia. </w:t>
      </w:r>
      <w:r w:rsidRPr="00A83BA9">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w:t>
      </w:r>
      <w:r w:rsidRPr="00A83BA9">
        <w:rPr>
          <w:rFonts w:ascii="Palatino Linotype" w:hAnsi="Palatino Linotype"/>
          <w:shd w:val="clear" w:color="auto" w:fill="FFFFFF"/>
        </w:rPr>
        <w:lastRenderedPageBreak/>
        <w:t>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A83BA9">
        <w:rPr>
          <w:rStyle w:val="apple-converted-space"/>
          <w:rFonts w:ascii="Palatino Linotype" w:hAnsi="Palatino Linotype"/>
          <w:shd w:val="clear" w:color="auto" w:fill="FFFFFF"/>
        </w:rPr>
        <w:t xml:space="preserve"> 7, </w:t>
      </w:r>
      <w:r w:rsidRPr="00A83BA9">
        <w:rPr>
          <w:rFonts w:ascii="Palatino Linotype" w:hAnsi="Palatino Linotype" w:cs="Arial"/>
        </w:rPr>
        <w:t xml:space="preserve">9, fracciones I y XXIV y 11 </w:t>
      </w:r>
      <w:r w:rsidRPr="00A83BA9">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C14BA5" w:rsidRPr="00A83BA9" w:rsidRDefault="00C14BA5" w:rsidP="00C14BA5">
      <w:pPr>
        <w:spacing w:before="240" w:after="240" w:line="360" w:lineRule="auto"/>
        <w:jc w:val="both"/>
        <w:rPr>
          <w:rFonts w:ascii="Palatino Linotype" w:hAnsi="Palatino Linotype" w:cs="Arial"/>
          <w:lang w:val="es-MX" w:eastAsia="es-MX"/>
        </w:rPr>
      </w:pPr>
      <w:r w:rsidRPr="00A83BA9">
        <w:rPr>
          <w:rFonts w:ascii="Palatino Linotype" w:hAnsi="Palatino Linotype" w:cs="Arial"/>
          <w:b/>
        </w:rPr>
        <w:t xml:space="preserve">Segundo. Oportunidad y Procedibilidad. </w:t>
      </w:r>
      <w:r w:rsidRPr="00A83BA9">
        <w:rPr>
          <w:rFonts w:ascii="Palatino Linotype" w:hAnsi="Palatino Linotype" w:cs="Arial"/>
        </w:rPr>
        <w:t xml:space="preserve">Previo al estudio del fondo del asunto, se procede a analizar los requisitos de oportunidad y procedibilidad que deben reunir los recursos de revisión interpuestos, previstos en los artículos </w:t>
      </w:r>
      <w:r w:rsidRPr="00A83BA9">
        <w:rPr>
          <w:rFonts w:ascii="Palatino Linotype" w:hAnsi="Palatino Linotype" w:cs="Arial"/>
          <w:lang w:val="es-MX" w:eastAsia="es-MX"/>
        </w:rPr>
        <w:t>178 y 180 de la Ley de Transparencia y Acceso a la Información Pública del Estado de México y Municipios</w:t>
      </w:r>
      <w:r w:rsidRPr="00A83BA9">
        <w:rPr>
          <w:rFonts w:ascii="Palatino Linotype" w:hAnsi="Palatino Linotype" w:cs="Arial"/>
        </w:rPr>
        <w:t>.</w:t>
      </w:r>
    </w:p>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cs="Arial"/>
        </w:rPr>
        <w:t xml:space="preserve">El recurso de revisión fue interpuesto dentro del plazo de quince días hábiles, previsto en el artículo 178 de la </w:t>
      </w:r>
      <w:r w:rsidRPr="00A83BA9">
        <w:rPr>
          <w:rFonts w:ascii="Palatino Linotype" w:hAnsi="Palatino Linotype" w:cs="Arial"/>
          <w:lang w:val="es-MX" w:eastAsia="es-MX"/>
        </w:rPr>
        <w:t>Ley de Transparencia y Acceso a la Información Pública del Estado de México y Municipios</w:t>
      </w:r>
      <w:r w:rsidRPr="00A83BA9">
        <w:rPr>
          <w:rFonts w:ascii="Palatino Linotype" w:hAnsi="Palatino Linotype" w:cs="Arial"/>
        </w:rPr>
        <w:t xml:space="preserve">, ya que el Sujeto Obligado proporcionó respuesta a la solicitud de información el cuatro de diciembre de dos mil dieciocho, mientras que el recurrente </w:t>
      </w:r>
      <w:r w:rsidRPr="00A83BA9">
        <w:rPr>
          <w:rFonts w:ascii="Palatino Linotype" w:hAnsi="Palatino Linotype"/>
        </w:rPr>
        <w:t xml:space="preserve">interpuso el recurso de revisión el día cinco de diciembre de la anualidad pasada, es decir, al día hábil siguiente al que le fue notificada la respuesta, </w:t>
      </w:r>
      <w:r w:rsidRPr="00A83BA9">
        <w:rPr>
          <w:rFonts w:ascii="Palatino Linotype" w:hAnsi="Palatino Linotype" w:cs="Arial"/>
        </w:rPr>
        <w:t>por ende, dentro del término legal que prevé el arábigo de referencia.</w:t>
      </w:r>
    </w:p>
    <w:p w:rsidR="00C14BA5" w:rsidRPr="00A83BA9" w:rsidRDefault="00C14BA5" w:rsidP="00C14BA5">
      <w:pPr>
        <w:tabs>
          <w:tab w:val="left" w:pos="8647"/>
        </w:tabs>
        <w:spacing w:before="240" w:after="240" w:line="360" w:lineRule="auto"/>
        <w:jc w:val="both"/>
        <w:rPr>
          <w:rFonts w:ascii="Palatino Linotype" w:hAnsi="Palatino Linotype" w:cs="Arial"/>
          <w:b/>
        </w:rPr>
      </w:pPr>
      <w:r w:rsidRPr="00A83BA9">
        <w:rPr>
          <w:rFonts w:ascii="Palatino Linotype" w:hAnsi="Palatino Linotype" w:cs="Arial"/>
          <w:b/>
        </w:rPr>
        <w:t>Tercero</w:t>
      </w:r>
      <w:r w:rsidRPr="00A83BA9">
        <w:rPr>
          <w:rFonts w:ascii="Palatino Linotype" w:hAnsi="Palatino Linotype" w:cs="Arial"/>
          <w:b/>
          <w:sz w:val="28"/>
        </w:rPr>
        <w:t xml:space="preserve">. </w:t>
      </w:r>
      <w:r w:rsidRPr="00A83BA9">
        <w:rPr>
          <w:rFonts w:ascii="Palatino Linotype" w:hAnsi="Palatino Linotype" w:cs="Arial"/>
          <w:b/>
        </w:rPr>
        <w:t xml:space="preserve">Materia de la revisión. </w:t>
      </w:r>
      <w:r w:rsidRPr="00A83BA9">
        <w:rPr>
          <w:rFonts w:ascii="Palatino Linotype" w:hAnsi="Palatino Linotype" w:cs="Arial"/>
        </w:rPr>
        <w:t xml:space="preserve">De la revisión a las constancias que obran en el expediente electrónico se advierte que el tema sobre el que este Instituto se pronunciará será: </w:t>
      </w:r>
      <w:r w:rsidRPr="00A83BA9">
        <w:rPr>
          <w:rFonts w:ascii="Palatino Linotype" w:hAnsi="Palatino Linotype" w:cs="Arial"/>
          <w:b/>
        </w:rPr>
        <w:t>verificar si la respuesta otorgada por parte del Sujeto Obligado satisface el requerimiento del ahora recurrente, o en su caso procede ordenar la entrega de la información faltante.</w:t>
      </w:r>
    </w:p>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cs="Arial"/>
          <w:b/>
        </w:rPr>
        <w:lastRenderedPageBreak/>
        <w:t xml:space="preserve">Cuarto. Estudio del asunto. </w:t>
      </w:r>
      <w:r w:rsidRPr="00A83BA9">
        <w:rPr>
          <w:rFonts w:ascii="Palatino Linotype" w:hAnsi="Palatino Linotype" w:cs="Arial"/>
        </w:rPr>
        <w:t>Antes de entrar al estudio de la presente resolución es preciso determinar si resulta procedente la interposición del recurso de revisión al rubro anotado, toda vez que se actualizan las hipótesis previstas en el artículo 179, fracciones V y VI de la ley de la materia, que a la letra dice:</w:t>
      </w:r>
    </w:p>
    <w:p w:rsidR="00C14BA5" w:rsidRPr="00A83BA9" w:rsidRDefault="00C14BA5" w:rsidP="00C14BA5">
      <w:pPr>
        <w:autoSpaceDE w:val="0"/>
        <w:autoSpaceDN w:val="0"/>
        <w:adjustRightInd w:val="0"/>
        <w:ind w:left="1276" w:right="1752"/>
        <w:jc w:val="both"/>
        <w:rPr>
          <w:rFonts w:ascii="Palatino Linotype" w:hAnsi="Palatino Linotype" w:cs="Arial"/>
          <w:i/>
          <w:sz w:val="22"/>
          <w:szCs w:val="22"/>
        </w:rPr>
      </w:pPr>
      <w:r w:rsidRPr="00A83BA9">
        <w:rPr>
          <w:rFonts w:ascii="Palatino Linotype" w:hAnsi="Palatino Linotype" w:cs="Arial"/>
          <w:bCs/>
          <w:i/>
          <w:sz w:val="22"/>
          <w:szCs w:val="22"/>
        </w:rPr>
        <w:t>“</w:t>
      </w:r>
      <w:r w:rsidRPr="00A83BA9">
        <w:rPr>
          <w:rFonts w:ascii="Palatino Linotype" w:hAnsi="Palatino Linotype" w:cs="Arial"/>
          <w:b/>
          <w:bCs/>
          <w:i/>
          <w:sz w:val="22"/>
          <w:szCs w:val="22"/>
        </w:rPr>
        <w:t xml:space="preserve">Artículo 179. </w:t>
      </w:r>
      <w:r w:rsidRPr="00A83BA9">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A83BA9">
        <w:rPr>
          <w:rFonts w:ascii="Palatino Linotype" w:hAnsi="Palatino Linotype" w:cs="Arial"/>
          <w:i/>
          <w:szCs w:val="22"/>
        </w:rPr>
        <w:t>causas</w:t>
      </w:r>
      <w:r w:rsidRPr="00A83BA9">
        <w:rPr>
          <w:rFonts w:ascii="Palatino Linotype" w:hAnsi="Palatino Linotype" w:cs="Arial"/>
          <w:i/>
          <w:sz w:val="22"/>
          <w:szCs w:val="22"/>
        </w:rPr>
        <w:t>:</w:t>
      </w:r>
      <w:r w:rsidRPr="00A83BA9">
        <w:rPr>
          <w:rFonts w:ascii="Palatino Linotype" w:hAnsi="Palatino Linotype" w:cs="Arial"/>
          <w:b/>
          <w:i/>
          <w:sz w:val="22"/>
          <w:szCs w:val="22"/>
        </w:rPr>
        <w:t xml:space="preserve"> </w:t>
      </w:r>
    </w:p>
    <w:p w:rsidR="00C14BA5" w:rsidRPr="00A83BA9" w:rsidRDefault="00C14BA5" w:rsidP="00C14BA5">
      <w:pPr>
        <w:autoSpaceDE w:val="0"/>
        <w:autoSpaceDN w:val="0"/>
        <w:adjustRightInd w:val="0"/>
        <w:ind w:left="1276" w:right="1752"/>
        <w:jc w:val="both"/>
        <w:rPr>
          <w:rFonts w:ascii="Palatino Linotype" w:eastAsiaTheme="minorHAnsi" w:hAnsi="Palatino Linotype" w:cs="Arial"/>
          <w:b/>
          <w:bCs/>
          <w:i/>
          <w:sz w:val="22"/>
          <w:szCs w:val="22"/>
          <w:lang w:eastAsia="en-US"/>
        </w:rPr>
      </w:pPr>
      <w:r w:rsidRPr="00A83BA9">
        <w:rPr>
          <w:rFonts w:ascii="Palatino Linotype" w:eastAsiaTheme="minorHAnsi" w:hAnsi="Palatino Linotype" w:cs="Arial"/>
          <w:b/>
          <w:bCs/>
          <w:i/>
          <w:sz w:val="22"/>
          <w:szCs w:val="22"/>
          <w:lang w:eastAsia="en-US"/>
        </w:rPr>
        <w:t>…</w:t>
      </w:r>
    </w:p>
    <w:p w:rsidR="00C14BA5" w:rsidRPr="00A83BA9" w:rsidRDefault="00C14BA5" w:rsidP="00C14BA5">
      <w:pPr>
        <w:autoSpaceDE w:val="0"/>
        <w:autoSpaceDN w:val="0"/>
        <w:adjustRightInd w:val="0"/>
        <w:ind w:left="1276" w:right="1752"/>
        <w:jc w:val="both"/>
        <w:rPr>
          <w:rFonts w:ascii="Palatino Linotype" w:eastAsiaTheme="minorHAnsi" w:hAnsi="Palatino Linotype" w:cs="Arial"/>
          <w:bCs/>
          <w:i/>
          <w:sz w:val="22"/>
          <w:szCs w:val="22"/>
          <w:lang w:eastAsia="en-US"/>
        </w:rPr>
      </w:pPr>
      <w:r w:rsidRPr="00A83BA9">
        <w:rPr>
          <w:rFonts w:ascii="Palatino Linotype" w:eastAsiaTheme="minorHAnsi" w:hAnsi="Palatino Linotype" w:cs="Arial"/>
          <w:b/>
          <w:bCs/>
          <w:i/>
          <w:sz w:val="22"/>
          <w:szCs w:val="22"/>
          <w:lang w:eastAsia="en-US"/>
        </w:rPr>
        <w:t xml:space="preserve">V. </w:t>
      </w:r>
      <w:r w:rsidRPr="00A83BA9">
        <w:rPr>
          <w:rFonts w:ascii="Palatino Linotype" w:eastAsiaTheme="minorHAnsi" w:hAnsi="Palatino Linotype" w:cs="Arial"/>
          <w:bCs/>
          <w:i/>
          <w:sz w:val="22"/>
          <w:szCs w:val="22"/>
          <w:lang w:eastAsia="en-US"/>
        </w:rPr>
        <w:t>La entrega de información incompleta;</w:t>
      </w:r>
    </w:p>
    <w:p w:rsidR="00C14BA5" w:rsidRPr="00A83BA9" w:rsidRDefault="00C14BA5" w:rsidP="00C14BA5">
      <w:pPr>
        <w:autoSpaceDE w:val="0"/>
        <w:autoSpaceDN w:val="0"/>
        <w:adjustRightInd w:val="0"/>
        <w:ind w:left="1276" w:right="1752"/>
        <w:jc w:val="both"/>
        <w:rPr>
          <w:rFonts w:ascii="Palatino Linotype" w:hAnsi="Palatino Linotype" w:cs="Arial"/>
          <w:b/>
          <w:i/>
          <w:sz w:val="22"/>
          <w:szCs w:val="22"/>
        </w:rPr>
      </w:pPr>
      <w:r w:rsidRPr="00A83BA9">
        <w:rPr>
          <w:rFonts w:ascii="Palatino Linotype" w:hAnsi="Palatino Linotype" w:cs="Arial"/>
          <w:b/>
          <w:i/>
          <w:sz w:val="22"/>
          <w:szCs w:val="22"/>
        </w:rPr>
        <w:t xml:space="preserve">VI. </w:t>
      </w:r>
      <w:r w:rsidRPr="00A83BA9">
        <w:rPr>
          <w:rFonts w:ascii="Palatino Linotype" w:hAnsi="Palatino Linotype" w:cs="Arial"/>
          <w:i/>
          <w:sz w:val="22"/>
          <w:szCs w:val="22"/>
        </w:rPr>
        <w:t>La entrega de información que no corresponda con lo solicitado;”</w:t>
      </w:r>
    </w:p>
    <w:p w:rsidR="00C14BA5" w:rsidRPr="00A83BA9" w:rsidRDefault="00C14BA5" w:rsidP="00C14BA5">
      <w:pPr>
        <w:ind w:left="1268" w:right="1043"/>
        <w:jc w:val="both"/>
        <w:rPr>
          <w:rFonts w:ascii="Palatino Linotype" w:eastAsiaTheme="minorHAnsi" w:hAnsi="Palatino Linotype" w:cs="Arial"/>
          <w:b/>
          <w:bCs/>
          <w:i/>
          <w:sz w:val="22"/>
          <w:szCs w:val="22"/>
          <w:lang w:eastAsia="en-US"/>
        </w:rPr>
      </w:pPr>
    </w:p>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A83BA9">
        <w:rPr>
          <w:rFonts w:ascii="Palatino Linotype" w:hAnsi="Palatino Linotype" w:cs="Arial"/>
          <w:b/>
          <w:bCs/>
        </w:rPr>
        <w:t>00209/SECOGEM/IP/2018</w:t>
      </w:r>
      <w:r w:rsidRPr="00A83BA9">
        <w:rPr>
          <w:rFonts w:ascii="Palatino Linotype" w:hAnsi="Palatino Linotype" w:cs="Arial"/>
        </w:rPr>
        <w:t xml:space="preserve"> requirió que se le proporcionara lo siguiente:</w:t>
      </w:r>
    </w:p>
    <w:p w:rsidR="00C14BA5" w:rsidRPr="00A83BA9" w:rsidRDefault="00C14BA5" w:rsidP="00C14BA5">
      <w:pPr>
        <w:pStyle w:val="Prrafodelista"/>
        <w:numPr>
          <w:ilvl w:val="0"/>
          <w:numId w:val="2"/>
        </w:numPr>
        <w:spacing w:before="240" w:after="240" w:line="360" w:lineRule="auto"/>
        <w:jc w:val="both"/>
        <w:rPr>
          <w:rFonts w:ascii="Palatino Linotype" w:hAnsi="Palatino Linotype" w:cs="Arial"/>
        </w:rPr>
      </w:pPr>
      <w:r w:rsidRPr="00A83BA9">
        <w:rPr>
          <w:rFonts w:ascii="Palatino Linotype" w:hAnsi="Palatino Linotype" w:cs="Arial"/>
          <w:i/>
          <w:lang w:val="es-ES"/>
        </w:rPr>
        <w:t>El procedimiento legal que deben atender las Dependencias y Entidades de la Administración Pública del Gobierno del Estado de México, con relación a la selección, designación y contratación de la participación de testigos sociales en los procedimientos adquisitivos y de contratación.</w:t>
      </w:r>
    </w:p>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cs="Arial"/>
        </w:rPr>
        <w:t xml:space="preserve">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w:t>
      </w:r>
      <w:r w:rsidRPr="00A83BA9">
        <w:rPr>
          <w:rFonts w:ascii="Palatino Linotype" w:hAnsi="Palatino Linotype" w:cs="Arial"/>
        </w:rPr>
        <w:lastRenderedPageBreak/>
        <w:t>materia, así como en los tratados internacionales en los que el Estado Mexicano sea parte, en concordancia con el artículo 8 de la Ley de Transparencia local.</w:t>
      </w:r>
    </w:p>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cs="Arial"/>
        </w:rPr>
        <w:t>Primeramente, es necesario hacer referencia que con motivo de la solicitud de información del recurrente, el sujeto obligado en fecha cuatro de diciembre emitió respuesta adjuntando los archivos electrónicos cuyo contenido se detalla a continuación:</w:t>
      </w:r>
    </w:p>
    <w:p w:rsidR="00C14BA5" w:rsidRPr="00A83BA9" w:rsidRDefault="00C14BA5" w:rsidP="00C14BA5">
      <w:pPr>
        <w:pStyle w:val="Prrafodelista"/>
        <w:numPr>
          <w:ilvl w:val="0"/>
          <w:numId w:val="4"/>
        </w:numPr>
        <w:spacing w:before="240" w:after="240" w:line="360" w:lineRule="auto"/>
        <w:jc w:val="both"/>
        <w:rPr>
          <w:rFonts w:ascii="Palatino Linotype" w:hAnsi="Palatino Linotype"/>
        </w:rPr>
      </w:pPr>
      <w:r w:rsidRPr="00A83BA9">
        <w:rPr>
          <w:rFonts w:ascii="Palatino Linotype" w:hAnsi="Palatino Linotype"/>
        </w:rPr>
        <w:t xml:space="preserve">Archivo </w:t>
      </w:r>
      <w:hyperlink r:id="rId12" w:tgtFrame="_blank" w:history="1">
        <w:r w:rsidRPr="00A83BA9">
          <w:rPr>
            <w:rStyle w:val="Hipervnculo"/>
            <w:rFonts w:ascii="Palatino Linotype" w:hAnsi="Palatino Linotype" w:cs="Arial"/>
            <w:b/>
            <w:bCs/>
            <w:color w:val="67C19D"/>
          </w:rPr>
          <w:t>OFICIO DE RESPUESTA SPH.PDF</w:t>
        </w:r>
      </w:hyperlink>
      <w:r w:rsidRPr="00A83BA9">
        <w:rPr>
          <w:rFonts w:ascii="Palatino Linotype" w:hAnsi="Palatino Linotype"/>
        </w:rPr>
        <w:t xml:space="preserve"> contiene el oficio número 2100E0000/015/2018 a través del cual la Jefa de la Unidad de Políticas en Contrataciones Públicas informa al Jefe de la Unidad de Prevención de la Corrupción que el procedimiento que deben atender las Dependencias y Entidades de la Administración Pública del Gobierno del Estado de México, con relación a la selección, designación y contratación de la participación de testigos sociales en los procedimientos adquisitivos y de contratación lo regulan los artículos 1.46, 1.61 y 1.63 del Título Décimo del Libro Primero del Código Administrativo del Estado de México y 2, 12, 17, 22, 29 y 30 de su Reglamento, agregando que el Acuerdo por el que se establece el “Índice del Expediente de la Participación del Testigo Social”, publicado en la Gaceta del Gobierno del Estado en fecha ocho de septiembre de dos mil once, en el apartado denominado “Procedimiento: Participación de Testigos Sociales en los Procedimientos de Contratación que realiza el Poder Ejecutivo del Gobierno del Estado de México”, “Proceso I” (pag.8) y en el apartado denominado “Desarrollo”(pag.10), numerales 1, 2, 3, 4, 5, 6, 7, 9, 11 y 12.</w:t>
      </w:r>
    </w:p>
    <w:p w:rsidR="00C14BA5" w:rsidRPr="00A83BA9" w:rsidRDefault="00C14BA5" w:rsidP="00C14BA5">
      <w:pPr>
        <w:pStyle w:val="Prrafodelista"/>
        <w:numPr>
          <w:ilvl w:val="0"/>
          <w:numId w:val="4"/>
        </w:numPr>
        <w:spacing w:before="240" w:after="240" w:line="360" w:lineRule="auto"/>
        <w:jc w:val="both"/>
        <w:rPr>
          <w:rFonts w:ascii="Palatino Linotype" w:hAnsi="Palatino Linotype"/>
        </w:rPr>
      </w:pPr>
      <w:r w:rsidRPr="00A83BA9">
        <w:rPr>
          <w:rFonts w:ascii="Palatino Linotype" w:hAnsi="Palatino Linotype"/>
        </w:rPr>
        <w:t xml:space="preserve">Archivo </w:t>
      </w:r>
      <w:hyperlink r:id="rId13" w:tgtFrame="_blank" w:history="1">
        <w:r w:rsidRPr="00A83BA9">
          <w:rPr>
            <w:rStyle w:val="Hipervnculo"/>
            <w:rFonts w:ascii="Palatino Linotype" w:hAnsi="Palatino Linotype" w:cs="Arial"/>
            <w:b/>
            <w:bCs/>
            <w:color w:val="67C19D"/>
          </w:rPr>
          <w:t>OFICIO DE RESPUESTA.PDF</w:t>
        </w:r>
      </w:hyperlink>
      <w:r w:rsidRPr="00A83BA9">
        <w:rPr>
          <w:rFonts w:ascii="Palatino Linotype" w:hAnsi="Palatino Linotype"/>
        </w:rPr>
        <w:t xml:space="preserve"> contiene el oficio de fecha tres de diciembre de dos mil dieciocho a través del cual el Titular de la Unidad de Transparencia del sujeto Obligado le notifica la respuesta al solicitante.</w:t>
      </w:r>
    </w:p>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cs="Arial"/>
        </w:rPr>
        <w:lastRenderedPageBreak/>
        <w:t xml:space="preserve">Al respecto es de suma importancia mencionar que </w:t>
      </w:r>
      <w:r w:rsidRPr="00A83BA9">
        <w:rPr>
          <w:rFonts w:ascii="Palatino Linotype" w:hAnsi="Palatino Linotype"/>
        </w:rPr>
        <w:t xml:space="preserve">al estar inconforme con la respuesta emitida por el Sujeto Obligado, el recurrente interpuso recurso de revisión manifestando como acto impugnado la respuesta del sujeto obligado y como motivos de inconformidad la Contraloría se limita a repetir lo que indican las normas jurídicas y no contesta lo peticionado, que en el caso específico la Contraloría publica un índice que obliga al Comité de Registro de Testigos Sociales a designar a los testigos sociales, motivo por el cual la consulta consiste en que se aclare cuál es el procedimiento que siguen para la designación de los testigos sociales, en virtud de que dicho Comité en comento refiere no estar facultado para tal circunstancia. </w:t>
      </w:r>
    </w:p>
    <w:p w:rsidR="00C14BA5" w:rsidRPr="00A83BA9" w:rsidRDefault="00C14BA5" w:rsidP="00C14BA5">
      <w:pPr>
        <w:autoSpaceDE w:val="0"/>
        <w:autoSpaceDN w:val="0"/>
        <w:adjustRightInd w:val="0"/>
        <w:spacing w:before="240" w:line="360" w:lineRule="auto"/>
        <w:jc w:val="both"/>
        <w:rPr>
          <w:rFonts w:ascii="Palatino Linotype" w:hAnsi="Palatino Linotype" w:cs="Arial"/>
          <w:lang w:val="es-MX"/>
        </w:rPr>
      </w:pPr>
      <w:r w:rsidRPr="00A83BA9">
        <w:rPr>
          <w:rFonts w:ascii="Palatino Linotype" w:hAnsi="Palatino Linotype"/>
        </w:rPr>
        <w:t>Una vez precisado lo anterior</w:t>
      </w:r>
      <w:r w:rsidRPr="00A83BA9">
        <w:rPr>
          <w:rFonts w:ascii="Palatino Linotype" w:hAnsi="Palatino Linotype" w:cs="Arial"/>
          <w:lang w:val="es-MX"/>
        </w:rPr>
        <w:t xml:space="preserve">, </w:t>
      </w:r>
      <w:r w:rsidRPr="00A83BA9">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C14BA5" w:rsidRPr="00A83BA9" w:rsidRDefault="00C14BA5" w:rsidP="00C14BA5">
      <w:pPr>
        <w:autoSpaceDE w:val="0"/>
        <w:autoSpaceDN w:val="0"/>
        <w:adjustRightInd w:val="0"/>
        <w:spacing w:before="240" w:line="360" w:lineRule="auto"/>
        <w:jc w:val="both"/>
        <w:rPr>
          <w:rFonts w:ascii="Palatino Linotype" w:hAnsi="Palatino Linotype"/>
          <w:bCs/>
        </w:rPr>
      </w:pPr>
      <w:r w:rsidRPr="00A83BA9">
        <w:rPr>
          <w:rFonts w:ascii="Palatino Linotype" w:hAnsi="Palatino Linotype" w:cs="Arial"/>
        </w:rPr>
        <w:t xml:space="preserve">En relación con lo anterior, resulta  relevante el Criterio 028-10, emitido por el Pleno </w:t>
      </w:r>
      <w:r w:rsidRPr="00A83BA9">
        <w:rPr>
          <w:rFonts w:ascii="Palatino Linotype" w:eastAsia="Arial Unicode MS" w:hAnsi="Palatino Linotype" w:cs="Arial"/>
          <w:bCs/>
        </w:rPr>
        <w:t xml:space="preserve">del anteriormente denominado </w:t>
      </w:r>
      <w:r w:rsidRPr="00A83BA9">
        <w:rPr>
          <w:rFonts w:ascii="Palatino Linotype" w:eastAsia="Arial Unicode MS" w:hAnsi="Palatino Linotype"/>
          <w:bCs/>
        </w:rPr>
        <w:t xml:space="preserve">Instituto Federal de Acceso a la Información y Protección de Datos, </w:t>
      </w:r>
      <w:r w:rsidRPr="00A83BA9">
        <w:rPr>
          <w:rFonts w:ascii="Palatino Linotype" w:eastAsia="Arial Unicode MS" w:hAnsi="Palatino Linotype" w:cs="Arial"/>
          <w:bCs/>
        </w:rPr>
        <w:t>ahora Instituto Nacional de Transparencia, Acceso a la Información y Protección de Datos Personales</w:t>
      </w:r>
      <w:r w:rsidRPr="00A83BA9">
        <w:rPr>
          <w:rFonts w:ascii="Palatino Linotype" w:hAnsi="Palatino Linotype"/>
          <w:bCs/>
        </w:rPr>
        <w:t>, que establece:</w:t>
      </w:r>
    </w:p>
    <w:p w:rsidR="00C14BA5" w:rsidRPr="00A83BA9" w:rsidRDefault="00C14BA5" w:rsidP="00C14BA5">
      <w:pPr>
        <w:autoSpaceDE w:val="0"/>
        <w:autoSpaceDN w:val="0"/>
        <w:adjustRightInd w:val="0"/>
        <w:ind w:left="992" w:right="1327"/>
        <w:jc w:val="both"/>
        <w:rPr>
          <w:rFonts w:ascii="Palatino Linotype" w:hAnsi="Palatino Linotype" w:cs="Arial"/>
          <w:i/>
          <w:sz w:val="22"/>
          <w:szCs w:val="22"/>
        </w:rPr>
      </w:pPr>
    </w:p>
    <w:p w:rsidR="00C14BA5" w:rsidRPr="00A83BA9" w:rsidRDefault="00C14BA5" w:rsidP="00C14BA5">
      <w:pPr>
        <w:autoSpaceDE w:val="0"/>
        <w:autoSpaceDN w:val="0"/>
        <w:adjustRightInd w:val="0"/>
        <w:spacing w:before="120" w:after="120"/>
        <w:ind w:left="992" w:right="1327"/>
        <w:jc w:val="both"/>
        <w:rPr>
          <w:rFonts w:ascii="Palatino Linotype" w:hAnsi="Palatino Linotype" w:cs="Arial"/>
          <w:b/>
          <w:lang w:val="es-MX"/>
        </w:rPr>
      </w:pPr>
      <w:r w:rsidRPr="00A83BA9">
        <w:rPr>
          <w:rFonts w:ascii="Palatino Linotype" w:hAnsi="Palatino Linotype" w:cs="Arial"/>
          <w:i/>
          <w:sz w:val="22"/>
          <w:szCs w:val="22"/>
        </w:rPr>
        <w:t xml:space="preserve">“Cuando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w:t>
      </w:r>
      <w:r w:rsidRPr="00A83BA9">
        <w:rPr>
          <w:rFonts w:ascii="Palatino Linotype" w:hAnsi="Palatino Linotype" w:cs="Arial"/>
          <w:i/>
          <w:sz w:val="22"/>
          <w:szCs w:val="22"/>
        </w:rPr>
        <w:lastRenderedPageBreak/>
        <w:t>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C14BA5" w:rsidRPr="00A83BA9" w:rsidRDefault="00C14BA5" w:rsidP="00C14BA5">
      <w:pPr>
        <w:autoSpaceDE w:val="0"/>
        <w:autoSpaceDN w:val="0"/>
        <w:adjustRightInd w:val="0"/>
        <w:ind w:left="992" w:right="1327"/>
        <w:jc w:val="both"/>
        <w:rPr>
          <w:rFonts w:ascii="Palatino Linotype" w:hAnsi="Palatino Linotype" w:cs="Arial"/>
          <w:b/>
          <w:lang w:val="es-MX"/>
        </w:rPr>
      </w:pPr>
    </w:p>
    <w:p w:rsidR="00C14BA5" w:rsidRPr="00A83BA9" w:rsidRDefault="00C14BA5" w:rsidP="00C14BA5">
      <w:pPr>
        <w:autoSpaceDE w:val="0"/>
        <w:autoSpaceDN w:val="0"/>
        <w:adjustRightInd w:val="0"/>
        <w:spacing w:before="240" w:line="360" w:lineRule="auto"/>
        <w:jc w:val="both"/>
        <w:rPr>
          <w:rFonts w:ascii="Palatino Linotype" w:hAnsi="Palatino Linotype" w:cs="Arial"/>
        </w:rPr>
      </w:pPr>
      <w:r w:rsidRPr="00A83BA9">
        <w:rPr>
          <w:rFonts w:ascii="Palatino Linotype" w:hAnsi="Palatino Linotype" w:cs="Arial"/>
        </w:rPr>
        <w:t>Además, cabe precisar que el Sujeto Obligado, en estricta aplicación a lo dispuesto en el artículo 12 segundo párrafo</w:t>
      </w:r>
      <w:r w:rsidRPr="00A83BA9">
        <w:rPr>
          <w:rFonts w:ascii="Palatino Linotype" w:hAnsi="Palatino Linotype" w:cs="Arial"/>
          <w:u w:val="single"/>
        </w:rPr>
        <w:t xml:space="preserve">, </w:t>
      </w:r>
      <w:r w:rsidRPr="00A83BA9">
        <w:rPr>
          <w:rFonts w:ascii="Palatino Linotype" w:hAnsi="Palatino Linotype" w:cs="Arial"/>
          <w:b/>
          <w:u w:val="single"/>
        </w:rPr>
        <w:t>sólo tiene el deber de entregar la información solicitada, en los términos en que la hubiese generado, posea o administre</w:t>
      </w:r>
      <w:r w:rsidRPr="00A83BA9">
        <w:rPr>
          <w:rFonts w:ascii="Palatino Linotype" w:hAnsi="Palatino Linotype" w:cs="Arial"/>
          <w:b/>
        </w:rPr>
        <w:t>;</w:t>
      </w:r>
      <w:r w:rsidRPr="00A83BA9">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 xml:space="preserve">Una vez precisado lo anterior, es de suma importancia referir que </w:t>
      </w:r>
      <w:r w:rsidRPr="00A83BA9">
        <w:rPr>
          <w:rFonts w:ascii="Palatino Linotype" w:eastAsia="Arial Unicode MS" w:hAnsi="Palatino Linotype" w:cs="Arial"/>
        </w:rPr>
        <w:t>los motivos de inconformidad expresados por la recurrente son infundados, lo anterior es así en atención a lo siguiente:</w:t>
      </w:r>
    </w:p>
    <w:p w:rsidR="00C14BA5" w:rsidRPr="00A83BA9" w:rsidRDefault="00C14BA5" w:rsidP="00C14BA5">
      <w:pPr>
        <w:autoSpaceDE w:val="0"/>
        <w:autoSpaceDN w:val="0"/>
        <w:adjustRightInd w:val="0"/>
        <w:spacing w:before="240" w:line="360" w:lineRule="auto"/>
        <w:jc w:val="both"/>
        <w:rPr>
          <w:rFonts w:ascii="Palatino Linotype" w:eastAsia="Arial Unicode MS" w:hAnsi="Palatino Linotype" w:cs="Arial"/>
        </w:rPr>
      </w:pPr>
      <w:r w:rsidRPr="00A83BA9">
        <w:rPr>
          <w:rFonts w:ascii="Palatino Linotype" w:eastAsia="Arial Unicode MS" w:hAnsi="Palatino Linotype" w:cs="Arial"/>
        </w:rPr>
        <w:t xml:space="preserve">En primer término se </w:t>
      </w:r>
      <w:r w:rsidRPr="00A83BA9">
        <w:rPr>
          <w:rFonts w:ascii="Palatino Linotype" w:hAnsi="Palatino Linotype"/>
        </w:rPr>
        <w:t xml:space="preserve">estima pertinente mencionar que </w:t>
      </w:r>
      <w:r w:rsidRPr="00A83BA9">
        <w:rPr>
          <w:rFonts w:ascii="Palatino Linotype" w:hAnsi="Palatino Linotype" w:cs="Arial"/>
        </w:rPr>
        <w:t xml:space="preserve">el derecho de acceso a la información está consagrado en instrumentos internacionales de los cuales el Estado Mexicano se ha adherido, sin oponer reserva alguna sobre lo que nos interesa, adoptando dichas disposiciones al Derecho Interno, específicamente a nivel </w:t>
      </w:r>
      <w:r w:rsidRPr="00A83BA9">
        <w:rPr>
          <w:rFonts w:ascii="Palatino Linotype" w:hAnsi="Palatino Linotype" w:cs="Arial"/>
        </w:rPr>
        <w:lastRenderedPageBreak/>
        <w:t>Constitucional, tal y como lo prevén los arábigos 1 párrafos primero, segundo y tercero y 6 apartado A fracciones I, II, III, IV, V, VI y VII que a la letra señalan:</w:t>
      </w:r>
    </w:p>
    <w:p w:rsidR="00C14BA5" w:rsidRPr="00A83BA9" w:rsidRDefault="00C14BA5" w:rsidP="00C14BA5">
      <w:pPr>
        <w:tabs>
          <w:tab w:val="left" w:pos="709"/>
        </w:tabs>
        <w:spacing w:line="360" w:lineRule="auto"/>
        <w:ind w:left="851" w:right="850"/>
        <w:jc w:val="both"/>
        <w:rPr>
          <w:rFonts w:ascii="Palatino Linotype" w:hAnsi="Palatino Linotype" w:cs="Arial"/>
        </w:rPr>
      </w:pPr>
    </w:p>
    <w:p w:rsidR="00C14BA5" w:rsidRPr="00A83BA9" w:rsidRDefault="00C14BA5" w:rsidP="00C14BA5">
      <w:pPr>
        <w:tabs>
          <w:tab w:val="left" w:pos="709"/>
        </w:tabs>
        <w:ind w:left="851" w:right="850"/>
        <w:jc w:val="both"/>
        <w:rPr>
          <w:rFonts w:ascii="Palatino Linotype" w:hAnsi="Palatino Linotype" w:cs="Arial"/>
          <w:i/>
          <w:sz w:val="22"/>
          <w:szCs w:val="22"/>
        </w:rPr>
      </w:pPr>
      <w:r w:rsidRPr="00A83BA9">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A83BA9">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C14BA5" w:rsidRPr="00A83BA9" w:rsidRDefault="00C14BA5" w:rsidP="00C14BA5">
      <w:pPr>
        <w:tabs>
          <w:tab w:val="left" w:pos="709"/>
        </w:tabs>
        <w:ind w:left="851" w:right="850"/>
        <w:jc w:val="both"/>
        <w:rPr>
          <w:rFonts w:ascii="Palatino Linotype" w:hAnsi="Palatino Linotype"/>
          <w:b/>
          <w:i/>
          <w:sz w:val="22"/>
          <w:szCs w:val="22"/>
        </w:rPr>
      </w:pPr>
      <w:r w:rsidRPr="00A83BA9">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C14BA5" w:rsidRPr="00A83BA9" w:rsidRDefault="00C14BA5" w:rsidP="00C14BA5">
      <w:pPr>
        <w:tabs>
          <w:tab w:val="left" w:pos="709"/>
        </w:tabs>
        <w:ind w:left="851" w:right="850"/>
        <w:jc w:val="both"/>
        <w:rPr>
          <w:rFonts w:ascii="Palatino Linotype" w:hAnsi="Palatino Linotype"/>
          <w:i/>
          <w:sz w:val="22"/>
          <w:szCs w:val="22"/>
        </w:rPr>
      </w:pPr>
      <w:r w:rsidRPr="00A83BA9">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83BA9">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C14BA5" w:rsidRPr="00A83BA9" w:rsidRDefault="00C14BA5" w:rsidP="00C14BA5">
      <w:pPr>
        <w:tabs>
          <w:tab w:val="left" w:pos="709"/>
        </w:tabs>
        <w:ind w:left="851" w:right="850"/>
        <w:jc w:val="both"/>
        <w:rPr>
          <w:rFonts w:ascii="Palatino Linotype" w:hAnsi="Palatino Linotype" w:cs="Arial"/>
          <w:i/>
          <w:sz w:val="22"/>
          <w:szCs w:val="22"/>
        </w:rPr>
      </w:pPr>
      <w:r w:rsidRPr="00A83BA9">
        <w:rPr>
          <w:rFonts w:ascii="Palatino Linotype" w:hAnsi="Palatino Linotype" w:cs="Arial"/>
          <w:i/>
          <w:sz w:val="22"/>
          <w:szCs w:val="22"/>
        </w:rPr>
        <w:t>[…]</w:t>
      </w:r>
    </w:p>
    <w:p w:rsidR="00C14BA5" w:rsidRPr="00A83BA9" w:rsidRDefault="00C14BA5" w:rsidP="00C14BA5">
      <w:pPr>
        <w:ind w:left="851" w:right="901"/>
        <w:jc w:val="both"/>
        <w:rPr>
          <w:rFonts w:ascii="Palatino Linotype" w:hAnsi="Palatino Linotype" w:cs="Arial"/>
          <w:i/>
          <w:sz w:val="22"/>
          <w:szCs w:val="22"/>
        </w:rPr>
      </w:pPr>
      <w:r w:rsidRPr="00A83BA9">
        <w:rPr>
          <w:rFonts w:ascii="Palatino Linotype" w:hAnsi="Palatino Linotype" w:cs="Arial"/>
          <w:b/>
          <w:i/>
          <w:sz w:val="22"/>
          <w:szCs w:val="22"/>
        </w:rPr>
        <w:t>“Artículo 6o.</w:t>
      </w:r>
    </w:p>
    <w:p w:rsidR="00C14BA5" w:rsidRPr="00A83BA9" w:rsidRDefault="00C14BA5" w:rsidP="00C14BA5">
      <w:pPr>
        <w:ind w:left="851" w:right="901"/>
        <w:jc w:val="both"/>
        <w:rPr>
          <w:rFonts w:ascii="Palatino Linotype" w:hAnsi="Palatino Linotype" w:cs="Arial"/>
          <w:i/>
          <w:sz w:val="22"/>
          <w:szCs w:val="22"/>
        </w:rPr>
      </w:pPr>
      <w:r w:rsidRPr="00A83BA9">
        <w:rPr>
          <w:rFonts w:ascii="Palatino Linotype" w:hAnsi="Palatino Linotype" w:cs="Arial"/>
          <w:i/>
          <w:sz w:val="22"/>
          <w:szCs w:val="22"/>
        </w:rPr>
        <w:t>[...]</w:t>
      </w:r>
    </w:p>
    <w:p w:rsidR="00C14BA5" w:rsidRPr="00A83BA9" w:rsidRDefault="00C14BA5" w:rsidP="00C14BA5">
      <w:pPr>
        <w:ind w:left="851" w:right="851"/>
        <w:jc w:val="both"/>
        <w:rPr>
          <w:rFonts w:ascii="Palatino Linotype" w:hAnsi="Palatino Linotype" w:cs="Arial"/>
          <w:i/>
          <w:sz w:val="22"/>
          <w:szCs w:val="22"/>
          <w:lang w:eastAsia="es-MX"/>
        </w:rPr>
      </w:pPr>
      <w:r w:rsidRPr="00A83BA9">
        <w:rPr>
          <w:rFonts w:ascii="Palatino Linotype" w:hAnsi="Palatino Linotype" w:cs="Arial"/>
          <w:b/>
          <w:bCs/>
          <w:i/>
          <w:sz w:val="22"/>
          <w:szCs w:val="22"/>
          <w:lang w:val="es-ES_tradnl" w:eastAsia="es-MX"/>
        </w:rPr>
        <w:t>A. </w:t>
      </w:r>
      <w:r w:rsidRPr="00A83BA9">
        <w:rPr>
          <w:rFonts w:ascii="Palatino Linotype" w:hAnsi="Palatino Linotype"/>
          <w:b/>
          <w:i/>
          <w:sz w:val="22"/>
          <w:szCs w:val="22"/>
        </w:rPr>
        <w:t xml:space="preserve">Para el ejercicio del derecho de acceso a la información, la Federación y </w:t>
      </w:r>
      <w:r w:rsidRPr="00A83BA9">
        <w:rPr>
          <w:rFonts w:ascii="Palatino Linotype" w:hAnsi="Palatino Linotype"/>
          <w:b/>
          <w:i/>
          <w:sz w:val="22"/>
          <w:szCs w:val="22"/>
          <w:u w:val="single"/>
        </w:rPr>
        <w:t>las entidades federativas</w:t>
      </w:r>
      <w:r w:rsidRPr="00A83BA9">
        <w:rPr>
          <w:rFonts w:ascii="Palatino Linotype" w:hAnsi="Palatino Linotype"/>
          <w:b/>
          <w:i/>
          <w:sz w:val="22"/>
          <w:szCs w:val="22"/>
        </w:rPr>
        <w:t>,</w:t>
      </w:r>
      <w:r w:rsidRPr="00A83BA9">
        <w:rPr>
          <w:rFonts w:ascii="Palatino Linotype" w:hAnsi="Palatino Linotype"/>
          <w:i/>
          <w:sz w:val="22"/>
          <w:szCs w:val="22"/>
        </w:rPr>
        <w:t xml:space="preserve"> en el ámbito de sus respectivas competencias, se regirán por los siguientes principios y bases:</w:t>
      </w:r>
    </w:p>
    <w:p w:rsidR="00C14BA5" w:rsidRPr="00A83BA9" w:rsidRDefault="00C14BA5" w:rsidP="00C14BA5">
      <w:pPr>
        <w:ind w:left="851" w:right="851"/>
        <w:jc w:val="both"/>
        <w:rPr>
          <w:rFonts w:ascii="Palatino Linotype" w:hAnsi="Palatino Linotype" w:cs="Arial"/>
          <w:i/>
          <w:sz w:val="22"/>
          <w:szCs w:val="22"/>
          <w:lang w:eastAsia="es-MX"/>
        </w:rPr>
      </w:pPr>
      <w:r w:rsidRPr="00A83BA9">
        <w:rPr>
          <w:rFonts w:ascii="Palatino Linotype" w:hAnsi="Palatino Linotype" w:cs="Arial"/>
          <w:i/>
          <w:sz w:val="22"/>
          <w:szCs w:val="22"/>
          <w:lang w:eastAsia="es-MX"/>
        </w:rPr>
        <w:t> </w:t>
      </w:r>
    </w:p>
    <w:p w:rsidR="00C14BA5" w:rsidRPr="00A83BA9" w:rsidRDefault="00C14BA5" w:rsidP="00C14BA5">
      <w:pPr>
        <w:ind w:left="851" w:right="851"/>
        <w:jc w:val="both"/>
        <w:rPr>
          <w:rFonts w:ascii="Palatino Linotype" w:hAnsi="Palatino Linotype" w:cs="Courier New"/>
          <w:i/>
          <w:sz w:val="22"/>
          <w:szCs w:val="22"/>
          <w:lang w:eastAsia="es-MX"/>
        </w:rPr>
      </w:pPr>
      <w:r w:rsidRPr="00A83BA9">
        <w:rPr>
          <w:rFonts w:ascii="Palatino Linotype" w:hAnsi="Palatino Linotype" w:cs="Arial"/>
          <w:b/>
          <w:bCs/>
          <w:i/>
          <w:sz w:val="22"/>
          <w:szCs w:val="22"/>
          <w:lang w:eastAsia="es-MX"/>
        </w:rPr>
        <w:t xml:space="preserve">I. </w:t>
      </w:r>
      <w:r w:rsidRPr="00A83BA9">
        <w:rPr>
          <w:rFonts w:ascii="Palatino Linotype" w:hAnsi="Palatino Linotype" w:cs="Arial"/>
          <w:b/>
          <w:i/>
          <w:sz w:val="22"/>
          <w:szCs w:val="22"/>
          <w:u w:val="single"/>
          <w:lang w:eastAsia="es-MX"/>
        </w:rPr>
        <w:t>Toda la información en posesión de cualquier autoridad, entidad, órgano y organismo de los Poderes</w:t>
      </w:r>
      <w:r w:rsidRPr="00A83BA9">
        <w:rPr>
          <w:rFonts w:ascii="Palatino Linotype" w:hAnsi="Palatino Linotype" w:cs="Arial"/>
          <w:i/>
          <w:sz w:val="22"/>
          <w:szCs w:val="22"/>
          <w:lang w:eastAsia="es-MX"/>
        </w:rPr>
        <w:t xml:space="preserve"> Ejecutivo, Legislativo </w:t>
      </w:r>
      <w:r w:rsidRPr="00A83BA9">
        <w:rPr>
          <w:rFonts w:ascii="Palatino Linotype" w:hAnsi="Palatino Linotype" w:cs="Arial"/>
          <w:b/>
          <w:i/>
          <w:sz w:val="22"/>
          <w:szCs w:val="22"/>
          <w:u w:val="single"/>
          <w:lang w:eastAsia="es-MX"/>
        </w:rPr>
        <w:t>y Judicial</w:t>
      </w:r>
      <w:r w:rsidRPr="00A83BA9">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83BA9">
        <w:rPr>
          <w:rFonts w:ascii="Palatino Linotype" w:hAnsi="Palatino Linotype" w:cs="Arial"/>
          <w:b/>
          <w:i/>
          <w:sz w:val="22"/>
          <w:szCs w:val="22"/>
          <w:lang w:eastAsia="es-MX"/>
        </w:rPr>
        <w:t>es pública y sólo podrá ser reservada temporalmente por razones de interés público y seguridad nacional,</w:t>
      </w:r>
      <w:r w:rsidRPr="00A83BA9">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14BA5" w:rsidRPr="00A83BA9" w:rsidRDefault="00C14BA5" w:rsidP="00C14BA5">
      <w:pPr>
        <w:ind w:left="851" w:right="851"/>
        <w:jc w:val="both"/>
        <w:rPr>
          <w:rFonts w:ascii="Palatino Linotype" w:hAnsi="Palatino Linotype" w:cs="Arial"/>
          <w:i/>
          <w:sz w:val="22"/>
          <w:szCs w:val="22"/>
          <w:lang w:eastAsia="es-MX"/>
        </w:rPr>
      </w:pPr>
      <w:r w:rsidRPr="00A83BA9">
        <w:rPr>
          <w:rFonts w:ascii="Palatino Linotype" w:hAnsi="Palatino Linotype" w:cs="Arial"/>
          <w:i/>
          <w:sz w:val="22"/>
          <w:szCs w:val="22"/>
          <w:lang w:eastAsia="es-MX"/>
        </w:rPr>
        <w:t> </w:t>
      </w:r>
    </w:p>
    <w:p w:rsidR="00C14BA5" w:rsidRPr="00A83BA9" w:rsidRDefault="00C14BA5" w:rsidP="00C14BA5">
      <w:pPr>
        <w:ind w:left="851" w:right="851"/>
        <w:jc w:val="both"/>
        <w:rPr>
          <w:rFonts w:ascii="Palatino Linotype" w:hAnsi="Palatino Linotype" w:cs="Arial"/>
          <w:b/>
          <w:i/>
          <w:sz w:val="22"/>
          <w:szCs w:val="22"/>
          <w:lang w:eastAsia="es-MX"/>
        </w:rPr>
      </w:pPr>
      <w:r w:rsidRPr="00A83BA9">
        <w:rPr>
          <w:rFonts w:ascii="Palatino Linotype" w:hAnsi="Palatino Linotype" w:cs="Arial"/>
          <w:b/>
          <w:bCs/>
          <w:i/>
          <w:sz w:val="22"/>
          <w:szCs w:val="22"/>
          <w:lang w:eastAsia="es-MX"/>
        </w:rPr>
        <w:lastRenderedPageBreak/>
        <w:t xml:space="preserve">II. </w:t>
      </w:r>
      <w:r w:rsidRPr="00A83BA9">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C14BA5" w:rsidRPr="00A83BA9" w:rsidRDefault="00C14BA5" w:rsidP="00C14BA5">
      <w:pPr>
        <w:ind w:left="851" w:right="851"/>
        <w:jc w:val="both"/>
        <w:rPr>
          <w:rFonts w:ascii="Palatino Linotype" w:hAnsi="Palatino Linotype" w:cs="Arial"/>
          <w:i/>
          <w:sz w:val="22"/>
          <w:szCs w:val="22"/>
          <w:lang w:eastAsia="es-MX"/>
        </w:rPr>
      </w:pPr>
      <w:r w:rsidRPr="00A83BA9">
        <w:rPr>
          <w:rFonts w:ascii="Palatino Linotype" w:hAnsi="Palatino Linotype" w:cs="Arial"/>
          <w:i/>
          <w:sz w:val="22"/>
          <w:szCs w:val="22"/>
          <w:lang w:eastAsia="es-MX"/>
        </w:rPr>
        <w:t> </w:t>
      </w:r>
    </w:p>
    <w:p w:rsidR="00C14BA5" w:rsidRPr="00A83BA9" w:rsidRDefault="00C14BA5" w:rsidP="00C14BA5">
      <w:pPr>
        <w:ind w:left="851" w:right="851"/>
        <w:jc w:val="both"/>
        <w:rPr>
          <w:rFonts w:ascii="Palatino Linotype" w:hAnsi="Palatino Linotype" w:cs="Arial"/>
          <w:i/>
          <w:sz w:val="22"/>
          <w:szCs w:val="22"/>
          <w:lang w:eastAsia="es-MX"/>
        </w:rPr>
      </w:pPr>
      <w:r w:rsidRPr="00A83BA9">
        <w:rPr>
          <w:rFonts w:ascii="Palatino Linotype" w:hAnsi="Palatino Linotype" w:cs="Arial"/>
          <w:b/>
          <w:bCs/>
          <w:i/>
          <w:sz w:val="22"/>
          <w:szCs w:val="22"/>
          <w:lang w:eastAsia="es-MX"/>
        </w:rPr>
        <w:t xml:space="preserve">III. </w:t>
      </w:r>
      <w:r w:rsidRPr="00A83BA9">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A83BA9">
        <w:rPr>
          <w:rFonts w:ascii="Palatino Linotype" w:hAnsi="Palatino Linotype" w:cs="Arial"/>
          <w:i/>
          <w:sz w:val="22"/>
          <w:szCs w:val="22"/>
          <w:lang w:eastAsia="es-MX"/>
        </w:rPr>
        <w:t xml:space="preserve"> a sus datos personales o a la rectificación de éstos.</w:t>
      </w:r>
    </w:p>
    <w:p w:rsidR="00C14BA5" w:rsidRPr="00A83BA9" w:rsidRDefault="00C14BA5" w:rsidP="00C14BA5">
      <w:pPr>
        <w:ind w:left="851" w:right="851"/>
        <w:jc w:val="both"/>
        <w:rPr>
          <w:rFonts w:ascii="Palatino Linotype" w:hAnsi="Palatino Linotype" w:cs="Arial"/>
          <w:i/>
          <w:sz w:val="22"/>
          <w:szCs w:val="22"/>
          <w:lang w:eastAsia="es-MX"/>
        </w:rPr>
      </w:pPr>
      <w:r w:rsidRPr="00A83BA9">
        <w:rPr>
          <w:rFonts w:ascii="Palatino Linotype" w:hAnsi="Palatino Linotype" w:cs="Arial"/>
          <w:i/>
          <w:sz w:val="22"/>
          <w:szCs w:val="22"/>
          <w:lang w:eastAsia="es-MX"/>
        </w:rPr>
        <w:t> </w:t>
      </w:r>
    </w:p>
    <w:p w:rsidR="00C14BA5" w:rsidRPr="00A83BA9" w:rsidRDefault="00C14BA5" w:rsidP="00C14BA5">
      <w:pPr>
        <w:ind w:left="851" w:right="851"/>
        <w:jc w:val="both"/>
        <w:rPr>
          <w:rFonts w:ascii="Palatino Linotype" w:hAnsi="Palatino Linotype" w:cs="Arial"/>
          <w:i/>
          <w:sz w:val="22"/>
          <w:szCs w:val="22"/>
          <w:lang w:eastAsia="es-MX"/>
        </w:rPr>
      </w:pPr>
      <w:r w:rsidRPr="00A83BA9">
        <w:rPr>
          <w:rFonts w:ascii="Palatino Linotype" w:hAnsi="Palatino Linotype" w:cs="Arial"/>
          <w:b/>
          <w:bCs/>
          <w:i/>
          <w:sz w:val="22"/>
          <w:szCs w:val="22"/>
          <w:lang w:eastAsia="es-MX"/>
        </w:rPr>
        <w:t xml:space="preserve">IV. </w:t>
      </w:r>
      <w:r w:rsidRPr="00A83BA9">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C14BA5" w:rsidRPr="00A83BA9" w:rsidRDefault="00C14BA5" w:rsidP="00C14BA5">
      <w:pPr>
        <w:ind w:left="851" w:right="851"/>
        <w:jc w:val="both"/>
        <w:rPr>
          <w:rFonts w:ascii="Palatino Linotype" w:hAnsi="Palatino Linotype" w:cs="Courier New"/>
          <w:i/>
          <w:sz w:val="22"/>
          <w:szCs w:val="22"/>
          <w:lang w:eastAsia="es-MX"/>
        </w:rPr>
      </w:pPr>
    </w:p>
    <w:p w:rsidR="00C14BA5" w:rsidRPr="00A83BA9" w:rsidRDefault="00C14BA5" w:rsidP="00C14BA5">
      <w:pPr>
        <w:ind w:left="851" w:right="851"/>
        <w:jc w:val="both"/>
        <w:rPr>
          <w:rFonts w:ascii="Palatino Linotype" w:hAnsi="Palatino Linotype" w:cs="Arial"/>
          <w:i/>
          <w:sz w:val="22"/>
          <w:szCs w:val="22"/>
          <w:lang w:eastAsia="es-MX"/>
        </w:rPr>
      </w:pPr>
      <w:r w:rsidRPr="00A83BA9">
        <w:rPr>
          <w:rFonts w:ascii="Palatino Linotype" w:hAnsi="Palatino Linotype" w:cs="Arial"/>
          <w:b/>
          <w:bCs/>
          <w:i/>
          <w:sz w:val="22"/>
          <w:szCs w:val="22"/>
          <w:lang w:eastAsia="es-MX"/>
        </w:rPr>
        <w:t xml:space="preserve">V. </w:t>
      </w:r>
      <w:r w:rsidRPr="00A83BA9">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14BA5" w:rsidRPr="00A83BA9" w:rsidRDefault="00C14BA5" w:rsidP="00C14BA5">
      <w:pPr>
        <w:ind w:left="851" w:right="851"/>
        <w:jc w:val="both"/>
        <w:rPr>
          <w:rFonts w:ascii="Palatino Linotype" w:hAnsi="Palatino Linotype" w:cs="Arial"/>
          <w:i/>
          <w:sz w:val="22"/>
          <w:szCs w:val="22"/>
          <w:lang w:eastAsia="es-MX"/>
        </w:rPr>
      </w:pPr>
      <w:r w:rsidRPr="00A83BA9">
        <w:rPr>
          <w:rFonts w:ascii="Palatino Linotype" w:hAnsi="Palatino Linotype" w:cs="Arial"/>
          <w:i/>
          <w:sz w:val="22"/>
          <w:szCs w:val="22"/>
          <w:lang w:eastAsia="es-MX"/>
        </w:rPr>
        <w:t> </w:t>
      </w:r>
    </w:p>
    <w:p w:rsidR="00C14BA5" w:rsidRPr="00A83BA9" w:rsidRDefault="00C14BA5" w:rsidP="00C14BA5">
      <w:pPr>
        <w:ind w:left="851" w:right="851"/>
        <w:jc w:val="both"/>
        <w:rPr>
          <w:rFonts w:ascii="Palatino Linotype" w:hAnsi="Palatino Linotype" w:cs="Arial"/>
          <w:i/>
          <w:sz w:val="22"/>
          <w:szCs w:val="22"/>
          <w:lang w:eastAsia="es-MX"/>
        </w:rPr>
      </w:pPr>
      <w:r w:rsidRPr="00A83BA9">
        <w:rPr>
          <w:rFonts w:ascii="Palatino Linotype" w:hAnsi="Palatino Linotype" w:cs="Arial"/>
          <w:b/>
          <w:bCs/>
          <w:i/>
          <w:sz w:val="22"/>
          <w:szCs w:val="22"/>
          <w:lang w:eastAsia="es-MX"/>
        </w:rPr>
        <w:t xml:space="preserve">VI. </w:t>
      </w:r>
      <w:r w:rsidRPr="00A83BA9">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C14BA5" w:rsidRPr="00A83BA9" w:rsidRDefault="00C14BA5" w:rsidP="00C14BA5">
      <w:pPr>
        <w:ind w:left="851" w:right="851"/>
        <w:jc w:val="both"/>
        <w:rPr>
          <w:rFonts w:ascii="Palatino Linotype" w:hAnsi="Palatino Linotype" w:cs="Arial"/>
          <w:i/>
          <w:sz w:val="22"/>
          <w:szCs w:val="22"/>
          <w:lang w:eastAsia="es-MX"/>
        </w:rPr>
      </w:pPr>
      <w:r w:rsidRPr="00A83BA9">
        <w:rPr>
          <w:rFonts w:ascii="Palatino Linotype" w:hAnsi="Palatino Linotype" w:cs="Arial"/>
          <w:i/>
          <w:sz w:val="22"/>
          <w:szCs w:val="22"/>
          <w:lang w:eastAsia="es-MX"/>
        </w:rPr>
        <w:t> </w:t>
      </w:r>
    </w:p>
    <w:p w:rsidR="00C14BA5" w:rsidRPr="00A83BA9" w:rsidRDefault="00C14BA5" w:rsidP="00C14BA5">
      <w:pPr>
        <w:ind w:left="851" w:right="851"/>
        <w:jc w:val="both"/>
        <w:rPr>
          <w:rFonts w:ascii="Palatino Linotype" w:hAnsi="Palatino Linotype" w:cs="Arial"/>
          <w:i/>
          <w:sz w:val="22"/>
          <w:szCs w:val="22"/>
          <w:lang w:eastAsia="es-MX"/>
        </w:rPr>
      </w:pPr>
      <w:r w:rsidRPr="00A83BA9">
        <w:rPr>
          <w:rFonts w:ascii="Palatino Linotype" w:hAnsi="Palatino Linotype" w:cs="Arial"/>
          <w:b/>
          <w:bCs/>
          <w:i/>
          <w:sz w:val="22"/>
          <w:szCs w:val="22"/>
          <w:lang w:eastAsia="es-MX"/>
        </w:rPr>
        <w:t xml:space="preserve">VII. </w:t>
      </w:r>
      <w:r w:rsidRPr="00A83BA9">
        <w:rPr>
          <w:rFonts w:ascii="Palatino Linotype" w:hAnsi="Palatino Linotype" w:cs="Arial"/>
          <w:i/>
          <w:sz w:val="22"/>
          <w:szCs w:val="22"/>
          <w:lang w:eastAsia="es-MX"/>
        </w:rPr>
        <w:t>La inobservancia a las disposiciones en materia de acceso a la información pública será sancionada en los términos que dispongan las leyes.</w:t>
      </w:r>
      <w:r w:rsidRPr="00A83BA9">
        <w:rPr>
          <w:rFonts w:ascii="Palatino Linotype" w:hAnsi="Palatino Linotype"/>
          <w:i/>
          <w:sz w:val="22"/>
          <w:szCs w:val="22"/>
        </w:rPr>
        <w:t xml:space="preserve"> [...]</w:t>
      </w:r>
    </w:p>
    <w:p w:rsidR="00C14BA5" w:rsidRPr="00A83BA9" w:rsidRDefault="00C14BA5" w:rsidP="00C14BA5">
      <w:pPr>
        <w:ind w:right="851"/>
        <w:jc w:val="both"/>
        <w:rPr>
          <w:rFonts w:ascii="Palatino Linotype" w:hAnsi="Palatino Linotype" w:cs="Arial"/>
          <w:i/>
          <w:sz w:val="22"/>
          <w:szCs w:val="22"/>
          <w:lang w:eastAsia="es-MX"/>
        </w:rPr>
      </w:pP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 xml:space="preserve">En esta tesitura, debe precisarse que del análisis realizado a las constancias que integran el recurso de revisión al rubro indicado se advierte que la respuesta del </w:t>
      </w:r>
      <w:r w:rsidRPr="00A83BA9">
        <w:rPr>
          <w:rFonts w:ascii="Palatino Linotype" w:hAnsi="Palatino Linotype"/>
        </w:rPr>
        <w:lastRenderedPageBreak/>
        <w:t>Sujeto Obligado satisface el requerimiento del impetrante, lo anterior es así en atención a que si bien es cierto el impetrante requiere que se le indique cual es el procedimiento legal que deben seguir la dependencias y entidades de la administración pública del Gobierno del Estado de México con relación a la selección, designación y contratación de los testigos sociales, sin embargo no se debe perder de vista que el Sujeto Obligado de manera fundada y motivada proporcionó el procedimiento a seguir para la selección, designación y contratación de los testigos sociales.</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En este sentido, este Instituto considera de suma importancia citar la naturaleza jurídica de la información solicitada, lo anterior para determinar que la información proporcionada por el Sujeto Obligado atiende de manera puntual el requerimiento del impetrante.</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Sobre este punto en particular, es menester referir que el artículo 3, fracción IX del Reglamento del Título Décimo del Libro Primero del Código Administrativo del Estado de México establece lo siguiente:</w:t>
      </w: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Artículo 3.-</w:t>
      </w:r>
      <w:r w:rsidRPr="00A83BA9">
        <w:rPr>
          <w:rFonts w:ascii="Palatino Linotype" w:hAnsi="Palatino Linotype"/>
          <w:i/>
          <w:sz w:val="20"/>
          <w:szCs w:val="20"/>
        </w:rPr>
        <w:t xml:space="preserve"> Para efectos de este Reglamento, se entenderá por:</w:t>
      </w: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i/>
          <w:sz w:val="20"/>
          <w:szCs w:val="20"/>
        </w:rPr>
        <w:t>…</w:t>
      </w: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XI. Testigo Social.</w:t>
      </w:r>
      <w:r w:rsidRPr="00A83BA9">
        <w:rPr>
          <w:rFonts w:ascii="Palatino Linotype" w:hAnsi="Palatino Linotype"/>
          <w:i/>
          <w:sz w:val="20"/>
          <w:szCs w:val="20"/>
        </w:rPr>
        <w:t xml:space="preserve"> </w:t>
      </w:r>
      <w:r w:rsidRPr="00A83BA9">
        <w:rPr>
          <w:rFonts w:ascii="Palatino Linotype" w:hAnsi="Palatino Linotype"/>
          <w:b/>
          <w:i/>
          <w:sz w:val="20"/>
          <w:szCs w:val="20"/>
          <w:u w:val="single"/>
        </w:rPr>
        <w:t>Persona física o jurídica colectiva que cuenta con el registro correspondiente, constituyendo el mecanismo para involucrar a la sociedad civil en los procedimientos de contratación pública</w:t>
      </w:r>
      <w:r w:rsidRPr="00A83BA9">
        <w:rPr>
          <w:rFonts w:ascii="Palatino Linotype" w:hAnsi="Palatino Linotype"/>
          <w:i/>
          <w:sz w:val="20"/>
          <w:szCs w:val="20"/>
        </w:rPr>
        <w:t xml:space="preserve"> dispuestos en el Código, </w:t>
      </w:r>
      <w:r w:rsidRPr="00A83BA9">
        <w:rPr>
          <w:rFonts w:ascii="Palatino Linotype" w:hAnsi="Palatino Linotype"/>
          <w:b/>
          <w:i/>
          <w:sz w:val="20"/>
          <w:szCs w:val="20"/>
          <w:u w:val="single"/>
        </w:rPr>
        <w:t>relativos a la concesión de infraestructura vial; la obra pública y servicios relacionados con la misma; los bienes y servicios, el arrendamiento y la enajenación; y los proyectos para la prestación de servicios</w:t>
      </w:r>
      <w:r w:rsidRPr="00A83BA9">
        <w:rPr>
          <w:rFonts w:ascii="Palatino Linotype" w:hAnsi="Palatino Linotype"/>
          <w:i/>
          <w:sz w:val="20"/>
          <w:szCs w:val="20"/>
        </w:rPr>
        <w:t>.</w:t>
      </w:r>
    </w:p>
    <w:p w:rsidR="00C14BA5" w:rsidRPr="00A83BA9" w:rsidRDefault="00C14BA5" w:rsidP="00C14BA5">
      <w:pPr>
        <w:tabs>
          <w:tab w:val="left" w:pos="709"/>
        </w:tabs>
        <w:ind w:left="851" w:right="851"/>
        <w:jc w:val="both"/>
        <w:rPr>
          <w:rFonts w:ascii="Palatino Linotype" w:hAnsi="Palatino Linotype"/>
          <w:i/>
          <w:sz w:val="20"/>
          <w:szCs w:val="20"/>
        </w:rPr>
      </w:pP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i/>
          <w:sz w:val="20"/>
          <w:szCs w:val="20"/>
        </w:rPr>
        <w:t>Énfasis añadido.</w:t>
      </w:r>
    </w:p>
    <w:p w:rsidR="00C14BA5" w:rsidRPr="00A83BA9" w:rsidRDefault="00C14BA5" w:rsidP="00C14BA5">
      <w:pPr>
        <w:tabs>
          <w:tab w:val="left" w:pos="709"/>
        </w:tabs>
        <w:spacing w:before="240" w:after="240" w:line="360" w:lineRule="auto"/>
        <w:jc w:val="both"/>
        <w:rPr>
          <w:rFonts w:ascii="Palatino Linotype" w:hAnsi="Palatino Linotype"/>
        </w:rPr>
      </w:pP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lastRenderedPageBreak/>
        <w:t>En esta tesitura debe agregarse que los artículos 1.42, 1.44, 1.45, 1.46, 1.61, 1.64, 1.66 y 1.67 del Código Administrativo del Estado de México establecen en términos generales que el Testigo Social es un mecanismo de participación ciudadana, por medio del cual se involucra a la sociedad civil en los procedimientos de contratación pública relevantes; procedimientos en los que por su complejidad, impacto o monto de recursos requieren una atención especial, para minimizar riesgos de opacidad y corrupción. En los casos en los que participe un Testigo Social se informará sobre su participación y el objetivo de ésta desde las bases de licitación, es conveniente agregar que el Testigo Social es aquella persona física o moral que como representante de la sociedad civil participa en las contrataciones que llevan a cabo:</w:t>
      </w:r>
    </w:p>
    <w:p w:rsidR="00C14BA5" w:rsidRPr="00A83BA9" w:rsidRDefault="00C14BA5" w:rsidP="00C14BA5">
      <w:pPr>
        <w:pStyle w:val="Prrafodelista"/>
        <w:numPr>
          <w:ilvl w:val="0"/>
          <w:numId w:val="5"/>
        </w:numPr>
        <w:tabs>
          <w:tab w:val="left" w:pos="709"/>
        </w:tabs>
        <w:spacing w:before="240" w:after="240" w:line="360" w:lineRule="auto"/>
        <w:jc w:val="both"/>
        <w:rPr>
          <w:rFonts w:ascii="Palatino Linotype" w:hAnsi="Palatino Linotype"/>
        </w:rPr>
      </w:pPr>
      <w:r w:rsidRPr="00A83BA9">
        <w:rPr>
          <w:rFonts w:ascii="Palatino Linotype" w:hAnsi="Palatino Linotype"/>
        </w:rPr>
        <w:t>Las Secretarías y Unidades Administrativas del Poder Ejecutivo del Estado;</w:t>
      </w:r>
    </w:p>
    <w:p w:rsidR="00C14BA5" w:rsidRPr="00A83BA9" w:rsidRDefault="00C14BA5" w:rsidP="00C14BA5">
      <w:pPr>
        <w:pStyle w:val="Prrafodelista"/>
        <w:numPr>
          <w:ilvl w:val="0"/>
          <w:numId w:val="5"/>
        </w:numPr>
        <w:tabs>
          <w:tab w:val="left" w:pos="709"/>
        </w:tabs>
        <w:spacing w:before="240" w:after="240" w:line="360" w:lineRule="auto"/>
        <w:jc w:val="both"/>
        <w:rPr>
          <w:rFonts w:ascii="Palatino Linotype" w:hAnsi="Palatino Linotype"/>
        </w:rPr>
      </w:pPr>
      <w:r w:rsidRPr="00A83BA9">
        <w:rPr>
          <w:rFonts w:ascii="Palatino Linotype" w:hAnsi="Palatino Linotype"/>
        </w:rPr>
        <w:t>La Fiscalía General de Justicia del Estado de México;</w:t>
      </w:r>
    </w:p>
    <w:p w:rsidR="00C14BA5" w:rsidRPr="00A83BA9" w:rsidRDefault="00C14BA5" w:rsidP="00C14BA5">
      <w:pPr>
        <w:pStyle w:val="Prrafodelista"/>
        <w:numPr>
          <w:ilvl w:val="0"/>
          <w:numId w:val="5"/>
        </w:numPr>
        <w:tabs>
          <w:tab w:val="left" w:pos="709"/>
        </w:tabs>
        <w:spacing w:before="240" w:after="240" w:line="360" w:lineRule="auto"/>
        <w:jc w:val="both"/>
        <w:rPr>
          <w:rFonts w:ascii="Palatino Linotype" w:hAnsi="Palatino Linotype"/>
        </w:rPr>
      </w:pPr>
      <w:r w:rsidRPr="00A83BA9">
        <w:rPr>
          <w:rFonts w:ascii="Palatino Linotype" w:hAnsi="Palatino Linotype"/>
        </w:rPr>
        <w:t>Los Ayuntamientos;</w:t>
      </w:r>
    </w:p>
    <w:p w:rsidR="00C14BA5" w:rsidRPr="00A83BA9" w:rsidRDefault="00C14BA5" w:rsidP="00C14BA5">
      <w:pPr>
        <w:pStyle w:val="Prrafodelista"/>
        <w:numPr>
          <w:ilvl w:val="0"/>
          <w:numId w:val="5"/>
        </w:numPr>
        <w:tabs>
          <w:tab w:val="left" w:pos="709"/>
        </w:tabs>
        <w:spacing w:before="240" w:after="240" w:line="360" w:lineRule="auto"/>
        <w:jc w:val="both"/>
        <w:rPr>
          <w:rFonts w:ascii="Palatino Linotype" w:hAnsi="Palatino Linotype"/>
        </w:rPr>
      </w:pPr>
      <w:r w:rsidRPr="00A83BA9">
        <w:rPr>
          <w:rFonts w:ascii="Palatino Linotype" w:hAnsi="Palatino Linotype"/>
        </w:rPr>
        <w:t>Los Organismos Auxiliares del Estado y municipios; y</w:t>
      </w:r>
    </w:p>
    <w:p w:rsidR="00C14BA5" w:rsidRPr="00A83BA9" w:rsidRDefault="00C14BA5" w:rsidP="00C14BA5">
      <w:pPr>
        <w:pStyle w:val="Prrafodelista"/>
        <w:numPr>
          <w:ilvl w:val="0"/>
          <w:numId w:val="5"/>
        </w:numPr>
        <w:tabs>
          <w:tab w:val="left" w:pos="709"/>
        </w:tabs>
        <w:spacing w:before="240" w:after="240" w:line="360" w:lineRule="auto"/>
        <w:jc w:val="both"/>
        <w:rPr>
          <w:rFonts w:ascii="Palatino Linotype" w:hAnsi="Palatino Linotype"/>
        </w:rPr>
      </w:pPr>
      <w:r w:rsidRPr="00A83BA9">
        <w:rPr>
          <w:rFonts w:ascii="Palatino Linotype" w:hAnsi="Palatino Linotype"/>
        </w:rPr>
        <w:t>Los Tribunales Administrativos.</w:t>
      </w:r>
    </w:p>
    <w:p w:rsidR="00C14BA5" w:rsidRPr="00A83BA9" w:rsidRDefault="00C14BA5" w:rsidP="00C14BA5">
      <w:pPr>
        <w:pStyle w:val="Prrafodelista"/>
        <w:numPr>
          <w:ilvl w:val="0"/>
          <w:numId w:val="5"/>
        </w:numPr>
        <w:tabs>
          <w:tab w:val="left" w:pos="709"/>
        </w:tabs>
        <w:spacing w:before="240" w:after="240" w:line="360" w:lineRule="auto"/>
        <w:jc w:val="both"/>
        <w:rPr>
          <w:rFonts w:ascii="Palatino Linotype" w:hAnsi="Palatino Linotype"/>
        </w:rPr>
      </w:pPr>
      <w:r w:rsidRPr="00A83BA9">
        <w:rPr>
          <w:rFonts w:ascii="Palatino Linotype" w:hAnsi="Palatino Linotype"/>
        </w:rPr>
        <w:t xml:space="preserve">Los poderes Legislativo y Judicial, así como los Organismos Autónomos, aplicarán los procedimientos previstos para la participación del Testigo Social, en todo lo que no se oponga a los ordenamientos legales que los regulan. </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 xml:space="preserve">Cabe agregar que el Testigo Social tiene derecho a voz en los procedimientos de contratación pública en los que participe y deberá emitir su testimonio al término de su participación, el cual versará sobre el desarrollo de las etapas del procedimiento </w:t>
      </w:r>
      <w:r w:rsidRPr="00A83BA9">
        <w:rPr>
          <w:rFonts w:ascii="Palatino Linotype" w:hAnsi="Palatino Linotype"/>
        </w:rPr>
        <w:lastRenderedPageBreak/>
        <w:t>de contratación correspondiente y en caso de irregularidades deberá de notificar de inmediato a la Secretaría de la Contraloría.</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Las unidades administrativas mencionadas en el artículo 1.43(</w:t>
      </w:r>
      <w:r w:rsidRPr="00A83BA9">
        <w:rPr>
          <w:rFonts w:ascii="Palatino Linotype" w:hAnsi="Palatino Linotype"/>
          <w:i/>
        </w:rPr>
        <w:t>Las Secretarías y Unidades Administrativas del Poder Ejecutivo del Estado; La Fiscalía General de Justicia del Estado de México; Los Ayuntamientos; Los Organismos Auxiliares del Estado y municipios; Los Tribunales Administrativos; Los poderes Legislativo y Judicial, así como los Organismos Autónomos, aplicarán los procedimientos previstos para la participación del Testigo Social, en todo lo que no se oponga a los ordenamientos legales que los regulan</w:t>
      </w:r>
      <w:r w:rsidRPr="00A83BA9">
        <w:rPr>
          <w:rFonts w:ascii="Palatino Linotype" w:hAnsi="Palatino Linotype"/>
        </w:rPr>
        <w:t>) podrán solicitar la participación de los Testigos Sociales en los procedimientos de contratación que estimen convenientes de acuerdo con los criterios y disposiciones establecidos en el presente título, en este sentido debe mencionarse que el Testigo Social podrá participar en los procedimientos de adjudicación contenidos relativos a:</w:t>
      </w:r>
    </w:p>
    <w:p w:rsidR="00C14BA5" w:rsidRPr="00A83BA9" w:rsidRDefault="00C14BA5" w:rsidP="00C14BA5">
      <w:pPr>
        <w:pStyle w:val="Prrafodelista"/>
        <w:numPr>
          <w:ilvl w:val="0"/>
          <w:numId w:val="6"/>
        </w:numPr>
        <w:tabs>
          <w:tab w:val="left" w:pos="709"/>
        </w:tabs>
        <w:spacing w:before="240" w:after="240" w:line="360" w:lineRule="auto"/>
        <w:jc w:val="both"/>
        <w:rPr>
          <w:rFonts w:ascii="Palatino Linotype" w:hAnsi="Palatino Linotype"/>
        </w:rPr>
      </w:pPr>
      <w:r w:rsidRPr="00A83BA9">
        <w:rPr>
          <w:rFonts w:ascii="Palatino Linotype" w:hAnsi="Palatino Linotype"/>
        </w:rPr>
        <w:t>La concesión de infraestructura vial</w:t>
      </w:r>
    </w:p>
    <w:p w:rsidR="00C14BA5" w:rsidRPr="00A83BA9" w:rsidRDefault="00C14BA5" w:rsidP="00C14BA5">
      <w:pPr>
        <w:pStyle w:val="Prrafodelista"/>
        <w:numPr>
          <w:ilvl w:val="0"/>
          <w:numId w:val="6"/>
        </w:numPr>
        <w:tabs>
          <w:tab w:val="left" w:pos="709"/>
        </w:tabs>
        <w:spacing w:before="240" w:after="240" w:line="360" w:lineRule="auto"/>
        <w:jc w:val="both"/>
        <w:rPr>
          <w:rFonts w:ascii="Palatino Linotype" w:hAnsi="Palatino Linotype"/>
        </w:rPr>
      </w:pPr>
      <w:r w:rsidRPr="00A83BA9">
        <w:rPr>
          <w:rFonts w:ascii="Palatino Linotype" w:hAnsi="Palatino Linotype"/>
        </w:rPr>
        <w:t>La obra pública y servicios relacionados con la misma.</w:t>
      </w:r>
    </w:p>
    <w:p w:rsidR="00C14BA5" w:rsidRPr="00A83BA9" w:rsidRDefault="00C14BA5" w:rsidP="00C14BA5">
      <w:pPr>
        <w:pStyle w:val="Prrafodelista"/>
        <w:numPr>
          <w:ilvl w:val="0"/>
          <w:numId w:val="6"/>
        </w:numPr>
        <w:tabs>
          <w:tab w:val="left" w:pos="709"/>
        </w:tabs>
        <w:spacing w:before="240" w:after="240" w:line="360" w:lineRule="auto"/>
        <w:jc w:val="both"/>
        <w:rPr>
          <w:rFonts w:ascii="Palatino Linotype" w:hAnsi="Palatino Linotype"/>
        </w:rPr>
      </w:pPr>
      <w:r w:rsidRPr="00A83BA9">
        <w:rPr>
          <w:rFonts w:ascii="Palatino Linotype" w:hAnsi="Palatino Linotype"/>
        </w:rPr>
        <w:t>Los bienes y servicios, el arrendamiento y la enajenación; y</w:t>
      </w:r>
    </w:p>
    <w:p w:rsidR="00C14BA5" w:rsidRPr="00A83BA9" w:rsidRDefault="00C14BA5" w:rsidP="00C14BA5">
      <w:pPr>
        <w:pStyle w:val="Prrafodelista"/>
        <w:numPr>
          <w:ilvl w:val="0"/>
          <w:numId w:val="6"/>
        </w:numPr>
        <w:tabs>
          <w:tab w:val="left" w:pos="709"/>
        </w:tabs>
        <w:spacing w:before="240" w:after="240" w:line="360" w:lineRule="auto"/>
        <w:jc w:val="both"/>
        <w:rPr>
          <w:rFonts w:ascii="Palatino Linotype" w:hAnsi="Palatino Linotype"/>
        </w:rPr>
      </w:pPr>
      <w:r w:rsidRPr="00A83BA9">
        <w:rPr>
          <w:rFonts w:ascii="Palatino Linotype" w:hAnsi="Palatino Linotype"/>
        </w:rPr>
        <w:t>Los proyectos para la prestación de servicios.</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Para contar con un Testigo Social las contrataciones deberán reunir alguna de las siguientes características:</w:t>
      </w:r>
    </w:p>
    <w:p w:rsidR="00C14BA5" w:rsidRPr="00A83BA9" w:rsidRDefault="00C14BA5" w:rsidP="00C14BA5">
      <w:pPr>
        <w:pStyle w:val="Prrafodelista"/>
        <w:numPr>
          <w:ilvl w:val="0"/>
          <w:numId w:val="8"/>
        </w:numPr>
        <w:tabs>
          <w:tab w:val="left" w:pos="709"/>
        </w:tabs>
        <w:spacing w:before="240" w:after="240" w:line="360" w:lineRule="auto"/>
        <w:jc w:val="both"/>
        <w:rPr>
          <w:rFonts w:ascii="Palatino Linotype" w:hAnsi="Palatino Linotype"/>
        </w:rPr>
      </w:pPr>
      <w:r w:rsidRPr="00A83BA9">
        <w:rPr>
          <w:rFonts w:ascii="Palatino Linotype" w:hAnsi="Palatino Linotype"/>
        </w:rPr>
        <w:t>Que corresponda a obras o acciones de alto impacto social;</w:t>
      </w:r>
    </w:p>
    <w:p w:rsidR="00C14BA5" w:rsidRPr="00A83BA9" w:rsidRDefault="00C14BA5" w:rsidP="00C14BA5">
      <w:pPr>
        <w:pStyle w:val="Prrafodelista"/>
        <w:numPr>
          <w:ilvl w:val="0"/>
          <w:numId w:val="8"/>
        </w:numPr>
        <w:tabs>
          <w:tab w:val="left" w:pos="709"/>
        </w:tabs>
        <w:spacing w:before="240" w:after="240" w:line="360" w:lineRule="auto"/>
        <w:jc w:val="both"/>
        <w:rPr>
          <w:rFonts w:ascii="Palatino Linotype" w:hAnsi="Palatino Linotype"/>
        </w:rPr>
      </w:pPr>
      <w:r w:rsidRPr="00A83BA9">
        <w:rPr>
          <w:rFonts w:ascii="Palatino Linotype" w:hAnsi="Palatino Linotype"/>
        </w:rPr>
        <w:t>Que el monto de la contratación sea representativo;</w:t>
      </w:r>
    </w:p>
    <w:p w:rsidR="00C14BA5" w:rsidRPr="00A83BA9" w:rsidRDefault="00C14BA5" w:rsidP="00C14BA5">
      <w:pPr>
        <w:pStyle w:val="Prrafodelista"/>
        <w:numPr>
          <w:ilvl w:val="0"/>
          <w:numId w:val="8"/>
        </w:numPr>
        <w:tabs>
          <w:tab w:val="left" w:pos="709"/>
        </w:tabs>
        <w:spacing w:before="240" w:after="240" w:line="360" w:lineRule="auto"/>
        <w:jc w:val="both"/>
        <w:rPr>
          <w:rFonts w:ascii="Palatino Linotype" w:hAnsi="Palatino Linotype"/>
        </w:rPr>
      </w:pPr>
      <w:r w:rsidRPr="00A83BA9">
        <w:rPr>
          <w:rFonts w:ascii="Palatino Linotype" w:hAnsi="Palatino Linotype"/>
        </w:rPr>
        <w:t>Que incentive significativamente el desarrollo económico y social;</w:t>
      </w:r>
    </w:p>
    <w:p w:rsidR="00C14BA5" w:rsidRPr="00A83BA9" w:rsidRDefault="00C14BA5" w:rsidP="00C14BA5">
      <w:pPr>
        <w:pStyle w:val="Prrafodelista"/>
        <w:numPr>
          <w:ilvl w:val="0"/>
          <w:numId w:val="8"/>
        </w:numPr>
        <w:tabs>
          <w:tab w:val="left" w:pos="709"/>
        </w:tabs>
        <w:spacing w:before="240" w:after="240" w:line="360" w:lineRule="auto"/>
        <w:jc w:val="both"/>
        <w:rPr>
          <w:rFonts w:ascii="Palatino Linotype" w:hAnsi="Palatino Linotype"/>
        </w:rPr>
      </w:pPr>
      <w:r w:rsidRPr="00A83BA9">
        <w:rPr>
          <w:rFonts w:ascii="Palatino Linotype" w:hAnsi="Palatino Linotype"/>
        </w:rPr>
        <w:lastRenderedPageBreak/>
        <w:t>Que incida en una estrategia de crecimiento municipal, regional o estatal; o</w:t>
      </w:r>
    </w:p>
    <w:p w:rsidR="00C14BA5" w:rsidRPr="00A83BA9" w:rsidRDefault="00C14BA5" w:rsidP="00C14BA5">
      <w:pPr>
        <w:pStyle w:val="Prrafodelista"/>
        <w:numPr>
          <w:ilvl w:val="0"/>
          <w:numId w:val="8"/>
        </w:numPr>
        <w:tabs>
          <w:tab w:val="left" w:pos="709"/>
        </w:tabs>
        <w:spacing w:before="240" w:after="240" w:line="360" w:lineRule="auto"/>
        <w:jc w:val="both"/>
        <w:rPr>
          <w:rFonts w:ascii="Palatino Linotype" w:hAnsi="Palatino Linotype"/>
        </w:rPr>
      </w:pPr>
      <w:r w:rsidRPr="00A83BA9">
        <w:rPr>
          <w:rFonts w:ascii="Palatino Linotype" w:hAnsi="Palatino Linotype"/>
        </w:rPr>
        <w:t>Que exista un alto requerimiento para hacer más transparente el proceso.</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Una vez precisado lo anterior es de mencionar que la contratación del Testigo Social que realice la Unidad Contratante se sujetará a las disposiciones del Libro Décimo Tercero de este Código, del mismo modo es importante resaltar que el Testigo Social participará, de acuerdo con el contrato de participación correspondiente, en la formulación y revisión previa de las bases, convocatoria o invitación, así como en las juntas de aclaraciones, visitas a los sitios de instalación o edificación, actos de presentación y apertura de proposiciones, evaluaciones de las propuestas técnicas y económicas, emisión de los fallos correspondientes y formalización del contrato respectivo.</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Es de mencionar que el Reglamento del Título Décimo del Libro Primero del Código Administrativo del Estado de México en sus artículos 12, 15, 17, 22, 29 y 30 establece lo siguiente:</w:t>
      </w: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Artículo 12.-</w:t>
      </w:r>
      <w:r w:rsidRPr="00A83BA9">
        <w:rPr>
          <w:rFonts w:ascii="Palatino Linotype" w:hAnsi="Palatino Linotype"/>
          <w:i/>
          <w:sz w:val="20"/>
          <w:szCs w:val="20"/>
        </w:rPr>
        <w:t xml:space="preserve"> </w:t>
      </w:r>
      <w:r w:rsidRPr="00A83BA9">
        <w:rPr>
          <w:rFonts w:ascii="Palatino Linotype" w:hAnsi="Palatino Linotype"/>
          <w:b/>
          <w:i/>
          <w:sz w:val="20"/>
          <w:szCs w:val="20"/>
          <w:u w:val="single"/>
        </w:rPr>
        <w:t>La Unidad Contratante que requiera la participación de un Testigo Social deberá justificar documentalmente alguna de las características descritas en el artículo 1.67 del Código</w:t>
      </w:r>
      <w:r w:rsidRPr="00A83BA9">
        <w:rPr>
          <w:rFonts w:ascii="Palatino Linotype" w:hAnsi="Palatino Linotype"/>
          <w:i/>
          <w:sz w:val="20"/>
          <w:szCs w:val="20"/>
        </w:rPr>
        <w:t>.</w:t>
      </w:r>
    </w:p>
    <w:p w:rsidR="00C14BA5" w:rsidRPr="00A83BA9" w:rsidRDefault="00C14BA5" w:rsidP="00C14BA5">
      <w:pPr>
        <w:tabs>
          <w:tab w:val="left" w:pos="709"/>
        </w:tabs>
        <w:ind w:left="851" w:right="851"/>
        <w:jc w:val="both"/>
        <w:rPr>
          <w:rFonts w:ascii="Palatino Linotype" w:hAnsi="Palatino Linotype"/>
          <w:b/>
          <w:i/>
          <w:sz w:val="20"/>
          <w:szCs w:val="20"/>
        </w:rPr>
      </w:pP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Artículo 13.-</w:t>
      </w:r>
      <w:r w:rsidRPr="00A83BA9">
        <w:rPr>
          <w:rFonts w:ascii="Palatino Linotype" w:hAnsi="Palatino Linotype"/>
          <w:i/>
          <w:sz w:val="20"/>
          <w:szCs w:val="20"/>
        </w:rPr>
        <w:t xml:space="preserve"> El Testigo Social podrá participar en las etapas del procedimiento de contratación pública relativas a:</w:t>
      </w: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I.</w:t>
      </w:r>
      <w:r w:rsidRPr="00A83BA9">
        <w:rPr>
          <w:rFonts w:ascii="Palatino Linotype" w:hAnsi="Palatino Linotype"/>
          <w:i/>
          <w:sz w:val="20"/>
          <w:szCs w:val="20"/>
        </w:rPr>
        <w:t xml:space="preserve"> Formulación y revisión previa de las bases, convocatoria o invitación;</w:t>
      </w: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II.</w:t>
      </w:r>
      <w:r w:rsidRPr="00A83BA9">
        <w:rPr>
          <w:rFonts w:ascii="Palatino Linotype" w:hAnsi="Palatino Linotype"/>
          <w:i/>
          <w:sz w:val="20"/>
          <w:szCs w:val="20"/>
        </w:rPr>
        <w:t xml:space="preserve"> Junta de aclaraciones;</w:t>
      </w: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III.</w:t>
      </w:r>
      <w:r w:rsidRPr="00A83BA9">
        <w:rPr>
          <w:rFonts w:ascii="Palatino Linotype" w:hAnsi="Palatino Linotype"/>
          <w:i/>
          <w:sz w:val="20"/>
          <w:szCs w:val="20"/>
        </w:rPr>
        <w:t xml:space="preserve"> Visita a los sitios de instalación o edificación;</w:t>
      </w: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IV.</w:t>
      </w:r>
      <w:r w:rsidRPr="00A83BA9">
        <w:rPr>
          <w:rFonts w:ascii="Palatino Linotype" w:hAnsi="Palatino Linotype"/>
          <w:i/>
          <w:sz w:val="20"/>
          <w:szCs w:val="20"/>
        </w:rPr>
        <w:t xml:space="preserve"> Actos de presentación, apertura y evaluación de proposiciones técnicas y económicas;</w:t>
      </w: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V.</w:t>
      </w:r>
      <w:r w:rsidRPr="00A83BA9">
        <w:rPr>
          <w:rFonts w:ascii="Palatino Linotype" w:hAnsi="Palatino Linotype"/>
          <w:i/>
          <w:sz w:val="20"/>
          <w:szCs w:val="20"/>
        </w:rPr>
        <w:t xml:space="preserve"> Emisión del fallo, y</w:t>
      </w: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VI.</w:t>
      </w:r>
      <w:r w:rsidRPr="00A83BA9">
        <w:rPr>
          <w:rFonts w:ascii="Palatino Linotype" w:hAnsi="Palatino Linotype"/>
          <w:i/>
          <w:sz w:val="20"/>
          <w:szCs w:val="20"/>
        </w:rPr>
        <w:t xml:space="preserve"> Formalización del contrato.</w:t>
      </w:r>
    </w:p>
    <w:p w:rsidR="00C14BA5" w:rsidRPr="00A83BA9" w:rsidRDefault="00C14BA5" w:rsidP="00C14BA5">
      <w:pPr>
        <w:tabs>
          <w:tab w:val="left" w:pos="709"/>
        </w:tabs>
        <w:ind w:left="851" w:right="851"/>
        <w:jc w:val="both"/>
        <w:rPr>
          <w:rFonts w:ascii="Palatino Linotype" w:hAnsi="Palatino Linotype"/>
          <w:b/>
          <w:i/>
          <w:sz w:val="20"/>
          <w:szCs w:val="20"/>
        </w:rPr>
      </w:pP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Artículo 15.-</w:t>
      </w:r>
      <w:r w:rsidRPr="00A83BA9">
        <w:rPr>
          <w:rFonts w:ascii="Palatino Linotype" w:hAnsi="Palatino Linotype"/>
          <w:i/>
          <w:sz w:val="20"/>
          <w:szCs w:val="20"/>
        </w:rPr>
        <w:t xml:space="preserve"> </w:t>
      </w:r>
      <w:r w:rsidRPr="00A83BA9">
        <w:rPr>
          <w:rFonts w:ascii="Palatino Linotype" w:hAnsi="Palatino Linotype"/>
          <w:b/>
          <w:i/>
          <w:sz w:val="20"/>
          <w:szCs w:val="20"/>
          <w:u w:val="single"/>
        </w:rPr>
        <w:t>La Unidad Contratante que requiera los servicios de un Testigo Social, considerará el perfil de éste de acuerdo al Registro por Especialidad que elabore el Comité de Registro de Testigos Sociales</w:t>
      </w:r>
      <w:r w:rsidRPr="00A83BA9">
        <w:rPr>
          <w:rFonts w:ascii="Palatino Linotype" w:hAnsi="Palatino Linotype"/>
          <w:i/>
          <w:sz w:val="20"/>
          <w:szCs w:val="20"/>
        </w:rPr>
        <w:t>.</w:t>
      </w:r>
    </w:p>
    <w:p w:rsidR="00C14BA5" w:rsidRPr="00A83BA9" w:rsidRDefault="00C14BA5" w:rsidP="00C14BA5">
      <w:pPr>
        <w:tabs>
          <w:tab w:val="left" w:pos="709"/>
        </w:tabs>
        <w:ind w:left="851" w:right="851"/>
        <w:jc w:val="both"/>
        <w:rPr>
          <w:rFonts w:ascii="Palatino Linotype" w:hAnsi="Palatino Linotype"/>
          <w:b/>
          <w:i/>
          <w:sz w:val="20"/>
          <w:szCs w:val="20"/>
        </w:rPr>
      </w:pPr>
    </w:p>
    <w:p w:rsidR="00C14BA5" w:rsidRPr="00A83BA9" w:rsidRDefault="00C14BA5" w:rsidP="00C14BA5">
      <w:pPr>
        <w:tabs>
          <w:tab w:val="left" w:pos="709"/>
        </w:tabs>
        <w:ind w:left="851" w:right="851"/>
        <w:jc w:val="both"/>
        <w:rPr>
          <w:rFonts w:ascii="Palatino Linotype" w:hAnsi="Palatino Linotype"/>
          <w:b/>
          <w:i/>
          <w:sz w:val="20"/>
          <w:szCs w:val="20"/>
        </w:rPr>
      </w:pP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Artículo 17.-</w:t>
      </w:r>
      <w:r w:rsidRPr="00A83BA9">
        <w:rPr>
          <w:rFonts w:ascii="Palatino Linotype" w:hAnsi="Palatino Linotype"/>
          <w:i/>
          <w:sz w:val="20"/>
          <w:szCs w:val="20"/>
        </w:rPr>
        <w:t xml:space="preserve"> </w:t>
      </w:r>
      <w:r w:rsidRPr="00A83BA9">
        <w:rPr>
          <w:rFonts w:ascii="Palatino Linotype" w:hAnsi="Palatino Linotype"/>
          <w:b/>
          <w:i/>
          <w:sz w:val="20"/>
          <w:szCs w:val="20"/>
          <w:u w:val="single"/>
        </w:rPr>
        <w:t>La Unidad Contratante, para efectos de la contratación del Testigo Social, deberá sujetarse a lo dispuesto en el Código</w:t>
      </w:r>
      <w:r w:rsidRPr="00A83BA9">
        <w:rPr>
          <w:rFonts w:ascii="Palatino Linotype" w:hAnsi="Palatino Linotype"/>
          <w:i/>
          <w:sz w:val="20"/>
          <w:szCs w:val="20"/>
        </w:rPr>
        <w:t>, tanto en lo relativo a la planeación y programación anual, para incluir en su presupuesto el pago de la respectiva contratación de prestación de servicios.</w:t>
      </w:r>
    </w:p>
    <w:p w:rsidR="00C14BA5" w:rsidRPr="00A83BA9" w:rsidRDefault="00C14BA5" w:rsidP="00C14BA5">
      <w:pPr>
        <w:tabs>
          <w:tab w:val="left" w:pos="709"/>
        </w:tabs>
        <w:ind w:left="851" w:right="851"/>
        <w:jc w:val="both"/>
        <w:rPr>
          <w:rFonts w:ascii="Palatino Linotype" w:hAnsi="Palatino Linotype"/>
          <w:b/>
          <w:i/>
          <w:sz w:val="20"/>
          <w:szCs w:val="20"/>
        </w:rPr>
      </w:pP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Artículo 22.-</w:t>
      </w:r>
      <w:r w:rsidRPr="00A83BA9">
        <w:rPr>
          <w:rFonts w:ascii="Palatino Linotype" w:hAnsi="Palatino Linotype"/>
          <w:i/>
          <w:sz w:val="20"/>
          <w:szCs w:val="20"/>
        </w:rPr>
        <w:t xml:space="preserve"> </w:t>
      </w:r>
      <w:r w:rsidRPr="00A83BA9">
        <w:rPr>
          <w:rFonts w:ascii="Palatino Linotype" w:hAnsi="Palatino Linotype"/>
          <w:b/>
          <w:i/>
          <w:sz w:val="20"/>
          <w:szCs w:val="20"/>
          <w:u w:val="single"/>
        </w:rPr>
        <w:t>La Unidad Contratante deberá requisitar el “Índice del Expediente de la Participación del Testigo Social”, que para tal efecto se disponga</w:t>
      </w:r>
      <w:r w:rsidRPr="00A83BA9">
        <w:rPr>
          <w:rFonts w:ascii="Palatino Linotype" w:hAnsi="Palatino Linotype"/>
          <w:i/>
          <w:sz w:val="20"/>
          <w:szCs w:val="20"/>
        </w:rPr>
        <w:t>. Este documento permitirá a la Unidad Contratante, integrar en forma adecuada y uniforme los expedientes originados con motivo de la participación del Testigo Social, y promover la transparencia en los procedimientos de contrataciones públicas de concesión de infraestructura vial; obra pública y servicios relacionados con la misma; bienes y servicios, arrendamiento y enajenación; y proyectos para la prestación de servicios.</w:t>
      </w:r>
    </w:p>
    <w:p w:rsidR="00C14BA5" w:rsidRPr="00A83BA9" w:rsidRDefault="00C14BA5" w:rsidP="00C14BA5">
      <w:pPr>
        <w:tabs>
          <w:tab w:val="left" w:pos="709"/>
        </w:tabs>
        <w:ind w:left="851" w:right="851"/>
        <w:jc w:val="both"/>
        <w:rPr>
          <w:rFonts w:ascii="Palatino Linotype" w:hAnsi="Palatino Linotype"/>
          <w:b/>
          <w:i/>
          <w:sz w:val="20"/>
          <w:szCs w:val="20"/>
        </w:rPr>
      </w:pP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Artículo 29</w:t>
      </w:r>
      <w:r w:rsidRPr="00A83BA9">
        <w:rPr>
          <w:rFonts w:ascii="Palatino Linotype" w:hAnsi="Palatino Linotype"/>
          <w:i/>
          <w:sz w:val="20"/>
          <w:szCs w:val="20"/>
          <w:u w:val="single"/>
        </w:rPr>
        <w:t xml:space="preserve">.- </w:t>
      </w:r>
      <w:r w:rsidRPr="00A83BA9">
        <w:rPr>
          <w:rFonts w:ascii="Palatino Linotype" w:hAnsi="Palatino Linotype"/>
          <w:b/>
          <w:i/>
          <w:sz w:val="20"/>
          <w:szCs w:val="20"/>
          <w:u w:val="single"/>
        </w:rPr>
        <w:t>La Unidad Contratante suscribirá el contrato de prestación de servicios con el Testigo Social, previo a la participación de éste</w:t>
      </w:r>
      <w:r w:rsidRPr="00A83BA9">
        <w:rPr>
          <w:rFonts w:ascii="Palatino Linotype" w:hAnsi="Palatino Linotype"/>
          <w:i/>
          <w:sz w:val="20"/>
          <w:szCs w:val="20"/>
        </w:rPr>
        <w:t xml:space="preserve"> en las contrataciones públicas.</w:t>
      </w:r>
    </w:p>
    <w:p w:rsidR="00C14BA5" w:rsidRPr="00A83BA9" w:rsidRDefault="00C14BA5" w:rsidP="00C14BA5">
      <w:pPr>
        <w:tabs>
          <w:tab w:val="left" w:pos="709"/>
        </w:tabs>
        <w:ind w:left="851" w:right="851"/>
        <w:jc w:val="both"/>
        <w:rPr>
          <w:rFonts w:ascii="Palatino Linotype" w:hAnsi="Palatino Linotype"/>
          <w:i/>
          <w:sz w:val="20"/>
          <w:szCs w:val="20"/>
        </w:rPr>
      </w:pP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i/>
          <w:sz w:val="20"/>
          <w:szCs w:val="20"/>
        </w:rPr>
        <w:t>El contrato de prestación de servicios deberá describir todas las obligaciones y derechos, tanto de la Unidad Contratante como del Testigo Social.</w:t>
      </w:r>
    </w:p>
    <w:p w:rsidR="00C14BA5" w:rsidRPr="00A83BA9" w:rsidRDefault="00C14BA5" w:rsidP="00C14BA5">
      <w:pPr>
        <w:tabs>
          <w:tab w:val="left" w:pos="709"/>
        </w:tabs>
        <w:ind w:left="851" w:right="851"/>
        <w:jc w:val="both"/>
        <w:rPr>
          <w:rFonts w:ascii="Palatino Linotype" w:hAnsi="Palatino Linotype"/>
          <w:b/>
          <w:i/>
          <w:sz w:val="20"/>
          <w:szCs w:val="20"/>
        </w:rPr>
      </w:pP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b/>
          <w:i/>
          <w:sz w:val="20"/>
          <w:szCs w:val="20"/>
        </w:rPr>
        <w:t>Artículo 30.-</w:t>
      </w:r>
      <w:r w:rsidRPr="00A83BA9">
        <w:rPr>
          <w:rFonts w:ascii="Palatino Linotype" w:hAnsi="Palatino Linotype"/>
          <w:i/>
          <w:sz w:val="20"/>
          <w:szCs w:val="20"/>
        </w:rPr>
        <w:t xml:space="preserve"> Tratándose de las dependencias y organismos auxiliares del Poder Ejecutivo, </w:t>
      </w:r>
      <w:r w:rsidRPr="00A83BA9">
        <w:rPr>
          <w:rFonts w:ascii="Palatino Linotype" w:hAnsi="Palatino Linotype"/>
          <w:b/>
          <w:i/>
          <w:sz w:val="20"/>
          <w:szCs w:val="20"/>
          <w:u w:val="single"/>
        </w:rPr>
        <w:t>la contratación de prestación de servicios que suscriban la Unidad Contratante y el Testigo Social se sujetará a lo dispuesto en el Código</w:t>
      </w:r>
      <w:r w:rsidRPr="00A83BA9">
        <w:rPr>
          <w:rFonts w:ascii="Palatino Linotype" w:hAnsi="Palatino Linotype"/>
          <w:i/>
          <w:sz w:val="20"/>
          <w:szCs w:val="20"/>
        </w:rPr>
        <w:t>.</w:t>
      </w:r>
    </w:p>
    <w:p w:rsidR="00C14BA5" w:rsidRPr="00A83BA9" w:rsidRDefault="00C14BA5" w:rsidP="00C14BA5">
      <w:pPr>
        <w:tabs>
          <w:tab w:val="left" w:pos="709"/>
        </w:tabs>
        <w:ind w:left="851" w:right="851"/>
        <w:jc w:val="both"/>
        <w:rPr>
          <w:rFonts w:ascii="Palatino Linotype" w:hAnsi="Palatino Linotype"/>
          <w:i/>
          <w:sz w:val="20"/>
          <w:szCs w:val="20"/>
        </w:rPr>
      </w:pP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i/>
          <w:sz w:val="20"/>
          <w:szCs w:val="20"/>
        </w:rPr>
        <w:t>En el caso de las demás entidades se estará a lo dispuesto en sus propios ordenamientos legales.</w:t>
      </w:r>
    </w:p>
    <w:p w:rsidR="00C14BA5" w:rsidRPr="00A83BA9" w:rsidRDefault="00C14BA5" w:rsidP="00C14BA5">
      <w:pPr>
        <w:tabs>
          <w:tab w:val="left" w:pos="709"/>
        </w:tabs>
        <w:ind w:left="851" w:right="851"/>
        <w:jc w:val="both"/>
        <w:rPr>
          <w:rFonts w:ascii="Palatino Linotype" w:hAnsi="Palatino Linotype"/>
          <w:i/>
          <w:sz w:val="20"/>
          <w:szCs w:val="20"/>
        </w:rPr>
      </w:pPr>
    </w:p>
    <w:p w:rsidR="00C14BA5" w:rsidRPr="00A83BA9" w:rsidRDefault="00C14BA5" w:rsidP="00C14BA5">
      <w:pPr>
        <w:tabs>
          <w:tab w:val="left" w:pos="709"/>
        </w:tabs>
        <w:ind w:left="851" w:right="851"/>
        <w:jc w:val="both"/>
        <w:rPr>
          <w:rFonts w:ascii="Palatino Linotype" w:hAnsi="Palatino Linotype"/>
          <w:i/>
          <w:sz w:val="20"/>
          <w:szCs w:val="20"/>
        </w:rPr>
      </w:pPr>
      <w:r w:rsidRPr="00A83BA9">
        <w:rPr>
          <w:rFonts w:ascii="Palatino Linotype" w:hAnsi="Palatino Linotype"/>
          <w:i/>
          <w:sz w:val="20"/>
          <w:szCs w:val="20"/>
        </w:rPr>
        <w:t>Énfasis añadido.</w:t>
      </w:r>
    </w:p>
    <w:p w:rsidR="00C14BA5" w:rsidRPr="00A83BA9" w:rsidRDefault="00C14BA5" w:rsidP="00C14BA5">
      <w:pPr>
        <w:tabs>
          <w:tab w:val="left" w:pos="709"/>
        </w:tabs>
        <w:ind w:left="851" w:right="851"/>
        <w:jc w:val="both"/>
        <w:rPr>
          <w:rFonts w:ascii="Palatino Linotype" w:hAnsi="Palatino Linotype"/>
          <w:i/>
          <w:sz w:val="20"/>
          <w:szCs w:val="20"/>
        </w:rPr>
      </w:pP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De los dispositivos legales se advierte lo siguiente:</w:t>
      </w:r>
    </w:p>
    <w:p w:rsidR="00C14BA5" w:rsidRPr="00A83BA9" w:rsidRDefault="00C14BA5" w:rsidP="00C14BA5">
      <w:pPr>
        <w:pStyle w:val="Prrafodelista"/>
        <w:numPr>
          <w:ilvl w:val="0"/>
          <w:numId w:val="9"/>
        </w:numPr>
        <w:tabs>
          <w:tab w:val="left" w:pos="709"/>
        </w:tabs>
        <w:spacing w:before="240" w:after="240" w:line="360" w:lineRule="auto"/>
        <w:jc w:val="both"/>
        <w:rPr>
          <w:rFonts w:ascii="Palatino Linotype" w:hAnsi="Palatino Linotype"/>
        </w:rPr>
      </w:pPr>
      <w:r w:rsidRPr="00A83BA9">
        <w:rPr>
          <w:rFonts w:ascii="Palatino Linotype" w:hAnsi="Palatino Linotype"/>
        </w:rPr>
        <w:t>La unidad contratante que requiera la participación de un Testigo Social deberá justificar documentalmente alguna de las características descritas en el artículo 1.67 del Código.</w:t>
      </w:r>
    </w:p>
    <w:p w:rsidR="00C14BA5" w:rsidRPr="00A83BA9" w:rsidRDefault="00C14BA5" w:rsidP="00C14BA5">
      <w:pPr>
        <w:pStyle w:val="Prrafodelista"/>
        <w:numPr>
          <w:ilvl w:val="0"/>
          <w:numId w:val="9"/>
        </w:numPr>
        <w:tabs>
          <w:tab w:val="left" w:pos="709"/>
        </w:tabs>
        <w:spacing w:before="240" w:after="240" w:line="360" w:lineRule="auto"/>
        <w:jc w:val="both"/>
        <w:rPr>
          <w:rFonts w:ascii="Palatino Linotype" w:hAnsi="Palatino Linotype"/>
        </w:rPr>
      </w:pPr>
      <w:r w:rsidRPr="00A83BA9">
        <w:rPr>
          <w:rFonts w:ascii="Palatino Linotype" w:hAnsi="Palatino Linotype"/>
        </w:rPr>
        <w:t>Debe considerar el perfil del Testigo Social de acuerdo al Registro por Especialidad que elabore el Comité de Registro de Testigos Sociales.</w:t>
      </w:r>
    </w:p>
    <w:p w:rsidR="00C14BA5" w:rsidRPr="00A83BA9" w:rsidRDefault="00C14BA5" w:rsidP="00C14BA5">
      <w:pPr>
        <w:pStyle w:val="Prrafodelista"/>
        <w:numPr>
          <w:ilvl w:val="0"/>
          <w:numId w:val="9"/>
        </w:numPr>
        <w:tabs>
          <w:tab w:val="left" w:pos="709"/>
        </w:tabs>
        <w:spacing w:before="240" w:after="240" w:line="360" w:lineRule="auto"/>
        <w:jc w:val="both"/>
        <w:rPr>
          <w:rFonts w:ascii="Palatino Linotype" w:hAnsi="Palatino Linotype"/>
        </w:rPr>
      </w:pPr>
      <w:r w:rsidRPr="00A83BA9">
        <w:rPr>
          <w:rFonts w:ascii="Palatino Linotype" w:hAnsi="Palatino Linotype"/>
        </w:rPr>
        <w:lastRenderedPageBreak/>
        <w:t>Para efectos de la contratación debe requisitar el “Índice del Expediente de la Participación del Testigo Social” (</w:t>
      </w:r>
      <w:r w:rsidRPr="00A83BA9">
        <w:rPr>
          <w:rFonts w:ascii="Palatino Linotype" w:hAnsi="Palatino Linotype"/>
          <w:i/>
        </w:rPr>
        <w:t>documento permitirá a la Unidad Contratante, integrar en forma adecuada y uniforme los expedientes originados con motivo de la participación del Testigo Social, y promover la transparencia en los procedimientos de contrataciones públicas de concesión de infraestructura vial; obra pública y servicios relacionados con la misma; bienes y servicios, arrendamiento y enajenación; y proyectos para la prestación de servicios</w:t>
      </w:r>
      <w:r w:rsidRPr="00A83BA9">
        <w:rPr>
          <w:rFonts w:ascii="Palatino Linotype" w:hAnsi="Palatino Linotype"/>
        </w:rPr>
        <w:t>).</w:t>
      </w:r>
    </w:p>
    <w:p w:rsidR="00C14BA5" w:rsidRPr="00A83BA9" w:rsidRDefault="00C14BA5" w:rsidP="00C14BA5">
      <w:pPr>
        <w:pStyle w:val="Prrafodelista"/>
        <w:numPr>
          <w:ilvl w:val="0"/>
          <w:numId w:val="9"/>
        </w:numPr>
        <w:tabs>
          <w:tab w:val="left" w:pos="709"/>
        </w:tabs>
        <w:spacing w:before="240" w:after="240" w:line="360" w:lineRule="auto"/>
        <w:jc w:val="both"/>
        <w:rPr>
          <w:rFonts w:ascii="Palatino Linotype" w:hAnsi="Palatino Linotype"/>
        </w:rPr>
      </w:pPr>
      <w:r w:rsidRPr="00A83BA9">
        <w:rPr>
          <w:rFonts w:ascii="Palatino Linotype" w:hAnsi="Palatino Linotype"/>
        </w:rPr>
        <w:t xml:space="preserve">La Unidad Contratante suscribirá el contrato de prestación de servicios con el Testigo Social, previo a la participación de éste en las contrataciones públicas. </w:t>
      </w:r>
    </w:p>
    <w:p w:rsidR="00C14BA5" w:rsidRPr="00A83BA9" w:rsidRDefault="00C14BA5" w:rsidP="00C14BA5">
      <w:pPr>
        <w:pStyle w:val="Prrafodelista"/>
        <w:numPr>
          <w:ilvl w:val="0"/>
          <w:numId w:val="9"/>
        </w:numPr>
        <w:tabs>
          <w:tab w:val="left" w:pos="709"/>
        </w:tabs>
        <w:spacing w:before="240" w:after="240" w:line="360" w:lineRule="auto"/>
        <w:jc w:val="both"/>
        <w:rPr>
          <w:rFonts w:ascii="Palatino Linotype" w:hAnsi="Palatino Linotype"/>
        </w:rPr>
      </w:pPr>
      <w:r w:rsidRPr="00A83BA9">
        <w:rPr>
          <w:rFonts w:ascii="Palatino Linotype" w:hAnsi="Palatino Linotype"/>
        </w:rPr>
        <w:t>El contrato de prestación de servicios deberá describir todas las obligaciones y derechos, tanto de la Unidad Contratante como del Testigo Social.</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Al respecto es de suma importancia agregar que el Acuerdo por el que se establece el “Índice del Expediente de la Participación del Testigo Social”, publicado en la Gaceta del Gobierno del Estado en fecha ocho de septiembre de dos mil once refiere que el instructivo de llenado forma parte integral del Acuerdo, el cual contiene la descripción, características y condiciones que deben reunir los documentos que integren los expedientes que se formen con motivo de la participación de los Testigos Sociales, en este sentido es importante agregar que el referido documento en el apartado denominado “Desarrollo”(</w:t>
      </w:r>
      <w:r w:rsidRPr="00A83BA9">
        <w:rPr>
          <w:rFonts w:ascii="Palatino Linotype" w:hAnsi="Palatino Linotype"/>
          <w:i/>
        </w:rPr>
        <w:t>pagina10</w:t>
      </w:r>
      <w:r w:rsidRPr="00A83BA9">
        <w:rPr>
          <w:rFonts w:ascii="Palatino Linotype" w:hAnsi="Palatino Linotype"/>
        </w:rPr>
        <w:t>), de manera específica en los numerales 1, 2, 3, 4, 5, 6, 7, 9, 11 y 12 establece de manera clara y precisa las actividades que se deberán desarrollar para la designación de un testigos social, tal y como se muestra a continuación:</w:t>
      </w:r>
    </w:p>
    <w:p w:rsidR="00C14BA5" w:rsidRPr="00A83BA9" w:rsidRDefault="00E0657E" w:rsidP="00C14BA5">
      <w:pPr>
        <w:tabs>
          <w:tab w:val="left" w:pos="709"/>
        </w:tabs>
        <w:spacing w:before="240" w:after="240" w:line="360" w:lineRule="auto"/>
        <w:jc w:val="both"/>
        <w:rPr>
          <w:rFonts w:ascii="Palatino Linotype" w:hAnsi="Palatino Linotype"/>
        </w:rPr>
      </w:pPr>
      <w:r w:rsidRPr="00A83BA9">
        <w:rPr>
          <w:noProof/>
          <w:lang w:val="es-MX" w:eastAsia="es-MX"/>
        </w:rPr>
        <w:lastRenderedPageBreak/>
        <mc:AlternateContent>
          <mc:Choice Requires="wps">
            <w:drawing>
              <wp:anchor distT="0" distB="0" distL="114300" distR="114300" simplePos="0" relativeHeight="251699200" behindDoc="0" locked="0" layoutInCell="1" allowOverlap="1" wp14:anchorId="7C08057C" wp14:editId="5AC75371">
                <wp:simplePos x="0" y="0"/>
                <wp:positionH relativeFrom="column">
                  <wp:posOffset>1882521</wp:posOffset>
                </wp:positionH>
                <wp:positionV relativeFrom="paragraph">
                  <wp:posOffset>4569739</wp:posOffset>
                </wp:positionV>
                <wp:extent cx="2889504" cy="0"/>
                <wp:effectExtent l="0" t="0" r="25400" b="19050"/>
                <wp:wrapNone/>
                <wp:docPr id="31" name="Conector recto 31"/>
                <wp:cNvGraphicFramePr/>
                <a:graphic xmlns:a="http://schemas.openxmlformats.org/drawingml/2006/main">
                  <a:graphicData uri="http://schemas.microsoft.com/office/word/2010/wordprocessingShape">
                    <wps:wsp>
                      <wps:cNvCnPr/>
                      <wps:spPr>
                        <a:xfrm>
                          <a:off x="0" y="0"/>
                          <a:ext cx="2889504"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C132A" id="Conector recto 3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25pt,359.8pt" to="375.75pt,3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" strokecolor="red" strokeweight="1.5pt">
                <v:stroke joinstyle="miter"/>
              </v:line>
            </w:pict>
          </mc:Fallback>
        </mc:AlternateContent>
      </w:r>
      <w:r w:rsidRPr="00A83BA9">
        <w:rPr>
          <w:noProof/>
          <w:lang w:val="es-MX" w:eastAsia="es-MX"/>
        </w:rPr>
        <mc:AlternateContent>
          <mc:Choice Requires="wps">
            <w:drawing>
              <wp:anchor distT="0" distB="0" distL="114300" distR="114300" simplePos="0" relativeHeight="251697152" behindDoc="0" locked="0" layoutInCell="1" allowOverlap="1" wp14:anchorId="2BD8F762" wp14:editId="3D974291">
                <wp:simplePos x="0" y="0"/>
                <wp:positionH relativeFrom="margin">
                  <wp:align>right</wp:align>
                </wp:positionH>
                <wp:positionV relativeFrom="paragraph">
                  <wp:posOffset>4460010</wp:posOffset>
                </wp:positionV>
                <wp:extent cx="431419" cy="0"/>
                <wp:effectExtent l="0" t="0" r="26035" b="19050"/>
                <wp:wrapNone/>
                <wp:docPr id="30" name="Conector recto 30"/>
                <wp:cNvGraphicFramePr/>
                <a:graphic xmlns:a="http://schemas.openxmlformats.org/drawingml/2006/main">
                  <a:graphicData uri="http://schemas.microsoft.com/office/word/2010/wordprocessingShape">
                    <wps:wsp>
                      <wps:cNvCnPr/>
                      <wps:spPr>
                        <a:xfrm flipV="1">
                          <a:off x="0" y="0"/>
                          <a:ext cx="43141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B4500" id="Conector recto 30" o:spid="_x0000_s1026" style="position:absolute;flip:y;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17.25pt,351.2pt" to="16.7pt,3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" strokecolor="red" strokeweight="1.5pt">
                <v:stroke joinstyle="miter"/>
                <w10:wrap anchorx="margin"/>
              </v:line>
            </w:pict>
          </mc:Fallback>
        </mc:AlternateContent>
      </w:r>
      <w:r w:rsidRPr="00A83BA9">
        <w:rPr>
          <w:noProof/>
          <w:lang w:val="es-MX" w:eastAsia="es-MX"/>
        </w:rPr>
        <mc:AlternateContent>
          <mc:Choice Requires="wps">
            <w:drawing>
              <wp:anchor distT="0" distB="0" distL="114300" distR="114300" simplePos="0" relativeHeight="251695104" behindDoc="0" locked="0" layoutInCell="1" allowOverlap="1" wp14:anchorId="6EE197F4" wp14:editId="5F8F5F54">
                <wp:simplePos x="0" y="0"/>
                <wp:positionH relativeFrom="column">
                  <wp:posOffset>3572332</wp:posOffset>
                </wp:positionH>
                <wp:positionV relativeFrom="paragraph">
                  <wp:posOffset>3999154</wp:posOffset>
                </wp:positionV>
                <wp:extent cx="468172" cy="7315"/>
                <wp:effectExtent l="0" t="0" r="27305" b="31115"/>
                <wp:wrapNone/>
                <wp:docPr id="29" name="Conector recto 29"/>
                <wp:cNvGraphicFramePr/>
                <a:graphic xmlns:a="http://schemas.openxmlformats.org/drawingml/2006/main">
                  <a:graphicData uri="http://schemas.microsoft.com/office/word/2010/wordprocessingShape">
                    <wps:wsp>
                      <wps:cNvCnPr/>
                      <wps:spPr>
                        <a:xfrm flipV="1">
                          <a:off x="0" y="0"/>
                          <a:ext cx="468172" cy="73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1667D" id="Conector recto 29"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pt,314.9pt" to="318.1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" strokecolor="red" strokeweight="1.5pt">
                <v:stroke joinstyle="miter"/>
              </v:line>
            </w:pict>
          </mc:Fallback>
        </mc:AlternateContent>
      </w:r>
      <w:r w:rsidRPr="00A83BA9">
        <w:rPr>
          <w:noProof/>
          <w:lang w:val="es-MX" w:eastAsia="es-MX"/>
        </w:rPr>
        <mc:AlternateContent>
          <mc:Choice Requires="wps">
            <w:drawing>
              <wp:anchor distT="0" distB="0" distL="114300" distR="114300" simplePos="0" relativeHeight="251693056" behindDoc="0" locked="0" layoutInCell="1" allowOverlap="1" wp14:anchorId="1A4904BE" wp14:editId="7E479DB9">
                <wp:simplePos x="0" y="0"/>
                <wp:positionH relativeFrom="column">
                  <wp:posOffset>3572332</wp:posOffset>
                </wp:positionH>
                <wp:positionV relativeFrom="paragraph">
                  <wp:posOffset>3998823</wp:posOffset>
                </wp:positionV>
                <wp:extent cx="1338682" cy="7645"/>
                <wp:effectExtent l="0" t="0" r="33020" b="30480"/>
                <wp:wrapNone/>
                <wp:docPr id="28" name="Conector recto 28"/>
                <wp:cNvGraphicFramePr/>
                <a:graphic xmlns:a="http://schemas.openxmlformats.org/drawingml/2006/main">
                  <a:graphicData uri="http://schemas.microsoft.com/office/word/2010/wordprocessingShape">
                    <wps:wsp>
                      <wps:cNvCnPr/>
                      <wps:spPr>
                        <a:xfrm>
                          <a:off x="0" y="0"/>
                          <a:ext cx="1338682" cy="76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D8D1B" id="Conector recto 28"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pt,314.85pt" to="386.7pt,3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" strokecolor="red" strokeweight="1.5pt">
                <v:stroke joinstyle="miter"/>
              </v:line>
            </w:pict>
          </mc:Fallback>
        </mc:AlternateContent>
      </w:r>
      <w:r w:rsidRPr="00A83BA9">
        <w:rPr>
          <w:noProof/>
          <w:lang w:val="es-MX" w:eastAsia="es-MX"/>
        </w:rPr>
        <mc:AlternateContent>
          <mc:Choice Requires="wps">
            <w:drawing>
              <wp:anchor distT="0" distB="0" distL="114300" distR="114300" simplePos="0" relativeHeight="251691008" behindDoc="0" locked="0" layoutInCell="1" allowOverlap="1" wp14:anchorId="1C7AC4F6" wp14:editId="2CE2C37F">
                <wp:simplePos x="0" y="0"/>
                <wp:positionH relativeFrom="column">
                  <wp:posOffset>1867891</wp:posOffset>
                </wp:positionH>
                <wp:positionV relativeFrom="paragraph">
                  <wp:posOffset>3991839</wp:posOffset>
                </wp:positionV>
                <wp:extent cx="468172" cy="7315"/>
                <wp:effectExtent l="0" t="0" r="27305" b="31115"/>
                <wp:wrapNone/>
                <wp:docPr id="27" name="Conector recto 27"/>
                <wp:cNvGraphicFramePr/>
                <a:graphic xmlns:a="http://schemas.openxmlformats.org/drawingml/2006/main">
                  <a:graphicData uri="http://schemas.microsoft.com/office/word/2010/wordprocessingShape">
                    <wps:wsp>
                      <wps:cNvCnPr/>
                      <wps:spPr>
                        <a:xfrm flipV="1">
                          <a:off x="0" y="0"/>
                          <a:ext cx="468172" cy="73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C0A83" id="Conector recto 27"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pt,314.3pt" to="183.95pt,3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" strokecolor="red" strokeweight="1.5pt">
                <v:stroke joinstyle="miter"/>
              </v:line>
            </w:pict>
          </mc:Fallback>
        </mc:AlternateContent>
      </w:r>
      <w:r w:rsidRPr="00A83BA9">
        <w:rPr>
          <w:noProof/>
          <w:lang w:val="es-MX" w:eastAsia="es-MX"/>
        </w:rPr>
        <mc:AlternateContent>
          <mc:Choice Requires="wps">
            <w:drawing>
              <wp:anchor distT="0" distB="0" distL="114300" distR="114300" simplePos="0" relativeHeight="251689984" behindDoc="0" locked="0" layoutInCell="1" allowOverlap="1" wp14:anchorId="1272A679" wp14:editId="5369206F">
                <wp:simplePos x="0" y="0"/>
                <wp:positionH relativeFrom="column">
                  <wp:posOffset>1853261</wp:posOffset>
                </wp:positionH>
                <wp:positionV relativeFrom="paragraph">
                  <wp:posOffset>3860164</wp:posOffset>
                </wp:positionV>
                <wp:extent cx="3721786" cy="14275"/>
                <wp:effectExtent l="0" t="0" r="31115" b="24130"/>
                <wp:wrapNone/>
                <wp:docPr id="26" name="Conector recto 26"/>
                <wp:cNvGraphicFramePr/>
                <a:graphic xmlns:a="http://schemas.openxmlformats.org/drawingml/2006/main">
                  <a:graphicData uri="http://schemas.microsoft.com/office/word/2010/wordprocessingShape">
                    <wps:wsp>
                      <wps:cNvCnPr/>
                      <wps:spPr>
                        <a:xfrm>
                          <a:off x="0" y="0"/>
                          <a:ext cx="3721786" cy="142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BF99B" id="Conector recto 2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95pt,303.95pt" to="439pt,3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" strokecolor="red" strokeweight="1.5pt">
                <v:stroke joinstyle="miter"/>
              </v:line>
            </w:pict>
          </mc:Fallback>
        </mc:AlternateContent>
      </w:r>
      <w:r w:rsidR="00D93B3F" w:rsidRPr="00A83BA9">
        <w:rPr>
          <w:noProof/>
          <w:lang w:val="es-MX" w:eastAsia="es-MX"/>
        </w:rPr>
        <mc:AlternateContent>
          <mc:Choice Requires="wps">
            <w:drawing>
              <wp:anchor distT="0" distB="0" distL="114300" distR="114300" simplePos="0" relativeHeight="251688960" behindDoc="0" locked="0" layoutInCell="1" allowOverlap="1" wp14:anchorId="030E302C" wp14:editId="525AC666">
                <wp:simplePos x="0" y="0"/>
                <wp:positionH relativeFrom="column">
                  <wp:posOffset>345694</wp:posOffset>
                </wp:positionH>
                <wp:positionV relativeFrom="paragraph">
                  <wp:posOffset>3524022</wp:posOffset>
                </wp:positionV>
                <wp:extent cx="1207008" cy="277978"/>
                <wp:effectExtent l="19050" t="19050" r="12700" b="27305"/>
                <wp:wrapNone/>
                <wp:docPr id="24" name="Rectángulo 24"/>
                <wp:cNvGraphicFramePr/>
                <a:graphic xmlns:a="http://schemas.openxmlformats.org/drawingml/2006/main">
                  <a:graphicData uri="http://schemas.microsoft.com/office/word/2010/wordprocessingShape">
                    <wps:wsp>
                      <wps:cNvSpPr/>
                      <wps:spPr>
                        <a:xfrm>
                          <a:off x="0" y="0"/>
                          <a:ext cx="1207008" cy="27797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1BB44" id="Rectángulo 24" o:spid="_x0000_s1026" style="position:absolute;margin-left:27.2pt;margin-top:277.5pt;width:95.05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" filled="f" strokecolor="red" strokeweight="2.25pt"/>
            </w:pict>
          </mc:Fallback>
        </mc:AlternateContent>
      </w:r>
      <w:r w:rsidR="00D93B3F" w:rsidRPr="00A83BA9">
        <w:rPr>
          <w:noProof/>
          <w:lang w:val="es-MX" w:eastAsia="es-MX"/>
        </w:rPr>
        <mc:AlternateContent>
          <mc:Choice Requires="wps">
            <w:drawing>
              <wp:anchor distT="0" distB="0" distL="114300" distR="114300" simplePos="0" relativeHeight="251686912" behindDoc="0" locked="0" layoutInCell="1" allowOverlap="1" wp14:anchorId="7F7A1CA8" wp14:editId="0AAA5591">
                <wp:simplePos x="0" y="0"/>
                <wp:positionH relativeFrom="column">
                  <wp:posOffset>1867891</wp:posOffset>
                </wp:positionH>
                <wp:positionV relativeFrom="paragraph">
                  <wp:posOffset>2397125</wp:posOffset>
                </wp:positionV>
                <wp:extent cx="3730752" cy="7315"/>
                <wp:effectExtent l="0" t="0" r="22225" b="31115"/>
                <wp:wrapNone/>
                <wp:docPr id="23" name="Conector recto 23"/>
                <wp:cNvGraphicFramePr/>
                <a:graphic xmlns:a="http://schemas.openxmlformats.org/drawingml/2006/main">
                  <a:graphicData uri="http://schemas.microsoft.com/office/word/2010/wordprocessingShape">
                    <wps:wsp>
                      <wps:cNvCnPr/>
                      <wps:spPr>
                        <a:xfrm>
                          <a:off x="0" y="0"/>
                          <a:ext cx="3730752" cy="73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8E23D" id="Conector recto 2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pt,188.75pt" to="440.85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" strokecolor="red" strokeweight="1.5pt">
                <v:stroke joinstyle="miter"/>
              </v:line>
            </w:pict>
          </mc:Fallback>
        </mc:AlternateContent>
      </w:r>
      <w:r w:rsidR="00D93B3F" w:rsidRPr="00A83BA9">
        <w:rPr>
          <w:noProof/>
          <w:lang w:val="es-MX" w:eastAsia="es-MX"/>
        </w:rPr>
        <mc:AlternateContent>
          <mc:Choice Requires="wps">
            <w:drawing>
              <wp:anchor distT="0" distB="0" distL="114300" distR="114300" simplePos="0" relativeHeight="251663360" behindDoc="0" locked="0" layoutInCell="1" allowOverlap="1" wp14:anchorId="43A14AF5" wp14:editId="1DC56416">
                <wp:simplePos x="0" y="0"/>
                <wp:positionH relativeFrom="column">
                  <wp:posOffset>1867891</wp:posOffset>
                </wp:positionH>
                <wp:positionV relativeFrom="paragraph">
                  <wp:posOffset>2053311</wp:posOffset>
                </wp:positionV>
                <wp:extent cx="2092147" cy="182880"/>
                <wp:effectExtent l="19050" t="19050" r="22860" b="26670"/>
                <wp:wrapNone/>
                <wp:docPr id="10" name="Rectángulo 10"/>
                <wp:cNvGraphicFramePr/>
                <a:graphic xmlns:a="http://schemas.openxmlformats.org/drawingml/2006/main">
                  <a:graphicData uri="http://schemas.microsoft.com/office/word/2010/wordprocessingShape">
                    <wps:wsp>
                      <wps:cNvSpPr/>
                      <wps:spPr>
                        <a:xfrm>
                          <a:off x="0" y="0"/>
                          <a:ext cx="2092147" cy="1828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319E7" id="Rectángulo 10" o:spid="_x0000_s1026" style="position:absolute;margin-left:147.1pt;margin-top:161.7pt;width:164.75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" filled="f" strokecolor="red" strokeweight="2.25pt"/>
            </w:pict>
          </mc:Fallback>
        </mc:AlternateContent>
      </w:r>
      <w:r w:rsidR="00D93B3F" w:rsidRPr="00A83BA9">
        <w:rPr>
          <w:noProof/>
          <w:lang w:val="es-MX" w:eastAsia="es-MX"/>
        </w:rPr>
        <mc:AlternateContent>
          <mc:Choice Requires="wps">
            <w:drawing>
              <wp:anchor distT="0" distB="0" distL="114300" distR="114300" simplePos="0" relativeHeight="251684864" behindDoc="0" locked="0" layoutInCell="1" allowOverlap="1" wp14:anchorId="389D539E" wp14:editId="069DB403">
                <wp:simplePos x="0" y="0"/>
                <wp:positionH relativeFrom="column">
                  <wp:posOffset>1875206</wp:posOffset>
                </wp:positionH>
                <wp:positionV relativeFrom="paragraph">
                  <wp:posOffset>1380312</wp:posOffset>
                </wp:positionV>
                <wp:extent cx="3291840" cy="21946"/>
                <wp:effectExtent l="0" t="0" r="22860" b="35560"/>
                <wp:wrapNone/>
                <wp:docPr id="22" name="Conector recto 22"/>
                <wp:cNvGraphicFramePr/>
                <a:graphic xmlns:a="http://schemas.openxmlformats.org/drawingml/2006/main">
                  <a:graphicData uri="http://schemas.microsoft.com/office/word/2010/wordprocessingShape">
                    <wps:wsp>
                      <wps:cNvCnPr/>
                      <wps:spPr>
                        <a:xfrm>
                          <a:off x="0" y="0"/>
                          <a:ext cx="3291840" cy="2194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638B9" id="Conector recto 2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65pt,108.7pt" to="406.8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" strokecolor="red" strokeweight="1.5pt">
                <v:stroke joinstyle="miter"/>
              </v:line>
            </w:pict>
          </mc:Fallback>
        </mc:AlternateContent>
      </w:r>
      <w:r w:rsidR="00D93B3F" w:rsidRPr="00A83BA9">
        <w:rPr>
          <w:noProof/>
          <w:lang w:val="es-MX" w:eastAsia="es-MX"/>
        </w:rPr>
        <mc:AlternateContent>
          <mc:Choice Requires="wps">
            <w:drawing>
              <wp:anchor distT="0" distB="0" distL="114300" distR="114300" simplePos="0" relativeHeight="251682816" behindDoc="0" locked="0" layoutInCell="1" allowOverlap="1" wp14:anchorId="6B0F81DF" wp14:editId="4CF63D59">
                <wp:simplePos x="0" y="0"/>
                <wp:positionH relativeFrom="column">
                  <wp:posOffset>1889836</wp:posOffset>
                </wp:positionH>
                <wp:positionV relativeFrom="paragraph">
                  <wp:posOffset>1270584</wp:posOffset>
                </wp:positionV>
                <wp:extent cx="1623975" cy="0"/>
                <wp:effectExtent l="0" t="0" r="33655" b="19050"/>
                <wp:wrapNone/>
                <wp:docPr id="21" name="Conector recto 21"/>
                <wp:cNvGraphicFramePr/>
                <a:graphic xmlns:a="http://schemas.openxmlformats.org/drawingml/2006/main">
                  <a:graphicData uri="http://schemas.microsoft.com/office/word/2010/wordprocessingShape">
                    <wps:wsp>
                      <wps:cNvCnPr/>
                      <wps:spPr>
                        <a:xfrm>
                          <a:off x="0" y="0"/>
                          <a:ext cx="16239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524A7" id="Conector recto 2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8pt,100.05pt" to="276.6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" strokecolor="red" strokeweight="1.5pt">
                <v:stroke joinstyle="miter"/>
              </v:line>
            </w:pict>
          </mc:Fallback>
        </mc:AlternateContent>
      </w:r>
      <w:r w:rsidR="00D93B3F" w:rsidRPr="00A83BA9">
        <w:rPr>
          <w:noProof/>
          <w:lang w:val="es-MX" w:eastAsia="es-MX"/>
        </w:rPr>
        <mc:AlternateContent>
          <mc:Choice Requires="wps">
            <w:drawing>
              <wp:anchor distT="0" distB="0" distL="114300" distR="114300" simplePos="0" relativeHeight="251680768" behindDoc="0" locked="0" layoutInCell="1" allowOverlap="1" wp14:anchorId="1D9C6A8F" wp14:editId="14B0A0A8">
                <wp:simplePos x="0" y="0"/>
                <wp:positionH relativeFrom="margin">
                  <wp:align>right</wp:align>
                </wp:positionH>
                <wp:positionV relativeFrom="paragraph">
                  <wp:posOffset>1146226</wp:posOffset>
                </wp:positionV>
                <wp:extent cx="3685794" cy="14275"/>
                <wp:effectExtent l="0" t="0" r="29210" b="24130"/>
                <wp:wrapNone/>
                <wp:docPr id="20" name="Conector recto 20"/>
                <wp:cNvGraphicFramePr/>
                <a:graphic xmlns:a="http://schemas.openxmlformats.org/drawingml/2006/main">
                  <a:graphicData uri="http://schemas.microsoft.com/office/word/2010/wordprocessingShape">
                    <wps:wsp>
                      <wps:cNvCnPr/>
                      <wps:spPr>
                        <a:xfrm>
                          <a:off x="0" y="0"/>
                          <a:ext cx="3685794" cy="142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7A8D3" id="Conector recto 20" o:spid="_x0000_s1026" style="position:absolute;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39pt,90.25pt" to="529.2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" strokecolor="red" strokeweight="1.5pt">
                <v:stroke joinstyle="miter"/>
                <w10:wrap anchorx="margin"/>
              </v:line>
            </w:pict>
          </mc:Fallback>
        </mc:AlternateContent>
      </w:r>
      <w:r w:rsidR="00D93B3F" w:rsidRPr="00A83BA9">
        <w:rPr>
          <w:noProof/>
          <w:lang w:val="es-MX" w:eastAsia="es-MX"/>
        </w:rPr>
        <mc:AlternateContent>
          <mc:Choice Requires="wps">
            <w:drawing>
              <wp:anchor distT="0" distB="0" distL="114300" distR="114300" simplePos="0" relativeHeight="251678720" behindDoc="0" locked="0" layoutInCell="1" allowOverlap="1" wp14:anchorId="5710030E" wp14:editId="1C520881">
                <wp:simplePos x="0" y="0"/>
                <wp:positionH relativeFrom="column">
                  <wp:posOffset>1897151</wp:posOffset>
                </wp:positionH>
                <wp:positionV relativeFrom="paragraph">
                  <wp:posOffset>1014552</wp:posOffset>
                </wp:positionV>
                <wp:extent cx="2633065" cy="14275"/>
                <wp:effectExtent l="0" t="0" r="34290" b="24130"/>
                <wp:wrapNone/>
                <wp:docPr id="19" name="Conector recto 19"/>
                <wp:cNvGraphicFramePr/>
                <a:graphic xmlns:a="http://schemas.openxmlformats.org/drawingml/2006/main">
                  <a:graphicData uri="http://schemas.microsoft.com/office/word/2010/wordprocessingShape">
                    <wps:wsp>
                      <wps:cNvCnPr/>
                      <wps:spPr>
                        <a:xfrm>
                          <a:off x="0" y="0"/>
                          <a:ext cx="2633065" cy="142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B395B" id="Conector recto 1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4pt,79.9pt" to="356.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" strokecolor="red" strokeweight="1.5pt">
                <v:stroke joinstyle="miter"/>
              </v:line>
            </w:pict>
          </mc:Fallback>
        </mc:AlternateContent>
      </w:r>
      <w:r w:rsidR="00D93B3F" w:rsidRPr="00A83BA9">
        <w:rPr>
          <w:noProof/>
          <w:lang w:val="es-MX" w:eastAsia="es-MX"/>
        </w:rPr>
        <mc:AlternateContent>
          <mc:Choice Requires="wps">
            <w:drawing>
              <wp:anchor distT="0" distB="0" distL="114300" distR="114300" simplePos="0" relativeHeight="251676672" behindDoc="0" locked="0" layoutInCell="1" allowOverlap="1" wp14:anchorId="121CFD3B" wp14:editId="7D2B7508">
                <wp:simplePos x="0" y="0"/>
                <wp:positionH relativeFrom="margin">
                  <wp:align>right</wp:align>
                </wp:positionH>
                <wp:positionV relativeFrom="paragraph">
                  <wp:posOffset>1014552</wp:posOffset>
                </wp:positionV>
                <wp:extent cx="3678479" cy="21946"/>
                <wp:effectExtent l="0" t="0" r="36830" b="35560"/>
                <wp:wrapNone/>
                <wp:docPr id="18" name="Conector recto 18"/>
                <wp:cNvGraphicFramePr/>
                <a:graphic xmlns:a="http://schemas.openxmlformats.org/drawingml/2006/main">
                  <a:graphicData uri="http://schemas.microsoft.com/office/word/2010/wordprocessingShape">
                    <wps:wsp>
                      <wps:cNvCnPr/>
                      <wps:spPr>
                        <a:xfrm>
                          <a:off x="0" y="0"/>
                          <a:ext cx="3678479" cy="2194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BB9F75" id="Conector recto 18"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38.45pt,79.9pt" to="528.1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" strokecolor="red" strokeweight="1.5pt">
                <v:stroke joinstyle="miter"/>
                <w10:wrap anchorx="margin"/>
              </v:line>
            </w:pict>
          </mc:Fallback>
        </mc:AlternateContent>
      </w:r>
      <w:r w:rsidR="00D93B3F" w:rsidRPr="00A83BA9">
        <w:rPr>
          <w:noProof/>
          <w:lang w:val="es-MX" w:eastAsia="es-MX"/>
        </w:rPr>
        <mc:AlternateContent>
          <mc:Choice Requires="wps">
            <w:drawing>
              <wp:anchor distT="0" distB="0" distL="114300" distR="114300" simplePos="0" relativeHeight="251674624" behindDoc="0" locked="0" layoutInCell="1" allowOverlap="1" wp14:anchorId="0735A161" wp14:editId="2F7CC840">
                <wp:simplePos x="0" y="0"/>
                <wp:positionH relativeFrom="margin">
                  <wp:posOffset>3864939</wp:posOffset>
                </wp:positionH>
                <wp:positionV relativeFrom="paragraph">
                  <wp:posOffset>890194</wp:posOffset>
                </wp:positionV>
                <wp:extent cx="1710995" cy="0"/>
                <wp:effectExtent l="0" t="0" r="22860" b="19050"/>
                <wp:wrapNone/>
                <wp:docPr id="17" name="Conector recto 17"/>
                <wp:cNvGraphicFramePr/>
                <a:graphic xmlns:a="http://schemas.openxmlformats.org/drawingml/2006/main">
                  <a:graphicData uri="http://schemas.microsoft.com/office/word/2010/wordprocessingShape">
                    <wps:wsp>
                      <wps:cNvCnPr/>
                      <wps:spPr>
                        <a:xfrm>
                          <a:off x="0" y="0"/>
                          <a:ext cx="171099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B173C" id="Conector recto 17"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4.35pt,70.1pt" to="439.0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" strokecolor="red" strokeweight="1.5pt">
                <v:stroke joinstyle="miter"/>
                <w10:wrap anchorx="margin"/>
              </v:line>
            </w:pict>
          </mc:Fallback>
        </mc:AlternateContent>
      </w:r>
      <w:r w:rsidR="00D93B3F" w:rsidRPr="00A83BA9">
        <w:rPr>
          <w:noProof/>
          <w:lang w:val="es-MX" w:eastAsia="es-MX"/>
        </w:rPr>
        <mc:AlternateContent>
          <mc:Choice Requires="wps">
            <w:drawing>
              <wp:anchor distT="0" distB="0" distL="114300" distR="114300" simplePos="0" relativeHeight="251672576" behindDoc="0" locked="0" layoutInCell="1" allowOverlap="1" wp14:anchorId="611B1A10" wp14:editId="67C3B758">
                <wp:simplePos x="0" y="0"/>
                <wp:positionH relativeFrom="column">
                  <wp:posOffset>5013427</wp:posOffset>
                </wp:positionH>
                <wp:positionV relativeFrom="paragraph">
                  <wp:posOffset>1855470</wp:posOffset>
                </wp:positionV>
                <wp:extent cx="570306" cy="0"/>
                <wp:effectExtent l="0" t="0" r="20320" b="19050"/>
                <wp:wrapNone/>
                <wp:docPr id="15" name="Conector recto 15"/>
                <wp:cNvGraphicFramePr/>
                <a:graphic xmlns:a="http://schemas.openxmlformats.org/drawingml/2006/main">
                  <a:graphicData uri="http://schemas.microsoft.com/office/word/2010/wordprocessingShape">
                    <wps:wsp>
                      <wps:cNvCnPr/>
                      <wps:spPr>
                        <a:xfrm>
                          <a:off x="0" y="0"/>
                          <a:ext cx="57030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C55F4" id="Conector recto 1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75pt,146.1pt" to="439.6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" strokecolor="red" strokeweight="1.5pt">
                <v:stroke joinstyle="miter"/>
              </v:line>
            </w:pict>
          </mc:Fallback>
        </mc:AlternateContent>
      </w:r>
      <w:r w:rsidR="00B8157F" w:rsidRPr="00A83BA9">
        <w:rPr>
          <w:noProof/>
          <w:lang w:val="es-MX" w:eastAsia="es-MX"/>
        </w:rPr>
        <mc:AlternateContent>
          <mc:Choice Requires="wps">
            <w:drawing>
              <wp:anchor distT="0" distB="0" distL="114300" distR="114300" simplePos="0" relativeHeight="251670528" behindDoc="0" locked="0" layoutInCell="1" allowOverlap="1" wp14:anchorId="5A5D9B82" wp14:editId="5423C3AF">
                <wp:simplePos x="0" y="0"/>
                <wp:positionH relativeFrom="column">
                  <wp:posOffset>1867891</wp:posOffset>
                </wp:positionH>
                <wp:positionV relativeFrom="paragraph">
                  <wp:posOffset>1841169</wp:posOffset>
                </wp:positionV>
                <wp:extent cx="2633065" cy="14275"/>
                <wp:effectExtent l="0" t="0" r="34290" b="24130"/>
                <wp:wrapNone/>
                <wp:docPr id="14" name="Conector recto 14"/>
                <wp:cNvGraphicFramePr/>
                <a:graphic xmlns:a="http://schemas.openxmlformats.org/drawingml/2006/main">
                  <a:graphicData uri="http://schemas.microsoft.com/office/word/2010/wordprocessingShape">
                    <wps:wsp>
                      <wps:cNvCnPr/>
                      <wps:spPr>
                        <a:xfrm>
                          <a:off x="0" y="0"/>
                          <a:ext cx="2633065" cy="142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51F0E" id="Conector recto 1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pt,144.95pt" to="354.45pt,1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" strokecolor="red" strokeweight="1.5pt">
                <v:stroke joinstyle="miter"/>
              </v:line>
            </w:pict>
          </mc:Fallback>
        </mc:AlternateContent>
      </w:r>
      <w:r w:rsidR="00B8157F" w:rsidRPr="00A83BA9">
        <w:rPr>
          <w:noProof/>
          <w:lang w:val="es-MX" w:eastAsia="es-MX"/>
        </w:rPr>
        <mc:AlternateContent>
          <mc:Choice Requires="wps">
            <w:drawing>
              <wp:anchor distT="0" distB="0" distL="114300" distR="114300" simplePos="0" relativeHeight="251667456" behindDoc="0" locked="0" layoutInCell="1" allowOverlap="1" wp14:anchorId="7B16FB45" wp14:editId="3BB27915">
                <wp:simplePos x="0" y="0"/>
                <wp:positionH relativeFrom="column">
                  <wp:posOffset>1838630</wp:posOffset>
                </wp:positionH>
                <wp:positionV relativeFrom="paragraph">
                  <wp:posOffset>3494405</wp:posOffset>
                </wp:positionV>
                <wp:extent cx="2047595" cy="190195"/>
                <wp:effectExtent l="19050" t="19050" r="10160" b="19685"/>
                <wp:wrapNone/>
                <wp:docPr id="12" name="Rectángulo 12"/>
                <wp:cNvGraphicFramePr/>
                <a:graphic xmlns:a="http://schemas.openxmlformats.org/drawingml/2006/main">
                  <a:graphicData uri="http://schemas.microsoft.com/office/word/2010/wordprocessingShape">
                    <wps:wsp>
                      <wps:cNvSpPr/>
                      <wps:spPr>
                        <a:xfrm>
                          <a:off x="0" y="0"/>
                          <a:ext cx="2047595" cy="1901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C8E4B2" id="Rectángulo 12" o:spid="_x0000_s1026" style="position:absolute;margin-left:144.75pt;margin-top:275.15pt;width:161.25pt;height: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" filled="f" strokecolor="red" strokeweight="2.25pt"/>
            </w:pict>
          </mc:Fallback>
        </mc:AlternateContent>
      </w:r>
      <w:r w:rsidR="00B8157F" w:rsidRPr="00A83BA9">
        <w:rPr>
          <w:noProof/>
          <w:lang w:val="es-MX" w:eastAsia="es-MX"/>
        </w:rPr>
        <mc:AlternateContent>
          <mc:Choice Requires="wps">
            <w:drawing>
              <wp:anchor distT="0" distB="0" distL="114300" distR="114300" simplePos="0" relativeHeight="251669504" behindDoc="0" locked="0" layoutInCell="1" allowOverlap="1" wp14:anchorId="48DBED93" wp14:editId="3835FD2A">
                <wp:simplePos x="0" y="0"/>
                <wp:positionH relativeFrom="column">
                  <wp:posOffset>331699</wp:posOffset>
                </wp:positionH>
                <wp:positionV relativeFrom="paragraph">
                  <wp:posOffset>1709496</wp:posOffset>
                </wp:positionV>
                <wp:extent cx="1221486" cy="285293"/>
                <wp:effectExtent l="19050" t="19050" r="17145" b="19685"/>
                <wp:wrapNone/>
                <wp:docPr id="13" name="Rectángulo 13"/>
                <wp:cNvGraphicFramePr/>
                <a:graphic xmlns:a="http://schemas.openxmlformats.org/drawingml/2006/main">
                  <a:graphicData uri="http://schemas.microsoft.com/office/word/2010/wordprocessingShape">
                    <wps:wsp>
                      <wps:cNvSpPr/>
                      <wps:spPr>
                        <a:xfrm>
                          <a:off x="0" y="0"/>
                          <a:ext cx="1221486" cy="2852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59AAA" id="Rectángulo 13" o:spid="_x0000_s1026" style="position:absolute;margin-left:26.1pt;margin-top:134.6pt;width:96.2pt;height:2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" filled="f" strokecolor="red" strokeweight="2.25pt"/>
            </w:pict>
          </mc:Fallback>
        </mc:AlternateContent>
      </w:r>
      <w:r w:rsidR="00B8157F" w:rsidRPr="00A83BA9">
        <w:rPr>
          <w:noProof/>
          <w:lang w:val="es-MX" w:eastAsia="es-MX"/>
        </w:rPr>
        <mc:AlternateContent>
          <mc:Choice Requires="wps">
            <w:drawing>
              <wp:anchor distT="0" distB="0" distL="114300" distR="114300" simplePos="0" relativeHeight="251661312" behindDoc="0" locked="0" layoutInCell="1" allowOverlap="1" wp14:anchorId="0A3E0928" wp14:editId="08F1EF4B">
                <wp:simplePos x="0" y="0"/>
                <wp:positionH relativeFrom="column">
                  <wp:posOffset>390221</wp:posOffset>
                </wp:positionH>
                <wp:positionV relativeFrom="paragraph">
                  <wp:posOffset>626847</wp:posOffset>
                </wp:positionV>
                <wp:extent cx="1038276" cy="190195"/>
                <wp:effectExtent l="19050" t="19050" r="28575" b="19685"/>
                <wp:wrapNone/>
                <wp:docPr id="9" name="Rectángulo 9"/>
                <wp:cNvGraphicFramePr/>
                <a:graphic xmlns:a="http://schemas.openxmlformats.org/drawingml/2006/main">
                  <a:graphicData uri="http://schemas.microsoft.com/office/word/2010/wordprocessingShape">
                    <wps:wsp>
                      <wps:cNvSpPr/>
                      <wps:spPr>
                        <a:xfrm>
                          <a:off x="0" y="0"/>
                          <a:ext cx="1038276" cy="1901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328827" id="Rectángulo 9" o:spid="_x0000_s1026" style="position:absolute;margin-left:30.75pt;margin-top:49.35pt;width:81.75pt;height: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" filled="f" strokecolor="red" strokeweight="2.25pt"/>
            </w:pict>
          </mc:Fallback>
        </mc:AlternateContent>
      </w:r>
      <w:r w:rsidR="00C14BA5" w:rsidRPr="00A83BA9">
        <w:rPr>
          <w:noProof/>
          <w:lang w:val="es-MX" w:eastAsia="es-MX"/>
        </w:rPr>
        <w:drawing>
          <wp:inline distT="0" distB="0" distL="0" distR="0" wp14:anchorId="4475C6B8" wp14:editId="75555CB4">
            <wp:extent cx="5654040" cy="541274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29" t="8114" r="31172" b="33472"/>
                    <a:stretch/>
                  </pic:blipFill>
                  <pic:spPr bwMode="auto">
                    <a:xfrm>
                      <a:off x="0" y="0"/>
                      <a:ext cx="5692834" cy="5449878"/>
                    </a:xfrm>
                    <a:prstGeom prst="rect">
                      <a:avLst/>
                    </a:prstGeom>
                    <a:ln>
                      <a:noFill/>
                    </a:ln>
                    <a:extLst>
                      <a:ext uri="{53640926-AAD7-44D8-BBD7-CCE9431645EC}">
                        <a14:shadowObscured xmlns:a14="http://schemas.microsoft.com/office/drawing/2010/main"/>
                      </a:ext>
                    </a:extLst>
                  </pic:spPr>
                </pic:pic>
              </a:graphicData>
            </a:graphic>
          </wp:inline>
        </w:drawing>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noProof/>
          <w:lang w:val="es-MX" w:eastAsia="es-MX"/>
        </w:rPr>
        <w:drawing>
          <wp:inline distT="0" distB="0" distL="0" distR="0" wp14:anchorId="66D259C1" wp14:editId="2ECA1E66">
            <wp:extent cx="5654649" cy="51874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72" t="71609" r="31284" b="23060"/>
                    <a:stretch/>
                  </pic:blipFill>
                  <pic:spPr bwMode="auto">
                    <a:xfrm>
                      <a:off x="0" y="0"/>
                      <a:ext cx="5870758" cy="538567"/>
                    </a:xfrm>
                    <a:prstGeom prst="rect">
                      <a:avLst/>
                    </a:prstGeom>
                    <a:ln>
                      <a:noFill/>
                    </a:ln>
                    <a:extLst>
                      <a:ext uri="{53640926-AAD7-44D8-BBD7-CCE9431645EC}">
                        <a14:shadowObscured xmlns:a14="http://schemas.microsoft.com/office/drawing/2010/main"/>
                      </a:ext>
                    </a:extLst>
                  </pic:spPr>
                </pic:pic>
              </a:graphicData>
            </a:graphic>
          </wp:inline>
        </w:drawing>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noProof/>
          <w:lang w:val="es-MX" w:eastAsia="es-MX"/>
        </w:rPr>
        <w:lastRenderedPageBreak/>
        <w:drawing>
          <wp:inline distT="0" distB="0" distL="0" distR="0" wp14:anchorId="1AFD0E5E" wp14:editId="791CE16B">
            <wp:extent cx="5634967" cy="753466"/>
            <wp:effectExtent l="0" t="0" r="444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60" t="82526" r="31436" b="10749"/>
                    <a:stretch/>
                  </pic:blipFill>
                  <pic:spPr bwMode="auto">
                    <a:xfrm>
                      <a:off x="0" y="0"/>
                      <a:ext cx="5717152" cy="764455"/>
                    </a:xfrm>
                    <a:prstGeom prst="rect">
                      <a:avLst/>
                    </a:prstGeom>
                    <a:ln>
                      <a:noFill/>
                    </a:ln>
                    <a:extLst>
                      <a:ext uri="{53640926-AAD7-44D8-BBD7-CCE9431645EC}">
                        <a14:shadowObscured xmlns:a14="http://schemas.microsoft.com/office/drawing/2010/main"/>
                      </a:ext>
                    </a:extLst>
                  </pic:spPr>
                </pic:pic>
              </a:graphicData>
            </a:graphic>
          </wp:inline>
        </w:drawing>
      </w:r>
    </w:p>
    <w:p w:rsidR="00C14BA5" w:rsidRPr="00A83BA9" w:rsidRDefault="00B8157F" w:rsidP="00C14BA5">
      <w:pPr>
        <w:tabs>
          <w:tab w:val="left" w:pos="709"/>
        </w:tabs>
        <w:spacing w:before="240" w:after="240" w:line="360" w:lineRule="auto"/>
        <w:jc w:val="both"/>
        <w:rPr>
          <w:rFonts w:ascii="Palatino Linotype" w:hAnsi="Palatino Linotype"/>
        </w:rPr>
      </w:pPr>
      <w:r w:rsidRPr="00A83BA9">
        <w:rPr>
          <w:noProof/>
          <w:lang w:val="es-MX" w:eastAsia="es-MX"/>
        </w:rPr>
        <w:drawing>
          <wp:inline distT="0" distB="0" distL="0" distR="0" wp14:anchorId="6400CBB1" wp14:editId="0D932F07">
            <wp:extent cx="5639435" cy="92171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153" t="13211" r="33674" b="77485"/>
                    <a:stretch/>
                  </pic:blipFill>
                  <pic:spPr bwMode="auto">
                    <a:xfrm>
                      <a:off x="0" y="0"/>
                      <a:ext cx="5740156" cy="938178"/>
                    </a:xfrm>
                    <a:prstGeom prst="rect">
                      <a:avLst/>
                    </a:prstGeom>
                    <a:ln>
                      <a:noFill/>
                    </a:ln>
                    <a:extLst>
                      <a:ext uri="{53640926-AAD7-44D8-BBD7-CCE9431645EC}">
                        <a14:shadowObscured xmlns:a14="http://schemas.microsoft.com/office/drawing/2010/main"/>
                      </a:ext>
                    </a:extLst>
                  </pic:spPr>
                </pic:pic>
              </a:graphicData>
            </a:graphic>
          </wp:inline>
        </w:drawing>
      </w:r>
    </w:p>
    <w:p w:rsidR="00B8157F" w:rsidRPr="00A83BA9" w:rsidRDefault="00B8157F"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w:t>
      </w:r>
    </w:p>
    <w:p w:rsidR="00B8157F" w:rsidRPr="00A83BA9" w:rsidRDefault="00B8157F"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De lo insertado con antelación se advierte que</w:t>
      </w:r>
      <w:r w:rsidR="00FF2C76" w:rsidRPr="00A83BA9">
        <w:rPr>
          <w:rFonts w:ascii="Palatino Linotype" w:hAnsi="Palatino Linotype"/>
        </w:rPr>
        <w:t xml:space="preserve"> en el de</w:t>
      </w:r>
      <w:r w:rsidR="002D7F18" w:rsidRPr="00A83BA9">
        <w:rPr>
          <w:rFonts w:ascii="Palatino Linotype" w:hAnsi="Palatino Linotype"/>
        </w:rPr>
        <w:t xml:space="preserve">sarrollo del procedimiento para la </w:t>
      </w:r>
      <w:r w:rsidR="00FF2C76" w:rsidRPr="00A83BA9">
        <w:rPr>
          <w:rFonts w:ascii="Palatino Linotype" w:hAnsi="Palatino Linotype"/>
        </w:rPr>
        <w:t>participación del Testigo Social en los procedimientos de contratación del Poder Ejecutivo del Gobierno del Estado de México la</w:t>
      </w:r>
      <w:r w:rsidR="00D93B3F" w:rsidRPr="00A83BA9">
        <w:rPr>
          <w:rFonts w:ascii="Palatino Linotype" w:hAnsi="Palatino Linotype"/>
        </w:rPr>
        <w:t xml:space="preserve"> Unidad Contratante</w:t>
      </w:r>
      <w:r w:rsidR="00D93B3F" w:rsidRPr="00A83BA9">
        <w:rPr>
          <w:rStyle w:val="Refdenotaalpie"/>
          <w:rFonts w:ascii="Palatino Linotype" w:hAnsi="Palatino Linotype"/>
          <w:b/>
        </w:rPr>
        <w:footnoteReference w:id="1"/>
      </w:r>
      <w:r w:rsidR="00FF2C76" w:rsidRPr="00A83BA9">
        <w:t xml:space="preserve"> </w:t>
      </w:r>
      <w:r w:rsidR="00FF2C76" w:rsidRPr="00A83BA9">
        <w:rPr>
          <w:rFonts w:ascii="Palatino Linotype" w:hAnsi="Palatino Linotype"/>
        </w:rPr>
        <w:t>verifica en los portales de internet de la Universidad Autónoma del Estado de México o Instituto de Transparencia y Acceso a la Información Pública del Estado de México la lista actualizada de los Testigos Sociales, selecciona el que cumpla con el perfil conforme a la especialidad de la contratación, y elabora oficio de solicitud de designación y justificación de Testigo Social, turnándolo al Comité de Registros de Testigos Sociales para que este determine si es procedente o no la designación del Testigo Social elegido o propuesto por la Unidad Contratante.</w:t>
      </w:r>
    </w:p>
    <w:p w:rsidR="00FF2C76" w:rsidRPr="00A83BA9" w:rsidRDefault="00FF2C76" w:rsidP="00C14BA5">
      <w:pPr>
        <w:tabs>
          <w:tab w:val="left" w:pos="709"/>
        </w:tabs>
        <w:spacing w:before="240" w:after="240" w:line="360" w:lineRule="auto"/>
        <w:jc w:val="both"/>
        <w:rPr>
          <w:rFonts w:ascii="Palatino Linotype" w:hAnsi="Palatino Linotype"/>
        </w:rPr>
      </w:pPr>
      <w:r w:rsidRPr="00A83BA9">
        <w:rPr>
          <w:rFonts w:ascii="Palatino Linotype" w:hAnsi="Palatino Linotype"/>
        </w:rPr>
        <w:lastRenderedPageBreak/>
        <w:t>Una vez que el Comité de Registros de Testigos Sociales</w:t>
      </w:r>
      <w:r w:rsidRPr="00A83BA9">
        <w:t xml:space="preserve"> </w:t>
      </w:r>
      <w:r w:rsidRPr="00A83BA9">
        <w:rPr>
          <w:rFonts w:ascii="Palatino Linotype" w:hAnsi="Palatino Linotype"/>
        </w:rPr>
        <w:t>recibe oficio de solicitud y justificación de Testigo Social determina:</w:t>
      </w:r>
    </w:p>
    <w:p w:rsidR="00FF2C76" w:rsidRPr="00A83BA9" w:rsidRDefault="00FF2C76" w:rsidP="00FF2C76">
      <w:pPr>
        <w:pStyle w:val="Prrafodelista"/>
        <w:numPr>
          <w:ilvl w:val="0"/>
          <w:numId w:val="10"/>
        </w:numPr>
        <w:tabs>
          <w:tab w:val="left" w:pos="709"/>
        </w:tabs>
        <w:spacing w:before="240" w:after="240" w:line="360" w:lineRule="auto"/>
        <w:jc w:val="both"/>
        <w:rPr>
          <w:rFonts w:ascii="Palatino Linotype" w:hAnsi="Palatino Linotype"/>
        </w:rPr>
      </w:pPr>
      <w:r w:rsidRPr="00A83BA9">
        <w:rPr>
          <w:rFonts w:ascii="Palatino Linotype" w:hAnsi="Palatino Linotype"/>
        </w:rPr>
        <w:t>No es procedente la designación:</w:t>
      </w:r>
    </w:p>
    <w:p w:rsidR="00FF2C76" w:rsidRPr="00A83BA9" w:rsidRDefault="00E0657E" w:rsidP="00FF2C76">
      <w:pPr>
        <w:pStyle w:val="Prrafodelista"/>
        <w:numPr>
          <w:ilvl w:val="0"/>
          <w:numId w:val="11"/>
        </w:numPr>
        <w:tabs>
          <w:tab w:val="left" w:pos="709"/>
        </w:tabs>
        <w:spacing w:before="240" w:after="240" w:line="360" w:lineRule="auto"/>
        <w:jc w:val="both"/>
        <w:rPr>
          <w:rFonts w:ascii="Palatino Linotype" w:hAnsi="Palatino Linotype"/>
        </w:rPr>
      </w:pPr>
      <w:r w:rsidRPr="00A83BA9">
        <w:rPr>
          <w:rFonts w:ascii="Palatino Linotype" w:hAnsi="Palatino Linotype"/>
          <w:lang w:val="es-ES"/>
        </w:rPr>
        <w:t>Elabora oficio mediante el cual justifica la improcedencia de la asignación del Testigo Social, comunicando tal determinación a la Unidad Contratante y archiva la copia previo acuse de recibido el oficio recibido.</w:t>
      </w:r>
    </w:p>
    <w:p w:rsidR="00E0657E" w:rsidRPr="00A83BA9" w:rsidRDefault="00E0657E" w:rsidP="00FF2C76">
      <w:pPr>
        <w:pStyle w:val="Prrafodelista"/>
        <w:numPr>
          <w:ilvl w:val="0"/>
          <w:numId w:val="11"/>
        </w:numPr>
        <w:tabs>
          <w:tab w:val="left" w:pos="709"/>
        </w:tabs>
        <w:spacing w:before="240" w:after="240" w:line="360" w:lineRule="auto"/>
        <w:jc w:val="both"/>
        <w:rPr>
          <w:rFonts w:ascii="Palatino Linotype" w:hAnsi="Palatino Linotype"/>
        </w:rPr>
      </w:pPr>
      <w:r w:rsidRPr="00A83BA9">
        <w:rPr>
          <w:rFonts w:ascii="Palatino Linotype" w:hAnsi="Palatino Linotype"/>
          <w:lang w:val="es-ES"/>
        </w:rPr>
        <w:t>Recibe oficio de improcedencia de asignación de Testigo Social, previo acuse de recibido, archiva oficio y procede a realizar su adquisición sin Testigo Social.</w:t>
      </w:r>
    </w:p>
    <w:p w:rsidR="00FF2C76" w:rsidRPr="00A83BA9" w:rsidRDefault="00FF2C76" w:rsidP="00FF2C76">
      <w:pPr>
        <w:pStyle w:val="Prrafodelista"/>
        <w:numPr>
          <w:ilvl w:val="0"/>
          <w:numId w:val="10"/>
        </w:numPr>
        <w:tabs>
          <w:tab w:val="left" w:pos="709"/>
        </w:tabs>
        <w:spacing w:before="240" w:after="240" w:line="360" w:lineRule="auto"/>
        <w:jc w:val="both"/>
        <w:rPr>
          <w:rFonts w:ascii="Palatino Linotype" w:hAnsi="Palatino Linotype"/>
        </w:rPr>
      </w:pPr>
      <w:r w:rsidRPr="00A83BA9">
        <w:rPr>
          <w:rFonts w:ascii="Palatino Linotype" w:hAnsi="Palatino Linotype"/>
        </w:rPr>
        <w:t>Si es procedente la designación:</w:t>
      </w:r>
    </w:p>
    <w:p w:rsidR="00E0657E" w:rsidRPr="00A83BA9" w:rsidRDefault="00E0657E" w:rsidP="00C14BA5">
      <w:pPr>
        <w:pStyle w:val="Prrafodelista"/>
        <w:numPr>
          <w:ilvl w:val="0"/>
          <w:numId w:val="12"/>
        </w:numPr>
        <w:tabs>
          <w:tab w:val="left" w:pos="709"/>
        </w:tabs>
        <w:spacing w:before="240" w:after="240" w:line="360" w:lineRule="auto"/>
        <w:jc w:val="both"/>
        <w:rPr>
          <w:rFonts w:ascii="Palatino Linotype" w:hAnsi="Palatino Linotype"/>
        </w:rPr>
      </w:pPr>
      <w:r w:rsidRPr="00A83BA9">
        <w:rPr>
          <w:rFonts w:ascii="Palatino Linotype" w:hAnsi="Palatino Linotype"/>
        </w:rPr>
        <w:t>El Comité de Registro de Testigos Sociales asigna al Testigo Social conforme al perfil y especialidad solicitada, elabora</w:t>
      </w:r>
      <w:r w:rsidR="00C16EAD" w:rsidRPr="00A83BA9">
        <w:rPr>
          <w:rFonts w:ascii="Palatino Linotype" w:hAnsi="Palatino Linotype"/>
        </w:rPr>
        <w:t>ndo el</w:t>
      </w:r>
      <w:r w:rsidRPr="00A83BA9">
        <w:rPr>
          <w:rFonts w:ascii="Palatino Linotype" w:hAnsi="Palatino Linotype"/>
        </w:rPr>
        <w:t xml:space="preserve"> oficio de asignación</w:t>
      </w:r>
      <w:r w:rsidR="00C16EAD" w:rsidRPr="00A83BA9">
        <w:rPr>
          <w:rFonts w:ascii="Palatino Linotype" w:hAnsi="Palatino Linotype"/>
        </w:rPr>
        <w:t xml:space="preserve"> correspondiente</w:t>
      </w:r>
      <w:r w:rsidRPr="00A83BA9">
        <w:rPr>
          <w:rFonts w:ascii="Palatino Linotype" w:hAnsi="Palatino Linotype"/>
        </w:rPr>
        <w:t>, obt</w:t>
      </w:r>
      <w:r w:rsidR="00C16EAD" w:rsidRPr="00A83BA9">
        <w:rPr>
          <w:rFonts w:ascii="Palatino Linotype" w:hAnsi="Palatino Linotype"/>
        </w:rPr>
        <w:t xml:space="preserve">eniendo </w:t>
      </w:r>
      <w:r w:rsidRPr="00A83BA9">
        <w:rPr>
          <w:rFonts w:ascii="Palatino Linotype" w:hAnsi="Palatino Linotype"/>
        </w:rPr>
        <w:t xml:space="preserve">tres copias y turna original al Testigo Social, una copia a la Unidad Contratante, una copia a la Subsecretaría de Control y Evaluación de la Secretaría de la Contraloría y una copia la archiva previo acuse de recibido con el oficio recibido. </w:t>
      </w:r>
    </w:p>
    <w:p w:rsidR="00C16EAD" w:rsidRPr="00A83BA9" w:rsidRDefault="00C16EAD" w:rsidP="00C14BA5">
      <w:pPr>
        <w:pStyle w:val="Prrafodelista"/>
        <w:numPr>
          <w:ilvl w:val="0"/>
          <w:numId w:val="12"/>
        </w:numPr>
        <w:tabs>
          <w:tab w:val="left" w:pos="709"/>
        </w:tabs>
        <w:spacing w:before="240" w:after="240" w:line="360" w:lineRule="auto"/>
        <w:jc w:val="both"/>
        <w:rPr>
          <w:rFonts w:ascii="Palatino Linotype" w:hAnsi="Palatino Linotype"/>
        </w:rPr>
      </w:pPr>
      <w:r w:rsidRPr="00A83BA9">
        <w:rPr>
          <w:rFonts w:ascii="Palatino Linotype" w:hAnsi="Palatino Linotype"/>
        </w:rPr>
        <w:t>Testigo Social r</w:t>
      </w:r>
      <w:r w:rsidR="00E0657E" w:rsidRPr="00A83BA9">
        <w:rPr>
          <w:rFonts w:ascii="Palatino Linotype" w:hAnsi="Palatino Linotype"/>
        </w:rPr>
        <w:t xml:space="preserve">ecibe oficio de designación de Testigo Social, </w:t>
      </w:r>
      <w:r w:rsidRPr="00A83BA9">
        <w:rPr>
          <w:rFonts w:ascii="Palatino Linotype" w:hAnsi="Palatino Linotype"/>
        </w:rPr>
        <w:t>acusa</w:t>
      </w:r>
      <w:r w:rsidR="00E0657E" w:rsidRPr="00A83BA9">
        <w:rPr>
          <w:rFonts w:ascii="Palatino Linotype" w:hAnsi="Palatino Linotype"/>
        </w:rPr>
        <w:t xml:space="preserve"> de recibido</w:t>
      </w:r>
      <w:r w:rsidRPr="00A83BA9">
        <w:rPr>
          <w:rFonts w:ascii="Palatino Linotype" w:hAnsi="Palatino Linotype"/>
        </w:rPr>
        <w:t xml:space="preserve"> </w:t>
      </w:r>
      <w:r w:rsidR="00E0657E" w:rsidRPr="00A83BA9">
        <w:rPr>
          <w:rFonts w:ascii="Palatino Linotype" w:hAnsi="Palatino Linotype"/>
        </w:rPr>
        <w:t>y espera para suscrib</w:t>
      </w:r>
      <w:r w:rsidRPr="00A83BA9">
        <w:rPr>
          <w:rFonts w:ascii="Palatino Linotype" w:hAnsi="Palatino Linotype"/>
        </w:rPr>
        <w:t>ir el contrato correspondiente.</w:t>
      </w:r>
    </w:p>
    <w:p w:rsidR="00C16EAD" w:rsidRPr="00A83BA9" w:rsidRDefault="00C16EAD" w:rsidP="00C14BA5">
      <w:pPr>
        <w:pStyle w:val="Prrafodelista"/>
        <w:numPr>
          <w:ilvl w:val="0"/>
          <w:numId w:val="12"/>
        </w:numPr>
        <w:tabs>
          <w:tab w:val="left" w:pos="709"/>
        </w:tabs>
        <w:spacing w:before="240" w:after="240" w:line="360" w:lineRule="auto"/>
        <w:jc w:val="both"/>
        <w:rPr>
          <w:rFonts w:ascii="Palatino Linotype" w:hAnsi="Palatino Linotype"/>
        </w:rPr>
      </w:pPr>
      <w:r w:rsidRPr="00A83BA9">
        <w:rPr>
          <w:rFonts w:ascii="Palatino Linotype" w:hAnsi="Palatino Linotype"/>
        </w:rPr>
        <w:t>Unidad Contratante r</w:t>
      </w:r>
      <w:r w:rsidR="00E0657E" w:rsidRPr="00A83BA9">
        <w:rPr>
          <w:rFonts w:ascii="Palatino Linotype" w:hAnsi="Palatino Linotype"/>
        </w:rPr>
        <w:t xml:space="preserve">ecibe copia de oficio de designación de Testigo Social, elabora solicitud y justificación de contratación de servicios inherente a la participación del Testigo Social en contratación pública y </w:t>
      </w:r>
      <w:r w:rsidRPr="00A83BA9">
        <w:rPr>
          <w:rFonts w:ascii="Palatino Linotype" w:hAnsi="Palatino Linotype"/>
        </w:rPr>
        <w:t xml:space="preserve">gestiona </w:t>
      </w:r>
      <w:r w:rsidR="00E0657E" w:rsidRPr="00A83BA9">
        <w:rPr>
          <w:rFonts w:ascii="Palatino Linotype" w:hAnsi="Palatino Linotype"/>
        </w:rPr>
        <w:t xml:space="preserve">su gestión. </w:t>
      </w:r>
    </w:p>
    <w:p w:rsidR="00C16EAD" w:rsidRPr="00A83BA9" w:rsidRDefault="00C16EAD" w:rsidP="00C14BA5">
      <w:pPr>
        <w:pStyle w:val="Prrafodelista"/>
        <w:numPr>
          <w:ilvl w:val="0"/>
          <w:numId w:val="12"/>
        </w:numPr>
        <w:tabs>
          <w:tab w:val="left" w:pos="709"/>
        </w:tabs>
        <w:spacing w:before="240" w:after="240" w:line="360" w:lineRule="auto"/>
        <w:jc w:val="both"/>
        <w:rPr>
          <w:rFonts w:ascii="Palatino Linotype" w:hAnsi="Palatino Linotype"/>
        </w:rPr>
      </w:pPr>
      <w:r w:rsidRPr="00A83BA9">
        <w:rPr>
          <w:rFonts w:ascii="Palatino Linotype" w:hAnsi="Palatino Linotype"/>
          <w:lang w:val="es-ES"/>
        </w:rPr>
        <w:t xml:space="preserve">Subsecretaría de Control y Evaluación de la Secretaría de la Contraloría </w:t>
      </w:r>
      <w:r w:rsidRPr="00A83BA9">
        <w:rPr>
          <w:rFonts w:ascii="Palatino Linotype" w:hAnsi="Palatino Linotype"/>
        </w:rPr>
        <w:t>r</w:t>
      </w:r>
      <w:r w:rsidR="00E0657E" w:rsidRPr="00A83BA9">
        <w:rPr>
          <w:rFonts w:ascii="Palatino Linotype" w:hAnsi="Palatino Linotype"/>
        </w:rPr>
        <w:t xml:space="preserve">ecibe copia de oficio de designación de Testigo Social, registra en su Sistema </w:t>
      </w:r>
      <w:r w:rsidR="00E0657E" w:rsidRPr="00A83BA9">
        <w:rPr>
          <w:rFonts w:ascii="Palatino Linotype" w:hAnsi="Palatino Linotype"/>
        </w:rPr>
        <w:lastRenderedPageBreak/>
        <w:t>Único de Control de Participación de Testigos Sociales y a</w:t>
      </w:r>
      <w:r w:rsidRPr="00A83BA9">
        <w:rPr>
          <w:rFonts w:ascii="Palatino Linotype" w:hAnsi="Palatino Linotype"/>
        </w:rPr>
        <w:t>rchiva oficio para su control.</w:t>
      </w:r>
    </w:p>
    <w:p w:rsidR="00C16EAD" w:rsidRPr="00A83BA9" w:rsidRDefault="009F6907" w:rsidP="00C14BA5">
      <w:pPr>
        <w:pStyle w:val="Prrafodelista"/>
        <w:numPr>
          <w:ilvl w:val="0"/>
          <w:numId w:val="12"/>
        </w:numPr>
        <w:tabs>
          <w:tab w:val="left" w:pos="709"/>
        </w:tabs>
        <w:spacing w:before="240" w:after="240" w:line="360" w:lineRule="auto"/>
        <w:jc w:val="both"/>
        <w:rPr>
          <w:rFonts w:ascii="Palatino Linotype" w:hAnsi="Palatino Linotype"/>
        </w:rPr>
      </w:pPr>
      <w:r w:rsidRPr="00A83BA9">
        <w:rPr>
          <w:rFonts w:ascii="Palatino Linotype" w:hAnsi="Palatino Linotype"/>
        </w:rPr>
        <w:t>Unidad Contratante</w:t>
      </w:r>
      <w:r w:rsidR="00E0657E" w:rsidRPr="00A83BA9">
        <w:rPr>
          <w:rFonts w:ascii="Palatino Linotype" w:hAnsi="Palatino Linotype"/>
        </w:rPr>
        <w:t xml:space="preserve"> obtiene contrato en dos tantos, se comunica vía telefónica o, en su caso, por escrito con el Testigo Social y le solicita se presente a suscribir el contrato por servicios</w:t>
      </w:r>
      <w:r w:rsidR="00C16EAD" w:rsidRPr="00A83BA9">
        <w:rPr>
          <w:rFonts w:ascii="Palatino Linotype" w:hAnsi="Palatino Linotype"/>
        </w:rPr>
        <w:t>.</w:t>
      </w:r>
    </w:p>
    <w:p w:rsidR="00C16EAD" w:rsidRPr="00A83BA9" w:rsidRDefault="00C16EAD" w:rsidP="009F6907">
      <w:pPr>
        <w:pStyle w:val="Prrafodelista"/>
        <w:numPr>
          <w:ilvl w:val="0"/>
          <w:numId w:val="12"/>
        </w:numPr>
        <w:tabs>
          <w:tab w:val="left" w:pos="709"/>
        </w:tabs>
        <w:spacing w:before="240" w:after="240" w:line="360" w:lineRule="auto"/>
        <w:jc w:val="both"/>
        <w:rPr>
          <w:rFonts w:ascii="Palatino Linotype" w:hAnsi="Palatino Linotype"/>
        </w:rPr>
      </w:pPr>
      <w:r w:rsidRPr="00A83BA9">
        <w:rPr>
          <w:rFonts w:ascii="Palatino Linotype" w:hAnsi="Palatino Linotype"/>
        </w:rPr>
        <w:t>Testigo social s</w:t>
      </w:r>
      <w:r w:rsidR="00E0657E" w:rsidRPr="00A83BA9">
        <w:rPr>
          <w:rFonts w:ascii="Palatino Linotype" w:hAnsi="Palatino Linotype"/>
        </w:rPr>
        <w:t>e entera vía telefónica y, en su caso, por escrito, que el contrato está listo, acude a la Unidad Contratante, entrega original y copia de su identificación oficial y de la constancia de registro vigente ante el Comité de Registro de T</w:t>
      </w:r>
      <w:r w:rsidR="009F6907" w:rsidRPr="00A83BA9">
        <w:rPr>
          <w:rFonts w:ascii="Palatino Linotype" w:hAnsi="Palatino Linotype"/>
        </w:rPr>
        <w:t>estigos Sociales firma el contrato correspondiente y espera documentación inherente a las etapas en las que participará.</w:t>
      </w:r>
    </w:p>
    <w:p w:rsidR="00E0657E" w:rsidRPr="00A83BA9" w:rsidRDefault="00C16EAD" w:rsidP="00C14BA5">
      <w:pPr>
        <w:pStyle w:val="Prrafodelista"/>
        <w:numPr>
          <w:ilvl w:val="0"/>
          <w:numId w:val="12"/>
        </w:numPr>
        <w:tabs>
          <w:tab w:val="left" w:pos="709"/>
        </w:tabs>
        <w:spacing w:before="240" w:after="240" w:line="360" w:lineRule="auto"/>
        <w:jc w:val="both"/>
        <w:rPr>
          <w:rFonts w:ascii="Palatino Linotype" w:hAnsi="Palatino Linotype"/>
        </w:rPr>
      </w:pPr>
      <w:r w:rsidRPr="00A83BA9">
        <w:rPr>
          <w:rFonts w:ascii="Palatino Linotype" w:hAnsi="Palatino Linotype"/>
        </w:rPr>
        <w:t xml:space="preserve">Unidad Contratante </w:t>
      </w:r>
      <w:r w:rsidR="00E0657E" w:rsidRPr="00A83BA9">
        <w:rPr>
          <w:rFonts w:ascii="Palatino Linotype" w:hAnsi="Palatino Linotype"/>
        </w:rPr>
        <w:t>recibe original y copia de identificación oficial y constancia de registro vigente</w:t>
      </w:r>
      <w:r w:rsidR="009F6907" w:rsidRPr="00A83BA9">
        <w:rPr>
          <w:rFonts w:ascii="Palatino Linotype" w:hAnsi="Palatino Linotype"/>
        </w:rPr>
        <w:t xml:space="preserve"> del Testigo Social</w:t>
      </w:r>
      <w:r w:rsidR="00E0657E" w:rsidRPr="00A83BA9">
        <w:rPr>
          <w:rFonts w:ascii="Palatino Linotype" w:hAnsi="Palatino Linotype"/>
        </w:rPr>
        <w:t>, firma contrato en dos tantos, obtiene firma del Testigo Social, entrega un tanto con el original de la identificación oficial y constancia de registro vigente y archiva uno con las copia</w:t>
      </w:r>
      <w:r w:rsidRPr="00A83BA9">
        <w:rPr>
          <w:rFonts w:ascii="Palatino Linotype" w:hAnsi="Palatino Linotype"/>
        </w:rPr>
        <w:t>s de la documentación recibida.</w:t>
      </w:r>
    </w:p>
    <w:p w:rsidR="003920ED" w:rsidRPr="00A83BA9" w:rsidRDefault="00E0657E"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De lo precisado con antelaci</w:t>
      </w:r>
      <w:r w:rsidR="003920ED" w:rsidRPr="00A83BA9">
        <w:rPr>
          <w:rFonts w:ascii="Palatino Linotype" w:hAnsi="Palatino Linotype"/>
        </w:rPr>
        <w:t xml:space="preserve">ón se advierte claramente cuál es el procedimiento que deben seguir las dependencias y entidades de la Administración Pública del Gobierno del Estado de México para seleccionar, designar y contratar la participación de testigos sociales, motivo por el cual la información proporcionada por el Sujeto Obligado al momento de emitir respuesta, así como al rendir su informe justificado atiende de manera puntual el requerimiento del impetrante, lo anterior es así en virtud de que expresó las circunstancias de hecho y derecho que son tomadas en cuenta en el procedimiento para la designación de los testigos sociales, motivo por el cual </w:t>
      </w:r>
      <w:r w:rsidR="00E041DD" w:rsidRPr="00A83BA9">
        <w:rPr>
          <w:rFonts w:ascii="Palatino Linotype" w:hAnsi="Palatino Linotype"/>
        </w:rPr>
        <w:t xml:space="preserve">es de suma importancia mencionar que si bien es cierto el </w:t>
      </w:r>
      <w:r w:rsidR="00E041DD" w:rsidRPr="00A83BA9">
        <w:rPr>
          <w:rFonts w:ascii="Palatino Linotype" w:hAnsi="Palatino Linotype"/>
        </w:rPr>
        <w:lastRenderedPageBreak/>
        <w:t>recurrente al momento de interponer el presente medio de impugnación refirió que existe un índice que obliga al Comité de Registro de Testigos Sociales a designar a</w:t>
      </w:r>
      <w:r w:rsidR="00B16483" w:rsidRPr="00A83BA9">
        <w:rPr>
          <w:rFonts w:ascii="Palatino Linotype" w:hAnsi="Palatino Linotype"/>
        </w:rPr>
        <w:t xml:space="preserve"> los testigos sociales, sin emb</w:t>
      </w:r>
      <w:r w:rsidR="00E041DD" w:rsidRPr="00A83BA9">
        <w:rPr>
          <w:rFonts w:ascii="Palatino Linotype" w:hAnsi="Palatino Linotype"/>
        </w:rPr>
        <w:t>a</w:t>
      </w:r>
      <w:r w:rsidR="00B16483" w:rsidRPr="00A83BA9">
        <w:rPr>
          <w:rFonts w:ascii="Palatino Linotype" w:hAnsi="Palatino Linotype"/>
        </w:rPr>
        <w:t>r</w:t>
      </w:r>
      <w:r w:rsidR="00E041DD" w:rsidRPr="00A83BA9">
        <w:rPr>
          <w:rFonts w:ascii="Palatino Linotype" w:hAnsi="Palatino Linotype"/>
        </w:rPr>
        <w:t xml:space="preserve">go no se debe perder de vista que </w:t>
      </w:r>
      <w:r w:rsidR="00B16483" w:rsidRPr="00A83BA9">
        <w:rPr>
          <w:rFonts w:ascii="Palatino Linotype" w:hAnsi="Palatino Linotype"/>
        </w:rPr>
        <w:t>conforme a lo establecido anteriormente la unidad contratante verifica en los portales de internet de la Universidad Autónoma del Estado de México o Instituto de Transparencia y Acceso a la Información Pública del Estado de México la lista actualizada de los Testigos Sociales, selecciona el que cumpla con el perfil conforme a la especialidad de la contratación, y elabora oficio de solicitud de designación y justificación de Testigo Social, turnándolo al Comité de Registros de Testigos Sociales para que este determine si es procedente o no la designación del Testigo Social elegido o propuesto por la Unidad Contratante, razón por la cual los motivos de inconformidad expresados por el impetrante son infundados.</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Por otra parte, es importante mencionar que de las constancias que integran el recurso de revisión al rubro indicado, de manera específica en el apartado denominado “Requerimientos” se advierte lo siguiente:</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noProof/>
          <w:lang w:val="es-MX" w:eastAsia="es-MX"/>
        </w:rPr>
        <mc:AlternateContent>
          <mc:Choice Requires="wps">
            <w:drawing>
              <wp:anchor distT="0" distB="0" distL="114300" distR="114300" simplePos="0" relativeHeight="251659264" behindDoc="0" locked="0" layoutInCell="1" allowOverlap="1" wp14:anchorId="3D6A8493" wp14:editId="3A6CCFC6">
                <wp:simplePos x="0" y="0"/>
                <wp:positionH relativeFrom="column">
                  <wp:posOffset>1282675</wp:posOffset>
                </wp:positionH>
                <wp:positionV relativeFrom="paragraph">
                  <wp:posOffset>936041</wp:posOffset>
                </wp:positionV>
                <wp:extent cx="687628" cy="446151"/>
                <wp:effectExtent l="19050" t="19050" r="17780" b="11430"/>
                <wp:wrapNone/>
                <wp:docPr id="2" name="Rectángulo 2"/>
                <wp:cNvGraphicFramePr/>
                <a:graphic xmlns:a="http://schemas.openxmlformats.org/drawingml/2006/main">
                  <a:graphicData uri="http://schemas.microsoft.com/office/word/2010/wordprocessingShape">
                    <wps:wsp>
                      <wps:cNvSpPr/>
                      <wps:spPr>
                        <a:xfrm>
                          <a:off x="0" y="0"/>
                          <a:ext cx="687628" cy="4461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B0F04" id="Rectángulo 2" o:spid="_x0000_s1026" style="position:absolute;margin-left:101pt;margin-top:73.7pt;width:54.15pt;height:3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" filled="f" strokecolor="red" strokeweight="2.25pt"/>
            </w:pict>
          </mc:Fallback>
        </mc:AlternateContent>
      </w:r>
      <w:r w:rsidRPr="00A83BA9">
        <w:rPr>
          <w:noProof/>
          <w:lang w:val="es-MX" w:eastAsia="es-MX"/>
        </w:rPr>
        <w:drawing>
          <wp:inline distT="0" distB="0" distL="0" distR="0" wp14:anchorId="7B6BA6A2" wp14:editId="6BE48E88">
            <wp:extent cx="5610225" cy="1631290"/>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793" t="18548" r="23816" b="68242"/>
                    <a:stretch/>
                  </pic:blipFill>
                  <pic:spPr bwMode="auto">
                    <a:xfrm>
                      <a:off x="0" y="0"/>
                      <a:ext cx="5670845" cy="1648917"/>
                    </a:xfrm>
                    <a:prstGeom prst="rect">
                      <a:avLst/>
                    </a:prstGeom>
                    <a:ln>
                      <a:noFill/>
                    </a:ln>
                    <a:extLst>
                      <a:ext uri="{53640926-AAD7-44D8-BBD7-CCE9431645EC}">
                        <a14:shadowObscured xmlns:a14="http://schemas.microsoft.com/office/drawing/2010/main"/>
                      </a:ext>
                    </a:extLst>
                  </pic:spPr>
                </pic:pic>
              </a:graphicData>
            </a:graphic>
          </wp:inline>
        </w:drawing>
      </w:r>
    </w:p>
    <w:p w:rsidR="00C14BA5" w:rsidRPr="00A83BA9" w:rsidRDefault="00C14BA5" w:rsidP="00C14BA5">
      <w:pPr>
        <w:tabs>
          <w:tab w:val="left" w:pos="709"/>
        </w:tabs>
        <w:spacing w:before="240" w:after="240" w:line="360" w:lineRule="auto"/>
        <w:jc w:val="both"/>
        <w:rPr>
          <w:rFonts w:ascii="Palatino Linotype" w:hAnsi="Palatino Linotype"/>
          <w:bCs/>
        </w:rPr>
      </w:pPr>
      <w:r w:rsidRPr="00A83BA9">
        <w:rPr>
          <w:rFonts w:ascii="Palatino Linotype" w:hAnsi="Palatino Linotype"/>
        </w:rPr>
        <w:t xml:space="preserve">De la imagen insertada se aprecia que la solicitud de información materia del presente asunto se turnó al Servidor Público Habilitado de la </w:t>
      </w:r>
      <w:r w:rsidRPr="00A83BA9">
        <w:rPr>
          <w:rFonts w:ascii="Palatino Linotype" w:hAnsi="Palatino Linotype"/>
          <w:bCs/>
        </w:rPr>
        <w:t xml:space="preserve">Unidad de Políticas en Contrataciones Públicas de la Secretaria de la Contraloría, circunstancia que se </w:t>
      </w:r>
      <w:r w:rsidRPr="00A83BA9">
        <w:rPr>
          <w:rFonts w:ascii="Palatino Linotype" w:hAnsi="Palatino Linotype"/>
          <w:bCs/>
        </w:rPr>
        <w:lastRenderedPageBreak/>
        <w:t xml:space="preserve">advierte del directorio de los servidores públicos del Sujeto Obligado consultable en IPOMEX, </w:t>
      </w:r>
      <w:hyperlink r:id="rId17" w:history="1">
        <w:r w:rsidRPr="00A83BA9">
          <w:rPr>
            <w:rStyle w:val="Hipervnculo"/>
            <w:rFonts w:ascii="Palatino Linotype" w:hAnsi="Palatino Linotype"/>
            <w:bCs/>
          </w:rPr>
          <w:t>https://www.ipomex.org.mx/ipo3/lgt/indice/SECOGEM/art_92_vii/1/0/1369.web</w:t>
        </w:r>
      </w:hyperlink>
      <w:r w:rsidRPr="00A83BA9">
        <w:rPr>
          <w:rFonts w:ascii="Palatino Linotype" w:hAnsi="Palatino Linotype"/>
          <w:bCs/>
        </w:rPr>
        <w:t>, del cual se obtiene lo siguiente:</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noProof/>
          <w:lang w:val="es-MX" w:eastAsia="es-MX"/>
        </w:rPr>
        <mc:AlternateContent>
          <mc:Choice Requires="wps">
            <w:drawing>
              <wp:anchor distT="0" distB="0" distL="114300" distR="114300" simplePos="0" relativeHeight="251660288" behindDoc="0" locked="0" layoutInCell="1" allowOverlap="1" wp14:anchorId="3A3CF703" wp14:editId="4FDCEE74">
                <wp:simplePos x="0" y="0"/>
                <wp:positionH relativeFrom="column">
                  <wp:posOffset>317068</wp:posOffset>
                </wp:positionH>
                <wp:positionV relativeFrom="paragraph">
                  <wp:posOffset>2243709</wp:posOffset>
                </wp:positionV>
                <wp:extent cx="4718304" cy="629107"/>
                <wp:effectExtent l="19050" t="19050" r="25400" b="19050"/>
                <wp:wrapNone/>
                <wp:docPr id="5" name="Rectángulo 5"/>
                <wp:cNvGraphicFramePr/>
                <a:graphic xmlns:a="http://schemas.openxmlformats.org/drawingml/2006/main">
                  <a:graphicData uri="http://schemas.microsoft.com/office/word/2010/wordprocessingShape">
                    <wps:wsp>
                      <wps:cNvSpPr/>
                      <wps:spPr>
                        <a:xfrm>
                          <a:off x="0" y="0"/>
                          <a:ext cx="4718304" cy="62910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E191A" id="Rectángulo 5" o:spid="_x0000_s1026" style="position:absolute;margin-left:24.95pt;margin-top:176.65pt;width:371.5pt;height:49.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" filled="f" strokecolor="red" strokeweight="2.25pt"/>
            </w:pict>
          </mc:Fallback>
        </mc:AlternateContent>
      </w:r>
      <w:r w:rsidRPr="00A83BA9">
        <w:rPr>
          <w:noProof/>
          <w:lang w:val="es-MX" w:eastAsia="es-MX"/>
        </w:rPr>
        <w:drawing>
          <wp:inline distT="0" distB="0" distL="0" distR="0" wp14:anchorId="69B4B31A" wp14:editId="5447D9EA">
            <wp:extent cx="5500298" cy="5237683"/>
            <wp:effectExtent l="0" t="0" r="571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768" t="17387" r="38867" b="7284"/>
                    <a:stretch/>
                  </pic:blipFill>
                  <pic:spPr bwMode="auto">
                    <a:xfrm>
                      <a:off x="0" y="0"/>
                      <a:ext cx="5522681" cy="5258998"/>
                    </a:xfrm>
                    <a:prstGeom prst="rect">
                      <a:avLst/>
                    </a:prstGeom>
                    <a:ln>
                      <a:noFill/>
                    </a:ln>
                    <a:extLst>
                      <a:ext uri="{53640926-AAD7-44D8-BBD7-CCE9431645EC}">
                        <a14:shadowObscured xmlns:a14="http://schemas.microsoft.com/office/drawing/2010/main"/>
                      </a:ext>
                    </a:extLst>
                  </pic:spPr>
                </pic:pic>
              </a:graphicData>
            </a:graphic>
          </wp:inline>
        </w:drawing>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 xml:space="preserve">Aunado a lo anterior, es de suma importancia mencionar que dicha unidad administrativa está legalmente facultada para generar, administrar y poseer la información materia del presente asunto, se afirma lo anterior, en virtud de que no </w:t>
      </w:r>
      <w:r w:rsidRPr="00A83BA9">
        <w:rPr>
          <w:rFonts w:ascii="Palatino Linotype" w:hAnsi="Palatino Linotype"/>
        </w:rPr>
        <w:lastRenderedPageBreak/>
        <w:t>se debe perder de vista que los artículos 34, 35, 36, 65 y 78 de la Constitución Política del Estado Libre y Soberano de México establecen que el Poder Público del Estado de México se divide para su ejercicio en Legislativo, Ejecutivo y Judicial, que los Poderes Legislativo y Ejecutivo del Estado se depositan en ciudadanos electos mediante sufragio universal, libre, secreto y directo, conforme a las leyes correspondientes, precisando que no podrán reunirse dos o más poderes del Estado en una sola persona o corporación ni depositarse el Legislativo en un individuo, salvo en el caso previsto por la fracción XI del artículo 61 de la referida Constitución, del mismo modo precisan que el Poder Ejecutivo del Estado se deposita en un solo individuo que se denomina Gobernador del Estado de México, resaltando que para el despacho de los asuntos que la Constitución le encomienda, el Ejecutivo contará con las dependencias y los organismos auxiliares que las disposiciones legales establezcan.</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Por otra parte es conveniente precisar que la Ley Orgánica de la Administración Pública del Estado de México tiene por objeto regular la organización y funcionamiento de la administración pública central y paraestatal del Estado, precisando que el ejercicio del Poder Ejecutivo corresponde al Gobernador del Estado, quien tendrá las atribuciones, funciones y obligaciones que le señalen: la Constitución Política de los Estados Unidos Mexicanos, la Constitución Política del Estado de México, la Ley en comento y las demás disposiciones jurídicas relativas vigentes en el Estado, en este mismo orden de ideas es preciso referir que el cuerpo legal en comento establece lo siguiente:</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i/>
          <w:sz w:val="22"/>
          <w:szCs w:val="22"/>
        </w:rPr>
        <w:t>“</w:t>
      </w:r>
      <w:r w:rsidRPr="00A83BA9">
        <w:rPr>
          <w:rFonts w:ascii="Palatino Linotype" w:hAnsi="Palatino Linotype"/>
          <w:b/>
          <w:i/>
          <w:sz w:val="22"/>
          <w:szCs w:val="22"/>
        </w:rPr>
        <w:t>Artículo 3.-</w:t>
      </w:r>
      <w:r w:rsidRPr="00A83BA9">
        <w:rPr>
          <w:rFonts w:ascii="Palatino Linotype" w:hAnsi="Palatino Linotype"/>
          <w:i/>
          <w:sz w:val="22"/>
          <w:szCs w:val="22"/>
        </w:rPr>
        <w:t xml:space="preserve"> Para el despacho de los asuntos que competan al Poder Ejecutivo, </w:t>
      </w:r>
      <w:r w:rsidRPr="00A83BA9">
        <w:rPr>
          <w:rFonts w:ascii="Palatino Linotype" w:hAnsi="Palatino Linotype"/>
          <w:b/>
          <w:i/>
          <w:sz w:val="22"/>
          <w:szCs w:val="22"/>
          <w:u w:val="single"/>
        </w:rPr>
        <w:t xml:space="preserve">el Gobernador del Estado se auxiliará de las dependencias, organismos y </w:t>
      </w:r>
      <w:r w:rsidRPr="00A83BA9">
        <w:rPr>
          <w:rFonts w:ascii="Palatino Linotype" w:hAnsi="Palatino Linotype"/>
          <w:b/>
          <w:i/>
          <w:sz w:val="22"/>
          <w:szCs w:val="22"/>
          <w:u w:val="single"/>
        </w:rPr>
        <w:lastRenderedPageBreak/>
        <w:t>entidades que señalen la Constitución Política del Estado</w:t>
      </w:r>
      <w:r w:rsidRPr="00A83BA9">
        <w:rPr>
          <w:rFonts w:ascii="Palatino Linotype" w:hAnsi="Palatino Linotype"/>
          <w:i/>
          <w:sz w:val="22"/>
          <w:szCs w:val="22"/>
        </w:rPr>
        <w:t>, la presente Ley, el presupuesto de egresos y las demás disposiciones jurídicas vigentes en el Estado.</w:t>
      </w:r>
    </w:p>
    <w:p w:rsidR="00C14BA5" w:rsidRPr="00A83BA9" w:rsidRDefault="00C14BA5" w:rsidP="00C14BA5">
      <w:pPr>
        <w:tabs>
          <w:tab w:val="left" w:pos="709"/>
        </w:tabs>
        <w:ind w:left="851" w:right="851"/>
        <w:jc w:val="both"/>
        <w:rPr>
          <w:rFonts w:ascii="Palatino Linotype" w:hAnsi="Palatino Linotype"/>
          <w:i/>
          <w:sz w:val="22"/>
          <w:szCs w:val="22"/>
        </w:rPr>
      </w:pP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 xml:space="preserve">Artículo 19.- </w:t>
      </w:r>
      <w:r w:rsidRPr="00A83BA9">
        <w:rPr>
          <w:rFonts w:ascii="Palatino Linotype" w:hAnsi="Palatino Linotype"/>
          <w:i/>
          <w:sz w:val="22"/>
          <w:szCs w:val="22"/>
        </w:rPr>
        <w:t>Para el estudio, planeación y despacho de los asuntos, en los diversos ramos de la Administración Pública del Estado, auxiliarán al Titular del Ejecutivo, las siguientes dependencias:</w:t>
      </w:r>
    </w:p>
    <w:p w:rsidR="00C14BA5" w:rsidRPr="00A83BA9" w:rsidRDefault="00C14BA5" w:rsidP="00C14BA5">
      <w:pPr>
        <w:tabs>
          <w:tab w:val="left" w:pos="709"/>
        </w:tabs>
        <w:ind w:left="851" w:right="851"/>
        <w:jc w:val="both"/>
        <w:rPr>
          <w:rFonts w:ascii="Palatino Linotype" w:hAnsi="Palatino Linotype"/>
          <w:b/>
          <w:i/>
          <w:sz w:val="22"/>
          <w:szCs w:val="22"/>
        </w:rPr>
      </w:pPr>
      <w:r w:rsidRPr="00A83BA9">
        <w:rPr>
          <w:rFonts w:ascii="Palatino Linotype" w:hAnsi="Palatino Linotype"/>
          <w:b/>
          <w:i/>
          <w:sz w:val="22"/>
          <w:szCs w:val="22"/>
        </w:rPr>
        <w:t>…</w:t>
      </w:r>
    </w:p>
    <w:p w:rsidR="00C14BA5" w:rsidRPr="00A83BA9" w:rsidRDefault="00C14BA5" w:rsidP="00C14BA5">
      <w:pPr>
        <w:tabs>
          <w:tab w:val="left" w:pos="709"/>
        </w:tabs>
        <w:ind w:left="851" w:right="851"/>
        <w:jc w:val="both"/>
        <w:rPr>
          <w:rFonts w:ascii="Palatino Linotype" w:hAnsi="Palatino Linotype"/>
          <w:b/>
          <w:i/>
          <w:sz w:val="22"/>
          <w:szCs w:val="22"/>
        </w:rPr>
      </w:pPr>
      <w:r w:rsidRPr="00A83BA9">
        <w:rPr>
          <w:rFonts w:ascii="Palatino Linotype" w:hAnsi="Palatino Linotype"/>
          <w:b/>
          <w:i/>
          <w:sz w:val="22"/>
          <w:szCs w:val="22"/>
        </w:rPr>
        <w:t>XIV. Secretaría de la Contraloría;</w:t>
      </w:r>
    </w:p>
    <w:p w:rsidR="00C14BA5" w:rsidRPr="00A83BA9" w:rsidRDefault="00C14BA5" w:rsidP="00C14BA5">
      <w:pPr>
        <w:tabs>
          <w:tab w:val="left" w:pos="709"/>
        </w:tabs>
        <w:ind w:left="851" w:right="851"/>
        <w:jc w:val="both"/>
        <w:rPr>
          <w:rFonts w:ascii="Palatino Linotype" w:hAnsi="Palatino Linotype"/>
          <w:b/>
          <w:i/>
          <w:sz w:val="22"/>
          <w:szCs w:val="22"/>
        </w:rPr>
      </w:pP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Artículo 38 bis.</w:t>
      </w:r>
      <w:r w:rsidRPr="00A83BA9">
        <w:rPr>
          <w:rFonts w:ascii="Palatino Linotype" w:hAnsi="Palatino Linotype"/>
          <w:i/>
          <w:sz w:val="22"/>
          <w:szCs w:val="22"/>
        </w:rPr>
        <w:t xml:space="preserve">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w:t>
      </w:r>
    </w:p>
    <w:p w:rsidR="00C14BA5" w:rsidRPr="00A83BA9" w:rsidRDefault="00C14BA5" w:rsidP="00C14BA5">
      <w:pPr>
        <w:tabs>
          <w:tab w:val="left" w:pos="709"/>
        </w:tabs>
        <w:ind w:left="851" w:right="851"/>
        <w:jc w:val="both"/>
        <w:rPr>
          <w:rFonts w:ascii="Palatino Linotype" w:hAnsi="Palatino Linotype"/>
          <w:i/>
          <w:sz w:val="22"/>
          <w:szCs w:val="22"/>
        </w:rPr>
      </w:pP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i/>
          <w:sz w:val="22"/>
          <w:szCs w:val="22"/>
        </w:rPr>
        <w:t>A la propia Secretaría, le corresponde el despacho de los siguientes asuntos:</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i/>
          <w:sz w:val="22"/>
          <w:szCs w:val="22"/>
        </w:rPr>
        <w:t>…</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VIII.</w:t>
      </w:r>
      <w:r w:rsidRPr="00A83BA9">
        <w:rPr>
          <w:rFonts w:ascii="Palatino Linotype" w:hAnsi="Palatino Linotype"/>
          <w:i/>
          <w:sz w:val="22"/>
          <w:szCs w:val="22"/>
        </w:rPr>
        <w:t xml:space="preserve"> Inspeccionar y vigilar directamente o a través de los órganos de control que las dependencias, organismos auxiliares y fideicomisos de la Administración Pública Estatal, cumplan con las normas y disposiciones en materia de: sistema de registro y contabilidad, contratación y pago de personal, contratación de servicios, obra pública, adquisiciones, arrendamientos, conservación, uso, destino, afectación, enajenación y baja de bienes y demás activos y recursos materiales de la Administración Pública Estatal.</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w:t>
      </w:r>
    </w:p>
    <w:p w:rsidR="00C14BA5" w:rsidRPr="00A83BA9" w:rsidRDefault="00C14BA5" w:rsidP="00C14BA5">
      <w:pPr>
        <w:tabs>
          <w:tab w:val="left" w:pos="709"/>
        </w:tabs>
        <w:ind w:left="851" w:right="851"/>
        <w:jc w:val="both"/>
        <w:rPr>
          <w:rFonts w:ascii="Palatino Linotype" w:hAnsi="Palatino Linotype"/>
          <w:i/>
          <w:sz w:val="22"/>
          <w:szCs w:val="22"/>
        </w:rPr>
      </w:pP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i/>
          <w:sz w:val="22"/>
          <w:szCs w:val="22"/>
        </w:rPr>
        <w:t>Énfasis añadido</w:t>
      </w:r>
    </w:p>
    <w:p w:rsidR="00C14BA5" w:rsidRPr="00A83BA9" w:rsidRDefault="00C14BA5" w:rsidP="00C14BA5">
      <w:pPr>
        <w:tabs>
          <w:tab w:val="left" w:pos="709"/>
        </w:tabs>
        <w:ind w:left="851" w:right="851"/>
        <w:jc w:val="both"/>
        <w:rPr>
          <w:rFonts w:ascii="Palatino Linotype" w:hAnsi="Palatino Linotype"/>
          <w:i/>
          <w:sz w:val="22"/>
          <w:szCs w:val="22"/>
        </w:rPr>
      </w:pP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 xml:space="preserve">En este sentido, es conveniente precisar que el Reglamento Interior de la Secretaría de la Contraloría establece que tiene como objeto regular la organización y el funcionamiento de la Secretaría de la Contraloría del Estado de México, así como establecer el ámbito de competencia de sus unidades administrativas básicas y de los órganos internos de control de las dependencias y organismos auxiliares, es de </w:t>
      </w:r>
      <w:r w:rsidRPr="00A83BA9">
        <w:rPr>
          <w:rFonts w:ascii="Palatino Linotype" w:hAnsi="Palatino Linotype"/>
        </w:rPr>
        <w:lastRenderedPageBreak/>
        <w:t>mencionar que el cuerpo normativo en mención establece en sus artículos 3, 15, 16 fracciones IX, X, XI, XII Y XIII lo siguiente:</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Artículo 3.</w:t>
      </w:r>
      <w:r w:rsidRPr="00A83BA9">
        <w:rPr>
          <w:rFonts w:ascii="Palatino Linotype" w:hAnsi="Palatino Linotype"/>
          <w:i/>
          <w:sz w:val="22"/>
          <w:szCs w:val="22"/>
        </w:rPr>
        <w:t xml:space="preserve"> </w:t>
      </w:r>
      <w:r w:rsidRPr="00A83BA9">
        <w:rPr>
          <w:rFonts w:ascii="Palatino Linotype" w:hAnsi="Palatino Linotype"/>
          <w:b/>
          <w:i/>
          <w:sz w:val="22"/>
          <w:szCs w:val="22"/>
          <w:u w:val="single"/>
        </w:rPr>
        <w:t>Al frente de la Secretaría habrá un Secretario, quien</w:t>
      </w:r>
      <w:r w:rsidRPr="00A83BA9">
        <w:rPr>
          <w:rFonts w:ascii="Palatino Linotype" w:hAnsi="Palatino Linotype"/>
          <w:i/>
          <w:sz w:val="22"/>
          <w:szCs w:val="22"/>
        </w:rPr>
        <w:t xml:space="preserve"> para el desahogo de los asuntos de su competencia, </w:t>
      </w:r>
      <w:r w:rsidRPr="00A83BA9">
        <w:rPr>
          <w:rFonts w:ascii="Palatino Linotype" w:hAnsi="Palatino Linotype"/>
          <w:b/>
          <w:i/>
          <w:sz w:val="22"/>
          <w:szCs w:val="22"/>
          <w:u w:val="single"/>
        </w:rPr>
        <w:t>se auxiliará de las unidades administrativas básicas siguientes</w:t>
      </w:r>
      <w:r w:rsidRPr="00A83BA9">
        <w:rPr>
          <w:rFonts w:ascii="Palatino Linotype" w:hAnsi="Palatino Linotype"/>
          <w:i/>
          <w:sz w:val="22"/>
          <w:szCs w:val="22"/>
        </w:rPr>
        <w:t>:</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I.</w:t>
      </w:r>
      <w:r w:rsidRPr="00A83BA9">
        <w:rPr>
          <w:rFonts w:ascii="Palatino Linotype" w:hAnsi="Palatino Linotype"/>
          <w:i/>
          <w:sz w:val="22"/>
          <w:szCs w:val="22"/>
        </w:rPr>
        <w:t xml:space="preserve"> Subsecretaría de Control y Evaluación;</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II.</w:t>
      </w:r>
      <w:r w:rsidRPr="00A83BA9">
        <w:rPr>
          <w:rFonts w:ascii="Palatino Linotype" w:hAnsi="Palatino Linotype"/>
          <w:i/>
          <w:sz w:val="22"/>
          <w:szCs w:val="22"/>
        </w:rPr>
        <w:t xml:space="preserve"> Unidad de Planeación, Apoyo Jurídico e Igualdad de Género;</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III.</w:t>
      </w:r>
      <w:r w:rsidRPr="00A83BA9">
        <w:rPr>
          <w:rFonts w:ascii="Palatino Linotype" w:hAnsi="Palatino Linotype"/>
          <w:i/>
          <w:sz w:val="22"/>
          <w:szCs w:val="22"/>
        </w:rPr>
        <w:t xml:space="preserve"> </w:t>
      </w:r>
      <w:r w:rsidRPr="00A83BA9">
        <w:rPr>
          <w:rFonts w:ascii="Palatino Linotype" w:hAnsi="Palatino Linotype"/>
          <w:b/>
          <w:i/>
          <w:sz w:val="22"/>
          <w:szCs w:val="22"/>
          <w:u w:val="single"/>
        </w:rPr>
        <w:t>Unidad de Políticas en Contrataciones Públicas</w:t>
      </w:r>
      <w:r w:rsidRPr="00A83BA9">
        <w:rPr>
          <w:rFonts w:ascii="Palatino Linotype" w:hAnsi="Palatino Linotype"/>
          <w:i/>
          <w:sz w:val="22"/>
          <w:szCs w:val="22"/>
        </w:rPr>
        <w:t>;</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IV.</w:t>
      </w:r>
      <w:r w:rsidRPr="00A83BA9">
        <w:rPr>
          <w:rFonts w:ascii="Palatino Linotype" w:hAnsi="Palatino Linotype"/>
          <w:i/>
          <w:sz w:val="22"/>
          <w:szCs w:val="22"/>
        </w:rPr>
        <w:t xml:space="preserve"> Unidad de Tecnologías de la Información y Comunicaciones;</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V.</w:t>
      </w:r>
      <w:r w:rsidRPr="00A83BA9">
        <w:rPr>
          <w:rFonts w:ascii="Palatino Linotype" w:hAnsi="Palatino Linotype"/>
          <w:i/>
          <w:sz w:val="22"/>
          <w:szCs w:val="22"/>
        </w:rPr>
        <w:t xml:space="preserve"> Unidad de Prevención de la Corrupción;</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VI.</w:t>
      </w:r>
      <w:r w:rsidRPr="00A83BA9">
        <w:rPr>
          <w:rFonts w:ascii="Palatino Linotype" w:hAnsi="Palatino Linotype"/>
          <w:i/>
          <w:sz w:val="22"/>
          <w:szCs w:val="22"/>
        </w:rPr>
        <w:t xml:space="preserve"> Dirección General de Investigación;</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VII.</w:t>
      </w:r>
      <w:r w:rsidRPr="00A83BA9">
        <w:rPr>
          <w:rFonts w:ascii="Palatino Linotype" w:hAnsi="Palatino Linotype"/>
          <w:i/>
          <w:sz w:val="22"/>
          <w:szCs w:val="22"/>
        </w:rPr>
        <w:t xml:space="preserve"> Dirección General de Responsabilidades Administrativas;</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VIII.</w:t>
      </w:r>
      <w:r w:rsidRPr="00A83BA9">
        <w:rPr>
          <w:rFonts w:ascii="Palatino Linotype" w:hAnsi="Palatino Linotype"/>
          <w:i/>
          <w:sz w:val="22"/>
          <w:szCs w:val="22"/>
        </w:rPr>
        <w:t xml:space="preserve"> Dirección General de Contraloría y Evaluación Social;</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IX.</w:t>
      </w:r>
      <w:r w:rsidRPr="00A83BA9">
        <w:rPr>
          <w:rFonts w:ascii="Palatino Linotype" w:hAnsi="Palatino Linotype"/>
          <w:i/>
          <w:sz w:val="22"/>
          <w:szCs w:val="22"/>
        </w:rPr>
        <w:t xml:space="preserve"> Dirección General de Control y Evaluación “A”;</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X.</w:t>
      </w:r>
      <w:r w:rsidRPr="00A83BA9">
        <w:rPr>
          <w:rFonts w:ascii="Palatino Linotype" w:hAnsi="Palatino Linotype"/>
          <w:i/>
          <w:sz w:val="22"/>
          <w:szCs w:val="22"/>
        </w:rPr>
        <w:t xml:space="preserve"> Dirección General de Control y Evaluación “B”;</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XI.</w:t>
      </w:r>
      <w:r w:rsidRPr="00A83BA9">
        <w:rPr>
          <w:rFonts w:ascii="Palatino Linotype" w:hAnsi="Palatino Linotype"/>
          <w:i/>
          <w:sz w:val="22"/>
          <w:szCs w:val="22"/>
        </w:rPr>
        <w:t xml:space="preserve"> Dirección General de Control y Evaluación “C”;</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XII.</w:t>
      </w:r>
      <w:r w:rsidRPr="00A83BA9">
        <w:rPr>
          <w:rFonts w:ascii="Palatino Linotype" w:hAnsi="Palatino Linotype"/>
          <w:i/>
          <w:sz w:val="22"/>
          <w:szCs w:val="22"/>
        </w:rPr>
        <w:t xml:space="preserve"> Coordinación Administrativa, y</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XIII.</w:t>
      </w:r>
      <w:r w:rsidRPr="00A83BA9">
        <w:rPr>
          <w:rFonts w:ascii="Palatino Linotype" w:hAnsi="Palatino Linotype"/>
          <w:i/>
          <w:sz w:val="22"/>
          <w:szCs w:val="22"/>
        </w:rPr>
        <w:t xml:space="preserve"> Órgano Interno de Control.</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i/>
          <w:sz w:val="22"/>
          <w:szCs w:val="22"/>
        </w:rPr>
        <w:t>Quedan adscritas directamente al Secretario, las unidades administrativas básicas, contenidas en las fracciones I, II, III, IV, V, VI, VII, VIII, XII y XIII; y directamente al Subsecretario de Control y Evaluación, las contenidas en las fracciones IX, X y XI.</w:t>
      </w:r>
    </w:p>
    <w:p w:rsidR="00C14BA5" w:rsidRPr="00A83BA9" w:rsidRDefault="00C14BA5" w:rsidP="00C14BA5">
      <w:pPr>
        <w:tabs>
          <w:tab w:val="left" w:pos="709"/>
        </w:tabs>
        <w:ind w:left="851" w:right="851"/>
        <w:jc w:val="both"/>
        <w:rPr>
          <w:rFonts w:ascii="Palatino Linotype" w:hAnsi="Palatino Linotype"/>
          <w:b/>
          <w:i/>
          <w:sz w:val="22"/>
          <w:szCs w:val="22"/>
        </w:rPr>
      </w:pP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Artículo 15.</w:t>
      </w:r>
      <w:r w:rsidRPr="00A83BA9">
        <w:rPr>
          <w:rFonts w:ascii="Palatino Linotype" w:hAnsi="Palatino Linotype"/>
          <w:i/>
          <w:sz w:val="22"/>
          <w:szCs w:val="22"/>
        </w:rPr>
        <w:t xml:space="preserve"> </w:t>
      </w:r>
      <w:r w:rsidRPr="00A83BA9">
        <w:rPr>
          <w:rFonts w:ascii="Palatino Linotype" w:hAnsi="Palatino Linotype"/>
          <w:b/>
          <w:i/>
          <w:sz w:val="22"/>
          <w:szCs w:val="22"/>
          <w:u w:val="single"/>
        </w:rPr>
        <w:t>Quedan adscritas a la Unidad de Políticas en Contrataciones Públicas</w:t>
      </w:r>
      <w:r w:rsidRPr="00A83BA9">
        <w:rPr>
          <w:rFonts w:ascii="Palatino Linotype" w:hAnsi="Palatino Linotype"/>
          <w:i/>
          <w:sz w:val="22"/>
          <w:szCs w:val="22"/>
        </w:rPr>
        <w:t>, las unidades administrativas siguientes:</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I.</w:t>
      </w:r>
      <w:r w:rsidRPr="00A83BA9">
        <w:rPr>
          <w:rFonts w:ascii="Palatino Linotype" w:hAnsi="Palatino Linotype"/>
          <w:i/>
          <w:sz w:val="22"/>
          <w:szCs w:val="22"/>
        </w:rPr>
        <w:t xml:space="preserve"> Una </w:t>
      </w:r>
      <w:r w:rsidRPr="00A83BA9">
        <w:rPr>
          <w:rFonts w:ascii="Palatino Linotype" w:hAnsi="Palatino Linotype"/>
          <w:b/>
          <w:i/>
          <w:sz w:val="22"/>
          <w:szCs w:val="22"/>
          <w:u w:val="single"/>
        </w:rPr>
        <w:t>Dirección de Políticas en Contrataciones Públicas</w:t>
      </w:r>
      <w:r w:rsidRPr="00A83BA9">
        <w:rPr>
          <w:rFonts w:ascii="Palatino Linotype" w:hAnsi="Palatino Linotype"/>
          <w:i/>
          <w:sz w:val="22"/>
          <w:szCs w:val="22"/>
        </w:rPr>
        <w:t>, y</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II.</w:t>
      </w:r>
      <w:r w:rsidRPr="00A83BA9">
        <w:rPr>
          <w:rFonts w:ascii="Palatino Linotype" w:hAnsi="Palatino Linotype"/>
          <w:i/>
          <w:sz w:val="22"/>
          <w:szCs w:val="22"/>
        </w:rPr>
        <w:t xml:space="preserve"> Una Dirección de Conciliaciones. Asimismo, se auxiliará de los demás servidores públicos que se requieran para ejercer las atribuciones que le otorga el presente Reglamento.</w:t>
      </w:r>
    </w:p>
    <w:p w:rsidR="00C14BA5" w:rsidRPr="00A83BA9" w:rsidRDefault="00C14BA5" w:rsidP="00C14BA5">
      <w:pPr>
        <w:tabs>
          <w:tab w:val="left" w:pos="709"/>
        </w:tabs>
        <w:ind w:left="851" w:right="851"/>
        <w:jc w:val="both"/>
        <w:rPr>
          <w:rFonts w:ascii="Palatino Linotype" w:hAnsi="Palatino Linotype"/>
          <w:b/>
          <w:i/>
          <w:sz w:val="22"/>
          <w:szCs w:val="22"/>
        </w:rPr>
      </w:pP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Artículo 16.</w:t>
      </w:r>
      <w:r w:rsidRPr="00A83BA9">
        <w:rPr>
          <w:rFonts w:ascii="Palatino Linotype" w:hAnsi="Palatino Linotype"/>
          <w:i/>
          <w:sz w:val="22"/>
          <w:szCs w:val="22"/>
        </w:rPr>
        <w:t xml:space="preserve"> A la </w:t>
      </w:r>
      <w:r w:rsidRPr="00A83BA9">
        <w:rPr>
          <w:rFonts w:ascii="Palatino Linotype" w:hAnsi="Palatino Linotype"/>
          <w:b/>
          <w:i/>
          <w:sz w:val="22"/>
          <w:szCs w:val="22"/>
          <w:u w:val="single"/>
        </w:rPr>
        <w:t>Unidad de Políticas en Contrataciones Públicas</w:t>
      </w:r>
      <w:r w:rsidRPr="00A83BA9">
        <w:rPr>
          <w:rFonts w:ascii="Palatino Linotype" w:hAnsi="Palatino Linotype"/>
          <w:i/>
          <w:sz w:val="22"/>
          <w:szCs w:val="22"/>
        </w:rPr>
        <w:t>, corresponden las atribuciones siguientes:</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i/>
          <w:sz w:val="22"/>
          <w:szCs w:val="22"/>
        </w:rPr>
        <w:t>…</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IX.</w:t>
      </w:r>
      <w:r w:rsidRPr="00A83BA9">
        <w:rPr>
          <w:rFonts w:ascii="Palatino Linotype" w:hAnsi="Palatino Linotype"/>
          <w:i/>
          <w:sz w:val="22"/>
          <w:szCs w:val="22"/>
        </w:rPr>
        <w:t xml:space="preserve"> </w:t>
      </w:r>
      <w:r w:rsidRPr="00A83BA9">
        <w:rPr>
          <w:rFonts w:ascii="Palatino Linotype" w:hAnsi="Palatino Linotype"/>
          <w:b/>
          <w:i/>
          <w:sz w:val="22"/>
          <w:szCs w:val="22"/>
          <w:u w:val="single"/>
        </w:rPr>
        <w:t>Administrar el Sistema Único de Control sobre la Participación de los testigos sociales</w:t>
      </w:r>
      <w:r w:rsidRPr="00A83BA9">
        <w:rPr>
          <w:rFonts w:ascii="Palatino Linotype" w:hAnsi="Palatino Linotype"/>
          <w:i/>
          <w:sz w:val="22"/>
          <w:szCs w:val="22"/>
        </w:rPr>
        <w:t>, tratándose de las dependencias y organismos auxiliares del Poder Ejecutivo del Estado de México, respecto de las contrataciones públicas que se realicen con cargo total o parcial a recursos estatales, el cual deberá de incluir los resultados de cada intervención de los testigos sociales;</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lastRenderedPageBreak/>
        <w:t>X.</w:t>
      </w:r>
      <w:r w:rsidRPr="00A83BA9">
        <w:rPr>
          <w:rFonts w:ascii="Palatino Linotype" w:hAnsi="Palatino Linotype"/>
          <w:i/>
          <w:sz w:val="22"/>
          <w:szCs w:val="22"/>
        </w:rPr>
        <w:t xml:space="preserve"> </w:t>
      </w:r>
      <w:r w:rsidRPr="00A83BA9">
        <w:rPr>
          <w:rFonts w:ascii="Palatino Linotype" w:hAnsi="Palatino Linotype"/>
          <w:b/>
          <w:i/>
          <w:sz w:val="22"/>
          <w:szCs w:val="22"/>
          <w:u w:val="single"/>
        </w:rPr>
        <w:t>Recibir de los testigos sociales, las conclusiones de su testimonio, así como las propuestas y medidas que considere oportunas para fortalecer la transparencia y la imparcialidad en los procedimientos de contratación pública</w:t>
      </w:r>
      <w:r w:rsidRPr="00A83BA9">
        <w:rPr>
          <w:rFonts w:ascii="Palatino Linotype" w:hAnsi="Palatino Linotype"/>
          <w:i/>
          <w:sz w:val="22"/>
          <w:szCs w:val="22"/>
        </w:rPr>
        <w:t>;</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XI.</w:t>
      </w:r>
      <w:r w:rsidRPr="00A83BA9">
        <w:rPr>
          <w:rFonts w:ascii="Palatino Linotype" w:hAnsi="Palatino Linotype"/>
          <w:i/>
          <w:sz w:val="22"/>
          <w:szCs w:val="22"/>
        </w:rPr>
        <w:t xml:space="preserve"> Supervisar el cumplimiento e interpretar en el ámbito de competencia de la Secretaría, el Título Décimo del Testigo Social del Libro Primero del Código Administrativo del Estado de México y su Reglamento;</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XII.</w:t>
      </w:r>
      <w:r w:rsidRPr="00A83BA9">
        <w:rPr>
          <w:rFonts w:ascii="Palatino Linotype" w:hAnsi="Palatino Linotype"/>
          <w:i/>
          <w:sz w:val="22"/>
          <w:szCs w:val="22"/>
        </w:rPr>
        <w:t xml:space="preserve"> Verificar en su caso que el órgano interno de control respectivo, determine lo conducente respecto de las presuntas irregularidades que el Testigo Social le haya informado respecto de las contrataciones;</w:t>
      </w: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b/>
          <w:i/>
          <w:sz w:val="22"/>
          <w:szCs w:val="22"/>
        </w:rPr>
        <w:t>XIII.</w:t>
      </w:r>
      <w:r w:rsidRPr="00A83BA9">
        <w:rPr>
          <w:rFonts w:ascii="Palatino Linotype" w:hAnsi="Palatino Linotype"/>
          <w:i/>
          <w:sz w:val="22"/>
          <w:szCs w:val="22"/>
        </w:rPr>
        <w:t xml:space="preserve"> </w:t>
      </w:r>
      <w:r w:rsidRPr="00A83BA9">
        <w:rPr>
          <w:rFonts w:ascii="Palatino Linotype" w:hAnsi="Palatino Linotype"/>
          <w:b/>
          <w:i/>
          <w:sz w:val="22"/>
          <w:szCs w:val="22"/>
          <w:u w:val="single"/>
        </w:rPr>
        <w:t>Revisar las presuntas irregularidades en que incurra el testigo social</w:t>
      </w:r>
      <w:r w:rsidRPr="00A83BA9">
        <w:rPr>
          <w:rFonts w:ascii="Palatino Linotype" w:hAnsi="Palatino Linotype"/>
          <w:i/>
          <w:sz w:val="22"/>
          <w:szCs w:val="22"/>
        </w:rPr>
        <w:t xml:space="preserve"> y en caso de que haya incumplido con alguna de sus responsabilidades, </w:t>
      </w:r>
      <w:r w:rsidRPr="00A83BA9">
        <w:rPr>
          <w:rFonts w:ascii="Palatino Linotype" w:hAnsi="Palatino Linotype"/>
          <w:b/>
          <w:i/>
          <w:sz w:val="22"/>
          <w:szCs w:val="22"/>
          <w:u w:val="single"/>
        </w:rPr>
        <w:t>remitir el expediente correspondiente al Comité de Registro de Testigos Sociales y solicitar la cancelación de su registro</w:t>
      </w:r>
      <w:r w:rsidRPr="00A83BA9">
        <w:rPr>
          <w:rFonts w:ascii="Palatino Linotype" w:hAnsi="Palatino Linotype"/>
          <w:i/>
          <w:sz w:val="22"/>
          <w:szCs w:val="22"/>
        </w:rPr>
        <w:t>, independientemente de las sanciones que procedan conforme a la legislación vigente;</w:t>
      </w:r>
    </w:p>
    <w:p w:rsidR="00C14BA5" w:rsidRPr="00A83BA9" w:rsidRDefault="00C14BA5" w:rsidP="00C14BA5">
      <w:pPr>
        <w:tabs>
          <w:tab w:val="left" w:pos="709"/>
        </w:tabs>
        <w:ind w:left="851" w:right="851"/>
        <w:jc w:val="both"/>
        <w:rPr>
          <w:rFonts w:ascii="Palatino Linotype" w:hAnsi="Palatino Linotype"/>
          <w:i/>
          <w:sz w:val="22"/>
          <w:szCs w:val="22"/>
        </w:rPr>
      </w:pPr>
    </w:p>
    <w:p w:rsidR="00C14BA5" w:rsidRPr="00A83BA9" w:rsidRDefault="00C14BA5" w:rsidP="00C14BA5">
      <w:pPr>
        <w:tabs>
          <w:tab w:val="left" w:pos="709"/>
        </w:tabs>
        <w:ind w:left="851" w:right="851"/>
        <w:jc w:val="both"/>
        <w:rPr>
          <w:rFonts w:ascii="Palatino Linotype" w:hAnsi="Palatino Linotype"/>
          <w:i/>
          <w:sz w:val="22"/>
          <w:szCs w:val="22"/>
        </w:rPr>
      </w:pPr>
      <w:r w:rsidRPr="00A83BA9">
        <w:rPr>
          <w:rFonts w:ascii="Palatino Linotype" w:hAnsi="Palatino Linotype"/>
          <w:i/>
          <w:sz w:val="22"/>
          <w:szCs w:val="22"/>
        </w:rPr>
        <w:t>Énfasis añadido.</w:t>
      </w:r>
    </w:p>
    <w:p w:rsidR="00C14BA5" w:rsidRPr="00A83BA9" w:rsidRDefault="00C14BA5" w:rsidP="00C14BA5">
      <w:pPr>
        <w:tabs>
          <w:tab w:val="left" w:pos="709"/>
        </w:tabs>
        <w:spacing w:before="240" w:after="240" w:line="360" w:lineRule="auto"/>
        <w:jc w:val="both"/>
        <w:rPr>
          <w:rFonts w:ascii="Palatino Linotype" w:hAnsi="Palatino Linotype"/>
        </w:rPr>
      </w:pPr>
      <w:r w:rsidRPr="00A83BA9">
        <w:rPr>
          <w:rFonts w:ascii="Palatino Linotype" w:hAnsi="Palatino Linotype"/>
        </w:rPr>
        <w:t>De los dispositivos legales se advierte con claridad que el Sujeto Obligado en su estructura orgánica cuenta con diversas unidades administrativas, y de acuerdo a los numerales referidos anteriormente se advierte que la Unidad de Políticas en Contrataciones Públicas está facultada para generar, administrar o poseer la información materia del presente asunto</w:t>
      </w:r>
      <w:r w:rsidRPr="00A83BA9">
        <w:rPr>
          <w:rFonts w:ascii="Palatino Linotype" w:hAnsi="Palatino Linotype" w:cs="Arial"/>
        </w:rPr>
        <w:t xml:space="preserve">, motivo por el cual </w:t>
      </w:r>
      <w:r w:rsidRPr="00A83BA9">
        <w:rPr>
          <w:rFonts w:ascii="Palatino Linotype" w:hAnsi="Palatino Linotype"/>
        </w:rPr>
        <w:t xml:space="preserve">este Órgano Garante estima que la respuesta proporcionada por el Sujeto Obligado en respuesta satisface plenamente el requerimiento del impetrante. </w:t>
      </w:r>
    </w:p>
    <w:p w:rsidR="00C14BA5" w:rsidRPr="00A83BA9" w:rsidRDefault="00C14BA5" w:rsidP="00C14BA5">
      <w:pPr>
        <w:spacing w:before="240" w:after="240" w:line="360" w:lineRule="auto"/>
        <w:jc w:val="both"/>
        <w:rPr>
          <w:rFonts w:ascii="Palatino Linotype" w:hAnsi="Palatino Linotype" w:cs="Arial"/>
          <w:bCs/>
        </w:rPr>
      </w:pPr>
      <w:r w:rsidRPr="00A83BA9">
        <w:rPr>
          <w:rFonts w:ascii="Palatino Linotype" w:hAnsi="Palatino Linotype" w:cs="Arial"/>
          <w:bCs/>
        </w:rPr>
        <w:t xml:space="preserve">Aunado a ello, se destaca que al haber existido un pronunciamiento por parte del Sujeto Obligado, este Órgano Garante no está facultado para manifestarse sobre la veracidad de lo afirmado por parte del Sujeto Obligado pues no existe precepto legal alguno en la Ley de la materia que lo faculte para ello. </w:t>
      </w:r>
    </w:p>
    <w:p w:rsidR="00C14BA5" w:rsidRPr="00A83BA9" w:rsidRDefault="00C14BA5" w:rsidP="00C14BA5">
      <w:pPr>
        <w:spacing w:before="240" w:after="240" w:line="360" w:lineRule="auto"/>
        <w:jc w:val="both"/>
        <w:rPr>
          <w:rFonts w:ascii="Palatino Linotype" w:hAnsi="Palatino Linotype"/>
        </w:rPr>
      </w:pPr>
      <w:r w:rsidRPr="00A83BA9">
        <w:rPr>
          <w:rFonts w:ascii="Palatino Linotype" w:hAnsi="Palatino Linotype" w:cs="Arial"/>
        </w:rPr>
        <w:t>Lo anterior se robustece con lo plasmado en el criterio</w:t>
      </w:r>
      <w:r w:rsidRPr="00A83BA9">
        <w:rPr>
          <w:rFonts w:ascii="Palatino Linotype" w:hAnsi="Palatino Linotype"/>
        </w:rPr>
        <w:t xml:space="preserve"> 31-10 emitido por el entonces Instituto Federal de Acceso a la Información y Protección de Datos (IFAI) ahora </w:t>
      </w:r>
      <w:r w:rsidRPr="00A83BA9">
        <w:rPr>
          <w:rFonts w:ascii="Palatino Linotype" w:hAnsi="Palatino Linotype"/>
        </w:rPr>
        <w:lastRenderedPageBreak/>
        <w:t xml:space="preserve">Instituto Nacional de Transparencia, Acceso a la Información, y Protección de Datos Personales (INAI),  que lleva por rubro y texto los siguientes: </w:t>
      </w:r>
    </w:p>
    <w:p w:rsidR="00C14BA5" w:rsidRPr="00A83BA9" w:rsidRDefault="00C14BA5" w:rsidP="00C14BA5">
      <w:pPr>
        <w:ind w:left="992" w:right="1043"/>
        <w:jc w:val="both"/>
        <w:rPr>
          <w:rFonts w:ascii="Palatino Linotype" w:hAnsi="Palatino Linotype"/>
          <w:i/>
          <w:sz w:val="22"/>
          <w:szCs w:val="22"/>
        </w:rPr>
      </w:pPr>
      <w:r w:rsidRPr="00A83BA9">
        <w:rPr>
          <w:rFonts w:ascii="Palatino Linotype" w:hAnsi="Palatino Linotype"/>
          <w:i/>
          <w:sz w:val="22"/>
          <w:szCs w:val="22"/>
        </w:rPr>
        <w:t>“</w:t>
      </w:r>
      <w:r w:rsidRPr="00A83BA9">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A83BA9">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14BA5" w:rsidRPr="00A83BA9" w:rsidRDefault="00C14BA5" w:rsidP="00C14BA5">
      <w:pPr>
        <w:ind w:left="992" w:right="1043"/>
        <w:jc w:val="both"/>
        <w:rPr>
          <w:rFonts w:ascii="Palatino Linotype" w:hAnsi="Palatino Linotype"/>
          <w:i/>
          <w:sz w:val="22"/>
          <w:szCs w:val="22"/>
        </w:rPr>
      </w:pPr>
    </w:p>
    <w:p w:rsidR="00C14BA5" w:rsidRPr="00A83BA9" w:rsidRDefault="00C14BA5" w:rsidP="00C14BA5">
      <w:pPr>
        <w:spacing w:before="240" w:after="240" w:line="360" w:lineRule="auto"/>
        <w:ind w:right="49"/>
        <w:jc w:val="both"/>
        <w:rPr>
          <w:rFonts w:ascii="Palatino Linotype" w:hAnsi="Palatino Linotype" w:cs="Arial"/>
          <w:lang w:val="es-MX" w:eastAsia="es-MX"/>
        </w:rPr>
      </w:pPr>
      <w:r w:rsidRPr="00A83BA9">
        <w:rPr>
          <w:rFonts w:ascii="Palatino Linotype" w:hAnsi="Palatino Linotype" w:cs="Arial"/>
          <w:lang w:eastAsia="es-MX"/>
        </w:rPr>
        <w:t xml:space="preserve">En mérito de lo mencionado con anterioridad, </w:t>
      </w:r>
      <w:r w:rsidRPr="00A83BA9">
        <w:rPr>
          <w:rFonts w:ascii="Palatino Linotype" w:hAnsi="Palatino Linotype"/>
        </w:rPr>
        <w:t>este Órgano Garante considera infundadas las razones o motivos de inconformidad que plantea el</w:t>
      </w:r>
      <w:r w:rsidRPr="00A83BA9">
        <w:rPr>
          <w:rFonts w:ascii="Palatino Linotype" w:hAnsi="Palatino Linotype" w:cs="Arial"/>
          <w:b/>
          <w:lang w:val="es-MX" w:eastAsia="es-MX"/>
        </w:rPr>
        <w:t xml:space="preserve"> Recurrente</w:t>
      </w:r>
      <w:r w:rsidRPr="00A83BA9">
        <w:rPr>
          <w:rFonts w:ascii="Palatino Linotype" w:hAnsi="Palatino Linotype"/>
        </w:rPr>
        <w:t xml:space="preserve">, </w:t>
      </w:r>
      <w:r w:rsidRPr="00A83BA9">
        <w:rPr>
          <w:rFonts w:ascii="Palatino Linotype" w:hAnsi="Palatino Linotype" w:cs="Arial"/>
          <w:lang w:eastAsia="es-MX"/>
        </w:rPr>
        <w:t xml:space="preserve">de tal manera que con fundamento en el artículo 186 fracción II de la Ley de Transparencia vigente en la entidad, se </w:t>
      </w:r>
      <w:r w:rsidRPr="00A83BA9">
        <w:rPr>
          <w:rFonts w:ascii="Palatino Linotype" w:hAnsi="Palatino Linotype" w:cs="Arial"/>
          <w:b/>
          <w:lang w:eastAsia="es-MX"/>
        </w:rPr>
        <w:t>CONFIRMA</w:t>
      </w:r>
      <w:r w:rsidRPr="00A83BA9">
        <w:rPr>
          <w:rFonts w:ascii="Palatino Linotype" w:hAnsi="Palatino Linotype" w:cs="Arial"/>
          <w:lang w:eastAsia="es-MX"/>
        </w:rPr>
        <w:t xml:space="preserve"> la respuesta del </w:t>
      </w:r>
      <w:r w:rsidRPr="00A83BA9">
        <w:rPr>
          <w:rFonts w:ascii="Palatino Linotype" w:hAnsi="Palatino Linotype" w:cs="Arial"/>
          <w:b/>
          <w:lang w:eastAsia="es-MX"/>
        </w:rPr>
        <w:t>Sujeto Obligado</w:t>
      </w:r>
      <w:r w:rsidRPr="00A83BA9">
        <w:rPr>
          <w:rFonts w:ascii="Palatino Linotype" w:hAnsi="Palatino Linotype" w:cs="Arial"/>
          <w:lang w:eastAsia="es-MX"/>
        </w:rPr>
        <w:t>.</w:t>
      </w:r>
    </w:p>
    <w:p w:rsidR="00C14BA5" w:rsidRPr="00A83BA9" w:rsidRDefault="00C14BA5" w:rsidP="00C14BA5">
      <w:pPr>
        <w:spacing w:before="240" w:after="240" w:line="360" w:lineRule="auto"/>
        <w:jc w:val="both"/>
        <w:rPr>
          <w:rFonts w:ascii="Palatino Linotype" w:hAnsi="Palatino Linotype" w:cs="Arial"/>
        </w:rPr>
      </w:pPr>
      <w:r w:rsidRPr="00A83BA9">
        <w:rPr>
          <w:rFonts w:ascii="Palatino Linotype" w:hAnsi="Palatino Linotype" w:cs="Arial"/>
        </w:rPr>
        <w:t xml:space="preserve">Así, con fundamento en lo prescrito en los artículos </w:t>
      </w:r>
      <w:r w:rsidRPr="00A83BA9">
        <w:rPr>
          <w:rFonts w:ascii="Palatino Linotype" w:hAnsi="Palatino Linotype"/>
          <w:shd w:val="clear" w:color="auto" w:fill="FFFFFF"/>
        </w:rPr>
        <w:t xml:space="preserve">5, párrafos vigésimo, vigésimo primero y vigésimo segundo fracciones IV y V </w:t>
      </w:r>
      <w:r w:rsidRPr="00A83BA9">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C14BA5" w:rsidRPr="00A83BA9" w:rsidRDefault="00C14BA5" w:rsidP="00C14BA5">
      <w:pPr>
        <w:spacing w:before="240" w:after="240" w:line="360" w:lineRule="auto"/>
        <w:ind w:left="360"/>
        <w:contextualSpacing/>
        <w:jc w:val="center"/>
        <w:rPr>
          <w:rFonts w:ascii="Palatino Linotype" w:hAnsi="Palatino Linotype" w:cs="Arial"/>
          <w:b/>
        </w:rPr>
      </w:pPr>
      <w:r w:rsidRPr="00A83BA9">
        <w:rPr>
          <w:rFonts w:ascii="Palatino Linotype" w:hAnsi="Palatino Linotype" w:cs="Arial"/>
          <w:b/>
        </w:rPr>
        <w:t>III. R E S U E L V E:</w:t>
      </w:r>
    </w:p>
    <w:p w:rsidR="00C14BA5" w:rsidRPr="00A83BA9" w:rsidRDefault="00C14BA5" w:rsidP="00C14BA5">
      <w:pPr>
        <w:spacing w:before="240" w:after="240" w:line="360" w:lineRule="auto"/>
        <w:ind w:left="360"/>
        <w:contextualSpacing/>
        <w:jc w:val="center"/>
        <w:rPr>
          <w:rFonts w:ascii="Palatino Linotype" w:hAnsi="Palatino Linotype" w:cs="Arial"/>
          <w:b/>
        </w:rPr>
      </w:pPr>
    </w:p>
    <w:p w:rsidR="00C14BA5" w:rsidRPr="00A83BA9" w:rsidRDefault="00C14BA5" w:rsidP="00C14BA5">
      <w:pPr>
        <w:spacing w:before="240" w:after="240" w:line="360" w:lineRule="auto"/>
        <w:ind w:right="49"/>
        <w:jc w:val="both"/>
        <w:rPr>
          <w:rFonts w:ascii="Palatino Linotype" w:hAnsi="Palatino Linotype" w:cs="Arial"/>
          <w:sz w:val="23"/>
          <w:szCs w:val="23"/>
        </w:rPr>
      </w:pPr>
      <w:r w:rsidRPr="00A83BA9">
        <w:rPr>
          <w:rFonts w:ascii="Palatino Linotype" w:hAnsi="Palatino Linotype" w:cs="Arial"/>
          <w:b/>
        </w:rPr>
        <w:t xml:space="preserve">Primero. </w:t>
      </w:r>
      <w:r w:rsidRPr="00A83BA9">
        <w:rPr>
          <w:rFonts w:ascii="Palatino Linotype" w:hAnsi="Palatino Linotype" w:cs="Arial"/>
          <w:sz w:val="23"/>
          <w:szCs w:val="23"/>
        </w:rPr>
        <w:t>Resultan infundadas las razones o motivos de inconformidad hechos valer por el recurrente</w:t>
      </w:r>
      <w:r w:rsidRPr="00A83BA9">
        <w:rPr>
          <w:rFonts w:ascii="Palatino Linotype" w:hAnsi="Palatino Linotype" w:cs="Arial"/>
          <w:b/>
          <w:sz w:val="23"/>
          <w:szCs w:val="23"/>
        </w:rPr>
        <w:t xml:space="preserve">, </w:t>
      </w:r>
      <w:r w:rsidRPr="00A83BA9">
        <w:rPr>
          <w:rFonts w:ascii="Palatino Linotype" w:eastAsia="Calibri" w:hAnsi="Palatino Linotype" w:cs="Arial"/>
          <w:sz w:val="23"/>
          <w:szCs w:val="23"/>
        </w:rPr>
        <w:t xml:space="preserve">en el recurso de revisión </w:t>
      </w:r>
      <w:r w:rsidRPr="00A83BA9">
        <w:rPr>
          <w:rFonts w:ascii="Palatino Linotype" w:hAnsi="Palatino Linotype"/>
          <w:b/>
          <w:sz w:val="23"/>
          <w:szCs w:val="23"/>
          <w:lang w:val="es-ES_tradnl"/>
        </w:rPr>
        <w:t xml:space="preserve">04609/INFOEM/IP/RR/2018 </w:t>
      </w:r>
      <w:r w:rsidRPr="00A83BA9">
        <w:rPr>
          <w:rFonts w:ascii="Palatino Linotype" w:hAnsi="Palatino Linotype"/>
          <w:sz w:val="23"/>
          <w:szCs w:val="23"/>
          <w:lang w:val="es-ES_tradnl"/>
        </w:rPr>
        <w:t xml:space="preserve">en términos del considerando </w:t>
      </w:r>
      <w:r w:rsidRPr="00A83BA9">
        <w:rPr>
          <w:rFonts w:ascii="Palatino Linotype" w:hAnsi="Palatino Linotype"/>
          <w:b/>
          <w:sz w:val="23"/>
          <w:szCs w:val="23"/>
          <w:lang w:val="es-ES_tradnl"/>
        </w:rPr>
        <w:t>CUARTO</w:t>
      </w:r>
      <w:r w:rsidRPr="00A83BA9">
        <w:rPr>
          <w:rFonts w:ascii="Palatino Linotype" w:hAnsi="Palatino Linotype"/>
          <w:sz w:val="23"/>
          <w:szCs w:val="23"/>
          <w:lang w:val="es-ES_tradnl"/>
        </w:rPr>
        <w:t xml:space="preserve"> de la presente resolución.</w:t>
      </w:r>
    </w:p>
    <w:p w:rsidR="00C14BA5" w:rsidRPr="00A83BA9" w:rsidRDefault="00C14BA5" w:rsidP="00C14BA5">
      <w:pPr>
        <w:spacing w:before="240" w:after="240" w:line="360" w:lineRule="auto"/>
        <w:jc w:val="both"/>
        <w:rPr>
          <w:rFonts w:ascii="Palatino Linotype" w:hAnsi="Palatino Linotype"/>
          <w:b/>
          <w:sz w:val="23"/>
          <w:szCs w:val="23"/>
          <w:lang w:val="es-ES_tradnl"/>
        </w:rPr>
      </w:pPr>
      <w:r w:rsidRPr="00A83BA9">
        <w:rPr>
          <w:rFonts w:ascii="Palatino Linotype" w:hAnsi="Palatino Linotype" w:cs="Arial"/>
          <w:b/>
        </w:rPr>
        <w:t xml:space="preserve">Segundo. </w:t>
      </w:r>
      <w:r w:rsidRPr="00A83BA9">
        <w:rPr>
          <w:rFonts w:ascii="Palatino Linotype" w:hAnsi="Palatino Linotype" w:cs="Arial"/>
          <w:sz w:val="23"/>
          <w:szCs w:val="23"/>
          <w:lang w:val="es-MX" w:eastAsia="es-MX"/>
        </w:rPr>
        <w:t xml:space="preserve">Se </w:t>
      </w:r>
      <w:r w:rsidRPr="00A83BA9">
        <w:rPr>
          <w:rFonts w:ascii="Palatino Linotype" w:hAnsi="Palatino Linotype" w:cs="Arial"/>
          <w:b/>
          <w:sz w:val="23"/>
          <w:szCs w:val="23"/>
        </w:rPr>
        <w:t>CONFIRMA</w:t>
      </w:r>
      <w:r w:rsidRPr="00A83BA9">
        <w:rPr>
          <w:rFonts w:ascii="Palatino Linotype" w:hAnsi="Palatino Linotype" w:cs="Arial"/>
          <w:sz w:val="23"/>
          <w:szCs w:val="23"/>
        </w:rPr>
        <w:t xml:space="preserve"> la respuesta del</w:t>
      </w:r>
      <w:r w:rsidRPr="00A83BA9">
        <w:rPr>
          <w:rFonts w:ascii="Palatino Linotype" w:hAnsi="Palatino Linotype" w:cs="Arial"/>
          <w:b/>
          <w:sz w:val="23"/>
          <w:szCs w:val="23"/>
        </w:rPr>
        <w:t xml:space="preserve"> Sujeto Obligado </w:t>
      </w:r>
      <w:r w:rsidRPr="00A83BA9">
        <w:rPr>
          <w:rFonts w:ascii="Palatino Linotype" w:hAnsi="Palatino Linotype" w:cs="Arial"/>
          <w:sz w:val="23"/>
          <w:szCs w:val="23"/>
        </w:rPr>
        <w:t xml:space="preserve">otorgada a la solicitud de información </w:t>
      </w:r>
      <w:r w:rsidRPr="00A83BA9">
        <w:rPr>
          <w:rFonts w:ascii="Palatino Linotype" w:hAnsi="Palatino Linotype"/>
          <w:b/>
          <w:bCs/>
          <w:sz w:val="23"/>
          <w:szCs w:val="23"/>
        </w:rPr>
        <w:t>00209/SECOGEM/IP/2018</w:t>
      </w:r>
      <w:r w:rsidRPr="00A83BA9">
        <w:rPr>
          <w:rFonts w:ascii="Palatino Linotype" w:hAnsi="Palatino Linotype"/>
          <w:b/>
          <w:sz w:val="23"/>
          <w:szCs w:val="23"/>
          <w:lang w:val="es-ES_tradnl"/>
        </w:rPr>
        <w:t>.</w:t>
      </w:r>
    </w:p>
    <w:p w:rsidR="00C14BA5" w:rsidRPr="00A83BA9" w:rsidRDefault="00C14BA5" w:rsidP="00C14BA5">
      <w:pPr>
        <w:spacing w:before="240" w:after="240" w:line="360" w:lineRule="auto"/>
        <w:jc w:val="both"/>
        <w:rPr>
          <w:rFonts w:ascii="Palatino Linotype" w:eastAsia="Palatino Linotype" w:hAnsi="Palatino Linotype" w:cs="Palatino Linotype"/>
          <w:sz w:val="23"/>
          <w:szCs w:val="23"/>
          <w:lang w:val="es-ES_tradnl" w:eastAsia="es-MX"/>
        </w:rPr>
      </w:pPr>
      <w:r w:rsidRPr="00A83BA9">
        <w:rPr>
          <w:rFonts w:ascii="Palatino Linotype" w:hAnsi="Palatino Linotype" w:cs="Arial"/>
          <w:b/>
          <w:bCs/>
          <w:shd w:val="clear" w:color="auto" w:fill="FFFFFF"/>
        </w:rPr>
        <w:t xml:space="preserve">Tercero. </w:t>
      </w:r>
      <w:bookmarkStart w:id="0" w:name="_Toc450120670"/>
      <w:r w:rsidRPr="00A83BA9">
        <w:rPr>
          <w:rFonts w:ascii="Palatino Linotype" w:hAnsi="Palatino Linotype" w:cs="Arial"/>
          <w:b/>
          <w:sz w:val="23"/>
          <w:szCs w:val="23"/>
          <w:shd w:val="clear" w:color="auto" w:fill="FFFFFF"/>
        </w:rPr>
        <w:t>Remítase</w:t>
      </w:r>
      <w:r w:rsidRPr="00A83BA9">
        <w:rPr>
          <w:rFonts w:ascii="Palatino Linotype" w:hAnsi="Palatino Linotype" w:cs="Arial"/>
          <w:i/>
          <w:sz w:val="23"/>
          <w:szCs w:val="23"/>
          <w:shd w:val="clear" w:color="auto" w:fill="FFFFFF"/>
        </w:rPr>
        <w:t> </w:t>
      </w:r>
      <w:r w:rsidRPr="00A83BA9">
        <w:rPr>
          <w:rFonts w:ascii="Palatino Linotype" w:hAnsi="Palatino Linotype" w:cs="Arial"/>
          <w:sz w:val="23"/>
          <w:szCs w:val="23"/>
          <w:shd w:val="clear" w:color="auto" w:fill="FFFFFF"/>
        </w:rPr>
        <w:t>al Titular de la Unidad de Transparencia del </w:t>
      </w:r>
      <w:r w:rsidRPr="00A83BA9">
        <w:rPr>
          <w:rFonts w:ascii="Palatino Linotype" w:hAnsi="Palatino Linotype" w:cs="Arial"/>
          <w:b/>
          <w:sz w:val="23"/>
          <w:szCs w:val="23"/>
          <w:shd w:val="clear" w:color="auto" w:fill="FFFFFF"/>
        </w:rPr>
        <w:t>Sujeto Obligado</w:t>
      </w:r>
      <w:r w:rsidRPr="00A83BA9">
        <w:rPr>
          <w:rFonts w:ascii="Palatino Linotype" w:hAnsi="Palatino Linotype" w:cs="Arial"/>
          <w:sz w:val="23"/>
          <w:szCs w:val="23"/>
          <w:shd w:val="clear" w:color="auto" w:fill="FFFFFF"/>
        </w:rPr>
        <w:t xml:space="preserve">, para su conocimiento. </w:t>
      </w:r>
    </w:p>
    <w:bookmarkEnd w:id="0"/>
    <w:p w:rsidR="00C14BA5" w:rsidRPr="00A83BA9" w:rsidRDefault="00C14BA5" w:rsidP="00C14BA5">
      <w:pPr>
        <w:spacing w:before="240" w:after="240" w:line="360" w:lineRule="auto"/>
        <w:jc w:val="both"/>
        <w:rPr>
          <w:rFonts w:ascii="Palatino Linotype" w:eastAsiaTheme="minorEastAsia" w:hAnsi="Palatino Linotype" w:cs="Arial"/>
          <w:sz w:val="23"/>
          <w:szCs w:val="23"/>
          <w:lang w:eastAsia="es-ES_tradnl"/>
        </w:rPr>
      </w:pPr>
      <w:r w:rsidRPr="00A83BA9">
        <w:rPr>
          <w:rFonts w:ascii="Palatino Linotype" w:hAnsi="Palatino Linotype" w:cs="Arial"/>
          <w:b/>
        </w:rPr>
        <w:t xml:space="preserve">Cuarto. </w:t>
      </w:r>
      <w:r w:rsidRPr="00A83BA9">
        <w:rPr>
          <w:rFonts w:ascii="Palatino Linotype" w:hAnsi="Palatino Linotype" w:cs="Arial"/>
          <w:b/>
          <w:sz w:val="23"/>
          <w:szCs w:val="23"/>
        </w:rPr>
        <w:t xml:space="preserve">  Hágase del Conocimiento </w:t>
      </w:r>
      <w:r w:rsidRPr="00A83BA9">
        <w:rPr>
          <w:rFonts w:ascii="Palatino Linotype" w:hAnsi="Palatino Linotype" w:cs="Arial"/>
          <w:sz w:val="23"/>
          <w:szCs w:val="23"/>
        </w:rPr>
        <w:t xml:space="preserve">de la </w:t>
      </w:r>
      <w:r w:rsidRPr="00A83BA9">
        <w:rPr>
          <w:rFonts w:ascii="Palatino Linotype" w:hAnsi="Palatino Linotype" w:cs="Arial"/>
          <w:b/>
          <w:sz w:val="23"/>
          <w:szCs w:val="23"/>
        </w:rPr>
        <w:t>recurrente</w:t>
      </w:r>
      <w:r w:rsidRPr="00A83BA9">
        <w:rPr>
          <w:rFonts w:ascii="Palatino Linotype" w:hAnsi="Palatino Linotype" w:cs="Arial"/>
          <w:sz w:val="23"/>
          <w:szCs w:val="23"/>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C14BA5" w:rsidRPr="00A83BA9" w:rsidRDefault="00C14BA5" w:rsidP="00C14BA5">
      <w:pPr>
        <w:spacing w:before="240" w:after="240" w:line="360" w:lineRule="auto"/>
        <w:ind w:right="51"/>
        <w:jc w:val="both"/>
        <w:rPr>
          <w:rFonts w:ascii="Palatino Linotype" w:hAnsi="Palatino Linotype" w:cs="Arial"/>
        </w:rPr>
      </w:pPr>
      <w:r w:rsidRPr="00A83BA9">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w:t>
      </w:r>
      <w:r w:rsidR="000055E6" w:rsidRPr="00A83BA9">
        <w:rPr>
          <w:rFonts w:ascii="Palatino Linotype" w:hAnsi="Palatino Linotype"/>
        </w:rPr>
        <w:t>(EMITIENDO VOTO PARTICULAR)</w:t>
      </w:r>
      <w:r w:rsidRPr="00A83BA9">
        <w:rPr>
          <w:rFonts w:ascii="Palatino Linotype" w:hAnsi="Palatino Linotype"/>
        </w:rPr>
        <w:t>; EVA ABAID YAPUR; JOSÉ GUADALUPE LUNA HERNÁNDEZ; JAVIER MARTÍNEZ CRUZ Y LUIS GUSTAVO PARRA NORIEGA</w:t>
      </w:r>
      <w:r w:rsidR="000055E6" w:rsidRPr="00A83BA9">
        <w:rPr>
          <w:rFonts w:ascii="Palatino Linotype" w:hAnsi="Palatino Linotype"/>
        </w:rPr>
        <w:t>(AUSENCIA JUSTIFICADA EN LA SESIÓN)</w:t>
      </w:r>
      <w:r w:rsidRPr="00A83BA9">
        <w:rPr>
          <w:rFonts w:ascii="Palatino Linotype" w:hAnsi="Palatino Linotype"/>
        </w:rPr>
        <w:t>; EN LA S</w:t>
      </w:r>
      <w:r w:rsidR="000055E6" w:rsidRPr="00A83BA9">
        <w:rPr>
          <w:rFonts w:ascii="Palatino Linotype" w:hAnsi="Palatino Linotype"/>
        </w:rPr>
        <w:t xml:space="preserve">ÉPTIMA </w:t>
      </w:r>
      <w:r w:rsidRPr="00A83BA9">
        <w:rPr>
          <w:rFonts w:ascii="Palatino Linotype" w:hAnsi="Palatino Linotype"/>
        </w:rPr>
        <w:t xml:space="preserve">SESIÓN ORDINARIA CELEBRADA EL </w:t>
      </w:r>
      <w:r w:rsidR="000055E6" w:rsidRPr="00A83BA9">
        <w:rPr>
          <w:rFonts w:ascii="Palatino Linotype" w:hAnsi="Palatino Linotype"/>
        </w:rPr>
        <w:t xml:space="preserve">VEINTE </w:t>
      </w:r>
      <w:r w:rsidRPr="00A83BA9">
        <w:rPr>
          <w:rFonts w:ascii="Palatino Linotype" w:hAnsi="Palatino Linotype"/>
        </w:rPr>
        <w:t>DE FEBRERO DE DOS MIL DIECINUEVE, ANTE EL SECRETARIO TÉCNICO DEL PLENO ALEXIS TAPIA RAMÍREZ.</w:t>
      </w:r>
      <w:r w:rsidRPr="00A83BA9">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C14BA5" w:rsidRPr="00A83BA9" w:rsidTr="00BC263F">
        <w:trPr>
          <w:trHeight w:val="1807"/>
        </w:trPr>
        <w:tc>
          <w:tcPr>
            <w:tcW w:w="8838" w:type="dxa"/>
            <w:gridSpan w:val="2"/>
            <w:vAlign w:val="center"/>
          </w:tcPr>
          <w:p w:rsidR="00C14BA5" w:rsidRPr="00A83BA9" w:rsidRDefault="00C14BA5" w:rsidP="00BC263F">
            <w:pPr>
              <w:rPr>
                <w:rFonts w:ascii="Palatino Linotype" w:hAnsi="Palatino Linotype"/>
              </w:rPr>
            </w:pPr>
          </w:p>
          <w:p w:rsidR="00C14BA5" w:rsidRPr="00A83BA9" w:rsidRDefault="00C14BA5" w:rsidP="00BC263F">
            <w:pPr>
              <w:rPr>
                <w:rFonts w:ascii="Palatino Linotype" w:hAnsi="Palatino Linotype"/>
              </w:rPr>
            </w:pPr>
          </w:p>
          <w:p w:rsidR="00C14BA5" w:rsidRPr="00A83BA9" w:rsidRDefault="00C14BA5" w:rsidP="00BC263F">
            <w:pPr>
              <w:rPr>
                <w:rFonts w:ascii="Palatino Linotype" w:hAnsi="Palatino Linotype"/>
              </w:rPr>
            </w:pPr>
          </w:p>
          <w:p w:rsidR="00C14BA5" w:rsidRPr="00A83BA9" w:rsidRDefault="00C14BA5" w:rsidP="00BC263F">
            <w:pPr>
              <w:jc w:val="center"/>
              <w:rPr>
                <w:rFonts w:ascii="Palatino Linotype" w:hAnsi="Palatino Linotype"/>
                <w:b/>
              </w:rPr>
            </w:pPr>
            <w:r w:rsidRPr="00A83BA9">
              <w:rPr>
                <w:rFonts w:ascii="Palatino Linotype" w:hAnsi="Palatino Linotype" w:cs="Arial"/>
                <w:b/>
              </w:rPr>
              <w:t>Zulema Martínez Sánchez</w:t>
            </w:r>
            <w:r w:rsidRPr="00A83BA9">
              <w:rPr>
                <w:rFonts w:ascii="Palatino Linotype" w:hAnsi="Palatino Linotype"/>
                <w:b/>
              </w:rPr>
              <w:t xml:space="preserve"> </w:t>
            </w:r>
          </w:p>
          <w:p w:rsidR="00C14BA5" w:rsidRPr="00A83BA9" w:rsidRDefault="00C14BA5" w:rsidP="00BC263F">
            <w:pPr>
              <w:jc w:val="center"/>
              <w:rPr>
                <w:rFonts w:ascii="Palatino Linotype" w:hAnsi="Palatino Linotype"/>
              </w:rPr>
            </w:pPr>
            <w:r w:rsidRPr="00A83BA9">
              <w:rPr>
                <w:rFonts w:ascii="Palatino Linotype" w:hAnsi="Palatino Linotype"/>
              </w:rPr>
              <w:t>Comisionada Presidenta</w:t>
            </w:r>
          </w:p>
          <w:p w:rsidR="00C14BA5" w:rsidRPr="00A83BA9" w:rsidRDefault="00C14BA5" w:rsidP="00BC263F">
            <w:pPr>
              <w:jc w:val="center"/>
              <w:rPr>
                <w:rFonts w:ascii="Palatino Linotype" w:hAnsi="Palatino Linotype"/>
              </w:rPr>
            </w:pPr>
            <w:r w:rsidRPr="00A83BA9">
              <w:rPr>
                <w:rFonts w:ascii="Palatino Linotype" w:hAnsi="Palatino Linotype"/>
              </w:rPr>
              <w:t>(Rúbrica)</w:t>
            </w:r>
          </w:p>
          <w:p w:rsidR="00C14BA5" w:rsidRPr="00A83BA9" w:rsidRDefault="00C14BA5" w:rsidP="00BC263F">
            <w:pPr>
              <w:jc w:val="center"/>
              <w:rPr>
                <w:rFonts w:ascii="Palatino Linotype" w:hAnsi="Palatino Linotype"/>
              </w:rPr>
            </w:pPr>
          </w:p>
          <w:p w:rsidR="00C14BA5" w:rsidRPr="00A83BA9" w:rsidRDefault="00C14BA5" w:rsidP="00BC263F">
            <w:pPr>
              <w:jc w:val="center"/>
              <w:rPr>
                <w:rFonts w:ascii="Palatino Linotype" w:hAnsi="Palatino Linotype"/>
              </w:rPr>
            </w:pPr>
          </w:p>
          <w:p w:rsidR="00C14BA5" w:rsidRPr="00A83BA9" w:rsidRDefault="00C14BA5" w:rsidP="00BC263F">
            <w:pPr>
              <w:jc w:val="center"/>
              <w:rPr>
                <w:rFonts w:ascii="Palatino Linotype" w:hAnsi="Palatino Linotype"/>
              </w:rPr>
            </w:pPr>
          </w:p>
          <w:p w:rsidR="00C14BA5" w:rsidRPr="00A83BA9" w:rsidRDefault="00C14BA5" w:rsidP="00BC263F">
            <w:pPr>
              <w:rPr>
                <w:rFonts w:ascii="Palatino Linotype" w:hAnsi="Palatino Linotype"/>
              </w:rPr>
            </w:pPr>
          </w:p>
        </w:tc>
      </w:tr>
      <w:tr w:rsidR="00C14BA5" w:rsidRPr="00A83BA9" w:rsidTr="00BC263F">
        <w:trPr>
          <w:trHeight w:val="2156"/>
        </w:trPr>
        <w:tc>
          <w:tcPr>
            <w:tcW w:w="4419" w:type="dxa"/>
            <w:vAlign w:val="center"/>
          </w:tcPr>
          <w:p w:rsidR="00C14BA5" w:rsidRPr="00A83BA9" w:rsidRDefault="00C14BA5" w:rsidP="00BC263F">
            <w:pPr>
              <w:rPr>
                <w:rFonts w:ascii="Palatino Linotype" w:hAnsi="Palatino Linotype"/>
                <w:b/>
              </w:rPr>
            </w:pPr>
          </w:p>
          <w:p w:rsidR="00C14BA5" w:rsidRPr="00A83BA9" w:rsidRDefault="00C14BA5" w:rsidP="00BC263F">
            <w:pPr>
              <w:rPr>
                <w:rFonts w:ascii="Palatino Linotype" w:hAnsi="Palatino Linotype"/>
                <w:b/>
              </w:rPr>
            </w:pPr>
          </w:p>
          <w:p w:rsidR="00C14BA5" w:rsidRPr="00A83BA9" w:rsidRDefault="00C14BA5" w:rsidP="00BC263F">
            <w:pPr>
              <w:jc w:val="center"/>
              <w:rPr>
                <w:rFonts w:ascii="Palatino Linotype" w:hAnsi="Palatino Linotype"/>
                <w:b/>
              </w:rPr>
            </w:pPr>
          </w:p>
          <w:p w:rsidR="00C14BA5" w:rsidRPr="00A83BA9" w:rsidRDefault="00C14BA5" w:rsidP="00BC263F">
            <w:pPr>
              <w:rPr>
                <w:rFonts w:ascii="Palatino Linotype" w:hAnsi="Palatino Linotype"/>
                <w:b/>
              </w:rPr>
            </w:pPr>
          </w:p>
          <w:p w:rsidR="00C14BA5" w:rsidRPr="00A83BA9" w:rsidRDefault="00C14BA5" w:rsidP="00BC263F">
            <w:pPr>
              <w:jc w:val="center"/>
              <w:rPr>
                <w:rFonts w:ascii="Palatino Linotype" w:hAnsi="Palatino Linotype"/>
                <w:b/>
              </w:rPr>
            </w:pPr>
            <w:r w:rsidRPr="00A83BA9">
              <w:rPr>
                <w:rFonts w:ascii="Palatino Linotype" w:hAnsi="Palatino Linotype"/>
                <w:b/>
              </w:rPr>
              <w:t>Eva Abaid Yapur</w:t>
            </w:r>
          </w:p>
          <w:p w:rsidR="00C14BA5" w:rsidRPr="00A83BA9" w:rsidRDefault="00C14BA5" w:rsidP="00BC263F">
            <w:pPr>
              <w:jc w:val="center"/>
              <w:rPr>
                <w:rFonts w:ascii="Palatino Linotype" w:hAnsi="Palatino Linotype"/>
              </w:rPr>
            </w:pPr>
            <w:r w:rsidRPr="00A83BA9">
              <w:rPr>
                <w:rFonts w:ascii="Palatino Linotype" w:hAnsi="Palatino Linotype"/>
              </w:rPr>
              <w:t>Comisionada</w:t>
            </w:r>
          </w:p>
          <w:p w:rsidR="00C14BA5" w:rsidRPr="00A83BA9" w:rsidRDefault="00C14BA5" w:rsidP="00BC263F">
            <w:pPr>
              <w:jc w:val="center"/>
              <w:rPr>
                <w:rFonts w:ascii="Palatino Linotype" w:hAnsi="Palatino Linotype"/>
              </w:rPr>
            </w:pPr>
            <w:r w:rsidRPr="00A83BA9">
              <w:rPr>
                <w:rFonts w:ascii="Palatino Linotype" w:hAnsi="Palatino Linotype"/>
              </w:rPr>
              <w:t>(Rúbrica)</w:t>
            </w:r>
          </w:p>
        </w:tc>
        <w:tc>
          <w:tcPr>
            <w:tcW w:w="4419" w:type="dxa"/>
            <w:vAlign w:val="center"/>
          </w:tcPr>
          <w:p w:rsidR="00C14BA5" w:rsidRPr="00A83BA9" w:rsidRDefault="00C14BA5" w:rsidP="00BC263F">
            <w:pPr>
              <w:rPr>
                <w:rFonts w:ascii="Palatino Linotype" w:hAnsi="Palatino Linotype" w:cs="Arial"/>
                <w:b/>
              </w:rPr>
            </w:pPr>
          </w:p>
          <w:p w:rsidR="00C14BA5" w:rsidRPr="00A83BA9" w:rsidRDefault="00C14BA5" w:rsidP="00BC263F">
            <w:pPr>
              <w:jc w:val="center"/>
              <w:rPr>
                <w:rFonts w:ascii="Palatino Linotype" w:hAnsi="Palatino Linotype" w:cs="Arial"/>
                <w:b/>
              </w:rPr>
            </w:pPr>
          </w:p>
          <w:p w:rsidR="00C14BA5" w:rsidRPr="00A83BA9" w:rsidRDefault="00C14BA5" w:rsidP="00BC263F">
            <w:pPr>
              <w:jc w:val="center"/>
              <w:rPr>
                <w:rFonts w:ascii="Palatino Linotype" w:hAnsi="Palatino Linotype" w:cs="Arial"/>
                <w:b/>
              </w:rPr>
            </w:pPr>
          </w:p>
          <w:p w:rsidR="00C14BA5" w:rsidRPr="00A83BA9" w:rsidRDefault="00C14BA5" w:rsidP="00BC263F">
            <w:pPr>
              <w:rPr>
                <w:rFonts w:ascii="Palatino Linotype" w:hAnsi="Palatino Linotype" w:cs="Arial"/>
                <w:b/>
              </w:rPr>
            </w:pPr>
          </w:p>
          <w:p w:rsidR="00C14BA5" w:rsidRPr="00A83BA9" w:rsidRDefault="00C14BA5" w:rsidP="00BC263F">
            <w:pPr>
              <w:rPr>
                <w:rFonts w:ascii="Palatino Linotype" w:hAnsi="Palatino Linotype" w:cs="Arial"/>
                <w:b/>
              </w:rPr>
            </w:pPr>
          </w:p>
          <w:p w:rsidR="00C14BA5" w:rsidRPr="00A83BA9" w:rsidRDefault="00C14BA5" w:rsidP="00BC263F">
            <w:pPr>
              <w:jc w:val="center"/>
              <w:rPr>
                <w:rFonts w:ascii="Palatino Linotype" w:hAnsi="Palatino Linotype"/>
                <w:b/>
              </w:rPr>
            </w:pPr>
            <w:r w:rsidRPr="00A83BA9">
              <w:rPr>
                <w:rFonts w:ascii="Palatino Linotype" w:hAnsi="Palatino Linotype" w:cs="Arial"/>
                <w:b/>
              </w:rPr>
              <w:t>José Guadalupe Luna Hernández</w:t>
            </w:r>
          </w:p>
          <w:p w:rsidR="00C14BA5" w:rsidRPr="00A83BA9" w:rsidRDefault="00C14BA5" w:rsidP="00BC263F">
            <w:pPr>
              <w:jc w:val="center"/>
              <w:rPr>
                <w:rFonts w:ascii="Palatino Linotype" w:hAnsi="Palatino Linotype"/>
              </w:rPr>
            </w:pPr>
            <w:r w:rsidRPr="00A83BA9">
              <w:rPr>
                <w:rFonts w:ascii="Palatino Linotype" w:hAnsi="Palatino Linotype"/>
              </w:rPr>
              <w:t xml:space="preserve"> Comisionado</w:t>
            </w:r>
          </w:p>
          <w:p w:rsidR="00C14BA5" w:rsidRPr="00A83BA9" w:rsidRDefault="00C14BA5" w:rsidP="00BC263F">
            <w:pPr>
              <w:jc w:val="center"/>
              <w:rPr>
                <w:rFonts w:ascii="Palatino Linotype" w:hAnsi="Palatino Linotype"/>
              </w:rPr>
            </w:pPr>
            <w:r w:rsidRPr="00A83BA9">
              <w:rPr>
                <w:rFonts w:ascii="Palatino Linotype" w:hAnsi="Palatino Linotype"/>
              </w:rPr>
              <w:t>(Rúbrica)</w:t>
            </w:r>
          </w:p>
          <w:p w:rsidR="00C14BA5" w:rsidRPr="00A83BA9" w:rsidRDefault="00C14BA5" w:rsidP="00BC263F">
            <w:pPr>
              <w:jc w:val="center"/>
              <w:rPr>
                <w:rFonts w:ascii="Palatino Linotype" w:hAnsi="Palatino Linotype"/>
              </w:rPr>
            </w:pPr>
          </w:p>
        </w:tc>
      </w:tr>
      <w:tr w:rsidR="00C14BA5" w:rsidRPr="00A83BA9" w:rsidTr="00BC263F">
        <w:trPr>
          <w:trHeight w:val="1953"/>
        </w:trPr>
        <w:tc>
          <w:tcPr>
            <w:tcW w:w="8838" w:type="dxa"/>
            <w:gridSpan w:val="2"/>
            <w:vAlign w:val="center"/>
          </w:tcPr>
          <w:p w:rsidR="00C14BA5" w:rsidRPr="00A83BA9" w:rsidRDefault="00C14BA5" w:rsidP="00BC263F">
            <w:pPr>
              <w:rPr>
                <w:rFonts w:ascii="Palatino Linotype" w:hAnsi="Palatino Linotype" w:cs="Arial"/>
                <w:b/>
              </w:rPr>
            </w:pPr>
          </w:p>
          <w:p w:rsidR="00C14BA5" w:rsidRPr="00A83BA9" w:rsidRDefault="00C14BA5" w:rsidP="00BC263F">
            <w:pPr>
              <w:jc w:val="center"/>
              <w:rPr>
                <w:rFonts w:ascii="Palatino Linotype" w:hAnsi="Palatino Linotype" w:cs="Arial"/>
                <w:b/>
              </w:rPr>
            </w:pPr>
          </w:p>
          <w:p w:rsidR="00C14BA5" w:rsidRPr="00A83BA9" w:rsidRDefault="00C14BA5" w:rsidP="00BC263F">
            <w:pPr>
              <w:jc w:val="center"/>
              <w:rPr>
                <w:rFonts w:ascii="Palatino Linotype" w:hAnsi="Palatino Linotype" w:cs="Arial"/>
                <w:b/>
              </w:rPr>
            </w:pPr>
          </w:p>
          <w:p w:rsidR="00C14BA5" w:rsidRPr="00A83BA9" w:rsidRDefault="00C14BA5" w:rsidP="00BC263F">
            <w:pPr>
              <w:jc w:val="center"/>
              <w:rPr>
                <w:rFonts w:ascii="Palatino Linotype" w:hAnsi="Palatino Linotype" w:cs="Arial"/>
                <w:b/>
              </w:rPr>
            </w:pPr>
          </w:p>
          <w:p w:rsidR="00C14BA5" w:rsidRPr="00A83BA9" w:rsidRDefault="00C14BA5" w:rsidP="00BC263F">
            <w:pPr>
              <w:jc w:val="both"/>
              <w:rPr>
                <w:rFonts w:ascii="Palatino Linotype" w:hAnsi="Palatino Linotype" w:cs="Arial"/>
                <w:b/>
              </w:rPr>
            </w:pPr>
            <w:r w:rsidRPr="00A83BA9">
              <w:rPr>
                <w:rFonts w:ascii="Palatino Linotype" w:hAnsi="Palatino Linotype" w:cs="Arial"/>
                <w:b/>
              </w:rPr>
              <w:t xml:space="preserve">                                    </w:t>
            </w:r>
          </w:p>
          <w:p w:rsidR="00C14BA5" w:rsidRPr="00A83BA9" w:rsidRDefault="00C14BA5" w:rsidP="00BC263F">
            <w:pPr>
              <w:jc w:val="both"/>
              <w:rPr>
                <w:rFonts w:ascii="Palatino Linotype" w:hAnsi="Palatino Linotype" w:cs="Arial"/>
                <w:b/>
              </w:rPr>
            </w:pPr>
            <w:r w:rsidRPr="00A83BA9">
              <w:rPr>
                <w:rFonts w:ascii="Palatino Linotype" w:hAnsi="Palatino Linotype" w:cs="Arial"/>
                <w:b/>
              </w:rPr>
              <w:t xml:space="preserve">                                                   </w:t>
            </w:r>
          </w:p>
          <w:p w:rsidR="00C14BA5" w:rsidRPr="00A83BA9" w:rsidRDefault="00C14BA5" w:rsidP="00BC263F">
            <w:pPr>
              <w:jc w:val="both"/>
              <w:rPr>
                <w:rFonts w:ascii="Palatino Linotype" w:hAnsi="Palatino Linotype" w:cs="Arial"/>
                <w:b/>
              </w:rPr>
            </w:pPr>
            <w:r w:rsidRPr="00A83BA9">
              <w:rPr>
                <w:rFonts w:ascii="Palatino Linotype" w:hAnsi="Palatino Linotype" w:cs="Arial"/>
                <w:b/>
              </w:rPr>
              <w:t xml:space="preserve">                                                                    </w:t>
            </w:r>
          </w:p>
          <w:p w:rsidR="00C14BA5" w:rsidRPr="00A83BA9" w:rsidRDefault="00C14BA5" w:rsidP="00BC263F">
            <w:pPr>
              <w:jc w:val="both"/>
              <w:rPr>
                <w:rFonts w:ascii="Palatino Linotype" w:hAnsi="Palatino Linotype" w:cs="Arial"/>
                <w:b/>
              </w:rPr>
            </w:pPr>
          </w:p>
          <w:p w:rsidR="00C14BA5" w:rsidRPr="00A83BA9" w:rsidRDefault="00C14BA5" w:rsidP="00BC263F">
            <w:pPr>
              <w:jc w:val="both"/>
              <w:rPr>
                <w:rFonts w:ascii="Palatino Linotype" w:hAnsi="Palatino Linotype" w:cs="Arial"/>
                <w:b/>
              </w:rPr>
            </w:pPr>
          </w:p>
          <w:p w:rsidR="00C14BA5" w:rsidRPr="00A83BA9" w:rsidRDefault="00C14BA5" w:rsidP="00BC263F">
            <w:pPr>
              <w:jc w:val="both"/>
              <w:rPr>
                <w:rFonts w:ascii="Palatino Linotype" w:hAnsi="Palatino Linotype" w:cs="Arial"/>
                <w:b/>
              </w:rPr>
            </w:pPr>
            <w:r w:rsidRPr="00A83BA9">
              <w:rPr>
                <w:rFonts w:ascii="Palatino Linotype" w:hAnsi="Palatino Linotype" w:cs="Arial"/>
                <w:b/>
              </w:rPr>
              <w:t xml:space="preserve">                 </w:t>
            </w:r>
          </w:p>
          <w:p w:rsidR="00C14BA5" w:rsidRPr="00A83BA9" w:rsidRDefault="00C14BA5" w:rsidP="00BC263F">
            <w:pPr>
              <w:rPr>
                <w:rFonts w:ascii="Palatino Linotype" w:hAnsi="Palatino Linotype" w:cs="Arial"/>
                <w:b/>
              </w:rPr>
            </w:pPr>
            <w:r w:rsidRPr="00A83BA9">
              <w:rPr>
                <w:rFonts w:ascii="Palatino Linotype" w:hAnsi="Palatino Linotype" w:cs="Arial"/>
                <w:b/>
              </w:rPr>
              <w:t xml:space="preserve">            Javier Martínez Cruz                                 </w:t>
            </w:r>
            <w:r w:rsidR="000055E6" w:rsidRPr="00A83BA9">
              <w:rPr>
                <w:rFonts w:ascii="Palatino Linotype" w:hAnsi="Palatino Linotype" w:cs="Arial"/>
                <w:b/>
              </w:rPr>
              <w:t xml:space="preserve"> </w:t>
            </w:r>
            <w:r w:rsidRPr="00A83BA9">
              <w:rPr>
                <w:rFonts w:ascii="Palatino Linotype" w:hAnsi="Palatino Linotype" w:cs="Arial"/>
                <w:b/>
              </w:rPr>
              <w:t xml:space="preserve">Luis Gustavo Parra Noriega </w:t>
            </w:r>
          </w:p>
          <w:p w:rsidR="00C14BA5" w:rsidRPr="00A83BA9" w:rsidRDefault="00C14BA5" w:rsidP="00BC263F">
            <w:pPr>
              <w:rPr>
                <w:rFonts w:ascii="Palatino Linotype" w:hAnsi="Palatino Linotype" w:cs="Arial"/>
                <w:b/>
              </w:rPr>
            </w:pPr>
            <w:r w:rsidRPr="00A83BA9">
              <w:rPr>
                <w:rFonts w:ascii="Palatino Linotype" w:hAnsi="Palatino Linotype" w:cs="Arial"/>
              </w:rPr>
              <w:t xml:space="preserve">                  Comisionado</w:t>
            </w:r>
            <w:r w:rsidRPr="00A83BA9">
              <w:rPr>
                <w:rFonts w:ascii="Palatino Linotype" w:hAnsi="Palatino Linotype" w:cs="Arial"/>
                <w:b/>
              </w:rPr>
              <w:t xml:space="preserve">                                                        </w:t>
            </w:r>
            <w:r w:rsidRPr="00A83BA9">
              <w:rPr>
                <w:rFonts w:ascii="Palatino Linotype" w:hAnsi="Palatino Linotype" w:cs="Arial"/>
              </w:rPr>
              <w:t>Comisionado</w:t>
            </w:r>
            <w:r w:rsidRPr="00A83BA9">
              <w:rPr>
                <w:rFonts w:ascii="Palatino Linotype" w:hAnsi="Palatino Linotype" w:cs="Arial"/>
                <w:b/>
              </w:rPr>
              <w:t xml:space="preserve">                                 </w:t>
            </w:r>
          </w:p>
          <w:p w:rsidR="00C14BA5" w:rsidRPr="00A83BA9" w:rsidRDefault="00C14BA5" w:rsidP="00BC263F">
            <w:pPr>
              <w:rPr>
                <w:rFonts w:ascii="Palatino Linotype" w:hAnsi="Palatino Linotype" w:cs="Arial"/>
              </w:rPr>
            </w:pPr>
            <w:r w:rsidRPr="00A83BA9">
              <w:rPr>
                <w:rFonts w:ascii="Palatino Linotype" w:hAnsi="Palatino Linotype" w:cs="Arial"/>
              </w:rPr>
              <w:t xml:space="preserve">                     </w:t>
            </w:r>
            <w:r w:rsidRPr="00A83BA9">
              <w:rPr>
                <w:rFonts w:ascii="Palatino Linotype" w:hAnsi="Palatino Linotype"/>
              </w:rPr>
              <w:t xml:space="preserve">(Rúbrica)             </w:t>
            </w:r>
            <w:r w:rsidRPr="00A83BA9">
              <w:rPr>
                <w:rFonts w:ascii="Palatino Linotype" w:hAnsi="Palatino Linotype" w:cs="Arial"/>
              </w:rPr>
              <w:t xml:space="preserve">                   </w:t>
            </w:r>
            <w:r w:rsidR="000055E6" w:rsidRPr="00A83BA9">
              <w:rPr>
                <w:rFonts w:ascii="Palatino Linotype" w:hAnsi="Palatino Linotype" w:cs="Arial"/>
              </w:rPr>
              <w:t xml:space="preserve">                      </w:t>
            </w:r>
            <w:r w:rsidRPr="00A83BA9">
              <w:rPr>
                <w:rFonts w:ascii="Palatino Linotype" w:hAnsi="Palatino Linotype"/>
              </w:rPr>
              <w:t>(</w:t>
            </w:r>
            <w:r w:rsidR="000055E6" w:rsidRPr="00A83BA9">
              <w:rPr>
                <w:rFonts w:ascii="Palatino Linotype" w:hAnsi="Palatino Linotype"/>
              </w:rPr>
              <w:t>Ausencia Justificada</w:t>
            </w:r>
            <w:r w:rsidRPr="00A83BA9">
              <w:rPr>
                <w:rFonts w:ascii="Palatino Linotype" w:hAnsi="Palatino Linotype"/>
              </w:rPr>
              <w:t>)</w:t>
            </w:r>
          </w:p>
          <w:p w:rsidR="00C14BA5" w:rsidRPr="00A83BA9" w:rsidRDefault="00C14BA5" w:rsidP="00BC263F">
            <w:pPr>
              <w:rPr>
                <w:rFonts w:ascii="Palatino Linotype" w:hAnsi="Palatino Linotype"/>
              </w:rPr>
            </w:pPr>
            <w:r w:rsidRPr="00A83BA9">
              <w:rPr>
                <w:rFonts w:ascii="Palatino Linotype" w:hAnsi="Palatino Linotype"/>
              </w:rPr>
              <w:t xml:space="preserve">                                                                                          </w:t>
            </w:r>
          </w:p>
        </w:tc>
      </w:tr>
      <w:tr w:rsidR="00C14BA5" w:rsidRPr="00A83BA9" w:rsidTr="00BC263F">
        <w:trPr>
          <w:trHeight w:val="1544"/>
        </w:trPr>
        <w:tc>
          <w:tcPr>
            <w:tcW w:w="8838" w:type="dxa"/>
            <w:gridSpan w:val="2"/>
            <w:vAlign w:val="center"/>
          </w:tcPr>
          <w:p w:rsidR="00C14BA5" w:rsidRPr="00A83BA9" w:rsidRDefault="00C14BA5" w:rsidP="00BC263F">
            <w:pPr>
              <w:jc w:val="center"/>
              <w:rPr>
                <w:rFonts w:ascii="Palatino Linotype" w:hAnsi="Palatino Linotype" w:cs="Arial"/>
                <w:b/>
              </w:rPr>
            </w:pPr>
          </w:p>
          <w:p w:rsidR="00C14BA5" w:rsidRPr="00A83BA9" w:rsidRDefault="00C14BA5" w:rsidP="00BC263F">
            <w:pPr>
              <w:rPr>
                <w:rFonts w:ascii="Palatino Linotype" w:hAnsi="Palatino Linotype" w:cs="Arial"/>
                <w:b/>
              </w:rPr>
            </w:pPr>
          </w:p>
          <w:p w:rsidR="00C14BA5" w:rsidRPr="00A83BA9" w:rsidRDefault="00C14BA5" w:rsidP="00BC263F">
            <w:pPr>
              <w:rPr>
                <w:rFonts w:ascii="Palatino Linotype" w:hAnsi="Palatino Linotype" w:cs="Arial"/>
                <w:b/>
              </w:rPr>
            </w:pPr>
          </w:p>
          <w:p w:rsidR="00C14BA5" w:rsidRPr="00A83BA9" w:rsidRDefault="00C14BA5" w:rsidP="00BC263F">
            <w:pPr>
              <w:rPr>
                <w:rFonts w:ascii="Palatino Linotype" w:hAnsi="Palatino Linotype" w:cs="Arial"/>
                <w:b/>
              </w:rPr>
            </w:pPr>
          </w:p>
          <w:p w:rsidR="00C14BA5" w:rsidRPr="00A83BA9" w:rsidRDefault="00C14BA5" w:rsidP="00BC263F">
            <w:pPr>
              <w:rPr>
                <w:rFonts w:ascii="Palatino Linotype" w:hAnsi="Palatino Linotype" w:cs="Arial"/>
                <w:b/>
              </w:rPr>
            </w:pPr>
          </w:p>
          <w:p w:rsidR="00C14BA5" w:rsidRPr="00A83BA9" w:rsidRDefault="00C14BA5" w:rsidP="00BC263F">
            <w:pPr>
              <w:rPr>
                <w:rFonts w:ascii="Palatino Linotype" w:hAnsi="Palatino Linotype" w:cs="Arial"/>
                <w:b/>
              </w:rPr>
            </w:pPr>
          </w:p>
          <w:p w:rsidR="00C14BA5" w:rsidRPr="00A83BA9" w:rsidRDefault="00C14BA5" w:rsidP="00BC263F">
            <w:pPr>
              <w:rPr>
                <w:rFonts w:ascii="Palatino Linotype" w:hAnsi="Palatino Linotype" w:cs="Arial"/>
                <w:b/>
              </w:rPr>
            </w:pPr>
          </w:p>
          <w:p w:rsidR="00C14BA5" w:rsidRPr="00A83BA9" w:rsidRDefault="00C14BA5" w:rsidP="00BC263F">
            <w:pPr>
              <w:rPr>
                <w:rFonts w:ascii="Palatino Linotype" w:hAnsi="Palatino Linotype" w:cs="Arial"/>
                <w:b/>
              </w:rPr>
            </w:pPr>
          </w:p>
          <w:p w:rsidR="00C14BA5" w:rsidRPr="00A83BA9" w:rsidRDefault="00C14BA5" w:rsidP="00BC263F">
            <w:pPr>
              <w:jc w:val="center"/>
              <w:rPr>
                <w:rFonts w:ascii="Palatino Linotype" w:hAnsi="Palatino Linotype"/>
                <w:b/>
              </w:rPr>
            </w:pPr>
            <w:r w:rsidRPr="00A83BA9">
              <w:rPr>
                <w:rFonts w:ascii="Palatino Linotype" w:hAnsi="Palatino Linotype" w:cs="Arial"/>
                <w:b/>
              </w:rPr>
              <w:t>Alexis Tapia Ramírez</w:t>
            </w:r>
          </w:p>
          <w:p w:rsidR="00C14BA5" w:rsidRPr="00A83BA9" w:rsidRDefault="00C14BA5" w:rsidP="00BC263F">
            <w:pPr>
              <w:jc w:val="center"/>
              <w:rPr>
                <w:rFonts w:ascii="Palatino Linotype" w:hAnsi="Palatino Linotype"/>
              </w:rPr>
            </w:pPr>
            <w:r w:rsidRPr="00A83BA9">
              <w:rPr>
                <w:rFonts w:ascii="Palatino Linotype" w:hAnsi="Palatino Linotype"/>
              </w:rPr>
              <w:t>Secretario Técnico del Pleno</w:t>
            </w:r>
          </w:p>
          <w:p w:rsidR="00C14BA5" w:rsidRPr="00A83BA9" w:rsidRDefault="00C14BA5" w:rsidP="00BC263F">
            <w:pPr>
              <w:jc w:val="center"/>
              <w:rPr>
                <w:rFonts w:ascii="Palatino Linotype" w:hAnsi="Palatino Linotype"/>
              </w:rPr>
            </w:pPr>
            <w:r w:rsidRPr="00A83BA9">
              <w:rPr>
                <w:rFonts w:ascii="Palatino Linotype" w:hAnsi="Palatino Linotype"/>
              </w:rPr>
              <w:t>(Rúbrica)</w:t>
            </w:r>
          </w:p>
          <w:p w:rsidR="00C14BA5" w:rsidRPr="00A83BA9" w:rsidRDefault="00C14BA5" w:rsidP="00BC263F">
            <w:pPr>
              <w:jc w:val="center"/>
              <w:rPr>
                <w:rFonts w:ascii="Palatino Linotype" w:hAnsi="Palatino Linotype"/>
              </w:rPr>
            </w:pPr>
          </w:p>
        </w:tc>
      </w:tr>
    </w:tbl>
    <w:p w:rsidR="00C14BA5" w:rsidRPr="00A83BA9" w:rsidRDefault="00C14BA5" w:rsidP="00C14BA5">
      <w:pPr>
        <w:jc w:val="both"/>
        <w:rPr>
          <w:rFonts w:ascii="Palatino Linotype" w:hAnsi="Palatino Linotype" w:cs="Arial"/>
        </w:rPr>
      </w:pPr>
    </w:p>
    <w:p w:rsidR="00C14BA5" w:rsidRPr="00A83BA9" w:rsidRDefault="00C14BA5" w:rsidP="00C14BA5">
      <w:pPr>
        <w:jc w:val="both"/>
        <w:rPr>
          <w:rFonts w:ascii="Palatino Linotype" w:hAnsi="Palatino Linotype" w:cs="Arial"/>
        </w:rPr>
      </w:pPr>
    </w:p>
    <w:p w:rsidR="00C14BA5" w:rsidRPr="00A83BA9" w:rsidRDefault="00C14BA5" w:rsidP="00C14BA5">
      <w:pPr>
        <w:jc w:val="both"/>
        <w:rPr>
          <w:rFonts w:ascii="Palatino Linotype" w:hAnsi="Palatino Linotype" w:cs="Arial"/>
        </w:rPr>
      </w:pPr>
    </w:p>
    <w:p w:rsidR="00C14BA5" w:rsidRPr="00A83BA9" w:rsidRDefault="00C14BA5" w:rsidP="00C14BA5">
      <w:pPr>
        <w:jc w:val="both"/>
        <w:rPr>
          <w:rFonts w:ascii="Palatino Linotype" w:hAnsi="Palatino Linotype" w:cs="Arial"/>
        </w:rPr>
      </w:pPr>
    </w:p>
    <w:p w:rsidR="00C14BA5" w:rsidRPr="003B4C9F" w:rsidRDefault="00C14BA5" w:rsidP="00C14BA5">
      <w:pPr>
        <w:jc w:val="both"/>
        <w:rPr>
          <w:rFonts w:ascii="Palatino Linotype" w:hAnsi="Palatino Linotype" w:cs="Arial"/>
        </w:rPr>
      </w:pPr>
      <w:r w:rsidRPr="00A83BA9">
        <w:rPr>
          <w:rFonts w:ascii="Palatino Linotype" w:hAnsi="Palatino Linotype" w:cs="Arial"/>
        </w:rPr>
        <w:t xml:space="preserve">Esta hoja corresponde a la resolución de </w:t>
      </w:r>
      <w:r w:rsidR="000055E6" w:rsidRPr="00A83BA9">
        <w:t xml:space="preserve">veinte </w:t>
      </w:r>
      <w:r w:rsidRPr="00A83BA9">
        <w:t xml:space="preserve">de febrero </w:t>
      </w:r>
      <w:r w:rsidRPr="00A83BA9">
        <w:rPr>
          <w:rFonts w:ascii="Palatino Linotype" w:hAnsi="Palatino Linotype" w:cs="Arial"/>
        </w:rPr>
        <w:t xml:space="preserve">de dos mil diecinueve, emitida en el recurso de revisión </w:t>
      </w:r>
      <w:r w:rsidRPr="00A83BA9">
        <w:rPr>
          <w:rFonts w:ascii="Palatino Linotype" w:hAnsi="Palatino Linotype" w:cs="Arial"/>
          <w:b/>
          <w:bCs/>
        </w:rPr>
        <w:t>04609/INFOEM/IP/RR/2018</w:t>
      </w:r>
      <w:r w:rsidRPr="00A83BA9">
        <w:rPr>
          <w:rFonts w:ascii="Palatino Linotype" w:hAnsi="Palatino Linotype" w:cs="Arial"/>
        </w:rPr>
        <w:t>.</w:t>
      </w:r>
    </w:p>
    <w:p w:rsidR="00C14BA5" w:rsidRDefault="00C14BA5" w:rsidP="00C14BA5"/>
    <w:p w:rsidR="00C14BA5" w:rsidRDefault="00C14BA5" w:rsidP="00C14BA5"/>
    <w:p w:rsidR="00C14BA5" w:rsidRDefault="00C14BA5" w:rsidP="00C14BA5"/>
    <w:p w:rsidR="005653B5" w:rsidRPr="00C14BA5" w:rsidRDefault="005653B5" w:rsidP="00C14BA5">
      <w:bookmarkStart w:id="1" w:name="_GoBack"/>
      <w:bookmarkEnd w:id="1"/>
    </w:p>
    <w:sectPr w:rsidR="005653B5" w:rsidRPr="00C14BA5" w:rsidSect="00DD14A1">
      <w:headerReference w:type="default" r:id="rId19"/>
      <w:footerReference w:type="default" r:id="rId20"/>
      <w:headerReference w:type="first" r:id="rId21"/>
      <w:footerReference w:type="first" r:id="rId22"/>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09F" w:rsidRDefault="0009309F" w:rsidP="00D26309">
      <w:r>
        <w:separator/>
      </w:r>
    </w:p>
  </w:endnote>
  <w:endnote w:type="continuationSeparator" w:id="0">
    <w:p w:rsidR="0009309F" w:rsidRDefault="0009309F" w:rsidP="00D2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A1" w:rsidRDefault="008718D8" w:rsidP="00DD14A1">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83BA9">
      <w:rPr>
        <w:rFonts w:ascii="Arial" w:hAnsi="Arial" w:cs="Arial"/>
        <w:b/>
        <w:bCs/>
        <w:noProof/>
        <w:sz w:val="20"/>
        <w:szCs w:val="20"/>
      </w:rPr>
      <w:t>30</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83BA9">
      <w:rPr>
        <w:rFonts w:ascii="Arial" w:hAnsi="Arial" w:cs="Arial"/>
        <w:b/>
        <w:bCs/>
        <w:noProof/>
        <w:sz w:val="20"/>
        <w:szCs w:val="20"/>
      </w:rPr>
      <w:t>32</w:t>
    </w:r>
    <w:r>
      <w:rPr>
        <w:rFonts w:ascii="Arial" w:hAnsi="Arial" w:cs="Arial"/>
        <w:b/>
        <w:bCs/>
        <w:sz w:val="20"/>
        <w:szCs w:val="20"/>
      </w:rPr>
      <w:fldChar w:fldCharType="end"/>
    </w:r>
  </w:p>
  <w:p w:rsidR="00DD14A1" w:rsidRDefault="00A83BA9" w:rsidP="00DD14A1">
    <w:pPr>
      <w:pStyle w:val="Piedepgina"/>
      <w:rPr>
        <w:rFonts w:ascii="Times New Roman" w:hAnsi="Times New Roman" w:cs="Times New Roman"/>
      </w:rPr>
    </w:pPr>
  </w:p>
  <w:p w:rsidR="00DD14A1" w:rsidRDefault="00A83BA9" w:rsidP="00DD14A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A1" w:rsidRDefault="008718D8" w:rsidP="00DD14A1">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83BA9">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83BA9">
      <w:rPr>
        <w:rFonts w:ascii="Arial" w:hAnsi="Arial" w:cs="Arial"/>
        <w:b/>
        <w:bCs/>
        <w:noProof/>
        <w:sz w:val="20"/>
        <w:szCs w:val="20"/>
      </w:rPr>
      <w:t>32</w:t>
    </w:r>
    <w:r>
      <w:rPr>
        <w:rFonts w:ascii="Arial" w:hAnsi="Arial" w:cs="Arial"/>
        <w:b/>
        <w:bCs/>
        <w:sz w:val="20"/>
        <w:szCs w:val="20"/>
      </w:rPr>
      <w:fldChar w:fldCharType="end"/>
    </w:r>
  </w:p>
  <w:p w:rsidR="00DD14A1" w:rsidRDefault="00A83B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09F" w:rsidRDefault="0009309F" w:rsidP="00D26309">
      <w:r>
        <w:separator/>
      </w:r>
    </w:p>
  </w:footnote>
  <w:footnote w:type="continuationSeparator" w:id="0">
    <w:p w:rsidR="0009309F" w:rsidRDefault="0009309F" w:rsidP="00D26309">
      <w:r>
        <w:continuationSeparator/>
      </w:r>
    </w:p>
  </w:footnote>
  <w:footnote w:id="1">
    <w:p w:rsidR="00FF2C76" w:rsidRDefault="00D93B3F" w:rsidP="00FF2C76">
      <w:pPr>
        <w:pStyle w:val="Textonotapie"/>
        <w:jc w:val="both"/>
        <w:rPr>
          <w:rFonts w:ascii="Palatino Linotype" w:hAnsi="Palatino Linotype"/>
          <w:b/>
          <w:i/>
          <w:sz w:val="18"/>
          <w:szCs w:val="18"/>
        </w:rPr>
      </w:pPr>
      <w:r w:rsidRPr="00C50518">
        <w:rPr>
          <w:rStyle w:val="Refdenotaalpie"/>
          <w:rFonts w:ascii="Palatino Linotype" w:hAnsi="Palatino Linotype"/>
          <w:sz w:val="22"/>
          <w:szCs w:val="22"/>
        </w:rPr>
        <w:footnoteRef/>
      </w:r>
      <w:r w:rsidRPr="00C50518">
        <w:rPr>
          <w:rFonts w:ascii="Palatino Linotype" w:hAnsi="Palatino Linotype"/>
          <w:sz w:val="22"/>
          <w:szCs w:val="22"/>
        </w:rPr>
        <w:t xml:space="preserve"> </w:t>
      </w:r>
      <w:r w:rsidR="00FF2C76" w:rsidRPr="00FF2C76">
        <w:rPr>
          <w:rFonts w:ascii="Palatino Linotype" w:hAnsi="Palatino Linotype"/>
          <w:b/>
          <w:sz w:val="18"/>
          <w:szCs w:val="18"/>
          <w:lang w:val="es-ES"/>
        </w:rPr>
        <w:t>REGLAMENTO DEL TÍTULO DÉCIMO DEL LIBRO PRIMERO DEL CÓDIGO ADMINISTRATIVO DEL ESTADO DE MÉXICO, “DEL TESTIGO SOCIAL”.</w:t>
      </w:r>
      <w:r w:rsidR="00FF2C76" w:rsidRPr="00FF2C76">
        <w:rPr>
          <w:rFonts w:ascii="Palatino Linotype" w:hAnsi="Palatino Linotype"/>
          <w:b/>
          <w:i/>
          <w:sz w:val="18"/>
          <w:szCs w:val="18"/>
        </w:rPr>
        <w:t xml:space="preserve"> </w:t>
      </w:r>
    </w:p>
    <w:p w:rsidR="00FF2C76" w:rsidRDefault="00FF2C76" w:rsidP="00FF2C76">
      <w:pPr>
        <w:pStyle w:val="Textonotapie"/>
        <w:jc w:val="both"/>
        <w:rPr>
          <w:rFonts w:ascii="Palatino Linotype" w:hAnsi="Palatino Linotype"/>
          <w:i/>
          <w:sz w:val="18"/>
          <w:szCs w:val="18"/>
        </w:rPr>
      </w:pPr>
      <w:r w:rsidRPr="00FF2C76">
        <w:rPr>
          <w:rFonts w:ascii="Palatino Linotype" w:hAnsi="Palatino Linotype"/>
          <w:b/>
          <w:i/>
          <w:sz w:val="18"/>
          <w:szCs w:val="18"/>
        </w:rPr>
        <w:t>Artículo 3.-</w:t>
      </w:r>
      <w:r w:rsidRPr="00FF2C76">
        <w:rPr>
          <w:rFonts w:ascii="Palatino Linotype" w:hAnsi="Palatino Linotype"/>
          <w:i/>
          <w:sz w:val="18"/>
          <w:szCs w:val="18"/>
        </w:rPr>
        <w:t xml:space="preserve"> Para efectos de este Reglamento, se entenderá por:</w:t>
      </w:r>
    </w:p>
    <w:p w:rsidR="00FF2C76" w:rsidRPr="00FF2C76" w:rsidRDefault="00FF2C76" w:rsidP="00FF2C76">
      <w:pPr>
        <w:pStyle w:val="Textonotapie"/>
        <w:jc w:val="both"/>
        <w:rPr>
          <w:rFonts w:ascii="Palatino Linotype" w:hAnsi="Palatino Linotype"/>
          <w:i/>
          <w:sz w:val="18"/>
          <w:szCs w:val="18"/>
        </w:rPr>
      </w:pPr>
      <w:r>
        <w:rPr>
          <w:rFonts w:ascii="Palatino Linotype" w:hAnsi="Palatino Linotype"/>
          <w:i/>
          <w:sz w:val="18"/>
          <w:szCs w:val="18"/>
        </w:rPr>
        <w:t>…</w:t>
      </w:r>
    </w:p>
    <w:p w:rsidR="00D93B3F" w:rsidRPr="00FF2C76" w:rsidRDefault="00D93B3F" w:rsidP="00FF2C76">
      <w:pPr>
        <w:pStyle w:val="Textonotapie"/>
        <w:jc w:val="both"/>
        <w:rPr>
          <w:rFonts w:ascii="Palatino Linotype" w:hAnsi="Palatino Linotype"/>
          <w:i/>
          <w:sz w:val="18"/>
          <w:szCs w:val="18"/>
        </w:rPr>
      </w:pPr>
      <w:r w:rsidRPr="00FF2C76">
        <w:rPr>
          <w:rFonts w:ascii="Palatino Linotype" w:hAnsi="Palatino Linotype"/>
          <w:b/>
          <w:i/>
          <w:sz w:val="18"/>
          <w:szCs w:val="18"/>
        </w:rPr>
        <w:t>XIV. Unidad Contratante.</w:t>
      </w:r>
      <w:r w:rsidRPr="00FF2C76">
        <w:rPr>
          <w:rFonts w:ascii="Palatino Linotype" w:hAnsi="Palatino Linotype"/>
          <w:i/>
          <w:sz w:val="18"/>
          <w:szCs w:val="18"/>
        </w:rPr>
        <w:t xml:space="preserve"> A las entidades que realicen procedimientos de contrataciones públicas, de acuerdo a lo dispuesto en el Código Administrativo del Estado de México.</w:t>
      </w:r>
    </w:p>
    <w:p w:rsidR="00D93B3F" w:rsidRPr="00017C04" w:rsidRDefault="00D93B3F" w:rsidP="00D93B3F">
      <w:pPr>
        <w:pStyle w:val="Textonotapie"/>
        <w:spacing w:before="120" w:after="120"/>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DD14A1" w:rsidRPr="00E51193" w:rsidTr="00DD14A1">
      <w:tc>
        <w:tcPr>
          <w:tcW w:w="2552" w:type="dxa"/>
          <w:vAlign w:val="center"/>
          <w:hideMark/>
        </w:tcPr>
        <w:p w:rsidR="00DD14A1" w:rsidRPr="00E51193" w:rsidRDefault="008718D8" w:rsidP="00DD14A1">
          <w:pPr>
            <w:rPr>
              <w:rFonts w:ascii="Palatino Linotype" w:hAnsi="Palatino Linotype"/>
              <w:b/>
              <w:sz w:val="21"/>
              <w:szCs w:val="21"/>
              <w:lang w:val="es-ES_tradnl"/>
            </w:rPr>
          </w:pPr>
          <w:r w:rsidRPr="00E51193">
            <w:rPr>
              <w:rFonts w:ascii="Palatino Linotype" w:hAnsi="Palatino Linotype"/>
              <w:b/>
              <w:sz w:val="21"/>
              <w:szCs w:val="21"/>
              <w:lang w:val="es-ES_tradnl"/>
            </w:rPr>
            <w:t>Recurso de Revisión:</w:t>
          </w:r>
        </w:p>
      </w:tc>
      <w:tc>
        <w:tcPr>
          <w:tcW w:w="2976" w:type="dxa"/>
          <w:vAlign w:val="center"/>
          <w:hideMark/>
        </w:tcPr>
        <w:p w:rsidR="00DD14A1" w:rsidRPr="00E51193" w:rsidRDefault="008718D8" w:rsidP="00D26309">
          <w:pPr>
            <w:jc w:val="both"/>
            <w:rPr>
              <w:rFonts w:ascii="Palatino Linotype" w:hAnsi="Palatino Linotype"/>
              <w:b/>
              <w:sz w:val="21"/>
              <w:szCs w:val="21"/>
              <w:lang w:val="es-ES_tradnl"/>
            </w:rPr>
          </w:pPr>
          <w:r w:rsidRPr="00E51193">
            <w:rPr>
              <w:rFonts w:ascii="Palatino Linotype" w:hAnsi="Palatino Linotype"/>
              <w:b/>
              <w:sz w:val="21"/>
              <w:szCs w:val="21"/>
              <w:lang w:val="es-ES_tradnl"/>
            </w:rPr>
            <w:t>0</w:t>
          </w:r>
          <w:r>
            <w:rPr>
              <w:rFonts w:ascii="Palatino Linotype" w:hAnsi="Palatino Linotype"/>
              <w:b/>
              <w:sz w:val="21"/>
              <w:szCs w:val="21"/>
              <w:lang w:val="es-ES_tradnl"/>
            </w:rPr>
            <w:t>4</w:t>
          </w:r>
          <w:r w:rsidR="00D26309">
            <w:rPr>
              <w:rFonts w:ascii="Palatino Linotype" w:hAnsi="Palatino Linotype"/>
              <w:b/>
              <w:sz w:val="21"/>
              <w:szCs w:val="21"/>
              <w:lang w:val="es-ES_tradnl"/>
            </w:rPr>
            <w:t>609</w:t>
          </w:r>
          <w:r w:rsidRPr="00E51193">
            <w:rPr>
              <w:rFonts w:ascii="Palatino Linotype" w:hAnsi="Palatino Linotype"/>
              <w:b/>
              <w:sz w:val="21"/>
              <w:szCs w:val="21"/>
              <w:lang w:val="es-ES_tradnl"/>
            </w:rPr>
            <w:t xml:space="preserve">/INFOEM/IP/RR/2018 </w:t>
          </w:r>
        </w:p>
      </w:tc>
    </w:tr>
    <w:tr w:rsidR="00DD14A1" w:rsidRPr="00E51193" w:rsidTr="00DD14A1">
      <w:trPr>
        <w:trHeight w:val="228"/>
      </w:trPr>
      <w:tc>
        <w:tcPr>
          <w:tcW w:w="2552" w:type="dxa"/>
          <w:vAlign w:val="center"/>
          <w:hideMark/>
        </w:tcPr>
        <w:p w:rsidR="00DD14A1" w:rsidRPr="00E51193" w:rsidRDefault="008718D8" w:rsidP="00DD14A1">
          <w:pPr>
            <w:rPr>
              <w:rFonts w:ascii="Palatino Linotype" w:hAnsi="Palatino Linotype"/>
              <w:b/>
              <w:sz w:val="21"/>
              <w:szCs w:val="21"/>
              <w:lang w:val="es-ES_tradnl"/>
            </w:rPr>
          </w:pPr>
          <w:r w:rsidRPr="00E51193">
            <w:rPr>
              <w:rFonts w:ascii="Palatino Linotype" w:hAnsi="Palatino Linotype"/>
              <w:b/>
              <w:sz w:val="21"/>
              <w:szCs w:val="21"/>
              <w:lang w:val="es-ES_tradnl"/>
            </w:rPr>
            <w:t>Sujeto obligado:</w:t>
          </w:r>
        </w:p>
      </w:tc>
      <w:tc>
        <w:tcPr>
          <w:tcW w:w="2976" w:type="dxa"/>
          <w:vAlign w:val="center"/>
          <w:hideMark/>
        </w:tcPr>
        <w:p w:rsidR="00DD14A1" w:rsidRPr="00E51193" w:rsidRDefault="00D26309" w:rsidP="00DD14A1">
          <w:pPr>
            <w:jc w:val="both"/>
            <w:rPr>
              <w:rFonts w:ascii="Palatino Linotype" w:hAnsi="Palatino Linotype"/>
              <w:b/>
              <w:sz w:val="21"/>
              <w:szCs w:val="21"/>
              <w:lang w:val="es-ES_tradnl"/>
            </w:rPr>
          </w:pPr>
          <w:r>
            <w:rPr>
              <w:rFonts w:ascii="Palatino Linotype" w:hAnsi="Palatino Linotype"/>
              <w:b/>
              <w:bCs/>
              <w:sz w:val="21"/>
              <w:szCs w:val="21"/>
            </w:rPr>
            <w:t>Secretaría de la Contraloría</w:t>
          </w:r>
        </w:p>
      </w:tc>
    </w:tr>
    <w:tr w:rsidR="00DD14A1" w:rsidRPr="00E51193" w:rsidTr="00DD14A1">
      <w:tc>
        <w:tcPr>
          <w:tcW w:w="2552" w:type="dxa"/>
          <w:vAlign w:val="center"/>
          <w:hideMark/>
        </w:tcPr>
        <w:p w:rsidR="00DD14A1" w:rsidRPr="00E51193" w:rsidRDefault="008718D8" w:rsidP="00DD14A1">
          <w:pPr>
            <w:rPr>
              <w:rFonts w:ascii="Palatino Linotype" w:hAnsi="Palatino Linotype"/>
              <w:b/>
              <w:sz w:val="21"/>
              <w:szCs w:val="21"/>
              <w:lang w:val="es-ES_tradnl"/>
            </w:rPr>
          </w:pPr>
          <w:r w:rsidRPr="00E51193">
            <w:rPr>
              <w:rFonts w:ascii="Palatino Linotype" w:hAnsi="Palatino Linotype"/>
              <w:b/>
              <w:sz w:val="21"/>
              <w:szCs w:val="21"/>
              <w:lang w:val="es-ES_tradnl"/>
            </w:rPr>
            <w:t>Comisionado ponente:</w:t>
          </w:r>
        </w:p>
      </w:tc>
      <w:tc>
        <w:tcPr>
          <w:tcW w:w="2976" w:type="dxa"/>
          <w:vAlign w:val="center"/>
          <w:hideMark/>
        </w:tcPr>
        <w:p w:rsidR="00DD14A1" w:rsidRPr="00E51193" w:rsidRDefault="008718D8" w:rsidP="00DD14A1">
          <w:pPr>
            <w:ind w:right="-533"/>
            <w:jc w:val="both"/>
            <w:rPr>
              <w:rFonts w:ascii="Palatino Linotype" w:hAnsi="Palatino Linotype"/>
              <w:b/>
              <w:sz w:val="21"/>
              <w:szCs w:val="21"/>
              <w:lang w:val="es-ES_tradnl"/>
            </w:rPr>
          </w:pPr>
          <w:r w:rsidRPr="00E51193">
            <w:rPr>
              <w:rFonts w:ascii="Palatino Linotype" w:hAnsi="Palatino Linotype"/>
              <w:b/>
              <w:sz w:val="21"/>
              <w:szCs w:val="21"/>
              <w:lang w:val="es-ES_tradnl"/>
            </w:rPr>
            <w:t>Javier Martínez Cruz</w:t>
          </w:r>
        </w:p>
      </w:tc>
    </w:tr>
  </w:tbl>
  <w:p w:rsidR="00DD14A1" w:rsidRDefault="008718D8" w:rsidP="00DD14A1">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58E1EA42" wp14:editId="6DE4DB9D">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4A1" w:rsidRDefault="008718D8" w:rsidP="00DD14A1">
    <w:pPr>
      <w:pStyle w:val="Encabezado"/>
      <w:jc w:val="both"/>
    </w:pPr>
    <w:r>
      <w:rPr>
        <w:noProof/>
        <w:lang w:val="es-MX" w:eastAsia="es-MX"/>
      </w:rPr>
      <w:drawing>
        <wp:anchor distT="0" distB="0" distL="114300" distR="114300" simplePos="0" relativeHeight="251660288" behindDoc="1" locked="0" layoutInCell="1" allowOverlap="1" wp14:anchorId="7FC9F69D" wp14:editId="0206EA7D">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DD14A1" w:rsidRPr="00294C56" w:rsidTr="00DD14A1">
      <w:tc>
        <w:tcPr>
          <w:tcW w:w="2551" w:type="dxa"/>
          <w:vAlign w:val="center"/>
          <w:hideMark/>
        </w:tcPr>
        <w:p w:rsidR="00DD14A1" w:rsidRPr="00294C56" w:rsidRDefault="008718D8" w:rsidP="00DD14A1">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DD14A1" w:rsidRPr="00294C56" w:rsidRDefault="008718D8" w:rsidP="00D26309">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4</w:t>
          </w:r>
          <w:r w:rsidR="00D26309">
            <w:rPr>
              <w:rFonts w:ascii="Palatino Linotype" w:hAnsi="Palatino Linotype"/>
              <w:b/>
              <w:sz w:val="21"/>
              <w:szCs w:val="21"/>
              <w:lang w:val="es-ES_tradnl"/>
            </w:rPr>
            <w:t>609</w:t>
          </w:r>
          <w:r>
            <w:rPr>
              <w:rFonts w:ascii="Palatino Linotype" w:hAnsi="Palatino Linotype"/>
              <w:b/>
              <w:sz w:val="21"/>
              <w:szCs w:val="21"/>
              <w:lang w:val="es-ES_tradnl"/>
            </w:rPr>
            <w:t>/INFOEM/IP/RR/2018</w:t>
          </w:r>
        </w:p>
      </w:tc>
    </w:tr>
    <w:tr w:rsidR="00DD14A1" w:rsidRPr="00294C56" w:rsidTr="00DD14A1">
      <w:tc>
        <w:tcPr>
          <w:tcW w:w="2551" w:type="dxa"/>
          <w:vAlign w:val="center"/>
          <w:hideMark/>
        </w:tcPr>
        <w:p w:rsidR="00DD14A1" w:rsidRPr="00294C56" w:rsidRDefault="008718D8" w:rsidP="00DD14A1">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DD14A1" w:rsidRPr="00294C56" w:rsidRDefault="0085564E" w:rsidP="0085564E">
          <w:pPr>
            <w:jc w:val="both"/>
            <w:rPr>
              <w:rFonts w:ascii="Palatino Linotype" w:hAnsi="Palatino Linotype"/>
              <w:b/>
              <w:sz w:val="21"/>
              <w:szCs w:val="21"/>
              <w:lang w:val="es-ES_tradnl"/>
            </w:rPr>
          </w:pPr>
          <w:r>
            <w:rPr>
              <w:rFonts w:ascii="Palatino Linotype" w:hAnsi="Palatino Linotype"/>
              <w:b/>
              <w:sz w:val="21"/>
              <w:szCs w:val="21"/>
              <w:lang w:val="es-ES_tradnl"/>
            </w:rPr>
            <w:t>XXXXXXX</w:t>
          </w:r>
          <w:r w:rsidR="00D26309">
            <w:rPr>
              <w:rFonts w:ascii="Palatino Linotype" w:hAnsi="Palatino Linotype"/>
              <w:b/>
              <w:sz w:val="21"/>
              <w:szCs w:val="21"/>
              <w:lang w:val="es-ES_tradnl"/>
            </w:rPr>
            <w:t xml:space="preserve"> </w:t>
          </w:r>
          <w:r>
            <w:rPr>
              <w:rFonts w:ascii="Palatino Linotype" w:hAnsi="Palatino Linotype"/>
              <w:b/>
              <w:sz w:val="21"/>
              <w:szCs w:val="21"/>
              <w:lang w:val="es-ES_tradnl"/>
            </w:rPr>
            <w:t>XXXXX</w:t>
          </w:r>
          <w:r w:rsidR="00D26309">
            <w:rPr>
              <w:rFonts w:ascii="Palatino Linotype" w:hAnsi="Palatino Linotype"/>
              <w:b/>
              <w:sz w:val="21"/>
              <w:szCs w:val="21"/>
              <w:lang w:val="es-ES_tradnl"/>
            </w:rPr>
            <w:t xml:space="preserve"> </w:t>
          </w:r>
          <w:r>
            <w:rPr>
              <w:rFonts w:ascii="Palatino Linotype" w:hAnsi="Palatino Linotype"/>
              <w:b/>
              <w:sz w:val="21"/>
              <w:szCs w:val="21"/>
              <w:lang w:val="es-ES_tradnl"/>
            </w:rPr>
            <w:t>XXXXXXX</w:t>
          </w:r>
        </w:p>
      </w:tc>
    </w:tr>
    <w:tr w:rsidR="00DD14A1" w:rsidRPr="00294C56" w:rsidTr="00DD14A1">
      <w:trPr>
        <w:trHeight w:val="228"/>
      </w:trPr>
      <w:tc>
        <w:tcPr>
          <w:tcW w:w="2551" w:type="dxa"/>
          <w:vAlign w:val="center"/>
          <w:hideMark/>
        </w:tcPr>
        <w:p w:rsidR="00DD14A1" w:rsidRPr="00294C56" w:rsidRDefault="008718D8" w:rsidP="00DD14A1">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DD14A1" w:rsidRPr="00294C56" w:rsidRDefault="00D26309" w:rsidP="00DD14A1">
          <w:pPr>
            <w:jc w:val="both"/>
            <w:rPr>
              <w:rFonts w:ascii="Palatino Linotype" w:hAnsi="Palatino Linotype"/>
              <w:b/>
              <w:sz w:val="21"/>
              <w:szCs w:val="21"/>
              <w:lang w:val="es-ES_tradnl"/>
            </w:rPr>
          </w:pPr>
          <w:r>
            <w:rPr>
              <w:rFonts w:ascii="Palatino Linotype" w:hAnsi="Palatino Linotype"/>
              <w:b/>
              <w:bCs/>
              <w:sz w:val="21"/>
              <w:szCs w:val="21"/>
            </w:rPr>
            <w:t>Secretaría de la Contraloría</w:t>
          </w:r>
        </w:p>
      </w:tc>
    </w:tr>
    <w:tr w:rsidR="00DD14A1" w:rsidRPr="00294C56" w:rsidTr="00DD14A1">
      <w:tc>
        <w:tcPr>
          <w:tcW w:w="2551" w:type="dxa"/>
          <w:vAlign w:val="center"/>
          <w:hideMark/>
        </w:tcPr>
        <w:p w:rsidR="00DD14A1" w:rsidRPr="00294C56" w:rsidRDefault="008718D8" w:rsidP="00DD14A1">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DD14A1" w:rsidRPr="00294C56" w:rsidRDefault="008718D8" w:rsidP="00DD14A1">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DD14A1" w:rsidRDefault="00A83BA9" w:rsidP="00DD14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544B8"/>
    <w:multiLevelType w:val="hybridMultilevel"/>
    <w:tmpl w:val="08D087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18F1802"/>
    <w:multiLevelType w:val="hybridMultilevel"/>
    <w:tmpl w:val="941A0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3A873D5"/>
    <w:multiLevelType w:val="hybridMultilevel"/>
    <w:tmpl w:val="E8B2AD04"/>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3">
    <w:nsid w:val="33CE362C"/>
    <w:multiLevelType w:val="hybridMultilevel"/>
    <w:tmpl w:val="D66A40B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34170F03"/>
    <w:multiLevelType w:val="hybridMultilevel"/>
    <w:tmpl w:val="D0BE8BF2"/>
    <w:lvl w:ilvl="0" w:tplc="584E1B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92038BB"/>
    <w:multiLevelType w:val="multilevel"/>
    <w:tmpl w:val="4C280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5B3D1C"/>
    <w:multiLevelType w:val="hybridMultilevel"/>
    <w:tmpl w:val="427AB2C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7">
    <w:nsid w:val="61CB7E83"/>
    <w:multiLevelType w:val="hybridMultilevel"/>
    <w:tmpl w:val="565EA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9E13C5D"/>
    <w:multiLevelType w:val="hybridMultilevel"/>
    <w:tmpl w:val="F5FC6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C925F24"/>
    <w:multiLevelType w:val="hybridMultilevel"/>
    <w:tmpl w:val="4FCCC2D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72560B0D"/>
    <w:multiLevelType w:val="hybridMultilevel"/>
    <w:tmpl w:val="366AFE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1"/>
  </w:num>
  <w:num w:numId="3">
    <w:abstractNumId w:val="5"/>
  </w:num>
  <w:num w:numId="4">
    <w:abstractNumId w:val="0"/>
  </w:num>
  <w:num w:numId="5">
    <w:abstractNumId w:val="6"/>
  </w:num>
  <w:num w:numId="6">
    <w:abstractNumId w:val="1"/>
  </w:num>
  <w:num w:numId="7">
    <w:abstractNumId w:val="4"/>
  </w:num>
  <w:num w:numId="8">
    <w:abstractNumId w:val="9"/>
  </w:num>
  <w:num w:numId="9">
    <w:abstractNumId w:val="2"/>
  </w:num>
  <w:num w:numId="10">
    <w:abstractNumId w:val="7"/>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542"/>
    <w:rsid w:val="000055E6"/>
    <w:rsid w:val="00012B3C"/>
    <w:rsid w:val="000133A4"/>
    <w:rsid w:val="000170CF"/>
    <w:rsid w:val="000241EE"/>
    <w:rsid w:val="0009309F"/>
    <w:rsid w:val="000A4F31"/>
    <w:rsid w:val="000B6DF2"/>
    <w:rsid w:val="000E4E02"/>
    <w:rsid w:val="00142C81"/>
    <w:rsid w:val="00151A23"/>
    <w:rsid w:val="0028586A"/>
    <w:rsid w:val="002D7F18"/>
    <w:rsid w:val="003920ED"/>
    <w:rsid w:val="0043422E"/>
    <w:rsid w:val="00475C2C"/>
    <w:rsid w:val="00503D2B"/>
    <w:rsid w:val="00503E68"/>
    <w:rsid w:val="005653B5"/>
    <w:rsid w:val="00597FDE"/>
    <w:rsid w:val="005D6542"/>
    <w:rsid w:val="0061770A"/>
    <w:rsid w:val="006D358A"/>
    <w:rsid w:val="0078248C"/>
    <w:rsid w:val="00842244"/>
    <w:rsid w:val="008426BE"/>
    <w:rsid w:val="0085564E"/>
    <w:rsid w:val="00862208"/>
    <w:rsid w:val="008718D8"/>
    <w:rsid w:val="008D47C2"/>
    <w:rsid w:val="00966321"/>
    <w:rsid w:val="009B7203"/>
    <w:rsid w:val="009F6907"/>
    <w:rsid w:val="00A56223"/>
    <w:rsid w:val="00A83BA9"/>
    <w:rsid w:val="00B16483"/>
    <w:rsid w:val="00B8157F"/>
    <w:rsid w:val="00BA0EFF"/>
    <w:rsid w:val="00C14BA5"/>
    <w:rsid w:val="00C16EAD"/>
    <w:rsid w:val="00C20AC5"/>
    <w:rsid w:val="00C8591D"/>
    <w:rsid w:val="00CF32C0"/>
    <w:rsid w:val="00D26309"/>
    <w:rsid w:val="00D727F3"/>
    <w:rsid w:val="00D84EBA"/>
    <w:rsid w:val="00D93B3F"/>
    <w:rsid w:val="00DB11A3"/>
    <w:rsid w:val="00E03B58"/>
    <w:rsid w:val="00E041DD"/>
    <w:rsid w:val="00E0657E"/>
    <w:rsid w:val="00E17F55"/>
    <w:rsid w:val="00EA4128"/>
    <w:rsid w:val="00F86495"/>
    <w:rsid w:val="00FF2C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A55DD8-A540-4E88-BF45-ACA60A8C9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54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654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D6542"/>
    <w:rPr>
      <w:rFonts w:eastAsiaTheme="minorEastAsia"/>
      <w:sz w:val="24"/>
      <w:szCs w:val="24"/>
      <w:lang w:val="es-ES_tradnl" w:eastAsia="es-ES"/>
    </w:rPr>
  </w:style>
  <w:style w:type="paragraph" w:styleId="Piedepgina">
    <w:name w:val="footer"/>
    <w:basedOn w:val="Normal"/>
    <w:link w:val="PiedepginaCar"/>
    <w:uiPriority w:val="99"/>
    <w:unhideWhenUsed/>
    <w:rsid w:val="005D654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D654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654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D6542"/>
    <w:pPr>
      <w:ind w:left="708"/>
    </w:pPr>
    <w:rPr>
      <w:sz w:val="22"/>
      <w:szCs w:val="22"/>
      <w:lang w:val="es-MX" w:eastAsia="en-US"/>
    </w:rPr>
  </w:style>
  <w:style w:type="table" w:styleId="Tablaconcuadrcula">
    <w:name w:val="Table Grid"/>
    <w:basedOn w:val="Tablanormal"/>
    <w:uiPriority w:val="59"/>
    <w:rsid w:val="005D6542"/>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D6542"/>
  </w:style>
  <w:style w:type="character" w:customStyle="1" w:styleId="apple-converted-space">
    <w:name w:val="apple-converted-space"/>
    <w:basedOn w:val="Fuentedeprrafopredeter"/>
    <w:rsid w:val="005D6542"/>
  </w:style>
  <w:style w:type="character" w:styleId="Hipervnculo">
    <w:name w:val="Hyperlink"/>
    <w:basedOn w:val="Fuentedeprrafopredeter"/>
    <w:uiPriority w:val="99"/>
    <w:unhideWhenUsed/>
    <w:rsid w:val="005D6542"/>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D93B3F"/>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93B3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93B3F"/>
    <w:rPr>
      <w:sz w:val="20"/>
      <w:szCs w:val="20"/>
    </w:rPr>
  </w:style>
  <w:style w:type="paragraph" w:styleId="Textodeglobo">
    <w:name w:val="Balloon Text"/>
    <w:basedOn w:val="Normal"/>
    <w:link w:val="TextodegloboCar"/>
    <w:uiPriority w:val="99"/>
    <w:semiHidden/>
    <w:unhideWhenUsed/>
    <w:rsid w:val="00CF32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32C0"/>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06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11304.page" TargetMode="External"/><Relationship Id="rId13" Type="http://schemas.openxmlformats.org/officeDocument/2006/relationships/hyperlink" Target="https://www.saimex.org.mx/saimex/solicitud/downloadAttach/614745.page"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saimex.org.mx/saimex/solicitud/downloadAttach/611303.page" TargetMode="External"/><Relationship Id="rId12" Type="http://schemas.openxmlformats.org/officeDocument/2006/relationships/hyperlink" Target="https://www.saimex.org.mx/saimex/solicitud/downloadAttach/614744.page" TargetMode="External"/><Relationship Id="rId17" Type="http://schemas.openxmlformats.org/officeDocument/2006/relationships/hyperlink" Target="https://www.ipomex.org.mx/ipo3/lgt/indice/SECOGEM/art_92_vii/1/0/1369.web"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622398.page"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saimex.org.mx/saimex/solicitud/downloadAttach/614745.pag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imex.org.mx/saimex/solicitud/downloadAttach/614744.page" TargetMode="External"/><Relationship Id="rId14" Type="http://schemas.openxmlformats.org/officeDocument/2006/relationships/image" Target="media/image1.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32</Pages>
  <Words>7807</Words>
  <Characters>42942</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2019-02-12T18:33:00Z</cp:lastPrinted>
  <dcterms:created xsi:type="dcterms:W3CDTF">2019-03-14T17:14:00Z</dcterms:created>
  <dcterms:modified xsi:type="dcterms:W3CDTF">2019-03-14T18:32:00Z</dcterms:modified>
</cp:coreProperties>
</file>