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04635/INFOEM/IP/RR/2018</w:t>
      </w:r>
    </w:p>
    <w:p>
      <w:pPr>
        <w:tabs>
          <w:tab w:pos="9029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XXXXXXXXXXXXXXXXXXXX</w:t>
      </w:r>
    </w:p>
    <w:p>
      <w:pPr>
        <w:tabs>
          <w:tab w:pos="5424" w:val="left" w:leader="none"/>
        </w:tabs>
        <w:spacing w:before="14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Sistema Municipal Para el</w:t>
      </w:r>
      <w:r>
        <w:rPr>
          <w:rFonts w:ascii="Palatino Linotype"/>
          <w:spacing w:val="-8"/>
          <w:sz w:val="22"/>
        </w:rPr>
        <w:t> </w:t>
      </w:r>
      <w:r>
        <w:rPr>
          <w:rFonts w:ascii="Palatino Linotype"/>
          <w:sz w:val="22"/>
        </w:rPr>
        <w:t>Desarrollo</w:t>
      </w:r>
    </w:p>
    <w:p>
      <w:pPr>
        <w:spacing w:before="20"/>
        <w:ind w:left="576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Integral de la Familia de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Tecámac</w:t>
      </w:r>
    </w:p>
    <w:p>
      <w:pPr>
        <w:tabs>
          <w:tab w:pos="6490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1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</w:t>
      </w:r>
      <w:r>
        <w:rPr>
          <w:rFonts w:ascii="Palatino Linotype" w:hAnsi="Palatino Linotype"/>
          <w:b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electrónico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formado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04635/INFOEM/IP/RR/2018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XXXXXXXXXXXXXXXXXX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Sistema</w:t>
      </w:r>
      <w:r>
        <w:rPr>
          <w:rFonts w:ascii="Palatino Linotype" w:hAnsi="Palatino Linotype"/>
          <w:b/>
          <w:spacing w:val="-2"/>
          <w:sz w:val="24"/>
        </w:rPr>
        <w:t> </w:t>
      </w:r>
      <w:r>
        <w:rPr>
          <w:rFonts w:ascii="Palatino Linotype" w:hAnsi="Palatino Linotype"/>
          <w:b/>
          <w:sz w:val="24"/>
        </w:rPr>
        <w:t>Municipal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Para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z w:val="24"/>
        </w:rPr>
        <w:t> Desarrollo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Integral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Familia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Tecámac</w:t>
      </w:r>
      <w:r>
        <w:rPr>
          <w:rFonts w:ascii="Palatino Linotype" w:hAnsi="Palatino Linotype"/>
          <w:sz w:val="28"/>
        </w:rPr>
        <w:t>,</w:t>
      </w:r>
      <w:r>
        <w:rPr>
          <w:rFonts w:ascii="Palatino Linotype" w:hAnsi="Palatino Linotype"/>
          <w:spacing w:val="-9"/>
          <w:sz w:val="28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se procede a dictar la presente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7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Con fecha quince de noviembre de dos mil dieciocho, el recurrente, presentó a</w:t>
      </w:r>
      <w:r>
        <w:rPr>
          <w:spacing w:val="52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registrada</w:t>
      </w:r>
      <w:r>
        <w:rPr>
          <w:spacing w:val="-6"/>
        </w:rPr>
        <w:t> </w:t>
      </w:r>
      <w:r>
        <w:rPr/>
        <w:t>bajo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número</w:t>
      </w:r>
      <w:r>
        <w:rPr>
          <w:spacing w:val="-5"/>
        </w:rPr>
        <w:t> </w:t>
      </w:r>
      <w:r>
        <w:rPr/>
        <w:t>de</w:t>
      </w:r>
      <w:r>
        <w:rPr/>
        <w:t> expediente </w:t>
      </w:r>
      <w:r>
        <w:rPr>
          <w:rFonts w:ascii="Palatino Linotype" w:hAnsi="Palatino Linotype"/>
          <w:b/>
        </w:rPr>
        <w:t>00002/DIFTECAMAC/IP/2018, </w:t>
      </w:r>
      <w:r>
        <w:rPr/>
        <w:t>mediante la cuales solicitó información</w:t>
      </w:r>
      <w:r>
        <w:rPr>
          <w:spacing w:val="30"/>
        </w:rPr>
        <w:t> </w:t>
      </w:r>
      <w:r>
        <w:rPr/>
        <w:t>en</w:t>
      </w:r>
      <w:r>
        <w:rPr>
          <w:w w:val="100"/>
        </w:rPr>
        <w:t> </w:t>
      </w:r>
      <w:r>
        <w:rPr/>
        <w:t>el tenor</w:t>
      </w:r>
      <w:r>
        <w:rPr>
          <w:spacing w:val="-9"/>
        </w:rPr>
        <w:t> </w:t>
      </w:r>
      <w:r>
        <w:rPr/>
        <w:t>siguiente:</w:t>
      </w:r>
    </w:p>
    <w:p>
      <w:pPr>
        <w:spacing w:line="259" w:lineRule="auto" w:before="157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“solicito al Sistema Municipal para el Desarrollo Integral de la Familia 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Tecámac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estado.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México.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solicito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detalle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siguiente: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manual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procedimientos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archivo  manual  de  organización  del  archivo  reglamento  del  archivo  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políticas,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lineamientos, métodos, técnicas y procedimientos aplicables a la Dependencia 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cargo;respecto al archivo de su dependencia del 1 de enero 2016 al 14 de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noviembre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2018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forma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detalle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archivo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archivo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,así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archivo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histórico,todo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anterior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;respecto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archivo de su dependencia del 1 de enero 2016 al 14 de noviembre del 2018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nombre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ficha curricular del responsable del archivo,todo lo anterior vigente al día de 14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noviembre   2018   LINEAMIENTOS   PARA   LA   ADMINISTRACIÓN    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EN EL ESTADO DE MÉXICO, según gaceta de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gobierno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publicada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29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mayo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2015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describan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detalle,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cumplimiento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lineamientos en el archivo,indicado por cada área,dirección , del 1 de julio del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2015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14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noviembre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2018.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Sistema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Municipal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Desarrollo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Integral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Familia (SMDIF).”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22" w:lineRule="exact"/>
        <w:ind w:right="102"/>
        <w:jc w:val="both"/>
      </w:pPr>
      <w:r>
        <w:rPr/>
        <w:t>De igual forma el recurrente adjuntó a la solicitud de información, un</w:t>
      </w:r>
      <w:r>
        <w:rPr>
          <w:spacing w:val="46"/>
        </w:rPr>
        <w:t> </w:t>
      </w:r>
      <w:r>
        <w:rPr/>
        <w:t>archivo</w:t>
      </w:r>
      <w:r>
        <w:rPr>
          <w:w w:val="99"/>
        </w:rPr>
        <w:t> </w:t>
      </w:r>
      <w:r>
        <w:rPr/>
        <w:t>electrónico “LINEAMIENTOS PARA LA ADMINISTRACI+ôN DE  </w:t>
      </w:r>
      <w:r>
        <w:rPr>
          <w:spacing w:val="22"/>
        </w:rPr>
        <w:t> </w:t>
      </w:r>
      <w:r>
        <w:rPr/>
        <w:t>DOCUMENTOS</w:t>
      </w:r>
    </w:p>
    <w:p>
      <w:pPr>
        <w:pStyle w:val="BodyText"/>
        <w:spacing w:line="240" w:lineRule="auto" w:before="7"/>
        <w:ind w:right="105"/>
        <w:jc w:val="both"/>
      </w:pP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ESTADO</w:t>
      </w:r>
      <w:r>
        <w:rPr>
          <w:spacing w:val="51"/>
        </w:rPr>
        <w:t> </w:t>
      </w:r>
      <w:r>
        <w:rPr/>
        <w:t>DE</w:t>
      </w:r>
      <w:r>
        <w:rPr>
          <w:spacing w:val="48"/>
        </w:rPr>
        <w:t> </w:t>
      </w:r>
      <w:r>
        <w:rPr/>
        <w:t>M+ëXICO.pdf”,</w:t>
      </w:r>
      <w:r>
        <w:rPr>
          <w:spacing w:val="50"/>
        </w:rPr>
        <w:t> </w:t>
      </w:r>
      <w:r>
        <w:rPr/>
        <w:t>mismo</w:t>
      </w:r>
      <w:r>
        <w:rPr>
          <w:spacing w:val="51"/>
        </w:rPr>
        <w:t> </w:t>
      </w:r>
      <w:r>
        <w:rPr/>
        <w:t>que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omite</w:t>
      </w:r>
      <w:r>
        <w:rPr>
          <w:spacing w:val="51"/>
        </w:rPr>
        <w:t> </w:t>
      </w:r>
      <w:r>
        <w:rPr/>
        <w:t>su</w:t>
      </w:r>
      <w:r>
        <w:rPr>
          <w:spacing w:val="50"/>
        </w:rPr>
        <w:t> </w:t>
      </w:r>
      <w:r>
        <w:rPr/>
        <w:t>inserción</w:t>
      </w:r>
      <w:r>
        <w:rPr>
          <w:spacing w:val="50"/>
        </w:rPr>
        <w:t> </w:t>
      </w:r>
      <w:r>
        <w:rPr/>
        <w:t>al</w:t>
      </w:r>
      <w:r>
        <w:rPr>
          <w:spacing w:val="50"/>
        </w:rPr>
        <w:t> </w:t>
      </w:r>
      <w:r>
        <w:rPr/>
        <w:t>ser</w:t>
      </w:r>
      <w:r>
        <w:rPr>
          <w:spacing w:val="51"/>
        </w:rPr>
        <w:t> </w:t>
      </w:r>
      <w:r>
        <w:rPr/>
        <w:t>del</w:t>
      </w:r>
      <w:r>
        <w:rPr>
          <w:w w:val="100"/>
        </w:rPr>
        <w:t> </w:t>
      </w:r>
      <w:r>
        <w:rPr/>
        <w:t>conocimiento de las</w:t>
      </w:r>
      <w:r>
        <w:rPr>
          <w:spacing w:val="-7"/>
        </w:rPr>
        <w:t> </w:t>
      </w:r>
      <w:r>
        <w:rPr/>
        <w:t>partes.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 w:hanging="1"/>
        <w:jc w:val="both"/>
      </w:pPr>
      <w:r>
        <w:rPr/>
        <w:t>Modalidad de entrega: A través del</w:t>
      </w:r>
      <w:r>
        <w:rPr>
          <w:spacing w:val="-16"/>
        </w:rPr>
        <w:t> </w:t>
      </w:r>
      <w:r>
        <w:rPr/>
        <w:t>SAIMEX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7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6"/>
        <w:jc w:val="both"/>
      </w:pPr>
      <w:r>
        <w:rPr/>
        <w:t>En el expediente electrónico formado en el sistema SAIMEX, se aprecia que en</w:t>
      </w:r>
      <w:r>
        <w:rPr>
          <w:spacing w:val="15"/>
        </w:rPr>
        <w:t> </w:t>
      </w:r>
      <w:r>
        <w:rPr/>
        <w:t>fecha</w:t>
      </w:r>
      <w:r>
        <w:rPr>
          <w:w w:val="100"/>
        </w:rPr>
        <w:t> </w:t>
      </w:r>
      <w:r>
        <w:rPr/>
        <w:t>siete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diciembre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dos</w:t>
      </w:r>
      <w:r>
        <w:rPr>
          <w:spacing w:val="30"/>
        </w:rPr>
        <w:t> </w:t>
      </w:r>
      <w:r>
        <w:rPr/>
        <w:t>mil</w:t>
      </w:r>
      <w:r>
        <w:rPr>
          <w:spacing w:val="31"/>
        </w:rPr>
        <w:t> </w:t>
      </w:r>
      <w:r>
        <w:rPr/>
        <w:t>dieciocho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sujeto</w:t>
      </w:r>
      <w:r>
        <w:rPr>
          <w:spacing w:val="32"/>
        </w:rPr>
        <w:t> </w:t>
      </w:r>
      <w:r>
        <w:rPr/>
        <w:t>obligado</w:t>
      </w:r>
      <w:r>
        <w:rPr>
          <w:spacing w:val="32"/>
        </w:rPr>
        <w:t> </w:t>
      </w:r>
      <w:r>
        <w:rPr/>
        <w:t>emitió</w:t>
      </w:r>
      <w:r>
        <w:rPr>
          <w:spacing w:val="35"/>
        </w:rPr>
        <w:t> </w:t>
      </w:r>
      <w:r>
        <w:rPr/>
        <w:t>la</w:t>
      </w:r>
      <w:r>
        <w:rPr>
          <w:spacing w:val="31"/>
        </w:rPr>
        <w:t> </w:t>
      </w:r>
      <w:r>
        <w:rPr/>
        <w:t>respuesta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 acceso a la información, en los términos</w:t>
      </w:r>
      <w:r>
        <w:rPr>
          <w:spacing w:val="-23"/>
        </w:rPr>
        <w:t> </w:t>
      </w:r>
      <w:r>
        <w:rPr/>
        <w:t>siguientes:</w:t>
      </w:r>
    </w:p>
    <w:p>
      <w:pPr>
        <w:spacing w:after="0" w:line="360" w:lineRule="auto"/>
        <w:jc w:val="both"/>
        <w:sectPr>
          <w:headerReference w:type="default" r:id="rId6"/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5970" w:lineRule="exact"/>
        <w:ind w:left="15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18"/>
          <w:sz w:val="20"/>
          <w:szCs w:val="20"/>
        </w:rPr>
        <w:drawing>
          <wp:inline distT="0" distB="0" distL="0" distR="0">
            <wp:extent cx="5571134" cy="37909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134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118"/>
          <w:sz w:val="20"/>
          <w:szCs w:val="20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Asimismo el sujeto obligado adjunto un archivo electrónico, tal como se</w:t>
      </w:r>
      <w:r>
        <w:rPr>
          <w:spacing w:val="49"/>
        </w:rPr>
        <w:t> </w:t>
      </w:r>
      <w:r>
        <w:rPr/>
        <w:t>puede</w:t>
      </w:r>
      <w:r>
        <w:rPr>
          <w:spacing w:val="-1"/>
          <w:w w:val="99"/>
        </w:rPr>
        <w:t> </w:t>
      </w:r>
      <w:r>
        <w:rPr/>
        <w:t>observar en la imagen inserta con antelación, mismo que se omite su inserción,</w:t>
      </w:r>
      <w:r>
        <w:rPr>
          <w:spacing w:val="46"/>
        </w:rPr>
        <w:t> </w:t>
      </w:r>
      <w:r>
        <w:rPr/>
        <w:t>toda</w:t>
      </w:r>
      <w:r>
        <w:rPr>
          <w:w w:val="99"/>
        </w:rPr>
        <w:t> </w:t>
      </w:r>
      <w:r>
        <w:rPr/>
        <w:t>vez que resulta ser del conocimiento de las</w:t>
      </w:r>
      <w:r>
        <w:rPr>
          <w:spacing w:val="-15"/>
        </w:rPr>
        <w:t> </w:t>
      </w:r>
      <w:r>
        <w:rPr/>
        <w:t>partes.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4"/>
        <w:jc w:val="both"/>
      </w:pPr>
      <w:r>
        <w:rPr/>
        <w:t>Inconforme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presentada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sujeto</w:t>
      </w:r>
      <w:r>
        <w:rPr>
          <w:spacing w:val="-7"/>
        </w:rPr>
        <w:t> </w:t>
      </w:r>
      <w:r>
        <w:rPr/>
        <w:t>obligado,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recurrente</w:t>
      </w:r>
      <w:r>
        <w:rPr>
          <w:spacing w:val="-8"/>
        </w:rPr>
        <w:t> </w:t>
      </w:r>
      <w:r>
        <w:rPr/>
        <w:t>interpuso</w:t>
      </w:r>
      <w:r>
        <w:rPr>
          <w:w w:val="99"/>
        </w:rPr>
        <w:t> </w:t>
      </w:r>
      <w:r>
        <w:rPr/>
        <w:t>el</w:t>
      </w:r>
      <w:r>
        <w:rPr>
          <w:spacing w:val="21"/>
        </w:rPr>
        <w:t> </w:t>
      </w:r>
      <w:r>
        <w:rPr/>
        <w:t>recurso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revisión,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fecha</w:t>
      </w:r>
      <w:r>
        <w:rPr>
          <w:spacing w:val="24"/>
        </w:rPr>
        <w:t> </w:t>
      </w:r>
      <w:r>
        <w:rPr/>
        <w:t>siete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diciembre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dos</w:t>
      </w:r>
      <w:r>
        <w:rPr>
          <w:spacing w:val="21"/>
        </w:rPr>
        <w:t> </w:t>
      </w:r>
      <w:r>
        <w:rPr/>
        <w:t>mil</w:t>
      </w:r>
      <w:r>
        <w:rPr>
          <w:spacing w:val="21"/>
        </w:rPr>
        <w:t> </w:t>
      </w:r>
      <w:r>
        <w:rPr/>
        <w:t>dieciocho,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cual</w:t>
      </w:r>
      <w:r>
        <w:rPr>
          <w:spacing w:val="24"/>
        </w:rPr>
        <w:t> </w:t>
      </w:r>
      <w:r>
        <w:rPr/>
        <w:t>fue</w:t>
      </w:r>
      <w:r>
        <w:rPr>
          <w:spacing w:val="-1"/>
          <w:w w:val="100"/>
        </w:rPr>
        <w:t> </w:t>
      </w:r>
      <w:r>
        <w:rPr/>
        <w:t>registrado en el sistema electrónico SAIMEX, con el número de</w:t>
      </w:r>
      <w:r>
        <w:rPr>
          <w:spacing w:val="16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04635/INFOEM/IP/RR/2018</w:t>
      </w:r>
      <w:r>
        <w:rPr/>
        <w:t>, en el cual arguye, las siguientes</w:t>
      </w:r>
      <w:r>
        <w:rPr>
          <w:spacing w:val="-22"/>
        </w:rPr>
        <w:t> </w:t>
      </w:r>
      <w:r>
        <w:rPr/>
        <w:t>manifestaciones: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2"/>
        <w:spacing w:line="240" w:lineRule="auto" w:before="197"/>
        <w:ind w:right="0"/>
        <w:jc w:val="left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59" w:lineRule="auto" w:before="187"/>
        <w:ind w:left="953" w:right="95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“olicito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Sistema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Desarrollo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Integral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Familia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Tecámac estado. de México. solicito a detalle lo siguiente: manual</w:t>
      </w:r>
      <w:r>
        <w:rPr>
          <w:rFonts w:ascii="Palatino Linotype" w:hAnsi="Palatino Linotype" w:cs="Palatino Linotype" w:eastAsia="Palatino Linotype"/>
          <w:i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procedimientos del archivo manual de organización del archivo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reglamento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 archivo políticas, lineamientos, métodos, técnicas y</w:t>
      </w:r>
      <w:r>
        <w:rPr>
          <w:rFonts w:ascii="Palatino Linotype" w:hAnsi="Palatino Linotype" w:cs="Palatino Linotype" w:eastAsia="Palatino Linotype"/>
          <w:i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procedimientos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aplicables a la Dependencia a su cargo;respecto al archivo de su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dependencia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 1 de enero 2016 al 14 de noviembre del 2018 forma y sistema</w:t>
      </w:r>
      <w:r>
        <w:rPr>
          <w:rFonts w:ascii="Palatino Linotype" w:hAnsi="Palatino Linotype" w:cs="Palatino Linotype" w:eastAsia="Palatino Linotype"/>
          <w:i/>
          <w:spacing w:val="5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clasificación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detalle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sistema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clasificación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,así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histórico,todo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anterior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periodo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;respecto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dependencia del 1 de enero 2016 al 14 de noviembre del 2018 nombre y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ficha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curricular del responsable del archivo,todo lo anterior vigente al día de 14</w:t>
      </w:r>
      <w:r>
        <w:rPr>
          <w:rFonts w:ascii="Palatino Linotype" w:hAnsi="Palatino Linotype" w:cs="Palatino Linotype" w:eastAsia="Palatino Linotype"/>
          <w:i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noviembre 2018 LINEAMIENTOS PARA LA ADMINISTRACIÓN   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59" w:lineRule="auto" w:before="0"/>
        <w:ind w:left="953" w:right="95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MÉXICO,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según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gaceta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gobierno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publicada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29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mayo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2015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solicito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describan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detalle,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cumplimiento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 los lineamientos en el archivo,indicado por cada área,dirección , del 1</w:t>
      </w:r>
      <w:r>
        <w:rPr>
          <w:rFonts w:ascii="Palatino Linotype" w:hAnsi="Palatino Linotype" w:cs="Palatino Linotype" w:eastAsia="Palatino Linotype"/>
          <w:i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julio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2015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14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noviembre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2018.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Sistema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Desarrollo Integral de la Familia (SMDIF).”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Heading2"/>
        <w:spacing w:line="240" w:lineRule="auto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59" w:lineRule="auto" w:before="187"/>
        <w:ind w:left="953" w:right="9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“no cumplen con los PROPORCIONAR LA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INFORMACION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SOLICITADA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ACUERDO.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trasparencia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 pública del estado de México y municipios. no contestan</w:t>
      </w:r>
      <w:r>
        <w:rPr>
          <w:rFonts w:ascii="Palatino Linotype" w:hAnsi="Palatino Linotype" w:cs="Palatino Linotype" w:eastAsia="Palatino Linotype"/>
          <w:i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,CON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INFORMACION TOTALMENTE A LA SOLICITADA </w:t>
      </w:r>
      <w:r>
        <w:rPr>
          <w:rFonts w:ascii="Palatino Linotype" w:hAnsi="Palatino Linotype" w:cs="Palatino Linotype" w:eastAsia="Palatino Linotype"/>
          <w:i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CLARAMENTE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59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ES DECIR ,egan lisa y llanamente, la información pública ,método propio</w:t>
      </w:r>
      <w:r>
        <w:rPr>
          <w:rFonts w:ascii="Palatino Linotype" w:hAnsi="Palatino Linotype"/>
          <w:i/>
          <w:spacing w:val="-3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un gobierno opaco . Además de no cumplir con los ejes rectores de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mencionada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ley: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Artículo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41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Bis.-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procedimiento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se rige por los siguientes principios: De los Principios Rectores del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Instituto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Artículo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4.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derecho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humano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es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prerrogativa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personas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buscar,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difundir,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Investigar,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recabar,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recibir</w:t>
      </w:r>
      <w:r>
        <w:rPr>
          <w:rFonts w:ascii="Palatino Linotype" w:hAnsi="Palatino Linotype"/>
          <w:sz w:val="24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1"/>
        <w:ind w:left="953" w:right="95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y solicitar información pública, sin necesidad de acreditar personalidad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interés jurídico. Toda la información generada, obtenida,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adquirida,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transformada, administrada o en posesión de los sujetos obligados es</w:t>
      </w:r>
      <w:r>
        <w:rPr>
          <w:rFonts w:ascii="Palatino Linotype" w:hAnsi="Palatino Linotype" w:cs="Palatino Linotype" w:eastAsia="Palatino Linotype"/>
          <w:i/>
          <w:spacing w:val="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 accesible de manera permanente a cualquier persona, en los términos</w:t>
      </w:r>
      <w:r>
        <w:rPr>
          <w:rFonts w:ascii="Palatino Linotype" w:hAnsi="Palatino Linotype" w:cs="Palatino Linotype" w:eastAsia="Palatino Linotype"/>
          <w:i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condiciones que se establezcan en los Tratados internacionales de los que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Estado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mexicano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parte,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General,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presente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demás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disposiciones de la materia, privilegiando el principio de máxima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publicidad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de la información. Solo podrá ser clasificada excepcionalmente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reservada temporalmente por razones de interés público, en los términos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causas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legítimas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estrictamente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Necesarias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previstas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Ley.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 obligados deben poner en práctica, políticas y programas de acceso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 información que se apeguen a criterios de publicidad,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veracidad,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oportunidad, precisión y suficiencia en beneficio de los solicitantes.</w:t>
      </w:r>
      <w:r>
        <w:rPr>
          <w:rFonts w:ascii="Palatino Linotype" w:hAnsi="Palatino Linotype" w:cs="Palatino Linotype" w:eastAsia="Palatino Linotype"/>
          <w:i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I.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Simplicidad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rapidez;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II.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Gratuidad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procedimiento;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III.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Auxilio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orientación a los particulares Artículo 71.- Los particulares</w:t>
      </w:r>
      <w:r>
        <w:rPr>
          <w:rFonts w:ascii="Palatino Linotype" w:hAnsi="Palatino Linotype" w:cs="Palatino Linotype" w:eastAsia="Palatino Linotype"/>
          <w:i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podrán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interponer recurso de revisión cuando: I. Se les niegue la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solicitada; por lo que solicito atentamente se me otorgue la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solicitada, y se apliquen las sanciones correspondientes. TIENEN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DECONOCIMIENTO TOTAL DE LA LEY DE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TRASPARENCIA,EL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DESCONOCIMIENTO DE LA LET .NO LOS EXIME DE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RESPONSABILIDAD.”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2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 fracción I</w:t>
      </w:r>
      <w:r>
        <w:rPr>
          <w:spacing w:val="3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trece de diciembre de  </w:t>
      </w:r>
      <w:r>
        <w:rPr>
          <w:spacing w:val="7"/>
        </w:rPr>
        <w:t> </w:t>
      </w:r>
      <w:r>
        <w:rPr/>
        <w:t>dos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mil dieciocho, determinándose en él, un plazo de siete días para que las</w:t>
      </w:r>
      <w:r>
        <w:rPr>
          <w:spacing w:val="32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4"/>
        </w:rPr>
        <w:t> </w:t>
      </w:r>
      <w:r>
        <w:rPr/>
        <w:t>abierta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etapa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instrucción,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sumario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observa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tanto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diecinueve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10"/>
        </w:rPr>
        <w:t> </w:t>
      </w:r>
      <w:r>
        <w:rPr/>
        <w:t>dieciocho,</w:t>
      </w:r>
      <w:r>
        <w:rPr>
          <w:spacing w:val="-10"/>
        </w:rPr>
        <w:t> </w:t>
      </w:r>
      <w:r>
        <w:rPr/>
        <w:t>adjunto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etapa</w:t>
      </w:r>
      <w:r>
        <w:rPr>
          <w:spacing w:val="-10"/>
        </w:rPr>
        <w:t> </w:t>
      </w:r>
      <w:r>
        <w:rPr/>
        <w:t>de</w:t>
      </w:r>
      <w:r>
        <w:rPr/>
        <w:t> manifestaciones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informe</w:t>
      </w:r>
      <w:r>
        <w:rPr>
          <w:spacing w:val="-5"/>
        </w:rPr>
        <w:t> </w:t>
      </w:r>
      <w:r>
        <w:rPr/>
        <w:t>justificado</w:t>
      </w:r>
      <w:r>
        <w:rPr>
          <w:spacing w:val="-4"/>
        </w:rPr>
        <w:t> </w:t>
      </w:r>
      <w:r>
        <w:rPr/>
        <w:t>correspondiente,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otro</w:t>
      </w:r>
      <w:r>
        <w:rPr>
          <w:spacing w:val="-4"/>
        </w:rPr>
        <w:t> </w:t>
      </w:r>
      <w:r>
        <w:rPr/>
        <w:t>lado,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recurrente</w:t>
      </w:r>
      <w:r>
        <w:rPr>
          <w:spacing w:val="-5"/>
        </w:rPr>
        <w:t> </w:t>
      </w:r>
      <w:r>
        <w:rPr/>
        <w:t>en</w:t>
      </w:r>
      <w:r>
        <w:rPr/>
        <w:t> fechas veintiséis de diciembre de dos mil dieciocho y veintitrés de enero de</w:t>
      </w:r>
      <w:r>
        <w:rPr>
          <w:spacing w:val="1"/>
        </w:rPr>
        <w:t> </w:t>
      </w:r>
      <w:r>
        <w:rPr/>
        <w:t>los</w:t>
      </w:r>
      <w:r>
        <w:rPr>
          <w:w w:val="99"/>
        </w:rPr>
        <w:t> </w:t>
      </w:r>
      <w:r>
        <w:rPr/>
        <w:t>corrientes adjunto diversos archivos electrónicos, por lo que una vez transcurrido</w:t>
      </w:r>
      <w:r>
        <w:rPr>
          <w:spacing w:val="41"/>
        </w:rPr>
        <w:t> </w:t>
      </w:r>
      <w:r>
        <w:rPr/>
        <w:t>el</w:t>
      </w:r>
      <w:r>
        <w:rPr/>
        <w:t> plazo establecido, en fecha treinta y uno de enero de dos mil diecinueve, se decretó</w:t>
      </w:r>
      <w:r>
        <w:rPr>
          <w:spacing w:val="-1"/>
        </w:rPr>
        <w:t> </w:t>
      </w:r>
      <w:r>
        <w:rPr/>
        <w:t>el</w:t>
      </w:r>
      <w:r>
        <w:rPr/>
        <w:t> cierre de instrucción en términos del artículo 185 fracción VI de la Ley</w:t>
      </w:r>
      <w:r>
        <w:rPr>
          <w:spacing w:val="5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iniciando el término legal para dictar resolución definitiva del</w:t>
      </w:r>
      <w:r>
        <w:rPr>
          <w:spacing w:val="-26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fecha</w:t>
      </w:r>
      <w:r>
        <w:rPr>
          <w:spacing w:val="-14"/>
        </w:rPr>
        <w:t> </w:t>
      </w:r>
      <w:r>
        <w:rPr/>
        <w:t>doce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curso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amplió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plazo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dictar</w:t>
      </w:r>
      <w:r>
        <w:rPr>
          <w:spacing w:val="-13"/>
        </w:rPr>
        <w:t> </w:t>
      </w:r>
      <w:r>
        <w:rPr/>
        <w:t>resolución,</w:t>
      </w:r>
      <w:r>
        <w:rPr>
          <w:w w:val="100"/>
        </w:rPr>
        <w:t> </w:t>
      </w:r>
      <w:r>
        <w:rPr/>
        <w:t>en</w:t>
      </w:r>
      <w:r>
        <w:rPr>
          <w:spacing w:val="26"/>
        </w:rPr>
        <w:t> </w:t>
      </w:r>
      <w:r>
        <w:rPr/>
        <w:t>términos</w:t>
      </w:r>
      <w:r>
        <w:rPr>
          <w:spacing w:val="25"/>
        </w:rPr>
        <w:t> </w:t>
      </w:r>
      <w:r>
        <w:rPr/>
        <w:t>del</w:t>
      </w:r>
      <w:r>
        <w:rPr>
          <w:spacing w:val="28"/>
        </w:rPr>
        <w:t> </w:t>
      </w:r>
      <w:r>
        <w:rPr/>
        <w:t>artículo</w:t>
      </w:r>
      <w:r>
        <w:rPr>
          <w:spacing w:val="27"/>
        </w:rPr>
        <w:t> </w:t>
      </w:r>
      <w:r>
        <w:rPr/>
        <w:t>181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Transparencia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Acceso</w:t>
      </w:r>
      <w:r>
        <w:rPr>
          <w:spacing w:val="30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SEXTO. Del</w:t>
      </w:r>
      <w:r>
        <w:rPr>
          <w:spacing w:val="-5"/>
        </w:rPr>
        <w:t> </w:t>
      </w:r>
      <w:r>
        <w:rPr/>
        <w:t>desistimiento.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De las constancias que obran en el expediente electrónico SAIMEX, se advierte que</w:t>
      </w:r>
      <w:r>
        <w:rPr>
          <w:spacing w:val="-39"/>
        </w:rPr>
        <w:t> </w:t>
      </w:r>
      <w:r>
        <w:rPr/>
        <w:t>en</w:t>
      </w:r>
      <w:r>
        <w:rPr>
          <w:w w:val="100"/>
        </w:rPr>
        <w:t> </w:t>
      </w:r>
      <w:r>
        <w:rPr/>
        <w:t>fecha diecinueve de enero de dos mil diecinueve el recurrente se desistió del</w:t>
      </w:r>
      <w:r>
        <w:rPr>
          <w:spacing w:val="40"/>
        </w:rPr>
        <w:t> </w:t>
      </w:r>
      <w:r>
        <w:rPr/>
        <w:t>recurso</w:t>
      </w:r>
      <w:r>
        <w:rPr>
          <w:spacing w:val="-1"/>
          <w:w w:val="99"/>
        </w:rPr>
        <w:t> </w:t>
      </w:r>
      <w:r>
        <w:rPr/>
        <w:t>de revisión intentado, como se aprecia a</w:t>
      </w:r>
      <w:r>
        <w:rPr>
          <w:spacing w:val="-17"/>
        </w:rPr>
        <w:t> </w:t>
      </w:r>
      <w:r>
        <w:rPr/>
        <w:t>continuación.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3845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76"/>
          <w:sz w:val="20"/>
          <w:szCs w:val="20"/>
        </w:rPr>
        <w:pict>
          <v:group style="width:449.6pt;height:192.25pt;mso-position-horizontal-relative:char;mso-position-vertical-relative:line" coordorigin="0,0" coordsize="8992,3845">
            <v:shape style="position:absolute;left:0;top:0;width:8992;height:3845" type="#_x0000_t75" stroked="false">
              <v:imagedata r:id="rId8" o:title=""/>
            </v:shape>
            <v:group style="position:absolute;left:264;top:3282;width:8295;height:420" coordorigin="264,3282" coordsize="8295,420">
              <v:shape style="position:absolute;left:264;top:3282;width:8295;height:420" coordorigin="264,3282" coordsize="8295,420" path="m264,3282l8559,3282,8559,3702,264,3702,264,3282xe" filled="false" stroked="true" strokeweight="3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76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288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57"/>
          <w:sz w:val="20"/>
          <w:szCs w:val="20"/>
        </w:rPr>
        <w:drawing>
          <wp:inline distT="0" distB="0" distL="0" distR="0">
            <wp:extent cx="5655318" cy="1828800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31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57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 w:before="8"/>
        <w:ind w:left="0" w:right="3"/>
        <w:jc w:val="center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0"/>
        <w:jc w:val="left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 del Estado de México, es competente para conocer y resolver los</w:t>
      </w:r>
      <w:r>
        <w:rPr>
          <w:spacing w:val="-7"/>
        </w:rPr>
        <w:t> </w:t>
      </w:r>
      <w:r>
        <w:rPr/>
        <w:t>presentes</w:t>
      </w:r>
    </w:p>
    <w:p>
      <w:pPr>
        <w:spacing w:after="0" w:line="360" w:lineRule="auto"/>
        <w:jc w:val="left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recursos de revisión interpuestos por el recurrente conforme a lo dispuesto en</w:t>
      </w:r>
      <w:r>
        <w:rPr>
          <w:spacing w:val="12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fracciones</w:t>
      </w:r>
      <w:r>
        <w:rPr>
          <w:spacing w:val="-16"/>
        </w:rPr>
        <w:t> </w:t>
      </w:r>
      <w:r>
        <w:rPr/>
        <w:t>I,</w:t>
      </w:r>
      <w:r>
        <w:rPr>
          <w:spacing w:val="-15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5"/>
        </w:rPr>
        <w:t> </w:t>
      </w:r>
      <w:r>
        <w:rPr/>
        <w:t>fracción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20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los recursos</w:t>
      </w:r>
      <w:r>
        <w:rPr>
          <w:spacing w:val="38"/>
        </w:rPr>
        <w:t> </w:t>
      </w:r>
      <w:r>
        <w:rPr/>
        <w:t>de</w:t>
      </w:r>
      <w:r>
        <w:rPr/>
        <w:t> revisión</w:t>
      </w:r>
      <w:r>
        <w:rPr>
          <w:spacing w:val="37"/>
        </w:rPr>
        <w:t> </w:t>
      </w:r>
      <w:r>
        <w:rPr/>
        <w:t>inmersos</w:t>
      </w:r>
      <w:r>
        <w:rPr>
          <w:spacing w:val="36"/>
        </w:rPr>
        <w:t> </w:t>
      </w:r>
      <w:r>
        <w:rPr/>
        <w:t>en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Ley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Transparencia</w:t>
      </w:r>
      <w:r>
        <w:rPr>
          <w:spacing w:val="37"/>
        </w:rPr>
        <w:t> </w:t>
      </w:r>
      <w:r>
        <w:rPr/>
        <w:t>vigente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entidad,</w:t>
      </w:r>
      <w:r>
        <w:rPr>
          <w:spacing w:val="37"/>
        </w:rPr>
        <w:t> </w:t>
      </w:r>
      <w:r>
        <w:rPr/>
        <w:t>tiene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fin</w:t>
      </w:r>
      <w:r>
        <w:rPr>
          <w:spacing w:val="37"/>
        </w:rPr>
        <w:t> </w:t>
      </w:r>
      <w:r>
        <w:rPr/>
        <w:t>y</w:t>
      </w:r>
      <w:r>
        <w:rPr>
          <w:w w:val="100"/>
        </w:rPr>
        <w:t> </w:t>
      </w:r>
      <w:r>
        <w:rPr/>
        <w:t>alcance que señalan los numerales 176, 179, 181 párrafo cuarto, 194 y 195 y</w:t>
      </w:r>
      <w:r>
        <w:rPr>
          <w:spacing w:val="2"/>
        </w:rPr>
        <w:t> </w:t>
      </w:r>
      <w:r>
        <w:rPr/>
        <w:t>demás</w:t>
      </w:r>
      <w:r>
        <w:rPr>
          <w:w w:val="99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 vigente, los cuales serán analizados conforme a las</w:t>
      </w:r>
      <w:r>
        <w:rPr>
          <w:spacing w:val="48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 obren en el expediente electrónico, con la finalidad de reparar cualquier</w:t>
      </w:r>
      <w:r>
        <w:rPr>
          <w:spacing w:val="35"/>
        </w:rPr>
        <w:t> </w:t>
      </w:r>
      <w:r>
        <w:rPr/>
        <w:t>posible</w:t>
      </w:r>
      <w:r>
        <w:rPr>
          <w:spacing w:val="-1"/>
          <w:w w:val="100"/>
        </w:rPr>
        <w:t> </w:t>
      </w:r>
      <w:r>
        <w:rPr/>
        <w:t>afectación al derecho de acceso a la información pública y garantizando el</w:t>
      </w:r>
      <w:r>
        <w:rPr>
          <w:spacing w:val="2"/>
        </w:rPr>
        <w:t> </w:t>
      </w:r>
      <w:r>
        <w:rPr/>
        <w:t>principio</w:t>
      </w:r>
      <w:r>
        <w:rPr>
          <w:w w:val="99"/>
        </w:rPr>
        <w:t> </w:t>
      </w:r>
      <w:r>
        <w:rPr/>
        <w:t>rector de máxima</w:t>
      </w:r>
      <w:r>
        <w:rPr>
          <w:spacing w:val="-13"/>
        </w:rPr>
        <w:t> </w:t>
      </w:r>
      <w:r>
        <w:rPr/>
        <w:t>publicidad.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TERCERO. Análisis de las causales de</w:t>
      </w:r>
      <w:r>
        <w:rPr>
          <w:spacing w:val="-20"/>
        </w:rPr>
        <w:t> </w:t>
      </w:r>
      <w:r>
        <w:rPr/>
        <w:t>sobreseimiento.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 bien, resulta importante referir que en la Ley de Transparencia Local</w:t>
      </w:r>
      <w:r>
        <w:rPr>
          <w:spacing w:val="15"/>
        </w:rPr>
        <w:t> </w:t>
      </w:r>
      <w:r>
        <w:rPr/>
        <w:t>vigente,</w:t>
      </w:r>
      <w:r>
        <w:rPr/>
        <w:t> en</w:t>
      </w:r>
      <w:r>
        <w:rPr>
          <w:spacing w:val="52"/>
        </w:rPr>
        <w:t> </w:t>
      </w:r>
      <w:r>
        <w:rPr/>
        <w:t>su</w:t>
      </w:r>
      <w:r>
        <w:rPr>
          <w:spacing w:val="52"/>
        </w:rPr>
        <w:t> </w:t>
      </w:r>
      <w:r>
        <w:rPr/>
        <w:t>artículo</w:t>
      </w:r>
      <w:r>
        <w:rPr>
          <w:spacing w:val="54"/>
        </w:rPr>
        <w:t> </w:t>
      </w:r>
      <w:r>
        <w:rPr/>
        <w:t>192</w:t>
      </w:r>
      <w:r>
        <w:rPr>
          <w:spacing w:val="53"/>
        </w:rPr>
        <w:t> </w:t>
      </w:r>
      <w:r>
        <w:rPr/>
        <w:t>contempla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figura</w:t>
      </w:r>
      <w:r>
        <w:rPr>
          <w:spacing w:val="53"/>
        </w:rPr>
        <w:t> </w:t>
      </w:r>
      <w:r>
        <w:rPr/>
        <w:t>jurídica</w:t>
      </w:r>
      <w:r>
        <w:rPr>
          <w:spacing w:val="53"/>
        </w:rPr>
        <w:t> </w:t>
      </w:r>
      <w:r>
        <w:rPr/>
        <w:t>del</w:t>
      </w:r>
      <w:r>
        <w:rPr>
          <w:spacing w:val="52"/>
        </w:rPr>
        <w:t> </w:t>
      </w:r>
      <w:r>
        <w:rPr/>
        <w:t>sobreseimiento,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cual</w:t>
      </w:r>
      <w:r>
        <w:rPr>
          <w:spacing w:val="52"/>
        </w:rPr>
        <w:t> </w:t>
      </w:r>
      <w:r>
        <w:rPr/>
        <w:t>en</w:t>
      </w:r>
      <w:r>
        <w:rPr>
          <w:w w:val="100"/>
        </w:rPr>
        <w:t> </w:t>
      </w:r>
      <w:r>
        <w:rPr/>
        <w:t>específico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hipótesis</w:t>
      </w:r>
      <w:r>
        <w:rPr>
          <w:spacing w:val="40"/>
        </w:rPr>
        <w:t> </w:t>
      </w:r>
      <w:r>
        <w:rPr/>
        <w:t>inmersa</w:t>
      </w:r>
      <w:r>
        <w:rPr>
          <w:spacing w:val="36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fracción</w:t>
      </w:r>
      <w:r>
        <w:rPr>
          <w:spacing w:val="35"/>
        </w:rPr>
        <w:t> </w:t>
      </w:r>
      <w:r>
        <w:rPr/>
        <w:t>I,</w:t>
      </w:r>
      <w:r>
        <w:rPr>
          <w:spacing w:val="36"/>
        </w:rPr>
        <w:t> </w:t>
      </w:r>
      <w:r>
        <w:rPr/>
        <w:t>refiere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8"/>
        </w:rPr>
        <w:t> </w:t>
      </w:r>
      <w:r>
        <w:rPr/>
        <w:t>recurrente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desista</w:t>
      </w:r>
      <w:r>
        <w:rPr/>
        <w:t> expresamente del recurso, como se muestra a</w:t>
      </w:r>
      <w:r>
        <w:rPr>
          <w:spacing w:val="-15"/>
        </w:rPr>
        <w:t> </w:t>
      </w:r>
      <w:r>
        <w:rPr/>
        <w:t>continuación.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809" w:right="124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 192. El recurso será sobreseído, en todo o en parte, cuando</w:t>
      </w:r>
      <w:r>
        <w:rPr>
          <w:rFonts w:ascii="Palatino Linotype" w:hAnsi="Palatino Linotype" w:cs="Palatino Linotype" w:eastAsia="Palatino Linotype"/>
          <w:i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vez admitido, se actualicen alguno de los siguientes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supuestos: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61"/>
        <w:ind w:left="809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i/>
          <w:w w:val="100"/>
          <w:sz w:val="24"/>
        </w:rPr>
      </w:r>
      <w:r>
        <w:rPr>
          <w:rFonts w:ascii="Palatino Linotype"/>
          <w:b/>
          <w:i/>
          <w:sz w:val="24"/>
          <w:u w:val="single" w:color="000000"/>
        </w:rPr>
        <w:t>I. El recurrente se desista expresamente del</w:t>
      </w:r>
      <w:r>
        <w:rPr>
          <w:rFonts w:ascii="Palatino Linotype"/>
          <w:b/>
          <w:i/>
          <w:spacing w:val="-15"/>
          <w:sz w:val="24"/>
          <w:u w:val="single" w:color="000000"/>
        </w:rPr>
        <w:t> </w:t>
      </w:r>
      <w:r>
        <w:rPr>
          <w:rFonts w:ascii="Palatino Linotype"/>
          <w:b/>
          <w:i/>
          <w:sz w:val="24"/>
          <w:u w:val="single" w:color="000000"/>
        </w:rPr>
        <w:t>recurso</w:t>
      </w:r>
      <w:r>
        <w:rPr>
          <w:rFonts w:ascii="Palatino Linotype"/>
          <w:b/>
          <w:i/>
          <w:sz w:val="24"/>
        </w:rPr>
      </w:r>
      <w:r>
        <w:rPr>
          <w:rFonts w:ascii="Palatino Linotype"/>
          <w:i/>
          <w:sz w:val="24"/>
        </w:rPr>
        <w:t>;</w:t>
      </w:r>
      <w:r>
        <w:rPr>
          <w:rFonts w:ascii="Palatino Linotype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21" w:after="0"/>
        <w:ind w:left="809" w:right="124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recurrente fallezca o, tratándose de personas jurídicas colectivas,</w:t>
      </w:r>
      <w:r>
        <w:rPr>
          <w:rFonts w:ascii="Palatino Linotype" w:hAnsi="Palatino Linotype"/>
          <w:i/>
          <w:spacing w:val="3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disuelva;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61" w:after="0"/>
        <w:ind w:left="809" w:right="124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sujeto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obligado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responsable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acto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modifique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revoque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tal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manera que el recurso de revisión quede sin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materia;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304" w:val="left" w:leader="none"/>
        </w:tabs>
        <w:spacing w:line="240" w:lineRule="auto" w:before="158" w:after="0"/>
        <w:ind w:left="809" w:right="124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Admitido el recurso de revisión, aparezca alguna causal</w:t>
      </w:r>
      <w:r>
        <w:rPr>
          <w:rFonts w:ascii="Palatino Linotype" w:hAnsi="Palatino Linotype"/>
          <w:i/>
          <w:spacing w:val="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improcedencia en los términos de la presente Ley;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161" w:after="0"/>
        <w:ind w:left="1088" w:right="0" w:hanging="279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Cuando por cualquier motivo quede sin materia el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recurso.”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26"/>
        </w:rPr>
        <w:t> </w:t>
      </w:r>
      <w:r>
        <w:rPr/>
        <w:t>para</w:t>
      </w:r>
      <w:r>
        <w:rPr>
          <w:spacing w:val="24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tenga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desistido</w:t>
      </w:r>
      <w:r>
        <w:rPr>
          <w:spacing w:val="25"/>
        </w:rPr>
        <w:t> </w:t>
      </w:r>
      <w:r>
        <w:rPr/>
        <w:t>bastará</w:t>
      </w:r>
      <w:r>
        <w:rPr>
          <w:spacing w:val="26"/>
        </w:rPr>
        <w:t> </w:t>
      </w:r>
      <w:r>
        <w:rPr/>
        <w:t>con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recurrente</w:t>
      </w:r>
      <w:r>
        <w:rPr>
          <w:spacing w:val="24"/>
        </w:rPr>
        <w:t> </w:t>
      </w:r>
      <w:r>
        <w:rPr/>
        <w:t>expresamente</w:t>
      </w:r>
      <w:r>
        <w:rPr>
          <w:spacing w:val="24"/>
        </w:rPr>
        <w:t> </w:t>
      </w:r>
      <w:r>
        <w:rPr/>
        <w:t>se</w:t>
      </w:r>
      <w:r>
        <w:rPr/>
        <w:t> desista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recurso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revisión</w:t>
      </w:r>
      <w:r>
        <w:rPr>
          <w:spacing w:val="24"/>
        </w:rPr>
        <w:t> </w:t>
      </w:r>
      <w:r>
        <w:rPr/>
        <w:t>promovido,</w:t>
      </w:r>
      <w:r>
        <w:rPr>
          <w:spacing w:val="25"/>
        </w:rPr>
        <w:t> </w:t>
      </w:r>
      <w:r>
        <w:rPr/>
        <w:t>lo</w:t>
      </w:r>
      <w:r>
        <w:rPr>
          <w:spacing w:val="26"/>
        </w:rPr>
        <w:t> </w:t>
      </w:r>
      <w:r>
        <w:rPr/>
        <w:t>cual</w:t>
      </w:r>
      <w:r>
        <w:rPr>
          <w:spacing w:val="25"/>
        </w:rPr>
        <w:t> </w:t>
      </w:r>
      <w:r>
        <w:rPr/>
        <w:t>es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todas</w:t>
      </w:r>
      <w:r>
        <w:rPr>
          <w:spacing w:val="26"/>
        </w:rPr>
        <w:t> </w:t>
      </w:r>
      <w:r>
        <w:rPr/>
        <w:t>luces</w:t>
      </w:r>
      <w:r>
        <w:rPr>
          <w:spacing w:val="24"/>
        </w:rPr>
        <w:t> </w:t>
      </w:r>
      <w:r>
        <w:rPr/>
        <w:t>evidente</w:t>
      </w:r>
      <w:r>
        <w:rPr>
          <w:spacing w:val="25"/>
        </w:rPr>
        <w:t> </w:t>
      </w:r>
      <w:r>
        <w:rPr/>
        <w:t>que</w:t>
      </w:r>
      <w:r>
        <w:rPr>
          <w:spacing w:val="28"/>
        </w:rPr>
        <w:t> </w:t>
      </w:r>
      <w:r>
        <w:rPr/>
        <w:t>se</w:t>
      </w:r>
      <w:r>
        <w:rPr/>
        <w:t> actualiza</w:t>
      </w:r>
      <w:r>
        <w:rPr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presente</w:t>
      </w:r>
      <w:r>
        <w:rPr>
          <w:spacing w:val="53"/>
        </w:rPr>
        <w:t> </w:t>
      </w:r>
      <w:r>
        <w:rPr/>
        <w:t>asunto,</w:t>
      </w:r>
      <w:r>
        <w:rPr>
          <w:spacing w:val="53"/>
        </w:rPr>
        <w:t> </w:t>
      </w:r>
      <w:r>
        <w:rPr/>
        <w:t>como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observa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0"/>
        </w:rPr>
        <w:t> </w:t>
      </w:r>
      <w:r>
        <w:rPr/>
        <w:t>actuación</w:t>
      </w:r>
      <w:r>
        <w:rPr>
          <w:spacing w:val="52"/>
        </w:rPr>
        <w:t> </w:t>
      </w:r>
      <w:r>
        <w:rPr/>
        <w:t>que</w:t>
      </w:r>
      <w:r>
        <w:rPr>
          <w:spacing w:val="53"/>
        </w:rPr>
        <w:t> </w:t>
      </w:r>
      <w:r>
        <w:rPr/>
        <w:t>obra</w:t>
      </w:r>
      <w:r>
        <w:rPr>
          <w:spacing w:val="50"/>
        </w:rPr>
        <w:t> </w:t>
      </w:r>
      <w:r>
        <w:rPr/>
        <w:t>en</w:t>
      </w:r>
      <w:r>
        <w:rPr>
          <w:spacing w:val="52"/>
        </w:rPr>
        <w:t> </w:t>
      </w:r>
      <w:r>
        <w:rPr/>
        <w:t>el</w:t>
      </w:r>
      <w:r>
        <w:rPr>
          <w:w w:val="100"/>
        </w:rPr>
        <w:t> </w:t>
      </w:r>
      <w:r>
        <w:rPr/>
        <w:t>expediente electrónico, mismo a que se hizo referencia en el antecedente sexto,</w:t>
      </w:r>
      <w:r>
        <w:rPr>
          <w:spacing w:val="4"/>
        </w:rPr>
        <w:t> </w:t>
      </w:r>
      <w:r>
        <w:rPr/>
        <w:t>toda</w:t>
      </w:r>
      <w:r>
        <w:rPr/>
        <w:t> vez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existe</w:t>
      </w:r>
      <w:r>
        <w:rPr>
          <w:spacing w:val="39"/>
        </w:rPr>
        <w:t> </w:t>
      </w:r>
      <w:r>
        <w:rPr/>
        <w:t>un</w:t>
      </w:r>
      <w:r>
        <w:rPr>
          <w:spacing w:val="38"/>
        </w:rPr>
        <w:t> </w:t>
      </w:r>
      <w:r>
        <w:rPr/>
        <w:t>desistimiento</w:t>
      </w:r>
      <w:r>
        <w:rPr>
          <w:spacing w:val="39"/>
        </w:rPr>
        <w:t> </w:t>
      </w:r>
      <w:r>
        <w:rPr/>
        <w:t>por</w:t>
      </w:r>
      <w:r>
        <w:rPr>
          <w:spacing w:val="40"/>
        </w:rPr>
        <w:t> </w:t>
      </w:r>
      <w:r>
        <w:rPr/>
        <w:t>parte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recurrente,</w:t>
      </w:r>
      <w:r>
        <w:rPr>
          <w:spacing w:val="38"/>
        </w:rPr>
        <w:t> </w:t>
      </w:r>
      <w:r>
        <w:rPr/>
        <w:t>motivo</w:t>
      </w:r>
      <w:r>
        <w:rPr>
          <w:spacing w:val="37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cual</w:t>
      </w:r>
      <w:r>
        <w:rPr>
          <w:spacing w:val="38"/>
        </w:rPr>
        <w:t> </w:t>
      </w:r>
      <w:r>
        <w:rPr/>
        <w:t>debe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decretarse el sobreseimiento del recurso en mérito, dado que no es necesario</w:t>
      </w:r>
      <w:r>
        <w:rPr>
          <w:spacing w:val="22"/>
        </w:rPr>
        <w:t> </w:t>
      </w:r>
      <w:r>
        <w:rPr/>
        <w:t>estudiar</w:t>
      </w:r>
      <w:r>
        <w:rPr>
          <w:w w:val="100"/>
        </w:rPr>
        <w:t> </w:t>
      </w:r>
      <w:r>
        <w:rPr/>
        <w:t>si</w:t>
      </w:r>
      <w:r>
        <w:rPr>
          <w:spacing w:val="-8"/>
        </w:rPr>
        <w:t> </w:t>
      </w:r>
      <w:r>
        <w:rPr/>
        <w:t>existió</w:t>
      </w:r>
      <w:r>
        <w:rPr>
          <w:spacing w:val="-6"/>
        </w:rPr>
        <w:t> </w:t>
      </w:r>
      <w:r>
        <w:rPr/>
        <w:t>vulneración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toda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/>
        <w:t> persona que presentó el recurso de revisión manifiesta su voluntad de desistirse,</w:t>
      </w:r>
      <w:r>
        <w:rPr>
          <w:spacing w:val="2"/>
        </w:rPr>
        <w:t> </w:t>
      </w:r>
      <w:r>
        <w:rPr/>
        <w:t>con</w:t>
      </w:r>
      <w:r>
        <w:rPr>
          <w:w w:val="100"/>
        </w:rPr>
        <w:t> </w:t>
      </w:r>
      <w:r>
        <w:rPr/>
        <w:t>las consecuencias que a ello</w:t>
      </w:r>
      <w:r>
        <w:rPr>
          <w:spacing w:val="-10"/>
        </w:rPr>
        <w:t> </w:t>
      </w:r>
      <w:r>
        <w:rPr/>
        <w:t>conlleva.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</w:t>
      </w:r>
      <w:r>
        <w:rPr>
          <w:spacing w:val="-13"/>
        </w:rPr>
        <w:t> </w:t>
      </w:r>
      <w:r>
        <w:rPr/>
        <w:t>fundado,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spacing w:line="360" w:lineRule="auto" w:before="0"/>
        <w:ind w:left="101" w:right="103" w:hanging="1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SOBRESEE </w:t>
      </w:r>
      <w:r>
        <w:rPr>
          <w:rFonts w:ascii="Palatino Linotype" w:hAnsi="Palatino Linotype"/>
          <w:sz w:val="24"/>
        </w:rPr>
        <w:t>el recurso de revisión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04635/INFOEM/IP/RR/2018</w:t>
      </w:r>
      <w:r>
        <w:rPr>
          <w:rFonts w:ascii="Palatino Linotype" w:hAnsi="Palatino Linotype"/>
          <w:sz w:val="24"/>
        </w:rPr>
        <w:t>, por </w:t>
      </w:r>
      <w:r>
        <w:rPr>
          <w:rFonts w:ascii="Palatino Linotype" w:hAnsi="Palatino Linotype"/>
          <w:b/>
          <w:sz w:val="24"/>
        </w:rPr>
        <w:t>haberse desistido expresamente </w:t>
      </w:r>
      <w:r>
        <w:rPr>
          <w:rFonts w:ascii="Palatino Linotype" w:hAnsi="Palatino Linotype"/>
          <w:sz w:val="24"/>
        </w:rPr>
        <w:t>el Recurrente,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términos del Considerando Tercero de la presente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</w:t>
      </w:r>
      <w:r>
        <w:rPr>
          <w:rFonts w:ascii="Palatino Linotype" w:hAnsi="Palatino Linotype"/>
          <w:b/>
          <w:spacing w:val="9"/>
          <w:sz w:val="28"/>
        </w:rPr>
        <w:t> </w:t>
      </w:r>
      <w:r>
        <w:rPr>
          <w:rFonts w:ascii="Palatino Linotype" w:hAnsi="Palatino Linotype"/>
          <w:b/>
          <w:sz w:val="24"/>
        </w:rPr>
        <w:t>NOTIFÍQUESE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vía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resolución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Unidad de Transparencia del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>
          <w:rFonts w:ascii="Palatino Linotype" w:hAnsi="Palatino Linotype"/>
          <w:b/>
        </w:rPr>
        <w:t>.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NOTIFÍQUESE</w:t>
      </w:r>
      <w:r>
        <w:rPr>
          <w:rFonts w:ascii="Palatino Linotype" w:hAnsi="Palatino Linotype"/>
          <w:b/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/>
        <w:t>recurrente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presente</w:t>
      </w:r>
      <w:r>
        <w:rPr>
          <w:spacing w:val="42"/>
        </w:rPr>
        <w:t> </w:t>
      </w:r>
      <w:r>
        <w:rPr/>
        <w:t>resolución,</w:t>
      </w:r>
      <w:r>
        <w:rPr>
          <w:spacing w:val="42"/>
        </w:rPr>
        <w:t> </w:t>
      </w:r>
      <w:r>
        <w:rPr/>
        <w:t>hágase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conocimiento que en caso de que considere que le cause algún perjuicio,</w:t>
      </w:r>
      <w:r>
        <w:rPr>
          <w:spacing w:val="50"/>
        </w:rPr>
        <w:t> </w:t>
      </w:r>
      <w:r>
        <w:rPr/>
        <w:t>podrá</w:t>
      </w:r>
      <w:r>
        <w:rPr>
          <w:w w:val="100"/>
        </w:rPr>
        <w:t> </w:t>
      </w:r>
      <w:r>
        <w:rPr/>
        <w:t>promover el Juicio de Amparo en los términos de las leyes aplicables, de acuerdo a</w:t>
      </w:r>
      <w:r>
        <w:rPr>
          <w:spacing w:val="10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estipulado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196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Ley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Transparencia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Acceso</w:t>
      </w:r>
      <w:r>
        <w:rPr>
          <w:spacing w:val="19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8"/>
        <w:ind w:left="101" w:right="18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ASÍ LO RESUELVE, POR UNANIMIDAD DE VOTOS EL PLENO DEL INSTITUTO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TRANSPARENCIA,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ACCESO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PÚBLICA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PROTECCIÓN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DATOS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PERSONALES DEL ESTADO DE MÉXICO Y MUNICIPIOS, CONFORMADO POR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COMISIONADOS, ZULEMA MARTÍNEZ SÁNCHEZ, EVA ABAID YAPUR,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JOSÉ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GUADALUPE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LUNA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HERNÁNDEZ,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JAVIER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MARTÍNEZ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CRUZ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LUIS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GUSTAVO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PARRA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NORIEGA, EN LA SEXTA SESIÓN ORDINARIA CELEBRADA EL TRECE DE FEBRERO</w:t>
      </w:r>
      <w:r>
        <w:rPr>
          <w:rFonts w:ascii="Palatino Linotype" w:hAnsi="Palatino Linotype"/>
          <w:spacing w:val="-26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DOS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MIL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DIECINUEVE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ANTE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SECRETARIO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TÉCNICO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PLENO,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ALEXIS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TAPIA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RAMÍREZ.</w:t>
      </w:r>
    </w:p>
    <w:p>
      <w:pPr>
        <w:spacing w:line="7435" w:lineRule="exact"/>
        <w:ind w:left="12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48"/>
          <w:sz w:val="20"/>
          <w:szCs w:val="20"/>
        </w:rPr>
        <w:pict>
          <v:group style="width:456.5pt;height:371.75pt;mso-position-horizontal-relative:char;mso-position-vertical-relative:line" coordorigin="0,0" coordsize="9130,7435">
            <v:group style="position:absolute;left:5;top:5;width:9120;height:7425" coordorigin="5,5" coordsize="9120,7425">
              <v:shape style="position:absolute;left:5;top:5;width:9120;height:7425" coordorigin="5,5" coordsize="9120,7425" path="m5,5l9125,7430e" filled="false" stroked="true" strokeweight=".5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48"/>
          <w:sz w:val="20"/>
          <w:szCs w:val="20"/>
        </w:rPr>
      </w:r>
    </w:p>
    <w:p>
      <w:pPr>
        <w:spacing w:after="0" w:line="7435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600" w:right="128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21"/>
        <w:ind w:left="3063" w:right="3349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Sánchez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5"/>
          <w:szCs w:val="25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376" w:lineRule="auto" w:before="35"/>
        <w:ind w:left="69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21"/>
        <w:ind w:left="684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2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240" w:lineRule="auto" w:before="161"/>
        <w:ind w:left="684" w:right="325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84" w:right="324"/>
        <w:jc w:val="center"/>
        <w:rPr>
          <w:b w:val="0"/>
          <w:bCs w:val="0"/>
        </w:rPr>
      </w:pPr>
      <w:r>
        <w:rPr/>
        <w:t>(Rúbrica)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67" w:space="2041"/>
            <w:col w:w="467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8"/>
          <w:szCs w:val="28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60" w:lineRule="auto" w:before="28"/>
        <w:ind w:left="634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spacing w:before="28"/>
        <w:ind w:left="620" w:right="415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183"/>
        <w:ind w:left="620" w:right="41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620" w:right="411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360"/>
          <w:cols w:num="2" w:equalWidth="0">
            <w:col w:w="2927" w:space="2511"/>
            <w:col w:w="384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376" w:lineRule="auto" w:before="192"/>
        <w:ind w:left="3007" w:right="3292" w:hanging="2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Secretario Técnico 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before="48"/>
        <w:ind w:left="101" w:right="0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04635/INFOEM/IP/RR/2018.</w:t>
      </w: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OSAM/CDFE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76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12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75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23999pt;margin-top:52.156078pt;width:182.5pt;height:73.650pt;mso-position-horizontal-relative:page;mso-position-vertical-relative:page;z-index:-755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0" w:right="20"/>
                  <w:jc w:val="right"/>
                </w:pPr>
                <w:r>
                  <w:rPr/>
                  <w:t>04635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256" w:lineRule="auto" w:before="141"/>
                  <w:ind w:left="358" w:right="18" w:hanging="339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ilia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ac</w:t>
                </w:r>
              </w:p>
              <w:p>
                <w:pPr>
                  <w:spacing w:before="119"/>
                  <w:ind w:left="0" w:right="21" w:firstLine="0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75.047592pt;width:87.7pt;height:13.05pt;mso-position-horizontal-relative:page;mso-position-vertical-relative:page;z-index:-75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12.727592pt;width:115.2pt;height:13.05pt;mso-position-horizontal-relative:page;mso-position-vertical-relative:page;z-index:-75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."/>
      <w:lvlJc w:val="left"/>
      <w:pPr>
        <w:ind w:left="809" w:hanging="300"/>
        <w:jc w:val="left"/>
      </w:pPr>
      <w:rPr>
        <w:rFonts w:hint="default" w:ascii="Palatino Linotype" w:hAnsi="Palatino Linotype" w:eastAsia="Palatino Linotype"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48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6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8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2019-03-25T19:21:57Z</dcterms:created>
  <dcterms:modified xsi:type="dcterms:W3CDTF">2019-03-25T19:21:57Z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