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BA4" w:rsidRPr="00701C3F" w:rsidRDefault="002A5BA4" w:rsidP="00FF1728">
      <w:pPr>
        <w:spacing w:line="360" w:lineRule="auto"/>
        <w:jc w:val="center"/>
        <w:rPr>
          <w:rFonts w:ascii="Palatino Linotype" w:eastAsia="Times New Roman" w:hAnsi="Palatino Linotype" w:cs="Times New Roman"/>
          <w:b/>
        </w:rPr>
      </w:pPr>
      <w:r w:rsidRPr="00701C3F">
        <w:rPr>
          <w:rFonts w:ascii="Palatino Linotype" w:eastAsia="Times New Roman" w:hAnsi="Palatino Linotype" w:cs="Times New Roman"/>
          <w:b/>
        </w:rPr>
        <w:t>LÍNEAS ARGUMENTATIVAS</w:t>
      </w:r>
    </w:p>
    <w:p w:rsidR="00B258AA" w:rsidRPr="00701C3F" w:rsidRDefault="00B258AA" w:rsidP="00B258AA">
      <w:pPr>
        <w:spacing w:before="240" w:after="240" w:line="360" w:lineRule="auto"/>
        <w:jc w:val="both"/>
        <w:rPr>
          <w:rFonts w:ascii="Palatino Linotype" w:eastAsia="MS Mincho" w:hAnsi="Palatino Linotype" w:cs="Times New Roman"/>
        </w:rPr>
      </w:pPr>
      <w:r w:rsidRPr="00701C3F">
        <w:rPr>
          <w:rFonts w:ascii="Palatino Linotype" w:eastAsia="MS Mincho" w:hAnsi="Palatino Linotype" w:cs="Times New Roman"/>
          <w:b/>
        </w:rPr>
        <w:t xml:space="preserve">DERECHO DE ACCESO A LA INFORMACIÓN PÚBLICA. </w:t>
      </w:r>
      <w:r w:rsidRPr="00701C3F">
        <w:rPr>
          <w:rFonts w:ascii="Palatino Linotype" w:eastAsia="MS Mincho" w:hAnsi="Palatino Linotype" w:cs="Times New Roman"/>
        </w:rPr>
        <w:t>El derecho de acceso a la información pública se satisface en aquellos casos en que se atienda cada punto de la solicitud de información, haciendo entrega del soporte documental en que conste la información requerida.</w:t>
      </w:r>
    </w:p>
    <w:p w:rsidR="006249D2" w:rsidRPr="00701C3F" w:rsidRDefault="00FF1728" w:rsidP="006249D2">
      <w:pPr>
        <w:spacing w:before="240" w:after="240" w:line="360" w:lineRule="auto"/>
        <w:jc w:val="both"/>
        <w:rPr>
          <w:rFonts w:ascii="Palatino Linotype" w:hAnsi="Palatino Linotype" w:cs="Arial"/>
        </w:rPr>
      </w:pPr>
      <w:r>
        <w:rPr>
          <w:rFonts w:ascii="Palatino Linotype" w:eastAsia="Calibri" w:hAnsi="Palatino Linotype" w:cs="Arial"/>
          <w:b/>
          <w:noProof/>
          <w:szCs w:val="22"/>
          <w:lang w:val="es-MX" w:eastAsia="es-MX"/>
        </w:rPr>
        <mc:AlternateContent>
          <mc:Choice Requires="wps">
            <w:drawing>
              <wp:anchor distT="0" distB="0" distL="114300" distR="114300" simplePos="0" relativeHeight="251660288" behindDoc="0" locked="0" layoutInCell="1" allowOverlap="1">
                <wp:simplePos x="0" y="0"/>
                <wp:positionH relativeFrom="column">
                  <wp:posOffset>91118</wp:posOffset>
                </wp:positionH>
                <wp:positionV relativeFrom="paragraph">
                  <wp:posOffset>2764868</wp:posOffset>
                </wp:positionV>
                <wp:extent cx="5424755" cy="2969232"/>
                <wp:effectExtent l="19050" t="19050" r="24130" b="22225"/>
                <wp:wrapNone/>
                <wp:docPr id="2" name="Conector recto 2"/>
                <wp:cNvGraphicFramePr/>
                <a:graphic xmlns:a="http://schemas.openxmlformats.org/drawingml/2006/main">
                  <a:graphicData uri="http://schemas.microsoft.com/office/word/2010/wordprocessingShape">
                    <wps:wsp>
                      <wps:cNvCnPr/>
                      <wps:spPr>
                        <a:xfrm>
                          <a:off x="0" y="0"/>
                          <a:ext cx="5424755" cy="2969232"/>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D5CD5E" id="Conector recto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15pt,217.7pt" to="434.3pt,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" strokecolor="#5b9bd5 [3204]" strokeweight="3pt">
                <v:stroke joinstyle="miter"/>
              </v:line>
            </w:pict>
          </mc:Fallback>
        </mc:AlternateContent>
      </w:r>
      <w:r w:rsidR="006249D2" w:rsidRPr="00701C3F">
        <w:rPr>
          <w:rFonts w:ascii="Palatino Linotype" w:eastAsia="Calibri" w:hAnsi="Palatino Linotype" w:cs="Arial"/>
          <w:b/>
          <w:szCs w:val="22"/>
          <w:lang w:val="es-ES" w:eastAsia="es-MX"/>
        </w:rPr>
        <w:t>DE LAS FORMALIDADES LEGALES DE LA CLASIFICACIÓN DE LA INFORMACIÓN.</w:t>
      </w:r>
      <w:r w:rsidR="006249D2" w:rsidRPr="00701C3F">
        <w:rPr>
          <w:rFonts w:ascii="Palatino Linotype" w:eastAsia="Calibri" w:hAnsi="Palatino Linotype" w:cs="Arial"/>
          <w:szCs w:val="22"/>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006249D2" w:rsidRPr="00701C3F">
        <w:rPr>
          <w:rFonts w:ascii="Palatino Linotype" w:eastAsia="Calibri" w:hAnsi="Palatino Linotype" w:cs="Arial"/>
          <w:bCs/>
          <w:lang w:val="es-MX" w:eastAsia="en-US"/>
        </w:rPr>
        <w:t xml:space="preserve"> VIII,</w:t>
      </w:r>
      <w:r w:rsidR="006249D2" w:rsidRPr="00701C3F">
        <w:rPr>
          <w:rFonts w:ascii="Palatino Linotype" w:eastAsia="Calibri" w:hAnsi="Palatino Linotype" w:cs="Arial"/>
          <w:szCs w:val="22"/>
          <w:lang w:val="es-ES" w:eastAsia="es-MX"/>
        </w:rPr>
        <w:t xml:space="preserve"> 122, 135 </w:t>
      </w:r>
      <w:r w:rsidR="006249D2" w:rsidRPr="00701C3F">
        <w:rPr>
          <w:rFonts w:ascii="Palatino Linotype" w:hAnsi="Palatino Linotype" w:cs="Arial"/>
        </w:rPr>
        <w:t>143 y 149, así como los establecido en los Lineamientos Generales en Materia de Clasificación</w:t>
      </w:r>
      <w:r w:rsidR="006249D2" w:rsidRPr="00701C3F">
        <w:rPr>
          <w:rFonts w:ascii="Palatino Linotype" w:hAnsi="Palatino Linotype"/>
        </w:rPr>
        <w:t xml:space="preserve"> </w:t>
      </w:r>
      <w:r w:rsidR="006249D2" w:rsidRPr="00701C3F">
        <w:rPr>
          <w:rFonts w:ascii="Palatino Linotype" w:hAnsi="Palatino Linotype" w:cs="Arial"/>
        </w:rPr>
        <w:t>y Desclasificación de la Información.</w:t>
      </w:r>
    </w:p>
    <w:p w:rsidR="006249D2" w:rsidRPr="00701C3F" w:rsidRDefault="006249D2" w:rsidP="00B258AA">
      <w:pPr>
        <w:spacing w:before="240" w:after="240" w:line="360" w:lineRule="auto"/>
        <w:jc w:val="both"/>
        <w:rPr>
          <w:rFonts w:ascii="Palatino Linotype" w:eastAsia="MS Mincho" w:hAnsi="Palatino Linotype" w:cs="Times New Roman"/>
        </w:rPr>
      </w:pPr>
    </w:p>
    <w:p w:rsidR="000404FD" w:rsidRPr="00701C3F" w:rsidRDefault="000404FD" w:rsidP="00E81879">
      <w:pPr>
        <w:spacing w:before="240" w:after="240" w:line="360" w:lineRule="auto"/>
        <w:jc w:val="both"/>
        <w:rPr>
          <w:rFonts w:ascii="Palatino Linotype" w:eastAsia="Calibri" w:hAnsi="Palatino Linotype" w:cs="Arial"/>
          <w:b/>
          <w:szCs w:val="22"/>
          <w:lang w:val="es-ES" w:eastAsia="es-MX"/>
        </w:rPr>
      </w:pPr>
    </w:p>
    <w:p w:rsidR="00F61DF9" w:rsidRPr="00701C3F" w:rsidRDefault="00F61DF9" w:rsidP="00E81879">
      <w:pPr>
        <w:spacing w:before="240" w:after="240" w:line="360" w:lineRule="auto"/>
        <w:jc w:val="both"/>
        <w:rPr>
          <w:rFonts w:ascii="Palatino Linotype" w:eastAsia="Calibri" w:hAnsi="Palatino Linotype" w:cs="Arial"/>
          <w:b/>
          <w:szCs w:val="22"/>
          <w:lang w:val="es-ES" w:eastAsia="es-MX"/>
        </w:rPr>
      </w:pPr>
    </w:p>
    <w:p w:rsidR="00F61DF9" w:rsidRPr="00701C3F" w:rsidRDefault="00F61DF9" w:rsidP="00E81879">
      <w:pPr>
        <w:spacing w:before="240" w:after="240" w:line="360" w:lineRule="auto"/>
        <w:jc w:val="both"/>
        <w:rPr>
          <w:rFonts w:ascii="Palatino Linotype" w:eastAsia="Calibri" w:hAnsi="Palatino Linotype" w:cs="Arial"/>
          <w:b/>
          <w:szCs w:val="22"/>
          <w:lang w:val="es-ES" w:eastAsia="es-MX"/>
        </w:rPr>
      </w:pPr>
    </w:p>
    <w:p w:rsidR="00F61DF9" w:rsidRPr="00701C3F" w:rsidRDefault="00F61DF9" w:rsidP="00E81879">
      <w:pPr>
        <w:spacing w:before="240" w:after="240" w:line="360" w:lineRule="auto"/>
        <w:jc w:val="both"/>
        <w:rPr>
          <w:rFonts w:ascii="Palatino Linotype" w:eastAsia="Calibri" w:hAnsi="Palatino Linotype" w:cs="Arial"/>
          <w:b/>
          <w:szCs w:val="22"/>
          <w:lang w:val="es-ES" w:eastAsia="es-MX"/>
        </w:rPr>
      </w:pPr>
    </w:p>
    <w:p w:rsidR="00F61DF9" w:rsidRPr="00701C3F" w:rsidRDefault="00F61DF9" w:rsidP="00E81879">
      <w:pPr>
        <w:spacing w:before="240" w:after="240" w:line="360" w:lineRule="auto"/>
        <w:jc w:val="both"/>
        <w:rPr>
          <w:rFonts w:ascii="Palatino Linotype" w:eastAsia="Calibri" w:hAnsi="Palatino Linotype" w:cs="Arial"/>
          <w:b/>
          <w:szCs w:val="22"/>
          <w:lang w:val="es-ES" w:eastAsia="es-MX"/>
        </w:rPr>
      </w:pPr>
    </w:p>
    <w:p w:rsidR="00F61DF9" w:rsidRPr="00701C3F" w:rsidRDefault="00F61DF9" w:rsidP="00E81879">
      <w:pPr>
        <w:spacing w:before="240" w:after="240" w:line="360" w:lineRule="auto"/>
        <w:jc w:val="both"/>
        <w:rPr>
          <w:rFonts w:ascii="Palatino Linotype" w:eastAsia="Calibri" w:hAnsi="Palatino Linotype" w:cs="Arial"/>
          <w:b/>
          <w:szCs w:val="22"/>
          <w:lang w:val="es-ES" w:eastAsia="es-MX"/>
        </w:rPr>
      </w:pPr>
    </w:p>
    <w:p w:rsidR="002A5BA4" w:rsidRPr="00701C3F" w:rsidRDefault="002A5BA4" w:rsidP="002A5BA4">
      <w:pPr>
        <w:spacing w:before="240" w:after="240" w:line="360" w:lineRule="auto"/>
        <w:jc w:val="center"/>
        <w:rPr>
          <w:rFonts w:ascii="Palatino Linotype" w:hAnsi="Palatino Linotype"/>
        </w:rPr>
      </w:pPr>
      <w:r w:rsidRPr="00701C3F">
        <w:rPr>
          <w:rFonts w:ascii="Palatino Linotype" w:hAnsi="Palatino Linotype"/>
          <w:b/>
        </w:rPr>
        <w:t>Índice</w:t>
      </w:r>
      <w:r w:rsidRPr="00701C3F">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bCs/>
        </w:rPr>
      </w:sdtEndPr>
      <w:sdtContent>
        <w:p w:rsidR="002A5BA4" w:rsidRPr="00701C3F" w:rsidRDefault="002A5BA4" w:rsidP="002A5BA4">
          <w:pPr>
            <w:pStyle w:val="TtulodeTDC"/>
            <w:spacing w:line="480" w:lineRule="auto"/>
          </w:pPr>
        </w:p>
        <w:p w:rsidR="00D864CE" w:rsidRPr="00701C3F" w:rsidRDefault="002A5BA4">
          <w:pPr>
            <w:pStyle w:val="TDC1"/>
            <w:tabs>
              <w:tab w:val="right" w:leader="dot" w:pos="8779"/>
            </w:tabs>
            <w:rPr>
              <w:noProof/>
              <w:sz w:val="22"/>
              <w:szCs w:val="22"/>
              <w:lang w:val="es-MX" w:eastAsia="es-MX"/>
            </w:rPr>
          </w:pPr>
          <w:r w:rsidRPr="00701C3F">
            <w:rPr>
              <w:rFonts w:ascii="Palatino Linotype" w:hAnsi="Palatino Linotype"/>
              <w:b/>
            </w:rPr>
            <w:fldChar w:fldCharType="begin"/>
          </w:r>
          <w:r w:rsidRPr="00701C3F">
            <w:rPr>
              <w:rFonts w:ascii="Palatino Linotype" w:hAnsi="Palatino Linotype"/>
              <w:b/>
            </w:rPr>
            <w:instrText xml:space="preserve"> TOC \o "1-3" \h \z \u </w:instrText>
          </w:r>
          <w:r w:rsidRPr="00701C3F">
            <w:rPr>
              <w:rFonts w:ascii="Palatino Linotype" w:hAnsi="Palatino Linotype"/>
              <w:b/>
            </w:rPr>
            <w:fldChar w:fldCharType="separate"/>
          </w:r>
          <w:hyperlink w:anchor="_Toc286701" w:history="1">
            <w:r w:rsidR="00D864CE" w:rsidRPr="00701C3F">
              <w:rPr>
                <w:rStyle w:val="Hipervnculo"/>
                <w:noProof/>
              </w:rPr>
              <w:t>ANTECEDENTES</w:t>
            </w:r>
            <w:r w:rsidR="00D864CE" w:rsidRPr="00701C3F">
              <w:rPr>
                <w:noProof/>
                <w:webHidden/>
              </w:rPr>
              <w:tab/>
            </w:r>
            <w:r w:rsidR="00D864CE" w:rsidRPr="00701C3F">
              <w:rPr>
                <w:noProof/>
                <w:webHidden/>
              </w:rPr>
              <w:fldChar w:fldCharType="begin"/>
            </w:r>
            <w:r w:rsidR="00D864CE" w:rsidRPr="00701C3F">
              <w:rPr>
                <w:noProof/>
                <w:webHidden/>
              </w:rPr>
              <w:instrText xml:space="preserve"> PAGEREF _Toc286701 \h </w:instrText>
            </w:r>
            <w:r w:rsidR="00D864CE" w:rsidRPr="00701C3F">
              <w:rPr>
                <w:noProof/>
                <w:webHidden/>
              </w:rPr>
            </w:r>
            <w:r w:rsidR="00D864CE" w:rsidRPr="00701C3F">
              <w:rPr>
                <w:noProof/>
                <w:webHidden/>
              </w:rPr>
              <w:fldChar w:fldCharType="separate"/>
            </w:r>
            <w:r w:rsidR="009400E2">
              <w:rPr>
                <w:noProof/>
                <w:webHidden/>
              </w:rPr>
              <w:t>3</w:t>
            </w:r>
            <w:r w:rsidR="00D864CE" w:rsidRPr="00701C3F">
              <w:rPr>
                <w:noProof/>
                <w:webHidden/>
              </w:rPr>
              <w:fldChar w:fldCharType="end"/>
            </w:r>
          </w:hyperlink>
        </w:p>
        <w:p w:rsidR="00D864CE" w:rsidRPr="00701C3F" w:rsidRDefault="00FA1917">
          <w:pPr>
            <w:pStyle w:val="TDC1"/>
            <w:tabs>
              <w:tab w:val="right" w:leader="dot" w:pos="8779"/>
            </w:tabs>
            <w:rPr>
              <w:noProof/>
              <w:sz w:val="22"/>
              <w:szCs w:val="22"/>
              <w:lang w:val="es-MX" w:eastAsia="es-MX"/>
            </w:rPr>
          </w:pPr>
          <w:hyperlink w:anchor="_Toc286702" w:history="1">
            <w:r w:rsidR="00D864CE" w:rsidRPr="00701C3F">
              <w:rPr>
                <w:rStyle w:val="Hipervnculo"/>
                <w:noProof/>
              </w:rPr>
              <w:t>CONSIDERANDO</w:t>
            </w:r>
            <w:r w:rsidR="00D864CE" w:rsidRPr="00701C3F">
              <w:rPr>
                <w:noProof/>
                <w:webHidden/>
              </w:rPr>
              <w:tab/>
            </w:r>
            <w:r w:rsidR="00D864CE" w:rsidRPr="00701C3F">
              <w:rPr>
                <w:noProof/>
                <w:webHidden/>
              </w:rPr>
              <w:fldChar w:fldCharType="begin"/>
            </w:r>
            <w:r w:rsidR="00D864CE" w:rsidRPr="00701C3F">
              <w:rPr>
                <w:noProof/>
                <w:webHidden/>
              </w:rPr>
              <w:instrText xml:space="preserve"> PAGEREF _Toc286702 \h </w:instrText>
            </w:r>
            <w:r w:rsidR="00D864CE" w:rsidRPr="00701C3F">
              <w:rPr>
                <w:noProof/>
                <w:webHidden/>
              </w:rPr>
            </w:r>
            <w:r w:rsidR="00D864CE" w:rsidRPr="00701C3F">
              <w:rPr>
                <w:noProof/>
                <w:webHidden/>
              </w:rPr>
              <w:fldChar w:fldCharType="separate"/>
            </w:r>
            <w:r w:rsidR="009400E2">
              <w:rPr>
                <w:noProof/>
                <w:webHidden/>
              </w:rPr>
              <w:t>6</w:t>
            </w:r>
            <w:r w:rsidR="00D864CE" w:rsidRPr="00701C3F">
              <w:rPr>
                <w:noProof/>
                <w:webHidden/>
              </w:rPr>
              <w:fldChar w:fldCharType="end"/>
            </w:r>
          </w:hyperlink>
        </w:p>
        <w:p w:rsidR="00D864CE" w:rsidRPr="00701C3F" w:rsidRDefault="00FA1917">
          <w:pPr>
            <w:pStyle w:val="TDC2"/>
            <w:rPr>
              <w:noProof/>
              <w:sz w:val="22"/>
              <w:szCs w:val="22"/>
              <w:lang w:val="es-MX" w:eastAsia="es-MX"/>
            </w:rPr>
          </w:pPr>
          <w:hyperlink w:anchor="_Toc286703" w:history="1">
            <w:r w:rsidR="00D864CE" w:rsidRPr="00701C3F">
              <w:rPr>
                <w:rStyle w:val="Hipervnculo"/>
                <w:rFonts w:ascii="Palatino Linotype" w:hAnsi="Palatino Linotype"/>
                <w:b/>
                <w:noProof/>
              </w:rPr>
              <w:t>PRIMERO. De la competencia</w:t>
            </w:r>
            <w:r w:rsidR="00D864CE" w:rsidRPr="00701C3F">
              <w:rPr>
                <w:noProof/>
                <w:webHidden/>
              </w:rPr>
              <w:tab/>
            </w:r>
            <w:r w:rsidR="00D864CE" w:rsidRPr="00701C3F">
              <w:rPr>
                <w:noProof/>
                <w:webHidden/>
              </w:rPr>
              <w:fldChar w:fldCharType="begin"/>
            </w:r>
            <w:r w:rsidR="00D864CE" w:rsidRPr="00701C3F">
              <w:rPr>
                <w:noProof/>
                <w:webHidden/>
              </w:rPr>
              <w:instrText xml:space="preserve"> PAGEREF _Toc286703 \h </w:instrText>
            </w:r>
            <w:r w:rsidR="00D864CE" w:rsidRPr="00701C3F">
              <w:rPr>
                <w:noProof/>
                <w:webHidden/>
              </w:rPr>
            </w:r>
            <w:r w:rsidR="00D864CE" w:rsidRPr="00701C3F">
              <w:rPr>
                <w:noProof/>
                <w:webHidden/>
              </w:rPr>
              <w:fldChar w:fldCharType="separate"/>
            </w:r>
            <w:r w:rsidR="009400E2">
              <w:rPr>
                <w:noProof/>
                <w:webHidden/>
              </w:rPr>
              <w:t>6</w:t>
            </w:r>
            <w:r w:rsidR="00D864CE" w:rsidRPr="00701C3F">
              <w:rPr>
                <w:noProof/>
                <w:webHidden/>
              </w:rPr>
              <w:fldChar w:fldCharType="end"/>
            </w:r>
          </w:hyperlink>
        </w:p>
        <w:p w:rsidR="00D864CE" w:rsidRPr="00701C3F" w:rsidRDefault="00FA1917">
          <w:pPr>
            <w:pStyle w:val="TDC2"/>
            <w:rPr>
              <w:noProof/>
              <w:sz w:val="22"/>
              <w:szCs w:val="22"/>
              <w:lang w:val="es-MX" w:eastAsia="es-MX"/>
            </w:rPr>
          </w:pPr>
          <w:hyperlink w:anchor="_Toc286704" w:history="1">
            <w:r w:rsidR="00D864CE" w:rsidRPr="00701C3F">
              <w:rPr>
                <w:rStyle w:val="Hipervnculo"/>
                <w:rFonts w:ascii="Palatino Linotype" w:hAnsi="Palatino Linotype"/>
                <w:b/>
                <w:noProof/>
              </w:rPr>
              <w:t>SEGUNDO. De la oportunidad y procedencia.</w:t>
            </w:r>
            <w:r w:rsidR="00D864CE" w:rsidRPr="00701C3F">
              <w:rPr>
                <w:noProof/>
                <w:webHidden/>
              </w:rPr>
              <w:tab/>
            </w:r>
            <w:r w:rsidR="00D864CE" w:rsidRPr="00701C3F">
              <w:rPr>
                <w:noProof/>
                <w:webHidden/>
              </w:rPr>
              <w:fldChar w:fldCharType="begin"/>
            </w:r>
            <w:r w:rsidR="00D864CE" w:rsidRPr="00701C3F">
              <w:rPr>
                <w:noProof/>
                <w:webHidden/>
              </w:rPr>
              <w:instrText xml:space="preserve"> PAGEREF _Toc286704 \h </w:instrText>
            </w:r>
            <w:r w:rsidR="00D864CE" w:rsidRPr="00701C3F">
              <w:rPr>
                <w:noProof/>
                <w:webHidden/>
              </w:rPr>
            </w:r>
            <w:r w:rsidR="00D864CE" w:rsidRPr="00701C3F">
              <w:rPr>
                <w:noProof/>
                <w:webHidden/>
              </w:rPr>
              <w:fldChar w:fldCharType="separate"/>
            </w:r>
            <w:r w:rsidR="009400E2">
              <w:rPr>
                <w:noProof/>
                <w:webHidden/>
              </w:rPr>
              <w:t>7</w:t>
            </w:r>
            <w:r w:rsidR="00D864CE" w:rsidRPr="00701C3F">
              <w:rPr>
                <w:noProof/>
                <w:webHidden/>
              </w:rPr>
              <w:fldChar w:fldCharType="end"/>
            </w:r>
          </w:hyperlink>
        </w:p>
        <w:p w:rsidR="00D864CE" w:rsidRPr="00701C3F" w:rsidRDefault="00FA1917">
          <w:pPr>
            <w:pStyle w:val="TDC1"/>
            <w:tabs>
              <w:tab w:val="right" w:leader="dot" w:pos="8779"/>
            </w:tabs>
            <w:rPr>
              <w:noProof/>
              <w:sz w:val="22"/>
              <w:szCs w:val="22"/>
              <w:lang w:val="es-MX" w:eastAsia="es-MX"/>
            </w:rPr>
          </w:pPr>
          <w:hyperlink w:anchor="_Toc286705" w:history="1">
            <w:r w:rsidR="00D864CE" w:rsidRPr="00701C3F">
              <w:rPr>
                <w:rStyle w:val="Hipervnculo"/>
                <w:noProof/>
                <w:lang w:eastAsia="es-MX"/>
              </w:rPr>
              <w:t>TERCERO. Planteamiento de la Litis</w:t>
            </w:r>
            <w:r w:rsidR="00D864CE" w:rsidRPr="00701C3F">
              <w:rPr>
                <w:noProof/>
                <w:webHidden/>
              </w:rPr>
              <w:tab/>
            </w:r>
            <w:r w:rsidR="00D864CE" w:rsidRPr="00701C3F">
              <w:rPr>
                <w:noProof/>
                <w:webHidden/>
              </w:rPr>
              <w:fldChar w:fldCharType="begin"/>
            </w:r>
            <w:r w:rsidR="00D864CE" w:rsidRPr="00701C3F">
              <w:rPr>
                <w:noProof/>
                <w:webHidden/>
              </w:rPr>
              <w:instrText xml:space="preserve"> PAGEREF _Toc286705 \h </w:instrText>
            </w:r>
            <w:r w:rsidR="00D864CE" w:rsidRPr="00701C3F">
              <w:rPr>
                <w:noProof/>
                <w:webHidden/>
              </w:rPr>
            </w:r>
            <w:r w:rsidR="00D864CE" w:rsidRPr="00701C3F">
              <w:rPr>
                <w:noProof/>
                <w:webHidden/>
              </w:rPr>
              <w:fldChar w:fldCharType="separate"/>
            </w:r>
            <w:r w:rsidR="009400E2">
              <w:rPr>
                <w:noProof/>
                <w:webHidden/>
              </w:rPr>
              <w:t>8</w:t>
            </w:r>
            <w:r w:rsidR="00D864CE" w:rsidRPr="00701C3F">
              <w:rPr>
                <w:noProof/>
                <w:webHidden/>
              </w:rPr>
              <w:fldChar w:fldCharType="end"/>
            </w:r>
          </w:hyperlink>
        </w:p>
        <w:p w:rsidR="00D864CE" w:rsidRPr="00701C3F" w:rsidRDefault="00FA1917">
          <w:pPr>
            <w:pStyle w:val="TDC1"/>
            <w:tabs>
              <w:tab w:val="right" w:leader="dot" w:pos="8779"/>
            </w:tabs>
            <w:rPr>
              <w:noProof/>
              <w:sz w:val="22"/>
              <w:szCs w:val="22"/>
              <w:lang w:val="es-MX" w:eastAsia="es-MX"/>
            </w:rPr>
          </w:pPr>
          <w:hyperlink w:anchor="_Toc286706" w:history="1">
            <w:r w:rsidR="00D864CE" w:rsidRPr="00701C3F">
              <w:rPr>
                <w:rStyle w:val="Hipervnculo"/>
                <w:noProof/>
              </w:rPr>
              <w:t>CUARTO. Análisis y resolución del asunto</w:t>
            </w:r>
            <w:r w:rsidR="00D864CE" w:rsidRPr="00701C3F">
              <w:rPr>
                <w:noProof/>
                <w:webHidden/>
              </w:rPr>
              <w:tab/>
            </w:r>
            <w:r w:rsidR="00D864CE" w:rsidRPr="00701C3F">
              <w:rPr>
                <w:noProof/>
                <w:webHidden/>
              </w:rPr>
              <w:fldChar w:fldCharType="begin"/>
            </w:r>
            <w:r w:rsidR="00D864CE" w:rsidRPr="00701C3F">
              <w:rPr>
                <w:noProof/>
                <w:webHidden/>
              </w:rPr>
              <w:instrText xml:space="preserve"> PAGEREF _Toc286706 \h </w:instrText>
            </w:r>
            <w:r w:rsidR="00D864CE" w:rsidRPr="00701C3F">
              <w:rPr>
                <w:noProof/>
                <w:webHidden/>
              </w:rPr>
            </w:r>
            <w:r w:rsidR="00D864CE" w:rsidRPr="00701C3F">
              <w:rPr>
                <w:noProof/>
                <w:webHidden/>
              </w:rPr>
              <w:fldChar w:fldCharType="separate"/>
            </w:r>
            <w:r w:rsidR="009400E2">
              <w:rPr>
                <w:noProof/>
                <w:webHidden/>
              </w:rPr>
              <w:t>8</w:t>
            </w:r>
            <w:r w:rsidR="00D864CE" w:rsidRPr="00701C3F">
              <w:rPr>
                <w:noProof/>
                <w:webHidden/>
              </w:rPr>
              <w:fldChar w:fldCharType="end"/>
            </w:r>
          </w:hyperlink>
        </w:p>
        <w:p w:rsidR="00D864CE" w:rsidRPr="00701C3F" w:rsidRDefault="00FA1917">
          <w:pPr>
            <w:pStyle w:val="TDC2"/>
            <w:tabs>
              <w:tab w:val="left" w:pos="660"/>
            </w:tabs>
            <w:rPr>
              <w:noProof/>
              <w:sz w:val="22"/>
              <w:szCs w:val="22"/>
              <w:lang w:val="es-MX" w:eastAsia="es-MX"/>
            </w:rPr>
          </w:pPr>
          <w:hyperlink w:anchor="_Toc286707" w:history="1">
            <w:r w:rsidR="00D864CE" w:rsidRPr="00701C3F">
              <w:rPr>
                <w:rStyle w:val="Hipervnculo"/>
                <w:rFonts w:ascii="Palatino Linotype" w:hAnsi="Palatino Linotype"/>
                <w:b/>
                <w:noProof/>
              </w:rPr>
              <w:t>A)</w:t>
            </w:r>
            <w:r w:rsidR="00D864CE" w:rsidRPr="00701C3F">
              <w:rPr>
                <w:noProof/>
                <w:sz w:val="22"/>
                <w:szCs w:val="22"/>
                <w:lang w:val="es-MX" w:eastAsia="es-MX"/>
              </w:rPr>
              <w:tab/>
            </w:r>
            <w:r w:rsidR="00D864CE" w:rsidRPr="00701C3F">
              <w:rPr>
                <w:rStyle w:val="Hipervnculo"/>
                <w:rFonts w:ascii="Palatino Linotype" w:hAnsi="Palatino Linotype"/>
                <w:b/>
                <w:noProof/>
              </w:rPr>
              <w:t>De la respuesta del Sujeto Obligado.</w:t>
            </w:r>
            <w:r w:rsidR="00D864CE" w:rsidRPr="00701C3F">
              <w:rPr>
                <w:noProof/>
                <w:webHidden/>
              </w:rPr>
              <w:tab/>
            </w:r>
            <w:r w:rsidR="00D864CE" w:rsidRPr="00701C3F">
              <w:rPr>
                <w:noProof/>
                <w:webHidden/>
              </w:rPr>
              <w:fldChar w:fldCharType="begin"/>
            </w:r>
            <w:r w:rsidR="00D864CE" w:rsidRPr="00701C3F">
              <w:rPr>
                <w:noProof/>
                <w:webHidden/>
              </w:rPr>
              <w:instrText xml:space="preserve"> PAGEREF _Toc286707 \h </w:instrText>
            </w:r>
            <w:r w:rsidR="00D864CE" w:rsidRPr="00701C3F">
              <w:rPr>
                <w:noProof/>
                <w:webHidden/>
              </w:rPr>
            </w:r>
            <w:r w:rsidR="00D864CE" w:rsidRPr="00701C3F">
              <w:rPr>
                <w:noProof/>
                <w:webHidden/>
              </w:rPr>
              <w:fldChar w:fldCharType="separate"/>
            </w:r>
            <w:r w:rsidR="009400E2">
              <w:rPr>
                <w:noProof/>
                <w:webHidden/>
              </w:rPr>
              <w:t>8</w:t>
            </w:r>
            <w:r w:rsidR="00D864CE" w:rsidRPr="00701C3F">
              <w:rPr>
                <w:noProof/>
                <w:webHidden/>
              </w:rPr>
              <w:fldChar w:fldCharType="end"/>
            </w:r>
          </w:hyperlink>
        </w:p>
        <w:p w:rsidR="00D864CE" w:rsidRPr="00701C3F" w:rsidRDefault="00FA1917">
          <w:pPr>
            <w:pStyle w:val="TDC1"/>
            <w:tabs>
              <w:tab w:val="right" w:leader="dot" w:pos="8779"/>
            </w:tabs>
            <w:rPr>
              <w:noProof/>
              <w:sz w:val="22"/>
              <w:szCs w:val="22"/>
              <w:lang w:val="es-MX" w:eastAsia="es-MX"/>
            </w:rPr>
          </w:pPr>
          <w:hyperlink w:anchor="_Toc286708" w:history="1">
            <w:r w:rsidR="00D864CE" w:rsidRPr="00701C3F">
              <w:rPr>
                <w:rStyle w:val="Hipervnculo"/>
                <w:rFonts w:ascii="Palatino Linotype" w:eastAsia="Times New Roman" w:hAnsi="Palatino Linotype" w:cstheme="majorBidi"/>
                <w:b/>
                <w:bCs/>
                <w:noProof/>
              </w:rPr>
              <w:t>R E S O L U T I V O S</w:t>
            </w:r>
            <w:r w:rsidR="00D864CE" w:rsidRPr="00701C3F">
              <w:rPr>
                <w:noProof/>
                <w:webHidden/>
              </w:rPr>
              <w:tab/>
            </w:r>
            <w:r w:rsidR="00D864CE" w:rsidRPr="00701C3F">
              <w:rPr>
                <w:noProof/>
                <w:webHidden/>
              </w:rPr>
              <w:fldChar w:fldCharType="begin"/>
            </w:r>
            <w:r w:rsidR="00D864CE" w:rsidRPr="00701C3F">
              <w:rPr>
                <w:noProof/>
                <w:webHidden/>
              </w:rPr>
              <w:instrText xml:space="preserve"> PAGEREF _Toc286708 \h </w:instrText>
            </w:r>
            <w:r w:rsidR="00D864CE" w:rsidRPr="00701C3F">
              <w:rPr>
                <w:noProof/>
                <w:webHidden/>
              </w:rPr>
            </w:r>
            <w:r w:rsidR="00D864CE" w:rsidRPr="00701C3F">
              <w:rPr>
                <w:noProof/>
                <w:webHidden/>
              </w:rPr>
              <w:fldChar w:fldCharType="separate"/>
            </w:r>
            <w:r w:rsidR="009400E2">
              <w:rPr>
                <w:noProof/>
                <w:webHidden/>
              </w:rPr>
              <w:t>35</w:t>
            </w:r>
            <w:r w:rsidR="00D864CE" w:rsidRPr="00701C3F">
              <w:rPr>
                <w:noProof/>
                <w:webHidden/>
              </w:rPr>
              <w:fldChar w:fldCharType="end"/>
            </w:r>
          </w:hyperlink>
        </w:p>
        <w:p w:rsidR="002A5BA4" w:rsidRPr="00701C3F" w:rsidRDefault="002A5BA4" w:rsidP="002A5BA4">
          <w:pPr>
            <w:spacing w:line="480" w:lineRule="auto"/>
          </w:pPr>
          <w:r w:rsidRPr="00701C3F">
            <w:rPr>
              <w:rFonts w:ascii="Palatino Linotype" w:hAnsi="Palatino Linotype"/>
              <w:b/>
              <w:bCs/>
              <w:lang w:val="es-ES"/>
            </w:rPr>
            <w:fldChar w:fldCharType="end"/>
          </w:r>
        </w:p>
      </w:sdtContent>
    </w:sdt>
    <w:p w:rsidR="002A5BA4" w:rsidRPr="00701C3F" w:rsidRDefault="00FF1728" w:rsidP="002A5BA4">
      <w:pPr>
        <w:spacing w:before="240" w:after="240" w:line="360" w:lineRule="auto"/>
        <w:jc w:val="both"/>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165036</wp:posOffset>
                </wp:positionV>
                <wp:extent cx="5557741" cy="3688066"/>
                <wp:effectExtent l="19050" t="19050" r="24130" b="27305"/>
                <wp:wrapNone/>
                <wp:docPr id="3" name="Conector recto 3"/>
                <wp:cNvGraphicFramePr/>
                <a:graphic xmlns:a="http://schemas.openxmlformats.org/drawingml/2006/main">
                  <a:graphicData uri="http://schemas.microsoft.com/office/word/2010/wordprocessingShape">
                    <wps:wsp>
                      <wps:cNvCnPr/>
                      <wps:spPr>
                        <a:xfrm>
                          <a:off x="0" y="0"/>
                          <a:ext cx="5557741" cy="3688066"/>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6740A6" id="Conector recto 3" o:spid="_x0000_s1026" style="position:absolute;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pt" to="437.6pt,30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" strokecolor="#5b9bd5 [3204]" strokeweight="3pt">
                <v:stroke joinstyle="miter"/>
                <w10:wrap anchorx="margin"/>
              </v:line>
            </w:pict>
          </mc:Fallback>
        </mc:AlternateContent>
      </w:r>
    </w:p>
    <w:p w:rsidR="00F61DF9" w:rsidRPr="00701C3F" w:rsidRDefault="00F61DF9" w:rsidP="002A5BA4">
      <w:pPr>
        <w:spacing w:before="240" w:after="240" w:line="360" w:lineRule="auto"/>
        <w:jc w:val="both"/>
        <w:rPr>
          <w:rFonts w:ascii="Palatino Linotype" w:hAnsi="Palatino Linotype"/>
        </w:rPr>
      </w:pPr>
    </w:p>
    <w:p w:rsidR="00F61DF9" w:rsidRPr="00701C3F" w:rsidRDefault="00F61DF9" w:rsidP="002A5BA4">
      <w:pPr>
        <w:spacing w:before="240" w:after="240" w:line="360" w:lineRule="auto"/>
        <w:jc w:val="both"/>
        <w:rPr>
          <w:rFonts w:ascii="Palatino Linotype" w:hAnsi="Palatino Linotype"/>
        </w:rPr>
      </w:pPr>
    </w:p>
    <w:p w:rsidR="00F61DF9" w:rsidRPr="00701C3F" w:rsidRDefault="00F61DF9" w:rsidP="002A5BA4">
      <w:pPr>
        <w:spacing w:before="240" w:after="240" w:line="360" w:lineRule="auto"/>
        <w:jc w:val="both"/>
        <w:rPr>
          <w:rFonts w:ascii="Palatino Linotype" w:hAnsi="Palatino Linotype"/>
        </w:rPr>
      </w:pPr>
    </w:p>
    <w:p w:rsidR="00F61DF9" w:rsidRPr="00701C3F" w:rsidRDefault="00F61DF9" w:rsidP="002A5BA4">
      <w:pPr>
        <w:spacing w:before="240" w:after="240" w:line="360" w:lineRule="auto"/>
        <w:jc w:val="both"/>
        <w:rPr>
          <w:rFonts w:ascii="Palatino Linotype" w:hAnsi="Palatino Linotype"/>
        </w:rPr>
      </w:pPr>
    </w:p>
    <w:p w:rsidR="00F61DF9" w:rsidRPr="00701C3F" w:rsidRDefault="00F61DF9" w:rsidP="002A5BA4">
      <w:pPr>
        <w:spacing w:before="240" w:after="240" w:line="360" w:lineRule="auto"/>
        <w:jc w:val="both"/>
        <w:rPr>
          <w:rFonts w:ascii="Palatino Linotype" w:hAnsi="Palatino Linotype"/>
        </w:rPr>
      </w:pPr>
    </w:p>
    <w:p w:rsidR="002A5BA4" w:rsidRPr="00701C3F" w:rsidRDefault="002A5BA4" w:rsidP="002A5BA4">
      <w:pPr>
        <w:spacing w:before="240" w:after="240" w:line="360" w:lineRule="auto"/>
        <w:jc w:val="both"/>
        <w:rPr>
          <w:rFonts w:ascii="Palatino Linotype" w:hAnsi="Palatino Linotype"/>
        </w:rPr>
      </w:pPr>
    </w:p>
    <w:p w:rsidR="002A5BA4" w:rsidRPr="00701C3F" w:rsidRDefault="002A5BA4" w:rsidP="002A5BA4">
      <w:pPr>
        <w:spacing w:before="240" w:after="240" w:line="360" w:lineRule="auto"/>
        <w:jc w:val="both"/>
        <w:rPr>
          <w:rFonts w:ascii="Palatino Linotype" w:hAnsi="Palatino Linotype"/>
        </w:rPr>
      </w:pPr>
    </w:p>
    <w:p w:rsidR="002A5BA4" w:rsidRPr="00701C3F" w:rsidRDefault="002A5BA4" w:rsidP="002A5BA4">
      <w:pPr>
        <w:spacing w:before="240" w:after="240" w:line="360" w:lineRule="auto"/>
        <w:jc w:val="both"/>
        <w:rPr>
          <w:rFonts w:ascii="Palatino Linotype" w:hAnsi="Palatino Linotype"/>
        </w:rPr>
      </w:pPr>
      <w:r w:rsidRPr="00701C3F">
        <w:rPr>
          <w:rFonts w:ascii="Palatino Linotype" w:hAnsi="Palatino Linotype"/>
        </w:rPr>
        <w:lastRenderedPageBreak/>
        <w:t>Resolución del Pleno del Instituto de Transparencia, Acceso a la Información Pública y Protección de Datos Personales del Estado de México y Municipios, con domicilio en Mete</w:t>
      </w:r>
      <w:r w:rsidR="009400E2">
        <w:rPr>
          <w:rFonts w:ascii="Palatino Linotype" w:hAnsi="Palatino Linotype"/>
        </w:rPr>
        <w:t xml:space="preserve">pec, Estado de México; de fecha veinte </w:t>
      </w:r>
      <w:r w:rsidRPr="00701C3F">
        <w:rPr>
          <w:rFonts w:ascii="Palatino Linotype" w:hAnsi="Palatino Linotype"/>
        </w:rPr>
        <w:t>(</w:t>
      </w:r>
      <w:r w:rsidR="006F1C8B">
        <w:rPr>
          <w:rFonts w:ascii="Palatino Linotype" w:hAnsi="Palatino Linotype"/>
        </w:rPr>
        <w:t>20</w:t>
      </w:r>
      <w:r w:rsidRPr="00701C3F">
        <w:rPr>
          <w:rFonts w:ascii="Palatino Linotype" w:hAnsi="Palatino Linotype"/>
        </w:rPr>
        <w:t xml:space="preserve">) de </w:t>
      </w:r>
      <w:r w:rsidR="00347BB3" w:rsidRPr="00701C3F">
        <w:rPr>
          <w:rFonts w:ascii="Palatino Linotype" w:hAnsi="Palatino Linotype"/>
        </w:rPr>
        <w:t>febrero</w:t>
      </w:r>
      <w:r w:rsidRPr="00701C3F">
        <w:rPr>
          <w:rFonts w:ascii="Palatino Linotype" w:hAnsi="Palatino Linotype"/>
        </w:rPr>
        <w:t xml:space="preserve"> de dos mil </w:t>
      </w:r>
      <w:r w:rsidR="006F1C8B">
        <w:rPr>
          <w:rFonts w:ascii="Palatino Linotype" w:eastAsia="Calibri" w:hAnsi="Palatino Linotype" w:cs="Arial"/>
          <w:lang w:val="es-ES"/>
        </w:rPr>
        <w:t>diecinueve.</w:t>
      </w:r>
    </w:p>
    <w:p w:rsidR="002A5BA4" w:rsidRPr="00701C3F" w:rsidRDefault="002A5BA4" w:rsidP="002A5BA4">
      <w:pPr>
        <w:spacing w:before="240" w:after="360" w:line="360" w:lineRule="auto"/>
        <w:jc w:val="both"/>
        <w:rPr>
          <w:rFonts w:ascii="Palatino Linotype" w:hAnsi="Palatino Linotype" w:cs="Arial"/>
          <w:b/>
          <w:bCs/>
        </w:rPr>
      </w:pPr>
      <w:r w:rsidRPr="00701C3F">
        <w:rPr>
          <w:rFonts w:ascii="Palatino Linotype" w:hAnsi="Palatino Linotype"/>
          <w:b/>
        </w:rPr>
        <w:t>VISTO</w:t>
      </w:r>
      <w:r w:rsidR="0036196A" w:rsidRPr="00701C3F">
        <w:rPr>
          <w:rFonts w:ascii="Palatino Linotype" w:hAnsi="Palatino Linotype"/>
          <w:b/>
        </w:rPr>
        <w:t xml:space="preserve"> </w:t>
      </w:r>
      <w:r w:rsidR="0036196A" w:rsidRPr="00701C3F">
        <w:rPr>
          <w:rFonts w:ascii="Palatino Linotype" w:hAnsi="Palatino Linotype"/>
        </w:rPr>
        <w:t>el</w:t>
      </w:r>
      <w:r w:rsidRPr="00701C3F">
        <w:rPr>
          <w:rFonts w:ascii="Palatino Linotype" w:hAnsi="Palatino Linotype"/>
        </w:rPr>
        <w:t xml:space="preserve"> expediente</w:t>
      </w:r>
      <w:r w:rsidR="0036196A" w:rsidRPr="00701C3F">
        <w:rPr>
          <w:rFonts w:ascii="Palatino Linotype" w:hAnsi="Palatino Linotype"/>
        </w:rPr>
        <w:t xml:space="preserve"> </w:t>
      </w:r>
      <w:r w:rsidRPr="00701C3F">
        <w:rPr>
          <w:rFonts w:ascii="Palatino Linotype" w:hAnsi="Palatino Linotype"/>
        </w:rPr>
        <w:t xml:space="preserve">electrónico formado con motivo del recurso de revisión </w:t>
      </w:r>
      <w:r w:rsidR="0047128F" w:rsidRPr="00701C3F">
        <w:rPr>
          <w:rFonts w:ascii="Palatino Linotype" w:hAnsi="Palatino Linotype"/>
          <w:b/>
        </w:rPr>
        <w:t>04</w:t>
      </w:r>
      <w:r w:rsidR="00133B65" w:rsidRPr="00701C3F">
        <w:rPr>
          <w:rFonts w:ascii="Palatino Linotype" w:hAnsi="Palatino Linotype" w:cs="Arial"/>
          <w:b/>
          <w:bCs/>
        </w:rPr>
        <w:t>638</w:t>
      </w:r>
      <w:r w:rsidR="000404FD" w:rsidRPr="00701C3F">
        <w:rPr>
          <w:rFonts w:ascii="Palatino Linotype" w:hAnsi="Palatino Linotype" w:cs="Arial"/>
          <w:b/>
          <w:bCs/>
        </w:rPr>
        <w:t>/INFOEM/IP/RR/2018</w:t>
      </w:r>
      <w:r w:rsidR="009A66DF" w:rsidRPr="00701C3F">
        <w:rPr>
          <w:rFonts w:ascii="Palatino Linotype" w:hAnsi="Palatino Linotype" w:cs="Arial"/>
          <w:b/>
          <w:bCs/>
        </w:rPr>
        <w:t xml:space="preserve"> </w:t>
      </w:r>
      <w:r w:rsidRPr="00701C3F">
        <w:rPr>
          <w:rFonts w:ascii="Palatino Linotype" w:hAnsi="Palatino Linotype"/>
        </w:rPr>
        <w:t xml:space="preserve">promovido por </w:t>
      </w:r>
      <w:r w:rsidR="00934ADC" w:rsidRPr="00934ADC">
        <w:rPr>
          <w:rFonts w:ascii="Palatino Linotype" w:hAnsi="Palatino Linotype"/>
          <w:b/>
          <w:highlight w:val="black"/>
        </w:rPr>
        <w:t>---------------------------------------------</w:t>
      </w:r>
      <w:r w:rsidRPr="00701C3F">
        <w:rPr>
          <w:rFonts w:ascii="Palatino Linotype" w:hAnsi="Palatino Linotype"/>
          <w:b/>
          <w:sz w:val="28"/>
        </w:rPr>
        <w:t xml:space="preserve"> </w:t>
      </w:r>
      <w:r w:rsidRPr="00701C3F">
        <w:rPr>
          <w:rFonts w:ascii="Palatino Linotype" w:hAnsi="Palatino Linotype" w:cs="Arial"/>
        </w:rPr>
        <w:t xml:space="preserve">en su calidad de </w:t>
      </w:r>
      <w:r w:rsidRPr="00701C3F">
        <w:rPr>
          <w:rFonts w:ascii="Palatino Linotype" w:hAnsi="Palatino Linotype" w:cs="Arial"/>
          <w:b/>
        </w:rPr>
        <w:t>RECURRENTE</w:t>
      </w:r>
      <w:r w:rsidRPr="00701C3F">
        <w:rPr>
          <w:rFonts w:ascii="Palatino Linotype" w:hAnsi="Palatino Linotype" w:cs="Arial"/>
        </w:rPr>
        <w:t>, en contra de la respuesta de</w:t>
      </w:r>
      <w:r w:rsidR="009A66DF" w:rsidRPr="00701C3F">
        <w:rPr>
          <w:rFonts w:ascii="Palatino Linotype" w:hAnsi="Palatino Linotype" w:cs="Arial"/>
        </w:rPr>
        <w:t xml:space="preserve"> </w:t>
      </w:r>
      <w:r w:rsidRPr="00701C3F">
        <w:rPr>
          <w:rFonts w:ascii="Palatino Linotype" w:hAnsi="Palatino Linotype" w:cs="Arial"/>
        </w:rPr>
        <w:t>l</w:t>
      </w:r>
      <w:r w:rsidR="009A66DF" w:rsidRPr="00701C3F">
        <w:rPr>
          <w:rFonts w:ascii="Palatino Linotype" w:hAnsi="Palatino Linotype" w:cs="Arial"/>
        </w:rPr>
        <w:t>a</w:t>
      </w:r>
      <w:r w:rsidRPr="00701C3F">
        <w:rPr>
          <w:rFonts w:ascii="Palatino Linotype" w:hAnsi="Palatino Linotype" w:cs="Arial"/>
        </w:rPr>
        <w:t xml:space="preserve"> </w:t>
      </w:r>
      <w:r w:rsidR="00133B65" w:rsidRPr="00701C3F">
        <w:rPr>
          <w:rFonts w:ascii="Palatino Linotype" w:hAnsi="Palatino Linotype"/>
          <w:b/>
          <w:bCs/>
          <w:szCs w:val="22"/>
        </w:rPr>
        <w:t>Secretaría de Justicia y Derechos Humanos</w:t>
      </w:r>
      <w:r w:rsidRPr="00701C3F">
        <w:rPr>
          <w:rFonts w:ascii="Palatino Linotype" w:hAnsi="Palatino Linotype" w:cs="Arial"/>
        </w:rPr>
        <w:t>,</w:t>
      </w:r>
      <w:r w:rsidRPr="00701C3F">
        <w:rPr>
          <w:rFonts w:ascii="Palatino Linotype" w:hAnsi="Palatino Linotype"/>
          <w:b/>
        </w:rPr>
        <w:t xml:space="preserve"> </w:t>
      </w:r>
      <w:r w:rsidRPr="00701C3F">
        <w:rPr>
          <w:rFonts w:ascii="Palatino Linotype" w:hAnsi="Palatino Linotype"/>
        </w:rPr>
        <w:t>en lo sucesivo el</w:t>
      </w:r>
      <w:r w:rsidRPr="00701C3F">
        <w:rPr>
          <w:rFonts w:ascii="Palatino Linotype" w:hAnsi="Palatino Linotype"/>
          <w:b/>
        </w:rPr>
        <w:t xml:space="preserve"> SUJETO OBLIGADO, </w:t>
      </w:r>
      <w:r w:rsidRPr="00701C3F">
        <w:rPr>
          <w:rFonts w:ascii="Palatino Linotype" w:hAnsi="Palatino Linotype"/>
        </w:rPr>
        <w:t xml:space="preserve">se procede a dictar la presente resolución, con base en los siguientes: </w:t>
      </w:r>
    </w:p>
    <w:p w:rsidR="002A5BA4" w:rsidRPr="00701C3F" w:rsidRDefault="002A5BA4" w:rsidP="002A5BA4">
      <w:pPr>
        <w:pStyle w:val="Ttulo1"/>
        <w:jc w:val="center"/>
        <w:rPr>
          <w:b w:val="0"/>
        </w:rPr>
      </w:pPr>
      <w:bookmarkStart w:id="0" w:name="_Toc286701"/>
      <w:r w:rsidRPr="00701C3F">
        <w:t>ANTECEDENTES</w:t>
      </w:r>
      <w:bookmarkEnd w:id="0"/>
    </w:p>
    <w:p w:rsidR="002A5BA4" w:rsidRPr="00701C3F" w:rsidRDefault="0036196A" w:rsidP="00134579">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701C3F">
        <w:rPr>
          <w:rFonts w:ascii="Palatino Linotype" w:eastAsia="Calibri" w:hAnsi="Palatino Linotype" w:cs="Arial"/>
          <w:lang w:val="es-ES"/>
        </w:rPr>
        <w:t xml:space="preserve">El </w:t>
      </w:r>
      <w:r w:rsidR="002A5BA4" w:rsidRPr="00701C3F">
        <w:rPr>
          <w:rFonts w:ascii="Palatino Linotype" w:eastAsia="Calibri" w:hAnsi="Palatino Linotype" w:cs="Arial"/>
          <w:lang w:val="es-ES"/>
        </w:rPr>
        <w:t xml:space="preserve">día </w:t>
      </w:r>
      <w:r w:rsidR="006B5E74" w:rsidRPr="00701C3F">
        <w:rPr>
          <w:rFonts w:ascii="Palatino Linotype" w:eastAsia="Calibri" w:hAnsi="Palatino Linotype" w:cs="Arial"/>
          <w:lang w:val="es-ES"/>
        </w:rPr>
        <w:t>catorce</w:t>
      </w:r>
      <w:r w:rsidR="00FB61C7" w:rsidRPr="00701C3F">
        <w:rPr>
          <w:rFonts w:ascii="Palatino Linotype" w:eastAsia="Calibri" w:hAnsi="Palatino Linotype" w:cs="Arial"/>
          <w:lang w:val="es-ES"/>
        </w:rPr>
        <w:t xml:space="preserve"> </w:t>
      </w:r>
      <w:r w:rsidR="002A5BA4" w:rsidRPr="00701C3F">
        <w:rPr>
          <w:rFonts w:ascii="Palatino Linotype" w:eastAsia="Calibri" w:hAnsi="Palatino Linotype" w:cs="Arial"/>
          <w:lang w:val="es-ES"/>
        </w:rPr>
        <w:t>(</w:t>
      </w:r>
      <w:r w:rsidR="006B5E74" w:rsidRPr="00701C3F">
        <w:rPr>
          <w:rFonts w:ascii="Palatino Linotype" w:eastAsia="Calibri" w:hAnsi="Palatino Linotype" w:cs="Arial"/>
          <w:lang w:val="es-ES"/>
        </w:rPr>
        <w:t>14</w:t>
      </w:r>
      <w:r w:rsidR="002A5BA4" w:rsidRPr="00701C3F">
        <w:rPr>
          <w:rFonts w:ascii="Palatino Linotype" w:eastAsia="Calibri" w:hAnsi="Palatino Linotype" w:cs="Arial"/>
          <w:lang w:val="es-ES"/>
        </w:rPr>
        <w:t xml:space="preserve">) de </w:t>
      </w:r>
      <w:r w:rsidR="00347BB3" w:rsidRPr="00701C3F">
        <w:rPr>
          <w:rFonts w:ascii="Palatino Linotype" w:eastAsia="Calibri" w:hAnsi="Palatino Linotype" w:cs="Arial"/>
          <w:lang w:val="es-ES"/>
        </w:rPr>
        <w:t>noviembre</w:t>
      </w:r>
      <w:r w:rsidR="001358C7" w:rsidRPr="00701C3F">
        <w:rPr>
          <w:rFonts w:ascii="Palatino Linotype" w:eastAsia="Calibri" w:hAnsi="Palatino Linotype" w:cs="Arial"/>
          <w:lang w:val="es-ES"/>
        </w:rPr>
        <w:t xml:space="preserve"> </w:t>
      </w:r>
      <w:r w:rsidR="002A5BA4" w:rsidRPr="00701C3F">
        <w:rPr>
          <w:rFonts w:ascii="Palatino Linotype" w:eastAsia="Calibri" w:hAnsi="Palatino Linotype" w:cs="Arial"/>
          <w:lang w:val="es-ES"/>
        </w:rPr>
        <w:t xml:space="preserve">de dos mil </w:t>
      </w:r>
      <w:r w:rsidR="009A66DF" w:rsidRPr="00701C3F">
        <w:rPr>
          <w:rFonts w:ascii="Palatino Linotype" w:eastAsia="Calibri" w:hAnsi="Palatino Linotype" w:cs="Arial"/>
          <w:lang w:val="es-ES"/>
        </w:rPr>
        <w:t>dieciocho</w:t>
      </w:r>
      <w:r w:rsidR="002A5BA4" w:rsidRPr="00701C3F">
        <w:rPr>
          <w:rFonts w:ascii="Palatino Linotype" w:eastAsia="Calibri" w:hAnsi="Palatino Linotype" w:cs="Arial"/>
          <w:lang w:val="es-ES"/>
        </w:rPr>
        <w:t>,</w:t>
      </w:r>
      <w:r w:rsidR="002A5BA4" w:rsidRPr="00701C3F">
        <w:rPr>
          <w:rFonts w:ascii="Palatino Linotype" w:eastAsia="Calibri" w:hAnsi="Palatino Linotype" w:cs="Times New Roman"/>
          <w:lang w:val="es-ES"/>
        </w:rPr>
        <w:t xml:space="preserve"> </w:t>
      </w:r>
      <w:r w:rsidR="00934ADC" w:rsidRPr="00934ADC">
        <w:rPr>
          <w:rFonts w:ascii="Palatino Linotype" w:hAnsi="Palatino Linotype"/>
          <w:b/>
          <w:highlight w:val="black"/>
        </w:rPr>
        <w:t>-------------------------</w:t>
      </w:r>
      <w:r w:rsidR="00133B65" w:rsidRPr="00934ADC">
        <w:rPr>
          <w:rFonts w:ascii="Palatino Linotype" w:hAnsi="Palatino Linotype"/>
          <w:b/>
          <w:highlight w:val="black"/>
        </w:rPr>
        <w:t xml:space="preserve"> </w:t>
      </w:r>
      <w:r w:rsidR="00934ADC" w:rsidRPr="00934ADC">
        <w:rPr>
          <w:rFonts w:ascii="Palatino Linotype" w:hAnsi="Palatino Linotype"/>
          <w:b/>
          <w:highlight w:val="black"/>
        </w:rPr>
        <w:t>---------------------------</w:t>
      </w:r>
      <w:r w:rsidR="00133B65" w:rsidRPr="00701C3F">
        <w:rPr>
          <w:rFonts w:ascii="Palatino Linotype" w:hAnsi="Palatino Linotype"/>
          <w:b/>
          <w:sz w:val="28"/>
        </w:rPr>
        <w:t xml:space="preserve"> </w:t>
      </w:r>
      <w:r w:rsidR="002A5BA4" w:rsidRPr="00701C3F">
        <w:rPr>
          <w:rFonts w:ascii="Palatino Linotype" w:eastAsia="Calibri" w:hAnsi="Palatino Linotype" w:cs="Arial"/>
          <w:lang w:val="es-ES"/>
        </w:rPr>
        <w:t xml:space="preserve">ante el </w:t>
      </w:r>
      <w:r w:rsidR="002A5BA4" w:rsidRPr="00701C3F">
        <w:rPr>
          <w:rFonts w:ascii="Palatino Linotype" w:eastAsia="Calibri" w:hAnsi="Palatino Linotype" w:cs="Arial"/>
          <w:b/>
          <w:lang w:val="es-ES"/>
        </w:rPr>
        <w:t>SUJETO OBLIGADO</w:t>
      </w:r>
      <w:r w:rsidR="002A5BA4" w:rsidRPr="00701C3F">
        <w:rPr>
          <w:rFonts w:ascii="Palatino Linotype" w:eastAsia="Calibri" w:hAnsi="Palatino Linotype" w:cs="Arial"/>
        </w:rPr>
        <w:t xml:space="preserve"> vía </w:t>
      </w:r>
      <w:r w:rsidR="002A5BA4" w:rsidRPr="00701C3F">
        <w:rPr>
          <w:rFonts w:ascii="Palatino Linotype" w:eastAsia="Calibri" w:hAnsi="Palatino Linotype" w:cs="Arial"/>
          <w:lang w:val="es-ES"/>
        </w:rPr>
        <w:t xml:space="preserve">Sistema de Acceso a la Información Mexiquense </w:t>
      </w:r>
      <w:r w:rsidR="00FC5D9F" w:rsidRPr="00701C3F">
        <w:rPr>
          <w:rFonts w:ascii="Palatino Linotype" w:eastAsia="Calibri" w:hAnsi="Palatino Linotype" w:cs="Arial"/>
          <w:lang w:val="es-ES"/>
        </w:rPr>
        <w:t>(</w:t>
      </w:r>
      <w:r w:rsidR="002A5BA4" w:rsidRPr="00701C3F">
        <w:rPr>
          <w:rFonts w:ascii="Palatino Linotype" w:eastAsia="Calibri" w:hAnsi="Palatino Linotype" w:cs="Arial"/>
          <w:b/>
          <w:lang w:val="es-ES"/>
        </w:rPr>
        <w:t>SAIMEX</w:t>
      </w:r>
      <w:r w:rsidR="00FC5D9F" w:rsidRPr="00701C3F">
        <w:rPr>
          <w:rFonts w:ascii="Palatino Linotype" w:eastAsia="Calibri" w:hAnsi="Palatino Linotype" w:cs="Arial"/>
          <w:b/>
          <w:lang w:val="es-ES"/>
        </w:rPr>
        <w:t>)</w:t>
      </w:r>
      <w:r w:rsidR="002A5BA4" w:rsidRPr="00701C3F">
        <w:rPr>
          <w:rFonts w:ascii="Palatino Linotype" w:eastAsia="Calibri" w:hAnsi="Palatino Linotype" w:cs="Arial"/>
          <w:lang w:val="es-ES"/>
        </w:rPr>
        <w:t>, presentó la solicitud de información pública registrada</w:t>
      </w:r>
      <w:r w:rsidRPr="00701C3F">
        <w:rPr>
          <w:rFonts w:ascii="Palatino Linotype" w:eastAsia="Calibri" w:hAnsi="Palatino Linotype" w:cs="Arial"/>
          <w:lang w:val="es-ES"/>
        </w:rPr>
        <w:t xml:space="preserve"> bajo el número</w:t>
      </w:r>
      <w:r w:rsidR="002A5BA4" w:rsidRPr="00701C3F">
        <w:rPr>
          <w:rFonts w:ascii="Palatino Linotype" w:eastAsia="Calibri" w:hAnsi="Palatino Linotype" w:cs="Arial"/>
          <w:lang w:val="es-ES"/>
        </w:rPr>
        <w:t xml:space="preserve"> </w:t>
      </w:r>
      <w:r w:rsidR="000E053C" w:rsidRPr="00701C3F">
        <w:rPr>
          <w:rFonts w:ascii="Palatino Linotype" w:eastAsia="Times New Roman" w:hAnsi="Palatino Linotype" w:cs="Arial"/>
          <w:b/>
          <w:lang w:val="es-ES"/>
        </w:rPr>
        <w:t xml:space="preserve"> </w:t>
      </w:r>
      <w:r w:rsidR="00133B65" w:rsidRPr="00701C3F">
        <w:rPr>
          <w:rFonts w:ascii="Palatino Linotype" w:eastAsia="Times New Roman" w:hAnsi="Palatino Linotype" w:cs="Arial"/>
          <w:b/>
          <w:lang w:val="es-ES"/>
        </w:rPr>
        <w:t>00199/SJDH/</w:t>
      </w:r>
      <w:r w:rsidR="000E053C" w:rsidRPr="00701C3F">
        <w:rPr>
          <w:rFonts w:ascii="Palatino Linotype" w:eastAsia="Times New Roman" w:hAnsi="Palatino Linotype" w:cs="Arial"/>
          <w:b/>
          <w:lang w:val="es-ES"/>
        </w:rPr>
        <w:t xml:space="preserve">IP/2018 </w:t>
      </w:r>
      <w:r w:rsidR="002A5BA4" w:rsidRPr="00701C3F">
        <w:rPr>
          <w:rFonts w:ascii="Palatino Linotype" w:eastAsia="Calibri" w:hAnsi="Palatino Linotype" w:cs="Arial"/>
          <w:lang w:val="es-ES"/>
        </w:rPr>
        <w:t>mediante la</w:t>
      </w:r>
      <w:r w:rsidR="00FB61C7" w:rsidRPr="00701C3F">
        <w:rPr>
          <w:rFonts w:ascii="Palatino Linotype" w:eastAsia="Calibri" w:hAnsi="Palatino Linotype" w:cs="Arial"/>
          <w:lang w:val="es-ES"/>
        </w:rPr>
        <w:t xml:space="preserve"> </w:t>
      </w:r>
      <w:r w:rsidR="002A5BA4" w:rsidRPr="00701C3F">
        <w:rPr>
          <w:rFonts w:ascii="Palatino Linotype" w:eastAsia="Calibri" w:hAnsi="Palatino Linotype" w:cs="Arial"/>
          <w:lang w:val="es-ES"/>
        </w:rPr>
        <w:t>cual</w:t>
      </w:r>
      <w:r w:rsidRPr="00701C3F">
        <w:rPr>
          <w:rFonts w:ascii="Palatino Linotype" w:eastAsia="Calibri" w:hAnsi="Palatino Linotype" w:cs="Arial"/>
          <w:lang w:val="es-ES"/>
        </w:rPr>
        <w:t xml:space="preserve"> </w:t>
      </w:r>
      <w:r w:rsidR="000E053C" w:rsidRPr="00701C3F">
        <w:rPr>
          <w:rFonts w:ascii="Palatino Linotype" w:eastAsia="Calibri" w:hAnsi="Palatino Linotype" w:cs="Arial"/>
          <w:lang w:val="es-ES"/>
        </w:rPr>
        <w:t>solicitó lo siguiente:</w:t>
      </w:r>
    </w:p>
    <w:p w:rsidR="000E053C" w:rsidRPr="00701C3F" w:rsidRDefault="009B69B4" w:rsidP="000E053C">
      <w:pPr>
        <w:spacing w:before="240" w:after="240" w:line="360" w:lineRule="auto"/>
        <w:ind w:left="567" w:right="567"/>
        <w:jc w:val="both"/>
        <w:rPr>
          <w:rFonts w:ascii="Palatino Linotype" w:eastAsia="Calibri" w:hAnsi="Palatino Linotype" w:cs="Arial"/>
          <w:i/>
          <w:sz w:val="22"/>
          <w:lang w:val="es-ES"/>
        </w:rPr>
      </w:pPr>
      <w:r w:rsidRPr="00701C3F">
        <w:rPr>
          <w:rFonts w:ascii="Palatino Linotype" w:eastAsia="Calibri" w:hAnsi="Palatino Linotype" w:cs="Arial"/>
          <w:i/>
          <w:sz w:val="22"/>
          <w:lang w:val="es-ES"/>
        </w:rPr>
        <w:t xml:space="preserve"> </w:t>
      </w:r>
      <w:r w:rsidR="000E053C" w:rsidRPr="00701C3F">
        <w:rPr>
          <w:rFonts w:ascii="Palatino Linotype" w:eastAsia="Calibri" w:hAnsi="Palatino Linotype" w:cs="Arial"/>
          <w:i/>
          <w:sz w:val="22"/>
          <w:lang w:val="es-ES"/>
        </w:rPr>
        <w:t>“</w:t>
      </w:r>
      <w:r w:rsidR="006B5E74" w:rsidRPr="00701C3F">
        <w:rPr>
          <w:rFonts w:ascii="Palatino Linotype" w:eastAsia="Calibri" w:hAnsi="Palatino Linotype" w:cs="Arial"/>
          <w:i/>
          <w:sz w:val="22"/>
          <w:lang w:val="es-ES"/>
        </w:rPr>
        <w:t>Hola, intento presentar una solicitud de información señalando como sujeto obligado al Instituto de la Defensoría Pública con sede en Ecatepec de Morelos, pero no aparece en el catálogo de sujetos del SAIMEX. Los asesores de SAIMEX me indican que debo turnar mi solicitud con ustedes. Solicito versión pública de los registros de citas del día 13/11/2018 en copias certificadas expedidas gratuitamente para la sustanciación de un juicio de amparo y en versión SAIMEX para comprobar el contenido.</w:t>
      </w:r>
      <w:r w:rsidR="000E053C" w:rsidRPr="00701C3F">
        <w:rPr>
          <w:rFonts w:ascii="Palatino Linotype" w:eastAsia="Calibri" w:hAnsi="Palatino Linotype" w:cs="Arial"/>
          <w:i/>
          <w:sz w:val="22"/>
          <w:lang w:val="es-ES"/>
        </w:rPr>
        <w:t>” (</w:t>
      </w:r>
      <w:proofErr w:type="gramStart"/>
      <w:r w:rsidR="000E053C" w:rsidRPr="00701C3F">
        <w:rPr>
          <w:rFonts w:ascii="Palatino Linotype" w:eastAsia="Calibri" w:hAnsi="Palatino Linotype" w:cs="Arial"/>
          <w:i/>
          <w:sz w:val="22"/>
          <w:lang w:val="es-ES"/>
        </w:rPr>
        <w:t>sic</w:t>
      </w:r>
      <w:proofErr w:type="gramEnd"/>
      <w:r w:rsidR="000E053C" w:rsidRPr="00701C3F">
        <w:rPr>
          <w:rFonts w:ascii="Palatino Linotype" w:eastAsia="Calibri" w:hAnsi="Palatino Linotype" w:cs="Arial"/>
          <w:i/>
          <w:sz w:val="22"/>
          <w:lang w:val="es-ES"/>
        </w:rPr>
        <w:t>)</w:t>
      </w:r>
    </w:p>
    <w:p w:rsidR="00FC5D9F" w:rsidRPr="00701C3F" w:rsidRDefault="00FC5D9F" w:rsidP="00134579">
      <w:pPr>
        <w:pStyle w:val="Prrafodelista"/>
        <w:numPr>
          <w:ilvl w:val="0"/>
          <w:numId w:val="1"/>
        </w:numPr>
        <w:spacing w:line="360" w:lineRule="auto"/>
        <w:ind w:left="0" w:firstLine="0"/>
        <w:jc w:val="both"/>
        <w:rPr>
          <w:rFonts w:ascii="Palatino Linotype" w:eastAsia="Times New Roman" w:hAnsi="Palatino Linotype" w:cs="Arial"/>
          <w:lang w:val="es-ES"/>
        </w:rPr>
      </w:pPr>
      <w:r w:rsidRPr="00701C3F">
        <w:rPr>
          <w:rFonts w:ascii="Palatino Linotype" w:eastAsia="Times New Roman" w:hAnsi="Palatino Linotype" w:cs="Arial"/>
          <w:lang w:val="es-ES"/>
        </w:rPr>
        <w:lastRenderedPageBreak/>
        <w:t>Señaló como modalidad de entrega de la información</w:t>
      </w:r>
      <w:r w:rsidRPr="00701C3F">
        <w:rPr>
          <w:rFonts w:ascii="Palatino Linotype" w:eastAsia="Times New Roman" w:hAnsi="Palatino Linotype" w:cs="Arial"/>
          <w:b/>
          <w:lang w:val="es-ES"/>
        </w:rPr>
        <w:t>:</w:t>
      </w:r>
      <w:r w:rsidRPr="00701C3F">
        <w:rPr>
          <w:rFonts w:ascii="Palatino Linotype" w:eastAsia="Times New Roman" w:hAnsi="Palatino Linotype" w:cs="Arial"/>
          <w:lang w:val="es-ES"/>
        </w:rPr>
        <w:t xml:space="preserve"> a través del </w:t>
      </w:r>
      <w:r w:rsidRPr="00701C3F">
        <w:rPr>
          <w:rFonts w:ascii="Palatino Linotype" w:eastAsia="Times New Roman" w:hAnsi="Palatino Linotype" w:cs="Arial"/>
          <w:b/>
          <w:lang w:val="es-ES"/>
        </w:rPr>
        <w:t>SAIMEX</w:t>
      </w:r>
      <w:r w:rsidR="006B5E74" w:rsidRPr="00701C3F">
        <w:rPr>
          <w:rFonts w:ascii="Palatino Linotype" w:eastAsia="Times New Roman" w:hAnsi="Palatino Linotype" w:cs="Arial"/>
          <w:b/>
          <w:lang w:val="es-ES"/>
        </w:rPr>
        <w:t xml:space="preserve"> y copias certificadas</w:t>
      </w:r>
    </w:p>
    <w:p w:rsidR="00FC5D9F" w:rsidRPr="00701C3F" w:rsidRDefault="00FC5D9F" w:rsidP="00FC5D9F">
      <w:pPr>
        <w:pStyle w:val="Prrafodelista"/>
        <w:spacing w:before="240" w:after="240" w:line="360" w:lineRule="auto"/>
        <w:ind w:left="0"/>
        <w:jc w:val="both"/>
        <w:rPr>
          <w:rFonts w:ascii="Palatino Linotype" w:hAnsi="Palatino Linotype"/>
        </w:rPr>
      </w:pPr>
    </w:p>
    <w:p w:rsidR="009B69B4" w:rsidRPr="00701C3F" w:rsidRDefault="00347BB3" w:rsidP="00134579">
      <w:pPr>
        <w:pStyle w:val="Prrafodelista"/>
        <w:numPr>
          <w:ilvl w:val="0"/>
          <w:numId w:val="1"/>
        </w:numPr>
        <w:spacing w:before="240" w:after="240" w:line="360" w:lineRule="auto"/>
        <w:ind w:left="0" w:firstLine="0"/>
        <w:jc w:val="both"/>
        <w:rPr>
          <w:rFonts w:ascii="Palatino Linotype" w:hAnsi="Palatino Linotype"/>
        </w:rPr>
      </w:pPr>
      <w:r w:rsidRPr="00701C3F">
        <w:rPr>
          <w:rFonts w:ascii="Palatino Linotype" w:eastAsia="Calibri" w:hAnsi="Palatino Linotype" w:cs="Times New Roman"/>
          <w:lang w:val="es-ES"/>
        </w:rPr>
        <w:t xml:space="preserve">El </w:t>
      </w:r>
      <w:r w:rsidR="006B5E74" w:rsidRPr="00701C3F">
        <w:rPr>
          <w:rFonts w:ascii="Palatino Linotype" w:eastAsia="Calibri" w:hAnsi="Palatino Linotype" w:cs="Times New Roman"/>
          <w:lang w:val="es-ES"/>
        </w:rPr>
        <w:t>veintinueve</w:t>
      </w:r>
      <w:r w:rsidR="00C82ADE" w:rsidRPr="00701C3F">
        <w:rPr>
          <w:rFonts w:ascii="Palatino Linotype" w:eastAsia="Calibri" w:hAnsi="Palatino Linotype" w:cs="Times New Roman"/>
          <w:lang w:val="es-ES"/>
        </w:rPr>
        <w:t xml:space="preserve"> (</w:t>
      </w:r>
      <w:r w:rsidR="006B5E74" w:rsidRPr="00701C3F">
        <w:rPr>
          <w:rFonts w:ascii="Palatino Linotype" w:eastAsia="Calibri" w:hAnsi="Palatino Linotype" w:cs="Times New Roman"/>
          <w:lang w:val="es-ES"/>
        </w:rPr>
        <w:t>29</w:t>
      </w:r>
      <w:r w:rsidR="009B69B4" w:rsidRPr="00701C3F">
        <w:rPr>
          <w:rFonts w:ascii="Palatino Linotype" w:eastAsia="Calibri" w:hAnsi="Palatino Linotype" w:cs="Times New Roman"/>
          <w:lang w:val="es-ES"/>
        </w:rPr>
        <w:t xml:space="preserve">) de </w:t>
      </w:r>
      <w:r w:rsidRPr="00701C3F">
        <w:rPr>
          <w:rFonts w:ascii="Palatino Linotype" w:eastAsia="Calibri" w:hAnsi="Palatino Linotype" w:cs="Times New Roman"/>
          <w:lang w:val="es-ES"/>
        </w:rPr>
        <w:t>noviembre</w:t>
      </w:r>
      <w:r w:rsidR="00C82ADE" w:rsidRPr="00701C3F">
        <w:rPr>
          <w:rFonts w:ascii="Palatino Linotype" w:eastAsia="Calibri" w:hAnsi="Palatino Linotype" w:cs="Times New Roman"/>
          <w:lang w:val="es-ES"/>
        </w:rPr>
        <w:t xml:space="preserve"> de dos mil dieciocho, e</w:t>
      </w:r>
      <w:r w:rsidR="002A5BA4" w:rsidRPr="00701C3F">
        <w:rPr>
          <w:rFonts w:ascii="Palatino Linotype" w:eastAsia="Calibri" w:hAnsi="Palatino Linotype" w:cs="Times New Roman"/>
          <w:lang w:val="es-ES"/>
        </w:rPr>
        <w:t xml:space="preserve">l </w:t>
      </w:r>
      <w:r w:rsidR="002A5BA4" w:rsidRPr="00701C3F">
        <w:rPr>
          <w:rFonts w:ascii="Palatino Linotype" w:eastAsia="Calibri" w:hAnsi="Palatino Linotype" w:cs="Arial"/>
          <w:b/>
          <w:lang w:val="es-AR"/>
        </w:rPr>
        <w:t>SUJETO OBLIGADO</w:t>
      </w:r>
      <w:r w:rsidR="002A5BA4" w:rsidRPr="00701C3F">
        <w:rPr>
          <w:rFonts w:ascii="Palatino Linotype" w:eastAsia="Calibri" w:hAnsi="Palatino Linotype" w:cs="Arial"/>
          <w:b/>
          <w:i/>
          <w:lang w:val="es-AR"/>
        </w:rPr>
        <w:t xml:space="preserve"> </w:t>
      </w:r>
      <w:r w:rsidR="001358C7" w:rsidRPr="00701C3F">
        <w:rPr>
          <w:rFonts w:ascii="Palatino Linotype" w:eastAsia="Calibri" w:hAnsi="Palatino Linotype" w:cs="Arial"/>
          <w:lang w:val="es-AR"/>
        </w:rPr>
        <w:t>dio res</w:t>
      </w:r>
      <w:r w:rsidR="00CD7FAD" w:rsidRPr="00701C3F">
        <w:rPr>
          <w:rFonts w:ascii="Palatino Linotype" w:eastAsia="Calibri" w:hAnsi="Palatino Linotype" w:cs="Arial"/>
          <w:lang w:val="es-AR"/>
        </w:rPr>
        <w:t>p</w:t>
      </w:r>
      <w:r w:rsidR="00006214" w:rsidRPr="00701C3F">
        <w:rPr>
          <w:rFonts w:ascii="Palatino Linotype" w:eastAsia="Calibri" w:hAnsi="Palatino Linotype" w:cs="Arial"/>
          <w:lang w:val="es-AR"/>
        </w:rPr>
        <w:t xml:space="preserve">uesta a la solicitud anexando </w:t>
      </w:r>
      <w:r w:rsidRPr="00701C3F">
        <w:rPr>
          <w:rFonts w:ascii="Palatino Linotype" w:eastAsia="Calibri" w:hAnsi="Palatino Linotype" w:cs="Arial"/>
          <w:lang w:val="es-AR"/>
        </w:rPr>
        <w:t xml:space="preserve">el documento electrónico denominado </w:t>
      </w:r>
      <w:r w:rsidR="006B5E74" w:rsidRPr="00701C3F">
        <w:rPr>
          <w:rFonts w:ascii="Palatino Linotype" w:eastAsia="Calibri" w:hAnsi="Palatino Linotype" w:cs="Arial"/>
          <w:b/>
          <w:lang w:val="es-AR"/>
        </w:rPr>
        <w:t>RESPUESTA SAIMEX 199-18.pdf</w:t>
      </w:r>
      <w:r w:rsidRPr="00701C3F">
        <w:rPr>
          <w:rFonts w:ascii="Palatino Linotype" w:eastAsia="Calibri" w:hAnsi="Palatino Linotype" w:cs="Arial"/>
          <w:b/>
          <w:lang w:val="es-AR"/>
        </w:rPr>
        <w:t xml:space="preserve"> </w:t>
      </w:r>
      <w:r w:rsidRPr="00701C3F">
        <w:rPr>
          <w:rFonts w:ascii="Palatino Linotype" w:eastAsia="Calibri" w:hAnsi="Palatino Linotype" w:cs="Arial"/>
          <w:lang w:val="es-AR"/>
        </w:rPr>
        <w:t>y en los siguientes términos:</w:t>
      </w:r>
    </w:p>
    <w:p w:rsidR="003A081B" w:rsidRPr="00701C3F" w:rsidRDefault="003A081B" w:rsidP="003A081B">
      <w:pPr>
        <w:pStyle w:val="Prrafodelista"/>
        <w:rPr>
          <w:rFonts w:ascii="Palatino Linotype" w:hAnsi="Palatino Linotype"/>
        </w:rPr>
      </w:pPr>
    </w:p>
    <w:p w:rsidR="006B5E74" w:rsidRPr="00701C3F" w:rsidRDefault="00347BB3" w:rsidP="006B5E74">
      <w:pPr>
        <w:spacing w:line="360" w:lineRule="auto"/>
        <w:ind w:left="567" w:right="567"/>
        <w:jc w:val="both"/>
        <w:rPr>
          <w:rFonts w:ascii="Palatino Linotype" w:eastAsia="Times New Roman" w:hAnsi="Palatino Linotype" w:cs="Times New Roman"/>
          <w:i/>
          <w:sz w:val="22"/>
          <w:szCs w:val="18"/>
          <w:lang w:val="es-MX" w:eastAsia="es-MX"/>
        </w:rPr>
      </w:pPr>
      <w:r w:rsidRPr="00701C3F">
        <w:rPr>
          <w:rFonts w:ascii="Verdana" w:eastAsia="Times New Roman" w:hAnsi="Verdana" w:cs="Times New Roman"/>
          <w:sz w:val="18"/>
          <w:szCs w:val="18"/>
          <w:lang w:val="es-MX" w:eastAsia="es-MX"/>
        </w:rPr>
        <w:br/>
      </w:r>
      <w:r w:rsidR="006B5E74" w:rsidRPr="00701C3F">
        <w:rPr>
          <w:rFonts w:ascii="Palatino Linotype" w:eastAsia="Times New Roman" w:hAnsi="Palatino Linotype" w:cs="Times New Roman"/>
          <w:i/>
          <w:sz w:val="22"/>
          <w:szCs w:val="18"/>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347BB3" w:rsidRPr="00701C3F" w:rsidRDefault="006B5E74" w:rsidP="006B5E74">
      <w:pPr>
        <w:spacing w:line="360" w:lineRule="auto"/>
        <w:ind w:left="567" w:right="567"/>
        <w:jc w:val="both"/>
        <w:rPr>
          <w:rFonts w:ascii="Palatino Linotype" w:eastAsia="Times New Roman" w:hAnsi="Palatino Linotype" w:cs="Times New Roman"/>
          <w:i/>
          <w:sz w:val="32"/>
          <w:lang w:val="es-MX" w:eastAsia="es-MX"/>
        </w:rPr>
      </w:pPr>
      <w:r w:rsidRPr="00701C3F">
        <w:rPr>
          <w:rFonts w:ascii="Palatino Linotype" w:eastAsia="Times New Roman" w:hAnsi="Palatino Linotype" w:cs="Times New Roman"/>
          <w:i/>
          <w:sz w:val="22"/>
          <w:szCs w:val="18"/>
          <w:lang w:val="es-MX" w:eastAsia="es-MX"/>
        </w:rPr>
        <w:t>Si la información no es legible, favor comunicarse a los teléfonos: (01 722) 2 13 75 11 y 2 13 75 12 extensiones 110 y 106” (SIC)</w:t>
      </w:r>
    </w:p>
    <w:p w:rsidR="00347BB3" w:rsidRPr="00701C3F" w:rsidRDefault="00347BB3" w:rsidP="003A081B">
      <w:pPr>
        <w:pStyle w:val="Prrafodelista"/>
        <w:rPr>
          <w:rFonts w:ascii="Palatino Linotype" w:hAnsi="Palatino Linotype"/>
        </w:rPr>
      </w:pPr>
    </w:p>
    <w:p w:rsidR="00347BB3" w:rsidRPr="00701C3F" w:rsidRDefault="00347BB3" w:rsidP="003A081B">
      <w:pPr>
        <w:pStyle w:val="Prrafodelista"/>
        <w:rPr>
          <w:rFonts w:ascii="Palatino Linotype" w:hAnsi="Palatino Linotype"/>
        </w:rPr>
      </w:pPr>
    </w:p>
    <w:p w:rsidR="006B5E74" w:rsidRPr="00701C3F" w:rsidRDefault="006B5E74" w:rsidP="00134579">
      <w:pPr>
        <w:pStyle w:val="Prrafodelista"/>
        <w:numPr>
          <w:ilvl w:val="0"/>
          <w:numId w:val="5"/>
        </w:numPr>
        <w:spacing w:before="240" w:after="240" w:line="360" w:lineRule="auto"/>
        <w:jc w:val="both"/>
        <w:rPr>
          <w:rFonts w:ascii="Palatino Linotype" w:hAnsi="Palatino Linotype"/>
        </w:rPr>
      </w:pPr>
      <w:r w:rsidRPr="00701C3F">
        <w:rPr>
          <w:rFonts w:ascii="Palatino Linotype" w:eastAsia="Calibri" w:hAnsi="Palatino Linotype" w:cs="Arial"/>
          <w:b/>
          <w:lang w:val="es-AR"/>
        </w:rPr>
        <w:t>RESPUESTA SAIMEX 199-18.pdf</w:t>
      </w:r>
      <w:r w:rsidR="00347BB3" w:rsidRPr="00701C3F">
        <w:rPr>
          <w:rFonts w:ascii="Palatino Linotype" w:eastAsia="Calibri" w:hAnsi="Palatino Linotype" w:cs="Arial"/>
          <w:b/>
          <w:lang w:val="es-AR"/>
        </w:rPr>
        <w:t xml:space="preserve">: </w:t>
      </w:r>
      <w:r w:rsidRPr="00701C3F">
        <w:rPr>
          <w:rFonts w:ascii="Palatino Linotype" w:eastAsia="Calibri" w:hAnsi="Palatino Linotype" w:cs="Arial"/>
          <w:lang w:val="es-AR"/>
        </w:rPr>
        <w:t>Oficio SJDH/UIPPE/1390/2018 suscrito por el Titular de la Unidad de Transparencia, en el cual manifestó que la Dirección General del Instituto de la Defensoría Pública refirió que no cuenta con un registro de citas. Asimismo, contiene el oficio 233C1A000/752/2018 suscrito por la Directora General en el cual reafirma lo dicho por el Titular de la Unidad de Transparencia.</w:t>
      </w:r>
    </w:p>
    <w:p w:rsidR="006B5E74" w:rsidRPr="00701C3F" w:rsidRDefault="006B5E74" w:rsidP="006B5E74">
      <w:pPr>
        <w:pStyle w:val="Prrafodelista"/>
        <w:spacing w:before="240" w:after="240" w:line="360" w:lineRule="auto"/>
        <w:jc w:val="both"/>
        <w:rPr>
          <w:rFonts w:ascii="Palatino Linotype" w:hAnsi="Palatino Linotype"/>
        </w:rPr>
      </w:pPr>
    </w:p>
    <w:p w:rsidR="002A5BA4" w:rsidRPr="00701C3F" w:rsidRDefault="002A5BA4" w:rsidP="00134579">
      <w:pPr>
        <w:pStyle w:val="Prrafodelista"/>
        <w:numPr>
          <w:ilvl w:val="0"/>
          <w:numId w:val="1"/>
        </w:numPr>
        <w:spacing w:before="240" w:after="240" w:line="360" w:lineRule="auto"/>
        <w:ind w:left="0" w:firstLine="0"/>
        <w:jc w:val="both"/>
        <w:rPr>
          <w:rFonts w:ascii="Palatino Linotype" w:hAnsi="Palatino Linotype" w:cs="Arial"/>
          <w:i/>
          <w:sz w:val="22"/>
          <w:szCs w:val="22"/>
        </w:rPr>
      </w:pPr>
      <w:r w:rsidRPr="00701C3F">
        <w:rPr>
          <w:rFonts w:ascii="Palatino Linotype" w:eastAsia="Calibri" w:hAnsi="Palatino Linotype" w:cs="Arial"/>
          <w:lang w:val="es-AR"/>
        </w:rPr>
        <w:t>El</w:t>
      </w:r>
      <w:r w:rsidR="00471954" w:rsidRPr="00701C3F">
        <w:rPr>
          <w:rFonts w:ascii="Palatino Linotype" w:eastAsia="Times New Roman" w:hAnsi="Palatino Linotype" w:cs="Arial"/>
          <w:lang w:val="es-ES"/>
        </w:rPr>
        <w:t xml:space="preserve"> día </w:t>
      </w:r>
      <w:r w:rsidR="006B5E74" w:rsidRPr="00701C3F">
        <w:rPr>
          <w:rFonts w:ascii="Palatino Linotype" w:eastAsia="Times New Roman" w:hAnsi="Palatino Linotype" w:cs="Arial"/>
          <w:lang w:val="es-ES"/>
        </w:rPr>
        <w:t>diez</w:t>
      </w:r>
      <w:r w:rsidR="00F267D4" w:rsidRPr="00701C3F">
        <w:rPr>
          <w:rFonts w:ascii="Palatino Linotype" w:eastAsia="Times New Roman" w:hAnsi="Palatino Linotype" w:cs="Arial"/>
          <w:lang w:val="es-ES"/>
        </w:rPr>
        <w:t xml:space="preserve"> </w:t>
      </w:r>
      <w:r w:rsidRPr="00701C3F">
        <w:rPr>
          <w:rFonts w:ascii="Palatino Linotype" w:eastAsia="Times New Roman" w:hAnsi="Palatino Linotype" w:cs="Arial"/>
          <w:lang w:val="es-ES"/>
        </w:rPr>
        <w:t>(</w:t>
      </w:r>
      <w:r w:rsidR="006B5E74" w:rsidRPr="00701C3F">
        <w:rPr>
          <w:rFonts w:ascii="Palatino Linotype" w:eastAsia="Times New Roman" w:hAnsi="Palatino Linotype" w:cs="Arial"/>
          <w:lang w:val="es-ES"/>
        </w:rPr>
        <w:t>10</w:t>
      </w:r>
      <w:r w:rsidRPr="00701C3F">
        <w:rPr>
          <w:rFonts w:ascii="Palatino Linotype" w:eastAsia="Times New Roman" w:hAnsi="Palatino Linotype" w:cs="Arial"/>
          <w:lang w:val="es-ES"/>
        </w:rPr>
        <w:t xml:space="preserve">) de </w:t>
      </w:r>
      <w:r w:rsidR="00347BB3" w:rsidRPr="00701C3F">
        <w:rPr>
          <w:rFonts w:ascii="Palatino Linotype" w:eastAsia="Times New Roman" w:hAnsi="Palatino Linotype" w:cs="Arial"/>
          <w:lang w:val="es-ES"/>
        </w:rPr>
        <w:t>diciembre</w:t>
      </w:r>
      <w:r w:rsidRPr="00701C3F">
        <w:rPr>
          <w:rFonts w:ascii="Palatino Linotype" w:eastAsia="Times New Roman" w:hAnsi="Palatino Linotype" w:cs="Arial"/>
          <w:lang w:val="es-ES"/>
        </w:rPr>
        <w:t xml:space="preserve"> de dos mil dieci</w:t>
      </w:r>
      <w:r w:rsidR="000E053C" w:rsidRPr="00701C3F">
        <w:rPr>
          <w:rFonts w:ascii="Palatino Linotype" w:eastAsia="Times New Roman" w:hAnsi="Palatino Linotype" w:cs="Arial"/>
          <w:lang w:val="es-ES"/>
        </w:rPr>
        <w:t>ocho</w:t>
      </w:r>
      <w:r w:rsidRPr="00701C3F">
        <w:rPr>
          <w:rFonts w:ascii="Palatino Linotype" w:eastAsia="Times New Roman" w:hAnsi="Palatino Linotype" w:cs="Arial"/>
          <w:lang w:val="es-ES"/>
        </w:rPr>
        <w:t xml:space="preserve">, </w:t>
      </w:r>
      <w:r w:rsidR="00F267D4" w:rsidRPr="00701C3F">
        <w:rPr>
          <w:rFonts w:ascii="Palatino Linotype" w:hAnsi="Palatino Linotype"/>
          <w:b/>
          <w:szCs w:val="22"/>
        </w:rPr>
        <w:t>el particular</w:t>
      </w:r>
      <w:r w:rsidR="00FB61C7" w:rsidRPr="00701C3F">
        <w:rPr>
          <w:rFonts w:ascii="Palatino Linotype" w:eastAsia="Times New Roman" w:hAnsi="Palatino Linotype" w:cs="Arial"/>
          <w:lang w:val="es-ES"/>
        </w:rPr>
        <w:t xml:space="preserve"> interpuso </w:t>
      </w:r>
      <w:r w:rsidR="0036196A" w:rsidRPr="00701C3F">
        <w:rPr>
          <w:rFonts w:ascii="Palatino Linotype" w:eastAsia="Times New Roman" w:hAnsi="Palatino Linotype" w:cs="Arial"/>
          <w:lang w:val="es-ES"/>
        </w:rPr>
        <w:t xml:space="preserve">el </w:t>
      </w:r>
      <w:r w:rsidRPr="00701C3F">
        <w:rPr>
          <w:rFonts w:ascii="Palatino Linotype" w:eastAsia="Times New Roman" w:hAnsi="Palatino Linotype" w:cs="Arial"/>
          <w:lang w:val="es-ES"/>
        </w:rPr>
        <w:t>recurso de revisión, en contra de la respuesta, señalando como:</w:t>
      </w:r>
      <w:bookmarkStart w:id="1" w:name="_Toc462307683"/>
      <w:bookmarkStart w:id="2" w:name="_Toc472427085"/>
      <w:bookmarkStart w:id="3" w:name="_Toc472500652"/>
    </w:p>
    <w:p w:rsidR="00644CCE" w:rsidRPr="00701C3F" w:rsidRDefault="00644CCE" w:rsidP="00833125">
      <w:pPr>
        <w:pStyle w:val="Prrafodelista"/>
        <w:spacing w:before="240" w:after="240" w:line="360" w:lineRule="auto"/>
        <w:ind w:left="0"/>
        <w:jc w:val="both"/>
        <w:rPr>
          <w:rFonts w:ascii="Palatino Linotype" w:hAnsi="Palatino Linotype" w:cs="Arial"/>
          <w:i/>
          <w:sz w:val="22"/>
          <w:szCs w:val="22"/>
        </w:rPr>
      </w:pPr>
    </w:p>
    <w:p w:rsidR="000E053C" w:rsidRPr="00701C3F" w:rsidRDefault="000E053C" w:rsidP="000E053C">
      <w:pPr>
        <w:pStyle w:val="Prrafodelista"/>
        <w:spacing w:line="360" w:lineRule="auto"/>
        <w:jc w:val="both"/>
        <w:rPr>
          <w:rFonts w:ascii="Palatino Linotype" w:hAnsi="Palatino Linotype" w:cs="Arial"/>
          <w:szCs w:val="22"/>
        </w:rPr>
      </w:pPr>
      <w:r w:rsidRPr="00701C3F">
        <w:rPr>
          <w:rFonts w:ascii="Palatino Linotype" w:hAnsi="Palatino Linotype"/>
          <w:b/>
        </w:rPr>
        <w:t>Acto impugnado:</w:t>
      </w:r>
      <w:r w:rsidRPr="00701C3F">
        <w:rPr>
          <w:rStyle w:val="Ttulo2Car"/>
          <w:rFonts w:ascii="Palatino Linotype" w:hAnsi="Palatino Linotype"/>
          <w:b/>
          <w:i/>
          <w:color w:val="auto"/>
          <w:lang w:val="es-ES"/>
        </w:rPr>
        <w:t xml:space="preserve"> </w:t>
      </w:r>
      <w:r w:rsidRPr="00701C3F">
        <w:rPr>
          <w:rFonts w:ascii="Palatino Linotype" w:hAnsi="Palatino Linotype"/>
          <w:i/>
        </w:rPr>
        <w:t>“</w:t>
      </w:r>
      <w:r w:rsidR="006B5E74" w:rsidRPr="00701C3F">
        <w:rPr>
          <w:rFonts w:ascii="Palatino Linotype" w:hAnsi="Palatino Linotype"/>
          <w:i/>
          <w:sz w:val="22"/>
        </w:rPr>
        <w:t>se impugna la respuesta</w:t>
      </w:r>
      <w:r w:rsidR="00347BB3" w:rsidRPr="00701C3F">
        <w:rPr>
          <w:rFonts w:ascii="Palatino Linotype" w:hAnsi="Palatino Linotype"/>
          <w:i/>
          <w:sz w:val="22"/>
        </w:rPr>
        <w:t xml:space="preserve"> </w:t>
      </w:r>
      <w:r w:rsidR="00241D58" w:rsidRPr="00701C3F">
        <w:rPr>
          <w:rFonts w:ascii="Palatino Linotype" w:hAnsi="Palatino Linotype"/>
        </w:rPr>
        <w:t>“(</w:t>
      </w:r>
      <w:r w:rsidRPr="00701C3F">
        <w:rPr>
          <w:rFonts w:ascii="Palatino Linotype" w:eastAsia="Calibri" w:hAnsi="Palatino Linotype" w:cs="Arial"/>
          <w:szCs w:val="22"/>
          <w:lang w:val="es-ES"/>
        </w:rPr>
        <w:t>Sic); Y</w:t>
      </w:r>
    </w:p>
    <w:p w:rsidR="00ED2E65" w:rsidRPr="00701C3F" w:rsidRDefault="000E053C" w:rsidP="00ED2E65">
      <w:pPr>
        <w:pStyle w:val="Prrafodelista"/>
        <w:spacing w:line="360" w:lineRule="auto"/>
        <w:jc w:val="both"/>
        <w:rPr>
          <w:rFonts w:ascii="Palatino Linotype" w:hAnsi="Palatino Linotype" w:cs="Arial"/>
          <w:i/>
          <w:sz w:val="22"/>
          <w:szCs w:val="22"/>
        </w:rPr>
      </w:pPr>
      <w:r w:rsidRPr="00701C3F">
        <w:rPr>
          <w:rFonts w:ascii="Palatino Linotype" w:hAnsi="Palatino Linotype"/>
          <w:b/>
        </w:rPr>
        <w:lastRenderedPageBreak/>
        <w:t>Razones o Motivos de inconformidad:</w:t>
      </w:r>
      <w:r w:rsidRPr="00701C3F">
        <w:rPr>
          <w:rStyle w:val="Ttulo2Car"/>
          <w:rFonts w:ascii="Palatino Linotype" w:hAnsi="Palatino Linotype"/>
          <w:b/>
          <w:lang w:val="es-ES"/>
        </w:rPr>
        <w:t xml:space="preserve"> </w:t>
      </w:r>
      <w:r w:rsidRPr="00701C3F">
        <w:rPr>
          <w:rFonts w:ascii="Palatino Linotype" w:hAnsi="Palatino Linotype"/>
          <w:i/>
          <w:szCs w:val="22"/>
        </w:rPr>
        <w:t>“</w:t>
      </w:r>
      <w:r w:rsidR="006B5E74" w:rsidRPr="00701C3F">
        <w:rPr>
          <w:rFonts w:ascii="Palatino Linotype" w:hAnsi="Palatino Linotype"/>
          <w:i/>
          <w:sz w:val="22"/>
        </w:rPr>
        <w:t>La autoridad refiere que no hay servicio de citas previas y que los atiende como van llegando, de lo anterior se desprende que los atienden como van llegando y los registran en un libro de citas “atendidas” lo que implica que existe la información solicitada, los registros de citas atendidas como fueron llegando del día 13/11/2018. Cabe señalar que solicité copias certificadas expedidas gratuitamente para la sustanciación del juicio de amparo 1757/2018 del índice del Juzgado Decimotercero de Distrito en el Estado de México</w:t>
      </w:r>
      <w:r w:rsidRPr="00701C3F">
        <w:rPr>
          <w:rFonts w:ascii="Palatino Linotype" w:hAnsi="Palatino Linotype"/>
          <w:i/>
          <w:sz w:val="22"/>
          <w:szCs w:val="22"/>
        </w:rPr>
        <w:t xml:space="preserve">” </w:t>
      </w:r>
      <w:r w:rsidRPr="00701C3F">
        <w:rPr>
          <w:rFonts w:ascii="Palatino Linotype" w:hAnsi="Palatino Linotype" w:cs="Arial"/>
          <w:i/>
          <w:sz w:val="22"/>
          <w:szCs w:val="22"/>
        </w:rPr>
        <w:t xml:space="preserve">(Sic) </w:t>
      </w:r>
    </w:p>
    <w:p w:rsidR="00ED2E65" w:rsidRPr="00701C3F" w:rsidRDefault="00ED2E65" w:rsidP="00ED2E65">
      <w:pPr>
        <w:pStyle w:val="Prrafodelista"/>
        <w:spacing w:line="360" w:lineRule="auto"/>
        <w:jc w:val="both"/>
        <w:rPr>
          <w:rFonts w:ascii="Palatino Linotype" w:hAnsi="Palatino Linotype" w:cs="Arial"/>
          <w:sz w:val="22"/>
          <w:szCs w:val="22"/>
        </w:rPr>
      </w:pPr>
    </w:p>
    <w:bookmarkEnd w:id="1"/>
    <w:bookmarkEnd w:id="2"/>
    <w:bookmarkEnd w:id="3"/>
    <w:p w:rsidR="002A5BA4" w:rsidRPr="00701C3F" w:rsidRDefault="002A5BA4" w:rsidP="00134579">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701C3F">
        <w:rPr>
          <w:rFonts w:ascii="Palatino Linotype" w:eastAsia="Calibri" w:hAnsi="Palatino Linotype" w:cs="Arial"/>
          <w:lang w:val="es-AR"/>
        </w:rPr>
        <w:t xml:space="preserve"> </w:t>
      </w:r>
      <w:r w:rsidR="0036196A" w:rsidRPr="00701C3F">
        <w:rPr>
          <w:rFonts w:ascii="Palatino Linotype" w:eastAsia="Times New Roman" w:hAnsi="Palatino Linotype" w:cs="Arial"/>
          <w:lang w:val="es-ES"/>
        </w:rPr>
        <w:t>Se registró</w:t>
      </w:r>
      <w:r w:rsidRPr="00701C3F">
        <w:rPr>
          <w:rFonts w:ascii="Palatino Linotype" w:eastAsia="Times New Roman" w:hAnsi="Palatino Linotype" w:cs="Arial"/>
          <w:lang w:val="es-ES"/>
        </w:rPr>
        <w:t xml:space="preserve"> </w:t>
      </w:r>
      <w:r w:rsidR="0036196A" w:rsidRPr="00701C3F">
        <w:rPr>
          <w:rFonts w:ascii="Palatino Linotype" w:eastAsia="Times New Roman" w:hAnsi="Palatino Linotype" w:cs="Arial"/>
          <w:lang w:val="es-ES"/>
        </w:rPr>
        <w:t>el</w:t>
      </w:r>
      <w:r w:rsidRPr="00701C3F">
        <w:rPr>
          <w:rFonts w:ascii="Palatino Linotype" w:eastAsia="Times New Roman" w:hAnsi="Palatino Linotype" w:cs="Arial"/>
          <w:lang w:val="es-ES"/>
        </w:rPr>
        <w:t xml:space="preserve"> recurso de revisión bajo </w:t>
      </w:r>
      <w:r w:rsidR="0036196A" w:rsidRPr="00701C3F">
        <w:rPr>
          <w:rFonts w:ascii="Palatino Linotype" w:eastAsia="Times New Roman" w:hAnsi="Palatino Linotype" w:cs="Arial"/>
          <w:lang w:val="es-ES"/>
        </w:rPr>
        <w:t>el</w:t>
      </w:r>
      <w:r w:rsidRPr="00701C3F">
        <w:rPr>
          <w:rFonts w:ascii="Palatino Linotype" w:eastAsia="Times New Roman" w:hAnsi="Palatino Linotype" w:cs="Arial"/>
          <w:lang w:val="es-ES"/>
        </w:rPr>
        <w:t xml:space="preserve"> número de expediente </w:t>
      </w:r>
      <w:r w:rsidRPr="00701C3F">
        <w:rPr>
          <w:rFonts w:ascii="Palatino Linotype" w:hAnsi="Palatino Linotype" w:cs="Arial"/>
          <w:bCs/>
        </w:rPr>
        <w:t xml:space="preserve">al rubro indicado, asimismo con fundamento en lo dispuesto por el </w:t>
      </w:r>
      <w:r w:rsidRPr="00701C3F">
        <w:rPr>
          <w:rFonts w:ascii="Palatino Linotype" w:eastAsia="Calibri" w:hAnsi="Palatino Linotype" w:cs="Arial"/>
          <w:lang w:val="es-ES"/>
        </w:rPr>
        <w:t xml:space="preserve">artículo 185 fracción I de la </w:t>
      </w:r>
      <w:r w:rsidRPr="00701C3F">
        <w:rPr>
          <w:rFonts w:ascii="Palatino Linotype" w:eastAsia="Calibri" w:hAnsi="Palatino Linotype" w:cs="Arial"/>
          <w:b/>
          <w:lang w:val="es-ES"/>
        </w:rPr>
        <w:t xml:space="preserve">Ley de Transparencia y Acceso a la Información Pública del Estado de México y Municipios </w:t>
      </w:r>
      <w:r w:rsidRPr="00701C3F">
        <w:rPr>
          <w:rFonts w:ascii="Palatino Linotype" w:eastAsia="Times New Roman" w:hAnsi="Palatino Linotype" w:cs="Arial"/>
          <w:lang w:val="es-ES"/>
        </w:rPr>
        <w:t>se turn</w:t>
      </w:r>
      <w:r w:rsidR="0036196A" w:rsidRPr="00701C3F">
        <w:rPr>
          <w:rFonts w:ascii="Palatino Linotype" w:eastAsia="Times New Roman" w:hAnsi="Palatino Linotype" w:cs="Arial"/>
          <w:lang w:val="es-ES"/>
        </w:rPr>
        <w:t>ó</w:t>
      </w:r>
      <w:r w:rsidRPr="00701C3F">
        <w:rPr>
          <w:rFonts w:ascii="Palatino Linotype" w:eastAsia="Times New Roman" w:hAnsi="Palatino Linotype" w:cs="Arial"/>
          <w:lang w:val="es-ES"/>
        </w:rPr>
        <w:t xml:space="preserve"> al </w:t>
      </w:r>
      <w:r w:rsidRPr="00701C3F">
        <w:rPr>
          <w:rFonts w:ascii="Palatino Linotype" w:eastAsia="Times New Roman" w:hAnsi="Palatino Linotype" w:cs="Arial"/>
          <w:b/>
          <w:lang w:val="es-ES"/>
        </w:rPr>
        <w:t xml:space="preserve">Comisionado José Guadalupe Luna Hernández, </w:t>
      </w:r>
      <w:r w:rsidRPr="00701C3F">
        <w:rPr>
          <w:rFonts w:ascii="Palatino Linotype" w:eastAsia="Times New Roman" w:hAnsi="Palatino Linotype" w:cs="Arial"/>
          <w:lang w:val="es-ES"/>
        </w:rPr>
        <w:t xml:space="preserve">con el objeto de </w:t>
      </w:r>
      <w:r w:rsidRPr="00701C3F">
        <w:rPr>
          <w:rFonts w:ascii="Palatino Linotype" w:eastAsia="Times New Roman" w:hAnsi="Palatino Linotype" w:cs="Arial"/>
          <w:lang w:val="es-MX"/>
        </w:rPr>
        <w:t xml:space="preserve">su análisis. </w:t>
      </w:r>
    </w:p>
    <w:p w:rsidR="002A5BA4" w:rsidRPr="00701C3F" w:rsidRDefault="002A5BA4" w:rsidP="002A5BA4">
      <w:pPr>
        <w:pStyle w:val="Prrafodelista"/>
        <w:ind w:left="0"/>
        <w:rPr>
          <w:rFonts w:ascii="Palatino Linotype" w:hAnsi="Palatino Linotype"/>
          <w:i/>
          <w:color w:val="000000"/>
          <w:sz w:val="22"/>
          <w:szCs w:val="22"/>
        </w:rPr>
      </w:pPr>
    </w:p>
    <w:p w:rsidR="002A5BA4" w:rsidRPr="00701C3F" w:rsidRDefault="002A5BA4" w:rsidP="00134579">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701C3F">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8028B7" w:rsidRPr="00701C3F">
        <w:rPr>
          <w:rFonts w:ascii="Palatino Linotype" w:eastAsia="Calibri" w:hAnsi="Palatino Linotype" w:cs="Arial"/>
          <w:lang w:val="es-ES"/>
        </w:rPr>
        <w:t>catorce</w:t>
      </w:r>
      <w:r w:rsidR="00FC5D9F" w:rsidRPr="00701C3F">
        <w:rPr>
          <w:rFonts w:ascii="Palatino Linotype" w:eastAsia="Calibri" w:hAnsi="Palatino Linotype" w:cs="Arial"/>
          <w:lang w:val="es-ES"/>
        </w:rPr>
        <w:t xml:space="preserve"> </w:t>
      </w:r>
      <w:r w:rsidRPr="00701C3F">
        <w:rPr>
          <w:rFonts w:ascii="Palatino Linotype" w:eastAsia="Calibri" w:hAnsi="Palatino Linotype" w:cs="Arial"/>
          <w:lang w:val="es-ES"/>
        </w:rPr>
        <w:t>(</w:t>
      </w:r>
      <w:r w:rsidR="008028B7" w:rsidRPr="00701C3F">
        <w:rPr>
          <w:rFonts w:ascii="Palatino Linotype" w:eastAsia="Calibri" w:hAnsi="Palatino Linotype" w:cs="Arial"/>
          <w:lang w:val="es-ES"/>
        </w:rPr>
        <w:t>14</w:t>
      </w:r>
      <w:r w:rsidRPr="00701C3F">
        <w:rPr>
          <w:rFonts w:ascii="Palatino Linotype" w:eastAsia="Calibri" w:hAnsi="Palatino Linotype" w:cs="Arial"/>
          <w:lang w:val="es-ES"/>
        </w:rPr>
        <w:t xml:space="preserve">) de </w:t>
      </w:r>
      <w:r w:rsidR="00171AE9" w:rsidRPr="00701C3F">
        <w:rPr>
          <w:rFonts w:ascii="Palatino Linotype" w:eastAsia="Calibri" w:hAnsi="Palatino Linotype" w:cs="Arial"/>
          <w:lang w:val="es-ES"/>
        </w:rPr>
        <w:t>diciembre</w:t>
      </w:r>
      <w:r w:rsidR="00241D58" w:rsidRPr="00701C3F">
        <w:rPr>
          <w:rFonts w:ascii="Palatino Linotype" w:eastAsia="Calibri" w:hAnsi="Palatino Linotype" w:cs="Arial"/>
          <w:lang w:val="es-ES"/>
        </w:rPr>
        <w:t xml:space="preserve"> </w:t>
      </w:r>
      <w:r w:rsidRPr="00701C3F">
        <w:rPr>
          <w:rFonts w:ascii="Palatino Linotype" w:eastAsia="Calibri" w:hAnsi="Palatino Linotype" w:cs="Arial"/>
          <w:lang w:val="es-ES"/>
        </w:rPr>
        <w:t xml:space="preserve">de dos mil </w:t>
      </w:r>
      <w:r w:rsidR="000E053C" w:rsidRPr="00701C3F">
        <w:rPr>
          <w:rFonts w:ascii="Palatino Linotype" w:eastAsia="Calibri" w:hAnsi="Palatino Linotype" w:cs="Arial"/>
          <w:lang w:val="es-ES"/>
        </w:rPr>
        <w:t>dieciocho</w:t>
      </w:r>
      <w:r w:rsidRPr="00701C3F">
        <w:rPr>
          <w:rFonts w:ascii="Palatino Linotype" w:eastAsia="Calibri" w:hAnsi="Palatino Linotype" w:cs="Arial"/>
          <w:lang w:val="es-ES"/>
        </w:rPr>
        <w:t xml:space="preserve">, puso a disposición de las partes </w:t>
      </w:r>
      <w:r w:rsidR="0036196A" w:rsidRPr="00701C3F">
        <w:rPr>
          <w:rFonts w:ascii="Palatino Linotype" w:eastAsia="Calibri" w:hAnsi="Palatino Linotype" w:cs="Arial"/>
          <w:lang w:val="es-ES"/>
        </w:rPr>
        <w:t>el</w:t>
      </w:r>
      <w:r w:rsidRPr="00701C3F">
        <w:rPr>
          <w:rFonts w:ascii="Palatino Linotype" w:eastAsia="Calibri" w:hAnsi="Palatino Linotype" w:cs="Arial"/>
          <w:lang w:val="es-ES"/>
        </w:rPr>
        <w:t xml:space="preserve"> expediente electrónico </w:t>
      </w:r>
      <w:r w:rsidRPr="00701C3F">
        <w:rPr>
          <w:rFonts w:ascii="Palatino Linotype" w:eastAsia="Calibri" w:hAnsi="Palatino Linotype" w:cs="Arial"/>
        </w:rPr>
        <w:t xml:space="preserve">vía </w:t>
      </w:r>
      <w:r w:rsidRPr="00701C3F">
        <w:rPr>
          <w:rFonts w:ascii="Palatino Linotype" w:eastAsia="Calibri" w:hAnsi="Palatino Linotype" w:cs="Arial"/>
          <w:b/>
          <w:lang w:val="es-ES"/>
        </w:rPr>
        <w:t xml:space="preserve">SAIMEX </w:t>
      </w:r>
      <w:r w:rsidRPr="00701C3F">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701C3F">
        <w:rPr>
          <w:rFonts w:ascii="Palatino Linotype" w:eastAsia="Calibri" w:hAnsi="Palatino Linotype" w:cs="Arial"/>
          <w:b/>
          <w:lang w:val="es-ES"/>
        </w:rPr>
        <w:t>SUJETO OBLIGADO</w:t>
      </w:r>
      <w:r w:rsidR="0036196A" w:rsidRPr="00701C3F">
        <w:rPr>
          <w:rFonts w:ascii="Palatino Linotype" w:eastAsia="Calibri" w:hAnsi="Palatino Linotype" w:cs="Arial"/>
          <w:lang w:val="es-ES"/>
        </w:rPr>
        <w:t xml:space="preserve"> presentara</w:t>
      </w:r>
      <w:r w:rsidR="00500D9A" w:rsidRPr="00701C3F">
        <w:rPr>
          <w:rFonts w:ascii="Palatino Linotype" w:eastAsia="Calibri" w:hAnsi="Palatino Linotype" w:cs="Arial"/>
          <w:lang w:val="es-ES"/>
        </w:rPr>
        <w:t xml:space="preserve"> </w:t>
      </w:r>
      <w:r w:rsidR="0036196A" w:rsidRPr="00701C3F">
        <w:rPr>
          <w:rFonts w:ascii="Palatino Linotype" w:eastAsia="Calibri" w:hAnsi="Palatino Linotype" w:cs="Arial"/>
          <w:lang w:val="es-ES"/>
        </w:rPr>
        <w:t>el Informe</w:t>
      </w:r>
      <w:r w:rsidRPr="00701C3F">
        <w:rPr>
          <w:rFonts w:ascii="Palatino Linotype" w:eastAsia="Calibri" w:hAnsi="Palatino Linotype" w:cs="Arial"/>
          <w:lang w:val="es-ES"/>
        </w:rPr>
        <w:t xml:space="preserve"> Justificado procedente</w:t>
      </w:r>
      <w:r w:rsidR="0036196A" w:rsidRPr="00701C3F">
        <w:rPr>
          <w:rFonts w:ascii="Palatino Linotype" w:eastAsia="Calibri" w:hAnsi="Palatino Linotype" w:cs="Arial"/>
          <w:lang w:val="es-ES"/>
        </w:rPr>
        <w:t>.</w:t>
      </w:r>
      <w:r w:rsidRPr="00701C3F">
        <w:rPr>
          <w:rFonts w:ascii="Palatino Linotype" w:eastAsia="Calibri" w:hAnsi="Palatino Linotype" w:cs="Arial"/>
          <w:lang w:val="es-ES"/>
        </w:rPr>
        <w:t xml:space="preserve">    </w:t>
      </w:r>
    </w:p>
    <w:p w:rsidR="00241D58" w:rsidRPr="00701C3F" w:rsidRDefault="00241D58" w:rsidP="00241D58">
      <w:pPr>
        <w:pStyle w:val="Prrafodelista"/>
        <w:rPr>
          <w:rFonts w:ascii="Palatino Linotype" w:hAnsi="Palatino Linotype"/>
          <w:i/>
          <w:color w:val="000000"/>
          <w:sz w:val="22"/>
          <w:szCs w:val="22"/>
        </w:rPr>
      </w:pPr>
    </w:p>
    <w:p w:rsidR="00241D58" w:rsidRPr="00701C3F" w:rsidRDefault="00241D58" w:rsidP="00134579">
      <w:pPr>
        <w:pStyle w:val="Prrafodelista"/>
        <w:numPr>
          <w:ilvl w:val="0"/>
          <w:numId w:val="1"/>
        </w:numPr>
        <w:spacing w:before="240" w:after="240" w:line="360" w:lineRule="auto"/>
        <w:ind w:left="0" w:hanging="11"/>
        <w:jc w:val="both"/>
        <w:rPr>
          <w:rFonts w:ascii="Palatino Linotype" w:hAnsi="Palatino Linotype"/>
        </w:rPr>
      </w:pPr>
      <w:r w:rsidRPr="00701C3F">
        <w:rPr>
          <w:rFonts w:ascii="Palatino Linotype" w:eastAsia="Calibri" w:hAnsi="Palatino Linotype" w:cs="Arial"/>
          <w:lang w:val="es-ES"/>
        </w:rPr>
        <w:t xml:space="preserve">El día </w:t>
      </w:r>
      <w:r w:rsidR="008028B7" w:rsidRPr="00701C3F">
        <w:rPr>
          <w:rFonts w:ascii="Palatino Linotype" w:eastAsia="Calibri" w:hAnsi="Palatino Linotype" w:cs="Arial"/>
          <w:lang w:val="es-ES"/>
        </w:rPr>
        <w:t>nueve</w:t>
      </w:r>
      <w:r w:rsidR="00171AE9" w:rsidRPr="00701C3F">
        <w:rPr>
          <w:rFonts w:ascii="Palatino Linotype" w:eastAsia="Calibri" w:hAnsi="Palatino Linotype" w:cs="Arial"/>
          <w:lang w:val="es-ES"/>
        </w:rPr>
        <w:t xml:space="preserve"> </w:t>
      </w:r>
      <w:r w:rsidRPr="00701C3F">
        <w:rPr>
          <w:rFonts w:ascii="Palatino Linotype" w:eastAsia="Calibri" w:hAnsi="Palatino Linotype" w:cs="Arial"/>
          <w:lang w:val="es-ES"/>
        </w:rPr>
        <w:t>(</w:t>
      </w:r>
      <w:r w:rsidR="008028B7" w:rsidRPr="00701C3F">
        <w:rPr>
          <w:rFonts w:ascii="Palatino Linotype" w:eastAsia="Calibri" w:hAnsi="Palatino Linotype" w:cs="Arial"/>
          <w:lang w:val="es-ES"/>
        </w:rPr>
        <w:t>9</w:t>
      </w:r>
      <w:r w:rsidRPr="00701C3F">
        <w:rPr>
          <w:rFonts w:ascii="Palatino Linotype" w:eastAsia="Calibri" w:hAnsi="Palatino Linotype" w:cs="Arial"/>
          <w:lang w:val="es-ES"/>
        </w:rPr>
        <w:t xml:space="preserve">) de </w:t>
      </w:r>
      <w:r w:rsidR="008028B7" w:rsidRPr="00701C3F">
        <w:rPr>
          <w:rFonts w:ascii="Palatino Linotype" w:eastAsia="Calibri" w:hAnsi="Palatino Linotype" w:cs="Arial"/>
          <w:lang w:val="es-ES"/>
        </w:rPr>
        <w:t>enero</w:t>
      </w:r>
      <w:r w:rsidR="00171AE9" w:rsidRPr="00701C3F">
        <w:rPr>
          <w:rFonts w:ascii="Palatino Linotype" w:eastAsia="Calibri" w:hAnsi="Palatino Linotype" w:cs="Arial"/>
          <w:lang w:val="es-ES"/>
        </w:rPr>
        <w:t xml:space="preserve"> de dos mil dieci</w:t>
      </w:r>
      <w:r w:rsidR="008028B7" w:rsidRPr="00701C3F">
        <w:rPr>
          <w:rFonts w:ascii="Palatino Linotype" w:eastAsia="Calibri" w:hAnsi="Palatino Linotype" w:cs="Arial"/>
          <w:lang w:val="es-ES"/>
        </w:rPr>
        <w:t>nueve</w:t>
      </w:r>
      <w:r w:rsidRPr="00701C3F">
        <w:rPr>
          <w:rFonts w:ascii="Palatino Linotype" w:eastAsia="Calibri" w:hAnsi="Palatino Linotype" w:cs="Arial"/>
          <w:lang w:val="es-ES"/>
        </w:rPr>
        <w:t>, el Sujeto Obligado rindió su informe</w:t>
      </w:r>
      <w:r w:rsidR="00171AE9" w:rsidRPr="00701C3F">
        <w:rPr>
          <w:rFonts w:ascii="Palatino Linotype" w:eastAsia="Calibri" w:hAnsi="Palatino Linotype" w:cs="Arial"/>
          <w:lang w:val="es-ES"/>
        </w:rPr>
        <w:t xml:space="preserve"> justificado en el cual ratificó su respuesta, motivo por el cual no se puso a la vista del particular, sin embargo, será de su conocimiento al momento en que se </w:t>
      </w:r>
      <w:r w:rsidR="00171AE9" w:rsidRPr="00701C3F">
        <w:rPr>
          <w:rFonts w:ascii="Palatino Linotype" w:eastAsia="Calibri" w:hAnsi="Palatino Linotype" w:cs="Arial"/>
          <w:lang w:val="es-ES"/>
        </w:rPr>
        <w:lastRenderedPageBreak/>
        <w:t>n</w:t>
      </w:r>
      <w:r w:rsidR="0063255B" w:rsidRPr="00701C3F">
        <w:rPr>
          <w:rFonts w:ascii="Palatino Linotype" w:eastAsia="Calibri" w:hAnsi="Palatino Linotype" w:cs="Arial"/>
          <w:lang w:val="es-ES"/>
        </w:rPr>
        <w:t>otif</w:t>
      </w:r>
      <w:r w:rsidR="008028B7" w:rsidRPr="00701C3F">
        <w:rPr>
          <w:rFonts w:ascii="Palatino Linotype" w:eastAsia="Calibri" w:hAnsi="Palatino Linotype" w:cs="Arial"/>
          <w:lang w:val="es-ES"/>
        </w:rPr>
        <w:t>ique la presente resolución. No obstante, en este apartado se describe su contenido:</w:t>
      </w:r>
    </w:p>
    <w:p w:rsidR="008028B7" w:rsidRPr="00701C3F" w:rsidRDefault="008028B7" w:rsidP="008028B7">
      <w:pPr>
        <w:pStyle w:val="Prrafodelista"/>
        <w:rPr>
          <w:rFonts w:ascii="Palatino Linotype" w:hAnsi="Palatino Linotype"/>
        </w:rPr>
      </w:pPr>
    </w:p>
    <w:p w:rsidR="008028B7" w:rsidRPr="00701C3F" w:rsidRDefault="008028B7" w:rsidP="008028B7">
      <w:pPr>
        <w:pStyle w:val="Prrafodelista"/>
        <w:numPr>
          <w:ilvl w:val="0"/>
          <w:numId w:val="9"/>
        </w:numPr>
        <w:spacing w:before="240" w:after="240" w:line="360" w:lineRule="auto"/>
        <w:jc w:val="both"/>
        <w:rPr>
          <w:rFonts w:ascii="Palatino Linotype" w:hAnsi="Palatino Linotype"/>
          <w:b/>
        </w:rPr>
      </w:pPr>
      <w:r w:rsidRPr="00701C3F">
        <w:rPr>
          <w:rFonts w:ascii="Palatino Linotype" w:hAnsi="Palatino Linotype"/>
          <w:b/>
        </w:rPr>
        <w:t xml:space="preserve">Informe justificado recurso </w:t>
      </w:r>
      <w:proofErr w:type="spellStart"/>
      <w:r w:rsidRPr="00701C3F">
        <w:rPr>
          <w:rFonts w:ascii="Palatino Linotype" w:hAnsi="Palatino Linotype"/>
          <w:b/>
        </w:rPr>
        <w:t>saimex</w:t>
      </w:r>
      <w:proofErr w:type="spellEnd"/>
      <w:r w:rsidRPr="00701C3F">
        <w:rPr>
          <w:rFonts w:ascii="Palatino Linotype" w:hAnsi="Palatino Linotype"/>
          <w:b/>
        </w:rPr>
        <w:t xml:space="preserve"> 199-2018.pdf: </w:t>
      </w:r>
      <w:r w:rsidRPr="00701C3F">
        <w:rPr>
          <w:rFonts w:ascii="Palatino Linotype" w:hAnsi="Palatino Linotype"/>
        </w:rPr>
        <w:t>Documento suscrito por el Titular de la Unidad de Transparencia, en el cual manifestó que no existe un registro de citas previas, registro de citas atendidas, ni un libro de citas atendidas, se atiende a las personas conforme al turno de su llegada a las oficinas de la Institución, registrando su asistencia consecutivamente sin que medie una previa cita.</w:t>
      </w:r>
    </w:p>
    <w:p w:rsidR="0063255B" w:rsidRPr="00701C3F" w:rsidRDefault="0063255B" w:rsidP="0063255B">
      <w:pPr>
        <w:pStyle w:val="Prrafodelista"/>
        <w:rPr>
          <w:rFonts w:ascii="Palatino Linotype" w:hAnsi="Palatino Linotype"/>
        </w:rPr>
      </w:pPr>
    </w:p>
    <w:p w:rsidR="00FF1728" w:rsidRDefault="002A5BA4" w:rsidP="00FF1728">
      <w:pPr>
        <w:pStyle w:val="Prrafodelista"/>
        <w:numPr>
          <w:ilvl w:val="0"/>
          <w:numId w:val="1"/>
        </w:numPr>
        <w:spacing w:before="240" w:after="240" w:line="360" w:lineRule="auto"/>
        <w:ind w:left="0" w:firstLine="0"/>
        <w:jc w:val="both"/>
        <w:rPr>
          <w:rFonts w:ascii="Palatino Linotype" w:hAnsi="Palatino Linotype" w:cs="Arial"/>
        </w:rPr>
      </w:pPr>
      <w:r w:rsidRPr="00701C3F">
        <w:rPr>
          <w:rFonts w:ascii="Palatino Linotype" w:hAnsi="Palatino Linotype"/>
        </w:rPr>
        <w:t>El Comisionado Ponente decretó el cierre de instrucción</w:t>
      </w:r>
      <w:r w:rsidRPr="00701C3F">
        <w:rPr>
          <w:rFonts w:ascii="Palatino Linotype" w:hAnsi="Palatino Linotype" w:cs="Arial"/>
        </w:rPr>
        <w:t xml:space="preserve"> </w:t>
      </w:r>
      <w:r w:rsidRPr="00701C3F">
        <w:rPr>
          <w:rFonts w:ascii="Palatino Linotype" w:hAnsi="Palatino Linotype"/>
        </w:rPr>
        <w:t xml:space="preserve">mediante </w:t>
      </w:r>
      <w:r w:rsidR="00763B5A" w:rsidRPr="00701C3F">
        <w:rPr>
          <w:rFonts w:ascii="Palatino Linotype" w:hAnsi="Palatino Linotype"/>
        </w:rPr>
        <w:t>el</w:t>
      </w:r>
      <w:r w:rsidR="00500D9A" w:rsidRPr="00701C3F">
        <w:rPr>
          <w:rFonts w:ascii="Palatino Linotype" w:hAnsi="Palatino Linotype"/>
        </w:rPr>
        <w:t xml:space="preserve"> </w:t>
      </w:r>
      <w:r w:rsidRPr="00701C3F">
        <w:rPr>
          <w:rFonts w:ascii="Palatino Linotype" w:hAnsi="Palatino Linotype"/>
        </w:rPr>
        <w:t xml:space="preserve">acuerdo de fecha </w:t>
      </w:r>
      <w:r w:rsidR="00171AE9" w:rsidRPr="00701C3F">
        <w:rPr>
          <w:rFonts w:ascii="Palatino Linotype" w:hAnsi="Palatino Linotype"/>
        </w:rPr>
        <w:t>diecisiete</w:t>
      </w:r>
      <w:r w:rsidR="00500D9A" w:rsidRPr="00701C3F">
        <w:rPr>
          <w:rFonts w:ascii="Palatino Linotype" w:hAnsi="Palatino Linotype"/>
        </w:rPr>
        <w:t xml:space="preserve"> (</w:t>
      </w:r>
      <w:r w:rsidR="00171AE9" w:rsidRPr="00701C3F">
        <w:rPr>
          <w:rFonts w:ascii="Palatino Linotype" w:hAnsi="Palatino Linotype"/>
        </w:rPr>
        <w:t>17</w:t>
      </w:r>
      <w:r w:rsidR="00500D9A" w:rsidRPr="00701C3F">
        <w:rPr>
          <w:rFonts w:ascii="Palatino Linotype" w:hAnsi="Palatino Linotype"/>
        </w:rPr>
        <w:t xml:space="preserve">) de </w:t>
      </w:r>
      <w:r w:rsidR="00171AE9" w:rsidRPr="00701C3F">
        <w:rPr>
          <w:rFonts w:ascii="Palatino Linotype" w:hAnsi="Palatino Linotype"/>
        </w:rPr>
        <w:t>enero</w:t>
      </w:r>
      <w:r w:rsidR="00500D9A" w:rsidRPr="00701C3F">
        <w:rPr>
          <w:rFonts w:ascii="Palatino Linotype" w:hAnsi="Palatino Linotype"/>
        </w:rPr>
        <w:t xml:space="preserve"> de dos mil </w:t>
      </w:r>
      <w:r w:rsidR="000E053C" w:rsidRPr="00701C3F">
        <w:rPr>
          <w:rFonts w:ascii="Palatino Linotype" w:eastAsia="Calibri" w:hAnsi="Palatino Linotype" w:cs="Arial"/>
          <w:lang w:val="es-ES"/>
        </w:rPr>
        <w:t>dieciocho</w:t>
      </w:r>
      <w:r w:rsidRPr="00701C3F">
        <w:rPr>
          <w:rFonts w:ascii="Palatino Linotype" w:hAnsi="Palatino Linotype"/>
        </w:rPr>
        <w:t xml:space="preserve">, </w:t>
      </w:r>
      <w:r w:rsidR="00F55213" w:rsidRPr="00701C3F">
        <w:rPr>
          <w:rFonts w:ascii="Palatino Linotype" w:hAnsi="Palatino Linotype" w:cs="Arial"/>
        </w:rPr>
        <w:t>por lo que, ordenó turnar los</w:t>
      </w:r>
      <w:r w:rsidRPr="00701C3F">
        <w:rPr>
          <w:rFonts w:ascii="Palatino Linotype" w:hAnsi="Palatino Linotype" w:cs="Arial"/>
        </w:rPr>
        <w:t xml:space="preserve"> expediente</w:t>
      </w:r>
      <w:r w:rsidR="00F55213" w:rsidRPr="00701C3F">
        <w:rPr>
          <w:rFonts w:ascii="Palatino Linotype" w:hAnsi="Palatino Linotype" w:cs="Arial"/>
        </w:rPr>
        <w:t>s</w:t>
      </w:r>
      <w:r w:rsidRPr="00701C3F">
        <w:rPr>
          <w:rFonts w:ascii="Palatino Linotype" w:hAnsi="Palatino Linotype" w:cs="Arial"/>
        </w:rPr>
        <w:t xml:space="preserve"> a resolución, </w:t>
      </w:r>
      <w:r w:rsidR="005C08AF" w:rsidRPr="005C08AF">
        <w:rPr>
          <w:rFonts w:ascii="Palatino Linotype" w:hAnsi="Palatino Linotype" w:cs="Arial"/>
        </w:rPr>
        <w:t xml:space="preserve">consecutivamente mediante acuerdo de fecha </w:t>
      </w:r>
      <w:r w:rsidR="005C08AF">
        <w:rPr>
          <w:rFonts w:ascii="Palatino Linotype" w:hAnsi="Palatino Linotype" w:cs="Arial"/>
        </w:rPr>
        <w:t xml:space="preserve">quince </w:t>
      </w:r>
      <w:r w:rsidR="005C08AF" w:rsidRPr="005C08AF">
        <w:rPr>
          <w:rFonts w:ascii="Palatino Linotype" w:hAnsi="Palatino Linotype" w:cs="Arial"/>
        </w:rPr>
        <w:t>(1</w:t>
      </w:r>
      <w:r w:rsidR="005C08AF">
        <w:rPr>
          <w:rFonts w:ascii="Palatino Linotype" w:hAnsi="Palatino Linotype" w:cs="Arial"/>
        </w:rPr>
        <w:t>5</w:t>
      </w:r>
      <w:r w:rsidR="005C08AF" w:rsidRPr="005C08AF">
        <w:rPr>
          <w:rFonts w:ascii="Palatino Linotype" w:hAnsi="Palatino Linotype" w:cs="Arial"/>
        </w:rPr>
        <w:t>) de febrero del mismo año, se amplió el termino para resolver, por lo que, ordenó tu</w:t>
      </w:r>
      <w:r w:rsidR="00FF1728">
        <w:rPr>
          <w:rFonts w:ascii="Palatino Linotype" w:hAnsi="Palatino Linotype" w:cs="Arial"/>
        </w:rPr>
        <w:t>rnar el expediente a resolución.</w:t>
      </w:r>
    </w:p>
    <w:p w:rsidR="00066ADF" w:rsidRPr="00066ADF" w:rsidRDefault="00066ADF" w:rsidP="00066ADF">
      <w:pPr>
        <w:pStyle w:val="Prrafodelista"/>
        <w:spacing w:before="240" w:after="240" w:line="360" w:lineRule="auto"/>
        <w:ind w:left="0"/>
        <w:jc w:val="both"/>
        <w:rPr>
          <w:rFonts w:ascii="Palatino Linotype" w:hAnsi="Palatino Linotype" w:cs="Arial"/>
        </w:rPr>
      </w:pPr>
    </w:p>
    <w:p w:rsidR="002A5BA4" w:rsidRPr="00701C3F" w:rsidRDefault="002A5BA4" w:rsidP="002A5BA4">
      <w:pPr>
        <w:pStyle w:val="Ttulo1"/>
        <w:jc w:val="center"/>
        <w:rPr>
          <w:b w:val="0"/>
          <w:szCs w:val="24"/>
        </w:rPr>
      </w:pPr>
      <w:bookmarkStart w:id="4" w:name="_Toc286702"/>
      <w:r w:rsidRPr="00701C3F">
        <w:rPr>
          <w:szCs w:val="24"/>
        </w:rPr>
        <w:t>CONSIDERANDO</w:t>
      </w:r>
      <w:bookmarkEnd w:id="4"/>
      <w:r w:rsidR="005E6C51" w:rsidRPr="00701C3F">
        <w:rPr>
          <w:szCs w:val="24"/>
        </w:rPr>
        <w:t xml:space="preserve"> </w:t>
      </w:r>
    </w:p>
    <w:p w:rsidR="002A5BA4" w:rsidRPr="00701C3F" w:rsidRDefault="002A5BA4" w:rsidP="002A5BA4">
      <w:pPr>
        <w:rPr>
          <w:rFonts w:ascii="Palatino Linotype" w:hAnsi="Palatino Linotype"/>
          <w:lang w:val="es-MX" w:eastAsia="en-US"/>
        </w:rPr>
      </w:pPr>
    </w:p>
    <w:p w:rsidR="002A5BA4" w:rsidRPr="00701C3F" w:rsidRDefault="002A5BA4" w:rsidP="002A5BA4">
      <w:pPr>
        <w:pStyle w:val="Ttulo2"/>
        <w:rPr>
          <w:rFonts w:ascii="Palatino Linotype" w:hAnsi="Palatino Linotype"/>
          <w:b/>
          <w:bCs/>
          <w:color w:val="auto"/>
          <w:spacing w:val="60"/>
          <w:sz w:val="24"/>
        </w:rPr>
      </w:pPr>
      <w:bookmarkStart w:id="5" w:name="_Toc286703"/>
      <w:r w:rsidRPr="00701C3F">
        <w:rPr>
          <w:rFonts w:ascii="Palatino Linotype" w:hAnsi="Palatino Linotype"/>
          <w:b/>
          <w:color w:val="auto"/>
          <w:sz w:val="24"/>
        </w:rPr>
        <w:t>PRIMERO. De la competencia</w:t>
      </w:r>
      <w:bookmarkEnd w:id="5"/>
    </w:p>
    <w:p w:rsidR="002A5BA4" w:rsidRPr="00701C3F" w:rsidRDefault="002A5BA4" w:rsidP="00134579">
      <w:pPr>
        <w:pStyle w:val="Prrafodelista"/>
        <w:numPr>
          <w:ilvl w:val="0"/>
          <w:numId w:val="1"/>
        </w:numPr>
        <w:spacing w:before="240" w:after="240" w:line="360" w:lineRule="auto"/>
        <w:ind w:left="0" w:firstLine="0"/>
        <w:jc w:val="both"/>
        <w:rPr>
          <w:rFonts w:ascii="Palatino Linotype" w:hAnsi="Palatino Linotype"/>
        </w:rPr>
      </w:pPr>
      <w:r w:rsidRPr="00701C3F">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701C3F">
        <w:rPr>
          <w:rFonts w:ascii="Palatino Linotype" w:eastAsia="Calibri" w:hAnsi="Palatino Linotype" w:cs="Times New Roman"/>
          <w:b/>
          <w:lang w:val="es-ES"/>
        </w:rPr>
        <w:t>Constitución Política de los Estados Unidos Mexicanos</w:t>
      </w:r>
      <w:r w:rsidRPr="00701C3F">
        <w:rPr>
          <w:rFonts w:ascii="Palatino Linotype" w:eastAsia="Calibri" w:hAnsi="Palatino Linotype" w:cs="Times New Roman"/>
          <w:lang w:val="es-ES"/>
        </w:rPr>
        <w:t xml:space="preserve">; 5, párrafos </w:t>
      </w:r>
      <w:r w:rsidRPr="00701C3F">
        <w:rPr>
          <w:rFonts w:ascii="Palatino Linotype" w:hAnsi="Palatino Linotype" w:cs="Arial"/>
          <w:bCs/>
          <w:color w:val="222222"/>
          <w:lang w:val="es-ES"/>
        </w:rPr>
        <w:t xml:space="preserve">vigésimo, vigésimo primero y vigésimo segundo </w:t>
      </w:r>
      <w:r w:rsidRPr="00701C3F">
        <w:rPr>
          <w:rFonts w:ascii="Palatino Linotype" w:eastAsia="Calibri" w:hAnsi="Palatino Linotype" w:cs="Times New Roman"/>
          <w:lang w:val="es-ES"/>
        </w:rPr>
        <w:t xml:space="preserve">fracciones IV y V de la </w:t>
      </w:r>
      <w:r w:rsidRPr="00701C3F">
        <w:rPr>
          <w:rFonts w:ascii="Palatino Linotype" w:eastAsia="Calibri" w:hAnsi="Palatino Linotype" w:cs="Times New Roman"/>
          <w:b/>
          <w:lang w:val="es-ES"/>
        </w:rPr>
        <w:t>Constitución Política del Estado Libre y Soberano de México</w:t>
      </w:r>
      <w:r w:rsidRPr="00701C3F">
        <w:rPr>
          <w:rFonts w:ascii="Palatino Linotype" w:eastAsia="Calibri" w:hAnsi="Palatino Linotype" w:cs="Times New Roman"/>
          <w:lang w:val="es-ES"/>
        </w:rPr>
        <w:t xml:space="preserve">; artículos 1, 2 </w:t>
      </w:r>
      <w:r w:rsidRPr="00701C3F">
        <w:rPr>
          <w:rFonts w:ascii="Palatino Linotype" w:eastAsia="Calibri" w:hAnsi="Palatino Linotype" w:cs="Times New Roman"/>
          <w:lang w:val="es-ES"/>
        </w:rPr>
        <w:lastRenderedPageBreak/>
        <w:t xml:space="preserve">fracción II, 13, 29, 36 fracciones I y II, 176, 178, 179, 181 párrafo tercero y 185 </w:t>
      </w:r>
      <w:r w:rsidRPr="00701C3F">
        <w:rPr>
          <w:rFonts w:ascii="Palatino Linotype" w:eastAsia="Calibri" w:hAnsi="Palatino Linotype" w:cs="Arial"/>
          <w:lang w:val="es-ES"/>
        </w:rPr>
        <w:t xml:space="preserve">de la </w:t>
      </w:r>
      <w:r w:rsidRPr="00701C3F">
        <w:rPr>
          <w:rFonts w:ascii="Palatino Linotype" w:eastAsia="Calibri" w:hAnsi="Palatino Linotype" w:cs="Arial"/>
          <w:b/>
          <w:lang w:val="es-ES"/>
        </w:rPr>
        <w:t>Ley de Transparencia y Acceso a la Información Pública del Estado de México y Municipios</w:t>
      </w:r>
      <w:r w:rsidRPr="00701C3F">
        <w:rPr>
          <w:rFonts w:ascii="Palatino Linotype" w:eastAsia="Calibri" w:hAnsi="Palatino Linotype" w:cs="Arial"/>
          <w:lang w:val="es-ES"/>
        </w:rPr>
        <w:t xml:space="preserve">; y 7, 9 fracciones I y XXIV, y 11 del </w:t>
      </w:r>
      <w:r w:rsidRPr="00701C3F">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701C3F">
        <w:rPr>
          <w:rFonts w:ascii="Palatino Linotype" w:hAnsi="Palatino Linotype"/>
        </w:rPr>
        <w:t>.</w:t>
      </w:r>
    </w:p>
    <w:p w:rsidR="00A53B90" w:rsidRPr="00701C3F" w:rsidRDefault="00A53B90" w:rsidP="00A53B90">
      <w:pPr>
        <w:pStyle w:val="Prrafodelista"/>
        <w:spacing w:before="240" w:after="240" w:line="360" w:lineRule="auto"/>
        <w:ind w:left="0"/>
        <w:jc w:val="both"/>
        <w:rPr>
          <w:rFonts w:ascii="Palatino Linotype" w:hAnsi="Palatino Linotype"/>
        </w:rPr>
      </w:pPr>
    </w:p>
    <w:p w:rsidR="002A5BA4" w:rsidRPr="00701C3F" w:rsidRDefault="002A5BA4" w:rsidP="002A5BA4">
      <w:pPr>
        <w:pStyle w:val="Ttulo2"/>
        <w:rPr>
          <w:rFonts w:ascii="Palatino Linotype" w:hAnsi="Palatino Linotype"/>
          <w:b/>
          <w:color w:val="auto"/>
          <w:sz w:val="24"/>
        </w:rPr>
      </w:pPr>
      <w:bookmarkStart w:id="6" w:name="_Toc286704"/>
      <w:r w:rsidRPr="00701C3F">
        <w:rPr>
          <w:rFonts w:ascii="Palatino Linotype" w:hAnsi="Palatino Linotype"/>
          <w:b/>
          <w:color w:val="auto"/>
          <w:sz w:val="24"/>
        </w:rPr>
        <w:t>SEGUNDO. De la oportunidad y procedencia.</w:t>
      </w:r>
      <w:bookmarkEnd w:id="6"/>
    </w:p>
    <w:p w:rsidR="002A5BA4" w:rsidRPr="00701C3F" w:rsidRDefault="002A5BA4" w:rsidP="002A5BA4">
      <w:pPr>
        <w:rPr>
          <w:lang w:val="es-MX" w:eastAsia="en-US"/>
        </w:rPr>
      </w:pPr>
    </w:p>
    <w:p w:rsidR="001C1F82" w:rsidRPr="00701C3F" w:rsidRDefault="001C1F82" w:rsidP="00134579">
      <w:pPr>
        <w:pStyle w:val="Prrafodelista"/>
        <w:numPr>
          <w:ilvl w:val="0"/>
          <w:numId w:val="1"/>
        </w:numPr>
        <w:spacing w:before="240" w:after="240" w:line="360" w:lineRule="auto"/>
        <w:ind w:left="0" w:right="49" w:firstLine="0"/>
        <w:jc w:val="both"/>
        <w:rPr>
          <w:rFonts w:ascii="Palatino Linotype" w:hAnsi="Palatino Linotype"/>
        </w:rPr>
      </w:pPr>
      <w:r w:rsidRPr="00701C3F">
        <w:rPr>
          <w:rFonts w:ascii="Palatino Linotype" w:eastAsia="Calibri" w:hAnsi="Palatino Linotype" w:cs="Arial"/>
        </w:rPr>
        <w:t xml:space="preserve">El medio de impugnación fue presentado a través del </w:t>
      </w:r>
      <w:r w:rsidRPr="00701C3F">
        <w:rPr>
          <w:rFonts w:ascii="Palatino Linotype" w:eastAsia="Calibri" w:hAnsi="Palatino Linotype" w:cs="Arial"/>
          <w:b/>
        </w:rPr>
        <w:t>SAIMEX,</w:t>
      </w:r>
      <w:r w:rsidRPr="00701C3F">
        <w:rPr>
          <w:rFonts w:ascii="Palatino Linotype" w:eastAsia="Calibri" w:hAnsi="Palatino Linotype" w:cs="Arial"/>
        </w:rPr>
        <w:t xml:space="preserve"> en el formato previamente aprobado para tal efecto y dentro del plazo legal de quince días hábiles otorgados; siendo así que el </w:t>
      </w:r>
      <w:r w:rsidRPr="00701C3F">
        <w:rPr>
          <w:rFonts w:ascii="Palatino Linotype" w:eastAsia="Calibri" w:hAnsi="Palatino Linotype" w:cs="Arial"/>
          <w:b/>
        </w:rPr>
        <w:t>SUJETO OBLIGADO</w:t>
      </w:r>
      <w:r w:rsidRPr="00701C3F">
        <w:rPr>
          <w:rFonts w:ascii="Palatino Linotype" w:eastAsia="Calibri" w:hAnsi="Palatino Linotype" w:cs="Arial"/>
        </w:rPr>
        <w:t xml:space="preserve"> entregó respuesta </w:t>
      </w:r>
      <w:r w:rsidR="00763B5A" w:rsidRPr="00701C3F">
        <w:rPr>
          <w:rFonts w:ascii="Palatino Linotype" w:eastAsia="Calibri" w:hAnsi="Palatino Linotype" w:cs="Arial"/>
        </w:rPr>
        <w:t>el día</w:t>
      </w:r>
      <w:r w:rsidR="003F5A1B" w:rsidRPr="00701C3F">
        <w:rPr>
          <w:rFonts w:ascii="Palatino Linotype" w:eastAsia="Calibri" w:hAnsi="Palatino Linotype" w:cs="Arial"/>
        </w:rPr>
        <w:t xml:space="preserve"> </w:t>
      </w:r>
      <w:r w:rsidR="001614C1" w:rsidRPr="00701C3F">
        <w:rPr>
          <w:rFonts w:ascii="Palatino Linotype" w:eastAsia="Calibri" w:hAnsi="Palatino Linotype" w:cs="Arial"/>
        </w:rPr>
        <w:t>veintinueve</w:t>
      </w:r>
      <w:r w:rsidR="00AF0D0E" w:rsidRPr="00701C3F">
        <w:rPr>
          <w:rFonts w:ascii="Palatino Linotype" w:eastAsia="Calibri" w:hAnsi="Palatino Linotype" w:cs="Arial"/>
        </w:rPr>
        <w:t xml:space="preserve"> (</w:t>
      </w:r>
      <w:r w:rsidR="001614C1" w:rsidRPr="00701C3F">
        <w:rPr>
          <w:rFonts w:ascii="Palatino Linotype" w:eastAsia="Calibri" w:hAnsi="Palatino Linotype" w:cs="Arial"/>
        </w:rPr>
        <w:t>29</w:t>
      </w:r>
      <w:r w:rsidR="00AF0D0E" w:rsidRPr="00701C3F">
        <w:rPr>
          <w:rFonts w:ascii="Palatino Linotype" w:eastAsia="Calibri" w:hAnsi="Palatino Linotype" w:cs="Arial"/>
        </w:rPr>
        <w:t>)</w:t>
      </w:r>
      <w:r w:rsidR="0063255B" w:rsidRPr="00701C3F">
        <w:rPr>
          <w:rFonts w:ascii="Palatino Linotype" w:eastAsia="Calibri" w:hAnsi="Palatino Linotype" w:cs="Arial"/>
        </w:rPr>
        <w:t xml:space="preserve"> de noviembre de dos mil dieciocho, de tal forma que el plazo para interponer el recurso de revisión transcurrió del </w:t>
      </w:r>
      <w:r w:rsidR="001614C1" w:rsidRPr="00701C3F">
        <w:rPr>
          <w:rFonts w:ascii="Palatino Linotype" w:eastAsia="Calibri" w:hAnsi="Palatino Linotype" w:cs="Arial"/>
        </w:rPr>
        <w:t>treinta</w:t>
      </w:r>
      <w:r w:rsidR="0063255B" w:rsidRPr="00701C3F">
        <w:rPr>
          <w:rFonts w:ascii="Palatino Linotype" w:eastAsia="Calibri" w:hAnsi="Palatino Linotype" w:cs="Arial"/>
        </w:rPr>
        <w:t xml:space="preserve"> (</w:t>
      </w:r>
      <w:r w:rsidR="001614C1" w:rsidRPr="00701C3F">
        <w:rPr>
          <w:rFonts w:ascii="Palatino Linotype" w:eastAsia="Calibri" w:hAnsi="Palatino Linotype" w:cs="Arial"/>
        </w:rPr>
        <w:t>30</w:t>
      </w:r>
      <w:r w:rsidR="0063255B" w:rsidRPr="00701C3F">
        <w:rPr>
          <w:rFonts w:ascii="Palatino Linotype" w:eastAsia="Calibri" w:hAnsi="Palatino Linotype" w:cs="Arial"/>
        </w:rPr>
        <w:t xml:space="preserve">) de noviembre </w:t>
      </w:r>
      <w:r w:rsidR="001614C1" w:rsidRPr="00701C3F">
        <w:rPr>
          <w:rFonts w:ascii="Palatino Linotype" w:eastAsia="Calibri" w:hAnsi="Palatino Linotype" w:cs="Arial"/>
        </w:rPr>
        <w:t xml:space="preserve">de dos mil dieciocho </w:t>
      </w:r>
      <w:r w:rsidR="0063255B" w:rsidRPr="00701C3F">
        <w:rPr>
          <w:rFonts w:ascii="Palatino Linotype" w:eastAsia="Calibri" w:hAnsi="Palatino Linotype" w:cs="Arial"/>
        </w:rPr>
        <w:t xml:space="preserve">al </w:t>
      </w:r>
      <w:r w:rsidR="001614C1" w:rsidRPr="00701C3F">
        <w:rPr>
          <w:rFonts w:ascii="Palatino Linotype" w:eastAsia="Calibri" w:hAnsi="Palatino Linotype" w:cs="Arial"/>
        </w:rPr>
        <w:t>siete</w:t>
      </w:r>
      <w:r w:rsidR="0063255B" w:rsidRPr="00701C3F">
        <w:rPr>
          <w:rFonts w:ascii="Palatino Linotype" w:eastAsia="Calibri" w:hAnsi="Palatino Linotype" w:cs="Arial"/>
        </w:rPr>
        <w:t xml:space="preserve"> (</w:t>
      </w:r>
      <w:r w:rsidR="001614C1" w:rsidRPr="00701C3F">
        <w:rPr>
          <w:rFonts w:ascii="Palatino Linotype" w:eastAsia="Calibri" w:hAnsi="Palatino Linotype" w:cs="Arial"/>
        </w:rPr>
        <w:t>7</w:t>
      </w:r>
      <w:r w:rsidR="0063255B" w:rsidRPr="00701C3F">
        <w:rPr>
          <w:rFonts w:ascii="Palatino Linotype" w:eastAsia="Calibri" w:hAnsi="Palatino Linotype" w:cs="Arial"/>
        </w:rPr>
        <w:t>) de</w:t>
      </w:r>
      <w:r w:rsidR="00E75F88" w:rsidRPr="00701C3F">
        <w:rPr>
          <w:rFonts w:ascii="Palatino Linotype" w:eastAsia="Calibri" w:hAnsi="Palatino Linotype" w:cs="Arial"/>
        </w:rPr>
        <w:t xml:space="preserve"> </w:t>
      </w:r>
      <w:r w:rsidR="001614C1" w:rsidRPr="00701C3F">
        <w:rPr>
          <w:rFonts w:ascii="Palatino Linotype" w:eastAsia="Calibri" w:hAnsi="Palatino Linotype" w:cs="Arial"/>
        </w:rPr>
        <w:t>enero</w:t>
      </w:r>
      <w:r w:rsidR="00E75F88" w:rsidRPr="00701C3F">
        <w:rPr>
          <w:rFonts w:ascii="Palatino Linotype" w:eastAsia="Calibri" w:hAnsi="Palatino Linotype" w:cs="Arial"/>
        </w:rPr>
        <w:t xml:space="preserve"> de dos mil dieci</w:t>
      </w:r>
      <w:r w:rsidR="001614C1" w:rsidRPr="00701C3F">
        <w:rPr>
          <w:rFonts w:ascii="Palatino Linotype" w:eastAsia="Calibri" w:hAnsi="Palatino Linotype" w:cs="Arial"/>
        </w:rPr>
        <w:t>nueve</w:t>
      </w:r>
      <w:r w:rsidR="001D1986" w:rsidRPr="00701C3F">
        <w:rPr>
          <w:rFonts w:ascii="Palatino Linotype" w:eastAsia="Calibri" w:hAnsi="Palatino Linotype" w:cs="Arial"/>
        </w:rPr>
        <w:t xml:space="preserve">; </w:t>
      </w:r>
      <w:r w:rsidRPr="00701C3F">
        <w:rPr>
          <w:rFonts w:ascii="Palatino Linotype" w:hAnsi="Palatino Linotype" w:cs="Arial"/>
        </w:rPr>
        <w:t xml:space="preserve">en consecuencia, presentó su inconformidad </w:t>
      </w:r>
      <w:r w:rsidR="00763B5A" w:rsidRPr="00701C3F">
        <w:rPr>
          <w:rFonts w:ascii="Palatino Linotype" w:hAnsi="Palatino Linotype" w:cs="Arial"/>
        </w:rPr>
        <w:t xml:space="preserve">el </w:t>
      </w:r>
      <w:r w:rsidR="00E6663B" w:rsidRPr="00701C3F">
        <w:rPr>
          <w:rFonts w:ascii="Palatino Linotype" w:hAnsi="Palatino Linotype" w:cs="Arial"/>
        </w:rPr>
        <w:t>día</w:t>
      </w:r>
      <w:r w:rsidRPr="00701C3F">
        <w:rPr>
          <w:rFonts w:ascii="Palatino Linotype" w:hAnsi="Palatino Linotype" w:cs="Arial"/>
        </w:rPr>
        <w:t xml:space="preserve"> </w:t>
      </w:r>
      <w:r w:rsidR="001614C1" w:rsidRPr="00701C3F">
        <w:rPr>
          <w:rFonts w:ascii="Palatino Linotype" w:hAnsi="Palatino Linotype" w:cs="Arial"/>
        </w:rPr>
        <w:t>diez</w:t>
      </w:r>
      <w:r w:rsidR="00E6663B" w:rsidRPr="00701C3F">
        <w:rPr>
          <w:rFonts w:ascii="Palatino Linotype" w:hAnsi="Palatino Linotype" w:cs="Arial"/>
        </w:rPr>
        <w:t xml:space="preserve"> (</w:t>
      </w:r>
      <w:r w:rsidR="001614C1" w:rsidRPr="00701C3F">
        <w:rPr>
          <w:rFonts w:ascii="Palatino Linotype" w:hAnsi="Palatino Linotype" w:cs="Arial"/>
        </w:rPr>
        <w:t>10</w:t>
      </w:r>
      <w:r w:rsidR="00E6663B" w:rsidRPr="00701C3F">
        <w:rPr>
          <w:rFonts w:ascii="Palatino Linotype" w:hAnsi="Palatino Linotype" w:cs="Arial"/>
        </w:rPr>
        <w:t xml:space="preserve">) </w:t>
      </w:r>
      <w:r w:rsidR="00E75F88" w:rsidRPr="00701C3F">
        <w:rPr>
          <w:rFonts w:ascii="Palatino Linotype" w:hAnsi="Palatino Linotype" w:cs="Arial"/>
        </w:rPr>
        <w:t>diciembre</w:t>
      </w:r>
      <w:r w:rsidR="001D1986" w:rsidRPr="00701C3F">
        <w:rPr>
          <w:rFonts w:ascii="Palatino Linotype" w:hAnsi="Palatino Linotype" w:cs="Arial"/>
        </w:rPr>
        <w:t xml:space="preserve"> </w:t>
      </w:r>
      <w:r w:rsidRPr="00701C3F">
        <w:rPr>
          <w:rFonts w:ascii="Palatino Linotype" w:hAnsi="Palatino Linotype" w:cs="Arial"/>
        </w:rPr>
        <w:t xml:space="preserve">de dos mil dieciocho, por lo que se encuentra dentro de los márgenes temporales previstos en el artículo 178 de la </w:t>
      </w:r>
      <w:r w:rsidRPr="00701C3F">
        <w:rPr>
          <w:rFonts w:ascii="Palatino Linotype" w:hAnsi="Palatino Linotype" w:cs="Arial"/>
          <w:b/>
        </w:rPr>
        <w:t xml:space="preserve">Ley de Transparencia y Acceso a la Información Pública del Estado de México y Municipios </w:t>
      </w:r>
      <w:r w:rsidRPr="00701C3F">
        <w:rPr>
          <w:rFonts w:ascii="Palatino Linotype" w:hAnsi="Palatino Linotype" w:cs="Arial"/>
        </w:rPr>
        <w:t>vigente.</w:t>
      </w:r>
    </w:p>
    <w:p w:rsidR="008A7076" w:rsidRPr="00701C3F" w:rsidRDefault="008A7076" w:rsidP="008A7076">
      <w:pPr>
        <w:pStyle w:val="Prrafodelista"/>
        <w:spacing w:before="240" w:after="240" w:line="360" w:lineRule="auto"/>
        <w:ind w:left="0" w:right="49"/>
        <w:jc w:val="both"/>
        <w:rPr>
          <w:rFonts w:ascii="Palatino Linotype" w:hAnsi="Palatino Linotype"/>
        </w:rPr>
      </w:pPr>
    </w:p>
    <w:p w:rsidR="00066ADF" w:rsidRPr="00066ADF" w:rsidRDefault="001C1F82" w:rsidP="00066ADF">
      <w:pPr>
        <w:pStyle w:val="Prrafodelista"/>
        <w:numPr>
          <w:ilvl w:val="0"/>
          <w:numId w:val="1"/>
        </w:numPr>
        <w:spacing w:before="240" w:after="240" w:line="360" w:lineRule="auto"/>
        <w:ind w:left="0" w:right="49" w:firstLine="0"/>
        <w:jc w:val="both"/>
        <w:rPr>
          <w:rFonts w:ascii="Palatino Linotype" w:hAnsi="Palatino Linotype"/>
        </w:rPr>
      </w:pPr>
      <w:r w:rsidRPr="00701C3F">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066ADF" w:rsidRDefault="002A5BA4" w:rsidP="00066ADF">
      <w:pPr>
        <w:pStyle w:val="Ttulo1"/>
        <w:rPr>
          <w:color w:val="000000" w:themeColor="text1"/>
          <w:szCs w:val="24"/>
          <w:lang w:eastAsia="es-MX"/>
        </w:rPr>
      </w:pPr>
      <w:bookmarkStart w:id="7" w:name="_Toc486525253"/>
      <w:bookmarkStart w:id="8" w:name="_Toc286705"/>
      <w:r w:rsidRPr="00701C3F">
        <w:rPr>
          <w:color w:val="000000" w:themeColor="text1"/>
          <w:szCs w:val="24"/>
          <w:lang w:eastAsia="es-MX"/>
        </w:rPr>
        <w:lastRenderedPageBreak/>
        <w:t xml:space="preserve">TERCERO. </w:t>
      </w:r>
      <w:bookmarkEnd w:id="7"/>
      <w:r w:rsidR="006E4CE1" w:rsidRPr="00701C3F">
        <w:rPr>
          <w:color w:val="000000" w:themeColor="text1"/>
          <w:szCs w:val="24"/>
          <w:lang w:eastAsia="es-MX"/>
        </w:rPr>
        <w:t>Planteamiento de la Litis</w:t>
      </w:r>
      <w:bookmarkStart w:id="9" w:name="_Toc452722829"/>
      <w:bookmarkStart w:id="10" w:name="_Toc454373811"/>
      <w:bookmarkStart w:id="11" w:name="_Toc476675991"/>
      <w:bookmarkEnd w:id="8"/>
      <w:r w:rsidR="00066ADF">
        <w:rPr>
          <w:color w:val="000000" w:themeColor="text1"/>
          <w:szCs w:val="24"/>
          <w:lang w:eastAsia="es-MX"/>
        </w:rPr>
        <w:t>.</w:t>
      </w:r>
    </w:p>
    <w:p w:rsidR="00066ADF" w:rsidRPr="00066ADF" w:rsidRDefault="00066ADF" w:rsidP="00066ADF">
      <w:pPr>
        <w:rPr>
          <w:lang w:val="es-MX" w:eastAsia="es-MX"/>
        </w:rPr>
      </w:pPr>
    </w:p>
    <w:p w:rsidR="00E75F88" w:rsidRPr="00066ADF" w:rsidRDefault="00066ADF" w:rsidP="00066ADF">
      <w:pPr>
        <w:pStyle w:val="Ttulo1"/>
        <w:numPr>
          <w:ilvl w:val="0"/>
          <w:numId w:val="16"/>
        </w:numPr>
        <w:ind w:left="284" w:hanging="284"/>
        <w:rPr>
          <w:b w:val="0"/>
          <w:color w:val="000000" w:themeColor="text1"/>
          <w:szCs w:val="24"/>
          <w:lang w:eastAsia="es-MX"/>
        </w:rPr>
      </w:pPr>
      <w:r>
        <w:rPr>
          <w:rFonts w:cs="Arial"/>
        </w:rPr>
        <w:t xml:space="preserve">. </w:t>
      </w:r>
      <w:r w:rsidR="001614C1" w:rsidRPr="00701C3F">
        <w:rPr>
          <w:rFonts w:cs="Arial"/>
        </w:rPr>
        <w:t>Se solicitó al Sujeto Obligado en versión pública el registro de</w:t>
      </w:r>
      <w:r w:rsidR="00C25DB4" w:rsidRPr="00701C3F">
        <w:rPr>
          <w:rFonts w:cs="Arial"/>
        </w:rPr>
        <w:t xml:space="preserve"> citas del día trece (13) de noviembre de 2018 del Instituto de la Defensoría Pública con sede en Ecatepec de Morelos.</w:t>
      </w:r>
    </w:p>
    <w:p w:rsidR="00066ADF" w:rsidRDefault="00066ADF" w:rsidP="00066ADF">
      <w:pPr>
        <w:spacing w:line="360" w:lineRule="auto"/>
        <w:jc w:val="both"/>
        <w:rPr>
          <w:rFonts w:ascii="Palatino Linotype" w:eastAsia="Calibri" w:hAnsi="Palatino Linotype" w:cs="Arial"/>
          <w:i/>
          <w:sz w:val="22"/>
          <w:lang w:val="es-ES"/>
        </w:rPr>
      </w:pPr>
    </w:p>
    <w:p w:rsidR="00C25DB4" w:rsidRPr="00066ADF" w:rsidRDefault="006E4CE1" w:rsidP="00066ADF">
      <w:pPr>
        <w:spacing w:line="360" w:lineRule="auto"/>
        <w:jc w:val="both"/>
        <w:rPr>
          <w:rFonts w:ascii="Palatino Linotype" w:eastAsia="Calibri" w:hAnsi="Palatino Linotype" w:cs="Arial"/>
          <w:i/>
          <w:sz w:val="22"/>
          <w:lang w:val="es-ES"/>
        </w:rPr>
      </w:pPr>
      <w:r w:rsidRPr="00066ADF">
        <w:rPr>
          <w:rFonts w:ascii="Palatino Linotype" w:hAnsi="Palatino Linotype" w:cs="Arial"/>
        </w:rPr>
        <w:t>Por su parte</w:t>
      </w:r>
      <w:r w:rsidR="002D2177" w:rsidRPr="00066ADF">
        <w:rPr>
          <w:rFonts w:ascii="Palatino Linotype" w:hAnsi="Palatino Linotype" w:cs="Arial"/>
        </w:rPr>
        <w:t>,</w:t>
      </w:r>
      <w:r w:rsidRPr="00066ADF">
        <w:rPr>
          <w:rFonts w:ascii="Palatino Linotype" w:hAnsi="Palatino Linotype" w:cs="Arial"/>
        </w:rPr>
        <w:t xml:space="preserve"> el Sujeto Obligado </w:t>
      </w:r>
      <w:r w:rsidR="007A649F" w:rsidRPr="00066ADF">
        <w:rPr>
          <w:rFonts w:ascii="Palatino Linotype" w:hAnsi="Palatino Linotype" w:cs="Arial"/>
        </w:rPr>
        <w:t xml:space="preserve">mediante su respuesta </w:t>
      </w:r>
      <w:r w:rsidR="00D8294B" w:rsidRPr="00066ADF">
        <w:rPr>
          <w:rFonts w:ascii="Palatino Linotype" w:hAnsi="Palatino Linotype" w:cs="Arial"/>
        </w:rPr>
        <w:t xml:space="preserve">manifestó </w:t>
      </w:r>
      <w:r w:rsidR="00C25DB4" w:rsidRPr="00066ADF">
        <w:rPr>
          <w:rFonts w:ascii="Palatino Linotype" w:hAnsi="Palatino Linotype" w:cs="Arial"/>
        </w:rPr>
        <w:t>no existe un registro de citas previas, en las Direcciones Regionales se atiende a la población conforme van llegando a solicitar el servicio de asesoría jurídica gratuita.</w:t>
      </w:r>
    </w:p>
    <w:p w:rsidR="00C25DB4" w:rsidRPr="00701C3F" w:rsidRDefault="00C25DB4" w:rsidP="00C25DB4">
      <w:pPr>
        <w:pStyle w:val="Prrafodelista"/>
        <w:rPr>
          <w:rFonts w:ascii="Palatino Linotype" w:hAnsi="Palatino Linotype" w:cs="Arial"/>
        </w:rPr>
      </w:pPr>
    </w:p>
    <w:p w:rsidR="00C25DB4" w:rsidRPr="00701C3F" w:rsidRDefault="002F20A0" w:rsidP="00066ADF">
      <w:pPr>
        <w:pStyle w:val="Prrafodelista"/>
        <w:numPr>
          <w:ilvl w:val="0"/>
          <w:numId w:val="16"/>
        </w:numPr>
        <w:spacing w:line="360" w:lineRule="auto"/>
        <w:ind w:left="0" w:firstLine="0"/>
        <w:jc w:val="both"/>
        <w:rPr>
          <w:rFonts w:ascii="Palatino Linotype" w:eastAsia="MS Mincho" w:hAnsi="Palatino Linotype" w:cs="Arial"/>
        </w:rPr>
      </w:pPr>
      <w:r w:rsidRPr="00701C3F">
        <w:rPr>
          <w:rFonts w:ascii="Palatino Linotype" w:eastAsia="Calibri" w:hAnsi="Palatino Linotype" w:cs="Arial"/>
          <w:lang w:val="es-AR"/>
        </w:rPr>
        <w:t xml:space="preserve">El particular se inconformó porque </w:t>
      </w:r>
      <w:r w:rsidR="00C25DB4" w:rsidRPr="00701C3F">
        <w:rPr>
          <w:rFonts w:ascii="Palatino Linotype" w:eastAsia="Calibri" w:hAnsi="Palatino Linotype" w:cs="Arial"/>
          <w:lang w:val="es-AR"/>
        </w:rPr>
        <w:t>si deben contar con un registro de citas atendidas.</w:t>
      </w:r>
    </w:p>
    <w:p w:rsidR="00C25DB4" w:rsidRPr="00701C3F" w:rsidRDefault="00C25DB4" w:rsidP="00C25DB4">
      <w:pPr>
        <w:pStyle w:val="Prrafodelista"/>
        <w:rPr>
          <w:rFonts w:ascii="Palatino Linotype" w:eastAsia="MS Mincho" w:hAnsi="Palatino Linotype" w:cs="Arial"/>
        </w:rPr>
      </w:pPr>
    </w:p>
    <w:p w:rsidR="00763B5A" w:rsidRPr="00701C3F" w:rsidRDefault="00763B5A" w:rsidP="00066ADF">
      <w:pPr>
        <w:pStyle w:val="Prrafodelista"/>
        <w:numPr>
          <w:ilvl w:val="0"/>
          <w:numId w:val="16"/>
        </w:numPr>
        <w:spacing w:line="360" w:lineRule="auto"/>
        <w:ind w:left="0" w:firstLine="0"/>
        <w:jc w:val="both"/>
        <w:rPr>
          <w:rFonts w:ascii="Palatino Linotype" w:hAnsi="Palatino Linotype" w:cs="Arial"/>
        </w:rPr>
      </w:pPr>
      <w:r w:rsidRPr="00701C3F">
        <w:rPr>
          <w:rFonts w:ascii="Palatino Linotype" w:eastAsia="MS Mincho" w:hAnsi="Palatino Linotype" w:cs="Arial"/>
        </w:rPr>
        <w:t>De este modo, el presente recurso de revisión se circunscribe en determinar  si actualiza la causal de procedencia establecida</w:t>
      </w:r>
      <w:r w:rsidRPr="00701C3F">
        <w:rPr>
          <w:rFonts w:ascii="Palatino Linotype" w:hAnsi="Palatino Linotype" w:cs="Arial"/>
        </w:rPr>
        <w:t xml:space="preserve"> </w:t>
      </w:r>
      <w:r w:rsidRPr="00701C3F">
        <w:rPr>
          <w:rFonts w:ascii="Palatino Linotype" w:eastAsia="MS Mincho" w:hAnsi="Palatino Linotype" w:cs="Arial"/>
        </w:rPr>
        <w:t xml:space="preserve">en el artículo 179, fracción </w:t>
      </w:r>
      <w:r w:rsidR="00C25DB4" w:rsidRPr="00701C3F">
        <w:rPr>
          <w:rFonts w:ascii="Palatino Linotype" w:eastAsia="MS Mincho" w:hAnsi="Palatino Linotype" w:cs="Arial"/>
        </w:rPr>
        <w:t>III</w:t>
      </w:r>
      <w:r w:rsidRPr="00701C3F">
        <w:rPr>
          <w:rFonts w:ascii="Palatino Linotype" w:eastAsia="MS Mincho" w:hAnsi="Palatino Linotype" w:cs="Arial"/>
        </w:rPr>
        <w:t xml:space="preserve"> de la Ley de Transparencia y Acceso a la Información Pública del Estado de México y Municipios.</w:t>
      </w:r>
    </w:p>
    <w:p w:rsidR="00903EC6" w:rsidRPr="00701C3F" w:rsidRDefault="00903EC6" w:rsidP="00903EC6">
      <w:pPr>
        <w:pStyle w:val="Prrafodelista"/>
        <w:rPr>
          <w:rFonts w:ascii="Palatino Linotype" w:hAnsi="Palatino Linotype" w:cs="Arial"/>
        </w:rPr>
      </w:pPr>
    </w:p>
    <w:p w:rsidR="002A5BA4" w:rsidRPr="00701C3F" w:rsidRDefault="002A5BA4" w:rsidP="002A5BA4">
      <w:pPr>
        <w:pStyle w:val="Ttulo1"/>
        <w:rPr>
          <w:b w:val="0"/>
          <w:color w:val="000000" w:themeColor="text1"/>
          <w:szCs w:val="24"/>
        </w:rPr>
      </w:pPr>
      <w:bookmarkStart w:id="12" w:name="_Toc486525254"/>
      <w:bookmarkStart w:id="13" w:name="_Toc286706"/>
      <w:r w:rsidRPr="00701C3F">
        <w:rPr>
          <w:color w:val="000000" w:themeColor="text1"/>
          <w:szCs w:val="24"/>
        </w:rPr>
        <w:t>CUARTO. Análisis y resolución del asunto</w:t>
      </w:r>
      <w:bookmarkEnd w:id="12"/>
      <w:bookmarkEnd w:id="13"/>
    </w:p>
    <w:p w:rsidR="002A5BA4" w:rsidRPr="00701C3F" w:rsidRDefault="002A5BA4" w:rsidP="002A5BA4">
      <w:pPr>
        <w:spacing w:line="360" w:lineRule="auto"/>
        <w:jc w:val="both"/>
        <w:rPr>
          <w:rFonts w:ascii="Palatino Linotype" w:hAnsi="Palatino Linotype" w:cs="Arial"/>
        </w:rPr>
      </w:pPr>
    </w:p>
    <w:p w:rsidR="00986FD8" w:rsidRPr="00701C3F" w:rsidRDefault="00986FD8" w:rsidP="00986FD8">
      <w:pPr>
        <w:pStyle w:val="Ttulo2"/>
        <w:numPr>
          <w:ilvl w:val="0"/>
          <w:numId w:val="10"/>
        </w:numPr>
        <w:spacing w:line="360" w:lineRule="auto"/>
        <w:rPr>
          <w:rFonts w:ascii="Palatino Linotype" w:hAnsi="Palatino Linotype"/>
          <w:b/>
        </w:rPr>
      </w:pPr>
      <w:bookmarkStart w:id="14" w:name="_Toc536703943"/>
      <w:bookmarkStart w:id="15" w:name="_Toc522709486"/>
      <w:bookmarkStart w:id="16" w:name="_Toc286707"/>
      <w:r w:rsidRPr="00701C3F">
        <w:rPr>
          <w:rFonts w:ascii="Palatino Linotype" w:hAnsi="Palatino Linotype"/>
          <w:b/>
          <w:color w:val="auto"/>
          <w:sz w:val="24"/>
        </w:rPr>
        <w:t>De la fuente obligacional</w:t>
      </w:r>
      <w:bookmarkEnd w:id="14"/>
    </w:p>
    <w:p w:rsidR="00986FD8" w:rsidRPr="00701C3F" w:rsidRDefault="00986FD8" w:rsidP="00986FD8">
      <w:pPr>
        <w:pStyle w:val="Prrafodelista"/>
        <w:spacing w:line="360" w:lineRule="auto"/>
        <w:ind w:left="0"/>
        <w:jc w:val="both"/>
        <w:rPr>
          <w:rFonts w:ascii="Palatino Linotype" w:hAnsi="Palatino Linotype" w:cs="Arial"/>
        </w:rPr>
      </w:pPr>
      <w:r w:rsidRPr="00701C3F">
        <w:rPr>
          <w:rFonts w:ascii="Palatino Linotype" w:hAnsi="Palatino Linotype" w:cs="Arial"/>
        </w:rPr>
        <w:t xml:space="preserve"> </w:t>
      </w:r>
    </w:p>
    <w:p w:rsidR="00986FD8" w:rsidRPr="00701C3F" w:rsidRDefault="00986FD8" w:rsidP="00066ADF">
      <w:pPr>
        <w:pStyle w:val="Prrafodelista"/>
        <w:numPr>
          <w:ilvl w:val="0"/>
          <w:numId w:val="16"/>
        </w:numPr>
        <w:spacing w:before="240" w:after="240" w:line="360" w:lineRule="auto"/>
        <w:ind w:left="0" w:firstLine="0"/>
        <w:jc w:val="both"/>
        <w:rPr>
          <w:rFonts w:ascii="Palatino Linotype" w:hAnsi="Palatino Linotype" w:cs="Arial"/>
          <w:sz w:val="28"/>
        </w:rPr>
      </w:pPr>
      <w:r w:rsidRPr="00701C3F">
        <w:rPr>
          <w:rFonts w:ascii="Palatino Linotype" w:eastAsia="Calibri" w:hAnsi="Palatino Linotype" w:cs="Arial"/>
        </w:rPr>
        <w:t xml:space="preserve">Para determinar la fuente obligacional del Sujeto Obligado de generar, poseer y/o administrar, es necesario analizar el requerimiento planteado en la solicitud de acceso a la información, siendo que requiere los documentos en donde </w:t>
      </w:r>
      <w:r w:rsidRPr="00701C3F">
        <w:rPr>
          <w:rFonts w:ascii="Palatino Linotype" w:eastAsia="Calibri" w:hAnsi="Palatino Linotype" w:cs="Arial"/>
        </w:rPr>
        <w:lastRenderedPageBreak/>
        <w:t>conste</w:t>
      </w:r>
      <w:r w:rsidRPr="00701C3F">
        <w:rPr>
          <w:rFonts w:ascii="Palatino Linotype" w:hAnsi="Palatino Linotype" w:cs="Arial"/>
        </w:rPr>
        <w:t xml:space="preserve"> el registro de citas del día trece (13) de noviembre de 2018 del Instituto de la Defensoría Pública con sede en Ecatepec de Morelos.</w:t>
      </w:r>
    </w:p>
    <w:p w:rsidR="00986FD8" w:rsidRPr="00701C3F" w:rsidRDefault="00986FD8" w:rsidP="00986FD8">
      <w:pPr>
        <w:pStyle w:val="Prrafodelista"/>
        <w:spacing w:before="240" w:after="240" w:line="360" w:lineRule="auto"/>
        <w:ind w:left="0"/>
        <w:jc w:val="both"/>
        <w:rPr>
          <w:rFonts w:ascii="Palatino Linotype" w:hAnsi="Palatino Linotype" w:cs="Arial"/>
          <w:sz w:val="28"/>
        </w:rPr>
      </w:pPr>
    </w:p>
    <w:p w:rsidR="00986FD8" w:rsidRPr="00701C3F" w:rsidRDefault="00986FD8" w:rsidP="00066ADF">
      <w:pPr>
        <w:pStyle w:val="Prrafodelista"/>
        <w:numPr>
          <w:ilvl w:val="0"/>
          <w:numId w:val="16"/>
        </w:numPr>
        <w:tabs>
          <w:tab w:val="left" w:pos="851"/>
        </w:tabs>
        <w:spacing w:line="360" w:lineRule="auto"/>
        <w:ind w:left="0" w:right="49" w:firstLine="0"/>
        <w:jc w:val="both"/>
        <w:rPr>
          <w:rFonts w:ascii="Palatino Linotype" w:hAnsi="Palatino Linotype"/>
          <w:lang w:val="es-ES"/>
        </w:rPr>
      </w:pPr>
      <w:r w:rsidRPr="00701C3F">
        <w:rPr>
          <w:rFonts w:ascii="Palatino Linotype" w:eastAsia="Calibri" w:hAnsi="Palatino Linotype" w:cs="Arial"/>
        </w:rPr>
        <w:t>Una vez mencionado lo anterior, cabe señalar que el estudio y análisis de la fuente obligacional se realiza para determinar si el Sujeto Obligado genera, administra o posee la información que fue requerida, sin embargo en los casos en que este la asume a nada practico nos conduciría entrar al estudio de la fuente obligacional, toda vez que se insiste, ya fue asumido por el propio Sujeto Obligado, lo cual ocurrió en el presente caso en particular, toda vez que manifestó que no existe un registro de citas previas, sino que, se atienden conforme van llegando a solicitar asesorías gratuitas.</w:t>
      </w:r>
      <w:r w:rsidRPr="00701C3F">
        <w:rPr>
          <w:rFonts w:ascii="Palatino Linotype" w:hAnsi="Palatino Linotype"/>
          <w:lang w:val="es-ES"/>
        </w:rPr>
        <w:t xml:space="preserve"> </w:t>
      </w:r>
      <w:r w:rsidRPr="00701C3F">
        <w:rPr>
          <w:rFonts w:ascii="Palatino Linotype" w:eastAsia="Calibri" w:hAnsi="Palatino Linotype" w:cs="Arial"/>
        </w:rPr>
        <w:t>Bajo dicho pronunciamiento se entiende que el Sujeto Obligado genera, posee y administra la información solicitada.</w:t>
      </w:r>
    </w:p>
    <w:p w:rsidR="00986FD8" w:rsidRPr="00701C3F" w:rsidRDefault="00986FD8" w:rsidP="00986FD8">
      <w:pPr>
        <w:pStyle w:val="Prrafodelista"/>
        <w:rPr>
          <w:rFonts w:ascii="Palatino Linotype" w:hAnsi="Palatino Linotype"/>
          <w:lang w:val="es-ES"/>
        </w:rPr>
      </w:pPr>
    </w:p>
    <w:p w:rsidR="00986FD8" w:rsidRPr="00701C3F" w:rsidRDefault="00986FD8" w:rsidP="00986FD8">
      <w:pPr>
        <w:pStyle w:val="Ttulo2"/>
        <w:numPr>
          <w:ilvl w:val="0"/>
          <w:numId w:val="10"/>
        </w:numPr>
        <w:spacing w:line="360" w:lineRule="auto"/>
        <w:rPr>
          <w:rFonts w:ascii="Palatino Linotype" w:hAnsi="Palatino Linotype"/>
          <w:b/>
          <w:color w:val="auto"/>
          <w:sz w:val="24"/>
        </w:rPr>
      </w:pPr>
      <w:bookmarkStart w:id="17" w:name="_Toc520970054"/>
      <w:bookmarkStart w:id="18" w:name="_Toc536703944"/>
      <w:r w:rsidRPr="00701C3F">
        <w:rPr>
          <w:rFonts w:ascii="Palatino Linotype" w:hAnsi="Palatino Linotype"/>
          <w:b/>
          <w:color w:val="auto"/>
          <w:sz w:val="24"/>
        </w:rPr>
        <w:t>De</w:t>
      </w:r>
      <w:bookmarkEnd w:id="17"/>
      <w:r w:rsidRPr="00701C3F">
        <w:rPr>
          <w:rFonts w:ascii="Palatino Linotype" w:hAnsi="Palatino Linotype"/>
          <w:b/>
          <w:color w:val="auto"/>
          <w:sz w:val="24"/>
        </w:rPr>
        <w:t>l derecho de acceso a la información</w:t>
      </w:r>
      <w:bookmarkEnd w:id="18"/>
    </w:p>
    <w:p w:rsidR="00986FD8" w:rsidRPr="00701C3F" w:rsidRDefault="00986FD8" w:rsidP="00986FD8">
      <w:pPr>
        <w:pStyle w:val="Prrafodelista"/>
        <w:spacing w:line="360" w:lineRule="auto"/>
        <w:ind w:left="0"/>
        <w:jc w:val="both"/>
        <w:rPr>
          <w:rFonts w:ascii="Palatino Linotype" w:hAnsi="Palatino Linotype"/>
          <w:lang w:val="es-MX" w:eastAsia="en-US"/>
        </w:rPr>
      </w:pPr>
    </w:p>
    <w:p w:rsidR="00986FD8" w:rsidRPr="00FF1728" w:rsidRDefault="00986FD8" w:rsidP="00066ADF">
      <w:pPr>
        <w:pStyle w:val="Prrafodelista"/>
        <w:numPr>
          <w:ilvl w:val="0"/>
          <w:numId w:val="16"/>
        </w:numPr>
        <w:spacing w:line="360" w:lineRule="auto"/>
        <w:ind w:left="0" w:firstLine="0"/>
        <w:jc w:val="both"/>
        <w:rPr>
          <w:rFonts w:ascii="Palatino Linotype" w:hAnsi="Palatino Linotype"/>
          <w:sz w:val="22"/>
          <w:lang w:val="es-MX" w:eastAsia="en-US"/>
        </w:rPr>
      </w:pPr>
      <w:r w:rsidRPr="00701C3F">
        <w:rPr>
          <w:rFonts w:ascii="Palatino Linotype" w:hAnsi="Palatino Linotype"/>
          <w:lang w:val="es-MX" w:eastAsia="en-US"/>
        </w:rPr>
        <w:t>La</w:t>
      </w:r>
      <w:r w:rsidRPr="00701C3F">
        <w:rPr>
          <w:rFonts w:ascii="Palatino Linotype" w:eastAsia="Times New Roman" w:hAnsi="Palatino Linotype" w:cs="Arial"/>
          <w:color w:val="000000"/>
        </w:rPr>
        <w:t xml:space="preserve"> Constitución Política de los Estados Unidos Mexicanos establece que </w:t>
      </w:r>
      <w:r w:rsidRPr="00FF1728">
        <w:rPr>
          <w:rFonts w:ascii="Palatino Linotype" w:eastAsia="Times New Roman" w:hAnsi="Palatino Linotype" w:cs="Arial"/>
          <w:color w:val="000000"/>
          <w:sz w:val="22"/>
        </w:rPr>
        <w:t>“</w:t>
      </w:r>
      <w:r w:rsidRPr="00FF1728">
        <w:rPr>
          <w:rFonts w:ascii="Palatino Linotype" w:hAnsi="Palatino Linotype" w:cs="Helvetica"/>
          <w:i/>
          <w:sz w:val="22"/>
          <w:szCs w:val="23"/>
          <w:shd w:val="clear" w:color="auto" w:fill="FFFFFF"/>
        </w:rPr>
        <w:t>Todas las autoridades, en el ámbito de sus competencias, tienen la obligación de promover, respetar, proteger y garantizar los derechos humanos de conformidad con los principios de universalidad, interdependencia, indivisibilidad y progresividad…”</w:t>
      </w:r>
      <w:r w:rsidRPr="00FF1728">
        <w:rPr>
          <w:rStyle w:val="Refdenotaalpie"/>
          <w:rFonts w:ascii="Palatino Linotype" w:hAnsi="Palatino Linotype" w:cs="Helvetica"/>
          <w:i/>
          <w:sz w:val="22"/>
          <w:szCs w:val="23"/>
          <w:shd w:val="clear" w:color="auto" w:fill="FFFFFF"/>
        </w:rPr>
        <w:footnoteReference w:id="1"/>
      </w:r>
      <w:r w:rsidRPr="00FF1728">
        <w:rPr>
          <w:rFonts w:ascii="Palatino Linotype" w:hAnsi="Palatino Linotype" w:cs="Helvetica"/>
          <w:sz w:val="22"/>
          <w:szCs w:val="23"/>
          <w:shd w:val="clear" w:color="auto" w:fill="FFFFFF"/>
        </w:rPr>
        <w:t xml:space="preserve">, por lo tanto, como el mismo ordenamiento refiere que </w:t>
      </w:r>
      <w:r w:rsidRPr="00FF1728">
        <w:rPr>
          <w:rFonts w:ascii="Palatino Linotype" w:hAnsi="Palatino Linotype" w:cs="Helvetica"/>
          <w:i/>
          <w:sz w:val="22"/>
          <w:szCs w:val="23"/>
          <w:shd w:val="clear" w:color="auto" w:fill="FFFFFF"/>
        </w:rPr>
        <w:t>“</w:t>
      </w:r>
      <w:r w:rsidRPr="00FF1728">
        <w:rPr>
          <w:rFonts w:ascii="Palatino Linotype" w:hAnsi="Palatino Linotype"/>
          <w:i/>
          <w:sz w:val="22"/>
          <w:szCs w:val="20"/>
        </w:rPr>
        <w:t>Toda persona tiene derecho al libre acceso a información plural y oportuna, así como a buscar, recibir y difundir información e ideas de toda índole por cualquier medio de expresión.”</w:t>
      </w:r>
      <w:r w:rsidRPr="00FF1728">
        <w:rPr>
          <w:rStyle w:val="Refdenotaalpie"/>
          <w:rFonts w:ascii="Palatino Linotype" w:hAnsi="Palatino Linotype"/>
          <w:i/>
          <w:sz w:val="22"/>
          <w:szCs w:val="20"/>
        </w:rPr>
        <w:footnoteReference w:id="2"/>
      </w:r>
      <w:r w:rsidRPr="00FF1728">
        <w:rPr>
          <w:rFonts w:ascii="Palatino Linotype" w:hAnsi="Palatino Linotype"/>
          <w:i/>
          <w:sz w:val="22"/>
          <w:szCs w:val="20"/>
        </w:rPr>
        <w:t xml:space="preserve">,  </w:t>
      </w:r>
      <w:r w:rsidRPr="00FF1728">
        <w:rPr>
          <w:rFonts w:ascii="Palatino Linotype" w:hAnsi="Palatino Linotype"/>
          <w:sz w:val="22"/>
          <w:szCs w:val="20"/>
        </w:rPr>
        <w:t>se e</w:t>
      </w:r>
      <w:r w:rsidRPr="00FF1728">
        <w:rPr>
          <w:rFonts w:ascii="Palatino Linotype" w:hAnsi="Palatino Linotype" w:cs="Helvetica"/>
          <w:sz w:val="22"/>
          <w:szCs w:val="23"/>
          <w:shd w:val="clear" w:color="auto" w:fill="FFFFFF"/>
        </w:rPr>
        <w:t xml:space="preserve">ntiende que el acceso a la información es un derecho, por lo tanto, todas </w:t>
      </w:r>
      <w:r w:rsidRPr="00FF1728">
        <w:rPr>
          <w:rFonts w:ascii="Palatino Linotype" w:hAnsi="Palatino Linotype" w:cs="Helvetica"/>
          <w:sz w:val="22"/>
          <w:szCs w:val="23"/>
          <w:shd w:val="clear" w:color="auto" w:fill="FFFFFF"/>
        </w:rPr>
        <w:lastRenderedPageBreak/>
        <w:t xml:space="preserve">las autoridades en el ámbito de su competencia se ven impuestas por la obligación de </w:t>
      </w:r>
      <w:r w:rsidRPr="00FF1728">
        <w:rPr>
          <w:rFonts w:ascii="Palatino Linotype" w:hAnsi="Palatino Linotype" w:cs="Helvetica"/>
          <w:b/>
          <w:sz w:val="22"/>
          <w:szCs w:val="23"/>
          <w:shd w:val="clear" w:color="auto" w:fill="FFFFFF"/>
        </w:rPr>
        <w:t>promover, proteger, respetar y garantizar</w:t>
      </w:r>
      <w:r w:rsidRPr="00FF1728">
        <w:rPr>
          <w:rFonts w:ascii="Palatino Linotype" w:hAnsi="Palatino Linotype" w:cs="Helvetica"/>
          <w:sz w:val="22"/>
          <w:szCs w:val="23"/>
          <w:shd w:val="clear" w:color="auto" w:fill="FFFFFF"/>
        </w:rPr>
        <w:t xml:space="preserve"> el libre acceso a la información.</w:t>
      </w:r>
    </w:p>
    <w:p w:rsidR="00986FD8" w:rsidRPr="00FF1728" w:rsidRDefault="00986FD8" w:rsidP="00986FD8">
      <w:pPr>
        <w:pStyle w:val="Prrafodelista"/>
        <w:spacing w:line="360" w:lineRule="auto"/>
        <w:ind w:left="0"/>
        <w:jc w:val="both"/>
        <w:rPr>
          <w:rFonts w:ascii="Palatino Linotype" w:hAnsi="Palatino Linotype"/>
          <w:sz w:val="22"/>
          <w:lang w:val="es-MX" w:eastAsia="en-US"/>
        </w:rPr>
      </w:pPr>
    </w:p>
    <w:p w:rsidR="00986FD8" w:rsidRPr="00FF1728" w:rsidRDefault="00986FD8" w:rsidP="00066ADF">
      <w:pPr>
        <w:pStyle w:val="Prrafodelista"/>
        <w:numPr>
          <w:ilvl w:val="0"/>
          <w:numId w:val="16"/>
        </w:numPr>
        <w:spacing w:line="360" w:lineRule="auto"/>
        <w:ind w:left="0" w:firstLine="0"/>
        <w:jc w:val="both"/>
        <w:rPr>
          <w:rFonts w:ascii="Palatino Linotype" w:hAnsi="Palatino Linotype"/>
          <w:sz w:val="22"/>
          <w:lang w:val="es-MX" w:eastAsia="en-US"/>
        </w:rPr>
      </w:pPr>
      <w:r w:rsidRPr="00FF1728">
        <w:rPr>
          <w:rFonts w:ascii="Palatino Linotype" w:hAnsi="Palatino Linotype" w:cs="Helvetica"/>
          <w:sz w:val="22"/>
          <w:szCs w:val="23"/>
          <w:shd w:val="clear" w:color="auto" w:fill="FFFFFF"/>
        </w:rPr>
        <w:t xml:space="preserve">El derecho de acceso a la información debe entenderse como </w:t>
      </w:r>
      <w:r w:rsidRPr="00FF1728">
        <w:rPr>
          <w:rFonts w:ascii="Palatino Linotype" w:eastAsia="Times New Roman" w:hAnsi="Palatino Linotype" w:cs="Arial"/>
          <w:color w:val="000000" w:themeColor="text1"/>
          <w:sz w:val="22"/>
          <w:lang w:eastAsia="es-MX"/>
        </w:rPr>
        <w:t xml:space="preserve">la </w:t>
      </w:r>
      <w:r w:rsidRPr="00FF1728">
        <w:rPr>
          <w:rFonts w:ascii="Palatino Linotype" w:eastAsia="MS Mincho" w:hAnsi="Palatino Linotype" w:cs="Times New Roman"/>
          <w:i/>
          <w:sz w:val="22"/>
        </w:rPr>
        <w:t>igualdad de oportunidades para recibir, buscar e impartir información</w:t>
      </w:r>
      <w:r w:rsidRPr="00FF1728">
        <w:rPr>
          <w:rStyle w:val="Refdenotaalpie"/>
          <w:rFonts w:ascii="Palatino Linotype" w:eastAsia="MS Mincho" w:hAnsi="Palatino Linotype" w:cs="Times New Roman"/>
          <w:i/>
          <w:sz w:val="22"/>
        </w:rPr>
        <w:footnoteReference w:id="3"/>
      </w:r>
      <w:r w:rsidRPr="00FF1728">
        <w:rPr>
          <w:rFonts w:ascii="Palatino Linotype" w:eastAsia="MS Mincho" w:hAnsi="Palatino Linotype" w:cs="Times New Roman"/>
          <w:i/>
          <w:sz w:val="22"/>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FF1728">
        <w:rPr>
          <w:rStyle w:val="Refdenotaalpie"/>
          <w:rFonts w:ascii="Palatino Linotype" w:eastAsia="MS Mincho" w:hAnsi="Palatino Linotype" w:cs="Times New Roman"/>
          <w:sz w:val="22"/>
        </w:rPr>
        <w:footnoteReference w:id="4"/>
      </w:r>
      <w:r w:rsidRPr="00FF1728">
        <w:rPr>
          <w:rFonts w:ascii="Palatino Linotype" w:eastAsia="MS Mincho" w:hAnsi="Palatino Linotype" w:cs="Times New Roman"/>
          <w:i/>
          <w:sz w:val="22"/>
        </w:rPr>
        <w:t xml:space="preserve"> </w:t>
      </w:r>
      <w:r w:rsidRPr="00FF1728">
        <w:rPr>
          <w:rFonts w:ascii="Palatino Linotype" w:eastAsia="MS Mincho" w:hAnsi="Palatino Linotype" w:cs="Times New Roman"/>
          <w:sz w:val="22"/>
        </w:rPr>
        <w:t xml:space="preserve">que se constituye como una herramienta fundamental para </w:t>
      </w:r>
      <w:r w:rsidRPr="00FF1728">
        <w:rPr>
          <w:rFonts w:ascii="Palatino Linotype" w:eastAsia="MS Mincho" w:hAnsi="Palatino Linotype" w:cs="Times New Roman"/>
          <w:i/>
          <w:sz w:val="22"/>
        </w:rPr>
        <w:t>ejercer control democrático de las gestiones estatales, de forma tal que puedan cuestionar, indagar y considerar si se está dando un adecuado cumplimiento de las funciones públicas,</w:t>
      </w:r>
      <w:r w:rsidRPr="00FF1728">
        <w:rPr>
          <w:rStyle w:val="Refdenotaalpie"/>
          <w:rFonts w:ascii="Palatino Linotype" w:eastAsia="MS Mincho" w:hAnsi="Palatino Linotype" w:cs="Times New Roman"/>
          <w:i/>
          <w:sz w:val="22"/>
        </w:rPr>
        <w:footnoteReference w:id="5"/>
      </w:r>
      <w:r w:rsidRPr="00FF1728">
        <w:rPr>
          <w:rFonts w:ascii="Palatino Linotype" w:eastAsia="MS Mincho" w:hAnsi="Palatino Linotype" w:cs="Times New Roman"/>
          <w:sz w:val="22"/>
        </w:rPr>
        <w:t>fomentando</w:t>
      </w:r>
      <w:r w:rsidRPr="00FF1728">
        <w:rPr>
          <w:rFonts w:ascii="Palatino Linotype" w:eastAsia="MS Mincho" w:hAnsi="Palatino Linotype" w:cs="Times New Roman"/>
          <w:i/>
          <w:sz w:val="22"/>
        </w:rPr>
        <w:t xml:space="preserve"> la transparencia de las actividades estatales y</w:t>
      </w:r>
      <w:r w:rsidRPr="00FF1728">
        <w:rPr>
          <w:rFonts w:ascii="Palatino Linotype" w:eastAsia="MS Mincho" w:hAnsi="Palatino Linotype" w:cs="Times New Roman"/>
          <w:sz w:val="22"/>
        </w:rPr>
        <w:t xml:space="preserve"> promoviendo</w:t>
      </w:r>
      <w:r w:rsidRPr="00FF1728">
        <w:rPr>
          <w:rFonts w:ascii="Palatino Linotype" w:eastAsia="MS Mincho" w:hAnsi="Palatino Linotype" w:cs="Times New Roman"/>
          <w:i/>
          <w:sz w:val="22"/>
        </w:rPr>
        <w:t xml:space="preserve"> la responsabilidad de los funcionarios sobre su gestión pública</w:t>
      </w:r>
      <w:r w:rsidRPr="00FF1728">
        <w:rPr>
          <w:rStyle w:val="Refdenotaalpie"/>
          <w:rFonts w:ascii="Palatino Linotype" w:eastAsia="MS Mincho" w:hAnsi="Palatino Linotype" w:cs="Times New Roman"/>
          <w:i/>
          <w:sz w:val="22"/>
        </w:rPr>
        <w:footnoteReference w:id="6"/>
      </w:r>
      <w:r w:rsidRPr="00FF1728">
        <w:rPr>
          <w:rFonts w:ascii="Palatino Linotype" w:eastAsia="MS Mincho" w:hAnsi="Palatino Linotype" w:cs="Times New Roman"/>
          <w:i/>
          <w:sz w:val="22"/>
        </w:rPr>
        <w:t xml:space="preserve"> </w:t>
      </w:r>
      <w:r w:rsidRPr="00FF1728">
        <w:rPr>
          <w:rFonts w:ascii="Palatino Linotype" w:eastAsia="MS Mincho" w:hAnsi="Palatino Linotype" w:cs="Times New Roman"/>
          <w:sz w:val="22"/>
        </w:rPr>
        <w:t>que permite</w:t>
      </w:r>
      <w:r w:rsidRPr="00FF1728">
        <w:rPr>
          <w:rFonts w:ascii="Palatino Linotype" w:eastAsia="MS Mincho" w:hAnsi="Palatino Linotype" w:cs="Times New Roman"/>
          <w:i/>
          <w:sz w:val="22"/>
        </w:rPr>
        <w:t xml:space="preserve"> saber qué están haciendo los gobiernos por sus pueblos, sin lo cual la verdad languidecería y la participación en el gobierno permanecería fragmentada.</w:t>
      </w:r>
      <w:r w:rsidRPr="00FF1728">
        <w:rPr>
          <w:rStyle w:val="Refdenotaalpie"/>
          <w:rFonts w:ascii="Palatino Linotype" w:eastAsia="MS Mincho" w:hAnsi="Palatino Linotype" w:cs="Times New Roman"/>
          <w:i/>
          <w:sz w:val="22"/>
        </w:rPr>
        <w:footnoteReference w:id="7"/>
      </w:r>
      <w:r w:rsidRPr="00FF1728">
        <w:rPr>
          <w:rFonts w:ascii="Palatino Linotype" w:eastAsia="MS Mincho" w:hAnsi="Palatino Linotype" w:cs="Times New Roman"/>
          <w:sz w:val="22"/>
        </w:rPr>
        <w:t xml:space="preserve"> ”.</w:t>
      </w:r>
    </w:p>
    <w:p w:rsidR="00986FD8" w:rsidRPr="00701C3F" w:rsidRDefault="00986FD8" w:rsidP="00986FD8">
      <w:pPr>
        <w:pStyle w:val="Prrafodelista"/>
        <w:rPr>
          <w:rFonts w:ascii="Palatino Linotype" w:hAnsi="Palatino Linotype"/>
          <w:lang w:val="es-MX" w:eastAsia="en-US"/>
        </w:rPr>
      </w:pPr>
    </w:p>
    <w:p w:rsidR="00986FD8" w:rsidRPr="00701C3F" w:rsidRDefault="00986FD8" w:rsidP="00066ADF">
      <w:pPr>
        <w:pStyle w:val="Prrafodelista"/>
        <w:numPr>
          <w:ilvl w:val="0"/>
          <w:numId w:val="16"/>
        </w:numPr>
        <w:spacing w:line="360" w:lineRule="auto"/>
        <w:ind w:left="0" w:firstLine="0"/>
        <w:jc w:val="both"/>
        <w:rPr>
          <w:rFonts w:ascii="Palatino Linotype" w:hAnsi="Palatino Linotype"/>
          <w:lang w:val="es-MX" w:eastAsia="en-US"/>
        </w:rPr>
      </w:pPr>
      <w:r w:rsidRPr="00701C3F">
        <w:rPr>
          <w:rFonts w:ascii="Palatino Linotype" w:hAnsi="Palatino Linotype" w:cs="Arial"/>
        </w:rPr>
        <w:t xml:space="preserve">Ahora bien para entender los alcances de la información pública se considera importante citar el criterio </w:t>
      </w:r>
      <w:r w:rsidRPr="00701C3F">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w:t>
      </w:r>
      <w:r w:rsidRPr="00701C3F">
        <w:rPr>
          <w:rFonts w:ascii="Palatino Linotype" w:hAnsi="Palatino Linotype" w:cs="Arial"/>
          <w:bCs/>
          <w:lang w:eastAsia="es-MX"/>
        </w:rPr>
        <w:lastRenderedPageBreak/>
        <w:t xml:space="preserve">Periódico Oficial del Gobierno del Estado Libre y Soberano de México “Gaceta del Gobierno” el diecinueve de octubre de dos mil once, </w:t>
      </w:r>
      <w:r w:rsidRPr="00701C3F">
        <w:rPr>
          <w:rFonts w:ascii="Palatino Linotype" w:hAnsi="Palatino Linotype" w:cs="Arial"/>
        </w:rPr>
        <w:t>cuyo rubro y texto dispone:</w:t>
      </w:r>
    </w:p>
    <w:p w:rsidR="00986FD8" w:rsidRPr="00701C3F" w:rsidRDefault="00986FD8" w:rsidP="00986FD8">
      <w:pPr>
        <w:pStyle w:val="Prrafodelista"/>
        <w:autoSpaceDE w:val="0"/>
        <w:autoSpaceDN w:val="0"/>
        <w:adjustRightInd w:val="0"/>
        <w:spacing w:line="360" w:lineRule="auto"/>
        <w:ind w:left="0"/>
        <w:jc w:val="both"/>
        <w:rPr>
          <w:rFonts w:ascii="Palatino Linotype" w:hAnsi="Palatino Linotype" w:cs="Arial"/>
        </w:rPr>
      </w:pPr>
    </w:p>
    <w:p w:rsidR="00986FD8" w:rsidRPr="00701C3F" w:rsidRDefault="00986FD8" w:rsidP="00986FD8">
      <w:pPr>
        <w:autoSpaceDE w:val="0"/>
        <w:autoSpaceDN w:val="0"/>
        <w:adjustRightInd w:val="0"/>
        <w:spacing w:line="360" w:lineRule="auto"/>
        <w:ind w:left="567" w:right="567"/>
        <w:jc w:val="both"/>
        <w:rPr>
          <w:rFonts w:ascii="Palatino Linotype" w:hAnsi="Palatino Linotype" w:cs="Arial"/>
          <w:b/>
          <w:i/>
          <w:lang w:eastAsia="es-MX"/>
        </w:rPr>
      </w:pPr>
      <w:r w:rsidRPr="00701C3F">
        <w:rPr>
          <w:rFonts w:ascii="Palatino Linotype" w:hAnsi="Palatino Linotype" w:cs="Arial"/>
          <w:b/>
          <w:i/>
          <w:lang w:eastAsia="es-MX"/>
        </w:rPr>
        <w:t>“CRITERIO 0002-11</w:t>
      </w:r>
    </w:p>
    <w:p w:rsidR="00986FD8" w:rsidRPr="00FF1728" w:rsidRDefault="00986FD8" w:rsidP="00986FD8">
      <w:pPr>
        <w:autoSpaceDE w:val="0"/>
        <w:autoSpaceDN w:val="0"/>
        <w:adjustRightInd w:val="0"/>
        <w:spacing w:line="360" w:lineRule="auto"/>
        <w:ind w:left="567" w:right="567"/>
        <w:jc w:val="both"/>
        <w:rPr>
          <w:rFonts w:ascii="Palatino Linotype" w:hAnsi="Palatino Linotype" w:cs="Arial"/>
          <w:i/>
          <w:sz w:val="22"/>
          <w:lang w:eastAsia="es-MX"/>
        </w:rPr>
      </w:pPr>
      <w:r w:rsidRPr="00701C3F">
        <w:rPr>
          <w:rFonts w:ascii="Palatino Linotype" w:hAnsi="Palatino Linotype" w:cs="Arial"/>
          <w:b/>
          <w:i/>
          <w:lang w:eastAsia="es-MX"/>
        </w:rPr>
        <w:t xml:space="preserve">INFORMACIÓN PÚBLICA, CONCEPTO DE, EN MATERIA DE TRANSPARENCIA. INTERPRETACIÓN TEMÁTICA DE LOS ARTÍCULOS 2, FRACCIÓN </w:t>
      </w:r>
      <w:r w:rsidRPr="00701C3F">
        <w:rPr>
          <w:rFonts w:ascii="Palatino Linotype" w:hAnsi="Palatino Linotype" w:cs="Arial"/>
          <w:b/>
          <w:bCs/>
          <w:i/>
          <w:lang w:eastAsia="es-MX"/>
        </w:rPr>
        <w:t xml:space="preserve">V, XV, Y XVI, </w:t>
      </w:r>
      <w:r w:rsidRPr="00701C3F">
        <w:rPr>
          <w:rFonts w:ascii="Palatino Linotype" w:hAnsi="Palatino Linotype" w:cs="Arial"/>
          <w:b/>
          <w:i/>
          <w:lang w:eastAsia="es-MX"/>
        </w:rPr>
        <w:t>3, 4,11 Y 41.</w:t>
      </w:r>
      <w:r w:rsidRPr="00FF1728">
        <w:rPr>
          <w:rFonts w:ascii="Palatino Linotype" w:hAnsi="Palatino Linotype" w:cs="Arial"/>
          <w:i/>
          <w:sz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986FD8" w:rsidRPr="00FF1728" w:rsidRDefault="00986FD8" w:rsidP="00986FD8">
      <w:pPr>
        <w:autoSpaceDE w:val="0"/>
        <w:autoSpaceDN w:val="0"/>
        <w:adjustRightInd w:val="0"/>
        <w:spacing w:line="360" w:lineRule="auto"/>
        <w:ind w:left="567" w:right="567"/>
        <w:jc w:val="both"/>
        <w:rPr>
          <w:rFonts w:ascii="Palatino Linotype" w:hAnsi="Palatino Linotype" w:cs="Arial"/>
          <w:i/>
          <w:sz w:val="22"/>
          <w:lang w:eastAsia="es-MX"/>
        </w:rPr>
      </w:pPr>
      <w:r w:rsidRPr="00FF1728">
        <w:rPr>
          <w:rFonts w:ascii="Palatino Linotype" w:hAnsi="Palatino Linotype" w:cs="Arial"/>
          <w:i/>
          <w:sz w:val="22"/>
          <w:lang w:eastAsia="es-MX"/>
        </w:rPr>
        <w:t>En consecuencia el acceso a la información se refiere a que se cumplan cualquiera de los siguientes tres supuestos:</w:t>
      </w:r>
    </w:p>
    <w:p w:rsidR="00986FD8" w:rsidRPr="00FF1728" w:rsidRDefault="00986FD8" w:rsidP="00986FD8">
      <w:pPr>
        <w:autoSpaceDE w:val="0"/>
        <w:autoSpaceDN w:val="0"/>
        <w:adjustRightInd w:val="0"/>
        <w:spacing w:line="360" w:lineRule="auto"/>
        <w:ind w:left="567" w:right="567"/>
        <w:jc w:val="both"/>
        <w:rPr>
          <w:rFonts w:ascii="Palatino Linotype" w:hAnsi="Palatino Linotype" w:cs="Arial"/>
          <w:i/>
          <w:sz w:val="22"/>
          <w:lang w:eastAsia="es-MX"/>
        </w:rPr>
      </w:pPr>
      <w:r w:rsidRPr="00FF1728">
        <w:rPr>
          <w:rFonts w:ascii="Palatino Linotype" w:hAnsi="Palatino Linotype" w:cs="Arial"/>
          <w:i/>
          <w:sz w:val="22"/>
          <w:lang w:eastAsia="es-MX"/>
        </w:rPr>
        <w:t>Que se trate de información registrada en cualquier soporte documental, que en ejercicio de las atribuciones conferidas, sea generada por los Sujetos Obligados;</w:t>
      </w:r>
    </w:p>
    <w:p w:rsidR="00986FD8" w:rsidRPr="00FF1728" w:rsidRDefault="00986FD8" w:rsidP="00986FD8">
      <w:pPr>
        <w:autoSpaceDE w:val="0"/>
        <w:autoSpaceDN w:val="0"/>
        <w:adjustRightInd w:val="0"/>
        <w:spacing w:line="360" w:lineRule="auto"/>
        <w:ind w:left="567" w:right="567"/>
        <w:jc w:val="both"/>
        <w:rPr>
          <w:rFonts w:ascii="Palatino Linotype" w:hAnsi="Palatino Linotype" w:cs="Arial"/>
          <w:i/>
          <w:sz w:val="22"/>
          <w:lang w:eastAsia="es-MX"/>
        </w:rPr>
      </w:pPr>
      <w:r w:rsidRPr="00FF1728">
        <w:rPr>
          <w:rFonts w:ascii="Palatino Linotype" w:hAnsi="Palatino Linotype" w:cs="Arial"/>
          <w:i/>
          <w:sz w:val="22"/>
          <w:lang w:eastAsia="es-MX"/>
        </w:rPr>
        <w:t>Que se trate de información registrada en cualquier soporte documental, que en ejercicio de las atribuciones conferidas, sea administrada por los Sujetos Obligados, y</w:t>
      </w:r>
    </w:p>
    <w:p w:rsidR="00986FD8" w:rsidRPr="00FF1728" w:rsidRDefault="00986FD8" w:rsidP="00986FD8">
      <w:pPr>
        <w:spacing w:line="360" w:lineRule="auto"/>
        <w:ind w:left="567" w:right="567"/>
        <w:jc w:val="both"/>
        <w:rPr>
          <w:rFonts w:ascii="Palatino Linotype" w:hAnsi="Palatino Linotype" w:cs="Arial"/>
          <w:i/>
          <w:sz w:val="22"/>
          <w:lang w:eastAsia="es-MX"/>
        </w:rPr>
      </w:pPr>
      <w:r w:rsidRPr="00FF1728">
        <w:rPr>
          <w:rFonts w:ascii="Palatino Linotype" w:hAnsi="Palatino Linotype" w:cs="Arial"/>
          <w:i/>
          <w:sz w:val="22"/>
          <w:lang w:eastAsia="es-MX"/>
        </w:rPr>
        <w:t>Que se trate de información registrada en cualquier soporte documental, que en ejercicio de las atribuciones conferidas, se encuentre en posesión de los Sujetos Obligados.”2</w:t>
      </w:r>
    </w:p>
    <w:p w:rsidR="00986FD8" w:rsidRPr="00701C3F" w:rsidRDefault="00986FD8" w:rsidP="00986FD8">
      <w:pPr>
        <w:spacing w:line="360" w:lineRule="auto"/>
        <w:ind w:right="567"/>
        <w:jc w:val="both"/>
        <w:rPr>
          <w:rFonts w:ascii="Palatino Linotype" w:hAnsi="Palatino Linotype" w:cs="Arial"/>
          <w:i/>
          <w:lang w:eastAsia="es-MX"/>
        </w:rPr>
      </w:pPr>
    </w:p>
    <w:p w:rsidR="00986FD8" w:rsidRPr="00701C3F" w:rsidRDefault="00986FD8" w:rsidP="00066ADF">
      <w:pPr>
        <w:pStyle w:val="Prrafodelista"/>
        <w:numPr>
          <w:ilvl w:val="0"/>
          <w:numId w:val="16"/>
        </w:numPr>
        <w:spacing w:line="360" w:lineRule="auto"/>
        <w:ind w:left="0" w:right="567" w:firstLine="0"/>
        <w:jc w:val="both"/>
        <w:rPr>
          <w:rFonts w:ascii="Palatino Linotype" w:hAnsi="Palatino Linotype" w:cs="Arial"/>
          <w:i/>
          <w:color w:val="000000" w:themeColor="text1"/>
        </w:rPr>
      </w:pPr>
      <w:r w:rsidRPr="00701C3F">
        <w:rPr>
          <w:rFonts w:ascii="Palatino Linotype" w:hAnsi="Palatino Linotype"/>
          <w:color w:val="000000" w:themeColor="text1"/>
        </w:rPr>
        <w:t>En esa virtud, el</w:t>
      </w:r>
      <w:r w:rsidRPr="00701C3F">
        <w:rPr>
          <w:rStyle w:val="apple-converted-space"/>
          <w:rFonts w:ascii="Palatino Linotype" w:hAnsi="Palatino Linotype"/>
          <w:color w:val="000000" w:themeColor="text1"/>
        </w:rPr>
        <w:t xml:space="preserve"> </w:t>
      </w:r>
      <w:r w:rsidRPr="00701C3F">
        <w:rPr>
          <w:rFonts w:ascii="Palatino Linotype" w:hAnsi="Palatino Linotype"/>
          <w:b/>
          <w:bCs/>
          <w:color w:val="000000" w:themeColor="text1"/>
        </w:rPr>
        <w:t>Sujeto Obligado</w:t>
      </w:r>
      <w:r w:rsidRPr="00701C3F">
        <w:rPr>
          <w:rStyle w:val="apple-converted-space"/>
          <w:rFonts w:ascii="Palatino Linotype" w:hAnsi="Palatino Linotype"/>
          <w:color w:val="000000" w:themeColor="text1"/>
        </w:rPr>
        <w:t xml:space="preserve"> </w:t>
      </w:r>
      <w:r w:rsidRPr="00701C3F">
        <w:rPr>
          <w:rFonts w:ascii="Palatino Linotype" w:hAnsi="Palatino Linotype"/>
          <w:color w:val="000000" w:themeColor="text1"/>
        </w:rPr>
        <w:t>está constreñido a entregar los documentos en los que conste la información que sea generada, poseída o administrada en el ejercicio de sus atribuciones a toda persona que lo solicite.</w:t>
      </w:r>
    </w:p>
    <w:p w:rsidR="00986FD8" w:rsidRPr="00701C3F" w:rsidRDefault="00986FD8" w:rsidP="00986FD8">
      <w:pPr>
        <w:pStyle w:val="Prrafodelista"/>
        <w:spacing w:line="360" w:lineRule="auto"/>
        <w:ind w:left="0" w:right="567"/>
        <w:jc w:val="both"/>
        <w:rPr>
          <w:rFonts w:ascii="Palatino Linotype" w:hAnsi="Palatino Linotype"/>
          <w:color w:val="000000" w:themeColor="text1"/>
        </w:rPr>
      </w:pPr>
    </w:p>
    <w:p w:rsidR="00986FD8" w:rsidRPr="00701C3F" w:rsidRDefault="00986FD8" w:rsidP="00986FD8">
      <w:pPr>
        <w:pStyle w:val="Ttulo2"/>
        <w:numPr>
          <w:ilvl w:val="0"/>
          <w:numId w:val="10"/>
        </w:numPr>
        <w:rPr>
          <w:rFonts w:ascii="Palatino Linotype" w:hAnsi="Palatino Linotype"/>
          <w:b/>
          <w:color w:val="auto"/>
          <w:sz w:val="24"/>
        </w:rPr>
      </w:pPr>
      <w:r w:rsidRPr="00701C3F">
        <w:rPr>
          <w:rFonts w:ascii="Palatino Linotype" w:hAnsi="Palatino Linotype"/>
          <w:b/>
          <w:color w:val="auto"/>
          <w:sz w:val="24"/>
        </w:rPr>
        <w:lastRenderedPageBreak/>
        <w:t>De la suplencia.</w:t>
      </w:r>
    </w:p>
    <w:p w:rsidR="00986FD8" w:rsidRPr="00701C3F" w:rsidRDefault="00986FD8" w:rsidP="00986FD8">
      <w:pPr>
        <w:pStyle w:val="Prrafodelista"/>
        <w:spacing w:line="360" w:lineRule="auto"/>
        <w:ind w:left="0" w:right="567"/>
        <w:jc w:val="both"/>
        <w:rPr>
          <w:rFonts w:ascii="Palatino Linotype" w:hAnsi="Palatino Linotype" w:cs="Arial"/>
          <w:i/>
          <w:color w:val="000000" w:themeColor="text1"/>
        </w:rPr>
      </w:pPr>
    </w:p>
    <w:p w:rsidR="00986FD8" w:rsidRPr="00701C3F" w:rsidRDefault="00986FD8" w:rsidP="00066ADF">
      <w:pPr>
        <w:pStyle w:val="Prrafodelista"/>
        <w:numPr>
          <w:ilvl w:val="0"/>
          <w:numId w:val="16"/>
        </w:numPr>
        <w:spacing w:line="360" w:lineRule="auto"/>
        <w:ind w:left="0" w:right="567" w:firstLine="0"/>
        <w:jc w:val="both"/>
        <w:rPr>
          <w:rFonts w:ascii="Palatino Linotype" w:hAnsi="Palatino Linotype"/>
          <w:lang w:val="es-ES"/>
        </w:rPr>
      </w:pPr>
      <w:r w:rsidRPr="00701C3F">
        <w:rPr>
          <w:rFonts w:ascii="Palatino Linotype" w:hAnsi="Palatino Linotype"/>
          <w:lang w:val="es-ES"/>
        </w:rPr>
        <w:t>Debemos mencionar que e</w:t>
      </w:r>
      <w:r w:rsidRPr="00701C3F">
        <w:rPr>
          <w:rFonts w:ascii="Palatino Linotype" w:hAnsi="Palatino Linotype" w:cs="Arial"/>
        </w:rPr>
        <w:t xml:space="preserve">l ejercicio del derecho de acceso a la información es mediante un procedimiento sencillo y accesible para todas las personas. La Ley de Transparencia y Acceso a la Información Pública del Estado de México en los  </w:t>
      </w:r>
      <w:r w:rsidRPr="00701C3F">
        <w:rPr>
          <w:rFonts w:ascii="Palatino Linotype" w:hAnsi="Palatino Linotype"/>
        </w:rPr>
        <w:t xml:space="preserve">artículos </w:t>
      </w:r>
      <w:r w:rsidRPr="00701C3F">
        <w:rPr>
          <w:rFonts w:ascii="Palatino Linotype" w:eastAsia="Times New Roman" w:hAnsi="Palatino Linotype" w:cs="Arial"/>
          <w:color w:val="000000"/>
        </w:rPr>
        <w:t>152 y 178 primer párrafo de la Ley de Transparencia y Acceso a la Información Pública del Estado de México y Municipios contienen lo siguiente:</w:t>
      </w:r>
    </w:p>
    <w:p w:rsidR="00986FD8" w:rsidRPr="00701C3F" w:rsidRDefault="00986FD8" w:rsidP="00986FD8">
      <w:pPr>
        <w:pStyle w:val="Prrafodelista"/>
        <w:spacing w:line="360" w:lineRule="auto"/>
        <w:ind w:left="0"/>
        <w:jc w:val="both"/>
        <w:rPr>
          <w:rFonts w:ascii="Palatino Linotype" w:hAnsi="Palatino Linotype" w:cs="Bookman Old Style"/>
          <w:i/>
          <w:szCs w:val="20"/>
          <w:lang w:val="es-ES"/>
        </w:rPr>
      </w:pPr>
    </w:p>
    <w:p w:rsidR="00986FD8" w:rsidRPr="00701C3F" w:rsidRDefault="00986FD8" w:rsidP="00986FD8">
      <w:pPr>
        <w:pStyle w:val="Prrafodelista"/>
        <w:spacing w:line="360" w:lineRule="auto"/>
        <w:ind w:left="567" w:right="616"/>
        <w:jc w:val="both"/>
        <w:rPr>
          <w:rFonts w:ascii="Palatino Linotype" w:hAnsi="Palatino Linotype" w:cs="Bookman Old Style"/>
          <w:i/>
          <w:szCs w:val="20"/>
          <w:lang w:val="es-ES"/>
        </w:rPr>
      </w:pPr>
      <w:r w:rsidRPr="00701C3F">
        <w:rPr>
          <w:rFonts w:ascii="Palatino Linotype" w:hAnsi="Palatino Linotype" w:cs="Bookman Old Style,Bold"/>
          <w:b/>
          <w:bCs/>
          <w:i/>
          <w:szCs w:val="20"/>
          <w:lang w:val="es-ES"/>
        </w:rPr>
        <w:t xml:space="preserve"> Artículo 152. </w:t>
      </w:r>
      <w:r w:rsidRPr="00FF1728">
        <w:rPr>
          <w:rFonts w:ascii="Palatino Linotype" w:hAnsi="Palatino Linotype" w:cs="Bookman Old Style"/>
          <w:b/>
          <w:i/>
          <w:sz w:val="22"/>
          <w:szCs w:val="20"/>
          <w:u w:val="single"/>
          <w:lang w:val="es-ES"/>
        </w:rPr>
        <w:t>Cualquier persona por sí misma</w:t>
      </w:r>
      <w:r w:rsidRPr="00FF1728">
        <w:rPr>
          <w:rFonts w:ascii="Palatino Linotype" w:hAnsi="Palatino Linotype" w:cs="Bookman Old Style"/>
          <w:i/>
          <w:sz w:val="22"/>
          <w:szCs w:val="20"/>
          <w:lang w:val="es-ES"/>
        </w:rPr>
        <w:t xml:space="preserve"> o a través de su representante, </w:t>
      </w:r>
      <w:r w:rsidRPr="00FF1728">
        <w:rPr>
          <w:rFonts w:ascii="Palatino Linotype" w:hAnsi="Palatino Linotype" w:cs="Bookman Old Style"/>
          <w:b/>
          <w:i/>
          <w:sz w:val="22"/>
          <w:szCs w:val="20"/>
          <w:u w:val="single"/>
          <w:lang w:val="es-ES"/>
        </w:rPr>
        <w:t>podrá presentar solicitud de acceso a información</w:t>
      </w:r>
      <w:r w:rsidRPr="00FF1728">
        <w:rPr>
          <w:rFonts w:ascii="Palatino Linotype" w:hAnsi="Palatino Linotype" w:cs="Bookman Old Style"/>
          <w:i/>
          <w:sz w:val="22"/>
          <w:szCs w:val="20"/>
          <w:lang w:val="es-ES"/>
        </w:rPr>
        <w:t xml:space="preserve"> ante la Unidad de Transparencia</w:t>
      </w:r>
      <w:r w:rsidRPr="00FF1728">
        <w:rPr>
          <w:rFonts w:ascii="Palatino Linotype" w:hAnsi="Palatino Linotype" w:cs="Bookman Old Style"/>
          <w:b/>
          <w:i/>
          <w:sz w:val="22"/>
          <w:szCs w:val="20"/>
          <w:lang w:val="es-ES"/>
        </w:rPr>
        <w:t xml:space="preserve">, </w:t>
      </w:r>
      <w:r w:rsidRPr="00FF1728">
        <w:rPr>
          <w:rFonts w:ascii="Palatino Linotype" w:hAnsi="Palatino Linotype" w:cs="Bookman Old Style"/>
          <w:b/>
          <w:i/>
          <w:sz w:val="22"/>
          <w:szCs w:val="20"/>
          <w:u w:val="single"/>
          <w:lang w:val="es-ES"/>
        </w:rPr>
        <w:t>a través del sistema electrónico</w:t>
      </w:r>
      <w:r w:rsidRPr="00FF1728">
        <w:rPr>
          <w:rFonts w:ascii="Palatino Linotype" w:hAnsi="Palatino Linotype" w:cs="Bookman Old Style"/>
          <w:b/>
          <w:i/>
          <w:sz w:val="22"/>
          <w:szCs w:val="20"/>
          <w:lang w:val="es-ES"/>
        </w:rPr>
        <w:t xml:space="preserve"> </w:t>
      </w:r>
      <w:r w:rsidRPr="00FF1728">
        <w:rPr>
          <w:rFonts w:ascii="Palatino Linotype" w:hAnsi="Palatino Linotype" w:cs="Bookman Old Style"/>
          <w:i/>
          <w:sz w:val="22"/>
          <w:szCs w:val="20"/>
          <w:lang w:val="es-ES"/>
        </w:rPr>
        <w:t>o de la Plataforma Nacional, en la oficina u oficinas designadas para ello, vía correo electrónico, correo postal, mensajería, telégrafo, verbalmente o cualquier medio aprobado por el Instituto o por el Sistema Nacional.</w:t>
      </w:r>
    </w:p>
    <w:p w:rsidR="00986FD8" w:rsidRPr="00701C3F" w:rsidRDefault="00986FD8" w:rsidP="00986FD8">
      <w:pPr>
        <w:autoSpaceDE w:val="0"/>
        <w:autoSpaceDN w:val="0"/>
        <w:adjustRightInd w:val="0"/>
        <w:spacing w:line="360" w:lineRule="auto"/>
        <w:ind w:left="567" w:right="616"/>
        <w:jc w:val="both"/>
        <w:rPr>
          <w:rFonts w:ascii="Palatino Linotype" w:hAnsi="Palatino Linotype" w:cs="Bookman Old Style,Bold"/>
          <w:b/>
          <w:bCs/>
          <w:i/>
          <w:szCs w:val="20"/>
        </w:rPr>
      </w:pPr>
    </w:p>
    <w:p w:rsidR="00986FD8" w:rsidRPr="00701C3F" w:rsidRDefault="00986FD8" w:rsidP="00986FD8">
      <w:pPr>
        <w:autoSpaceDE w:val="0"/>
        <w:autoSpaceDN w:val="0"/>
        <w:adjustRightInd w:val="0"/>
        <w:spacing w:line="360" w:lineRule="auto"/>
        <w:ind w:left="567" w:right="616"/>
        <w:jc w:val="both"/>
        <w:rPr>
          <w:rFonts w:ascii="Palatino Linotype" w:hAnsi="Palatino Linotype" w:cs="Bookman Old Style"/>
          <w:i/>
          <w:szCs w:val="20"/>
        </w:rPr>
      </w:pPr>
      <w:r w:rsidRPr="00701C3F">
        <w:rPr>
          <w:rFonts w:ascii="Palatino Linotype" w:hAnsi="Palatino Linotype" w:cs="Bookman Old Style,Bold"/>
          <w:b/>
          <w:bCs/>
          <w:i/>
          <w:szCs w:val="20"/>
        </w:rPr>
        <w:t xml:space="preserve">Artículo 178. </w:t>
      </w:r>
      <w:r w:rsidRPr="00FF1728">
        <w:rPr>
          <w:rFonts w:ascii="Palatino Linotype" w:hAnsi="Palatino Linotype" w:cs="Bookman Old Style"/>
          <w:b/>
          <w:i/>
          <w:sz w:val="22"/>
          <w:szCs w:val="20"/>
          <w:u w:val="single"/>
        </w:rPr>
        <w:t>El solicitante podrá interponer, por sí mismo</w:t>
      </w:r>
      <w:r w:rsidRPr="00FF1728">
        <w:rPr>
          <w:rFonts w:ascii="Palatino Linotype" w:hAnsi="Palatino Linotype" w:cs="Bookman Old Style"/>
          <w:i/>
          <w:sz w:val="22"/>
          <w:szCs w:val="20"/>
        </w:rPr>
        <w:t xml:space="preserve"> o a través de su representante, </w:t>
      </w:r>
      <w:r w:rsidRPr="00FF1728">
        <w:rPr>
          <w:rFonts w:ascii="Palatino Linotype" w:hAnsi="Palatino Linotype" w:cs="Bookman Old Style"/>
          <w:b/>
          <w:sz w:val="22"/>
          <w:szCs w:val="20"/>
        </w:rPr>
        <w:t>de manera directa o por medios electrónicos, recurso de revisión ante el Instituto</w:t>
      </w:r>
      <w:r w:rsidRPr="00FF1728">
        <w:rPr>
          <w:rFonts w:ascii="Palatino Linotype" w:hAnsi="Palatino Linotype" w:cs="Bookman Old Style"/>
          <w:i/>
          <w:sz w:val="22"/>
          <w:szCs w:val="20"/>
        </w:rPr>
        <w:t xml:space="preserve"> o ante la Unidad de Transparencia que haya conocido de la solicitud dentro de los quince días hábiles, siguientes a la fecha de la notificación de la respuesta.</w:t>
      </w:r>
    </w:p>
    <w:p w:rsidR="00986FD8" w:rsidRPr="00701C3F" w:rsidRDefault="00986FD8" w:rsidP="00986FD8">
      <w:pPr>
        <w:autoSpaceDE w:val="0"/>
        <w:autoSpaceDN w:val="0"/>
        <w:adjustRightInd w:val="0"/>
        <w:spacing w:line="360" w:lineRule="auto"/>
        <w:ind w:left="567" w:right="616"/>
        <w:jc w:val="both"/>
        <w:rPr>
          <w:rFonts w:ascii="Palatino Linotype" w:hAnsi="Palatino Linotype" w:cs="Bookman Old Style"/>
          <w:i/>
          <w:szCs w:val="20"/>
        </w:rPr>
      </w:pPr>
    </w:p>
    <w:p w:rsidR="00986FD8" w:rsidRPr="00701C3F" w:rsidRDefault="00986FD8" w:rsidP="00066ADF">
      <w:pPr>
        <w:pStyle w:val="Prrafodelista"/>
        <w:numPr>
          <w:ilvl w:val="0"/>
          <w:numId w:val="16"/>
        </w:numPr>
        <w:tabs>
          <w:tab w:val="left" w:pos="851"/>
        </w:tabs>
        <w:spacing w:line="360" w:lineRule="auto"/>
        <w:ind w:left="0" w:right="49" w:firstLine="0"/>
        <w:jc w:val="both"/>
        <w:rPr>
          <w:rFonts w:ascii="Palatino Linotype" w:hAnsi="Palatino Linotype"/>
          <w:lang w:val="es-ES"/>
        </w:rPr>
      </w:pPr>
      <w:r w:rsidRPr="00701C3F">
        <w:rPr>
          <w:rFonts w:ascii="Palatino Linotype" w:hAnsi="Palatino Linotype"/>
          <w:lang w:val="es-ES"/>
        </w:rPr>
        <w:t xml:space="preserve">De la interpretación de los preceptos legales, se tiene que la normatividad en materia faculta a los particulares para que, si así lo desean puedan acudir a un especialista para que los represente y asesore para hacer efectivo el derecho de acceso a la información, sin embargo, es una facultad potestativa, puesto que, al </w:t>
      </w:r>
      <w:r w:rsidRPr="00701C3F">
        <w:rPr>
          <w:rFonts w:ascii="Palatino Linotype" w:hAnsi="Palatino Linotype"/>
          <w:lang w:val="es-ES"/>
        </w:rPr>
        <w:lastRenderedPageBreak/>
        <w:t xml:space="preserve">mismo tiempo otorga la libertar de ejercer el derecho por sí mismo, sin necesidad de un representante. Por tal situación, la </w:t>
      </w:r>
      <w:r w:rsidRPr="00701C3F">
        <w:rPr>
          <w:rFonts w:ascii="Palatino Linotype" w:eastAsia="Times New Roman" w:hAnsi="Palatino Linotype" w:cs="Arial"/>
          <w:lang w:val="es-ES"/>
        </w:rPr>
        <w:t xml:space="preserve">Comisión interamericana de Derechos Humanos refiere que </w:t>
      </w:r>
      <w:r w:rsidRPr="00066ADF">
        <w:rPr>
          <w:rFonts w:ascii="Palatino Linotype" w:eastAsia="Times New Roman" w:hAnsi="Palatino Linotype" w:cs="Arial"/>
          <w:sz w:val="22"/>
          <w:lang w:val="es-ES"/>
        </w:rPr>
        <w:t>“</w:t>
      </w:r>
      <w:r w:rsidRPr="00066ADF">
        <w:rPr>
          <w:rFonts w:ascii="Palatino Linotype" w:hAnsi="Palatino Linotype"/>
          <w:i/>
          <w:sz w:val="22"/>
        </w:rPr>
        <w:t>El Estado tiene la obligación de responder sustancialmente a las solicitudes de información que le sean formuladas. En efecto, el artículo 13 de la Convención Americana, al amparar el derecho de las personas a acceder a la información en poder del Estado, establece una obligación positiva para éste de suministrar de manera oportuna, completa y accesible, la información solicitada”</w:t>
      </w:r>
      <w:r w:rsidRPr="00066ADF">
        <w:rPr>
          <w:rStyle w:val="Refdenotaalpie"/>
          <w:rFonts w:ascii="Palatino Linotype" w:eastAsia="Times New Roman" w:hAnsi="Palatino Linotype" w:cs="Arial"/>
          <w:sz w:val="22"/>
          <w:lang w:val="es-ES"/>
        </w:rPr>
        <w:footnoteReference w:id="8"/>
      </w:r>
      <w:r w:rsidRPr="00066ADF">
        <w:rPr>
          <w:rFonts w:ascii="Palatino Linotype" w:hAnsi="Palatino Linotype"/>
          <w:i/>
          <w:sz w:val="22"/>
        </w:rPr>
        <w:t>.</w:t>
      </w:r>
    </w:p>
    <w:p w:rsidR="00986FD8" w:rsidRPr="00701C3F" w:rsidRDefault="00986FD8" w:rsidP="00986FD8">
      <w:pPr>
        <w:pStyle w:val="Prrafodelista"/>
        <w:tabs>
          <w:tab w:val="left" w:pos="851"/>
        </w:tabs>
        <w:spacing w:line="360" w:lineRule="auto"/>
        <w:ind w:left="0" w:right="49"/>
        <w:jc w:val="both"/>
        <w:rPr>
          <w:rFonts w:ascii="Palatino Linotype" w:hAnsi="Palatino Linotype"/>
          <w:lang w:val="es-ES"/>
        </w:rPr>
      </w:pPr>
    </w:p>
    <w:p w:rsidR="00AD4FFB" w:rsidRPr="00701C3F" w:rsidRDefault="00986FD8" w:rsidP="00066ADF">
      <w:pPr>
        <w:pStyle w:val="Prrafodelista"/>
        <w:numPr>
          <w:ilvl w:val="0"/>
          <w:numId w:val="16"/>
        </w:numPr>
        <w:tabs>
          <w:tab w:val="left" w:pos="851"/>
        </w:tabs>
        <w:spacing w:line="360" w:lineRule="auto"/>
        <w:ind w:left="0" w:right="49" w:firstLine="0"/>
        <w:jc w:val="both"/>
        <w:rPr>
          <w:rFonts w:ascii="Palatino Linotype" w:hAnsi="Palatino Linotype"/>
          <w:lang w:val="es-ES"/>
        </w:rPr>
      </w:pPr>
      <w:r w:rsidRPr="00701C3F">
        <w:rPr>
          <w:rFonts w:ascii="Palatino Linotype" w:hAnsi="Palatino Linotype"/>
          <w:lang w:val="es-ES"/>
        </w:rPr>
        <w:t xml:space="preserve">En ese sentido, los Sujetos Obligados deben tener en cuenta que los particulares están facultados para ejercer su derecho de acceso a la información </w:t>
      </w:r>
      <w:r w:rsidRPr="00701C3F">
        <w:rPr>
          <w:rFonts w:ascii="Palatino Linotype" w:hAnsi="Palatino Linotype"/>
          <w:b/>
          <w:lang w:val="es-ES"/>
        </w:rPr>
        <w:t>por sí mismos</w:t>
      </w:r>
      <w:r w:rsidRPr="00701C3F">
        <w:rPr>
          <w:rFonts w:ascii="Palatino Linotype" w:hAnsi="Palatino Linotype"/>
          <w:lang w:val="es-ES"/>
        </w:rPr>
        <w:t xml:space="preserve"> y cabe la posibilidad que éstos no sean expertos en la materia, </w:t>
      </w:r>
      <w:r w:rsidR="0076496F" w:rsidRPr="00701C3F">
        <w:rPr>
          <w:rFonts w:ascii="Palatino Linotype" w:hAnsi="Palatino Linotype"/>
          <w:lang w:val="es-ES"/>
        </w:rPr>
        <w:t>lo que se traduce en el desconocimiento de los términos correctos para referirse a los documentos a los que deseen acceder</w:t>
      </w:r>
      <w:r w:rsidR="00AD4FFB" w:rsidRPr="00701C3F">
        <w:rPr>
          <w:rFonts w:ascii="Palatino Linotype" w:hAnsi="Palatino Linotype"/>
          <w:lang w:val="es-ES"/>
        </w:rPr>
        <w:t xml:space="preserve">, por ello es importante adoptar el criterio </w:t>
      </w:r>
      <w:r w:rsidR="00AD4FFB" w:rsidRPr="00701C3F">
        <w:rPr>
          <w:rFonts w:ascii="Palatino Linotype" w:hAnsi="Palatino Linotype" w:cs="Arial"/>
        </w:rPr>
        <w:t>orientador 16/17 emitido por el Instituto Nacional de Transparencia, Acceso a la Información y Protección de Datos Personales que a la literalidad prevé:</w:t>
      </w:r>
    </w:p>
    <w:p w:rsidR="0047128F" w:rsidRPr="00701C3F" w:rsidRDefault="0047128F" w:rsidP="00AD4FFB">
      <w:pPr>
        <w:pStyle w:val="Prrafodelista"/>
        <w:widowControl w:val="0"/>
        <w:autoSpaceDE w:val="0"/>
        <w:autoSpaceDN w:val="0"/>
        <w:adjustRightInd w:val="0"/>
        <w:spacing w:line="360" w:lineRule="auto"/>
        <w:ind w:left="0"/>
        <w:jc w:val="both"/>
        <w:rPr>
          <w:rFonts w:ascii="Palatino Linotype" w:hAnsi="Palatino Linotype" w:cs="Arial"/>
        </w:rPr>
      </w:pPr>
    </w:p>
    <w:p w:rsidR="00AD4FFB" w:rsidRPr="00701C3F" w:rsidRDefault="00AD4FFB" w:rsidP="00AD4FFB">
      <w:pPr>
        <w:pStyle w:val="Prrafodelista"/>
        <w:widowControl w:val="0"/>
        <w:autoSpaceDE w:val="0"/>
        <w:autoSpaceDN w:val="0"/>
        <w:adjustRightInd w:val="0"/>
        <w:spacing w:line="360" w:lineRule="auto"/>
        <w:ind w:left="567" w:right="757"/>
        <w:jc w:val="both"/>
        <w:rPr>
          <w:rFonts w:ascii="Palatino Linotype" w:hAnsi="Palatino Linotype" w:cs="Arial"/>
          <w:i/>
          <w:sz w:val="22"/>
        </w:rPr>
      </w:pPr>
      <w:r w:rsidRPr="00701C3F">
        <w:rPr>
          <w:rFonts w:ascii="Palatino Linotype" w:hAnsi="Palatino Linotype" w:cs="Arial"/>
          <w:b/>
          <w:i/>
          <w:sz w:val="22"/>
        </w:rPr>
        <w:t>“Expresión documental</w:t>
      </w:r>
      <w:r w:rsidRPr="00701C3F">
        <w:rPr>
          <w:rFonts w:ascii="Palatino Linotype" w:hAnsi="Palatino Linotype" w:cs="Arial"/>
          <w:i/>
          <w:sz w:val="22"/>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rsidR="00AD4FFB" w:rsidRPr="00701C3F" w:rsidRDefault="00AD4FFB" w:rsidP="00AD4FFB">
      <w:pPr>
        <w:pStyle w:val="Prrafodelista"/>
        <w:widowControl w:val="0"/>
        <w:autoSpaceDE w:val="0"/>
        <w:autoSpaceDN w:val="0"/>
        <w:adjustRightInd w:val="0"/>
        <w:spacing w:line="360" w:lineRule="auto"/>
        <w:ind w:right="757"/>
        <w:jc w:val="both"/>
        <w:rPr>
          <w:rFonts w:ascii="Palatino Linotype" w:hAnsi="Palatino Linotype" w:cs="Arial"/>
          <w:i/>
          <w:sz w:val="22"/>
        </w:rPr>
      </w:pPr>
    </w:p>
    <w:p w:rsidR="00AD4FFB" w:rsidRPr="00701C3F" w:rsidRDefault="00AD4FFB" w:rsidP="00AD4FFB">
      <w:pPr>
        <w:pStyle w:val="Prrafodelista"/>
        <w:widowControl w:val="0"/>
        <w:autoSpaceDE w:val="0"/>
        <w:autoSpaceDN w:val="0"/>
        <w:adjustRightInd w:val="0"/>
        <w:spacing w:line="360" w:lineRule="auto"/>
        <w:ind w:left="993" w:right="757" w:hanging="285"/>
        <w:jc w:val="both"/>
        <w:rPr>
          <w:rFonts w:ascii="Palatino Linotype" w:hAnsi="Palatino Linotype" w:cs="Arial"/>
          <w:i/>
          <w:sz w:val="22"/>
        </w:rPr>
      </w:pPr>
      <w:r w:rsidRPr="00701C3F">
        <w:rPr>
          <w:rFonts w:ascii="Palatino Linotype" w:hAnsi="Palatino Linotype" w:cs="Arial"/>
          <w:i/>
          <w:sz w:val="22"/>
        </w:rPr>
        <w:lastRenderedPageBreak/>
        <w:t>Resoluciones:</w:t>
      </w:r>
    </w:p>
    <w:p w:rsidR="00AD4FFB" w:rsidRPr="00701C3F" w:rsidRDefault="00AD4FFB" w:rsidP="00AD4FFB">
      <w:pPr>
        <w:pStyle w:val="Prrafodelista"/>
        <w:widowControl w:val="0"/>
        <w:autoSpaceDE w:val="0"/>
        <w:autoSpaceDN w:val="0"/>
        <w:adjustRightInd w:val="0"/>
        <w:spacing w:line="360" w:lineRule="auto"/>
        <w:ind w:left="993" w:right="757" w:hanging="285"/>
        <w:jc w:val="both"/>
        <w:rPr>
          <w:rFonts w:ascii="Palatino Linotype" w:hAnsi="Palatino Linotype" w:cs="Arial"/>
          <w:i/>
          <w:sz w:val="22"/>
        </w:rPr>
      </w:pPr>
      <w:r w:rsidRPr="00701C3F">
        <w:rPr>
          <w:rFonts w:ascii="Palatino Linotype" w:hAnsi="Palatino Linotype" w:cs="Arial"/>
          <w:i/>
          <w:sz w:val="22"/>
        </w:rPr>
        <w:t>•</w:t>
      </w:r>
      <w:r w:rsidRPr="00701C3F">
        <w:rPr>
          <w:rFonts w:ascii="Palatino Linotype" w:hAnsi="Palatino Linotype" w:cs="Arial"/>
          <w:i/>
          <w:sz w:val="22"/>
        </w:rPr>
        <w:tab/>
        <w:t xml:space="preserve">RRA 0774/16. Secretaría de Salud. 31 de agosto de 2016. Por unanimidad. Comisionada Ponente María Patricia </w:t>
      </w:r>
      <w:proofErr w:type="spellStart"/>
      <w:r w:rsidRPr="00701C3F">
        <w:rPr>
          <w:rFonts w:ascii="Palatino Linotype" w:hAnsi="Palatino Linotype" w:cs="Arial"/>
          <w:i/>
          <w:sz w:val="22"/>
        </w:rPr>
        <w:t>Kurczyn</w:t>
      </w:r>
      <w:proofErr w:type="spellEnd"/>
      <w:r w:rsidRPr="00701C3F">
        <w:rPr>
          <w:rFonts w:ascii="Palatino Linotype" w:hAnsi="Palatino Linotype" w:cs="Arial"/>
          <w:i/>
          <w:sz w:val="22"/>
        </w:rPr>
        <w:t xml:space="preserve"> Villalobos.</w:t>
      </w:r>
    </w:p>
    <w:p w:rsidR="00AD4FFB" w:rsidRPr="00701C3F" w:rsidRDefault="00AD4FFB" w:rsidP="00AD4FFB">
      <w:pPr>
        <w:pStyle w:val="Prrafodelista"/>
        <w:widowControl w:val="0"/>
        <w:autoSpaceDE w:val="0"/>
        <w:autoSpaceDN w:val="0"/>
        <w:adjustRightInd w:val="0"/>
        <w:spacing w:line="360" w:lineRule="auto"/>
        <w:ind w:left="993" w:right="757" w:hanging="285"/>
        <w:jc w:val="both"/>
        <w:rPr>
          <w:rFonts w:ascii="Palatino Linotype" w:hAnsi="Palatino Linotype" w:cs="Arial"/>
          <w:i/>
          <w:sz w:val="22"/>
        </w:rPr>
      </w:pPr>
      <w:r w:rsidRPr="00701C3F">
        <w:rPr>
          <w:rFonts w:ascii="Palatino Linotype" w:hAnsi="Palatino Linotype" w:cs="Arial"/>
          <w:i/>
          <w:sz w:val="22"/>
        </w:rPr>
        <w:t>•</w:t>
      </w:r>
      <w:r w:rsidRPr="00701C3F">
        <w:rPr>
          <w:rFonts w:ascii="Palatino Linotype" w:hAnsi="Palatino Linotype" w:cs="Arial"/>
          <w:i/>
          <w:sz w:val="22"/>
        </w:rPr>
        <w:tab/>
        <w:t xml:space="preserve">RRA 0143/17. Universidad Autónoma Agraria Antonio Narro. 22 de febrero de 2017. Por unanimidad. Comisionado Ponente Oscar Mauricio Guerra Ford. </w:t>
      </w:r>
    </w:p>
    <w:p w:rsidR="00AD4FFB" w:rsidRPr="00701C3F" w:rsidRDefault="00AD4FFB" w:rsidP="00AD4FFB">
      <w:pPr>
        <w:pStyle w:val="Prrafodelista"/>
        <w:widowControl w:val="0"/>
        <w:autoSpaceDE w:val="0"/>
        <w:autoSpaceDN w:val="0"/>
        <w:adjustRightInd w:val="0"/>
        <w:spacing w:line="360" w:lineRule="auto"/>
        <w:ind w:left="993" w:right="757" w:hanging="285"/>
        <w:jc w:val="both"/>
        <w:rPr>
          <w:rFonts w:ascii="Palatino Linotype" w:hAnsi="Palatino Linotype" w:cs="Arial"/>
          <w:i/>
          <w:sz w:val="22"/>
        </w:rPr>
      </w:pPr>
      <w:r w:rsidRPr="00701C3F">
        <w:rPr>
          <w:rFonts w:ascii="Palatino Linotype" w:hAnsi="Palatino Linotype" w:cs="Arial"/>
          <w:i/>
          <w:sz w:val="22"/>
        </w:rPr>
        <w:t>•</w:t>
      </w:r>
      <w:r w:rsidRPr="00701C3F">
        <w:rPr>
          <w:rFonts w:ascii="Palatino Linotype" w:hAnsi="Palatino Linotype" w:cs="Arial"/>
          <w:i/>
          <w:sz w:val="22"/>
        </w:rPr>
        <w:tab/>
        <w:t>RRA 0540/17. Secretaría de Economía. 08 de marzo del 2017. Por unanimidad. Comisionado Ponente Francisco Javier Acuña Llamas”</w:t>
      </w:r>
    </w:p>
    <w:p w:rsidR="00AD4FFB" w:rsidRPr="00701C3F" w:rsidRDefault="00AD4FFB" w:rsidP="00AD4FFB">
      <w:pPr>
        <w:pStyle w:val="Prrafodelista"/>
        <w:tabs>
          <w:tab w:val="left" w:pos="851"/>
        </w:tabs>
        <w:spacing w:line="360" w:lineRule="auto"/>
        <w:ind w:left="0" w:right="49"/>
        <w:jc w:val="both"/>
        <w:rPr>
          <w:rFonts w:ascii="Palatino Linotype" w:hAnsi="Palatino Linotype"/>
          <w:lang w:val="es-ES"/>
        </w:rPr>
      </w:pPr>
    </w:p>
    <w:p w:rsidR="00986FD8" w:rsidRPr="00701C3F" w:rsidRDefault="00986FD8" w:rsidP="00986FD8">
      <w:pPr>
        <w:pStyle w:val="Prrafodelista"/>
        <w:rPr>
          <w:rFonts w:ascii="Palatino Linotype" w:hAnsi="Palatino Linotype"/>
          <w:lang w:val="es-ES"/>
        </w:rPr>
      </w:pPr>
    </w:p>
    <w:p w:rsidR="00986FD8" w:rsidRPr="00701C3F" w:rsidRDefault="00AD4FFB" w:rsidP="00066ADF">
      <w:pPr>
        <w:pStyle w:val="Prrafodelista"/>
        <w:numPr>
          <w:ilvl w:val="0"/>
          <w:numId w:val="16"/>
        </w:numPr>
        <w:tabs>
          <w:tab w:val="left" w:pos="851"/>
        </w:tabs>
        <w:spacing w:line="360" w:lineRule="auto"/>
        <w:ind w:left="0" w:right="49" w:firstLine="0"/>
        <w:jc w:val="both"/>
        <w:rPr>
          <w:rFonts w:ascii="Palatino Linotype" w:hAnsi="Palatino Linotype"/>
          <w:lang w:val="es-ES"/>
        </w:rPr>
      </w:pPr>
      <w:r w:rsidRPr="00701C3F">
        <w:rPr>
          <w:rFonts w:ascii="Palatino Linotype" w:hAnsi="Palatino Linotype"/>
          <w:lang w:val="es-ES"/>
        </w:rPr>
        <w:t xml:space="preserve">Aunado a lo anterior, los Sujetos Obligado deben adoptar buenas prácticas en el ejercicio de sus funciones, atribuciones y competencias, y en cuanto al derecho de acceso a la información, deben apegar su actuar </w:t>
      </w:r>
      <w:r w:rsidR="00986FD8" w:rsidRPr="00701C3F">
        <w:rPr>
          <w:rFonts w:ascii="Palatino Linotype" w:hAnsi="Palatino Linotype"/>
          <w:lang w:val="es-ES"/>
        </w:rPr>
        <w:t>bajo los principio</w:t>
      </w:r>
      <w:r w:rsidRPr="00701C3F">
        <w:rPr>
          <w:rFonts w:ascii="Palatino Linotype" w:hAnsi="Palatino Linotype"/>
          <w:lang w:val="es-ES"/>
        </w:rPr>
        <w:t>s</w:t>
      </w:r>
      <w:r w:rsidR="00986FD8" w:rsidRPr="00701C3F">
        <w:rPr>
          <w:rFonts w:ascii="Palatino Linotype" w:hAnsi="Palatino Linotype"/>
          <w:lang w:val="es-ES"/>
        </w:rPr>
        <w:t xml:space="preserve"> de eficacia</w:t>
      </w:r>
      <w:r w:rsidR="00986FD8" w:rsidRPr="00701C3F">
        <w:rPr>
          <w:rStyle w:val="Refdenotaalpie"/>
          <w:rFonts w:ascii="Palatino Linotype" w:hAnsi="Palatino Linotype"/>
          <w:lang w:val="es-ES"/>
        </w:rPr>
        <w:footnoteReference w:id="9"/>
      </w:r>
      <w:r w:rsidR="00986FD8" w:rsidRPr="00701C3F">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986FD8" w:rsidRPr="00701C3F" w:rsidRDefault="00986FD8" w:rsidP="00986FD8">
      <w:pPr>
        <w:pStyle w:val="Prrafodelista"/>
        <w:rPr>
          <w:rFonts w:ascii="Palatino Linotype" w:hAnsi="Palatino Linotype"/>
          <w:lang w:val="es-ES"/>
        </w:rPr>
      </w:pPr>
    </w:p>
    <w:p w:rsidR="00986FD8" w:rsidRPr="00701C3F" w:rsidRDefault="00986FD8" w:rsidP="00066ADF">
      <w:pPr>
        <w:pStyle w:val="Prrafodelista"/>
        <w:numPr>
          <w:ilvl w:val="0"/>
          <w:numId w:val="16"/>
        </w:numPr>
        <w:tabs>
          <w:tab w:val="left" w:pos="851"/>
        </w:tabs>
        <w:spacing w:line="360" w:lineRule="auto"/>
        <w:ind w:left="0" w:right="49" w:firstLine="0"/>
        <w:jc w:val="both"/>
        <w:rPr>
          <w:rFonts w:ascii="Palatino Linotype" w:hAnsi="Palatino Linotype"/>
          <w:lang w:val="es-ES"/>
        </w:rPr>
      </w:pPr>
      <w:r w:rsidRPr="00701C3F">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986FD8" w:rsidRPr="00701C3F" w:rsidRDefault="00986FD8" w:rsidP="00986FD8">
      <w:pPr>
        <w:pStyle w:val="Prrafodelista"/>
        <w:rPr>
          <w:rFonts w:ascii="Palatino Linotype" w:hAnsi="Palatino Linotype"/>
          <w:lang w:val="es-ES"/>
        </w:rPr>
      </w:pPr>
    </w:p>
    <w:p w:rsidR="00986FD8" w:rsidRPr="00701C3F" w:rsidRDefault="00986FD8" w:rsidP="00986FD8">
      <w:pPr>
        <w:pStyle w:val="Prrafodelista"/>
        <w:tabs>
          <w:tab w:val="left" w:pos="851"/>
        </w:tabs>
        <w:spacing w:line="360" w:lineRule="auto"/>
        <w:ind w:left="567" w:right="567"/>
        <w:jc w:val="both"/>
        <w:rPr>
          <w:rFonts w:ascii="Palatino Linotype" w:hAnsi="Palatino Linotype"/>
          <w:i/>
        </w:rPr>
      </w:pPr>
      <w:r w:rsidRPr="00701C3F">
        <w:rPr>
          <w:rFonts w:ascii="Palatino Linotype" w:hAnsi="Palatino Linotype"/>
          <w:b/>
          <w:i/>
        </w:rPr>
        <w:t xml:space="preserve">ACCESO A LA INFORMACIÓN. IMPLICACIÓN DEL PRINCIPIO DE MÁXIMA PUBLICIDAD EN EL DERECHO FUNDAMENTAL </w:t>
      </w:r>
      <w:r w:rsidRPr="00701C3F">
        <w:rPr>
          <w:rFonts w:ascii="Palatino Linotype" w:hAnsi="Palatino Linotype"/>
          <w:b/>
          <w:i/>
        </w:rPr>
        <w:lastRenderedPageBreak/>
        <w:t>RELATIVO.</w:t>
      </w:r>
      <w:r w:rsidRPr="00701C3F">
        <w:rPr>
          <w:rFonts w:ascii="Palatino Linotype" w:hAnsi="Palatino Linotype"/>
          <w:i/>
        </w:rPr>
        <w:t xml:space="preserve"> </w:t>
      </w:r>
      <w:r w:rsidRPr="00FF1728">
        <w:rPr>
          <w:rFonts w:ascii="Palatino Linotype" w:hAnsi="Palatino Linotype"/>
          <w:i/>
          <w:sz w:val="22"/>
        </w:rPr>
        <w:t xml:space="preserve">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986FD8" w:rsidRPr="00701C3F" w:rsidRDefault="00986FD8" w:rsidP="00986FD8">
      <w:pPr>
        <w:pStyle w:val="Prrafodelista"/>
        <w:tabs>
          <w:tab w:val="left" w:pos="851"/>
        </w:tabs>
        <w:spacing w:line="360" w:lineRule="auto"/>
        <w:ind w:left="567" w:right="567"/>
        <w:jc w:val="both"/>
        <w:rPr>
          <w:rFonts w:ascii="Palatino Linotype" w:hAnsi="Palatino Linotype"/>
          <w:i/>
        </w:rPr>
      </w:pPr>
    </w:p>
    <w:p w:rsidR="00986FD8" w:rsidRPr="00701C3F" w:rsidRDefault="00986FD8" w:rsidP="00986FD8">
      <w:pPr>
        <w:pStyle w:val="Prrafodelista"/>
        <w:tabs>
          <w:tab w:val="left" w:pos="851"/>
        </w:tabs>
        <w:spacing w:line="360" w:lineRule="auto"/>
        <w:ind w:left="567" w:right="567"/>
        <w:jc w:val="both"/>
        <w:rPr>
          <w:rFonts w:ascii="Palatino Linotype" w:hAnsi="Palatino Linotype"/>
          <w:i/>
        </w:rPr>
      </w:pPr>
      <w:r w:rsidRPr="00701C3F">
        <w:rPr>
          <w:rFonts w:ascii="Palatino Linotype" w:hAnsi="Palatino Linotype"/>
          <w:i/>
        </w:rPr>
        <w:t xml:space="preserve">CUARTO TRIBUNAL COLEGIADO EN MATERIA ADMINISTRATIVA DEL PRIMER CIRCUITO. </w:t>
      </w:r>
    </w:p>
    <w:p w:rsidR="00986FD8" w:rsidRPr="00FF1728" w:rsidRDefault="00986FD8" w:rsidP="00986FD8">
      <w:pPr>
        <w:pStyle w:val="Prrafodelista"/>
        <w:tabs>
          <w:tab w:val="left" w:pos="851"/>
        </w:tabs>
        <w:spacing w:line="360" w:lineRule="auto"/>
        <w:ind w:left="567" w:right="567"/>
        <w:jc w:val="both"/>
        <w:rPr>
          <w:rFonts w:ascii="Palatino Linotype" w:hAnsi="Palatino Linotype"/>
          <w:i/>
          <w:sz w:val="22"/>
        </w:rPr>
      </w:pPr>
    </w:p>
    <w:p w:rsidR="00986FD8" w:rsidRPr="00FF1728" w:rsidRDefault="00986FD8" w:rsidP="00986FD8">
      <w:pPr>
        <w:pStyle w:val="Prrafodelista"/>
        <w:tabs>
          <w:tab w:val="left" w:pos="851"/>
        </w:tabs>
        <w:spacing w:line="360" w:lineRule="auto"/>
        <w:ind w:left="567" w:right="567"/>
        <w:jc w:val="both"/>
        <w:rPr>
          <w:rFonts w:ascii="Palatino Linotype" w:hAnsi="Palatino Linotype"/>
          <w:i/>
          <w:sz w:val="22"/>
          <w:lang w:val="es-ES"/>
        </w:rPr>
      </w:pPr>
      <w:r w:rsidRPr="00FF1728">
        <w:rPr>
          <w:rFonts w:ascii="Palatino Linotype" w:hAnsi="Palatino Linotype"/>
          <w:i/>
          <w:sz w:val="22"/>
        </w:rPr>
        <w:lastRenderedPageBreak/>
        <w:t xml:space="preserve">Amparo en revisión 257/2012. Ruth Corona Muñoz. 6 de diciembre de 2012. Unanimidad de votos. Ponente: Jean Claude </w:t>
      </w:r>
      <w:proofErr w:type="spellStart"/>
      <w:r w:rsidRPr="00FF1728">
        <w:rPr>
          <w:rFonts w:ascii="Palatino Linotype" w:hAnsi="Palatino Linotype"/>
          <w:i/>
          <w:sz w:val="22"/>
        </w:rPr>
        <w:t>Tron</w:t>
      </w:r>
      <w:proofErr w:type="spellEnd"/>
      <w:r w:rsidRPr="00FF1728">
        <w:rPr>
          <w:rFonts w:ascii="Palatino Linotype" w:hAnsi="Palatino Linotype"/>
          <w:i/>
          <w:sz w:val="22"/>
        </w:rPr>
        <w:t xml:space="preserve"> </w:t>
      </w:r>
      <w:proofErr w:type="spellStart"/>
      <w:r w:rsidRPr="00FF1728">
        <w:rPr>
          <w:rFonts w:ascii="Palatino Linotype" w:hAnsi="Palatino Linotype"/>
          <w:i/>
          <w:sz w:val="22"/>
        </w:rPr>
        <w:t>Petit</w:t>
      </w:r>
      <w:proofErr w:type="spellEnd"/>
      <w:r w:rsidRPr="00FF1728">
        <w:rPr>
          <w:rFonts w:ascii="Palatino Linotype" w:hAnsi="Palatino Linotype"/>
          <w:i/>
          <w:sz w:val="22"/>
        </w:rPr>
        <w:t>. Secretaria: Mayra Susana Martínez López.</w:t>
      </w:r>
    </w:p>
    <w:p w:rsidR="00986FD8" w:rsidRPr="00701C3F" w:rsidRDefault="00986FD8" w:rsidP="00986FD8">
      <w:pPr>
        <w:pStyle w:val="Prrafodelista"/>
        <w:rPr>
          <w:rFonts w:ascii="Palatino Linotype" w:hAnsi="Palatino Linotype"/>
          <w:lang w:val="es-ES"/>
        </w:rPr>
      </w:pPr>
    </w:p>
    <w:p w:rsidR="00986FD8" w:rsidRPr="00701C3F" w:rsidRDefault="00986FD8" w:rsidP="00066ADF">
      <w:pPr>
        <w:pStyle w:val="Prrafodelista"/>
        <w:numPr>
          <w:ilvl w:val="0"/>
          <w:numId w:val="16"/>
        </w:numPr>
        <w:tabs>
          <w:tab w:val="left" w:pos="851"/>
        </w:tabs>
        <w:spacing w:line="360" w:lineRule="auto"/>
        <w:ind w:left="0" w:right="49" w:firstLine="0"/>
        <w:jc w:val="both"/>
        <w:rPr>
          <w:rFonts w:ascii="Palatino Linotype" w:hAnsi="Palatino Linotype"/>
          <w:lang w:val="es-ES"/>
        </w:rPr>
      </w:pPr>
      <w:r w:rsidRPr="00701C3F">
        <w:rPr>
          <w:rFonts w:ascii="Palatino Linotype" w:hAnsi="Palatino Linotype"/>
          <w:lang w:val="es-ES"/>
        </w:rPr>
        <w:t>Luego entonces, los particulares al no contar con un especialista que asesoré sobre las actuaciones que deberán efectuarse durante la sustanciación del procedimiento, pueden cometerse errores u omisiones por su parte, no obstante, dicho acto u omisión, no debe impedir que se le conceda el acceso a la información solicitada, siempre y cuando la solicitud aporte los elementos mínimos que coadyuven a identificar la información que se está requiriendo como lo es en el presente asunto en particular.</w:t>
      </w:r>
    </w:p>
    <w:p w:rsidR="00986FD8" w:rsidRPr="00701C3F" w:rsidRDefault="00986FD8" w:rsidP="00986FD8">
      <w:pPr>
        <w:pStyle w:val="Prrafodelista"/>
        <w:tabs>
          <w:tab w:val="left" w:pos="851"/>
        </w:tabs>
        <w:spacing w:line="360" w:lineRule="auto"/>
        <w:ind w:left="0" w:right="49"/>
        <w:jc w:val="both"/>
        <w:rPr>
          <w:rFonts w:ascii="Palatino Linotype" w:hAnsi="Palatino Linotype"/>
          <w:lang w:val="es-ES"/>
        </w:rPr>
      </w:pPr>
    </w:p>
    <w:p w:rsidR="00AD4FFB" w:rsidRPr="00701C3F" w:rsidRDefault="00986FD8" w:rsidP="00066ADF">
      <w:pPr>
        <w:pStyle w:val="Prrafodelista"/>
        <w:numPr>
          <w:ilvl w:val="0"/>
          <w:numId w:val="16"/>
        </w:numPr>
        <w:tabs>
          <w:tab w:val="left" w:pos="851"/>
        </w:tabs>
        <w:spacing w:before="240" w:after="240" w:line="360" w:lineRule="auto"/>
        <w:ind w:left="0" w:right="49" w:firstLine="0"/>
        <w:jc w:val="both"/>
        <w:rPr>
          <w:rFonts w:ascii="Palatino Linotype" w:hAnsi="Palatino Linotype" w:cs="Arial"/>
          <w:sz w:val="28"/>
          <w:lang w:val="es-ES"/>
        </w:rPr>
      </w:pPr>
      <w:r w:rsidRPr="00701C3F">
        <w:rPr>
          <w:rFonts w:ascii="Palatino Linotype" w:hAnsi="Palatino Linotype"/>
          <w:lang w:val="es-ES"/>
        </w:rPr>
        <w:t>Si bien, el particular al momento de interponer el recurso de revisión señaló</w:t>
      </w:r>
      <w:r w:rsidR="00AD4FFB" w:rsidRPr="00701C3F">
        <w:rPr>
          <w:rFonts w:ascii="Palatino Linotype" w:hAnsi="Palatino Linotype"/>
          <w:lang w:val="es-ES"/>
        </w:rPr>
        <w:t xml:space="preserve"> que requiere acceder al </w:t>
      </w:r>
      <w:r w:rsidR="00AD4FFB" w:rsidRPr="00701C3F">
        <w:rPr>
          <w:rFonts w:ascii="Palatino Linotype" w:hAnsi="Palatino Linotype" w:cs="Arial"/>
        </w:rPr>
        <w:t xml:space="preserve">registro de citas del día trece (13) de noviembre de 2018, </w:t>
      </w:r>
      <w:r w:rsidR="007F229E" w:rsidRPr="00701C3F">
        <w:rPr>
          <w:rFonts w:ascii="Palatino Linotype" w:hAnsi="Palatino Linotype" w:cs="Arial"/>
        </w:rPr>
        <w:t xml:space="preserve">a lo que el Sujeto Obligado se limitó a responder de manera literal la solicitud, sin tratar de realizar una interpretación a la misma para estar en posibilidad de otorgar al particular la información que requiere, es decir, contestó que no existe un registro de citas previas, sino que, se va atendiendo conforme van llegando. </w:t>
      </w:r>
    </w:p>
    <w:p w:rsidR="007F229E" w:rsidRPr="00701C3F" w:rsidRDefault="007F229E" w:rsidP="007F229E">
      <w:pPr>
        <w:pStyle w:val="Prrafodelista"/>
        <w:rPr>
          <w:rFonts w:ascii="Palatino Linotype" w:hAnsi="Palatino Linotype" w:cs="Arial"/>
          <w:sz w:val="28"/>
          <w:lang w:val="es-ES"/>
        </w:rPr>
      </w:pPr>
    </w:p>
    <w:p w:rsidR="007F229E" w:rsidRPr="00701C3F" w:rsidRDefault="007F229E" w:rsidP="00066ADF">
      <w:pPr>
        <w:pStyle w:val="Prrafodelista"/>
        <w:numPr>
          <w:ilvl w:val="0"/>
          <w:numId w:val="16"/>
        </w:numPr>
        <w:tabs>
          <w:tab w:val="left" w:pos="851"/>
        </w:tabs>
        <w:spacing w:line="360" w:lineRule="auto"/>
        <w:ind w:left="0" w:right="49" w:firstLine="0"/>
        <w:jc w:val="both"/>
        <w:rPr>
          <w:rFonts w:ascii="Palatino Linotype" w:hAnsi="Palatino Linotype"/>
          <w:lang w:val="es-ES"/>
        </w:rPr>
      </w:pPr>
      <w:r w:rsidRPr="00701C3F">
        <w:rPr>
          <w:rFonts w:ascii="Palatino Linotype" w:hAnsi="Palatino Linotype"/>
          <w:lang w:val="es-ES"/>
        </w:rPr>
        <w:t xml:space="preserve">Una vez vistas las actuaciones de las partes, este Órgano Garante, considera que el Sujeto Obligado se alejó de lo que son las buena prácticas y la correcta tutela del derecho de acceso a la información, causando de manera directa el derecho accionado por el particular, toda vez que estuvo dentro de sus posibilidades atender los requerimientos planteados. En consecuencia, conforme a los artículos </w:t>
      </w:r>
      <w:r w:rsidR="00986FD8" w:rsidRPr="00701C3F">
        <w:rPr>
          <w:rFonts w:ascii="Palatino Linotype" w:hAnsi="Palatino Linotype" w:cs="Arial"/>
        </w:rPr>
        <w:lastRenderedPageBreak/>
        <w:t>13</w:t>
      </w:r>
      <w:r w:rsidR="00986FD8" w:rsidRPr="00701C3F">
        <w:rPr>
          <w:rStyle w:val="Refdenotaalpie"/>
          <w:rFonts w:ascii="Palatino Linotype" w:hAnsi="Palatino Linotype" w:cs="Arial"/>
        </w:rPr>
        <w:footnoteReference w:id="10"/>
      </w:r>
      <w:r w:rsidR="00986FD8" w:rsidRPr="00701C3F">
        <w:rPr>
          <w:rFonts w:ascii="Palatino Linotype" w:hAnsi="Palatino Linotype" w:cs="Arial"/>
        </w:rPr>
        <w:t xml:space="preserve"> y 181</w:t>
      </w:r>
      <w:r w:rsidR="00986FD8" w:rsidRPr="00701C3F">
        <w:rPr>
          <w:rStyle w:val="Refdenotaalpie"/>
          <w:rFonts w:ascii="Palatino Linotype" w:hAnsi="Palatino Linotype" w:cs="Arial"/>
        </w:rPr>
        <w:footnoteReference w:id="11"/>
      </w:r>
      <w:r w:rsidR="00986FD8" w:rsidRPr="00701C3F">
        <w:rPr>
          <w:rFonts w:ascii="Palatino Linotype" w:hAnsi="Palatino Linotype" w:cs="Arial"/>
        </w:rPr>
        <w:t xml:space="preserve"> penúltimo párrafo, de la Ley de Transparencia y Acceso a la Información Pública del Estado de México y Municipios,</w:t>
      </w:r>
      <w:r w:rsidRPr="00701C3F">
        <w:rPr>
          <w:rFonts w:ascii="Palatino Linotype" w:hAnsi="Palatino Linotype" w:cs="Arial"/>
        </w:rPr>
        <w:t xml:space="preserve"> se procede a realizar una suplencia </w:t>
      </w:r>
      <w:r w:rsidRPr="00701C3F">
        <w:rPr>
          <w:rFonts w:ascii="Palatino Linotype" w:hAnsi="Palatino Linotype"/>
          <w:lang w:val="es-ES"/>
        </w:rPr>
        <w:t xml:space="preserve">de la deficiencia </w:t>
      </w:r>
      <w:r w:rsidR="00986FD8" w:rsidRPr="00701C3F">
        <w:rPr>
          <w:rFonts w:ascii="Palatino Linotype" w:hAnsi="Palatino Linotype"/>
          <w:lang w:val="es-ES"/>
        </w:rPr>
        <w:t>de la queja a favor del particular</w:t>
      </w:r>
      <w:r w:rsidRPr="00701C3F">
        <w:rPr>
          <w:rFonts w:ascii="Palatino Linotype" w:hAnsi="Palatino Linotype"/>
          <w:lang w:val="es-ES"/>
        </w:rPr>
        <w:t>.</w:t>
      </w:r>
    </w:p>
    <w:p w:rsidR="007F229E" w:rsidRPr="00701C3F" w:rsidRDefault="007F229E" w:rsidP="007F229E">
      <w:pPr>
        <w:pStyle w:val="Prrafodelista"/>
        <w:rPr>
          <w:rFonts w:ascii="Palatino Linotype" w:hAnsi="Palatino Linotype"/>
          <w:lang w:val="es-ES"/>
        </w:rPr>
      </w:pPr>
    </w:p>
    <w:p w:rsidR="007F229E" w:rsidRPr="00701C3F" w:rsidRDefault="007F229E" w:rsidP="00066ADF">
      <w:pPr>
        <w:pStyle w:val="Prrafodelista"/>
        <w:numPr>
          <w:ilvl w:val="0"/>
          <w:numId w:val="16"/>
        </w:numPr>
        <w:tabs>
          <w:tab w:val="left" w:pos="851"/>
        </w:tabs>
        <w:spacing w:line="360" w:lineRule="auto"/>
        <w:ind w:left="0" w:right="49" w:firstLine="0"/>
        <w:jc w:val="both"/>
        <w:rPr>
          <w:rFonts w:ascii="Palatino Linotype" w:hAnsi="Palatino Linotype"/>
          <w:sz w:val="22"/>
          <w:lang w:val="es-ES"/>
        </w:rPr>
      </w:pPr>
      <w:r w:rsidRPr="00701C3F">
        <w:rPr>
          <w:rFonts w:ascii="Palatino Linotype" w:hAnsi="Palatino Linotype"/>
          <w:lang w:val="es-ES"/>
        </w:rPr>
        <w:t xml:space="preserve">Si bien, en respuesta se refirió que no existe un registro de citas previas, mediante el informe justificado se mencionó </w:t>
      </w:r>
      <w:r w:rsidRPr="00701C3F">
        <w:rPr>
          <w:rFonts w:ascii="Palatino Linotype" w:hAnsi="Palatino Linotype"/>
          <w:i/>
          <w:sz w:val="22"/>
          <w:lang w:val="es-ES"/>
        </w:rPr>
        <w:t>“…ya que como se le hizo del conocimiento en la respuesta que para la atención de los usuarios en el Instituto no se programan citas, por lo que únicamente se atiende a las personas que acuden conforme al turno de su llegada a las oficinas de la Institución, registrándose su asistencia consecutivamente sin que medie una previa cita”</w:t>
      </w:r>
    </w:p>
    <w:p w:rsidR="007F229E" w:rsidRPr="00701C3F" w:rsidRDefault="007F229E" w:rsidP="007F229E">
      <w:pPr>
        <w:pStyle w:val="Prrafodelista"/>
        <w:rPr>
          <w:rFonts w:ascii="Palatino Linotype" w:hAnsi="Palatino Linotype"/>
          <w:lang w:val="es-ES"/>
        </w:rPr>
      </w:pPr>
    </w:p>
    <w:p w:rsidR="007F229E" w:rsidRPr="00701C3F" w:rsidRDefault="007F229E" w:rsidP="007F229E">
      <w:pPr>
        <w:tabs>
          <w:tab w:val="left" w:pos="851"/>
        </w:tabs>
        <w:spacing w:line="360" w:lineRule="auto"/>
        <w:ind w:right="49"/>
        <w:jc w:val="both"/>
        <w:rPr>
          <w:rFonts w:ascii="Palatino Linotype" w:hAnsi="Palatino Linotype"/>
          <w:lang w:val="es-ES"/>
        </w:rPr>
      </w:pPr>
    </w:p>
    <w:p w:rsidR="00B8419A" w:rsidRPr="00701C3F" w:rsidRDefault="007F229E" w:rsidP="00066ADF">
      <w:pPr>
        <w:pStyle w:val="Prrafodelista"/>
        <w:numPr>
          <w:ilvl w:val="0"/>
          <w:numId w:val="16"/>
        </w:numPr>
        <w:tabs>
          <w:tab w:val="left" w:pos="851"/>
        </w:tabs>
        <w:spacing w:line="360" w:lineRule="auto"/>
        <w:ind w:left="0" w:right="49" w:firstLine="0"/>
        <w:jc w:val="both"/>
        <w:rPr>
          <w:rFonts w:ascii="Palatino Linotype" w:hAnsi="Palatino Linotype"/>
          <w:lang w:val="es-ES"/>
        </w:rPr>
      </w:pPr>
      <w:r w:rsidRPr="00701C3F">
        <w:rPr>
          <w:rFonts w:ascii="Palatino Linotype" w:hAnsi="Palatino Linotype"/>
          <w:lang w:val="es-ES"/>
        </w:rPr>
        <w:t xml:space="preserve">Se deduce que el particular requiere conocer las asesorías que se dieron el día señalado en la solicitud, razón por la cual </w:t>
      </w:r>
      <w:r w:rsidRPr="00701C3F">
        <w:rPr>
          <w:rFonts w:ascii="Palatino Linotype" w:hAnsi="Palatino Linotype"/>
          <w:b/>
          <w:lang w:val="es-ES"/>
        </w:rPr>
        <w:t xml:space="preserve">solicitó el libro de registro en versión pública, </w:t>
      </w:r>
      <w:r w:rsidRPr="00701C3F">
        <w:rPr>
          <w:rFonts w:ascii="Palatino Linotype" w:hAnsi="Palatino Linotype"/>
          <w:lang w:val="es-ES"/>
        </w:rPr>
        <w:t xml:space="preserve">entendiéndose que no es su intención acceder a cualquier dato personal que en él pudiera obrar. Luego entonces, al haber asumido el propio Sujeto Obligado que los usuarios </w:t>
      </w:r>
      <w:r w:rsidRPr="00701C3F">
        <w:rPr>
          <w:rFonts w:ascii="Palatino Linotype" w:hAnsi="Palatino Linotype"/>
          <w:b/>
          <w:lang w:val="es-ES"/>
        </w:rPr>
        <w:t>registran</w:t>
      </w:r>
      <w:r w:rsidRPr="00701C3F">
        <w:rPr>
          <w:rFonts w:ascii="Palatino Linotype" w:hAnsi="Palatino Linotype"/>
          <w:lang w:val="es-ES"/>
        </w:rPr>
        <w:t xml:space="preserve"> su as</w:t>
      </w:r>
      <w:r w:rsidR="00B8419A" w:rsidRPr="00701C3F">
        <w:rPr>
          <w:rFonts w:ascii="Palatino Linotype" w:hAnsi="Palatino Linotype"/>
          <w:lang w:val="es-ES"/>
        </w:rPr>
        <w:t>istencia conforme van llegando. Se debe enfatizar que el derecho de acceso a la información se basa en entregar todo aquel soporte documental en posesión de los Sujetos Obligados, entendiéndose como documento lo siguiente:</w:t>
      </w:r>
    </w:p>
    <w:p w:rsidR="00B8419A" w:rsidRPr="00701C3F" w:rsidRDefault="00B8419A" w:rsidP="00B8419A">
      <w:pPr>
        <w:pStyle w:val="Prrafodelista"/>
        <w:tabs>
          <w:tab w:val="left" w:pos="851"/>
        </w:tabs>
        <w:spacing w:line="360" w:lineRule="auto"/>
        <w:ind w:left="0" w:right="49"/>
        <w:jc w:val="both"/>
        <w:rPr>
          <w:rFonts w:ascii="Palatino Linotype" w:hAnsi="Palatino Linotype"/>
          <w:lang w:val="es-ES"/>
        </w:rPr>
      </w:pPr>
    </w:p>
    <w:p w:rsidR="00B8419A" w:rsidRPr="00701C3F" w:rsidRDefault="00B8419A" w:rsidP="00B8419A">
      <w:pPr>
        <w:autoSpaceDE w:val="0"/>
        <w:autoSpaceDN w:val="0"/>
        <w:adjustRightInd w:val="0"/>
        <w:spacing w:line="360" w:lineRule="auto"/>
        <w:ind w:left="567" w:right="567"/>
        <w:jc w:val="both"/>
        <w:rPr>
          <w:rFonts w:ascii="Palatino Linotype" w:hAnsi="Palatino Linotype"/>
          <w:i/>
          <w:sz w:val="28"/>
          <w:lang w:val="es-ES"/>
        </w:rPr>
      </w:pPr>
      <w:r w:rsidRPr="00701C3F">
        <w:rPr>
          <w:rFonts w:ascii="Palatino Linotype" w:eastAsiaTheme="minorHAnsi" w:hAnsi="Palatino Linotype" w:cs="Bookman Old Style,Bold"/>
          <w:b/>
          <w:bCs/>
          <w:i/>
          <w:sz w:val="22"/>
          <w:szCs w:val="20"/>
          <w:lang w:val="es-MX" w:eastAsia="en-US"/>
        </w:rPr>
        <w:lastRenderedPageBreak/>
        <w:t xml:space="preserve">XI. Documento: </w:t>
      </w:r>
      <w:r w:rsidRPr="00701C3F">
        <w:rPr>
          <w:rFonts w:ascii="Palatino Linotype" w:eastAsiaTheme="minorHAnsi" w:hAnsi="Palatino Linotype" w:cs="Bookman Old Style"/>
          <w:i/>
          <w:sz w:val="22"/>
          <w:szCs w:val="20"/>
          <w:lang w:val="es-MX" w:eastAsia="en-US"/>
        </w:rPr>
        <w:t xml:space="preserve">Los expedientes, reportes, estudios, actas, resoluciones, oficios, correspondencia, acuerdos, directivas, directrices, circulares, contratos, convenios, instructivos, notas, memorandos, estadísticas o bien, </w:t>
      </w:r>
      <w:r w:rsidRPr="00701C3F">
        <w:rPr>
          <w:rFonts w:ascii="Palatino Linotype" w:eastAsiaTheme="minorHAnsi" w:hAnsi="Palatino Linotype" w:cs="Bookman Old Style"/>
          <w:b/>
          <w:i/>
          <w:sz w:val="22"/>
          <w:szCs w:val="20"/>
          <w:lang w:val="es-MX" w:eastAsia="en-US"/>
        </w:rPr>
        <w:t>cualquier otro registro</w:t>
      </w:r>
      <w:r w:rsidRPr="00701C3F">
        <w:rPr>
          <w:rFonts w:ascii="Palatino Linotype" w:eastAsiaTheme="minorHAnsi" w:hAnsi="Palatino Linotype" w:cs="Bookman Old Style"/>
          <w:i/>
          <w:sz w:val="22"/>
          <w:szCs w:val="20"/>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B8419A" w:rsidRPr="00701C3F" w:rsidRDefault="00B8419A" w:rsidP="00B8419A">
      <w:pPr>
        <w:pStyle w:val="Prrafodelista"/>
        <w:tabs>
          <w:tab w:val="left" w:pos="851"/>
        </w:tabs>
        <w:spacing w:line="360" w:lineRule="auto"/>
        <w:ind w:left="0" w:right="49"/>
        <w:jc w:val="both"/>
        <w:rPr>
          <w:rFonts w:ascii="Palatino Linotype" w:hAnsi="Palatino Linotype"/>
          <w:lang w:val="es-ES"/>
        </w:rPr>
      </w:pPr>
    </w:p>
    <w:p w:rsidR="00913CDF" w:rsidRPr="00701C3F" w:rsidRDefault="00913CDF" w:rsidP="00066ADF">
      <w:pPr>
        <w:pStyle w:val="Prrafodelista"/>
        <w:numPr>
          <w:ilvl w:val="0"/>
          <w:numId w:val="16"/>
        </w:numPr>
        <w:tabs>
          <w:tab w:val="left" w:pos="851"/>
        </w:tabs>
        <w:spacing w:line="360" w:lineRule="auto"/>
        <w:ind w:left="0" w:right="49" w:firstLine="0"/>
        <w:jc w:val="both"/>
        <w:rPr>
          <w:rFonts w:ascii="Palatino Linotype" w:hAnsi="Palatino Linotype"/>
          <w:lang w:val="es-ES"/>
        </w:rPr>
      </w:pPr>
      <w:r w:rsidRPr="00701C3F">
        <w:rPr>
          <w:rFonts w:ascii="Palatino Linotype" w:hAnsi="Palatino Linotype"/>
          <w:lang w:val="es-ES"/>
        </w:rPr>
        <w:t>Con base en lo anterior, este Órgano Garante determina ORDENA</w:t>
      </w:r>
      <w:r w:rsidR="00CF239F" w:rsidRPr="00701C3F">
        <w:rPr>
          <w:rFonts w:ascii="Palatino Linotype" w:hAnsi="Palatino Linotype"/>
          <w:lang w:val="es-ES"/>
        </w:rPr>
        <w:t>R</w:t>
      </w:r>
      <w:r w:rsidRPr="00701C3F">
        <w:rPr>
          <w:rFonts w:ascii="Palatino Linotype" w:hAnsi="Palatino Linotype"/>
          <w:lang w:val="es-ES"/>
        </w:rPr>
        <w:t xml:space="preserve"> entregar </w:t>
      </w:r>
      <w:r w:rsidRPr="00701C3F">
        <w:rPr>
          <w:rFonts w:ascii="Palatino Linotype" w:hAnsi="Palatino Linotype" w:cs="Arial"/>
        </w:rPr>
        <w:t xml:space="preserve">el registro de asistencia para asesoría gratuita del día trece (13) de noviembre de 2018 del Instituto de la Defensoría Pública con sede en Ecatepec de Morelos, de ser el caso de que la información solicitada contenga datos personales, el Sujeto Obligado deberá estar a lo dispuesto en el considerando </w:t>
      </w:r>
      <w:r w:rsidR="00CF239F" w:rsidRPr="00701C3F">
        <w:rPr>
          <w:rFonts w:ascii="Palatino Linotype" w:hAnsi="Palatino Linotype" w:cs="Arial"/>
        </w:rPr>
        <w:t>QUINTO</w:t>
      </w:r>
      <w:r w:rsidRPr="00701C3F">
        <w:rPr>
          <w:rFonts w:ascii="Palatino Linotype" w:hAnsi="Palatino Linotype" w:cs="Arial"/>
        </w:rPr>
        <w:t>.</w:t>
      </w:r>
    </w:p>
    <w:p w:rsidR="00913CDF" w:rsidRPr="00701C3F" w:rsidRDefault="00913CDF" w:rsidP="00913CDF">
      <w:pPr>
        <w:pStyle w:val="Prrafodelista"/>
        <w:tabs>
          <w:tab w:val="left" w:pos="851"/>
        </w:tabs>
        <w:spacing w:line="360" w:lineRule="auto"/>
        <w:ind w:left="0" w:right="49"/>
        <w:jc w:val="both"/>
        <w:rPr>
          <w:rFonts w:ascii="Palatino Linotype" w:hAnsi="Palatino Linotype"/>
          <w:lang w:val="es-ES"/>
        </w:rPr>
      </w:pPr>
    </w:p>
    <w:bookmarkEnd w:id="15"/>
    <w:bookmarkEnd w:id="16"/>
    <w:p w:rsidR="004819DA" w:rsidRPr="00701C3F" w:rsidRDefault="00EF5803" w:rsidP="00913CDF">
      <w:pPr>
        <w:pStyle w:val="Ttulo2"/>
        <w:numPr>
          <w:ilvl w:val="0"/>
          <w:numId w:val="10"/>
        </w:numPr>
        <w:rPr>
          <w:rFonts w:ascii="Palatino Linotype" w:eastAsia="Calibri" w:hAnsi="Palatino Linotype"/>
          <w:b/>
          <w:color w:val="auto"/>
          <w:sz w:val="24"/>
        </w:rPr>
      </w:pPr>
      <w:r w:rsidRPr="00701C3F">
        <w:rPr>
          <w:rFonts w:ascii="Palatino Linotype" w:eastAsia="Calibri" w:hAnsi="Palatino Linotype"/>
          <w:b/>
          <w:color w:val="auto"/>
          <w:sz w:val="24"/>
        </w:rPr>
        <w:t>Modalidad de entrega de la información</w:t>
      </w:r>
      <w:r w:rsidR="00913CDF" w:rsidRPr="00701C3F">
        <w:rPr>
          <w:rFonts w:ascii="Palatino Linotype" w:eastAsia="Calibri" w:hAnsi="Palatino Linotype"/>
          <w:b/>
          <w:color w:val="auto"/>
          <w:sz w:val="24"/>
        </w:rPr>
        <w:t>.</w:t>
      </w:r>
    </w:p>
    <w:p w:rsidR="00091266" w:rsidRPr="00701C3F" w:rsidRDefault="00091266" w:rsidP="00066ADF">
      <w:pPr>
        <w:pStyle w:val="Prrafodelista"/>
        <w:numPr>
          <w:ilvl w:val="0"/>
          <w:numId w:val="16"/>
        </w:numPr>
        <w:spacing w:before="240" w:after="240" w:line="360" w:lineRule="auto"/>
        <w:ind w:left="0" w:firstLine="0"/>
        <w:jc w:val="both"/>
        <w:rPr>
          <w:rFonts w:ascii="Palatino Linotype" w:hAnsi="Palatino Linotype" w:cs="Arial"/>
        </w:rPr>
      </w:pPr>
      <w:r w:rsidRPr="00701C3F">
        <w:rPr>
          <w:rFonts w:ascii="Palatino Linotype" w:hAnsi="Palatino Linotype" w:cs="Arial"/>
        </w:rPr>
        <w:t xml:space="preserve">Ahora </w:t>
      </w:r>
      <w:r w:rsidR="00EF5803" w:rsidRPr="00701C3F">
        <w:rPr>
          <w:rFonts w:ascii="Palatino Linotype" w:hAnsi="Palatino Linotype" w:cs="Arial"/>
        </w:rPr>
        <w:t>bien,</w:t>
      </w:r>
      <w:r w:rsidR="00BC6440" w:rsidRPr="00701C3F">
        <w:rPr>
          <w:rFonts w:ascii="Palatino Linotype" w:hAnsi="Palatino Linotype" w:cs="Arial"/>
        </w:rPr>
        <w:t xml:space="preserve"> el derecho de acceso a la información </w:t>
      </w:r>
      <w:r w:rsidR="00EF5803" w:rsidRPr="00701C3F">
        <w:rPr>
          <w:rFonts w:ascii="Palatino Linotype" w:hAnsi="Palatino Linotype" w:cs="Arial"/>
        </w:rPr>
        <w:t>contempla</w:t>
      </w:r>
      <w:r w:rsidR="00BC6440" w:rsidRPr="00701C3F">
        <w:rPr>
          <w:rFonts w:ascii="Palatino Linotype" w:hAnsi="Palatino Linotype" w:cs="Arial"/>
        </w:rPr>
        <w:t xml:space="preserve"> dos garantías que protegen su ejercicio, siendo las siguientes:</w:t>
      </w:r>
    </w:p>
    <w:p w:rsidR="00BC6440" w:rsidRPr="00701C3F" w:rsidRDefault="00BC6440" w:rsidP="00BC6440">
      <w:pPr>
        <w:keepNext/>
        <w:keepLines/>
        <w:numPr>
          <w:ilvl w:val="0"/>
          <w:numId w:val="13"/>
        </w:numPr>
        <w:spacing w:before="40" w:line="360" w:lineRule="auto"/>
        <w:ind w:left="0" w:firstLine="0"/>
        <w:outlineLvl w:val="1"/>
        <w:rPr>
          <w:rFonts w:ascii="Palatino Linotype" w:eastAsiaTheme="majorEastAsia" w:hAnsi="Palatino Linotype" w:cs="Arial"/>
          <w:b/>
          <w:iCs/>
          <w:color w:val="000000" w:themeColor="text1"/>
        </w:rPr>
      </w:pPr>
      <w:bookmarkStart w:id="19" w:name="_Toc535857754"/>
      <w:r w:rsidRPr="00701C3F">
        <w:rPr>
          <w:rFonts w:ascii="Palatino Linotype" w:eastAsiaTheme="majorEastAsia" w:hAnsi="Palatino Linotype" w:cs="Arial"/>
          <w:b/>
          <w:iCs/>
          <w:color w:val="000000" w:themeColor="text1"/>
        </w:rPr>
        <w:t>Las garantías primarias del derecho de acceso a la información pública.</w:t>
      </w:r>
      <w:bookmarkEnd w:id="19"/>
    </w:p>
    <w:p w:rsidR="00BC6440" w:rsidRPr="00701C3F" w:rsidRDefault="00BC6440" w:rsidP="00066ADF">
      <w:pPr>
        <w:pStyle w:val="Prrafodelista"/>
        <w:numPr>
          <w:ilvl w:val="0"/>
          <w:numId w:val="16"/>
        </w:numPr>
        <w:spacing w:before="240" w:line="360" w:lineRule="auto"/>
        <w:ind w:left="0" w:firstLine="0"/>
        <w:jc w:val="both"/>
        <w:rPr>
          <w:rFonts w:ascii="Palatino Linotype" w:hAnsi="Palatino Linotype" w:cs="Arial"/>
          <w:i/>
          <w:color w:val="000000" w:themeColor="text1"/>
        </w:rPr>
      </w:pPr>
      <w:r w:rsidRPr="00701C3F">
        <w:rPr>
          <w:rFonts w:ascii="Palatino Linotype" w:hAnsi="Palatino Linotype" w:cs="Arial"/>
          <w:color w:val="000000" w:themeColor="text1"/>
        </w:rPr>
        <w:t xml:space="preserve">Como lo establece la doctrina y lo señala nuestro texto fundamental, para que esos derechos no sean sólo proclamas políticas sino realmente efectivos se requiere de la existencia de garantías constitucionales que permitan su ejercicio o protección, las que pueden ser de carácter primario cuando consisten en </w:t>
      </w:r>
      <w:r w:rsidRPr="00701C3F">
        <w:rPr>
          <w:rFonts w:ascii="Palatino Linotype" w:hAnsi="Palatino Linotype" w:cs="Arial"/>
          <w:i/>
          <w:color w:val="000000" w:themeColor="text1"/>
        </w:rPr>
        <w:t>las</w:t>
      </w:r>
      <w:r w:rsidRPr="00701C3F">
        <w:rPr>
          <w:rFonts w:ascii="Palatino Linotype" w:hAnsi="Palatino Linotype" w:cs="Arial"/>
          <w:color w:val="000000" w:themeColor="text1"/>
        </w:rPr>
        <w:t xml:space="preserve"> </w:t>
      </w:r>
      <w:r w:rsidRPr="00701C3F">
        <w:rPr>
          <w:rFonts w:ascii="Palatino Linotype" w:hAnsi="Palatino Linotype" w:cs="Arial"/>
          <w:i/>
          <w:color w:val="000000" w:themeColor="text1"/>
        </w:rPr>
        <w:t xml:space="preserve">obligaciones o </w:t>
      </w:r>
      <w:r w:rsidRPr="00701C3F">
        <w:rPr>
          <w:rFonts w:ascii="Palatino Linotype" w:hAnsi="Palatino Linotype" w:cs="Arial"/>
          <w:i/>
          <w:color w:val="000000" w:themeColor="text1"/>
        </w:rPr>
        <w:lastRenderedPageBreak/>
        <w:t>prohibiciones inmediatamente correlativas a los derechos establecidos en las constituciones</w:t>
      </w:r>
      <w:r w:rsidRPr="00701C3F">
        <w:rPr>
          <w:i/>
          <w:vertAlign w:val="superscript"/>
        </w:rPr>
        <w:footnoteReference w:id="12"/>
      </w:r>
      <w:r w:rsidRPr="00701C3F">
        <w:rPr>
          <w:rFonts w:ascii="Palatino Linotype" w:hAnsi="Palatino Linotype" w:cs="Arial"/>
          <w:color w:val="000000" w:themeColor="text1"/>
        </w:rPr>
        <w:t xml:space="preserve"> o bien </w:t>
      </w:r>
      <w:r w:rsidRPr="00701C3F">
        <w:rPr>
          <w:rFonts w:ascii="Palatino Linotype" w:hAnsi="Palatino Linotype" w:cs="Arial"/>
          <w:i/>
          <w:color w:val="000000" w:themeColor="text1"/>
        </w:rPr>
        <w:t>como la suma de las garantías positivas y de las garantías negativas,</w:t>
      </w:r>
      <w:r w:rsidRPr="00701C3F">
        <w:rPr>
          <w:i/>
          <w:vertAlign w:val="superscript"/>
        </w:rPr>
        <w:footnoteReference w:id="13"/>
      </w:r>
      <w:r w:rsidRPr="00701C3F">
        <w:rPr>
          <w:rFonts w:ascii="Palatino Linotype" w:hAnsi="Palatino Linotype" w:cs="Arial"/>
          <w:color w:val="000000" w:themeColor="text1"/>
        </w:rPr>
        <w:t xml:space="preserve"> lo que en materia de acceso a la información pública se aprecia en dos obligaciones impuestas al poder público consistentes en difundir, de oficio, un conjunto de información común para todos los Sujetos Obligados y específica de acuerdo con las funciones de cada uno de ellos; en segundo término, lo que el legislador ordinario en el estado de México estableció textualmente en el artículo 150 de la reciente ley de la materia al señalar que </w:t>
      </w:r>
      <w:r w:rsidRPr="00701C3F">
        <w:rPr>
          <w:rFonts w:ascii="Palatino Linotype" w:hAnsi="Palatino Linotype" w:cs="Arial"/>
          <w:i/>
          <w:color w:val="000000" w:themeColor="text1"/>
        </w:rPr>
        <w:t xml:space="preserve">el procedimiento de acceso a la información pública es la garantía del derecho en cuestión. </w:t>
      </w:r>
    </w:p>
    <w:p w:rsidR="00BC6440" w:rsidRPr="00701C3F" w:rsidRDefault="00BC6440" w:rsidP="00BC6440">
      <w:pPr>
        <w:spacing w:before="240" w:line="360" w:lineRule="auto"/>
        <w:contextualSpacing/>
        <w:jc w:val="both"/>
        <w:rPr>
          <w:rFonts w:ascii="Palatino Linotype" w:hAnsi="Palatino Linotype" w:cs="Arial"/>
          <w:i/>
          <w:color w:val="000000" w:themeColor="text1"/>
        </w:rPr>
      </w:pPr>
    </w:p>
    <w:p w:rsidR="00BC6440" w:rsidRPr="00701C3F" w:rsidRDefault="00BC6440" w:rsidP="00066ADF">
      <w:pPr>
        <w:numPr>
          <w:ilvl w:val="0"/>
          <w:numId w:val="16"/>
        </w:numPr>
        <w:spacing w:line="360" w:lineRule="auto"/>
        <w:ind w:left="0" w:firstLine="0"/>
        <w:contextualSpacing/>
        <w:jc w:val="both"/>
        <w:rPr>
          <w:rFonts w:ascii="Palatino Linotype" w:hAnsi="Palatino Linotype" w:cs="Arial"/>
          <w:color w:val="000000" w:themeColor="text1"/>
        </w:rPr>
      </w:pPr>
      <w:r w:rsidRPr="00701C3F">
        <w:rPr>
          <w:rFonts w:ascii="Palatino Linotype" w:hAnsi="Palatino Linotype" w:cs="Arial"/>
          <w:color w:val="000000" w:themeColor="text1"/>
        </w:rPr>
        <w:t xml:space="preserve"> Por lo tanto, cuando el particular, presentó la solicitud de acceso a la información pública ante el Sujeto Obligado, ejerció el derecho en cuestión a través de su garantía primaria depositada en la autoridad quien, por mandato categórico del tercer párrafo del artículo primero de la Constitución Federal</w:t>
      </w:r>
      <w:r w:rsidRPr="00701C3F">
        <w:rPr>
          <w:rFonts w:ascii="Palatino Linotype" w:eastAsia="Calibri" w:hAnsi="Palatino Linotype" w:cs="Arial"/>
          <w:color w:val="000000" w:themeColor="text1"/>
          <w:lang w:val="es-ES"/>
        </w:rPr>
        <w:t xml:space="preserve">, se encuentra obligado, como todas las demás autoridades, en el ámbito de su competencia, a </w:t>
      </w:r>
      <w:r w:rsidRPr="00701C3F">
        <w:rPr>
          <w:rFonts w:ascii="Palatino Linotype" w:eastAsia="Calibri" w:hAnsi="Palatino Linotype" w:cs="Arial"/>
          <w:b/>
          <w:color w:val="000000" w:themeColor="text1"/>
          <w:lang w:val="es-ES"/>
        </w:rPr>
        <w:t>“promover, respetar, proteger y garantizar los derechos humanos</w:t>
      </w:r>
      <w:r w:rsidRPr="00701C3F">
        <w:rPr>
          <w:rFonts w:ascii="Palatino Linotype" w:eastAsia="Calibri" w:hAnsi="Palatino Linotype" w:cs="Arial"/>
          <w:color w:val="000000" w:themeColor="text1"/>
          <w:lang w:val="es-ES"/>
        </w:rPr>
        <w:t>”, entre los cuales se encuentra el de acceso a la información.</w:t>
      </w:r>
    </w:p>
    <w:p w:rsidR="00BC6440" w:rsidRPr="00701C3F" w:rsidRDefault="00BC6440" w:rsidP="00BC6440">
      <w:pPr>
        <w:spacing w:line="360" w:lineRule="auto"/>
        <w:contextualSpacing/>
        <w:rPr>
          <w:rFonts w:ascii="Palatino Linotype" w:hAnsi="Palatino Linotype" w:cs="Arial"/>
          <w:color w:val="000000" w:themeColor="text1"/>
        </w:rPr>
      </w:pPr>
    </w:p>
    <w:p w:rsidR="000C4F64" w:rsidRPr="00701C3F" w:rsidRDefault="00BC6440" w:rsidP="00066ADF">
      <w:pPr>
        <w:numPr>
          <w:ilvl w:val="0"/>
          <w:numId w:val="16"/>
        </w:numPr>
        <w:spacing w:line="360" w:lineRule="auto"/>
        <w:ind w:left="0" w:firstLine="0"/>
        <w:contextualSpacing/>
        <w:jc w:val="both"/>
        <w:rPr>
          <w:rFonts w:ascii="Palatino Linotype" w:hAnsi="Palatino Linotype" w:cs="Arial"/>
          <w:color w:val="000000" w:themeColor="text1"/>
        </w:rPr>
      </w:pPr>
      <w:r w:rsidRPr="00701C3F">
        <w:rPr>
          <w:rFonts w:ascii="Palatino Linotype" w:hAnsi="Palatino Linotype" w:cs="Arial"/>
          <w:color w:val="000000" w:themeColor="text1"/>
        </w:rPr>
        <w:t xml:space="preserve">La garantía primaria, en la que se constituye la solicitud de acceso a la información pública, impone a la autoridad la obligación de atender la solicitud en los términos requeridos, obviamente, como el resto de los derechos, ninguno es </w:t>
      </w:r>
      <w:r w:rsidRPr="00701C3F">
        <w:rPr>
          <w:rFonts w:ascii="Palatino Linotype" w:hAnsi="Palatino Linotype" w:cs="Arial"/>
          <w:color w:val="000000" w:themeColor="text1"/>
        </w:rPr>
        <w:lastRenderedPageBreak/>
        <w:t xml:space="preserve">absoluto y es posible limitarlos y restringirlos, siguiendo el procedimiento que para tal efecto se encuentra establecido, sin embargo, en el caso que se resuelve, </w:t>
      </w:r>
      <w:r w:rsidRPr="00701C3F">
        <w:rPr>
          <w:rFonts w:ascii="Palatino Linotype" w:hAnsi="Palatino Linotype" w:cs="Arial"/>
          <w:b/>
          <w:color w:val="000000" w:themeColor="text1"/>
        </w:rPr>
        <w:t>el recurrente</w:t>
      </w:r>
      <w:r w:rsidRPr="00701C3F">
        <w:rPr>
          <w:rFonts w:ascii="Palatino Linotype" w:hAnsi="Palatino Linotype" w:cs="Arial"/>
          <w:color w:val="000000" w:themeColor="text1"/>
        </w:rPr>
        <w:t xml:space="preserve"> señaló que requiere la información a través del </w:t>
      </w:r>
      <w:r w:rsidRPr="00701C3F">
        <w:rPr>
          <w:rFonts w:ascii="Palatino Linotype" w:hAnsi="Palatino Linotype" w:cs="Arial"/>
          <w:b/>
          <w:color w:val="000000" w:themeColor="text1"/>
        </w:rPr>
        <w:t>Sistema de Acceso a la Información Mexiquense (SAIMEX) y en copias certificadas (sin costo)</w:t>
      </w:r>
      <w:r w:rsidRPr="00701C3F">
        <w:rPr>
          <w:rFonts w:ascii="Palatino Linotype" w:hAnsi="Palatino Linotype" w:cs="Arial"/>
          <w:color w:val="000000" w:themeColor="text1"/>
        </w:rPr>
        <w:t xml:space="preserve"> </w:t>
      </w:r>
      <w:r w:rsidR="000C4F64" w:rsidRPr="00701C3F">
        <w:rPr>
          <w:rFonts w:ascii="Palatino Linotype" w:hAnsi="Palatino Linotype" w:cs="Arial"/>
          <w:color w:val="000000" w:themeColor="text1"/>
        </w:rPr>
        <w:t>debemos mencionar que la expedición de copias certificadas aún y cuando el particular haya referido que las requiere sin costo, est</w:t>
      </w:r>
      <w:r w:rsidR="009450C3" w:rsidRPr="00701C3F">
        <w:rPr>
          <w:rFonts w:ascii="Palatino Linotype" w:hAnsi="Palatino Linotype" w:cs="Arial"/>
          <w:color w:val="000000" w:themeColor="text1"/>
        </w:rPr>
        <w:t xml:space="preserve">ás si generan costo, mismo </w:t>
      </w:r>
      <w:r w:rsidR="000C4F64" w:rsidRPr="00701C3F">
        <w:rPr>
          <w:rFonts w:ascii="Palatino Linotype" w:hAnsi="Palatino Linotype" w:cs="Arial"/>
          <w:color w:val="000000" w:themeColor="text1"/>
        </w:rPr>
        <w:t xml:space="preserve">que debe ser </w:t>
      </w:r>
      <w:r w:rsidR="009450C3" w:rsidRPr="00701C3F">
        <w:rPr>
          <w:rFonts w:ascii="Palatino Linotype" w:hAnsi="Palatino Linotype" w:cs="Arial"/>
          <w:color w:val="000000" w:themeColor="text1"/>
        </w:rPr>
        <w:t>cubierto por el recurrente</w:t>
      </w:r>
      <w:r w:rsidR="000C4F64" w:rsidRPr="00701C3F">
        <w:rPr>
          <w:rFonts w:ascii="Palatino Linotype" w:hAnsi="Palatino Linotype" w:cs="Arial"/>
          <w:color w:val="000000" w:themeColor="text1"/>
        </w:rPr>
        <w:t xml:space="preserve">, tal como lo señala </w:t>
      </w:r>
      <w:r w:rsidRPr="00701C3F">
        <w:rPr>
          <w:rFonts w:ascii="Palatino Linotype" w:hAnsi="Palatino Linotype" w:cs="Arial"/>
          <w:color w:val="000000" w:themeColor="text1"/>
        </w:rPr>
        <w:t>el artículo 155 fracción V de la Ley de Transparencia y Acceso a la Información Pública del Estado de México y Municipios, y en estricto sentido, la persona que desea acceder a la información, al elegir una modalidad de entrega que genere un costo como se advierte en el presente caso, deberá cubrir el mismo, para que le sea entreg</w:t>
      </w:r>
      <w:r w:rsidR="000C4F64" w:rsidRPr="00701C3F">
        <w:rPr>
          <w:rFonts w:ascii="Palatino Linotype" w:hAnsi="Palatino Linotype" w:cs="Arial"/>
          <w:color w:val="000000" w:themeColor="text1"/>
        </w:rPr>
        <w:t>ada la información que requiere.</w:t>
      </w:r>
    </w:p>
    <w:p w:rsidR="00CF239F" w:rsidRPr="00701C3F" w:rsidRDefault="00CF239F" w:rsidP="00CF239F">
      <w:pPr>
        <w:spacing w:line="360" w:lineRule="auto"/>
        <w:contextualSpacing/>
        <w:jc w:val="both"/>
        <w:rPr>
          <w:rFonts w:ascii="Palatino Linotype" w:hAnsi="Palatino Linotype" w:cs="Arial"/>
          <w:color w:val="000000" w:themeColor="text1"/>
        </w:rPr>
      </w:pPr>
    </w:p>
    <w:p w:rsidR="00BC6440" w:rsidRPr="00701C3F" w:rsidRDefault="000C4F64" w:rsidP="00066ADF">
      <w:pPr>
        <w:numPr>
          <w:ilvl w:val="0"/>
          <w:numId w:val="16"/>
        </w:numPr>
        <w:spacing w:line="360" w:lineRule="auto"/>
        <w:ind w:left="0" w:firstLine="0"/>
        <w:contextualSpacing/>
        <w:jc w:val="both"/>
        <w:rPr>
          <w:rFonts w:ascii="Palatino Linotype" w:hAnsi="Palatino Linotype" w:cs="Arial"/>
          <w:color w:val="000000" w:themeColor="text1"/>
        </w:rPr>
      </w:pPr>
      <w:r w:rsidRPr="00701C3F">
        <w:rPr>
          <w:rFonts w:ascii="Palatino Linotype" w:hAnsi="Palatino Linotype" w:cs="Arial"/>
          <w:color w:val="000000" w:themeColor="text1"/>
        </w:rPr>
        <w:t>No obstante, tal y como se demostró en líneas anteriores, el</w:t>
      </w:r>
      <w:r w:rsidR="00BC6440" w:rsidRPr="00701C3F">
        <w:rPr>
          <w:rFonts w:ascii="Palatino Linotype" w:hAnsi="Palatino Linotype" w:cs="Arial"/>
          <w:color w:val="000000" w:themeColor="text1"/>
        </w:rPr>
        <w:t xml:space="preserve"> </w:t>
      </w:r>
      <w:r w:rsidR="00BC6440" w:rsidRPr="00701C3F">
        <w:rPr>
          <w:rFonts w:ascii="Palatino Linotype" w:hAnsi="Palatino Linotype" w:cs="Arial"/>
          <w:b/>
          <w:color w:val="000000" w:themeColor="text1"/>
        </w:rPr>
        <w:t>Sujeto Obligado</w:t>
      </w:r>
      <w:r w:rsidRPr="00701C3F">
        <w:rPr>
          <w:rFonts w:ascii="Palatino Linotype" w:hAnsi="Palatino Linotype" w:cs="Arial"/>
          <w:color w:val="000000" w:themeColor="text1"/>
        </w:rPr>
        <w:t xml:space="preserve"> no realizó el mínimo esfuerzo por dar una interpretación a la solicitud y poder entregar la información que requiere el particular, aún y sabiendo que cabe la posibilidad de que los particulares no sean expertos en la materia y desconozcan los términos correctos para referirse a los documentos a los que desean tener acceso. </w:t>
      </w:r>
      <w:r w:rsidR="00BC6440" w:rsidRPr="00701C3F">
        <w:rPr>
          <w:rFonts w:ascii="Palatino Linotype" w:hAnsi="Palatino Linotype" w:cs="Arial"/>
          <w:color w:val="000000" w:themeColor="text1"/>
        </w:rPr>
        <w:t>provocando una afectación a este derecho, entonces al demostrar que el documento efectivamente existe y se encuentra en su posesión, para reparar la afectación provocada es responsable de cubrir los costos de reproducción y envío.</w:t>
      </w:r>
    </w:p>
    <w:p w:rsidR="00BC6440" w:rsidRPr="00701C3F" w:rsidRDefault="00BC6440" w:rsidP="00BC6440">
      <w:pPr>
        <w:pStyle w:val="Prrafodelista"/>
        <w:spacing w:line="360" w:lineRule="auto"/>
        <w:ind w:left="0"/>
        <w:rPr>
          <w:rFonts w:ascii="Palatino Linotype" w:hAnsi="Palatino Linotype" w:cs="Arial"/>
          <w:color w:val="000000" w:themeColor="text1"/>
        </w:rPr>
      </w:pPr>
    </w:p>
    <w:p w:rsidR="00BC6440" w:rsidRPr="00701C3F" w:rsidRDefault="00BC6440" w:rsidP="00066ADF">
      <w:pPr>
        <w:numPr>
          <w:ilvl w:val="0"/>
          <w:numId w:val="16"/>
        </w:numPr>
        <w:spacing w:line="360" w:lineRule="auto"/>
        <w:ind w:left="0" w:firstLine="0"/>
        <w:contextualSpacing/>
        <w:jc w:val="both"/>
        <w:rPr>
          <w:rFonts w:ascii="Palatino Linotype" w:hAnsi="Palatino Linotype" w:cs="Arial"/>
          <w:color w:val="000000" w:themeColor="text1"/>
        </w:rPr>
      </w:pPr>
      <w:r w:rsidRPr="00701C3F">
        <w:rPr>
          <w:rFonts w:ascii="Palatino Linotype" w:hAnsi="Palatino Linotype"/>
        </w:rPr>
        <w:t xml:space="preserve">En los casos que los particulares soliciten la información en un medio que genere algún costo, para tener acceso a dicha información deberán cubrir </w:t>
      </w:r>
      <w:r w:rsidRPr="00701C3F">
        <w:rPr>
          <w:rFonts w:ascii="Palatino Linotype" w:hAnsi="Palatino Linotype"/>
        </w:rPr>
        <w:lastRenderedPageBreak/>
        <w:t>previamente el monto establecido por la normatividad aplicable; siempre y cuando el Sujeto Obligado en cumplimiento de sus obligaciones respete, promueva y garantice el derecho de acceso a la información, lo que desafortunadamente en el presente caso no sucedió.</w:t>
      </w:r>
    </w:p>
    <w:p w:rsidR="00BC6440" w:rsidRPr="00701C3F" w:rsidRDefault="00BC6440" w:rsidP="00BC6440">
      <w:pPr>
        <w:keepNext/>
        <w:keepLines/>
        <w:spacing w:before="40" w:line="360" w:lineRule="auto"/>
        <w:contextualSpacing/>
        <w:jc w:val="both"/>
        <w:outlineLvl w:val="1"/>
        <w:rPr>
          <w:rFonts w:ascii="Palatino Linotype" w:eastAsiaTheme="majorEastAsia" w:hAnsi="Palatino Linotype" w:cs="Arial"/>
          <w:color w:val="2E74B5" w:themeColor="accent1" w:themeShade="BF"/>
        </w:rPr>
      </w:pPr>
    </w:p>
    <w:p w:rsidR="00BC6440" w:rsidRPr="00701C3F" w:rsidRDefault="00BC6440" w:rsidP="00BC6440">
      <w:pPr>
        <w:keepNext/>
        <w:keepLines/>
        <w:numPr>
          <w:ilvl w:val="0"/>
          <w:numId w:val="13"/>
        </w:numPr>
        <w:spacing w:before="40" w:line="360" w:lineRule="auto"/>
        <w:ind w:left="0" w:firstLine="0"/>
        <w:outlineLvl w:val="1"/>
        <w:rPr>
          <w:rFonts w:ascii="Palatino Linotype" w:eastAsiaTheme="majorEastAsia" w:hAnsi="Palatino Linotype" w:cs="Arial"/>
          <w:b/>
          <w:iCs/>
          <w:color w:val="000000" w:themeColor="text1"/>
        </w:rPr>
      </w:pPr>
      <w:bookmarkStart w:id="20" w:name="_Toc535857755"/>
      <w:r w:rsidRPr="00701C3F">
        <w:rPr>
          <w:rFonts w:ascii="Palatino Linotype" w:eastAsiaTheme="majorEastAsia" w:hAnsi="Palatino Linotype" w:cs="Arial"/>
          <w:b/>
          <w:iCs/>
          <w:color w:val="000000" w:themeColor="text1"/>
        </w:rPr>
        <w:t>La garantía secundaria del derecho de acceso a la información pública.</w:t>
      </w:r>
      <w:bookmarkEnd w:id="20"/>
    </w:p>
    <w:p w:rsidR="00BC6440" w:rsidRPr="00701C3F" w:rsidRDefault="00BC6440" w:rsidP="00BC6440">
      <w:pPr>
        <w:keepNext/>
        <w:keepLines/>
        <w:spacing w:before="40" w:line="360" w:lineRule="auto"/>
        <w:outlineLvl w:val="1"/>
        <w:rPr>
          <w:rFonts w:ascii="Palatino Linotype" w:eastAsiaTheme="majorEastAsia" w:hAnsi="Palatino Linotype" w:cs="Arial"/>
          <w:b/>
          <w:iCs/>
          <w:color w:val="000000" w:themeColor="text1"/>
        </w:rPr>
      </w:pPr>
    </w:p>
    <w:p w:rsidR="00BC6440" w:rsidRPr="00701C3F" w:rsidRDefault="00BC6440" w:rsidP="00066ADF">
      <w:pPr>
        <w:numPr>
          <w:ilvl w:val="0"/>
          <w:numId w:val="16"/>
        </w:numPr>
        <w:spacing w:line="360" w:lineRule="auto"/>
        <w:ind w:left="0" w:firstLine="0"/>
        <w:contextualSpacing/>
        <w:jc w:val="both"/>
        <w:rPr>
          <w:rFonts w:ascii="Palatino Linotype" w:hAnsi="Palatino Linotype" w:cs="Arial"/>
          <w:color w:val="000000" w:themeColor="text1"/>
        </w:rPr>
      </w:pPr>
      <w:r w:rsidRPr="00701C3F">
        <w:rPr>
          <w:rFonts w:ascii="Palatino Linotype" w:hAnsi="Palatino Linotype" w:cs="Arial"/>
          <w:color w:val="000000" w:themeColor="text1"/>
        </w:rPr>
        <w:t xml:space="preserve"> Como también lo establece la doctrina y lo determina así nuestro texto fundamental, para asegurar la efectividad de los derechos no son suficientes las obligaciones y prohibiciones inmediatas a la autoridad, y ante una eventual afectación al derecho humano, el Estado tiene la obligación de </w:t>
      </w:r>
      <w:r w:rsidRPr="00701C3F">
        <w:rPr>
          <w:rFonts w:ascii="Palatino Linotype" w:hAnsi="Palatino Linotype" w:cs="Arial"/>
          <w:i/>
          <w:color w:val="000000" w:themeColor="text1"/>
        </w:rPr>
        <w:t>investigar, sancionar y reparar</w:t>
      </w:r>
      <w:r w:rsidRPr="00701C3F">
        <w:rPr>
          <w:rFonts w:ascii="Palatino Linotype" w:hAnsi="Palatino Linotype" w:cs="Arial"/>
          <w:color w:val="000000" w:themeColor="text1"/>
        </w:rPr>
        <w:t xml:space="preserve"> sus violaciones. </w:t>
      </w:r>
    </w:p>
    <w:p w:rsidR="00BC6440" w:rsidRPr="00701C3F" w:rsidRDefault="00BC6440" w:rsidP="00BC6440">
      <w:pPr>
        <w:spacing w:line="360" w:lineRule="auto"/>
        <w:contextualSpacing/>
        <w:jc w:val="both"/>
        <w:rPr>
          <w:rFonts w:ascii="Palatino Linotype" w:hAnsi="Palatino Linotype" w:cs="Arial"/>
          <w:color w:val="000000" w:themeColor="text1"/>
        </w:rPr>
      </w:pPr>
    </w:p>
    <w:p w:rsidR="00BC6440" w:rsidRPr="00701C3F" w:rsidRDefault="00BC6440" w:rsidP="00066ADF">
      <w:pPr>
        <w:numPr>
          <w:ilvl w:val="0"/>
          <w:numId w:val="16"/>
        </w:numPr>
        <w:spacing w:line="360" w:lineRule="auto"/>
        <w:ind w:left="0" w:firstLine="0"/>
        <w:contextualSpacing/>
        <w:jc w:val="both"/>
        <w:rPr>
          <w:rFonts w:ascii="Palatino Linotype" w:hAnsi="Palatino Linotype" w:cs="Arial"/>
          <w:color w:val="000000" w:themeColor="text1"/>
        </w:rPr>
      </w:pPr>
      <w:r w:rsidRPr="00701C3F">
        <w:rPr>
          <w:rFonts w:ascii="Palatino Linotype" w:hAnsi="Palatino Linotype" w:cs="Arial"/>
          <w:color w:val="000000" w:themeColor="text1"/>
        </w:rPr>
        <w:t xml:space="preserve"> Las propias obligaciones internacionales adquiridas por el Estado Mexicano  determinan que nuestro país cuente con un procedimiento sencillo, rápido</w:t>
      </w:r>
      <w:r w:rsidRPr="00701C3F">
        <w:rPr>
          <w:rFonts w:ascii="Palatino Linotype" w:hAnsi="Palatino Linotype" w:cs="Arial"/>
          <w:color w:val="000000" w:themeColor="text1"/>
          <w:vertAlign w:val="superscript"/>
        </w:rPr>
        <w:footnoteReference w:id="14"/>
      </w:r>
      <w:r w:rsidRPr="00701C3F">
        <w:rPr>
          <w:rFonts w:ascii="Palatino Linotype" w:hAnsi="Palatino Linotype" w:cs="Arial"/>
          <w:color w:val="000000" w:themeColor="text1"/>
        </w:rPr>
        <w:t xml:space="preserve"> y  efectivo</w:t>
      </w:r>
      <w:r w:rsidRPr="00701C3F">
        <w:rPr>
          <w:rFonts w:ascii="Palatino Linotype" w:hAnsi="Palatino Linotype" w:cs="Arial"/>
          <w:color w:val="000000" w:themeColor="text1"/>
          <w:vertAlign w:val="superscript"/>
        </w:rPr>
        <w:footnoteReference w:id="15"/>
      </w:r>
      <w:r w:rsidRPr="00701C3F">
        <w:rPr>
          <w:rFonts w:ascii="Palatino Linotype" w:hAnsi="Palatino Linotype" w:cs="Arial"/>
          <w:color w:val="000000" w:themeColor="text1"/>
        </w:rPr>
        <w:t xml:space="preserve"> para la protección del derecho de acceso a la información pública, que ha implicado el diseño del recurso de revisión como una garantía secundaria, desahogada en sede de un órgano constitucionalmente autónomo, cuya fuerza en sus resoluciones es definitiva en todos aquellos casos en los que las pretensiones de la persona se colman ordenando al Sujeto Obligado la entrega de la información </w:t>
      </w:r>
      <w:r w:rsidRPr="00701C3F">
        <w:rPr>
          <w:rFonts w:ascii="Palatino Linotype" w:hAnsi="Palatino Linotype" w:cs="Arial"/>
          <w:color w:val="000000" w:themeColor="text1"/>
        </w:rPr>
        <w:lastRenderedPageBreak/>
        <w:t>requerida y a través del desahogo de un procedimiento materialmente jurisdiccional.</w:t>
      </w:r>
      <w:r w:rsidRPr="00701C3F">
        <w:rPr>
          <w:rFonts w:ascii="Palatino Linotype" w:hAnsi="Palatino Linotype" w:cs="Arial"/>
          <w:color w:val="000000" w:themeColor="text1"/>
          <w:vertAlign w:val="superscript"/>
        </w:rPr>
        <w:footnoteReference w:id="16"/>
      </w:r>
      <w:r w:rsidRPr="00701C3F">
        <w:rPr>
          <w:rFonts w:ascii="Palatino Linotype" w:hAnsi="Palatino Linotype" w:cs="Arial"/>
          <w:color w:val="000000" w:themeColor="text1"/>
        </w:rPr>
        <w:t xml:space="preserve"> </w:t>
      </w:r>
    </w:p>
    <w:p w:rsidR="00BC6440" w:rsidRPr="00701C3F" w:rsidRDefault="00BC6440" w:rsidP="00BC6440">
      <w:pPr>
        <w:spacing w:line="360" w:lineRule="auto"/>
        <w:contextualSpacing/>
        <w:rPr>
          <w:rFonts w:ascii="Palatino Linotype" w:hAnsi="Palatino Linotype" w:cs="Arial"/>
          <w:color w:val="000000" w:themeColor="text1"/>
        </w:rPr>
      </w:pPr>
    </w:p>
    <w:p w:rsidR="00BC6440" w:rsidRPr="00701C3F" w:rsidRDefault="00BC6440" w:rsidP="00066ADF">
      <w:pPr>
        <w:numPr>
          <w:ilvl w:val="0"/>
          <w:numId w:val="16"/>
        </w:numPr>
        <w:spacing w:line="360" w:lineRule="auto"/>
        <w:ind w:left="0" w:firstLine="0"/>
        <w:contextualSpacing/>
        <w:jc w:val="both"/>
        <w:rPr>
          <w:rFonts w:ascii="Palatino Linotype" w:hAnsi="Palatino Linotype" w:cs="Arial"/>
          <w:color w:val="000000" w:themeColor="text1"/>
        </w:rPr>
      </w:pPr>
      <w:r w:rsidRPr="00701C3F">
        <w:rPr>
          <w:rFonts w:ascii="Palatino Linotype" w:hAnsi="Palatino Linotype" w:cs="Arial"/>
          <w:color w:val="000000" w:themeColor="text1"/>
        </w:rPr>
        <w:t xml:space="preserve">Lo que fue entendido por el legislador ordinario mexiquense quien a través del artículo 176 de la ley estatal de transparencia citada previamente, ha señalado que  </w:t>
      </w:r>
      <w:r w:rsidRPr="00066ADF">
        <w:rPr>
          <w:rFonts w:ascii="Palatino Linotype" w:hAnsi="Palatino Linotype" w:cs="Arial"/>
          <w:i/>
          <w:color w:val="000000" w:themeColor="text1"/>
          <w:sz w:val="22"/>
        </w:rPr>
        <w:t>(e)l recurso de revisión es la garantía secundaria mediante la cual se pretende reparar cualquier posible afectación al derecho de acceso a la información pública</w:t>
      </w:r>
      <w:r w:rsidRPr="00066ADF">
        <w:rPr>
          <w:rFonts w:ascii="Palatino Linotype" w:hAnsi="Palatino Linotype" w:cs="Arial"/>
          <w:color w:val="000000" w:themeColor="text1"/>
          <w:sz w:val="22"/>
        </w:rPr>
        <w:t xml:space="preserve">, con lo que además somos armónicos con los criterios doctrinales que ubican a la garantía secundaria como </w:t>
      </w:r>
      <w:r w:rsidRPr="00066ADF">
        <w:rPr>
          <w:rFonts w:ascii="Palatino Linotype" w:hAnsi="Palatino Linotype" w:cs="Arial"/>
          <w:i/>
          <w:color w:val="000000" w:themeColor="text1"/>
          <w:sz w:val="22"/>
        </w:rPr>
        <w:t xml:space="preserve">la reparación judicial </w:t>
      </w:r>
      <w:r w:rsidRPr="00066ADF">
        <w:rPr>
          <w:rFonts w:ascii="Palatino Linotype" w:hAnsi="Palatino Linotype" w:cs="Arial"/>
          <w:color w:val="000000" w:themeColor="text1"/>
          <w:sz w:val="22"/>
        </w:rPr>
        <w:t>(en nuestro caso, materialmente jurisdiccional)</w:t>
      </w:r>
      <w:r w:rsidRPr="00066ADF">
        <w:rPr>
          <w:rFonts w:ascii="Palatino Linotype" w:hAnsi="Palatino Linotype" w:cs="Arial"/>
          <w:i/>
          <w:color w:val="000000" w:themeColor="text1"/>
          <w:sz w:val="22"/>
        </w:rPr>
        <w:t xml:space="preserve"> de las violaciones de las garantías primarias</w:t>
      </w:r>
      <w:r w:rsidRPr="00066ADF">
        <w:rPr>
          <w:rFonts w:ascii="Palatino Linotype" w:hAnsi="Palatino Linotype" w:cs="Arial"/>
          <w:i/>
          <w:color w:val="000000" w:themeColor="text1"/>
          <w:sz w:val="22"/>
          <w:vertAlign w:val="superscript"/>
        </w:rPr>
        <w:footnoteReference w:id="17"/>
      </w:r>
      <w:r w:rsidRPr="00066ADF">
        <w:rPr>
          <w:rFonts w:ascii="Palatino Linotype" w:hAnsi="Palatino Linotype" w:cs="Arial"/>
          <w:i/>
          <w:color w:val="000000" w:themeColor="text1"/>
          <w:sz w:val="22"/>
        </w:rPr>
        <w:t xml:space="preserve"> </w:t>
      </w:r>
      <w:r w:rsidRPr="00066ADF">
        <w:rPr>
          <w:rFonts w:ascii="Palatino Linotype" w:hAnsi="Palatino Linotype" w:cs="Arial"/>
          <w:color w:val="000000" w:themeColor="text1"/>
          <w:sz w:val="22"/>
        </w:rPr>
        <w:t xml:space="preserve">o como </w:t>
      </w:r>
      <w:r w:rsidRPr="00066ADF">
        <w:rPr>
          <w:rFonts w:ascii="Palatino Linotype" w:hAnsi="Palatino Linotype" w:cs="Arial"/>
          <w:i/>
          <w:color w:val="000000" w:themeColor="text1"/>
          <w:sz w:val="22"/>
        </w:rPr>
        <w:t xml:space="preserve">garantías jurisdiccionales de </w:t>
      </w:r>
      <w:proofErr w:type="spellStart"/>
      <w:r w:rsidRPr="00066ADF">
        <w:rPr>
          <w:rFonts w:ascii="Palatino Linotype" w:hAnsi="Palatino Linotype" w:cs="Arial"/>
          <w:i/>
          <w:color w:val="000000" w:themeColor="text1"/>
          <w:sz w:val="22"/>
        </w:rPr>
        <w:t>justiciabilidad</w:t>
      </w:r>
      <w:proofErr w:type="spellEnd"/>
      <w:r w:rsidRPr="00066ADF">
        <w:rPr>
          <w:rFonts w:ascii="Palatino Linotype" w:hAnsi="Palatino Linotype" w:cs="Arial"/>
          <w:i/>
          <w:color w:val="000000" w:themeColor="text1"/>
          <w:sz w:val="22"/>
        </w:rPr>
        <w:t xml:space="preserve"> que intervienen, en caso de violación de las garantías primarias y de los derechos correlativos, a través de la anulación de los actos inválidos y de la sanción por los actos ilícitos.</w:t>
      </w:r>
      <w:r w:rsidRPr="00066ADF">
        <w:rPr>
          <w:rFonts w:ascii="Palatino Linotype" w:hAnsi="Palatino Linotype" w:cs="Arial"/>
          <w:i/>
          <w:color w:val="000000" w:themeColor="text1"/>
          <w:sz w:val="22"/>
          <w:vertAlign w:val="superscript"/>
        </w:rPr>
        <w:footnoteReference w:id="18"/>
      </w:r>
      <w:r w:rsidRPr="00066ADF">
        <w:rPr>
          <w:rFonts w:ascii="Palatino Linotype" w:hAnsi="Palatino Linotype" w:cs="Arial"/>
          <w:i/>
          <w:color w:val="000000" w:themeColor="text1"/>
          <w:sz w:val="22"/>
        </w:rPr>
        <w:t xml:space="preserve"> </w:t>
      </w:r>
    </w:p>
    <w:p w:rsidR="00BC6440" w:rsidRPr="00701C3F" w:rsidRDefault="00BC6440" w:rsidP="00BC6440">
      <w:pPr>
        <w:spacing w:line="360" w:lineRule="auto"/>
        <w:contextualSpacing/>
        <w:rPr>
          <w:rFonts w:ascii="Palatino Linotype" w:hAnsi="Palatino Linotype" w:cs="Arial"/>
          <w:color w:val="000000" w:themeColor="text1"/>
        </w:rPr>
      </w:pPr>
    </w:p>
    <w:p w:rsidR="00EF5803" w:rsidRPr="00701C3F" w:rsidRDefault="00BC6440" w:rsidP="00066ADF">
      <w:pPr>
        <w:numPr>
          <w:ilvl w:val="0"/>
          <w:numId w:val="16"/>
        </w:numPr>
        <w:spacing w:line="360" w:lineRule="auto"/>
        <w:ind w:left="0" w:firstLine="0"/>
        <w:contextualSpacing/>
        <w:jc w:val="both"/>
        <w:rPr>
          <w:rFonts w:ascii="Palatino Linotype" w:hAnsi="Palatino Linotype" w:cs="Arial"/>
          <w:color w:val="000000" w:themeColor="text1"/>
        </w:rPr>
      </w:pPr>
      <w:r w:rsidRPr="00701C3F">
        <w:rPr>
          <w:rFonts w:ascii="Palatino Linotype" w:hAnsi="Palatino Linotype" w:cs="Arial"/>
          <w:color w:val="000000" w:themeColor="text1"/>
        </w:rPr>
        <w:t>En el caso</w:t>
      </w:r>
      <w:r w:rsidR="000C4F64" w:rsidRPr="00701C3F">
        <w:rPr>
          <w:rFonts w:ascii="Palatino Linotype" w:hAnsi="Palatino Linotype" w:cs="Arial"/>
          <w:color w:val="000000" w:themeColor="text1"/>
        </w:rPr>
        <w:t xml:space="preserve"> que se resuelve se debe</w:t>
      </w:r>
      <w:r w:rsidR="00CF239F" w:rsidRPr="00701C3F">
        <w:rPr>
          <w:rFonts w:ascii="Palatino Linotype" w:hAnsi="Palatino Linotype" w:cs="Arial"/>
          <w:color w:val="000000" w:themeColor="text1"/>
        </w:rPr>
        <w:t xml:space="preserve"> destacar que la misma L</w:t>
      </w:r>
      <w:r w:rsidRPr="00701C3F">
        <w:rPr>
          <w:rFonts w:ascii="Palatino Linotype" w:hAnsi="Palatino Linotype" w:cs="Arial"/>
          <w:color w:val="000000" w:themeColor="text1"/>
        </w:rPr>
        <w:t xml:space="preserve">ey de </w:t>
      </w:r>
      <w:r w:rsidR="00CF239F" w:rsidRPr="00701C3F">
        <w:rPr>
          <w:rFonts w:ascii="Palatino Linotype" w:hAnsi="Palatino Linotype" w:cs="Arial"/>
          <w:color w:val="000000" w:themeColor="text1"/>
        </w:rPr>
        <w:t>T</w:t>
      </w:r>
      <w:r w:rsidRPr="00701C3F">
        <w:rPr>
          <w:rFonts w:ascii="Palatino Linotype" w:hAnsi="Palatino Linotype" w:cs="Arial"/>
          <w:color w:val="000000" w:themeColor="text1"/>
        </w:rPr>
        <w:t xml:space="preserve">ransparencia ya citada precisa en su artículo 179 fracción III y VIII que el propio recurso de revisión </w:t>
      </w:r>
      <w:r w:rsidRPr="00066ADF">
        <w:rPr>
          <w:rFonts w:ascii="Palatino Linotype" w:hAnsi="Palatino Linotype" w:cs="Arial"/>
          <w:i/>
          <w:color w:val="000000" w:themeColor="text1"/>
          <w:sz w:val="22"/>
        </w:rPr>
        <w:t xml:space="preserve">es un medio de protección </w:t>
      </w:r>
      <w:r w:rsidRPr="00066ADF">
        <w:rPr>
          <w:rFonts w:ascii="Palatino Linotype" w:hAnsi="Palatino Linotype" w:cs="Arial"/>
          <w:color w:val="000000" w:themeColor="text1"/>
          <w:sz w:val="22"/>
        </w:rPr>
        <w:t>y procede en contra de la entrega de</w:t>
      </w:r>
      <w:r w:rsidRPr="00066ADF">
        <w:rPr>
          <w:rFonts w:ascii="Palatino Linotype" w:hAnsi="Palatino Linotype" w:cs="Arial"/>
          <w:i/>
          <w:color w:val="000000" w:themeColor="text1"/>
          <w:sz w:val="22"/>
        </w:rPr>
        <w:t xml:space="preserve"> la declaración de inexistencia de la información; y La notificación, entrega o puesta a disposición de información en una modalidad o formato distinto a lo solicitado.</w:t>
      </w:r>
      <w:r w:rsidRPr="00066ADF">
        <w:rPr>
          <w:rFonts w:ascii="Palatino Linotype" w:hAnsi="Palatino Linotype" w:cs="Arial"/>
          <w:color w:val="000000" w:themeColor="text1"/>
          <w:sz w:val="22"/>
        </w:rPr>
        <w:t xml:space="preserve"> </w:t>
      </w:r>
      <w:r w:rsidRPr="00701C3F">
        <w:rPr>
          <w:rFonts w:ascii="Palatino Linotype" w:hAnsi="Palatino Linotype" w:cs="Arial"/>
          <w:color w:val="000000" w:themeColor="text1"/>
        </w:rPr>
        <w:t xml:space="preserve">Por lo que el motivo de inconformidad consiste en que el Sujeto Obligado </w:t>
      </w:r>
      <w:r w:rsidR="00715F9C" w:rsidRPr="00701C3F">
        <w:rPr>
          <w:rFonts w:ascii="Palatino Linotype" w:hAnsi="Palatino Linotype" w:cs="Arial"/>
          <w:color w:val="000000" w:themeColor="text1"/>
        </w:rPr>
        <w:t>manifestó que la información no existe en los términos que requirió el particular</w:t>
      </w:r>
      <w:r w:rsidRPr="00701C3F">
        <w:rPr>
          <w:rFonts w:ascii="Palatino Linotype" w:hAnsi="Palatino Linotype" w:cs="Arial"/>
          <w:b/>
          <w:color w:val="000000" w:themeColor="text1"/>
        </w:rPr>
        <w:t xml:space="preserve">, </w:t>
      </w:r>
      <w:r w:rsidRPr="00701C3F">
        <w:rPr>
          <w:rFonts w:ascii="Palatino Linotype" w:hAnsi="Palatino Linotype" w:cs="Arial"/>
          <w:color w:val="000000" w:themeColor="text1"/>
        </w:rPr>
        <w:t xml:space="preserve">mostrando así una negligencia por parte de la autoridad,  situación que recae en lo estipulado por el artículo 234, es plenamente fundado, constituye una afectación indebida e injustificada a su </w:t>
      </w:r>
      <w:r w:rsidRPr="00701C3F">
        <w:rPr>
          <w:rFonts w:ascii="Palatino Linotype" w:hAnsi="Palatino Linotype" w:cs="Arial"/>
          <w:color w:val="000000" w:themeColor="text1"/>
        </w:rPr>
        <w:lastRenderedPageBreak/>
        <w:t xml:space="preserve">derecho de acceso a la información pública y la respuesta del Sujeto Obligado, constituyó una violación a su derecho de acceso a la información pública que el Estado Mexicano, a través de otra institución, en este caso, </w:t>
      </w:r>
      <w:r w:rsidR="00EF5803" w:rsidRPr="00701C3F">
        <w:rPr>
          <w:rFonts w:ascii="Palatino Linotype" w:hAnsi="Palatino Linotype" w:cs="Arial"/>
          <w:color w:val="000000" w:themeColor="text1"/>
        </w:rPr>
        <w:t xml:space="preserve">se </w:t>
      </w:r>
      <w:r w:rsidRPr="00701C3F">
        <w:rPr>
          <w:rFonts w:ascii="Palatino Linotype" w:hAnsi="Palatino Linotype" w:cs="Arial"/>
          <w:color w:val="000000" w:themeColor="text1"/>
        </w:rPr>
        <w:t>pretende reparar</w:t>
      </w:r>
      <w:r w:rsidR="00EF5803" w:rsidRPr="00701C3F">
        <w:rPr>
          <w:rFonts w:ascii="Palatino Linotype" w:hAnsi="Palatino Linotype" w:cs="Arial"/>
          <w:color w:val="000000" w:themeColor="text1"/>
        </w:rPr>
        <w:t xml:space="preserve"> el daño</w:t>
      </w:r>
      <w:r w:rsidRPr="00701C3F">
        <w:rPr>
          <w:rFonts w:ascii="Palatino Linotype" w:hAnsi="Palatino Linotype" w:cs="Arial"/>
          <w:color w:val="000000" w:themeColor="text1"/>
        </w:rPr>
        <w:t xml:space="preserve"> a través </w:t>
      </w:r>
      <w:r w:rsidR="00EF5803" w:rsidRPr="00701C3F">
        <w:rPr>
          <w:rFonts w:ascii="Palatino Linotype" w:hAnsi="Palatino Linotype" w:cs="Arial"/>
          <w:color w:val="000000" w:themeColor="text1"/>
        </w:rPr>
        <w:t>de ordenar l</w:t>
      </w:r>
      <w:r w:rsidRPr="00701C3F">
        <w:rPr>
          <w:rFonts w:ascii="Palatino Linotype" w:hAnsi="Palatino Linotype" w:cs="Arial"/>
          <w:color w:val="000000" w:themeColor="text1"/>
        </w:rPr>
        <w:t xml:space="preserve">a entrega de la información en Copias Certificadas </w:t>
      </w:r>
      <w:r w:rsidR="00EF5803" w:rsidRPr="00701C3F">
        <w:rPr>
          <w:rFonts w:ascii="Palatino Linotype" w:hAnsi="Palatino Linotype" w:cs="Arial"/>
          <w:color w:val="000000" w:themeColor="text1"/>
        </w:rPr>
        <w:t>sin costo alguno.</w:t>
      </w:r>
    </w:p>
    <w:p w:rsidR="00BC6440" w:rsidRPr="00701C3F" w:rsidRDefault="00BC6440" w:rsidP="00066ADF">
      <w:pPr>
        <w:spacing w:line="360" w:lineRule="auto"/>
        <w:contextualSpacing/>
        <w:jc w:val="right"/>
        <w:rPr>
          <w:rFonts w:ascii="Palatino Linotype" w:hAnsi="Palatino Linotype" w:cs="Arial"/>
          <w:color w:val="000000" w:themeColor="text1"/>
        </w:rPr>
      </w:pPr>
    </w:p>
    <w:p w:rsidR="00BC6440" w:rsidRPr="00701C3F" w:rsidRDefault="00BC6440" w:rsidP="00BC6440">
      <w:pPr>
        <w:keepNext/>
        <w:keepLines/>
        <w:numPr>
          <w:ilvl w:val="0"/>
          <w:numId w:val="13"/>
        </w:numPr>
        <w:spacing w:before="40" w:line="360" w:lineRule="auto"/>
        <w:ind w:left="0" w:firstLine="0"/>
        <w:outlineLvl w:val="1"/>
        <w:rPr>
          <w:rFonts w:ascii="Palatino Linotype" w:eastAsiaTheme="majorEastAsia" w:hAnsi="Palatino Linotype" w:cs="Arial"/>
          <w:b/>
          <w:iCs/>
          <w:color w:val="000000" w:themeColor="text1"/>
        </w:rPr>
      </w:pPr>
      <w:bookmarkStart w:id="21" w:name="_Toc535857756"/>
      <w:r w:rsidRPr="00701C3F">
        <w:rPr>
          <w:rFonts w:ascii="Palatino Linotype" w:eastAsiaTheme="majorEastAsia" w:hAnsi="Palatino Linotype" w:cs="Arial"/>
          <w:b/>
          <w:iCs/>
          <w:color w:val="000000" w:themeColor="text1"/>
        </w:rPr>
        <w:t>Consecuencias de la violación al derecho humano.</w:t>
      </w:r>
      <w:bookmarkEnd w:id="21"/>
      <w:r w:rsidRPr="00701C3F">
        <w:rPr>
          <w:rFonts w:ascii="Palatino Linotype" w:eastAsiaTheme="majorEastAsia" w:hAnsi="Palatino Linotype" w:cs="Arial"/>
          <w:b/>
          <w:iCs/>
          <w:color w:val="000000" w:themeColor="text1"/>
        </w:rPr>
        <w:t xml:space="preserve"> </w:t>
      </w:r>
    </w:p>
    <w:p w:rsidR="00BC6440" w:rsidRPr="00701C3F" w:rsidRDefault="00BC6440" w:rsidP="00BC6440">
      <w:pPr>
        <w:keepNext/>
        <w:keepLines/>
        <w:spacing w:before="40" w:line="360" w:lineRule="auto"/>
        <w:outlineLvl w:val="1"/>
        <w:rPr>
          <w:rFonts w:ascii="Palatino Linotype" w:eastAsiaTheme="majorEastAsia" w:hAnsi="Palatino Linotype" w:cs="Arial"/>
          <w:b/>
          <w:iCs/>
          <w:color w:val="000000" w:themeColor="text1"/>
        </w:rPr>
      </w:pPr>
    </w:p>
    <w:p w:rsidR="00BC6440" w:rsidRPr="00701C3F" w:rsidRDefault="00BC6440" w:rsidP="00066ADF">
      <w:pPr>
        <w:numPr>
          <w:ilvl w:val="0"/>
          <w:numId w:val="16"/>
        </w:numPr>
        <w:spacing w:line="360" w:lineRule="auto"/>
        <w:ind w:left="0" w:firstLine="0"/>
        <w:contextualSpacing/>
        <w:jc w:val="both"/>
        <w:rPr>
          <w:rFonts w:ascii="Palatino Linotype" w:hAnsi="Palatino Linotype" w:cs="Arial"/>
          <w:color w:val="000000" w:themeColor="text1"/>
        </w:rPr>
      </w:pPr>
      <w:r w:rsidRPr="00701C3F">
        <w:rPr>
          <w:rFonts w:ascii="Palatino Linotype" w:hAnsi="Palatino Linotype" w:cs="Arial"/>
          <w:color w:val="000000" w:themeColor="text1"/>
        </w:rPr>
        <w:t xml:space="preserve"> El tercer párrafo del artículo primero de nuestra la Constitución Política de los Estados Unidos Mexicanos establece la obligación del Estado Mexicano de </w:t>
      </w:r>
      <w:r w:rsidRPr="00701C3F">
        <w:rPr>
          <w:rFonts w:ascii="Palatino Linotype" w:hAnsi="Palatino Linotype" w:cs="Arial"/>
          <w:i/>
          <w:color w:val="000000" w:themeColor="text1"/>
        </w:rPr>
        <w:t xml:space="preserve">investigar, sancionar y reparar las violaciones a los derechos humanos, en los términos que establezca la ley. </w:t>
      </w:r>
      <w:r w:rsidRPr="00701C3F">
        <w:rPr>
          <w:rFonts w:ascii="Palatino Linotype" w:hAnsi="Palatino Linotype" w:cs="Arial"/>
          <w:color w:val="000000" w:themeColor="text1"/>
        </w:rPr>
        <w:t xml:space="preserve">En este caso es plenamente evidente que </w:t>
      </w:r>
      <w:r w:rsidRPr="00701C3F">
        <w:rPr>
          <w:rFonts w:ascii="Palatino Linotype" w:hAnsi="Palatino Linotype" w:cs="Arial"/>
          <w:b/>
          <w:color w:val="000000" w:themeColor="text1"/>
        </w:rPr>
        <w:t xml:space="preserve">el particular </w:t>
      </w:r>
      <w:r w:rsidRPr="00701C3F">
        <w:rPr>
          <w:rFonts w:ascii="Palatino Linotype" w:hAnsi="Palatino Linotype" w:cs="Arial"/>
          <w:color w:val="000000" w:themeColor="text1"/>
        </w:rPr>
        <w:t xml:space="preserve">pretendió a acceder a cierta información en Copias Certificadas y que la autoridad </w:t>
      </w:r>
      <w:r w:rsidR="00715F9C" w:rsidRPr="00701C3F">
        <w:rPr>
          <w:rFonts w:ascii="Palatino Linotype" w:hAnsi="Palatino Linotype" w:cs="Arial"/>
          <w:color w:val="000000" w:themeColor="text1"/>
        </w:rPr>
        <w:t xml:space="preserve">no realizó una interpretación de los requerimientos a efecto de no vulnerar el derecho accionado, </w:t>
      </w:r>
      <w:r w:rsidRPr="00701C3F">
        <w:rPr>
          <w:rFonts w:ascii="Palatino Linotype" w:hAnsi="Palatino Linotype" w:cs="Arial"/>
          <w:color w:val="000000" w:themeColor="text1"/>
        </w:rPr>
        <w:t xml:space="preserve">lo cual generó un agravió en la persona que acudió a la garantía secundaria para la </w:t>
      </w:r>
      <w:proofErr w:type="spellStart"/>
      <w:r w:rsidRPr="00701C3F">
        <w:rPr>
          <w:rFonts w:ascii="Palatino Linotype" w:hAnsi="Palatino Linotype" w:cs="Arial"/>
          <w:i/>
          <w:color w:val="000000" w:themeColor="text1"/>
        </w:rPr>
        <w:t>restitutio</w:t>
      </w:r>
      <w:proofErr w:type="spellEnd"/>
      <w:r w:rsidRPr="00701C3F">
        <w:rPr>
          <w:rFonts w:ascii="Palatino Linotype" w:hAnsi="Palatino Linotype" w:cs="Arial"/>
          <w:i/>
          <w:color w:val="000000" w:themeColor="text1"/>
        </w:rPr>
        <w:t xml:space="preserve"> in </w:t>
      </w:r>
      <w:proofErr w:type="spellStart"/>
      <w:r w:rsidRPr="00701C3F">
        <w:rPr>
          <w:rFonts w:ascii="Palatino Linotype" w:hAnsi="Palatino Linotype" w:cs="Arial"/>
          <w:i/>
          <w:color w:val="000000" w:themeColor="text1"/>
        </w:rPr>
        <w:t>integrum</w:t>
      </w:r>
      <w:proofErr w:type="spellEnd"/>
      <w:r w:rsidRPr="00701C3F">
        <w:rPr>
          <w:rFonts w:ascii="Palatino Linotype" w:hAnsi="Palatino Linotype" w:cs="Arial"/>
          <w:color w:val="000000" w:themeColor="text1"/>
        </w:rPr>
        <w:t xml:space="preserve"> del derecho en cuestión. Lo que este Órgano Garante pretende hacer ordenando la entrega de la información.</w:t>
      </w:r>
    </w:p>
    <w:p w:rsidR="00BC6440" w:rsidRPr="00701C3F" w:rsidRDefault="00BC6440" w:rsidP="00BC6440">
      <w:pPr>
        <w:spacing w:line="360" w:lineRule="auto"/>
        <w:ind w:left="360"/>
        <w:contextualSpacing/>
        <w:jc w:val="both"/>
        <w:rPr>
          <w:rFonts w:ascii="Palatino Linotype" w:hAnsi="Palatino Linotype" w:cs="Arial"/>
          <w:color w:val="000000" w:themeColor="text1"/>
        </w:rPr>
      </w:pPr>
    </w:p>
    <w:p w:rsidR="00BC6440" w:rsidRPr="00701C3F" w:rsidRDefault="00BC6440" w:rsidP="00066ADF">
      <w:pPr>
        <w:numPr>
          <w:ilvl w:val="0"/>
          <w:numId w:val="16"/>
        </w:numPr>
        <w:spacing w:line="360" w:lineRule="auto"/>
        <w:ind w:left="0" w:firstLine="0"/>
        <w:contextualSpacing/>
        <w:jc w:val="both"/>
        <w:rPr>
          <w:rFonts w:ascii="Palatino Linotype" w:hAnsi="Palatino Linotype" w:cs="Arial"/>
          <w:color w:val="000000" w:themeColor="text1"/>
        </w:rPr>
      </w:pPr>
      <w:r w:rsidRPr="00701C3F">
        <w:rPr>
          <w:rFonts w:ascii="Palatino Linotype" w:hAnsi="Palatino Linotype" w:cs="Arial"/>
          <w:color w:val="000000" w:themeColor="text1"/>
        </w:rPr>
        <w:t xml:space="preserve"> En este caso es evidente que el pago que se pretende aplicar para la expedición de la información requerida en la modalidad elegida por </w:t>
      </w:r>
      <w:r w:rsidRPr="00701C3F">
        <w:rPr>
          <w:rFonts w:ascii="Palatino Linotype" w:hAnsi="Palatino Linotype" w:cs="Arial"/>
          <w:b/>
          <w:color w:val="000000" w:themeColor="text1"/>
        </w:rPr>
        <w:t xml:space="preserve">el recurrente, no resulta aplicable </w:t>
      </w:r>
      <w:r w:rsidRPr="00701C3F">
        <w:rPr>
          <w:rFonts w:ascii="Palatino Linotype" w:hAnsi="Palatino Linotype" w:cs="Arial"/>
          <w:color w:val="000000" w:themeColor="text1"/>
        </w:rPr>
        <w:t>para ello es dable señalar el contenido de la Ley de Transparencia y Acceso a la Información Pública del Estado de México y Municipios  en su artículo 234, el cual establece lo siguiente:</w:t>
      </w:r>
    </w:p>
    <w:p w:rsidR="00BC6440" w:rsidRPr="00701C3F" w:rsidRDefault="00BC6440" w:rsidP="00BC6440">
      <w:pPr>
        <w:pStyle w:val="Prrafodelista"/>
        <w:spacing w:line="360" w:lineRule="auto"/>
        <w:ind w:left="0"/>
        <w:rPr>
          <w:rFonts w:ascii="Palatino Linotype" w:hAnsi="Palatino Linotype" w:cs="Arial"/>
          <w:b/>
          <w:color w:val="000000" w:themeColor="text1"/>
        </w:rPr>
      </w:pPr>
    </w:p>
    <w:p w:rsidR="00BC6440" w:rsidRPr="00701C3F" w:rsidRDefault="00BC6440" w:rsidP="00715F9C">
      <w:pPr>
        <w:autoSpaceDE w:val="0"/>
        <w:autoSpaceDN w:val="0"/>
        <w:adjustRightInd w:val="0"/>
        <w:spacing w:line="360" w:lineRule="auto"/>
        <w:ind w:left="567" w:right="567"/>
        <w:jc w:val="both"/>
        <w:rPr>
          <w:rFonts w:ascii="Palatino Linotype" w:hAnsi="Palatino Linotype" w:cs="Bookman Old Style"/>
          <w:i/>
        </w:rPr>
      </w:pPr>
      <w:r w:rsidRPr="00701C3F">
        <w:rPr>
          <w:rFonts w:ascii="Palatino Linotype" w:hAnsi="Palatino Linotype" w:cs="Bookman Old Style,Bold"/>
          <w:b/>
          <w:bCs/>
          <w:i/>
        </w:rPr>
        <w:lastRenderedPageBreak/>
        <w:t xml:space="preserve">Artículo 234. </w:t>
      </w:r>
      <w:r w:rsidRPr="00701C3F">
        <w:rPr>
          <w:rFonts w:ascii="Palatino Linotype" w:hAnsi="Palatino Linotype" w:cs="Bookman Old Style"/>
          <w:i/>
        </w:rPr>
        <w:t>En caso que el Instituto determine que por negligencia no se hubiere atendido alguna solicitud en los términos de esta Ley, requerirá a la Unidad de Transparencia correspondiente para que proporcione la información sin costo alguno para el solicitante, dentro del plazo de quince días hábiles a partir del requerimiento.</w:t>
      </w:r>
    </w:p>
    <w:p w:rsidR="00BC6440" w:rsidRPr="00701C3F" w:rsidRDefault="00BC6440" w:rsidP="00BC6440">
      <w:pPr>
        <w:autoSpaceDE w:val="0"/>
        <w:autoSpaceDN w:val="0"/>
        <w:adjustRightInd w:val="0"/>
        <w:spacing w:line="360" w:lineRule="auto"/>
        <w:rPr>
          <w:rFonts w:ascii="Palatino Linotype" w:hAnsi="Palatino Linotype" w:cs="Arial"/>
          <w:color w:val="000000" w:themeColor="text1"/>
        </w:rPr>
      </w:pPr>
    </w:p>
    <w:p w:rsidR="00BC6440" w:rsidRPr="00701C3F" w:rsidRDefault="00BC6440" w:rsidP="00066ADF">
      <w:pPr>
        <w:numPr>
          <w:ilvl w:val="0"/>
          <w:numId w:val="16"/>
        </w:numPr>
        <w:spacing w:line="360" w:lineRule="auto"/>
        <w:ind w:left="0" w:firstLine="0"/>
        <w:contextualSpacing/>
        <w:jc w:val="both"/>
        <w:rPr>
          <w:rFonts w:ascii="Palatino Linotype" w:hAnsi="Palatino Linotype" w:cs="Arial"/>
          <w:color w:val="000000" w:themeColor="text1"/>
        </w:rPr>
      </w:pPr>
      <w:r w:rsidRPr="00701C3F">
        <w:rPr>
          <w:rFonts w:ascii="Palatino Linotype" w:hAnsi="Palatino Linotype" w:cs="Arial"/>
          <w:color w:val="000000" w:themeColor="text1"/>
        </w:rPr>
        <w:t xml:space="preserve">El precepto legal en comento resulta aplicable al caso que nos ocupa, toda vez que el Sujeto Obligado respondió a la solicitud señalando </w:t>
      </w:r>
      <w:r w:rsidR="00715F9C" w:rsidRPr="00701C3F">
        <w:rPr>
          <w:rFonts w:ascii="Palatino Linotype" w:hAnsi="Palatino Linotype" w:cs="Arial"/>
          <w:color w:val="000000" w:themeColor="text1"/>
        </w:rPr>
        <w:t xml:space="preserve">que no existe la información en los términos que fue solicitada, sin entregar el soporte documental mediante el cual pudiera colmarse el requerimiento, </w:t>
      </w:r>
      <w:r w:rsidR="00715F9C" w:rsidRPr="00701C3F">
        <w:rPr>
          <w:rFonts w:ascii="Palatino Linotype" w:hAnsi="Palatino Linotype" w:cs="Arial"/>
          <w:b/>
          <w:color w:val="000000" w:themeColor="text1"/>
        </w:rPr>
        <w:t>como lo es el registro de asistencia de los usuarios que acuden a asesoría gratuita conforme al turno de llagada</w:t>
      </w:r>
      <w:r w:rsidR="00715F9C" w:rsidRPr="00701C3F">
        <w:rPr>
          <w:rFonts w:ascii="Palatino Linotype" w:hAnsi="Palatino Linotype" w:cs="Arial"/>
          <w:color w:val="000000" w:themeColor="text1"/>
        </w:rPr>
        <w:t>,</w:t>
      </w:r>
      <w:r w:rsidRPr="00701C3F">
        <w:rPr>
          <w:rFonts w:ascii="Palatino Linotype" w:hAnsi="Palatino Linotype" w:cs="Arial"/>
          <w:color w:val="000000" w:themeColor="text1"/>
        </w:rPr>
        <w:t xml:space="preserve"> afectando el derecho constitucional y convencionalmente reconocido, retrasando su acceso a la información requerida, aún en este momento, no ha podido acceder </w:t>
      </w:r>
      <w:r w:rsidR="00715F9C" w:rsidRPr="00701C3F">
        <w:rPr>
          <w:rFonts w:ascii="Palatino Linotype" w:hAnsi="Palatino Linotype" w:cs="Arial"/>
          <w:color w:val="000000" w:themeColor="text1"/>
        </w:rPr>
        <w:t>a la información que pretendía</w:t>
      </w:r>
    </w:p>
    <w:p w:rsidR="00BC6440" w:rsidRPr="00701C3F" w:rsidRDefault="00BC6440" w:rsidP="00BC6440">
      <w:pPr>
        <w:spacing w:line="360" w:lineRule="auto"/>
        <w:contextualSpacing/>
        <w:jc w:val="both"/>
        <w:rPr>
          <w:rFonts w:ascii="Palatino Linotype" w:hAnsi="Palatino Linotype" w:cs="Arial"/>
          <w:color w:val="000000" w:themeColor="text1"/>
        </w:rPr>
      </w:pPr>
    </w:p>
    <w:p w:rsidR="00BC6440" w:rsidRPr="00701C3F" w:rsidRDefault="00715F9C" w:rsidP="00066ADF">
      <w:pPr>
        <w:numPr>
          <w:ilvl w:val="0"/>
          <w:numId w:val="16"/>
        </w:numPr>
        <w:spacing w:line="360" w:lineRule="auto"/>
        <w:ind w:left="0" w:firstLine="0"/>
        <w:contextualSpacing/>
        <w:jc w:val="both"/>
        <w:rPr>
          <w:rFonts w:ascii="Palatino Linotype" w:hAnsi="Palatino Linotype" w:cs="Arial"/>
          <w:color w:val="000000" w:themeColor="text1"/>
        </w:rPr>
      </w:pPr>
      <w:r w:rsidRPr="00701C3F">
        <w:rPr>
          <w:rFonts w:ascii="Palatino Linotype" w:hAnsi="Palatino Linotype" w:cs="Arial"/>
          <w:color w:val="000000" w:themeColor="text1"/>
        </w:rPr>
        <w:t xml:space="preserve">Con base en lo anterior, </w:t>
      </w:r>
      <w:r w:rsidR="00BC6440" w:rsidRPr="00701C3F">
        <w:rPr>
          <w:rFonts w:ascii="Palatino Linotype" w:hAnsi="Palatino Linotype" w:cs="Arial"/>
          <w:color w:val="000000" w:themeColor="text1"/>
        </w:rPr>
        <w:t xml:space="preserve">resulta dable como medida de reparación a la afectación del derecho del recurrente, entregar la información solicitada en la modalidad elegida por la solicitante </w:t>
      </w:r>
      <w:r w:rsidR="00BC6440" w:rsidRPr="00701C3F">
        <w:rPr>
          <w:rFonts w:ascii="Palatino Linotype" w:hAnsi="Palatino Linotype" w:cs="Arial"/>
          <w:b/>
          <w:color w:val="000000" w:themeColor="text1"/>
        </w:rPr>
        <w:t>sin costo alguno</w:t>
      </w:r>
      <w:r w:rsidR="00BC6440" w:rsidRPr="00701C3F">
        <w:rPr>
          <w:rFonts w:ascii="Palatino Linotype" w:hAnsi="Palatino Linotype" w:cs="Arial"/>
          <w:color w:val="000000" w:themeColor="text1"/>
        </w:rPr>
        <w:t xml:space="preserve">, por no haber promovido, respetado y garantizado el efectivo ejercicio del derecho al acceso a la información, tal y como lo establece la Constitución Policita de los Estados Unidos Mexicanos. En ese mismo sentido, al perder el Sujeto Obligado la posibilidad momentánea de acceder a los derechos por la expedición de la información en la modalidad de entrega elegida por el particular puede ser un incentivo adicional para que, en el </w:t>
      </w:r>
      <w:r w:rsidR="00BC6440" w:rsidRPr="00701C3F">
        <w:rPr>
          <w:rFonts w:ascii="Palatino Linotype" w:hAnsi="Palatino Linotype" w:cs="Arial"/>
          <w:color w:val="000000" w:themeColor="text1"/>
        </w:rPr>
        <w:lastRenderedPageBreak/>
        <w:t xml:space="preserve">futuro, las solicitudes de acceso a la información sean atendidas bajo el más alto estándar que promueva la plena protección del derecho en cuestión. </w:t>
      </w:r>
    </w:p>
    <w:p w:rsidR="006249D2" w:rsidRPr="00701C3F" w:rsidRDefault="006249D2" w:rsidP="006249D2">
      <w:pPr>
        <w:pStyle w:val="Prrafodelista"/>
        <w:rPr>
          <w:rFonts w:ascii="Palatino Linotype" w:hAnsi="Palatino Linotype" w:cs="Arial"/>
          <w:color w:val="000000" w:themeColor="text1"/>
        </w:rPr>
      </w:pPr>
    </w:p>
    <w:p w:rsidR="006249D2" w:rsidRPr="00701C3F" w:rsidRDefault="006249D2" w:rsidP="006249D2">
      <w:pPr>
        <w:pStyle w:val="Ttulo1"/>
        <w:spacing w:line="360" w:lineRule="auto"/>
        <w:rPr>
          <w:szCs w:val="24"/>
        </w:rPr>
      </w:pPr>
      <w:bookmarkStart w:id="22" w:name="_Toc473799824"/>
      <w:bookmarkStart w:id="23" w:name="_Toc487025370"/>
      <w:bookmarkStart w:id="24" w:name="_Toc493790438"/>
      <w:bookmarkStart w:id="25" w:name="_Toc495606558"/>
      <w:bookmarkStart w:id="26" w:name="_Toc497297048"/>
      <w:bookmarkStart w:id="27" w:name="_Toc498503756"/>
      <w:bookmarkStart w:id="28" w:name="_Toc499201876"/>
      <w:bookmarkStart w:id="29" w:name="_Toc536618579"/>
      <w:r w:rsidRPr="00701C3F">
        <w:rPr>
          <w:szCs w:val="24"/>
        </w:rPr>
        <w:t>QUINTO. De la Versión Pública</w:t>
      </w:r>
      <w:bookmarkEnd w:id="22"/>
      <w:bookmarkEnd w:id="23"/>
      <w:bookmarkEnd w:id="24"/>
      <w:bookmarkEnd w:id="25"/>
      <w:bookmarkEnd w:id="26"/>
      <w:bookmarkEnd w:id="27"/>
      <w:bookmarkEnd w:id="28"/>
      <w:bookmarkEnd w:id="29"/>
      <w:r w:rsidRPr="00701C3F">
        <w:rPr>
          <w:szCs w:val="24"/>
        </w:rPr>
        <w:t xml:space="preserve"> </w:t>
      </w:r>
    </w:p>
    <w:p w:rsidR="006249D2" w:rsidRPr="00701C3F" w:rsidRDefault="006249D2" w:rsidP="00066ADF">
      <w:pPr>
        <w:pStyle w:val="Prrafodelista"/>
        <w:numPr>
          <w:ilvl w:val="0"/>
          <w:numId w:val="16"/>
        </w:numPr>
        <w:spacing w:before="240" w:after="240" w:line="360" w:lineRule="auto"/>
        <w:ind w:left="0" w:right="49" w:firstLine="0"/>
        <w:jc w:val="both"/>
        <w:rPr>
          <w:rFonts w:ascii="Palatino Linotype" w:hAnsi="Palatino Linotype" w:cs="Bookman Old Style"/>
        </w:rPr>
      </w:pPr>
      <w:r w:rsidRPr="00701C3F">
        <w:rPr>
          <w:rFonts w:ascii="Palatino Linotype" w:eastAsia="Calibri" w:hAnsi="Palatino Linotype" w:cs="Arial"/>
          <w:szCs w:val="22"/>
          <w:lang w:val="es-ES" w:eastAsia="es-MX"/>
        </w:rPr>
        <w:t xml:space="preserve">Como ya se ha señalado en el considerando anterior el </w:t>
      </w:r>
      <w:r w:rsidRPr="00701C3F">
        <w:rPr>
          <w:rFonts w:ascii="Palatino Linotype" w:eastAsia="Calibri" w:hAnsi="Palatino Linotype" w:cs="Arial"/>
          <w:b/>
          <w:szCs w:val="22"/>
          <w:lang w:val="es-ES" w:eastAsia="es-MX"/>
        </w:rPr>
        <w:t>SUJETO OBLIGADO,</w:t>
      </w:r>
      <w:r w:rsidRPr="00701C3F">
        <w:rPr>
          <w:rFonts w:ascii="Palatino Linotype" w:eastAsia="Calibri" w:hAnsi="Palatino Linotype" w:cs="Arial"/>
          <w:szCs w:val="22"/>
          <w:lang w:val="es-ES" w:eastAsia="es-MX"/>
        </w:rPr>
        <w:t xml:space="preserve"> deberá entregar documento donde conste el registro de asistencia de los usuarios que acudieron a asesoría gratuita el día señalado en la solicitud.</w:t>
      </w:r>
      <w:r w:rsidRPr="00701C3F">
        <w:rPr>
          <w:rFonts w:ascii="Palatino Linotype" w:hAnsi="Palatino Linotype" w:cs="Bookman Old Style"/>
        </w:rPr>
        <w:t xml:space="preserve"> </w:t>
      </w:r>
      <w:r w:rsidRPr="00701C3F">
        <w:rPr>
          <w:rFonts w:ascii="Palatino Linotype" w:eastAsia="Calibri" w:hAnsi="Palatino Linotype" w:cs="Arial"/>
          <w:szCs w:val="22"/>
          <w:lang w:val="es-ES" w:eastAsia="es-MX"/>
        </w:rPr>
        <w:t xml:space="preserve">Documento en los que se contienen datos personales que deben de ser clasificados como confidenciales y deben </w:t>
      </w:r>
      <w:r w:rsidR="00CF239F" w:rsidRPr="00701C3F">
        <w:rPr>
          <w:rFonts w:ascii="Palatino Linotype" w:eastAsia="Calibri" w:hAnsi="Palatino Linotype" w:cs="Arial"/>
          <w:szCs w:val="22"/>
          <w:lang w:val="es-ES" w:eastAsia="es-MX"/>
        </w:rPr>
        <w:t xml:space="preserve">ser </w:t>
      </w:r>
      <w:r w:rsidRPr="00701C3F">
        <w:rPr>
          <w:rFonts w:ascii="Palatino Linotype" w:eastAsia="Calibri" w:hAnsi="Palatino Linotype" w:cs="Arial"/>
          <w:szCs w:val="22"/>
          <w:lang w:val="es-ES" w:eastAsia="es-MX"/>
        </w:rPr>
        <w:t>protegidos mediante una versión pública</w:t>
      </w:r>
      <w:r w:rsidRPr="00701C3F">
        <w:rPr>
          <w:rFonts w:ascii="Palatino Linotype" w:eastAsia="Times New Roman" w:hAnsi="Palatino Linotype" w:cs="Arial"/>
          <w:color w:val="222222"/>
          <w:szCs w:val="22"/>
          <w:lang w:val="es-ES" w:eastAsia="es-MX"/>
        </w:rPr>
        <w:t xml:space="preserve"> que deje a la vista los datos que ofrezcan la información requerida. </w:t>
      </w:r>
    </w:p>
    <w:p w:rsidR="006249D2" w:rsidRPr="00701C3F" w:rsidRDefault="006249D2" w:rsidP="006249D2">
      <w:pPr>
        <w:pStyle w:val="Prrafodelista"/>
        <w:spacing w:before="240" w:after="240" w:line="360" w:lineRule="auto"/>
        <w:ind w:left="0" w:right="49"/>
        <w:jc w:val="both"/>
        <w:rPr>
          <w:rFonts w:ascii="Palatino Linotype" w:hAnsi="Palatino Linotype" w:cs="Bookman Old Style"/>
        </w:rPr>
      </w:pPr>
    </w:p>
    <w:p w:rsidR="006249D2" w:rsidRPr="00701C3F" w:rsidRDefault="006249D2" w:rsidP="006249D2">
      <w:pPr>
        <w:pStyle w:val="Ttulo3"/>
        <w:numPr>
          <w:ilvl w:val="0"/>
          <w:numId w:val="14"/>
        </w:numPr>
        <w:spacing w:line="360" w:lineRule="auto"/>
        <w:rPr>
          <w:rFonts w:ascii="Palatino Linotype" w:eastAsia="Calibri" w:hAnsi="Palatino Linotype"/>
          <w:b/>
          <w:color w:val="auto"/>
        </w:rPr>
      </w:pPr>
      <w:bookmarkStart w:id="30" w:name="_Toc531859121"/>
      <w:bookmarkStart w:id="31" w:name="_Toc532385645"/>
      <w:bookmarkStart w:id="32" w:name="_Toc536618580"/>
      <w:r w:rsidRPr="00701C3F">
        <w:rPr>
          <w:rFonts w:ascii="Palatino Linotype" w:hAnsi="Palatino Linotype"/>
          <w:b/>
          <w:color w:val="auto"/>
        </w:rPr>
        <w:t>Requisitos previos.</w:t>
      </w:r>
      <w:bookmarkEnd w:id="30"/>
      <w:bookmarkEnd w:id="31"/>
      <w:bookmarkEnd w:id="32"/>
    </w:p>
    <w:p w:rsidR="006249D2" w:rsidRPr="00701C3F" w:rsidRDefault="006249D2" w:rsidP="006249D2">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rsidR="006249D2" w:rsidRPr="00701C3F" w:rsidRDefault="006249D2" w:rsidP="00066ADF">
      <w:pPr>
        <w:pStyle w:val="Prrafodelista"/>
        <w:numPr>
          <w:ilvl w:val="0"/>
          <w:numId w:val="16"/>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701C3F">
        <w:rPr>
          <w:rFonts w:ascii="Palatino Linotype" w:hAnsi="Palatino Linotype" w:cs="Arial"/>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rsidR="006249D2" w:rsidRPr="00701C3F" w:rsidRDefault="006249D2" w:rsidP="006249D2">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rsidR="006249D2" w:rsidRPr="00701C3F" w:rsidRDefault="006249D2" w:rsidP="00066ADF">
      <w:pPr>
        <w:pStyle w:val="Prrafodelista"/>
        <w:numPr>
          <w:ilvl w:val="0"/>
          <w:numId w:val="16"/>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701C3F">
        <w:rPr>
          <w:rFonts w:ascii="Palatino Linotype" w:hAnsi="Palatino Linotype" w:cs="Arial"/>
        </w:rPr>
        <w:t xml:space="preserve">Además, se debe señalar el procedimiento, de los tres que establece el artículo 132 Ley en comento por el que se realiza dicha clasificación, a saber, cuando se atiende una solicitud de acceso a la información, porque lo determina una </w:t>
      </w:r>
      <w:r w:rsidRPr="00701C3F">
        <w:rPr>
          <w:rFonts w:ascii="Palatino Linotype" w:hAnsi="Palatino Linotype" w:cs="Arial"/>
        </w:rPr>
        <w:lastRenderedPageBreak/>
        <w:t>autoridad competente o porque se va a generar una versión pública para cumplir con sus obligaciones.</w:t>
      </w:r>
    </w:p>
    <w:p w:rsidR="006249D2" w:rsidRPr="00701C3F" w:rsidRDefault="006249D2" w:rsidP="006249D2">
      <w:pPr>
        <w:pStyle w:val="Prrafodelista"/>
        <w:spacing w:line="360" w:lineRule="auto"/>
        <w:rPr>
          <w:rFonts w:ascii="Palatino Linotype" w:eastAsia="Calibri" w:hAnsi="Palatino Linotype" w:cs="Arial"/>
          <w:szCs w:val="22"/>
          <w:lang w:val="es-ES" w:eastAsia="es-MX"/>
        </w:rPr>
      </w:pPr>
    </w:p>
    <w:p w:rsidR="006249D2" w:rsidRPr="00701C3F" w:rsidRDefault="006249D2" w:rsidP="00066ADF">
      <w:pPr>
        <w:pStyle w:val="Prrafodelista"/>
        <w:numPr>
          <w:ilvl w:val="0"/>
          <w:numId w:val="16"/>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701C3F">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6249D2" w:rsidRPr="00701C3F" w:rsidRDefault="006249D2" w:rsidP="006249D2">
      <w:pPr>
        <w:pStyle w:val="Prrafodelista"/>
        <w:spacing w:line="360" w:lineRule="auto"/>
        <w:rPr>
          <w:rFonts w:ascii="Palatino Linotype" w:eastAsia="Calibri" w:hAnsi="Palatino Linotype" w:cs="Arial"/>
          <w:szCs w:val="22"/>
          <w:lang w:val="es-ES" w:eastAsia="es-MX"/>
        </w:rPr>
      </w:pPr>
    </w:p>
    <w:p w:rsidR="006249D2" w:rsidRPr="00701C3F" w:rsidRDefault="006249D2" w:rsidP="006249D2">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rsidR="006249D2" w:rsidRPr="00701C3F" w:rsidRDefault="006249D2" w:rsidP="006249D2">
      <w:pPr>
        <w:pStyle w:val="Ttulo3"/>
        <w:numPr>
          <w:ilvl w:val="0"/>
          <w:numId w:val="14"/>
        </w:numPr>
        <w:spacing w:line="360" w:lineRule="auto"/>
        <w:rPr>
          <w:rFonts w:ascii="Palatino Linotype" w:hAnsi="Palatino Linotype"/>
          <w:b/>
          <w:color w:val="auto"/>
        </w:rPr>
      </w:pPr>
      <w:bookmarkStart w:id="33" w:name="_Toc531859122"/>
      <w:bookmarkStart w:id="34" w:name="_Toc532385646"/>
      <w:bookmarkStart w:id="35" w:name="_Toc536618581"/>
      <w:r w:rsidRPr="00701C3F">
        <w:rPr>
          <w:rFonts w:ascii="Palatino Linotype" w:hAnsi="Palatino Linotype"/>
          <w:b/>
          <w:color w:val="auto"/>
        </w:rPr>
        <w:t>Supuesto de clasificación.</w:t>
      </w:r>
      <w:bookmarkEnd w:id="33"/>
      <w:bookmarkEnd w:id="34"/>
      <w:bookmarkEnd w:id="35"/>
    </w:p>
    <w:p w:rsidR="006249D2" w:rsidRPr="00701C3F" w:rsidRDefault="006249D2" w:rsidP="006249D2">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rsidR="006249D2" w:rsidRPr="00701C3F" w:rsidRDefault="006249D2" w:rsidP="00066ADF">
      <w:pPr>
        <w:pStyle w:val="Prrafodelista"/>
        <w:numPr>
          <w:ilvl w:val="0"/>
          <w:numId w:val="16"/>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701C3F">
        <w:rPr>
          <w:rFonts w:ascii="Palatino Linotype" w:eastAsia="Calibri" w:hAnsi="Palatino Linotype" w:cs="Arial"/>
          <w:szCs w:val="22"/>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rsidR="006249D2" w:rsidRPr="00701C3F" w:rsidRDefault="006249D2" w:rsidP="006249D2">
      <w:pPr>
        <w:autoSpaceDE w:val="0"/>
        <w:autoSpaceDN w:val="0"/>
        <w:adjustRightInd w:val="0"/>
        <w:spacing w:after="160" w:line="360" w:lineRule="auto"/>
        <w:ind w:left="567" w:right="567"/>
        <w:jc w:val="both"/>
        <w:rPr>
          <w:rFonts w:ascii="Palatino Linotype" w:hAnsi="Palatino Linotype" w:cs="Arial"/>
          <w:i/>
          <w:sz w:val="22"/>
          <w:lang w:val="es-MX"/>
        </w:rPr>
      </w:pPr>
      <w:r w:rsidRPr="00701C3F">
        <w:rPr>
          <w:rFonts w:ascii="Palatino Linotype" w:hAnsi="Palatino Linotype" w:cs="Arial"/>
          <w:b/>
          <w:bCs/>
          <w:i/>
          <w:sz w:val="22"/>
          <w:lang w:val="es-MX"/>
        </w:rPr>
        <w:t xml:space="preserve">Artículo 3. </w:t>
      </w:r>
      <w:r w:rsidRPr="00701C3F">
        <w:rPr>
          <w:rFonts w:ascii="Palatino Linotype" w:hAnsi="Palatino Linotype" w:cs="Arial"/>
          <w:i/>
          <w:sz w:val="22"/>
          <w:lang w:val="es-MX"/>
        </w:rPr>
        <w:t>Para los efectos de la presente Ley se entenderá por:</w:t>
      </w:r>
    </w:p>
    <w:p w:rsidR="006249D2" w:rsidRPr="00701C3F" w:rsidRDefault="006249D2" w:rsidP="006249D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701C3F">
        <w:rPr>
          <w:rFonts w:ascii="Palatino Linotype" w:eastAsia="Calibri" w:hAnsi="Palatino Linotype" w:cs="Arial"/>
          <w:i/>
          <w:sz w:val="22"/>
          <w:szCs w:val="22"/>
          <w:lang w:val="es-ES" w:eastAsia="es-MX"/>
        </w:rPr>
        <w:t xml:space="preserve"> (…)</w:t>
      </w:r>
    </w:p>
    <w:p w:rsidR="006249D2" w:rsidRPr="00701C3F" w:rsidRDefault="006249D2" w:rsidP="006249D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701C3F">
        <w:rPr>
          <w:rFonts w:ascii="Palatino Linotype" w:eastAsia="Calibri" w:hAnsi="Palatino Linotype" w:cs="Arial"/>
          <w:i/>
          <w:sz w:val="22"/>
          <w:szCs w:val="22"/>
          <w:lang w:val="es-ES" w:eastAsia="es-MX"/>
        </w:rPr>
        <w:lastRenderedPageBreak/>
        <w:t>IX. Datos personales: La información concerniente a una persona, identificada o identificable según lo dispuesto por la Ley de Protección de Datos Personales del Estado de México;</w:t>
      </w:r>
    </w:p>
    <w:p w:rsidR="006249D2" w:rsidRPr="00701C3F" w:rsidRDefault="006249D2" w:rsidP="006249D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701C3F">
        <w:rPr>
          <w:rFonts w:ascii="Palatino Linotype" w:eastAsia="Calibri" w:hAnsi="Palatino Linotype" w:cs="Arial"/>
          <w:i/>
          <w:sz w:val="22"/>
          <w:szCs w:val="22"/>
          <w:lang w:val="es-ES" w:eastAsia="es-MX"/>
        </w:rPr>
        <w:t>(…)</w:t>
      </w:r>
    </w:p>
    <w:p w:rsidR="006249D2" w:rsidRPr="00701C3F" w:rsidRDefault="006249D2" w:rsidP="006249D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701C3F">
        <w:rPr>
          <w:rFonts w:ascii="Palatino Linotype" w:eastAsia="Calibri" w:hAnsi="Palatino Linotype" w:cs="Arial"/>
          <w:i/>
          <w:sz w:val="22"/>
          <w:szCs w:val="22"/>
          <w:lang w:val="es-ES" w:eastAsia="es-MX"/>
        </w:rPr>
        <w:t>XX. Información clasificada: Aquella considerada por la presente Ley como reservada o confidencial;</w:t>
      </w:r>
    </w:p>
    <w:p w:rsidR="006249D2" w:rsidRPr="00701C3F" w:rsidRDefault="006249D2" w:rsidP="006249D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701C3F">
        <w:rPr>
          <w:rFonts w:ascii="Palatino Linotype" w:eastAsia="Calibri" w:hAnsi="Palatino Linotype" w:cs="Arial"/>
          <w:i/>
          <w:sz w:val="22"/>
          <w:szCs w:val="22"/>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6249D2" w:rsidRPr="00701C3F" w:rsidRDefault="006249D2" w:rsidP="006249D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701C3F">
        <w:rPr>
          <w:rFonts w:ascii="Palatino Linotype" w:eastAsia="Calibri" w:hAnsi="Palatino Linotype" w:cs="Arial"/>
          <w:i/>
          <w:sz w:val="22"/>
          <w:szCs w:val="22"/>
          <w:lang w:val="es-ES" w:eastAsia="es-MX"/>
        </w:rPr>
        <w:t>(…)</w:t>
      </w:r>
    </w:p>
    <w:p w:rsidR="006249D2" w:rsidRPr="00701C3F" w:rsidRDefault="006249D2" w:rsidP="006249D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701C3F">
        <w:rPr>
          <w:rFonts w:ascii="Palatino Linotype" w:eastAsia="Calibri" w:hAnsi="Palatino Linotype" w:cs="Arial"/>
          <w:i/>
          <w:sz w:val="22"/>
          <w:szCs w:val="22"/>
          <w:lang w:val="es-ES" w:eastAsia="es-MX"/>
        </w:rPr>
        <w:t>XLV. Versión pública: Documento en el que se elimine, suprime o borra la información clasificada como reservada o confidencial para permitir su acceso.</w:t>
      </w:r>
    </w:p>
    <w:p w:rsidR="006249D2" w:rsidRPr="00701C3F" w:rsidRDefault="006249D2" w:rsidP="006249D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701C3F">
        <w:rPr>
          <w:rFonts w:ascii="Palatino Linotype" w:eastAsia="Calibri" w:hAnsi="Palatino Linotype" w:cs="Arial"/>
          <w:i/>
          <w:sz w:val="22"/>
          <w:szCs w:val="22"/>
          <w:lang w:val="es-ES" w:eastAsia="es-MX"/>
        </w:rPr>
        <w:t>(…)</w:t>
      </w:r>
    </w:p>
    <w:p w:rsidR="006249D2" w:rsidRPr="00701C3F" w:rsidRDefault="006249D2" w:rsidP="006249D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701C3F">
        <w:rPr>
          <w:rFonts w:ascii="Palatino Linotype" w:eastAsia="Calibri" w:hAnsi="Palatino Linotype" w:cs="Arial"/>
          <w:i/>
          <w:sz w:val="22"/>
          <w:szCs w:val="22"/>
          <w:lang w:val="es-ES" w:eastAsia="es-MX"/>
        </w:rPr>
        <w:t>Artículo 91. El acceso a la información pública será restringido excepcionalmente, cuando ésta sea clasificada como reservada o confidencial.</w:t>
      </w:r>
    </w:p>
    <w:p w:rsidR="006249D2" w:rsidRPr="00701C3F" w:rsidRDefault="006249D2" w:rsidP="006249D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701C3F">
        <w:rPr>
          <w:rFonts w:ascii="Palatino Linotype" w:eastAsia="Calibri" w:hAnsi="Palatino Linotype" w:cs="Arial"/>
          <w:i/>
          <w:sz w:val="22"/>
          <w:szCs w:val="22"/>
          <w:lang w:val="es-ES" w:eastAsia="es-MX"/>
        </w:rPr>
        <w:t>(…)</w:t>
      </w:r>
    </w:p>
    <w:p w:rsidR="006249D2" w:rsidRPr="00701C3F" w:rsidRDefault="006249D2" w:rsidP="006249D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701C3F">
        <w:rPr>
          <w:rFonts w:ascii="Palatino Linotype" w:eastAsia="Calibri" w:hAnsi="Palatino Linotype" w:cs="Arial"/>
          <w:i/>
          <w:sz w:val="22"/>
          <w:szCs w:val="22"/>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6249D2" w:rsidRPr="00701C3F" w:rsidRDefault="006249D2" w:rsidP="006249D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701C3F">
        <w:rPr>
          <w:rFonts w:ascii="Palatino Linotype" w:eastAsia="Calibri" w:hAnsi="Palatino Linotype" w:cs="Arial"/>
          <w:i/>
          <w:sz w:val="22"/>
          <w:szCs w:val="22"/>
          <w:lang w:val="es-ES" w:eastAsia="es-MX"/>
        </w:rPr>
        <w:t>(…)</w:t>
      </w:r>
    </w:p>
    <w:p w:rsidR="006249D2" w:rsidRPr="00701C3F" w:rsidRDefault="006249D2" w:rsidP="006249D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701C3F">
        <w:rPr>
          <w:rFonts w:ascii="Palatino Linotype" w:eastAsia="Calibri" w:hAnsi="Palatino Linotype" w:cs="Arial"/>
          <w:i/>
          <w:sz w:val="22"/>
          <w:szCs w:val="22"/>
          <w:lang w:val="es-ES" w:eastAsia="es-MX"/>
        </w:rPr>
        <w:lastRenderedPageBreak/>
        <w:t>Artículo 143. Para los efectos de esta Ley se considera información confidencial, la clasificada como tal, de manera permanente, por su naturaleza, cuando:</w:t>
      </w:r>
    </w:p>
    <w:p w:rsidR="006249D2" w:rsidRPr="00701C3F" w:rsidRDefault="006249D2" w:rsidP="006249D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701C3F">
        <w:rPr>
          <w:rFonts w:ascii="Palatino Linotype" w:eastAsia="Calibri" w:hAnsi="Palatino Linotype" w:cs="Arial"/>
          <w:i/>
          <w:sz w:val="22"/>
          <w:szCs w:val="22"/>
          <w:lang w:val="es-ES" w:eastAsia="es-MX"/>
        </w:rPr>
        <w:t xml:space="preserve">I. Se refiera a la información privada y los datos personales concernientes a una persona física o </w:t>
      </w:r>
      <w:proofErr w:type="gramStart"/>
      <w:r w:rsidRPr="00701C3F">
        <w:rPr>
          <w:rFonts w:ascii="Palatino Linotype" w:eastAsia="Calibri" w:hAnsi="Palatino Linotype" w:cs="Arial"/>
          <w:i/>
          <w:sz w:val="22"/>
          <w:szCs w:val="22"/>
          <w:lang w:val="es-ES" w:eastAsia="es-MX"/>
        </w:rPr>
        <w:t>jurídico</w:t>
      </w:r>
      <w:proofErr w:type="gramEnd"/>
      <w:r w:rsidRPr="00701C3F">
        <w:rPr>
          <w:rFonts w:ascii="Palatino Linotype" w:eastAsia="Calibri" w:hAnsi="Palatino Linotype" w:cs="Arial"/>
          <w:i/>
          <w:sz w:val="22"/>
          <w:szCs w:val="22"/>
          <w:lang w:val="es-ES" w:eastAsia="es-MX"/>
        </w:rPr>
        <w:t xml:space="preserve"> colectiva identificada o identificable;</w:t>
      </w:r>
    </w:p>
    <w:p w:rsidR="006249D2" w:rsidRPr="00701C3F" w:rsidRDefault="006249D2" w:rsidP="006249D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701C3F">
        <w:rPr>
          <w:rFonts w:ascii="Palatino Linotype" w:eastAsia="Calibri" w:hAnsi="Palatino Linotype" w:cs="Arial"/>
          <w:i/>
          <w:sz w:val="22"/>
          <w:szCs w:val="22"/>
          <w:lang w:val="es-ES" w:eastAsia="es-MX"/>
        </w:rPr>
        <w:t>La información confidencial no estará sujeta a temporalidad alguna y sólo podrán tener acceso a ella los titulares de la misma, sus representantes y los servidores públicos facultados para ello.</w:t>
      </w:r>
    </w:p>
    <w:p w:rsidR="006249D2" w:rsidRPr="00701C3F" w:rsidRDefault="006249D2" w:rsidP="006249D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701C3F">
        <w:rPr>
          <w:rFonts w:ascii="Palatino Linotype" w:eastAsia="Calibri" w:hAnsi="Palatino Linotype" w:cs="Arial"/>
          <w:i/>
          <w:sz w:val="22"/>
          <w:szCs w:val="22"/>
          <w:lang w:val="es-ES" w:eastAsia="es-MX"/>
        </w:rPr>
        <w:t>No se considerará confidencial la información que se encuentre en los registros públicos o en fuentes de acceso público, ni tampoco la que sea considerada por la presente ley como información pública.</w:t>
      </w:r>
    </w:p>
    <w:p w:rsidR="006249D2" w:rsidRPr="00701C3F" w:rsidRDefault="006249D2" w:rsidP="006249D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p>
    <w:p w:rsidR="006249D2" w:rsidRPr="00701C3F" w:rsidRDefault="006249D2" w:rsidP="00066ADF">
      <w:pPr>
        <w:pStyle w:val="Prrafodelista"/>
        <w:numPr>
          <w:ilvl w:val="0"/>
          <w:numId w:val="16"/>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701C3F">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6249D2" w:rsidRPr="00701C3F" w:rsidRDefault="006249D2" w:rsidP="00066ADF">
      <w:pPr>
        <w:pStyle w:val="Prrafodelista"/>
        <w:numPr>
          <w:ilvl w:val="0"/>
          <w:numId w:val="16"/>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701C3F">
        <w:rPr>
          <w:rFonts w:ascii="Palatino Linotype" w:hAnsi="Palatino Linotype" w:cs="Arial"/>
        </w:rPr>
        <w:t>Como consecuencia de lo anterior, el sujeto obligado debe identificar claramente el tipo de información y hacer un juicio de subsunción o encaje</w:t>
      </w:r>
      <w:r w:rsidRPr="00701C3F">
        <w:rPr>
          <w:rStyle w:val="Refdenotaalpie"/>
          <w:rFonts w:ascii="Palatino Linotype" w:hAnsi="Palatino Linotype" w:cs="Arial"/>
        </w:rPr>
        <w:footnoteReference w:id="19"/>
      </w:r>
      <w:r w:rsidRPr="00701C3F">
        <w:rPr>
          <w:rFonts w:ascii="Palatino Linotype" w:hAnsi="Palatino Linotype" w:cs="Arial"/>
        </w:rPr>
        <w:t xml:space="preserve"> para </w:t>
      </w:r>
      <w:r w:rsidRPr="00701C3F">
        <w:rPr>
          <w:rFonts w:ascii="Palatino Linotype" w:hAnsi="Palatino Linotype" w:cs="Arial"/>
        </w:rPr>
        <w:lastRenderedPageBreak/>
        <w:t>acreditar que el supuesto de hecho corresponde estrictamente con la hipótesis jurídica. Esto también lo debe de realizar el servidor público habilitado y el titular del área que administra la información.</w:t>
      </w:r>
    </w:p>
    <w:p w:rsidR="006249D2" w:rsidRPr="00701C3F" w:rsidRDefault="006249D2" w:rsidP="006249D2">
      <w:pPr>
        <w:pStyle w:val="Prrafodelista"/>
        <w:spacing w:line="360" w:lineRule="auto"/>
        <w:rPr>
          <w:rFonts w:ascii="Palatino Linotype" w:eastAsia="Calibri" w:hAnsi="Palatino Linotype" w:cs="Arial"/>
          <w:szCs w:val="22"/>
          <w:lang w:val="es-ES" w:eastAsia="es-MX"/>
        </w:rPr>
      </w:pPr>
    </w:p>
    <w:p w:rsidR="006249D2" w:rsidRPr="00701C3F" w:rsidRDefault="006249D2" w:rsidP="00066ADF">
      <w:pPr>
        <w:pStyle w:val="Prrafodelista"/>
        <w:numPr>
          <w:ilvl w:val="0"/>
          <w:numId w:val="16"/>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701C3F">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rsidR="006249D2" w:rsidRPr="00701C3F" w:rsidRDefault="006249D2" w:rsidP="006249D2">
      <w:pPr>
        <w:pStyle w:val="Prrafodelista"/>
        <w:spacing w:line="360" w:lineRule="auto"/>
        <w:rPr>
          <w:rFonts w:ascii="Palatino Linotype" w:eastAsia="Calibri" w:hAnsi="Palatino Linotype" w:cs="Arial"/>
          <w:szCs w:val="22"/>
          <w:lang w:val="es-ES" w:eastAsia="es-MX"/>
        </w:rPr>
      </w:pPr>
    </w:p>
    <w:p w:rsidR="006249D2" w:rsidRPr="00701C3F" w:rsidRDefault="006249D2" w:rsidP="006249D2">
      <w:pPr>
        <w:pStyle w:val="Ttulo3"/>
        <w:numPr>
          <w:ilvl w:val="0"/>
          <w:numId w:val="14"/>
        </w:numPr>
        <w:spacing w:line="360" w:lineRule="auto"/>
        <w:rPr>
          <w:rFonts w:ascii="Palatino Linotype" w:hAnsi="Palatino Linotype"/>
          <w:b/>
          <w:color w:val="auto"/>
        </w:rPr>
      </w:pPr>
      <w:bookmarkStart w:id="36" w:name="_Toc531859123"/>
      <w:bookmarkStart w:id="37" w:name="_Toc532385647"/>
      <w:bookmarkStart w:id="38" w:name="_Toc536618582"/>
      <w:r w:rsidRPr="00701C3F">
        <w:rPr>
          <w:rFonts w:ascii="Palatino Linotype" w:hAnsi="Palatino Linotype"/>
          <w:b/>
          <w:color w:val="auto"/>
        </w:rPr>
        <w:t>La intervención del Comité de Transparencia.</w:t>
      </w:r>
      <w:bookmarkEnd w:id="36"/>
      <w:bookmarkEnd w:id="37"/>
      <w:bookmarkEnd w:id="38"/>
    </w:p>
    <w:p w:rsidR="006249D2" w:rsidRPr="00701C3F" w:rsidRDefault="006249D2" w:rsidP="00066ADF">
      <w:pPr>
        <w:pStyle w:val="Ttulo4"/>
        <w:numPr>
          <w:ilvl w:val="1"/>
          <w:numId w:val="16"/>
        </w:numPr>
        <w:spacing w:line="360" w:lineRule="auto"/>
        <w:rPr>
          <w:rFonts w:ascii="Palatino Linotype" w:hAnsi="Palatino Linotype"/>
          <w:b/>
          <w:i w:val="0"/>
          <w:color w:val="auto"/>
        </w:rPr>
      </w:pPr>
      <w:r w:rsidRPr="00701C3F">
        <w:rPr>
          <w:rFonts w:ascii="Palatino Linotype" w:hAnsi="Palatino Linotype"/>
          <w:b/>
          <w:i w:val="0"/>
          <w:color w:val="auto"/>
        </w:rPr>
        <w:t>Formalidades para emitir el acuerdo de clasificación.</w:t>
      </w:r>
    </w:p>
    <w:p w:rsidR="006249D2" w:rsidRPr="00701C3F" w:rsidRDefault="006249D2" w:rsidP="006249D2">
      <w:pPr>
        <w:spacing w:line="360" w:lineRule="auto"/>
        <w:rPr>
          <w:rFonts w:ascii="Palatino Linotype" w:hAnsi="Palatino Linotype"/>
          <w:lang w:val="es-MX" w:eastAsia="en-US"/>
        </w:rPr>
      </w:pPr>
    </w:p>
    <w:p w:rsidR="006249D2" w:rsidRPr="00701C3F" w:rsidRDefault="006249D2" w:rsidP="00066ADF">
      <w:pPr>
        <w:pStyle w:val="Prrafodelista"/>
        <w:numPr>
          <w:ilvl w:val="0"/>
          <w:numId w:val="16"/>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701C3F">
        <w:rPr>
          <w:rFonts w:ascii="Palatino Linotype" w:hAnsi="Palatino Linotype" w:cs="Arial"/>
        </w:rPr>
        <w:t xml:space="preserve">El Comité de Transparencia, según lo dispuesto en los artículos 128 y 103 de la Ley Estatal y de la Ley General, respectivamente, y </w:t>
      </w:r>
      <w:r w:rsidRPr="00701C3F">
        <w:rPr>
          <w:rFonts w:ascii="Palatino Linotype" w:hAnsi="Palatino Linotype"/>
        </w:rPr>
        <w:t xml:space="preserve">la fracción III del numeral Segundo de los </w:t>
      </w:r>
      <w:r w:rsidRPr="00701C3F">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701C3F">
        <w:rPr>
          <w:rFonts w:ascii="Palatino Linotype" w:hAnsi="Palatino Linotype"/>
        </w:rPr>
        <w:t xml:space="preserve"> </w:t>
      </w:r>
      <w:r w:rsidRPr="00701C3F">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6249D2" w:rsidRPr="00701C3F" w:rsidRDefault="006249D2" w:rsidP="006249D2">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rsidR="006249D2" w:rsidRPr="00701C3F" w:rsidRDefault="006249D2" w:rsidP="00066ADF">
      <w:pPr>
        <w:pStyle w:val="Prrafodelista"/>
        <w:numPr>
          <w:ilvl w:val="0"/>
          <w:numId w:val="16"/>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701C3F">
        <w:rPr>
          <w:rFonts w:ascii="Palatino Linotype" w:hAnsi="Palatino Linotype" w:cs="Arial"/>
        </w:rPr>
        <w:lastRenderedPageBreak/>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6249D2" w:rsidRPr="00701C3F" w:rsidRDefault="006249D2" w:rsidP="006249D2">
      <w:pPr>
        <w:pStyle w:val="Prrafodelista"/>
        <w:spacing w:line="360" w:lineRule="auto"/>
        <w:rPr>
          <w:rFonts w:ascii="Palatino Linotype" w:eastAsia="Calibri" w:hAnsi="Palatino Linotype" w:cs="Arial"/>
          <w:szCs w:val="22"/>
          <w:lang w:val="es-ES" w:eastAsia="es-MX"/>
        </w:rPr>
      </w:pPr>
    </w:p>
    <w:p w:rsidR="006249D2" w:rsidRPr="00701C3F" w:rsidRDefault="006249D2" w:rsidP="00066ADF">
      <w:pPr>
        <w:pStyle w:val="Prrafodelista"/>
        <w:numPr>
          <w:ilvl w:val="0"/>
          <w:numId w:val="16"/>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701C3F">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6249D2" w:rsidRPr="00701C3F" w:rsidRDefault="006249D2" w:rsidP="006249D2">
      <w:pPr>
        <w:pStyle w:val="Ttulo4"/>
        <w:spacing w:line="360" w:lineRule="auto"/>
        <w:rPr>
          <w:rFonts w:ascii="Palatino Linotype" w:hAnsi="Palatino Linotype"/>
          <w:b/>
        </w:rPr>
      </w:pPr>
    </w:p>
    <w:p w:rsidR="006249D2" w:rsidRPr="00701C3F" w:rsidRDefault="006249D2" w:rsidP="006249D2">
      <w:pPr>
        <w:pStyle w:val="Ttulo4"/>
        <w:numPr>
          <w:ilvl w:val="0"/>
          <w:numId w:val="15"/>
        </w:numPr>
        <w:spacing w:line="360" w:lineRule="auto"/>
        <w:rPr>
          <w:rFonts w:ascii="Palatino Linotype" w:hAnsi="Palatino Linotype"/>
          <w:b/>
          <w:i w:val="0"/>
          <w:sz w:val="22"/>
        </w:rPr>
      </w:pPr>
      <w:r w:rsidRPr="00701C3F">
        <w:rPr>
          <w:rFonts w:ascii="Palatino Linotype" w:hAnsi="Palatino Linotype"/>
          <w:b/>
          <w:i w:val="0"/>
          <w:color w:val="auto"/>
        </w:rPr>
        <w:t>Requisitos de fondo del acuerdo de clasificación</w:t>
      </w:r>
    </w:p>
    <w:p w:rsidR="006249D2" w:rsidRPr="00701C3F" w:rsidRDefault="006249D2" w:rsidP="006249D2">
      <w:pPr>
        <w:pStyle w:val="Prrafodelista"/>
        <w:spacing w:line="360" w:lineRule="auto"/>
        <w:rPr>
          <w:rFonts w:ascii="Palatino Linotype" w:eastAsia="Calibri" w:hAnsi="Palatino Linotype" w:cs="Arial"/>
          <w:szCs w:val="22"/>
          <w:lang w:val="es-ES" w:eastAsia="es-MX"/>
        </w:rPr>
      </w:pPr>
    </w:p>
    <w:p w:rsidR="006249D2" w:rsidRPr="00701C3F" w:rsidRDefault="006249D2" w:rsidP="00066ADF">
      <w:pPr>
        <w:pStyle w:val="Prrafodelista"/>
        <w:numPr>
          <w:ilvl w:val="0"/>
          <w:numId w:val="16"/>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701C3F">
        <w:rPr>
          <w:rFonts w:ascii="Palatino Linotype" w:hAnsi="Palatino Linotype" w:cs="Arial"/>
        </w:rPr>
        <w:lastRenderedPageBreak/>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6249D2" w:rsidRPr="00701C3F" w:rsidRDefault="006249D2" w:rsidP="006249D2">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rsidR="006249D2" w:rsidRPr="00701C3F" w:rsidRDefault="006249D2" w:rsidP="00066ADF">
      <w:pPr>
        <w:pStyle w:val="Prrafodelista"/>
        <w:numPr>
          <w:ilvl w:val="0"/>
          <w:numId w:val="16"/>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701C3F">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6249D2" w:rsidRPr="00701C3F" w:rsidRDefault="006249D2" w:rsidP="006249D2">
      <w:pPr>
        <w:pStyle w:val="Prrafodelista"/>
        <w:spacing w:line="360" w:lineRule="auto"/>
        <w:rPr>
          <w:rFonts w:ascii="Palatino Linotype" w:eastAsia="Calibri" w:hAnsi="Palatino Linotype" w:cs="Arial"/>
          <w:szCs w:val="22"/>
          <w:lang w:val="es-ES" w:eastAsia="es-MX"/>
        </w:rPr>
      </w:pPr>
    </w:p>
    <w:p w:rsidR="006249D2" w:rsidRPr="00701C3F" w:rsidRDefault="006249D2" w:rsidP="00066ADF">
      <w:pPr>
        <w:pStyle w:val="Prrafodelista"/>
        <w:numPr>
          <w:ilvl w:val="0"/>
          <w:numId w:val="16"/>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701C3F">
        <w:rPr>
          <w:rFonts w:ascii="Palatino Linotype" w:eastAsia="Times New Roman" w:hAnsi="Palatino Linotype" w:cs="Arial"/>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w:t>
      </w:r>
      <w:r w:rsidRPr="00701C3F">
        <w:rPr>
          <w:rFonts w:ascii="Palatino Linotype" w:eastAsia="Times New Roman" w:hAnsi="Palatino Linotype" w:cs="Arial"/>
          <w:lang w:eastAsia="es-MX"/>
        </w:rPr>
        <w:lastRenderedPageBreak/>
        <w:t>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701C3F">
        <w:rPr>
          <w:rStyle w:val="Refdenotaalpie"/>
          <w:rFonts w:ascii="Palatino Linotype" w:eastAsia="Times New Roman" w:hAnsi="Palatino Linotype" w:cs="Arial"/>
          <w:lang w:eastAsia="es-MX"/>
        </w:rPr>
        <w:footnoteReference w:id="20"/>
      </w:r>
    </w:p>
    <w:p w:rsidR="006249D2" w:rsidRPr="00701C3F" w:rsidRDefault="006249D2" w:rsidP="006249D2">
      <w:pPr>
        <w:pStyle w:val="Prrafodelista"/>
        <w:spacing w:line="360" w:lineRule="auto"/>
        <w:rPr>
          <w:rFonts w:ascii="Palatino Linotype" w:eastAsia="Calibri" w:hAnsi="Palatino Linotype" w:cs="Arial"/>
          <w:szCs w:val="22"/>
          <w:lang w:val="es-ES" w:eastAsia="es-MX"/>
        </w:rPr>
      </w:pPr>
    </w:p>
    <w:p w:rsidR="006249D2" w:rsidRPr="00701C3F" w:rsidRDefault="006249D2" w:rsidP="00066ADF">
      <w:pPr>
        <w:pStyle w:val="Prrafodelista"/>
        <w:numPr>
          <w:ilvl w:val="0"/>
          <w:numId w:val="16"/>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701C3F">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rsidR="006249D2" w:rsidRPr="00701C3F" w:rsidRDefault="006249D2" w:rsidP="006249D2">
      <w:pPr>
        <w:pStyle w:val="Prrafodelista"/>
        <w:rPr>
          <w:rFonts w:ascii="Palatino Linotype" w:eastAsia="Calibri" w:hAnsi="Palatino Linotype" w:cs="Arial"/>
          <w:szCs w:val="22"/>
          <w:lang w:val="es-ES" w:eastAsia="es-MX"/>
        </w:rPr>
      </w:pPr>
    </w:p>
    <w:p w:rsidR="006249D2" w:rsidRPr="00701C3F" w:rsidRDefault="006249D2" w:rsidP="006249D2">
      <w:pPr>
        <w:spacing w:line="360" w:lineRule="auto"/>
        <w:ind w:left="567" w:right="567"/>
        <w:contextualSpacing/>
        <w:jc w:val="both"/>
        <w:rPr>
          <w:rFonts w:ascii="Palatino Linotype" w:hAnsi="Palatino Linotype" w:cs="Arial"/>
          <w:i/>
          <w:sz w:val="22"/>
        </w:rPr>
      </w:pPr>
      <w:r w:rsidRPr="00701C3F">
        <w:rPr>
          <w:rFonts w:ascii="Palatino Linotype" w:hAnsi="Palatino Linotype" w:cs="Arial"/>
          <w:b/>
          <w:i/>
          <w:sz w:val="22"/>
        </w:rPr>
        <w:t>FUNDAMENTACIÓN Y MOTIVACIÓN.</w:t>
      </w:r>
      <w:r w:rsidRPr="00701C3F">
        <w:rPr>
          <w:rFonts w:ascii="Palatino Linotype" w:hAnsi="Palatino Linotype" w:cs="Arial"/>
          <w:i/>
          <w:sz w:val="22"/>
        </w:rPr>
        <w:t xml:space="preserve"> La </w:t>
      </w:r>
      <w:r w:rsidRPr="00701C3F">
        <w:rPr>
          <w:rFonts w:ascii="Palatino Linotype" w:hAnsi="Palatino Linotype" w:cs="Arial"/>
          <w:i/>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701C3F">
        <w:rPr>
          <w:rFonts w:ascii="Palatino Linotype" w:hAnsi="Palatino Linotype" w:cs="Arial"/>
          <w:i/>
          <w:sz w:val="22"/>
        </w:rPr>
        <w:t>.</w:t>
      </w:r>
    </w:p>
    <w:p w:rsidR="006249D2" w:rsidRPr="00701C3F" w:rsidRDefault="006249D2" w:rsidP="006249D2">
      <w:pPr>
        <w:spacing w:line="360" w:lineRule="auto"/>
        <w:ind w:left="567" w:right="567"/>
        <w:contextualSpacing/>
        <w:jc w:val="both"/>
        <w:rPr>
          <w:rFonts w:ascii="Palatino Linotype" w:hAnsi="Palatino Linotype" w:cs="Arial"/>
          <w:i/>
          <w:sz w:val="22"/>
        </w:rPr>
      </w:pPr>
      <w:r w:rsidRPr="00701C3F">
        <w:rPr>
          <w:rFonts w:ascii="Palatino Linotype" w:hAnsi="Palatino Linotype" w:cs="Arial"/>
          <w:i/>
          <w:sz w:val="22"/>
        </w:rPr>
        <w:t>SEGUNDO TRIBUNAL COLEGIADO DEL SEXTO CIRCUITO.</w:t>
      </w:r>
    </w:p>
    <w:p w:rsidR="006249D2" w:rsidRPr="00701C3F" w:rsidRDefault="006249D2" w:rsidP="006249D2">
      <w:pPr>
        <w:spacing w:line="360" w:lineRule="auto"/>
        <w:ind w:left="567" w:right="567"/>
        <w:contextualSpacing/>
        <w:jc w:val="both"/>
        <w:rPr>
          <w:rFonts w:ascii="Palatino Linotype" w:hAnsi="Palatino Linotype" w:cs="Arial"/>
          <w:i/>
          <w:sz w:val="22"/>
        </w:rPr>
      </w:pPr>
      <w:r w:rsidRPr="00701C3F">
        <w:rPr>
          <w:rFonts w:ascii="Palatino Linotype" w:hAnsi="Palatino Linotype" w:cs="Arial"/>
          <w:i/>
          <w:sz w:val="22"/>
        </w:rPr>
        <w:t>Amparo directo 194/88. Bufete Industrial Construcciones, S.A. de C.V. 28 de junio de 1988. Unanimidad de votos. Ponente: Gustavo Calvillo Rangel. Secretario: Jorge Alberto González Álvarez.</w:t>
      </w:r>
    </w:p>
    <w:p w:rsidR="006249D2" w:rsidRPr="00701C3F" w:rsidRDefault="006249D2" w:rsidP="006249D2">
      <w:pPr>
        <w:spacing w:line="360" w:lineRule="auto"/>
        <w:ind w:left="567" w:right="567"/>
        <w:contextualSpacing/>
        <w:jc w:val="both"/>
        <w:rPr>
          <w:rFonts w:ascii="Palatino Linotype" w:hAnsi="Palatino Linotype" w:cs="Arial"/>
          <w:i/>
          <w:sz w:val="22"/>
        </w:rPr>
      </w:pPr>
      <w:r w:rsidRPr="00701C3F">
        <w:rPr>
          <w:rFonts w:ascii="Palatino Linotype" w:hAnsi="Palatino Linotype" w:cs="Arial"/>
          <w:i/>
          <w:sz w:val="22"/>
        </w:rPr>
        <w:t xml:space="preserve">Revisión fiscal 103/88. Instituto Mexicano del Seguro Social. 18 de octubre de 1988. Unanimidad de votos. Ponente: Arnoldo Nájera Virgen. Secretario: Alejandro </w:t>
      </w:r>
      <w:proofErr w:type="spellStart"/>
      <w:r w:rsidRPr="00701C3F">
        <w:rPr>
          <w:rFonts w:ascii="Palatino Linotype" w:hAnsi="Palatino Linotype" w:cs="Arial"/>
          <w:i/>
          <w:sz w:val="22"/>
        </w:rPr>
        <w:t>Esponda</w:t>
      </w:r>
      <w:proofErr w:type="spellEnd"/>
      <w:r w:rsidRPr="00701C3F">
        <w:rPr>
          <w:rFonts w:ascii="Palatino Linotype" w:hAnsi="Palatino Linotype" w:cs="Arial"/>
          <w:i/>
          <w:sz w:val="22"/>
        </w:rPr>
        <w:t xml:space="preserve"> Rincón.</w:t>
      </w:r>
    </w:p>
    <w:p w:rsidR="006249D2" w:rsidRPr="00701C3F" w:rsidRDefault="006249D2" w:rsidP="006249D2">
      <w:pPr>
        <w:spacing w:line="360" w:lineRule="auto"/>
        <w:ind w:left="567" w:right="567"/>
        <w:contextualSpacing/>
        <w:jc w:val="both"/>
        <w:rPr>
          <w:rFonts w:ascii="Palatino Linotype" w:hAnsi="Palatino Linotype" w:cs="Arial"/>
          <w:i/>
          <w:sz w:val="22"/>
        </w:rPr>
      </w:pPr>
      <w:r w:rsidRPr="00701C3F">
        <w:rPr>
          <w:rFonts w:ascii="Palatino Linotype" w:hAnsi="Palatino Linotype" w:cs="Arial"/>
          <w:i/>
          <w:sz w:val="22"/>
        </w:rPr>
        <w:lastRenderedPageBreak/>
        <w:t xml:space="preserve">Amparo en revisión 333/88. </w:t>
      </w:r>
      <w:proofErr w:type="spellStart"/>
      <w:r w:rsidRPr="00701C3F">
        <w:rPr>
          <w:rFonts w:ascii="Palatino Linotype" w:hAnsi="Palatino Linotype" w:cs="Arial"/>
          <w:i/>
          <w:sz w:val="22"/>
        </w:rPr>
        <w:t>Adilia</w:t>
      </w:r>
      <w:proofErr w:type="spellEnd"/>
      <w:r w:rsidRPr="00701C3F">
        <w:rPr>
          <w:rFonts w:ascii="Palatino Linotype" w:hAnsi="Palatino Linotype" w:cs="Arial"/>
          <w:i/>
          <w:sz w:val="22"/>
        </w:rPr>
        <w:t xml:space="preserve"> Romero. 26 de octubre de 1988. Unanimidad de votos. Ponente: Arnoldo Nájera Virgen. Secretario: Enrique Crispín Campos Ramírez.</w:t>
      </w:r>
    </w:p>
    <w:p w:rsidR="006249D2" w:rsidRPr="00701C3F" w:rsidRDefault="006249D2" w:rsidP="006249D2">
      <w:pPr>
        <w:spacing w:line="360" w:lineRule="auto"/>
        <w:ind w:left="567" w:right="567"/>
        <w:contextualSpacing/>
        <w:jc w:val="both"/>
        <w:rPr>
          <w:rFonts w:ascii="Palatino Linotype" w:hAnsi="Palatino Linotype" w:cs="Arial"/>
          <w:i/>
          <w:sz w:val="22"/>
        </w:rPr>
      </w:pPr>
      <w:r w:rsidRPr="00701C3F">
        <w:rPr>
          <w:rFonts w:ascii="Palatino Linotype" w:hAnsi="Palatino Linotype" w:cs="Arial"/>
          <w:i/>
          <w:sz w:val="22"/>
        </w:rPr>
        <w:t xml:space="preserve">Amparo en revisión 597/95. Emilio Maurer Bretón. 15 de noviembre de 1995. Unanimidad de votos. Ponente: Clementina Ramírez Moguel </w:t>
      </w:r>
      <w:proofErr w:type="spellStart"/>
      <w:r w:rsidRPr="00701C3F">
        <w:rPr>
          <w:rFonts w:ascii="Palatino Linotype" w:hAnsi="Palatino Linotype" w:cs="Arial"/>
          <w:i/>
          <w:sz w:val="22"/>
        </w:rPr>
        <w:t>Goyzueta</w:t>
      </w:r>
      <w:proofErr w:type="spellEnd"/>
      <w:r w:rsidRPr="00701C3F">
        <w:rPr>
          <w:rFonts w:ascii="Palatino Linotype" w:hAnsi="Palatino Linotype" w:cs="Arial"/>
          <w:i/>
          <w:sz w:val="22"/>
        </w:rPr>
        <w:t>. Secretario: Gonzalo Carrera Molina.</w:t>
      </w:r>
    </w:p>
    <w:p w:rsidR="006249D2" w:rsidRPr="00701C3F" w:rsidRDefault="006249D2" w:rsidP="006249D2">
      <w:pPr>
        <w:spacing w:line="360" w:lineRule="auto"/>
        <w:ind w:left="567" w:right="567"/>
        <w:contextualSpacing/>
        <w:jc w:val="both"/>
        <w:rPr>
          <w:rFonts w:ascii="Palatino Linotype" w:hAnsi="Palatino Linotype" w:cs="Arial"/>
          <w:i/>
          <w:sz w:val="22"/>
        </w:rPr>
      </w:pPr>
      <w:r w:rsidRPr="00701C3F">
        <w:rPr>
          <w:rFonts w:ascii="Palatino Linotype" w:hAnsi="Palatino Linotype" w:cs="Arial"/>
          <w:i/>
          <w:sz w:val="22"/>
        </w:rPr>
        <w:t xml:space="preserve">Amparo directo 7/96. Pedro Vicente López Miro. 21 de febrero de 1996. Unanimidad de votos. Ponente: María Eugenia Estela Martínez Cardiel. Secretario: Enrique </w:t>
      </w:r>
      <w:proofErr w:type="spellStart"/>
      <w:r w:rsidRPr="00701C3F">
        <w:rPr>
          <w:rFonts w:ascii="Palatino Linotype" w:hAnsi="Palatino Linotype" w:cs="Arial"/>
          <w:i/>
          <w:sz w:val="22"/>
        </w:rPr>
        <w:t>Baigts</w:t>
      </w:r>
      <w:proofErr w:type="spellEnd"/>
      <w:r w:rsidRPr="00701C3F">
        <w:rPr>
          <w:rFonts w:ascii="Palatino Linotype" w:hAnsi="Palatino Linotype" w:cs="Arial"/>
          <w:i/>
          <w:sz w:val="22"/>
        </w:rPr>
        <w:t xml:space="preserve"> Muñoz.</w:t>
      </w:r>
    </w:p>
    <w:p w:rsidR="006249D2" w:rsidRPr="00701C3F" w:rsidRDefault="006249D2" w:rsidP="006249D2">
      <w:pPr>
        <w:spacing w:line="360" w:lineRule="auto"/>
        <w:ind w:firstLine="1418"/>
        <w:contextualSpacing/>
        <w:jc w:val="both"/>
        <w:rPr>
          <w:rFonts w:ascii="Palatino Linotype" w:hAnsi="Palatino Linotype" w:cs="Arial"/>
          <w:lang w:val="es-ES"/>
        </w:rPr>
      </w:pPr>
    </w:p>
    <w:p w:rsidR="006249D2" w:rsidRPr="00701C3F" w:rsidRDefault="006249D2" w:rsidP="00066ADF">
      <w:pPr>
        <w:pStyle w:val="Prrafodelista"/>
        <w:numPr>
          <w:ilvl w:val="0"/>
          <w:numId w:val="16"/>
        </w:numPr>
        <w:shd w:val="clear" w:color="auto" w:fill="FFFFFF"/>
        <w:spacing w:line="360" w:lineRule="auto"/>
        <w:ind w:left="0" w:firstLine="0"/>
        <w:jc w:val="both"/>
        <w:rPr>
          <w:rFonts w:ascii="Palatino Linotype" w:eastAsia="Times New Roman" w:hAnsi="Palatino Linotype" w:cs="Arial"/>
          <w:lang w:eastAsia="es-MX"/>
        </w:rPr>
      </w:pPr>
      <w:r w:rsidRPr="00701C3F">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6249D2" w:rsidRPr="00701C3F" w:rsidRDefault="006249D2" w:rsidP="006249D2">
      <w:pPr>
        <w:pStyle w:val="Prrafodelista"/>
        <w:shd w:val="clear" w:color="auto" w:fill="FFFFFF"/>
        <w:spacing w:line="360" w:lineRule="auto"/>
        <w:ind w:left="360"/>
        <w:jc w:val="both"/>
        <w:rPr>
          <w:rFonts w:ascii="Palatino Linotype" w:eastAsia="Times New Roman" w:hAnsi="Palatino Linotype" w:cs="Arial"/>
          <w:lang w:eastAsia="es-MX"/>
        </w:rPr>
      </w:pPr>
    </w:p>
    <w:p w:rsidR="006249D2" w:rsidRPr="00701C3F" w:rsidRDefault="006249D2" w:rsidP="00066ADF">
      <w:pPr>
        <w:pStyle w:val="Prrafodelista"/>
        <w:numPr>
          <w:ilvl w:val="0"/>
          <w:numId w:val="16"/>
        </w:numPr>
        <w:shd w:val="clear" w:color="auto" w:fill="FFFFFF"/>
        <w:spacing w:line="360" w:lineRule="auto"/>
        <w:ind w:left="0" w:firstLine="0"/>
        <w:jc w:val="both"/>
        <w:rPr>
          <w:rFonts w:ascii="Palatino Linotype" w:eastAsia="Times New Roman" w:hAnsi="Palatino Linotype" w:cs="Arial"/>
          <w:lang w:eastAsia="es-MX"/>
        </w:rPr>
      </w:pPr>
      <w:r w:rsidRPr="00701C3F">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6249D2" w:rsidRPr="00701C3F" w:rsidRDefault="006249D2" w:rsidP="006249D2">
      <w:pPr>
        <w:shd w:val="clear" w:color="auto" w:fill="FFFFFF"/>
        <w:spacing w:line="360" w:lineRule="auto"/>
        <w:contextualSpacing/>
        <w:jc w:val="both"/>
        <w:rPr>
          <w:rFonts w:ascii="Palatino Linotype" w:eastAsia="Times New Roman" w:hAnsi="Palatino Linotype" w:cs="Arial"/>
          <w:lang w:eastAsia="es-MX"/>
        </w:rPr>
      </w:pPr>
    </w:p>
    <w:p w:rsidR="006249D2" w:rsidRPr="00701C3F" w:rsidRDefault="006249D2" w:rsidP="00066ADF">
      <w:pPr>
        <w:pStyle w:val="Prrafodelista"/>
        <w:numPr>
          <w:ilvl w:val="0"/>
          <w:numId w:val="16"/>
        </w:numPr>
        <w:shd w:val="clear" w:color="auto" w:fill="FFFFFF"/>
        <w:spacing w:line="360" w:lineRule="auto"/>
        <w:ind w:left="0" w:firstLine="0"/>
        <w:jc w:val="both"/>
        <w:rPr>
          <w:rFonts w:ascii="Palatino Linotype" w:eastAsia="Times New Roman" w:hAnsi="Palatino Linotype" w:cs="Arial"/>
          <w:lang w:eastAsia="es-MX"/>
        </w:rPr>
      </w:pPr>
      <w:r w:rsidRPr="00701C3F">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rsidR="006249D2" w:rsidRPr="00701C3F" w:rsidRDefault="006249D2" w:rsidP="006249D2">
      <w:pPr>
        <w:shd w:val="clear" w:color="auto" w:fill="FFFFFF"/>
        <w:spacing w:line="360" w:lineRule="auto"/>
        <w:jc w:val="both"/>
        <w:rPr>
          <w:rFonts w:ascii="Palatino Linotype" w:eastAsia="Times New Roman" w:hAnsi="Palatino Linotype" w:cs="Arial"/>
          <w:lang w:eastAsia="es-MX"/>
        </w:rPr>
      </w:pPr>
    </w:p>
    <w:p w:rsidR="006249D2" w:rsidRPr="00701C3F" w:rsidRDefault="006249D2" w:rsidP="00066ADF">
      <w:pPr>
        <w:pStyle w:val="Prrafodelista"/>
        <w:numPr>
          <w:ilvl w:val="0"/>
          <w:numId w:val="16"/>
        </w:numPr>
        <w:shd w:val="clear" w:color="auto" w:fill="FFFFFF"/>
        <w:spacing w:after="200" w:line="360" w:lineRule="auto"/>
        <w:ind w:left="0" w:firstLine="0"/>
        <w:jc w:val="both"/>
        <w:rPr>
          <w:rFonts w:ascii="Palatino Linotype" w:eastAsia="Times New Roman" w:hAnsi="Palatino Linotype" w:cs="Arial"/>
          <w:lang w:eastAsia="es-MX"/>
        </w:rPr>
      </w:pPr>
      <w:r w:rsidRPr="00701C3F">
        <w:rPr>
          <w:rFonts w:ascii="Palatino Linotype" w:eastAsia="Times New Roman" w:hAnsi="Palatino Linotype" w:cs="Arial"/>
          <w:lang w:eastAsia="es-MX"/>
        </w:rPr>
        <w:lastRenderedPageBreak/>
        <w:t xml:space="preserve">Ahora bien, para cada caso además de fundar y motivar, se debe identificar con claridad que datos contenidos en las documentales que </w:t>
      </w:r>
      <w:r w:rsidR="00D5010F" w:rsidRPr="00701C3F">
        <w:rPr>
          <w:rFonts w:ascii="Palatino Linotype" w:eastAsia="Times New Roman" w:hAnsi="Palatino Linotype" w:cs="Arial"/>
          <w:lang w:eastAsia="es-MX"/>
        </w:rPr>
        <w:t xml:space="preserve">son susceptibles de suprimirse porque </w:t>
      </w:r>
      <w:r w:rsidRPr="00701C3F">
        <w:rPr>
          <w:rFonts w:ascii="Palatino Linotype" w:eastAsia="Times New Roman" w:hAnsi="Palatino Linotype" w:cs="Arial"/>
          <w:lang w:eastAsia="es-MX"/>
        </w:rPr>
        <w:t xml:space="preserve">no tienen ninguna injerencia en el tema de la transparencia y la rendición de cuentas,  por ejemplo, </w:t>
      </w:r>
      <w:r w:rsidRPr="00701C3F">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  </w:t>
      </w:r>
    </w:p>
    <w:p w:rsidR="006249D2" w:rsidRPr="00701C3F" w:rsidRDefault="006249D2" w:rsidP="006249D2">
      <w:pPr>
        <w:pStyle w:val="Prrafodelista"/>
        <w:spacing w:line="360" w:lineRule="auto"/>
        <w:rPr>
          <w:rFonts w:ascii="Palatino Linotype" w:eastAsia="Times New Roman" w:hAnsi="Palatino Linotype" w:cs="Arial"/>
          <w:lang w:eastAsia="es-MX"/>
        </w:rPr>
      </w:pPr>
    </w:p>
    <w:p w:rsidR="006249D2" w:rsidRPr="00701C3F" w:rsidRDefault="006249D2" w:rsidP="00066ADF">
      <w:pPr>
        <w:pStyle w:val="Prrafodelista"/>
        <w:numPr>
          <w:ilvl w:val="0"/>
          <w:numId w:val="16"/>
        </w:numPr>
        <w:shd w:val="clear" w:color="auto" w:fill="FFFFFF"/>
        <w:spacing w:after="200" w:line="360" w:lineRule="auto"/>
        <w:ind w:left="0" w:firstLine="0"/>
        <w:jc w:val="both"/>
        <w:rPr>
          <w:rFonts w:ascii="Palatino Linotype" w:eastAsia="Times New Roman" w:hAnsi="Palatino Linotype" w:cs="Arial"/>
          <w:lang w:eastAsia="es-MX"/>
        </w:rPr>
      </w:pPr>
      <w:r w:rsidRPr="00701C3F">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6249D2" w:rsidRPr="00701C3F" w:rsidRDefault="006249D2" w:rsidP="006249D2">
      <w:pPr>
        <w:pStyle w:val="Prrafodelista"/>
        <w:shd w:val="clear" w:color="auto" w:fill="FFFFFF"/>
        <w:spacing w:after="200" w:line="360" w:lineRule="auto"/>
        <w:ind w:left="0"/>
        <w:jc w:val="both"/>
        <w:rPr>
          <w:rFonts w:ascii="Palatino Linotype" w:eastAsia="Times New Roman" w:hAnsi="Palatino Linotype" w:cs="Arial"/>
          <w:lang w:eastAsia="es-MX"/>
        </w:rPr>
      </w:pPr>
    </w:p>
    <w:p w:rsidR="006249D2" w:rsidRPr="00701C3F" w:rsidRDefault="006249D2" w:rsidP="00066ADF">
      <w:pPr>
        <w:pStyle w:val="Prrafodelista"/>
        <w:numPr>
          <w:ilvl w:val="0"/>
          <w:numId w:val="16"/>
        </w:numPr>
        <w:tabs>
          <w:tab w:val="left" w:pos="851"/>
        </w:tabs>
        <w:spacing w:before="240" w:after="240" w:line="360" w:lineRule="auto"/>
        <w:ind w:left="0" w:right="49" w:firstLine="0"/>
        <w:jc w:val="both"/>
        <w:rPr>
          <w:rFonts w:ascii="Palatino Linotype" w:hAnsi="Palatino Linotype"/>
          <w:lang w:val="es-ES"/>
        </w:rPr>
      </w:pPr>
      <w:r w:rsidRPr="00701C3F">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r w:rsidRPr="00701C3F">
        <w:rPr>
          <w:rFonts w:ascii="Palatino Linotype" w:hAnsi="Palatino Linotype"/>
          <w:lang w:val="es-ES"/>
        </w:rPr>
        <w:t xml:space="preserve"> </w:t>
      </w:r>
    </w:p>
    <w:p w:rsidR="006249D2" w:rsidRPr="00701C3F" w:rsidRDefault="006249D2" w:rsidP="006249D2">
      <w:pPr>
        <w:pStyle w:val="Prrafodelista"/>
        <w:spacing w:line="360" w:lineRule="auto"/>
        <w:rPr>
          <w:rFonts w:ascii="Palatino Linotype" w:hAnsi="Palatino Linotype"/>
          <w:lang w:val="es-ES"/>
        </w:rPr>
      </w:pPr>
    </w:p>
    <w:p w:rsidR="00F762E7" w:rsidRPr="00FF1728" w:rsidRDefault="006249D2" w:rsidP="00066ADF">
      <w:pPr>
        <w:pStyle w:val="Prrafodelista"/>
        <w:numPr>
          <w:ilvl w:val="0"/>
          <w:numId w:val="16"/>
        </w:numPr>
        <w:spacing w:before="240" w:after="240" w:line="360" w:lineRule="auto"/>
        <w:ind w:left="0" w:firstLine="0"/>
        <w:jc w:val="both"/>
        <w:rPr>
          <w:rFonts w:ascii="Palatino Linotype" w:hAnsi="Palatino Linotype" w:cs="Arial"/>
        </w:rPr>
      </w:pPr>
      <w:r w:rsidRPr="00701C3F">
        <w:rPr>
          <w:rFonts w:ascii="Palatino Linotype" w:hAnsi="Palatino Linotype"/>
          <w:color w:val="000000"/>
          <w:lang w:val="es-ES" w:eastAsia="es-MX"/>
        </w:rPr>
        <w:t xml:space="preserve">Por lo anteriormente expuesto y fundado, este </w:t>
      </w:r>
      <w:r w:rsidRPr="00701C3F">
        <w:rPr>
          <w:rFonts w:ascii="Palatino Linotype" w:hAnsi="Palatino Linotype"/>
          <w:b/>
          <w:bCs/>
          <w:color w:val="000000"/>
          <w:lang w:val="es-ES" w:eastAsia="es-MX"/>
        </w:rPr>
        <w:t>ÓRGANO GARANTE</w:t>
      </w:r>
      <w:r w:rsidRPr="00701C3F">
        <w:rPr>
          <w:rFonts w:ascii="Palatino Linotype" w:hAnsi="Palatino Linotype"/>
          <w:color w:val="000000"/>
          <w:lang w:val="es-ES" w:eastAsia="es-MX"/>
        </w:rPr>
        <w:t xml:space="preserve"> emite los siguientes:</w:t>
      </w:r>
    </w:p>
    <w:p w:rsidR="002A5BA4" w:rsidRPr="00701C3F" w:rsidRDefault="002A5BA4" w:rsidP="002A5BA4">
      <w:pPr>
        <w:keepNext/>
        <w:keepLines/>
        <w:spacing w:line="360" w:lineRule="auto"/>
        <w:jc w:val="center"/>
        <w:outlineLvl w:val="0"/>
        <w:rPr>
          <w:rFonts w:ascii="Palatino Linotype" w:eastAsia="Times New Roman" w:hAnsi="Palatino Linotype" w:cstheme="majorBidi"/>
          <w:b/>
          <w:bCs/>
        </w:rPr>
      </w:pPr>
      <w:bookmarkStart w:id="39" w:name="_Toc447699324"/>
      <w:bookmarkStart w:id="40" w:name="_Toc445745148"/>
      <w:bookmarkStart w:id="41" w:name="_Toc486525261"/>
      <w:bookmarkStart w:id="42" w:name="_Toc286708"/>
      <w:r w:rsidRPr="00701C3F">
        <w:rPr>
          <w:rFonts w:ascii="Palatino Linotype" w:eastAsia="Times New Roman" w:hAnsi="Palatino Linotype" w:cstheme="majorBidi"/>
          <w:b/>
          <w:bCs/>
        </w:rPr>
        <w:lastRenderedPageBreak/>
        <w:t>R E S O L U T I V O S</w:t>
      </w:r>
      <w:bookmarkEnd w:id="39"/>
      <w:bookmarkEnd w:id="40"/>
      <w:bookmarkEnd w:id="41"/>
      <w:bookmarkEnd w:id="42"/>
    </w:p>
    <w:p w:rsidR="004D60FB" w:rsidRPr="00701C3F" w:rsidRDefault="004D60FB" w:rsidP="002A5BA4">
      <w:pPr>
        <w:keepNext/>
        <w:keepLines/>
        <w:spacing w:line="360" w:lineRule="auto"/>
        <w:jc w:val="center"/>
        <w:outlineLvl w:val="0"/>
        <w:rPr>
          <w:rFonts w:ascii="Palatino Linotype" w:eastAsia="Times New Roman" w:hAnsi="Palatino Linotype" w:cstheme="majorBidi"/>
          <w:b/>
          <w:bCs/>
        </w:rPr>
      </w:pPr>
    </w:p>
    <w:p w:rsidR="00286987" w:rsidRPr="00701C3F" w:rsidRDefault="00286987" w:rsidP="00286987">
      <w:pPr>
        <w:spacing w:line="360" w:lineRule="auto"/>
        <w:jc w:val="both"/>
        <w:rPr>
          <w:rFonts w:ascii="Palatino Linotype" w:eastAsia="Times New Roman" w:hAnsi="Palatino Linotype" w:cs="Times New Roman"/>
        </w:rPr>
      </w:pPr>
      <w:r w:rsidRPr="00701C3F">
        <w:rPr>
          <w:rFonts w:ascii="Palatino Linotype" w:eastAsia="Times New Roman" w:hAnsi="Palatino Linotype" w:cs="Arial"/>
          <w:b/>
        </w:rPr>
        <w:t xml:space="preserve">PRIMERO. </w:t>
      </w:r>
      <w:r w:rsidRPr="00701C3F">
        <w:rPr>
          <w:rFonts w:ascii="Palatino Linotype" w:eastAsia="Times New Roman" w:hAnsi="Palatino Linotype" w:cs="Arial"/>
        </w:rPr>
        <w:t xml:space="preserve">Resultan </w:t>
      </w:r>
      <w:r w:rsidR="00B713AE" w:rsidRPr="00701C3F">
        <w:rPr>
          <w:rFonts w:ascii="Palatino Linotype" w:eastAsia="Times New Roman" w:hAnsi="Palatino Linotype" w:cs="Arial"/>
        </w:rPr>
        <w:t xml:space="preserve">parcialmente </w:t>
      </w:r>
      <w:r w:rsidRPr="00701C3F">
        <w:rPr>
          <w:rFonts w:ascii="Palatino Linotype" w:eastAsia="Times New Roman" w:hAnsi="Palatino Linotype" w:cs="Arial"/>
        </w:rPr>
        <w:t>fundadas las</w:t>
      </w:r>
      <w:r w:rsidRPr="00701C3F">
        <w:rPr>
          <w:rFonts w:ascii="Palatino Linotype" w:eastAsia="Times New Roman" w:hAnsi="Palatino Linotype" w:cs="Arial"/>
          <w:b/>
        </w:rPr>
        <w:t xml:space="preserve"> </w:t>
      </w:r>
      <w:r w:rsidRPr="00701C3F">
        <w:rPr>
          <w:rFonts w:ascii="Palatino Linotype" w:eastAsia="Times New Roman" w:hAnsi="Palatino Linotype" w:cs="Arial"/>
          <w:lang w:val="es-ES"/>
        </w:rPr>
        <w:t xml:space="preserve">razones o motivos de inconformidad hechos valer </w:t>
      </w:r>
      <w:r w:rsidRPr="00701C3F">
        <w:rPr>
          <w:rFonts w:ascii="Palatino Linotype" w:eastAsia="Calibri" w:hAnsi="Palatino Linotype" w:cs="Arial"/>
          <w:lang w:val="es-ES"/>
        </w:rPr>
        <w:t xml:space="preserve">en el recurso de revisión </w:t>
      </w:r>
      <w:r w:rsidRPr="00701C3F">
        <w:rPr>
          <w:rFonts w:ascii="Palatino Linotype" w:hAnsi="Palatino Linotype" w:cs="Arial"/>
          <w:b/>
          <w:bCs/>
        </w:rPr>
        <w:t>0</w:t>
      </w:r>
      <w:r w:rsidR="00B713AE" w:rsidRPr="00701C3F">
        <w:rPr>
          <w:rFonts w:ascii="Palatino Linotype" w:hAnsi="Palatino Linotype" w:cs="Arial"/>
          <w:b/>
          <w:bCs/>
        </w:rPr>
        <w:t>4</w:t>
      </w:r>
      <w:r w:rsidR="00F04FE9" w:rsidRPr="00701C3F">
        <w:rPr>
          <w:rFonts w:ascii="Palatino Linotype" w:hAnsi="Palatino Linotype" w:cs="Arial"/>
          <w:b/>
          <w:bCs/>
        </w:rPr>
        <w:t>638</w:t>
      </w:r>
      <w:r w:rsidRPr="00701C3F">
        <w:rPr>
          <w:rFonts w:ascii="Palatino Linotype" w:hAnsi="Palatino Linotype" w:cs="Arial"/>
          <w:b/>
          <w:bCs/>
        </w:rPr>
        <w:t xml:space="preserve">/INFOEM/IP/RR/2018, </w:t>
      </w:r>
      <w:r w:rsidR="0020570A">
        <w:rPr>
          <w:rFonts w:ascii="Palatino Linotype" w:hAnsi="Palatino Linotype" w:cs="Arial"/>
          <w:bCs/>
        </w:rPr>
        <w:t>en términos de los</w:t>
      </w:r>
      <w:r w:rsidRPr="00701C3F">
        <w:rPr>
          <w:rFonts w:ascii="Palatino Linotype" w:hAnsi="Palatino Linotype" w:cs="Arial"/>
          <w:bCs/>
        </w:rPr>
        <w:t xml:space="preserve"> considerando</w:t>
      </w:r>
      <w:r w:rsidR="0020570A">
        <w:rPr>
          <w:rFonts w:ascii="Palatino Linotype" w:hAnsi="Palatino Linotype" w:cs="Arial"/>
          <w:bCs/>
        </w:rPr>
        <w:t>s</w:t>
      </w:r>
      <w:r w:rsidRPr="00701C3F">
        <w:rPr>
          <w:rFonts w:ascii="Palatino Linotype" w:hAnsi="Palatino Linotype" w:cs="Arial"/>
          <w:bCs/>
        </w:rPr>
        <w:t xml:space="preserve"> </w:t>
      </w:r>
      <w:r w:rsidRPr="00701C3F">
        <w:rPr>
          <w:rFonts w:ascii="Palatino Linotype" w:hAnsi="Palatino Linotype" w:cs="Arial"/>
          <w:b/>
          <w:bCs/>
        </w:rPr>
        <w:t>CUARTO</w:t>
      </w:r>
      <w:r w:rsidRPr="00701C3F">
        <w:rPr>
          <w:rFonts w:ascii="Palatino Linotype" w:hAnsi="Palatino Linotype" w:cs="Arial"/>
          <w:bCs/>
        </w:rPr>
        <w:t xml:space="preserve"> </w:t>
      </w:r>
      <w:r w:rsidR="0020570A">
        <w:rPr>
          <w:rFonts w:ascii="Palatino Linotype" w:hAnsi="Palatino Linotype" w:cs="Arial"/>
          <w:bCs/>
        </w:rPr>
        <w:t xml:space="preserve">y </w:t>
      </w:r>
      <w:r w:rsidR="0020570A" w:rsidRPr="0020570A">
        <w:rPr>
          <w:rFonts w:ascii="Palatino Linotype" w:hAnsi="Palatino Linotype" w:cs="Arial"/>
          <w:b/>
          <w:bCs/>
        </w:rPr>
        <w:t>QUINTO</w:t>
      </w:r>
      <w:r w:rsidR="0020570A">
        <w:rPr>
          <w:rFonts w:ascii="Palatino Linotype" w:hAnsi="Palatino Linotype" w:cs="Arial"/>
          <w:bCs/>
        </w:rPr>
        <w:t xml:space="preserve"> </w:t>
      </w:r>
      <w:r w:rsidRPr="00701C3F">
        <w:rPr>
          <w:rFonts w:ascii="Palatino Linotype" w:hAnsi="Palatino Linotype" w:cs="Arial"/>
          <w:bCs/>
        </w:rPr>
        <w:t>de la presente resolución.</w:t>
      </w:r>
    </w:p>
    <w:p w:rsidR="00286987" w:rsidRPr="00701C3F" w:rsidRDefault="00286987" w:rsidP="00286987">
      <w:pPr>
        <w:spacing w:before="240" w:after="240" w:line="360" w:lineRule="auto"/>
        <w:jc w:val="both"/>
        <w:rPr>
          <w:rFonts w:ascii="Palatino Linotype" w:eastAsia="Calibri" w:hAnsi="Palatino Linotype" w:cs="Arial"/>
          <w:lang w:val="es-ES"/>
        </w:rPr>
      </w:pPr>
      <w:bookmarkStart w:id="43" w:name="_Toc477891768"/>
      <w:bookmarkStart w:id="44" w:name="_Toc477891858"/>
      <w:bookmarkStart w:id="45" w:name="_Toc481576259"/>
      <w:bookmarkStart w:id="46" w:name="_Toc492590391"/>
      <w:bookmarkStart w:id="47" w:name="_Toc462653937"/>
      <w:bookmarkStart w:id="48" w:name="_Toc453696502"/>
      <w:bookmarkStart w:id="49" w:name="_Toc454301155"/>
      <w:r w:rsidRPr="00701C3F">
        <w:rPr>
          <w:rFonts w:ascii="Palatino Linotype" w:hAnsi="Palatino Linotype"/>
          <w:b/>
        </w:rPr>
        <w:t>SEGUNDO.</w:t>
      </w:r>
      <w:r w:rsidRPr="00701C3F">
        <w:rPr>
          <w:rStyle w:val="Ttulo2Car"/>
          <w:rFonts w:ascii="Palatino Linotype" w:hAnsi="Palatino Linotype"/>
          <w:b/>
          <w:sz w:val="24"/>
          <w:szCs w:val="24"/>
        </w:rPr>
        <w:t xml:space="preserve"> </w:t>
      </w:r>
      <w:bookmarkEnd w:id="43"/>
      <w:bookmarkEnd w:id="44"/>
      <w:bookmarkEnd w:id="45"/>
      <w:bookmarkEnd w:id="46"/>
      <w:bookmarkEnd w:id="47"/>
      <w:bookmarkEnd w:id="48"/>
      <w:bookmarkEnd w:id="49"/>
      <w:r w:rsidRPr="00701C3F">
        <w:rPr>
          <w:rFonts w:ascii="Palatino Linotype" w:eastAsia="Calibri" w:hAnsi="Palatino Linotype" w:cs="Arial"/>
          <w:lang w:val="es-ES"/>
        </w:rPr>
        <w:t>Se</w:t>
      </w:r>
      <w:r w:rsidRPr="00701C3F">
        <w:rPr>
          <w:rFonts w:ascii="Palatino Linotype" w:eastAsia="Calibri" w:hAnsi="Palatino Linotype" w:cs="Arial"/>
          <w:b/>
          <w:lang w:val="es-ES"/>
        </w:rPr>
        <w:t xml:space="preserve"> </w:t>
      </w:r>
      <w:r w:rsidR="00B713AE" w:rsidRPr="00701C3F">
        <w:rPr>
          <w:rFonts w:ascii="Palatino Linotype" w:eastAsia="Calibri" w:hAnsi="Palatino Linotype" w:cs="Arial"/>
          <w:b/>
          <w:lang w:val="es-ES"/>
        </w:rPr>
        <w:t xml:space="preserve">MODIFICA </w:t>
      </w:r>
      <w:r w:rsidRPr="00701C3F">
        <w:rPr>
          <w:rFonts w:ascii="Palatino Linotype" w:eastAsia="Calibri" w:hAnsi="Palatino Linotype" w:cs="Arial"/>
          <w:lang w:val="es-ES"/>
        </w:rPr>
        <w:t xml:space="preserve">la respuesta emitida por la </w:t>
      </w:r>
      <w:r w:rsidR="00133B65" w:rsidRPr="00701C3F">
        <w:rPr>
          <w:rFonts w:ascii="Palatino Linotype" w:hAnsi="Palatino Linotype"/>
          <w:b/>
          <w:bCs/>
          <w:szCs w:val="22"/>
        </w:rPr>
        <w:t>Secretaría de Justicia y Derechos Humanos</w:t>
      </w:r>
      <w:r w:rsidR="00133B65" w:rsidRPr="00701C3F">
        <w:rPr>
          <w:rFonts w:ascii="Palatino Linotype" w:hAnsi="Palatino Linotype" w:cs="Arial"/>
          <w:b/>
        </w:rPr>
        <w:t xml:space="preserve"> </w:t>
      </w:r>
      <w:r w:rsidR="00B713AE" w:rsidRPr="00701C3F">
        <w:rPr>
          <w:rFonts w:ascii="Palatino Linotype" w:hAnsi="Palatino Linotype" w:cs="Arial"/>
          <w:b/>
        </w:rPr>
        <w:t xml:space="preserve">y </w:t>
      </w:r>
      <w:r w:rsidR="00D864CE" w:rsidRPr="00701C3F">
        <w:rPr>
          <w:rFonts w:ascii="Palatino Linotype" w:hAnsi="Palatino Linotype" w:cs="Arial"/>
          <w:b/>
        </w:rPr>
        <w:t xml:space="preserve">se ORDENA </w:t>
      </w:r>
      <w:r w:rsidR="00D864CE" w:rsidRPr="00701C3F">
        <w:rPr>
          <w:rFonts w:ascii="Palatino Linotype" w:hAnsi="Palatino Linotype" w:cs="Arial"/>
        </w:rPr>
        <w:t>entregar, vía Sistema de Acceso a la Información Mexiquense</w:t>
      </w:r>
      <w:r w:rsidR="00D864CE" w:rsidRPr="00701C3F">
        <w:rPr>
          <w:rFonts w:ascii="Palatino Linotype" w:hAnsi="Palatino Linotype" w:cs="Arial"/>
          <w:b/>
        </w:rPr>
        <w:t xml:space="preserve">  (SAIMEX)</w:t>
      </w:r>
      <w:r w:rsidR="006249D2" w:rsidRPr="00701C3F">
        <w:rPr>
          <w:rFonts w:ascii="Palatino Linotype" w:hAnsi="Palatino Linotype" w:cs="Arial"/>
          <w:b/>
        </w:rPr>
        <w:t xml:space="preserve"> y en Copias Certificadas sin costo</w:t>
      </w:r>
      <w:r w:rsidR="00D864CE" w:rsidRPr="00701C3F">
        <w:rPr>
          <w:rFonts w:ascii="Palatino Linotype" w:hAnsi="Palatino Linotype" w:cs="Arial"/>
          <w:b/>
        </w:rPr>
        <w:t xml:space="preserve">, </w:t>
      </w:r>
      <w:r w:rsidR="006249D2" w:rsidRPr="00701C3F">
        <w:rPr>
          <w:rFonts w:ascii="Palatino Linotype" w:hAnsi="Palatino Linotype" w:cs="Arial"/>
        </w:rPr>
        <w:t>en</w:t>
      </w:r>
      <w:r w:rsidR="006249D2" w:rsidRPr="00701C3F">
        <w:rPr>
          <w:rFonts w:ascii="Palatino Linotype" w:hAnsi="Palatino Linotype" w:cs="Arial"/>
          <w:b/>
        </w:rPr>
        <w:t xml:space="preserve"> </w:t>
      </w:r>
      <w:r w:rsidR="006249D2" w:rsidRPr="00701C3F">
        <w:rPr>
          <w:rFonts w:ascii="Palatino Linotype" w:hAnsi="Palatino Linotype" w:cs="Arial"/>
        </w:rPr>
        <w:t xml:space="preserve">versión pública </w:t>
      </w:r>
      <w:r w:rsidR="00D864CE" w:rsidRPr="00701C3F">
        <w:rPr>
          <w:rFonts w:ascii="Palatino Linotype" w:hAnsi="Palatino Linotype" w:cs="Arial"/>
        </w:rPr>
        <w:t>la siguiente información</w:t>
      </w:r>
      <w:r w:rsidR="00D864CE" w:rsidRPr="00701C3F">
        <w:rPr>
          <w:rFonts w:ascii="Palatino Linotype" w:hAnsi="Palatino Linotype" w:cs="Arial"/>
          <w:b/>
        </w:rPr>
        <w:t>:</w:t>
      </w:r>
      <w:r w:rsidRPr="00701C3F">
        <w:rPr>
          <w:rFonts w:ascii="Palatino Linotype" w:eastAsia="Calibri" w:hAnsi="Palatino Linotype" w:cs="Arial"/>
          <w:lang w:val="es-ES"/>
        </w:rPr>
        <w:t xml:space="preserve"> </w:t>
      </w:r>
    </w:p>
    <w:p w:rsidR="00D864CE" w:rsidRPr="00BF7804" w:rsidRDefault="006249D2" w:rsidP="006249D2">
      <w:pPr>
        <w:pStyle w:val="Prrafodelista"/>
        <w:numPr>
          <w:ilvl w:val="0"/>
          <w:numId w:val="8"/>
        </w:numPr>
        <w:spacing w:before="240" w:after="240" w:line="360" w:lineRule="auto"/>
        <w:ind w:right="567"/>
        <w:jc w:val="both"/>
        <w:rPr>
          <w:rFonts w:ascii="Palatino Linotype" w:eastAsia="Calibri" w:hAnsi="Palatino Linotype" w:cs="Arial"/>
          <w:b/>
          <w:lang w:val="es-ES"/>
        </w:rPr>
      </w:pPr>
      <w:r w:rsidRPr="00BF7804">
        <w:rPr>
          <w:rFonts w:ascii="Palatino Linotype" w:hAnsi="Palatino Linotype" w:cs="Arial"/>
          <w:b/>
        </w:rPr>
        <w:t>Registro de asistencia para asesoría gratuita del día trece (13) de noviembre de 2018 del Instituto de la Defensoría Pública con sede en Ecatepec de Morelos</w:t>
      </w:r>
      <w:r w:rsidR="00BF7804" w:rsidRPr="00BF7804">
        <w:rPr>
          <w:rFonts w:ascii="Palatino Linotype" w:hAnsi="Palatino Linotype" w:cs="Arial"/>
          <w:b/>
        </w:rPr>
        <w:t>.</w:t>
      </w:r>
    </w:p>
    <w:p w:rsidR="009E1C0F" w:rsidRPr="00701C3F" w:rsidRDefault="009E1C0F" w:rsidP="009E1C0F">
      <w:pPr>
        <w:spacing w:line="360" w:lineRule="auto"/>
        <w:jc w:val="both"/>
        <w:rPr>
          <w:rFonts w:ascii="Palatino Linotype" w:eastAsia="Calibri" w:hAnsi="Palatino Linotype" w:cs="Arial"/>
          <w:lang w:val="es-ES"/>
        </w:rPr>
      </w:pPr>
      <w:r w:rsidRPr="00701C3F">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formularon al dar respuesta y se ponga a disposición de </w:t>
      </w:r>
      <w:r w:rsidR="00934ADC" w:rsidRPr="00934ADC">
        <w:rPr>
          <w:rFonts w:ascii="Palatino Linotype" w:hAnsi="Palatino Linotype"/>
          <w:b/>
          <w:highlight w:val="black"/>
        </w:rPr>
        <w:t>-------------------------------------------</w:t>
      </w:r>
      <w:r w:rsidRPr="00701C3F">
        <w:rPr>
          <w:rFonts w:ascii="Palatino Linotype" w:eastAsia="Calibri" w:hAnsi="Palatino Linotype" w:cs="Arial"/>
          <w:lang w:val="es-ES"/>
        </w:rPr>
        <w:t>.</w:t>
      </w:r>
    </w:p>
    <w:p w:rsidR="009E1C0F" w:rsidRPr="00701C3F" w:rsidRDefault="009E1C0F" w:rsidP="00255BAF">
      <w:pPr>
        <w:spacing w:line="360" w:lineRule="auto"/>
        <w:jc w:val="both"/>
        <w:rPr>
          <w:rFonts w:ascii="Palatino Linotype" w:hAnsi="Palatino Linotype"/>
        </w:rPr>
      </w:pPr>
    </w:p>
    <w:p w:rsidR="00255BAF" w:rsidRPr="00701C3F" w:rsidRDefault="00255BAF" w:rsidP="00255BAF">
      <w:pPr>
        <w:spacing w:line="360" w:lineRule="auto"/>
        <w:jc w:val="both"/>
        <w:rPr>
          <w:rFonts w:ascii="Palatino Linotype" w:hAnsi="Palatino Linotype"/>
        </w:rPr>
      </w:pPr>
      <w:r w:rsidRPr="00701C3F">
        <w:rPr>
          <w:rFonts w:ascii="Palatino Linotype" w:hAnsi="Palatino Linotype"/>
        </w:rPr>
        <w:t xml:space="preserve">Asimismo se ordena al Sujeto Obligado que previo a la </w:t>
      </w:r>
      <w:r w:rsidR="008576B4" w:rsidRPr="00701C3F">
        <w:rPr>
          <w:rFonts w:ascii="Palatino Linotype" w:hAnsi="Palatino Linotype"/>
        </w:rPr>
        <w:t>entrega de las copias certificadas</w:t>
      </w:r>
      <w:r w:rsidRPr="00701C3F">
        <w:rPr>
          <w:rFonts w:ascii="Palatino Linotype" w:hAnsi="Palatino Linotype"/>
        </w:rPr>
        <w:t xml:space="preserve">, haga del conocimiento al Recurrente, el domicilio al cual deberá acudir, el nombre de la dependencia o área respectiva, los días y horarios de atención en </w:t>
      </w:r>
      <w:r w:rsidRPr="00701C3F">
        <w:rPr>
          <w:rFonts w:ascii="Palatino Linotype" w:hAnsi="Palatino Linotype"/>
        </w:rPr>
        <w:lastRenderedPageBreak/>
        <w:t xml:space="preserve">los cuales podrá </w:t>
      </w:r>
      <w:r w:rsidR="008576B4" w:rsidRPr="00701C3F">
        <w:rPr>
          <w:rFonts w:ascii="Palatino Linotype" w:hAnsi="Palatino Linotype"/>
        </w:rPr>
        <w:t>recoger la información</w:t>
      </w:r>
      <w:r w:rsidRPr="00701C3F">
        <w:rPr>
          <w:rFonts w:ascii="Palatino Linotype" w:hAnsi="Palatino Linotype"/>
        </w:rPr>
        <w:t xml:space="preserve">, la forma y procedimiento a seguir, así como el periodo durante el cual quedará a su disposición la información conforme a lo dispuesto por el artículo 166 de la Ley de Transparencia y Acceso a la Información Pública del Estado de México y Municipios.  </w:t>
      </w:r>
    </w:p>
    <w:p w:rsidR="00255BAF" w:rsidRPr="00701C3F" w:rsidRDefault="00255BAF" w:rsidP="00255BAF">
      <w:pPr>
        <w:spacing w:line="360" w:lineRule="auto"/>
        <w:jc w:val="both"/>
        <w:rPr>
          <w:rFonts w:ascii="Palatino Linotype" w:hAnsi="Palatino Linotype"/>
        </w:rPr>
      </w:pPr>
    </w:p>
    <w:p w:rsidR="00D864CE" w:rsidRPr="00701C3F" w:rsidRDefault="00D864CE" w:rsidP="00D864CE">
      <w:pPr>
        <w:tabs>
          <w:tab w:val="left" w:pos="8080"/>
        </w:tabs>
        <w:spacing w:line="360" w:lineRule="auto"/>
        <w:ind w:right="49"/>
        <w:contextualSpacing/>
        <w:jc w:val="both"/>
        <w:rPr>
          <w:rFonts w:ascii="Palatino Linotype" w:eastAsia="Palatino Linotype" w:hAnsi="Palatino Linotype" w:cs="Palatino Linotype"/>
          <w:b/>
        </w:rPr>
      </w:pPr>
      <w:r w:rsidRPr="00701C3F">
        <w:rPr>
          <w:rFonts w:ascii="Palatino Linotype" w:eastAsia="Palatino Linotype" w:hAnsi="Palatino Linotype" w:cs="Palatino Linotype"/>
          <w:b/>
        </w:rPr>
        <w:t xml:space="preserve">TERCERO. Notifíquese </w:t>
      </w:r>
      <w:r w:rsidRPr="00701C3F">
        <w:rPr>
          <w:rFonts w:ascii="Palatino Linotype" w:eastAsia="Palatino Linotype" w:hAnsi="Palatino Linotype" w:cs="Palatino Linotype"/>
        </w:rPr>
        <w:t xml:space="preserve">al Titular de la Unidad de Transparencia del </w:t>
      </w:r>
      <w:r w:rsidRPr="00701C3F">
        <w:rPr>
          <w:rFonts w:ascii="Palatino Linotype" w:eastAsia="Palatino Linotype" w:hAnsi="Palatino Linotype" w:cs="Palatino Linotype"/>
          <w:b/>
        </w:rPr>
        <w:t>SUJETO OBLIGADO</w:t>
      </w:r>
      <w:r w:rsidRPr="00701C3F">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701C3F">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D864CE" w:rsidRPr="00701C3F" w:rsidRDefault="00D864CE" w:rsidP="00D864CE">
      <w:pPr>
        <w:shd w:val="clear" w:color="auto" w:fill="FFFFFF"/>
        <w:spacing w:line="360" w:lineRule="auto"/>
        <w:jc w:val="both"/>
        <w:rPr>
          <w:rFonts w:ascii="Palatino Linotype" w:eastAsia="Times New Roman" w:hAnsi="Palatino Linotype" w:cs="Arial"/>
          <w:b/>
        </w:rPr>
      </w:pPr>
    </w:p>
    <w:p w:rsidR="00D864CE" w:rsidRPr="00701C3F" w:rsidRDefault="00D864CE" w:rsidP="00D864CE">
      <w:pPr>
        <w:shd w:val="clear" w:color="auto" w:fill="FFFFFF"/>
        <w:spacing w:line="360" w:lineRule="auto"/>
        <w:jc w:val="both"/>
        <w:rPr>
          <w:rFonts w:ascii="Palatino Linotype" w:hAnsi="Palatino Linotype"/>
        </w:rPr>
      </w:pPr>
      <w:r w:rsidRPr="00701C3F">
        <w:rPr>
          <w:rFonts w:ascii="Palatino Linotype" w:eastAsia="Times New Roman" w:hAnsi="Palatino Linotype" w:cs="Arial"/>
          <w:b/>
        </w:rPr>
        <w:t xml:space="preserve">CUARTO. </w:t>
      </w:r>
      <w:r w:rsidRPr="00701C3F">
        <w:rPr>
          <w:rFonts w:ascii="Palatino Linotype" w:eastAsia="Times New Roman" w:hAnsi="Palatino Linotype" w:cs="Times New Roman"/>
          <w:b/>
          <w:bCs/>
          <w:color w:val="222222"/>
          <w:lang w:val="es-ES"/>
        </w:rPr>
        <w:t>Notifíquese a</w:t>
      </w:r>
      <w:r w:rsidRPr="00701C3F">
        <w:rPr>
          <w:rFonts w:ascii="Palatino Linotype" w:hAnsi="Palatino Linotype"/>
          <w:b/>
        </w:rPr>
        <w:t xml:space="preserve"> </w:t>
      </w:r>
      <w:r w:rsidR="00934ADC" w:rsidRPr="00934ADC">
        <w:rPr>
          <w:rFonts w:ascii="Palatino Linotype" w:hAnsi="Palatino Linotype"/>
          <w:b/>
          <w:highlight w:val="black"/>
        </w:rPr>
        <w:t>---------------------------------------------</w:t>
      </w:r>
      <w:r w:rsidR="00133B65" w:rsidRPr="00701C3F">
        <w:rPr>
          <w:rFonts w:ascii="Palatino Linotype" w:hAnsi="Palatino Linotype"/>
          <w:b/>
          <w:sz w:val="28"/>
        </w:rPr>
        <w:t xml:space="preserve"> </w:t>
      </w:r>
      <w:r w:rsidRPr="00701C3F">
        <w:rPr>
          <w:rFonts w:ascii="Palatino Linotype" w:hAnsi="Palatino Linotype"/>
        </w:rPr>
        <w:t>la presente resolución y su informe justificado.</w:t>
      </w:r>
    </w:p>
    <w:p w:rsidR="00D864CE" w:rsidRPr="00701C3F" w:rsidRDefault="00D864CE" w:rsidP="00D864CE">
      <w:pPr>
        <w:shd w:val="clear" w:color="auto" w:fill="FFFFFF"/>
        <w:spacing w:line="360" w:lineRule="auto"/>
        <w:jc w:val="both"/>
        <w:rPr>
          <w:rFonts w:ascii="Palatino Linotype" w:hAnsi="Palatino Linotype"/>
        </w:rPr>
      </w:pPr>
    </w:p>
    <w:p w:rsidR="00D864CE" w:rsidRDefault="00FF1728" w:rsidP="00D864CE">
      <w:pPr>
        <w:spacing w:line="360" w:lineRule="auto"/>
        <w:jc w:val="both"/>
        <w:rPr>
          <w:rFonts w:ascii="Palatino Linotype" w:eastAsia="MS Mincho" w:hAnsi="Palatino Linotype" w:cs="Times New Roman"/>
          <w:lang w:val="es-ES"/>
        </w:rPr>
      </w:pPr>
      <w:r>
        <w:rPr>
          <w:rFonts w:ascii="Palatino Linotype" w:eastAsia="MS Mincho" w:hAnsi="Palatino Linotype" w:cs="Times New Roman"/>
          <w:b/>
          <w:noProof/>
          <w:lang w:val="es-MX" w:eastAsia="es-MX"/>
        </w:rPr>
        <mc:AlternateContent>
          <mc:Choice Requires="wps">
            <w:drawing>
              <wp:anchor distT="0" distB="0" distL="114300" distR="114300" simplePos="0" relativeHeight="251662336" behindDoc="0" locked="0" layoutInCell="1" allowOverlap="1">
                <wp:simplePos x="0" y="0"/>
                <wp:positionH relativeFrom="column">
                  <wp:posOffset>60509</wp:posOffset>
                </wp:positionH>
                <wp:positionV relativeFrom="paragraph">
                  <wp:posOffset>1501363</wp:posOffset>
                </wp:positionV>
                <wp:extent cx="5410390" cy="1479844"/>
                <wp:effectExtent l="19050" t="19050" r="19050" b="25400"/>
                <wp:wrapNone/>
                <wp:docPr id="4" name="Conector recto 4"/>
                <wp:cNvGraphicFramePr/>
                <a:graphic xmlns:a="http://schemas.openxmlformats.org/drawingml/2006/main">
                  <a:graphicData uri="http://schemas.microsoft.com/office/word/2010/wordprocessingShape">
                    <wps:wsp>
                      <wps:cNvCnPr/>
                      <wps:spPr>
                        <a:xfrm>
                          <a:off x="0" y="0"/>
                          <a:ext cx="5410390" cy="1479844"/>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238FC1" id="Conector recto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5pt,118.2pt" to="430.75pt,23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" strokecolor="#5b9bd5 [3204]" strokeweight="3pt">
                <v:stroke joinstyle="miter"/>
              </v:line>
            </w:pict>
          </mc:Fallback>
        </mc:AlternateContent>
      </w:r>
      <w:r w:rsidR="00D864CE" w:rsidRPr="00701C3F">
        <w:rPr>
          <w:rFonts w:ascii="Palatino Linotype" w:eastAsia="MS Mincho" w:hAnsi="Palatino Linotype" w:cs="Times New Roman"/>
          <w:b/>
          <w:lang w:val="es-MX"/>
        </w:rPr>
        <w:t>QUINTO.</w:t>
      </w:r>
      <w:r w:rsidR="00D864CE" w:rsidRPr="00701C3F">
        <w:rPr>
          <w:rFonts w:ascii="Palatino Linotype" w:eastAsia="MS Mincho" w:hAnsi="Palatino Linotype" w:cs="Times New Roman"/>
          <w:lang w:val="es-MX"/>
        </w:rPr>
        <w:t xml:space="preserve"> </w:t>
      </w:r>
      <w:r w:rsidR="00D864CE" w:rsidRPr="00701C3F">
        <w:rPr>
          <w:rFonts w:ascii="Palatino Linotype" w:eastAsia="MS Mincho" w:hAnsi="Palatino Linotype" w:cs="Times New Roman"/>
          <w:lang w:val="es-ES"/>
        </w:rPr>
        <w:t xml:space="preserve">Se hace del conocimiento de </w:t>
      </w:r>
      <w:r w:rsidR="00934ADC" w:rsidRPr="00934ADC">
        <w:rPr>
          <w:rFonts w:ascii="Palatino Linotype" w:hAnsi="Palatino Linotype"/>
          <w:b/>
          <w:highlight w:val="black"/>
        </w:rPr>
        <w:t>----------------------------------------</w:t>
      </w:r>
      <w:r w:rsidR="00133B65" w:rsidRPr="00701C3F">
        <w:rPr>
          <w:rFonts w:ascii="Palatino Linotype" w:hAnsi="Palatino Linotype"/>
          <w:b/>
          <w:sz w:val="28"/>
        </w:rPr>
        <w:t xml:space="preserve"> </w:t>
      </w:r>
      <w:r w:rsidR="00D864CE" w:rsidRPr="00701C3F">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00D864CE" w:rsidRPr="00701C3F">
        <w:rPr>
          <w:rFonts w:ascii="Palatino Linotype" w:eastAsia="MS Mincho" w:hAnsi="Palatino Linotype" w:cs="Times New Roman"/>
          <w:bCs/>
          <w:lang w:val="es-ES"/>
        </w:rPr>
        <w:t>vía juicio de amparo</w:t>
      </w:r>
      <w:r w:rsidR="00D864CE" w:rsidRPr="00701C3F">
        <w:rPr>
          <w:rFonts w:ascii="Palatino Linotype" w:eastAsia="MS Mincho" w:hAnsi="Palatino Linotype" w:cs="Times New Roman"/>
          <w:lang w:val="es-ES"/>
        </w:rPr>
        <w:t> en los términos de las leyes aplicables.</w:t>
      </w:r>
    </w:p>
    <w:p w:rsidR="00FF1728" w:rsidRDefault="00FF1728" w:rsidP="00D864CE">
      <w:pPr>
        <w:spacing w:line="360" w:lineRule="auto"/>
        <w:jc w:val="both"/>
        <w:rPr>
          <w:rFonts w:ascii="Palatino Linotype" w:eastAsia="MS Mincho" w:hAnsi="Palatino Linotype" w:cs="Times New Roman"/>
          <w:lang w:val="es-ES"/>
        </w:rPr>
      </w:pPr>
    </w:p>
    <w:p w:rsidR="00FF1728" w:rsidRDefault="00FF1728" w:rsidP="00D864CE">
      <w:pPr>
        <w:spacing w:line="360" w:lineRule="auto"/>
        <w:jc w:val="both"/>
        <w:rPr>
          <w:rFonts w:ascii="Palatino Linotype" w:eastAsia="MS Mincho" w:hAnsi="Palatino Linotype" w:cs="Times New Roman"/>
          <w:lang w:val="es-ES"/>
        </w:rPr>
      </w:pPr>
      <w:bookmarkStart w:id="50" w:name="_GoBack"/>
      <w:bookmarkEnd w:id="50"/>
    </w:p>
    <w:p w:rsidR="00FF1728" w:rsidRPr="00701C3F" w:rsidRDefault="00FF1728" w:rsidP="00D864CE">
      <w:pPr>
        <w:spacing w:line="360" w:lineRule="auto"/>
        <w:jc w:val="both"/>
        <w:rPr>
          <w:rFonts w:ascii="Palatino Linotype" w:eastAsia="MS Mincho" w:hAnsi="Palatino Linotype" w:cs="Times New Roman"/>
          <w:lang w:val="es-ES"/>
        </w:rPr>
      </w:pPr>
    </w:p>
    <w:p w:rsidR="00701C3F" w:rsidRPr="00701C3F" w:rsidRDefault="00701C3F" w:rsidP="00D864CE">
      <w:pPr>
        <w:spacing w:line="360" w:lineRule="auto"/>
        <w:jc w:val="both"/>
        <w:rPr>
          <w:rFonts w:ascii="Palatino Linotype" w:eastAsia="MS Mincho" w:hAnsi="Palatino Linotype" w:cs="Times New Roman"/>
          <w:lang w:val="es-ES"/>
        </w:rPr>
      </w:pPr>
    </w:p>
    <w:bookmarkEnd w:id="9"/>
    <w:bookmarkEnd w:id="10"/>
    <w:bookmarkEnd w:id="11"/>
    <w:p w:rsidR="00FF1728" w:rsidRDefault="00FF1728" w:rsidP="00701C3F">
      <w:pPr>
        <w:spacing w:line="360" w:lineRule="auto"/>
        <w:ind w:right="49"/>
        <w:jc w:val="both"/>
        <w:rPr>
          <w:rFonts w:ascii="Palatino Linotype" w:hAnsi="Palatino Linotype" w:cs="Arial"/>
          <w:sz w:val="22"/>
        </w:rPr>
      </w:pPr>
    </w:p>
    <w:p w:rsidR="00701C3F" w:rsidRPr="000B4235" w:rsidRDefault="000B4235" w:rsidP="00701C3F">
      <w:pPr>
        <w:spacing w:line="360" w:lineRule="auto"/>
        <w:ind w:right="49"/>
        <w:jc w:val="both"/>
        <w:rPr>
          <w:rFonts w:ascii="Palatino Linotype" w:hAnsi="Palatino Linotype" w:cs="Arial"/>
        </w:rPr>
      </w:pPr>
      <w:r>
        <w:rPr>
          <w:rFonts w:ascii="Palatino Linotype" w:hAnsi="Palatino Linotype" w:cs="Times New Roman"/>
          <w:b/>
          <w:noProof/>
          <w:color w:val="000000"/>
          <w:sz w:val="22"/>
          <w:lang w:val="es-MX" w:eastAsia="es-MX"/>
        </w:rPr>
        <mc:AlternateContent>
          <mc:Choice Requires="wps">
            <w:drawing>
              <wp:anchor distT="0" distB="0" distL="114300" distR="114300" simplePos="0" relativeHeight="251663360" behindDoc="0" locked="0" layoutInCell="1" allowOverlap="1">
                <wp:simplePos x="0" y="0"/>
                <wp:positionH relativeFrom="page">
                  <wp:posOffset>1192696</wp:posOffset>
                </wp:positionH>
                <wp:positionV relativeFrom="paragraph">
                  <wp:posOffset>3382010</wp:posOffset>
                </wp:positionV>
                <wp:extent cx="5337313" cy="3866322"/>
                <wp:effectExtent l="19050" t="19050" r="34925" b="20320"/>
                <wp:wrapNone/>
                <wp:docPr id="5" name="Conector recto 5"/>
                <wp:cNvGraphicFramePr/>
                <a:graphic xmlns:a="http://schemas.openxmlformats.org/drawingml/2006/main">
                  <a:graphicData uri="http://schemas.microsoft.com/office/word/2010/wordprocessingShape">
                    <wps:wsp>
                      <wps:cNvCnPr/>
                      <wps:spPr>
                        <a:xfrm>
                          <a:off x="0" y="0"/>
                          <a:ext cx="5337313" cy="3866322"/>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F06F90" id="Conector recto 5"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93.9pt,266.3pt" to="514.15pt,5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" strokecolor="#5b9bd5 [3204]" strokeweight="3pt">
                <v:stroke joinstyle="miter"/>
                <w10:wrap anchorx="page"/>
              </v:line>
            </w:pict>
          </mc:Fallback>
        </mc:AlternateContent>
      </w:r>
      <w:r w:rsidR="00701C3F" w:rsidRPr="000B4235">
        <w:rPr>
          <w:rFonts w:ascii="Palatino Linotype" w:hAnsi="Palatino Linotype" w:cs="Arial"/>
        </w:rPr>
        <w:t>ASÍ LO RESUELVE, POR UNANIMIDAD DE VOTOS, EL PLENO DEL</w:t>
      </w:r>
      <w:r w:rsidR="00701C3F" w:rsidRPr="000B4235">
        <w:rPr>
          <w:rFonts w:ascii="Palatino Linotype" w:eastAsia="Arial Unicode MS" w:hAnsi="Palatino Linotype" w:cs="Arial"/>
        </w:rPr>
        <w:t xml:space="preserve"> INSTITUTO DE TRANSPARENCIA, ACCESO A LA INFORMACIÓN PÚBLICA Y PROTECCIÓN DE DATOS PERSONALES DEL ESTADO DE MÉXICO Y MUNICIPIOS</w:t>
      </w:r>
      <w:r w:rsidR="00701C3F" w:rsidRPr="000B4235">
        <w:rPr>
          <w:rFonts w:ascii="Palatino Linotype" w:hAnsi="Palatino Linotype" w:cs="Arial"/>
        </w:rPr>
        <w:t>, CONFORMADO POR LOS COMISIONADOS ZULEMA MAR</w:t>
      </w:r>
      <w:r w:rsidR="00152B25" w:rsidRPr="000B4235">
        <w:rPr>
          <w:rFonts w:ascii="Palatino Linotype" w:hAnsi="Palatino Linotype" w:cs="Arial"/>
        </w:rPr>
        <w:t xml:space="preserve">TÍNEZ SÁNCHEZ EMITIENDO VOTO PARTICULAR CONCURRENTE; EVA ABAID YAPUR EMITIENDO VOTO PARTICULAR CONCURRENTE; </w:t>
      </w:r>
      <w:r w:rsidR="00701C3F" w:rsidRPr="000B4235">
        <w:rPr>
          <w:rFonts w:ascii="Palatino Linotype" w:hAnsi="Palatino Linotype" w:cs="Arial"/>
        </w:rPr>
        <w:t>JOSÉ GUADALUPE LUNA HERNÁNDEZ; JAVIER MARTÍNEZ C</w:t>
      </w:r>
      <w:r w:rsidR="009400E2">
        <w:rPr>
          <w:rFonts w:ascii="Palatino Linotype" w:hAnsi="Palatino Linotype" w:cs="Arial"/>
        </w:rPr>
        <w:t>RUZ Y LUIS GUSTAVO PARRA NORIEGA (AUSENCIA JUSTIFICADA)</w:t>
      </w:r>
      <w:r w:rsidR="00701C3F" w:rsidRPr="000B4235">
        <w:rPr>
          <w:rFonts w:ascii="Palatino Linotype" w:hAnsi="Palatino Linotype" w:cs="Arial"/>
        </w:rPr>
        <w:t>; EN LA SÉPTIMA SESIÓN ORDINARIA CELEBRADA EL VEINTE DE FEBRERO DE DOS MIL DIECINUEVE ANTE EL SECRETARIO TÉCNICO DEL PLENO, ALEXIS TAPIA RAMÍREZ.</w:t>
      </w:r>
    </w:p>
    <w:tbl>
      <w:tblPr>
        <w:tblStyle w:val="Tablaconcuadrcula111"/>
        <w:tblW w:w="892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4678"/>
      </w:tblGrid>
      <w:tr w:rsidR="00701C3F" w:rsidRPr="00701C3F" w:rsidTr="007B624A">
        <w:trPr>
          <w:trHeight w:val="1694"/>
        </w:trPr>
        <w:tc>
          <w:tcPr>
            <w:tcW w:w="8926" w:type="dxa"/>
            <w:gridSpan w:val="2"/>
            <w:vAlign w:val="center"/>
          </w:tcPr>
          <w:p w:rsidR="00701C3F" w:rsidRDefault="00701C3F" w:rsidP="007B624A">
            <w:pPr>
              <w:rPr>
                <w:rFonts w:ascii="Palatino Linotype" w:hAnsi="Palatino Linotype" w:cs="Times New Roman"/>
                <w:b/>
                <w:color w:val="000000"/>
                <w:sz w:val="22"/>
              </w:rPr>
            </w:pPr>
          </w:p>
          <w:p w:rsidR="00FF1728" w:rsidRDefault="00FF1728" w:rsidP="007B624A">
            <w:pPr>
              <w:rPr>
                <w:rFonts w:ascii="Palatino Linotype" w:hAnsi="Palatino Linotype" w:cs="Times New Roman"/>
                <w:b/>
                <w:color w:val="000000"/>
                <w:sz w:val="22"/>
              </w:rPr>
            </w:pPr>
          </w:p>
          <w:p w:rsidR="00FF1728" w:rsidRDefault="00FF1728" w:rsidP="007B624A">
            <w:pPr>
              <w:rPr>
                <w:rFonts w:ascii="Palatino Linotype" w:hAnsi="Palatino Linotype" w:cs="Times New Roman"/>
                <w:b/>
                <w:color w:val="000000"/>
                <w:sz w:val="22"/>
              </w:rPr>
            </w:pPr>
          </w:p>
          <w:p w:rsidR="00FF1728" w:rsidRDefault="00FF1728" w:rsidP="007B624A">
            <w:pPr>
              <w:rPr>
                <w:rFonts w:ascii="Palatino Linotype" w:hAnsi="Palatino Linotype" w:cs="Times New Roman"/>
                <w:b/>
                <w:color w:val="000000"/>
                <w:sz w:val="22"/>
              </w:rPr>
            </w:pPr>
          </w:p>
          <w:p w:rsidR="00FF1728" w:rsidRDefault="00FF1728" w:rsidP="007B624A">
            <w:pPr>
              <w:rPr>
                <w:rFonts w:ascii="Palatino Linotype" w:hAnsi="Palatino Linotype" w:cs="Times New Roman"/>
                <w:b/>
                <w:color w:val="000000"/>
                <w:sz w:val="22"/>
              </w:rPr>
            </w:pPr>
          </w:p>
          <w:p w:rsidR="00FF1728" w:rsidRDefault="00FF1728" w:rsidP="007B624A">
            <w:pPr>
              <w:rPr>
                <w:rFonts w:ascii="Palatino Linotype" w:hAnsi="Palatino Linotype" w:cs="Times New Roman"/>
                <w:b/>
                <w:color w:val="000000"/>
                <w:sz w:val="22"/>
              </w:rPr>
            </w:pPr>
          </w:p>
          <w:p w:rsidR="00FF1728" w:rsidRDefault="00FF1728" w:rsidP="007B624A">
            <w:pPr>
              <w:rPr>
                <w:rFonts w:ascii="Palatino Linotype" w:hAnsi="Palatino Linotype" w:cs="Times New Roman"/>
                <w:b/>
                <w:color w:val="000000"/>
                <w:sz w:val="22"/>
              </w:rPr>
            </w:pPr>
          </w:p>
          <w:p w:rsidR="00FF1728" w:rsidRDefault="00FF1728" w:rsidP="007B624A">
            <w:pPr>
              <w:rPr>
                <w:rFonts w:ascii="Palatino Linotype" w:hAnsi="Palatino Linotype" w:cs="Times New Roman"/>
                <w:b/>
                <w:color w:val="000000"/>
                <w:sz w:val="22"/>
              </w:rPr>
            </w:pPr>
          </w:p>
          <w:p w:rsidR="00FF1728" w:rsidRDefault="00FF1728" w:rsidP="007B624A">
            <w:pPr>
              <w:rPr>
                <w:rFonts w:ascii="Palatino Linotype" w:hAnsi="Palatino Linotype" w:cs="Times New Roman"/>
                <w:b/>
                <w:color w:val="000000"/>
                <w:sz w:val="22"/>
              </w:rPr>
            </w:pPr>
          </w:p>
          <w:p w:rsidR="00FF1728" w:rsidRDefault="00FF1728" w:rsidP="007B624A">
            <w:pPr>
              <w:rPr>
                <w:rFonts w:ascii="Palatino Linotype" w:hAnsi="Palatino Linotype" w:cs="Times New Roman"/>
                <w:b/>
                <w:color w:val="000000"/>
                <w:sz w:val="22"/>
              </w:rPr>
            </w:pPr>
          </w:p>
          <w:p w:rsidR="00FF1728" w:rsidRDefault="00FF1728" w:rsidP="007B624A">
            <w:pPr>
              <w:rPr>
                <w:rFonts w:ascii="Palatino Linotype" w:hAnsi="Palatino Linotype" w:cs="Times New Roman"/>
                <w:b/>
                <w:color w:val="000000"/>
                <w:sz w:val="22"/>
              </w:rPr>
            </w:pPr>
          </w:p>
          <w:p w:rsidR="00FF1728" w:rsidRDefault="00FF1728" w:rsidP="007B624A">
            <w:pPr>
              <w:rPr>
                <w:rFonts w:ascii="Palatino Linotype" w:hAnsi="Palatino Linotype" w:cs="Times New Roman"/>
                <w:b/>
                <w:color w:val="000000"/>
                <w:sz w:val="22"/>
              </w:rPr>
            </w:pPr>
          </w:p>
          <w:p w:rsidR="00FF1728" w:rsidRDefault="00FF1728" w:rsidP="007B624A">
            <w:pPr>
              <w:rPr>
                <w:rFonts w:ascii="Palatino Linotype" w:hAnsi="Palatino Linotype" w:cs="Times New Roman"/>
                <w:b/>
                <w:color w:val="000000"/>
                <w:sz w:val="22"/>
              </w:rPr>
            </w:pPr>
          </w:p>
          <w:p w:rsidR="00FF1728" w:rsidRDefault="00FF1728" w:rsidP="007B624A">
            <w:pPr>
              <w:rPr>
                <w:rFonts w:ascii="Palatino Linotype" w:hAnsi="Palatino Linotype" w:cs="Times New Roman"/>
                <w:b/>
                <w:color w:val="000000"/>
                <w:sz w:val="22"/>
              </w:rPr>
            </w:pPr>
          </w:p>
          <w:p w:rsidR="00FF1728" w:rsidRDefault="00FF1728" w:rsidP="007B624A">
            <w:pPr>
              <w:rPr>
                <w:rFonts w:ascii="Palatino Linotype" w:hAnsi="Palatino Linotype" w:cs="Times New Roman"/>
                <w:b/>
                <w:color w:val="000000"/>
                <w:sz w:val="22"/>
              </w:rPr>
            </w:pPr>
          </w:p>
          <w:p w:rsidR="00FF1728" w:rsidRDefault="00FF1728" w:rsidP="007B624A">
            <w:pPr>
              <w:rPr>
                <w:rFonts w:ascii="Palatino Linotype" w:hAnsi="Palatino Linotype" w:cs="Times New Roman"/>
                <w:b/>
                <w:color w:val="000000"/>
                <w:sz w:val="22"/>
              </w:rPr>
            </w:pPr>
          </w:p>
          <w:p w:rsidR="00FF1728" w:rsidRDefault="00FF1728" w:rsidP="007B624A">
            <w:pPr>
              <w:rPr>
                <w:rFonts w:ascii="Palatino Linotype" w:hAnsi="Palatino Linotype" w:cs="Times New Roman"/>
                <w:b/>
                <w:color w:val="000000"/>
                <w:sz w:val="22"/>
              </w:rPr>
            </w:pPr>
          </w:p>
          <w:p w:rsidR="00FF1728" w:rsidRDefault="00FF1728" w:rsidP="007B624A">
            <w:pPr>
              <w:rPr>
                <w:rFonts w:ascii="Palatino Linotype" w:hAnsi="Palatino Linotype" w:cs="Times New Roman"/>
                <w:b/>
                <w:color w:val="000000"/>
                <w:sz w:val="22"/>
              </w:rPr>
            </w:pPr>
          </w:p>
          <w:p w:rsidR="00FF1728" w:rsidRDefault="00FF1728" w:rsidP="007B624A">
            <w:pPr>
              <w:rPr>
                <w:rFonts w:ascii="Palatino Linotype" w:hAnsi="Palatino Linotype" w:cs="Times New Roman"/>
                <w:b/>
                <w:color w:val="000000"/>
                <w:sz w:val="22"/>
              </w:rPr>
            </w:pPr>
          </w:p>
          <w:p w:rsidR="00FF1728" w:rsidRDefault="00FF1728" w:rsidP="007B624A">
            <w:pPr>
              <w:rPr>
                <w:rFonts w:ascii="Palatino Linotype" w:hAnsi="Palatino Linotype" w:cs="Times New Roman"/>
                <w:b/>
                <w:color w:val="000000"/>
                <w:sz w:val="22"/>
              </w:rPr>
            </w:pPr>
          </w:p>
          <w:p w:rsidR="00FF1728" w:rsidRDefault="00FF1728" w:rsidP="007B624A">
            <w:pPr>
              <w:rPr>
                <w:rFonts w:ascii="Palatino Linotype" w:hAnsi="Palatino Linotype" w:cs="Times New Roman"/>
                <w:b/>
                <w:color w:val="000000"/>
                <w:sz w:val="22"/>
              </w:rPr>
            </w:pPr>
          </w:p>
          <w:p w:rsidR="00FF1728" w:rsidRDefault="00FF1728" w:rsidP="007B624A">
            <w:pPr>
              <w:rPr>
                <w:rFonts w:ascii="Palatino Linotype" w:hAnsi="Palatino Linotype" w:cs="Times New Roman"/>
                <w:b/>
                <w:color w:val="000000"/>
                <w:sz w:val="22"/>
              </w:rPr>
            </w:pPr>
          </w:p>
          <w:p w:rsidR="00FF1728" w:rsidRDefault="00FF1728" w:rsidP="009400E2">
            <w:pPr>
              <w:jc w:val="center"/>
              <w:rPr>
                <w:rFonts w:ascii="Palatino Linotype" w:hAnsi="Palatino Linotype" w:cs="Times New Roman"/>
                <w:b/>
                <w:color w:val="000000"/>
                <w:sz w:val="22"/>
              </w:rPr>
            </w:pPr>
          </w:p>
          <w:p w:rsidR="00701C3F" w:rsidRPr="00701C3F" w:rsidRDefault="00701C3F" w:rsidP="009400E2">
            <w:pPr>
              <w:jc w:val="center"/>
              <w:rPr>
                <w:rFonts w:ascii="Palatino Linotype" w:hAnsi="Palatino Linotype" w:cs="Times New Roman"/>
                <w:b/>
                <w:color w:val="000000"/>
                <w:sz w:val="22"/>
              </w:rPr>
            </w:pPr>
            <w:r w:rsidRPr="00701C3F">
              <w:rPr>
                <w:rFonts w:ascii="Palatino Linotype" w:hAnsi="Palatino Linotype" w:cs="Times New Roman"/>
                <w:b/>
                <w:color w:val="000000"/>
                <w:sz w:val="22"/>
              </w:rPr>
              <w:t>Zulema Martínez Sánchez</w:t>
            </w:r>
          </w:p>
          <w:p w:rsidR="00701C3F" w:rsidRPr="00701C3F" w:rsidRDefault="00701C3F" w:rsidP="007B624A">
            <w:pPr>
              <w:jc w:val="center"/>
              <w:rPr>
                <w:rFonts w:ascii="Palatino Linotype" w:hAnsi="Palatino Linotype" w:cs="Times New Roman"/>
                <w:color w:val="000000"/>
                <w:sz w:val="22"/>
              </w:rPr>
            </w:pPr>
            <w:r w:rsidRPr="00701C3F">
              <w:rPr>
                <w:rFonts w:ascii="Palatino Linotype" w:hAnsi="Palatino Linotype" w:cs="Times New Roman"/>
                <w:color w:val="000000"/>
                <w:sz w:val="22"/>
              </w:rPr>
              <w:t>Comisionada Presidenta</w:t>
            </w:r>
          </w:p>
          <w:p w:rsidR="00701C3F" w:rsidRPr="00701C3F" w:rsidRDefault="00701C3F" w:rsidP="007B624A">
            <w:pPr>
              <w:jc w:val="center"/>
              <w:rPr>
                <w:rFonts w:ascii="Palatino Linotype" w:hAnsi="Palatino Linotype" w:cs="Times New Roman"/>
                <w:color w:val="000000"/>
                <w:sz w:val="22"/>
              </w:rPr>
            </w:pPr>
            <w:r w:rsidRPr="00701C3F">
              <w:rPr>
                <w:rFonts w:ascii="Palatino Linotype" w:hAnsi="Palatino Linotype" w:cs="Times New Roman"/>
                <w:color w:val="000000"/>
                <w:sz w:val="22"/>
              </w:rPr>
              <w:t>(Rúbrica)</w:t>
            </w:r>
          </w:p>
        </w:tc>
      </w:tr>
      <w:tr w:rsidR="00701C3F" w:rsidRPr="00701C3F" w:rsidTr="007B624A">
        <w:trPr>
          <w:trHeight w:val="2021"/>
        </w:trPr>
        <w:tc>
          <w:tcPr>
            <w:tcW w:w="4248" w:type="dxa"/>
            <w:vAlign w:val="center"/>
          </w:tcPr>
          <w:p w:rsidR="00701C3F" w:rsidRDefault="00701C3F" w:rsidP="007B624A">
            <w:pPr>
              <w:rPr>
                <w:rFonts w:ascii="Palatino Linotype" w:hAnsi="Palatino Linotype" w:cs="Times New Roman"/>
                <w:b/>
                <w:color w:val="000000"/>
              </w:rPr>
            </w:pPr>
          </w:p>
          <w:p w:rsidR="009400E2" w:rsidRDefault="009400E2" w:rsidP="007B624A">
            <w:pPr>
              <w:rPr>
                <w:rFonts w:ascii="Palatino Linotype" w:hAnsi="Palatino Linotype" w:cs="Times New Roman"/>
                <w:b/>
                <w:color w:val="000000"/>
              </w:rPr>
            </w:pPr>
          </w:p>
          <w:p w:rsidR="009400E2" w:rsidRPr="00701C3F" w:rsidRDefault="009400E2" w:rsidP="007B624A">
            <w:pPr>
              <w:rPr>
                <w:rFonts w:ascii="Palatino Linotype" w:hAnsi="Palatino Linotype" w:cs="Times New Roman"/>
                <w:b/>
                <w:color w:val="000000"/>
              </w:rPr>
            </w:pPr>
          </w:p>
          <w:p w:rsidR="00701C3F" w:rsidRPr="00701C3F" w:rsidRDefault="00701C3F" w:rsidP="007B624A">
            <w:pPr>
              <w:rPr>
                <w:rFonts w:ascii="Palatino Linotype" w:hAnsi="Palatino Linotype" w:cs="Times New Roman"/>
                <w:b/>
                <w:color w:val="000000"/>
              </w:rPr>
            </w:pPr>
          </w:p>
          <w:p w:rsidR="00701C3F" w:rsidRPr="00701C3F" w:rsidRDefault="00701C3F" w:rsidP="007B624A">
            <w:pPr>
              <w:jc w:val="center"/>
              <w:rPr>
                <w:rFonts w:ascii="Palatino Linotype" w:hAnsi="Palatino Linotype" w:cs="Times New Roman"/>
                <w:b/>
                <w:color w:val="000000"/>
              </w:rPr>
            </w:pPr>
            <w:r w:rsidRPr="00701C3F">
              <w:rPr>
                <w:rFonts w:ascii="Palatino Linotype" w:hAnsi="Palatino Linotype" w:cs="Times New Roman"/>
                <w:b/>
                <w:color w:val="000000"/>
              </w:rPr>
              <w:t xml:space="preserve">Eva </w:t>
            </w:r>
            <w:proofErr w:type="spellStart"/>
            <w:r w:rsidRPr="00701C3F">
              <w:rPr>
                <w:rFonts w:ascii="Palatino Linotype" w:hAnsi="Palatino Linotype" w:cs="Times New Roman"/>
                <w:b/>
                <w:color w:val="000000"/>
              </w:rPr>
              <w:t>Abaid</w:t>
            </w:r>
            <w:proofErr w:type="spellEnd"/>
            <w:r w:rsidRPr="00701C3F">
              <w:rPr>
                <w:rFonts w:ascii="Palatino Linotype" w:hAnsi="Palatino Linotype" w:cs="Times New Roman"/>
                <w:b/>
                <w:color w:val="000000"/>
              </w:rPr>
              <w:t xml:space="preserve"> </w:t>
            </w:r>
            <w:proofErr w:type="spellStart"/>
            <w:r w:rsidRPr="00701C3F">
              <w:rPr>
                <w:rFonts w:ascii="Palatino Linotype" w:hAnsi="Palatino Linotype" w:cs="Times New Roman"/>
                <w:b/>
                <w:color w:val="000000"/>
              </w:rPr>
              <w:t>Yapur</w:t>
            </w:r>
            <w:proofErr w:type="spellEnd"/>
          </w:p>
          <w:p w:rsidR="00701C3F" w:rsidRPr="00701C3F" w:rsidRDefault="00701C3F" w:rsidP="007B624A">
            <w:pPr>
              <w:jc w:val="center"/>
              <w:rPr>
                <w:rFonts w:ascii="Palatino Linotype" w:hAnsi="Palatino Linotype" w:cs="Times New Roman"/>
                <w:color w:val="000000"/>
              </w:rPr>
            </w:pPr>
            <w:r w:rsidRPr="00701C3F">
              <w:rPr>
                <w:rFonts w:ascii="Palatino Linotype" w:hAnsi="Palatino Linotype" w:cs="Times New Roman"/>
                <w:color w:val="000000"/>
              </w:rPr>
              <w:t>Comisionada</w:t>
            </w:r>
          </w:p>
          <w:p w:rsidR="00701C3F" w:rsidRPr="00701C3F" w:rsidRDefault="00701C3F" w:rsidP="007B624A">
            <w:pPr>
              <w:jc w:val="center"/>
              <w:rPr>
                <w:rFonts w:ascii="Palatino Linotype" w:hAnsi="Palatino Linotype" w:cs="Times New Roman"/>
                <w:color w:val="000000"/>
              </w:rPr>
            </w:pPr>
            <w:r w:rsidRPr="00701C3F">
              <w:rPr>
                <w:rFonts w:ascii="Palatino Linotype" w:hAnsi="Palatino Linotype" w:cs="Times New Roman"/>
                <w:color w:val="000000"/>
              </w:rPr>
              <w:t>(Rúbrica)</w:t>
            </w:r>
          </w:p>
        </w:tc>
        <w:tc>
          <w:tcPr>
            <w:tcW w:w="4678" w:type="dxa"/>
            <w:vAlign w:val="center"/>
          </w:tcPr>
          <w:p w:rsidR="00701C3F" w:rsidRPr="00701C3F" w:rsidRDefault="00701C3F" w:rsidP="007B624A">
            <w:pPr>
              <w:rPr>
                <w:rFonts w:ascii="Palatino Linotype" w:hAnsi="Palatino Linotype" w:cs="Times New Roman"/>
                <w:b/>
                <w:color w:val="000000"/>
                <w:sz w:val="22"/>
              </w:rPr>
            </w:pPr>
          </w:p>
          <w:p w:rsidR="00701C3F" w:rsidRDefault="00701C3F" w:rsidP="007B624A">
            <w:pPr>
              <w:rPr>
                <w:rFonts w:ascii="Palatino Linotype" w:hAnsi="Palatino Linotype" w:cs="Times New Roman"/>
                <w:b/>
                <w:color w:val="000000"/>
                <w:sz w:val="22"/>
              </w:rPr>
            </w:pPr>
          </w:p>
          <w:p w:rsidR="009400E2" w:rsidRDefault="009400E2" w:rsidP="007B624A">
            <w:pPr>
              <w:rPr>
                <w:rFonts w:ascii="Palatino Linotype" w:hAnsi="Palatino Linotype" w:cs="Times New Roman"/>
                <w:b/>
                <w:color w:val="000000"/>
                <w:sz w:val="22"/>
              </w:rPr>
            </w:pPr>
          </w:p>
          <w:p w:rsidR="009400E2" w:rsidRPr="00701C3F" w:rsidRDefault="009400E2" w:rsidP="007B624A">
            <w:pPr>
              <w:rPr>
                <w:rFonts w:ascii="Palatino Linotype" w:hAnsi="Palatino Linotype" w:cs="Times New Roman"/>
                <w:b/>
                <w:color w:val="000000"/>
                <w:sz w:val="22"/>
              </w:rPr>
            </w:pPr>
          </w:p>
          <w:p w:rsidR="00701C3F" w:rsidRPr="00701C3F" w:rsidRDefault="00701C3F" w:rsidP="007B624A">
            <w:pPr>
              <w:jc w:val="center"/>
              <w:rPr>
                <w:rFonts w:ascii="Palatino Linotype" w:hAnsi="Palatino Linotype" w:cs="Times New Roman"/>
                <w:b/>
                <w:color w:val="000000"/>
                <w:sz w:val="22"/>
              </w:rPr>
            </w:pPr>
            <w:r w:rsidRPr="00701C3F">
              <w:rPr>
                <w:rFonts w:ascii="Palatino Linotype" w:hAnsi="Palatino Linotype" w:cs="Times New Roman"/>
                <w:b/>
                <w:color w:val="000000"/>
                <w:sz w:val="22"/>
              </w:rPr>
              <w:t>José Guadalupe Luna Hernández</w:t>
            </w:r>
          </w:p>
          <w:p w:rsidR="00701C3F" w:rsidRPr="00701C3F" w:rsidRDefault="00701C3F" w:rsidP="007B624A">
            <w:pPr>
              <w:jc w:val="center"/>
              <w:rPr>
                <w:rFonts w:ascii="Palatino Linotype" w:hAnsi="Palatino Linotype" w:cs="Times New Roman"/>
                <w:color w:val="000000"/>
                <w:sz w:val="22"/>
              </w:rPr>
            </w:pPr>
            <w:r w:rsidRPr="00701C3F">
              <w:rPr>
                <w:rFonts w:ascii="Palatino Linotype" w:hAnsi="Palatino Linotype" w:cs="Times New Roman"/>
                <w:color w:val="000000"/>
                <w:sz w:val="22"/>
              </w:rPr>
              <w:t>Comisionado</w:t>
            </w:r>
          </w:p>
          <w:p w:rsidR="00701C3F" w:rsidRPr="00701C3F" w:rsidRDefault="00701C3F" w:rsidP="007B624A">
            <w:pPr>
              <w:jc w:val="center"/>
              <w:rPr>
                <w:rFonts w:ascii="Palatino Linotype" w:hAnsi="Palatino Linotype" w:cs="Times New Roman"/>
                <w:color w:val="000000"/>
                <w:sz w:val="22"/>
              </w:rPr>
            </w:pPr>
            <w:r w:rsidRPr="00701C3F">
              <w:rPr>
                <w:rFonts w:ascii="Palatino Linotype" w:hAnsi="Palatino Linotype" w:cs="Times New Roman"/>
                <w:color w:val="000000"/>
                <w:sz w:val="22"/>
              </w:rPr>
              <w:t>(Rúbrica)</w:t>
            </w:r>
          </w:p>
        </w:tc>
      </w:tr>
      <w:tr w:rsidR="00701C3F" w:rsidRPr="00701C3F" w:rsidTr="007B624A">
        <w:trPr>
          <w:trHeight w:val="2104"/>
        </w:trPr>
        <w:tc>
          <w:tcPr>
            <w:tcW w:w="4248" w:type="dxa"/>
            <w:vAlign w:val="center"/>
          </w:tcPr>
          <w:p w:rsidR="00701C3F" w:rsidRDefault="00701C3F" w:rsidP="007B624A">
            <w:pPr>
              <w:rPr>
                <w:rFonts w:ascii="Palatino Linotype" w:hAnsi="Palatino Linotype" w:cs="Times New Roman"/>
                <w:b/>
                <w:color w:val="000000"/>
              </w:rPr>
            </w:pPr>
          </w:p>
          <w:p w:rsidR="009400E2" w:rsidRPr="00701C3F" w:rsidRDefault="009400E2" w:rsidP="007B624A">
            <w:pPr>
              <w:rPr>
                <w:rFonts w:ascii="Palatino Linotype" w:hAnsi="Palatino Linotype" w:cs="Times New Roman"/>
                <w:b/>
                <w:color w:val="000000"/>
              </w:rPr>
            </w:pPr>
          </w:p>
          <w:p w:rsidR="00701C3F" w:rsidRDefault="00701C3F" w:rsidP="007B624A">
            <w:pPr>
              <w:rPr>
                <w:rFonts w:ascii="Palatino Linotype" w:hAnsi="Palatino Linotype" w:cs="Times New Roman"/>
                <w:b/>
                <w:color w:val="000000"/>
              </w:rPr>
            </w:pPr>
          </w:p>
          <w:p w:rsidR="009400E2" w:rsidRDefault="009400E2" w:rsidP="007B624A">
            <w:pPr>
              <w:rPr>
                <w:rFonts w:ascii="Palatino Linotype" w:hAnsi="Palatino Linotype" w:cs="Times New Roman"/>
                <w:b/>
                <w:color w:val="000000"/>
              </w:rPr>
            </w:pPr>
          </w:p>
          <w:p w:rsidR="009400E2" w:rsidRPr="00701C3F" w:rsidRDefault="009400E2" w:rsidP="007B624A">
            <w:pPr>
              <w:rPr>
                <w:rFonts w:ascii="Palatino Linotype" w:hAnsi="Palatino Linotype" w:cs="Times New Roman"/>
                <w:b/>
                <w:color w:val="000000"/>
              </w:rPr>
            </w:pPr>
          </w:p>
          <w:p w:rsidR="00701C3F" w:rsidRPr="00701C3F" w:rsidRDefault="00701C3F" w:rsidP="007B624A">
            <w:pPr>
              <w:jc w:val="center"/>
              <w:rPr>
                <w:rFonts w:ascii="Palatino Linotype" w:hAnsi="Palatino Linotype" w:cs="Times New Roman"/>
                <w:b/>
                <w:color w:val="000000"/>
              </w:rPr>
            </w:pPr>
            <w:r w:rsidRPr="00701C3F">
              <w:rPr>
                <w:rFonts w:ascii="Palatino Linotype" w:hAnsi="Palatino Linotype" w:cs="Times New Roman"/>
                <w:b/>
                <w:color w:val="000000"/>
              </w:rPr>
              <w:t>Javier Martínez Cruz</w:t>
            </w:r>
          </w:p>
          <w:p w:rsidR="00701C3F" w:rsidRPr="00701C3F" w:rsidRDefault="00701C3F" w:rsidP="007B624A">
            <w:pPr>
              <w:jc w:val="center"/>
              <w:rPr>
                <w:rFonts w:ascii="Palatino Linotype" w:hAnsi="Palatino Linotype" w:cs="Times New Roman"/>
                <w:color w:val="000000"/>
              </w:rPr>
            </w:pPr>
            <w:r w:rsidRPr="00701C3F">
              <w:rPr>
                <w:rFonts w:ascii="Palatino Linotype" w:hAnsi="Palatino Linotype" w:cs="Times New Roman"/>
                <w:color w:val="000000"/>
              </w:rPr>
              <w:t>Comisionado</w:t>
            </w:r>
          </w:p>
          <w:p w:rsidR="00701C3F" w:rsidRPr="00701C3F" w:rsidRDefault="00701C3F" w:rsidP="007B624A">
            <w:pPr>
              <w:jc w:val="center"/>
              <w:rPr>
                <w:rFonts w:ascii="Palatino Linotype" w:hAnsi="Palatino Linotype" w:cs="Times New Roman"/>
                <w:color w:val="000000"/>
              </w:rPr>
            </w:pPr>
            <w:r w:rsidRPr="00701C3F">
              <w:rPr>
                <w:rFonts w:ascii="Palatino Linotype" w:hAnsi="Palatino Linotype" w:cs="Times New Roman"/>
                <w:color w:val="000000"/>
              </w:rPr>
              <w:t>(Rúbrica)</w:t>
            </w:r>
          </w:p>
        </w:tc>
        <w:tc>
          <w:tcPr>
            <w:tcW w:w="4678" w:type="dxa"/>
            <w:vAlign w:val="center"/>
          </w:tcPr>
          <w:p w:rsidR="00701C3F" w:rsidRPr="00701C3F" w:rsidRDefault="00701C3F" w:rsidP="007B624A">
            <w:pPr>
              <w:rPr>
                <w:rFonts w:ascii="Palatino Linotype" w:hAnsi="Palatino Linotype" w:cs="Times New Roman"/>
                <w:b/>
                <w:color w:val="000000"/>
                <w:sz w:val="22"/>
              </w:rPr>
            </w:pPr>
          </w:p>
          <w:p w:rsidR="00701C3F" w:rsidRDefault="00701C3F" w:rsidP="007B624A">
            <w:pPr>
              <w:rPr>
                <w:rFonts w:ascii="Palatino Linotype" w:hAnsi="Palatino Linotype" w:cs="Times New Roman"/>
                <w:b/>
                <w:color w:val="000000"/>
                <w:sz w:val="22"/>
              </w:rPr>
            </w:pPr>
          </w:p>
          <w:p w:rsidR="009400E2" w:rsidRDefault="009400E2" w:rsidP="007B624A">
            <w:pPr>
              <w:rPr>
                <w:rFonts w:ascii="Palatino Linotype" w:hAnsi="Palatino Linotype" w:cs="Times New Roman"/>
                <w:b/>
                <w:color w:val="000000"/>
                <w:sz w:val="22"/>
              </w:rPr>
            </w:pPr>
          </w:p>
          <w:p w:rsidR="009400E2" w:rsidRDefault="009400E2" w:rsidP="007B624A">
            <w:pPr>
              <w:rPr>
                <w:rFonts w:ascii="Palatino Linotype" w:hAnsi="Palatino Linotype" w:cs="Times New Roman"/>
                <w:b/>
                <w:color w:val="000000"/>
                <w:sz w:val="22"/>
              </w:rPr>
            </w:pPr>
          </w:p>
          <w:p w:rsidR="009400E2" w:rsidRPr="00701C3F" w:rsidRDefault="009400E2" w:rsidP="007B624A">
            <w:pPr>
              <w:rPr>
                <w:rFonts w:ascii="Palatino Linotype" w:hAnsi="Palatino Linotype" w:cs="Times New Roman"/>
                <w:b/>
                <w:color w:val="000000"/>
                <w:sz w:val="22"/>
              </w:rPr>
            </w:pPr>
          </w:p>
          <w:p w:rsidR="00701C3F" w:rsidRPr="00701C3F" w:rsidRDefault="00701C3F" w:rsidP="007B624A">
            <w:pPr>
              <w:jc w:val="center"/>
              <w:rPr>
                <w:rFonts w:ascii="Palatino Linotype" w:hAnsi="Palatino Linotype" w:cs="Times New Roman"/>
                <w:b/>
                <w:color w:val="000000"/>
                <w:sz w:val="22"/>
              </w:rPr>
            </w:pPr>
            <w:r w:rsidRPr="00701C3F">
              <w:rPr>
                <w:rFonts w:ascii="Palatino Linotype" w:hAnsi="Palatino Linotype" w:cs="Times New Roman"/>
                <w:b/>
                <w:color w:val="000000"/>
                <w:sz w:val="22"/>
              </w:rPr>
              <w:t>Luis Gustavo Parra Noriega</w:t>
            </w:r>
          </w:p>
          <w:p w:rsidR="00701C3F" w:rsidRPr="00701C3F" w:rsidRDefault="00701C3F" w:rsidP="007B624A">
            <w:pPr>
              <w:jc w:val="center"/>
              <w:rPr>
                <w:rFonts w:ascii="Palatino Linotype" w:hAnsi="Palatino Linotype" w:cs="Times New Roman"/>
                <w:color w:val="000000"/>
                <w:sz w:val="22"/>
              </w:rPr>
            </w:pPr>
            <w:r w:rsidRPr="00701C3F">
              <w:rPr>
                <w:rFonts w:ascii="Palatino Linotype" w:hAnsi="Palatino Linotype" w:cs="Times New Roman"/>
                <w:color w:val="000000"/>
                <w:sz w:val="22"/>
              </w:rPr>
              <w:t>Comisionado</w:t>
            </w:r>
          </w:p>
          <w:p w:rsidR="00701C3F" w:rsidRPr="00701C3F" w:rsidRDefault="009400E2" w:rsidP="007B624A">
            <w:pPr>
              <w:jc w:val="center"/>
              <w:rPr>
                <w:rFonts w:ascii="Palatino Linotype" w:hAnsi="Palatino Linotype" w:cs="Times New Roman"/>
                <w:color w:val="000000"/>
                <w:sz w:val="22"/>
              </w:rPr>
            </w:pPr>
            <w:r>
              <w:rPr>
                <w:rFonts w:ascii="Palatino Linotype" w:hAnsi="Palatino Linotype" w:cs="Times New Roman"/>
                <w:color w:val="000000"/>
                <w:sz w:val="22"/>
              </w:rPr>
              <w:t>(Ausencia Justificada</w:t>
            </w:r>
            <w:r w:rsidR="00701C3F" w:rsidRPr="00701C3F">
              <w:rPr>
                <w:rFonts w:ascii="Palatino Linotype" w:hAnsi="Palatino Linotype" w:cs="Times New Roman"/>
                <w:color w:val="000000"/>
                <w:sz w:val="22"/>
              </w:rPr>
              <w:t>)</w:t>
            </w:r>
          </w:p>
        </w:tc>
      </w:tr>
      <w:tr w:rsidR="00701C3F" w:rsidRPr="009D5318" w:rsidTr="00066ADF">
        <w:trPr>
          <w:trHeight w:val="3722"/>
        </w:trPr>
        <w:tc>
          <w:tcPr>
            <w:tcW w:w="8926" w:type="dxa"/>
            <w:gridSpan w:val="2"/>
            <w:vAlign w:val="center"/>
          </w:tcPr>
          <w:p w:rsidR="00701C3F" w:rsidRPr="00701C3F" w:rsidRDefault="00701C3F" w:rsidP="007B624A">
            <w:pPr>
              <w:jc w:val="center"/>
              <w:rPr>
                <w:rFonts w:ascii="Palatino Linotype" w:hAnsi="Palatino Linotype" w:cs="Times New Roman"/>
                <w:b/>
                <w:color w:val="000000"/>
                <w:sz w:val="22"/>
              </w:rPr>
            </w:pPr>
          </w:p>
          <w:p w:rsidR="00701C3F" w:rsidRDefault="00701C3F" w:rsidP="007B624A">
            <w:pPr>
              <w:jc w:val="center"/>
              <w:rPr>
                <w:rFonts w:ascii="Palatino Linotype" w:hAnsi="Palatino Linotype" w:cs="Times New Roman"/>
                <w:b/>
                <w:color w:val="000000"/>
                <w:sz w:val="22"/>
              </w:rPr>
            </w:pPr>
          </w:p>
          <w:p w:rsidR="009400E2" w:rsidRDefault="009400E2" w:rsidP="007B624A">
            <w:pPr>
              <w:jc w:val="center"/>
              <w:rPr>
                <w:rFonts w:ascii="Palatino Linotype" w:hAnsi="Palatino Linotype" w:cs="Times New Roman"/>
                <w:b/>
                <w:color w:val="000000"/>
                <w:sz w:val="22"/>
              </w:rPr>
            </w:pPr>
          </w:p>
          <w:p w:rsidR="009400E2" w:rsidRPr="00701C3F" w:rsidRDefault="009400E2" w:rsidP="007B624A">
            <w:pPr>
              <w:jc w:val="center"/>
              <w:rPr>
                <w:rFonts w:ascii="Palatino Linotype" w:hAnsi="Palatino Linotype" w:cs="Times New Roman"/>
                <w:b/>
                <w:color w:val="000000"/>
                <w:sz w:val="22"/>
              </w:rPr>
            </w:pPr>
          </w:p>
          <w:p w:rsidR="00701C3F" w:rsidRPr="00701C3F" w:rsidRDefault="00701C3F" w:rsidP="007B624A">
            <w:pPr>
              <w:jc w:val="center"/>
              <w:rPr>
                <w:rFonts w:ascii="Palatino Linotype" w:hAnsi="Palatino Linotype" w:cs="Times New Roman"/>
                <w:b/>
                <w:color w:val="000000"/>
                <w:sz w:val="22"/>
              </w:rPr>
            </w:pPr>
          </w:p>
          <w:p w:rsidR="00701C3F" w:rsidRPr="00701C3F" w:rsidRDefault="00701C3F" w:rsidP="007B624A">
            <w:pPr>
              <w:jc w:val="center"/>
              <w:rPr>
                <w:rFonts w:ascii="Palatino Linotype" w:hAnsi="Palatino Linotype" w:cs="Times New Roman"/>
                <w:b/>
                <w:color w:val="000000"/>
                <w:sz w:val="22"/>
              </w:rPr>
            </w:pPr>
            <w:r w:rsidRPr="00701C3F">
              <w:rPr>
                <w:rFonts w:ascii="Palatino Linotype" w:hAnsi="Palatino Linotype" w:cs="Times New Roman"/>
                <w:b/>
                <w:color w:val="000000"/>
                <w:sz w:val="22"/>
              </w:rPr>
              <w:t>Alexis Tapia Ramírez</w:t>
            </w:r>
          </w:p>
          <w:p w:rsidR="00701C3F" w:rsidRPr="00701C3F" w:rsidRDefault="00701C3F" w:rsidP="007B624A">
            <w:pPr>
              <w:jc w:val="center"/>
              <w:rPr>
                <w:rFonts w:ascii="Palatino Linotype" w:hAnsi="Palatino Linotype" w:cs="Times New Roman"/>
                <w:color w:val="000000"/>
                <w:sz w:val="22"/>
              </w:rPr>
            </w:pPr>
            <w:r w:rsidRPr="00701C3F">
              <w:rPr>
                <w:rFonts w:ascii="Palatino Linotype" w:hAnsi="Palatino Linotype" w:cs="Times New Roman"/>
                <w:color w:val="000000"/>
                <w:sz w:val="22"/>
              </w:rPr>
              <w:t>Secretario Técnico del Pleno</w:t>
            </w:r>
          </w:p>
          <w:p w:rsidR="00701C3F" w:rsidRPr="00701C3F" w:rsidRDefault="00701C3F" w:rsidP="007B624A">
            <w:pPr>
              <w:jc w:val="center"/>
              <w:rPr>
                <w:rFonts w:ascii="Palatino Linotype" w:hAnsi="Palatino Linotype" w:cs="Times New Roman"/>
                <w:color w:val="000000"/>
                <w:sz w:val="22"/>
              </w:rPr>
            </w:pPr>
            <w:r w:rsidRPr="00701C3F">
              <w:rPr>
                <w:rFonts w:ascii="Palatino Linotype" w:hAnsi="Palatino Linotype" w:cs="Times New Roman"/>
                <w:color w:val="000000"/>
                <w:sz w:val="22"/>
              </w:rPr>
              <w:t>(Rúbrica)</w:t>
            </w:r>
          </w:p>
          <w:p w:rsidR="00701C3F" w:rsidRPr="00701C3F" w:rsidRDefault="00701C3F" w:rsidP="007B624A">
            <w:pPr>
              <w:jc w:val="center"/>
              <w:rPr>
                <w:rFonts w:ascii="Palatino Linotype" w:hAnsi="Palatino Linotype" w:cs="Times New Roman"/>
                <w:color w:val="000000"/>
                <w:sz w:val="22"/>
              </w:rPr>
            </w:pPr>
          </w:p>
          <w:p w:rsidR="00701C3F" w:rsidRDefault="00701C3F" w:rsidP="007B624A">
            <w:pPr>
              <w:jc w:val="both"/>
              <w:rPr>
                <w:rFonts w:ascii="Palatino Linotype" w:hAnsi="Palatino Linotype" w:cs="Arial"/>
                <w:sz w:val="22"/>
              </w:rPr>
            </w:pPr>
          </w:p>
          <w:p w:rsidR="009400E2" w:rsidRPr="00701C3F" w:rsidRDefault="009400E2" w:rsidP="007B624A">
            <w:pPr>
              <w:jc w:val="both"/>
              <w:rPr>
                <w:rFonts w:ascii="Palatino Linotype" w:hAnsi="Palatino Linotype" w:cs="Arial"/>
                <w:sz w:val="22"/>
              </w:rPr>
            </w:pPr>
          </w:p>
          <w:p w:rsidR="00066ADF" w:rsidRDefault="00066ADF" w:rsidP="007B624A">
            <w:pPr>
              <w:jc w:val="both"/>
              <w:rPr>
                <w:rFonts w:ascii="Palatino Linotype" w:hAnsi="Palatino Linotype" w:cs="Arial"/>
              </w:rPr>
            </w:pPr>
          </w:p>
          <w:p w:rsidR="00701C3F" w:rsidRPr="00D12C15" w:rsidRDefault="00701C3F" w:rsidP="007B624A">
            <w:pPr>
              <w:jc w:val="both"/>
              <w:rPr>
                <w:rFonts w:ascii="Palatino Linotype" w:hAnsi="Palatino Linotype" w:cs="Arial"/>
                <w:bCs/>
                <w:sz w:val="22"/>
              </w:rPr>
            </w:pPr>
            <w:r w:rsidRPr="00066ADF">
              <w:rPr>
                <w:rFonts w:ascii="Palatino Linotype" w:hAnsi="Palatino Linotype" w:cs="Arial"/>
              </w:rPr>
              <w:t xml:space="preserve">Esta hoja corresponde a la resolución de fecha veinte (20) de febrero de dos mil diecinueve, emitida en el recurso de revisión </w:t>
            </w:r>
            <w:r w:rsidRPr="00066ADF">
              <w:rPr>
                <w:rFonts w:ascii="Palatino Linotype" w:hAnsi="Palatino Linotype" w:cs="Arial"/>
                <w:bCs/>
              </w:rPr>
              <w:t>04638/INFOEM/IP/RR/2018.</w:t>
            </w:r>
          </w:p>
        </w:tc>
      </w:tr>
    </w:tbl>
    <w:p w:rsidR="002248D3" w:rsidRDefault="002248D3" w:rsidP="00701C3F">
      <w:pPr>
        <w:shd w:val="clear" w:color="auto" w:fill="FFFFFF"/>
        <w:spacing w:before="240" w:after="360" w:line="360" w:lineRule="auto"/>
        <w:jc w:val="both"/>
      </w:pPr>
    </w:p>
    <w:sectPr w:rsidR="002248D3" w:rsidSect="00141DF6">
      <w:headerReference w:type="default" r:id="rId8"/>
      <w:footerReference w:type="default" r:id="rId9"/>
      <w:headerReference w:type="first" r:id="rId10"/>
      <w:footerReference w:type="first" r:id="rId11"/>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0F8A" w:rsidRDefault="00DA0F8A" w:rsidP="008B6F5F">
      <w:r>
        <w:separator/>
      </w:r>
    </w:p>
  </w:endnote>
  <w:endnote w:type="continuationSeparator" w:id="0">
    <w:p w:rsidR="00DA0F8A" w:rsidRDefault="00DA0F8A"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397772" w:rsidRPr="000A2541" w:rsidRDefault="00397772">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FA1917">
              <w:rPr>
                <w:rFonts w:ascii="Palatino Linotype" w:hAnsi="Palatino Linotype"/>
                <w:b/>
                <w:bCs/>
                <w:noProof/>
              </w:rPr>
              <w:t>38</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FA1917">
              <w:rPr>
                <w:rFonts w:ascii="Palatino Linotype" w:hAnsi="Palatino Linotype"/>
                <w:b/>
                <w:bCs/>
                <w:noProof/>
              </w:rPr>
              <w:t>38</w:t>
            </w:r>
            <w:r w:rsidRPr="000A2541">
              <w:rPr>
                <w:rFonts w:ascii="Palatino Linotype" w:hAnsi="Palatino Linotype"/>
                <w:b/>
                <w:bCs/>
              </w:rPr>
              <w:fldChar w:fldCharType="end"/>
            </w:r>
          </w:p>
        </w:sdtContent>
      </w:sdt>
    </w:sdtContent>
  </w:sdt>
  <w:p w:rsidR="00397772" w:rsidRDefault="0039777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772" w:rsidRPr="00883450" w:rsidRDefault="00397772"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FA1917" w:rsidRPr="00FA1917">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FA1917" w:rsidRPr="00FA1917">
      <w:rPr>
        <w:rFonts w:ascii="Palatino Linotype" w:hAnsi="Palatino Linotype"/>
        <w:noProof/>
        <w:sz w:val="22"/>
        <w:szCs w:val="22"/>
        <w:lang w:val="es-ES"/>
      </w:rPr>
      <w:t>38</w:t>
    </w:r>
    <w:r w:rsidRPr="00883450">
      <w:rPr>
        <w:rFonts w:ascii="Palatino Linotype" w:hAnsi="Palatino Linotype"/>
        <w:sz w:val="22"/>
        <w:szCs w:val="22"/>
      </w:rPr>
      <w:fldChar w:fldCharType="end"/>
    </w:r>
  </w:p>
  <w:p w:rsidR="00397772" w:rsidRPr="00883450" w:rsidRDefault="00397772">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0F8A" w:rsidRDefault="00DA0F8A" w:rsidP="008B6F5F">
      <w:r>
        <w:separator/>
      </w:r>
    </w:p>
  </w:footnote>
  <w:footnote w:type="continuationSeparator" w:id="0">
    <w:p w:rsidR="00DA0F8A" w:rsidRDefault="00DA0F8A" w:rsidP="008B6F5F">
      <w:r>
        <w:continuationSeparator/>
      </w:r>
    </w:p>
  </w:footnote>
  <w:footnote w:id="1">
    <w:p w:rsidR="00986FD8" w:rsidRDefault="00986FD8" w:rsidP="00986FD8">
      <w:pPr>
        <w:pStyle w:val="Textonotapie"/>
      </w:pPr>
      <w:r>
        <w:rPr>
          <w:rStyle w:val="Refdenotaalpie"/>
        </w:rPr>
        <w:footnoteRef/>
      </w:r>
      <w:r>
        <w:t xml:space="preserve"> Tercer párrafo, artículo 1º, Constitución Política de los Estados Unidos Mexicanos.</w:t>
      </w:r>
    </w:p>
  </w:footnote>
  <w:footnote w:id="2">
    <w:p w:rsidR="00986FD8" w:rsidRDefault="00986FD8" w:rsidP="00986FD8">
      <w:pPr>
        <w:pStyle w:val="Textonotapie"/>
      </w:pPr>
      <w:r>
        <w:rPr>
          <w:rStyle w:val="Refdenotaalpie"/>
        </w:rPr>
        <w:footnoteRef/>
      </w:r>
      <w:r>
        <w:t xml:space="preserve"> Segundo Párrafo, artículo 6º, Constitución Política de los Estados Unidos Mexicanos.</w:t>
      </w:r>
    </w:p>
  </w:footnote>
  <w:footnote w:id="3">
    <w:p w:rsidR="00986FD8" w:rsidRDefault="00986FD8" w:rsidP="00986FD8">
      <w:pPr>
        <w:pStyle w:val="Textonotapie"/>
      </w:pPr>
      <w:r>
        <w:rPr>
          <w:rStyle w:val="Refdenotaalpie"/>
        </w:rPr>
        <w:footnoteRef/>
      </w:r>
      <w:r>
        <w:t xml:space="preserve"> Convención Americana sobre Derechos Humanos. Artículo 13.</w:t>
      </w:r>
    </w:p>
  </w:footnote>
  <w:footnote w:id="4">
    <w:p w:rsidR="00986FD8" w:rsidRDefault="00986FD8" w:rsidP="00986FD8">
      <w:pPr>
        <w:pStyle w:val="Textonotapie"/>
      </w:pPr>
      <w:r>
        <w:rPr>
          <w:rStyle w:val="Refdenotaalpie"/>
        </w:rPr>
        <w:footnoteRef/>
      </w:r>
      <w:r>
        <w:t xml:space="preserve"> Constitución Política de los Estados Unidos Mexicanos. Artículo sexto, sección A, Fracción I.</w:t>
      </w:r>
    </w:p>
  </w:footnote>
  <w:footnote w:id="5">
    <w:p w:rsidR="00986FD8" w:rsidRDefault="00986FD8" w:rsidP="00986FD8">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6">
    <w:p w:rsidR="00986FD8" w:rsidRDefault="00986FD8" w:rsidP="00986FD8">
      <w:pPr>
        <w:pStyle w:val="Textonotapie"/>
      </w:pPr>
      <w:r>
        <w:rPr>
          <w:rStyle w:val="Refdenotaalpie"/>
        </w:rPr>
        <w:footnoteRef/>
      </w:r>
      <w:r>
        <w:t xml:space="preserve"> Ibídem. Párr. 87.</w:t>
      </w:r>
    </w:p>
  </w:footnote>
  <w:footnote w:id="7">
    <w:p w:rsidR="00986FD8" w:rsidRDefault="00986FD8" w:rsidP="00986FD8">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8">
    <w:p w:rsidR="00986FD8" w:rsidRPr="00D45A90" w:rsidRDefault="00986FD8" w:rsidP="00986FD8">
      <w:pPr>
        <w:pStyle w:val="Textonotapie"/>
        <w:rPr>
          <w:lang w:val="es-ES"/>
        </w:rPr>
      </w:pPr>
      <w:r>
        <w:rPr>
          <w:rStyle w:val="Refdenotaalpie"/>
        </w:rPr>
        <w:footnoteRef/>
      </w:r>
      <w:r>
        <w:t xml:space="preserve"> </w:t>
      </w:r>
      <w:r w:rsidRPr="00D45A90">
        <w:rPr>
          <w:rFonts w:ascii="Arial" w:hAnsi="Arial" w:cs="Arial"/>
          <w:sz w:val="18"/>
        </w:rPr>
        <w:t>CIDH. El derecho de acceso a la información en el marco jurídic</w:t>
      </w:r>
      <w:r>
        <w:rPr>
          <w:rFonts w:ascii="Arial" w:hAnsi="Arial" w:cs="Arial"/>
          <w:sz w:val="18"/>
        </w:rPr>
        <w:t xml:space="preserve">o interamericano. 2009. Párr. 172. Disponible en </w:t>
      </w:r>
      <w:r w:rsidRPr="00D45A90">
        <w:rPr>
          <w:rFonts w:ascii="Arial" w:hAnsi="Arial" w:cs="Arial"/>
          <w:sz w:val="18"/>
        </w:rPr>
        <w:t>http://www.oas.org/es/cidh/expresion/docs/publicaciones/ACCESO%20A%20LA%20INFORMACION%20FINAL%20CON%20PORTADA.pdf</w:t>
      </w:r>
    </w:p>
  </w:footnote>
  <w:footnote w:id="9">
    <w:p w:rsidR="00986FD8" w:rsidRDefault="00986FD8" w:rsidP="00986FD8">
      <w:pPr>
        <w:pStyle w:val="Textonotapie"/>
      </w:pPr>
      <w:r>
        <w:rPr>
          <w:rStyle w:val="Refdenotaalpie"/>
        </w:rPr>
        <w:footnoteRef/>
      </w:r>
      <w:r>
        <w:t xml:space="preserve"> Ley de Transparencia y Acceso a la Información Pública del Estado de México y Municipios. Artículo 9. …</w:t>
      </w:r>
    </w:p>
    <w:p w:rsidR="00986FD8" w:rsidRDefault="00986FD8" w:rsidP="00986FD8">
      <w:pPr>
        <w:pStyle w:val="Textonotapie"/>
      </w:pPr>
      <w:r>
        <w:t>II. Eficacia: Obligación del Instituto para tutelar, de manera efectiva, el derecho de acceso a la información;</w:t>
      </w:r>
    </w:p>
    <w:p w:rsidR="00986FD8" w:rsidRDefault="00986FD8" w:rsidP="00986FD8">
      <w:pPr>
        <w:pStyle w:val="Textonotapie"/>
      </w:pPr>
      <w:r>
        <w:t xml:space="preserve">… </w:t>
      </w:r>
    </w:p>
  </w:footnote>
  <w:footnote w:id="10">
    <w:p w:rsidR="00986FD8" w:rsidRPr="00690CC1" w:rsidRDefault="00986FD8" w:rsidP="00986FD8">
      <w:pPr>
        <w:autoSpaceDE w:val="0"/>
        <w:autoSpaceDN w:val="0"/>
        <w:adjustRightInd w:val="0"/>
        <w:jc w:val="both"/>
        <w:rPr>
          <w:rFonts w:cs="Bookman Old Style"/>
          <w:sz w:val="20"/>
          <w:szCs w:val="20"/>
        </w:rPr>
      </w:pPr>
      <w:r w:rsidRPr="00690CC1">
        <w:rPr>
          <w:rStyle w:val="Refdenotaalpie"/>
          <w:sz w:val="20"/>
          <w:szCs w:val="20"/>
        </w:rPr>
        <w:footnoteRef/>
      </w:r>
      <w:r w:rsidRPr="00690CC1">
        <w:rPr>
          <w:sz w:val="20"/>
          <w:szCs w:val="20"/>
        </w:rPr>
        <w:t xml:space="preserve"> </w:t>
      </w:r>
      <w:r w:rsidRPr="00690CC1">
        <w:rPr>
          <w:rFonts w:cs="Bookman Old Style,Bold"/>
          <w:b/>
          <w:bCs/>
          <w:sz w:val="20"/>
          <w:szCs w:val="20"/>
        </w:rPr>
        <w:t xml:space="preserve">Artículo 13. </w:t>
      </w:r>
      <w:r w:rsidRPr="00690CC1">
        <w:rPr>
          <w:rFonts w:cs="Bookman Old Style"/>
          <w:sz w:val="20"/>
          <w:szCs w:val="20"/>
        </w:rPr>
        <w:t>El Instituto, en el ámbito de sus atribuciones, deberá suplir cualquier deficiencia para garantizar el ejercicio del derecho de acceso a la información.</w:t>
      </w:r>
    </w:p>
    <w:p w:rsidR="00986FD8" w:rsidRPr="00690CC1" w:rsidRDefault="00986FD8" w:rsidP="00986FD8">
      <w:pPr>
        <w:autoSpaceDE w:val="0"/>
        <w:autoSpaceDN w:val="0"/>
        <w:adjustRightInd w:val="0"/>
        <w:jc w:val="both"/>
        <w:rPr>
          <w:sz w:val="20"/>
          <w:szCs w:val="20"/>
        </w:rPr>
      </w:pPr>
    </w:p>
  </w:footnote>
  <w:footnote w:id="11">
    <w:p w:rsidR="00986FD8" w:rsidRPr="00690CC1" w:rsidRDefault="00986FD8" w:rsidP="00986FD8">
      <w:pPr>
        <w:pStyle w:val="Textonotapie"/>
        <w:jc w:val="both"/>
        <w:rPr>
          <w:rFonts w:cs="Bookman Old Style,Bold"/>
          <w:b/>
          <w:bCs/>
        </w:rPr>
      </w:pPr>
      <w:r w:rsidRPr="00690CC1">
        <w:rPr>
          <w:rStyle w:val="Refdenotaalpie"/>
        </w:rPr>
        <w:footnoteRef/>
      </w:r>
      <w:r w:rsidRPr="00690CC1">
        <w:t xml:space="preserve"> </w:t>
      </w:r>
      <w:r w:rsidRPr="00690CC1">
        <w:rPr>
          <w:rFonts w:cs="Bookman Old Style,Bold"/>
          <w:b/>
          <w:bCs/>
        </w:rPr>
        <w:t>Artículo 181. …</w:t>
      </w:r>
    </w:p>
    <w:p w:rsidR="00986FD8" w:rsidRPr="00690CC1" w:rsidRDefault="00986FD8" w:rsidP="00986FD8">
      <w:pPr>
        <w:pStyle w:val="Textonotapie"/>
        <w:jc w:val="both"/>
        <w:rPr>
          <w:rFonts w:cs="Bookman Old Style,Bold"/>
          <w:b/>
          <w:bCs/>
        </w:rPr>
      </w:pPr>
      <w:r w:rsidRPr="00690CC1">
        <w:rPr>
          <w:rFonts w:cs="Bookman Old Style,Bold"/>
          <w:b/>
          <w:bCs/>
        </w:rPr>
        <w:t>…</w:t>
      </w:r>
    </w:p>
    <w:p w:rsidR="00986FD8" w:rsidRPr="00690CC1" w:rsidRDefault="00986FD8" w:rsidP="00986FD8">
      <w:pPr>
        <w:autoSpaceDE w:val="0"/>
        <w:autoSpaceDN w:val="0"/>
        <w:adjustRightInd w:val="0"/>
        <w:jc w:val="both"/>
      </w:pPr>
      <w:r w:rsidRPr="00690CC1">
        <w:rPr>
          <w:rFonts w:cs="Bookman Old Style"/>
          <w:sz w:val="20"/>
          <w:szCs w:val="20"/>
        </w:rPr>
        <w:t>Durante el procedimiento deberá aplicarse la suplencia de la queja a favor del recurrente, sin cambiar los hechos expuestos, asegurándose de que las partes puedan presentar, de manera oral o escrita, los argumentos que funden y motiven sus pretensiones.</w:t>
      </w:r>
    </w:p>
  </w:footnote>
  <w:footnote w:id="12">
    <w:p w:rsidR="00BC6440" w:rsidRPr="00F154C8" w:rsidRDefault="00BC6440" w:rsidP="00BC6440">
      <w:pPr>
        <w:pStyle w:val="Textonotapie"/>
        <w:jc w:val="both"/>
        <w:rPr>
          <w:rFonts w:ascii="Palatino Linotype" w:hAnsi="Palatino Linotype" w:cs="Arial"/>
        </w:rPr>
      </w:pPr>
      <w:r w:rsidRPr="00F154C8">
        <w:rPr>
          <w:rStyle w:val="Refdenotaalpie"/>
          <w:rFonts w:ascii="Palatino Linotype" w:hAnsi="Palatino Linotype" w:cs="Arial"/>
        </w:rPr>
        <w:footnoteRef/>
      </w:r>
      <w:r w:rsidRPr="00F154C8">
        <w:rPr>
          <w:rFonts w:ascii="Palatino Linotype" w:hAnsi="Palatino Linotype" w:cs="Arial"/>
        </w:rPr>
        <w:t xml:space="preserve"> FERRAJOLI, Luigi. </w:t>
      </w:r>
      <w:r w:rsidRPr="00F154C8">
        <w:rPr>
          <w:rFonts w:ascii="Palatino Linotype" w:hAnsi="Palatino Linotype" w:cs="Arial"/>
          <w:i/>
        </w:rPr>
        <w:t>La democracia a través de los derechos., El constitucionalismo garantista como modelo teórico y como proyecto político.</w:t>
      </w:r>
      <w:r w:rsidRPr="00F154C8">
        <w:rPr>
          <w:rFonts w:ascii="Palatino Linotype" w:hAnsi="Palatino Linotype" w:cs="Arial"/>
        </w:rPr>
        <w:t xml:space="preserve"> Madrid. Ed. </w:t>
      </w:r>
      <w:proofErr w:type="spellStart"/>
      <w:r w:rsidRPr="00F154C8">
        <w:rPr>
          <w:rFonts w:ascii="Palatino Linotype" w:hAnsi="Palatino Linotype" w:cs="Arial"/>
        </w:rPr>
        <w:t>Trotta</w:t>
      </w:r>
      <w:proofErr w:type="spellEnd"/>
      <w:r w:rsidRPr="00F154C8">
        <w:rPr>
          <w:rFonts w:ascii="Palatino Linotype" w:hAnsi="Palatino Linotype" w:cs="Arial"/>
        </w:rPr>
        <w:t>, 2014.Pág. 62.</w:t>
      </w:r>
    </w:p>
  </w:footnote>
  <w:footnote w:id="13">
    <w:p w:rsidR="00BC6440" w:rsidRPr="00FA14E5" w:rsidRDefault="00BC6440" w:rsidP="00BC6440">
      <w:pPr>
        <w:pStyle w:val="Textonotapie"/>
        <w:jc w:val="both"/>
        <w:rPr>
          <w:rFonts w:ascii="Arial" w:hAnsi="Arial" w:cs="Arial"/>
        </w:rPr>
      </w:pPr>
      <w:r w:rsidRPr="00F154C8">
        <w:rPr>
          <w:rStyle w:val="Refdenotaalpie"/>
          <w:rFonts w:ascii="Palatino Linotype" w:hAnsi="Palatino Linotype" w:cs="Arial"/>
        </w:rPr>
        <w:footnoteRef/>
      </w:r>
      <w:r w:rsidRPr="00F154C8">
        <w:rPr>
          <w:rFonts w:ascii="Palatino Linotype" w:hAnsi="Palatino Linotype" w:cs="Arial"/>
        </w:rPr>
        <w:t xml:space="preserve"> FERRAJOLI, Luigi. </w:t>
      </w:r>
      <w:r w:rsidRPr="00F154C8">
        <w:rPr>
          <w:rFonts w:ascii="Palatino Linotype" w:hAnsi="Palatino Linotype" w:cs="Arial"/>
          <w:i/>
        </w:rPr>
        <w:t>Poderes salvajes. La crisis de la democracia constitucional.</w:t>
      </w:r>
      <w:r w:rsidRPr="00F154C8">
        <w:rPr>
          <w:rFonts w:ascii="Palatino Linotype" w:hAnsi="Palatino Linotype" w:cs="Arial"/>
        </w:rPr>
        <w:t xml:space="preserve"> Segunda edición, Madrid. Ed. Mínima </w:t>
      </w:r>
      <w:proofErr w:type="spellStart"/>
      <w:r w:rsidRPr="00F154C8">
        <w:rPr>
          <w:rFonts w:ascii="Palatino Linotype" w:hAnsi="Palatino Linotype" w:cs="Arial"/>
        </w:rPr>
        <w:t>Trotta</w:t>
      </w:r>
      <w:proofErr w:type="spellEnd"/>
      <w:r w:rsidRPr="00F154C8">
        <w:rPr>
          <w:rFonts w:ascii="Palatino Linotype" w:hAnsi="Palatino Linotype" w:cs="Arial"/>
        </w:rPr>
        <w:t>. 2011. Pág. 40.</w:t>
      </w:r>
    </w:p>
  </w:footnote>
  <w:footnote w:id="14">
    <w:p w:rsidR="00BC6440" w:rsidRPr="00F154C8" w:rsidRDefault="00BC6440" w:rsidP="00BC6440">
      <w:pPr>
        <w:pStyle w:val="Textonotapie"/>
        <w:jc w:val="both"/>
        <w:rPr>
          <w:rFonts w:ascii="Palatino Linotype" w:hAnsi="Palatino Linotype" w:cs="Arial"/>
        </w:rPr>
      </w:pPr>
      <w:r w:rsidRPr="00F154C8">
        <w:rPr>
          <w:rStyle w:val="Refdenotaalpie"/>
          <w:rFonts w:ascii="Palatino Linotype" w:hAnsi="Palatino Linotype" w:cs="Arial"/>
        </w:rPr>
        <w:footnoteRef/>
      </w:r>
      <w:r w:rsidRPr="00F154C8">
        <w:rPr>
          <w:rFonts w:ascii="Palatino Linotype" w:hAnsi="Palatino Linotype" w:cs="Arial"/>
        </w:rPr>
        <w:t xml:space="preserve"> Comisión Interamericana de Derechos Humanos. Relatoría Especial para la Libertad de Expresión. El derecho de acceso a la información pública en el marco jurídico interamericano. 2ª. Edición, OEA, 2012. Párr. 29.</w:t>
      </w:r>
    </w:p>
  </w:footnote>
  <w:footnote w:id="15">
    <w:p w:rsidR="00BC6440" w:rsidRPr="00FA14E5" w:rsidRDefault="00BC6440" w:rsidP="00BC6440">
      <w:pPr>
        <w:pStyle w:val="Textonotapie"/>
        <w:jc w:val="both"/>
        <w:rPr>
          <w:rFonts w:ascii="Arial" w:hAnsi="Arial" w:cs="Arial"/>
        </w:rPr>
      </w:pPr>
      <w:r w:rsidRPr="00F154C8">
        <w:rPr>
          <w:rStyle w:val="Refdenotaalpie"/>
          <w:rFonts w:ascii="Palatino Linotype" w:hAnsi="Palatino Linotype" w:cs="Arial"/>
        </w:rPr>
        <w:footnoteRef/>
      </w:r>
      <w:r w:rsidRPr="00F154C8">
        <w:rPr>
          <w:rFonts w:ascii="Palatino Linotype" w:hAnsi="Palatino Linotype" w:cs="Arial"/>
        </w:rPr>
        <w:t xml:space="preserve"> Corte Interamericana de Derechos Humanos. Caso Claude Reyes y otros contra Chile. Sentencia de 19 de septiembre de 2006. </w:t>
      </w:r>
      <w:proofErr w:type="spellStart"/>
      <w:r w:rsidRPr="00F154C8">
        <w:rPr>
          <w:rFonts w:ascii="Palatino Linotype" w:hAnsi="Palatino Linotype" w:cs="Arial"/>
        </w:rPr>
        <w:t>Párrfs</w:t>
      </w:r>
      <w:proofErr w:type="spellEnd"/>
      <w:r w:rsidRPr="00F154C8">
        <w:rPr>
          <w:rFonts w:ascii="Palatino Linotype" w:hAnsi="Palatino Linotype" w:cs="Arial"/>
        </w:rPr>
        <w:t>. 116-139.</w:t>
      </w:r>
    </w:p>
  </w:footnote>
  <w:footnote w:id="16">
    <w:p w:rsidR="00BC6440" w:rsidRPr="00F154C8" w:rsidRDefault="00BC6440" w:rsidP="00BC6440">
      <w:pPr>
        <w:pStyle w:val="Textonotapie"/>
        <w:jc w:val="both"/>
        <w:rPr>
          <w:rFonts w:ascii="Palatino Linotype" w:hAnsi="Palatino Linotype" w:cs="Arial"/>
        </w:rPr>
      </w:pPr>
      <w:r w:rsidRPr="00F154C8">
        <w:rPr>
          <w:rStyle w:val="Refdenotaalpie"/>
          <w:rFonts w:ascii="Palatino Linotype" w:hAnsi="Palatino Linotype" w:cs="Arial"/>
        </w:rPr>
        <w:footnoteRef/>
      </w:r>
      <w:r w:rsidRPr="00F154C8">
        <w:rPr>
          <w:rFonts w:ascii="Palatino Linotype" w:hAnsi="Palatino Linotype" w:cs="Arial"/>
        </w:rPr>
        <w:t xml:space="preserve"> OPINIÓN PARTICULAR DEL COMISIONADO JOSÉ GUADALUPE LUNA HERNÁNDEZ EN EL RECURSO DE REVISIÓN 01750/INFOEM/IP/RR/2015 Y 01751/INFOEM/IP/RR/2015. Párr. 21.</w:t>
      </w:r>
    </w:p>
  </w:footnote>
  <w:footnote w:id="17">
    <w:p w:rsidR="00BC6440" w:rsidRPr="00F154C8" w:rsidRDefault="00BC6440" w:rsidP="00BC6440">
      <w:pPr>
        <w:pStyle w:val="Textonotapie"/>
        <w:jc w:val="both"/>
        <w:rPr>
          <w:rFonts w:ascii="Palatino Linotype" w:hAnsi="Palatino Linotype" w:cs="Arial"/>
        </w:rPr>
      </w:pPr>
      <w:r w:rsidRPr="00F154C8">
        <w:rPr>
          <w:rStyle w:val="Refdenotaalpie"/>
          <w:rFonts w:ascii="Palatino Linotype" w:hAnsi="Palatino Linotype" w:cs="Arial"/>
        </w:rPr>
        <w:footnoteRef/>
      </w:r>
      <w:r w:rsidRPr="00F154C8">
        <w:rPr>
          <w:rFonts w:ascii="Palatino Linotype" w:hAnsi="Palatino Linotype" w:cs="Arial"/>
        </w:rPr>
        <w:t xml:space="preserve"> FERRAJOLI, Luigi. </w:t>
      </w:r>
      <w:r w:rsidRPr="00F154C8">
        <w:rPr>
          <w:rFonts w:ascii="Palatino Linotype" w:hAnsi="Palatino Linotype" w:cs="Arial"/>
          <w:i/>
        </w:rPr>
        <w:t xml:space="preserve">La demo…cit. </w:t>
      </w:r>
      <w:r w:rsidRPr="00F154C8">
        <w:rPr>
          <w:rFonts w:ascii="Palatino Linotype" w:hAnsi="Palatino Linotype" w:cs="Arial"/>
        </w:rPr>
        <w:t>Pág. 62.</w:t>
      </w:r>
    </w:p>
  </w:footnote>
  <w:footnote w:id="18">
    <w:p w:rsidR="00BC6440" w:rsidRPr="00FA14E5" w:rsidRDefault="00BC6440" w:rsidP="00BC6440">
      <w:pPr>
        <w:pStyle w:val="Textonotapie"/>
        <w:jc w:val="both"/>
        <w:rPr>
          <w:rFonts w:ascii="Arial" w:hAnsi="Arial" w:cs="Arial"/>
        </w:rPr>
      </w:pPr>
      <w:r w:rsidRPr="00F154C8">
        <w:rPr>
          <w:rStyle w:val="Refdenotaalpie"/>
          <w:rFonts w:ascii="Palatino Linotype" w:hAnsi="Palatino Linotype" w:cs="Arial"/>
        </w:rPr>
        <w:footnoteRef/>
      </w:r>
      <w:r w:rsidRPr="00F154C8">
        <w:rPr>
          <w:rFonts w:ascii="Palatino Linotype" w:hAnsi="Palatino Linotype" w:cs="Arial"/>
        </w:rPr>
        <w:t xml:space="preserve"> FERRAJOLI, Luigi. </w:t>
      </w:r>
      <w:r w:rsidRPr="00F154C8">
        <w:rPr>
          <w:rFonts w:ascii="Palatino Linotype" w:hAnsi="Palatino Linotype" w:cs="Arial"/>
          <w:i/>
        </w:rPr>
        <w:t xml:space="preserve">Pode… cit. </w:t>
      </w:r>
      <w:r w:rsidRPr="00F154C8">
        <w:rPr>
          <w:rFonts w:ascii="Palatino Linotype" w:hAnsi="Palatino Linotype" w:cs="Arial"/>
        </w:rPr>
        <w:t>Pág. 40.</w:t>
      </w:r>
    </w:p>
  </w:footnote>
  <w:footnote w:id="19">
    <w:p w:rsidR="006249D2" w:rsidRDefault="006249D2" w:rsidP="006249D2">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6249D2" w:rsidRDefault="006249D2" w:rsidP="006249D2">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6249D2" w:rsidRPr="001E1F95" w:rsidRDefault="006249D2" w:rsidP="006249D2">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20">
    <w:p w:rsidR="006249D2" w:rsidRPr="0037004E" w:rsidRDefault="006249D2" w:rsidP="006249D2">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397772" w:rsidRPr="00EF13C1" w:rsidTr="00646380">
      <w:trPr>
        <w:trHeight w:val="138"/>
        <w:jc w:val="right"/>
      </w:trPr>
      <w:tc>
        <w:tcPr>
          <w:tcW w:w="2552" w:type="dxa"/>
          <w:vAlign w:val="center"/>
        </w:tcPr>
        <w:p w:rsidR="00397772" w:rsidRPr="00EF13C1" w:rsidRDefault="00397772"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397772" w:rsidRPr="00EF13C1" w:rsidRDefault="00347BB3" w:rsidP="00133B65">
          <w:pPr>
            <w:pStyle w:val="Encabezado"/>
            <w:jc w:val="right"/>
            <w:rPr>
              <w:rFonts w:ascii="Palatino Linotype" w:hAnsi="Palatino Linotype"/>
              <w:b/>
              <w:sz w:val="22"/>
              <w:szCs w:val="22"/>
            </w:rPr>
          </w:pPr>
          <w:r>
            <w:rPr>
              <w:rFonts w:ascii="Palatino Linotype" w:hAnsi="Palatino Linotype" w:cs="Arial"/>
              <w:b/>
              <w:bCs/>
              <w:sz w:val="22"/>
              <w:szCs w:val="22"/>
              <w:lang w:eastAsia="es-MX"/>
            </w:rPr>
            <w:t>04</w:t>
          </w:r>
          <w:r w:rsidR="00133B65">
            <w:rPr>
              <w:rFonts w:ascii="Palatino Linotype" w:hAnsi="Palatino Linotype" w:cs="Arial"/>
              <w:b/>
              <w:bCs/>
              <w:sz w:val="22"/>
              <w:szCs w:val="22"/>
              <w:lang w:eastAsia="es-MX"/>
            </w:rPr>
            <w:t>638</w:t>
          </w:r>
          <w:r w:rsidR="00397772">
            <w:rPr>
              <w:rFonts w:ascii="Palatino Linotype" w:hAnsi="Palatino Linotype" w:cs="Arial"/>
              <w:b/>
              <w:bCs/>
              <w:sz w:val="22"/>
              <w:szCs w:val="22"/>
              <w:lang w:eastAsia="es-MX"/>
            </w:rPr>
            <w:t xml:space="preserve">/INFOEM/IP/RR/2018 </w:t>
          </w:r>
        </w:p>
      </w:tc>
    </w:tr>
    <w:tr w:rsidR="00397772" w:rsidRPr="00EF13C1" w:rsidTr="00646380">
      <w:trPr>
        <w:trHeight w:val="233"/>
        <w:jc w:val="right"/>
      </w:trPr>
      <w:tc>
        <w:tcPr>
          <w:tcW w:w="2552" w:type="dxa"/>
          <w:vAlign w:val="center"/>
        </w:tcPr>
        <w:p w:rsidR="00397772" w:rsidRPr="00EF13C1" w:rsidRDefault="00397772" w:rsidP="00646380">
          <w:pPr>
            <w:rPr>
              <w:rFonts w:ascii="Palatino Linotype" w:hAnsi="Palatino Linotype"/>
              <w:b/>
              <w:sz w:val="22"/>
              <w:szCs w:val="22"/>
            </w:rPr>
          </w:pPr>
        </w:p>
      </w:tc>
      <w:tc>
        <w:tcPr>
          <w:tcW w:w="3826" w:type="dxa"/>
          <w:vAlign w:val="center"/>
        </w:tcPr>
        <w:p w:rsidR="00397772" w:rsidRPr="00EF13C1" w:rsidRDefault="00397772" w:rsidP="00141DF6">
          <w:pPr>
            <w:pStyle w:val="Encabezado"/>
            <w:jc w:val="center"/>
            <w:rPr>
              <w:rFonts w:ascii="Palatino Linotype" w:hAnsi="Palatino Linotype"/>
              <w:b/>
              <w:sz w:val="22"/>
              <w:szCs w:val="22"/>
            </w:rPr>
          </w:pPr>
        </w:p>
      </w:tc>
    </w:tr>
    <w:tr w:rsidR="00397772" w:rsidRPr="00EF13C1" w:rsidTr="00646380">
      <w:trPr>
        <w:trHeight w:val="321"/>
        <w:jc w:val="right"/>
      </w:trPr>
      <w:tc>
        <w:tcPr>
          <w:tcW w:w="2552" w:type="dxa"/>
          <w:vAlign w:val="center"/>
        </w:tcPr>
        <w:p w:rsidR="00397772" w:rsidRPr="00EF13C1" w:rsidRDefault="00397772"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397772" w:rsidRPr="00EF13C1" w:rsidRDefault="00133B65" w:rsidP="00FB61C7">
          <w:pPr>
            <w:pStyle w:val="Encabezado"/>
            <w:jc w:val="right"/>
            <w:rPr>
              <w:rFonts w:ascii="Palatino Linotype" w:hAnsi="Palatino Linotype"/>
              <w:b/>
              <w:sz w:val="22"/>
              <w:szCs w:val="22"/>
            </w:rPr>
          </w:pPr>
          <w:r>
            <w:rPr>
              <w:rFonts w:ascii="Palatino Linotype" w:hAnsi="Palatino Linotype"/>
              <w:b/>
              <w:bCs/>
              <w:sz w:val="22"/>
              <w:szCs w:val="22"/>
            </w:rPr>
            <w:t>Secretaría de Justicia y Derechos Humanos</w:t>
          </w:r>
        </w:p>
      </w:tc>
    </w:tr>
    <w:tr w:rsidR="00397772" w:rsidRPr="00EF13C1" w:rsidTr="00646380">
      <w:trPr>
        <w:trHeight w:val="321"/>
        <w:jc w:val="right"/>
      </w:trPr>
      <w:tc>
        <w:tcPr>
          <w:tcW w:w="2552" w:type="dxa"/>
          <w:vAlign w:val="center"/>
        </w:tcPr>
        <w:p w:rsidR="00397772" w:rsidRPr="00EF13C1" w:rsidRDefault="00397772"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397772" w:rsidRPr="00EF13C1" w:rsidRDefault="00397772"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397772" w:rsidRDefault="00397772" w:rsidP="006463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397772" w:rsidRPr="00182113" w:rsidTr="00141DF6">
      <w:trPr>
        <w:trHeight w:val="138"/>
      </w:trPr>
      <w:tc>
        <w:tcPr>
          <w:tcW w:w="2532" w:type="dxa"/>
          <w:vAlign w:val="center"/>
        </w:tcPr>
        <w:p w:rsidR="00397772" w:rsidRPr="00EF13C1" w:rsidRDefault="00397772" w:rsidP="00141DF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397772" w:rsidRPr="00EF13C1" w:rsidRDefault="00133B65" w:rsidP="001358C7">
          <w:pPr>
            <w:pStyle w:val="Encabezado"/>
            <w:jc w:val="right"/>
            <w:rPr>
              <w:rFonts w:ascii="Palatino Linotype" w:hAnsi="Palatino Linotype"/>
              <w:b/>
              <w:sz w:val="22"/>
              <w:szCs w:val="22"/>
            </w:rPr>
          </w:pPr>
          <w:r>
            <w:rPr>
              <w:rFonts w:ascii="Palatino Linotype" w:hAnsi="Palatino Linotype" w:cs="Arial"/>
              <w:b/>
              <w:bCs/>
              <w:sz w:val="22"/>
              <w:szCs w:val="22"/>
              <w:lang w:eastAsia="es-MX"/>
            </w:rPr>
            <w:t>04638</w:t>
          </w:r>
          <w:r w:rsidR="00397772">
            <w:rPr>
              <w:rFonts w:ascii="Palatino Linotype" w:hAnsi="Palatino Linotype" w:cs="Arial"/>
              <w:b/>
              <w:bCs/>
              <w:sz w:val="22"/>
              <w:szCs w:val="22"/>
              <w:lang w:eastAsia="es-MX"/>
            </w:rPr>
            <w:t>/INFOEM/IP/RR/2018</w:t>
          </w:r>
        </w:p>
      </w:tc>
      <w:tc>
        <w:tcPr>
          <w:tcW w:w="2532" w:type="dxa"/>
          <w:vAlign w:val="center"/>
        </w:tcPr>
        <w:p w:rsidR="00397772" w:rsidRPr="00182113" w:rsidRDefault="00397772" w:rsidP="00141DF6">
          <w:pPr>
            <w:rPr>
              <w:rFonts w:ascii="Palatino Linotype" w:hAnsi="Palatino Linotype"/>
              <w:b/>
              <w:sz w:val="22"/>
              <w:szCs w:val="22"/>
            </w:rPr>
          </w:pPr>
        </w:p>
      </w:tc>
      <w:tc>
        <w:tcPr>
          <w:tcW w:w="236" w:type="dxa"/>
          <w:vAlign w:val="center"/>
        </w:tcPr>
        <w:p w:rsidR="00397772" w:rsidRPr="00182113" w:rsidRDefault="00397772" w:rsidP="00141DF6">
          <w:pPr>
            <w:pStyle w:val="Encabezado"/>
            <w:jc w:val="center"/>
            <w:rPr>
              <w:rFonts w:ascii="Palatino Linotype" w:hAnsi="Palatino Linotype"/>
              <w:b/>
              <w:sz w:val="22"/>
              <w:szCs w:val="22"/>
            </w:rPr>
          </w:pPr>
        </w:p>
      </w:tc>
      <w:tc>
        <w:tcPr>
          <w:tcW w:w="3261" w:type="dxa"/>
          <w:vAlign w:val="center"/>
        </w:tcPr>
        <w:p w:rsidR="00397772" w:rsidRPr="00182113" w:rsidRDefault="00397772" w:rsidP="00141DF6">
          <w:pPr>
            <w:pStyle w:val="Encabezado"/>
            <w:rPr>
              <w:rFonts w:ascii="Palatino Linotype" w:hAnsi="Palatino Linotype"/>
              <w:b/>
              <w:sz w:val="22"/>
              <w:szCs w:val="22"/>
            </w:rPr>
          </w:pPr>
        </w:p>
      </w:tc>
    </w:tr>
    <w:tr w:rsidR="00397772" w:rsidRPr="00182113" w:rsidTr="00141DF6">
      <w:trPr>
        <w:trHeight w:val="227"/>
      </w:trPr>
      <w:tc>
        <w:tcPr>
          <w:tcW w:w="2532" w:type="dxa"/>
          <w:vAlign w:val="center"/>
        </w:tcPr>
        <w:p w:rsidR="00397772" w:rsidRPr="00EF13C1" w:rsidRDefault="00397772" w:rsidP="00141DF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397772" w:rsidRPr="00EF13C1" w:rsidRDefault="00934ADC" w:rsidP="00141DF6">
          <w:pPr>
            <w:pStyle w:val="Encabezado"/>
            <w:jc w:val="right"/>
            <w:rPr>
              <w:rFonts w:ascii="Palatino Linotype" w:hAnsi="Palatino Linotype"/>
              <w:b/>
              <w:sz w:val="22"/>
              <w:szCs w:val="22"/>
            </w:rPr>
          </w:pPr>
          <w:r w:rsidRPr="00934ADC">
            <w:rPr>
              <w:rFonts w:ascii="Palatino Linotype" w:hAnsi="Palatino Linotype"/>
              <w:b/>
              <w:sz w:val="22"/>
              <w:highlight w:val="black"/>
            </w:rPr>
            <w:t>----------------------------------------------</w:t>
          </w:r>
        </w:p>
      </w:tc>
      <w:tc>
        <w:tcPr>
          <w:tcW w:w="2532" w:type="dxa"/>
          <w:vAlign w:val="center"/>
        </w:tcPr>
        <w:p w:rsidR="00397772" w:rsidRPr="00182113" w:rsidRDefault="00397772" w:rsidP="00141DF6">
          <w:pPr>
            <w:rPr>
              <w:rFonts w:ascii="Palatino Linotype" w:hAnsi="Palatino Linotype"/>
              <w:b/>
              <w:sz w:val="22"/>
              <w:szCs w:val="22"/>
            </w:rPr>
          </w:pPr>
        </w:p>
      </w:tc>
      <w:tc>
        <w:tcPr>
          <w:tcW w:w="236" w:type="dxa"/>
          <w:vAlign w:val="center"/>
        </w:tcPr>
        <w:p w:rsidR="00397772" w:rsidRPr="00182113" w:rsidRDefault="00397772" w:rsidP="00141DF6">
          <w:pPr>
            <w:pStyle w:val="Encabezado"/>
            <w:jc w:val="center"/>
            <w:rPr>
              <w:rFonts w:ascii="Palatino Linotype" w:hAnsi="Palatino Linotype"/>
              <w:b/>
              <w:sz w:val="22"/>
              <w:szCs w:val="22"/>
            </w:rPr>
          </w:pPr>
        </w:p>
      </w:tc>
      <w:tc>
        <w:tcPr>
          <w:tcW w:w="3261" w:type="dxa"/>
          <w:vAlign w:val="center"/>
        </w:tcPr>
        <w:p w:rsidR="00397772" w:rsidRPr="00182113" w:rsidRDefault="00397772" w:rsidP="00141DF6">
          <w:pPr>
            <w:pStyle w:val="Encabezado"/>
            <w:rPr>
              <w:rFonts w:ascii="Palatino Linotype" w:hAnsi="Palatino Linotype"/>
              <w:b/>
              <w:sz w:val="22"/>
              <w:szCs w:val="22"/>
            </w:rPr>
          </w:pPr>
        </w:p>
      </w:tc>
    </w:tr>
    <w:tr w:rsidR="00397772" w:rsidRPr="00182113" w:rsidTr="00141DF6">
      <w:trPr>
        <w:trHeight w:val="232"/>
      </w:trPr>
      <w:tc>
        <w:tcPr>
          <w:tcW w:w="2532" w:type="dxa"/>
          <w:vAlign w:val="center"/>
        </w:tcPr>
        <w:p w:rsidR="00397772" w:rsidRPr="00EF13C1" w:rsidRDefault="00397772" w:rsidP="00141DF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397772" w:rsidRPr="00EF13C1" w:rsidRDefault="00133B65" w:rsidP="00FB61C7">
          <w:pPr>
            <w:pStyle w:val="Encabezado"/>
            <w:jc w:val="right"/>
            <w:rPr>
              <w:rFonts w:ascii="Palatino Linotype" w:hAnsi="Palatino Linotype"/>
              <w:b/>
              <w:sz w:val="22"/>
              <w:szCs w:val="22"/>
            </w:rPr>
          </w:pPr>
          <w:r>
            <w:rPr>
              <w:rFonts w:ascii="Palatino Linotype" w:hAnsi="Palatino Linotype"/>
              <w:b/>
              <w:bCs/>
              <w:sz w:val="22"/>
              <w:szCs w:val="22"/>
            </w:rPr>
            <w:t>Secretaría de Justicia y Derechos Humanos</w:t>
          </w:r>
          <w:r w:rsidR="00397772" w:rsidRPr="00EF13C1">
            <w:rPr>
              <w:rFonts w:ascii="Palatino Linotype" w:hAnsi="Palatino Linotype"/>
              <w:b/>
              <w:sz w:val="22"/>
              <w:szCs w:val="22"/>
            </w:rPr>
            <w:t xml:space="preserve"> </w:t>
          </w:r>
        </w:p>
      </w:tc>
      <w:tc>
        <w:tcPr>
          <w:tcW w:w="2532" w:type="dxa"/>
          <w:vAlign w:val="center"/>
        </w:tcPr>
        <w:p w:rsidR="00397772" w:rsidRPr="00182113" w:rsidRDefault="00397772" w:rsidP="00141DF6">
          <w:pPr>
            <w:rPr>
              <w:rFonts w:ascii="Palatino Linotype" w:hAnsi="Palatino Linotype"/>
              <w:b/>
              <w:sz w:val="22"/>
              <w:szCs w:val="22"/>
            </w:rPr>
          </w:pPr>
        </w:p>
      </w:tc>
      <w:tc>
        <w:tcPr>
          <w:tcW w:w="236" w:type="dxa"/>
          <w:vAlign w:val="center"/>
        </w:tcPr>
        <w:p w:rsidR="00397772" w:rsidRPr="00182113" w:rsidRDefault="00397772" w:rsidP="00141DF6">
          <w:pPr>
            <w:pStyle w:val="Encabezado"/>
            <w:jc w:val="center"/>
            <w:rPr>
              <w:rFonts w:ascii="Palatino Linotype" w:hAnsi="Palatino Linotype"/>
              <w:b/>
              <w:sz w:val="22"/>
              <w:szCs w:val="22"/>
            </w:rPr>
          </w:pPr>
        </w:p>
      </w:tc>
      <w:tc>
        <w:tcPr>
          <w:tcW w:w="3261" w:type="dxa"/>
          <w:vAlign w:val="center"/>
        </w:tcPr>
        <w:p w:rsidR="00397772" w:rsidRPr="00182113" w:rsidRDefault="00397772" w:rsidP="00141DF6">
          <w:pPr>
            <w:pStyle w:val="Encabezado"/>
            <w:rPr>
              <w:rFonts w:ascii="Palatino Linotype" w:hAnsi="Palatino Linotype"/>
              <w:b/>
              <w:sz w:val="22"/>
              <w:szCs w:val="22"/>
            </w:rPr>
          </w:pPr>
        </w:p>
      </w:tc>
    </w:tr>
    <w:tr w:rsidR="00397772" w:rsidRPr="00182113" w:rsidTr="00141DF6">
      <w:trPr>
        <w:trHeight w:val="320"/>
      </w:trPr>
      <w:tc>
        <w:tcPr>
          <w:tcW w:w="2532" w:type="dxa"/>
          <w:vAlign w:val="center"/>
        </w:tcPr>
        <w:p w:rsidR="00397772" w:rsidRPr="00EF13C1" w:rsidRDefault="00397772" w:rsidP="00141DF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397772" w:rsidRPr="00EF13C1" w:rsidRDefault="00397772" w:rsidP="00141DF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rsidR="00397772" w:rsidRPr="00182113" w:rsidRDefault="00397772" w:rsidP="00141DF6">
          <w:pPr>
            <w:rPr>
              <w:rFonts w:ascii="Palatino Linotype" w:hAnsi="Palatino Linotype"/>
              <w:b/>
              <w:sz w:val="22"/>
              <w:szCs w:val="22"/>
            </w:rPr>
          </w:pPr>
        </w:p>
      </w:tc>
      <w:tc>
        <w:tcPr>
          <w:tcW w:w="236" w:type="dxa"/>
          <w:vAlign w:val="center"/>
        </w:tcPr>
        <w:p w:rsidR="00397772" w:rsidRPr="00182113" w:rsidRDefault="00397772" w:rsidP="00141DF6">
          <w:pPr>
            <w:pStyle w:val="Encabezado"/>
            <w:jc w:val="center"/>
            <w:rPr>
              <w:rFonts w:ascii="Palatino Linotype" w:hAnsi="Palatino Linotype"/>
              <w:b/>
              <w:sz w:val="22"/>
              <w:szCs w:val="22"/>
            </w:rPr>
          </w:pPr>
        </w:p>
      </w:tc>
      <w:tc>
        <w:tcPr>
          <w:tcW w:w="3261" w:type="dxa"/>
          <w:vAlign w:val="center"/>
        </w:tcPr>
        <w:p w:rsidR="00397772" w:rsidRPr="00182113" w:rsidRDefault="00397772" w:rsidP="00141DF6">
          <w:pPr>
            <w:pStyle w:val="Encabezado"/>
            <w:rPr>
              <w:rFonts w:ascii="Palatino Linotype" w:hAnsi="Palatino Linotype"/>
              <w:b/>
              <w:sz w:val="22"/>
              <w:szCs w:val="22"/>
            </w:rPr>
          </w:pPr>
        </w:p>
      </w:tc>
    </w:tr>
  </w:tbl>
  <w:p w:rsidR="00397772" w:rsidRDefault="0039777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B8E2722"/>
    <w:multiLevelType w:val="hybridMultilevel"/>
    <w:tmpl w:val="A3AA63AC"/>
    <w:lvl w:ilvl="0" w:tplc="14C8BEB2">
      <w:start w:val="1"/>
      <w:numFmt w:val="decimal"/>
      <w:lvlText w:val="%1."/>
      <w:lvlJc w:val="left"/>
      <w:pPr>
        <w:ind w:left="720" w:hanging="360"/>
      </w:pPr>
      <w:rPr>
        <w:rFonts w:ascii="Palatino Linotype" w:eastAsia="Times New Roman" w:hAnsi="Palatino Linotype"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17218F5"/>
    <w:multiLevelType w:val="hybridMultilevel"/>
    <w:tmpl w:val="A2287E74"/>
    <w:lvl w:ilvl="0" w:tplc="88B4FA58">
      <w:start w:val="12"/>
      <w:numFmt w:val="decimal"/>
      <w:lvlText w:val="%1"/>
      <w:lvlJc w:val="left"/>
      <w:pPr>
        <w:ind w:left="720" w:hanging="360"/>
      </w:pPr>
      <w:rPr>
        <w:rFonts w:cs="Arial" w:hint="default"/>
        <w:b/>
        <w:color w:val="auto"/>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4317490"/>
    <w:multiLevelType w:val="hybridMultilevel"/>
    <w:tmpl w:val="EAB82A06"/>
    <w:lvl w:ilvl="0" w:tplc="92BE0B36">
      <w:start w:val="1"/>
      <w:numFmt w:val="decimal"/>
      <w:lvlText w:val="%1."/>
      <w:lvlJc w:val="left"/>
      <w:pPr>
        <w:ind w:left="4330"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CB77044"/>
    <w:multiLevelType w:val="hybridMultilevel"/>
    <w:tmpl w:val="46E6578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FF023DC"/>
    <w:multiLevelType w:val="hybridMultilevel"/>
    <w:tmpl w:val="46E6578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E3B739B"/>
    <w:multiLevelType w:val="hybridMultilevel"/>
    <w:tmpl w:val="F33A9B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54C53EDB"/>
    <w:multiLevelType w:val="hybridMultilevel"/>
    <w:tmpl w:val="1512CEB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577202FA"/>
    <w:multiLevelType w:val="hybridMultilevel"/>
    <w:tmpl w:val="164E1474"/>
    <w:lvl w:ilvl="0" w:tplc="1F74E57E">
      <w:start w:val="1"/>
      <w:numFmt w:val="decimal"/>
      <w:lvlText w:val="%1."/>
      <w:lvlJc w:val="left"/>
      <w:pPr>
        <w:ind w:left="360" w:hanging="360"/>
      </w:pPr>
      <w:rPr>
        <w:rFonts w:ascii="Palatino Linotype" w:eastAsia="Times New Roman" w:hAnsi="Palatino Linotype"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0AD0A7C"/>
    <w:multiLevelType w:val="hybridMultilevel"/>
    <w:tmpl w:val="D3EA4BAA"/>
    <w:lvl w:ilvl="0" w:tplc="996EA1B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70BC3BD6"/>
    <w:multiLevelType w:val="hybridMultilevel"/>
    <w:tmpl w:val="46E6578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73B24E6C"/>
    <w:multiLevelType w:val="hybridMultilevel"/>
    <w:tmpl w:val="46E6578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
  </w:num>
  <w:num w:numId="4">
    <w:abstractNumId w:val="13"/>
  </w:num>
  <w:num w:numId="5">
    <w:abstractNumId w:val="10"/>
  </w:num>
  <w:num w:numId="6">
    <w:abstractNumId w:val="14"/>
  </w:num>
  <w:num w:numId="7">
    <w:abstractNumId w:val="15"/>
  </w:num>
  <w:num w:numId="8">
    <w:abstractNumId w:val="8"/>
  </w:num>
  <w:num w:numId="9">
    <w:abstractNumId w:val="11"/>
  </w:num>
  <w:num w:numId="10">
    <w:abstractNumId w:val="2"/>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9"/>
  </w:num>
  <w:num w:numId="14">
    <w:abstractNumId w:val="0"/>
  </w:num>
  <w:num w:numId="15">
    <w:abstractNumId w:val="4"/>
  </w:num>
  <w:num w:numId="16">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6214"/>
    <w:rsid w:val="0000765F"/>
    <w:rsid w:val="000129FA"/>
    <w:rsid w:val="00032ED4"/>
    <w:rsid w:val="000366F7"/>
    <w:rsid w:val="000404FD"/>
    <w:rsid w:val="00045CB1"/>
    <w:rsid w:val="00045D8E"/>
    <w:rsid w:val="000471A3"/>
    <w:rsid w:val="000550E9"/>
    <w:rsid w:val="000557F1"/>
    <w:rsid w:val="00066ADF"/>
    <w:rsid w:val="0007491E"/>
    <w:rsid w:val="00076560"/>
    <w:rsid w:val="00091266"/>
    <w:rsid w:val="00093A14"/>
    <w:rsid w:val="000A2541"/>
    <w:rsid w:val="000A79E0"/>
    <w:rsid w:val="000B4235"/>
    <w:rsid w:val="000C1226"/>
    <w:rsid w:val="000C37A1"/>
    <w:rsid w:val="000C4F64"/>
    <w:rsid w:val="000D3694"/>
    <w:rsid w:val="000E053C"/>
    <w:rsid w:val="000E4F0E"/>
    <w:rsid w:val="000F29B1"/>
    <w:rsid w:val="000F3174"/>
    <w:rsid w:val="00100FB3"/>
    <w:rsid w:val="00101488"/>
    <w:rsid w:val="001019CA"/>
    <w:rsid w:val="00101C48"/>
    <w:rsid w:val="00105A38"/>
    <w:rsid w:val="001308F8"/>
    <w:rsid w:val="001336BF"/>
    <w:rsid w:val="00133B65"/>
    <w:rsid w:val="00134579"/>
    <w:rsid w:val="001358C7"/>
    <w:rsid w:val="00140005"/>
    <w:rsid w:val="00141DF6"/>
    <w:rsid w:val="001520C4"/>
    <w:rsid w:val="00152B25"/>
    <w:rsid w:val="001614C1"/>
    <w:rsid w:val="00166171"/>
    <w:rsid w:val="00171AE9"/>
    <w:rsid w:val="001A556A"/>
    <w:rsid w:val="001C0763"/>
    <w:rsid w:val="001C1F82"/>
    <w:rsid w:val="001C41F3"/>
    <w:rsid w:val="001D1986"/>
    <w:rsid w:val="001D5D25"/>
    <w:rsid w:val="001D5E22"/>
    <w:rsid w:val="001D5F4A"/>
    <w:rsid w:val="001D732D"/>
    <w:rsid w:val="001F1A61"/>
    <w:rsid w:val="001F6878"/>
    <w:rsid w:val="001F7C7C"/>
    <w:rsid w:val="0020570A"/>
    <w:rsid w:val="00213EBA"/>
    <w:rsid w:val="0022089E"/>
    <w:rsid w:val="00220C8D"/>
    <w:rsid w:val="0022251B"/>
    <w:rsid w:val="002248D3"/>
    <w:rsid w:val="00231FF4"/>
    <w:rsid w:val="00241D58"/>
    <w:rsid w:val="00255BAF"/>
    <w:rsid w:val="00262949"/>
    <w:rsid w:val="00266D19"/>
    <w:rsid w:val="00266F04"/>
    <w:rsid w:val="0027599D"/>
    <w:rsid w:val="002770B1"/>
    <w:rsid w:val="00281117"/>
    <w:rsid w:val="0028558C"/>
    <w:rsid w:val="00286987"/>
    <w:rsid w:val="002A23AB"/>
    <w:rsid w:val="002A5BA4"/>
    <w:rsid w:val="002C51AA"/>
    <w:rsid w:val="002D2177"/>
    <w:rsid w:val="002E2041"/>
    <w:rsid w:val="002F1198"/>
    <w:rsid w:val="002F20A0"/>
    <w:rsid w:val="002F37F6"/>
    <w:rsid w:val="00302FF6"/>
    <w:rsid w:val="003031CF"/>
    <w:rsid w:val="00323479"/>
    <w:rsid w:val="00323568"/>
    <w:rsid w:val="00324CF1"/>
    <w:rsid w:val="003337B5"/>
    <w:rsid w:val="00334853"/>
    <w:rsid w:val="0033655A"/>
    <w:rsid w:val="00347BB3"/>
    <w:rsid w:val="00352F58"/>
    <w:rsid w:val="00353233"/>
    <w:rsid w:val="0036196A"/>
    <w:rsid w:val="00385622"/>
    <w:rsid w:val="00397772"/>
    <w:rsid w:val="003A081B"/>
    <w:rsid w:val="003A3A45"/>
    <w:rsid w:val="003A3AD9"/>
    <w:rsid w:val="003A4654"/>
    <w:rsid w:val="003A75A4"/>
    <w:rsid w:val="003B0404"/>
    <w:rsid w:val="003C2170"/>
    <w:rsid w:val="003C53A5"/>
    <w:rsid w:val="003C658C"/>
    <w:rsid w:val="003C7AB3"/>
    <w:rsid w:val="003D59AE"/>
    <w:rsid w:val="003F5A1B"/>
    <w:rsid w:val="003F688E"/>
    <w:rsid w:val="0041566F"/>
    <w:rsid w:val="00457FE4"/>
    <w:rsid w:val="0046240B"/>
    <w:rsid w:val="0046559A"/>
    <w:rsid w:val="0047128F"/>
    <w:rsid w:val="00471954"/>
    <w:rsid w:val="004819DA"/>
    <w:rsid w:val="00483E81"/>
    <w:rsid w:val="00490A69"/>
    <w:rsid w:val="004A18C9"/>
    <w:rsid w:val="004A52A6"/>
    <w:rsid w:val="004B5E61"/>
    <w:rsid w:val="004C6DD1"/>
    <w:rsid w:val="004C7350"/>
    <w:rsid w:val="004C775C"/>
    <w:rsid w:val="004D60FB"/>
    <w:rsid w:val="004E1E1B"/>
    <w:rsid w:val="004E7667"/>
    <w:rsid w:val="004F6C8A"/>
    <w:rsid w:val="00500D9A"/>
    <w:rsid w:val="0050618A"/>
    <w:rsid w:val="005061AF"/>
    <w:rsid w:val="0050721C"/>
    <w:rsid w:val="00513071"/>
    <w:rsid w:val="00513336"/>
    <w:rsid w:val="0052012D"/>
    <w:rsid w:val="00524962"/>
    <w:rsid w:val="005540A0"/>
    <w:rsid w:val="0057711B"/>
    <w:rsid w:val="005865FB"/>
    <w:rsid w:val="005933EC"/>
    <w:rsid w:val="005A1327"/>
    <w:rsid w:val="005B02E5"/>
    <w:rsid w:val="005B0AB7"/>
    <w:rsid w:val="005B36A7"/>
    <w:rsid w:val="005B3C42"/>
    <w:rsid w:val="005C08AF"/>
    <w:rsid w:val="005C683A"/>
    <w:rsid w:val="005D31E4"/>
    <w:rsid w:val="005E10C3"/>
    <w:rsid w:val="005E6C51"/>
    <w:rsid w:val="005F53F8"/>
    <w:rsid w:val="00604915"/>
    <w:rsid w:val="006155B9"/>
    <w:rsid w:val="006249D2"/>
    <w:rsid w:val="00630DD2"/>
    <w:rsid w:val="0063255B"/>
    <w:rsid w:val="00644191"/>
    <w:rsid w:val="00644CCE"/>
    <w:rsid w:val="00646380"/>
    <w:rsid w:val="0065568B"/>
    <w:rsid w:val="00660D0F"/>
    <w:rsid w:val="006740AD"/>
    <w:rsid w:val="00693768"/>
    <w:rsid w:val="00695DD2"/>
    <w:rsid w:val="006A5CB3"/>
    <w:rsid w:val="006B1CCF"/>
    <w:rsid w:val="006B22CF"/>
    <w:rsid w:val="006B2892"/>
    <w:rsid w:val="006B5E74"/>
    <w:rsid w:val="006C05CC"/>
    <w:rsid w:val="006C084A"/>
    <w:rsid w:val="006C4CAF"/>
    <w:rsid w:val="006D266D"/>
    <w:rsid w:val="006D4191"/>
    <w:rsid w:val="006E4CE1"/>
    <w:rsid w:val="006E5B19"/>
    <w:rsid w:val="006E7D30"/>
    <w:rsid w:val="006F1C8B"/>
    <w:rsid w:val="00701C3F"/>
    <w:rsid w:val="007064B0"/>
    <w:rsid w:val="00715F9C"/>
    <w:rsid w:val="0071694F"/>
    <w:rsid w:val="007215DD"/>
    <w:rsid w:val="00730198"/>
    <w:rsid w:val="007401AD"/>
    <w:rsid w:val="007473A6"/>
    <w:rsid w:val="00763B5A"/>
    <w:rsid w:val="0076496F"/>
    <w:rsid w:val="0079161C"/>
    <w:rsid w:val="00796727"/>
    <w:rsid w:val="00796D7E"/>
    <w:rsid w:val="007A649F"/>
    <w:rsid w:val="007B2240"/>
    <w:rsid w:val="007B40B0"/>
    <w:rsid w:val="007D75A9"/>
    <w:rsid w:val="007F229E"/>
    <w:rsid w:val="007F27B2"/>
    <w:rsid w:val="007F7C18"/>
    <w:rsid w:val="00801CB0"/>
    <w:rsid w:val="008028B7"/>
    <w:rsid w:val="008044D2"/>
    <w:rsid w:val="00811F2A"/>
    <w:rsid w:val="00821599"/>
    <w:rsid w:val="00826DBC"/>
    <w:rsid w:val="00833125"/>
    <w:rsid w:val="00835853"/>
    <w:rsid w:val="00840B4F"/>
    <w:rsid w:val="00840C2D"/>
    <w:rsid w:val="008427BB"/>
    <w:rsid w:val="00842CAA"/>
    <w:rsid w:val="00843D41"/>
    <w:rsid w:val="00844254"/>
    <w:rsid w:val="00845900"/>
    <w:rsid w:val="008576B4"/>
    <w:rsid w:val="00860350"/>
    <w:rsid w:val="008628C0"/>
    <w:rsid w:val="00872FF9"/>
    <w:rsid w:val="00873B93"/>
    <w:rsid w:val="00897A58"/>
    <w:rsid w:val="008A7076"/>
    <w:rsid w:val="008B1DC5"/>
    <w:rsid w:val="008B48E5"/>
    <w:rsid w:val="008B575A"/>
    <w:rsid w:val="008B6A29"/>
    <w:rsid w:val="008B6F5F"/>
    <w:rsid w:val="008C1660"/>
    <w:rsid w:val="008E1098"/>
    <w:rsid w:val="008E78E7"/>
    <w:rsid w:val="008F6153"/>
    <w:rsid w:val="008F6413"/>
    <w:rsid w:val="00903EC6"/>
    <w:rsid w:val="00911593"/>
    <w:rsid w:val="00913CDF"/>
    <w:rsid w:val="00916C74"/>
    <w:rsid w:val="0092505E"/>
    <w:rsid w:val="00933015"/>
    <w:rsid w:val="00934ADC"/>
    <w:rsid w:val="009400E2"/>
    <w:rsid w:val="009450C3"/>
    <w:rsid w:val="0094562A"/>
    <w:rsid w:val="00945BEB"/>
    <w:rsid w:val="00946CD9"/>
    <w:rsid w:val="00954B5F"/>
    <w:rsid w:val="00970964"/>
    <w:rsid w:val="00970F94"/>
    <w:rsid w:val="00976E5F"/>
    <w:rsid w:val="0097749D"/>
    <w:rsid w:val="00986FD8"/>
    <w:rsid w:val="009A2140"/>
    <w:rsid w:val="009A30B5"/>
    <w:rsid w:val="009A66DF"/>
    <w:rsid w:val="009B240E"/>
    <w:rsid w:val="009B69B4"/>
    <w:rsid w:val="009C06E9"/>
    <w:rsid w:val="009C234C"/>
    <w:rsid w:val="009C4F32"/>
    <w:rsid w:val="009C5BE9"/>
    <w:rsid w:val="009D018F"/>
    <w:rsid w:val="009E1C0F"/>
    <w:rsid w:val="00A0157E"/>
    <w:rsid w:val="00A077DA"/>
    <w:rsid w:val="00A17F14"/>
    <w:rsid w:val="00A349F8"/>
    <w:rsid w:val="00A47352"/>
    <w:rsid w:val="00A516EA"/>
    <w:rsid w:val="00A53B90"/>
    <w:rsid w:val="00A77D46"/>
    <w:rsid w:val="00A84365"/>
    <w:rsid w:val="00A9637C"/>
    <w:rsid w:val="00AA1872"/>
    <w:rsid w:val="00AC6999"/>
    <w:rsid w:val="00AC6FC5"/>
    <w:rsid w:val="00AD2117"/>
    <w:rsid w:val="00AD4FFB"/>
    <w:rsid w:val="00AE19CC"/>
    <w:rsid w:val="00AF0D0E"/>
    <w:rsid w:val="00B01CEF"/>
    <w:rsid w:val="00B1149A"/>
    <w:rsid w:val="00B15A9F"/>
    <w:rsid w:val="00B16FB2"/>
    <w:rsid w:val="00B247C4"/>
    <w:rsid w:val="00B258AA"/>
    <w:rsid w:val="00B25D9B"/>
    <w:rsid w:val="00B34623"/>
    <w:rsid w:val="00B37C23"/>
    <w:rsid w:val="00B5361E"/>
    <w:rsid w:val="00B713AE"/>
    <w:rsid w:val="00B727A2"/>
    <w:rsid w:val="00B82B69"/>
    <w:rsid w:val="00B8419A"/>
    <w:rsid w:val="00B8424B"/>
    <w:rsid w:val="00B90BEF"/>
    <w:rsid w:val="00B91D5C"/>
    <w:rsid w:val="00B967AF"/>
    <w:rsid w:val="00BB7073"/>
    <w:rsid w:val="00BB7618"/>
    <w:rsid w:val="00BC259E"/>
    <w:rsid w:val="00BC2FB9"/>
    <w:rsid w:val="00BC6440"/>
    <w:rsid w:val="00BD65C9"/>
    <w:rsid w:val="00BE7859"/>
    <w:rsid w:val="00BF7804"/>
    <w:rsid w:val="00C11558"/>
    <w:rsid w:val="00C25DB4"/>
    <w:rsid w:val="00C306D3"/>
    <w:rsid w:val="00C30FC8"/>
    <w:rsid w:val="00C36247"/>
    <w:rsid w:val="00C366FF"/>
    <w:rsid w:val="00C509A4"/>
    <w:rsid w:val="00C57119"/>
    <w:rsid w:val="00C61C2B"/>
    <w:rsid w:val="00C63AA8"/>
    <w:rsid w:val="00C70625"/>
    <w:rsid w:val="00C7267B"/>
    <w:rsid w:val="00C82ADE"/>
    <w:rsid w:val="00C85250"/>
    <w:rsid w:val="00C87DFC"/>
    <w:rsid w:val="00C946FB"/>
    <w:rsid w:val="00C9484F"/>
    <w:rsid w:val="00C9794C"/>
    <w:rsid w:val="00CA7849"/>
    <w:rsid w:val="00CB23B9"/>
    <w:rsid w:val="00CC1066"/>
    <w:rsid w:val="00CD5823"/>
    <w:rsid w:val="00CD7FAD"/>
    <w:rsid w:val="00CE6928"/>
    <w:rsid w:val="00CE7DC8"/>
    <w:rsid w:val="00CF239F"/>
    <w:rsid w:val="00CF71EA"/>
    <w:rsid w:val="00CF79AF"/>
    <w:rsid w:val="00D35DE2"/>
    <w:rsid w:val="00D41D69"/>
    <w:rsid w:val="00D42D35"/>
    <w:rsid w:val="00D5010F"/>
    <w:rsid w:val="00D60E06"/>
    <w:rsid w:val="00D62024"/>
    <w:rsid w:val="00D6467C"/>
    <w:rsid w:val="00D70F0F"/>
    <w:rsid w:val="00D75159"/>
    <w:rsid w:val="00D7583A"/>
    <w:rsid w:val="00D8294B"/>
    <w:rsid w:val="00D864CE"/>
    <w:rsid w:val="00DA0F8A"/>
    <w:rsid w:val="00DA618C"/>
    <w:rsid w:val="00DB787B"/>
    <w:rsid w:val="00DC033D"/>
    <w:rsid w:val="00DD6696"/>
    <w:rsid w:val="00DD764A"/>
    <w:rsid w:val="00DE11CF"/>
    <w:rsid w:val="00DE422B"/>
    <w:rsid w:val="00E02044"/>
    <w:rsid w:val="00E17F9A"/>
    <w:rsid w:val="00E23805"/>
    <w:rsid w:val="00E25808"/>
    <w:rsid w:val="00E26E35"/>
    <w:rsid w:val="00E30414"/>
    <w:rsid w:val="00E37012"/>
    <w:rsid w:val="00E55AA1"/>
    <w:rsid w:val="00E60198"/>
    <w:rsid w:val="00E60771"/>
    <w:rsid w:val="00E632D0"/>
    <w:rsid w:val="00E64135"/>
    <w:rsid w:val="00E6663B"/>
    <w:rsid w:val="00E75F88"/>
    <w:rsid w:val="00E81879"/>
    <w:rsid w:val="00E83BA6"/>
    <w:rsid w:val="00EA5687"/>
    <w:rsid w:val="00EB1032"/>
    <w:rsid w:val="00EC1FDB"/>
    <w:rsid w:val="00ED2E65"/>
    <w:rsid w:val="00EF292B"/>
    <w:rsid w:val="00EF5803"/>
    <w:rsid w:val="00F04FE9"/>
    <w:rsid w:val="00F267D4"/>
    <w:rsid w:val="00F30C67"/>
    <w:rsid w:val="00F31162"/>
    <w:rsid w:val="00F36670"/>
    <w:rsid w:val="00F375F4"/>
    <w:rsid w:val="00F55213"/>
    <w:rsid w:val="00F61DF9"/>
    <w:rsid w:val="00F629AE"/>
    <w:rsid w:val="00F66D06"/>
    <w:rsid w:val="00F700EF"/>
    <w:rsid w:val="00F762E7"/>
    <w:rsid w:val="00F811F5"/>
    <w:rsid w:val="00F816E8"/>
    <w:rsid w:val="00F86CA4"/>
    <w:rsid w:val="00FA07D6"/>
    <w:rsid w:val="00FA1917"/>
    <w:rsid w:val="00FA204E"/>
    <w:rsid w:val="00FB4F8E"/>
    <w:rsid w:val="00FB61C7"/>
    <w:rsid w:val="00FC5D9F"/>
    <w:rsid w:val="00FD1926"/>
    <w:rsid w:val="00FE5801"/>
    <w:rsid w:val="00FE635A"/>
    <w:rsid w:val="00FF1728"/>
    <w:rsid w:val="00FF6052"/>
    <w:rsid w:val="00FF75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D5C416C3-02CC-4536-A608-3B86DE278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6249D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2A5BA4"/>
    <w:pPr>
      <w:tabs>
        <w:tab w:val="right" w:leader="dot" w:pos="8779"/>
      </w:tabs>
      <w:spacing w:after="100"/>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11593"/>
    <w:pPr>
      <w:numPr>
        <w:numId w:val="3"/>
      </w:numPr>
    </w:pPr>
  </w:style>
  <w:style w:type="character" w:customStyle="1" w:styleId="Ttulo4Car">
    <w:name w:val="Título 4 Car"/>
    <w:basedOn w:val="Fuentedeprrafopredeter"/>
    <w:link w:val="Ttulo4"/>
    <w:uiPriority w:val="9"/>
    <w:rsid w:val="006249D2"/>
    <w:rPr>
      <w:rFonts w:asciiTheme="majorHAnsi" w:eastAsiaTheme="majorEastAsia" w:hAnsiTheme="majorHAnsi" w:cstheme="majorBidi"/>
      <w:i/>
      <w:iCs/>
      <w:color w:val="2E74B5" w:themeColor="accent1" w:themeShade="BF"/>
      <w:sz w:val="24"/>
      <w:szCs w:val="24"/>
      <w:lang w:val="es-ES_tradnl" w:eastAsia="es-ES"/>
    </w:rPr>
  </w:style>
  <w:style w:type="table" w:customStyle="1" w:styleId="Tablaconcuadrcula111">
    <w:name w:val="Tabla con cuadrícula111"/>
    <w:basedOn w:val="Tablanormal"/>
    <w:next w:val="Tablaconcuadrcula"/>
    <w:uiPriority w:val="59"/>
    <w:rsid w:val="00701C3F"/>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4590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5900"/>
    <w:rPr>
      <w:rFonts w:ascii="Segoe UI" w:eastAsiaTheme="minorEastAsia" w:hAnsi="Segoe UI" w:cs="Segoe UI"/>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210387105">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46177398">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8143835">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69597555">
      <w:bodyDiv w:val="1"/>
      <w:marLeft w:val="0"/>
      <w:marRight w:val="0"/>
      <w:marTop w:val="0"/>
      <w:marBottom w:val="0"/>
      <w:divBdr>
        <w:top w:val="none" w:sz="0" w:space="0" w:color="auto"/>
        <w:left w:val="none" w:sz="0" w:space="0" w:color="auto"/>
        <w:bottom w:val="none" w:sz="0" w:space="0" w:color="auto"/>
        <w:right w:val="none" w:sz="0" w:space="0" w:color="auto"/>
      </w:divBdr>
    </w:div>
    <w:div w:id="673454416">
      <w:bodyDiv w:val="1"/>
      <w:marLeft w:val="0"/>
      <w:marRight w:val="0"/>
      <w:marTop w:val="0"/>
      <w:marBottom w:val="0"/>
      <w:divBdr>
        <w:top w:val="none" w:sz="0" w:space="0" w:color="auto"/>
        <w:left w:val="none" w:sz="0" w:space="0" w:color="auto"/>
        <w:bottom w:val="none" w:sz="0" w:space="0" w:color="auto"/>
        <w:right w:val="none" w:sz="0" w:space="0" w:color="auto"/>
      </w:divBdr>
    </w:div>
    <w:div w:id="679160102">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53555533">
      <w:bodyDiv w:val="1"/>
      <w:marLeft w:val="0"/>
      <w:marRight w:val="0"/>
      <w:marTop w:val="0"/>
      <w:marBottom w:val="0"/>
      <w:divBdr>
        <w:top w:val="none" w:sz="0" w:space="0" w:color="auto"/>
        <w:left w:val="none" w:sz="0" w:space="0" w:color="auto"/>
        <w:bottom w:val="none" w:sz="0" w:space="0" w:color="auto"/>
        <w:right w:val="none" w:sz="0" w:space="0" w:color="auto"/>
      </w:divBdr>
    </w:div>
    <w:div w:id="778961203">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39083856">
      <w:bodyDiv w:val="1"/>
      <w:marLeft w:val="0"/>
      <w:marRight w:val="0"/>
      <w:marTop w:val="0"/>
      <w:marBottom w:val="0"/>
      <w:divBdr>
        <w:top w:val="none" w:sz="0" w:space="0" w:color="auto"/>
        <w:left w:val="none" w:sz="0" w:space="0" w:color="auto"/>
        <w:bottom w:val="none" w:sz="0" w:space="0" w:color="auto"/>
        <w:right w:val="none" w:sz="0" w:space="0" w:color="auto"/>
      </w:divBdr>
    </w:div>
    <w:div w:id="1040864246">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77963792">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1307513">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0519743">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07650127">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535728546">
      <w:bodyDiv w:val="1"/>
      <w:marLeft w:val="0"/>
      <w:marRight w:val="0"/>
      <w:marTop w:val="0"/>
      <w:marBottom w:val="0"/>
      <w:divBdr>
        <w:top w:val="none" w:sz="0" w:space="0" w:color="auto"/>
        <w:left w:val="none" w:sz="0" w:space="0" w:color="auto"/>
        <w:bottom w:val="none" w:sz="0" w:space="0" w:color="auto"/>
        <w:right w:val="none" w:sz="0" w:space="0" w:color="auto"/>
      </w:divBdr>
    </w:div>
    <w:div w:id="1678460575">
      <w:bodyDiv w:val="1"/>
      <w:marLeft w:val="0"/>
      <w:marRight w:val="0"/>
      <w:marTop w:val="0"/>
      <w:marBottom w:val="0"/>
      <w:divBdr>
        <w:top w:val="none" w:sz="0" w:space="0" w:color="auto"/>
        <w:left w:val="none" w:sz="0" w:space="0" w:color="auto"/>
        <w:bottom w:val="none" w:sz="0" w:space="0" w:color="auto"/>
        <w:right w:val="none" w:sz="0" w:space="0" w:color="auto"/>
      </w:divBdr>
    </w:div>
    <w:div w:id="1814981247">
      <w:bodyDiv w:val="1"/>
      <w:marLeft w:val="0"/>
      <w:marRight w:val="0"/>
      <w:marTop w:val="0"/>
      <w:marBottom w:val="0"/>
      <w:divBdr>
        <w:top w:val="none" w:sz="0" w:space="0" w:color="auto"/>
        <w:left w:val="none" w:sz="0" w:space="0" w:color="auto"/>
        <w:bottom w:val="none" w:sz="0" w:space="0" w:color="auto"/>
        <w:right w:val="none" w:sz="0" w:space="0" w:color="auto"/>
      </w:divBdr>
    </w:div>
    <w:div w:id="1825778108">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947885228">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2054229554">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1651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0E4A9-6224-439E-9C2B-F19F501E4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38</Pages>
  <Words>7924</Words>
  <Characters>43584</Characters>
  <Application>Microsoft Office Word</Application>
  <DocSecurity>0</DocSecurity>
  <Lines>363</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11</cp:revision>
  <cp:lastPrinted>2019-02-22T17:33:00Z</cp:lastPrinted>
  <dcterms:created xsi:type="dcterms:W3CDTF">2019-02-21T00:01:00Z</dcterms:created>
  <dcterms:modified xsi:type="dcterms:W3CDTF">2019-03-21T19:46:00Z</dcterms:modified>
</cp:coreProperties>
</file>