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4F" w:rsidRPr="001403A3" w:rsidRDefault="00BD4D4F" w:rsidP="001403A3">
      <w:pPr>
        <w:shd w:val="clear" w:color="auto" w:fill="FFFFFF"/>
        <w:spacing w:after="0" w:line="360" w:lineRule="auto"/>
        <w:jc w:val="both"/>
        <w:rPr>
          <w:rFonts w:ascii="Palatino Linotype" w:eastAsia="Times New Roman" w:hAnsi="Palatino Linotype" w:cs="Arial"/>
          <w:color w:val="000000"/>
          <w:sz w:val="24"/>
          <w:szCs w:val="24"/>
          <w:lang w:eastAsia="es-MX"/>
        </w:rPr>
      </w:pPr>
      <w:r w:rsidRPr="001403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D128D">
        <w:rPr>
          <w:rFonts w:ascii="Palatino Linotype" w:eastAsia="Times New Roman" w:hAnsi="Palatino Linotype" w:cs="Arial"/>
          <w:color w:val="000000"/>
          <w:sz w:val="24"/>
          <w:szCs w:val="24"/>
          <w:lang w:eastAsia="es-MX"/>
        </w:rPr>
        <w:t>veintisiete</w:t>
      </w:r>
      <w:r w:rsidR="006224D8">
        <w:rPr>
          <w:rFonts w:ascii="Palatino Linotype" w:eastAsia="Times New Roman" w:hAnsi="Palatino Linotype" w:cs="Arial"/>
          <w:color w:val="000000"/>
          <w:sz w:val="24"/>
          <w:szCs w:val="24"/>
          <w:lang w:eastAsia="es-MX"/>
        </w:rPr>
        <w:t xml:space="preserve"> de febrero de dos mil diecinueve</w:t>
      </w:r>
      <w:r w:rsidRPr="001403A3">
        <w:rPr>
          <w:rFonts w:ascii="Palatino Linotype" w:eastAsia="Times New Roman" w:hAnsi="Palatino Linotype" w:cs="Arial"/>
          <w:color w:val="000000"/>
          <w:sz w:val="24"/>
          <w:szCs w:val="24"/>
          <w:lang w:eastAsia="es-MX"/>
        </w:rPr>
        <w:t>.</w:t>
      </w:r>
    </w:p>
    <w:p w:rsidR="00BD4D4F" w:rsidRPr="001403A3" w:rsidRDefault="00BD4D4F" w:rsidP="001403A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D4D4F" w:rsidRPr="001403A3" w:rsidRDefault="00BD4D4F" w:rsidP="001403A3">
      <w:pPr>
        <w:tabs>
          <w:tab w:val="left" w:pos="1701"/>
        </w:tabs>
        <w:spacing w:after="0" w:line="360" w:lineRule="auto"/>
        <w:jc w:val="both"/>
        <w:rPr>
          <w:rFonts w:ascii="Palatino Linotype" w:hAnsi="Palatino Linotype" w:cs="Arial"/>
          <w:sz w:val="24"/>
        </w:rPr>
      </w:pPr>
      <w:r w:rsidRPr="001403A3">
        <w:rPr>
          <w:rFonts w:ascii="Palatino Linotype" w:hAnsi="Palatino Linotype" w:cs="Arial"/>
          <w:b/>
          <w:sz w:val="24"/>
        </w:rPr>
        <w:t>VISTO</w:t>
      </w:r>
      <w:r w:rsidRPr="001403A3">
        <w:rPr>
          <w:rFonts w:ascii="Palatino Linotype" w:hAnsi="Palatino Linotype" w:cs="Arial"/>
          <w:sz w:val="24"/>
        </w:rPr>
        <w:t xml:space="preserve"> el expediente electrónico formado con motivo del recurso de revisión número </w:t>
      </w:r>
      <w:r w:rsidR="006224D8" w:rsidRPr="006224D8">
        <w:rPr>
          <w:rFonts w:ascii="Palatino Linotype" w:hAnsi="Palatino Linotype" w:cs="Arial"/>
          <w:b/>
          <w:bCs/>
          <w:sz w:val="24"/>
          <w:lang w:eastAsia="es-MX"/>
        </w:rPr>
        <w:t>04725/INFOEM/IP/RR/2018</w:t>
      </w:r>
      <w:r w:rsidR="006224D8">
        <w:rPr>
          <w:rFonts w:ascii="Palatino Linotype" w:hAnsi="Palatino Linotype" w:cs="Arial"/>
          <w:sz w:val="24"/>
        </w:rPr>
        <w:t>, interpuesto por la</w:t>
      </w:r>
      <w:r w:rsidRPr="001403A3">
        <w:rPr>
          <w:rFonts w:ascii="Palatino Linotype" w:hAnsi="Palatino Linotype" w:cs="Arial"/>
          <w:sz w:val="24"/>
        </w:rPr>
        <w:t xml:space="preserve"> </w:t>
      </w:r>
      <w:r w:rsidRPr="001403A3">
        <w:rPr>
          <w:rFonts w:ascii="Palatino Linotype" w:hAnsi="Palatino Linotype" w:cs="Arial"/>
          <w:b/>
          <w:sz w:val="24"/>
          <w:szCs w:val="24"/>
        </w:rPr>
        <w:t xml:space="preserve">C. </w:t>
      </w:r>
      <w:r w:rsidR="000D65B8">
        <w:rPr>
          <w:rFonts w:ascii="Palatino Linotype" w:hAnsi="Palatino Linotype" w:cs="Arial"/>
          <w:b/>
          <w:sz w:val="24"/>
          <w:szCs w:val="24"/>
        </w:rPr>
        <w:t>XXXXXXXXXXXXXXXXXXX</w:t>
      </w:r>
      <w:r w:rsidRPr="001403A3">
        <w:rPr>
          <w:rFonts w:ascii="Palatino Linotype" w:hAnsi="Palatino Linotype" w:cs="Arial"/>
          <w:b/>
          <w:sz w:val="24"/>
          <w:szCs w:val="24"/>
        </w:rPr>
        <w:t xml:space="preserve"> </w:t>
      </w:r>
      <w:r w:rsidRPr="001403A3">
        <w:rPr>
          <w:rFonts w:ascii="Palatino Linotype" w:hAnsi="Palatino Linotype" w:cs="Arial"/>
          <w:sz w:val="24"/>
        </w:rPr>
        <w:t xml:space="preserve">en lo sucesivo </w:t>
      </w:r>
      <w:r w:rsidR="006224D8">
        <w:rPr>
          <w:rFonts w:ascii="Palatino Linotype" w:hAnsi="Palatino Linotype" w:cs="Arial"/>
          <w:b/>
          <w:sz w:val="24"/>
        </w:rPr>
        <w:t>la</w:t>
      </w:r>
      <w:r w:rsidRPr="001403A3">
        <w:rPr>
          <w:rFonts w:ascii="Palatino Linotype" w:hAnsi="Palatino Linotype" w:cs="Arial"/>
          <w:b/>
          <w:sz w:val="24"/>
        </w:rPr>
        <w:t xml:space="preserve"> recurrente</w:t>
      </w:r>
      <w:r w:rsidRPr="001403A3">
        <w:rPr>
          <w:rFonts w:ascii="Palatino Linotype" w:hAnsi="Palatino Linotype" w:cs="Arial"/>
          <w:sz w:val="24"/>
        </w:rPr>
        <w:t xml:space="preserve">, en contra de la respuesta </w:t>
      </w:r>
      <w:r w:rsidR="006224D8">
        <w:rPr>
          <w:rFonts w:ascii="Palatino Linotype" w:hAnsi="Palatino Linotype" w:cs="Arial"/>
          <w:sz w:val="24"/>
          <w:szCs w:val="24"/>
        </w:rPr>
        <w:t>de la</w:t>
      </w:r>
      <w:r w:rsidRPr="001403A3">
        <w:rPr>
          <w:rFonts w:ascii="Palatino Linotype" w:hAnsi="Palatino Linotype" w:cs="Arial"/>
          <w:sz w:val="24"/>
          <w:szCs w:val="24"/>
        </w:rPr>
        <w:t xml:space="preserve"> </w:t>
      </w:r>
      <w:r w:rsidR="006224D8" w:rsidRPr="006224D8">
        <w:rPr>
          <w:rFonts w:ascii="Palatino Linotype" w:hAnsi="Palatino Linotype" w:cs="Arial"/>
          <w:b/>
          <w:sz w:val="24"/>
          <w:szCs w:val="24"/>
        </w:rPr>
        <w:t>Universidad Politécnica del Valle de Toluca</w:t>
      </w:r>
      <w:r w:rsidRPr="001403A3">
        <w:rPr>
          <w:rFonts w:ascii="Palatino Linotype" w:hAnsi="Palatino Linotype" w:cs="Arial"/>
          <w:sz w:val="28"/>
          <w:szCs w:val="24"/>
        </w:rPr>
        <w:t xml:space="preserve">, </w:t>
      </w:r>
      <w:r w:rsidRPr="001403A3">
        <w:rPr>
          <w:rFonts w:ascii="Palatino Linotype" w:hAnsi="Palatino Linotype" w:cs="Arial"/>
          <w:sz w:val="24"/>
          <w:szCs w:val="24"/>
        </w:rPr>
        <w:t>en lo subsecuente</w:t>
      </w:r>
      <w:r w:rsidRPr="001403A3">
        <w:rPr>
          <w:rFonts w:ascii="Palatino Linotype" w:hAnsi="Palatino Linotype" w:cs="Arial"/>
          <w:b/>
          <w:sz w:val="24"/>
          <w:szCs w:val="24"/>
        </w:rPr>
        <w:t xml:space="preserve"> el sujeto obligado, </w:t>
      </w:r>
      <w:r w:rsidRPr="001403A3">
        <w:rPr>
          <w:rFonts w:ascii="Palatino Linotype" w:hAnsi="Palatino Linotype" w:cs="Arial"/>
          <w:sz w:val="24"/>
          <w:szCs w:val="24"/>
        </w:rPr>
        <w:t>se procede a</w:t>
      </w:r>
      <w:r w:rsidRPr="001403A3">
        <w:rPr>
          <w:rFonts w:ascii="Palatino Linotype" w:hAnsi="Palatino Linotype" w:cs="Arial"/>
          <w:sz w:val="24"/>
        </w:rPr>
        <w:t xml:space="preserve"> dictar la presente resolución.</w:t>
      </w:r>
    </w:p>
    <w:p w:rsidR="00BD4D4F" w:rsidRPr="001403A3" w:rsidRDefault="00BD4D4F" w:rsidP="001403A3">
      <w:pPr>
        <w:tabs>
          <w:tab w:val="left" w:pos="1701"/>
        </w:tabs>
        <w:spacing w:after="0" w:line="360" w:lineRule="auto"/>
        <w:jc w:val="both"/>
        <w:rPr>
          <w:rFonts w:ascii="Palatino Linotype" w:hAnsi="Palatino Linotype" w:cs="Arial"/>
          <w:sz w:val="24"/>
        </w:rPr>
      </w:pPr>
    </w:p>
    <w:p w:rsidR="00BD4D4F" w:rsidRPr="001403A3" w:rsidRDefault="00BD4D4F" w:rsidP="001403A3">
      <w:pPr>
        <w:spacing w:after="0" w:line="360" w:lineRule="auto"/>
        <w:jc w:val="center"/>
        <w:rPr>
          <w:rFonts w:ascii="Palatino Linotype" w:hAnsi="Palatino Linotype"/>
          <w:b/>
          <w:sz w:val="28"/>
        </w:rPr>
      </w:pPr>
      <w:r w:rsidRPr="001403A3">
        <w:rPr>
          <w:rFonts w:ascii="Palatino Linotype" w:hAnsi="Palatino Linotype"/>
          <w:b/>
          <w:sz w:val="28"/>
        </w:rPr>
        <w:t xml:space="preserve">A N T E C E D E N T E S  </w:t>
      </w:r>
    </w:p>
    <w:p w:rsidR="00BD4D4F" w:rsidRPr="001403A3" w:rsidRDefault="00BD4D4F" w:rsidP="001403A3">
      <w:pPr>
        <w:tabs>
          <w:tab w:val="left" w:pos="1701"/>
        </w:tabs>
        <w:spacing w:after="0" w:line="360" w:lineRule="auto"/>
        <w:jc w:val="both"/>
        <w:rPr>
          <w:rFonts w:ascii="Palatino Linotype" w:hAnsi="Palatino Linotype" w:cs="Arial"/>
          <w:b/>
          <w:sz w:val="24"/>
          <w:szCs w:val="24"/>
        </w:rPr>
      </w:pPr>
    </w:p>
    <w:p w:rsidR="00BD4D4F" w:rsidRPr="006224D8" w:rsidRDefault="006224D8" w:rsidP="001403A3">
      <w:pPr>
        <w:spacing w:after="0" w:line="360" w:lineRule="auto"/>
        <w:jc w:val="both"/>
        <w:rPr>
          <w:rFonts w:ascii="Palatino Linotype" w:hAnsi="Palatino Linotype"/>
          <w:sz w:val="28"/>
          <w:szCs w:val="28"/>
        </w:rPr>
      </w:pPr>
      <w:r w:rsidRPr="006224D8">
        <w:rPr>
          <w:rFonts w:ascii="Palatino Linotype" w:hAnsi="Palatino Linotype" w:cs="Arial"/>
          <w:b/>
          <w:sz w:val="28"/>
          <w:szCs w:val="28"/>
        </w:rPr>
        <w:t>PRIMERO.</w:t>
      </w:r>
      <w:r w:rsidR="00BD4D4F" w:rsidRPr="006224D8">
        <w:rPr>
          <w:rFonts w:ascii="Palatino Linotype" w:hAnsi="Palatino Linotype" w:cs="Arial"/>
          <w:sz w:val="28"/>
          <w:szCs w:val="28"/>
        </w:rPr>
        <w:t xml:space="preserve"> </w:t>
      </w:r>
      <w:r w:rsidR="00BD4D4F" w:rsidRPr="006224D8">
        <w:rPr>
          <w:rFonts w:ascii="Palatino Linotype" w:hAnsi="Palatino Linotype"/>
          <w:b/>
          <w:sz w:val="28"/>
          <w:szCs w:val="28"/>
        </w:rPr>
        <w:t>De la Solicitud de Información.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Con fecha </w:t>
      </w:r>
      <w:r w:rsidR="006224D8">
        <w:rPr>
          <w:rFonts w:ascii="Palatino Linotype" w:hAnsi="Palatino Linotype" w:cs="Arial"/>
          <w:sz w:val="24"/>
          <w:szCs w:val="24"/>
        </w:rPr>
        <w:t>veinte de noviembre</w:t>
      </w:r>
      <w:r w:rsidRPr="001403A3">
        <w:rPr>
          <w:rFonts w:ascii="Palatino Linotype" w:hAnsi="Palatino Linotype" w:cs="Arial"/>
          <w:sz w:val="24"/>
          <w:szCs w:val="24"/>
        </w:rPr>
        <w:t xml:space="preserve"> de dos mil dieciocho, </w:t>
      </w:r>
      <w:r w:rsidR="00E77CAC">
        <w:rPr>
          <w:rFonts w:ascii="Palatino Linotype" w:hAnsi="Palatino Linotype" w:cs="Arial"/>
          <w:b/>
          <w:sz w:val="24"/>
          <w:szCs w:val="24"/>
        </w:rPr>
        <w:t>la</w:t>
      </w:r>
      <w:r w:rsidRPr="001403A3">
        <w:rPr>
          <w:rFonts w:ascii="Palatino Linotype" w:hAnsi="Palatino Linotype" w:cs="Arial"/>
          <w:b/>
          <w:sz w:val="24"/>
          <w:szCs w:val="24"/>
        </w:rPr>
        <w:t xml:space="preserve"> recurrente</w:t>
      </w:r>
      <w:r w:rsidRPr="001403A3">
        <w:rPr>
          <w:rFonts w:ascii="Palatino Linotype" w:hAnsi="Palatino Linotype" w:cs="Arial"/>
          <w:sz w:val="24"/>
          <w:szCs w:val="24"/>
        </w:rPr>
        <w:t>, presentó a través del Sistema de Acceso a la Información Mexiquense (</w:t>
      </w:r>
      <w:r w:rsidRPr="001403A3">
        <w:rPr>
          <w:rFonts w:ascii="Palatino Linotype" w:hAnsi="Palatino Linotype" w:cs="Arial"/>
          <w:b/>
          <w:sz w:val="24"/>
          <w:szCs w:val="24"/>
        </w:rPr>
        <w:t>SAIMEX)</w:t>
      </w:r>
      <w:r w:rsidRPr="001403A3">
        <w:rPr>
          <w:rFonts w:ascii="Palatino Linotype" w:hAnsi="Palatino Linotype" w:cs="Arial"/>
          <w:sz w:val="24"/>
          <w:szCs w:val="24"/>
        </w:rPr>
        <w:t xml:space="preserve"> ante </w:t>
      </w:r>
      <w:r w:rsidRPr="001403A3">
        <w:rPr>
          <w:rFonts w:ascii="Palatino Linotype" w:hAnsi="Palatino Linotype" w:cs="Arial"/>
          <w:b/>
          <w:sz w:val="24"/>
          <w:szCs w:val="24"/>
        </w:rPr>
        <w:t>el sujeto obligado</w:t>
      </w:r>
      <w:r w:rsidRPr="001403A3">
        <w:rPr>
          <w:rFonts w:ascii="Palatino Linotype" w:hAnsi="Palatino Linotype" w:cs="Arial"/>
          <w:sz w:val="24"/>
          <w:szCs w:val="24"/>
        </w:rPr>
        <w:t xml:space="preserve">, solicitud de acceso a la información pública, registrada bajo el número de expediente </w:t>
      </w:r>
      <w:r w:rsidR="006224D8" w:rsidRPr="006224D8">
        <w:rPr>
          <w:rFonts w:ascii="Palatino Linotype" w:hAnsi="Palatino Linotype" w:cs="Arial"/>
          <w:b/>
          <w:sz w:val="24"/>
          <w:szCs w:val="24"/>
        </w:rPr>
        <w:t>01581/UPVT/IP/2018</w:t>
      </w:r>
      <w:r w:rsidRPr="001403A3">
        <w:rPr>
          <w:rFonts w:ascii="Palatino Linotype" w:hAnsi="Palatino Linotype" w:cs="Arial"/>
          <w:sz w:val="24"/>
          <w:szCs w:val="24"/>
        </w:rPr>
        <w:t>, mediante la cual solicitó información en el tenor siguiente:</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240" w:lineRule="auto"/>
        <w:ind w:left="567" w:right="567"/>
        <w:jc w:val="both"/>
        <w:rPr>
          <w:rFonts w:ascii="Palatino Linotype" w:eastAsia="Times New Roman" w:hAnsi="Palatino Linotype" w:cs="Times New Roman"/>
          <w:i/>
          <w:sz w:val="24"/>
          <w:szCs w:val="24"/>
          <w:lang w:val="es-ES_tradnl" w:eastAsia="es-ES"/>
        </w:rPr>
      </w:pPr>
      <w:r w:rsidRPr="001403A3">
        <w:rPr>
          <w:rFonts w:ascii="Palatino Linotype" w:hAnsi="Palatino Linotype"/>
          <w:i/>
          <w:color w:val="000000"/>
          <w:sz w:val="24"/>
          <w:szCs w:val="24"/>
        </w:rPr>
        <w:t>“</w:t>
      </w:r>
      <w:r w:rsidR="006224D8" w:rsidRPr="006224D8">
        <w:rPr>
          <w:rFonts w:ascii="Palatino Linotype" w:hAnsi="Palatino Linotype"/>
          <w:i/>
          <w:color w:val="000000"/>
          <w:sz w:val="24"/>
          <w:szCs w:val="24"/>
        </w:rPr>
        <w:t>Relación de quejas recibidas por el Órgano Interno de Control, anteriormente llamado Contraloria Interna desde su creación a la fecha, señalando la descripción de la queja, estatus de investigación y servidor público al que se ha imputado dicha queja</w:t>
      </w:r>
      <w:r w:rsidR="002B1A34" w:rsidRPr="001403A3">
        <w:rPr>
          <w:rFonts w:ascii="Palatino Linotype" w:eastAsia="Times New Roman" w:hAnsi="Palatino Linotype" w:cs="Times New Roman"/>
          <w:i/>
          <w:sz w:val="24"/>
          <w:szCs w:val="24"/>
          <w:lang w:val="es-ES_tradnl" w:eastAsia="es-ES"/>
        </w:rPr>
        <w:t>” (s</w:t>
      </w:r>
      <w:r w:rsidRPr="001403A3">
        <w:rPr>
          <w:rFonts w:ascii="Palatino Linotype" w:eastAsia="Times New Roman" w:hAnsi="Palatino Linotype" w:cs="Times New Roman"/>
          <w:i/>
          <w:sz w:val="24"/>
          <w:szCs w:val="24"/>
          <w:lang w:val="es-ES_tradnl" w:eastAsia="es-ES"/>
        </w:rPr>
        <w:t>ic</w:t>
      </w:r>
      <w:r w:rsidR="002B1A34" w:rsidRPr="001403A3">
        <w:rPr>
          <w:rFonts w:ascii="Palatino Linotype" w:eastAsia="Times New Roman" w:hAnsi="Palatino Linotype" w:cs="Times New Roman"/>
          <w:i/>
          <w:sz w:val="24"/>
          <w:szCs w:val="24"/>
          <w:lang w:val="es-ES_tradnl" w:eastAsia="es-ES"/>
        </w:rPr>
        <w:t>)</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lastRenderedPageBreak/>
        <w:t>Haciéndose constar que del acuse</w:t>
      </w:r>
      <w:r w:rsidR="00E77CAC">
        <w:rPr>
          <w:rFonts w:ascii="Palatino Linotype" w:hAnsi="Palatino Linotype" w:cs="Arial"/>
          <w:sz w:val="24"/>
          <w:szCs w:val="24"/>
        </w:rPr>
        <w:t xml:space="preserve"> de solicitud de información, la</w:t>
      </w:r>
      <w:r w:rsidRPr="001403A3">
        <w:rPr>
          <w:rFonts w:ascii="Palatino Linotype" w:hAnsi="Palatino Linotype" w:cs="Arial"/>
          <w:sz w:val="24"/>
          <w:szCs w:val="24"/>
        </w:rPr>
        <w:t xml:space="preserve"> hoy </w:t>
      </w:r>
      <w:r w:rsidRPr="001403A3">
        <w:rPr>
          <w:rFonts w:ascii="Palatino Linotype" w:hAnsi="Palatino Linotype" w:cs="Arial"/>
          <w:b/>
          <w:sz w:val="24"/>
          <w:szCs w:val="24"/>
        </w:rPr>
        <w:t>recurrente</w:t>
      </w:r>
      <w:r w:rsidRPr="001403A3">
        <w:rPr>
          <w:rFonts w:ascii="Palatino Linotype" w:hAnsi="Palatino Linotype" w:cs="Arial"/>
          <w:sz w:val="24"/>
          <w:szCs w:val="24"/>
        </w:rPr>
        <w:t xml:space="preserve"> eligió como modalidad de entrega de la información solicitada a través del </w:t>
      </w:r>
      <w:r w:rsidRPr="006224D8">
        <w:rPr>
          <w:rFonts w:ascii="Palatino Linotype" w:hAnsi="Palatino Linotype" w:cs="Arial"/>
          <w:b/>
          <w:sz w:val="24"/>
          <w:szCs w:val="24"/>
        </w:rPr>
        <w:t>SAIMEX</w:t>
      </w:r>
      <w:r w:rsidRPr="001403A3">
        <w:rPr>
          <w:rFonts w:ascii="Palatino Linotype" w:hAnsi="Palatino Linotype" w:cs="Arial"/>
          <w:sz w:val="24"/>
          <w:szCs w:val="24"/>
        </w:rPr>
        <w:t>.</w:t>
      </w:r>
    </w:p>
    <w:p w:rsidR="002B1A34" w:rsidRPr="001403A3" w:rsidRDefault="002B1A34" w:rsidP="001403A3">
      <w:pPr>
        <w:spacing w:after="0" w:line="360" w:lineRule="auto"/>
        <w:jc w:val="both"/>
        <w:rPr>
          <w:rFonts w:ascii="Palatino Linotype" w:hAnsi="Palatino Linotype" w:cs="Arial"/>
          <w:sz w:val="24"/>
          <w:szCs w:val="24"/>
        </w:rPr>
      </w:pPr>
    </w:p>
    <w:p w:rsidR="00BD4D4F" w:rsidRPr="006224D8" w:rsidRDefault="006224D8" w:rsidP="001403A3">
      <w:pPr>
        <w:spacing w:after="0" w:line="360" w:lineRule="auto"/>
        <w:jc w:val="both"/>
        <w:rPr>
          <w:rFonts w:ascii="Palatino Linotype" w:hAnsi="Palatino Linotype" w:cs="Arial"/>
          <w:b/>
          <w:sz w:val="28"/>
          <w:szCs w:val="28"/>
        </w:rPr>
      </w:pPr>
      <w:r w:rsidRPr="006224D8">
        <w:rPr>
          <w:rFonts w:ascii="Palatino Linotype" w:hAnsi="Palatino Linotype" w:cs="Arial"/>
          <w:b/>
          <w:sz w:val="28"/>
          <w:szCs w:val="28"/>
        </w:rPr>
        <w:t>SEGUNDO</w:t>
      </w:r>
      <w:r w:rsidR="00BD4D4F" w:rsidRPr="006224D8">
        <w:rPr>
          <w:rFonts w:ascii="Palatino Linotype" w:hAnsi="Palatino Linotype" w:cs="Arial"/>
          <w:b/>
          <w:sz w:val="28"/>
          <w:szCs w:val="28"/>
        </w:rPr>
        <w:t>. De la respuesta del Sujeto Obligado.</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 las constancias que integran el expediente, se aprecia que en fecha </w:t>
      </w:r>
      <w:r w:rsidR="006224D8">
        <w:rPr>
          <w:rFonts w:ascii="Palatino Linotype" w:hAnsi="Palatino Linotype" w:cs="Arial"/>
          <w:sz w:val="24"/>
          <w:szCs w:val="24"/>
        </w:rPr>
        <w:t>diez de diciembre</w:t>
      </w:r>
      <w:r w:rsidRPr="001403A3">
        <w:rPr>
          <w:rFonts w:ascii="Palatino Linotype" w:hAnsi="Palatino Linotype" w:cs="Arial"/>
          <w:sz w:val="24"/>
          <w:szCs w:val="24"/>
        </w:rPr>
        <w:t xml:space="preserve"> de dos mil dieciocho, </w:t>
      </w:r>
      <w:r w:rsidRPr="006224D8">
        <w:rPr>
          <w:rFonts w:ascii="Palatino Linotype" w:hAnsi="Palatino Linotype" w:cs="Arial"/>
          <w:b/>
          <w:sz w:val="24"/>
          <w:szCs w:val="24"/>
        </w:rPr>
        <w:t>el sujeto obligado</w:t>
      </w:r>
      <w:r w:rsidRPr="001403A3">
        <w:rPr>
          <w:rFonts w:ascii="Palatino Linotype" w:hAnsi="Palatino Linotype" w:cs="Arial"/>
          <w:sz w:val="24"/>
          <w:szCs w:val="24"/>
        </w:rPr>
        <w:t xml:space="preserve"> emitió su respuesta a la solicitud de acceso a la información pública, en los términos siguientes:</w:t>
      </w:r>
    </w:p>
    <w:p w:rsidR="00BD4D4F" w:rsidRPr="001403A3" w:rsidRDefault="00BD4D4F" w:rsidP="001403A3">
      <w:pPr>
        <w:spacing w:after="0" w:line="360" w:lineRule="auto"/>
        <w:jc w:val="both"/>
        <w:rPr>
          <w:rFonts w:ascii="Palatino Linotype" w:hAnsi="Palatino Linotype" w:cs="Arial"/>
          <w:sz w:val="24"/>
          <w:szCs w:val="24"/>
        </w:rPr>
      </w:pPr>
    </w:p>
    <w:p w:rsidR="006224D8" w:rsidRDefault="00BD4D4F" w:rsidP="006224D8">
      <w:pPr>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w:t>
      </w:r>
      <w:r w:rsidR="006224D8" w:rsidRPr="006224D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24D8" w:rsidRPr="006224D8" w:rsidRDefault="006224D8" w:rsidP="006224D8">
      <w:pPr>
        <w:spacing w:after="0" w:line="240" w:lineRule="auto"/>
        <w:ind w:left="567" w:right="567"/>
        <w:jc w:val="both"/>
        <w:rPr>
          <w:rFonts w:ascii="Palatino Linotype" w:hAnsi="Palatino Linotype" w:cs="Arial"/>
          <w:i/>
          <w:szCs w:val="24"/>
        </w:rPr>
      </w:pPr>
    </w:p>
    <w:p w:rsidR="006224D8" w:rsidRPr="006224D8" w:rsidRDefault="006224D8" w:rsidP="006224D8">
      <w:pPr>
        <w:spacing w:after="0" w:line="240" w:lineRule="auto"/>
        <w:ind w:left="567" w:right="567"/>
        <w:jc w:val="both"/>
        <w:rPr>
          <w:rFonts w:ascii="Palatino Linotype" w:hAnsi="Palatino Linotype" w:cs="Arial"/>
          <w:i/>
          <w:szCs w:val="24"/>
        </w:rPr>
      </w:pPr>
      <w:r w:rsidRPr="006224D8">
        <w:rPr>
          <w:rFonts w:ascii="Palatino Linotype" w:hAnsi="Palatino Linotype" w:cs="Arial"/>
          <w:i/>
          <w:szCs w:val="24"/>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solicitudde información registrada con el folio número 01581/UPVT/IP/2018,que realizó el 14 de noviembre del año en curso, sírvase encontrar en archivo adjunto copia digitalizada en formato pdf del oficio emitido porel servidorpúblicohabilitado dela Dirección de División de Ingeniería Mecatrónica,en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6224D8" w:rsidRDefault="006224D8" w:rsidP="006224D8">
      <w:pPr>
        <w:spacing w:after="0" w:line="240" w:lineRule="auto"/>
        <w:ind w:left="567" w:right="567"/>
        <w:jc w:val="both"/>
        <w:rPr>
          <w:rFonts w:ascii="Palatino Linotype" w:hAnsi="Palatino Linotype" w:cs="Arial"/>
          <w:i/>
          <w:szCs w:val="24"/>
        </w:rPr>
      </w:pPr>
    </w:p>
    <w:p w:rsidR="006224D8" w:rsidRPr="006224D8" w:rsidRDefault="006224D8" w:rsidP="006224D8">
      <w:pPr>
        <w:spacing w:after="0" w:line="240" w:lineRule="auto"/>
        <w:ind w:left="567" w:right="567"/>
        <w:jc w:val="both"/>
        <w:rPr>
          <w:rFonts w:ascii="Palatino Linotype" w:hAnsi="Palatino Linotype" w:cs="Arial"/>
          <w:i/>
          <w:szCs w:val="24"/>
        </w:rPr>
      </w:pPr>
      <w:r w:rsidRPr="006224D8">
        <w:rPr>
          <w:rFonts w:ascii="Palatino Linotype" w:hAnsi="Palatino Linotype" w:cs="Arial"/>
          <w:i/>
          <w:szCs w:val="24"/>
        </w:rPr>
        <w:t>ATENTAMENTE</w:t>
      </w:r>
    </w:p>
    <w:p w:rsidR="00BD4D4F" w:rsidRPr="001403A3" w:rsidRDefault="006224D8" w:rsidP="006224D8">
      <w:pPr>
        <w:spacing w:after="0" w:line="240" w:lineRule="auto"/>
        <w:ind w:left="567" w:right="567"/>
        <w:jc w:val="both"/>
        <w:rPr>
          <w:rFonts w:ascii="Palatino Linotype" w:hAnsi="Palatino Linotype" w:cs="Arial"/>
          <w:i/>
          <w:szCs w:val="24"/>
        </w:rPr>
      </w:pPr>
      <w:r w:rsidRPr="006224D8">
        <w:rPr>
          <w:rFonts w:ascii="Palatino Linotype" w:hAnsi="Palatino Linotype" w:cs="Arial"/>
          <w:i/>
          <w:szCs w:val="24"/>
        </w:rPr>
        <w:t>LIC. GABRIELA AVILES OLIVARES</w:t>
      </w:r>
      <w:r w:rsidR="00BD4D4F" w:rsidRPr="001403A3">
        <w:rPr>
          <w:rFonts w:ascii="Palatino Linotype" w:hAnsi="Palatino Linotype" w:cs="Arial"/>
          <w:i/>
          <w:szCs w:val="24"/>
        </w:rPr>
        <w:t>”</w:t>
      </w:r>
    </w:p>
    <w:p w:rsidR="00BD4D4F" w:rsidRPr="001403A3" w:rsidRDefault="00BD4D4F" w:rsidP="001403A3">
      <w:pPr>
        <w:spacing w:after="0" w:line="360" w:lineRule="auto"/>
        <w:jc w:val="both"/>
        <w:rPr>
          <w:rFonts w:ascii="Palatino Linotype" w:hAnsi="Palatino Linotype" w:cs="Arial"/>
          <w:sz w:val="24"/>
          <w:szCs w:val="24"/>
        </w:rPr>
      </w:pPr>
    </w:p>
    <w:p w:rsidR="006224D8" w:rsidRDefault="006224D8" w:rsidP="006224D8">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los archivos electrónicos “</w:t>
      </w:r>
      <w:r w:rsidRPr="006224D8">
        <w:rPr>
          <w:rFonts w:ascii="Palatino Linotype" w:hAnsi="Palatino Linotype"/>
          <w:b/>
          <w:sz w:val="24"/>
          <w:szCs w:val="24"/>
        </w:rPr>
        <w:t>SAIMEX 1581.pdf</w:t>
      </w:r>
      <w:r>
        <w:rPr>
          <w:rFonts w:ascii="Palatino Linotype" w:hAnsi="Palatino Linotype" w:cs="Arial"/>
          <w:sz w:val="24"/>
          <w:szCs w:val="24"/>
        </w:rPr>
        <w:t>” y “</w:t>
      </w:r>
      <w:r w:rsidRPr="006224D8">
        <w:rPr>
          <w:rFonts w:ascii="Palatino Linotype" w:hAnsi="Palatino Linotype" w:cs="Arial"/>
          <w:b/>
          <w:sz w:val="24"/>
          <w:szCs w:val="24"/>
        </w:rPr>
        <w:t>UT_SOL 1581.pdf</w:t>
      </w:r>
      <w:r>
        <w:rPr>
          <w:rFonts w:ascii="Palatino Linotype" w:hAnsi="Palatino Linotype" w:cs="Arial"/>
          <w:sz w:val="24"/>
          <w:szCs w:val="24"/>
        </w:rPr>
        <w:t xml:space="preserve">”; los cuales no se insertan en el presente apartado por ser del conocimiento </w:t>
      </w:r>
      <w:r>
        <w:rPr>
          <w:rFonts w:ascii="Palatino Linotype" w:hAnsi="Palatino Linotype" w:cs="Arial"/>
          <w:sz w:val="24"/>
          <w:szCs w:val="24"/>
        </w:rPr>
        <w:lastRenderedPageBreak/>
        <w:t>de las partes, sin embargo, habrá de hacerse el análisis y estudio correspondiente en párrafos posteriores.</w:t>
      </w:r>
    </w:p>
    <w:p w:rsidR="00BD4D4F" w:rsidRPr="001403A3" w:rsidRDefault="00BD4D4F" w:rsidP="001403A3">
      <w:pPr>
        <w:spacing w:after="0" w:line="360" w:lineRule="auto"/>
        <w:jc w:val="both"/>
        <w:rPr>
          <w:rFonts w:ascii="Palatino Linotype" w:hAnsi="Palatino Linotype" w:cs="Arial"/>
          <w:sz w:val="24"/>
          <w:szCs w:val="24"/>
        </w:rPr>
      </w:pPr>
    </w:p>
    <w:p w:rsidR="00BD4D4F" w:rsidRPr="006224D8" w:rsidRDefault="006224D8" w:rsidP="001403A3">
      <w:pPr>
        <w:spacing w:after="0" w:line="360" w:lineRule="auto"/>
        <w:jc w:val="both"/>
        <w:rPr>
          <w:rFonts w:ascii="Palatino Linotype" w:hAnsi="Palatino Linotype" w:cs="Arial"/>
          <w:b/>
          <w:sz w:val="28"/>
          <w:szCs w:val="28"/>
        </w:rPr>
      </w:pPr>
      <w:r w:rsidRPr="006224D8">
        <w:rPr>
          <w:rFonts w:ascii="Palatino Linotype" w:hAnsi="Palatino Linotype" w:cs="Arial"/>
          <w:b/>
          <w:sz w:val="28"/>
          <w:szCs w:val="28"/>
        </w:rPr>
        <w:t>TERCERO.</w:t>
      </w:r>
      <w:r w:rsidR="00BD4D4F" w:rsidRPr="006224D8">
        <w:rPr>
          <w:rFonts w:ascii="Palatino Linotype" w:hAnsi="Palatino Linotype" w:cs="Arial"/>
          <w:b/>
          <w:sz w:val="28"/>
          <w:szCs w:val="28"/>
        </w:rPr>
        <w:t xml:space="preserve"> </w:t>
      </w:r>
      <w:r w:rsidR="00BD4D4F" w:rsidRPr="006224D8">
        <w:rPr>
          <w:rFonts w:ascii="Palatino Linotype" w:hAnsi="Palatino Linotype"/>
          <w:b/>
          <w:sz w:val="28"/>
          <w:szCs w:val="28"/>
        </w:rPr>
        <w:t>Del recurso de revisión.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Inconforme con la respuesta otorgada por parte del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w:t>
      </w:r>
      <w:r w:rsidR="00E77CAC">
        <w:rPr>
          <w:rFonts w:ascii="Palatino Linotype" w:hAnsi="Palatino Linotype" w:cs="Arial"/>
          <w:b/>
          <w:sz w:val="24"/>
          <w:szCs w:val="24"/>
        </w:rPr>
        <w:t>la</w:t>
      </w:r>
      <w:r w:rsidRPr="001403A3">
        <w:rPr>
          <w:rFonts w:ascii="Palatino Linotype" w:hAnsi="Palatino Linotype" w:cs="Arial"/>
          <w:sz w:val="24"/>
          <w:szCs w:val="24"/>
        </w:rPr>
        <w:t xml:space="preserve"> </w:t>
      </w:r>
      <w:r w:rsidRPr="001403A3">
        <w:rPr>
          <w:rFonts w:ascii="Palatino Linotype" w:hAnsi="Palatino Linotype" w:cs="Arial"/>
          <w:b/>
          <w:sz w:val="24"/>
          <w:szCs w:val="24"/>
        </w:rPr>
        <w:t xml:space="preserve">recurrente </w:t>
      </w:r>
      <w:r w:rsidRPr="001403A3">
        <w:rPr>
          <w:rFonts w:ascii="Palatino Linotype" w:hAnsi="Palatino Linotype" w:cs="Arial"/>
          <w:sz w:val="24"/>
          <w:szCs w:val="24"/>
        </w:rPr>
        <w:t xml:space="preserve">interpuso el recurso de revisión, en fecha </w:t>
      </w:r>
      <w:r w:rsidR="00E77CAC">
        <w:rPr>
          <w:rFonts w:ascii="Palatino Linotype" w:hAnsi="Palatino Linotype" w:cs="Arial"/>
          <w:sz w:val="24"/>
          <w:szCs w:val="24"/>
        </w:rPr>
        <w:t>diez de diciembre</w:t>
      </w:r>
      <w:r w:rsidR="002B1A34" w:rsidRPr="001403A3">
        <w:rPr>
          <w:rFonts w:ascii="Palatino Linotype" w:hAnsi="Palatino Linotype" w:cs="Arial"/>
          <w:sz w:val="24"/>
          <w:szCs w:val="24"/>
        </w:rPr>
        <w:t xml:space="preserve"> </w:t>
      </w:r>
      <w:r w:rsidRPr="001403A3">
        <w:rPr>
          <w:rFonts w:ascii="Palatino Linotype" w:hAnsi="Palatino Linotype" w:cs="Arial"/>
          <w:sz w:val="24"/>
          <w:szCs w:val="24"/>
        </w:rPr>
        <w:t>de dos mil dieciocho, el cual fue registrado</w:t>
      </w:r>
      <w:r w:rsidRPr="001403A3">
        <w:rPr>
          <w:rFonts w:ascii="Palatino Linotype" w:hAnsi="Palatino Linotype" w:cs="Arial"/>
          <w:b/>
          <w:sz w:val="24"/>
          <w:szCs w:val="24"/>
        </w:rPr>
        <w:t xml:space="preserve"> </w:t>
      </w:r>
      <w:r w:rsidRPr="001403A3">
        <w:rPr>
          <w:rFonts w:ascii="Palatino Linotype" w:hAnsi="Palatino Linotype" w:cs="Arial"/>
          <w:sz w:val="24"/>
          <w:szCs w:val="24"/>
        </w:rPr>
        <w:t xml:space="preserve">en el sistema electrónico con el expediente número </w:t>
      </w:r>
      <w:r w:rsidR="00E77CAC" w:rsidRPr="00E77CAC">
        <w:rPr>
          <w:rFonts w:ascii="Palatino Linotype" w:hAnsi="Palatino Linotype" w:cs="Arial"/>
          <w:b/>
          <w:bCs/>
          <w:sz w:val="24"/>
          <w:szCs w:val="24"/>
          <w:lang w:eastAsia="es-MX"/>
        </w:rPr>
        <w:t>04725/INFOEM/IP/RR/2018</w:t>
      </w:r>
      <w:r w:rsidRPr="001403A3">
        <w:rPr>
          <w:rFonts w:ascii="Palatino Linotype" w:hAnsi="Palatino Linotype" w:cs="Arial"/>
          <w:sz w:val="24"/>
          <w:szCs w:val="24"/>
        </w:rPr>
        <w:t>, en el cual arguye, las siguientes manifestaciones:</w:t>
      </w:r>
    </w:p>
    <w:p w:rsidR="002B1A34" w:rsidRPr="001403A3" w:rsidRDefault="002B1A34"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Acto Impugnado:</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240" w:lineRule="auto"/>
        <w:ind w:left="567" w:right="567"/>
        <w:jc w:val="both"/>
        <w:rPr>
          <w:rFonts w:ascii="Palatino Linotype" w:hAnsi="Palatino Linotype"/>
          <w:i/>
          <w:color w:val="000000"/>
          <w:szCs w:val="24"/>
        </w:rPr>
      </w:pPr>
      <w:r w:rsidRPr="001403A3">
        <w:rPr>
          <w:rFonts w:ascii="Palatino Linotype" w:hAnsi="Palatino Linotype"/>
          <w:i/>
          <w:color w:val="000000"/>
          <w:szCs w:val="24"/>
        </w:rPr>
        <w:t>“</w:t>
      </w:r>
      <w:r w:rsidR="00E77CAC" w:rsidRPr="00E77CAC">
        <w:rPr>
          <w:rFonts w:ascii="Palatino Linotype" w:hAnsi="Palatino Linotype"/>
          <w:i/>
          <w:color w:val="000000"/>
          <w:szCs w:val="24"/>
        </w:rPr>
        <w:t>Niegan información</w:t>
      </w:r>
      <w:r w:rsidRPr="001403A3">
        <w:rPr>
          <w:rFonts w:ascii="Palatino Linotype" w:hAnsi="Palatino Linotype"/>
          <w:i/>
          <w:color w:val="000000"/>
          <w:szCs w:val="24"/>
        </w:rPr>
        <w:t xml:space="preserve">” </w:t>
      </w:r>
      <w:r w:rsidR="002B1A34" w:rsidRPr="001403A3">
        <w:rPr>
          <w:rFonts w:ascii="Palatino Linotype" w:hAnsi="Palatino Linotype"/>
          <w:i/>
          <w:color w:val="000000"/>
          <w:szCs w:val="24"/>
        </w:rPr>
        <w:t>(sic)</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b/>
          <w:sz w:val="24"/>
          <w:szCs w:val="24"/>
        </w:rPr>
        <w:t>Razones o Motivos de Inconformidad</w:t>
      </w:r>
      <w:r w:rsidRPr="001403A3">
        <w:rPr>
          <w:rFonts w:ascii="Palatino Linotype" w:hAnsi="Palatino Linotype" w:cs="Arial"/>
          <w:sz w:val="24"/>
          <w:szCs w:val="24"/>
        </w:rPr>
        <w:t xml:space="preserve">: </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240" w:lineRule="auto"/>
        <w:ind w:left="567" w:right="567"/>
        <w:jc w:val="both"/>
        <w:rPr>
          <w:rFonts w:ascii="Palatino Linotype" w:hAnsi="Palatino Linotype"/>
          <w:i/>
          <w:color w:val="000000"/>
          <w:szCs w:val="24"/>
        </w:rPr>
      </w:pPr>
      <w:r w:rsidRPr="001403A3">
        <w:rPr>
          <w:rFonts w:ascii="Palatino Linotype" w:hAnsi="Palatino Linotype"/>
          <w:i/>
          <w:color w:val="000000"/>
          <w:szCs w:val="24"/>
        </w:rPr>
        <w:t>“</w:t>
      </w:r>
      <w:r w:rsidR="00E77CAC" w:rsidRPr="00E77CAC">
        <w:rPr>
          <w:rFonts w:ascii="Palatino Linotype" w:hAnsi="Palatino Linotype"/>
          <w:i/>
          <w:color w:val="000000"/>
          <w:szCs w:val="24"/>
        </w:rPr>
        <w:t>Se es muy claro y se pide información del Órgano de Control Interno, el cual en su misma pagina institucional dentro del directorio aparece, negando como siempre la información</w:t>
      </w:r>
      <w:r w:rsidRPr="001403A3">
        <w:rPr>
          <w:rFonts w:ascii="Palatino Linotype" w:hAnsi="Palatino Linotype"/>
          <w:i/>
          <w:color w:val="000000"/>
          <w:szCs w:val="24"/>
        </w:rPr>
        <w:t>” [sic]</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6224D8" w:rsidP="001403A3">
      <w:pPr>
        <w:spacing w:after="0" w:line="360" w:lineRule="auto"/>
        <w:jc w:val="both"/>
        <w:rPr>
          <w:rFonts w:ascii="Palatino Linotype" w:hAnsi="Palatino Linotype" w:cs="Arial"/>
          <w:b/>
          <w:sz w:val="24"/>
          <w:szCs w:val="24"/>
        </w:rPr>
      </w:pPr>
      <w:r w:rsidRPr="006224D8">
        <w:rPr>
          <w:rFonts w:ascii="Palatino Linotype" w:hAnsi="Palatino Linotype" w:cs="Arial"/>
          <w:b/>
          <w:sz w:val="28"/>
          <w:szCs w:val="28"/>
        </w:rPr>
        <w:t>CUARTO</w:t>
      </w:r>
      <w:r w:rsidR="00BD4D4F" w:rsidRPr="006224D8">
        <w:rPr>
          <w:rFonts w:ascii="Palatino Linotype" w:hAnsi="Palatino Linotype" w:cs="Arial"/>
          <w:b/>
          <w:sz w:val="28"/>
          <w:szCs w:val="28"/>
        </w:rPr>
        <w:t>. Del turno del recurso de revisión</w:t>
      </w:r>
      <w:r w:rsidR="00BD4D4F" w:rsidRPr="001403A3">
        <w:rPr>
          <w:rFonts w:ascii="Palatino Linotype" w:hAnsi="Palatino Linotype" w:cs="Arial"/>
          <w:b/>
          <w:sz w:val="24"/>
          <w:szCs w:val="24"/>
        </w:rPr>
        <w:t>.</w:t>
      </w:r>
    </w:p>
    <w:p w:rsidR="00BD4D4F" w:rsidRPr="001403A3" w:rsidRDefault="00E77CAC" w:rsidP="00E77CA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catorce de diciembre de dos </w:t>
      </w:r>
      <w:r>
        <w:rPr>
          <w:rFonts w:ascii="Palatino Linotype" w:hAnsi="Palatino Linotype" w:cs="Arial"/>
          <w:sz w:val="24"/>
          <w:szCs w:val="24"/>
        </w:rPr>
        <w:lastRenderedPageBreak/>
        <w:t>mil dieciocho, determinándose en él, un plazo de siete días para que las partes manifestaran lo que a su derecho corresponda en términos del numeral ya citado.</w:t>
      </w:r>
    </w:p>
    <w:p w:rsidR="00BD4D4F" w:rsidRPr="001403A3" w:rsidRDefault="00BD4D4F" w:rsidP="001403A3">
      <w:pPr>
        <w:spacing w:after="0" w:line="360" w:lineRule="auto"/>
        <w:jc w:val="both"/>
        <w:rPr>
          <w:rFonts w:ascii="Palatino Linotype" w:hAnsi="Palatino Linotype" w:cs="Arial"/>
          <w:sz w:val="24"/>
          <w:szCs w:val="24"/>
        </w:rPr>
      </w:pPr>
    </w:p>
    <w:p w:rsidR="00BD4D4F" w:rsidRPr="006224D8" w:rsidRDefault="006224D8" w:rsidP="001403A3">
      <w:pPr>
        <w:spacing w:after="0" w:line="360" w:lineRule="auto"/>
        <w:jc w:val="both"/>
        <w:rPr>
          <w:rFonts w:ascii="Palatino Linotype" w:hAnsi="Palatino Linotype" w:cs="Arial"/>
          <w:b/>
          <w:sz w:val="28"/>
          <w:szCs w:val="28"/>
        </w:rPr>
      </w:pPr>
      <w:r w:rsidRPr="006224D8">
        <w:rPr>
          <w:rFonts w:ascii="Palatino Linotype" w:hAnsi="Palatino Linotype" w:cs="Arial"/>
          <w:b/>
          <w:sz w:val="28"/>
          <w:szCs w:val="28"/>
        </w:rPr>
        <w:t>QUINTO</w:t>
      </w:r>
      <w:r w:rsidR="00BD4D4F" w:rsidRPr="006224D8">
        <w:rPr>
          <w:rFonts w:ascii="Palatino Linotype" w:hAnsi="Palatino Linotype" w:cs="Arial"/>
          <w:b/>
          <w:sz w:val="28"/>
          <w:szCs w:val="28"/>
        </w:rPr>
        <w:t>. De la etapa de instrucción.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Una vez abierta la etapa de instrucción y encontrándose dentro de término, se desprende que </w:t>
      </w:r>
      <w:r w:rsidRPr="00E77CAC">
        <w:rPr>
          <w:rFonts w:ascii="Palatino Linotype" w:hAnsi="Palatino Linotype" w:cs="Arial"/>
          <w:b/>
          <w:sz w:val="24"/>
          <w:szCs w:val="24"/>
        </w:rPr>
        <w:t>el</w:t>
      </w:r>
      <w:r w:rsidRPr="001403A3">
        <w:rPr>
          <w:rFonts w:ascii="Palatino Linotype" w:hAnsi="Palatino Linotype" w:cs="Arial"/>
          <w:sz w:val="24"/>
          <w:szCs w:val="24"/>
        </w:rPr>
        <w:t xml:space="preserve"> </w:t>
      </w:r>
      <w:r w:rsidRPr="001403A3">
        <w:rPr>
          <w:rFonts w:ascii="Palatino Linotype" w:hAnsi="Palatino Linotype" w:cs="Arial"/>
          <w:b/>
          <w:sz w:val="24"/>
          <w:szCs w:val="24"/>
        </w:rPr>
        <w:t>sujeto</w:t>
      </w:r>
      <w:r w:rsidRPr="001403A3">
        <w:rPr>
          <w:rFonts w:ascii="Palatino Linotype" w:hAnsi="Palatino Linotype" w:cs="Arial"/>
          <w:sz w:val="24"/>
          <w:szCs w:val="24"/>
        </w:rPr>
        <w:t xml:space="preserve"> </w:t>
      </w:r>
      <w:r w:rsidRPr="001403A3">
        <w:rPr>
          <w:rFonts w:ascii="Palatino Linotype" w:hAnsi="Palatino Linotype" w:cs="Arial"/>
          <w:b/>
          <w:sz w:val="24"/>
          <w:szCs w:val="24"/>
        </w:rPr>
        <w:t>obligado</w:t>
      </w:r>
      <w:r w:rsidRPr="001403A3">
        <w:rPr>
          <w:rFonts w:ascii="Palatino Linotype" w:hAnsi="Palatino Linotype" w:cs="Arial"/>
          <w:sz w:val="24"/>
          <w:szCs w:val="24"/>
        </w:rPr>
        <w:t xml:space="preserve"> remitió el </w:t>
      </w:r>
      <w:r w:rsidR="00E77CAC">
        <w:rPr>
          <w:rFonts w:ascii="Palatino Linotype" w:hAnsi="Palatino Linotype" w:cs="Arial"/>
          <w:sz w:val="24"/>
          <w:szCs w:val="24"/>
        </w:rPr>
        <w:t>diez de enero</w:t>
      </w:r>
      <w:r w:rsidR="00A64853" w:rsidRPr="001403A3">
        <w:rPr>
          <w:rFonts w:ascii="Palatino Linotype" w:hAnsi="Palatino Linotype" w:cs="Arial"/>
          <w:sz w:val="24"/>
          <w:szCs w:val="24"/>
        </w:rPr>
        <w:t xml:space="preserve"> </w:t>
      </w:r>
      <w:r w:rsidRPr="001403A3">
        <w:rPr>
          <w:rFonts w:ascii="Palatino Linotype" w:hAnsi="Palatino Linotype" w:cs="Arial"/>
          <w:sz w:val="24"/>
          <w:szCs w:val="24"/>
        </w:rPr>
        <w:t>del presente año su informe justificado a través del archivo electrónico “</w:t>
      </w:r>
      <w:r w:rsidR="00E77CAC" w:rsidRPr="00E77CAC">
        <w:rPr>
          <w:rFonts w:ascii="Palatino Linotype" w:hAnsi="Palatino Linotype" w:cs="Arial"/>
          <w:b/>
          <w:sz w:val="24"/>
          <w:szCs w:val="24"/>
        </w:rPr>
        <w:t>INF RR 4725.pdf</w:t>
      </w:r>
      <w:r w:rsidRPr="001403A3">
        <w:rPr>
          <w:rFonts w:ascii="Palatino Linotype" w:hAnsi="Palatino Linotype" w:cs="Arial"/>
          <w:sz w:val="24"/>
          <w:szCs w:val="24"/>
        </w:rPr>
        <w:t xml:space="preserve">”, </w:t>
      </w:r>
      <w:r w:rsidR="00E77CAC">
        <w:rPr>
          <w:rFonts w:ascii="Palatino Linotype" w:hAnsi="Palatino Linotype" w:cs="Arial"/>
          <w:sz w:val="24"/>
          <w:szCs w:val="24"/>
        </w:rPr>
        <w:t xml:space="preserve">mismo que se puso a la vista de </w:t>
      </w:r>
      <w:r w:rsidR="00E77CAC" w:rsidRPr="00E77CAC">
        <w:rPr>
          <w:rFonts w:ascii="Palatino Linotype" w:hAnsi="Palatino Linotype" w:cs="Arial"/>
          <w:b/>
          <w:sz w:val="24"/>
          <w:szCs w:val="24"/>
        </w:rPr>
        <w:t>la</w:t>
      </w:r>
      <w:r w:rsidRPr="00E77CAC">
        <w:rPr>
          <w:rFonts w:ascii="Palatino Linotype" w:hAnsi="Palatino Linotype" w:cs="Arial"/>
          <w:b/>
          <w:sz w:val="24"/>
          <w:szCs w:val="24"/>
        </w:rPr>
        <w:t xml:space="preserve"> </w:t>
      </w:r>
      <w:r w:rsidRPr="001403A3">
        <w:rPr>
          <w:rFonts w:ascii="Palatino Linotype" w:hAnsi="Palatino Linotype" w:cs="Arial"/>
          <w:b/>
          <w:sz w:val="24"/>
          <w:szCs w:val="24"/>
        </w:rPr>
        <w:t xml:space="preserve">recurrente </w:t>
      </w:r>
      <w:r w:rsidRPr="001403A3">
        <w:rPr>
          <w:rFonts w:ascii="Palatino Linotype" w:hAnsi="Palatino Linotype" w:cs="Arial"/>
          <w:sz w:val="24"/>
          <w:szCs w:val="24"/>
        </w:rPr>
        <w:t xml:space="preserve">el día </w:t>
      </w:r>
      <w:r w:rsidR="00E77CAC">
        <w:rPr>
          <w:rFonts w:ascii="Palatino Linotype" w:hAnsi="Palatino Linotype" w:cs="Arial"/>
          <w:sz w:val="24"/>
          <w:szCs w:val="24"/>
        </w:rPr>
        <w:t>catorce</w:t>
      </w:r>
      <w:r w:rsidRPr="001403A3">
        <w:rPr>
          <w:rFonts w:ascii="Palatino Linotype" w:hAnsi="Palatino Linotype" w:cs="Arial"/>
          <w:sz w:val="24"/>
          <w:szCs w:val="24"/>
        </w:rPr>
        <w:t xml:space="preserve"> del mismo mes y a</w:t>
      </w:r>
      <w:r w:rsidR="00E77CAC">
        <w:rPr>
          <w:rFonts w:ascii="Palatino Linotype" w:hAnsi="Palatino Linotype" w:cs="Arial"/>
          <w:sz w:val="24"/>
          <w:szCs w:val="24"/>
        </w:rPr>
        <w:t xml:space="preserve">ño, asimismo, se advierte que </w:t>
      </w:r>
      <w:r w:rsidR="00E77CAC" w:rsidRPr="00E77CAC">
        <w:rPr>
          <w:rFonts w:ascii="Palatino Linotype" w:hAnsi="Palatino Linotype" w:cs="Arial"/>
          <w:b/>
          <w:sz w:val="24"/>
          <w:szCs w:val="24"/>
        </w:rPr>
        <w:t>la</w:t>
      </w:r>
      <w:r w:rsidRPr="00E77CAC">
        <w:rPr>
          <w:rFonts w:ascii="Palatino Linotype" w:hAnsi="Palatino Linotype" w:cs="Arial"/>
          <w:b/>
          <w:sz w:val="24"/>
          <w:szCs w:val="24"/>
        </w:rPr>
        <w:t xml:space="preserve"> recurrente</w:t>
      </w:r>
      <w:r w:rsidRPr="001403A3">
        <w:rPr>
          <w:rFonts w:ascii="Palatino Linotype" w:hAnsi="Palatino Linotype" w:cs="Arial"/>
          <w:sz w:val="24"/>
          <w:szCs w:val="24"/>
        </w:rPr>
        <w:t xml:space="preserve"> no rindió manifestación alguna ni ofreció medio de prueba que integrar al expediente, de igual modo se aprecia del expediente electrónico en estudio que no se llevaron a acabo audiencias ni diligencia alguna.</w:t>
      </w:r>
    </w:p>
    <w:p w:rsidR="00DD35EB" w:rsidRPr="001403A3" w:rsidRDefault="00DD35EB" w:rsidP="001403A3">
      <w:pPr>
        <w:spacing w:after="0" w:line="360" w:lineRule="auto"/>
        <w:jc w:val="both"/>
        <w:rPr>
          <w:rFonts w:ascii="Palatino Linotype" w:hAnsi="Palatino Linotype" w:cs="Arial"/>
          <w:sz w:val="24"/>
          <w:szCs w:val="24"/>
        </w:rPr>
      </w:pPr>
    </w:p>
    <w:p w:rsidR="00BD4D4F"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Por lo que se decretó el cierre de instrucción en fecha </w:t>
      </w:r>
      <w:r w:rsidR="00E77CAC">
        <w:rPr>
          <w:rFonts w:ascii="Palatino Linotype" w:hAnsi="Palatino Linotype" w:cs="Arial"/>
          <w:sz w:val="24"/>
          <w:szCs w:val="24"/>
        </w:rPr>
        <w:t>dieciocho de enero</w:t>
      </w:r>
      <w:r w:rsidRPr="001403A3">
        <w:rPr>
          <w:rFonts w:ascii="Palatino Linotype" w:hAnsi="Palatino Linotype" w:cs="Arial"/>
          <w:sz w:val="24"/>
          <w:szCs w:val="24"/>
        </w:rPr>
        <w:t xml:space="preserve"> de dos mil </w:t>
      </w:r>
      <w:r w:rsidR="00E77CAC">
        <w:rPr>
          <w:rFonts w:ascii="Palatino Linotype" w:hAnsi="Palatino Linotype" w:cs="Arial"/>
          <w:sz w:val="24"/>
          <w:szCs w:val="24"/>
        </w:rPr>
        <w:t>diecinueve</w:t>
      </w:r>
      <w:r w:rsidRPr="001403A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 y</w:t>
      </w:r>
    </w:p>
    <w:p w:rsidR="004B0A4B" w:rsidRDefault="004B0A4B" w:rsidP="001403A3">
      <w:pPr>
        <w:spacing w:after="0" w:line="360" w:lineRule="auto"/>
        <w:jc w:val="both"/>
        <w:rPr>
          <w:rFonts w:ascii="Palatino Linotype" w:hAnsi="Palatino Linotype" w:cs="Arial"/>
          <w:sz w:val="24"/>
          <w:szCs w:val="24"/>
        </w:rPr>
      </w:pPr>
    </w:p>
    <w:p w:rsidR="004B0A4B" w:rsidRPr="004B0A4B" w:rsidRDefault="004B0A4B" w:rsidP="004B0A4B">
      <w:pPr>
        <w:spacing w:after="0" w:line="360" w:lineRule="auto"/>
        <w:jc w:val="both"/>
        <w:rPr>
          <w:rFonts w:ascii="Palatino Linotype" w:eastAsia="Times New Roman" w:hAnsi="Palatino Linotype" w:cs="Arial"/>
          <w:b/>
          <w:sz w:val="28"/>
          <w:szCs w:val="28"/>
          <w:lang w:eastAsia="es-ES"/>
        </w:rPr>
      </w:pPr>
      <w:r w:rsidRPr="004B0A4B">
        <w:rPr>
          <w:rFonts w:ascii="Palatino Linotype" w:eastAsia="Times New Roman" w:hAnsi="Palatino Linotype" w:cs="Arial"/>
          <w:b/>
          <w:sz w:val="28"/>
          <w:szCs w:val="28"/>
          <w:lang w:eastAsia="es-ES"/>
        </w:rPr>
        <w:t>OCTAVO. De la ampliación del término para resolver.</w:t>
      </w:r>
    </w:p>
    <w:p w:rsidR="004B0A4B" w:rsidRPr="004B0A4B" w:rsidRDefault="004B0A4B" w:rsidP="004B0A4B">
      <w:pPr>
        <w:spacing w:after="0" w:line="360" w:lineRule="auto"/>
        <w:jc w:val="both"/>
        <w:rPr>
          <w:rFonts w:ascii="Palatino Linotype" w:eastAsia="Times New Roman" w:hAnsi="Palatino Linotype" w:cs="Arial"/>
          <w:sz w:val="24"/>
          <w:szCs w:val="24"/>
          <w:lang w:eastAsia="es-ES"/>
        </w:rPr>
      </w:pPr>
      <w:r w:rsidRPr="004B0A4B">
        <w:rPr>
          <w:rFonts w:ascii="Palatino Linotype" w:eastAsia="Times New Roman" w:hAnsi="Palatino Linotype" w:cs="Arial"/>
          <w:sz w:val="24"/>
          <w:szCs w:val="24"/>
          <w:lang w:eastAsia="es-ES"/>
        </w:rPr>
        <w:t>En fecha trece de febrero de dos mil diecinueve, se amp</w:t>
      </w:r>
      <w:r>
        <w:rPr>
          <w:rFonts w:ascii="Palatino Linotype" w:eastAsia="Times New Roman" w:hAnsi="Palatino Linotype" w:cs="Arial"/>
          <w:sz w:val="24"/>
          <w:szCs w:val="24"/>
          <w:lang w:eastAsia="es-ES"/>
        </w:rPr>
        <w:t>lió el término para resolver el</w:t>
      </w:r>
      <w:r w:rsidRPr="004B0A4B">
        <w:rPr>
          <w:rFonts w:ascii="Palatino Linotype" w:eastAsia="Times New Roman" w:hAnsi="Palatino Linotype" w:cs="Arial"/>
          <w:sz w:val="24"/>
          <w:szCs w:val="24"/>
          <w:lang w:eastAsia="es-ES"/>
        </w:rPr>
        <w:t xml:space="preserve"> recurso de revisión en términos del artículo 181 párrafo tercero de la Ley de Transparencia y Acceso a la Información Pública del Estado de México y Municipios por un plazo de quince días hábiles.</w:t>
      </w:r>
    </w:p>
    <w:p w:rsidR="004B0A4B" w:rsidRPr="001403A3" w:rsidRDefault="004B0A4B"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center"/>
        <w:rPr>
          <w:rFonts w:ascii="Palatino Linotype" w:hAnsi="Palatino Linotype" w:cs="Arial"/>
          <w:b/>
          <w:sz w:val="24"/>
          <w:szCs w:val="24"/>
        </w:rPr>
      </w:pPr>
      <w:r w:rsidRPr="001403A3">
        <w:rPr>
          <w:rFonts w:ascii="Palatino Linotype" w:hAnsi="Palatino Linotype" w:cs="Arial"/>
          <w:b/>
          <w:sz w:val="24"/>
          <w:szCs w:val="24"/>
        </w:rPr>
        <w:t xml:space="preserve">C O N S I D E R A N D O </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360" w:lineRule="auto"/>
        <w:jc w:val="both"/>
        <w:rPr>
          <w:rFonts w:ascii="Palatino Linotype" w:hAnsi="Palatino Linotype" w:cs="Arial"/>
          <w:sz w:val="28"/>
          <w:szCs w:val="24"/>
        </w:rPr>
      </w:pPr>
      <w:r w:rsidRPr="001403A3">
        <w:rPr>
          <w:rFonts w:ascii="Palatino Linotype" w:hAnsi="Palatino Linotype" w:cs="Arial"/>
          <w:b/>
          <w:sz w:val="28"/>
          <w:szCs w:val="24"/>
        </w:rPr>
        <w:t>PRIMERO. De la competencia</w:t>
      </w:r>
      <w:r w:rsidRPr="001403A3">
        <w:rPr>
          <w:rFonts w:ascii="Palatino Linotype" w:hAnsi="Palatino Linotype" w:cs="Arial"/>
          <w:sz w:val="28"/>
          <w:szCs w:val="24"/>
        </w:rPr>
        <w:t>.</w:t>
      </w:r>
    </w:p>
    <w:p w:rsidR="00BD4D4F"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00E77CAC" w:rsidRPr="00E77CAC">
        <w:rPr>
          <w:rFonts w:ascii="Palatino Linotype" w:hAnsi="Palatino Linotype" w:cs="Arial"/>
          <w:b/>
          <w:sz w:val="24"/>
          <w:szCs w:val="24"/>
        </w:rPr>
        <w:t>la</w:t>
      </w:r>
      <w:r w:rsidR="00575357" w:rsidRPr="001403A3">
        <w:rPr>
          <w:rFonts w:ascii="Palatino Linotype" w:hAnsi="Palatino Linotype" w:cs="Arial"/>
          <w:sz w:val="24"/>
          <w:szCs w:val="24"/>
        </w:rPr>
        <w:t xml:space="preserve"> </w:t>
      </w:r>
      <w:r w:rsidR="00575357" w:rsidRPr="001403A3">
        <w:rPr>
          <w:rFonts w:ascii="Palatino Linotype" w:hAnsi="Palatino Linotype" w:cs="Arial"/>
          <w:b/>
          <w:sz w:val="24"/>
          <w:szCs w:val="24"/>
        </w:rPr>
        <w:t>recurrente</w:t>
      </w:r>
      <w:r w:rsidRPr="001403A3">
        <w:rPr>
          <w:rFonts w:ascii="Palatino Linotype" w:hAnsi="Palatino Linotype" w:cs="Arial"/>
          <w:b/>
          <w:sz w:val="24"/>
          <w:szCs w:val="24"/>
        </w:rPr>
        <w:t xml:space="preserve"> </w:t>
      </w:r>
      <w:r w:rsidRPr="001403A3">
        <w:rPr>
          <w:rFonts w:ascii="Palatino Linotype" w:hAnsi="Palatino Linotype" w:cs="Arial"/>
          <w:sz w:val="24"/>
          <w:szCs w:val="24"/>
        </w:rPr>
        <w:t>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E77CAC" w:rsidRPr="001403A3" w:rsidRDefault="00E77CAC" w:rsidP="001403A3">
      <w:pPr>
        <w:spacing w:after="0" w:line="360" w:lineRule="auto"/>
        <w:jc w:val="both"/>
        <w:rPr>
          <w:rFonts w:ascii="Palatino Linotype" w:hAnsi="Palatino Linotype" w:cs="Arial"/>
          <w:sz w:val="24"/>
          <w:szCs w:val="24"/>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b/>
          <w:sz w:val="28"/>
        </w:rPr>
      </w:pPr>
      <w:r w:rsidRPr="001403A3">
        <w:rPr>
          <w:rFonts w:ascii="Palatino Linotype" w:hAnsi="Palatino Linotype" w:cs="Arial"/>
          <w:b/>
          <w:sz w:val="28"/>
        </w:rPr>
        <w:t xml:space="preserve">SEGUNDO. Sobre los alcances del recurso de revisión. </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403A3">
        <w:rPr>
          <w:rFonts w:ascii="Palatino Linotype" w:hAnsi="Palatino Linotype" w:cs="Arial"/>
        </w:rPr>
        <w:lastRenderedPageBreak/>
        <w:t>afectación al derecho de acceso a la información pública y garantizando el principio rector de máxima publicidad.</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b/>
          <w:sz w:val="28"/>
        </w:rPr>
      </w:pPr>
      <w:r w:rsidRPr="001403A3">
        <w:rPr>
          <w:rFonts w:ascii="Palatino Linotype" w:hAnsi="Palatino Linotype" w:cs="Arial"/>
          <w:b/>
          <w:sz w:val="28"/>
        </w:rPr>
        <w:t>TERCERO. De las causas de improcedencia.</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403A3">
        <w:rPr>
          <w:rStyle w:val="Refdenotaalpie"/>
          <w:rFonts w:ascii="Palatino Linotype" w:hAnsi="Palatino Linotype" w:cs="Arial"/>
        </w:rPr>
        <w:footnoteReference w:id="1"/>
      </w:r>
      <w:r w:rsidRPr="001403A3">
        <w:rPr>
          <w:rFonts w:ascii="Palatino Linotype" w:hAnsi="Palatino Linotype" w:cs="Arial"/>
        </w:rPr>
        <w:t>.</w:t>
      </w:r>
    </w:p>
    <w:p w:rsidR="001D25D3" w:rsidRPr="001403A3" w:rsidRDefault="001D25D3"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pStyle w:val="Prrafodelista"/>
        <w:autoSpaceDE w:val="0"/>
        <w:autoSpaceDN w:val="0"/>
        <w:adjustRightInd w:val="0"/>
        <w:ind w:left="567" w:right="567"/>
        <w:jc w:val="both"/>
        <w:rPr>
          <w:rFonts w:ascii="Palatino Linotype" w:hAnsi="Palatino Linotype" w:cs="Arial"/>
          <w:i/>
          <w:sz w:val="22"/>
          <w:szCs w:val="22"/>
        </w:rPr>
      </w:pPr>
      <w:r w:rsidRPr="001403A3">
        <w:rPr>
          <w:rFonts w:ascii="Palatino Linotype" w:hAnsi="Palatino Linotype" w:cs="Arial"/>
          <w:i/>
          <w:sz w:val="22"/>
          <w:szCs w:val="22"/>
        </w:rPr>
        <w:t>“</w:t>
      </w:r>
      <w:r w:rsidRPr="001403A3">
        <w:rPr>
          <w:rFonts w:ascii="Palatino Linotype" w:hAnsi="Palatino Linotype" w:cs="Arial"/>
          <w:b/>
          <w:i/>
          <w:sz w:val="22"/>
          <w:szCs w:val="22"/>
        </w:rPr>
        <w:t>Artículo</w:t>
      </w:r>
      <w:r w:rsidRPr="001403A3">
        <w:rPr>
          <w:rFonts w:ascii="Palatino Linotype" w:hAnsi="Palatino Linotype" w:cs="Arial"/>
          <w:i/>
          <w:sz w:val="22"/>
          <w:szCs w:val="22"/>
        </w:rPr>
        <w:t xml:space="preserve"> </w:t>
      </w:r>
      <w:r w:rsidRPr="001403A3">
        <w:rPr>
          <w:rFonts w:ascii="Palatino Linotype" w:hAnsi="Palatino Linotype" w:cs="Arial"/>
          <w:b/>
          <w:i/>
          <w:sz w:val="22"/>
          <w:szCs w:val="22"/>
        </w:rPr>
        <w:t>191</w:t>
      </w:r>
      <w:r w:rsidRPr="001403A3">
        <w:rPr>
          <w:rFonts w:ascii="Palatino Linotype" w:hAnsi="Palatino Linotype" w:cs="Arial"/>
          <w:i/>
          <w:sz w:val="22"/>
          <w:szCs w:val="22"/>
        </w:rPr>
        <w:t xml:space="preserve">. El recurso será desechado por improcedente cuando: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Sea extemporáneo por haber transcurrido el plazo establecido en la presente Ley, a partir de la respuesta;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esté tramitando ante el Poder Judicial de la Federación algún recurso o medio de defensa interpuesto por el recurrente;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No actualice alguno de los supuestos previstos en la presente Ley;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No se haya desahogado la prevención en los términos establecidos en la presente Ley;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impugne la veracidad de la información proporcionada;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trate de una consulta, o trámite en específico; 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rPr>
      </w:pPr>
      <w:r w:rsidRPr="001403A3">
        <w:rPr>
          <w:rFonts w:ascii="Palatino Linotype" w:hAnsi="Palatino Linotype" w:cs="Arial"/>
          <w:i/>
          <w:sz w:val="22"/>
          <w:szCs w:val="22"/>
        </w:rPr>
        <w:t>El recurrente amplíe su solicitud en el recurso de revisión, únicamente respecto de los nuevos contenidos.”</w:t>
      </w:r>
    </w:p>
    <w:p w:rsidR="00DD35EB" w:rsidRPr="001403A3" w:rsidRDefault="00DD35EB"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Ya que no fueron interpuestos de forma extemporánea, no se acredita que se estén tramitando ante el Poder Judicial Federal, no se impugnó la veracidad de la </w:t>
      </w:r>
      <w:r w:rsidRPr="001403A3">
        <w:rPr>
          <w:rFonts w:ascii="Palatino Linotype" w:hAnsi="Palatino Linotype" w:cs="Arial"/>
        </w:rPr>
        <w:lastRenderedPageBreak/>
        <w:t>información proporcionada, no es una consulta, o trámite en específic</w:t>
      </w:r>
      <w:r w:rsidR="007305D5">
        <w:rPr>
          <w:rFonts w:ascii="Palatino Linotype" w:hAnsi="Palatino Linotype" w:cs="Arial"/>
        </w:rPr>
        <w:t xml:space="preserve">o, ni tampoco se advierte que </w:t>
      </w:r>
      <w:r w:rsidR="007305D5" w:rsidRPr="007305D5">
        <w:rPr>
          <w:rFonts w:ascii="Palatino Linotype" w:hAnsi="Palatino Linotype" w:cs="Arial"/>
          <w:b/>
        </w:rPr>
        <w:t>la</w:t>
      </w:r>
      <w:r w:rsidRPr="007305D5">
        <w:rPr>
          <w:rFonts w:ascii="Palatino Linotype" w:hAnsi="Palatino Linotype" w:cs="Arial"/>
          <w:b/>
        </w:rPr>
        <w:t xml:space="preserve"> recurrente</w:t>
      </w:r>
      <w:r w:rsidR="007305D5">
        <w:rPr>
          <w:rFonts w:ascii="Palatino Linotype" w:hAnsi="Palatino Linotype" w:cs="Arial"/>
        </w:rPr>
        <w:t xml:space="preserve"> amplíe sus solicitudes en el recurso</w:t>
      </w:r>
      <w:r w:rsidRPr="001403A3">
        <w:rPr>
          <w:rFonts w:ascii="Palatino Linotype" w:hAnsi="Palatino Linotype" w:cs="Arial"/>
        </w:rPr>
        <w:t xml:space="preserve"> de revisión, por lo que al no existir causas de improcedencia invocadas por las partes ni advertidas de oficio, este Resolutor se avoca al análisis del fondo del asunto que nos ocupa.</w:t>
      </w:r>
    </w:p>
    <w:p w:rsidR="001D25D3" w:rsidRPr="001403A3" w:rsidRDefault="001D25D3"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sz w:val="28"/>
        </w:rPr>
      </w:pPr>
      <w:r w:rsidRPr="001403A3">
        <w:rPr>
          <w:rFonts w:ascii="Palatino Linotype" w:hAnsi="Palatino Linotype" w:cs="Arial"/>
          <w:b/>
          <w:sz w:val="28"/>
        </w:rPr>
        <w:t>CUARTO.</w:t>
      </w:r>
      <w:r w:rsidRPr="001403A3">
        <w:rPr>
          <w:rFonts w:ascii="Palatino Linotype" w:hAnsi="Palatino Linotype" w:cs="Arial"/>
          <w:sz w:val="28"/>
        </w:rPr>
        <w:t xml:space="preserve"> </w:t>
      </w:r>
      <w:r w:rsidRPr="001403A3">
        <w:rPr>
          <w:rFonts w:ascii="Palatino Linotype" w:hAnsi="Palatino Linotype" w:cs="Arial"/>
          <w:b/>
          <w:sz w:val="28"/>
        </w:rPr>
        <w:t>Estudio y resolución del asunto.</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4D4F" w:rsidRPr="001403A3" w:rsidRDefault="00BD4D4F" w:rsidP="001403A3">
      <w:pPr>
        <w:tabs>
          <w:tab w:val="left" w:pos="709"/>
        </w:tabs>
        <w:spacing w:after="0" w:line="360" w:lineRule="auto"/>
        <w:jc w:val="both"/>
        <w:rPr>
          <w:rFonts w:ascii="Palatino Linotype" w:hAnsi="Palatino Linotype" w:cs="Arial"/>
          <w:sz w:val="24"/>
          <w:szCs w:val="24"/>
        </w:rPr>
      </w:pPr>
    </w:p>
    <w:p w:rsidR="001D25D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 xml:space="preserve">Por tal motivo es necesario hacer alusión a lo que la hoy </w:t>
      </w:r>
      <w:r w:rsidRPr="004D05C1">
        <w:rPr>
          <w:rFonts w:ascii="Palatino Linotype" w:hAnsi="Palatino Linotype"/>
          <w:b/>
          <w:sz w:val="24"/>
          <w:szCs w:val="24"/>
        </w:rPr>
        <w:t>recurrente</w:t>
      </w:r>
      <w:r w:rsidRPr="001403A3">
        <w:rPr>
          <w:rFonts w:ascii="Palatino Linotype" w:hAnsi="Palatino Linotype"/>
          <w:sz w:val="24"/>
          <w:szCs w:val="24"/>
        </w:rPr>
        <w:t xml:space="preserve"> requirió, le fuese entregado por parte del </w:t>
      </w:r>
      <w:r w:rsidRPr="004D05C1">
        <w:rPr>
          <w:rFonts w:ascii="Palatino Linotype" w:hAnsi="Palatino Linotype"/>
          <w:b/>
          <w:sz w:val="24"/>
          <w:szCs w:val="24"/>
        </w:rPr>
        <w:t>sujeto obligado</w:t>
      </w:r>
      <w:r w:rsidRPr="001403A3">
        <w:rPr>
          <w:rFonts w:ascii="Palatino Linotype" w:hAnsi="Palatino Linotype"/>
          <w:sz w:val="24"/>
          <w:szCs w:val="24"/>
        </w:rPr>
        <w:t xml:space="preserve">, a efecto de establecer la materia del presente asunto, ya que de ella deriva por un lado el procedimiento de acceso a la información </w:t>
      </w:r>
      <w:r w:rsidRPr="001403A3">
        <w:rPr>
          <w:rFonts w:ascii="Palatino Linotype" w:hAnsi="Palatino Linotype"/>
          <w:sz w:val="24"/>
          <w:szCs w:val="24"/>
        </w:rPr>
        <w:lastRenderedPageBreak/>
        <w:t xml:space="preserve">ante </w:t>
      </w:r>
      <w:r w:rsidRPr="004D05C1">
        <w:rPr>
          <w:rFonts w:ascii="Palatino Linotype" w:hAnsi="Palatino Linotype"/>
          <w:b/>
          <w:sz w:val="24"/>
          <w:szCs w:val="24"/>
        </w:rPr>
        <w:t>el sujeto obligado</w:t>
      </w:r>
      <w:r w:rsidRPr="001403A3">
        <w:rPr>
          <w:rFonts w:ascii="Palatino Linotype" w:hAnsi="Palatino Linotype"/>
          <w:sz w:val="24"/>
          <w:szCs w:val="24"/>
        </w:rPr>
        <w:t>, y por otro lado la materia sobre la que versara el recurso de revisión ante este Órgano Garante</w:t>
      </w:r>
      <w:r w:rsidR="001D25D3" w:rsidRPr="001403A3">
        <w:rPr>
          <w:rFonts w:ascii="Palatino Linotype" w:hAnsi="Palatino Linotype"/>
          <w:sz w:val="24"/>
          <w:szCs w:val="24"/>
        </w:rPr>
        <w:t>.</w:t>
      </w:r>
    </w:p>
    <w:p w:rsidR="00FB24A0" w:rsidRDefault="00FB24A0" w:rsidP="001403A3">
      <w:pPr>
        <w:spacing w:after="0" w:line="360" w:lineRule="auto"/>
        <w:jc w:val="both"/>
        <w:rPr>
          <w:rFonts w:ascii="Palatino Linotype" w:hAnsi="Palatino Linotype"/>
          <w:sz w:val="24"/>
          <w:szCs w:val="24"/>
        </w:rPr>
      </w:pPr>
    </w:p>
    <w:p w:rsidR="00FB24A0" w:rsidRPr="0051101F" w:rsidRDefault="00FB24A0" w:rsidP="00FB24A0">
      <w:pPr>
        <w:pStyle w:val="Prrafodelista"/>
        <w:autoSpaceDE w:val="0"/>
        <w:autoSpaceDN w:val="0"/>
        <w:adjustRightInd w:val="0"/>
        <w:spacing w:after="240" w:line="360" w:lineRule="auto"/>
        <w:ind w:left="0"/>
        <w:jc w:val="both"/>
        <w:rPr>
          <w:rFonts w:ascii="Palatino Linotype" w:hAnsi="Palatino Linotype" w:cs="Arial"/>
        </w:rPr>
      </w:pPr>
      <w:r w:rsidRPr="0051101F">
        <w:rPr>
          <w:rFonts w:ascii="Palatino Linotype" w:hAnsi="Palatino Linotype" w:cs="Arial"/>
        </w:rPr>
        <w:t xml:space="preserve">Así, tenemos en un primer plano y como se enunció en los antecedentes de la presente resolución, en fecha veinte de noviembre de dos mil dieciocho, </w:t>
      </w:r>
      <w:r w:rsidRPr="0051101F">
        <w:rPr>
          <w:rFonts w:ascii="Palatino Linotype" w:hAnsi="Palatino Linotype" w:cs="Arial"/>
          <w:b/>
        </w:rPr>
        <w:t>la recurrente</w:t>
      </w:r>
      <w:r w:rsidRPr="0051101F">
        <w:rPr>
          <w:rFonts w:ascii="Palatino Linotype" w:hAnsi="Palatino Linotype" w:cs="Arial"/>
        </w:rPr>
        <w:t xml:space="preserve"> realizó la solicitud de acceso a la información de folio </w:t>
      </w:r>
      <w:r w:rsidRPr="0051101F">
        <w:rPr>
          <w:rFonts w:ascii="Palatino Linotype" w:hAnsi="Palatino Linotype" w:cs="Arial"/>
          <w:b/>
        </w:rPr>
        <w:t>01581/UPVT/IP/2018</w:t>
      </w:r>
      <w:r w:rsidRPr="0051101F">
        <w:rPr>
          <w:rFonts w:ascii="Palatino Linotype" w:hAnsi="Palatino Linotype" w:cs="Arial"/>
        </w:rPr>
        <w:t>,</w:t>
      </w:r>
      <w:r w:rsidRPr="0051101F">
        <w:rPr>
          <w:rFonts w:ascii="Palatino Linotype" w:hAnsi="Palatino Linotype"/>
        </w:rPr>
        <w:t xml:space="preserve"> de la cual, </w:t>
      </w:r>
      <w:r w:rsidRPr="0051101F">
        <w:rPr>
          <w:rFonts w:ascii="Palatino Linotype" w:hAnsi="Palatino Linotype" w:cs="Arial"/>
        </w:rPr>
        <w:t xml:space="preserve">de forma objetiva podemos identificar que </w:t>
      </w:r>
      <w:r w:rsidR="0051101F">
        <w:rPr>
          <w:rFonts w:ascii="Palatino Linotype" w:hAnsi="Palatino Linotype" w:cs="Arial"/>
        </w:rPr>
        <w:t>se requiere</w:t>
      </w:r>
      <w:r w:rsidRPr="0051101F">
        <w:rPr>
          <w:rFonts w:ascii="Palatino Linotype" w:hAnsi="Palatino Linotype" w:cs="Arial"/>
        </w:rPr>
        <w:t xml:space="preserve"> del Órgano Interno de Control, la relación de quejas recibidas desde su creación a la fecha, en la cual se advierta lo siguiente:</w:t>
      </w:r>
    </w:p>
    <w:p w:rsidR="00FB24A0" w:rsidRPr="0051101F" w:rsidRDefault="00FB24A0" w:rsidP="00FB24A0">
      <w:pPr>
        <w:pStyle w:val="Prrafodelista"/>
        <w:numPr>
          <w:ilvl w:val="0"/>
          <w:numId w:val="5"/>
        </w:numPr>
        <w:autoSpaceDE w:val="0"/>
        <w:autoSpaceDN w:val="0"/>
        <w:adjustRightInd w:val="0"/>
        <w:spacing w:line="360" w:lineRule="auto"/>
        <w:jc w:val="both"/>
        <w:rPr>
          <w:rFonts w:ascii="Palatino Linotype" w:hAnsi="Palatino Linotype" w:cs="Arial"/>
        </w:rPr>
      </w:pPr>
      <w:r w:rsidRPr="0051101F">
        <w:rPr>
          <w:rFonts w:ascii="Palatino Linotype" w:hAnsi="Palatino Linotype" w:cs="Arial"/>
        </w:rPr>
        <w:t>Descripción de la queja.</w:t>
      </w:r>
    </w:p>
    <w:p w:rsidR="00FB24A0" w:rsidRPr="0051101F" w:rsidRDefault="00FB24A0" w:rsidP="00FB24A0">
      <w:pPr>
        <w:pStyle w:val="Prrafodelista"/>
        <w:numPr>
          <w:ilvl w:val="0"/>
          <w:numId w:val="5"/>
        </w:numPr>
        <w:autoSpaceDE w:val="0"/>
        <w:autoSpaceDN w:val="0"/>
        <w:adjustRightInd w:val="0"/>
        <w:spacing w:line="360" w:lineRule="auto"/>
        <w:jc w:val="both"/>
        <w:rPr>
          <w:rFonts w:ascii="Palatino Linotype" w:hAnsi="Palatino Linotype" w:cs="Arial"/>
        </w:rPr>
      </w:pPr>
      <w:r w:rsidRPr="0051101F">
        <w:rPr>
          <w:rFonts w:ascii="Palatino Linotype" w:hAnsi="Palatino Linotype" w:cs="Arial"/>
        </w:rPr>
        <w:t>Estatus de investigación.</w:t>
      </w:r>
    </w:p>
    <w:p w:rsidR="00FB24A0" w:rsidRPr="0051101F" w:rsidRDefault="00FB24A0" w:rsidP="00FB24A0">
      <w:pPr>
        <w:pStyle w:val="Prrafodelista"/>
        <w:numPr>
          <w:ilvl w:val="0"/>
          <w:numId w:val="5"/>
        </w:numPr>
        <w:autoSpaceDE w:val="0"/>
        <w:autoSpaceDN w:val="0"/>
        <w:adjustRightInd w:val="0"/>
        <w:spacing w:line="360" w:lineRule="auto"/>
        <w:jc w:val="both"/>
        <w:rPr>
          <w:rFonts w:ascii="Palatino Linotype" w:hAnsi="Palatino Linotype" w:cs="Arial"/>
        </w:rPr>
      </w:pPr>
      <w:r w:rsidRPr="0051101F">
        <w:rPr>
          <w:rFonts w:ascii="Palatino Linotype" w:hAnsi="Palatino Linotype" w:cs="Arial"/>
        </w:rPr>
        <w:t>Servidor público al que se le ha imputado dicha queja.</w:t>
      </w:r>
    </w:p>
    <w:p w:rsidR="00BD4D4F" w:rsidRPr="001403A3" w:rsidRDefault="00BD4D4F" w:rsidP="001403A3">
      <w:pPr>
        <w:autoSpaceDE w:val="0"/>
        <w:autoSpaceDN w:val="0"/>
        <w:adjustRightInd w:val="0"/>
        <w:spacing w:after="0" w:line="360" w:lineRule="auto"/>
        <w:ind w:right="18"/>
        <w:jc w:val="both"/>
        <w:rPr>
          <w:rFonts w:ascii="Palatino Linotype" w:hAnsi="Palatino Linotype" w:cs="Arial"/>
          <w:sz w:val="24"/>
          <w:szCs w:val="24"/>
        </w:rPr>
      </w:pPr>
    </w:p>
    <w:p w:rsidR="000164C1" w:rsidRPr="001403A3" w:rsidRDefault="000164C1"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Ahora bien, el </w:t>
      </w:r>
      <w:r w:rsidRPr="001403A3">
        <w:rPr>
          <w:rFonts w:ascii="Palatino Linotype" w:hAnsi="Palatino Linotype" w:cs="Arial"/>
          <w:b/>
          <w:sz w:val="24"/>
          <w:szCs w:val="24"/>
        </w:rPr>
        <w:t>sujeto obligado</w:t>
      </w:r>
      <w:r w:rsidR="0051101F">
        <w:rPr>
          <w:rFonts w:ascii="Palatino Linotype" w:hAnsi="Palatino Linotype" w:cs="Arial"/>
          <w:sz w:val="24"/>
          <w:szCs w:val="24"/>
        </w:rPr>
        <w:t xml:space="preserve"> emitió su respuesta mediante los</w:t>
      </w:r>
      <w:r w:rsidRPr="001403A3">
        <w:rPr>
          <w:rFonts w:ascii="Palatino Linotype" w:hAnsi="Palatino Linotype" w:cs="Arial"/>
          <w:sz w:val="24"/>
          <w:szCs w:val="24"/>
        </w:rPr>
        <w:t xml:space="preserve"> archivo</w:t>
      </w:r>
      <w:r w:rsidR="0051101F">
        <w:rPr>
          <w:rFonts w:ascii="Palatino Linotype" w:hAnsi="Palatino Linotype" w:cs="Arial"/>
          <w:sz w:val="24"/>
          <w:szCs w:val="24"/>
        </w:rPr>
        <w:t>s</w:t>
      </w:r>
      <w:r w:rsidRPr="001403A3">
        <w:rPr>
          <w:rFonts w:ascii="Palatino Linotype" w:hAnsi="Palatino Linotype" w:cs="Arial"/>
          <w:sz w:val="24"/>
          <w:szCs w:val="24"/>
        </w:rPr>
        <w:t xml:space="preserve"> electrónico</w:t>
      </w:r>
      <w:r w:rsidR="0051101F">
        <w:rPr>
          <w:rFonts w:ascii="Palatino Linotype" w:hAnsi="Palatino Linotype" w:cs="Arial"/>
          <w:sz w:val="24"/>
          <w:szCs w:val="24"/>
        </w:rPr>
        <w:t>s denominados</w:t>
      </w:r>
      <w:r w:rsidRPr="001403A3">
        <w:rPr>
          <w:rFonts w:ascii="Palatino Linotype" w:hAnsi="Palatino Linotype" w:cs="Arial"/>
          <w:sz w:val="24"/>
          <w:szCs w:val="24"/>
        </w:rPr>
        <w:t xml:space="preserve"> “</w:t>
      </w:r>
      <w:r w:rsidR="0051101F" w:rsidRPr="0051101F">
        <w:rPr>
          <w:rFonts w:ascii="Palatino Linotype" w:hAnsi="Palatino Linotype" w:cs="Arial"/>
          <w:b/>
          <w:sz w:val="24"/>
          <w:szCs w:val="24"/>
        </w:rPr>
        <w:t>SAIMEX 1581.pdf</w:t>
      </w:r>
      <w:r w:rsidRPr="001403A3">
        <w:rPr>
          <w:rFonts w:ascii="Palatino Linotype" w:hAnsi="Palatino Linotype" w:cs="Arial"/>
          <w:sz w:val="24"/>
          <w:szCs w:val="24"/>
        </w:rPr>
        <w:t>”</w:t>
      </w:r>
      <w:r w:rsidR="0051101F">
        <w:rPr>
          <w:rFonts w:ascii="Palatino Linotype" w:hAnsi="Palatino Linotype" w:cs="Arial"/>
          <w:sz w:val="24"/>
          <w:szCs w:val="24"/>
        </w:rPr>
        <w:t>y “</w:t>
      </w:r>
      <w:r w:rsidR="0051101F" w:rsidRPr="0051101F">
        <w:rPr>
          <w:rFonts w:ascii="Palatino Linotype" w:hAnsi="Palatino Linotype" w:cs="Arial"/>
          <w:b/>
          <w:sz w:val="24"/>
          <w:szCs w:val="24"/>
        </w:rPr>
        <w:t>UT_SOL 1581.pdf</w:t>
      </w:r>
      <w:r w:rsidR="0051101F">
        <w:rPr>
          <w:rFonts w:ascii="Palatino Linotype" w:hAnsi="Palatino Linotype" w:cs="Arial"/>
          <w:sz w:val="24"/>
          <w:szCs w:val="24"/>
        </w:rPr>
        <w:t>”</w:t>
      </w:r>
      <w:r w:rsidR="00334278" w:rsidRPr="001403A3">
        <w:rPr>
          <w:rFonts w:ascii="Palatino Linotype" w:hAnsi="Palatino Linotype" w:cs="Arial"/>
          <w:sz w:val="24"/>
          <w:szCs w:val="24"/>
        </w:rPr>
        <w:t xml:space="preserve">, de los que se desprende el </w:t>
      </w:r>
      <w:r w:rsidRPr="001403A3">
        <w:rPr>
          <w:rFonts w:ascii="Palatino Linotype" w:hAnsi="Palatino Linotype" w:cs="Arial"/>
          <w:sz w:val="24"/>
          <w:szCs w:val="24"/>
        </w:rPr>
        <w:t>siguiente</w:t>
      </w:r>
      <w:r w:rsidR="00334278" w:rsidRPr="001403A3">
        <w:rPr>
          <w:rFonts w:ascii="Palatino Linotype" w:hAnsi="Palatino Linotype" w:cs="Arial"/>
          <w:sz w:val="24"/>
          <w:szCs w:val="24"/>
        </w:rPr>
        <w:t xml:space="preserve"> contenido</w:t>
      </w:r>
      <w:r w:rsidRPr="001403A3">
        <w:rPr>
          <w:rFonts w:ascii="Palatino Linotype" w:hAnsi="Palatino Linotype" w:cs="Arial"/>
          <w:sz w:val="24"/>
          <w:szCs w:val="24"/>
        </w:rPr>
        <w:t>:</w:t>
      </w:r>
    </w:p>
    <w:p w:rsidR="000164C1" w:rsidRPr="001403A3" w:rsidRDefault="000164C1" w:rsidP="001403A3">
      <w:pPr>
        <w:tabs>
          <w:tab w:val="left" w:pos="709"/>
        </w:tabs>
        <w:spacing w:after="0" w:line="360" w:lineRule="auto"/>
        <w:jc w:val="both"/>
        <w:rPr>
          <w:rFonts w:ascii="Palatino Linotype" w:hAnsi="Palatino Linotype" w:cs="Arial"/>
          <w:sz w:val="24"/>
          <w:szCs w:val="24"/>
        </w:rPr>
      </w:pPr>
    </w:p>
    <w:p w:rsidR="00703448" w:rsidRPr="009E1A25" w:rsidRDefault="0051101F" w:rsidP="00703448">
      <w:pPr>
        <w:numPr>
          <w:ilvl w:val="0"/>
          <w:numId w:val="6"/>
        </w:numPr>
        <w:spacing w:after="240" w:line="360" w:lineRule="auto"/>
        <w:jc w:val="both"/>
        <w:rPr>
          <w:rFonts w:ascii="Palatino Linotype" w:hAnsi="Palatino Linotype"/>
          <w:b/>
          <w:sz w:val="24"/>
          <w:szCs w:val="24"/>
        </w:rPr>
      </w:pPr>
      <w:r w:rsidRPr="0051101F">
        <w:rPr>
          <w:rFonts w:ascii="Palatino Linotype" w:hAnsi="Palatino Linotype" w:cs="Arial"/>
          <w:b/>
        </w:rPr>
        <w:t>UT_SOL 1581.pdf</w:t>
      </w:r>
      <w:r w:rsidR="00334278" w:rsidRPr="001403A3">
        <w:rPr>
          <w:rFonts w:ascii="Palatino Linotype" w:hAnsi="Palatino Linotype" w:cs="Arial"/>
        </w:rPr>
        <w:t xml:space="preserve">: </w:t>
      </w:r>
      <w:r w:rsidR="00703448">
        <w:rPr>
          <w:rFonts w:ascii="Palatino Linotype" w:hAnsi="Palatino Linotype"/>
          <w:sz w:val="24"/>
          <w:szCs w:val="24"/>
        </w:rPr>
        <w:t>A</w:t>
      </w:r>
      <w:r w:rsidR="00703448" w:rsidRPr="009E1A25">
        <w:rPr>
          <w:rFonts w:ascii="Palatino Linotype" w:hAnsi="Palatino Linotype"/>
          <w:sz w:val="24"/>
          <w:szCs w:val="24"/>
        </w:rPr>
        <w:t>rchivo electrónico que c</w:t>
      </w:r>
      <w:r w:rsidR="00703448">
        <w:rPr>
          <w:rFonts w:ascii="Palatino Linotype" w:hAnsi="Palatino Linotype"/>
          <w:sz w:val="24"/>
          <w:szCs w:val="24"/>
        </w:rPr>
        <w:t>ontiene el oficio 205BL16001/3608</w:t>
      </w:r>
      <w:r w:rsidR="00703448" w:rsidRPr="009E1A25">
        <w:rPr>
          <w:rFonts w:ascii="Palatino Linotype" w:hAnsi="Palatino Linotype"/>
          <w:sz w:val="24"/>
          <w:szCs w:val="24"/>
        </w:rPr>
        <w:t xml:space="preserve">/2018, signado por la Lic. Gabriela Avilés Olivares, Titular de la Unidad de Transparencia, y remitido al solicitante de la Información, mediante el cual informa que en atención a la solicitud con número de folio </w:t>
      </w:r>
      <w:r w:rsidR="00703448" w:rsidRPr="00703448">
        <w:rPr>
          <w:rFonts w:ascii="Palatino Linotype" w:hAnsi="Palatino Linotype"/>
          <w:b/>
          <w:sz w:val="24"/>
          <w:szCs w:val="24"/>
        </w:rPr>
        <w:t>01581/UPVT/IP/2018</w:t>
      </w:r>
      <w:r w:rsidR="00703448" w:rsidRPr="009E1A25">
        <w:rPr>
          <w:rFonts w:ascii="Palatino Linotype" w:hAnsi="Palatino Linotype"/>
          <w:sz w:val="24"/>
          <w:szCs w:val="24"/>
        </w:rPr>
        <w:t>, adjunta copia digitalizada del oficio remitido por el Servidor Público Habilitado</w:t>
      </w:r>
      <w:r w:rsidR="00703448">
        <w:rPr>
          <w:rFonts w:ascii="Palatino Linotype" w:hAnsi="Palatino Linotype"/>
          <w:sz w:val="24"/>
          <w:szCs w:val="24"/>
        </w:rPr>
        <w:t xml:space="preserve"> de la Dirección de División de Ingeniería Mecatrónica,</w:t>
      </w:r>
      <w:r w:rsidR="00703448" w:rsidRPr="009E1A25">
        <w:rPr>
          <w:rFonts w:ascii="Palatino Linotype" w:hAnsi="Palatino Linotype"/>
          <w:sz w:val="24"/>
          <w:szCs w:val="24"/>
        </w:rPr>
        <w:t xml:space="preserve"> en el cual se detalla lo referente a la solicitud de información.</w:t>
      </w:r>
    </w:p>
    <w:p w:rsidR="00D05C4E" w:rsidRDefault="00EA1200" w:rsidP="00D05C4E">
      <w:pPr>
        <w:pStyle w:val="Prrafodelista"/>
        <w:numPr>
          <w:ilvl w:val="0"/>
          <w:numId w:val="3"/>
        </w:numPr>
        <w:tabs>
          <w:tab w:val="left" w:pos="709"/>
        </w:tabs>
        <w:spacing w:line="360" w:lineRule="auto"/>
        <w:jc w:val="both"/>
        <w:rPr>
          <w:rFonts w:ascii="Palatino Linotype" w:hAnsi="Palatino Linotype" w:cs="Arial"/>
        </w:rPr>
      </w:pPr>
      <w:r w:rsidRPr="00EA1200">
        <w:rPr>
          <w:rFonts w:ascii="Palatino Linotype" w:hAnsi="Palatino Linotype" w:cs="Arial"/>
          <w:b/>
        </w:rPr>
        <w:lastRenderedPageBreak/>
        <w:t>SAIMEX 1581.pdf</w:t>
      </w:r>
      <w:r w:rsidR="003632D9" w:rsidRPr="001403A3">
        <w:rPr>
          <w:rFonts w:ascii="Palatino Linotype" w:hAnsi="Palatino Linotype" w:cs="Arial"/>
        </w:rPr>
        <w:t xml:space="preserve">: consistente en el oficio </w:t>
      </w:r>
      <w:r>
        <w:rPr>
          <w:rFonts w:ascii="Palatino Linotype" w:hAnsi="Palatino Linotype" w:cs="Arial"/>
        </w:rPr>
        <w:t>205BL13000/1437/2018 de fecha siete de diciembre de dos mil dieciocho</w:t>
      </w:r>
      <w:r w:rsidR="003632D9" w:rsidRPr="001403A3">
        <w:rPr>
          <w:rFonts w:ascii="Palatino Linotype" w:hAnsi="Palatino Linotype" w:cs="Arial"/>
        </w:rPr>
        <w:t>, por el que</w:t>
      </w:r>
      <w:r>
        <w:rPr>
          <w:rFonts w:ascii="Palatino Linotype" w:hAnsi="Palatino Linotype" w:cs="Arial"/>
        </w:rPr>
        <w:t xml:space="preserve"> la</w:t>
      </w:r>
      <w:r w:rsidR="003632D9" w:rsidRPr="001403A3">
        <w:rPr>
          <w:rFonts w:ascii="Palatino Linotype" w:hAnsi="Palatino Linotype" w:cs="Arial"/>
        </w:rPr>
        <w:t xml:space="preserve"> </w:t>
      </w:r>
      <w:r>
        <w:rPr>
          <w:rFonts w:ascii="Palatino Linotype" w:hAnsi="Palatino Linotype" w:cs="Arial"/>
        </w:rPr>
        <w:t>Directora</w:t>
      </w:r>
      <w:r w:rsidRPr="00EA1200">
        <w:rPr>
          <w:rFonts w:ascii="Palatino Linotype" w:hAnsi="Palatino Linotype" w:cs="Arial"/>
        </w:rPr>
        <w:t xml:space="preserve"> de División de Ingeniería Mecatrónica</w:t>
      </w:r>
      <w:r w:rsidR="003632D9" w:rsidRPr="001403A3">
        <w:rPr>
          <w:rFonts w:ascii="Palatino Linotype" w:hAnsi="Palatino Linotype" w:cs="Arial"/>
        </w:rPr>
        <w:t>,</w:t>
      </w:r>
      <w:r w:rsidR="00A1542E">
        <w:rPr>
          <w:rFonts w:ascii="Palatino Linotype" w:hAnsi="Palatino Linotype" w:cs="Arial"/>
        </w:rPr>
        <w:t xml:space="preserve"> medularmente </w:t>
      </w:r>
      <w:r w:rsidR="0091660F">
        <w:rPr>
          <w:rFonts w:ascii="Palatino Linotype" w:hAnsi="Palatino Linotype" w:cs="Arial"/>
        </w:rPr>
        <w:t>informa a</w:t>
      </w:r>
      <w:r w:rsidR="003632D9" w:rsidRPr="001403A3">
        <w:rPr>
          <w:rFonts w:ascii="Palatino Linotype" w:hAnsi="Palatino Linotype" w:cs="Arial"/>
        </w:rPr>
        <w:t xml:space="preserve"> </w:t>
      </w:r>
      <w:r w:rsidRPr="00EA1200">
        <w:rPr>
          <w:rFonts w:ascii="Palatino Linotype" w:hAnsi="Palatino Linotype" w:cs="Arial"/>
        </w:rPr>
        <w:t>la Lic. Gabriela Avilés Olivares, Titular de la Unidad de Transparencia</w:t>
      </w:r>
      <w:r w:rsidR="003632D9" w:rsidRPr="001403A3">
        <w:rPr>
          <w:rFonts w:ascii="Palatino Linotype" w:hAnsi="Palatino Linotype" w:cs="Arial"/>
        </w:rPr>
        <w:t xml:space="preserve"> del </w:t>
      </w:r>
      <w:r w:rsidR="003632D9" w:rsidRPr="001403A3">
        <w:rPr>
          <w:rFonts w:ascii="Palatino Linotype" w:hAnsi="Palatino Linotype" w:cs="Arial"/>
          <w:b/>
        </w:rPr>
        <w:t>sujeto obligado</w:t>
      </w:r>
      <w:r w:rsidR="003632D9" w:rsidRPr="001403A3">
        <w:rPr>
          <w:rFonts w:ascii="Palatino Linotype" w:hAnsi="Palatino Linotype" w:cs="Arial"/>
        </w:rPr>
        <w:t xml:space="preserve">, </w:t>
      </w:r>
      <w:r w:rsidR="0091660F">
        <w:rPr>
          <w:rFonts w:ascii="Palatino Linotype" w:hAnsi="Palatino Linotype" w:cs="Arial"/>
        </w:rPr>
        <w:t xml:space="preserve">que como calidad de enlace ante el SAM de conformidad con el Manual de Operación del Sistema de Atención Mexiquense, durante el periodo de septiembre de 2016  al 20 de noviembre de </w:t>
      </w:r>
      <w:r w:rsidR="00D05C4E">
        <w:rPr>
          <w:rFonts w:ascii="Palatino Linotype" w:hAnsi="Palatino Linotype" w:cs="Arial"/>
        </w:rPr>
        <w:t>2018</w:t>
      </w:r>
      <w:r w:rsidR="0091660F">
        <w:rPr>
          <w:rFonts w:ascii="Palatino Linotype" w:hAnsi="Palatino Linotype" w:cs="Arial"/>
        </w:rPr>
        <w:t>, únicamente se cuenta con un registro de queja o denuncia. Asimismo, aclara que el sujeto obligado cuneta con un Órgano Interno de Control, el cual se encarga de dar atención a las quejas o denuncias que se reciban a través de SAM, al cual</w:t>
      </w:r>
      <w:r w:rsidR="00D05C4E">
        <w:rPr>
          <w:rFonts w:ascii="Palatino Linotype" w:hAnsi="Palatino Linotype" w:cs="Arial"/>
        </w:rPr>
        <w:t>, el particular,</w:t>
      </w:r>
      <w:r w:rsidR="0091660F">
        <w:rPr>
          <w:rFonts w:ascii="Palatino Linotype" w:hAnsi="Palatino Linotype" w:cs="Arial"/>
        </w:rPr>
        <w:t xml:space="preserve"> puede solicitar los motivos y resolución de cada queja  o denuncia a través de la Secretaría de la Contraloría del Gobierno del Estado de México, toda vez que esta es la Dependencia encargada de la vigilancia, fiscalización y control de los ingresos, gastos, recursos y obligaciones de la administración pública estatal </w:t>
      </w:r>
      <w:r w:rsidR="00D05C4E">
        <w:rPr>
          <w:rFonts w:ascii="Palatino Linotype" w:hAnsi="Palatino Linotype" w:cs="Arial"/>
        </w:rPr>
        <w:t xml:space="preserve"> y sector auxiliar, así como de las responsabilidades de los servidores públicos, citando el Artículo 38 bis de la Ley antes referida.</w:t>
      </w:r>
    </w:p>
    <w:p w:rsidR="00D05C4E" w:rsidRDefault="00D05C4E" w:rsidP="00D05C4E">
      <w:pPr>
        <w:pStyle w:val="Prrafodelista"/>
        <w:tabs>
          <w:tab w:val="left" w:pos="709"/>
        </w:tabs>
        <w:spacing w:line="360" w:lineRule="auto"/>
        <w:ind w:left="720"/>
        <w:jc w:val="both"/>
        <w:rPr>
          <w:rFonts w:ascii="Palatino Linotype" w:hAnsi="Palatino Linotype" w:cs="Arial"/>
        </w:rPr>
      </w:pPr>
    </w:p>
    <w:p w:rsidR="00D05C4E" w:rsidRPr="00D05C4E" w:rsidRDefault="00D05C4E" w:rsidP="00D05C4E">
      <w:pPr>
        <w:pStyle w:val="Prrafodelista"/>
        <w:tabs>
          <w:tab w:val="left" w:pos="709"/>
        </w:tabs>
        <w:spacing w:line="360" w:lineRule="auto"/>
        <w:ind w:left="720"/>
        <w:jc w:val="both"/>
        <w:rPr>
          <w:rFonts w:ascii="Palatino Linotype" w:hAnsi="Palatino Linotype" w:cs="Arial"/>
        </w:rPr>
      </w:pPr>
      <w:r w:rsidRPr="00D05C4E">
        <w:rPr>
          <w:rFonts w:ascii="Palatino Linotype" w:hAnsi="Palatino Linotype" w:cs="Arial"/>
        </w:rPr>
        <w:t xml:space="preserve">De </w:t>
      </w:r>
      <w:r>
        <w:rPr>
          <w:rFonts w:ascii="Palatino Linotype" w:hAnsi="Palatino Linotype" w:cs="Arial"/>
        </w:rPr>
        <w:t>igual forma, informa que no puede dar respuesta a la solicitud, siendo el Sujeto Obligado para conocer dicha solicitud la Secretaría de la Contraloría, remitiendo así los datos de dicha dependencia como lo son la dirección electrónica, dirección, datos de contacto y teléfono.</w:t>
      </w:r>
    </w:p>
    <w:p w:rsidR="000164C1" w:rsidRPr="001403A3" w:rsidRDefault="000164C1" w:rsidP="001403A3">
      <w:pPr>
        <w:tabs>
          <w:tab w:val="left" w:pos="709"/>
        </w:tabs>
        <w:spacing w:after="0" w:line="360" w:lineRule="auto"/>
        <w:jc w:val="both"/>
        <w:rPr>
          <w:rFonts w:ascii="Palatino Linotype" w:hAnsi="Palatino Linotype" w:cs="Arial"/>
          <w:sz w:val="24"/>
          <w:szCs w:val="24"/>
        </w:rPr>
      </w:pPr>
    </w:p>
    <w:p w:rsidR="00FA1E63" w:rsidRDefault="00FA1E63" w:rsidP="00997EF1">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Ante la respuesta</w:t>
      </w:r>
      <w:r w:rsidRPr="00FA1E63">
        <w:rPr>
          <w:rFonts w:ascii="Palatino Linotype" w:eastAsia="Calibri" w:hAnsi="Palatino Linotype" w:cs="Arial"/>
          <w:sz w:val="24"/>
          <w:szCs w:val="24"/>
        </w:rPr>
        <w:t xml:space="preserve"> del </w:t>
      </w:r>
      <w:r w:rsidRPr="00FA1E63">
        <w:rPr>
          <w:rFonts w:ascii="Palatino Linotype" w:eastAsia="Calibri" w:hAnsi="Palatino Linotype" w:cs="Arial"/>
          <w:b/>
          <w:sz w:val="24"/>
          <w:szCs w:val="24"/>
        </w:rPr>
        <w:t>Sujeto Obligado</w:t>
      </w:r>
      <w:r>
        <w:rPr>
          <w:rFonts w:ascii="Palatino Linotype" w:eastAsia="Calibri" w:hAnsi="Palatino Linotype" w:cs="Arial"/>
          <w:sz w:val="24"/>
          <w:szCs w:val="24"/>
        </w:rPr>
        <w:t>, el</w:t>
      </w:r>
      <w:r w:rsidRPr="00FA1E63">
        <w:rPr>
          <w:rFonts w:ascii="Palatino Linotype" w:eastAsia="Calibri" w:hAnsi="Palatino Linotype" w:cs="Arial"/>
          <w:sz w:val="24"/>
          <w:szCs w:val="24"/>
        </w:rPr>
        <w:t xml:space="preserve"> </w:t>
      </w:r>
      <w:r w:rsidRPr="00FA1E63">
        <w:rPr>
          <w:rFonts w:ascii="Palatino Linotype" w:eastAsia="Calibri" w:hAnsi="Palatino Linotype" w:cs="Arial"/>
          <w:b/>
          <w:sz w:val="24"/>
          <w:szCs w:val="24"/>
        </w:rPr>
        <w:t>Recurrente</w:t>
      </w:r>
      <w:r w:rsidR="00997EF1">
        <w:rPr>
          <w:rFonts w:ascii="Palatino Linotype" w:eastAsia="Calibri" w:hAnsi="Palatino Linotype" w:cs="Arial"/>
          <w:sz w:val="24"/>
          <w:szCs w:val="24"/>
        </w:rPr>
        <w:t xml:space="preserve"> interpuso el medio de impugnación</w:t>
      </w:r>
      <w:r w:rsidRPr="00FA1E63">
        <w:rPr>
          <w:rFonts w:ascii="Palatino Linotype" w:eastAsia="Calibri" w:hAnsi="Palatino Linotype" w:cs="Arial"/>
          <w:sz w:val="24"/>
          <w:szCs w:val="24"/>
        </w:rPr>
        <w:t xml:space="preserve"> materia de la presente resolución los cuales se tienen aquí por reproducidos como si a la letra se insertasen en obvio de repeticiones innecesarias.</w:t>
      </w:r>
    </w:p>
    <w:p w:rsidR="00997EF1" w:rsidRPr="00FA1E63" w:rsidRDefault="00997EF1" w:rsidP="00997EF1">
      <w:pPr>
        <w:spacing w:after="0" w:line="360" w:lineRule="auto"/>
        <w:jc w:val="both"/>
        <w:rPr>
          <w:rFonts w:ascii="Palatino Linotype" w:eastAsia="Calibri" w:hAnsi="Palatino Linotype" w:cs="Arial"/>
          <w:sz w:val="24"/>
          <w:szCs w:val="24"/>
        </w:rPr>
      </w:pPr>
    </w:p>
    <w:p w:rsidR="00FA1E63" w:rsidRDefault="00FA1E63" w:rsidP="00997EF1">
      <w:pPr>
        <w:spacing w:after="0" w:line="360" w:lineRule="auto"/>
        <w:jc w:val="both"/>
        <w:rPr>
          <w:rFonts w:ascii="Palatino Linotype" w:eastAsia="Calibri" w:hAnsi="Palatino Linotype" w:cs="Times New Roman"/>
          <w:bCs/>
          <w:color w:val="000000"/>
          <w:sz w:val="24"/>
          <w:szCs w:val="24"/>
        </w:rPr>
      </w:pPr>
      <w:r w:rsidRPr="00FA1E63">
        <w:rPr>
          <w:rFonts w:ascii="Palatino Linotype" w:eastAsia="Calibri" w:hAnsi="Palatino Linotype" w:cs="Arial"/>
          <w:sz w:val="24"/>
          <w:szCs w:val="24"/>
        </w:rPr>
        <w:t xml:space="preserve">Por su parte, el </w:t>
      </w:r>
      <w:r w:rsidRPr="00FA1E63">
        <w:rPr>
          <w:rFonts w:ascii="Palatino Linotype" w:eastAsia="Calibri" w:hAnsi="Palatino Linotype" w:cs="Arial"/>
          <w:b/>
          <w:sz w:val="24"/>
          <w:szCs w:val="24"/>
        </w:rPr>
        <w:t>Sujeto Obligado</w:t>
      </w:r>
      <w:r w:rsidR="00997EF1">
        <w:rPr>
          <w:rFonts w:ascii="Palatino Linotype" w:eastAsia="Calibri" w:hAnsi="Palatino Linotype" w:cs="Arial"/>
          <w:sz w:val="24"/>
          <w:szCs w:val="24"/>
        </w:rPr>
        <w:t xml:space="preserve"> rindió su Informe Justificado</w:t>
      </w:r>
      <w:r w:rsidRPr="00FA1E63">
        <w:rPr>
          <w:rFonts w:ascii="Palatino Linotype" w:eastAsia="Calibri" w:hAnsi="Palatino Linotype" w:cs="Arial"/>
          <w:sz w:val="24"/>
          <w:szCs w:val="24"/>
        </w:rPr>
        <w:t xml:space="preserve"> en fechas diez de enero de la presente anualidad</w:t>
      </w:r>
      <w:r w:rsidR="00426835">
        <w:rPr>
          <w:rFonts w:ascii="Palatino Linotype" w:eastAsia="Calibri" w:hAnsi="Palatino Linotype" w:cs="Times New Roman"/>
          <w:bCs/>
          <w:color w:val="000000"/>
          <w:sz w:val="24"/>
          <w:szCs w:val="24"/>
        </w:rPr>
        <w:t>,</w:t>
      </w:r>
      <w:r w:rsidR="00997EF1">
        <w:rPr>
          <w:rFonts w:ascii="Palatino Linotype" w:eastAsia="Calibri" w:hAnsi="Palatino Linotype" w:cs="Times New Roman"/>
          <w:bCs/>
          <w:color w:val="000000"/>
          <w:sz w:val="24"/>
          <w:szCs w:val="24"/>
        </w:rPr>
        <w:t xml:space="preserve"> en el cual</w:t>
      </w:r>
      <w:r w:rsidRPr="00FA1E63">
        <w:rPr>
          <w:rFonts w:ascii="Palatino Linotype" w:eastAsia="Calibri" w:hAnsi="Palatino Linotype" w:cs="Times New Roman"/>
          <w:bCs/>
          <w:color w:val="000000"/>
          <w:sz w:val="24"/>
          <w:szCs w:val="24"/>
        </w:rPr>
        <w:t xml:space="preserve"> medularmente ratificó su respuesta, como se puede apreciar en la </w:t>
      </w:r>
      <w:r w:rsidR="00997EF1" w:rsidRPr="00FA1E63">
        <w:rPr>
          <w:rFonts w:ascii="Palatino Linotype" w:eastAsia="Calibri" w:hAnsi="Palatino Linotype" w:cs="Times New Roman"/>
          <w:bCs/>
          <w:color w:val="000000"/>
          <w:sz w:val="24"/>
          <w:szCs w:val="24"/>
        </w:rPr>
        <w:t>imagen</w:t>
      </w:r>
      <w:r w:rsidR="00997EF1">
        <w:rPr>
          <w:rFonts w:ascii="Palatino Linotype" w:eastAsia="Calibri" w:hAnsi="Palatino Linotype" w:cs="Times New Roman"/>
          <w:bCs/>
          <w:color w:val="000000"/>
          <w:sz w:val="24"/>
          <w:szCs w:val="24"/>
        </w:rPr>
        <w:t xml:space="preserve"> que a continuación se inserta</w:t>
      </w:r>
      <w:r w:rsidRPr="00FA1E63">
        <w:rPr>
          <w:rFonts w:ascii="Palatino Linotype" w:eastAsia="Calibri" w:hAnsi="Palatino Linotype" w:cs="Times New Roman"/>
          <w:bCs/>
          <w:color w:val="000000"/>
          <w:sz w:val="24"/>
          <w:szCs w:val="24"/>
        </w:rPr>
        <w:t xml:space="preserve">: </w:t>
      </w:r>
    </w:p>
    <w:p w:rsidR="00997EF1" w:rsidRPr="00FA1E63" w:rsidRDefault="00997EF1" w:rsidP="000B66BE">
      <w:pPr>
        <w:spacing w:after="0" w:line="360" w:lineRule="auto"/>
        <w:jc w:val="center"/>
        <w:rPr>
          <w:rFonts w:ascii="Palatino Linotype" w:eastAsia="Calibri" w:hAnsi="Palatino Linotype" w:cs="Times New Roman"/>
          <w:bCs/>
          <w:color w:val="000000"/>
          <w:sz w:val="24"/>
          <w:szCs w:val="24"/>
        </w:rPr>
      </w:pPr>
      <w:r>
        <w:rPr>
          <w:rFonts w:ascii="Palatino Linotype" w:eastAsia="Calibri" w:hAnsi="Palatino Linotype" w:cs="Times New Roman"/>
          <w:bCs/>
          <w:noProof/>
          <w:color w:val="000000"/>
          <w:sz w:val="24"/>
          <w:szCs w:val="24"/>
          <w:lang w:eastAsia="es-MX"/>
        </w:rPr>
        <w:drawing>
          <wp:inline distT="0" distB="0" distL="0" distR="0">
            <wp:extent cx="5325533" cy="796012"/>
            <wp:effectExtent l="190500" t="190500" r="180340" b="1949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6905" cy="797712"/>
                    </a:xfrm>
                    <a:prstGeom prst="rect">
                      <a:avLst/>
                    </a:prstGeom>
                    <a:noFill/>
                    <a:ln>
                      <a:noFill/>
                    </a:ln>
                    <a:effectLst>
                      <a:outerShdw blurRad="190500" algn="ctr" rotWithShape="0">
                        <a:prstClr val="black">
                          <a:alpha val="70000"/>
                        </a:prstClr>
                      </a:outerShdw>
                    </a:effectLst>
                  </pic:spPr>
                </pic:pic>
              </a:graphicData>
            </a:graphic>
          </wp:inline>
        </w:drawing>
      </w:r>
    </w:p>
    <w:p w:rsidR="00FA1E63" w:rsidRDefault="00FA1E63" w:rsidP="00FE70F2">
      <w:pPr>
        <w:spacing w:after="0" w:line="360" w:lineRule="auto"/>
        <w:ind w:right="141"/>
        <w:jc w:val="both"/>
        <w:rPr>
          <w:rFonts w:ascii="Palatino Linotype" w:hAnsi="Palatino Linotype" w:cs="Arial"/>
          <w:sz w:val="24"/>
          <w:szCs w:val="24"/>
        </w:rPr>
      </w:pPr>
    </w:p>
    <w:p w:rsidR="00FE70F2" w:rsidRDefault="00C77A17" w:rsidP="00FE70F2">
      <w:pPr>
        <w:spacing w:after="0" w:line="360" w:lineRule="auto"/>
        <w:ind w:right="141"/>
        <w:jc w:val="both"/>
        <w:rPr>
          <w:rFonts w:ascii="Palatino Linotype" w:hAnsi="Palatino Linotype"/>
          <w:color w:val="000000"/>
          <w:sz w:val="24"/>
          <w:szCs w:val="24"/>
        </w:rPr>
      </w:pPr>
      <w:r w:rsidRPr="001403A3">
        <w:rPr>
          <w:rFonts w:ascii="Palatino Linotype" w:hAnsi="Palatino Linotype" w:cs="Arial"/>
          <w:sz w:val="24"/>
          <w:szCs w:val="24"/>
        </w:rPr>
        <w:t xml:space="preserve">Vista la respuesta emitida por el </w:t>
      </w:r>
      <w:r w:rsidRPr="001403A3">
        <w:rPr>
          <w:rFonts w:ascii="Palatino Linotype" w:hAnsi="Palatino Linotype" w:cs="Arial"/>
          <w:b/>
          <w:sz w:val="24"/>
          <w:szCs w:val="24"/>
        </w:rPr>
        <w:t>sujeto obligado</w:t>
      </w:r>
      <w:r w:rsidRPr="001403A3">
        <w:rPr>
          <w:rFonts w:ascii="Palatino Linotype" w:hAnsi="Palatino Linotype" w:cs="Arial"/>
          <w:sz w:val="24"/>
          <w:szCs w:val="24"/>
        </w:rPr>
        <w:t>, se advierte que sustancialmente declara su incompetencia para generar, poseer y administrar la información solicitada, t</w:t>
      </w:r>
      <w:r w:rsidR="00D05C4E">
        <w:rPr>
          <w:rFonts w:ascii="Palatino Linotype" w:hAnsi="Palatino Linotype" w:cs="Arial"/>
          <w:sz w:val="24"/>
          <w:szCs w:val="24"/>
        </w:rPr>
        <w:t>oda vez que la misma obra</w:t>
      </w:r>
      <w:r w:rsidRPr="001403A3">
        <w:rPr>
          <w:rFonts w:ascii="Palatino Linotype" w:hAnsi="Palatino Linotype" w:cs="Arial"/>
          <w:sz w:val="24"/>
          <w:szCs w:val="24"/>
        </w:rPr>
        <w:t xml:space="preserve"> en los archivos de un </w:t>
      </w:r>
      <w:r w:rsidRPr="001403A3">
        <w:rPr>
          <w:rFonts w:ascii="Palatino Linotype" w:hAnsi="Palatino Linotype" w:cs="Arial"/>
          <w:b/>
          <w:sz w:val="24"/>
          <w:szCs w:val="24"/>
        </w:rPr>
        <w:t xml:space="preserve">sujeto obligado </w:t>
      </w:r>
      <w:r w:rsidRPr="001403A3">
        <w:rPr>
          <w:rFonts w:ascii="Palatino Linotype" w:hAnsi="Palatino Linotype" w:cs="Arial"/>
          <w:sz w:val="24"/>
          <w:szCs w:val="24"/>
        </w:rPr>
        <w:t xml:space="preserve">diverso, </w:t>
      </w:r>
      <w:r w:rsidR="00A34854">
        <w:rPr>
          <w:rFonts w:ascii="Palatino Linotype" w:hAnsi="Palatino Linotype" w:cs="Arial"/>
          <w:sz w:val="24"/>
          <w:szCs w:val="24"/>
        </w:rPr>
        <w:t>e</w:t>
      </w:r>
      <w:r w:rsidR="000D37D4" w:rsidRPr="001403A3">
        <w:rPr>
          <w:rFonts w:ascii="Palatino Linotype" w:hAnsi="Palatino Linotype" w:cs="Arial"/>
          <w:sz w:val="24"/>
          <w:szCs w:val="24"/>
        </w:rPr>
        <w:t xml:space="preserve">s por ello que </w:t>
      </w:r>
      <w:r w:rsidRPr="001403A3">
        <w:rPr>
          <w:rFonts w:ascii="Palatino Linotype" w:hAnsi="Palatino Linotype" w:cs="Arial"/>
          <w:sz w:val="24"/>
          <w:szCs w:val="24"/>
        </w:rPr>
        <w:t xml:space="preserve">la </w:t>
      </w:r>
      <w:r w:rsidRPr="001403A3">
        <w:rPr>
          <w:rFonts w:ascii="Palatino Linotype" w:hAnsi="Palatino Linotype" w:cs="Arial"/>
          <w:i/>
          <w:sz w:val="24"/>
          <w:szCs w:val="24"/>
        </w:rPr>
        <w:t>litis</w:t>
      </w:r>
      <w:r w:rsidRPr="001403A3">
        <w:rPr>
          <w:rFonts w:ascii="Palatino Linotype" w:hAnsi="Palatino Linotype" w:cs="Arial"/>
          <w:sz w:val="24"/>
          <w:szCs w:val="24"/>
        </w:rPr>
        <w:t xml:space="preserve"> del presente recurso de revisión se circunscribe en determinar si dentro del marco normativo que rige el actuar del </w:t>
      </w:r>
      <w:r w:rsidRPr="00D05C4E">
        <w:rPr>
          <w:rFonts w:ascii="Palatino Linotype" w:hAnsi="Palatino Linotype" w:cs="Arial"/>
          <w:b/>
          <w:sz w:val="24"/>
          <w:szCs w:val="24"/>
        </w:rPr>
        <w:t>sujeto obligado</w:t>
      </w:r>
      <w:r w:rsidRPr="001403A3">
        <w:rPr>
          <w:rFonts w:ascii="Palatino Linotype" w:hAnsi="Palatino Linotype" w:cs="Arial"/>
          <w:sz w:val="24"/>
          <w:szCs w:val="24"/>
        </w:rPr>
        <w:t xml:space="preserve"> se encuentra función, facultad o atribución alguna que lo obligue a tener dentro de sus archivos la </w:t>
      </w:r>
      <w:r w:rsidR="00997EF1">
        <w:rPr>
          <w:rFonts w:ascii="Palatino Linotype" w:hAnsi="Palatino Linotype" w:cs="Arial"/>
          <w:sz w:val="24"/>
          <w:szCs w:val="24"/>
        </w:rPr>
        <w:t>información peticionada.</w:t>
      </w:r>
    </w:p>
    <w:p w:rsidR="008A1F43" w:rsidRPr="001403A3" w:rsidRDefault="008A1F43" w:rsidP="001403A3">
      <w:pPr>
        <w:tabs>
          <w:tab w:val="left" w:pos="709"/>
        </w:tabs>
        <w:spacing w:after="0" w:line="360" w:lineRule="auto"/>
        <w:jc w:val="both"/>
        <w:rPr>
          <w:rFonts w:ascii="Palatino Linotype" w:hAnsi="Palatino Linotype" w:cs="Arial"/>
          <w:sz w:val="24"/>
          <w:szCs w:val="24"/>
        </w:rPr>
      </w:pPr>
    </w:p>
    <w:p w:rsidR="006C6EB3" w:rsidRDefault="008A1F43"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En primer lugar, es necesario señal</w:t>
      </w:r>
      <w:r w:rsidR="002B49F5">
        <w:rPr>
          <w:rFonts w:ascii="Palatino Linotype" w:hAnsi="Palatino Linotype" w:cs="Arial"/>
          <w:sz w:val="24"/>
          <w:szCs w:val="24"/>
        </w:rPr>
        <w:t xml:space="preserve">ar </w:t>
      </w:r>
      <w:r w:rsidR="006C6EB3">
        <w:rPr>
          <w:rFonts w:ascii="Palatino Linotype" w:hAnsi="Palatino Linotype" w:cs="Arial"/>
          <w:sz w:val="24"/>
          <w:szCs w:val="24"/>
        </w:rPr>
        <w:t>lo establecido en el artículo 18 del Reglamento Interior de la Universidad Politécnica d</w:t>
      </w:r>
      <w:r w:rsidR="00B85BCB">
        <w:rPr>
          <w:rFonts w:ascii="Palatino Linotype" w:hAnsi="Palatino Linotype" w:cs="Arial"/>
          <w:sz w:val="24"/>
          <w:szCs w:val="24"/>
        </w:rPr>
        <w:t>el Valle d</w:t>
      </w:r>
      <w:r w:rsidR="006C6EB3" w:rsidRPr="006C6EB3">
        <w:rPr>
          <w:rFonts w:ascii="Palatino Linotype" w:hAnsi="Palatino Linotype" w:cs="Arial"/>
          <w:sz w:val="24"/>
          <w:szCs w:val="24"/>
        </w:rPr>
        <w:t>e Toluca</w:t>
      </w:r>
      <w:r w:rsidR="006C6EB3">
        <w:rPr>
          <w:rFonts w:ascii="Palatino Linotype" w:hAnsi="Palatino Linotype" w:cs="Arial"/>
          <w:sz w:val="24"/>
          <w:szCs w:val="24"/>
        </w:rPr>
        <w:t>, el cual establece lo siguiente:</w:t>
      </w:r>
    </w:p>
    <w:p w:rsidR="006C6EB3" w:rsidRDefault="006C6EB3" w:rsidP="001403A3">
      <w:pPr>
        <w:tabs>
          <w:tab w:val="left" w:pos="709"/>
        </w:tabs>
        <w:spacing w:after="0" w:line="360" w:lineRule="auto"/>
        <w:jc w:val="both"/>
        <w:rPr>
          <w:rFonts w:ascii="Palatino Linotype" w:hAnsi="Palatino Linotype" w:cs="Arial"/>
          <w:sz w:val="24"/>
          <w:szCs w:val="24"/>
        </w:rPr>
      </w:pPr>
    </w:p>
    <w:p w:rsidR="006C6EB3" w:rsidRPr="006C6EB3" w:rsidRDefault="006C6EB3" w:rsidP="006C6EB3">
      <w:pPr>
        <w:tabs>
          <w:tab w:val="left" w:pos="709"/>
        </w:tabs>
        <w:spacing w:after="0" w:line="240" w:lineRule="auto"/>
        <w:ind w:left="851" w:right="851"/>
        <w:jc w:val="center"/>
        <w:rPr>
          <w:rFonts w:ascii="Palatino Linotype" w:hAnsi="Palatino Linotype" w:cs="Arial"/>
          <w:b/>
          <w:i/>
        </w:rPr>
      </w:pPr>
      <w:r w:rsidRPr="006C6EB3">
        <w:rPr>
          <w:rFonts w:ascii="Palatino Linotype" w:hAnsi="Palatino Linotype" w:cs="Arial"/>
          <w:b/>
          <w:i/>
        </w:rPr>
        <w:lastRenderedPageBreak/>
        <w:t>CAPÍTULO V</w:t>
      </w:r>
    </w:p>
    <w:p w:rsidR="006C6EB3" w:rsidRPr="006C6EB3" w:rsidRDefault="006C6EB3" w:rsidP="006C6EB3">
      <w:pPr>
        <w:tabs>
          <w:tab w:val="left" w:pos="709"/>
        </w:tabs>
        <w:spacing w:after="0" w:line="240" w:lineRule="auto"/>
        <w:ind w:left="851" w:right="851"/>
        <w:jc w:val="center"/>
        <w:rPr>
          <w:rFonts w:ascii="Palatino Linotype" w:hAnsi="Palatino Linotype" w:cs="Arial"/>
          <w:b/>
          <w:i/>
        </w:rPr>
      </w:pPr>
      <w:r w:rsidRPr="006C6EB3">
        <w:rPr>
          <w:rFonts w:ascii="Palatino Linotype" w:hAnsi="Palatino Linotype" w:cs="Arial"/>
          <w:b/>
          <w:i/>
        </w:rPr>
        <w:t>DEL ÓRGANO INTERNO DE CONTROL</w:t>
      </w:r>
    </w:p>
    <w:p w:rsidR="00B85BCB" w:rsidRDefault="00B85BCB" w:rsidP="006C6EB3">
      <w:pPr>
        <w:tabs>
          <w:tab w:val="left" w:pos="709"/>
        </w:tabs>
        <w:spacing w:after="0" w:line="240" w:lineRule="auto"/>
        <w:ind w:left="851" w:right="851"/>
        <w:jc w:val="both"/>
        <w:rPr>
          <w:rFonts w:ascii="Palatino Linotype" w:hAnsi="Palatino Linotype" w:cs="Arial"/>
          <w:b/>
          <w:i/>
        </w:rPr>
      </w:pPr>
    </w:p>
    <w:p w:rsidR="006C6EB3" w:rsidRDefault="006C6EB3" w:rsidP="006C6EB3">
      <w:pPr>
        <w:tabs>
          <w:tab w:val="left" w:pos="709"/>
        </w:tabs>
        <w:spacing w:after="0" w:line="240" w:lineRule="auto"/>
        <w:ind w:left="851" w:right="851"/>
        <w:jc w:val="both"/>
        <w:rPr>
          <w:rFonts w:ascii="Palatino Linotype" w:hAnsi="Palatino Linotype" w:cs="Arial"/>
          <w:sz w:val="24"/>
          <w:szCs w:val="24"/>
        </w:rPr>
      </w:pPr>
      <w:r w:rsidRPr="006C6EB3">
        <w:rPr>
          <w:rFonts w:ascii="Palatino Linotype" w:hAnsi="Palatino Linotype" w:cs="Arial"/>
          <w:b/>
          <w:i/>
        </w:rPr>
        <w:t>Artículo 18.-</w:t>
      </w:r>
      <w:r w:rsidRPr="006C6EB3">
        <w:rPr>
          <w:rFonts w:ascii="Palatino Linotype" w:hAnsi="Palatino Linotype" w:cs="Arial"/>
          <w:i/>
        </w:rPr>
        <w:t xml:space="preserve"> </w:t>
      </w:r>
      <w:r w:rsidRPr="006C6EB3">
        <w:rPr>
          <w:rFonts w:ascii="Palatino Linotype" w:hAnsi="Palatino Linotype" w:cs="Arial"/>
          <w:b/>
          <w:i/>
        </w:rPr>
        <w:t>Al frente del Órgano Interno de Control, habrá una o un titular designada o designado en los términos del artículo 38 bis</w:t>
      </w:r>
      <w:r w:rsidRPr="006C6EB3">
        <w:rPr>
          <w:rFonts w:ascii="Palatino Linotype" w:hAnsi="Palatino Linotype" w:cs="Arial"/>
          <w:i/>
        </w:rPr>
        <w:t>, fracción XIV de la Ley Orgánica de la Administración Pública del Estado de México, quien en el ejercicio de sus atribuciones se auxiliará por los servidores públicos que se requieran para satisfacer las necesidades del servicio, así como de las unidades administrativas que corresponda, de conformidad con la estructura orgánica aprobada y presupuesto autorizado, quien tendrá las atribuciones que se establecen en el Reglamento Interior de la Secretaría de la Contraloría y demás disposiciones jurídicas aplicables.</w:t>
      </w:r>
    </w:p>
    <w:p w:rsidR="006C6EB3" w:rsidRDefault="006C6EB3" w:rsidP="001403A3">
      <w:pPr>
        <w:tabs>
          <w:tab w:val="left" w:pos="709"/>
        </w:tabs>
        <w:spacing w:after="0" w:line="360" w:lineRule="auto"/>
        <w:jc w:val="both"/>
        <w:rPr>
          <w:rFonts w:ascii="Palatino Linotype" w:hAnsi="Palatino Linotype" w:cs="Arial"/>
          <w:sz w:val="24"/>
          <w:szCs w:val="24"/>
        </w:rPr>
      </w:pPr>
    </w:p>
    <w:p w:rsidR="006C6EB3" w:rsidRDefault="006C6EB3" w:rsidP="006C6EB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precepto antes citado, podemos advertir que al frente del </w:t>
      </w:r>
      <w:r w:rsidRPr="006C6EB3">
        <w:rPr>
          <w:rFonts w:ascii="Palatino Linotype" w:hAnsi="Palatino Linotype" w:cs="Arial"/>
          <w:sz w:val="24"/>
          <w:szCs w:val="24"/>
        </w:rPr>
        <w:t>Órgano Interno de Control</w:t>
      </w:r>
      <w:r>
        <w:rPr>
          <w:rFonts w:ascii="Palatino Linotype" w:hAnsi="Palatino Linotype" w:cs="Arial"/>
          <w:sz w:val="24"/>
          <w:szCs w:val="24"/>
        </w:rPr>
        <w:t xml:space="preserve"> del </w:t>
      </w:r>
      <w:r w:rsidRPr="006C6EB3">
        <w:rPr>
          <w:rFonts w:ascii="Palatino Linotype" w:hAnsi="Palatino Linotype" w:cs="Arial"/>
          <w:b/>
          <w:sz w:val="24"/>
          <w:szCs w:val="24"/>
        </w:rPr>
        <w:t>Sujeto Obligado</w:t>
      </w:r>
      <w:r>
        <w:rPr>
          <w:rFonts w:ascii="Palatino Linotype" w:hAnsi="Palatino Linotype" w:cs="Arial"/>
          <w:sz w:val="24"/>
          <w:szCs w:val="24"/>
        </w:rPr>
        <w:t xml:space="preserve"> habrá una o un titular designada o designado </w:t>
      </w:r>
      <w:r w:rsidRPr="006C6EB3">
        <w:rPr>
          <w:rFonts w:ascii="Palatino Linotype" w:hAnsi="Palatino Linotype" w:cs="Arial"/>
          <w:sz w:val="24"/>
          <w:szCs w:val="24"/>
        </w:rPr>
        <w:t>en los términos del artículo 38 bis, fracci</w:t>
      </w:r>
      <w:r>
        <w:rPr>
          <w:rFonts w:ascii="Palatino Linotype" w:hAnsi="Palatino Linotype" w:cs="Arial"/>
          <w:sz w:val="24"/>
          <w:szCs w:val="24"/>
        </w:rPr>
        <w:t xml:space="preserve">ón XIV de la Ley Orgánica de la </w:t>
      </w:r>
      <w:r w:rsidRPr="006C6EB3">
        <w:rPr>
          <w:rFonts w:ascii="Palatino Linotype" w:hAnsi="Palatino Linotype" w:cs="Arial"/>
          <w:sz w:val="24"/>
          <w:szCs w:val="24"/>
        </w:rPr>
        <w:t>Administración Pública del Estado de México</w:t>
      </w:r>
      <w:r>
        <w:rPr>
          <w:rFonts w:ascii="Palatino Linotype" w:hAnsi="Palatino Linotype" w:cs="Arial"/>
          <w:sz w:val="24"/>
          <w:szCs w:val="24"/>
        </w:rPr>
        <w:t xml:space="preserve">, lo que nos permite traer a colación lo establecido en dicho ordenamiento, como se  </w:t>
      </w:r>
      <w:r w:rsidR="008E519B">
        <w:rPr>
          <w:rFonts w:ascii="Palatino Linotype" w:hAnsi="Palatino Linotype" w:cs="Arial"/>
          <w:sz w:val="24"/>
          <w:szCs w:val="24"/>
        </w:rPr>
        <w:t>observa a continuación:</w:t>
      </w:r>
    </w:p>
    <w:p w:rsidR="008A1F43" w:rsidRPr="001403A3" w:rsidRDefault="008A1F43" w:rsidP="001403A3">
      <w:pPr>
        <w:tabs>
          <w:tab w:val="left" w:pos="709"/>
        </w:tabs>
        <w:spacing w:after="0" w:line="360" w:lineRule="auto"/>
        <w:jc w:val="both"/>
        <w:rPr>
          <w:rFonts w:ascii="Palatino Linotype" w:hAnsi="Palatino Linotype" w:cs="Arial"/>
          <w:sz w:val="24"/>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Artículo 38 bis</w:t>
      </w:r>
      <w:r w:rsidRPr="002B49F5">
        <w:rPr>
          <w:rFonts w:ascii="Palatino Linotype" w:hAnsi="Palatino Linotype" w:cs="Arial"/>
          <w:i/>
          <w:szCs w:val="24"/>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A la propia Secretaría, le corresponde el despacho de los siguientes asuntos: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846F0B" w:rsidP="004B0A4B">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II. Fiscalizar e inspeccionar el ejercicio del gasto público estatal y su congruencia con el presupuesto de egresos.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III.</w:t>
      </w:r>
      <w:r w:rsidRPr="002B49F5">
        <w:rPr>
          <w:rFonts w:ascii="Palatino Linotype" w:hAnsi="Palatino Linotype" w:cs="Arial"/>
          <w:i/>
          <w:szCs w:val="24"/>
        </w:rPr>
        <w:t xml:space="preserve"> Formular y expedir las normas y criterios que regulen el funcionamiento de los instrumentos, sistemas y procedimientos de control de la administración pública estatal. </w:t>
      </w:r>
      <w:r w:rsidRPr="002B49F5">
        <w:rPr>
          <w:rFonts w:ascii="Palatino Linotype" w:hAnsi="Palatino Linotype" w:cs="Arial"/>
          <w:i/>
          <w:szCs w:val="24"/>
        </w:rPr>
        <w:lastRenderedPageBreak/>
        <w:t xml:space="preserve">La Secretaría discrecionalmente podrá requerir de las dependencias competentes, la instrumentación de normas complementarias para el ejercicio de sus facultades de control.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IV.</w:t>
      </w:r>
      <w:r w:rsidRPr="002B49F5">
        <w:rPr>
          <w:rFonts w:ascii="Palatino Linotype" w:hAnsi="Palatino Linotype" w:cs="Arial"/>
          <w:i/>
          <w:szCs w:val="24"/>
        </w:rPr>
        <w:t xml:space="preserve"> </w:t>
      </w:r>
      <w:r w:rsidRPr="008E519B">
        <w:rPr>
          <w:rFonts w:ascii="Palatino Linotype" w:hAnsi="Palatino Linotype" w:cs="Arial"/>
          <w:b/>
          <w:i/>
          <w:szCs w:val="24"/>
        </w:rPr>
        <w:t>Vigilar y supervisar el cumplimiento de las normas de control y fiscalización, así como asesorar y apoyar a los órganos de control interno de las dependencias</w:t>
      </w:r>
      <w:r w:rsidRPr="002B49F5">
        <w:rPr>
          <w:rFonts w:ascii="Palatino Linotype" w:hAnsi="Palatino Linotype" w:cs="Arial"/>
          <w:i/>
          <w:szCs w:val="24"/>
        </w:rPr>
        <w:t xml:space="preserve">, organismos auxiliares y fideicomisos de la administración pública estatal.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V. Establecer y </w:t>
      </w:r>
      <w:r w:rsidRPr="008E519B">
        <w:rPr>
          <w:rFonts w:ascii="Palatino Linotype" w:hAnsi="Palatino Linotype" w:cs="Arial"/>
          <w:i/>
          <w:szCs w:val="24"/>
        </w:rPr>
        <w:t>dictar las bases generales para la realización de auditorías</w:t>
      </w:r>
      <w:r w:rsidRPr="002B49F5">
        <w:rPr>
          <w:rFonts w:ascii="Palatino Linotype" w:hAnsi="Palatino Linotype" w:cs="Arial"/>
          <w:i/>
          <w:szCs w:val="24"/>
        </w:rPr>
        <w:t xml:space="preserve"> e inspecciones en las dependencias, organismos auxiliares y fideicomisos de carácter estatal así como realizar las que se requieran en substitución o apoyo de sus propios órganos de control.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VI. Comprobar el cumplimiento por parte de las dependencias, organismos auxiliares y fideicomisos de la administración pública estatal; de las obligaciones derivadas de las disposiciones en materia de planeación, presupuestación, ingresos, financiamiento, inversión, deuda, patrimonio y fondos y valores de la propiedad o al cuidado del gobierno estatal.</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 </w:t>
      </w:r>
      <w:r w:rsidRPr="00AB6D26">
        <w:rPr>
          <w:rFonts w:ascii="Palatino Linotype" w:hAnsi="Palatino Linotype" w:cs="Arial"/>
          <w:b/>
          <w:i/>
          <w:szCs w:val="24"/>
        </w:rPr>
        <w:t>VII.</w:t>
      </w:r>
      <w:r w:rsidRPr="002B49F5">
        <w:rPr>
          <w:rFonts w:ascii="Palatino Linotype" w:hAnsi="Palatino Linotype" w:cs="Arial"/>
          <w:i/>
          <w:szCs w:val="24"/>
        </w:rPr>
        <w:t xml:space="preserve"> Realizar por sí o a solicitud de parte, auditorías, revisiones y evaluaciones a las dependencias,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IX. Vigilar en los términos de los convenios respectivos que los recursos federales y estatales que ejerzan directamente los municipios, se apliquen conforme a lo estipulado en los mismos.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lastRenderedPageBreak/>
        <w:t xml:space="preserve">X. Fiscalizar los recursos federales derivados de los acuerdos o convenios respectivos, ejercidos por las dependencias y fideicomisos de la administración pública estatal.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XI. Vigilar,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XII. Opinar previamente a su expedición sobre las normas de contabilidad y de control en materia de programación, presupuestación, administración de recursos humanos, materiales y financieros, que elabore la Secretaría de Finanzas del Gobierno del Estado de México, así como sobre las normas en materia de contratación de deuda que formule esta última.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XIII. Designar y remover a los auditores externos de los organismos auxiliares y fideicomisos, normar y controlar su actividad y proponer al titular del Ejecutivo la designación y comisarios en los consejos o juntas de Gobierno y administración de los mismos.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XIV.</w:t>
      </w:r>
      <w:r w:rsidRPr="002B49F5">
        <w:rPr>
          <w:rFonts w:ascii="Palatino Linotype" w:hAnsi="Palatino Linotype" w:cs="Arial"/>
          <w:i/>
          <w:szCs w:val="24"/>
        </w:rPr>
        <w:t xml:space="preserve"> Designar y remover a los </w:t>
      </w:r>
      <w:r w:rsidRPr="00C74C21">
        <w:rPr>
          <w:rFonts w:ascii="Palatino Linotype" w:hAnsi="Palatino Linotype" w:cs="Arial"/>
          <w:b/>
          <w:i/>
          <w:szCs w:val="24"/>
        </w:rPr>
        <w:t>titulares de los órganos internos de control</w:t>
      </w:r>
      <w:r w:rsidRPr="002B49F5">
        <w:rPr>
          <w:rFonts w:ascii="Palatino Linotype" w:hAnsi="Palatino Linotype" w:cs="Arial"/>
          <w:i/>
          <w:szCs w:val="24"/>
        </w:rPr>
        <w:t xml:space="preserve"> de las dependencias, organismos auxiliares, fideicomisos de la administración pública estatal y de las unidades administrativas equivalentes de las empresas de participación estatal, sociedades o asociaciones asimiladas a éstas </w:t>
      </w:r>
      <w:r w:rsidRPr="008E519B">
        <w:rPr>
          <w:rFonts w:ascii="Palatino Linotype" w:hAnsi="Palatino Linotype" w:cs="Arial"/>
          <w:b/>
          <w:i/>
          <w:szCs w:val="24"/>
        </w:rPr>
        <w:t>quienes dependerán jerárquica y funcionalmente de la Secretaría de la Contraloría del Estado de México y a los titulares de las áreas de auditoría, quejas y responsabilidades de los citados órganos internos de control</w:t>
      </w:r>
      <w:r w:rsidRPr="002B49F5">
        <w:rPr>
          <w:rFonts w:ascii="Palatino Linotype" w:hAnsi="Palatino Linotype" w:cs="Arial"/>
          <w:i/>
          <w:szCs w:val="24"/>
        </w:rPr>
        <w:t xml:space="preserve">.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XV. Coordinarse con los integrantes de los Comités Coordinadores de los Sistemas Nacional, Estatal y Municipal Anticorrupción, para el establecimiento de los mecanismos necesarios, que permitan el mejor cumplimiento de sus respectivas responsabilidades.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XVI. Informar periódicamente al Titular del Ejecutivo del Estado y al Comité Coordinador del Sistema Estatal Anticorrupción, respecto del resultado de la evaluación de las dependencias, organismos auxiliares y fideicomisos de la administración pública estatal,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w:t>
      </w:r>
      <w:r w:rsidRPr="002B49F5">
        <w:rPr>
          <w:rFonts w:ascii="Palatino Linotype" w:hAnsi="Palatino Linotype" w:cs="Arial"/>
          <w:i/>
          <w:szCs w:val="24"/>
        </w:rPr>
        <w:lastRenderedPageBreak/>
        <w:t xml:space="preserve">federales en términos de los acuerdos o convenios respectivos o demás normatividad aplicable.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XVIII.</w:t>
      </w:r>
      <w:r w:rsidRPr="002B49F5">
        <w:rPr>
          <w:rFonts w:ascii="Palatino Linotype" w:hAnsi="Palatino Linotype" w:cs="Arial"/>
          <w:i/>
          <w:szCs w:val="24"/>
        </w:rPr>
        <w:t xml:space="preserve"> </w:t>
      </w:r>
      <w:r w:rsidRPr="00C74C21">
        <w:rPr>
          <w:rFonts w:ascii="Palatino Linotype" w:hAnsi="Palatino Linotype" w:cs="Arial"/>
          <w:b/>
          <w:i/>
          <w:szCs w:val="24"/>
        </w:rPr>
        <w:t>Atender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w:t>
      </w:r>
      <w:r w:rsidRPr="002B49F5">
        <w:rPr>
          <w:rFonts w:ascii="Palatino Linotype" w:hAnsi="Palatino Linotype" w:cs="Arial"/>
          <w:i/>
          <w:szCs w:val="24"/>
        </w:rPr>
        <w:t xml:space="preserve">.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AB6D26">
        <w:rPr>
          <w:rFonts w:ascii="Palatino Linotype" w:hAnsi="Palatino Linotype" w:cs="Arial"/>
          <w:b/>
          <w:i/>
          <w:szCs w:val="24"/>
        </w:rPr>
        <w:t>XIX</w:t>
      </w:r>
      <w:r w:rsidRPr="002B49F5">
        <w:rPr>
          <w:rFonts w:ascii="Palatino Linotype" w:hAnsi="Palatino Linotype" w:cs="Arial"/>
          <w:i/>
          <w:szCs w:val="24"/>
        </w:rPr>
        <w:t xml:space="preserve">.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 Vigilar el cumplimiento de las normas internas de la Secretaría, 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autoridades competentes respectivamente.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lastRenderedPageBreak/>
        <w:t xml:space="preserve">XXI. Intervenir para efectos de verificación en las actas de entrega-recepción de las unidades administrativas de las dependencias, organismos auxiliares y fideicomisos del Ejecutivo.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XXII.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XXIII. Brindar asesoría y apoyo técnico a los órganos internos de control del gasto público municipal, cuando así lo soliciten.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XXIV. Dirigir, coordinar y operar el Registro Estatal de Inspectores, conforme a las disposiciones correspondientes.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AB6D26"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 xml:space="preserve">XXVII. Establecer mecanismos para prevenir actos u omisiones constitutivos de responsabilidades administrativas, que fomenten el desarrollo de la cultura de la legalidad. </w:t>
      </w:r>
    </w:p>
    <w:p w:rsidR="00AB6D26" w:rsidRDefault="00AB6D26" w:rsidP="004B0A4B">
      <w:pPr>
        <w:tabs>
          <w:tab w:val="left" w:pos="709"/>
        </w:tabs>
        <w:spacing w:after="0" w:line="240" w:lineRule="auto"/>
        <w:ind w:left="567" w:right="567"/>
        <w:jc w:val="both"/>
        <w:rPr>
          <w:rFonts w:ascii="Palatino Linotype" w:hAnsi="Palatino Linotype" w:cs="Arial"/>
          <w:i/>
          <w:szCs w:val="24"/>
        </w:rPr>
      </w:pPr>
    </w:p>
    <w:p w:rsidR="00D62A84" w:rsidRPr="002B49F5" w:rsidRDefault="002B49F5" w:rsidP="004B0A4B">
      <w:pPr>
        <w:tabs>
          <w:tab w:val="left" w:pos="709"/>
        </w:tabs>
        <w:spacing w:after="0" w:line="240" w:lineRule="auto"/>
        <w:ind w:left="567" w:right="567"/>
        <w:jc w:val="both"/>
        <w:rPr>
          <w:rFonts w:ascii="Palatino Linotype" w:hAnsi="Palatino Linotype" w:cs="Arial"/>
          <w:i/>
          <w:szCs w:val="24"/>
        </w:rPr>
      </w:pPr>
      <w:r w:rsidRPr="002B49F5">
        <w:rPr>
          <w:rFonts w:ascii="Palatino Linotype" w:hAnsi="Palatino Linotype" w:cs="Arial"/>
          <w:i/>
          <w:szCs w:val="24"/>
        </w:rPr>
        <w:t>XXVIII. Las demás que le señalen otras disposiciones jurídicas aplicables.</w:t>
      </w:r>
    </w:p>
    <w:p w:rsidR="00DA34FA" w:rsidRPr="001403A3" w:rsidRDefault="00DA34FA" w:rsidP="001403A3">
      <w:pPr>
        <w:tabs>
          <w:tab w:val="left" w:pos="709"/>
        </w:tabs>
        <w:spacing w:after="0" w:line="360" w:lineRule="auto"/>
        <w:jc w:val="both"/>
        <w:rPr>
          <w:rFonts w:ascii="Palatino Linotype" w:hAnsi="Palatino Linotype" w:cs="Arial"/>
          <w:sz w:val="24"/>
          <w:szCs w:val="24"/>
        </w:rPr>
      </w:pPr>
    </w:p>
    <w:p w:rsidR="00F21944" w:rsidRDefault="00B85BCB" w:rsidP="001403A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Del</w:t>
      </w:r>
      <w:r w:rsidR="00F21944">
        <w:rPr>
          <w:rFonts w:ascii="Palatino Linotype" w:hAnsi="Palatino Linotype" w:cs="Arial"/>
          <w:sz w:val="24"/>
          <w:szCs w:val="24"/>
        </w:rPr>
        <w:t xml:space="preserve"> precepto</w:t>
      </w:r>
      <w:r>
        <w:rPr>
          <w:rFonts w:ascii="Palatino Linotype" w:hAnsi="Palatino Linotype" w:cs="Arial"/>
          <w:sz w:val="24"/>
          <w:szCs w:val="24"/>
        </w:rPr>
        <w:t xml:space="preserve"> antes referido</w:t>
      </w:r>
      <w:r w:rsidR="00F21944">
        <w:rPr>
          <w:rFonts w:ascii="Palatino Linotype" w:hAnsi="Palatino Linotype" w:cs="Arial"/>
          <w:sz w:val="24"/>
          <w:szCs w:val="24"/>
        </w:rPr>
        <w:t xml:space="preserve">, podemos advertir que </w:t>
      </w:r>
      <w:r w:rsidR="008E519B">
        <w:rPr>
          <w:rFonts w:ascii="Palatino Linotype" w:hAnsi="Palatino Linotype" w:cs="Arial"/>
          <w:sz w:val="24"/>
          <w:szCs w:val="24"/>
        </w:rPr>
        <w:t>l</w:t>
      </w:r>
      <w:r w:rsidR="00F21944">
        <w:rPr>
          <w:rFonts w:ascii="Palatino Linotype" w:hAnsi="Palatino Linotype" w:cs="Arial"/>
          <w:sz w:val="24"/>
          <w:szCs w:val="24"/>
        </w:rPr>
        <w:t xml:space="preserve">a Secretaría de la </w:t>
      </w:r>
      <w:r w:rsidR="008E519B">
        <w:rPr>
          <w:rFonts w:ascii="Palatino Linotype" w:hAnsi="Palatino Linotype" w:cs="Arial"/>
          <w:sz w:val="24"/>
          <w:szCs w:val="24"/>
        </w:rPr>
        <w:t xml:space="preserve">Contraloría del Estado de México </w:t>
      </w:r>
      <w:r w:rsidR="008E519B" w:rsidRPr="008E519B">
        <w:rPr>
          <w:rFonts w:ascii="Palatino Linotype" w:hAnsi="Palatino Linotype" w:cs="Arial"/>
          <w:sz w:val="24"/>
          <w:szCs w:val="24"/>
        </w:rPr>
        <w:t xml:space="preserve">es la dependencia encargada de la vigilancia, fiscalización y control de los ingresos, gastos, recursos y obligaciones de la administración pública estatal y su sector auxiliar, así como lo relativo a la presentación de la declaración patrimonial, </w:t>
      </w:r>
      <w:r w:rsidR="008E519B" w:rsidRPr="008E519B">
        <w:rPr>
          <w:rFonts w:ascii="Palatino Linotype" w:hAnsi="Palatino Linotype" w:cs="Arial"/>
          <w:sz w:val="24"/>
          <w:szCs w:val="24"/>
        </w:rPr>
        <w:lastRenderedPageBreak/>
        <w:t>de intereses y constancia de presentación de la declaración fiscal, así como de la responsabilidad de los servidores públicos</w:t>
      </w:r>
      <w:r w:rsidR="008E519B">
        <w:rPr>
          <w:rFonts w:ascii="Palatino Linotype" w:hAnsi="Palatino Linotype" w:cs="Arial"/>
          <w:sz w:val="24"/>
          <w:szCs w:val="24"/>
        </w:rPr>
        <w:t>, de igual forma se establece que a la propia Secretaría le corresponde el v</w:t>
      </w:r>
      <w:r w:rsidR="008E519B" w:rsidRPr="008E519B">
        <w:rPr>
          <w:rFonts w:ascii="Palatino Linotype" w:hAnsi="Palatino Linotype" w:cs="Arial"/>
          <w:sz w:val="24"/>
          <w:szCs w:val="24"/>
        </w:rPr>
        <w:t>igilar y supervisar el cumplimiento de las normas de control y fiscalización, así como asesorar y apoyar a los órganos de control interno de las dependencias</w:t>
      </w:r>
      <w:r w:rsidR="00C74C21">
        <w:rPr>
          <w:rFonts w:ascii="Palatino Linotype" w:hAnsi="Palatino Linotype" w:cs="Arial"/>
          <w:sz w:val="24"/>
          <w:szCs w:val="24"/>
        </w:rPr>
        <w:t xml:space="preserve"> y a</w:t>
      </w:r>
      <w:r w:rsidR="00C74C21" w:rsidRPr="00C74C21">
        <w:rPr>
          <w:rFonts w:ascii="Palatino Linotype" w:hAnsi="Palatino Linotype" w:cs="Arial"/>
          <w:sz w:val="24"/>
          <w:szCs w:val="24"/>
        </w:rPr>
        <w:t>tender y dar seguimiento a las denuncias y quejas que presenten los particulares</w:t>
      </w:r>
      <w:r w:rsidR="00C74C21">
        <w:rPr>
          <w:rFonts w:ascii="Palatino Linotype" w:hAnsi="Palatino Linotype" w:cs="Arial"/>
          <w:sz w:val="24"/>
          <w:szCs w:val="24"/>
        </w:rPr>
        <w:t>.</w:t>
      </w:r>
    </w:p>
    <w:p w:rsidR="00007098" w:rsidRDefault="00007098" w:rsidP="001403A3">
      <w:pPr>
        <w:tabs>
          <w:tab w:val="left" w:pos="709"/>
        </w:tabs>
        <w:spacing w:after="0" w:line="360" w:lineRule="auto"/>
        <w:jc w:val="both"/>
        <w:rPr>
          <w:rFonts w:ascii="Palatino Linotype" w:hAnsi="Palatino Linotype" w:cs="Arial"/>
          <w:sz w:val="24"/>
          <w:szCs w:val="24"/>
        </w:rPr>
      </w:pPr>
    </w:p>
    <w:p w:rsidR="00F21944" w:rsidRDefault="00007098" w:rsidP="001403A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Continuando con el análisis del precepto en cita advertimos que le corresponde a la Secretaría de la Contraloría d</w:t>
      </w:r>
      <w:r w:rsidRPr="00007098">
        <w:rPr>
          <w:rFonts w:ascii="Palatino Linotype" w:hAnsi="Palatino Linotype" w:cs="Arial"/>
          <w:sz w:val="24"/>
          <w:szCs w:val="24"/>
        </w:rPr>
        <w:t xml:space="preserve">esignar y remover a los titulares de los órganos internos de control de las dependencias, </w:t>
      </w:r>
      <w:r w:rsidRPr="00007098">
        <w:rPr>
          <w:rFonts w:ascii="Palatino Linotype" w:hAnsi="Palatino Linotype" w:cs="Arial"/>
          <w:b/>
          <w:sz w:val="24"/>
          <w:szCs w:val="24"/>
        </w:rPr>
        <w:t>organismos auxiliares</w:t>
      </w:r>
      <w:r w:rsidRPr="00007098">
        <w:rPr>
          <w:rFonts w:ascii="Palatino Linotype" w:hAnsi="Palatino Linotype" w:cs="Arial"/>
          <w:sz w:val="24"/>
          <w:szCs w:val="24"/>
        </w:rPr>
        <w:t>, fideicomisos de la administración pública estatal y de las unidades administrativas equivalentes de las empresas de participación estatal, sociedades o asociaciones asimiladas</w:t>
      </w:r>
      <w:r>
        <w:rPr>
          <w:rFonts w:ascii="Palatino Linotype" w:hAnsi="Palatino Linotype" w:cs="Arial"/>
          <w:sz w:val="24"/>
          <w:szCs w:val="24"/>
        </w:rPr>
        <w:t xml:space="preserve">, así, </w:t>
      </w:r>
      <w:r w:rsidRPr="00C74C21">
        <w:rPr>
          <w:rFonts w:ascii="Palatino Linotype" w:hAnsi="Palatino Linotype" w:cs="Arial"/>
          <w:b/>
          <w:sz w:val="24"/>
          <w:szCs w:val="24"/>
        </w:rPr>
        <w:t>dichos Órganos Internos de Control dependerán jerárquicamente y funcionalmente de la Secretaría de la C</w:t>
      </w:r>
      <w:r w:rsidR="00C74C21" w:rsidRPr="00C74C21">
        <w:rPr>
          <w:rFonts w:ascii="Palatino Linotype" w:hAnsi="Palatino Linotype" w:cs="Arial"/>
          <w:b/>
          <w:sz w:val="24"/>
          <w:szCs w:val="24"/>
        </w:rPr>
        <w:t>ontraloría</w:t>
      </w:r>
      <w:r w:rsidR="00C74C21">
        <w:rPr>
          <w:rFonts w:ascii="Palatino Linotype" w:hAnsi="Palatino Linotype" w:cs="Arial"/>
          <w:sz w:val="24"/>
          <w:szCs w:val="24"/>
        </w:rPr>
        <w:t xml:space="preserve"> del Estado de México, de igual forma</w:t>
      </w:r>
      <w:r w:rsidRPr="00007098">
        <w:rPr>
          <w:rFonts w:ascii="Palatino Linotype" w:hAnsi="Palatino Linotype" w:cs="Arial"/>
          <w:sz w:val="24"/>
          <w:szCs w:val="24"/>
        </w:rPr>
        <w:t xml:space="preserve"> los titulares de las áreas de audito</w:t>
      </w:r>
      <w:r w:rsidR="00161D4A">
        <w:rPr>
          <w:rFonts w:ascii="Palatino Linotype" w:hAnsi="Palatino Linotype" w:cs="Arial"/>
          <w:sz w:val="24"/>
          <w:szCs w:val="24"/>
        </w:rPr>
        <w:t>ría, quejas y responsabilidades.</w:t>
      </w:r>
    </w:p>
    <w:p w:rsidR="00161D4A" w:rsidRDefault="00161D4A" w:rsidP="001403A3">
      <w:pPr>
        <w:tabs>
          <w:tab w:val="left" w:pos="709"/>
        </w:tabs>
        <w:spacing w:after="0" w:line="360" w:lineRule="auto"/>
        <w:jc w:val="both"/>
        <w:rPr>
          <w:rFonts w:ascii="Palatino Linotype" w:hAnsi="Palatino Linotype" w:cs="Arial"/>
          <w:sz w:val="24"/>
          <w:szCs w:val="24"/>
        </w:rPr>
      </w:pPr>
    </w:p>
    <w:p w:rsidR="007A12D7" w:rsidRPr="00DB6BAA" w:rsidRDefault="00D62A84" w:rsidP="007A12D7">
      <w:pPr>
        <w:pStyle w:val="texto"/>
        <w:spacing w:after="0" w:line="360" w:lineRule="auto"/>
        <w:ind w:firstLine="0"/>
        <w:rPr>
          <w:rFonts w:ascii="Palatino Linotype" w:hAnsi="Palatino Linotype"/>
          <w:sz w:val="24"/>
          <w:szCs w:val="24"/>
        </w:rPr>
      </w:pPr>
      <w:r w:rsidRPr="00DB6BAA">
        <w:rPr>
          <w:rFonts w:ascii="Palatino Linotype" w:hAnsi="Palatino Linotype"/>
          <w:sz w:val="24"/>
          <w:szCs w:val="24"/>
        </w:rPr>
        <w:t xml:space="preserve">Así mismo, resulta de observancia lo estipulado en el artículo </w:t>
      </w:r>
      <w:r w:rsidR="007A12D7" w:rsidRPr="00DB6BAA">
        <w:rPr>
          <w:rFonts w:ascii="Palatino Linotype" w:hAnsi="Palatino Linotype"/>
          <w:sz w:val="24"/>
          <w:szCs w:val="24"/>
        </w:rPr>
        <w:t xml:space="preserve">2 fracción X y 35 del Reglamento Interior de </w:t>
      </w:r>
      <w:r w:rsidR="00DB6BAA">
        <w:rPr>
          <w:rFonts w:ascii="Palatino Linotype" w:hAnsi="Palatino Linotype"/>
          <w:sz w:val="24"/>
          <w:szCs w:val="24"/>
        </w:rPr>
        <w:t>la</w:t>
      </w:r>
      <w:r w:rsidR="007A12D7" w:rsidRPr="00DB6BAA">
        <w:rPr>
          <w:rFonts w:ascii="Palatino Linotype" w:hAnsi="Palatino Linotype"/>
          <w:sz w:val="24"/>
          <w:szCs w:val="24"/>
        </w:rPr>
        <w:t xml:space="preserve"> Secretaría</w:t>
      </w:r>
      <w:r w:rsidR="00DB6BAA">
        <w:rPr>
          <w:rFonts w:ascii="Palatino Linotype" w:hAnsi="Palatino Linotype"/>
          <w:sz w:val="24"/>
          <w:szCs w:val="24"/>
        </w:rPr>
        <w:t xml:space="preserve"> de la Contraloría,</w:t>
      </w:r>
      <w:r w:rsidR="007A12D7" w:rsidRPr="00DB6BAA">
        <w:rPr>
          <w:rFonts w:ascii="Palatino Linotype" w:hAnsi="Palatino Linotype"/>
          <w:sz w:val="24"/>
          <w:szCs w:val="24"/>
        </w:rPr>
        <w:t xml:space="preserve"> publicado en el Diario Oficial Gaceta de Gobie</w:t>
      </w:r>
      <w:r w:rsidR="00DB6BAA">
        <w:rPr>
          <w:rFonts w:ascii="Palatino Linotype" w:hAnsi="Palatino Linotype"/>
          <w:sz w:val="24"/>
          <w:szCs w:val="24"/>
        </w:rPr>
        <w:t>rno el 22 de noviembre de 2018,</w:t>
      </w:r>
      <w:r w:rsidR="007A12D7" w:rsidRPr="00DB6BAA">
        <w:rPr>
          <w:rFonts w:ascii="Palatino Linotype" w:hAnsi="Palatino Linotype"/>
          <w:sz w:val="24"/>
          <w:szCs w:val="24"/>
        </w:rPr>
        <w:t xml:space="preserve"> </w:t>
      </w:r>
      <w:r w:rsidR="00161D4A">
        <w:rPr>
          <w:rFonts w:ascii="Palatino Linotype" w:hAnsi="Palatino Linotype"/>
          <w:sz w:val="24"/>
          <w:szCs w:val="24"/>
        </w:rPr>
        <w:t>que a la letra señala lo siguiente</w:t>
      </w:r>
      <w:r w:rsidR="007A12D7" w:rsidRPr="00DB6BAA">
        <w:rPr>
          <w:rFonts w:ascii="Palatino Linotype" w:hAnsi="Palatino Linotype"/>
          <w:sz w:val="24"/>
          <w:szCs w:val="24"/>
        </w:rPr>
        <w:t>:</w:t>
      </w:r>
    </w:p>
    <w:p w:rsidR="007A12D7" w:rsidRPr="00DB6BAA" w:rsidRDefault="007A12D7" w:rsidP="007A12D7">
      <w:pPr>
        <w:pStyle w:val="texto"/>
        <w:spacing w:after="0" w:line="360" w:lineRule="auto"/>
        <w:ind w:firstLine="0"/>
        <w:rPr>
          <w:rFonts w:ascii="Palatino Linotype" w:hAnsi="Palatino Linotype"/>
          <w:sz w:val="24"/>
          <w:szCs w:val="24"/>
        </w:rPr>
      </w:pPr>
    </w:p>
    <w:p w:rsidR="00DB6BAA" w:rsidRDefault="00DB6BAA" w:rsidP="007A12D7">
      <w:pPr>
        <w:pStyle w:val="texto"/>
        <w:spacing w:after="0" w:line="240" w:lineRule="auto"/>
        <w:ind w:left="851" w:right="902" w:firstLine="0"/>
        <w:rPr>
          <w:rFonts w:ascii="Palatino Linotype" w:hAnsi="Palatino Linotype"/>
          <w:i/>
          <w:sz w:val="22"/>
          <w:szCs w:val="22"/>
          <w:lang w:val="es-MX"/>
        </w:rPr>
      </w:pPr>
      <w:r w:rsidRPr="00DB6BAA">
        <w:rPr>
          <w:rFonts w:ascii="Palatino Linotype" w:hAnsi="Palatino Linotype"/>
          <w:i/>
          <w:sz w:val="22"/>
          <w:szCs w:val="22"/>
          <w:lang w:val="es-MX"/>
        </w:rPr>
        <w:t>Artículo 2. Para los efectos de este Reglamento, además de las definiciones establecidas en la Ley de Responsabilidades Administrativas del Estado de México y Municipios y en la Ley del Sistema Anticorrupción del Estado de México y Municipios, se entiende por:</w:t>
      </w:r>
    </w:p>
    <w:p w:rsidR="00DB6BAA" w:rsidRDefault="00DB6BAA" w:rsidP="007A12D7">
      <w:pPr>
        <w:pStyle w:val="texto"/>
        <w:spacing w:after="0" w:line="240" w:lineRule="auto"/>
        <w:ind w:left="851" w:right="902" w:firstLine="0"/>
        <w:rPr>
          <w:rFonts w:ascii="Palatino Linotype" w:hAnsi="Palatino Linotype"/>
          <w:i/>
          <w:sz w:val="22"/>
          <w:szCs w:val="22"/>
          <w:lang w:val="es-MX"/>
        </w:rPr>
      </w:pPr>
    </w:p>
    <w:p w:rsidR="00DB6BAA" w:rsidRPr="00DB6BAA" w:rsidRDefault="00DB6BAA" w:rsidP="007A12D7">
      <w:pPr>
        <w:pStyle w:val="texto"/>
        <w:spacing w:after="0" w:line="240" w:lineRule="auto"/>
        <w:ind w:left="851" w:right="902" w:firstLine="0"/>
        <w:rPr>
          <w:rFonts w:ascii="Palatino Linotype" w:hAnsi="Palatino Linotype"/>
          <w:i/>
          <w:sz w:val="22"/>
          <w:szCs w:val="22"/>
        </w:rPr>
      </w:pPr>
      <w:r w:rsidRPr="00DB6BAA">
        <w:rPr>
          <w:rFonts w:ascii="Palatino Linotype" w:hAnsi="Palatino Linotype"/>
          <w:i/>
          <w:sz w:val="22"/>
          <w:szCs w:val="22"/>
          <w:lang w:val="es-MX"/>
        </w:rPr>
        <w:lastRenderedPageBreak/>
        <w:t xml:space="preserve">X. </w:t>
      </w:r>
      <w:r w:rsidRPr="00DB6BAA">
        <w:rPr>
          <w:rFonts w:ascii="Palatino Linotype" w:hAnsi="Palatino Linotype"/>
          <w:b/>
          <w:i/>
          <w:sz w:val="22"/>
          <w:szCs w:val="22"/>
          <w:lang w:val="es-MX"/>
        </w:rPr>
        <w:t>Órganos internos de control</w:t>
      </w:r>
      <w:r w:rsidRPr="00DB6BAA">
        <w:rPr>
          <w:rFonts w:ascii="Palatino Linotype" w:hAnsi="Palatino Linotype"/>
          <w:i/>
          <w:sz w:val="22"/>
          <w:szCs w:val="22"/>
          <w:lang w:val="es-MX"/>
        </w:rPr>
        <w:t xml:space="preserve">: </w:t>
      </w:r>
      <w:r w:rsidRPr="00DB6BAA">
        <w:rPr>
          <w:rFonts w:ascii="Palatino Linotype" w:hAnsi="Palatino Linotype"/>
          <w:b/>
          <w:i/>
          <w:sz w:val="22"/>
          <w:szCs w:val="22"/>
          <w:lang w:val="es-MX"/>
        </w:rPr>
        <w:t>A las unidades administrativas en las dependencias y organismos auxiliares</w:t>
      </w:r>
      <w:r w:rsidRPr="00DB6BAA">
        <w:rPr>
          <w:rFonts w:ascii="Palatino Linotype" w:hAnsi="Palatino Linotype"/>
          <w:i/>
          <w:sz w:val="22"/>
          <w:szCs w:val="22"/>
          <w:lang w:val="es-MX"/>
        </w:rPr>
        <w:t xml:space="preserve">, encargadas de promover, evaluar y fortalecer el buen funcionamiento del control interno, competentes para aplicar las leyes </w:t>
      </w:r>
      <w:r w:rsidRPr="00DB6BAA">
        <w:rPr>
          <w:rFonts w:ascii="Palatino Linotype" w:hAnsi="Palatino Linotype"/>
          <w:b/>
          <w:i/>
          <w:sz w:val="22"/>
          <w:szCs w:val="22"/>
          <w:lang w:val="es-MX"/>
        </w:rPr>
        <w:t>en materia de responsabilidades de los servidores públicos, y que dependen jerárquica y funcionalmente de la Secretaría de la Contraloría</w:t>
      </w:r>
      <w:r w:rsidRPr="00DB6BAA">
        <w:rPr>
          <w:rFonts w:ascii="Palatino Linotype" w:hAnsi="Palatino Linotype"/>
          <w:i/>
          <w:sz w:val="22"/>
          <w:szCs w:val="22"/>
          <w:lang w:val="es-MX"/>
        </w:rPr>
        <w:t>;</w:t>
      </w:r>
    </w:p>
    <w:p w:rsidR="00DB6BAA" w:rsidRPr="00DB6BAA" w:rsidRDefault="00DB6BAA" w:rsidP="007A12D7">
      <w:pPr>
        <w:pStyle w:val="texto"/>
        <w:spacing w:after="0" w:line="240" w:lineRule="auto"/>
        <w:ind w:left="851" w:right="902" w:firstLine="0"/>
        <w:rPr>
          <w:rFonts w:ascii="Palatino Linotype" w:hAnsi="Palatino Linotype"/>
          <w:i/>
          <w:sz w:val="22"/>
          <w:szCs w:val="22"/>
        </w:rPr>
      </w:pPr>
    </w:p>
    <w:p w:rsidR="007A12D7" w:rsidRPr="00DB6BAA" w:rsidRDefault="007A12D7" w:rsidP="007A12D7">
      <w:pPr>
        <w:pStyle w:val="texto"/>
        <w:spacing w:after="0" w:line="240" w:lineRule="auto"/>
        <w:ind w:left="851" w:right="902" w:firstLine="0"/>
        <w:rPr>
          <w:rFonts w:ascii="Palatino Linotype" w:hAnsi="Palatino Linotype"/>
          <w:i/>
          <w:sz w:val="22"/>
          <w:szCs w:val="22"/>
        </w:rPr>
      </w:pPr>
      <w:r w:rsidRPr="00DB6BAA">
        <w:rPr>
          <w:rFonts w:ascii="Palatino Linotype" w:hAnsi="Palatino Linotype"/>
          <w:i/>
          <w:sz w:val="22"/>
          <w:szCs w:val="22"/>
        </w:rPr>
        <w:t xml:space="preserve">“Artículo 35. </w:t>
      </w:r>
      <w:r w:rsidRPr="00DB6BAA">
        <w:rPr>
          <w:rFonts w:ascii="Palatino Linotype" w:hAnsi="Palatino Linotype"/>
          <w:b/>
          <w:i/>
          <w:sz w:val="22"/>
          <w:szCs w:val="22"/>
          <w:u w:val="single"/>
        </w:rPr>
        <w:t>Los Órganos Internos de Control</w:t>
      </w:r>
      <w:r w:rsidRPr="00DB6BAA">
        <w:rPr>
          <w:rFonts w:ascii="Palatino Linotype" w:hAnsi="Palatino Linotype"/>
          <w:i/>
          <w:sz w:val="22"/>
          <w:szCs w:val="22"/>
        </w:rPr>
        <w:t xml:space="preserve">, así como las Áreas de Auditoría, de Quejas y de Responsabilidades, o en su caso los servidores públicos que realicen las funciones que correspondan a dichas áreas, de las dependencias y organismos auxiliares, </w:t>
      </w:r>
      <w:r w:rsidRPr="00DB6BAA">
        <w:rPr>
          <w:rFonts w:ascii="Palatino Linotype" w:hAnsi="Palatino Linotype"/>
          <w:b/>
          <w:i/>
          <w:sz w:val="22"/>
          <w:szCs w:val="22"/>
          <w:u w:val="single"/>
        </w:rPr>
        <w:t>serán coordinados y dependerán jerárquica y funcionalmente de la Secretaría</w:t>
      </w:r>
      <w:r w:rsidRPr="00DB6BAA">
        <w:rPr>
          <w:rFonts w:ascii="Palatino Linotype" w:hAnsi="Palatino Linotype"/>
          <w:i/>
          <w:sz w:val="22"/>
          <w:szCs w:val="22"/>
        </w:rPr>
        <w:t xml:space="preserve">, quienes observarán las políticas, normas, lineamientos, procedimientos y demás disposiciones aplicables, </w:t>
      </w:r>
      <w:r w:rsidRPr="00DB6BAA">
        <w:rPr>
          <w:rFonts w:ascii="Palatino Linotype" w:hAnsi="Palatino Linotype"/>
          <w:b/>
          <w:i/>
          <w:sz w:val="22"/>
          <w:szCs w:val="22"/>
          <w:u w:val="single"/>
        </w:rPr>
        <w:t>así como los programas de trabajo de la Secretaría</w:t>
      </w:r>
      <w:r w:rsidRPr="00DB6BAA">
        <w:rPr>
          <w:rFonts w:ascii="Palatino Linotype" w:hAnsi="Palatino Linotype"/>
          <w:i/>
          <w:sz w:val="22"/>
          <w:szCs w:val="22"/>
        </w:rPr>
        <w:t>.”</w:t>
      </w:r>
    </w:p>
    <w:p w:rsidR="007A12D7" w:rsidRPr="00DB6BAA" w:rsidRDefault="007A12D7" w:rsidP="007A12D7">
      <w:pPr>
        <w:pStyle w:val="texto"/>
        <w:spacing w:after="0" w:line="360" w:lineRule="auto"/>
        <w:ind w:firstLine="0"/>
        <w:rPr>
          <w:rFonts w:ascii="Palatino Linotype" w:hAnsi="Palatino Linotype"/>
          <w:sz w:val="24"/>
          <w:szCs w:val="24"/>
        </w:rPr>
      </w:pPr>
    </w:p>
    <w:p w:rsidR="007A12D7" w:rsidRPr="00DB6BAA" w:rsidRDefault="00DB6BAA" w:rsidP="007A12D7">
      <w:pPr>
        <w:pStyle w:val="texto"/>
        <w:spacing w:after="0" w:line="360" w:lineRule="auto"/>
        <w:ind w:firstLine="0"/>
        <w:rPr>
          <w:rFonts w:ascii="Palatino Linotype" w:hAnsi="Palatino Linotype"/>
          <w:sz w:val="24"/>
          <w:szCs w:val="24"/>
        </w:rPr>
      </w:pPr>
      <w:r>
        <w:rPr>
          <w:rFonts w:ascii="Palatino Linotype" w:hAnsi="Palatino Linotype"/>
          <w:sz w:val="24"/>
          <w:szCs w:val="24"/>
        </w:rPr>
        <w:t xml:space="preserve">De lo anterior, se aprecia que </w:t>
      </w:r>
      <w:r w:rsidRPr="00DB6BAA">
        <w:rPr>
          <w:rFonts w:ascii="Palatino Linotype" w:hAnsi="Palatino Linotype"/>
          <w:sz w:val="24"/>
          <w:szCs w:val="24"/>
        </w:rPr>
        <w:t xml:space="preserve">los </w:t>
      </w:r>
      <w:r>
        <w:rPr>
          <w:rFonts w:ascii="Palatino Linotype" w:hAnsi="Palatino Linotype"/>
          <w:sz w:val="24"/>
          <w:szCs w:val="24"/>
        </w:rPr>
        <w:t>Órganos Internos de Control</w:t>
      </w:r>
      <w:r w:rsidRPr="00DB6BAA">
        <w:rPr>
          <w:rFonts w:ascii="Palatino Linotype" w:hAnsi="Palatino Linotype"/>
          <w:sz w:val="24"/>
          <w:szCs w:val="24"/>
        </w:rPr>
        <w:t xml:space="preserve"> son unidades administrativas que dependen funcional y jerárquicamente </w:t>
      </w:r>
      <w:r>
        <w:rPr>
          <w:rFonts w:ascii="Palatino Linotype" w:hAnsi="Palatino Linotype"/>
          <w:sz w:val="24"/>
          <w:szCs w:val="24"/>
        </w:rPr>
        <w:t>de la</w:t>
      </w:r>
      <w:r w:rsidRPr="00DB6BAA">
        <w:rPr>
          <w:rFonts w:ascii="Palatino Linotype" w:hAnsi="Palatino Linotype"/>
          <w:sz w:val="24"/>
          <w:szCs w:val="24"/>
        </w:rPr>
        <w:t xml:space="preserve"> Secretaría de la Contraloría estatal</w:t>
      </w:r>
      <w:r>
        <w:rPr>
          <w:rFonts w:ascii="Palatino Linotype" w:hAnsi="Palatino Linotype"/>
          <w:sz w:val="24"/>
          <w:szCs w:val="24"/>
        </w:rPr>
        <w:t>, por lo tanto</w:t>
      </w:r>
      <w:r w:rsidRPr="00DB6BAA">
        <w:rPr>
          <w:rFonts w:ascii="Palatino Linotype" w:hAnsi="Palatino Linotype"/>
          <w:sz w:val="24"/>
          <w:szCs w:val="24"/>
        </w:rPr>
        <w:t xml:space="preserve"> la información que tiene bajo su resguardo </w:t>
      </w:r>
      <w:r w:rsidR="00E36B36">
        <w:rPr>
          <w:rFonts w:ascii="Palatino Linotype" w:hAnsi="Palatino Linotype"/>
          <w:sz w:val="24"/>
          <w:szCs w:val="24"/>
        </w:rPr>
        <w:t xml:space="preserve">el Órgano Interno de Control </w:t>
      </w:r>
      <w:r w:rsidRPr="00DB6BAA">
        <w:rPr>
          <w:rFonts w:ascii="Palatino Linotype" w:hAnsi="Palatino Linotype"/>
          <w:sz w:val="24"/>
          <w:szCs w:val="24"/>
        </w:rPr>
        <w:t>de</w:t>
      </w:r>
      <w:r>
        <w:rPr>
          <w:rFonts w:ascii="Palatino Linotype" w:hAnsi="Palatino Linotype"/>
          <w:sz w:val="24"/>
          <w:szCs w:val="24"/>
        </w:rPr>
        <w:t>l</w:t>
      </w:r>
      <w:r w:rsidRPr="00DB6BAA">
        <w:rPr>
          <w:rFonts w:ascii="Palatino Linotype" w:hAnsi="Palatino Linotype"/>
          <w:sz w:val="24"/>
          <w:szCs w:val="24"/>
        </w:rPr>
        <w:t xml:space="preserve"> </w:t>
      </w:r>
      <w:r>
        <w:rPr>
          <w:rFonts w:ascii="Palatino Linotype" w:hAnsi="Palatino Linotype"/>
          <w:sz w:val="24"/>
          <w:szCs w:val="24"/>
        </w:rPr>
        <w:t>Sujeto Obligado</w:t>
      </w:r>
      <w:r w:rsidR="00E36B36">
        <w:rPr>
          <w:rFonts w:ascii="Palatino Linotype" w:hAnsi="Palatino Linotype"/>
          <w:sz w:val="24"/>
          <w:szCs w:val="24"/>
        </w:rPr>
        <w:t>,</w:t>
      </w:r>
      <w:r w:rsidRPr="00DB6BAA">
        <w:rPr>
          <w:rFonts w:ascii="Palatino Linotype" w:hAnsi="Palatino Linotype"/>
          <w:sz w:val="24"/>
          <w:szCs w:val="24"/>
        </w:rPr>
        <w:t xml:space="preserve"> es información que debe solicitarse a la Secretaría de la Contraloría del Gobierno del Estado de México</w:t>
      </w:r>
      <w:r>
        <w:rPr>
          <w:rFonts w:ascii="Palatino Linotype" w:hAnsi="Palatino Linotype"/>
          <w:sz w:val="24"/>
          <w:szCs w:val="24"/>
        </w:rPr>
        <w:t>,</w:t>
      </w:r>
      <w:r w:rsidRPr="00DB6BAA">
        <w:rPr>
          <w:rFonts w:ascii="Palatino Linotype" w:hAnsi="Palatino Linotype"/>
          <w:sz w:val="24"/>
          <w:szCs w:val="24"/>
        </w:rPr>
        <w:t xml:space="preserve"> </w:t>
      </w:r>
      <w:r>
        <w:rPr>
          <w:rFonts w:ascii="Palatino Linotype" w:hAnsi="Palatino Linotype"/>
          <w:sz w:val="24"/>
          <w:szCs w:val="24"/>
        </w:rPr>
        <w:t>asimismo estipula que</w:t>
      </w:r>
      <w:r w:rsidR="007A12D7" w:rsidRPr="00DB6BAA">
        <w:rPr>
          <w:rFonts w:ascii="Palatino Linotype" w:hAnsi="Palatino Linotype"/>
          <w:sz w:val="24"/>
          <w:szCs w:val="24"/>
        </w:rPr>
        <w:t xml:space="preserve"> la línea de mando de los Titulares de </w:t>
      </w:r>
      <w:r>
        <w:rPr>
          <w:rFonts w:ascii="Palatino Linotype" w:hAnsi="Palatino Linotype"/>
          <w:sz w:val="24"/>
          <w:szCs w:val="24"/>
        </w:rPr>
        <w:t>dichos Óranos</w:t>
      </w:r>
      <w:r w:rsidR="007A12D7" w:rsidRPr="00DB6BAA">
        <w:rPr>
          <w:rFonts w:ascii="Palatino Linotype" w:hAnsi="Palatino Linotype"/>
          <w:sz w:val="24"/>
          <w:szCs w:val="24"/>
        </w:rPr>
        <w:t xml:space="preserve"> deriva jurídicamente de la Secretaría de la Contraloría, es decir, el sujeto obligado que debe dar atención a las solicitudes de información relacionadas con </w:t>
      </w:r>
      <w:r>
        <w:rPr>
          <w:rFonts w:ascii="Palatino Linotype" w:hAnsi="Palatino Linotype"/>
          <w:sz w:val="24"/>
          <w:szCs w:val="24"/>
        </w:rPr>
        <w:t>los mismos</w:t>
      </w:r>
      <w:r w:rsidR="007A12D7" w:rsidRPr="00DB6BAA">
        <w:rPr>
          <w:rFonts w:ascii="Palatino Linotype" w:hAnsi="Palatino Linotype"/>
          <w:sz w:val="24"/>
          <w:szCs w:val="24"/>
        </w:rPr>
        <w:t>, es dicha Secretaría y no así la dependencia en la que están adscritos, ya que el propio artículo 36 del citado Reglamento prevé:</w:t>
      </w:r>
    </w:p>
    <w:p w:rsidR="007A12D7" w:rsidRPr="00DB6BAA" w:rsidRDefault="007A12D7" w:rsidP="007A12D7">
      <w:pPr>
        <w:pStyle w:val="texto"/>
        <w:spacing w:after="0" w:line="360" w:lineRule="auto"/>
        <w:ind w:firstLine="0"/>
        <w:rPr>
          <w:rFonts w:ascii="Palatino Linotype" w:hAnsi="Palatino Linotype"/>
          <w:sz w:val="24"/>
          <w:szCs w:val="24"/>
        </w:rPr>
      </w:pPr>
    </w:p>
    <w:p w:rsidR="007A12D7" w:rsidRPr="00DB6BAA" w:rsidRDefault="007A12D7" w:rsidP="007A12D7">
      <w:pPr>
        <w:pStyle w:val="texto"/>
        <w:spacing w:after="0" w:line="240" w:lineRule="auto"/>
        <w:ind w:left="851" w:right="902" w:firstLine="0"/>
        <w:rPr>
          <w:rFonts w:ascii="Palatino Linotype" w:hAnsi="Palatino Linotype"/>
          <w:i/>
          <w:sz w:val="24"/>
          <w:szCs w:val="24"/>
        </w:rPr>
      </w:pPr>
      <w:r w:rsidRPr="00DB6BAA">
        <w:rPr>
          <w:rFonts w:ascii="Palatino Linotype" w:hAnsi="Palatino Linotype"/>
          <w:i/>
          <w:sz w:val="24"/>
          <w:szCs w:val="24"/>
        </w:rPr>
        <w:t xml:space="preserve">“Artículo 36. Los órganos internos de control constituyen unidades administrativas dentro de la estructura orgánica dentro de la Dependencia y Organismo Auxiliar en que se encuentren </w:t>
      </w:r>
      <w:r w:rsidRPr="00DB6BAA">
        <w:rPr>
          <w:rFonts w:ascii="Palatino Linotype" w:hAnsi="Palatino Linotype"/>
          <w:b/>
          <w:i/>
          <w:sz w:val="24"/>
          <w:szCs w:val="24"/>
          <w:u w:val="single"/>
        </w:rPr>
        <w:t>adscritos</w:t>
      </w:r>
      <w:r w:rsidRPr="00DB6BAA">
        <w:rPr>
          <w:rFonts w:ascii="Palatino Linotype" w:hAnsi="Palatino Linotype"/>
          <w:i/>
          <w:sz w:val="24"/>
          <w:szCs w:val="24"/>
        </w:rPr>
        <w:t>.”</w:t>
      </w:r>
    </w:p>
    <w:p w:rsidR="007A12D7" w:rsidRPr="00DB6BAA" w:rsidRDefault="007A12D7" w:rsidP="007A12D7">
      <w:pPr>
        <w:pStyle w:val="texto"/>
        <w:spacing w:after="0" w:line="360" w:lineRule="auto"/>
        <w:ind w:firstLine="0"/>
        <w:rPr>
          <w:rFonts w:ascii="Palatino Linotype" w:hAnsi="Palatino Linotype"/>
          <w:sz w:val="24"/>
          <w:szCs w:val="24"/>
        </w:rPr>
      </w:pPr>
    </w:p>
    <w:p w:rsidR="007A12D7" w:rsidRPr="00DB6BAA" w:rsidRDefault="007A12D7" w:rsidP="007A12D7">
      <w:pPr>
        <w:pStyle w:val="texto"/>
        <w:spacing w:after="0" w:line="360" w:lineRule="auto"/>
        <w:ind w:firstLine="0"/>
        <w:rPr>
          <w:rFonts w:ascii="Palatino Linotype" w:hAnsi="Palatino Linotype"/>
          <w:sz w:val="24"/>
          <w:szCs w:val="24"/>
        </w:rPr>
      </w:pPr>
      <w:r w:rsidRPr="00DB6BAA">
        <w:rPr>
          <w:rFonts w:ascii="Palatino Linotype" w:hAnsi="Palatino Linotype"/>
          <w:sz w:val="24"/>
          <w:szCs w:val="24"/>
        </w:rPr>
        <w:lastRenderedPageBreak/>
        <w:t xml:space="preserve">Como podemos apreciar el </w:t>
      </w:r>
      <w:r w:rsidR="00DB6BAA">
        <w:rPr>
          <w:rFonts w:ascii="Palatino Linotype" w:hAnsi="Palatino Linotype"/>
          <w:sz w:val="24"/>
          <w:szCs w:val="24"/>
        </w:rPr>
        <w:t>Órgano Interno</w:t>
      </w:r>
      <w:r w:rsidR="00DB6BAA" w:rsidRPr="00DB6BAA">
        <w:rPr>
          <w:rFonts w:ascii="Palatino Linotype" w:hAnsi="Palatino Linotype"/>
          <w:sz w:val="24"/>
          <w:szCs w:val="24"/>
        </w:rPr>
        <w:t xml:space="preserve"> de Control</w:t>
      </w:r>
      <w:r w:rsidRPr="00DB6BAA">
        <w:rPr>
          <w:rFonts w:ascii="Palatino Linotype" w:hAnsi="Palatino Linotype"/>
          <w:sz w:val="24"/>
          <w:szCs w:val="24"/>
        </w:rPr>
        <w:t xml:space="preserve">, en relación a la dependencia de la que en este caso solicitan información (la Universidad Politécnica del Valle de Toluca), es una relación </w:t>
      </w:r>
      <w:r w:rsidRPr="00DB6BAA">
        <w:rPr>
          <w:rFonts w:ascii="Palatino Linotype" w:hAnsi="Palatino Linotype"/>
          <w:b/>
          <w:sz w:val="24"/>
          <w:szCs w:val="24"/>
          <w:u w:val="single"/>
        </w:rPr>
        <w:t>únicamente de adscripción</w:t>
      </w:r>
      <w:r w:rsidRPr="00DB6BAA">
        <w:rPr>
          <w:rFonts w:ascii="Palatino Linotype" w:hAnsi="Palatino Linotype"/>
          <w:sz w:val="24"/>
          <w:szCs w:val="24"/>
        </w:rPr>
        <w:t>, en cuyo caso no da más elem</w:t>
      </w:r>
      <w:r w:rsidR="00273CA2">
        <w:rPr>
          <w:rFonts w:ascii="Palatino Linotype" w:hAnsi="Palatino Linotype"/>
          <w:sz w:val="24"/>
          <w:szCs w:val="24"/>
        </w:rPr>
        <w:t xml:space="preserve">entos que hagan suponer que </w:t>
      </w:r>
      <w:r w:rsidR="00273CA2" w:rsidRPr="00273CA2">
        <w:rPr>
          <w:rFonts w:ascii="Palatino Linotype" w:hAnsi="Palatino Linotype"/>
          <w:b/>
          <w:sz w:val="24"/>
          <w:szCs w:val="24"/>
        </w:rPr>
        <w:t>el sujeto o</w:t>
      </w:r>
      <w:r w:rsidRPr="00273CA2">
        <w:rPr>
          <w:rFonts w:ascii="Palatino Linotype" w:hAnsi="Palatino Linotype"/>
          <w:b/>
          <w:sz w:val="24"/>
          <w:szCs w:val="24"/>
        </w:rPr>
        <w:t>bligado</w:t>
      </w:r>
      <w:r w:rsidRPr="00DB6BAA">
        <w:rPr>
          <w:rFonts w:ascii="Palatino Linotype" w:hAnsi="Palatino Linotype"/>
          <w:sz w:val="24"/>
          <w:szCs w:val="24"/>
        </w:rPr>
        <w:t xml:space="preserve"> pueda solicitar información a su </w:t>
      </w:r>
      <w:r w:rsidR="00100CF6" w:rsidRPr="00100CF6">
        <w:rPr>
          <w:rFonts w:ascii="Palatino Linotype" w:hAnsi="Palatino Linotype"/>
          <w:sz w:val="24"/>
          <w:szCs w:val="24"/>
        </w:rPr>
        <w:t>Órgano Interno de Control</w:t>
      </w:r>
      <w:r w:rsidRPr="00DB6BAA">
        <w:rPr>
          <w:rFonts w:ascii="Palatino Linotype" w:hAnsi="Palatino Linotype"/>
          <w:sz w:val="24"/>
          <w:szCs w:val="24"/>
        </w:rPr>
        <w:t xml:space="preserve"> para dar atención a la solicitud de información, pues en ese caso estaríamos en el supuesto de que el </w:t>
      </w:r>
      <w:r w:rsidR="00100CF6">
        <w:rPr>
          <w:rFonts w:ascii="Palatino Linotype" w:hAnsi="Palatino Linotype"/>
          <w:sz w:val="24"/>
          <w:szCs w:val="24"/>
        </w:rPr>
        <w:t>mismo</w:t>
      </w:r>
      <w:r w:rsidRPr="00DB6BAA">
        <w:rPr>
          <w:rFonts w:ascii="Palatino Linotype" w:hAnsi="Palatino Linotype"/>
          <w:sz w:val="24"/>
          <w:szCs w:val="24"/>
        </w:rPr>
        <w:t xml:space="preserve"> depende jerárquicamente </w:t>
      </w:r>
      <w:r w:rsidR="00100CF6">
        <w:rPr>
          <w:rFonts w:ascii="Palatino Linotype" w:hAnsi="Palatino Linotype"/>
          <w:sz w:val="24"/>
          <w:szCs w:val="24"/>
        </w:rPr>
        <w:t xml:space="preserve">del </w:t>
      </w:r>
      <w:r w:rsidR="00100CF6" w:rsidRPr="00100CF6">
        <w:rPr>
          <w:rFonts w:ascii="Palatino Linotype" w:hAnsi="Palatino Linotype"/>
          <w:b/>
          <w:sz w:val="24"/>
          <w:szCs w:val="24"/>
        </w:rPr>
        <w:t>sujeto obligado</w:t>
      </w:r>
      <w:r w:rsidRPr="00DB6BAA">
        <w:rPr>
          <w:rFonts w:ascii="Palatino Linotype" w:hAnsi="Palatino Linotype"/>
          <w:sz w:val="24"/>
          <w:szCs w:val="24"/>
        </w:rPr>
        <w:t>, lo cual no es lo que establece el reglamento aludido.</w:t>
      </w:r>
    </w:p>
    <w:p w:rsidR="007A12D7" w:rsidRPr="00DB6BAA" w:rsidRDefault="007A12D7" w:rsidP="007A12D7">
      <w:pPr>
        <w:spacing w:after="0" w:line="360" w:lineRule="auto"/>
        <w:rPr>
          <w:rFonts w:ascii="Palatino Linotype" w:hAnsi="Palatino Linotype" w:cs="Arial"/>
          <w:sz w:val="24"/>
          <w:szCs w:val="24"/>
          <w:lang w:val="es-ES_tradnl"/>
        </w:rPr>
      </w:pPr>
    </w:p>
    <w:p w:rsidR="007A12D7" w:rsidRPr="00DB6BAA" w:rsidRDefault="007A12D7" w:rsidP="007A12D7">
      <w:pPr>
        <w:spacing w:after="0" w:line="360" w:lineRule="auto"/>
        <w:jc w:val="both"/>
        <w:rPr>
          <w:rFonts w:ascii="Palatino Linotype" w:hAnsi="Palatino Linotype" w:cs="Arial"/>
          <w:sz w:val="24"/>
          <w:szCs w:val="24"/>
          <w:lang w:val="es-ES_tradnl"/>
        </w:rPr>
      </w:pPr>
      <w:r w:rsidRPr="00DB6BAA">
        <w:rPr>
          <w:rFonts w:ascii="Palatino Linotype" w:hAnsi="Palatino Linotype" w:cs="Arial"/>
          <w:sz w:val="24"/>
          <w:szCs w:val="24"/>
          <w:lang w:val="es-ES_tradnl"/>
        </w:rPr>
        <w:t xml:space="preserve">En otras palabras, </w:t>
      </w:r>
      <w:r w:rsidRPr="00100CF6">
        <w:rPr>
          <w:rFonts w:ascii="Palatino Linotype" w:hAnsi="Palatino Linotype" w:cs="Arial"/>
          <w:b/>
          <w:sz w:val="24"/>
          <w:szCs w:val="24"/>
          <w:lang w:val="es-ES_tradnl"/>
        </w:rPr>
        <w:t>el sujeto obligado</w:t>
      </w:r>
      <w:r w:rsidRPr="00DB6BAA">
        <w:rPr>
          <w:rFonts w:ascii="Palatino Linotype" w:hAnsi="Palatino Linotype" w:cs="Arial"/>
          <w:sz w:val="24"/>
          <w:szCs w:val="24"/>
          <w:lang w:val="es-ES_tradnl"/>
        </w:rPr>
        <w:t xml:space="preserve"> se encuentra impedido jurídicamente para realizar el procedimiento interno de recabar información y entregar al hoy recurrente lo que solicitó, pues no cuenta con la potestad o mandato jurídico, ni funcional ni operativo, para requerir o solicitar al </w:t>
      </w:r>
      <w:r w:rsidR="00100CF6" w:rsidRPr="00100CF6">
        <w:rPr>
          <w:rFonts w:ascii="Palatino Linotype" w:hAnsi="Palatino Linotype" w:cs="Arial"/>
          <w:sz w:val="24"/>
          <w:szCs w:val="24"/>
          <w:lang w:val="es-ES_tradnl"/>
        </w:rPr>
        <w:t>Órgano Interno de Control</w:t>
      </w:r>
      <w:r w:rsidRPr="00DB6BAA">
        <w:rPr>
          <w:rFonts w:ascii="Palatino Linotype" w:hAnsi="Palatino Linotype" w:cs="Arial"/>
          <w:sz w:val="24"/>
          <w:szCs w:val="24"/>
          <w:lang w:val="es-ES_tradnl"/>
        </w:rPr>
        <w:t xml:space="preserve"> determinada información; por el contrario como hemos visto quien tiene las atribuciones para requerir información, es la Secretaría de la Contraloría porque así lo prevé la norma jurídica antes vista.</w:t>
      </w:r>
    </w:p>
    <w:p w:rsidR="007A12D7" w:rsidRPr="00DB6BAA" w:rsidRDefault="007A12D7" w:rsidP="007A12D7">
      <w:pPr>
        <w:spacing w:after="0" w:line="360" w:lineRule="auto"/>
        <w:jc w:val="both"/>
        <w:rPr>
          <w:rFonts w:ascii="Palatino Linotype" w:hAnsi="Palatino Linotype" w:cs="Arial"/>
          <w:sz w:val="24"/>
          <w:szCs w:val="24"/>
          <w:lang w:val="es-ES_tradnl"/>
        </w:rPr>
      </w:pPr>
    </w:p>
    <w:p w:rsidR="007A12D7" w:rsidRPr="00DB6BAA" w:rsidRDefault="007A12D7" w:rsidP="007A12D7">
      <w:pPr>
        <w:spacing w:after="0" w:line="360" w:lineRule="auto"/>
        <w:jc w:val="both"/>
        <w:rPr>
          <w:rFonts w:ascii="Palatino Linotype" w:hAnsi="Palatino Linotype" w:cs="Arial"/>
          <w:sz w:val="24"/>
          <w:szCs w:val="24"/>
          <w:lang w:val="es-ES_tradnl"/>
        </w:rPr>
      </w:pPr>
      <w:r w:rsidRPr="00DB6BAA">
        <w:rPr>
          <w:rFonts w:ascii="Palatino Linotype" w:hAnsi="Palatino Linotype" w:cs="Arial"/>
          <w:sz w:val="24"/>
          <w:szCs w:val="24"/>
          <w:lang w:val="es-ES_tradnl"/>
        </w:rPr>
        <w:t>Por su parte el Reglamento Interior de la Universidad Politécnica del Valle de Toluca, publicado en el Diario Oficial Gaceta de Gobierno el 17 de diciembre de 2018, prevé en su artículo 20 lo siguiente:</w:t>
      </w:r>
    </w:p>
    <w:p w:rsidR="007A12D7" w:rsidRPr="00DB6BAA" w:rsidRDefault="007A12D7" w:rsidP="007A12D7">
      <w:pPr>
        <w:spacing w:after="0" w:line="360" w:lineRule="auto"/>
        <w:jc w:val="both"/>
        <w:rPr>
          <w:rFonts w:ascii="Palatino Linotype" w:hAnsi="Palatino Linotype" w:cs="Arial"/>
          <w:sz w:val="24"/>
          <w:szCs w:val="24"/>
          <w:lang w:val="es-ES_tradnl"/>
        </w:rPr>
      </w:pPr>
    </w:p>
    <w:p w:rsidR="007A12D7" w:rsidRPr="00DB6BAA" w:rsidRDefault="007A12D7" w:rsidP="007A12D7">
      <w:pPr>
        <w:pStyle w:val="texto"/>
        <w:spacing w:after="0" w:line="240" w:lineRule="auto"/>
        <w:ind w:left="851" w:right="902" w:firstLine="0"/>
        <w:rPr>
          <w:rFonts w:ascii="Palatino Linotype" w:hAnsi="Palatino Linotype"/>
          <w:i/>
          <w:sz w:val="24"/>
          <w:szCs w:val="24"/>
        </w:rPr>
      </w:pPr>
      <w:r w:rsidRPr="00DB6BAA">
        <w:rPr>
          <w:rFonts w:ascii="Palatino Linotype" w:hAnsi="Palatino Linotype"/>
          <w:i/>
          <w:sz w:val="24"/>
          <w:szCs w:val="24"/>
        </w:rPr>
        <w:t>“Artículo 20. […] Referente al Órgano Interno de Control, estará sujeto a lo señalado en el Reglamento Interior de la Secretaría de la Contraloría del Gobierno del Estado de México”</w:t>
      </w:r>
    </w:p>
    <w:p w:rsidR="007A12D7" w:rsidRPr="00DB6BAA" w:rsidRDefault="007A12D7" w:rsidP="007A12D7">
      <w:pPr>
        <w:spacing w:after="0" w:line="360" w:lineRule="auto"/>
        <w:jc w:val="both"/>
        <w:rPr>
          <w:rFonts w:ascii="Palatino Linotype" w:hAnsi="Palatino Linotype" w:cs="Arial"/>
          <w:sz w:val="24"/>
          <w:szCs w:val="24"/>
          <w:lang w:val="es-ES_tradnl"/>
        </w:rPr>
      </w:pPr>
    </w:p>
    <w:p w:rsidR="007A12D7" w:rsidRPr="00DB6BAA" w:rsidRDefault="007A12D7" w:rsidP="007A12D7">
      <w:pPr>
        <w:spacing w:after="0" w:line="360" w:lineRule="auto"/>
        <w:jc w:val="both"/>
        <w:rPr>
          <w:rFonts w:ascii="Palatino Linotype" w:hAnsi="Palatino Linotype" w:cs="Arial"/>
          <w:sz w:val="24"/>
          <w:szCs w:val="24"/>
          <w:lang w:val="es-ES_tradnl"/>
        </w:rPr>
      </w:pPr>
      <w:r w:rsidRPr="00DB6BAA">
        <w:rPr>
          <w:rFonts w:ascii="Palatino Linotype" w:hAnsi="Palatino Linotype" w:cs="Arial"/>
          <w:sz w:val="24"/>
          <w:szCs w:val="24"/>
          <w:lang w:val="es-ES_tradnl"/>
        </w:rPr>
        <w:lastRenderedPageBreak/>
        <w:t xml:space="preserve">Entonces, de ser el caso de ordenar la entrega al </w:t>
      </w:r>
      <w:r w:rsidRPr="00100CF6">
        <w:rPr>
          <w:rFonts w:ascii="Palatino Linotype" w:hAnsi="Palatino Linotype" w:cs="Arial"/>
          <w:b/>
          <w:sz w:val="24"/>
          <w:szCs w:val="24"/>
          <w:lang w:val="es-ES_tradnl"/>
        </w:rPr>
        <w:t>sujeto obligado</w:t>
      </w:r>
      <w:r w:rsidRPr="00DB6BAA">
        <w:rPr>
          <w:rFonts w:ascii="Palatino Linotype" w:hAnsi="Palatino Linotype" w:cs="Arial"/>
          <w:sz w:val="24"/>
          <w:szCs w:val="24"/>
          <w:lang w:val="es-ES_tradnl"/>
        </w:rPr>
        <w:t xml:space="preserve"> de </w:t>
      </w:r>
      <w:r w:rsidR="00100CF6">
        <w:rPr>
          <w:rFonts w:ascii="Palatino Linotype" w:hAnsi="Palatino Linotype" w:cs="Arial"/>
          <w:sz w:val="24"/>
          <w:szCs w:val="24"/>
          <w:lang w:val="es-ES_tradnl"/>
        </w:rPr>
        <w:t>la</w:t>
      </w:r>
      <w:r w:rsidRPr="00DB6BAA">
        <w:rPr>
          <w:rFonts w:ascii="Palatino Linotype" w:hAnsi="Palatino Linotype" w:cs="Arial"/>
          <w:sz w:val="24"/>
          <w:szCs w:val="24"/>
          <w:lang w:val="es-ES_tradnl"/>
        </w:rPr>
        <w:t xml:space="preserve"> </w:t>
      </w:r>
      <w:r w:rsidR="00273CA2">
        <w:rPr>
          <w:rFonts w:ascii="Palatino Linotype" w:hAnsi="Palatino Linotype" w:cs="Arial"/>
          <w:sz w:val="24"/>
          <w:szCs w:val="24"/>
          <w:lang w:val="es-ES_tradnl"/>
        </w:rPr>
        <w:t>r</w:t>
      </w:r>
      <w:r w:rsidR="00100CF6" w:rsidRPr="00100CF6">
        <w:rPr>
          <w:rFonts w:ascii="Palatino Linotype" w:hAnsi="Palatino Linotype" w:cs="Arial"/>
          <w:sz w:val="24"/>
          <w:szCs w:val="24"/>
          <w:lang w:val="es-ES_tradnl"/>
        </w:rPr>
        <w:t>elación de quejas recibidas por el Órgano Interno de Control</w:t>
      </w:r>
      <w:r w:rsidRPr="00DB6BAA">
        <w:rPr>
          <w:rFonts w:ascii="Palatino Linotype" w:hAnsi="Palatino Linotype" w:cs="Arial"/>
          <w:sz w:val="24"/>
          <w:szCs w:val="24"/>
          <w:lang w:val="es-ES_tradnl"/>
        </w:rPr>
        <w:t>, estaríamos en el supuesto de ordenar a un sujeto obligado hacer las funciones que por Reglamento Interno le corresponde a la Secretaría de la Contraloría, por depender de ésta el mando funcional y jerárquico.</w:t>
      </w:r>
    </w:p>
    <w:p w:rsidR="00021544" w:rsidRPr="001403A3" w:rsidRDefault="00021544" w:rsidP="001403A3">
      <w:pPr>
        <w:tabs>
          <w:tab w:val="left" w:pos="709"/>
        </w:tabs>
        <w:spacing w:after="0" w:line="360" w:lineRule="auto"/>
        <w:jc w:val="both"/>
        <w:rPr>
          <w:rFonts w:ascii="Palatino Linotype" w:hAnsi="Palatino Linotype" w:cs="Arial"/>
          <w:sz w:val="24"/>
          <w:szCs w:val="24"/>
        </w:rPr>
      </w:pPr>
    </w:p>
    <w:p w:rsidR="00BD4D4F" w:rsidRPr="001403A3" w:rsidRDefault="00021544" w:rsidP="001403A3">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t>E</w:t>
      </w:r>
      <w:r w:rsidR="00BD4D4F" w:rsidRPr="001403A3">
        <w:rPr>
          <w:rFonts w:ascii="Palatino Linotype" w:hAnsi="Palatino Linotype" w:cs="Arial"/>
          <w:sz w:val="24"/>
          <w:szCs w:val="24"/>
        </w:rPr>
        <w:t xml:space="preserve">n ese orden de ideas, es de observancia lo establecido en la Ley en la materia en el artículo 12, el cual establece </w:t>
      </w:r>
      <w:r w:rsidR="00BD4D4F" w:rsidRPr="001403A3">
        <w:rPr>
          <w:rFonts w:ascii="Palatino Linotype" w:hAnsi="Palatino Linotype"/>
          <w:sz w:val="24"/>
          <w:szCs w:val="24"/>
        </w:rPr>
        <w:t xml:space="preserve">que los </w:t>
      </w:r>
      <w:r w:rsidR="00BD4D4F" w:rsidRPr="001403A3">
        <w:rPr>
          <w:rFonts w:ascii="Palatino Linotype" w:hAnsi="Palatino Linotype"/>
          <w:b/>
          <w:sz w:val="24"/>
          <w:szCs w:val="24"/>
        </w:rPr>
        <w:t>sujetos obligados</w:t>
      </w:r>
      <w:r w:rsidR="00BD4D4F" w:rsidRPr="001403A3">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D4D4F" w:rsidRPr="001403A3" w:rsidRDefault="00BD4D4F" w:rsidP="001403A3">
      <w:pPr>
        <w:tabs>
          <w:tab w:val="left" w:pos="709"/>
        </w:tabs>
        <w:spacing w:after="0" w:line="360" w:lineRule="auto"/>
        <w:jc w:val="both"/>
        <w:rPr>
          <w:rFonts w:ascii="Palatino Linotype" w:hAnsi="Palatino Linotype"/>
          <w:sz w:val="24"/>
          <w:szCs w:val="24"/>
        </w:rPr>
      </w:pP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w:t>
      </w:r>
      <w:r w:rsidRPr="001403A3">
        <w:rPr>
          <w:rFonts w:ascii="Palatino Linotype" w:hAnsi="Palatino Linotype"/>
          <w:b/>
          <w:i/>
          <w:szCs w:val="24"/>
        </w:rPr>
        <w:t>Artículo 12.</w:t>
      </w:r>
      <w:r w:rsidRPr="001403A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 xml:space="preserve"> </w:t>
      </w: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1403A3">
        <w:rPr>
          <w:rFonts w:ascii="Palatino Linotype" w:hAnsi="Palatino Linotype"/>
          <w:i/>
          <w:szCs w:val="24"/>
        </w:rPr>
        <w:t>; no estarán obligados a generarla, resumirla, efectuar cálculos o practicar investigaciones.”</w:t>
      </w:r>
    </w:p>
    <w:p w:rsidR="00BD4D4F" w:rsidRPr="001403A3" w:rsidRDefault="00BD4D4F" w:rsidP="001403A3">
      <w:pPr>
        <w:tabs>
          <w:tab w:val="left" w:pos="709"/>
        </w:tabs>
        <w:spacing w:after="0" w:line="240" w:lineRule="auto"/>
        <w:ind w:left="567" w:right="567"/>
        <w:jc w:val="right"/>
        <w:rPr>
          <w:rFonts w:ascii="Palatino Linotype" w:hAnsi="Palatino Linotype"/>
          <w:i/>
          <w:szCs w:val="24"/>
        </w:rPr>
      </w:pPr>
      <w:r w:rsidRPr="001403A3">
        <w:rPr>
          <w:rFonts w:ascii="Palatino Linotype" w:hAnsi="Palatino Linotype"/>
          <w:i/>
          <w:sz w:val="24"/>
          <w:szCs w:val="24"/>
        </w:rPr>
        <w:t>(Énfasis añadido)</w:t>
      </w:r>
    </w:p>
    <w:p w:rsidR="00BD4D4F" w:rsidRPr="001403A3" w:rsidRDefault="00BD4D4F" w:rsidP="001403A3">
      <w:pPr>
        <w:tabs>
          <w:tab w:val="left" w:pos="7938"/>
        </w:tabs>
        <w:spacing w:after="0" w:line="360" w:lineRule="auto"/>
        <w:jc w:val="both"/>
        <w:rPr>
          <w:rFonts w:ascii="Palatino Linotype" w:hAnsi="Palatino Linotype" w:cs="Arial"/>
          <w:sz w:val="24"/>
          <w:szCs w:val="24"/>
        </w:rPr>
      </w:pPr>
    </w:p>
    <w:p w:rsidR="00BD4D4F" w:rsidRPr="001403A3" w:rsidRDefault="00BD4D4F" w:rsidP="001403A3">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 xml:space="preserve">deberán hacer entrega de la información que generen, administre, recopilen, manejen, procesen </w:t>
      </w:r>
      <w:r w:rsidRPr="001403A3">
        <w:rPr>
          <w:rFonts w:ascii="Palatino Linotype" w:hAnsi="Palatino Linotype" w:cs="Arial"/>
          <w:sz w:val="24"/>
          <w:szCs w:val="24"/>
        </w:rPr>
        <w:lastRenderedPageBreak/>
        <w:t>o archiven, en ejercicio de sus atribuciones, sin embargo el proporcionar la información no obliga al procesamiento de la misma, a su generación, a resumirla, ni a efectuar cálculos o practicar investigaciones, ni a presentarla conforme al interés del solicitante.</w:t>
      </w:r>
    </w:p>
    <w:p w:rsidR="00BD4D4F" w:rsidRPr="001403A3" w:rsidRDefault="00BD4D4F" w:rsidP="001403A3">
      <w:pPr>
        <w:tabs>
          <w:tab w:val="left" w:pos="7938"/>
        </w:tabs>
        <w:spacing w:after="0" w:line="360" w:lineRule="auto"/>
        <w:jc w:val="both"/>
        <w:rPr>
          <w:rFonts w:ascii="Palatino Linotype" w:hAnsi="Palatino Linotype" w:cs="Arial"/>
          <w:sz w:val="24"/>
          <w:szCs w:val="24"/>
        </w:rPr>
      </w:pPr>
    </w:p>
    <w:p w:rsidR="003747F6" w:rsidRPr="001403A3" w:rsidRDefault="00BD4D4F" w:rsidP="001403A3">
      <w:pPr>
        <w:tabs>
          <w:tab w:val="left" w:pos="7938"/>
        </w:tabs>
        <w:spacing w:after="0" w:line="360" w:lineRule="auto"/>
        <w:jc w:val="both"/>
        <w:rPr>
          <w:rFonts w:ascii="Palatino Linotype" w:hAnsi="Palatino Linotype"/>
          <w:sz w:val="24"/>
          <w:szCs w:val="24"/>
        </w:rPr>
      </w:pPr>
      <w:r w:rsidRPr="001403A3">
        <w:rPr>
          <w:rFonts w:ascii="Palatino Linotype" w:hAnsi="Palatino Linotype"/>
          <w:sz w:val="24"/>
          <w:szCs w:val="24"/>
        </w:rPr>
        <w:t xml:space="preserve">Ahora bien, el </w:t>
      </w:r>
      <w:r w:rsidRPr="001403A3">
        <w:rPr>
          <w:rFonts w:ascii="Palatino Linotype" w:hAnsi="Palatino Linotype"/>
          <w:b/>
          <w:sz w:val="24"/>
          <w:szCs w:val="24"/>
        </w:rPr>
        <w:t xml:space="preserve">sujeto obligado </w:t>
      </w:r>
      <w:r w:rsidRPr="001403A3">
        <w:rPr>
          <w:rFonts w:ascii="Palatino Linotype" w:hAnsi="Palatino Linotype"/>
          <w:sz w:val="24"/>
          <w:szCs w:val="24"/>
        </w:rPr>
        <w:t>al momento de rendir su informe justificado, ratifica</w:t>
      </w:r>
      <w:r w:rsidR="003747F6" w:rsidRPr="001403A3">
        <w:rPr>
          <w:rFonts w:ascii="Palatino Linotype" w:hAnsi="Palatino Linotype"/>
          <w:sz w:val="24"/>
          <w:szCs w:val="24"/>
        </w:rPr>
        <w:t xml:space="preserve"> </w:t>
      </w:r>
      <w:r w:rsidRPr="001403A3">
        <w:rPr>
          <w:rFonts w:ascii="Palatino Linotype" w:hAnsi="Palatino Linotype"/>
          <w:sz w:val="24"/>
          <w:szCs w:val="24"/>
        </w:rPr>
        <w:t xml:space="preserve">su respuesta primigenia, </w:t>
      </w:r>
      <w:r w:rsidR="00701386">
        <w:rPr>
          <w:rFonts w:ascii="Palatino Linotype" w:hAnsi="Palatino Linotype"/>
          <w:sz w:val="24"/>
          <w:szCs w:val="24"/>
        </w:rPr>
        <w:t xml:space="preserve">manifestando que </w:t>
      </w:r>
      <w:r w:rsidR="00701386" w:rsidRPr="00701386">
        <w:rPr>
          <w:rFonts w:ascii="Palatino Linotype" w:hAnsi="Palatino Linotype"/>
          <w:sz w:val="24"/>
          <w:szCs w:val="24"/>
        </w:rPr>
        <w:t>no puede dar respuesta a la solicitud, siendo el Sujeto Obligado para conocer dicha solicitud la Secretaría de la Contraloría</w:t>
      </w:r>
      <w:r w:rsidR="00D537E4" w:rsidRPr="001403A3">
        <w:rPr>
          <w:rFonts w:ascii="Palatino Linotype" w:hAnsi="Palatino Linotype"/>
          <w:sz w:val="24"/>
          <w:szCs w:val="24"/>
        </w:rPr>
        <w:t>; lo que</w:t>
      </w:r>
      <w:r w:rsidR="00701386">
        <w:rPr>
          <w:rFonts w:ascii="Palatino Linotype" w:hAnsi="Palatino Linotype"/>
          <w:sz w:val="24"/>
          <w:szCs w:val="24"/>
        </w:rPr>
        <w:t>,</w:t>
      </w:r>
      <w:r w:rsidR="00D537E4" w:rsidRPr="001403A3">
        <w:rPr>
          <w:rFonts w:ascii="Palatino Linotype" w:hAnsi="Palatino Linotype"/>
          <w:sz w:val="24"/>
          <w:szCs w:val="24"/>
        </w:rPr>
        <w:t xml:space="preserve"> como ha quedado establecido </w:t>
      </w:r>
      <w:r w:rsidR="001E43B8" w:rsidRPr="001403A3">
        <w:rPr>
          <w:rFonts w:ascii="Palatino Linotype" w:hAnsi="Palatino Linotype"/>
          <w:sz w:val="24"/>
          <w:szCs w:val="24"/>
        </w:rPr>
        <w:t xml:space="preserve">en párrafos previos, </w:t>
      </w:r>
      <w:r w:rsidR="00D537E4" w:rsidRPr="001403A3">
        <w:rPr>
          <w:rFonts w:ascii="Palatino Linotype" w:hAnsi="Palatino Linotype"/>
          <w:sz w:val="24"/>
          <w:szCs w:val="24"/>
        </w:rPr>
        <w:t xml:space="preserve">se acredita no tener </w:t>
      </w:r>
      <w:r w:rsidR="001E43B8" w:rsidRPr="001403A3">
        <w:rPr>
          <w:rFonts w:ascii="Palatino Linotype" w:hAnsi="Palatino Linotype"/>
          <w:sz w:val="24"/>
          <w:szCs w:val="24"/>
        </w:rPr>
        <w:t>la obligación de poseer la información.</w:t>
      </w:r>
    </w:p>
    <w:p w:rsidR="00627D3E" w:rsidRDefault="00BD4D4F" w:rsidP="001403A3">
      <w:pPr>
        <w:spacing w:after="0" w:line="360" w:lineRule="auto"/>
        <w:jc w:val="both"/>
        <w:rPr>
          <w:rFonts w:ascii="Palatino Linotype" w:hAnsi="Palatino Linotype" w:cs="Arial"/>
          <w:sz w:val="24"/>
        </w:rPr>
      </w:pPr>
      <w:r w:rsidRPr="00701386">
        <w:rPr>
          <w:rFonts w:ascii="Palatino Linotype" w:hAnsi="Palatino Linotype" w:cs="Arial"/>
          <w:color w:val="000000" w:themeColor="text1"/>
          <w:sz w:val="24"/>
          <w:szCs w:val="24"/>
        </w:rPr>
        <w:t>Por lo anteriormente</w:t>
      </w:r>
      <w:r w:rsidR="00273CA2">
        <w:rPr>
          <w:rFonts w:ascii="Palatino Linotype" w:hAnsi="Palatino Linotype" w:cs="Arial"/>
          <w:color w:val="000000" w:themeColor="text1"/>
          <w:sz w:val="24"/>
          <w:szCs w:val="24"/>
        </w:rPr>
        <w:t xml:space="preserve"> expuesto</w:t>
      </w:r>
      <w:r w:rsidRPr="001403A3">
        <w:rPr>
          <w:rFonts w:ascii="Palatino Linotype" w:hAnsi="Palatino Linotype" w:cs="Arial"/>
          <w:color w:val="000000" w:themeColor="text1"/>
          <w:sz w:val="24"/>
          <w:szCs w:val="24"/>
        </w:rPr>
        <w:t xml:space="preserve">, este órgano colegiado considera </w:t>
      </w:r>
      <w:r w:rsidR="00252865" w:rsidRPr="001403A3">
        <w:rPr>
          <w:rFonts w:ascii="Palatino Linotype" w:hAnsi="Palatino Linotype" w:cs="Arial"/>
          <w:color w:val="000000" w:themeColor="text1"/>
          <w:sz w:val="24"/>
          <w:szCs w:val="24"/>
        </w:rPr>
        <w:t xml:space="preserve">correcta la respuesta otorgada por </w:t>
      </w:r>
      <w:r w:rsidRPr="001403A3">
        <w:rPr>
          <w:rFonts w:ascii="Palatino Linotype" w:hAnsi="Palatino Linotype" w:cs="Arial"/>
          <w:color w:val="000000" w:themeColor="text1"/>
          <w:sz w:val="24"/>
          <w:szCs w:val="24"/>
        </w:rPr>
        <w:t xml:space="preserve">el </w:t>
      </w:r>
      <w:r w:rsidRPr="001403A3">
        <w:rPr>
          <w:rFonts w:ascii="Palatino Linotype" w:hAnsi="Palatino Linotype" w:cs="Arial"/>
          <w:b/>
          <w:color w:val="000000" w:themeColor="text1"/>
          <w:sz w:val="24"/>
          <w:szCs w:val="24"/>
        </w:rPr>
        <w:t>sujeto obligado</w:t>
      </w:r>
      <w:r w:rsidRPr="001403A3">
        <w:rPr>
          <w:rFonts w:ascii="Palatino Linotype" w:hAnsi="Palatino Linotype" w:cs="Arial"/>
          <w:color w:val="000000" w:themeColor="text1"/>
          <w:sz w:val="24"/>
          <w:szCs w:val="24"/>
        </w:rPr>
        <w:t xml:space="preserve"> </w:t>
      </w:r>
      <w:r w:rsidR="00252865" w:rsidRPr="001403A3">
        <w:rPr>
          <w:rFonts w:ascii="Palatino Linotype" w:hAnsi="Palatino Linotype" w:cs="Arial"/>
          <w:color w:val="000000" w:themeColor="text1"/>
          <w:sz w:val="24"/>
          <w:szCs w:val="24"/>
        </w:rPr>
        <w:t xml:space="preserve">hecha </w:t>
      </w:r>
      <w:r w:rsidRPr="001403A3">
        <w:rPr>
          <w:rFonts w:ascii="Palatino Linotype" w:hAnsi="Palatino Linotype" w:cs="Arial"/>
          <w:color w:val="000000" w:themeColor="text1"/>
          <w:sz w:val="24"/>
          <w:szCs w:val="24"/>
        </w:rPr>
        <w:t>al momento de dar contestación a la solicitud de información,</w:t>
      </w:r>
      <w:r w:rsidR="00252865" w:rsidRPr="001403A3">
        <w:rPr>
          <w:rFonts w:ascii="Palatino Linotype" w:hAnsi="Palatino Linotype" w:cs="Arial"/>
          <w:color w:val="000000" w:themeColor="text1"/>
          <w:sz w:val="24"/>
          <w:szCs w:val="24"/>
        </w:rPr>
        <w:t xml:space="preserve"> respecto de declarar su incompetencia y orientar al solicitante,</w:t>
      </w:r>
      <w:r w:rsidRPr="001403A3">
        <w:rPr>
          <w:rFonts w:ascii="Palatino Linotype" w:hAnsi="Palatino Linotype" w:cs="Arial"/>
          <w:color w:val="000000" w:themeColor="text1"/>
          <w:sz w:val="24"/>
          <w:szCs w:val="24"/>
        </w:rPr>
        <w:t xml:space="preserve"> </w:t>
      </w:r>
      <w:r w:rsidR="00252865" w:rsidRPr="001403A3">
        <w:rPr>
          <w:rFonts w:ascii="Palatino Linotype" w:hAnsi="Palatino Linotype" w:cs="Arial"/>
          <w:color w:val="000000" w:themeColor="text1"/>
          <w:sz w:val="24"/>
          <w:szCs w:val="24"/>
        </w:rPr>
        <w:t xml:space="preserve">sin embargo la misma no </w:t>
      </w:r>
      <w:r w:rsidRPr="001403A3">
        <w:rPr>
          <w:rFonts w:ascii="Palatino Linotype" w:hAnsi="Palatino Linotype" w:cs="Arial"/>
          <w:color w:val="000000" w:themeColor="text1"/>
          <w:sz w:val="24"/>
          <w:szCs w:val="24"/>
        </w:rPr>
        <w:t xml:space="preserve">se encuentra apegada a derecho, </w:t>
      </w:r>
      <w:r w:rsidR="00252865" w:rsidRPr="001403A3">
        <w:rPr>
          <w:rFonts w:ascii="Palatino Linotype" w:hAnsi="Palatino Linotype" w:cs="Arial"/>
          <w:color w:val="000000" w:themeColor="text1"/>
          <w:sz w:val="24"/>
          <w:szCs w:val="24"/>
        </w:rPr>
        <w:t xml:space="preserve">ya que </w:t>
      </w:r>
      <w:r w:rsidR="001403A3" w:rsidRPr="001403A3">
        <w:rPr>
          <w:rFonts w:ascii="Palatino Linotype" w:eastAsia="Calibri" w:hAnsi="Palatino Linotype" w:cs="Arial"/>
          <w:sz w:val="24"/>
        </w:rPr>
        <w:t>no encontró ajustada al contenido del diverso 167 de la Ley de Transparencia y Acceso a la Información Pública del Estado de México y Municipios, el cual establece que cuando las unidades de transparencia determinen la notoria incompetencia por parte de</w:t>
      </w:r>
      <w:r w:rsidR="00627D3E">
        <w:rPr>
          <w:rFonts w:ascii="Palatino Linotype" w:eastAsia="Calibri" w:hAnsi="Palatino Linotype" w:cs="Arial"/>
          <w:sz w:val="24"/>
        </w:rPr>
        <w:t xml:space="preserve"> </w:t>
      </w:r>
      <w:r w:rsidR="001403A3" w:rsidRPr="001403A3">
        <w:rPr>
          <w:rFonts w:ascii="Palatino Linotype" w:eastAsia="Calibri" w:hAnsi="Palatino Linotype" w:cs="Arial"/>
          <w:sz w:val="24"/>
        </w:rPr>
        <w:t xml:space="preserve">los sujetos obligados, dentro del ámbito de aplicación, para atender la solicitud de acceso a la </w:t>
      </w:r>
      <w:r w:rsidR="001403A3" w:rsidRPr="001403A3">
        <w:rPr>
          <w:rFonts w:ascii="Palatino Linotype" w:hAnsi="Palatino Linotype" w:cs="Arial"/>
          <w:sz w:val="24"/>
        </w:rPr>
        <w:t xml:space="preserve">información, </w:t>
      </w:r>
      <w:r w:rsidR="001403A3" w:rsidRPr="001403A3">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001403A3" w:rsidRPr="001403A3">
        <w:rPr>
          <w:rFonts w:ascii="Palatino Linotype" w:hAnsi="Palatino Linotype" w:cs="Arial"/>
          <w:sz w:val="24"/>
        </w:rPr>
        <w:t xml:space="preserve">. </w:t>
      </w:r>
    </w:p>
    <w:p w:rsidR="00627D3E" w:rsidRDefault="00627D3E" w:rsidP="001403A3">
      <w:pPr>
        <w:spacing w:after="0" w:line="360" w:lineRule="auto"/>
        <w:jc w:val="both"/>
        <w:rPr>
          <w:rFonts w:ascii="Palatino Linotype" w:hAnsi="Palatino Linotype" w:cs="Arial"/>
          <w:sz w:val="24"/>
        </w:rPr>
      </w:pPr>
    </w:p>
    <w:p w:rsidR="001403A3" w:rsidRDefault="001403A3" w:rsidP="001403A3">
      <w:pPr>
        <w:spacing w:after="0" w:line="360" w:lineRule="auto"/>
        <w:jc w:val="both"/>
        <w:rPr>
          <w:rFonts w:ascii="Palatino Linotype" w:eastAsia="Calibri" w:hAnsi="Palatino Linotype" w:cs="Arial"/>
          <w:sz w:val="24"/>
        </w:rPr>
      </w:pPr>
      <w:r w:rsidRPr="001403A3">
        <w:rPr>
          <w:rFonts w:ascii="Palatino Linotype" w:hAnsi="Palatino Linotype" w:cs="Arial"/>
          <w:sz w:val="24"/>
        </w:rPr>
        <w:t xml:space="preserve">Situación que se insiste no fue prevista por </w:t>
      </w:r>
      <w:r w:rsidR="00627D3E" w:rsidRPr="0009645F">
        <w:rPr>
          <w:rFonts w:ascii="Palatino Linotype" w:hAnsi="Palatino Linotype" w:cs="Arial"/>
          <w:sz w:val="24"/>
        </w:rPr>
        <w:t>el</w:t>
      </w:r>
      <w:r w:rsidR="00627D3E" w:rsidRPr="00627D3E">
        <w:rPr>
          <w:rFonts w:ascii="Palatino Linotype" w:hAnsi="Palatino Linotype" w:cs="Arial"/>
          <w:b/>
          <w:sz w:val="24"/>
        </w:rPr>
        <w:t xml:space="preserve"> sujeto obligado</w:t>
      </w:r>
      <w:r w:rsidRPr="001403A3">
        <w:rPr>
          <w:rFonts w:ascii="Palatino Linotype" w:hAnsi="Palatino Linotype" w:cs="Arial"/>
          <w:sz w:val="24"/>
        </w:rPr>
        <w:t xml:space="preserve"> ya que su respuesta fue proporcionada al </w:t>
      </w:r>
      <w:r w:rsidR="00AB05B8">
        <w:rPr>
          <w:rFonts w:ascii="Palatino Linotype" w:hAnsi="Palatino Linotype" w:cs="Arial"/>
          <w:sz w:val="24"/>
        </w:rPr>
        <w:t>décimo cuarto</w:t>
      </w:r>
      <w:r w:rsidR="00627D3E">
        <w:rPr>
          <w:rFonts w:ascii="Palatino Linotype" w:hAnsi="Palatino Linotype" w:cs="Arial"/>
          <w:sz w:val="24"/>
        </w:rPr>
        <w:t xml:space="preserve"> </w:t>
      </w:r>
      <w:r w:rsidRPr="001403A3">
        <w:rPr>
          <w:rFonts w:ascii="Palatino Linotype" w:hAnsi="Palatino Linotype" w:cs="Arial"/>
          <w:sz w:val="24"/>
        </w:rPr>
        <w:t xml:space="preserve">día hábil de aquel en el que tuvo </w:t>
      </w:r>
      <w:r w:rsidR="00627D3E">
        <w:rPr>
          <w:rFonts w:ascii="Palatino Linotype" w:hAnsi="Palatino Linotype" w:cs="Arial"/>
          <w:sz w:val="24"/>
        </w:rPr>
        <w:t>conocimiento de la solicitud de información, e</w:t>
      </w:r>
      <w:r w:rsidRPr="001403A3">
        <w:rPr>
          <w:rFonts w:ascii="Palatino Linotype" w:eastAsia="Calibri" w:hAnsi="Palatino Linotype" w:cs="Arial"/>
          <w:sz w:val="24"/>
        </w:rPr>
        <w:t xml:space="preserve">n consecuencia, el </w:t>
      </w:r>
      <w:r w:rsidR="00627D3E" w:rsidRPr="00627D3E">
        <w:rPr>
          <w:rFonts w:ascii="Palatino Linotype" w:eastAsia="Calibri" w:hAnsi="Palatino Linotype" w:cs="Arial"/>
          <w:b/>
          <w:sz w:val="24"/>
        </w:rPr>
        <w:t>sujeto obligado</w:t>
      </w:r>
      <w:r w:rsidRPr="001403A3">
        <w:rPr>
          <w:rFonts w:ascii="Palatino Linotype" w:eastAsia="Calibri" w:hAnsi="Palatino Linotype" w:cs="Arial"/>
          <w:sz w:val="24"/>
        </w:rPr>
        <w:t xml:space="preserve"> deberá atender el </w:t>
      </w:r>
      <w:r w:rsidRPr="001403A3">
        <w:rPr>
          <w:rFonts w:ascii="Palatino Linotype" w:eastAsia="Calibri" w:hAnsi="Palatino Linotype" w:cs="Arial"/>
          <w:sz w:val="24"/>
        </w:rPr>
        <w:lastRenderedPageBreak/>
        <w:t xml:space="preserve">contenido del artículo 49 de la citada ley, para efectos de que sea declarada por parte del Comité de Transparencia la incompetencia a la que se hace referencia en la respuesta proporcionada. </w:t>
      </w:r>
    </w:p>
    <w:p w:rsidR="001403A3" w:rsidRPr="001403A3" w:rsidRDefault="001403A3" w:rsidP="001403A3">
      <w:pPr>
        <w:spacing w:after="0" w:line="360" w:lineRule="auto"/>
        <w:jc w:val="both"/>
        <w:rPr>
          <w:rFonts w:ascii="Palatino Linotype" w:eastAsia="Calibri" w:hAnsi="Palatino Linotype" w:cs="Arial"/>
          <w:sz w:val="24"/>
        </w:rPr>
      </w:pP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“Artículo 49. </w:t>
      </w:r>
      <w:r w:rsidRPr="001403A3">
        <w:rPr>
          <w:rFonts w:ascii="Palatino Linotype" w:hAnsi="Palatino Linotype" w:cs="Arial"/>
          <w:i/>
        </w:rPr>
        <w:t>Los Comités de Transparencia tendrán las siguientes atribuciones:</w:t>
      </w: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I. </w:t>
      </w:r>
      <w:r w:rsidRPr="001403A3">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II. </w:t>
      </w:r>
      <w:r w:rsidRPr="001403A3">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03A3">
        <w:rPr>
          <w:rFonts w:ascii="Palatino Linotype" w:hAnsi="Palatino Linotype" w:cs="Arial"/>
          <w:b/>
          <w:i/>
        </w:rPr>
        <w:t xml:space="preserve">o </w:t>
      </w:r>
      <w:r w:rsidRPr="001403A3">
        <w:rPr>
          <w:rFonts w:ascii="Palatino Linotype" w:hAnsi="Palatino Linotype" w:cs="Arial"/>
          <w:b/>
          <w:i/>
          <w:u w:val="single"/>
        </w:rPr>
        <w:t>de incompetencia realicen los titulares de las áreas de los sujetos obligados</w:t>
      </w:r>
      <w:r w:rsidRPr="001403A3">
        <w:rPr>
          <w:rFonts w:ascii="Palatino Linotype" w:hAnsi="Palatino Linotype" w:cs="Arial"/>
          <w:i/>
        </w:rPr>
        <w:t>;</w:t>
      </w:r>
    </w:p>
    <w:p w:rsid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w:t>
      </w:r>
      <w:r w:rsidRPr="001403A3">
        <w:rPr>
          <w:rFonts w:ascii="Palatino Linotype" w:hAnsi="Palatino Linotype" w:cs="Arial"/>
          <w:i/>
        </w:rPr>
        <w:t>”</w:t>
      </w:r>
    </w:p>
    <w:p w:rsidR="0009645F" w:rsidRDefault="0009645F" w:rsidP="0009645F">
      <w:pPr>
        <w:autoSpaceDE w:val="0"/>
        <w:autoSpaceDN w:val="0"/>
        <w:adjustRightInd w:val="0"/>
        <w:spacing w:after="0"/>
        <w:ind w:left="567" w:right="567"/>
        <w:jc w:val="both"/>
        <w:rPr>
          <w:rFonts w:ascii="Palatino Linotype" w:hAnsi="Palatino Linotype" w:cs="Arial"/>
          <w:i/>
        </w:rPr>
      </w:pPr>
    </w:p>
    <w:p w:rsidR="0009645F" w:rsidRPr="001403A3" w:rsidRDefault="0009645F" w:rsidP="0009645F">
      <w:pPr>
        <w:autoSpaceDE w:val="0"/>
        <w:autoSpaceDN w:val="0"/>
        <w:adjustRightInd w:val="0"/>
        <w:spacing w:after="0"/>
        <w:ind w:left="567" w:right="567"/>
        <w:jc w:val="right"/>
        <w:rPr>
          <w:rFonts w:ascii="Palatino Linotype" w:hAnsi="Palatino Linotype" w:cs="Arial"/>
          <w:i/>
        </w:rPr>
      </w:pPr>
      <w:r>
        <w:rPr>
          <w:rFonts w:ascii="Palatino Linotype" w:hAnsi="Palatino Linotype" w:cs="Arial"/>
          <w:i/>
        </w:rPr>
        <w:t>(Énfasis añadido)</w:t>
      </w:r>
    </w:p>
    <w:p w:rsidR="0009645F" w:rsidRDefault="0009645F" w:rsidP="001403A3">
      <w:pPr>
        <w:spacing w:after="0" w:line="360" w:lineRule="auto"/>
        <w:jc w:val="both"/>
        <w:rPr>
          <w:rFonts w:ascii="Palatino Linotype" w:eastAsia="Calibri" w:hAnsi="Palatino Linotype" w:cs="Arial"/>
          <w:sz w:val="24"/>
        </w:rPr>
      </w:pPr>
    </w:p>
    <w:p w:rsidR="001403A3" w:rsidRPr="001403A3" w:rsidRDefault="001403A3" w:rsidP="001403A3">
      <w:pPr>
        <w:spacing w:after="0" w:line="360" w:lineRule="auto"/>
        <w:jc w:val="both"/>
        <w:rPr>
          <w:rFonts w:ascii="Palatino Linotype" w:eastAsia="Calibri" w:hAnsi="Palatino Linotype" w:cs="Arial"/>
          <w:sz w:val="24"/>
        </w:rPr>
      </w:pPr>
      <w:r w:rsidRPr="001403A3">
        <w:rPr>
          <w:rFonts w:ascii="Palatino Linotype" w:eastAsia="Calibri" w:hAnsi="Palatino Linotype" w:cs="Arial"/>
          <w:sz w:val="24"/>
        </w:rPr>
        <w:t>Es de lo expuesto que el Comité de Transparencia debe</w:t>
      </w:r>
      <w:r w:rsidR="002B3B66">
        <w:rPr>
          <w:rFonts w:ascii="Palatino Linotype" w:eastAsia="Calibri" w:hAnsi="Palatino Linotype" w:cs="Arial"/>
          <w:sz w:val="24"/>
        </w:rPr>
        <w:t>rá</w:t>
      </w:r>
      <w:r w:rsidRPr="001403A3">
        <w:rPr>
          <w:rFonts w:ascii="Palatino Linotype" w:eastAsia="Calibri" w:hAnsi="Palatino Linotype" w:cs="Arial"/>
          <w:sz w:val="24"/>
        </w:rPr>
        <w:t xml:space="preserve"> </w:t>
      </w:r>
      <w:r w:rsidR="001620D6">
        <w:rPr>
          <w:rFonts w:ascii="Palatino Linotype" w:eastAsia="Calibri" w:hAnsi="Palatino Linotype" w:cs="Arial"/>
          <w:sz w:val="24"/>
        </w:rPr>
        <w:t xml:space="preserve">emitir su acuerdo respectivo, mediante el cual </w:t>
      </w:r>
      <w:r w:rsidRPr="001403A3">
        <w:rPr>
          <w:rFonts w:ascii="Palatino Linotype" w:eastAsia="Calibri" w:hAnsi="Palatino Linotype" w:cs="Arial"/>
          <w:sz w:val="24"/>
        </w:rPr>
        <w:t>confirm</w:t>
      </w:r>
      <w:r w:rsidR="001620D6">
        <w:rPr>
          <w:rFonts w:ascii="Palatino Linotype" w:eastAsia="Calibri" w:hAnsi="Palatino Linotype" w:cs="Arial"/>
          <w:sz w:val="24"/>
        </w:rPr>
        <w:t>e</w:t>
      </w:r>
      <w:r w:rsidRPr="001403A3">
        <w:rPr>
          <w:rFonts w:ascii="Palatino Linotype" w:eastAsia="Calibri" w:hAnsi="Palatino Linotype" w:cs="Arial"/>
          <w:sz w:val="24"/>
        </w:rPr>
        <w:t xml:space="preserve"> la incompetencia que en el presente asunto encuadra en el supuesto de la Ley.</w:t>
      </w:r>
    </w:p>
    <w:p w:rsidR="001403A3" w:rsidRDefault="001403A3" w:rsidP="001403A3">
      <w:pPr>
        <w:pStyle w:val="Prrafodelista"/>
        <w:spacing w:line="360" w:lineRule="auto"/>
        <w:ind w:left="0" w:right="51"/>
        <w:jc w:val="both"/>
        <w:rPr>
          <w:rFonts w:ascii="Palatino Linotype" w:hAnsi="Palatino Linotype" w:cs="Arial"/>
        </w:rPr>
      </w:pPr>
    </w:p>
    <w:p w:rsidR="001620D6" w:rsidRDefault="001620D6" w:rsidP="001403A3">
      <w:pPr>
        <w:pStyle w:val="Prrafodelista"/>
        <w:spacing w:line="360" w:lineRule="auto"/>
        <w:ind w:left="0" w:right="51"/>
        <w:jc w:val="both"/>
        <w:rPr>
          <w:rFonts w:ascii="Palatino Linotype" w:hAnsi="Palatino Linotype" w:cs="Arial"/>
        </w:rPr>
      </w:pPr>
      <w:r>
        <w:rPr>
          <w:rFonts w:ascii="Palatino Linotype" w:hAnsi="Palatino Linotype"/>
        </w:rPr>
        <w:t>Así mismo</w:t>
      </w:r>
      <w:r w:rsidRPr="006110AD">
        <w:rPr>
          <w:rFonts w:ascii="Palatino Linotype" w:hAnsi="Palatino Linotype"/>
        </w:rPr>
        <w:t xml:space="preserve">, lo dable es dejar a </w:t>
      </w:r>
      <w:r w:rsidRPr="00684DCC">
        <w:rPr>
          <w:rFonts w:ascii="Palatino Linotype" w:hAnsi="Palatino Linotype"/>
        </w:rPr>
        <w:t xml:space="preserve">salvo los derechos del </w:t>
      </w:r>
      <w:r w:rsidRPr="00684DCC">
        <w:rPr>
          <w:rFonts w:ascii="Palatino Linotype" w:hAnsi="Palatino Linotype"/>
          <w:b/>
        </w:rPr>
        <w:t xml:space="preserve">solicitante, </w:t>
      </w:r>
      <w:r w:rsidRPr="00684DCC">
        <w:rPr>
          <w:rFonts w:ascii="Palatino Linotype" w:hAnsi="Palatino Linotype"/>
        </w:rPr>
        <w:t xml:space="preserve">para que los haga valer ante el </w:t>
      </w:r>
      <w:r w:rsidRPr="00684DCC">
        <w:rPr>
          <w:rFonts w:ascii="Palatino Linotype" w:hAnsi="Palatino Linotype"/>
          <w:b/>
        </w:rPr>
        <w:t xml:space="preserve">sujeto obligado </w:t>
      </w:r>
      <w:r>
        <w:rPr>
          <w:rFonts w:ascii="Palatino Linotype" w:hAnsi="Palatino Linotype"/>
        </w:rPr>
        <w:t xml:space="preserve">que tiene en sus archivos la información peticionada, es decir presente su solicitud ante </w:t>
      </w:r>
      <w:r w:rsidR="00A209AE">
        <w:rPr>
          <w:rFonts w:ascii="Palatino Linotype" w:hAnsi="Palatino Linotype"/>
        </w:rPr>
        <w:t>la Secretaría de la Contraloría</w:t>
      </w:r>
      <w:r>
        <w:rPr>
          <w:rFonts w:ascii="Palatino Linotype" w:hAnsi="Palatino Linotype"/>
        </w:rPr>
        <w:t xml:space="preserve">, al ser el ente que posee la información </w:t>
      </w:r>
      <w:r w:rsidR="008779CF">
        <w:rPr>
          <w:rFonts w:ascii="Palatino Linotype" w:hAnsi="Palatino Linotype"/>
        </w:rPr>
        <w:t>solicitada.</w:t>
      </w:r>
    </w:p>
    <w:p w:rsidR="001620D6" w:rsidRPr="002B3B66" w:rsidRDefault="001620D6" w:rsidP="001403A3">
      <w:pPr>
        <w:pStyle w:val="Prrafodelista"/>
        <w:spacing w:line="360" w:lineRule="auto"/>
        <w:ind w:left="0" w:right="51"/>
        <w:jc w:val="both"/>
        <w:rPr>
          <w:rFonts w:ascii="Palatino Linotype" w:hAnsi="Palatino Linotype" w:cs="Arial"/>
        </w:rPr>
      </w:pPr>
    </w:p>
    <w:p w:rsidR="001403A3" w:rsidRPr="001403A3" w:rsidRDefault="001403A3" w:rsidP="001403A3">
      <w:pPr>
        <w:spacing w:after="0" w:line="360" w:lineRule="auto"/>
        <w:jc w:val="both"/>
        <w:rPr>
          <w:rFonts w:ascii="Palatino Linotype" w:hAnsi="Palatino Linotype" w:cs="Arial"/>
          <w:bCs/>
          <w:sz w:val="24"/>
          <w:szCs w:val="24"/>
        </w:rPr>
      </w:pPr>
      <w:r w:rsidRPr="001403A3">
        <w:rPr>
          <w:rFonts w:ascii="Palatino Linotype" w:hAnsi="Palatino Linotype" w:cs="Arial"/>
          <w:bCs/>
          <w:sz w:val="24"/>
          <w:szCs w:val="24"/>
        </w:rPr>
        <w:t xml:space="preserve">En mérito de lo expuesto en líneas anteriores, resultan parcialmente fundados los motivos de inconformidad que arguye </w:t>
      </w:r>
      <w:r w:rsidR="002B3B66" w:rsidRPr="002B3B66">
        <w:rPr>
          <w:rFonts w:ascii="Palatino Linotype" w:hAnsi="Palatino Linotype" w:cs="Arial"/>
          <w:bCs/>
          <w:sz w:val="24"/>
          <w:szCs w:val="24"/>
        </w:rPr>
        <w:t>el</w:t>
      </w:r>
      <w:r w:rsidR="002B3B66" w:rsidRPr="001403A3">
        <w:rPr>
          <w:rFonts w:ascii="Palatino Linotype" w:hAnsi="Palatino Linotype" w:cs="Arial"/>
          <w:bCs/>
          <w:sz w:val="24"/>
          <w:szCs w:val="24"/>
        </w:rPr>
        <w:t xml:space="preserve"> </w:t>
      </w:r>
      <w:r w:rsidR="002B3B66"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en su medio de impugnación que fue materia de estudio, por ello con fundamento en la segunda hipótesis de la fracción </w:t>
      </w:r>
      <w:r w:rsidRPr="001403A3">
        <w:rPr>
          <w:rFonts w:ascii="Palatino Linotype" w:hAnsi="Palatino Linotype" w:cs="Arial"/>
          <w:bCs/>
          <w:sz w:val="24"/>
          <w:szCs w:val="24"/>
        </w:rPr>
        <w:lastRenderedPageBreak/>
        <w:t xml:space="preserve">III del artículo 186, de la Ley de Transparencia y Acceso a la Información Pública del Estado de México y Municipios, se </w:t>
      </w:r>
      <w:r w:rsidRPr="001403A3">
        <w:rPr>
          <w:rFonts w:ascii="Palatino Linotype" w:hAnsi="Palatino Linotype" w:cs="Arial"/>
          <w:b/>
          <w:bCs/>
          <w:sz w:val="24"/>
          <w:szCs w:val="24"/>
        </w:rPr>
        <w:t>MODIFICA</w:t>
      </w:r>
      <w:r w:rsidRPr="001403A3">
        <w:rPr>
          <w:rFonts w:ascii="Palatino Linotype" w:hAnsi="Palatino Linotype" w:cs="Arial"/>
          <w:bCs/>
          <w:sz w:val="24"/>
          <w:szCs w:val="24"/>
        </w:rPr>
        <w:t xml:space="preserve"> la respuesta a la solicitud de información número </w:t>
      </w:r>
      <w:r w:rsidR="00A209AE" w:rsidRPr="00A209AE">
        <w:rPr>
          <w:rFonts w:ascii="Palatino Linotype" w:hAnsi="Palatino Linotype" w:cs="Arial"/>
          <w:b/>
          <w:bCs/>
          <w:sz w:val="24"/>
          <w:szCs w:val="24"/>
        </w:rPr>
        <w:t>01581/UPVT/IP/2018</w:t>
      </w:r>
      <w:r w:rsidRPr="001403A3">
        <w:rPr>
          <w:rFonts w:ascii="Palatino Linotype" w:hAnsi="Palatino Linotype" w:cs="Arial"/>
          <w:bCs/>
          <w:sz w:val="24"/>
          <w:szCs w:val="24"/>
        </w:rPr>
        <w:t>, que ha sido materia del presente fallo.</w:t>
      </w: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r w:rsidRPr="001403A3">
        <w:rPr>
          <w:rFonts w:ascii="Palatino Linotype" w:hAnsi="Palatino Linotype" w:cs="Arial"/>
          <w:sz w:val="24"/>
          <w:szCs w:val="24"/>
          <w:lang w:eastAsia="es-MX"/>
        </w:rPr>
        <w:t>Por lo antes expuesto y fundado es de resolverse y,</w:t>
      </w: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p>
    <w:p w:rsidR="001403A3" w:rsidRPr="001403A3" w:rsidRDefault="001403A3" w:rsidP="001403A3">
      <w:pPr>
        <w:spacing w:after="0" w:line="276" w:lineRule="auto"/>
        <w:ind w:right="-234" w:firstLine="567"/>
        <w:jc w:val="center"/>
        <w:rPr>
          <w:rFonts w:ascii="Palatino Linotype" w:hAnsi="Palatino Linotype"/>
          <w:b/>
          <w:sz w:val="28"/>
          <w:szCs w:val="24"/>
          <w:lang w:val="pt-BR"/>
        </w:rPr>
      </w:pPr>
      <w:r w:rsidRPr="001403A3">
        <w:rPr>
          <w:rFonts w:ascii="Palatino Linotype" w:hAnsi="Palatino Linotype"/>
          <w:b/>
          <w:sz w:val="28"/>
          <w:szCs w:val="24"/>
          <w:lang w:val="pt-BR"/>
        </w:rPr>
        <w:t>SE   R E S U E L V E</w:t>
      </w:r>
    </w:p>
    <w:p w:rsidR="001403A3" w:rsidRPr="001403A3" w:rsidRDefault="001403A3" w:rsidP="001403A3">
      <w:pPr>
        <w:spacing w:after="0" w:line="276" w:lineRule="auto"/>
        <w:ind w:right="-234" w:firstLine="567"/>
        <w:jc w:val="center"/>
        <w:rPr>
          <w:rFonts w:ascii="Palatino Linotype" w:hAnsi="Palatino Linotype"/>
          <w:b/>
          <w:sz w:val="6"/>
          <w:szCs w:val="16"/>
          <w:lang w:val="pt-BR"/>
        </w:rPr>
      </w:pPr>
    </w:p>
    <w:p w:rsidR="002B3B66" w:rsidRDefault="002B3B66" w:rsidP="001403A3">
      <w:pPr>
        <w:spacing w:after="0" w:line="360" w:lineRule="auto"/>
        <w:jc w:val="both"/>
        <w:rPr>
          <w:rFonts w:ascii="Palatino Linotype" w:hAnsi="Palatino Linotype" w:cs="Arial"/>
          <w:b/>
          <w:sz w:val="28"/>
          <w:szCs w:val="24"/>
          <w:lang w:val="es-ES_tradnl"/>
        </w:rPr>
      </w:pPr>
    </w:p>
    <w:p w:rsidR="001403A3" w:rsidRDefault="001403A3" w:rsidP="001403A3">
      <w:pPr>
        <w:spacing w:after="0" w:line="360" w:lineRule="auto"/>
        <w:jc w:val="both"/>
        <w:rPr>
          <w:rFonts w:ascii="Palatino Linotype" w:hAnsi="Palatino Linotype" w:cs="Arial"/>
          <w:sz w:val="24"/>
          <w:szCs w:val="24"/>
          <w:lang w:val="es-ES_tradnl"/>
        </w:rPr>
      </w:pPr>
      <w:r w:rsidRPr="001403A3">
        <w:rPr>
          <w:rFonts w:ascii="Palatino Linotype" w:hAnsi="Palatino Linotype" w:cs="Arial"/>
          <w:b/>
          <w:sz w:val="28"/>
          <w:szCs w:val="24"/>
          <w:lang w:val="es-ES_tradnl"/>
        </w:rPr>
        <w:t>PRIMERO.</w:t>
      </w:r>
      <w:r w:rsidRPr="001403A3">
        <w:rPr>
          <w:rFonts w:ascii="Palatino Linotype" w:hAnsi="Palatino Linotype" w:cs="Arial"/>
          <w:sz w:val="28"/>
          <w:szCs w:val="24"/>
          <w:lang w:val="es-ES_tradnl"/>
        </w:rPr>
        <w:t xml:space="preserve"> </w:t>
      </w:r>
      <w:r w:rsidRPr="001403A3">
        <w:rPr>
          <w:rFonts w:ascii="Palatino Linotype" w:hAnsi="Palatino Linotype" w:cs="Arial"/>
          <w:sz w:val="24"/>
          <w:szCs w:val="24"/>
          <w:lang w:val="es-ES_tradnl"/>
        </w:rPr>
        <w:t xml:space="preserve">Se </w:t>
      </w:r>
      <w:r w:rsidRPr="001403A3">
        <w:rPr>
          <w:rFonts w:ascii="Palatino Linotype" w:hAnsi="Palatino Linotype" w:cs="Arial"/>
          <w:b/>
          <w:sz w:val="24"/>
          <w:szCs w:val="24"/>
          <w:lang w:val="es-ES_tradnl"/>
        </w:rPr>
        <w:t>MODIFICA</w:t>
      </w:r>
      <w:r w:rsidRPr="001403A3">
        <w:rPr>
          <w:rFonts w:ascii="Palatino Linotype" w:hAnsi="Palatino Linotype" w:cs="Arial"/>
          <w:sz w:val="24"/>
          <w:szCs w:val="24"/>
          <w:lang w:val="es-ES_tradnl"/>
        </w:rPr>
        <w:t xml:space="preserve"> la respuesta entregada por </w:t>
      </w:r>
      <w:r w:rsidR="002B3B66" w:rsidRPr="002B3B66">
        <w:rPr>
          <w:rFonts w:ascii="Palatino Linotype" w:hAnsi="Palatino Linotype" w:cs="Arial"/>
          <w:sz w:val="24"/>
          <w:szCs w:val="24"/>
          <w:lang w:val="es-ES_tradnl"/>
        </w:rPr>
        <w:t>el</w:t>
      </w:r>
      <w:r w:rsidR="002B3B66" w:rsidRPr="001403A3">
        <w:rPr>
          <w:rFonts w:ascii="Palatino Linotype" w:hAnsi="Palatino Linotype" w:cs="Arial"/>
          <w:b/>
          <w:sz w:val="24"/>
          <w:szCs w:val="24"/>
          <w:lang w:val="es-ES_tradnl"/>
        </w:rPr>
        <w:t xml:space="preserve"> sujeto obligado</w:t>
      </w:r>
      <w:r w:rsidRPr="001403A3">
        <w:rPr>
          <w:rFonts w:ascii="Palatino Linotype" w:hAnsi="Palatino Linotype" w:cs="Arial"/>
          <w:sz w:val="24"/>
          <w:szCs w:val="24"/>
          <w:lang w:val="es-ES_tradnl"/>
        </w:rPr>
        <w:t xml:space="preserve"> a la solicitud de información número </w:t>
      </w:r>
      <w:r w:rsidR="00A209AE" w:rsidRPr="00A209AE">
        <w:rPr>
          <w:rFonts w:ascii="Palatino Linotype" w:hAnsi="Palatino Linotype" w:cs="Arial"/>
          <w:b/>
          <w:sz w:val="24"/>
          <w:szCs w:val="24"/>
          <w:lang w:val="es-ES_tradnl"/>
        </w:rPr>
        <w:t>01581/UPVT/IP/2018</w:t>
      </w:r>
      <w:r w:rsidRPr="001403A3">
        <w:rPr>
          <w:rFonts w:ascii="Palatino Linotype" w:hAnsi="Palatino Linotype" w:cs="Arial"/>
          <w:sz w:val="24"/>
          <w:szCs w:val="24"/>
          <w:lang w:val="es-ES_tradnl"/>
        </w:rPr>
        <w:t xml:space="preserve">, por resultar parcialmente fundados los motivos de inconformidad que arguye </w:t>
      </w:r>
      <w:r w:rsidR="002B3B66" w:rsidRPr="002B3B66">
        <w:rPr>
          <w:rFonts w:ascii="Palatino Linotype" w:hAnsi="Palatino Linotype" w:cs="Arial"/>
          <w:sz w:val="24"/>
          <w:szCs w:val="24"/>
          <w:lang w:val="es-ES_tradnl"/>
        </w:rPr>
        <w:t>el</w:t>
      </w:r>
      <w:r w:rsidR="002B3B66" w:rsidRPr="001403A3">
        <w:rPr>
          <w:rFonts w:ascii="Palatino Linotype" w:hAnsi="Palatino Linotype" w:cs="Arial"/>
          <w:b/>
          <w:sz w:val="24"/>
          <w:szCs w:val="24"/>
          <w:lang w:val="es-ES_tradnl"/>
        </w:rPr>
        <w:t xml:space="preserve"> recurrente</w:t>
      </w:r>
      <w:r w:rsidRPr="001403A3">
        <w:rPr>
          <w:rFonts w:ascii="Palatino Linotype" w:hAnsi="Palatino Linotype" w:cs="Arial"/>
          <w:sz w:val="24"/>
          <w:szCs w:val="24"/>
          <w:lang w:val="es-ES_tradnl"/>
        </w:rPr>
        <w:t xml:space="preserve">, en términos del Considerando </w:t>
      </w:r>
      <w:r w:rsidRPr="001403A3">
        <w:rPr>
          <w:rFonts w:ascii="Palatino Linotype" w:hAnsi="Palatino Linotype" w:cs="Arial"/>
          <w:b/>
          <w:sz w:val="24"/>
          <w:szCs w:val="24"/>
          <w:lang w:val="es-ES_tradnl"/>
        </w:rPr>
        <w:t>CUARTO</w:t>
      </w:r>
      <w:r w:rsidRPr="001403A3">
        <w:rPr>
          <w:rFonts w:ascii="Palatino Linotype" w:hAnsi="Palatino Linotype" w:cs="Arial"/>
          <w:sz w:val="24"/>
          <w:szCs w:val="24"/>
          <w:lang w:val="es-ES_tradnl"/>
        </w:rPr>
        <w:t xml:space="preserve"> de la presente resolución.</w:t>
      </w:r>
    </w:p>
    <w:p w:rsidR="002B3B66" w:rsidRPr="001403A3" w:rsidRDefault="002B3B66" w:rsidP="001403A3">
      <w:pPr>
        <w:spacing w:after="0" w:line="360" w:lineRule="auto"/>
        <w:jc w:val="both"/>
        <w:rPr>
          <w:rFonts w:ascii="Palatino Linotype" w:hAnsi="Palatino Linotype" w:cs="Arial"/>
          <w:sz w:val="24"/>
          <w:szCs w:val="24"/>
          <w:lang w:val="es-ES_tradnl"/>
        </w:rPr>
      </w:pPr>
    </w:p>
    <w:p w:rsidR="001403A3" w:rsidRPr="001403A3" w:rsidRDefault="001403A3" w:rsidP="001403A3">
      <w:pPr>
        <w:autoSpaceDE w:val="0"/>
        <w:autoSpaceDN w:val="0"/>
        <w:adjustRightInd w:val="0"/>
        <w:spacing w:after="0" w:line="360" w:lineRule="auto"/>
        <w:ind w:right="49"/>
        <w:jc w:val="both"/>
        <w:rPr>
          <w:rFonts w:ascii="Palatino Linotype" w:hAnsi="Palatino Linotype" w:cs="Arial"/>
          <w:sz w:val="24"/>
          <w:szCs w:val="24"/>
        </w:rPr>
      </w:pPr>
      <w:r w:rsidRPr="001403A3">
        <w:rPr>
          <w:rFonts w:ascii="Palatino Linotype" w:hAnsi="Palatino Linotype"/>
          <w:b/>
          <w:sz w:val="28"/>
          <w:szCs w:val="24"/>
        </w:rPr>
        <w:t>SEGUNDO.</w:t>
      </w:r>
      <w:r w:rsidRPr="001403A3">
        <w:rPr>
          <w:rFonts w:ascii="Palatino Linotype" w:hAnsi="Palatino Linotype" w:cs="Arial"/>
          <w:sz w:val="28"/>
          <w:szCs w:val="24"/>
        </w:rPr>
        <w:t xml:space="preserve"> </w:t>
      </w:r>
      <w:r w:rsidRPr="001403A3">
        <w:rPr>
          <w:rFonts w:ascii="Palatino Linotype" w:hAnsi="Palatino Linotype" w:cs="Arial"/>
          <w:bCs/>
          <w:sz w:val="24"/>
          <w:szCs w:val="24"/>
        </w:rPr>
        <w:t xml:space="preserve">Se </w:t>
      </w:r>
      <w:r w:rsidRPr="001403A3">
        <w:rPr>
          <w:rFonts w:ascii="Palatino Linotype" w:hAnsi="Palatino Linotype" w:cs="Arial"/>
          <w:b/>
          <w:bCs/>
          <w:sz w:val="24"/>
          <w:szCs w:val="24"/>
        </w:rPr>
        <w:t>ORDENA</w:t>
      </w:r>
      <w:r w:rsidRPr="001403A3">
        <w:rPr>
          <w:rFonts w:ascii="Palatino Linotype" w:hAnsi="Palatino Linotype" w:cs="Arial"/>
          <w:bCs/>
          <w:sz w:val="24"/>
          <w:szCs w:val="24"/>
        </w:rPr>
        <w:t xml:space="preserve"> al </w:t>
      </w:r>
      <w:r w:rsidR="0058029E" w:rsidRPr="001403A3">
        <w:rPr>
          <w:rFonts w:ascii="Palatino Linotype" w:hAnsi="Palatino Linotype" w:cs="Arial"/>
          <w:b/>
          <w:bCs/>
          <w:sz w:val="24"/>
          <w:szCs w:val="24"/>
        </w:rPr>
        <w:t>sujeto obligado</w:t>
      </w:r>
      <w:r w:rsidRPr="001403A3">
        <w:rPr>
          <w:rFonts w:ascii="Palatino Linotype" w:hAnsi="Palatino Linotype" w:cs="Arial"/>
          <w:bCs/>
          <w:sz w:val="24"/>
          <w:szCs w:val="24"/>
        </w:rPr>
        <w:t xml:space="preserve">, haga entrega al </w:t>
      </w:r>
      <w:r w:rsidR="0058029E"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w:t>
      </w:r>
      <w:r w:rsidRPr="001403A3">
        <w:rPr>
          <w:rFonts w:ascii="Palatino Linotype" w:hAnsi="Palatino Linotype"/>
          <w:sz w:val="24"/>
          <w:szCs w:val="24"/>
        </w:rPr>
        <w:t xml:space="preserve">en términos del Considerando </w:t>
      </w:r>
      <w:r w:rsidRPr="001403A3">
        <w:rPr>
          <w:rFonts w:ascii="Palatino Linotype" w:hAnsi="Palatino Linotype"/>
          <w:b/>
          <w:sz w:val="24"/>
          <w:szCs w:val="24"/>
        </w:rPr>
        <w:t xml:space="preserve">CUARTO </w:t>
      </w:r>
      <w:r w:rsidRPr="001403A3">
        <w:rPr>
          <w:rFonts w:ascii="Palatino Linotype" w:hAnsi="Palatino Linotype"/>
          <w:sz w:val="24"/>
          <w:szCs w:val="24"/>
        </w:rPr>
        <w:t xml:space="preserve">de esta resolución, </w:t>
      </w:r>
      <w:r w:rsidRPr="001403A3">
        <w:rPr>
          <w:rFonts w:ascii="Palatino Linotype" w:hAnsi="Palatino Linotype" w:cs="Arial"/>
          <w:bCs/>
          <w:sz w:val="24"/>
          <w:szCs w:val="24"/>
        </w:rPr>
        <w:t>a través del SAIMEX, lo siguiente</w:t>
      </w:r>
      <w:r w:rsidRPr="001403A3">
        <w:rPr>
          <w:rFonts w:ascii="Palatino Linotype" w:hAnsi="Palatino Linotype" w:cs="Arial"/>
          <w:sz w:val="24"/>
          <w:szCs w:val="24"/>
        </w:rPr>
        <w:t>:</w:t>
      </w:r>
    </w:p>
    <w:p w:rsidR="001403A3" w:rsidRPr="001403A3" w:rsidRDefault="001403A3" w:rsidP="001403A3">
      <w:pPr>
        <w:autoSpaceDE w:val="0"/>
        <w:autoSpaceDN w:val="0"/>
        <w:adjustRightInd w:val="0"/>
        <w:spacing w:after="0" w:line="360" w:lineRule="auto"/>
        <w:ind w:right="49"/>
        <w:jc w:val="both"/>
        <w:rPr>
          <w:rFonts w:ascii="Palatino Linotype" w:hAnsi="Palatino Linotype" w:cs="Arial"/>
          <w:sz w:val="24"/>
          <w:szCs w:val="24"/>
        </w:rPr>
      </w:pPr>
    </w:p>
    <w:p w:rsidR="001403A3" w:rsidRPr="001403A3" w:rsidRDefault="001403A3" w:rsidP="001403A3">
      <w:pPr>
        <w:pStyle w:val="Prrafodelista"/>
        <w:numPr>
          <w:ilvl w:val="0"/>
          <w:numId w:val="4"/>
        </w:numPr>
        <w:autoSpaceDE w:val="0"/>
        <w:autoSpaceDN w:val="0"/>
        <w:adjustRightInd w:val="0"/>
        <w:spacing w:line="360" w:lineRule="auto"/>
        <w:ind w:right="49"/>
        <w:jc w:val="both"/>
        <w:rPr>
          <w:rFonts w:ascii="Palatino Linotype" w:eastAsiaTheme="minorHAnsi" w:hAnsi="Palatino Linotype" w:cs="Arial"/>
        </w:rPr>
      </w:pPr>
      <w:r w:rsidRPr="001403A3">
        <w:rPr>
          <w:rFonts w:ascii="Palatino Linotype" w:eastAsia="Calibri" w:hAnsi="Palatino Linotype" w:cs="Arial"/>
        </w:rPr>
        <w:t xml:space="preserve">El Acuerdo que emita el Comité de Transparencia mediante el que confirme la declaratoria de incompetencia del </w:t>
      </w:r>
      <w:r w:rsidR="0058029E" w:rsidRPr="001403A3">
        <w:rPr>
          <w:rFonts w:ascii="Palatino Linotype" w:eastAsia="Calibri" w:hAnsi="Palatino Linotype" w:cs="Arial"/>
          <w:b/>
        </w:rPr>
        <w:t>sujeto obligado</w:t>
      </w:r>
      <w:r w:rsidRPr="001403A3">
        <w:rPr>
          <w:rFonts w:ascii="Palatino Linotype" w:eastAsia="Calibri" w:hAnsi="Palatino Linotype" w:cs="Arial"/>
        </w:rPr>
        <w:t>, respecto de la información solicitada.</w:t>
      </w:r>
    </w:p>
    <w:p w:rsidR="001403A3" w:rsidRPr="0058029E" w:rsidRDefault="001403A3" w:rsidP="001403A3">
      <w:pPr>
        <w:spacing w:after="0" w:line="360" w:lineRule="auto"/>
        <w:jc w:val="both"/>
        <w:rPr>
          <w:rFonts w:ascii="Palatino Linotype" w:hAnsi="Palatino Linotype" w:cs="Arial"/>
          <w:sz w:val="24"/>
          <w:szCs w:val="16"/>
          <w:lang w:val="es-ES_tradnl"/>
        </w:rPr>
      </w:pPr>
    </w:p>
    <w:p w:rsidR="001403A3" w:rsidRPr="001403A3" w:rsidRDefault="001403A3" w:rsidP="001403A3">
      <w:pPr>
        <w:spacing w:after="0" w:line="360" w:lineRule="auto"/>
        <w:jc w:val="both"/>
        <w:rPr>
          <w:rFonts w:ascii="Palatino Linotype" w:hAnsi="Palatino Linotype" w:cs="Arial"/>
          <w:bCs/>
          <w:sz w:val="24"/>
          <w:szCs w:val="24"/>
        </w:rPr>
      </w:pPr>
      <w:r w:rsidRPr="001403A3">
        <w:rPr>
          <w:rFonts w:ascii="Palatino Linotype" w:hAnsi="Palatino Linotype" w:cs="Arial"/>
          <w:b/>
          <w:bCs/>
          <w:sz w:val="28"/>
          <w:szCs w:val="24"/>
        </w:rPr>
        <w:t>TERCERO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Titular de la Unidad de Transparencia del </w:t>
      </w:r>
      <w:r w:rsidR="00D14F1E">
        <w:rPr>
          <w:rFonts w:ascii="Palatino Linotype" w:hAnsi="Palatino Linotype" w:cs="Arial"/>
          <w:b/>
          <w:bCs/>
          <w:sz w:val="24"/>
          <w:szCs w:val="24"/>
        </w:rPr>
        <w:t>sujeto o</w:t>
      </w:r>
      <w:r w:rsidRPr="001403A3">
        <w:rPr>
          <w:rFonts w:ascii="Palatino Linotype" w:hAnsi="Palatino Linotype" w:cs="Arial"/>
          <w:b/>
          <w:bCs/>
          <w:sz w:val="24"/>
          <w:szCs w:val="24"/>
        </w:rPr>
        <w:t>bligado</w:t>
      </w:r>
      <w:r w:rsidRPr="001403A3">
        <w:rPr>
          <w:rFonts w:ascii="Palatino Linotype" w:hAnsi="Palatino Linotype" w:cs="Arial"/>
          <w:bCs/>
          <w:sz w:val="24"/>
          <w:szCs w:val="24"/>
        </w:rPr>
        <w:t xml:space="preserve">, para que conforme al artículo 186 último párrafo, 189 segundo párrafo y 194 </w:t>
      </w:r>
      <w:r w:rsidRPr="001403A3">
        <w:rPr>
          <w:rFonts w:ascii="Palatino Linotype" w:hAnsi="Palatino Linotype" w:cs="Arial"/>
          <w:bCs/>
          <w:sz w:val="24"/>
          <w:szCs w:val="24"/>
        </w:rPr>
        <w:lastRenderedPageBreak/>
        <w:t>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403A3" w:rsidRPr="001403A3" w:rsidRDefault="001403A3" w:rsidP="001403A3">
      <w:pPr>
        <w:spacing w:after="0" w:line="360" w:lineRule="auto"/>
        <w:jc w:val="both"/>
        <w:rPr>
          <w:rFonts w:ascii="Palatino Linotype" w:hAnsi="Palatino Linotype" w:cs="Arial"/>
          <w:bCs/>
          <w:sz w:val="24"/>
          <w:szCs w:val="24"/>
        </w:rPr>
      </w:pPr>
    </w:p>
    <w:p w:rsidR="00BD4D4F" w:rsidRPr="001403A3" w:rsidRDefault="001403A3" w:rsidP="001403A3">
      <w:pPr>
        <w:tabs>
          <w:tab w:val="left" w:pos="7938"/>
        </w:tabs>
        <w:spacing w:after="0" w:line="360" w:lineRule="auto"/>
        <w:jc w:val="both"/>
        <w:rPr>
          <w:rFonts w:ascii="Palatino Linotype" w:hAnsi="Palatino Linotype" w:cs="Arial"/>
          <w:color w:val="000000" w:themeColor="text1"/>
          <w:sz w:val="24"/>
          <w:szCs w:val="24"/>
        </w:rPr>
      </w:pPr>
      <w:r w:rsidRPr="001403A3">
        <w:rPr>
          <w:rFonts w:ascii="Palatino Linotype" w:hAnsi="Palatino Linotype" w:cs="Arial"/>
          <w:b/>
          <w:bCs/>
          <w:sz w:val="28"/>
          <w:szCs w:val="24"/>
        </w:rPr>
        <w:t>CUARTO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w:t>
      </w:r>
      <w:r w:rsidR="00D14F1E">
        <w:rPr>
          <w:rFonts w:ascii="Palatino Linotype" w:hAnsi="Palatino Linotype" w:cs="Arial"/>
          <w:b/>
          <w:bCs/>
          <w:sz w:val="24"/>
          <w:szCs w:val="24"/>
        </w:rPr>
        <w:t>r</w:t>
      </w:r>
      <w:r w:rsidRPr="001403A3">
        <w:rPr>
          <w:rFonts w:ascii="Palatino Linotype" w:hAnsi="Palatino Linotype" w:cs="Arial"/>
          <w:b/>
          <w:bCs/>
          <w:sz w:val="24"/>
          <w:szCs w:val="24"/>
        </w:rPr>
        <w:t>ecurrente</w:t>
      </w:r>
      <w:r w:rsidRPr="001403A3">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403A3" w:rsidRPr="001403A3" w:rsidRDefault="001403A3" w:rsidP="001403A3">
      <w:pPr>
        <w:tabs>
          <w:tab w:val="left" w:pos="7938"/>
        </w:tabs>
        <w:spacing w:after="0" w:line="360" w:lineRule="auto"/>
        <w:jc w:val="both"/>
        <w:rPr>
          <w:rFonts w:ascii="Palatino Linotype" w:hAnsi="Palatino Linotype" w:cs="Arial"/>
          <w:color w:val="000000" w:themeColor="text1"/>
          <w:sz w:val="24"/>
          <w:szCs w:val="24"/>
        </w:rPr>
      </w:pPr>
    </w:p>
    <w:p w:rsidR="00DD0BF6" w:rsidRPr="00DD0BF6" w:rsidRDefault="00DD0BF6" w:rsidP="00DD0BF6">
      <w:pPr>
        <w:spacing w:after="0" w:line="360" w:lineRule="auto"/>
        <w:jc w:val="both"/>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 xml:space="preserve">ASÍ LO RESUELVE, POR </w:t>
      </w:r>
      <w:r w:rsidR="003969F5">
        <w:rPr>
          <w:rFonts w:ascii="Palatino Linotype" w:eastAsia="Times New Roman" w:hAnsi="Palatino Linotype" w:cs="Times New Roman"/>
          <w:sz w:val="24"/>
          <w:szCs w:val="24"/>
          <w:lang w:eastAsia="es-ES"/>
        </w:rPr>
        <w:t>MAYORIA</w:t>
      </w:r>
      <w:r w:rsidRPr="00DD0BF6">
        <w:rPr>
          <w:rFonts w:ascii="Palatino Linotype" w:eastAsia="Times New Roman" w:hAnsi="Palatino Linotype" w:cs="Times New Roman"/>
          <w:sz w:val="24"/>
          <w:szCs w:val="24"/>
          <w:lang w:eastAsia="es-ES"/>
        </w:rPr>
        <w:t xml:space="preserve"> DE VOTOS, EL PLENO DEL</w:t>
      </w:r>
      <w:r w:rsidRPr="00DD0BF6">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DD0BF6">
        <w:rPr>
          <w:rFonts w:ascii="Palatino Linotype" w:eastAsia="Times New Roman" w:hAnsi="Palatino Linotype" w:cs="Times New Roman"/>
          <w:sz w:val="24"/>
          <w:szCs w:val="24"/>
          <w:lang w:eastAsia="es-ES"/>
        </w:rPr>
        <w:t xml:space="preserve">, CONFORMADO POR LOS COMISIONADOS ZULEMA </w:t>
      </w:r>
      <w:r w:rsidRPr="00DD0BF6">
        <w:rPr>
          <w:rFonts w:ascii="Palatino Linotype" w:eastAsia="Arial Unicode MS" w:hAnsi="Palatino Linotype" w:cs="Times New Roman"/>
          <w:sz w:val="24"/>
          <w:szCs w:val="24"/>
          <w:lang w:eastAsia="es-ES"/>
        </w:rPr>
        <w:t>MARTÍNEZ SÁNCHEZ, EVA ABAID YAPUR, JOSÉ GUADALUPE LUNA HERNÁNDEZ</w:t>
      </w:r>
      <w:r w:rsidR="00BD2509">
        <w:rPr>
          <w:rFonts w:ascii="Palatino Linotype" w:eastAsia="Arial Unicode MS" w:hAnsi="Palatino Linotype" w:cs="Times New Roman"/>
          <w:sz w:val="24"/>
          <w:szCs w:val="24"/>
          <w:lang w:eastAsia="es-ES"/>
        </w:rPr>
        <w:t xml:space="preserve"> (VOTO EN CONTRA CON VOTO DISIDENTE CONCURRENTE)</w:t>
      </w:r>
      <w:r w:rsidRPr="00DD0BF6">
        <w:rPr>
          <w:rFonts w:ascii="Palatino Linotype" w:eastAsia="Arial Unicode MS" w:hAnsi="Palatino Linotype" w:cs="Times New Roman"/>
          <w:sz w:val="24"/>
          <w:szCs w:val="24"/>
          <w:lang w:eastAsia="es-ES"/>
        </w:rPr>
        <w:t>, JAVIER MARTÍNEZ CRUZ</w:t>
      </w:r>
      <w:r w:rsidR="00BD2509">
        <w:rPr>
          <w:rFonts w:ascii="Palatino Linotype" w:eastAsia="Arial Unicode MS" w:hAnsi="Palatino Linotype" w:cs="Times New Roman"/>
          <w:sz w:val="24"/>
          <w:szCs w:val="24"/>
          <w:lang w:eastAsia="es-ES"/>
        </w:rPr>
        <w:t xml:space="preserve"> (</w:t>
      </w:r>
      <w:r w:rsidR="00BD2509" w:rsidRPr="00BD2509">
        <w:rPr>
          <w:rFonts w:ascii="Palatino Linotype" w:eastAsia="Arial Unicode MS" w:hAnsi="Palatino Linotype" w:cs="Times New Roman"/>
          <w:sz w:val="24"/>
          <w:szCs w:val="24"/>
          <w:lang w:eastAsia="es-ES"/>
        </w:rPr>
        <w:t>VOTO EN CONTRA CON VOTO DISIDENTE CONCURRENTE</w:t>
      </w:r>
      <w:r w:rsidR="00BD2509">
        <w:rPr>
          <w:rFonts w:ascii="Palatino Linotype" w:eastAsia="Arial Unicode MS" w:hAnsi="Palatino Linotype" w:cs="Times New Roman"/>
          <w:sz w:val="24"/>
          <w:szCs w:val="24"/>
          <w:lang w:eastAsia="es-ES"/>
        </w:rPr>
        <w:t>)</w:t>
      </w:r>
      <w:r w:rsidRPr="00DD0BF6">
        <w:rPr>
          <w:rFonts w:ascii="Times New Roman" w:eastAsia="Times New Roman" w:hAnsi="Times New Roman" w:cs="Times New Roman"/>
          <w:sz w:val="24"/>
          <w:szCs w:val="24"/>
          <w:lang w:eastAsia="es-ES"/>
        </w:rPr>
        <w:t xml:space="preserve"> </w:t>
      </w:r>
      <w:r w:rsidRPr="00DD0BF6">
        <w:rPr>
          <w:rFonts w:ascii="Palatino Linotype" w:eastAsia="Arial Unicode MS" w:hAnsi="Palatino Linotype" w:cs="Times New Roman"/>
          <w:sz w:val="24"/>
          <w:szCs w:val="24"/>
          <w:lang w:eastAsia="es-ES"/>
        </w:rPr>
        <w:t>Y LUIS GUSTAVO PARRA NORIEGA</w:t>
      </w:r>
      <w:r w:rsidR="00BD2509">
        <w:rPr>
          <w:rFonts w:ascii="Palatino Linotype" w:eastAsia="Arial Unicode MS" w:hAnsi="Palatino Linotype" w:cs="Times New Roman"/>
          <w:sz w:val="24"/>
          <w:szCs w:val="24"/>
          <w:lang w:eastAsia="es-ES"/>
        </w:rPr>
        <w:t xml:space="preserve"> (VOTO PARTICULAR)</w:t>
      </w:r>
      <w:r w:rsidRPr="00DD0BF6">
        <w:rPr>
          <w:rFonts w:ascii="Palatino Linotype" w:eastAsia="Arial Unicode MS" w:hAnsi="Palatino Linotype" w:cs="Times New Roman"/>
          <w:sz w:val="24"/>
          <w:szCs w:val="24"/>
          <w:lang w:eastAsia="es-ES"/>
        </w:rPr>
        <w:t xml:space="preserve">, EN LA </w:t>
      </w:r>
      <w:r w:rsidR="003969F5" w:rsidRPr="003969F5">
        <w:rPr>
          <w:rFonts w:ascii="Palatino Linotype" w:eastAsia="Arial Unicode MS" w:hAnsi="Palatino Linotype" w:cs="Times New Roman"/>
          <w:sz w:val="24"/>
          <w:szCs w:val="24"/>
          <w:lang w:eastAsia="es-ES"/>
        </w:rPr>
        <w:t>OCTAVA</w:t>
      </w:r>
      <w:r w:rsidRPr="003969F5">
        <w:rPr>
          <w:rFonts w:ascii="Palatino Linotype" w:eastAsia="Arial Unicode MS" w:hAnsi="Palatino Linotype" w:cs="Times New Roman"/>
          <w:sz w:val="24"/>
          <w:szCs w:val="24"/>
          <w:lang w:eastAsia="es-ES"/>
        </w:rPr>
        <w:t xml:space="preserve"> SESIÓN ORDINARIA</w:t>
      </w:r>
      <w:r w:rsidRPr="003969F5">
        <w:rPr>
          <w:rFonts w:ascii="Palatino Linotype" w:eastAsia="Times New Roman" w:hAnsi="Palatino Linotype" w:cs="Times New Roman"/>
          <w:sz w:val="24"/>
          <w:szCs w:val="24"/>
          <w:lang w:eastAsia="es-ES"/>
        </w:rPr>
        <w:t xml:space="preserve"> CELEBRADA EL </w:t>
      </w:r>
      <w:r w:rsidR="003969F5">
        <w:rPr>
          <w:rFonts w:ascii="Palatino Linotype" w:eastAsia="Times New Roman" w:hAnsi="Palatino Linotype" w:cs="Times New Roman"/>
          <w:sz w:val="24"/>
          <w:szCs w:val="24"/>
          <w:lang w:eastAsia="es-ES"/>
        </w:rPr>
        <w:t>VEINTISIETE DE FEBRERO DE DOS MIL DIECINUEVE</w:t>
      </w:r>
      <w:r w:rsidRPr="00DD0BF6">
        <w:rPr>
          <w:rFonts w:ascii="Palatino Linotype" w:eastAsia="Times New Roman" w:hAnsi="Palatino Linotype" w:cs="Times New Roman"/>
          <w:sz w:val="24"/>
          <w:szCs w:val="24"/>
          <w:lang w:eastAsia="es-ES"/>
        </w:rPr>
        <w:t>, ANTE EL SECRETARIO TÉCNICO DEL PLENO, ALEXIS TAPIA RAMÍREZ.----------------------------------------------------------------------------------------------------------------------------------------------------------------------------------------------------------------------------------------------------------------------------------------------------------------------------------------------------------------------------------------</w:t>
      </w:r>
      <w:r w:rsidR="004B0A4B">
        <w:rPr>
          <w:rFonts w:ascii="Palatino Linotype" w:eastAsia="Times New Roman" w:hAnsi="Palatino Linotype" w:cs="Times New Roman"/>
          <w:sz w:val="24"/>
          <w:szCs w:val="24"/>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0BF6" w:rsidRPr="00DD0BF6" w:rsidTr="00FF7BA0">
        <w:tc>
          <w:tcPr>
            <w:tcW w:w="9062" w:type="dxa"/>
            <w:gridSpan w:val="2"/>
          </w:tcPr>
          <w:p w:rsidR="00DD0BF6" w:rsidRPr="00DD0BF6" w:rsidRDefault="00DD0BF6" w:rsidP="00DD0BF6">
            <w:pPr>
              <w:jc w:val="center"/>
              <w:rPr>
                <w:rFonts w:ascii="Palatino Linotype" w:eastAsia="Times New Roman" w:hAnsi="Palatino Linotype" w:cs="Times New Roman"/>
                <w:b/>
                <w:sz w:val="24"/>
                <w:szCs w:val="24"/>
                <w:lang w:eastAsia="es-ES"/>
              </w:rPr>
            </w:pPr>
            <w:bookmarkStart w:id="0" w:name="_GoBack"/>
            <w:bookmarkEnd w:id="0"/>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Zulema Martínez Sánchez</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Comisionada Presidenta</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(Rúbrica)</w:t>
            </w:r>
          </w:p>
        </w:tc>
      </w:tr>
      <w:tr w:rsidR="00DD0BF6" w:rsidRPr="00DD0BF6" w:rsidTr="00FF7BA0">
        <w:tc>
          <w:tcPr>
            <w:tcW w:w="4531" w:type="dxa"/>
          </w:tcPr>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Eva Abaid Yapur</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Comisionada</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(Rúbrica)</w:t>
            </w:r>
          </w:p>
        </w:tc>
        <w:tc>
          <w:tcPr>
            <w:tcW w:w="4531" w:type="dxa"/>
          </w:tcPr>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José Guadalupe Luna Hernández</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Comisionado</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(Rúbrica)</w:t>
            </w:r>
          </w:p>
        </w:tc>
      </w:tr>
      <w:tr w:rsidR="00DD0BF6" w:rsidRPr="00DD0BF6" w:rsidTr="00FF7BA0">
        <w:tc>
          <w:tcPr>
            <w:tcW w:w="4531" w:type="dxa"/>
          </w:tcPr>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Javier Martínez Cruz</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Comisionado</w:t>
            </w: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sz w:val="24"/>
                <w:szCs w:val="24"/>
                <w:lang w:eastAsia="es-ES"/>
              </w:rPr>
              <w:t>(Rúbrica)</w:t>
            </w:r>
          </w:p>
        </w:tc>
        <w:tc>
          <w:tcPr>
            <w:tcW w:w="4531" w:type="dxa"/>
          </w:tcPr>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Luis Gustavo Parra Noriega</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Comisionado</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(Rúbrica)</w:t>
            </w:r>
          </w:p>
        </w:tc>
      </w:tr>
      <w:tr w:rsidR="00DD0BF6" w:rsidRPr="00DD0BF6" w:rsidTr="00FF7BA0">
        <w:tc>
          <w:tcPr>
            <w:tcW w:w="9062" w:type="dxa"/>
            <w:gridSpan w:val="2"/>
          </w:tcPr>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both"/>
              <w:rPr>
                <w:rFonts w:ascii="Palatino Linotype" w:eastAsia="Times New Roman" w:hAnsi="Palatino Linotype" w:cs="Times New Roman"/>
                <w:b/>
                <w:sz w:val="24"/>
                <w:szCs w:val="24"/>
                <w:lang w:eastAsia="es-ES"/>
              </w:rPr>
            </w:pPr>
          </w:p>
          <w:p w:rsidR="00DD0BF6" w:rsidRPr="00DD0BF6" w:rsidRDefault="00DD0BF6" w:rsidP="00DD0BF6">
            <w:pPr>
              <w:jc w:val="center"/>
              <w:rPr>
                <w:rFonts w:ascii="Palatino Linotype" w:eastAsia="Times New Roman" w:hAnsi="Palatino Linotype" w:cs="Times New Roman"/>
                <w:b/>
                <w:sz w:val="24"/>
                <w:szCs w:val="24"/>
                <w:lang w:eastAsia="es-ES"/>
              </w:rPr>
            </w:pPr>
            <w:r w:rsidRPr="00DD0BF6">
              <w:rPr>
                <w:rFonts w:ascii="Palatino Linotype" w:eastAsia="Times New Roman" w:hAnsi="Palatino Linotype" w:cs="Times New Roman"/>
                <w:b/>
                <w:sz w:val="24"/>
                <w:szCs w:val="24"/>
                <w:lang w:eastAsia="es-ES"/>
              </w:rPr>
              <w:t>Alexis Tapia Ramírez</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Secretario Técnico del Pleno</w:t>
            </w:r>
          </w:p>
          <w:p w:rsidR="00DD0BF6" w:rsidRPr="00DD0BF6" w:rsidRDefault="00DD0BF6" w:rsidP="00DD0BF6">
            <w:pPr>
              <w:jc w:val="center"/>
              <w:rPr>
                <w:rFonts w:ascii="Palatino Linotype" w:eastAsia="Times New Roman" w:hAnsi="Palatino Linotype" w:cs="Times New Roman"/>
                <w:sz w:val="24"/>
                <w:szCs w:val="24"/>
                <w:lang w:eastAsia="es-ES"/>
              </w:rPr>
            </w:pPr>
            <w:r w:rsidRPr="00DD0BF6">
              <w:rPr>
                <w:rFonts w:ascii="Palatino Linotype" w:eastAsia="Times New Roman" w:hAnsi="Palatino Linotype" w:cs="Times New Roman"/>
                <w:sz w:val="24"/>
                <w:szCs w:val="24"/>
                <w:lang w:eastAsia="es-ES"/>
              </w:rPr>
              <w:t>(Rúbrica)</w:t>
            </w:r>
          </w:p>
        </w:tc>
      </w:tr>
    </w:tbl>
    <w:p w:rsidR="00DD0BF6" w:rsidRPr="00DD0BF6" w:rsidRDefault="00DD0BF6" w:rsidP="00DD0BF6">
      <w:pPr>
        <w:spacing w:after="0" w:line="276" w:lineRule="auto"/>
        <w:jc w:val="both"/>
        <w:rPr>
          <w:rFonts w:ascii="Palatino Linotype" w:eastAsia="Calibri" w:hAnsi="Palatino Linotype" w:cs="Arial"/>
          <w:sz w:val="18"/>
          <w:szCs w:val="18"/>
        </w:rPr>
      </w:pPr>
    </w:p>
    <w:p w:rsidR="00DD0BF6" w:rsidRPr="00DD0BF6" w:rsidRDefault="00DD0BF6" w:rsidP="00DD0BF6">
      <w:pPr>
        <w:spacing w:after="0" w:line="276" w:lineRule="auto"/>
        <w:jc w:val="both"/>
        <w:rPr>
          <w:rFonts w:ascii="Palatino Linotype" w:eastAsia="Calibri" w:hAnsi="Palatino Linotype" w:cs="Arial"/>
          <w:sz w:val="18"/>
          <w:szCs w:val="18"/>
        </w:rPr>
      </w:pPr>
    </w:p>
    <w:p w:rsidR="00DD0BF6" w:rsidRPr="00DD0BF6" w:rsidRDefault="00DD0BF6" w:rsidP="00DD0BF6">
      <w:pPr>
        <w:spacing w:after="0" w:line="276" w:lineRule="auto"/>
        <w:jc w:val="both"/>
        <w:rPr>
          <w:rFonts w:ascii="Palatino Linotype" w:eastAsia="Calibri" w:hAnsi="Palatino Linotype" w:cs="Arial"/>
          <w:sz w:val="18"/>
          <w:szCs w:val="18"/>
        </w:rPr>
      </w:pPr>
      <w:r w:rsidRPr="00DD0BF6">
        <w:rPr>
          <w:rFonts w:ascii="Palatino Linotype" w:eastAsia="Calibri" w:hAnsi="Palatino Linotype" w:cs="Arial"/>
          <w:sz w:val="18"/>
          <w:szCs w:val="18"/>
        </w:rPr>
        <w:t xml:space="preserve">Esta hoja corresponde a la resolución de fecha </w:t>
      </w:r>
      <w:r w:rsidR="00BD2509">
        <w:rPr>
          <w:rFonts w:ascii="Palatino Linotype" w:eastAsia="Calibri" w:hAnsi="Palatino Linotype" w:cs="Arial"/>
          <w:sz w:val="18"/>
          <w:szCs w:val="18"/>
        </w:rPr>
        <w:t>veintisiete</w:t>
      </w:r>
      <w:r w:rsidRPr="00DD0BF6">
        <w:rPr>
          <w:rFonts w:ascii="Palatino Linotype" w:eastAsia="Calibri" w:hAnsi="Palatino Linotype" w:cs="Arial"/>
          <w:sz w:val="18"/>
          <w:szCs w:val="18"/>
        </w:rPr>
        <w:t xml:space="preserve"> de febrero de dos mil diecinueve, emitida en </w:t>
      </w:r>
      <w:r w:rsidR="001F0BB9">
        <w:rPr>
          <w:rFonts w:ascii="Palatino Linotype" w:eastAsia="Calibri" w:hAnsi="Palatino Linotype" w:cs="Arial"/>
          <w:sz w:val="18"/>
          <w:szCs w:val="18"/>
        </w:rPr>
        <w:t>el</w:t>
      </w:r>
      <w:r w:rsidRPr="00DD0BF6">
        <w:rPr>
          <w:rFonts w:ascii="Palatino Linotype" w:eastAsia="Calibri" w:hAnsi="Palatino Linotype" w:cs="Arial"/>
          <w:sz w:val="18"/>
          <w:szCs w:val="18"/>
        </w:rPr>
        <w:t xml:space="preserve"> recurso de revisión </w:t>
      </w:r>
      <w:r w:rsidR="001F0BB9" w:rsidRPr="001F0BB9">
        <w:rPr>
          <w:rFonts w:ascii="Palatino Linotype" w:eastAsia="Calibri" w:hAnsi="Palatino Linotype" w:cs="Arial"/>
          <w:sz w:val="18"/>
          <w:szCs w:val="18"/>
        </w:rPr>
        <w:t>04725/INFOEM/IP/RR/2018</w:t>
      </w:r>
      <w:r w:rsidRPr="00DD0BF6">
        <w:rPr>
          <w:rFonts w:ascii="Palatino Linotype" w:eastAsia="Calibri" w:hAnsi="Palatino Linotype" w:cs="Arial"/>
          <w:sz w:val="18"/>
          <w:szCs w:val="18"/>
        </w:rPr>
        <w:t>.</w:t>
      </w:r>
    </w:p>
    <w:p w:rsidR="00DD0BF6" w:rsidRPr="00DD0BF6" w:rsidRDefault="00DD0BF6" w:rsidP="00DD0BF6">
      <w:pPr>
        <w:spacing w:after="0" w:line="276" w:lineRule="auto"/>
        <w:jc w:val="both"/>
        <w:rPr>
          <w:rFonts w:ascii="Palatino Linotype" w:eastAsia="Calibri" w:hAnsi="Palatino Linotype" w:cs="Arial"/>
          <w:sz w:val="16"/>
          <w:szCs w:val="16"/>
        </w:rPr>
      </w:pPr>
      <w:r w:rsidRPr="00DD0BF6">
        <w:rPr>
          <w:rFonts w:ascii="Palatino Linotype" w:eastAsia="Calibri" w:hAnsi="Palatino Linotype" w:cs="Arial"/>
          <w:sz w:val="16"/>
          <w:szCs w:val="16"/>
        </w:rPr>
        <w:t>ZMS/OSAM/EJDG</w:t>
      </w:r>
    </w:p>
    <w:p w:rsidR="002A5ADD" w:rsidRPr="001403A3" w:rsidRDefault="002A5ADD" w:rsidP="00DD0BF6">
      <w:pPr>
        <w:spacing w:after="0" w:line="360" w:lineRule="auto"/>
        <w:jc w:val="both"/>
        <w:rPr>
          <w:rFonts w:ascii="Palatino Linotype" w:hAnsi="Palatino Linotype"/>
        </w:rPr>
      </w:pPr>
    </w:p>
    <w:sectPr w:rsidR="002A5ADD" w:rsidRPr="001403A3" w:rsidSect="001F799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77B" w:rsidRDefault="00C7577B" w:rsidP="00BD4D4F">
      <w:pPr>
        <w:spacing w:after="0" w:line="240" w:lineRule="auto"/>
      </w:pPr>
      <w:r>
        <w:separator/>
      </w:r>
    </w:p>
  </w:endnote>
  <w:endnote w:type="continuationSeparator" w:id="0">
    <w:p w:rsidR="00C7577B" w:rsidRDefault="00C7577B" w:rsidP="00BD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Pr="000B69FA" w:rsidRDefault="00B54AD6" w:rsidP="001F79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4B16">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4B16">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Pr="000B69FA" w:rsidRDefault="00B54AD6" w:rsidP="001F79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4B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4B16">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77B" w:rsidRDefault="00C7577B" w:rsidP="00BD4D4F">
      <w:pPr>
        <w:spacing w:after="0" w:line="240" w:lineRule="auto"/>
      </w:pPr>
      <w:r>
        <w:separator/>
      </w:r>
    </w:p>
  </w:footnote>
  <w:footnote w:type="continuationSeparator" w:id="0">
    <w:p w:rsidR="00C7577B" w:rsidRDefault="00C7577B" w:rsidP="00BD4D4F">
      <w:pPr>
        <w:spacing w:after="0" w:line="240" w:lineRule="auto"/>
      </w:pPr>
      <w:r>
        <w:continuationSeparator/>
      </w:r>
    </w:p>
  </w:footnote>
  <w:footnote w:id="1">
    <w:p w:rsidR="00B54AD6" w:rsidRPr="00946E1F" w:rsidRDefault="00B54AD6" w:rsidP="00BD4D4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Default="00B54AD6">
    <w:pPr>
      <w:pStyle w:val="Encabezado"/>
    </w:pPr>
  </w:p>
  <w:tbl>
    <w:tblPr>
      <w:tblW w:w="9923" w:type="dxa"/>
      <w:tblInd w:w="-851" w:type="dxa"/>
      <w:tblCellMar>
        <w:left w:w="70" w:type="dxa"/>
        <w:right w:w="70" w:type="dxa"/>
      </w:tblCellMar>
      <w:tblLook w:val="04A0" w:firstRow="1" w:lastRow="0" w:firstColumn="1" w:lastColumn="0" w:noHBand="0" w:noVBand="1"/>
    </w:tblPr>
    <w:tblGrid>
      <w:gridCol w:w="6238"/>
      <w:gridCol w:w="3685"/>
    </w:tblGrid>
    <w:tr w:rsidR="00B54AD6" w:rsidTr="00DD35EB">
      <w:trPr>
        <w:trHeight w:val="227"/>
      </w:trPr>
      <w:tc>
        <w:tcPr>
          <w:tcW w:w="6238" w:type="dxa"/>
          <w:hideMark/>
        </w:tcPr>
        <w:p w:rsidR="00B54AD6" w:rsidRDefault="00B54AD6" w:rsidP="001F799F">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B54AD6" w:rsidRDefault="006224D8" w:rsidP="00BD4D4F">
          <w:pPr>
            <w:spacing w:after="120" w:line="256" w:lineRule="auto"/>
            <w:ind w:left="-486" w:firstLine="486"/>
            <w:jc w:val="right"/>
            <w:rPr>
              <w:rFonts w:ascii="Palatino Linotype" w:hAnsi="Palatino Linotype" w:cs="Arial"/>
              <w:szCs w:val="20"/>
            </w:rPr>
          </w:pPr>
          <w:r w:rsidRPr="006224D8">
            <w:rPr>
              <w:rFonts w:ascii="Palatino Linotype" w:hAnsi="Palatino Linotype" w:cs="Arial"/>
              <w:bCs/>
              <w:sz w:val="24"/>
              <w:lang w:eastAsia="es-MX"/>
            </w:rPr>
            <w:t>04725/INFOEM/IP/RR/2018</w:t>
          </w:r>
        </w:p>
      </w:tc>
    </w:tr>
    <w:tr w:rsidR="00B54AD6" w:rsidTr="00DD35EB">
      <w:trPr>
        <w:trHeight w:val="242"/>
      </w:trPr>
      <w:tc>
        <w:tcPr>
          <w:tcW w:w="6238" w:type="dxa"/>
          <w:hideMark/>
        </w:tcPr>
        <w:p w:rsidR="00B54AD6" w:rsidRDefault="00B54AD6" w:rsidP="001F799F">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B54AD6" w:rsidRDefault="006224D8" w:rsidP="001F799F">
          <w:pPr>
            <w:spacing w:after="120" w:line="256" w:lineRule="auto"/>
            <w:ind w:left="-486" w:firstLine="486"/>
            <w:jc w:val="right"/>
            <w:rPr>
              <w:rFonts w:ascii="Palatino Linotype" w:hAnsi="Palatino Linotype" w:cs="Arial"/>
              <w:szCs w:val="20"/>
            </w:rPr>
          </w:pPr>
          <w:r w:rsidRPr="006224D8">
            <w:rPr>
              <w:rFonts w:ascii="Palatino Linotype" w:hAnsi="Palatino Linotype" w:cs="Arial"/>
              <w:szCs w:val="20"/>
            </w:rPr>
            <w:t>Universidad Politécnica del Valle de Toluca</w:t>
          </w:r>
        </w:p>
      </w:tc>
    </w:tr>
    <w:tr w:rsidR="00B54AD6" w:rsidTr="00DD35EB">
      <w:trPr>
        <w:trHeight w:val="342"/>
      </w:trPr>
      <w:tc>
        <w:tcPr>
          <w:tcW w:w="6238" w:type="dxa"/>
          <w:hideMark/>
        </w:tcPr>
        <w:p w:rsidR="00B54AD6" w:rsidRDefault="00B54AD6" w:rsidP="001F799F">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B54AD6" w:rsidRDefault="00B54AD6" w:rsidP="001F799F">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B54AD6" w:rsidRDefault="00B54A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B54AD6" w:rsidTr="00BD4D4F">
      <w:trPr>
        <w:trHeight w:val="227"/>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B54AD6" w:rsidRPr="00B4142F" w:rsidRDefault="006224D8" w:rsidP="00BD4D4F">
          <w:pPr>
            <w:spacing w:after="120" w:line="256" w:lineRule="auto"/>
            <w:ind w:left="-486" w:right="72" w:firstLine="486"/>
            <w:jc w:val="right"/>
            <w:rPr>
              <w:rFonts w:ascii="Palatino Linotype" w:hAnsi="Palatino Linotype" w:cs="Arial"/>
              <w:szCs w:val="20"/>
            </w:rPr>
          </w:pPr>
          <w:r w:rsidRPr="006224D8">
            <w:rPr>
              <w:rFonts w:ascii="Palatino Linotype" w:hAnsi="Palatino Linotype" w:cs="Arial"/>
              <w:bCs/>
              <w:sz w:val="24"/>
              <w:lang w:eastAsia="es-MX"/>
            </w:rPr>
            <w:t>04725/INFOEM/IP/RR/2018</w:t>
          </w:r>
        </w:p>
      </w:tc>
    </w:tr>
    <w:tr w:rsidR="00B54AD6" w:rsidTr="00BD4D4F">
      <w:trPr>
        <w:trHeight w:val="196"/>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B54AD6" w:rsidRPr="00F06FED" w:rsidRDefault="000D65B8" w:rsidP="00BD4D4F">
          <w:pPr>
            <w:spacing w:after="120" w:line="256" w:lineRule="auto"/>
            <w:ind w:left="-486" w:right="72" w:firstLine="486"/>
            <w:jc w:val="right"/>
            <w:rPr>
              <w:rFonts w:ascii="Palatino Linotype" w:hAnsi="Palatino Linotype" w:cs="Arial"/>
            </w:rPr>
          </w:pPr>
          <w:r>
            <w:rPr>
              <w:rFonts w:ascii="Palatino Linotype" w:hAnsi="Palatino Linotype" w:cs="Arial"/>
            </w:rPr>
            <w:t>XXXXXXXXXXXXXXXXXXX</w:t>
          </w:r>
        </w:p>
      </w:tc>
    </w:tr>
    <w:tr w:rsidR="00B54AD6" w:rsidTr="00BD4D4F">
      <w:trPr>
        <w:trHeight w:val="242"/>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B54AD6" w:rsidRDefault="006224D8" w:rsidP="001F799F">
          <w:pPr>
            <w:spacing w:after="120" w:line="256" w:lineRule="auto"/>
            <w:ind w:left="-495" w:right="72" w:firstLine="486"/>
            <w:jc w:val="right"/>
            <w:rPr>
              <w:rFonts w:ascii="Palatino Linotype" w:hAnsi="Palatino Linotype" w:cs="Arial"/>
              <w:szCs w:val="20"/>
            </w:rPr>
          </w:pPr>
          <w:r w:rsidRPr="006224D8">
            <w:rPr>
              <w:rFonts w:ascii="Palatino Linotype" w:hAnsi="Palatino Linotype" w:cs="Arial"/>
              <w:szCs w:val="20"/>
            </w:rPr>
            <w:t>Universidad Politécnica del Valle de Toluca</w:t>
          </w:r>
        </w:p>
      </w:tc>
    </w:tr>
    <w:tr w:rsidR="00B54AD6" w:rsidTr="00BD4D4F">
      <w:trPr>
        <w:trHeight w:val="342"/>
      </w:trPr>
      <w:tc>
        <w:tcPr>
          <w:tcW w:w="5813" w:type="dxa"/>
          <w:hideMark/>
        </w:tcPr>
        <w:p w:rsidR="00B54AD6" w:rsidRDefault="00B54AD6" w:rsidP="001F799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B54AD6" w:rsidRDefault="00B54AD6" w:rsidP="001F799F">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B54AD6" w:rsidRDefault="00B54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5744EC"/>
    <w:multiLevelType w:val="hybridMultilevel"/>
    <w:tmpl w:val="5406E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FB4662"/>
    <w:multiLevelType w:val="hybridMultilevel"/>
    <w:tmpl w:val="15DAB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4F"/>
    <w:rsid w:val="00007098"/>
    <w:rsid w:val="000164C1"/>
    <w:rsid w:val="00021544"/>
    <w:rsid w:val="00045D2C"/>
    <w:rsid w:val="00051033"/>
    <w:rsid w:val="0009645F"/>
    <w:rsid w:val="000B66BE"/>
    <w:rsid w:val="000D37D4"/>
    <w:rsid w:val="000D65B8"/>
    <w:rsid w:val="000E10DA"/>
    <w:rsid w:val="000F401A"/>
    <w:rsid w:val="00100CF6"/>
    <w:rsid w:val="001403A3"/>
    <w:rsid w:val="00161D4A"/>
    <w:rsid w:val="001620D6"/>
    <w:rsid w:val="00175FB3"/>
    <w:rsid w:val="001830FE"/>
    <w:rsid w:val="001B2373"/>
    <w:rsid w:val="001C273D"/>
    <w:rsid w:val="001D25D3"/>
    <w:rsid w:val="001D2825"/>
    <w:rsid w:val="001D755F"/>
    <w:rsid w:val="001E43B8"/>
    <w:rsid w:val="001F0BB9"/>
    <w:rsid w:val="001F799F"/>
    <w:rsid w:val="00252865"/>
    <w:rsid w:val="00273CA2"/>
    <w:rsid w:val="00285551"/>
    <w:rsid w:val="00285565"/>
    <w:rsid w:val="002A5ADD"/>
    <w:rsid w:val="002B1A34"/>
    <w:rsid w:val="002B3B66"/>
    <w:rsid w:val="002B49F5"/>
    <w:rsid w:val="00334278"/>
    <w:rsid w:val="00360795"/>
    <w:rsid w:val="003632D9"/>
    <w:rsid w:val="003747F6"/>
    <w:rsid w:val="003969F5"/>
    <w:rsid w:val="003970E3"/>
    <w:rsid w:val="00401248"/>
    <w:rsid w:val="00422102"/>
    <w:rsid w:val="00426835"/>
    <w:rsid w:val="00446289"/>
    <w:rsid w:val="004566BA"/>
    <w:rsid w:val="004B0A4B"/>
    <w:rsid w:val="004C724D"/>
    <w:rsid w:val="004D05C1"/>
    <w:rsid w:val="0051101F"/>
    <w:rsid w:val="00517FF7"/>
    <w:rsid w:val="00533284"/>
    <w:rsid w:val="0054516E"/>
    <w:rsid w:val="005554C8"/>
    <w:rsid w:val="00575357"/>
    <w:rsid w:val="0058029E"/>
    <w:rsid w:val="00610140"/>
    <w:rsid w:val="006224D8"/>
    <w:rsid w:val="00622A77"/>
    <w:rsid w:val="00627D3E"/>
    <w:rsid w:val="00677564"/>
    <w:rsid w:val="006A3A02"/>
    <w:rsid w:val="006C6EB3"/>
    <w:rsid w:val="006F43EB"/>
    <w:rsid w:val="00701386"/>
    <w:rsid w:val="00703448"/>
    <w:rsid w:val="007075C3"/>
    <w:rsid w:val="007305D5"/>
    <w:rsid w:val="007A12D7"/>
    <w:rsid w:val="007C1889"/>
    <w:rsid w:val="007F60FE"/>
    <w:rsid w:val="00831EE3"/>
    <w:rsid w:val="00846F0B"/>
    <w:rsid w:val="00867306"/>
    <w:rsid w:val="008779CF"/>
    <w:rsid w:val="00894195"/>
    <w:rsid w:val="008A1F43"/>
    <w:rsid w:val="008C311E"/>
    <w:rsid w:val="008C7845"/>
    <w:rsid w:val="008E519B"/>
    <w:rsid w:val="009146EB"/>
    <w:rsid w:val="0091660F"/>
    <w:rsid w:val="00956171"/>
    <w:rsid w:val="009718A5"/>
    <w:rsid w:val="00997EF1"/>
    <w:rsid w:val="009E06DB"/>
    <w:rsid w:val="00A1542E"/>
    <w:rsid w:val="00A209AE"/>
    <w:rsid w:val="00A34854"/>
    <w:rsid w:val="00A64853"/>
    <w:rsid w:val="00AB05B8"/>
    <w:rsid w:val="00AB6D26"/>
    <w:rsid w:val="00B25AF7"/>
    <w:rsid w:val="00B42BD5"/>
    <w:rsid w:val="00B53100"/>
    <w:rsid w:val="00B54AD6"/>
    <w:rsid w:val="00B85BCB"/>
    <w:rsid w:val="00B94CEC"/>
    <w:rsid w:val="00BB253F"/>
    <w:rsid w:val="00BB26CE"/>
    <w:rsid w:val="00BD2509"/>
    <w:rsid w:val="00BD4D4F"/>
    <w:rsid w:val="00BE6BBB"/>
    <w:rsid w:val="00BF763E"/>
    <w:rsid w:val="00C0408F"/>
    <w:rsid w:val="00C475FC"/>
    <w:rsid w:val="00C6618E"/>
    <w:rsid w:val="00C74C21"/>
    <w:rsid w:val="00C7577B"/>
    <w:rsid w:val="00C77A17"/>
    <w:rsid w:val="00CD37B1"/>
    <w:rsid w:val="00D05C4E"/>
    <w:rsid w:val="00D14F1E"/>
    <w:rsid w:val="00D25D74"/>
    <w:rsid w:val="00D266DD"/>
    <w:rsid w:val="00D537E4"/>
    <w:rsid w:val="00D62A84"/>
    <w:rsid w:val="00D63053"/>
    <w:rsid w:val="00DA34FA"/>
    <w:rsid w:val="00DB6BAA"/>
    <w:rsid w:val="00DD0BF6"/>
    <w:rsid w:val="00DD35EB"/>
    <w:rsid w:val="00E10D56"/>
    <w:rsid w:val="00E36B36"/>
    <w:rsid w:val="00E77CAC"/>
    <w:rsid w:val="00EA1200"/>
    <w:rsid w:val="00ED128D"/>
    <w:rsid w:val="00F162C5"/>
    <w:rsid w:val="00F2129D"/>
    <w:rsid w:val="00F21944"/>
    <w:rsid w:val="00F97B09"/>
    <w:rsid w:val="00FA1E63"/>
    <w:rsid w:val="00FB24A0"/>
    <w:rsid w:val="00FE4B16"/>
    <w:rsid w:val="00FE7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073083E-AE37-4897-A337-92874CD2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D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4D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4D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4D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4D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D4D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4D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4D4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D4D4F"/>
    <w:rPr>
      <w:vertAlign w:val="superscript"/>
    </w:rPr>
  </w:style>
  <w:style w:type="character" w:styleId="Hipervnculo">
    <w:name w:val="Hyperlink"/>
    <w:basedOn w:val="Fuentedeprrafopredeter"/>
    <w:uiPriority w:val="99"/>
    <w:unhideWhenUsed/>
    <w:rsid w:val="00BD4D4F"/>
    <w:rPr>
      <w:color w:val="0563C1" w:themeColor="hyperlink"/>
      <w:u w:val="single"/>
    </w:rPr>
  </w:style>
  <w:style w:type="paragraph" w:styleId="Sinespaciado">
    <w:name w:val="No Spacing"/>
    <w:aliases w:val="Francesa"/>
    <w:link w:val="SinespaciadoCar"/>
    <w:uiPriority w:val="1"/>
    <w:qFormat/>
    <w:rsid w:val="00BD4D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D4D4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D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342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4278"/>
    <w:rPr>
      <w:sz w:val="20"/>
      <w:szCs w:val="20"/>
    </w:rPr>
  </w:style>
  <w:style w:type="paragraph" w:customStyle="1" w:styleId="texto">
    <w:name w:val="texto"/>
    <w:basedOn w:val="Normal"/>
    <w:rsid w:val="007A12D7"/>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4B0A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0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72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32DF-6400-49A9-9434-7042D81E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6082</Words>
  <Characters>33455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2019-02-28T15:44:00Z</cp:lastPrinted>
  <dcterms:created xsi:type="dcterms:W3CDTF">2019-03-11T16:48:00Z</dcterms:created>
  <dcterms:modified xsi:type="dcterms:W3CDTF">2019-03-11T16:48:00Z</dcterms:modified>
</cp:coreProperties>
</file>