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64" w:rsidRPr="002C6C73" w:rsidRDefault="00AC3C64" w:rsidP="00AC3C64">
      <w:pPr>
        <w:spacing w:before="240" w:after="240"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México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de fecha</w:t>
      </w:r>
      <w:r w:rsidR="009A6B38">
        <w:rPr>
          <w:rStyle w:val="apple-converted-space"/>
          <w:rFonts w:ascii="Palatino Linotype" w:hAnsi="Palatino Linotype" w:cs="Arial"/>
        </w:rPr>
        <w:t xml:space="preserve"> veintisiete</w:t>
      </w:r>
      <w:r w:rsidR="00A52344">
        <w:rPr>
          <w:rStyle w:val="apple-converted-space"/>
          <w:rFonts w:ascii="Palatino Linotype" w:hAnsi="Palatino Linotype" w:cs="Arial"/>
        </w:rPr>
        <w:t xml:space="preserve"> de febrero</w:t>
      </w:r>
      <w:r w:rsidR="003823C8">
        <w:rPr>
          <w:rStyle w:val="apple-converted-space"/>
          <w:rFonts w:ascii="Palatino Linotype" w:hAnsi="Palatino Linotype" w:cs="Arial"/>
        </w:rPr>
        <w:t xml:space="preserve"> </w:t>
      </w:r>
      <w:r w:rsidR="000231D0">
        <w:rPr>
          <w:rStyle w:val="normaltextrun"/>
          <w:rFonts w:ascii="Palatino Linotype" w:hAnsi="Palatino Linotype" w:cs="Arial"/>
        </w:rPr>
        <w:t>de dos mil diecinueve</w:t>
      </w:r>
      <w:r w:rsidRPr="002C6C73">
        <w:rPr>
          <w:rStyle w:val="normaltextrun"/>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A52344">
        <w:rPr>
          <w:rFonts w:ascii="Palatino Linotype" w:hAnsi="Palatino Linotype" w:cs="Arial"/>
          <w:b/>
          <w:bCs/>
        </w:rPr>
        <w:t>04739</w:t>
      </w:r>
      <w:r>
        <w:rPr>
          <w:rFonts w:ascii="Palatino Linotype" w:hAnsi="Palatino Linotype" w:cs="Arial"/>
          <w:b/>
          <w:bCs/>
        </w:rPr>
        <w:t>/INFOEM/IP/RR/2018</w:t>
      </w:r>
      <w:r w:rsidRPr="00911351">
        <w:rPr>
          <w:rFonts w:ascii="Palatino Linotype" w:hAnsi="Palatino Linotype" w:cs="Arial"/>
        </w:rPr>
        <w:t xml:space="preserve">, interpuesto por </w:t>
      </w:r>
      <w:proofErr w:type="spellStart"/>
      <w:r w:rsidR="00BE1254">
        <w:rPr>
          <w:rFonts w:ascii="Palatino Linotype" w:hAnsi="Palatino Linotype" w:cs="Arial"/>
          <w:b/>
        </w:rPr>
        <w:t>Xxxxxx</w:t>
      </w:r>
      <w:proofErr w:type="spellEnd"/>
      <w:r w:rsidR="00BE1254">
        <w:rPr>
          <w:rFonts w:ascii="Palatino Linotype" w:hAnsi="Palatino Linotype" w:cs="Arial"/>
          <w:b/>
        </w:rPr>
        <w:t xml:space="preserve"> </w:t>
      </w:r>
      <w:proofErr w:type="spellStart"/>
      <w:r w:rsidR="00BE1254">
        <w:rPr>
          <w:rFonts w:ascii="Palatino Linotype" w:hAnsi="Palatino Linotype" w:cs="Arial"/>
          <w:b/>
        </w:rPr>
        <w:t>Xxxxxx</w:t>
      </w:r>
      <w:proofErr w:type="spellEnd"/>
      <w:r w:rsidR="00BE1254">
        <w:rPr>
          <w:rFonts w:ascii="Palatino Linotype" w:hAnsi="Palatino Linotype" w:cs="Arial"/>
          <w:b/>
        </w:rPr>
        <w:t xml:space="preserve"> </w:t>
      </w:r>
      <w:proofErr w:type="spellStart"/>
      <w:r w:rsidR="00BE1254">
        <w:rPr>
          <w:rFonts w:ascii="Palatino Linotype" w:hAnsi="Palatino Linotype" w:cs="Arial"/>
          <w:b/>
        </w:rPr>
        <w:t>Xxxxxx</w:t>
      </w:r>
      <w:proofErr w:type="spellEnd"/>
      <w:r w:rsidR="00BE1254">
        <w:rPr>
          <w:rFonts w:ascii="Palatino Linotype" w:hAnsi="Palatino Linotype" w:cs="Arial"/>
          <w:b/>
        </w:rPr>
        <w:t xml:space="preserve"> </w:t>
      </w:r>
      <w:proofErr w:type="spellStart"/>
      <w:r w:rsidR="00BE1254">
        <w:rPr>
          <w:rFonts w:ascii="Palatino Linotype" w:hAnsi="Palatino Linotype" w:cs="Arial"/>
          <w:b/>
        </w:rPr>
        <w:t>Xxxxx</w:t>
      </w:r>
      <w:proofErr w:type="spellEnd"/>
      <w:r w:rsidR="00BE1254">
        <w:rPr>
          <w:rFonts w:ascii="Palatino Linotype" w:hAnsi="Palatino Linotype" w:cs="Arial"/>
          <w:b/>
        </w:rPr>
        <w:t xml:space="preserve"> </w:t>
      </w:r>
      <w:proofErr w:type="spellStart"/>
      <w:r w:rsidR="00BE1254">
        <w:rPr>
          <w:rFonts w:ascii="Palatino Linotype" w:hAnsi="Palatino Linotype" w:cs="Arial"/>
          <w:b/>
        </w:rPr>
        <w:t>Xxxxx</w:t>
      </w:r>
      <w:proofErr w:type="spellEnd"/>
      <w:r w:rsidRPr="00911351">
        <w:rPr>
          <w:rFonts w:ascii="Palatino Linotype" w:hAnsi="Palatino Linotype" w:cs="Arial"/>
        </w:rPr>
        <w:t xml:space="preserve">, en lo sucesivo </w:t>
      </w:r>
      <w:r w:rsidR="00A52344">
        <w:rPr>
          <w:rFonts w:ascii="Palatino Linotype" w:hAnsi="Palatino Linotype" w:cs="Arial"/>
        </w:rPr>
        <w:t>la</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 respuesta a su solicitud de información con número de folio </w:t>
      </w:r>
      <w:r w:rsidR="00A52344">
        <w:rPr>
          <w:rFonts w:ascii="Palatino Linotype" w:hAnsi="Palatino Linotype" w:cs="Arial"/>
          <w:b/>
        </w:rPr>
        <w:t>01453</w:t>
      </w:r>
      <w:r w:rsidRPr="00911351">
        <w:rPr>
          <w:rFonts w:ascii="Palatino Linotype" w:hAnsi="Palatino Linotype" w:cs="Arial"/>
          <w:b/>
        </w:rPr>
        <w:t>/</w:t>
      </w:r>
      <w:r w:rsidR="000231D0">
        <w:rPr>
          <w:rFonts w:ascii="Palatino Linotype" w:hAnsi="Palatino Linotype" w:cs="Arial"/>
          <w:b/>
        </w:rPr>
        <w:t>UPVT</w:t>
      </w:r>
      <w:r>
        <w:rPr>
          <w:rFonts w:ascii="Palatino Linotype" w:hAnsi="Palatino Linotype" w:cs="Arial"/>
          <w:b/>
        </w:rPr>
        <w:t>/IP/2018</w:t>
      </w:r>
      <w:r w:rsidRPr="00911351">
        <w:rPr>
          <w:rFonts w:ascii="Palatino Linotype" w:hAnsi="Palatino Linotype" w:cs="Arial"/>
        </w:rPr>
        <w:t>, por parte de</w:t>
      </w:r>
      <w:r w:rsidR="00A52344">
        <w:rPr>
          <w:rFonts w:ascii="Palatino Linotype" w:hAnsi="Palatino Linotype" w:cs="Arial"/>
        </w:rPr>
        <w:t xml:space="preserve"> la</w:t>
      </w:r>
      <w:r w:rsidRPr="00911351">
        <w:rPr>
          <w:rFonts w:ascii="Palatino Linotype" w:hAnsi="Palatino Linotype" w:cs="Arial"/>
        </w:rPr>
        <w:t xml:space="preserve"> </w:t>
      </w:r>
      <w:r w:rsidR="00A52344">
        <w:rPr>
          <w:rFonts w:ascii="Palatino Linotype" w:hAnsi="Palatino Linotype" w:cs="Arial"/>
          <w:b/>
        </w:rPr>
        <w:t>Universidad Politécnica del Valle de Toluca</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bookmarkStart w:id="0" w:name="_GoBack"/>
      <w:bookmarkEnd w:id="0"/>
    </w:p>
    <w:p w:rsidR="00AC3C64" w:rsidRPr="00911351" w:rsidRDefault="00075746" w:rsidP="00075746">
      <w:pPr>
        <w:pStyle w:val="Prrafodelista"/>
        <w:numPr>
          <w:ilvl w:val="0"/>
          <w:numId w:val="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rsidR="00AC3C64" w:rsidRPr="00911351" w:rsidRDefault="00AC3C64" w:rsidP="00AC3C64">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2B4D27">
        <w:rPr>
          <w:rFonts w:ascii="Palatino Linotype" w:hAnsi="Palatino Linotype" w:cs="Arial"/>
        </w:rPr>
        <w:t>uno</w:t>
      </w:r>
      <w:r w:rsidRPr="00911351">
        <w:rPr>
          <w:rFonts w:ascii="Palatino Linotype" w:hAnsi="Palatino Linotype" w:cs="Arial"/>
        </w:rPr>
        <w:t xml:space="preserve"> de </w:t>
      </w:r>
      <w:r w:rsidR="002B4D27">
        <w:rPr>
          <w:rFonts w:ascii="Palatino Linotype" w:hAnsi="Palatino Linotype" w:cs="Arial"/>
        </w:rPr>
        <w:t>noviembre</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xml:space="preserve">, la parte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005A3389" w:rsidRPr="00911351">
        <w:rPr>
          <w:rFonts w:ascii="Palatino Linotype" w:hAnsi="Palatino Linotype" w:cs="Arial"/>
          <w:b/>
        </w:rPr>
        <w:t>,</w:t>
      </w:r>
      <w:r w:rsidR="005A3389" w:rsidRPr="00911351">
        <w:rPr>
          <w:rFonts w:ascii="Palatino Linotype" w:hAnsi="Palatino Linotype" w:cs="Arial"/>
        </w:rPr>
        <w:t xml:space="preserve"> requiriéndole</w:t>
      </w:r>
      <w:r w:rsidRPr="00911351">
        <w:rPr>
          <w:rFonts w:ascii="Palatino Linotype" w:hAnsi="Palatino Linotype" w:cs="Arial"/>
        </w:rPr>
        <w:t xml:space="preserve"> lo siguiente:</w:t>
      </w:r>
    </w:p>
    <w:p w:rsidR="00AC3C64" w:rsidRPr="00FA59AA" w:rsidRDefault="00AC3C64" w:rsidP="00AC3C64">
      <w:pPr>
        <w:autoSpaceDE w:val="0"/>
        <w:autoSpaceDN w:val="0"/>
        <w:adjustRightInd w:val="0"/>
        <w:ind w:left="851" w:right="900"/>
        <w:jc w:val="both"/>
        <w:rPr>
          <w:rFonts w:ascii="Palatino Linotype" w:hAnsi="Palatino Linotype"/>
          <w:i/>
          <w:sz w:val="22"/>
          <w:szCs w:val="22"/>
        </w:rPr>
      </w:pPr>
      <w:r w:rsidRPr="003823C8">
        <w:rPr>
          <w:rFonts w:ascii="Palatino Linotype" w:hAnsi="Palatino Linotype"/>
          <w:i/>
          <w:color w:val="000000"/>
          <w:sz w:val="22"/>
          <w:szCs w:val="22"/>
        </w:rPr>
        <w:t>“</w:t>
      </w:r>
      <w:r w:rsidR="002B4D27">
        <w:rPr>
          <w:rFonts w:ascii="Palatino Linotype" w:hAnsi="Palatino Linotype"/>
          <w:i/>
          <w:color w:val="000000"/>
          <w:sz w:val="22"/>
          <w:szCs w:val="22"/>
        </w:rPr>
        <w:t>¿Porque la universidad suscribe contratos por período de tiempo y no indeterminados?</w:t>
      </w:r>
      <w:r w:rsidR="005A3389" w:rsidRPr="00FA59AA">
        <w:rPr>
          <w:rFonts w:ascii="Palatino Linotype" w:hAnsi="Palatino Linotype"/>
          <w:i/>
          <w:sz w:val="22"/>
          <w:szCs w:val="22"/>
        </w:rPr>
        <w:t>”</w:t>
      </w:r>
      <w:r w:rsidRPr="00FA59AA">
        <w:rPr>
          <w:rFonts w:ascii="Palatino Linotype" w:hAnsi="Palatino Linotype" w:cs="Arial"/>
          <w:i/>
          <w:sz w:val="22"/>
          <w:szCs w:val="22"/>
        </w:rPr>
        <w:t xml:space="preserve"> (</w:t>
      </w:r>
      <w:r w:rsidR="005A3389" w:rsidRPr="00FA59AA">
        <w:rPr>
          <w:rFonts w:ascii="Palatino Linotype" w:hAnsi="Palatino Linotype" w:cs="Arial"/>
          <w:i/>
          <w:sz w:val="22"/>
          <w:szCs w:val="22"/>
        </w:rPr>
        <w:t>Sic</w:t>
      </w:r>
      <w:r w:rsidRPr="00FA59AA">
        <w:rPr>
          <w:rFonts w:ascii="Palatino Linotype" w:hAnsi="Palatino Linotype" w:cs="Arial"/>
          <w:i/>
          <w:sz w:val="22"/>
          <w:szCs w:val="22"/>
        </w:rPr>
        <w:t>)</w:t>
      </w:r>
    </w:p>
    <w:p w:rsidR="00AC3C64" w:rsidRPr="00911351" w:rsidRDefault="008E70D5" w:rsidP="00AC3C64">
      <w:pPr>
        <w:spacing w:before="240" w:after="240" w:line="360" w:lineRule="auto"/>
        <w:jc w:val="both"/>
        <w:rPr>
          <w:rFonts w:ascii="Palatino Linotype" w:hAnsi="Palatino Linotype" w:cs="Arial"/>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SAIMEX</w:t>
      </w:r>
      <w:r w:rsidR="00AC3C64" w:rsidRPr="00911351">
        <w:rPr>
          <w:rFonts w:ascii="Palatino Linotype" w:hAnsi="Palatino Linotype" w:cs="Arial"/>
        </w:rPr>
        <w:t>.</w:t>
      </w:r>
    </w:p>
    <w:p w:rsidR="00AC3C64" w:rsidRPr="00911351"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2. Respuesta. </w:t>
      </w:r>
      <w:r w:rsidRPr="00911351">
        <w:rPr>
          <w:rFonts w:ascii="Palatino Linotype" w:hAnsi="Palatino Linotype" w:cs="Arial"/>
        </w:rPr>
        <w:t xml:space="preserve">Con fecha </w:t>
      </w:r>
      <w:r w:rsidR="002B4D27">
        <w:rPr>
          <w:rFonts w:ascii="Palatino Linotype" w:hAnsi="Palatino Linotype" w:cs="Arial"/>
        </w:rPr>
        <w:t>veintiséis de noviembre</w:t>
      </w:r>
      <w:r w:rsidRPr="00FD47D2">
        <w:rPr>
          <w:rFonts w:ascii="Palatino Linotype" w:hAnsi="Palatino Linotype" w:cs="Arial"/>
        </w:rPr>
        <w:t xml:space="preserve"> de dos </w:t>
      </w:r>
      <w:r>
        <w:rPr>
          <w:rFonts w:ascii="Palatino Linotype" w:hAnsi="Palatino Linotype" w:cs="Arial"/>
        </w:rPr>
        <w:t>mil dieciocho</w:t>
      </w:r>
      <w:r w:rsidRPr="00911351">
        <w:rPr>
          <w:rFonts w:ascii="Palatino Linotype" w:hAnsi="Palatino Linotype" w:cs="Arial"/>
        </w:rPr>
        <w:t xml:space="preserve"> el </w:t>
      </w:r>
      <w:r w:rsidRPr="00911351">
        <w:rPr>
          <w:rFonts w:ascii="Palatino Linotype" w:hAnsi="Palatino Linotype" w:cs="Arial"/>
          <w:b/>
        </w:rPr>
        <w:t>Sujeto Obligado</w:t>
      </w:r>
      <w:r w:rsidRPr="00911351">
        <w:rPr>
          <w:rFonts w:ascii="Palatino Linotype" w:hAnsi="Palatino Linotype" w:cs="Arial"/>
        </w:rPr>
        <w:t xml:space="preserve"> envió su respuesta a la solicitud de acceso a la información a través del SAIMEX, la cual versa como sigue:</w:t>
      </w:r>
    </w:p>
    <w:p w:rsidR="003823C8" w:rsidRDefault="00AC3C64" w:rsidP="00AC3C64">
      <w:pPr>
        <w:spacing w:before="240" w:after="240"/>
        <w:ind w:left="851" w:right="900"/>
        <w:contextualSpacing/>
        <w:jc w:val="both"/>
        <w:rPr>
          <w:rFonts w:ascii="Palatino Linotype" w:hAnsi="Palatino Linotype"/>
          <w:i/>
          <w:color w:val="000000"/>
          <w:sz w:val="22"/>
          <w:szCs w:val="22"/>
        </w:rPr>
      </w:pPr>
      <w:r w:rsidRPr="00745136">
        <w:rPr>
          <w:rFonts w:ascii="Palatino Linotype" w:hAnsi="Palatino Linotype" w:cs="Arial"/>
          <w:i/>
          <w:sz w:val="22"/>
          <w:szCs w:val="22"/>
        </w:rPr>
        <w:lastRenderedPageBreak/>
        <w:t>“</w:t>
      </w:r>
      <w:r w:rsidR="003823C8" w:rsidRPr="003823C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4D27" w:rsidRDefault="002B4D27" w:rsidP="002B4D27">
      <w:pPr>
        <w:spacing w:before="240" w:after="240"/>
        <w:ind w:left="851" w:right="900"/>
        <w:contextualSpacing/>
        <w:jc w:val="both"/>
        <w:rPr>
          <w:rFonts w:ascii="Palatino Linotype" w:hAnsi="Palatino Linotype"/>
          <w:i/>
          <w:color w:val="000000"/>
          <w:sz w:val="22"/>
          <w:szCs w:val="22"/>
        </w:rPr>
      </w:pPr>
      <w:r w:rsidRPr="002B4D27">
        <w:rPr>
          <w:rFonts w:ascii="Palatino Linotype" w:hAnsi="Palatino Linotype"/>
          <w:i/>
          <w:color w:val="000000"/>
          <w:sz w:val="22"/>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01453/UPVT/IP/2018, que realizó el 1 de noviembre del año en curso, sírvase encontrar en archivo adjunto copia digitalizada en formato </w:t>
      </w:r>
      <w:proofErr w:type="spellStart"/>
      <w:r w:rsidRPr="002B4D27">
        <w:rPr>
          <w:rFonts w:ascii="Palatino Linotype" w:hAnsi="Palatino Linotype"/>
          <w:i/>
          <w:color w:val="000000"/>
          <w:sz w:val="22"/>
          <w:szCs w:val="22"/>
        </w:rPr>
        <w:t>pdf</w:t>
      </w:r>
      <w:proofErr w:type="spellEnd"/>
      <w:r w:rsidRPr="002B4D27">
        <w:rPr>
          <w:rFonts w:ascii="Palatino Linotype" w:hAnsi="Palatino Linotype"/>
          <w:i/>
          <w:color w:val="000000"/>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3823C8" w:rsidRPr="003823C8" w:rsidRDefault="003823C8" w:rsidP="002B4D27">
      <w:pPr>
        <w:spacing w:before="240" w:after="240"/>
        <w:ind w:left="851" w:right="900"/>
        <w:contextualSpacing/>
        <w:jc w:val="both"/>
        <w:rPr>
          <w:rFonts w:ascii="Palatino Linotype" w:hAnsi="Palatino Linotype"/>
          <w:i/>
          <w:color w:val="000000"/>
          <w:sz w:val="22"/>
          <w:szCs w:val="22"/>
        </w:rPr>
      </w:pPr>
      <w:r w:rsidRPr="003823C8">
        <w:rPr>
          <w:rFonts w:ascii="Palatino Linotype" w:hAnsi="Palatino Linotype"/>
          <w:i/>
          <w:color w:val="000000"/>
          <w:sz w:val="22"/>
          <w:szCs w:val="22"/>
        </w:rPr>
        <w:t>ATENTAMENTE</w:t>
      </w:r>
    </w:p>
    <w:p w:rsidR="00AC3C64" w:rsidRDefault="003823C8" w:rsidP="003823C8">
      <w:pPr>
        <w:spacing w:before="240" w:after="240"/>
        <w:ind w:left="851" w:right="902"/>
        <w:contextualSpacing/>
        <w:jc w:val="both"/>
        <w:rPr>
          <w:rFonts w:ascii="Palatino Linotype" w:hAnsi="Palatino Linotype"/>
          <w:i/>
          <w:sz w:val="22"/>
          <w:szCs w:val="22"/>
        </w:rPr>
      </w:pPr>
      <w:r w:rsidRPr="003823C8">
        <w:rPr>
          <w:rFonts w:ascii="Palatino Linotype" w:hAnsi="Palatino Linotype"/>
          <w:i/>
          <w:color w:val="000000"/>
          <w:sz w:val="22"/>
          <w:szCs w:val="22"/>
        </w:rPr>
        <w:t xml:space="preserve">LIC. </w:t>
      </w:r>
      <w:r w:rsidR="002B4D27">
        <w:rPr>
          <w:rFonts w:ascii="Palatino Linotype" w:hAnsi="Palatino Linotype"/>
          <w:i/>
          <w:color w:val="000000"/>
          <w:sz w:val="22"/>
          <w:szCs w:val="22"/>
        </w:rPr>
        <w:t>GABRIELA AVILES OLIVARES</w:t>
      </w:r>
      <w:r w:rsidR="00AC3C64" w:rsidRPr="003823C8">
        <w:rPr>
          <w:rFonts w:ascii="Palatino Linotype" w:hAnsi="Palatino Linotype"/>
          <w:i/>
          <w:color w:val="000000"/>
          <w:sz w:val="22"/>
          <w:szCs w:val="22"/>
        </w:rPr>
        <w:t>”</w:t>
      </w:r>
      <w:r w:rsidR="00AC3C64" w:rsidRPr="00745136">
        <w:rPr>
          <w:rFonts w:ascii="Palatino Linotype" w:hAnsi="Palatino Linotype"/>
          <w:i/>
          <w:sz w:val="22"/>
          <w:szCs w:val="22"/>
        </w:rPr>
        <w:t xml:space="preserve"> (</w:t>
      </w:r>
      <w:r w:rsidR="00F33D43">
        <w:rPr>
          <w:rFonts w:ascii="Palatino Linotype" w:hAnsi="Palatino Linotype"/>
          <w:i/>
          <w:sz w:val="22"/>
          <w:szCs w:val="22"/>
        </w:rPr>
        <w:t>S</w:t>
      </w:r>
      <w:r w:rsidR="00AC3C64" w:rsidRPr="00745136">
        <w:rPr>
          <w:rFonts w:ascii="Palatino Linotype" w:hAnsi="Palatino Linotype"/>
          <w:i/>
          <w:sz w:val="22"/>
          <w:szCs w:val="22"/>
        </w:rPr>
        <w:t>ic)</w:t>
      </w:r>
    </w:p>
    <w:p w:rsidR="003823C8" w:rsidRPr="00745136" w:rsidRDefault="003823C8" w:rsidP="003823C8">
      <w:pPr>
        <w:spacing w:before="240" w:after="240"/>
        <w:ind w:left="851" w:right="902"/>
        <w:contextualSpacing/>
        <w:jc w:val="both"/>
        <w:rPr>
          <w:rFonts w:ascii="Palatino Linotype" w:hAnsi="Palatino Linotype" w:cs="Arial"/>
          <w:i/>
          <w:sz w:val="22"/>
          <w:szCs w:val="22"/>
        </w:rPr>
      </w:pPr>
    </w:p>
    <w:p w:rsidR="002B4D27" w:rsidRPr="00825CB0" w:rsidRDefault="002B4D27" w:rsidP="002B4D27">
      <w:pPr>
        <w:spacing w:before="240" w:after="240" w:line="360" w:lineRule="auto"/>
        <w:jc w:val="both"/>
        <w:rPr>
          <w:rFonts w:ascii="Palatino Linotype" w:hAnsi="Palatino Linotype"/>
        </w:rPr>
      </w:pPr>
      <w:r w:rsidRPr="001D46BF">
        <w:rPr>
          <w:rFonts w:ascii="Palatino Linotype" w:hAnsi="Palatino Linotype"/>
        </w:rPr>
        <w:t xml:space="preserve">Adjuntando </w:t>
      </w:r>
      <w:r>
        <w:rPr>
          <w:rFonts w:ascii="Palatino Linotype" w:hAnsi="Palatino Linotype"/>
        </w:rPr>
        <w:t xml:space="preserve">el Sujeto Obligado </w:t>
      </w:r>
      <w:r w:rsidRPr="001D46BF">
        <w:rPr>
          <w:rFonts w:ascii="Palatino Linotype" w:hAnsi="Palatino Linotype"/>
        </w:rPr>
        <w:t>a su respuesta los archivos electrónico</w:t>
      </w:r>
      <w:r w:rsidR="00C71550">
        <w:rPr>
          <w:rFonts w:ascii="Palatino Linotype" w:hAnsi="Palatino Linotype"/>
        </w:rPr>
        <w:t xml:space="preserve">s: </w:t>
      </w:r>
      <w:r>
        <w:rPr>
          <w:rFonts w:ascii="Palatino Linotype" w:hAnsi="Palatino Linotype"/>
        </w:rPr>
        <w:t>“</w:t>
      </w:r>
      <w:hyperlink r:id="rId8" w:tgtFrame="_blank" w:history="1">
        <w:r w:rsidRPr="002B4D27">
          <w:rPr>
            <w:rFonts w:ascii="Palatino Linotype" w:hAnsi="Palatino Linotype"/>
          </w:rPr>
          <w:t>1453UPVTIP2018.pdf</w:t>
        </w:r>
      </w:hyperlink>
      <w:r>
        <w:rPr>
          <w:rFonts w:ascii="Palatino Linotype" w:hAnsi="Palatino Linotype"/>
        </w:rPr>
        <w:t>”</w:t>
      </w:r>
      <w:r w:rsidR="00C71550">
        <w:rPr>
          <w:rFonts w:ascii="Palatino Linotype" w:hAnsi="Palatino Linotype"/>
        </w:rPr>
        <w:t xml:space="preserve"> y “</w:t>
      </w:r>
      <w:hyperlink r:id="rId9" w:tgtFrame="_blank" w:history="1">
        <w:r w:rsidR="00C71550" w:rsidRPr="00C71550">
          <w:rPr>
            <w:rFonts w:ascii="Palatino Linotype" w:hAnsi="Palatino Linotype"/>
          </w:rPr>
          <w:t>SOLICITANTE DE LA INF SOL 1453.pdf</w:t>
        </w:r>
      </w:hyperlink>
      <w:r w:rsidR="00C71550">
        <w:rPr>
          <w:rFonts w:ascii="Palatino Linotype" w:hAnsi="Palatino Linotype"/>
        </w:rPr>
        <w:t>”</w:t>
      </w:r>
      <w:r>
        <w:rPr>
          <w:rFonts w:ascii="Palatino Linotype" w:hAnsi="Palatino Linotype" w:cs="Arial"/>
        </w:rPr>
        <w:t xml:space="preserve">, </w:t>
      </w:r>
      <w:r>
        <w:rPr>
          <w:rFonts w:ascii="Palatino Linotype" w:hAnsi="Palatino Linotype"/>
        </w:rPr>
        <w:t xml:space="preserve">los cuales </w:t>
      </w:r>
      <w:r>
        <w:rPr>
          <w:rFonts w:ascii="Palatino Linotype" w:hAnsi="Palatino Linotype" w:cs="Arial"/>
        </w:rPr>
        <w:t>cual serán detallados y analizados</w:t>
      </w:r>
      <w:r w:rsidRPr="00080788">
        <w:rPr>
          <w:rFonts w:ascii="Palatino Linotype" w:hAnsi="Palatino Linotype" w:cs="Arial"/>
        </w:rPr>
        <w:t xml:space="preserve"> más adelante en el apartado correspondiente.</w:t>
      </w:r>
    </w:p>
    <w:p w:rsidR="00AC3C64" w:rsidRDefault="00AC3C64" w:rsidP="00AC3C64">
      <w:pPr>
        <w:spacing w:before="240" w:after="240" w:line="360" w:lineRule="auto"/>
        <w:jc w:val="both"/>
        <w:rPr>
          <w:rFonts w:ascii="Palatino Linotype" w:hAnsi="Palatino Linotype" w:cs="Arial"/>
        </w:rPr>
      </w:pPr>
      <w:r w:rsidRPr="00911351">
        <w:rPr>
          <w:rFonts w:ascii="Palatino Linotype" w:hAnsi="Palatino Linotype" w:cs="Arial"/>
          <w:b/>
        </w:rPr>
        <w:t xml:space="preserve">3. Interposición del recurso de revisión. </w:t>
      </w:r>
      <w:r w:rsidRPr="00911351">
        <w:rPr>
          <w:rFonts w:ascii="Palatino Linotype" w:hAnsi="Palatino Linotype" w:cs="Arial"/>
        </w:rPr>
        <w:t xml:space="preserve">Inconforme </w:t>
      </w:r>
      <w:r w:rsidR="002B4D27">
        <w:rPr>
          <w:rFonts w:ascii="Palatino Linotype" w:hAnsi="Palatino Linotype" w:cs="Arial"/>
        </w:rPr>
        <w:t>la</w:t>
      </w:r>
      <w:r w:rsidRPr="00911351">
        <w:rPr>
          <w:rFonts w:ascii="Palatino Linotype" w:hAnsi="Palatino Linotype" w:cs="Arial"/>
        </w:rPr>
        <w:t xml:space="preserve"> solicitante con la respuesta del </w:t>
      </w:r>
      <w:r w:rsidRPr="00911351">
        <w:rPr>
          <w:rFonts w:ascii="Palatino Linotype" w:hAnsi="Palatino Linotype" w:cs="Arial"/>
          <w:b/>
        </w:rPr>
        <w:t>Sujeto Obligado</w:t>
      </w:r>
      <w:r w:rsidRPr="00911351">
        <w:rPr>
          <w:rFonts w:ascii="Palatino Linotype" w:hAnsi="Palatino Linotype" w:cs="Arial"/>
        </w:rPr>
        <w:t xml:space="preserve"> interpuso recurso de revisión a través del SAIMEX en fecha </w:t>
      </w:r>
      <w:r w:rsidR="00C71550">
        <w:rPr>
          <w:rFonts w:ascii="Palatino Linotype" w:hAnsi="Palatino Linotype" w:cs="Arial"/>
        </w:rPr>
        <w:t>once</w:t>
      </w:r>
      <w:r w:rsidRPr="00911351">
        <w:rPr>
          <w:rFonts w:ascii="Palatino Linotype" w:hAnsi="Palatino Linotype" w:cs="Arial"/>
        </w:rPr>
        <w:t xml:space="preserve"> de </w:t>
      </w:r>
      <w:r w:rsidR="00C71550">
        <w:rPr>
          <w:rFonts w:ascii="Palatino Linotype" w:hAnsi="Palatino Linotype" w:cs="Arial"/>
        </w:rPr>
        <w:t>diciembre</w:t>
      </w:r>
      <w:r w:rsidRPr="00911351">
        <w:rPr>
          <w:rFonts w:ascii="Palatino Linotype" w:hAnsi="Palatino Linotype" w:cs="Arial"/>
        </w:rPr>
        <w:t xml:space="preserve"> de dos mil </w:t>
      </w:r>
      <w:r>
        <w:rPr>
          <w:rFonts w:ascii="Palatino Linotype" w:hAnsi="Palatino Linotype" w:cs="Arial"/>
        </w:rPr>
        <w:t>dieciocho</w:t>
      </w:r>
      <w:r w:rsidRPr="00911351">
        <w:rPr>
          <w:rFonts w:ascii="Palatino Linotype" w:hAnsi="Palatino Linotype" w:cs="Arial"/>
        </w:rPr>
        <w:t>, a través del cual expresó lo siguiente:</w:t>
      </w:r>
    </w:p>
    <w:p w:rsidR="00AC3C64" w:rsidRPr="00911351" w:rsidRDefault="00AC3C64" w:rsidP="00AC3C64">
      <w:pPr>
        <w:spacing w:line="360" w:lineRule="auto"/>
        <w:rPr>
          <w:rFonts w:ascii="Palatino Linotype" w:hAnsi="Palatino Linotype" w:cs="Arial"/>
          <w:b/>
        </w:rPr>
      </w:pPr>
      <w:r w:rsidRPr="00911351">
        <w:rPr>
          <w:rFonts w:ascii="Palatino Linotype" w:hAnsi="Palatino Linotype" w:cs="Arial"/>
          <w:b/>
        </w:rPr>
        <w:t>a) Acto impugnado.</w:t>
      </w:r>
    </w:p>
    <w:p w:rsidR="00AC3C64" w:rsidRPr="00E85388" w:rsidRDefault="00AC3C64" w:rsidP="00AC3C64">
      <w:pPr>
        <w:spacing w:after="240"/>
        <w:ind w:left="851" w:right="900"/>
        <w:jc w:val="both"/>
        <w:rPr>
          <w:rFonts w:ascii="Palatino Linotype" w:hAnsi="Palatino Linotype" w:cs="Arial"/>
          <w:i/>
          <w:sz w:val="22"/>
          <w:szCs w:val="22"/>
        </w:rPr>
      </w:pPr>
      <w:r w:rsidRPr="00E85388">
        <w:rPr>
          <w:rFonts w:ascii="Palatino Linotype" w:hAnsi="Palatino Linotype" w:cs="Arial"/>
          <w:i/>
          <w:sz w:val="22"/>
          <w:szCs w:val="22"/>
        </w:rPr>
        <w:t>“</w:t>
      </w:r>
      <w:r w:rsidR="00C71550">
        <w:rPr>
          <w:rFonts w:ascii="Palatino Linotype" w:hAnsi="Palatino Linotype"/>
          <w:i/>
          <w:color w:val="000000"/>
          <w:sz w:val="22"/>
          <w:szCs w:val="22"/>
        </w:rPr>
        <w:t>No es la información pedida</w:t>
      </w:r>
      <w:r w:rsidRPr="00E85388">
        <w:rPr>
          <w:rFonts w:ascii="Palatino Linotype" w:hAnsi="Palatino Linotype" w:cs="Arial"/>
          <w:i/>
          <w:sz w:val="22"/>
          <w:szCs w:val="22"/>
        </w:rPr>
        <w:t>” (</w:t>
      </w:r>
      <w:r w:rsidR="00F33D43" w:rsidRPr="00E85388">
        <w:rPr>
          <w:rFonts w:ascii="Palatino Linotype" w:hAnsi="Palatino Linotype" w:cs="Arial"/>
          <w:i/>
          <w:sz w:val="22"/>
          <w:szCs w:val="22"/>
        </w:rPr>
        <w:t>Sic</w:t>
      </w:r>
      <w:r w:rsidRPr="00E85388">
        <w:rPr>
          <w:rFonts w:ascii="Palatino Linotype" w:hAnsi="Palatino Linotype" w:cs="Arial"/>
          <w:i/>
          <w:sz w:val="22"/>
          <w:szCs w:val="22"/>
        </w:rPr>
        <w:t>)</w:t>
      </w:r>
    </w:p>
    <w:p w:rsidR="00AC3C64" w:rsidRPr="00911351" w:rsidRDefault="00AC3C64" w:rsidP="00AC3C64">
      <w:pPr>
        <w:spacing w:line="360" w:lineRule="auto"/>
        <w:jc w:val="both"/>
        <w:rPr>
          <w:rFonts w:ascii="Palatino Linotype" w:hAnsi="Palatino Linotype" w:cs="Arial"/>
          <w:b/>
        </w:rPr>
      </w:pPr>
      <w:r w:rsidRPr="00911351">
        <w:rPr>
          <w:rFonts w:ascii="Palatino Linotype" w:hAnsi="Palatino Linotype" w:cs="Arial"/>
          <w:b/>
        </w:rPr>
        <w:t>b) Motivos de inconformidad.</w:t>
      </w:r>
    </w:p>
    <w:p w:rsidR="00AC3C64" w:rsidRPr="00C71550" w:rsidRDefault="00AC3C64" w:rsidP="00C71550">
      <w:pPr>
        <w:spacing w:after="240"/>
        <w:ind w:left="851" w:right="900"/>
        <w:jc w:val="both"/>
        <w:rPr>
          <w:rFonts w:ascii="Palatino Linotype" w:hAnsi="Palatino Linotype"/>
          <w:i/>
          <w:color w:val="000000"/>
          <w:sz w:val="22"/>
          <w:szCs w:val="22"/>
        </w:rPr>
      </w:pPr>
      <w:r w:rsidRPr="00E85388">
        <w:rPr>
          <w:rFonts w:ascii="Palatino Linotype" w:hAnsi="Palatino Linotype" w:cs="Arial"/>
          <w:i/>
          <w:sz w:val="22"/>
          <w:szCs w:val="22"/>
        </w:rPr>
        <w:t>“</w:t>
      </w:r>
      <w:r w:rsidR="00C71550" w:rsidRPr="00C71550">
        <w:rPr>
          <w:rFonts w:ascii="Palatino Linotype" w:hAnsi="Palatino Linotype"/>
          <w:i/>
          <w:color w:val="000000"/>
          <w:sz w:val="22"/>
          <w:szCs w:val="22"/>
        </w:rPr>
        <w:t xml:space="preserve">En ningún momento se hace afirmación, se </w:t>
      </w:r>
      <w:proofErr w:type="spellStart"/>
      <w:r w:rsidR="00C71550" w:rsidRPr="00C71550">
        <w:rPr>
          <w:rFonts w:ascii="Palatino Linotype" w:hAnsi="Palatino Linotype"/>
          <w:i/>
          <w:color w:val="000000"/>
          <w:sz w:val="22"/>
          <w:szCs w:val="22"/>
        </w:rPr>
        <w:t>esta</w:t>
      </w:r>
      <w:proofErr w:type="spellEnd"/>
      <w:r w:rsidR="00C71550" w:rsidRPr="00C71550">
        <w:rPr>
          <w:rFonts w:ascii="Palatino Linotype" w:hAnsi="Palatino Linotype"/>
          <w:i/>
          <w:color w:val="000000"/>
          <w:sz w:val="22"/>
          <w:szCs w:val="22"/>
        </w:rPr>
        <w:t xml:space="preserve"> solicitando saber el tipo de contratos, si la ignorancia de la persona que da la respuesta a la solicitud, no le permite entender que debe informar referente a los contratos que lo haga manifiesto</w:t>
      </w:r>
      <w:r w:rsidR="00C71550">
        <w:rPr>
          <w:rFonts w:ascii="Palatino Linotype" w:hAnsi="Palatino Linotype"/>
          <w:i/>
          <w:color w:val="000000"/>
          <w:sz w:val="22"/>
          <w:szCs w:val="22"/>
        </w:rPr>
        <w:t xml:space="preserve">” </w:t>
      </w:r>
      <w:r w:rsidR="009A3844">
        <w:rPr>
          <w:rFonts w:ascii="Palatino Linotype" w:hAnsi="Palatino Linotype"/>
          <w:i/>
          <w:color w:val="000000"/>
          <w:sz w:val="22"/>
          <w:szCs w:val="22"/>
        </w:rPr>
        <w:t>(</w:t>
      </w:r>
      <w:r w:rsidR="00F33D43" w:rsidRPr="00C71550">
        <w:rPr>
          <w:rFonts w:ascii="Palatino Linotype" w:hAnsi="Palatino Linotype"/>
          <w:i/>
          <w:color w:val="000000"/>
          <w:sz w:val="22"/>
          <w:szCs w:val="22"/>
        </w:rPr>
        <w:t>Sic</w:t>
      </w:r>
      <w:r w:rsidRPr="00C71550">
        <w:rPr>
          <w:rFonts w:ascii="Palatino Linotype" w:hAnsi="Palatino Linotype"/>
          <w:i/>
          <w:color w:val="000000"/>
          <w:sz w:val="22"/>
          <w:szCs w:val="22"/>
        </w:rPr>
        <w:t>)</w:t>
      </w:r>
    </w:p>
    <w:p w:rsidR="009A3844" w:rsidRDefault="00AC3C64" w:rsidP="009A3844">
      <w:pPr>
        <w:spacing w:before="240" w:after="240" w:line="360" w:lineRule="auto"/>
        <w:contextualSpacing/>
        <w:jc w:val="both"/>
        <w:rPr>
          <w:rFonts w:ascii="Palatino Linotype" w:eastAsia="Calibri" w:hAnsi="Palatino Linotype" w:cs="Arial"/>
        </w:rPr>
      </w:pPr>
      <w:r w:rsidRPr="00911351">
        <w:rPr>
          <w:rFonts w:ascii="Palatino Linotype" w:hAnsi="Palatino Linotype"/>
          <w:b/>
        </w:rPr>
        <w:lastRenderedPageBreak/>
        <w:t xml:space="preserve">4. Turno. </w:t>
      </w:r>
      <w:r w:rsidRPr="00911351">
        <w:rPr>
          <w:rFonts w:ascii="Palatino Linotype" w:hAnsi="Palatino Linotype"/>
        </w:rPr>
        <w:t xml:space="preserve">De conformidad con el artículo 185, fracción I de la </w:t>
      </w:r>
      <w:r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C71550">
        <w:rPr>
          <w:rFonts w:ascii="Palatino Linotype" w:hAnsi="Palatino Linotype" w:cs="Arial"/>
          <w:b/>
        </w:rPr>
        <w:t>04739</w:t>
      </w:r>
      <w:r>
        <w:rPr>
          <w:rFonts w:ascii="Palatino Linotype" w:hAnsi="Palatino Linotype" w:cs="Arial"/>
          <w:b/>
        </w:rPr>
        <w:t>/INFOEM/IP/RR/2018</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9A3844" w:rsidRPr="00553FFC">
        <w:rPr>
          <w:rFonts w:ascii="Palatino Linotype" w:hAnsi="Palatino Linotype" w:cs="Arial"/>
        </w:rPr>
        <w:t>al</w:t>
      </w:r>
      <w:r w:rsidR="009A3844" w:rsidRPr="00553FFC">
        <w:rPr>
          <w:rFonts w:ascii="Palatino Linotype" w:eastAsia="Calibri" w:hAnsi="Palatino Linotype" w:cs="Arial"/>
        </w:rPr>
        <w:t xml:space="preserve"> Comisionado </w:t>
      </w:r>
      <w:r w:rsidR="009A3844" w:rsidRPr="00553FFC">
        <w:rPr>
          <w:rFonts w:ascii="Palatino Linotype" w:eastAsia="Calibri" w:hAnsi="Palatino Linotype" w:cs="Arial"/>
          <w:b/>
        </w:rPr>
        <w:t>Javier Martínez Cruz</w:t>
      </w:r>
      <w:r w:rsidRPr="0091135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rsidR="00C71550" w:rsidRDefault="00C71550" w:rsidP="00AC3C64">
      <w:pPr>
        <w:spacing w:before="240" w:after="240" w:line="360" w:lineRule="auto"/>
        <w:contextualSpacing/>
        <w:jc w:val="both"/>
        <w:rPr>
          <w:rFonts w:ascii="Palatino Linotype" w:hAnsi="Palatino Linotype" w:cs="Arial"/>
          <w:b/>
        </w:rPr>
      </w:pPr>
    </w:p>
    <w:p w:rsidR="00AC3C64" w:rsidRPr="00911351" w:rsidRDefault="00AC3C64" w:rsidP="00AC3C64">
      <w:pPr>
        <w:spacing w:before="240" w:after="240" w:line="360" w:lineRule="auto"/>
        <w:contextualSpacing/>
        <w:jc w:val="both"/>
        <w:rPr>
          <w:rFonts w:ascii="Palatino Linotype" w:hAnsi="Palatino Linotype" w:cs="Arial"/>
        </w:rPr>
      </w:pPr>
      <w:r w:rsidRPr="00911351">
        <w:rPr>
          <w:rFonts w:ascii="Palatino Linotype" w:hAnsi="Palatino Linotype" w:cs="Arial"/>
          <w:b/>
        </w:rPr>
        <w:t xml:space="preserve">5. Admisión del recurso de revisión: </w:t>
      </w:r>
      <w:r w:rsidRPr="00911351">
        <w:rPr>
          <w:rFonts w:ascii="Palatino Linotype" w:hAnsi="Palatino Linotype" w:cs="Arial"/>
        </w:rPr>
        <w:t xml:space="preserve">En fecha </w:t>
      </w:r>
      <w:r w:rsidR="00C71550">
        <w:rPr>
          <w:rFonts w:ascii="Palatino Linotype" w:hAnsi="Palatino Linotype" w:cs="Arial"/>
        </w:rPr>
        <w:t>diecisiete</w:t>
      </w:r>
      <w:r>
        <w:rPr>
          <w:rFonts w:ascii="Palatino Linotype" w:hAnsi="Palatino Linotype" w:cs="Arial"/>
        </w:rPr>
        <w:t xml:space="preserve"> </w:t>
      </w:r>
      <w:r w:rsidRPr="00911351">
        <w:rPr>
          <w:rFonts w:ascii="Palatino Linotype" w:hAnsi="Palatino Linotype" w:cs="Arial"/>
        </w:rPr>
        <w:t xml:space="preserve">de </w:t>
      </w:r>
      <w:r w:rsidR="00C71550">
        <w:rPr>
          <w:rFonts w:ascii="Palatino Linotype" w:hAnsi="Palatino Linotype" w:cs="Arial"/>
        </w:rPr>
        <w:t>diciembre</w:t>
      </w:r>
      <w:r>
        <w:rPr>
          <w:rFonts w:ascii="Palatino Linotype" w:hAnsi="Palatino Linotype" w:cs="Arial"/>
        </w:rPr>
        <w:t xml:space="preserve"> de dos mil dieciocho</w:t>
      </w:r>
      <w:r w:rsidRPr="00911351">
        <w:rPr>
          <w:rFonts w:ascii="Palatino Linotype" w:hAnsi="Palatino Linotype" w:cs="Arial"/>
        </w:rPr>
        <w:t>,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rsidR="009A3844" w:rsidRDefault="00AC3C64" w:rsidP="00E2199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E2199D">
        <w:rPr>
          <w:rFonts w:ascii="Palatino Linotype" w:hAnsi="Palatino Linotype" w:cs="Arial"/>
          <w:b/>
          <w:sz w:val="24"/>
          <w:szCs w:val="24"/>
        </w:rPr>
        <w:t>6. Manifestaciones</w:t>
      </w:r>
      <w:r w:rsidRPr="00E2199D">
        <w:rPr>
          <w:rFonts w:ascii="Palatino Linotype" w:hAnsi="Palatino Linotype" w:cs="Arial"/>
          <w:sz w:val="24"/>
          <w:szCs w:val="24"/>
          <w:lang w:eastAsia="es-ES"/>
        </w:rPr>
        <w:t xml:space="preserve">: </w:t>
      </w:r>
      <w:r w:rsidR="00E2199D" w:rsidRPr="00E2199D">
        <w:rPr>
          <w:rFonts w:ascii="Palatino Linotype" w:hAnsi="Palatino Linotype" w:cs="Arial"/>
          <w:sz w:val="24"/>
          <w:szCs w:val="24"/>
          <w:lang w:eastAsia="es-ES"/>
        </w:rPr>
        <w:t>De las constancias que integran el expediente en q</w:t>
      </w:r>
      <w:r w:rsidR="003535D6">
        <w:rPr>
          <w:rFonts w:ascii="Palatino Linotype" w:hAnsi="Palatino Linotype" w:cs="Arial"/>
          <w:sz w:val="24"/>
          <w:szCs w:val="24"/>
          <w:lang w:eastAsia="es-ES"/>
        </w:rPr>
        <w:t>ue se actúa se advierte que el</w:t>
      </w:r>
      <w:r w:rsidR="00E2199D" w:rsidRPr="00E2199D">
        <w:rPr>
          <w:rFonts w:ascii="Palatino Linotype" w:hAnsi="Palatino Linotype" w:cs="Arial"/>
          <w:sz w:val="24"/>
          <w:szCs w:val="24"/>
          <w:lang w:eastAsia="es-ES"/>
        </w:rPr>
        <w:t xml:space="preserve"> recurrente fue omis</w:t>
      </w:r>
      <w:r w:rsidR="009D56ED">
        <w:rPr>
          <w:rFonts w:ascii="Palatino Linotype" w:hAnsi="Palatino Linotype" w:cs="Arial"/>
          <w:sz w:val="24"/>
          <w:szCs w:val="24"/>
          <w:lang w:eastAsia="es-ES"/>
        </w:rPr>
        <w:t>o</w:t>
      </w:r>
      <w:r w:rsidR="00E2199D" w:rsidRPr="00E2199D">
        <w:rPr>
          <w:rFonts w:ascii="Palatino Linotype" w:hAnsi="Palatino Linotype" w:cs="Arial"/>
          <w:sz w:val="24"/>
          <w:szCs w:val="24"/>
          <w:lang w:eastAsia="es-ES"/>
        </w:rPr>
        <w:t xml:space="preserve"> en ofrecer pruebas o expresar alegatos; en términos del artículo 185 fracciones II de la ley</w:t>
      </w:r>
      <w:r w:rsidR="000F2EA0">
        <w:rPr>
          <w:rFonts w:ascii="Palatino Linotype" w:hAnsi="Palatino Linotype" w:cs="Arial"/>
          <w:sz w:val="24"/>
          <w:szCs w:val="24"/>
          <w:lang w:eastAsia="es-ES"/>
        </w:rPr>
        <w:t xml:space="preserve"> que nos ocupa. </w:t>
      </w:r>
      <w:r w:rsidR="009A3844">
        <w:rPr>
          <w:rFonts w:ascii="Palatino Linotype" w:hAnsi="Palatino Linotype" w:cs="Arial"/>
          <w:sz w:val="24"/>
          <w:szCs w:val="24"/>
          <w:lang w:eastAsia="es-ES"/>
        </w:rPr>
        <w:t>Por su parte, el</w:t>
      </w:r>
      <w:r w:rsidR="00E2199D" w:rsidRPr="00E2199D">
        <w:rPr>
          <w:rFonts w:ascii="Palatino Linotype" w:hAnsi="Palatino Linotype" w:cs="Arial"/>
          <w:sz w:val="24"/>
          <w:szCs w:val="24"/>
          <w:lang w:eastAsia="es-ES"/>
        </w:rPr>
        <w:t xml:space="preserve"> </w:t>
      </w:r>
      <w:r w:rsidR="009A3844" w:rsidRPr="00E2199D">
        <w:rPr>
          <w:rFonts w:ascii="Palatino Linotype" w:hAnsi="Palatino Linotype" w:cs="Arial"/>
          <w:b/>
          <w:sz w:val="24"/>
          <w:szCs w:val="24"/>
          <w:lang w:eastAsia="es-ES"/>
        </w:rPr>
        <w:t>Sujeto Obligado</w:t>
      </w:r>
      <w:r w:rsidR="009A3844" w:rsidRPr="00E2199D">
        <w:rPr>
          <w:rFonts w:ascii="Palatino Linotype" w:hAnsi="Palatino Linotype" w:cs="Arial"/>
          <w:sz w:val="24"/>
          <w:szCs w:val="24"/>
          <w:lang w:eastAsia="es-ES"/>
        </w:rPr>
        <w:t xml:space="preserve"> </w:t>
      </w:r>
      <w:r w:rsidR="00C71550">
        <w:rPr>
          <w:rFonts w:ascii="Palatino Linotype" w:hAnsi="Palatino Linotype" w:cs="Arial"/>
          <w:sz w:val="24"/>
          <w:szCs w:val="24"/>
          <w:lang w:eastAsia="es-ES"/>
        </w:rPr>
        <w:t>en fecha once de enero</w:t>
      </w:r>
      <w:r w:rsidR="002B3327">
        <w:rPr>
          <w:rFonts w:ascii="Palatino Linotype" w:hAnsi="Palatino Linotype" w:cs="Arial"/>
          <w:sz w:val="24"/>
          <w:szCs w:val="24"/>
          <w:lang w:eastAsia="es-ES"/>
        </w:rPr>
        <w:t xml:space="preserve"> del dos mil dieciocho, remi</w:t>
      </w:r>
      <w:r w:rsidR="009A3844">
        <w:rPr>
          <w:rFonts w:ascii="Palatino Linotype" w:hAnsi="Palatino Linotype" w:cs="Arial"/>
          <w:sz w:val="24"/>
          <w:szCs w:val="24"/>
          <w:lang w:eastAsia="es-ES"/>
        </w:rPr>
        <w:t>te en vía informe justificado los</w:t>
      </w:r>
      <w:r w:rsidR="002B3327">
        <w:rPr>
          <w:rFonts w:ascii="Palatino Linotype" w:hAnsi="Palatino Linotype" w:cs="Arial"/>
          <w:sz w:val="24"/>
          <w:szCs w:val="24"/>
          <w:lang w:eastAsia="es-ES"/>
        </w:rPr>
        <w:t xml:space="preserve"> archivo</w:t>
      </w:r>
      <w:r w:rsidR="009A3844">
        <w:rPr>
          <w:rFonts w:ascii="Palatino Linotype" w:hAnsi="Palatino Linotype" w:cs="Arial"/>
          <w:sz w:val="24"/>
          <w:szCs w:val="24"/>
          <w:lang w:eastAsia="es-ES"/>
        </w:rPr>
        <w:t>s</w:t>
      </w:r>
      <w:r w:rsidR="002B3327">
        <w:rPr>
          <w:rFonts w:ascii="Palatino Linotype" w:hAnsi="Palatino Linotype" w:cs="Arial"/>
          <w:sz w:val="24"/>
          <w:szCs w:val="24"/>
          <w:lang w:eastAsia="es-ES"/>
        </w:rPr>
        <w:t xml:space="preserve"> </w:t>
      </w:r>
      <w:r w:rsidR="00824589">
        <w:rPr>
          <w:rFonts w:ascii="Palatino Linotype" w:hAnsi="Palatino Linotype" w:cs="Arial"/>
          <w:sz w:val="24"/>
          <w:szCs w:val="24"/>
          <w:lang w:eastAsia="es-ES"/>
        </w:rPr>
        <w:t xml:space="preserve">electrónicos </w:t>
      </w:r>
      <w:r w:rsidR="002B3327">
        <w:rPr>
          <w:rFonts w:ascii="Palatino Linotype" w:hAnsi="Palatino Linotype" w:cs="Arial"/>
          <w:sz w:val="24"/>
          <w:szCs w:val="24"/>
          <w:lang w:eastAsia="es-ES"/>
        </w:rPr>
        <w:t>denominado</w:t>
      </w:r>
      <w:r w:rsidR="009A3844">
        <w:rPr>
          <w:rFonts w:ascii="Palatino Linotype" w:hAnsi="Palatino Linotype" w:cs="Arial"/>
          <w:sz w:val="24"/>
          <w:szCs w:val="24"/>
          <w:lang w:eastAsia="es-ES"/>
        </w:rPr>
        <w:t>s:</w:t>
      </w:r>
    </w:p>
    <w:p w:rsidR="000F2EA0" w:rsidRDefault="00FE42EF" w:rsidP="000F2EA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sz w:val="24"/>
          <w:szCs w:val="24"/>
          <w:lang w:eastAsia="es-ES"/>
        </w:rPr>
        <w:t xml:space="preserve">1.- </w:t>
      </w:r>
      <w:r w:rsidR="002B3327">
        <w:rPr>
          <w:rFonts w:ascii="Palatino Linotype" w:hAnsi="Palatino Linotype" w:cs="Arial"/>
          <w:sz w:val="24"/>
          <w:szCs w:val="24"/>
          <w:lang w:eastAsia="es-ES"/>
        </w:rPr>
        <w:t>“</w:t>
      </w:r>
      <w:hyperlink r:id="rId10" w:history="1">
        <w:r w:rsidR="00C71550" w:rsidRPr="00C71550">
          <w:rPr>
            <w:rFonts w:ascii="Palatino Linotype" w:hAnsi="Palatino Linotype"/>
            <w:sz w:val="24"/>
            <w:szCs w:val="24"/>
            <w:lang w:eastAsia="es-ES"/>
          </w:rPr>
          <w:t>INF DE JUST 4739_2.pdf</w:t>
        </w:r>
      </w:hyperlink>
      <w:r w:rsidR="00BA44E3">
        <w:rPr>
          <w:rFonts w:ascii="Palatino Linotype" w:hAnsi="Palatino Linotype" w:cs="Arial"/>
          <w:sz w:val="24"/>
          <w:szCs w:val="24"/>
          <w:lang w:eastAsia="es-ES"/>
        </w:rPr>
        <w:t xml:space="preserve">”, </w:t>
      </w:r>
      <w:r w:rsidR="000F2EA0">
        <w:rPr>
          <w:rFonts w:ascii="Palatino Linotype" w:hAnsi="Palatino Linotype" w:cs="Arial"/>
          <w:sz w:val="24"/>
          <w:szCs w:val="24"/>
          <w:lang w:eastAsia="es-ES"/>
        </w:rPr>
        <w:t xml:space="preserve">el cual contiene el oficio número </w:t>
      </w:r>
      <w:r w:rsidR="000F2EA0" w:rsidRPr="000F2EA0">
        <w:rPr>
          <w:rFonts w:ascii="Palatino Linotype" w:hAnsi="Palatino Linotype" w:cs="Arial"/>
          <w:sz w:val="24"/>
          <w:szCs w:val="24"/>
          <w:lang w:eastAsia="es-ES"/>
        </w:rPr>
        <w:t>205BL14002/0060/2019</w:t>
      </w:r>
      <w:r w:rsidR="000F2EA0">
        <w:rPr>
          <w:rFonts w:ascii="Palatino Linotype" w:hAnsi="Palatino Linotype" w:cs="Arial"/>
          <w:sz w:val="24"/>
          <w:szCs w:val="24"/>
          <w:lang w:eastAsia="es-ES"/>
        </w:rPr>
        <w:t xml:space="preserve">, firmado por la Jefa del Departamento de Recursos Humanos y Materiales, de fecha once de enero del año en curso, en donde </w:t>
      </w:r>
      <w:r>
        <w:rPr>
          <w:rFonts w:ascii="Palatino Linotype" w:hAnsi="Palatino Linotype" w:cs="Arial"/>
          <w:sz w:val="24"/>
          <w:szCs w:val="24"/>
          <w:lang w:eastAsia="es-ES"/>
        </w:rPr>
        <w:t>en lo medular es la respuesta a la solicitud de acceso a la información pública que le dio el Sujeto Obligado al particular.</w:t>
      </w:r>
    </w:p>
    <w:p w:rsidR="00835A40" w:rsidRDefault="00FE42EF" w:rsidP="00FE42EF">
      <w:pPr>
        <w:tabs>
          <w:tab w:val="left" w:pos="426"/>
        </w:tabs>
        <w:spacing w:before="240" w:after="360" w:line="360" w:lineRule="auto"/>
        <w:ind w:right="49"/>
        <w:jc w:val="both"/>
        <w:rPr>
          <w:rFonts w:ascii="Palatino Linotype" w:hAnsi="Palatino Linotype" w:cs="Arial"/>
        </w:rPr>
      </w:pPr>
      <w:r>
        <w:rPr>
          <w:rFonts w:ascii="Palatino Linotype" w:hAnsi="Palatino Linotype" w:cs="Arial"/>
        </w:rPr>
        <w:lastRenderedPageBreak/>
        <w:t>2.- “</w:t>
      </w:r>
      <w:hyperlink r:id="rId11" w:history="1">
        <w:r w:rsidRPr="00FE42EF">
          <w:rPr>
            <w:rFonts w:ascii="Palatino Linotype" w:hAnsi="Palatino Linotype"/>
          </w:rPr>
          <w:t>INF DE JUST 4739.pdf</w:t>
        </w:r>
      </w:hyperlink>
      <w:r>
        <w:rPr>
          <w:rFonts w:ascii="Palatino Linotype" w:hAnsi="Palatino Linotype" w:cs="Arial"/>
        </w:rPr>
        <w:t>”</w:t>
      </w:r>
      <w:r w:rsidRPr="00FE42EF">
        <w:rPr>
          <w:rFonts w:ascii="Palatino Linotype" w:hAnsi="Palatino Linotype" w:cs="Arial"/>
        </w:rPr>
        <w:t xml:space="preserve"> </w:t>
      </w:r>
      <w:r>
        <w:rPr>
          <w:rFonts w:ascii="Palatino Linotype" w:hAnsi="Palatino Linotype" w:cs="Arial"/>
        </w:rPr>
        <w:t xml:space="preserve">el cual contiene el Informe Justificado del Sujeto Obligado </w:t>
      </w:r>
      <w:r w:rsidRPr="000A2AB5">
        <w:rPr>
          <w:rFonts w:ascii="Palatino Linotype" w:hAnsi="Palatino Linotype" w:cs="Arial"/>
        </w:rPr>
        <w:t xml:space="preserve">por medio del cual </w:t>
      </w:r>
      <w:r>
        <w:rPr>
          <w:rFonts w:ascii="Palatino Linotype" w:hAnsi="Palatino Linotype"/>
          <w:color w:val="000000" w:themeColor="text1"/>
        </w:rPr>
        <w:t>confirma</w:t>
      </w:r>
      <w:r w:rsidRPr="000A2AB5">
        <w:rPr>
          <w:rFonts w:ascii="Palatino Linotype" w:hAnsi="Palatino Linotype"/>
          <w:color w:val="000000" w:themeColor="text1"/>
        </w:rPr>
        <w:t xml:space="preserve"> su respuesta original y en atención a que no aporta elementos novedosos a la respuesta</w:t>
      </w:r>
      <w:r>
        <w:rPr>
          <w:rFonts w:ascii="Palatino Linotype" w:hAnsi="Palatino Linotype"/>
          <w:color w:val="000000" w:themeColor="text1"/>
        </w:rPr>
        <w:t xml:space="preserve"> se determinó</w:t>
      </w:r>
      <w:r w:rsidRPr="000A2AB5">
        <w:rPr>
          <w:rFonts w:ascii="Palatino Linotype" w:hAnsi="Palatino Linotype"/>
          <w:color w:val="000000" w:themeColor="text1"/>
        </w:rPr>
        <w:t xml:space="preserve"> no </w:t>
      </w:r>
      <w:r>
        <w:rPr>
          <w:rFonts w:ascii="Palatino Linotype" w:hAnsi="Palatino Linotype"/>
          <w:color w:val="000000" w:themeColor="text1"/>
        </w:rPr>
        <w:t>poner</w:t>
      </w:r>
      <w:r w:rsidRPr="000A2AB5">
        <w:rPr>
          <w:rFonts w:ascii="Palatino Linotype" w:hAnsi="Palatino Linotype"/>
          <w:color w:val="000000" w:themeColor="text1"/>
        </w:rPr>
        <w:t xml:space="preserve"> a la vista del particular.</w:t>
      </w:r>
    </w:p>
    <w:p w:rsidR="00FC3875" w:rsidRPr="00E2199D" w:rsidRDefault="00DF1877" w:rsidP="00835A40">
      <w:pPr>
        <w:spacing w:line="360" w:lineRule="auto"/>
        <w:jc w:val="both"/>
        <w:rPr>
          <w:rFonts w:ascii="Palatino Linotype" w:hAnsi="Palatino Linotype" w:cs="Arial"/>
        </w:rPr>
      </w:pPr>
      <w:r>
        <w:rPr>
          <w:rFonts w:ascii="Palatino Linotype" w:hAnsi="Palatino Linotype" w:cs="Arial"/>
        </w:rPr>
        <w:t>Archivos que en su conjunto</w:t>
      </w:r>
      <w:r w:rsidR="00FE42EF">
        <w:rPr>
          <w:rFonts w:ascii="Palatino Linotype" w:hAnsi="Palatino Linotype" w:cs="Arial"/>
        </w:rPr>
        <w:t xml:space="preserve"> confirman</w:t>
      </w:r>
      <w:r w:rsidR="00FC3875">
        <w:rPr>
          <w:rFonts w:ascii="Palatino Linotype" w:hAnsi="Palatino Linotype" w:cs="Arial"/>
        </w:rPr>
        <w:t xml:space="preserve"> la</w:t>
      </w:r>
      <w:r w:rsidR="00A95DC6">
        <w:rPr>
          <w:rFonts w:ascii="Palatino Linotype" w:hAnsi="Palatino Linotype" w:cs="Arial"/>
        </w:rPr>
        <w:t xml:space="preserve"> respuesta </w:t>
      </w:r>
      <w:r w:rsidR="00FE42EF">
        <w:rPr>
          <w:rFonts w:ascii="Palatino Linotype" w:hAnsi="Palatino Linotype" w:cs="Arial"/>
        </w:rPr>
        <w:t xml:space="preserve">otorgada </w:t>
      </w:r>
      <w:r w:rsidR="00FC3875">
        <w:rPr>
          <w:rFonts w:ascii="Palatino Linotype" w:hAnsi="Palatino Linotype" w:cs="Arial"/>
        </w:rPr>
        <w:t xml:space="preserve">por el Sujeto </w:t>
      </w:r>
      <w:r w:rsidR="00FE42EF">
        <w:rPr>
          <w:rFonts w:ascii="Palatino Linotype" w:hAnsi="Palatino Linotype" w:cs="Arial"/>
        </w:rPr>
        <w:t>a la solicitud de acceso a la información pública del solicitante.</w:t>
      </w:r>
    </w:p>
    <w:p w:rsidR="00AC3C64" w:rsidRDefault="00AC3C64" w:rsidP="00AC3C64">
      <w:pPr>
        <w:spacing w:before="240" w:after="240" w:line="360" w:lineRule="auto"/>
        <w:jc w:val="both"/>
        <w:rPr>
          <w:rFonts w:ascii="Palatino Linotype" w:hAnsi="Palatino Linotype"/>
        </w:rPr>
      </w:pPr>
      <w:r w:rsidRPr="00911351">
        <w:rPr>
          <w:rFonts w:ascii="Palatino Linotype" w:hAnsi="Palatino Linotype"/>
          <w:b/>
        </w:rPr>
        <w:t xml:space="preserve">7. Cierre de instrucción. </w:t>
      </w:r>
      <w:r w:rsidRPr="00911351">
        <w:rPr>
          <w:rFonts w:ascii="Palatino Linotype" w:hAnsi="Palatino Linotype"/>
        </w:rPr>
        <w:t xml:space="preserve">En </w:t>
      </w:r>
      <w:r w:rsidR="00FE42EF">
        <w:rPr>
          <w:rFonts w:ascii="Palatino Linotype" w:hAnsi="Palatino Linotype"/>
        </w:rPr>
        <w:t>fecha doce de febrero</w:t>
      </w:r>
      <w:r w:rsidR="0013325C">
        <w:rPr>
          <w:rFonts w:ascii="Palatino Linotype" w:hAnsi="Palatino Linotype"/>
        </w:rPr>
        <w:t xml:space="preserve"> de dos mil diecinu</w:t>
      </w:r>
      <w:r w:rsidR="0013325C" w:rsidRPr="0013325C">
        <w:rPr>
          <w:rFonts w:ascii="Palatino Linotype" w:hAnsi="Palatino Linotype"/>
        </w:rPr>
        <w:t>eve</w:t>
      </w:r>
      <w:r w:rsidRPr="0013325C">
        <w:rPr>
          <w:rFonts w:ascii="Palatino Linotype" w:hAnsi="Palatino Linotype"/>
        </w:rPr>
        <w:t xml:space="preserve"> </w:t>
      </w:r>
      <w:r w:rsidRPr="00911351">
        <w:rPr>
          <w:rFonts w:ascii="Palatino Linotype" w:hAnsi="Palatino Linotype"/>
        </w:rPr>
        <w:t xml:space="preserve">el Comisionado ponente determinó el cierre de instrucción en términos de la fracción </w:t>
      </w:r>
      <w:r w:rsidR="00AD0AB9" w:rsidRPr="00911351">
        <w:rPr>
          <w:rFonts w:ascii="Palatino Linotype" w:hAnsi="Palatino Linotype"/>
        </w:rPr>
        <w:t>VI del</w:t>
      </w:r>
      <w:r w:rsidRPr="00911351">
        <w:rPr>
          <w:rFonts w:ascii="Palatino Linotype" w:hAnsi="Palatino Linotype"/>
        </w:rPr>
        <w:t xml:space="preserve"> artículo 185 de la Ley de Transparencia y Acceso a la Información Pública del Estado de México y Municipios.</w:t>
      </w:r>
    </w:p>
    <w:p w:rsidR="00851545" w:rsidRPr="00851545" w:rsidRDefault="00851545" w:rsidP="00851545">
      <w:pPr>
        <w:widowControl w:val="0"/>
        <w:autoSpaceDE w:val="0"/>
        <w:autoSpaceDN w:val="0"/>
        <w:adjustRightInd w:val="0"/>
        <w:spacing w:before="240" w:after="240" w:line="360" w:lineRule="auto"/>
        <w:jc w:val="both"/>
        <w:rPr>
          <w:rFonts w:ascii="Palatino Linotype" w:hAnsi="Palatino Linotype"/>
          <w:b/>
        </w:rPr>
      </w:pPr>
      <w:r w:rsidRPr="009A6B38">
        <w:rPr>
          <w:rFonts w:ascii="Palatino Linotype" w:hAnsi="Palatino Linotype"/>
          <w:b/>
        </w:rPr>
        <w:t>8.- Ampliación del plazo para emitir resolución</w:t>
      </w:r>
      <w:r w:rsidRPr="009A6B38">
        <w:rPr>
          <w:rFonts w:ascii="Palatino Linotype" w:hAnsi="Palatino Linotype"/>
        </w:rPr>
        <w:t xml:space="preserve">. En fecha </w:t>
      </w:r>
      <w:r w:rsidR="0013325C" w:rsidRPr="009A6B38">
        <w:rPr>
          <w:rFonts w:ascii="Palatino Linotype" w:hAnsi="Palatino Linotype"/>
        </w:rPr>
        <w:t>catorce de febrero de dos mil diecinueve</w:t>
      </w:r>
      <w:r w:rsidRPr="009A6B38">
        <w:rPr>
          <w:rFonts w:ascii="Palatino Linotype" w:hAnsi="Palatino Linotype"/>
        </w:rPr>
        <w:t xml:space="preserve">, este Instituto con fundamento en el artículo 181, párrafo tercero, de la Ley de Transparencia y Acceso </w:t>
      </w:r>
      <w:r w:rsidRPr="00933C9F">
        <w:rPr>
          <w:rFonts w:ascii="Palatino Linotype" w:hAnsi="Palatino Linotype"/>
        </w:rPr>
        <w:t>a la Información Pública del Estado de México y Municipios,</w:t>
      </w:r>
      <w:r>
        <w:rPr>
          <w:rFonts w:ascii="Palatino Linotype" w:hAnsi="Palatino Linotype"/>
        </w:rPr>
        <w:t xml:space="preserve"> </w:t>
      </w:r>
      <w:r w:rsidRPr="00933C9F">
        <w:rPr>
          <w:rFonts w:ascii="Palatino Linotype" w:hAnsi="Palatino Linotype"/>
        </w:rPr>
        <w:t>determinó mediante el acuerdo respectivo, ampliar por quince días hábiles adicionales el plazo para emitir la presente resolución a fin de realizar un mejor estudio del asunto</w:t>
      </w:r>
      <w:r>
        <w:rPr>
          <w:rFonts w:ascii="Palatino Linotype" w:hAnsi="Palatino Linotype"/>
        </w:rPr>
        <w:t>.</w:t>
      </w:r>
    </w:p>
    <w:p w:rsidR="00AC3C64" w:rsidRPr="00911351" w:rsidRDefault="00AC3C64" w:rsidP="00AC3C64">
      <w:pPr>
        <w:pStyle w:val="Prrafodelista"/>
        <w:numPr>
          <w:ilvl w:val="0"/>
          <w:numId w:val="1"/>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rsidR="00AC3C64" w:rsidRPr="00911351" w:rsidRDefault="00AC3C64" w:rsidP="00AC3C64">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sidRPr="00911351">
        <w:rPr>
          <w:rFonts w:ascii="Palatino Linotype" w:hAnsi="Palatino Linotype"/>
          <w:shd w:val="clear" w:color="auto" w:fill="FFFFFF"/>
        </w:rPr>
        <w:lastRenderedPageBreak/>
        <w:t>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F535D9">
        <w:rPr>
          <w:rStyle w:val="apple-converted-space"/>
          <w:rFonts w:ascii="Palatino Linotype" w:hAnsi="Palatino Linotype"/>
          <w:shd w:val="clear" w:color="auto" w:fill="FFFFFF"/>
        </w:rPr>
        <w:t xml:space="preserve"> </w:t>
      </w:r>
      <w:r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13325C" w:rsidRPr="00553FFC" w:rsidRDefault="00AC3C64" w:rsidP="0013325C">
      <w:pPr>
        <w:spacing w:before="240" w:after="240" w:line="360" w:lineRule="auto"/>
        <w:jc w:val="both"/>
        <w:rPr>
          <w:rFonts w:ascii="Palatino Linotype" w:hAnsi="Palatino Linotype"/>
        </w:rPr>
      </w:pPr>
      <w:r w:rsidRPr="00911351">
        <w:rPr>
          <w:rFonts w:ascii="Palatino Linotype" w:hAnsi="Palatino Linotype" w:cs="Arial"/>
          <w:b/>
        </w:rPr>
        <w:t>Segundo.</w:t>
      </w:r>
      <w:r w:rsidR="00881707">
        <w:rPr>
          <w:rFonts w:ascii="Palatino Linotype" w:hAnsi="Palatino Linotype" w:cs="Arial"/>
          <w:b/>
        </w:rPr>
        <w:t xml:space="preserve"> </w:t>
      </w:r>
      <w:r w:rsidRPr="00911351">
        <w:rPr>
          <w:rFonts w:ascii="Palatino Linotype" w:hAnsi="Palatino Linotype" w:cs="Arial"/>
          <w:b/>
        </w:rPr>
        <w:t xml:space="preserve">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De con</w:t>
      </w:r>
      <w:r w:rsidR="00EE288F">
        <w:rPr>
          <w:rFonts w:ascii="Palatino Linotype" w:hAnsi="Palatino Linotype" w:cs="Arial"/>
        </w:rPr>
        <w:t>formidad con los requisitos de O</w:t>
      </w:r>
      <w:r w:rsidRPr="00911351">
        <w:rPr>
          <w:rFonts w:ascii="Palatino Linotype" w:hAnsi="Palatino Linotype" w:cs="Arial"/>
        </w:rPr>
        <w:t xml:space="preserve">portunidad y </w:t>
      </w:r>
      <w:r w:rsidR="00AD0AB9" w:rsidRPr="00911351">
        <w:rPr>
          <w:rFonts w:ascii="Palatino Linotype" w:hAnsi="Palatino Linotype" w:cs="Arial"/>
        </w:rPr>
        <w:t>Procedibilidad</w:t>
      </w:r>
      <w:r w:rsidRPr="00911351">
        <w:rPr>
          <w:rFonts w:ascii="Palatino Linotype" w:hAnsi="Palatino Linotype" w:cs="Arial"/>
        </w:rPr>
        <w:t xml:space="preserve"> que deben reunir los recursos de revisión interpuestos, previstos en los artículos 178 y 180 de la </w:t>
      </w:r>
      <w:r w:rsidRPr="00911351">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w:t>
      </w:r>
      <w:r w:rsidR="00EE288F">
        <w:rPr>
          <w:rFonts w:ascii="Palatino Linotype" w:hAnsi="Palatino Linotype" w:cs="Arial"/>
          <w:lang w:eastAsia="es-MX"/>
        </w:rPr>
        <w:t>primer artículo de referencia;</w:t>
      </w:r>
      <w:r w:rsidR="00174388">
        <w:rPr>
          <w:rFonts w:ascii="Palatino Linotype" w:hAnsi="Palatino Linotype" w:cs="Arial"/>
          <w:lang w:eastAsia="es-MX"/>
        </w:rPr>
        <w:t xml:space="preserve"> toda vez que el Sujeto Obligado emitió su respuesta a la solicitud planteada por</w:t>
      </w:r>
      <w:r w:rsidR="0013325C">
        <w:rPr>
          <w:rFonts w:ascii="Palatino Linotype" w:hAnsi="Palatino Linotype" w:cs="Arial"/>
          <w:lang w:eastAsia="es-MX"/>
        </w:rPr>
        <w:t xml:space="preserve"> el solicitante en fecha veintiséis de noviembre</w:t>
      </w:r>
      <w:r w:rsidR="00174388">
        <w:rPr>
          <w:rFonts w:ascii="Palatino Linotype" w:hAnsi="Palatino Linotype" w:cs="Arial"/>
          <w:lang w:eastAsia="es-MX"/>
        </w:rPr>
        <w:t xml:space="preserve"> del año dos mil dieciocho y el recurrente presentó recurso de revisión </w:t>
      </w:r>
      <w:r w:rsidR="0013325C">
        <w:rPr>
          <w:rFonts w:ascii="Palatino Linotype" w:hAnsi="Palatino Linotype" w:cs="Arial"/>
          <w:lang w:eastAsia="es-MX"/>
        </w:rPr>
        <w:t xml:space="preserve">el </w:t>
      </w:r>
      <w:r w:rsidR="0013325C">
        <w:rPr>
          <w:rFonts w:ascii="Palatino Linotype" w:hAnsi="Palatino Linotype" w:cs="Arial"/>
          <w:b/>
        </w:rPr>
        <w:t>once</w:t>
      </w:r>
      <w:r w:rsidR="0013325C" w:rsidRPr="00553FFC">
        <w:rPr>
          <w:rFonts w:ascii="Palatino Linotype" w:hAnsi="Palatino Linotype" w:cs="Arial"/>
          <w:b/>
        </w:rPr>
        <w:t xml:space="preserve"> de </w:t>
      </w:r>
      <w:r w:rsidR="0013325C">
        <w:rPr>
          <w:rFonts w:ascii="Palatino Linotype" w:hAnsi="Palatino Linotype" w:cs="Arial"/>
          <w:b/>
        </w:rPr>
        <w:t>diciembre</w:t>
      </w:r>
      <w:r w:rsidR="0013325C" w:rsidRPr="00553FFC">
        <w:rPr>
          <w:rFonts w:ascii="Palatino Linotype" w:hAnsi="Palatino Linotype" w:cs="Arial"/>
          <w:b/>
          <w:lang w:eastAsia="es-MX"/>
        </w:rPr>
        <w:t xml:space="preserve"> de dos mil dieciocho</w:t>
      </w:r>
      <w:r w:rsidR="0013325C" w:rsidRPr="00553FFC">
        <w:rPr>
          <w:rFonts w:ascii="Palatino Linotype" w:hAnsi="Palatino Linotype"/>
        </w:rPr>
        <w:t xml:space="preserve">, esto es, al </w:t>
      </w:r>
      <w:r w:rsidR="0013325C">
        <w:rPr>
          <w:rFonts w:ascii="Palatino Linotype" w:hAnsi="Palatino Linotype"/>
        </w:rPr>
        <w:t>once</w:t>
      </w:r>
      <w:r w:rsidR="0013325C" w:rsidRPr="00553FFC">
        <w:rPr>
          <w:rFonts w:ascii="Palatino Linotype" w:hAnsi="Palatino Linotype"/>
        </w:rPr>
        <w:t xml:space="preserve"> </w:t>
      </w:r>
      <w:r w:rsidR="0013325C" w:rsidRPr="00553FFC">
        <w:rPr>
          <w:rFonts w:ascii="Palatino Linotype" w:hAnsi="Palatino Linotype" w:cs="Arial"/>
        </w:rPr>
        <w:t xml:space="preserve">día hábil </w:t>
      </w:r>
      <w:r w:rsidR="0013325C">
        <w:rPr>
          <w:rFonts w:ascii="Palatino Linotype" w:hAnsi="Palatino Linotype" w:cs="Arial"/>
        </w:rPr>
        <w:t xml:space="preserve">siguiente </w:t>
      </w:r>
      <w:r w:rsidR="0013325C" w:rsidRPr="00553FFC">
        <w:rPr>
          <w:rFonts w:ascii="Palatino Linotype" w:hAnsi="Palatino Linotype" w:cs="Arial"/>
        </w:rPr>
        <w:t xml:space="preserve">en que tuvo </w:t>
      </w:r>
      <w:r w:rsidR="0013325C" w:rsidRPr="00553FFC">
        <w:rPr>
          <w:rFonts w:ascii="Palatino Linotype" w:hAnsi="Palatino Linotype" w:cs="Arial"/>
          <w:lang w:eastAsia="es-MX"/>
        </w:rPr>
        <w:t xml:space="preserve">conocimiento de la respuesta impugnada, en este sentido, </w:t>
      </w:r>
      <w:r w:rsidR="0013325C" w:rsidRPr="00553FFC">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en el precepto legal referido.</w:t>
      </w:r>
    </w:p>
    <w:p w:rsidR="00174388" w:rsidRDefault="00174388" w:rsidP="00174388">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Así también, por cuanto hace a la procedibilidad del recurso de revisión una vez realizado el análisis del formato de interposición</w:t>
      </w:r>
      <w:r>
        <w:rPr>
          <w:rStyle w:val="normaltextrun"/>
          <w:rFonts w:ascii="Palatino Linotype" w:hAnsi="Palatino Linotype" w:cs="Segoe UI"/>
        </w:rPr>
        <w:t xml:space="preserve"> del recurso, se acreditan plenamente </w:t>
      </w:r>
      <w:r>
        <w:rPr>
          <w:rStyle w:val="normaltextrun"/>
          <w:rFonts w:ascii="Palatino Linotype" w:hAnsi="Palatino Linotype" w:cs="Segoe UI"/>
        </w:rPr>
        <w:lastRenderedPageBreak/>
        <w:t>de todos y cada uno de los elementos formales exigidos por el artículo 180 de la</w:t>
      </w:r>
      <w:r>
        <w:rPr>
          <w:rStyle w:val="apple-converted-space"/>
          <w:rFonts w:ascii="Palatino Linotype" w:hAnsi="Palatino Linotype" w:cs="Segoe UI"/>
        </w:rPr>
        <w:t xml:space="preserve"> </w:t>
      </w:r>
      <w:r>
        <w:rPr>
          <w:rStyle w:val="normaltextrun"/>
          <w:rFonts w:ascii="Palatino Linotype" w:hAnsi="Palatino Linotype" w:cs="Segoe UI"/>
        </w:rPr>
        <w:t>Ley de Transparencia y Acceso a la Información Pública del Estado de México y Municipios, en atención a que fue presentado mediante el formato visible en</w:t>
      </w:r>
      <w:r>
        <w:rPr>
          <w:rStyle w:val="apple-converted-space"/>
          <w:rFonts w:ascii="Palatino Linotype" w:hAnsi="Palatino Linotype" w:cs="Segoe UI"/>
        </w:rPr>
        <w:t xml:space="preserve"> </w:t>
      </w:r>
      <w:r w:rsidR="003B2721" w:rsidRPr="003B2721">
        <w:rPr>
          <w:rStyle w:val="normaltextrun"/>
          <w:rFonts w:ascii="Palatino Linotype" w:hAnsi="Palatino Linotype" w:cs="Segoe UI"/>
          <w:bCs/>
        </w:rPr>
        <w:t>el</w:t>
      </w:r>
      <w:r>
        <w:rPr>
          <w:rStyle w:val="apple-converted-space"/>
          <w:rFonts w:ascii="Palatino Linotype" w:hAnsi="Palatino Linotype" w:cs="Segoe UI"/>
        </w:rPr>
        <w:t xml:space="preserve"> </w:t>
      </w:r>
      <w:r>
        <w:rPr>
          <w:rStyle w:val="normaltextrun"/>
          <w:rFonts w:ascii="Palatino Linotype" w:hAnsi="Palatino Linotype" w:cs="Segoe UI"/>
          <w:b/>
          <w:bCs/>
        </w:rPr>
        <w:t>SAIMEX</w:t>
      </w:r>
      <w:r>
        <w:rPr>
          <w:rStyle w:val="normaltextrun"/>
          <w:rFonts w:ascii="Palatino Linotype" w:hAnsi="Palatino Linotype" w:cs="Segoe UI"/>
        </w:rPr>
        <w:t>.</w:t>
      </w:r>
    </w:p>
    <w:p w:rsidR="00881707" w:rsidRDefault="00881707" w:rsidP="00881707">
      <w:pPr>
        <w:pStyle w:val="paragraph"/>
        <w:spacing w:before="0" w:beforeAutospacing="0" w:after="0" w:afterAutospacing="0" w:line="360" w:lineRule="auto"/>
        <w:ind w:right="-147"/>
        <w:contextualSpacing/>
        <w:jc w:val="both"/>
        <w:textAlignment w:val="baseline"/>
        <w:rPr>
          <w:rStyle w:val="normaltextrun"/>
          <w:rFonts w:ascii="Palatino Linotype" w:hAnsi="Palatino Linotype" w:cs="Segoe UI"/>
        </w:rPr>
      </w:pPr>
    </w:p>
    <w:p w:rsidR="00AC3C64" w:rsidRDefault="00DB0611" w:rsidP="00881707">
      <w:pPr>
        <w:pStyle w:val="paragraph"/>
        <w:spacing w:before="0" w:beforeAutospacing="0" w:after="0" w:afterAutospacing="0" w:line="360" w:lineRule="auto"/>
        <w:ind w:right="-147"/>
        <w:contextualSpacing/>
        <w:jc w:val="both"/>
        <w:textAlignment w:val="baseline"/>
        <w:rPr>
          <w:rStyle w:val="eop"/>
          <w:rFonts w:ascii="Palatino Linotype" w:hAnsi="Palatino Linotype" w:cs="Segoe UI"/>
        </w:rPr>
      </w:pPr>
      <w:r>
        <w:rPr>
          <w:rStyle w:val="normaltextrun"/>
          <w:rFonts w:ascii="Palatino Linotype" w:hAnsi="Palatino Linotype" w:cs="Segoe UI"/>
        </w:rPr>
        <w:t>Ahora bien</w:t>
      </w:r>
      <w:r w:rsidR="00AC3C64" w:rsidRPr="00911351">
        <w:rPr>
          <w:rStyle w:val="normaltextrun"/>
          <w:rFonts w:ascii="Palatino Linotype" w:hAnsi="Palatino Linotype" w:cs="Segoe UI"/>
        </w:rPr>
        <w:t xml:space="preserve"> resulta procedente la interposición del </w:t>
      </w:r>
      <w:r w:rsidR="00174388">
        <w:rPr>
          <w:rStyle w:val="normaltextrun"/>
          <w:rFonts w:ascii="Palatino Linotype" w:hAnsi="Palatino Linotype" w:cs="Segoe UI"/>
        </w:rPr>
        <w:t>recurso, según lo aducido por el recurrente en su acto impugnado y</w:t>
      </w:r>
      <w:r w:rsidR="00AC3C64"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AC3C64">
        <w:rPr>
          <w:rStyle w:val="normaltextrun"/>
          <w:rFonts w:ascii="Palatino Linotype" w:hAnsi="Palatino Linotype" w:cs="Segoe UI"/>
        </w:rPr>
        <w:t xml:space="preserve">179 fracciones </w:t>
      </w:r>
      <w:r w:rsidR="003F689A">
        <w:rPr>
          <w:rStyle w:val="normaltextrun"/>
          <w:rFonts w:ascii="Palatino Linotype" w:hAnsi="Palatino Linotype" w:cs="Segoe UI"/>
        </w:rPr>
        <w:t>V</w:t>
      </w:r>
      <w:r>
        <w:rPr>
          <w:rStyle w:val="normaltextrun"/>
          <w:rFonts w:ascii="Palatino Linotype" w:hAnsi="Palatino Linotype" w:cs="Segoe UI"/>
        </w:rPr>
        <w:t xml:space="preserve">I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00AC3C64" w:rsidRPr="00911351">
        <w:rPr>
          <w:rStyle w:val="normaltextrun"/>
          <w:rFonts w:ascii="Palatino Linotype" w:hAnsi="Palatino Linotype" w:cs="Segoe UI"/>
        </w:rPr>
        <w:t xml:space="preserve"> que a la letra dice:</w:t>
      </w:r>
    </w:p>
    <w:p w:rsidR="00DB0611" w:rsidRPr="00911351" w:rsidRDefault="00DB0611" w:rsidP="00AC3C64">
      <w:pPr>
        <w:pStyle w:val="paragraph"/>
        <w:spacing w:before="0" w:beforeAutospacing="0" w:after="0" w:afterAutospacing="0" w:line="360" w:lineRule="auto"/>
        <w:ind w:right="-150"/>
        <w:jc w:val="both"/>
        <w:textAlignment w:val="baseline"/>
        <w:rPr>
          <w:rFonts w:ascii="Palatino Linotype" w:hAnsi="Palatino Linotype" w:cs="Segoe UI"/>
        </w:rPr>
      </w:pPr>
    </w:p>
    <w:p w:rsidR="00AC3C64" w:rsidRDefault="00AC3C64"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74388" w:rsidRPr="00911351" w:rsidRDefault="00174388"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t>…</w:t>
      </w:r>
    </w:p>
    <w:p w:rsidR="00AC3C64" w:rsidRDefault="003F689A" w:rsidP="00AC3C64">
      <w:pPr>
        <w:pStyle w:val="paragraph"/>
        <w:spacing w:before="240" w:beforeAutospacing="0" w:after="240" w:afterAutospacing="0"/>
        <w:ind w:left="993" w:right="1041"/>
        <w:jc w:val="both"/>
        <w:textAlignment w:val="baseline"/>
        <w:rPr>
          <w:rFonts w:ascii="Palatino Linotype" w:hAnsi="Palatino Linotype"/>
          <w:i/>
          <w:sz w:val="22"/>
          <w:szCs w:val="22"/>
        </w:rPr>
      </w:pPr>
      <w:r w:rsidRPr="003F689A">
        <w:rPr>
          <w:rFonts w:ascii="Palatino Linotype" w:hAnsi="Palatino Linotype"/>
          <w:i/>
          <w:sz w:val="22"/>
          <w:szCs w:val="22"/>
        </w:rPr>
        <w:t>VI. La entrega de información que n</w:t>
      </w:r>
      <w:r>
        <w:rPr>
          <w:rFonts w:ascii="Palatino Linotype" w:hAnsi="Palatino Linotype"/>
          <w:i/>
          <w:sz w:val="22"/>
          <w:szCs w:val="22"/>
        </w:rPr>
        <w:t>o corresponda con lo solicitado</w:t>
      </w:r>
      <w:r w:rsidR="00174388">
        <w:rPr>
          <w:rFonts w:ascii="Palatino Linotype" w:hAnsi="Palatino Linotype"/>
          <w:i/>
          <w:sz w:val="22"/>
          <w:szCs w:val="22"/>
        </w:rPr>
        <w:t>…</w:t>
      </w:r>
      <w:r w:rsidR="003B2721">
        <w:rPr>
          <w:rFonts w:ascii="Palatino Linotype" w:hAnsi="Palatino Linotype"/>
          <w:i/>
          <w:sz w:val="22"/>
          <w:szCs w:val="22"/>
        </w:rPr>
        <w:t>” (</w:t>
      </w:r>
      <w:r w:rsidR="00DF3A3E">
        <w:rPr>
          <w:rFonts w:ascii="Palatino Linotype" w:hAnsi="Palatino Linotype"/>
          <w:i/>
          <w:sz w:val="22"/>
          <w:szCs w:val="22"/>
        </w:rPr>
        <w:t>Sic)</w:t>
      </w:r>
    </w:p>
    <w:p w:rsidR="00E538B2" w:rsidRDefault="00E538B2" w:rsidP="00DF3A3E">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AC3C64" w:rsidRDefault="00AC3C64" w:rsidP="00DF3A3E">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sidRPr="00911351">
        <w:rPr>
          <w:rStyle w:val="normaltextrun"/>
          <w:rFonts w:ascii="Palatino Linotype" w:hAnsi="Palatino Linotype" w:cs="Segoe UI"/>
        </w:rPr>
        <w:t>Lo anterior es a</w:t>
      </w:r>
      <w:r>
        <w:rPr>
          <w:rStyle w:val="normaltextrun"/>
          <w:rFonts w:ascii="Palatino Linotype" w:hAnsi="Palatino Linotype" w:cs="Segoe UI"/>
        </w:rPr>
        <w:t>sí ya que el</w:t>
      </w:r>
      <w:r w:rsidR="00174388">
        <w:rPr>
          <w:rStyle w:val="normaltextrun"/>
          <w:rFonts w:ascii="Palatino Linotype" w:hAnsi="Palatino Linotype" w:cs="Segoe UI"/>
        </w:rPr>
        <w:t xml:space="preserve"> recurrente alude en su acto impugnado como en</w:t>
      </w:r>
      <w:r w:rsidR="003F689A">
        <w:rPr>
          <w:rStyle w:val="normaltextrun"/>
          <w:rFonts w:ascii="Palatino Linotype" w:hAnsi="Palatino Linotype" w:cs="Segoe UI"/>
        </w:rPr>
        <w:t xml:space="preserve"> motivos de inconformidad, que la informaci</w:t>
      </w:r>
      <w:r w:rsidR="00642B07">
        <w:rPr>
          <w:rStyle w:val="normaltextrun"/>
          <w:rFonts w:ascii="Palatino Linotype" w:hAnsi="Palatino Linotype" w:cs="Segoe UI"/>
        </w:rPr>
        <w:t>ón otorgada en la solicitud no es la requerida y lo que requiere son los contratos.</w:t>
      </w:r>
    </w:p>
    <w:p w:rsidR="00E538B2" w:rsidRDefault="00E538B2" w:rsidP="00E538B2">
      <w:pPr>
        <w:spacing w:before="240" w:after="240" w:line="360" w:lineRule="auto"/>
        <w:contextualSpacing/>
        <w:jc w:val="both"/>
        <w:rPr>
          <w:rFonts w:ascii="Palatino Linotype" w:hAnsi="Palatino Linotype" w:cs="Arial"/>
        </w:rPr>
      </w:pPr>
      <w:r w:rsidRPr="00B70CB3">
        <w:rPr>
          <w:rFonts w:ascii="Palatino Linotype" w:hAnsi="Palatino Linotype" w:cs="Arial"/>
          <w:b/>
        </w:rPr>
        <w:t xml:space="preserve">Tercero. Análisis de </w:t>
      </w:r>
      <w:r>
        <w:rPr>
          <w:rFonts w:ascii="Palatino Linotype" w:hAnsi="Palatino Linotype" w:cs="Arial"/>
          <w:b/>
        </w:rPr>
        <w:t>las causales de sobreseimiento.</w:t>
      </w:r>
      <w:r w:rsidR="00881707">
        <w:rPr>
          <w:rFonts w:ascii="Palatino Linotype" w:hAnsi="Palatino Linotype" w:cs="Arial"/>
          <w:b/>
        </w:rPr>
        <w:t xml:space="preserve"> </w:t>
      </w:r>
      <w:r w:rsidRPr="00E538B2">
        <w:rPr>
          <w:rStyle w:val="normaltextrun"/>
          <w:rFonts w:ascii="Palatino Linotype" w:hAnsi="Palatino Linotype" w:cs="Segoe UI"/>
        </w:rPr>
        <w:t xml:space="preserve">De manera previa, en el </w:t>
      </w:r>
      <w:r w:rsidR="00072286">
        <w:rPr>
          <w:rStyle w:val="normaltextrun"/>
          <w:rFonts w:ascii="Palatino Linotype" w:hAnsi="Palatino Linotype" w:cs="Segoe UI"/>
        </w:rPr>
        <w:t xml:space="preserve">presente </w:t>
      </w:r>
      <w:r w:rsidRPr="00E538B2">
        <w:rPr>
          <w:rStyle w:val="normaltextrun"/>
          <w:rFonts w:ascii="Palatino Linotype" w:hAnsi="Palatino Linotype" w:cs="Segoe UI"/>
        </w:rPr>
        <w:t>caso</w:t>
      </w:r>
      <w:r w:rsidR="00072286">
        <w:rPr>
          <w:rStyle w:val="normaltextrun"/>
          <w:rFonts w:ascii="Palatino Linotype" w:hAnsi="Palatino Linotype" w:cs="Segoe UI"/>
        </w:rPr>
        <w:t xml:space="preserve"> en </w:t>
      </w:r>
      <w:r w:rsidRPr="00E538B2">
        <w:rPr>
          <w:rStyle w:val="normaltextrun"/>
          <w:rFonts w:ascii="Palatino Linotype" w:hAnsi="Palatino Linotype" w:cs="Segoe UI"/>
        </w:rPr>
        <w:t xml:space="preserve">concreto conviene analizar si se </w:t>
      </w:r>
      <w:r w:rsidR="00072286">
        <w:rPr>
          <w:rStyle w:val="normaltextrun"/>
          <w:rFonts w:ascii="Palatino Linotype" w:hAnsi="Palatino Linotype" w:cs="Segoe UI"/>
        </w:rPr>
        <w:t>actualiza</w:t>
      </w:r>
      <w:r w:rsidRPr="00E538B2">
        <w:rPr>
          <w:rStyle w:val="normaltextrun"/>
          <w:rFonts w:ascii="Palatino Linotype" w:hAnsi="Palatino Linotype" w:cs="Segoe UI"/>
        </w:rPr>
        <w:t xml:space="preserve"> alguna de las causales de sobreseimiento del recurso de revisión, derivado de lo peticionado por la particular en su for</w:t>
      </w:r>
      <w:r w:rsidR="00072286">
        <w:rPr>
          <w:rStyle w:val="normaltextrun"/>
          <w:rFonts w:ascii="Palatino Linotype" w:hAnsi="Palatino Linotype" w:cs="Segoe UI"/>
        </w:rPr>
        <w:t>mato de solicitud</w:t>
      </w:r>
      <w:r w:rsidRPr="00E538B2">
        <w:rPr>
          <w:rStyle w:val="normaltextrun"/>
          <w:rFonts w:ascii="Palatino Linotype" w:hAnsi="Palatino Linotype" w:cs="Segoe UI"/>
        </w:rPr>
        <w:t xml:space="preserve"> de acceso a la información pública, considerando </w:t>
      </w:r>
      <w:r w:rsidRPr="00E538B2">
        <w:rPr>
          <w:rStyle w:val="normaltextrun"/>
          <w:rFonts w:ascii="Palatino Linotype" w:hAnsi="Palatino Linotype" w:cs="Segoe UI"/>
        </w:rPr>
        <w:lastRenderedPageBreak/>
        <w:t>pertinente</w:t>
      </w:r>
      <w:r w:rsidR="00072286">
        <w:rPr>
          <w:rStyle w:val="normaltextrun"/>
          <w:rFonts w:ascii="Palatino Linotype" w:hAnsi="Palatino Linotype" w:cs="Segoe UI"/>
        </w:rPr>
        <w:t xml:space="preserve"> analizar si la misma constituye</w:t>
      </w:r>
      <w:r w:rsidRPr="00E538B2">
        <w:rPr>
          <w:rStyle w:val="normaltextrun"/>
          <w:rFonts w:ascii="Palatino Linotype" w:hAnsi="Palatino Linotype" w:cs="Segoe UI"/>
        </w:rPr>
        <w:t xml:space="preserve"> materia del derecho de </w:t>
      </w:r>
      <w:r w:rsidR="00072286">
        <w:rPr>
          <w:rStyle w:val="normaltextrun"/>
          <w:rFonts w:ascii="Palatino Linotype" w:hAnsi="Palatino Linotype" w:cs="Segoe UI"/>
        </w:rPr>
        <w:t xml:space="preserve">acceso a la información pública, </w:t>
      </w:r>
      <w:r>
        <w:rPr>
          <w:rFonts w:ascii="Palatino Linotype" w:hAnsi="Palatino Linotype" w:cs="Arial"/>
        </w:rPr>
        <w:t>bajo los argumentos siguientes:</w:t>
      </w:r>
    </w:p>
    <w:p w:rsidR="00E538B2" w:rsidRDefault="00E538B2" w:rsidP="00E538B2">
      <w:pPr>
        <w:spacing w:before="240" w:after="240" w:line="360" w:lineRule="auto"/>
        <w:contextualSpacing/>
        <w:jc w:val="both"/>
        <w:rPr>
          <w:rFonts w:cs="Arial"/>
        </w:rPr>
      </w:pPr>
    </w:p>
    <w:p w:rsidR="00E538B2" w:rsidRDefault="00072286" w:rsidP="00F80239">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rPr>
        <w:t>En primer lugar, e</w:t>
      </w:r>
      <w:r w:rsidR="00E538B2">
        <w:rPr>
          <w:rFonts w:ascii="Palatino Linotype" w:hAnsi="Palatino Linotype"/>
        </w:rPr>
        <w:t xml:space="preserve">s importante recordar que la </w:t>
      </w:r>
      <w:r w:rsidR="003C023E">
        <w:rPr>
          <w:rFonts w:ascii="Palatino Linotype" w:hAnsi="Palatino Linotype"/>
        </w:rPr>
        <w:t>solicitante requirió a la Universidad Politécnica del Valle de Toluca, le informara</w:t>
      </w:r>
      <w:r w:rsidR="00E538B2">
        <w:rPr>
          <w:rFonts w:ascii="Palatino Linotype" w:hAnsi="Palatino Linotype"/>
        </w:rPr>
        <w:t xml:space="preserve"> lo siguiente:</w:t>
      </w:r>
    </w:p>
    <w:p w:rsidR="00F80239" w:rsidRDefault="00F80239" w:rsidP="00F80239">
      <w:pPr>
        <w:autoSpaceDE w:val="0"/>
        <w:autoSpaceDN w:val="0"/>
        <w:adjustRightInd w:val="0"/>
        <w:spacing w:before="240" w:after="240" w:line="360" w:lineRule="auto"/>
        <w:contextualSpacing/>
        <w:jc w:val="both"/>
        <w:rPr>
          <w:rFonts w:ascii="Palatino Linotype" w:hAnsi="Palatino Linotype"/>
        </w:rPr>
      </w:pPr>
    </w:p>
    <w:p w:rsidR="00E538B2" w:rsidRPr="00F60DF9" w:rsidRDefault="00E538B2" w:rsidP="00F80239">
      <w:pPr>
        <w:spacing w:line="360" w:lineRule="auto"/>
        <w:ind w:left="567" w:right="49"/>
        <w:contextualSpacing/>
        <w:rPr>
          <w:rFonts w:ascii="Palatino Linotype" w:hAnsi="Palatino Linotype"/>
          <w:i/>
          <w:sz w:val="22"/>
          <w:szCs w:val="22"/>
        </w:rPr>
      </w:pPr>
      <w:r>
        <w:rPr>
          <w:rFonts w:ascii="Palatino Linotype" w:hAnsi="Palatino Linotype"/>
          <w:i/>
          <w:sz w:val="22"/>
          <w:szCs w:val="22"/>
        </w:rPr>
        <w:t>“</w:t>
      </w:r>
      <w:r w:rsidR="003C023E">
        <w:rPr>
          <w:rFonts w:ascii="Palatino Linotype" w:hAnsi="Palatino Linotype"/>
          <w:i/>
          <w:sz w:val="22"/>
          <w:szCs w:val="22"/>
        </w:rPr>
        <w:t>Porque la universidad suscribe contr</w:t>
      </w:r>
      <w:r w:rsidR="00F80239">
        <w:rPr>
          <w:rFonts w:ascii="Palatino Linotype" w:hAnsi="Palatino Linotype"/>
          <w:i/>
          <w:sz w:val="22"/>
          <w:szCs w:val="22"/>
        </w:rPr>
        <w:t>atos por periodo de tiempo y no i</w:t>
      </w:r>
      <w:r w:rsidR="003C023E">
        <w:rPr>
          <w:rFonts w:ascii="Palatino Linotype" w:hAnsi="Palatino Linotype"/>
          <w:i/>
          <w:sz w:val="22"/>
          <w:szCs w:val="22"/>
        </w:rPr>
        <w:t>ndeterminados</w:t>
      </w:r>
      <w:r w:rsidR="00F80239">
        <w:rPr>
          <w:rFonts w:ascii="Palatino Linotype" w:hAnsi="Palatino Linotype"/>
          <w:i/>
          <w:sz w:val="22"/>
          <w:szCs w:val="22"/>
        </w:rPr>
        <w:t>” (</w:t>
      </w:r>
      <w:r>
        <w:rPr>
          <w:rFonts w:ascii="Palatino Linotype" w:hAnsi="Palatino Linotype"/>
          <w:i/>
          <w:sz w:val="22"/>
          <w:szCs w:val="22"/>
        </w:rPr>
        <w:t>Sic)</w:t>
      </w:r>
    </w:p>
    <w:p w:rsidR="00F80239" w:rsidRDefault="00F80239" w:rsidP="00F80239">
      <w:pPr>
        <w:spacing w:before="240" w:after="240" w:line="360" w:lineRule="auto"/>
        <w:contextualSpacing/>
        <w:jc w:val="both"/>
        <w:rPr>
          <w:rFonts w:ascii="Palatino Linotype" w:hAnsi="Palatino Linotype" w:cs="Arial"/>
        </w:rPr>
      </w:pPr>
    </w:p>
    <w:p w:rsidR="00F80239" w:rsidRDefault="00F80239" w:rsidP="00F80239">
      <w:pPr>
        <w:spacing w:before="240" w:after="240" w:line="360" w:lineRule="auto"/>
        <w:contextualSpacing/>
        <w:jc w:val="both"/>
        <w:rPr>
          <w:rFonts w:ascii="Palatino Linotype" w:hAnsi="Palatino Linotype" w:cs="Arial"/>
        </w:rPr>
      </w:pPr>
      <w:r>
        <w:rPr>
          <w:rFonts w:ascii="Palatino Linotype" w:hAnsi="Palatino Linotype" w:cs="Arial"/>
        </w:rPr>
        <w:t>Solicitud en la que se advierte, que la solicitante planteó una cuestión con la que pretendía que el Sujeto Obligado le explicara una circunstancia, que según su dicho ocurre dentro de la Universidad Politécnica del Valle de Toluca, por lo que es obvio que el particular no está ejerciendo su derecho de acceso a la información pública; debido a que en la solicitud consiste solamente a un cuestionamiento que no es factible atenderse vía acceso a la información, es decir que dicho cuestionamiento se come con documentos que obren en los archivos del Sujeto Obligado.</w:t>
      </w:r>
    </w:p>
    <w:p w:rsidR="00F80239" w:rsidRDefault="00F80239" w:rsidP="00F80239">
      <w:pPr>
        <w:spacing w:before="240" w:after="240" w:line="360" w:lineRule="auto"/>
        <w:contextualSpacing/>
        <w:jc w:val="both"/>
        <w:rPr>
          <w:rFonts w:ascii="Palatino Linotype" w:hAnsi="Palatino Linotype" w:cs="Arial"/>
        </w:rPr>
      </w:pPr>
    </w:p>
    <w:p w:rsidR="00F80239" w:rsidRDefault="00F80239" w:rsidP="00F80239">
      <w:pPr>
        <w:spacing w:before="240" w:after="240" w:line="360" w:lineRule="auto"/>
        <w:contextualSpacing/>
        <w:jc w:val="both"/>
        <w:rPr>
          <w:rFonts w:ascii="Palatino Linotype" w:hAnsi="Palatino Linotype" w:cs="Arial"/>
        </w:rPr>
      </w:pPr>
      <w:r>
        <w:rPr>
          <w:rFonts w:ascii="Palatino Linotype" w:hAnsi="Palatino Linotype" w:cs="Arial"/>
        </w:rPr>
        <w:t xml:space="preserve">No obstante, el Sujeto Obligado </w:t>
      </w:r>
      <w:r w:rsidR="00764F26">
        <w:rPr>
          <w:rFonts w:ascii="Palatino Linotype" w:hAnsi="Palatino Linotype" w:cs="Arial"/>
        </w:rPr>
        <w:t xml:space="preserve">en aras de satisfacer el derecho de acceso a la información pública, intentó dar contestación a lo solicitado por el particular, argumentando que después de una búsqueda exhaustiva y razonable en los archivos del departamento de recursos humanos y materiales, informa que el solicitante está realizando opiniones, aseveraciones y cuestionamientos subjetivos que nada tiene que ver con el acceso a la información, toda vez que el Sujeto Obligado no está obligado a remitir lo requerido, ya que el acceso a la información se encamina primordialmente a permitir el acceso a datos, registros y todo tipo de información pública que conste en documentos, sea generada o se encuentre en posesión de las </w:t>
      </w:r>
      <w:r w:rsidR="00764F26">
        <w:rPr>
          <w:rFonts w:ascii="Palatino Linotype" w:hAnsi="Palatino Linotype" w:cs="Arial"/>
        </w:rPr>
        <w:lastRenderedPageBreak/>
        <w:t>autoridades y que el solicitante está haciendo en su solicitud es lo referente al derecho de petición, el cual es la pretensión del particular que consiste generalmente en obligar al Sujeto Obligado a que proceda en el sentido de contestar lo solicitado, por lo que esta unidad administrativa sólo puede proporcionar lo que obra en sus a</w:t>
      </w:r>
      <w:r w:rsidR="00E82280">
        <w:rPr>
          <w:rFonts w:ascii="Palatino Linotype" w:hAnsi="Palatino Linotype" w:cs="Arial"/>
        </w:rPr>
        <w:t>rchivos, y que no cuenta con la</w:t>
      </w:r>
      <w:r w:rsidR="00764F26">
        <w:rPr>
          <w:rFonts w:ascii="Palatino Linotype" w:hAnsi="Palatino Linotype" w:cs="Arial"/>
        </w:rPr>
        <w:t xml:space="preserve"> información solicitada que </w:t>
      </w:r>
      <w:r w:rsidR="00E82280">
        <w:rPr>
          <w:rFonts w:ascii="Palatino Linotype" w:hAnsi="Palatino Linotype" w:cs="Arial"/>
        </w:rPr>
        <w:t xml:space="preserve">obre en algún documento para </w:t>
      </w:r>
      <w:r w:rsidR="00E82280" w:rsidRPr="00472FBE">
        <w:rPr>
          <w:rFonts w:ascii="Palatino Linotype" w:hAnsi="Palatino Linotype" w:cs="Arial"/>
        </w:rPr>
        <w:t>dar atención a la solicitud.</w:t>
      </w:r>
    </w:p>
    <w:p w:rsidR="00F80239" w:rsidRDefault="00F80239" w:rsidP="00F80239">
      <w:pPr>
        <w:spacing w:before="240" w:after="240" w:line="360" w:lineRule="auto"/>
        <w:contextualSpacing/>
        <w:jc w:val="both"/>
        <w:rPr>
          <w:rFonts w:ascii="Palatino Linotype" w:hAnsi="Palatino Linotype" w:cs="Arial"/>
        </w:rPr>
      </w:pPr>
    </w:p>
    <w:p w:rsidR="00E538B2" w:rsidRDefault="00E538B2" w:rsidP="00E538B2">
      <w:pPr>
        <w:spacing w:before="240" w:after="240" w:line="360" w:lineRule="auto"/>
        <w:jc w:val="both"/>
        <w:rPr>
          <w:rFonts w:ascii="Palatino Linotype" w:hAnsi="Palatino Linotype" w:cs="Arial"/>
        </w:rPr>
      </w:pPr>
      <w:r>
        <w:rPr>
          <w:rFonts w:ascii="Palatino Linotype" w:hAnsi="Palatino Linotype" w:cs="Arial"/>
        </w:rPr>
        <w:t>Inconforme el recurrente, interpuso el Recurso de Revisión que se resu</w:t>
      </w:r>
      <w:r w:rsidR="00472FBE">
        <w:rPr>
          <w:rFonts w:ascii="Palatino Linotype" w:hAnsi="Palatino Linotype" w:cs="Arial"/>
        </w:rPr>
        <w:t>elve, porque no es la información requerida y que en ningún momento está haciendo una afirmación, si no lo que se solicita es el tipo de contrato.</w:t>
      </w:r>
    </w:p>
    <w:p w:rsidR="00E538B2" w:rsidRDefault="00E538B2" w:rsidP="00472FBE">
      <w:pPr>
        <w:spacing w:before="240" w:after="240" w:line="360" w:lineRule="auto"/>
        <w:jc w:val="both"/>
        <w:rPr>
          <w:rFonts w:ascii="Palatino Linotype" w:hAnsi="Palatino Linotype" w:cs="Arial"/>
        </w:rPr>
      </w:pPr>
      <w:r>
        <w:rPr>
          <w:rFonts w:ascii="Palatino Linotype" w:hAnsi="Palatino Linotype" w:cs="Arial"/>
        </w:rPr>
        <w:t xml:space="preserve">Una vez notificado el recurso de revisión al Sujeto Obligado, este rindió su informe justificado como así consta en el apartado de manifestaciones del Sistema de Acceso a la Información Mexiquense (SAIMEX), </w:t>
      </w:r>
      <w:r w:rsidR="00472FBE">
        <w:rPr>
          <w:rFonts w:ascii="Palatino Linotype" w:hAnsi="Palatino Linotype" w:cs="Arial"/>
        </w:rPr>
        <w:t>en el cual en lo sustancial confirma su respuesta.</w:t>
      </w:r>
    </w:p>
    <w:p w:rsidR="00472FBE" w:rsidRDefault="00472FBE" w:rsidP="00472FBE">
      <w:pPr>
        <w:spacing w:before="240" w:after="240" w:line="360" w:lineRule="auto"/>
        <w:jc w:val="both"/>
        <w:rPr>
          <w:rFonts w:ascii="Palatino Linotype" w:hAnsi="Palatino Linotype" w:cs="Arial"/>
        </w:rPr>
      </w:pPr>
      <w:r w:rsidRPr="00472FBE">
        <w:rPr>
          <w:rFonts w:ascii="Palatino Linotype" w:hAnsi="Palatino Linotype" w:cs="Arial"/>
        </w:rPr>
        <w:t xml:space="preserve">Por </w:t>
      </w:r>
      <w:r>
        <w:rPr>
          <w:rFonts w:ascii="Palatino Linotype" w:hAnsi="Palatino Linotype" w:cs="Arial"/>
        </w:rPr>
        <w:t xml:space="preserve">lo </w:t>
      </w:r>
      <w:r w:rsidRPr="00472FBE">
        <w:rPr>
          <w:rFonts w:ascii="Palatino Linotype" w:hAnsi="Palatino Linotype" w:cs="Arial"/>
        </w:rPr>
        <w:t>anterior</w:t>
      </w:r>
      <w:r>
        <w:rPr>
          <w:rFonts w:ascii="Palatino Linotype" w:hAnsi="Palatino Linotype" w:cs="Arial"/>
        </w:rPr>
        <w:t xml:space="preserve"> </w:t>
      </w:r>
      <w:r w:rsidRPr="00472FBE">
        <w:rPr>
          <w:rFonts w:ascii="Palatino Linotype" w:hAnsi="Palatino Linotype" w:cs="Arial"/>
        </w:rPr>
        <w:t xml:space="preserve">y </w:t>
      </w:r>
      <w:r>
        <w:rPr>
          <w:rFonts w:ascii="Palatino Linotype" w:hAnsi="Palatino Linotype" w:cs="Arial"/>
        </w:rPr>
        <w:t>del</w:t>
      </w:r>
      <w:r w:rsidRPr="00472FBE">
        <w:rPr>
          <w:rFonts w:ascii="Palatino Linotype" w:hAnsi="Palatino Linotype" w:cs="Arial"/>
        </w:rPr>
        <w:t xml:space="preserve"> </w:t>
      </w:r>
      <w:r>
        <w:rPr>
          <w:rFonts w:ascii="Palatino Linotype" w:hAnsi="Palatino Linotype" w:cs="Arial"/>
        </w:rPr>
        <w:t>análisis</w:t>
      </w:r>
      <w:r w:rsidRPr="00472FBE">
        <w:rPr>
          <w:rFonts w:ascii="Palatino Linotype" w:hAnsi="Palatino Linotype" w:cs="Arial"/>
        </w:rPr>
        <w:t xml:space="preserve"> realizado al expediente </w:t>
      </w:r>
      <w:r>
        <w:rPr>
          <w:rFonts w:ascii="Palatino Linotype" w:hAnsi="Palatino Linotype" w:cs="Arial"/>
        </w:rPr>
        <w:t xml:space="preserve">electrónico, </w:t>
      </w:r>
      <w:r w:rsidRPr="00472FBE">
        <w:rPr>
          <w:rFonts w:ascii="Palatino Linotype" w:hAnsi="Palatino Linotype" w:cs="Arial"/>
        </w:rPr>
        <w:t xml:space="preserve">se advierte que la </w:t>
      </w:r>
      <w:r>
        <w:rPr>
          <w:rFonts w:ascii="Palatino Linotype" w:hAnsi="Palatino Linotype" w:cs="Arial"/>
        </w:rPr>
        <w:t>solicitud</w:t>
      </w:r>
      <w:r w:rsidRPr="00472FBE">
        <w:rPr>
          <w:rFonts w:ascii="Palatino Linotype" w:hAnsi="Palatino Linotype" w:cs="Arial"/>
        </w:rPr>
        <w:t xml:space="preserve"> no constituye un derecho de acceso a</w:t>
      </w:r>
      <w:r>
        <w:rPr>
          <w:rFonts w:ascii="Palatino Linotype" w:hAnsi="Palatino Linotype" w:cs="Arial"/>
        </w:rPr>
        <w:t xml:space="preserve"> </w:t>
      </w:r>
      <w:r w:rsidRPr="00472FBE">
        <w:rPr>
          <w:rFonts w:ascii="Palatino Linotype" w:hAnsi="Palatino Linotype" w:cs="Arial"/>
        </w:rPr>
        <w:t>la información</w:t>
      </w:r>
      <w:r w:rsidR="001725ED">
        <w:rPr>
          <w:rFonts w:ascii="Palatino Linotype" w:hAnsi="Palatino Linotype" w:cs="Arial"/>
        </w:rPr>
        <w:t xml:space="preserve"> y </w:t>
      </w:r>
      <w:r w:rsidR="001725ED">
        <w:rPr>
          <w:rFonts w:ascii="Palatino Linotype" w:hAnsi="Palatino Linotype" w:cs="Arial"/>
          <w:szCs w:val="20"/>
        </w:rPr>
        <w:t>por lo tanto no es atendible mediante una solicitud de acceso a la información pública</w:t>
      </w:r>
      <w:r w:rsidR="001725ED" w:rsidRPr="005220D9">
        <w:rPr>
          <w:rFonts w:ascii="Palatino Linotype" w:hAnsi="Palatino Linotype" w:cs="Arial"/>
          <w:szCs w:val="20"/>
        </w:rPr>
        <w:t xml:space="preserve">, porque se tratan de manifestaciones subjetivas vertidas por el </w:t>
      </w:r>
      <w:r w:rsidR="001725ED">
        <w:rPr>
          <w:rFonts w:ascii="Palatino Linotype" w:hAnsi="Palatino Linotype" w:cs="Arial"/>
          <w:szCs w:val="20"/>
        </w:rPr>
        <w:t>particular</w:t>
      </w:r>
      <w:r w:rsidR="001725ED" w:rsidRPr="005220D9">
        <w:rPr>
          <w:rFonts w:ascii="Palatino Linotype" w:hAnsi="Palatino Linotype" w:cs="Arial"/>
          <w:szCs w:val="20"/>
        </w:rPr>
        <w:t>,</w:t>
      </w:r>
      <w:r w:rsidR="001725ED" w:rsidRPr="005220D9">
        <w:rPr>
          <w:rFonts w:ascii="Palatino Linotype" w:hAnsi="Palatino Linotype" w:cs="Arial"/>
        </w:rPr>
        <w:t xml:space="preserve"> interrogantes y declaraciones que no se colman con la entrega de documentos, situación que conlleva a afirmar que se está en presencia del ejercicio del derecho de petición</w:t>
      </w:r>
      <w:r w:rsidR="001725ED">
        <w:rPr>
          <w:rFonts w:ascii="Palatino Linotype" w:hAnsi="Palatino Linotype" w:cs="Arial"/>
        </w:rPr>
        <w:t>.</w:t>
      </w:r>
    </w:p>
    <w:p w:rsidR="00472FBE" w:rsidRDefault="00472FBE" w:rsidP="00472FBE">
      <w:pPr>
        <w:spacing w:before="240" w:after="240" w:line="360" w:lineRule="auto"/>
        <w:jc w:val="both"/>
        <w:rPr>
          <w:rFonts w:ascii="Palatino Linotype" w:hAnsi="Palatino Linotype" w:cs="Arial"/>
        </w:rPr>
      </w:pPr>
      <w:r>
        <w:rPr>
          <w:rFonts w:ascii="Palatino Linotype" w:hAnsi="Palatino Linotype" w:cs="Arial"/>
        </w:rPr>
        <w:t xml:space="preserve">En </w:t>
      </w:r>
      <w:r w:rsidR="00CE35F4">
        <w:rPr>
          <w:rFonts w:ascii="Palatino Linotype" w:hAnsi="Palatino Linotype" w:cs="Arial"/>
        </w:rPr>
        <w:t xml:space="preserve">segundo lugar, </w:t>
      </w:r>
      <w:r w:rsidRPr="00472FBE">
        <w:rPr>
          <w:rFonts w:ascii="Palatino Linotype" w:hAnsi="Palatino Linotype" w:cs="Arial"/>
        </w:rPr>
        <w:t>es importante diferenciar lo que se entiende por derecho de petición y por derecho de acceso a la información pública.</w:t>
      </w:r>
    </w:p>
    <w:p w:rsidR="00472FBE" w:rsidRDefault="00472FBE" w:rsidP="00E538B2">
      <w:pPr>
        <w:spacing w:before="240" w:after="240" w:line="360" w:lineRule="auto"/>
        <w:ind w:right="-91"/>
        <w:jc w:val="both"/>
        <w:rPr>
          <w:rFonts w:ascii="Palatino Linotype" w:hAnsi="Palatino Linotype" w:cs="Arial"/>
        </w:rPr>
      </w:pPr>
      <w:r>
        <w:rPr>
          <w:rFonts w:ascii="Palatino Linotype" w:hAnsi="Palatino Linotype" w:cs="Arial"/>
        </w:rPr>
        <w:lastRenderedPageBreak/>
        <w:t>Derecho de Petición:</w:t>
      </w:r>
    </w:p>
    <w:p w:rsidR="00CE35F4" w:rsidRPr="00CE35F4" w:rsidRDefault="00CE35F4" w:rsidP="00CE35F4">
      <w:pPr>
        <w:spacing w:before="240" w:after="240" w:line="360" w:lineRule="auto"/>
        <w:jc w:val="both"/>
        <w:rPr>
          <w:rFonts w:ascii="Palatino Linotype" w:hAnsi="Palatino Linotype" w:cs="Arial"/>
        </w:rPr>
      </w:pPr>
      <w:r>
        <w:rPr>
          <w:rFonts w:ascii="Palatino Linotype" w:hAnsi="Palatino Linotype" w:cs="Arial"/>
        </w:rPr>
        <w:t>E</w:t>
      </w:r>
      <w:r w:rsidRPr="00CE35F4">
        <w:rPr>
          <w:rFonts w:ascii="Palatino Linotype" w:hAnsi="Palatino Linotype" w:cs="Arial"/>
        </w:rPr>
        <w:t>l Maestro Ignacio Burgo Orihuela refiere</w:t>
      </w:r>
      <w:r>
        <w:rPr>
          <w:rFonts w:ascii="Palatino Linotype" w:hAnsi="Palatino Linotype" w:cs="Arial"/>
        </w:rPr>
        <w:t xml:space="preserve"> que derecho de petición</w:t>
      </w:r>
      <w:r w:rsidRPr="00CE35F4">
        <w:rPr>
          <w:rFonts w:ascii="Palatino Linotype" w:hAnsi="Palatino Linotype" w:cs="Arial"/>
        </w:rPr>
        <w:t xml:space="preserve">: </w:t>
      </w:r>
      <w:r>
        <w:rPr>
          <w:rFonts w:ascii="Palatino Linotype" w:hAnsi="Palatino Linotype" w:cs="Arial"/>
        </w:rPr>
        <w:t>".</w:t>
      </w:r>
      <w:r w:rsidRPr="00CE35F4">
        <w:rPr>
          <w:rFonts w:ascii="Palatino Linotype" w:hAnsi="Palatino Linotype" w:cs="Arial"/>
        </w:rPr>
        <w:t>..</w:t>
      </w:r>
      <w:r w:rsidRPr="00CE35F4">
        <w:rPr>
          <w:rFonts w:ascii="Palatino Linotype" w:hAnsi="Palatino Linotype" w:cs="Arial"/>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Pr>
          <w:rFonts w:ascii="Palatino Linotype" w:hAnsi="Palatino Linotype" w:cs="Arial"/>
        </w:rPr>
        <w:t>"</w:t>
      </w:r>
      <w:r>
        <w:rPr>
          <w:rStyle w:val="Refdenotaalpie"/>
          <w:rFonts w:ascii="Palatino Linotype" w:hAnsi="Palatino Linotype" w:cs="Arial"/>
        </w:rPr>
        <w:footnoteReference w:id="1"/>
      </w:r>
      <w:r>
        <w:rPr>
          <w:rFonts w:ascii="Palatino Linotype" w:hAnsi="Palatino Linotype" w:cs="Arial"/>
        </w:rPr>
        <w:t>(Sic)</w:t>
      </w:r>
    </w:p>
    <w:p w:rsidR="001725ED" w:rsidRPr="001725ED" w:rsidRDefault="001725ED" w:rsidP="001725ED">
      <w:pPr>
        <w:pStyle w:val="Prrafodelista"/>
        <w:autoSpaceDE w:val="0"/>
        <w:autoSpaceDN w:val="0"/>
        <w:adjustRightInd w:val="0"/>
        <w:spacing w:before="240" w:after="360" w:line="360" w:lineRule="auto"/>
        <w:ind w:left="0"/>
        <w:contextualSpacing/>
        <w:jc w:val="both"/>
        <w:rPr>
          <w:rFonts w:ascii="Palatino Linotype" w:hAnsi="Palatino Linotype" w:cs="Arial"/>
          <w:i/>
          <w:sz w:val="24"/>
          <w:szCs w:val="24"/>
        </w:rPr>
      </w:pPr>
      <w:r w:rsidRPr="001725ED">
        <w:rPr>
          <w:rFonts w:ascii="Palatino Linotype" w:hAnsi="Palatino Linotype" w:cs="Arial"/>
          <w:sz w:val="24"/>
          <w:szCs w:val="24"/>
        </w:rPr>
        <w:t xml:space="preserve">Por su parte, David Cienfuegos Salgado, concibe al derecho de petición como </w:t>
      </w:r>
      <w:r w:rsidRPr="001725ED">
        <w:rPr>
          <w:rFonts w:ascii="Palatino Linotype" w:hAnsi="Palatino Linotype" w:cs="Arial"/>
          <w:i/>
          <w:sz w:val="24"/>
          <w:szCs w:val="24"/>
        </w:rPr>
        <w:t>“el derecho de toda persona a ser escuchado por quienes ejercen el poder público.</w:t>
      </w:r>
      <w:r w:rsidRPr="001725ED">
        <w:rPr>
          <w:rStyle w:val="Refdenotaalpie"/>
          <w:rFonts w:ascii="Palatino Linotype" w:hAnsi="Palatino Linotype"/>
          <w:i/>
          <w:sz w:val="24"/>
          <w:szCs w:val="24"/>
        </w:rPr>
        <w:t xml:space="preserve"> </w:t>
      </w:r>
      <w:r w:rsidRPr="001725ED">
        <w:rPr>
          <w:rStyle w:val="Refdenotaalpie"/>
          <w:rFonts w:ascii="Palatino Linotype" w:hAnsi="Palatino Linotype"/>
          <w:i/>
          <w:sz w:val="24"/>
          <w:szCs w:val="24"/>
        </w:rPr>
        <w:footnoteReference w:id="2"/>
      </w:r>
      <w:r w:rsidRPr="001725ED">
        <w:rPr>
          <w:rFonts w:ascii="Palatino Linotype" w:hAnsi="Palatino Linotype" w:cs="Arial"/>
          <w:i/>
          <w:sz w:val="24"/>
          <w:szCs w:val="24"/>
        </w:rPr>
        <w:t xml:space="preserve">” (Sic) </w:t>
      </w:r>
    </w:p>
    <w:p w:rsidR="001725ED" w:rsidRPr="001725ED" w:rsidRDefault="001725ED" w:rsidP="001725ED">
      <w:pPr>
        <w:spacing w:before="240" w:after="240" w:line="360" w:lineRule="auto"/>
        <w:jc w:val="both"/>
        <w:rPr>
          <w:rFonts w:ascii="Palatino Linotype" w:hAnsi="Palatino Linotype" w:cs="Arial"/>
        </w:rPr>
      </w:pPr>
      <w:r w:rsidRPr="001725ED">
        <w:rPr>
          <w:rFonts w:ascii="Palatino Linotype" w:hAnsi="Palatino Linotype" w:cs="Arial"/>
        </w:rPr>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w:t>
      </w:r>
      <w:r>
        <w:rPr>
          <w:rFonts w:ascii="Palatino Linotype" w:hAnsi="Palatino Linotype" w:cs="Arial"/>
        </w:rPr>
        <w:t>una forma específica de la liber</w:t>
      </w:r>
      <w:r w:rsidRPr="001725ED">
        <w:rPr>
          <w:rFonts w:ascii="Palatino Linotype" w:hAnsi="Palatino Linotype" w:cs="Arial"/>
        </w:rPr>
        <w:t>tad de expresión,</w:t>
      </w:r>
      <w:r>
        <w:rPr>
          <w:rFonts w:ascii="Palatino Linotype" w:hAnsi="Palatino Linotype" w:cs="Arial"/>
        </w:rPr>
        <w:t xml:space="preserve"> </w:t>
      </w:r>
      <w:r w:rsidRPr="001725ED">
        <w:rPr>
          <w:rFonts w:ascii="Palatino Linotype" w:hAnsi="Palatino Linotype" w:cs="Arial"/>
        </w:rPr>
        <w:t>en tanto que permite expresarse fr</w:t>
      </w:r>
      <w:r>
        <w:rPr>
          <w:rFonts w:ascii="Palatino Linotype" w:hAnsi="Palatino Linotype" w:cs="Arial"/>
        </w:rPr>
        <w:t>ente a las autoridades. De igual</w:t>
      </w:r>
      <w:r w:rsidRPr="001725ED">
        <w:rPr>
          <w:rFonts w:ascii="Palatino Linotype" w:hAnsi="Palatino Linotype" w:cs="Arial"/>
        </w:rPr>
        <w:t xml:space="preserve"> manera que el derecho de petición se traduce en la obligación </w:t>
      </w:r>
      <w:r>
        <w:rPr>
          <w:rFonts w:ascii="Palatino Linotype" w:hAnsi="Palatino Linotype" w:cs="Arial"/>
        </w:rPr>
        <w:t>de todos</w:t>
      </w:r>
      <w:r w:rsidRPr="001725ED">
        <w:rPr>
          <w:rFonts w:ascii="Palatino Linotype" w:hAnsi="Palatino Linotype" w:cs="Arial"/>
        </w:rPr>
        <w:t xml:space="preserve"> los funcionarios y</w:t>
      </w:r>
      <w:r>
        <w:rPr>
          <w:rFonts w:ascii="Palatino Linotype" w:hAnsi="Palatino Linotype" w:cs="Arial"/>
        </w:rPr>
        <w:t xml:space="preserve"> autoridades de permitir a los ciudadanos de dirigirse </w:t>
      </w:r>
      <w:r w:rsidRPr="001725ED">
        <w:rPr>
          <w:rFonts w:ascii="Palatino Linotype" w:hAnsi="Palatino Linotype" w:cs="Arial"/>
        </w:rPr>
        <w:t>a</w:t>
      </w:r>
      <w:r>
        <w:rPr>
          <w:rFonts w:ascii="Palatino Linotype" w:hAnsi="Palatino Linotype" w:cs="Arial"/>
        </w:rPr>
        <w:t xml:space="preserve"> ellos</w:t>
      </w:r>
      <w:r w:rsidRPr="001725ED">
        <w:rPr>
          <w:rFonts w:ascii="Palatino Linotype" w:hAnsi="Palatino Linotype" w:cs="Arial"/>
        </w:rPr>
        <w:t xml:space="preserve"> en</w:t>
      </w:r>
      <w:r w:rsidR="0085366E">
        <w:rPr>
          <w:rFonts w:ascii="Palatino Linotype" w:hAnsi="Palatino Linotype" w:cs="Arial"/>
        </w:rPr>
        <w:t xml:space="preserve"> </w:t>
      </w:r>
      <w:r w:rsidRPr="001725ED">
        <w:rPr>
          <w:rFonts w:ascii="Palatino Linotype" w:hAnsi="Palatino Linotype" w:cs="Arial"/>
        </w:rPr>
        <w:t>demanda de lo que deseen expresar o solicitar y responder de dicha demanda por escrito, de forma congruente y en un plazo breve</w:t>
      </w:r>
      <w:r>
        <w:rPr>
          <w:rFonts w:ascii="Palatino Linotype" w:hAnsi="Palatino Linotype" w:cs="Arial"/>
        </w:rPr>
        <w:t>.</w:t>
      </w:r>
      <w:r w:rsidR="0085366E">
        <w:rPr>
          <w:rStyle w:val="Refdenotaalpie"/>
          <w:rFonts w:ascii="Palatino Linotype" w:hAnsi="Palatino Linotype" w:cs="Arial"/>
        </w:rPr>
        <w:footnoteReference w:id="3"/>
      </w:r>
    </w:p>
    <w:p w:rsidR="0085366E" w:rsidRDefault="0085366E" w:rsidP="00E538B2">
      <w:pPr>
        <w:spacing w:before="240" w:after="240" w:line="360" w:lineRule="auto"/>
        <w:ind w:right="-91"/>
        <w:jc w:val="both"/>
        <w:rPr>
          <w:rFonts w:ascii="Palatino Linotype" w:hAnsi="Palatino Linotype" w:cs="Arial"/>
        </w:rPr>
      </w:pPr>
      <w:r>
        <w:rPr>
          <w:rFonts w:ascii="Palatino Linotype" w:hAnsi="Palatino Linotype" w:cs="Arial"/>
        </w:rPr>
        <w:lastRenderedPageBreak/>
        <w:t>Derecho de Acceso a la Información Pública:</w:t>
      </w:r>
    </w:p>
    <w:p w:rsidR="0085366E" w:rsidRPr="0085366E" w:rsidRDefault="0085366E" w:rsidP="0085366E">
      <w:pPr>
        <w:pStyle w:val="Textoindependiente"/>
        <w:kinsoku w:val="0"/>
        <w:overflowPunct w:val="0"/>
        <w:spacing w:line="405" w:lineRule="auto"/>
        <w:ind w:left="0" w:right="99"/>
        <w:jc w:val="both"/>
        <w:rPr>
          <w:rFonts w:ascii="Palatino Linotype" w:hAnsi="Palatino Linotype" w:cs="Arial"/>
          <w:sz w:val="24"/>
          <w:szCs w:val="24"/>
        </w:rPr>
      </w:pPr>
      <w:r w:rsidRPr="0085366E">
        <w:rPr>
          <w:rFonts w:ascii="Palatino Linotype" w:hAnsi="Palatino Linotype" w:cs="Arial"/>
          <w:sz w:val="24"/>
          <w:szCs w:val="24"/>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85366E" w:rsidRDefault="0085366E" w:rsidP="0085366E">
      <w:pPr>
        <w:pStyle w:val="Textoindependiente"/>
        <w:kinsoku w:val="0"/>
        <w:overflowPunct w:val="0"/>
        <w:spacing w:line="408" w:lineRule="auto"/>
        <w:ind w:right="116"/>
        <w:rPr>
          <w:w w:val="105"/>
        </w:rPr>
      </w:pPr>
    </w:p>
    <w:p w:rsidR="0085366E" w:rsidRPr="003E7E06" w:rsidRDefault="0085366E" w:rsidP="0085366E">
      <w:pPr>
        <w:pStyle w:val="Textoindependiente"/>
        <w:kinsoku w:val="0"/>
        <w:overflowPunct w:val="0"/>
        <w:spacing w:line="405" w:lineRule="auto"/>
        <w:ind w:left="0" w:right="99"/>
        <w:jc w:val="both"/>
        <w:rPr>
          <w:rFonts w:ascii="Palatino Linotype" w:hAnsi="Palatino Linotype" w:cs="Arial"/>
          <w:sz w:val="24"/>
          <w:szCs w:val="24"/>
        </w:rPr>
      </w:pPr>
      <w:r w:rsidRPr="003E7E06">
        <w:rPr>
          <w:rFonts w:ascii="Palatino Linotype" w:hAnsi="Palatino Linotype" w:cs="Arial"/>
          <w:sz w:val="24"/>
          <w:szCs w:val="24"/>
        </w:rPr>
        <w:t>Por su parte Ernesto Villanueva define al derecho de acceso a la información pública como la prerrogativa de la persona para acceder a datos, registros y todo tipo de</w:t>
      </w:r>
      <w:r w:rsidR="003E7E06" w:rsidRPr="003E7E06">
        <w:rPr>
          <w:rFonts w:ascii="Palatino Linotype" w:hAnsi="Palatino Linotype" w:cs="Arial"/>
          <w:sz w:val="24"/>
          <w:szCs w:val="24"/>
        </w:rPr>
        <w:t xml:space="preserve"> informaciones en poder de las entidades públicas y empresas privadas que ejercen gasto público o cumplen funciones de autoridad, con las excepciones taxativas que establezca la ley en una sociedad democrática</w:t>
      </w:r>
      <w:r w:rsidR="003E7E06">
        <w:rPr>
          <w:rFonts w:ascii="Palatino Linotype" w:hAnsi="Palatino Linotype" w:cs="Arial"/>
          <w:sz w:val="24"/>
          <w:szCs w:val="24"/>
        </w:rPr>
        <w:t>.</w:t>
      </w:r>
      <w:r w:rsidR="003E7E06">
        <w:rPr>
          <w:rStyle w:val="Refdenotaalpie"/>
          <w:rFonts w:ascii="Palatino Linotype" w:hAnsi="Palatino Linotype" w:cs="Arial"/>
          <w:sz w:val="24"/>
          <w:szCs w:val="24"/>
        </w:rPr>
        <w:footnoteReference w:id="4"/>
      </w:r>
    </w:p>
    <w:p w:rsidR="003E7E06" w:rsidRDefault="003E7E06" w:rsidP="0085366E">
      <w:pPr>
        <w:pStyle w:val="Textoindependiente"/>
        <w:kinsoku w:val="0"/>
        <w:overflowPunct w:val="0"/>
        <w:spacing w:line="405" w:lineRule="auto"/>
        <w:ind w:left="0" w:right="99"/>
        <w:jc w:val="both"/>
        <w:rPr>
          <w:rFonts w:ascii="Palatino Linotype" w:hAnsi="Palatino Linotype" w:cs="Arial"/>
          <w:sz w:val="24"/>
          <w:szCs w:val="24"/>
        </w:rPr>
      </w:pPr>
    </w:p>
    <w:p w:rsidR="003E7E06" w:rsidRPr="003E7E06" w:rsidRDefault="003E7E06" w:rsidP="003E7E06">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 xml:space="preserve">En ese contexto, </w:t>
      </w:r>
      <w:r w:rsidRPr="003E7E06">
        <w:rPr>
          <w:rFonts w:ascii="Palatino Linotype" w:hAnsi="Palatino Linotype" w:cs="Arial"/>
          <w:sz w:val="24"/>
          <w:szCs w:val="24"/>
        </w:rPr>
        <w:t>para diferenciar el derecho de petición del derecho de acceso a la</w:t>
      </w:r>
    </w:p>
    <w:p w:rsidR="003E7E06" w:rsidRDefault="003E7E06" w:rsidP="003E7E06">
      <w:pPr>
        <w:pStyle w:val="Textoindependiente"/>
        <w:kinsoku w:val="0"/>
        <w:overflowPunct w:val="0"/>
        <w:spacing w:line="405" w:lineRule="auto"/>
        <w:ind w:left="0" w:right="99"/>
        <w:jc w:val="both"/>
        <w:rPr>
          <w:rFonts w:ascii="Palatino Linotype" w:hAnsi="Palatino Linotype" w:cs="Arial"/>
          <w:sz w:val="24"/>
          <w:szCs w:val="24"/>
        </w:rPr>
      </w:pPr>
      <w:r w:rsidRPr="003E7E06">
        <w:rPr>
          <w:rFonts w:ascii="Palatino Linotype" w:hAnsi="Palatino Linotype" w:cs="Arial"/>
          <w:sz w:val="24"/>
          <w:szCs w:val="24"/>
        </w:rPr>
        <w:t xml:space="preserve">información pública, resulta conveniente citar a José Guadalupe Robles, quien conceptualiza el derecho a la información </w:t>
      </w:r>
      <w:r>
        <w:rPr>
          <w:rFonts w:ascii="Palatino Linotype" w:hAnsi="Palatino Linotype" w:cs="Arial"/>
          <w:sz w:val="24"/>
          <w:szCs w:val="24"/>
        </w:rPr>
        <w:t>com</w:t>
      </w:r>
      <w:r w:rsidRPr="003E7E06">
        <w:rPr>
          <w:rFonts w:ascii="Palatino Linotype" w:hAnsi="Palatino Linotype" w:cs="Arial"/>
          <w:sz w:val="24"/>
          <w:szCs w:val="24"/>
        </w:rPr>
        <w:t>o "un derecho fundamental tanto de carácter individual corno colectivo, cuyas limitaciones deben estar establecidas en la ley, así corno una garantía de que la información sea tramitada con claridad y objetividad, por cuanto a que es un ben jurídico que coadyuva</w:t>
      </w:r>
      <w:r>
        <w:rPr>
          <w:rFonts w:ascii="Palatino Linotype" w:hAnsi="Palatino Linotype" w:cs="Arial"/>
          <w:sz w:val="24"/>
          <w:szCs w:val="24"/>
        </w:rPr>
        <w:t xml:space="preserve"> al </w:t>
      </w:r>
      <w:r w:rsidRPr="003E7E06">
        <w:rPr>
          <w:rFonts w:ascii="Palatino Linotype" w:hAnsi="Palatino Linotype" w:cs="Arial"/>
          <w:sz w:val="24"/>
          <w:szCs w:val="24"/>
        </w:rPr>
        <w:t xml:space="preserve">desarrollo de las </w:t>
      </w:r>
      <w:r w:rsidRPr="003E7E06">
        <w:rPr>
          <w:rFonts w:ascii="Palatino Linotype" w:hAnsi="Palatino Linotype" w:cs="Arial"/>
          <w:sz w:val="24"/>
          <w:szCs w:val="24"/>
        </w:rPr>
        <w:lastRenderedPageBreak/>
        <w:t xml:space="preserve">personas y a la formación de opinión pública de calidad para poder participar y luego influir en la vida </w:t>
      </w:r>
      <w:r>
        <w:rPr>
          <w:rFonts w:ascii="Palatino Linotype" w:hAnsi="Palatino Linotype" w:cs="Arial"/>
          <w:sz w:val="24"/>
          <w:szCs w:val="24"/>
        </w:rPr>
        <w:t>pública.”</w:t>
      </w:r>
      <w:r>
        <w:rPr>
          <w:rStyle w:val="Refdenotaalpie"/>
          <w:rFonts w:ascii="Palatino Linotype" w:hAnsi="Palatino Linotype" w:cs="Arial"/>
          <w:sz w:val="24"/>
          <w:szCs w:val="24"/>
        </w:rPr>
        <w:footnoteReference w:id="5"/>
      </w:r>
    </w:p>
    <w:p w:rsidR="00805668" w:rsidRDefault="00805668" w:rsidP="00805668">
      <w:pPr>
        <w:pStyle w:val="Textoindependiente"/>
        <w:kinsoku w:val="0"/>
        <w:overflowPunct w:val="0"/>
        <w:spacing w:line="360" w:lineRule="auto"/>
        <w:ind w:left="0" w:right="96"/>
        <w:contextualSpacing/>
        <w:jc w:val="both"/>
        <w:rPr>
          <w:rFonts w:ascii="Palatino Linotype" w:hAnsi="Palatino Linotype" w:cs="Arial"/>
          <w:sz w:val="24"/>
          <w:szCs w:val="24"/>
        </w:rPr>
      </w:pPr>
    </w:p>
    <w:p w:rsidR="00805668" w:rsidRPr="00805668" w:rsidRDefault="00805668" w:rsidP="00805668">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De ahí que,</w:t>
      </w:r>
      <w:r w:rsidRPr="00805668">
        <w:rPr>
          <w:rFonts w:ascii="Palatino Linotype" w:hAnsi="Palatino Linotype" w:cs="Arial"/>
          <w:sz w:val="24"/>
          <w:szCs w:val="24"/>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05668" w:rsidRPr="00F30C67" w:rsidRDefault="00805668" w:rsidP="00805668">
      <w:pPr>
        <w:pStyle w:val="Prrafodelista"/>
        <w:autoSpaceDE w:val="0"/>
        <w:autoSpaceDN w:val="0"/>
        <w:adjustRightInd w:val="0"/>
        <w:spacing w:line="360" w:lineRule="auto"/>
        <w:ind w:left="0"/>
        <w:jc w:val="both"/>
        <w:rPr>
          <w:rFonts w:ascii="Palatino Linotype" w:hAnsi="Palatino Linotype" w:cs="Arial"/>
          <w:lang w:val="es-MX"/>
        </w:rPr>
      </w:pPr>
    </w:p>
    <w:p w:rsidR="00805668" w:rsidRPr="00F30C67" w:rsidRDefault="00805668" w:rsidP="00805668">
      <w:pPr>
        <w:autoSpaceDE w:val="0"/>
        <w:autoSpaceDN w:val="0"/>
        <w:adjustRightInd w:val="0"/>
        <w:ind w:left="567" w:right="567"/>
        <w:contextualSpacing/>
        <w:jc w:val="both"/>
        <w:rPr>
          <w:rFonts w:ascii="Palatino Linotype" w:hAnsi="Palatino Linotype" w:cs="Arial"/>
          <w:b/>
          <w:i/>
          <w:sz w:val="22"/>
          <w:szCs w:val="22"/>
          <w:lang w:val="es-MX" w:eastAsia="es-MX"/>
        </w:rPr>
      </w:pPr>
      <w:r w:rsidRPr="00F30C67">
        <w:rPr>
          <w:rFonts w:ascii="Palatino Linotype" w:hAnsi="Palatino Linotype" w:cs="Arial"/>
          <w:b/>
          <w:i/>
          <w:sz w:val="22"/>
          <w:szCs w:val="22"/>
          <w:lang w:val="es-MX" w:eastAsia="es-MX"/>
        </w:rPr>
        <w:t>“CRITERIO 0002-11</w:t>
      </w:r>
    </w:p>
    <w:p w:rsidR="00805668" w:rsidRPr="00F30C67" w:rsidRDefault="00805668" w:rsidP="00805668">
      <w:pPr>
        <w:autoSpaceDE w:val="0"/>
        <w:autoSpaceDN w:val="0"/>
        <w:adjustRightInd w:val="0"/>
        <w:ind w:left="567" w:right="567"/>
        <w:contextualSpacing/>
        <w:jc w:val="both"/>
        <w:rPr>
          <w:rFonts w:ascii="Palatino Linotype" w:hAnsi="Palatino Linotype" w:cs="Arial"/>
          <w:i/>
          <w:sz w:val="22"/>
          <w:szCs w:val="22"/>
          <w:lang w:val="es-MX" w:eastAsia="es-MX"/>
        </w:rPr>
      </w:pPr>
      <w:r w:rsidRPr="00F30C6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F30C67">
        <w:rPr>
          <w:rFonts w:ascii="Palatino Linotype" w:hAnsi="Palatino Linotype" w:cs="Arial"/>
          <w:b/>
          <w:bCs/>
          <w:i/>
          <w:sz w:val="22"/>
          <w:szCs w:val="22"/>
          <w:lang w:val="es-MX" w:eastAsia="es-MX"/>
        </w:rPr>
        <w:t xml:space="preserve">V, XV, Y XVI, </w:t>
      </w:r>
      <w:r w:rsidRPr="00F30C67">
        <w:rPr>
          <w:rFonts w:ascii="Palatino Linotype" w:hAnsi="Palatino Linotype" w:cs="Arial"/>
          <w:b/>
          <w:i/>
          <w:sz w:val="22"/>
          <w:szCs w:val="22"/>
          <w:lang w:val="es-MX" w:eastAsia="es-MX"/>
        </w:rPr>
        <w:t>32, 4,11 Y 41.</w:t>
      </w:r>
      <w:r w:rsidRPr="00F30C6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5668" w:rsidRPr="00F30C67" w:rsidRDefault="00805668" w:rsidP="00805668">
      <w:pPr>
        <w:autoSpaceDE w:val="0"/>
        <w:autoSpaceDN w:val="0"/>
        <w:adjustRightInd w:val="0"/>
        <w:ind w:left="567" w:right="567"/>
        <w:contextualSpacing/>
        <w:jc w:val="both"/>
        <w:rPr>
          <w:rFonts w:ascii="Palatino Linotype" w:hAnsi="Palatino Linotype" w:cs="Arial"/>
          <w:i/>
          <w:sz w:val="22"/>
          <w:szCs w:val="22"/>
          <w:lang w:val="es-MX" w:eastAsia="es-MX"/>
        </w:rPr>
      </w:pPr>
      <w:r w:rsidRPr="00F30C67">
        <w:rPr>
          <w:rFonts w:ascii="Palatino Linotype" w:hAnsi="Palatino Linotype" w:cs="Arial"/>
          <w:i/>
          <w:sz w:val="22"/>
          <w:szCs w:val="22"/>
          <w:lang w:val="es-MX" w:eastAsia="es-MX"/>
        </w:rPr>
        <w:t>En consecuencia el acceso a la información se refiere a que se cumplan cualquiera de los siguientes tres supuestos:</w:t>
      </w:r>
    </w:p>
    <w:p w:rsidR="00805668" w:rsidRPr="00F30C67" w:rsidRDefault="00805668" w:rsidP="00805668">
      <w:pPr>
        <w:autoSpaceDE w:val="0"/>
        <w:autoSpaceDN w:val="0"/>
        <w:adjustRightInd w:val="0"/>
        <w:ind w:left="567" w:right="567"/>
        <w:contextualSpacing/>
        <w:jc w:val="both"/>
        <w:rPr>
          <w:rFonts w:ascii="Palatino Linotype" w:hAnsi="Palatino Linotype" w:cs="Arial"/>
          <w:i/>
          <w:sz w:val="22"/>
          <w:szCs w:val="22"/>
          <w:lang w:val="es-MX" w:eastAsia="es-MX"/>
        </w:rPr>
      </w:pPr>
      <w:r w:rsidRPr="00F30C6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805668" w:rsidRPr="00F30C67" w:rsidRDefault="00805668" w:rsidP="00805668">
      <w:pPr>
        <w:autoSpaceDE w:val="0"/>
        <w:autoSpaceDN w:val="0"/>
        <w:adjustRightInd w:val="0"/>
        <w:ind w:left="567" w:right="567"/>
        <w:contextualSpacing/>
        <w:jc w:val="both"/>
        <w:rPr>
          <w:rFonts w:ascii="Palatino Linotype" w:hAnsi="Palatino Linotype" w:cs="Arial"/>
          <w:i/>
          <w:sz w:val="22"/>
          <w:szCs w:val="22"/>
          <w:lang w:val="es-MX" w:eastAsia="es-MX"/>
        </w:rPr>
      </w:pPr>
      <w:r w:rsidRPr="00F30C6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805668" w:rsidRPr="00F30C67" w:rsidRDefault="00805668" w:rsidP="00805668">
      <w:pPr>
        <w:ind w:left="567" w:right="567"/>
        <w:contextualSpacing/>
        <w:jc w:val="both"/>
        <w:rPr>
          <w:rFonts w:ascii="Palatino Linotype" w:hAnsi="Palatino Linotype" w:cs="Arial"/>
          <w:i/>
          <w:color w:val="000000" w:themeColor="text1"/>
          <w:sz w:val="22"/>
          <w:szCs w:val="22"/>
        </w:rPr>
      </w:pPr>
      <w:r w:rsidRPr="00F30C6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r>
        <w:rPr>
          <w:rFonts w:ascii="Palatino Linotype" w:hAnsi="Palatino Linotype" w:cs="Arial"/>
          <w:i/>
          <w:sz w:val="22"/>
          <w:szCs w:val="22"/>
          <w:lang w:val="es-MX" w:eastAsia="es-MX"/>
        </w:rPr>
        <w:t>(Sic)</w:t>
      </w:r>
    </w:p>
    <w:p w:rsidR="00805668" w:rsidRPr="00805668" w:rsidRDefault="00805668" w:rsidP="0085366E">
      <w:pPr>
        <w:pStyle w:val="Textoindependiente"/>
        <w:kinsoku w:val="0"/>
        <w:overflowPunct w:val="0"/>
        <w:spacing w:line="405" w:lineRule="auto"/>
        <w:ind w:left="0" w:right="99"/>
        <w:jc w:val="both"/>
        <w:rPr>
          <w:rFonts w:ascii="Palatino Linotype" w:hAnsi="Palatino Linotype" w:cs="Arial"/>
          <w:sz w:val="24"/>
          <w:szCs w:val="24"/>
        </w:rPr>
      </w:pPr>
    </w:p>
    <w:p w:rsidR="006D67A4" w:rsidRPr="006D67A4" w:rsidRDefault="006D67A4" w:rsidP="006D67A4">
      <w:pPr>
        <w:pStyle w:val="Textoindependiente"/>
        <w:kinsoku w:val="0"/>
        <w:overflowPunct w:val="0"/>
        <w:spacing w:line="405" w:lineRule="auto"/>
        <w:ind w:left="0" w:right="99"/>
        <w:jc w:val="both"/>
        <w:rPr>
          <w:rFonts w:ascii="Palatino Linotype" w:hAnsi="Palatino Linotype" w:cs="Arial"/>
          <w:sz w:val="24"/>
          <w:szCs w:val="24"/>
        </w:rPr>
      </w:pPr>
      <w:r w:rsidRPr="006D67A4">
        <w:rPr>
          <w:rFonts w:ascii="Palatino Linotype" w:hAnsi="Palatino Linotype" w:cs="Arial"/>
          <w:sz w:val="24"/>
          <w:szCs w:val="24"/>
        </w:rPr>
        <w:lastRenderedPageBreak/>
        <w:t>De lo anterior se puede concluir que la distinción entre el derecho de petición y el</w:t>
      </w:r>
      <w:r w:rsidR="00805668">
        <w:rPr>
          <w:rFonts w:ascii="Palatino Linotype" w:hAnsi="Palatino Linotype" w:cs="Arial"/>
          <w:sz w:val="24"/>
          <w:szCs w:val="24"/>
        </w:rPr>
        <w:t xml:space="preserve"> </w:t>
      </w:r>
      <w:r w:rsidRPr="006D67A4">
        <w:rPr>
          <w:rFonts w:ascii="Palatino Linotype" w:hAnsi="Palatino Linotype" w:cs="Arial"/>
          <w:sz w:val="24"/>
          <w:szCs w:val="24"/>
        </w:rPr>
        <w:t xml:space="preserve">derecho de acceso a la información </w:t>
      </w:r>
      <w:r w:rsidR="00805668">
        <w:rPr>
          <w:rFonts w:ascii="Palatino Linotype" w:hAnsi="Palatino Linotype" w:cs="Arial"/>
          <w:sz w:val="24"/>
          <w:szCs w:val="24"/>
        </w:rPr>
        <w:t>descansa</w:t>
      </w:r>
      <w:r w:rsidRPr="006D67A4">
        <w:rPr>
          <w:rFonts w:ascii="Palatino Linotype" w:hAnsi="Palatino Linotype" w:cs="Arial"/>
          <w:sz w:val="24"/>
          <w:szCs w:val="24"/>
        </w:rPr>
        <w:t xml:space="preserve">,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w:t>
      </w:r>
      <w:r w:rsidR="00805668">
        <w:rPr>
          <w:rFonts w:ascii="Palatino Linotype" w:hAnsi="Palatino Linotype" w:cs="Arial"/>
          <w:sz w:val="24"/>
          <w:szCs w:val="24"/>
        </w:rPr>
        <w:t>documentación</w:t>
      </w:r>
      <w:r w:rsidRPr="006D67A4">
        <w:rPr>
          <w:rFonts w:ascii="Palatino Linotype" w:hAnsi="Palatino Linotype" w:cs="Arial"/>
          <w:sz w:val="24"/>
          <w:szCs w:val="24"/>
        </w:rPr>
        <w:t xml:space="preserve"> que tenga el carácter de información pública, que sea generada, administrada o se encuentre en posesión de los considerados </w:t>
      </w:r>
      <w:r w:rsidR="00805668">
        <w:rPr>
          <w:rFonts w:ascii="Palatino Linotype" w:hAnsi="Palatino Linotype" w:cs="Arial"/>
          <w:sz w:val="24"/>
          <w:szCs w:val="24"/>
        </w:rPr>
        <w:t>S</w:t>
      </w:r>
      <w:r w:rsidRPr="006D67A4">
        <w:rPr>
          <w:rFonts w:ascii="Palatino Linotype" w:hAnsi="Palatino Linotype" w:cs="Arial"/>
          <w:sz w:val="24"/>
          <w:szCs w:val="24"/>
        </w:rPr>
        <w:t>ujetos</w:t>
      </w:r>
      <w:r w:rsidR="00805668">
        <w:rPr>
          <w:rFonts w:ascii="Palatino Linotype" w:hAnsi="Palatino Linotype" w:cs="Arial"/>
          <w:sz w:val="24"/>
          <w:szCs w:val="24"/>
        </w:rPr>
        <w:t xml:space="preserve"> Obligados por la Ley de la Materia.</w:t>
      </w:r>
    </w:p>
    <w:p w:rsidR="00805668" w:rsidRDefault="00805668" w:rsidP="00805668">
      <w:pPr>
        <w:pStyle w:val="Textoindependiente"/>
        <w:kinsoku w:val="0"/>
        <w:overflowPunct w:val="0"/>
        <w:spacing w:line="405" w:lineRule="auto"/>
        <w:ind w:left="0" w:right="99"/>
        <w:jc w:val="both"/>
        <w:rPr>
          <w:rFonts w:ascii="Palatino Linotype" w:hAnsi="Palatino Linotype" w:cs="Arial"/>
          <w:sz w:val="24"/>
          <w:szCs w:val="24"/>
        </w:rPr>
      </w:pPr>
    </w:p>
    <w:p w:rsidR="00805668" w:rsidRPr="00805668" w:rsidRDefault="00805668" w:rsidP="00805668">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 xml:space="preserve">En base a lo anterior, </w:t>
      </w:r>
      <w:r w:rsidRPr="00805668">
        <w:rPr>
          <w:rFonts w:ascii="Palatino Linotype" w:hAnsi="Palatino Linotype" w:cs="Arial"/>
          <w:sz w:val="24"/>
          <w:szCs w:val="24"/>
        </w:rPr>
        <w:t>tenemos que la recurrente en su solicitud de información</w:t>
      </w:r>
      <w:r>
        <w:rPr>
          <w:rFonts w:ascii="Palatino Linotype" w:hAnsi="Palatino Linotype" w:cs="Arial"/>
          <w:sz w:val="24"/>
          <w:szCs w:val="24"/>
        </w:rPr>
        <w:t xml:space="preserve"> </w:t>
      </w:r>
      <w:r w:rsidRPr="00805668">
        <w:rPr>
          <w:rFonts w:ascii="Palatino Linotype" w:hAnsi="Palatino Linotype" w:cs="Arial"/>
          <w:sz w:val="24"/>
          <w:szCs w:val="24"/>
        </w:rPr>
        <w:t xml:space="preserve">requiere de una explicación o bien una razón por parte del Sujeto Obligado mediante la </w:t>
      </w:r>
      <w:r>
        <w:rPr>
          <w:rFonts w:ascii="Palatino Linotype" w:hAnsi="Palatino Linotype" w:cs="Arial"/>
          <w:sz w:val="24"/>
          <w:szCs w:val="24"/>
        </w:rPr>
        <w:t>realización</w:t>
      </w:r>
      <w:r w:rsidRPr="00805668">
        <w:rPr>
          <w:rFonts w:ascii="Palatino Linotype" w:hAnsi="Palatino Linotype" w:cs="Arial"/>
          <w:sz w:val="24"/>
          <w:szCs w:val="24"/>
        </w:rPr>
        <w:t xml:space="preserve"> de un cuestionamiento, ya que refiere a la expresión "por</w:t>
      </w:r>
      <w:r>
        <w:rPr>
          <w:rFonts w:ascii="Palatino Linotype" w:hAnsi="Palatino Linotype" w:cs="Arial"/>
          <w:sz w:val="24"/>
          <w:szCs w:val="24"/>
        </w:rPr>
        <w:t>que</w:t>
      </w:r>
      <w:r w:rsidR="00612719">
        <w:rPr>
          <w:rFonts w:ascii="Palatino Linotype" w:hAnsi="Palatino Linotype" w:cs="Arial"/>
          <w:sz w:val="24"/>
          <w:szCs w:val="24"/>
        </w:rPr>
        <w:t xml:space="preserve">" y utilizando los signos de interrogación; </w:t>
      </w:r>
      <w:r w:rsidRPr="00805668">
        <w:rPr>
          <w:rFonts w:ascii="Palatino Linotype" w:hAnsi="Palatino Linotype" w:cs="Arial"/>
          <w:sz w:val="24"/>
          <w:szCs w:val="24"/>
        </w:rPr>
        <w:t xml:space="preserve">en tal virtud se señala la definición que la </w:t>
      </w:r>
      <w:r w:rsidR="00612719">
        <w:rPr>
          <w:rFonts w:ascii="Palatino Linotype" w:hAnsi="Palatino Linotype" w:cs="Arial"/>
          <w:sz w:val="24"/>
          <w:szCs w:val="24"/>
        </w:rPr>
        <w:t xml:space="preserve">Real </w:t>
      </w:r>
      <w:r w:rsidRPr="00805668">
        <w:rPr>
          <w:rFonts w:ascii="Palatino Linotype" w:hAnsi="Palatino Linotype" w:cs="Arial"/>
          <w:sz w:val="24"/>
          <w:szCs w:val="24"/>
        </w:rPr>
        <w:t>Academia de la Lengua Española</w:t>
      </w:r>
      <w:r w:rsidR="00612719">
        <w:rPr>
          <w:rFonts w:ascii="Palatino Linotype" w:hAnsi="Palatino Linotype" w:cs="Arial"/>
          <w:sz w:val="24"/>
          <w:szCs w:val="24"/>
        </w:rPr>
        <w:t xml:space="preserve"> </w:t>
      </w:r>
      <w:r w:rsidRPr="00805668">
        <w:rPr>
          <w:rFonts w:ascii="Palatino Linotype" w:hAnsi="Palatino Linotype" w:cs="Arial"/>
          <w:sz w:val="24"/>
          <w:szCs w:val="24"/>
        </w:rPr>
        <w:t>tiene de las palabra en mención:</w:t>
      </w:r>
    </w:p>
    <w:p w:rsidR="0086718E" w:rsidRDefault="0086718E" w:rsidP="00612719">
      <w:pPr>
        <w:pStyle w:val="Textoindependiente"/>
        <w:kinsoku w:val="0"/>
        <w:overflowPunct w:val="0"/>
        <w:ind w:left="567" w:right="96"/>
        <w:contextualSpacing/>
        <w:jc w:val="both"/>
        <w:rPr>
          <w:rFonts w:ascii="Palatino Linotype" w:hAnsi="Palatino Linotype" w:cs="Arial"/>
          <w:i/>
          <w:sz w:val="22"/>
          <w:szCs w:val="22"/>
        </w:rPr>
      </w:pPr>
    </w:p>
    <w:p w:rsidR="00612719" w:rsidRPr="00612719" w:rsidRDefault="00612719" w:rsidP="00612719">
      <w:pPr>
        <w:pStyle w:val="Textoindependiente"/>
        <w:kinsoku w:val="0"/>
        <w:overflowPunct w:val="0"/>
        <w:ind w:left="567" w:right="96"/>
        <w:contextualSpacing/>
        <w:jc w:val="both"/>
        <w:rPr>
          <w:rFonts w:ascii="Palatino Linotype" w:hAnsi="Palatino Linotype" w:cs="Arial"/>
          <w:i/>
          <w:sz w:val="22"/>
          <w:szCs w:val="22"/>
        </w:rPr>
      </w:pPr>
      <w:r w:rsidRPr="00612719">
        <w:rPr>
          <w:rFonts w:ascii="Palatino Linotype" w:hAnsi="Palatino Linotype" w:cs="Arial"/>
          <w:i/>
          <w:sz w:val="22"/>
          <w:szCs w:val="22"/>
        </w:rPr>
        <w:t>Porque</w:t>
      </w:r>
      <w:r>
        <w:rPr>
          <w:rFonts w:ascii="Palatino Linotype" w:hAnsi="Palatino Linotype" w:cs="Arial"/>
          <w:i/>
          <w:sz w:val="22"/>
          <w:szCs w:val="22"/>
        </w:rPr>
        <w:t xml:space="preserve"> también por qué</w:t>
      </w:r>
      <w:r w:rsidRPr="00612719">
        <w:rPr>
          <w:rFonts w:ascii="Palatino Linotype" w:hAnsi="Palatino Linotype" w:cs="Arial"/>
          <w:i/>
          <w:sz w:val="22"/>
          <w:szCs w:val="22"/>
        </w:rPr>
        <w:t>:</w:t>
      </w:r>
    </w:p>
    <w:p w:rsidR="003E7E06" w:rsidRPr="00612719" w:rsidRDefault="00612719" w:rsidP="00612719">
      <w:pPr>
        <w:pStyle w:val="Textoindependiente"/>
        <w:kinsoku w:val="0"/>
        <w:overflowPunct w:val="0"/>
        <w:ind w:left="567" w:right="96"/>
        <w:contextualSpacing/>
        <w:jc w:val="both"/>
        <w:rPr>
          <w:rFonts w:ascii="Palatino Linotype" w:hAnsi="Palatino Linotype" w:cs="Arial"/>
          <w:i/>
          <w:sz w:val="22"/>
          <w:szCs w:val="22"/>
        </w:rPr>
      </w:pPr>
      <w:r w:rsidRPr="00612719">
        <w:rPr>
          <w:rFonts w:ascii="Palatino Linotype" w:hAnsi="Palatino Linotype" w:cs="Arial"/>
          <w:i/>
          <w:sz w:val="22"/>
          <w:szCs w:val="22"/>
        </w:rPr>
        <w:t>“</w:t>
      </w:r>
      <w:proofErr w:type="spellStart"/>
      <w:r w:rsidRPr="00612719">
        <w:rPr>
          <w:rFonts w:ascii="Palatino Linotype" w:hAnsi="Palatino Linotype" w:cs="Arial"/>
          <w:i/>
          <w:sz w:val="22"/>
          <w:szCs w:val="22"/>
        </w:rPr>
        <w:t>C</w:t>
      </w:r>
      <w:r>
        <w:rPr>
          <w:rFonts w:ascii="Palatino Linotype" w:hAnsi="Palatino Linotype" w:cs="Arial"/>
          <w:i/>
          <w:sz w:val="22"/>
          <w:szCs w:val="22"/>
        </w:rPr>
        <w:t>onj</w:t>
      </w:r>
      <w:proofErr w:type="spellEnd"/>
      <w:r>
        <w:rPr>
          <w:rFonts w:ascii="Palatino Linotype" w:hAnsi="Palatino Linotype" w:cs="Arial"/>
          <w:i/>
          <w:sz w:val="22"/>
          <w:szCs w:val="22"/>
        </w:rPr>
        <w:t>. C</w:t>
      </w:r>
      <w:r w:rsidRPr="00612719">
        <w:rPr>
          <w:rFonts w:ascii="Palatino Linotype" w:hAnsi="Palatino Linotype" w:cs="Arial"/>
          <w:i/>
          <w:sz w:val="22"/>
          <w:szCs w:val="22"/>
        </w:rPr>
        <w:t>ausal.</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Por</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causa</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o</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razón</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de</w:t>
      </w:r>
      <w:r w:rsidRPr="00612719">
        <w:rPr>
          <w:rFonts w:ascii="Palatino Linotype" w:hAnsi="Palatino Linotype" w:cs="Arial" w:hint="eastAsia"/>
          <w:i/>
          <w:sz w:val="22"/>
          <w:szCs w:val="22"/>
        </w:rPr>
        <w:t xml:space="preserve"> </w:t>
      </w:r>
      <w:r w:rsidRPr="00612719">
        <w:rPr>
          <w:rFonts w:ascii="Palatino Linotype" w:hAnsi="Palatino Linotype" w:cs="Arial"/>
          <w:i/>
          <w:sz w:val="22"/>
          <w:szCs w:val="22"/>
        </w:rPr>
        <w:t>que” (Sic)</w:t>
      </w:r>
    </w:p>
    <w:p w:rsidR="0086718E" w:rsidRDefault="0086718E" w:rsidP="0067162A">
      <w:pPr>
        <w:pStyle w:val="Textoindependiente"/>
        <w:kinsoku w:val="0"/>
        <w:overflowPunct w:val="0"/>
        <w:spacing w:line="405" w:lineRule="auto"/>
        <w:ind w:left="0" w:right="99"/>
        <w:jc w:val="both"/>
        <w:rPr>
          <w:rFonts w:ascii="Palatino Linotype" w:hAnsi="Palatino Linotype" w:cs="Arial"/>
          <w:sz w:val="24"/>
          <w:szCs w:val="24"/>
        </w:rPr>
      </w:pPr>
    </w:p>
    <w:p w:rsidR="00612719" w:rsidRPr="0067162A" w:rsidRDefault="0067162A" w:rsidP="0067162A">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 xml:space="preserve">Por consiguiente, </w:t>
      </w:r>
      <w:r w:rsidR="00612719" w:rsidRPr="0067162A">
        <w:rPr>
          <w:rFonts w:ascii="Palatino Linotype" w:hAnsi="Palatino Linotype" w:cs="Arial"/>
          <w:sz w:val="24"/>
          <w:szCs w:val="24"/>
        </w:rPr>
        <w:t xml:space="preserve">la entrega de una razón o la respuesta a cuestionamientos que no encuentren soporte documental alguno, por parte de los Sujetos Obligados no es algo que la </w:t>
      </w:r>
      <w:r w:rsidR="005B7458">
        <w:rPr>
          <w:rFonts w:ascii="Palatino Linotype" w:hAnsi="Palatino Linotype" w:cs="Arial"/>
          <w:sz w:val="24"/>
          <w:szCs w:val="24"/>
        </w:rPr>
        <w:t>L</w:t>
      </w:r>
      <w:r w:rsidR="00612719" w:rsidRPr="0067162A">
        <w:rPr>
          <w:rFonts w:ascii="Palatino Linotype" w:hAnsi="Palatino Linotype" w:cs="Arial"/>
          <w:sz w:val="24"/>
          <w:szCs w:val="24"/>
        </w:rPr>
        <w:t>ey</w:t>
      </w:r>
      <w:r w:rsidR="005B7458">
        <w:rPr>
          <w:rFonts w:ascii="Palatino Linotype" w:hAnsi="Palatino Linotype" w:cs="Arial"/>
          <w:sz w:val="24"/>
          <w:szCs w:val="24"/>
        </w:rPr>
        <w:t xml:space="preserve"> de la Materia</w:t>
      </w:r>
      <w:r w:rsidR="00612719" w:rsidRPr="0067162A">
        <w:rPr>
          <w:rFonts w:ascii="Palatino Linotype" w:hAnsi="Palatino Linotype" w:cs="Arial"/>
          <w:sz w:val="24"/>
          <w:szCs w:val="24"/>
        </w:rPr>
        <w:t xml:space="preserve"> establezca como atribución,  derecho o facultad; pues ello implicaría emitir un juicio de valor referente</w:t>
      </w:r>
      <w:r w:rsidR="005B7458">
        <w:rPr>
          <w:rFonts w:ascii="Palatino Linotype" w:hAnsi="Palatino Linotype" w:cs="Arial"/>
          <w:sz w:val="24"/>
          <w:szCs w:val="24"/>
        </w:rPr>
        <w:t xml:space="preserve"> </w:t>
      </w:r>
      <w:r w:rsidR="00612719" w:rsidRPr="0067162A">
        <w:rPr>
          <w:rFonts w:ascii="Palatino Linotype" w:hAnsi="Palatino Linotype" w:cs="Arial"/>
          <w:sz w:val="24"/>
          <w:szCs w:val="24"/>
        </w:rPr>
        <w:t>a cuestionamientos</w:t>
      </w:r>
      <w:r w:rsidR="005B7458">
        <w:rPr>
          <w:rFonts w:ascii="Palatino Linotype" w:hAnsi="Palatino Linotype" w:cs="Arial"/>
          <w:sz w:val="24"/>
          <w:szCs w:val="24"/>
        </w:rPr>
        <w:t xml:space="preserve"> </w:t>
      </w:r>
      <w:r w:rsidR="00612719" w:rsidRPr="0067162A">
        <w:rPr>
          <w:rFonts w:ascii="Palatino Linotype" w:hAnsi="Palatino Linotype" w:cs="Arial"/>
          <w:sz w:val="24"/>
          <w:szCs w:val="24"/>
        </w:rPr>
        <w:t>realizados,</w:t>
      </w:r>
      <w:r w:rsidR="005B7458">
        <w:rPr>
          <w:rFonts w:ascii="Palatino Linotype" w:hAnsi="Palatino Linotype" w:cs="Arial"/>
          <w:sz w:val="24"/>
          <w:szCs w:val="24"/>
        </w:rPr>
        <w:t xml:space="preserve"> </w:t>
      </w:r>
      <w:r w:rsidR="00612719" w:rsidRPr="0067162A">
        <w:rPr>
          <w:rFonts w:ascii="Palatino Linotype" w:hAnsi="Palatino Linotype" w:cs="Arial"/>
          <w:sz w:val="24"/>
          <w:szCs w:val="24"/>
        </w:rPr>
        <w:t xml:space="preserve">los </w:t>
      </w:r>
      <w:r w:rsidR="00612719" w:rsidRPr="0067162A">
        <w:rPr>
          <w:rFonts w:ascii="Palatino Linotype" w:hAnsi="Palatino Linotype" w:cs="Arial"/>
          <w:sz w:val="24"/>
          <w:szCs w:val="24"/>
        </w:rPr>
        <w:lastRenderedPageBreak/>
        <w:t xml:space="preserve">cuales como ha quedado explicado, al </w:t>
      </w:r>
      <w:r w:rsidR="005B7458">
        <w:rPr>
          <w:rFonts w:ascii="Palatino Linotype" w:hAnsi="Palatino Linotype" w:cs="Arial"/>
          <w:sz w:val="24"/>
          <w:szCs w:val="24"/>
        </w:rPr>
        <w:t xml:space="preserve">constituir </w:t>
      </w:r>
      <w:r w:rsidR="00612719" w:rsidRPr="0067162A">
        <w:rPr>
          <w:rFonts w:ascii="Palatino Linotype" w:hAnsi="Palatino Linotype" w:cs="Arial"/>
          <w:sz w:val="24"/>
          <w:szCs w:val="24"/>
        </w:rPr>
        <w:t xml:space="preserve">interrogantes, </w:t>
      </w:r>
      <w:r w:rsidR="005B7458">
        <w:rPr>
          <w:rFonts w:ascii="Palatino Linotype" w:hAnsi="Palatino Linotype" w:cs="Arial"/>
          <w:sz w:val="24"/>
          <w:szCs w:val="24"/>
        </w:rPr>
        <w:t>inquietudes</w:t>
      </w:r>
      <w:r w:rsidR="00612719" w:rsidRPr="0067162A">
        <w:rPr>
          <w:rFonts w:ascii="Palatino Linotype" w:hAnsi="Palatino Linotype" w:cs="Arial"/>
          <w:sz w:val="24"/>
          <w:szCs w:val="24"/>
        </w:rPr>
        <w:t xml:space="preserve">, quejas y manifestaciones </w:t>
      </w:r>
      <w:r w:rsidR="005B7458" w:rsidRPr="0067162A">
        <w:rPr>
          <w:rFonts w:ascii="Palatino Linotype" w:hAnsi="Palatino Linotype" w:cs="Arial"/>
          <w:sz w:val="24"/>
          <w:szCs w:val="24"/>
        </w:rPr>
        <w:t xml:space="preserve">resultan </w:t>
      </w:r>
      <w:r w:rsidR="005B7458">
        <w:rPr>
          <w:rFonts w:ascii="Palatino Linotype" w:hAnsi="Palatino Linotype" w:cs="Arial"/>
          <w:sz w:val="24"/>
          <w:szCs w:val="24"/>
        </w:rPr>
        <w:t>estar encaminadas</w:t>
      </w:r>
      <w:r w:rsidR="00612719" w:rsidRPr="0067162A">
        <w:rPr>
          <w:rFonts w:ascii="Palatino Linotype" w:hAnsi="Palatino Linotype" w:cs="Arial"/>
          <w:sz w:val="24"/>
          <w:szCs w:val="24"/>
        </w:rPr>
        <w:t xml:space="preserve"> a </w:t>
      </w:r>
      <w:r w:rsidR="005B7458" w:rsidRPr="0067162A">
        <w:rPr>
          <w:rFonts w:ascii="Palatino Linotype" w:hAnsi="Palatino Linotype" w:cs="Arial"/>
          <w:sz w:val="24"/>
          <w:szCs w:val="24"/>
        </w:rPr>
        <w:t>ser satisfechas</w:t>
      </w:r>
      <w:r w:rsidR="00612719" w:rsidRPr="0067162A">
        <w:rPr>
          <w:rFonts w:ascii="Palatino Linotype" w:hAnsi="Palatino Linotype" w:cs="Arial"/>
          <w:sz w:val="24"/>
          <w:szCs w:val="24"/>
        </w:rPr>
        <w:t xml:space="preserve"> </w:t>
      </w:r>
      <w:r w:rsidR="005B7458">
        <w:rPr>
          <w:rFonts w:ascii="Palatino Linotype" w:hAnsi="Palatino Linotype" w:cs="Arial"/>
          <w:sz w:val="24"/>
          <w:szCs w:val="24"/>
        </w:rPr>
        <w:t>en ejercicio del derecho de petición.</w:t>
      </w:r>
    </w:p>
    <w:p w:rsidR="00612719" w:rsidRDefault="00612719" w:rsidP="0085366E">
      <w:pPr>
        <w:pStyle w:val="Textoindependiente"/>
        <w:kinsoku w:val="0"/>
        <w:overflowPunct w:val="0"/>
        <w:spacing w:line="405" w:lineRule="auto"/>
        <w:ind w:left="0" w:right="99"/>
        <w:jc w:val="both"/>
        <w:rPr>
          <w:rFonts w:ascii="Palatino Linotype" w:hAnsi="Palatino Linotype" w:cs="Arial"/>
          <w:sz w:val="24"/>
          <w:szCs w:val="24"/>
        </w:rPr>
      </w:pPr>
    </w:p>
    <w:p w:rsidR="00A2555F" w:rsidRPr="00A2555F" w:rsidRDefault="005B7458" w:rsidP="00A2555F">
      <w:pPr>
        <w:pStyle w:val="Textoindependiente"/>
        <w:kinsoku w:val="0"/>
        <w:overflowPunct w:val="0"/>
        <w:spacing w:line="405" w:lineRule="auto"/>
        <w:ind w:left="0" w:right="99"/>
        <w:jc w:val="both"/>
        <w:rPr>
          <w:rFonts w:ascii="Palatino Linotype" w:hAnsi="Palatino Linotype" w:cs="Arial"/>
          <w:sz w:val="24"/>
          <w:szCs w:val="24"/>
        </w:rPr>
      </w:pPr>
      <w:r w:rsidRPr="005B7458">
        <w:rPr>
          <w:rFonts w:ascii="Palatino Linotype" w:hAnsi="Palatino Linotype" w:cs="Arial"/>
          <w:sz w:val="24"/>
          <w:szCs w:val="24"/>
        </w:rPr>
        <w:t>Además, es de resaltar que este Instituto de Transparencia como Órgano Garante de</w:t>
      </w:r>
      <w:r>
        <w:rPr>
          <w:rFonts w:ascii="Palatino Linotype" w:hAnsi="Palatino Linotype" w:cs="Arial"/>
          <w:sz w:val="24"/>
          <w:szCs w:val="24"/>
        </w:rPr>
        <w:t xml:space="preserve"> difusión, protección y respeto al derecho de acceso a la información pública y a la protección de datos personales</w:t>
      </w:r>
      <w:r w:rsidRPr="005B7458">
        <w:rPr>
          <w:rFonts w:ascii="Palatino Linotype" w:hAnsi="Palatino Linotype" w:cs="Arial"/>
          <w:sz w:val="24"/>
          <w:szCs w:val="24"/>
        </w:rPr>
        <w:t>, conforme a su naturaleza jurídica y a sus atribuciones</w:t>
      </w:r>
      <w:r>
        <w:rPr>
          <w:rFonts w:ascii="Palatino Linotype" w:hAnsi="Palatino Linotype" w:cs="Arial"/>
          <w:sz w:val="24"/>
          <w:szCs w:val="24"/>
        </w:rPr>
        <w:t xml:space="preserve"> </w:t>
      </w:r>
      <w:r w:rsidR="00A2555F">
        <w:rPr>
          <w:rFonts w:ascii="Palatino Linotype" w:hAnsi="Palatino Linotype" w:cs="Arial"/>
          <w:sz w:val="24"/>
          <w:szCs w:val="24"/>
        </w:rPr>
        <w:t xml:space="preserve">previstas en los artículos 29, 36 y 179 de la Ley de Transparencia y Acceso a la Información Pública del Estado de México y Municipios, </w:t>
      </w:r>
      <w:r w:rsidR="00A2555F" w:rsidRPr="00A2555F">
        <w:rPr>
          <w:rFonts w:ascii="Palatino Linotype" w:hAnsi="Palatino Linotype" w:cs="Arial"/>
          <w:sz w:val="24"/>
          <w:szCs w:val="24"/>
        </w:rPr>
        <w:t>es competente para resolver</w:t>
      </w:r>
      <w:r w:rsidR="00A2555F">
        <w:rPr>
          <w:rFonts w:ascii="Palatino Linotype" w:hAnsi="Palatino Linotype" w:cs="Arial"/>
          <w:sz w:val="24"/>
          <w:szCs w:val="24"/>
        </w:rPr>
        <w:t xml:space="preserve"> </w:t>
      </w:r>
      <w:r w:rsidR="00A2555F" w:rsidRPr="00A2555F">
        <w:rPr>
          <w:rFonts w:ascii="Palatino Linotype" w:hAnsi="Palatino Linotype" w:cs="Arial"/>
          <w:sz w:val="24"/>
          <w:szCs w:val="24"/>
        </w:rPr>
        <w:t xml:space="preserve">los </w:t>
      </w:r>
      <w:r w:rsidR="00A2555F">
        <w:rPr>
          <w:rFonts w:ascii="Palatino Linotype" w:hAnsi="Palatino Linotype" w:cs="Arial"/>
          <w:sz w:val="24"/>
          <w:szCs w:val="24"/>
        </w:rPr>
        <w:t>recursos</w:t>
      </w:r>
      <w:r w:rsidR="00A2555F" w:rsidRPr="00A2555F">
        <w:rPr>
          <w:rFonts w:ascii="Palatino Linotype" w:hAnsi="Palatino Linotype" w:cs="Arial"/>
          <w:sz w:val="24"/>
          <w:szCs w:val="24"/>
        </w:rPr>
        <w:t xml:space="preserve"> de revisión, cuando se niegue la información </w:t>
      </w:r>
      <w:r w:rsidR="00A2555F">
        <w:rPr>
          <w:rFonts w:ascii="Palatino Linotype" w:hAnsi="Palatino Linotype" w:cs="Arial"/>
          <w:sz w:val="24"/>
          <w:szCs w:val="24"/>
        </w:rPr>
        <w:t>solici</w:t>
      </w:r>
      <w:r w:rsidR="00A2555F" w:rsidRPr="00A2555F">
        <w:rPr>
          <w:rFonts w:ascii="Palatino Linotype" w:hAnsi="Palatino Linotype" w:cs="Arial"/>
          <w:sz w:val="24"/>
          <w:szCs w:val="24"/>
        </w:rPr>
        <w:t xml:space="preserve">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w:t>
      </w:r>
      <w:r w:rsidR="00A2555F">
        <w:rPr>
          <w:rFonts w:ascii="Palatino Linotype" w:hAnsi="Palatino Linotype" w:cs="Arial"/>
          <w:sz w:val="24"/>
          <w:szCs w:val="24"/>
        </w:rPr>
        <w:t xml:space="preserve">a </w:t>
      </w:r>
      <w:r w:rsidR="00A2555F" w:rsidRPr="00A2555F">
        <w:rPr>
          <w:rFonts w:ascii="Palatino Linotype" w:hAnsi="Palatino Linotype" w:cs="Arial"/>
          <w:sz w:val="24"/>
          <w:szCs w:val="24"/>
        </w:rPr>
        <w:t xml:space="preserve">las manifestaciones expuestas por la hoy recurrente, máxime que se advierte que </w:t>
      </w:r>
      <w:r w:rsidR="00A2555F" w:rsidRPr="00A2555F">
        <w:rPr>
          <w:rFonts w:ascii="Palatino Linotype" w:hAnsi="Palatino Linotype" w:cs="Arial"/>
          <w:sz w:val="24"/>
          <w:szCs w:val="24"/>
        </w:rPr>
        <w:lastRenderedPageBreak/>
        <w:t xml:space="preserve">las mismas se tratan de aseveraciones que pudieran ser consideradas de carácter subjetivo hechas sin un soporte que las sustente; es decir, la </w:t>
      </w:r>
      <w:r w:rsidR="00A2555F">
        <w:rPr>
          <w:rFonts w:ascii="Palatino Linotype" w:hAnsi="Palatino Linotype" w:cs="Arial"/>
          <w:sz w:val="24"/>
          <w:szCs w:val="24"/>
        </w:rPr>
        <w:t>solicitud</w:t>
      </w:r>
      <w:r w:rsidR="00A2555F" w:rsidRPr="00A2555F">
        <w:rPr>
          <w:rFonts w:ascii="Palatino Linotype" w:hAnsi="Palatino Linotype" w:cs="Arial"/>
          <w:sz w:val="24"/>
          <w:szCs w:val="24"/>
        </w:rPr>
        <w:t xml:space="preserve"> de</w:t>
      </w:r>
      <w:r w:rsidR="00A2555F">
        <w:rPr>
          <w:rFonts w:ascii="Palatino Linotype" w:hAnsi="Palatino Linotype" w:cs="Arial"/>
          <w:sz w:val="24"/>
          <w:szCs w:val="24"/>
        </w:rPr>
        <w:t>l</w:t>
      </w:r>
      <w:r w:rsidR="00A2555F" w:rsidRPr="00A2555F">
        <w:rPr>
          <w:rFonts w:ascii="Palatino Linotype" w:hAnsi="Palatino Linotype" w:cs="Arial"/>
          <w:sz w:val="24"/>
          <w:szCs w:val="24"/>
        </w:rPr>
        <w:t xml:space="preserve"> particular es tendente a que el Sujeto Obligado aclare una inquietud.</w:t>
      </w:r>
    </w:p>
    <w:p w:rsidR="00472FBE" w:rsidRDefault="00472FBE" w:rsidP="0085366E">
      <w:pPr>
        <w:pStyle w:val="Textoindependiente"/>
        <w:kinsoku w:val="0"/>
        <w:overflowPunct w:val="0"/>
        <w:spacing w:line="405" w:lineRule="auto"/>
        <w:ind w:left="0" w:right="99"/>
        <w:jc w:val="both"/>
        <w:rPr>
          <w:rFonts w:ascii="Palatino Linotype" w:hAnsi="Palatino Linotype" w:cs="Arial"/>
          <w:sz w:val="24"/>
          <w:szCs w:val="24"/>
        </w:rPr>
      </w:pPr>
    </w:p>
    <w:p w:rsidR="008430A4" w:rsidRDefault="008430A4" w:rsidP="008430A4">
      <w:pPr>
        <w:pStyle w:val="Textoindependiente"/>
        <w:kinsoku w:val="0"/>
        <w:overflowPunct w:val="0"/>
        <w:spacing w:line="405" w:lineRule="auto"/>
        <w:ind w:left="0" w:right="99"/>
        <w:jc w:val="both"/>
        <w:rPr>
          <w:rFonts w:ascii="Palatino Linotype" w:hAnsi="Palatino Linotype" w:cs="Arial"/>
          <w:sz w:val="24"/>
          <w:szCs w:val="24"/>
        </w:rPr>
      </w:pPr>
      <w:r>
        <w:rPr>
          <w:rFonts w:ascii="Palatino Linotype" w:hAnsi="Palatino Linotype" w:cs="Arial"/>
          <w:sz w:val="24"/>
          <w:szCs w:val="24"/>
        </w:rPr>
        <w:t>Por consiguiente,</w:t>
      </w:r>
      <w:r w:rsidRPr="008430A4">
        <w:rPr>
          <w:rFonts w:ascii="Palatino Linotype" w:hAnsi="Palatino Linotype" w:cs="Arial"/>
          <w:sz w:val="24"/>
          <w:szCs w:val="24"/>
        </w:rPr>
        <w:t xml:space="preserve"> en relación a las afirmaciones que hizo la particular en su solicitud, resta</w:t>
      </w:r>
      <w:r>
        <w:rPr>
          <w:rFonts w:ascii="Palatino Linotype" w:hAnsi="Palatino Linotype" w:cs="Arial"/>
          <w:sz w:val="24"/>
          <w:szCs w:val="24"/>
        </w:rPr>
        <w:t xml:space="preserve"> </w:t>
      </w:r>
      <w:r w:rsidRPr="008430A4">
        <w:rPr>
          <w:rFonts w:ascii="Palatino Linotype" w:hAnsi="Palatino Linotype" w:cs="Arial"/>
          <w:sz w:val="24"/>
          <w:szCs w:val="24"/>
        </w:rPr>
        <w:t xml:space="preserve">solamente señalarle, que </w:t>
      </w:r>
      <w:r>
        <w:rPr>
          <w:rFonts w:ascii="Palatino Linotype" w:hAnsi="Palatino Linotype" w:cs="Arial"/>
          <w:sz w:val="24"/>
          <w:szCs w:val="24"/>
        </w:rPr>
        <w:t>quedan</w:t>
      </w:r>
      <w:r w:rsidRPr="008430A4">
        <w:rPr>
          <w:rFonts w:ascii="Palatino Linotype" w:hAnsi="Palatino Linotype" w:cs="Arial"/>
          <w:sz w:val="24"/>
          <w:szCs w:val="24"/>
        </w:rPr>
        <w:t xml:space="preserve"> a </w:t>
      </w:r>
      <w:r>
        <w:rPr>
          <w:rFonts w:ascii="Palatino Linotype" w:hAnsi="Palatino Linotype" w:cs="Arial"/>
          <w:sz w:val="24"/>
          <w:szCs w:val="24"/>
        </w:rPr>
        <w:t>salvo sus derechos que considere ejercibles a través de las vías y autoridades que estime procedentes; máxime que este Instituto se encuentra impedido para pronunciarse sobre la veracidad o no de lo que señala en solicitud; así como ordenar a la Universidad Politécnica del Valle de Toluca la entrega del documento en donde conste la información solicitada.</w:t>
      </w:r>
    </w:p>
    <w:p w:rsidR="008430A4" w:rsidRDefault="008430A4" w:rsidP="008430A4">
      <w:pPr>
        <w:pStyle w:val="Textoindependiente"/>
        <w:kinsoku w:val="0"/>
        <w:overflowPunct w:val="0"/>
        <w:spacing w:line="360" w:lineRule="auto"/>
        <w:ind w:left="0" w:right="96"/>
        <w:contextualSpacing/>
        <w:jc w:val="both"/>
        <w:rPr>
          <w:rFonts w:ascii="Palatino Linotype" w:hAnsi="Palatino Linotype" w:cs="Arial"/>
          <w:sz w:val="24"/>
          <w:szCs w:val="24"/>
        </w:rPr>
      </w:pPr>
    </w:p>
    <w:p w:rsidR="008430A4" w:rsidRDefault="008430A4" w:rsidP="008430A4">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 xml:space="preserve">Al mismo tiempo, no se advierte que el recurso de revisión encuadre en alguno de los supuestos de procedencia que plantea la Ley de Transparencia y Acceso a la Información Pública del Estado de México y Municipios en su artículo 179 descrito en la </w:t>
      </w:r>
      <w:r w:rsidR="00300717">
        <w:rPr>
          <w:rFonts w:ascii="Palatino Linotype" w:hAnsi="Palatino Linotype" w:cs="Arial"/>
          <w:sz w:val="24"/>
          <w:szCs w:val="24"/>
        </w:rPr>
        <w:t>página</w:t>
      </w:r>
      <w:r>
        <w:rPr>
          <w:rFonts w:ascii="Palatino Linotype" w:hAnsi="Palatino Linotype" w:cs="Arial"/>
          <w:sz w:val="24"/>
          <w:szCs w:val="24"/>
        </w:rPr>
        <w:t xml:space="preserve"> </w:t>
      </w:r>
      <w:r w:rsidR="00300717">
        <w:rPr>
          <w:rFonts w:ascii="Palatino Linotype" w:hAnsi="Palatino Linotype" w:cs="Arial"/>
          <w:sz w:val="24"/>
          <w:szCs w:val="24"/>
        </w:rPr>
        <w:t>precedente.</w:t>
      </w:r>
    </w:p>
    <w:p w:rsidR="008430A4" w:rsidRDefault="008430A4" w:rsidP="008430A4">
      <w:pPr>
        <w:pStyle w:val="Textoindependiente"/>
        <w:kinsoku w:val="0"/>
        <w:overflowPunct w:val="0"/>
        <w:spacing w:line="360" w:lineRule="auto"/>
        <w:ind w:left="0" w:right="96"/>
        <w:contextualSpacing/>
        <w:jc w:val="both"/>
        <w:rPr>
          <w:rFonts w:ascii="Palatino Linotype" w:hAnsi="Palatino Linotype" w:cs="Arial"/>
          <w:sz w:val="24"/>
          <w:szCs w:val="24"/>
        </w:rPr>
      </w:pPr>
    </w:p>
    <w:p w:rsidR="00A93100" w:rsidRPr="00A93100" w:rsidRDefault="00A93100" w:rsidP="00A93100">
      <w:pPr>
        <w:pStyle w:val="Textoindependiente"/>
        <w:kinsoku w:val="0"/>
        <w:overflowPunct w:val="0"/>
        <w:spacing w:line="360" w:lineRule="auto"/>
        <w:ind w:left="0" w:right="96"/>
        <w:contextualSpacing/>
        <w:jc w:val="both"/>
        <w:rPr>
          <w:rFonts w:ascii="Palatino Linotype" w:hAnsi="Palatino Linotype" w:cs="Arial"/>
          <w:sz w:val="24"/>
          <w:szCs w:val="24"/>
        </w:rPr>
      </w:pPr>
      <w:r>
        <w:rPr>
          <w:rFonts w:ascii="Palatino Linotype" w:hAnsi="Palatino Linotype" w:cs="Arial"/>
          <w:sz w:val="24"/>
          <w:szCs w:val="24"/>
        </w:rPr>
        <w:t>En tercer lugar y en virtud de los argumentos expuestos con anterioridad así como</w:t>
      </w:r>
      <w:r w:rsidRPr="00A93100">
        <w:rPr>
          <w:rFonts w:ascii="Palatino Linotype" w:hAnsi="Palatino Linotype" w:cs="Arial"/>
          <w:sz w:val="24"/>
          <w:szCs w:val="24"/>
        </w:rPr>
        <w:t xml:space="preserve"> del análisis realizado a las</w:t>
      </w:r>
      <w:r>
        <w:rPr>
          <w:rFonts w:ascii="Palatino Linotype" w:hAnsi="Palatino Linotype" w:cs="Arial"/>
          <w:sz w:val="24"/>
          <w:szCs w:val="24"/>
        </w:rPr>
        <w:t xml:space="preserve"> </w:t>
      </w:r>
      <w:r w:rsidRPr="00A93100">
        <w:rPr>
          <w:rFonts w:ascii="Palatino Linotype" w:hAnsi="Palatino Linotype" w:cs="Arial"/>
          <w:sz w:val="24"/>
          <w:szCs w:val="24"/>
        </w:rPr>
        <w:t xml:space="preserve">constancias que obran en el expediente electrónico del SAIMEX, identificado con folio </w:t>
      </w:r>
      <w:r w:rsidR="00A57443">
        <w:rPr>
          <w:rFonts w:ascii="Palatino Linotype" w:hAnsi="Palatino Linotype" w:cs="Arial"/>
          <w:sz w:val="24"/>
          <w:szCs w:val="24"/>
        </w:rPr>
        <w:t>04739</w:t>
      </w:r>
      <w:r w:rsidRPr="00A93100">
        <w:rPr>
          <w:rFonts w:ascii="Palatino Linotype" w:hAnsi="Palatino Linotype" w:cs="Arial"/>
          <w:sz w:val="24"/>
          <w:szCs w:val="24"/>
        </w:rPr>
        <w:t>/INFOEM/IP/RR/201</w:t>
      </w:r>
      <w:r w:rsidR="00A57443">
        <w:rPr>
          <w:rFonts w:ascii="Palatino Linotype" w:hAnsi="Palatino Linotype" w:cs="Arial"/>
          <w:sz w:val="24"/>
          <w:szCs w:val="24"/>
        </w:rPr>
        <w:t>8</w:t>
      </w:r>
      <w:r w:rsidRPr="00A93100">
        <w:rPr>
          <w:rFonts w:ascii="Palatino Linotype" w:hAnsi="Palatino Linotype" w:cs="Arial"/>
          <w:sz w:val="24"/>
          <w:szCs w:val="24"/>
        </w:rPr>
        <w:t xml:space="preserve">, se determina sobreseer el presente recurso de revisión por actualizarse la causal de sobreseimiento prevista en la fracción </w:t>
      </w:r>
      <w:r w:rsidR="00A57443">
        <w:rPr>
          <w:rFonts w:ascii="Palatino Linotype" w:hAnsi="Palatino Linotype" w:cs="Arial"/>
          <w:sz w:val="24"/>
          <w:szCs w:val="24"/>
        </w:rPr>
        <w:t>IV</w:t>
      </w:r>
      <w:r w:rsidRPr="00A93100">
        <w:rPr>
          <w:rFonts w:ascii="Palatino Linotype" w:hAnsi="Palatino Linotype" w:cs="Arial"/>
          <w:sz w:val="24"/>
          <w:szCs w:val="24"/>
        </w:rPr>
        <w:t xml:space="preserve"> del artículo 192 de la Ley de Transparencia y </w:t>
      </w:r>
      <w:r w:rsidR="00A57443" w:rsidRPr="00A93100">
        <w:rPr>
          <w:rFonts w:ascii="Palatino Linotype" w:hAnsi="Palatino Linotype" w:cs="Arial"/>
          <w:sz w:val="24"/>
          <w:szCs w:val="24"/>
        </w:rPr>
        <w:t>Acceso</w:t>
      </w:r>
      <w:r w:rsidRPr="00A93100">
        <w:rPr>
          <w:rFonts w:ascii="Palatino Linotype" w:hAnsi="Palatino Linotype" w:cs="Arial"/>
          <w:sz w:val="24"/>
          <w:szCs w:val="24"/>
        </w:rPr>
        <w:t xml:space="preserve"> a la </w:t>
      </w:r>
      <w:r w:rsidR="00A57443">
        <w:rPr>
          <w:rFonts w:ascii="Palatino Linotype" w:hAnsi="Palatino Linotype" w:cs="Arial"/>
          <w:sz w:val="24"/>
          <w:szCs w:val="24"/>
        </w:rPr>
        <w:t>In</w:t>
      </w:r>
      <w:r w:rsidRPr="00A93100">
        <w:rPr>
          <w:rFonts w:ascii="Palatino Linotype" w:hAnsi="Palatino Linotype" w:cs="Arial"/>
          <w:sz w:val="24"/>
          <w:szCs w:val="24"/>
        </w:rPr>
        <w:t>formación Pública del Estado de</w:t>
      </w:r>
      <w:r w:rsidR="00A57443">
        <w:rPr>
          <w:rFonts w:ascii="Palatino Linotype" w:hAnsi="Palatino Linotype" w:cs="Arial"/>
          <w:sz w:val="24"/>
          <w:szCs w:val="24"/>
        </w:rPr>
        <w:t xml:space="preserve"> México</w:t>
      </w:r>
      <w:r w:rsidRPr="00A93100">
        <w:rPr>
          <w:rFonts w:ascii="Palatino Linotype" w:hAnsi="Palatino Linotype" w:cs="Arial"/>
          <w:sz w:val="24"/>
          <w:szCs w:val="24"/>
        </w:rPr>
        <w:t xml:space="preserve"> y  Municipios en su </w:t>
      </w:r>
      <w:r w:rsidR="00A57443" w:rsidRPr="00A93100">
        <w:rPr>
          <w:rFonts w:ascii="Palatino Linotype" w:hAnsi="Palatino Linotype" w:cs="Arial"/>
          <w:sz w:val="24"/>
          <w:szCs w:val="24"/>
        </w:rPr>
        <w:t>correlación</w:t>
      </w:r>
      <w:r w:rsidRPr="00A93100">
        <w:rPr>
          <w:rFonts w:ascii="Palatino Linotype" w:hAnsi="Palatino Linotype" w:cs="Arial"/>
          <w:sz w:val="24"/>
          <w:szCs w:val="24"/>
        </w:rPr>
        <w:t xml:space="preserve"> con </w:t>
      </w:r>
      <w:r w:rsidR="00A57443">
        <w:rPr>
          <w:rFonts w:ascii="Palatino Linotype" w:hAnsi="Palatino Linotype" w:cs="Arial"/>
          <w:sz w:val="24"/>
          <w:szCs w:val="24"/>
        </w:rPr>
        <w:t xml:space="preserve">la </w:t>
      </w:r>
      <w:r w:rsidRPr="00A93100">
        <w:rPr>
          <w:rFonts w:ascii="Palatino Linotype" w:hAnsi="Palatino Linotype" w:cs="Arial"/>
          <w:sz w:val="24"/>
          <w:szCs w:val="24"/>
        </w:rPr>
        <w:t xml:space="preserve">causal de improcedencia contemplada en la fracción </w:t>
      </w:r>
      <w:r w:rsidR="00A57443">
        <w:rPr>
          <w:rFonts w:ascii="Palatino Linotype" w:hAnsi="Palatino Linotype" w:cs="Arial"/>
          <w:sz w:val="24"/>
          <w:szCs w:val="24"/>
        </w:rPr>
        <w:t>II</w:t>
      </w:r>
      <w:r w:rsidRPr="00A93100">
        <w:rPr>
          <w:rFonts w:ascii="Palatino Linotype" w:hAnsi="Palatino Linotype" w:cs="Arial"/>
          <w:sz w:val="24"/>
          <w:szCs w:val="24"/>
        </w:rPr>
        <w:t xml:space="preserve">I del artículo 191 del </w:t>
      </w:r>
      <w:r w:rsidRPr="00A93100">
        <w:rPr>
          <w:rFonts w:ascii="Palatino Linotype" w:hAnsi="Palatino Linotype" w:cs="Arial"/>
          <w:sz w:val="24"/>
          <w:szCs w:val="24"/>
        </w:rPr>
        <w:lastRenderedPageBreak/>
        <w:t xml:space="preserve">ordenamiento legal en cita, </w:t>
      </w:r>
      <w:r w:rsidR="00A57443">
        <w:rPr>
          <w:rFonts w:ascii="Palatino Linotype" w:hAnsi="Palatino Linotype" w:cs="Arial"/>
          <w:sz w:val="24"/>
          <w:szCs w:val="24"/>
        </w:rPr>
        <w:t xml:space="preserve">los que </w:t>
      </w:r>
      <w:r w:rsidRPr="00A93100">
        <w:rPr>
          <w:rFonts w:ascii="Palatino Linotype" w:hAnsi="Palatino Linotype" w:cs="Arial"/>
          <w:sz w:val="24"/>
          <w:szCs w:val="24"/>
        </w:rPr>
        <w:t>se transcriben a continuación</w:t>
      </w:r>
      <w:r w:rsidR="00A57443">
        <w:rPr>
          <w:rFonts w:ascii="Palatino Linotype" w:hAnsi="Palatino Linotype" w:cs="Arial"/>
          <w:sz w:val="24"/>
          <w:szCs w:val="24"/>
        </w:rPr>
        <w:t>, para un mejor entendimiento</w:t>
      </w:r>
      <w:r w:rsidRPr="00A93100">
        <w:rPr>
          <w:rFonts w:ascii="Palatino Linotype" w:hAnsi="Palatino Linotype" w:cs="Arial"/>
          <w:sz w:val="24"/>
          <w:szCs w:val="24"/>
        </w:rPr>
        <w:t>:</w:t>
      </w:r>
    </w:p>
    <w:p w:rsidR="00A93100" w:rsidRPr="000111CC" w:rsidRDefault="00A93100" w:rsidP="000111CC">
      <w:pPr>
        <w:pStyle w:val="Textoindependiente"/>
        <w:kinsoku w:val="0"/>
        <w:overflowPunct w:val="0"/>
        <w:ind w:left="567" w:right="616"/>
        <w:contextualSpacing/>
        <w:jc w:val="both"/>
        <w:rPr>
          <w:rFonts w:ascii="Palatino Linotype" w:hAnsi="Palatino Linotype" w:cs="Arial"/>
          <w:i/>
          <w:sz w:val="22"/>
          <w:szCs w:val="22"/>
        </w:rPr>
      </w:pPr>
    </w:p>
    <w:p w:rsidR="000111CC" w:rsidRPr="000111CC" w:rsidRDefault="000111CC" w:rsidP="000111CC">
      <w:pPr>
        <w:pStyle w:val="Textoindependiente"/>
        <w:kinsoku w:val="0"/>
        <w:overflowPunct w:val="0"/>
        <w:ind w:left="567" w:right="616"/>
        <w:contextualSpacing/>
        <w:jc w:val="both"/>
        <w:rPr>
          <w:rFonts w:ascii="Palatino Linotype" w:hAnsi="Palatino Linotype"/>
          <w:i/>
          <w:sz w:val="22"/>
          <w:szCs w:val="22"/>
        </w:rPr>
      </w:pPr>
      <w:r w:rsidRPr="000111CC">
        <w:rPr>
          <w:rFonts w:ascii="Palatino Linotype" w:hAnsi="Palatino Linotype"/>
          <w:i/>
          <w:sz w:val="22"/>
          <w:szCs w:val="22"/>
        </w:rPr>
        <w:t>Artículo 191. El recurso será desechado por improcedente cuando:</w:t>
      </w:r>
    </w:p>
    <w:p w:rsidR="000111CC" w:rsidRPr="000111CC" w:rsidRDefault="000111CC" w:rsidP="000111CC">
      <w:pPr>
        <w:pStyle w:val="Textoindependiente"/>
        <w:kinsoku w:val="0"/>
        <w:overflowPunct w:val="0"/>
        <w:ind w:left="567" w:right="616"/>
        <w:contextualSpacing/>
        <w:jc w:val="both"/>
        <w:rPr>
          <w:rFonts w:ascii="Palatino Linotype" w:hAnsi="Palatino Linotype"/>
          <w:i/>
          <w:sz w:val="22"/>
          <w:szCs w:val="22"/>
        </w:rPr>
      </w:pPr>
      <w:r w:rsidRPr="000111CC">
        <w:rPr>
          <w:rFonts w:ascii="Palatino Linotype" w:hAnsi="Palatino Linotype"/>
          <w:i/>
          <w:sz w:val="22"/>
          <w:szCs w:val="22"/>
        </w:rPr>
        <w:t>…</w:t>
      </w:r>
    </w:p>
    <w:p w:rsidR="000111CC" w:rsidRPr="000111CC" w:rsidRDefault="000111CC" w:rsidP="000111CC">
      <w:pPr>
        <w:pStyle w:val="Textoindependiente"/>
        <w:kinsoku w:val="0"/>
        <w:overflowPunct w:val="0"/>
        <w:ind w:left="567" w:right="616"/>
        <w:contextualSpacing/>
        <w:jc w:val="both"/>
        <w:rPr>
          <w:rFonts w:ascii="Palatino Linotype" w:hAnsi="Palatino Linotype"/>
          <w:i/>
          <w:sz w:val="22"/>
          <w:szCs w:val="22"/>
        </w:rPr>
      </w:pPr>
      <w:r w:rsidRPr="000111CC">
        <w:rPr>
          <w:rFonts w:ascii="Palatino Linotype" w:hAnsi="Palatino Linotype"/>
          <w:i/>
          <w:sz w:val="22"/>
          <w:szCs w:val="22"/>
        </w:rPr>
        <w:t>III. No actualice alguno de los supuestos previstos en la presente Ley;</w:t>
      </w:r>
    </w:p>
    <w:p w:rsidR="000111CC" w:rsidRPr="000111CC" w:rsidRDefault="000111CC" w:rsidP="000111CC">
      <w:pPr>
        <w:pStyle w:val="Textoindependiente"/>
        <w:kinsoku w:val="0"/>
        <w:overflowPunct w:val="0"/>
        <w:ind w:left="567" w:right="616"/>
        <w:contextualSpacing/>
        <w:jc w:val="both"/>
        <w:rPr>
          <w:rFonts w:ascii="Palatino Linotype" w:hAnsi="Palatino Linotype"/>
          <w:i/>
          <w:sz w:val="22"/>
          <w:szCs w:val="22"/>
        </w:rPr>
      </w:pPr>
      <w:r w:rsidRPr="000111CC">
        <w:rPr>
          <w:rFonts w:ascii="Palatino Linotype" w:hAnsi="Palatino Linotype"/>
          <w:i/>
          <w:sz w:val="22"/>
          <w:szCs w:val="22"/>
        </w:rPr>
        <w:t>...</w:t>
      </w:r>
    </w:p>
    <w:p w:rsidR="00472FBE" w:rsidRPr="000111CC" w:rsidRDefault="000111CC" w:rsidP="000111CC">
      <w:pPr>
        <w:pStyle w:val="Textoindependiente"/>
        <w:kinsoku w:val="0"/>
        <w:overflowPunct w:val="0"/>
        <w:ind w:left="567" w:right="616"/>
        <w:contextualSpacing/>
        <w:jc w:val="both"/>
        <w:rPr>
          <w:rFonts w:ascii="Palatino Linotype" w:hAnsi="Palatino Linotype" w:cs="Arial"/>
          <w:i/>
          <w:sz w:val="22"/>
          <w:szCs w:val="22"/>
        </w:rPr>
      </w:pPr>
      <w:r w:rsidRPr="000111CC">
        <w:rPr>
          <w:rFonts w:ascii="Palatino Linotype" w:hAnsi="Palatino Linotype"/>
          <w:i/>
          <w:sz w:val="22"/>
          <w:szCs w:val="22"/>
        </w:rPr>
        <w:t>Artículo 192. El recurso será sobreseído, en todo o en parte, cuando una vez admitido, se actualicen alguno de los siguientes supuestos:</w:t>
      </w:r>
    </w:p>
    <w:p w:rsidR="00472FBE" w:rsidRPr="000111CC" w:rsidRDefault="000111CC" w:rsidP="000111CC">
      <w:pPr>
        <w:pStyle w:val="Textoindependiente"/>
        <w:kinsoku w:val="0"/>
        <w:overflowPunct w:val="0"/>
        <w:ind w:left="567" w:right="616"/>
        <w:contextualSpacing/>
        <w:jc w:val="both"/>
        <w:rPr>
          <w:rFonts w:ascii="Palatino Linotype" w:hAnsi="Palatino Linotype" w:cs="Arial"/>
          <w:i/>
          <w:sz w:val="22"/>
          <w:szCs w:val="22"/>
        </w:rPr>
      </w:pPr>
      <w:r w:rsidRPr="000111CC">
        <w:rPr>
          <w:rFonts w:ascii="Palatino Linotype" w:hAnsi="Palatino Linotype" w:cs="Arial"/>
          <w:i/>
          <w:sz w:val="22"/>
          <w:szCs w:val="22"/>
        </w:rPr>
        <w:t>…</w:t>
      </w:r>
    </w:p>
    <w:p w:rsidR="000111CC" w:rsidRPr="000111CC" w:rsidRDefault="000111CC" w:rsidP="000111CC">
      <w:pPr>
        <w:pStyle w:val="Textoindependiente"/>
        <w:kinsoku w:val="0"/>
        <w:overflowPunct w:val="0"/>
        <w:ind w:left="567" w:right="616"/>
        <w:contextualSpacing/>
        <w:jc w:val="both"/>
        <w:rPr>
          <w:rFonts w:ascii="Palatino Linotype" w:hAnsi="Palatino Linotype"/>
          <w:i/>
          <w:sz w:val="22"/>
          <w:szCs w:val="22"/>
        </w:rPr>
      </w:pPr>
      <w:r w:rsidRPr="000111CC">
        <w:rPr>
          <w:rFonts w:ascii="Palatino Linotype" w:hAnsi="Palatino Linotype"/>
          <w:i/>
          <w:sz w:val="22"/>
          <w:szCs w:val="22"/>
        </w:rPr>
        <w:t>IV. Admitido el recurso de revisión, aparezca alguna causal de improcedencia en los términos de la presente Ley… (Sic)</w:t>
      </w:r>
    </w:p>
    <w:p w:rsidR="00881707" w:rsidRDefault="00881707" w:rsidP="00881707">
      <w:pPr>
        <w:spacing w:before="240" w:after="240" w:line="360" w:lineRule="auto"/>
        <w:contextualSpacing/>
        <w:jc w:val="both"/>
        <w:rPr>
          <w:rFonts w:ascii="Palatino Linotype" w:hAnsi="Palatino Linotype"/>
        </w:rPr>
      </w:pPr>
    </w:p>
    <w:p w:rsidR="00E538B2" w:rsidRDefault="00E538B2" w:rsidP="00881707">
      <w:pPr>
        <w:spacing w:before="240" w:after="240" w:line="360" w:lineRule="auto"/>
        <w:contextualSpacing/>
        <w:jc w:val="both"/>
        <w:rPr>
          <w:rFonts w:ascii="Palatino Linotype" w:hAnsi="Palatino Linotype"/>
        </w:rPr>
      </w:pPr>
      <w:r>
        <w:rPr>
          <w:rFonts w:ascii="Palatino Linotype" w:hAnsi="Palatino Linotype"/>
        </w:rPr>
        <w:t xml:space="preserve">Siendo el </w:t>
      </w:r>
      <w:r>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881707" w:rsidRDefault="00881707" w:rsidP="00881707">
      <w:pPr>
        <w:spacing w:before="240" w:after="240" w:line="360" w:lineRule="auto"/>
        <w:contextualSpacing/>
        <w:jc w:val="both"/>
        <w:rPr>
          <w:rFonts w:ascii="Palatino Linotype" w:hAnsi="Palatino Linotype"/>
        </w:rPr>
      </w:pPr>
    </w:p>
    <w:p w:rsidR="00E538B2" w:rsidRDefault="00E538B2" w:rsidP="00E538B2">
      <w:pPr>
        <w:spacing w:before="240" w:after="240" w:line="360" w:lineRule="auto"/>
        <w:jc w:val="both"/>
        <w:rPr>
          <w:rFonts w:ascii="Palatino Linotype" w:hAnsi="Palatino Linotype"/>
        </w:rPr>
      </w:pPr>
      <w:r>
        <w:rPr>
          <w:rFonts w:ascii="Palatino Linotype" w:hAnsi="Palatino Linotype"/>
          <w:sz w:val="22"/>
          <w:szCs w:val="22"/>
        </w:rPr>
        <w:t>“</w:t>
      </w:r>
      <w:r>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6"/>
      </w:r>
      <w:r>
        <w:rPr>
          <w:rFonts w:ascii="Palatino Linotype" w:hAnsi="Palatino Linotype"/>
          <w:b/>
        </w:rPr>
        <w:t>.</w:t>
      </w:r>
    </w:p>
    <w:p w:rsidR="00E538B2" w:rsidRDefault="00E538B2" w:rsidP="00E538B2">
      <w:pPr>
        <w:spacing w:before="240" w:after="240" w:line="360" w:lineRule="auto"/>
        <w:jc w:val="both"/>
        <w:rPr>
          <w:rFonts w:ascii="Palatino Linotype" w:hAnsi="Palatino Linotype" w:cs="Arial"/>
        </w:rPr>
      </w:pPr>
      <w:r>
        <w:rPr>
          <w:rFonts w:ascii="Palatino Linotype" w:hAnsi="Palatino Linotype" w:cs="Arial"/>
        </w:rPr>
        <w:lastRenderedPageBreak/>
        <w:t>Cabe d</w:t>
      </w:r>
      <w:r w:rsidRPr="002F68E2">
        <w:rPr>
          <w:rFonts w:ascii="Palatino Linotype" w:hAnsi="Palatino Linotype" w:cs="Arial"/>
        </w:rPr>
        <w:t>estaca</w:t>
      </w:r>
      <w:r>
        <w:rPr>
          <w:rFonts w:ascii="Palatino Linotype" w:hAnsi="Palatino Linotype" w:cs="Arial"/>
        </w:rPr>
        <w:t xml:space="preserve">r que la decisión de este órgano colegiado de sobreseer el recurso de revisión no implica una limitación o negación a la justicia, según lo ha establecido el Poder Judicial Federal, en el criterio con rubro </w:t>
      </w:r>
      <w:r>
        <w:rPr>
          <w:rFonts w:ascii="Palatino Linotype" w:hAnsi="Palatino Linotype" w:cs="Arial"/>
          <w:sz w:val="22"/>
          <w:szCs w:val="22"/>
        </w:rPr>
        <w:t>“</w:t>
      </w:r>
      <w:r>
        <w:rPr>
          <w:rFonts w:ascii="Palatino Linotype" w:hAnsi="Palatino Linotype"/>
          <w:b/>
          <w:sz w:val="22"/>
          <w:szCs w:val="22"/>
        </w:rPr>
        <w:t>DESECHAMIENTO O SOBRESEIMIENTO EN EL JUICIO DE AMPARO. NO IMPLICA DENEGACIÓN DE JUSTICIA NI GENERA INSEGURIDAD JURÍDICA</w:t>
      </w:r>
      <w:r>
        <w:rPr>
          <w:rFonts w:ascii="Palatino Linotype" w:hAnsi="Palatino Linotype"/>
          <w:b/>
        </w:rPr>
        <w:t>”</w:t>
      </w:r>
      <w:r>
        <w:rPr>
          <w:rStyle w:val="Refdenotaalpie"/>
          <w:rFonts w:ascii="Palatino Linotype" w:hAnsi="Palatino Linotype"/>
          <w:b/>
        </w:rPr>
        <w:footnoteReference w:id="7"/>
      </w:r>
      <w:r>
        <w:rPr>
          <w:rFonts w:ascii="Palatino Linotype" w:hAnsi="Palatino Linotype" w:cs="Arial"/>
        </w:rPr>
        <w:t xml:space="preserve"> que es aplicable por analogía.</w:t>
      </w:r>
    </w:p>
    <w:p w:rsidR="000111CC" w:rsidRPr="003D0195" w:rsidRDefault="00CD48AD" w:rsidP="000111CC">
      <w:pPr>
        <w:autoSpaceDE w:val="0"/>
        <w:autoSpaceDN w:val="0"/>
        <w:adjustRightInd w:val="0"/>
        <w:spacing w:before="240" w:after="240" w:line="360" w:lineRule="auto"/>
        <w:jc w:val="both"/>
        <w:rPr>
          <w:rFonts w:ascii="Palatino Linotype" w:hAnsi="Palatino Linotype"/>
          <w:color w:val="222222"/>
          <w:lang w:eastAsia="es-MX"/>
        </w:rPr>
      </w:pPr>
      <w:r>
        <w:rPr>
          <w:rFonts w:ascii="Palatino Linotype" w:hAnsi="Palatino Linotype"/>
        </w:rPr>
        <w:t>Por otro lado</w:t>
      </w:r>
      <w:r w:rsidR="003A11D1">
        <w:rPr>
          <w:rFonts w:ascii="Palatino Linotype" w:hAnsi="Palatino Linotype"/>
        </w:rPr>
        <w:t>, en cuanto al motivo de inconformidad hecho valer por el recurrente en donde manifiesta: “…</w:t>
      </w:r>
      <w:r w:rsidR="003A11D1" w:rsidRPr="003A11D1">
        <w:rPr>
          <w:rFonts w:ascii="Palatino Linotype" w:hAnsi="Palatino Linotype"/>
          <w:i/>
        </w:rPr>
        <w:t>se está solicitando saber el tipo de contratos</w:t>
      </w:r>
      <w:r w:rsidR="003A11D1">
        <w:rPr>
          <w:rFonts w:ascii="Palatino Linotype" w:hAnsi="Palatino Linotype"/>
        </w:rPr>
        <w:t>…”</w:t>
      </w:r>
      <w:r>
        <w:rPr>
          <w:rFonts w:ascii="Palatino Linotype" w:hAnsi="Palatino Linotype"/>
        </w:rPr>
        <w:t xml:space="preserve"> se</w:t>
      </w:r>
      <w:r w:rsidR="000111CC" w:rsidRPr="000F22B1">
        <w:rPr>
          <w:rFonts w:ascii="Palatino Linotype" w:hAnsi="Palatino Linotype"/>
        </w:rPr>
        <w:t xml:space="preserve"> </w:t>
      </w:r>
      <w:r w:rsidR="000106E0">
        <w:rPr>
          <w:rFonts w:ascii="Palatino Linotype" w:hAnsi="Palatino Linotype"/>
          <w:color w:val="222222"/>
          <w:shd w:val="clear" w:color="auto" w:fill="FFFFFF"/>
        </w:rPr>
        <w:t>constituye</w:t>
      </w:r>
      <w:r w:rsidR="000111CC" w:rsidRPr="000F22B1">
        <w:rPr>
          <w:rFonts w:ascii="Palatino Linotype" w:hAnsi="Palatino Linotype"/>
          <w:color w:val="222222"/>
          <w:shd w:val="clear" w:color="auto" w:fill="FFFFFF"/>
        </w:rPr>
        <w:t xml:space="preserve"> una </w:t>
      </w:r>
      <w:r w:rsidR="000111CC" w:rsidRPr="000F22B1">
        <w:rPr>
          <w:rFonts w:ascii="Palatino Linotype" w:hAnsi="Palatino Linotype"/>
          <w:i/>
          <w:iCs/>
          <w:color w:val="222222"/>
          <w:shd w:val="clear" w:color="auto" w:fill="FFFFFF"/>
        </w:rPr>
        <w:t>plus petito</w:t>
      </w:r>
      <w:r w:rsidR="000111CC" w:rsidRPr="000F22B1">
        <w:rPr>
          <w:rFonts w:ascii="Palatino Linotype" w:hAnsi="Palatino Linotype"/>
          <w:color w:val="222222"/>
          <w:shd w:val="clear" w:color="auto" w:fill="FFFFFF"/>
        </w:rPr>
        <w:t xml:space="preserve">, es decir, establece una nueva solicitud de información realizada a </w:t>
      </w:r>
      <w:r>
        <w:rPr>
          <w:rFonts w:ascii="Palatino Linotype" w:hAnsi="Palatino Linotype"/>
          <w:color w:val="222222"/>
          <w:shd w:val="clear" w:color="auto" w:fill="FFFFFF"/>
        </w:rPr>
        <w:t>través del recurso de revisión</w:t>
      </w:r>
      <w:r w:rsidR="000111CC">
        <w:rPr>
          <w:rFonts w:ascii="Palatino Linotype" w:hAnsi="Palatino Linotype" w:cs="Arial"/>
        </w:rPr>
        <w:t>, lo</w:t>
      </w:r>
      <w:r w:rsidR="000111CC">
        <w:rPr>
          <w:rFonts w:ascii="Palatino Linotype" w:hAnsi="Palatino Linotype"/>
          <w:color w:val="222222"/>
          <w:shd w:val="clear" w:color="auto" w:fill="FFFFFF"/>
        </w:rPr>
        <w:t xml:space="preserve"> cual es improcedente realizar, toda vez que no es materia del procedimiento de impugnación que se resuelve.</w:t>
      </w:r>
    </w:p>
    <w:p w:rsidR="00CD48AD" w:rsidRDefault="000111CC" w:rsidP="00CD48AD">
      <w:pPr>
        <w:shd w:val="clear" w:color="auto" w:fill="FFFFFF"/>
        <w:spacing w:line="360" w:lineRule="auto"/>
        <w:jc w:val="both"/>
        <w:rPr>
          <w:rFonts w:ascii="Palatino Linotype" w:hAnsi="Palatino Linotype"/>
          <w:color w:val="000000"/>
          <w:lang w:eastAsia="es-MX"/>
        </w:rPr>
      </w:pPr>
      <w:r w:rsidRPr="003D0195">
        <w:rPr>
          <w:rFonts w:ascii="Palatino Linotype" w:hAnsi="Palatino Linotype"/>
          <w:color w:val="222222"/>
          <w:lang w:eastAsia="es-MX"/>
        </w:rPr>
        <w:t>Por lo anterior</w:t>
      </w:r>
      <w:r>
        <w:rPr>
          <w:rFonts w:ascii="Palatino Linotype" w:hAnsi="Palatino Linotype"/>
          <w:color w:val="000000"/>
          <w:lang w:eastAsia="es-MX"/>
        </w:rPr>
        <w:t>, resulta claro que el</w:t>
      </w:r>
      <w:r w:rsidRPr="0059250C">
        <w:rPr>
          <w:rFonts w:ascii="Palatino Linotype" w:hAnsi="Palatino Linotype"/>
          <w:color w:val="000000"/>
          <w:lang w:eastAsia="es-MX"/>
        </w:rPr>
        <w:t xml:space="preserve"> recurrente </w:t>
      </w:r>
      <w:r w:rsidRPr="003D0195">
        <w:rPr>
          <w:rFonts w:ascii="Palatino Linotype" w:hAnsi="Palatino Linotype"/>
          <w:color w:val="000000"/>
          <w:lang w:eastAsia="es-MX"/>
        </w:rPr>
        <w:t>pretende ampliar los alcances de la solicitud de información. Por lo que en términ</w:t>
      </w:r>
      <w:r>
        <w:rPr>
          <w:rFonts w:ascii="Palatino Linotype" w:hAnsi="Palatino Linotype"/>
          <w:color w:val="000000"/>
          <w:lang w:eastAsia="es-MX"/>
        </w:rPr>
        <w:t>os del artículo 36, fracción II de la Ley de la M</w:t>
      </w:r>
      <w:r w:rsidRPr="003D0195">
        <w:rPr>
          <w:rFonts w:ascii="Palatino Linotype" w:hAnsi="Palatino Linotype"/>
          <w:color w:val="000000"/>
          <w:lang w:eastAsia="es-MX"/>
        </w:rPr>
        <w:t xml:space="preserve">ateria, este Instituto no está facultado para resolver con respecto a ampliaciones a solicitudes de información presentadas por medios distintos a los que señala el artículo 155 de la Ley de la materia, </w:t>
      </w:r>
      <w:r>
        <w:rPr>
          <w:rFonts w:ascii="Palatino Linotype" w:hAnsi="Palatino Linotype"/>
          <w:color w:val="000000"/>
          <w:lang w:eastAsia="es-MX"/>
        </w:rPr>
        <w:t>ya</w:t>
      </w:r>
      <w:r w:rsidRPr="003D0195">
        <w:rPr>
          <w:rFonts w:ascii="Palatino Linotype" w:hAnsi="Palatino Linotype"/>
          <w:color w:val="000000"/>
          <w:lang w:eastAsia="es-MX"/>
        </w:rPr>
        <w:t xml:space="preserve"> que el recurso de revisión no constituye un medio válido para solicitar información adicional.</w:t>
      </w:r>
    </w:p>
    <w:p w:rsidR="000111CC" w:rsidRDefault="000111CC" w:rsidP="00CD48AD">
      <w:pPr>
        <w:shd w:val="clear" w:color="auto" w:fill="FFFFFF"/>
        <w:spacing w:line="360" w:lineRule="auto"/>
        <w:jc w:val="both"/>
        <w:rPr>
          <w:rFonts w:ascii="Palatino Linotype" w:hAnsi="Palatino Linotype"/>
          <w:color w:val="222222"/>
          <w:shd w:val="clear" w:color="auto" w:fill="FFFFFF"/>
          <w:lang w:val="es-ES_tradnl"/>
        </w:rPr>
      </w:pPr>
      <w:r>
        <w:rPr>
          <w:rFonts w:ascii="Palatino Linotype" w:hAnsi="Palatino Linotype"/>
          <w:color w:val="222222"/>
          <w:shd w:val="clear" w:color="auto" w:fill="FFFFFF"/>
          <w:lang w:val="es-ES_tradnl"/>
        </w:rPr>
        <w:lastRenderedPageBreak/>
        <w:t>Sirve de apoyo el “Criterio de interpretación en el orden administrativo número 0027-10” emitido por el Instituto Federal de Acceso a la Información y Protección de datos, actualmente INAI, que a la letra dice:</w:t>
      </w:r>
    </w:p>
    <w:p w:rsidR="000111CC" w:rsidRDefault="000111CC" w:rsidP="000111CC">
      <w:pPr>
        <w:shd w:val="clear" w:color="auto" w:fill="FFFFFF"/>
        <w:spacing w:before="240" w:after="240" w:line="288" w:lineRule="atLeast"/>
        <w:ind w:left="851" w:right="850"/>
        <w:jc w:val="both"/>
        <w:rPr>
          <w:rFonts w:ascii="Palatino Linotype" w:hAnsi="Palatino Linotype"/>
          <w:b/>
          <w:bCs/>
          <w:i/>
          <w:iCs/>
          <w:color w:val="000000"/>
          <w:lang w:eastAsia="es-MX"/>
        </w:rPr>
      </w:pPr>
      <w:r w:rsidRPr="003D0195">
        <w:rPr>
          <w:rFonts w:ascii="Palatino Linotype" w:hAnsi="Palatino Linotype"/>
          <w:b/>
          <w:bCs/>
          <w:i/>
          <w:iCs/>
          <w:color w:val="000000"/>
          <w:lang w:eastAsia="es-MX"/>
        </w:rPr>
        <w:t>“</w:t>
      </w:r>
      <w:r>
        <w:rPr>
          <w:rFonts w:ascii="Palatino Linotype" w:hAnsi="Palatino Linotype"/>
          <w:b/>
          <w:bCs/>
          <w:i/>
          <w:iCs/>
          <w:color w:val="000000"/>
          <w:lang w:eastAsia="es-MX"/>
        </w:rPr>
        <w:t>0027-10:</w:t>
      </w:r>
    </w:p>
    <w:p w:rsidR="000111CC" w:rsidRPr="003D0195" w:rsidRDefault="000111CC" w:rsidP="000111CC">
      <w:pPr>
        <w:shd w:val="clear" w:color="auto" w:fill="FFFFFF"/>
        <w:spacing w:before="240" w:after="240" w:line="288" w:lineRule="atLeast"/>
        <w:ind w:left="851" w:right="850"/>
        <w:jc w:val="both"/>
        <w:rPr>
          <w:color w:val="222222"/>
          <w:lang w:eastAsia="es-MX"/>
        </w:rPr>
      </w:pPr>
      <w:r w:rsidRPr="003D0195">
        <w:rPr>
          <w:rFonts w:ascii="Palatino Linotype" w:hAnsi="Palatino Linotype"/>
          <w:b/>
          <w:bCs/>
          <w:i/>
          <w:iCs/>
          <w:color w:val="000000"/>
          <w:lang w:eastAsia="es-MX"/>
        </w:rPr>
        <w:t>Es improcedente ampliar las solicitudes de acceso a información pública o datos personales, a través de la interposición del recurso de revisión.</w:t>
      </w:r>
      <w:r w:rsidRPr="003D0195">
        <w:rPr>
          <w:rFonts w:ascii="Palatino Linotype" w:hAnsi="Palatino Linotype"/>
          <w:i/>
          <w:iCs/>
          <w:color w:val="000000"/>
          <w:lang w:eastAsia="es-MX"/>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0111CC" w:rsidRDefault="000111CC" w:rsidP="000111CC">
      <w:pPr>
        <w:shd w:val="clear" w:color="auto" w:fill="FFFFFF"/>
        <w:spacing w:before="240" w:after="240" w:line="288" w:lineRule="atLeast"/>
        <w:ind w:left="851" w:right="850"/>
        <w:jc w:val="both"/>
        <w:rPr>
          <w:rFonts w:ascii="Palatino Linotype" w:hAnsi="Palatino Linotype"/>
          <w:b/>
          <w:bCs/>
          <w:i/>
          <w:iCs/>
          <w:color w:val="000000"/>
          <w:lang w:eastAsia="es-MX"/>
        </w:rPr>
      </w:pPr>
      <w:r w:rsidRPr="003D0195">
        <w:rPr>
          <w:rFonts w:ascii="Palatino Linotype" w:hAnsi="Palatino Linotype"/>
          <w:i/>
          <w:iCs/>
          <w:color w:val="000000"/>
          <w:lang w:eastAsia="es-MX"/>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D0195">
        <w:rPr>
          <w:rFonts w:ascii="Palatino Linotype" w:hAnsi="Palatino Linotype"/>
          <w:i/>
          <w:iCs/>
          <w:color w:val="000000"/>
          <w:lang w:eastAsia="es-MX"/>
        </w:rPr>
        <w:t>Marván</w:t>
      </w:r>
      <w:proofErr w:type="spellEnd"/>
      <w:r w:rsidRPr="003D0195">
        <w:rPr>
          <w:rFonts w:ascii="Palatino Linotype" w:hAnsi="Palatino Linotype"/>
          <w:i/>
          <w:iCs/>
          <w:color w:val="000000"/>
          <w:lang w:eastAsia="es-MX"/>
        </w:rPr>
        <w:t xml:space="preserve"> Laborde1523 1006/10 Instituto Mexicano del Seguro Social – Sigrid </w:t>
      </w:r>
      <w:proofErr w:type="spellStart"/>
      <w:r w:rsidRPr="003D0195">
        <w:rPr>
          <w:rFonts w:ascii="Palatino Linotype" w:hAnsi="Palatino Linotype"/>
          <w:i/>
          <w:iCs/>
          <w:color w:val="000000"/>
          <w:lang w:eastAsia="es-MX"/>
        </w:rPr>
        <w:t>Arzt</w:t>
      </w:r>
      <w:proofErr w:type="spellEnd"/>
      <w:r w:rsidRPr="003D0195">
        <w:rPr>
          <w:rFonts w:ascii="Palatino Linotype" w:hAnsi="Palatino Linotype"/>
          <w:i/>
          <w:iCs/>
          <w:color w:val="000000"/>
          <w:lang w:eastAsia="es-MX"/>
        </w:rPr>
        <w:t xml:space="preserve"> Colunga 1378/10 Instituto de Seguridad y Servicios Sociales de los Trabajadores del Estado – María Elena Pérez-Jaén </w:t>
      </w:r>
      <w:r w:rsidRPr="007B7A34">
        <w:rPr>
          <w:rFonts w:ascii="Palatino Linotype" w:hAnsi="Palatino Linotype"/>
          <w:i/>
          <w:iCs/>
          <w:color w:val="000000"/>
          <w:lang w:eastAsia="es-MX"/>
        </w:rPr>
        <w:t>Zermeño.</w:t>
      </w:r>
      <w:r w:rsidRPr="007B7A34">
        <w:rPr>
          <w:rFonts w:ascii="Palatino Linotype" w:hAnsi="Palatino Linotype"/>
          <w:bCs/>
          <w:i/>
          <w:iCs/>
          <w:color w:val="000000"/>
          <w:lang w:eastAsia="es-MX"/>
        </w:rPr>
        <w:t>” (Sic)</w:t>
      </w:r>
    </w:p>
    <w:p w:rsidR="000106E0" w:rsidRDefault="000106E0" w:rsidP="00E538B2">
      <w:pPr>
        <w:spacing w:before="240" w:after="240" w:line="360" w:lineRule="auto"/>
        <w:contextualSpacing/>
        <w:jc w:val="both"/>
        <w:rPr>
          <w:rFonts w:ascii="Palatino Linotype" w:hAnsi="Palatino Linotype" w:cs="Arial"/>
        </w:rPr>
      </w:pPr>
    </w:p>
    <w:p w:rsidR="000106E0" w:rsidRPr="000106E0" w:rsidRDefault="00CD48AD" w:rsidP="000106E0">
      <w:pPr>
        <w:spacing w:before="240" w:after="240" w:line="360" w:lineRule="auto"/>
        <w:contextualSpacing/>
        <w:jc w:val="both"/>
        <w:rPr>
          <w:rFonts w:ascii="Palatino Linotype" w:eastAsia="Calibri" w:hAnsi="Palatino Linotype" w:cs="Arial"/>
          <w:lang w:val="es-MX" w:eastAsia="en-US"/>
        </w:rPr>
      </w:pPr>
      <w:r w:rsidRPr="000106E0">
        <w:rPr>
          <w:rFonts w:ascii="Palatino Linotype" w:hAnsi="Palatino Linotype" w:cs="Arial"/>
        </w:rPr>
        <w:t>Finalmente, en cuanto al</w:t>
      </w:r>
      <w:r w:rsidR="00E538B2" w:rsidRPr="000106E0">
        <w:rPr>
          <w:rFonts w:ascii="Palatino Linotype" w:hAnsi="Palatino Linotype" w:cs="Arial"/>
        </w:rPr>
        <w:t xml:space="preserve"> motivo de inconformidad hecho valer por la recurrente en donde manifiesta </w:t>
      </w:r>
      <w:r w:rsidR="00E538B2" w:rsidRPr="000106E0">
        <w:rPr>
          <w:rFonts w:ascii="Palatino Linotype" w:hAnsi="Palatino Linotype"/>
          <w:i/>
        </w:rPr>
        <w:t>“</w:t>
      </w:r>
      <w:r w:rsidR="000106E0" w:rsidRPr="000106E0">
        <w:rPr>
          <w:rFonts w:ascii="Palatino Linotype" w:hAnsi="Palatino Linotype"/>
          <w:i/>
        </w:rPr>
        <w:t>…</w:t>
      </w:r>
      <w:r w:rsidR="000106E0" w:rsidRPr="000106E0">
        <w:rPr>
          <w:rFonts w:ascii="Palatino Linotype" w:hAnsi="Palatino Linotype" w:cs="Arial"/>
          <w:i/>
        </w:rPr>
        <w:t>si la ignorancia de la persona que da la respuesta a la solicitud, no le permite entender que debe informar referente a los contratos que lo haga manifiesto</w:t>
      </w:r>
      <w:r w:rsidR="000106E0" w:rsidRPr="000106E0">
        <w:rPr>
          <w:rFonts w:ascii="Palatino Linotype" w:hAnsi="Palatino Linotype"/>
          <w:i/>
        </w:rPr>
        <w:t>” (</w:t>
      </w:r>
      <w:r w:rsidR="00E538B2" w:rsidRPr="000106E0">
        <w:rPr>
          <w:rFonts w:ascii="Palatino Linotype" w:hAnsi="Palatino Linotype"/>
          <w:i/>
        </w:rPr>
        <w:t>Sic),</w:t>
      </w:r>
      <w:r w:rsidR="00E538B2" w:rsidRPr="000106E0">
        <w:rPr>
          <w:rFonts w:ascii="Palatino Linotype" w:hAnsi="Palatino Linotype"/>
          <w:i/>
          <w:sz w:val="22"/>
          <w:szCs w:val="22"/>
        </w:rPr>
        <w:t xml:space="preserve"> </w:t>
      </w:r>
      <w:r w:rsidR="000106E0" w:rsidRPr="000106E0">
        <w:rPr>
          <w:rFonts w:ascii="Palatino Linotype" w:eastAsia="Calibri" w:hAnsi="Palatino Linotype" w:cs="Arial"/>
          <w:lang w:val="es-MX" w:eastAsia="en-US"/>
        </w:rPr>
        <w:t xml:space="preserve">se hace del conocimiento al recurrente que para hacer valido su derecho de acceso a la información pública debe realízalo pacíficamente, por lo que, para las subsecuentes solicitudes de acceso a la información que desee formular y en su caso </w:t>
      </w:r>
      <w:r w:rsidR="000106E0" w:rsidRPr="000106E0">
        <w:rPr>
          <w:rFonts w:ascii="Palatino Linotype" w:eastAsia="Calibri" w:hAnsi="Palatino Linotype" w:cs="Arial"/>
          <w:lang w:val="es-MX" w:eastAsia="en-US"/>
        </w:rPr>
        <w:lastRenderedPageBreak/>
        <w:t>los recursos de revisión que interponga, lo haga con respeto; lo anterior en términos del artículo 8 de la Constitución Política de los Estados Unidos Mexicanos.</w:t>
      </w:r>
    </w:p>
    <w:p w:rsidR="000106E0" w:rsidRDefault="000106E0" w:rsidP="00E538B2">
      <w:pPr>
        <w:spacing w:before="240" w:after="240" w:line="360" w:lineRule="auto"/>
        <w:contextualSpacing/>
        <w:jc w:val="both"/>
        <w:rPr>
          <w:rFonts w:ascii="Palatino Linotype" w:hAnsi="Palatino Linotype" w:cs="Arial"/>
        </w:rPr>
      </w:pPr>
    </w:p>
    <w:p w:rsidR="00E538B2" w:rsidRDefault="00E538B2" w:rsidP="00E538B2">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Así las cosas,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538B2" w:rsidRDefault="00E538B2" w:rsidP="00E538B2">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rsidR="0086718E" w:rsidRDefault="0086718E" w:rsidP="0086718E">
      <w:pPr>
        <w:spacing w:before="240" w:after="240" w:line="360" w:lineRule="auto"/>
        <w:contextualSpacing/>
        <w:jc w:val="both"/>
        <w:rPr>
          <w:rFonts w:ascii="Palatino Linotype" w:hAnsi="Palatino Linotype"/>
          <w:b/>
          <w:shd w:val="clear" w:color="auto" w:fill="FFFFFF"/>
        </w:rPr>
      </w:pPr>
    </w:p>
    <w:p w:rsidR="0086718E" w:rsidRPr="0086718E" w:rsidRDefault="00E538B2" w:rsidP="0086718E">
      <w:pPr>
        <w:spacing w:before="240" w:after="240" w:line="360" w:lineRule="auto"/>
        <w:contextualSpacing/>
        <w:jc w:val="both"/>
        <w:rPr>
          <w:rFonts w:ascii="Palatino Linotype" w:hAnsi="Palatino Linotype"/>
          <w:shd w:val="clear" w:color="auto" w:fill="FFFFFF"/>
        </w:rPr>
      </w:pPr>
      <w:r w:rsidRPr="0086718E">
        <w:rPr>
          <w:rFonts w:ascii="Palatino Linotype" w:hAnsi="Palatino Linotype"/>
          <w:b/>
          <w:shd w:val="clear" w:color="auto" w:fill="FFFFFF"/>
        </w:rPr>
        <w:t>Primero.</w:t>
      </w:r>
      <w:r w:rsidRPr="0086718E">
        <w:rPr>
          <w:rFonts w:ascii="Palatino Linotype" w:hAnsi="Palatino Linotype"/>
          <w:shd w:val="clear" w:color="auto" w:fill="FFFFFF"/>
        </w:rPr>
        <w:t xml:space="preserve"> </w:t>
      </w:r>
      <w:r w:rsidR="0086718E" w:rsidRPr="0086718E">
        <w:rPr>
          <w:rFonts w:ascii="Palatino Linotype" w:hAnsi="Palatino Linotype"/>
          <w:shd w:val="clear" w:color="auto" w:fill="FFFFFF"/>
        </w:rPr>
        <w:t xml:space="preserve">Se </w:t>
      </w:r>
      <w:r w:rsidR="0086718E" w:rsidRPr="0086718E">
        <w:rPr>
          <w:rFonts w:ascii="Palatino Linotype" w:hAnsi="Palatino Linotype"/>
          <w:b/>
          <w:shd w:val="clear" w:color="auto" w:fill="FFFFFF"/>
        </w:rPr>
        <w:t>SOBRESEE</w:t>
      </w:r>
      <w:r w:rsidR="0086718E" w:rsidRPr="0086718E">
        <w:rPr>
          <w:rFonts w:ascii="Palatino Linotype" w:hAnsi="Palatino Linotype"/>
          <w:shd w:val="clear" w:color="auto" w:fill="FFFFFF"/>
        </w:rPr>
        <w:t xml:space="preserve"> el </w:t>
      </w:r>
      <w:r w:rsidR="0086718E">
        <w:rPr>
          <w:rFonts w:ascii="Palatino Linotype" w:hAnsi="Palatino Linotype"/>
          <w:shd w:val="clear" w:color="auto" w:fill="FFFFFF"/>
        </w:rPr>
        <w:t xml:space="preserve">recurso de revisión número </w:t>
      </w:r>
      <w:r w:rsidR="0086718E" w:rsidRPr="00881707">
        <w:rPr>
          <w:rFonts w:ascii="Palatino Linotype" w:hAnsi="Palatino Linotype"/>
          <w:b/>
          <w:shd w:val="clear" w:color="auto" w:fill="FFFFFF"/>
        </w:rPr>
        <w:t>04739/INFOEM/IP/RR/2018</w:t>
      </w:r>
      <w:r w:rsidR="0086718E" w:rsidRPr="0086718E">
        <w:rPr>
          <w:rFonts w:ascii="Palatino Linotype" w:hAnsi="Palatino Linotype"/>
          <w:shd w:val="clear" w:color="auto" w:fill="FFFFFF"/>
        </w:rPr>
        <w:t xml:space="preserve">, por actualizarse la causal de improcedencia inmersa en la fracción </w:t>
      </w:r>
      <w:r w:rsidR="0086718E">
        <w:rPr>
          <w:rFonts w:ascii="Palatino Linotype" w:hAnsi="Palatino Linotype"/>
          <w:shd w:val="clear" w:color="auto" w:fill="FFFFFF"/>
        </w:rPr>
        <w:t>III</w:t>
      </w:r>
      <w:r w:rsidR="0086718E" w:rsidRPr="0086718E">
        <w:rPr>
          <w:rFonts w:ascii="Palatino Linotype" w:hAnsi="Palatino Linotype"/>
          <w:shd w:val="clear" w:color="auto" w:fill="FFFFFF"/>
        </w:rPr>
        <w:t xml:space="preserve"> del artículo 191, de la ley de transparencia vigente en la entidad, en </w:t>
      </w:r>
      <w:r w:rsidR="0086718E">
        <w:rPr>
          <w:rFonts w:ascii="Palatino Linotype" w:hAnsi="Palatino Linotype"/>
          <w:shd w:val="clear" w:color="auto" w:fill="FFFFFF"/>
        </w:rPr>
        <w:t xml:space="preserve">términos del Considerando </w:t>
      </w:r>
      <w:r w:rsidR="0086718E" w:rsidRPr="00881707">
        <w:rPr>
          <w:rFonts w:ascii="Palatino Linotype" w:hAnsi="Palatino Linotype"/>
          <w:b/>
          <w:shd w:val="clear" w:color="auto" w:fill="FFFFFF"/>
        </w:rPr>
        <w:t>TERCERO</w:t>
      </w:r>
      <w:r w:rsidR="0086718E" w:rsidRPr="0086718E">
        <w:rPr>
          <w:rFonts w:ascii="Palatino Linotype" w:hAnsi="Palatino Linotype"/>
          <w:shd w:val="clear" w:color="auto" w:fill="FFFFFF"/>
        </w:rPr>
        <w:t xml:space="preserve"> de la presente resolución.</w:t>
      </w:r>
    </w:p>
    <w:p w:rsidR="0086718E" w:rsidRDefault="0086718E" w:rsidP="00E538B2">
      <w:pPr>
        <w:spacing w:before="240" w:after="240" w:line="360" w:lineRule="auto"/>
        <w:contextualSpacing/>
        <w:jc w:val="both"/>
        <w:rPr>
          <w:rFonts w:ascii="Palatino Linotype" w:hAnsi="Palatino Linotype" w:cs="Arial"/>
          <w:b/>
          <w:bCs/>
          <w:shd w:val="clear" w:color="auto" w:fill="FFFFFF"/>
        </w:rPr>
      </w:pPr>
    </w:p>
    <w:p w:rsidR="00E538B2" w:rsidRDefault="00E538B2" w:rsidP="00E538B2">
      <w:pPr>
        <w:spacing w:before="240" w:after="240" w:line="360" w:lineRule="auto"/>
        <w:contextualSpacing/>
        <w:jc w:val="both"/>
        <w:rPr>
          <w:rFonts w:ascii="Palatino Linotype" w:hAnsi="Palatino Linotype" w:cs="Arial"/>
        </w:rPr>
      </w:pPr>
      <w:r>
        <w:rPr>
          <w:rFonts w:ascii="Palatino Linotype" w:hAnsi="Palatino Linotype" w:cs="Arial"/>
          <w:b/>
          <w:bCs/>
          <w:shd w:val="clear" w:color="auto" w:fill="FFFFFF"/>
        </w:rPr>
        <w:t>Segundo. Remítase</w:t>
      </w:r>
      <w:r>
        <w:rPr>
          <w:rStyle w:val="apple-converted-space"/>
          <w:rFonts w:ascii="Palatino Linotype" w:hAnsi="Palatino Linotype" w:cs="Arial"/>
          <w:b/>
          <w:bCs/>
          <w:i/>
          <w:iCs/>
          <w:shd w:val="clear" w:color="auto" w:fill="FFFFFF"/>
        </w:rPr>
        <w:t xml:space="preserve">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Pr>
          <w:rFonts w:ascii="Palatino Linotype" w:hAnsi="Palatino Linotype"/>
          <w:bCs/>
          <w:shd w:val="clear" w:color="auto" w:fill="FFFFFF"/>
        </w:rPr>
        <w:t>Sujeto Obligado la presente resolución, para su conocimiento</w:t>
      </w:r>
      <w:r>
        <w:rPr>
          <w:rFonts w:ascii="Palatino Linotype" w:hAnsi="Palatino Linotype"/>
          <w:shd w:val="clear" w:color="auto" w:fill="FFFFFF"/>
        </w:rPr>
        <w:t xml:space="preserve">, lo anterior en términos del artículo 189 de la </w:t>
      </w:r>
      <w:r>
        <w:rPr>
          <w:rFonts w:ascii="Palatino Linotype" w:hAnsi="Palatino Linotype" w:cs="Arial"/>
        </w:rPr>
        <w:t>Ley de Transparencia y Acceso a la Información Pública del Estado de México y Municipios.</w:t>
      </w:r>
    </w:p>
    <w:p w:rsidR="00E538B2" w:rsidRDefault="00E538B2" w:rsidP="00E538B2">
      <w:pPr>
        <w:spacing w:before="240" w:after="240" w:line="360" w:lineRule="auto"/>
        <w:contextualSpacing/>
        <w:jc w:val="both"/>
        <w:rPr>
          <w:rFonts w:ascii="Palatino Linotype" w:hAnsi="Palatino Linotype"/>
          <w:shd w:val="clear" w:color="auto" w:fill="FFFFFF"/>
        </w:rPr>
      </w:pPr>
    </w:p>
    <w:p w:rsidR="00E538B2" w:rsidRDefault="00E538B2" w:rsidP="00E538B2">
      <w:pPr>
        <w:spacing w:before="240" w:after="240" w:line="360" w:lineRule="auto"/>
        <w:jc w:val="both"/>
        <w:rPr>
          <w:rFonts w:ascii="Palatino Linotype" w:hAnsi="Palatino Linotype" w:cs="Arial"/>
        </w:rPr>
      </w:pPr>
      <w:r>
        <w:rPr>
          <w:rFonts w:ascii="Palatino Linotype" w:hAnsi="Palatino Linotype" w:cs="Arial"/>
          <w:b/>
        </w:rPr>
        <w:t>Tercero. Hágase del conocimiento</w:t>
      </w:r>
      <w:r>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en la vía</w:t>
      </w:r>
      <w:r>
        <w:rPr>
          <w:rFonts w:ascii="Palatino Linotype" w:eastAsia="Palatino Linotype" w:hAnsi="Palatino Linotype" w:cs="Palatino Linotype"/>
        </w:rPr>
        <w:t xml:space="preserve"> Juicio de Amparo en los términos de las leyes aplicables.</w:t>
      </w:r>
    </w:p>
    <w:p w:rsidR="00E538B2" w:rsidRDefault="00E538B2" w:rsidP="00E538B2">
      <w:pPr>
        <w:spacing w:line="360" w:lineRule="auto"/>
        <w:ind w:right="49"/>
        <w:jc w:val="both"/>
        <w:rPr>
          <w:rFonts w:ascii="Palatino Linotype" w:hAnsi="Palatino Linotype" w:cs="Arial"/>
          <w:sz w:val="25"/>
          <w:szCs w:val="25"/>
        </w:rPr>
      </w:pPr>
      <w:r>
        <w:rPr>
          <w:rFonts w:ascii="Palatino Linotype" w:eastAsia="Calibri" w:hAnsi="Palatino Linotype" w:cs="Arial"/>
          <w:sz w:val="25"/>
          <w:szCs w:val="25"/>
          <w:lang w:val="es-MX" w:eastAsia="en-US"/>
        </w:rPr>
        <w:lastRenderedPageBreak/>
        <w:t>ASÍ LO RESUELVE, POR UNANIMIDAD DE VOTOS, EL PLENO DEL</w:t>
      </w:r>
      <w:r>
        <w:rPr>
          <w:rFonts w:ascii="Palatino Linotype" w:hAnsi="Palatino Linotype"/>
          <w:sz w:val="25"/>
          <w:szCs w:val="25"/>
        </w:rPr>
        <w:t xml:space="preserve"> INSTITUTO DE TRANSPARENCIA, ACCESO A LA INFORMACIÓN PÚBLICA Y PROTECCIÓN DE DATOS PERSONALES DEL ESTADO DE MÉXICO Y MUNICIPIOS, CONFORMADO POR LOS COMISIONADOS ZULEMA MARTÍNEZ SÁNCHEZ, EVA ABAID YAPUR</w:t>
      </w:r>
      <w:r w:rsidR="00A44648">
        <w:rPr>
          <w:rFonts w:ascii="Palatino Linotype" w:hAnsi="Palatino Linotype"/>
          <w:sz w:val="25"/>
          <w:szCs w:val="25"/>
        </w:rPr>
        <w:t xml:space="preserve"> EMITIENDO VOTO PARTICULAR</w:t>
      </w:r>
      <w:r>
        <w:rPr>
          <w:rFonts w:ascii="Palatino Linotype" w:hAnsi="Palatino Linotype"/>
          <w:sz w:val="25"/>
          <w:szCs w:val="25"/>
        </w:rPr>
        <w:t>, JOSÉ GUADALUPE LUNA HERNÁNDEZ, JAVIER MARTÍNEZ CRUZ Y LUIS GUSTAVO PARRA NORIEGA</w:t>
      </w:r>
      <w:r w:rsidR="009A6B38">
        <w:rPr>
          <w:rFonts w:ascii="Palatino Linotype" w:hAnsi="Palatino Linotype"/>
          <w:sz w:val="25"/>
          <w:szCs w:val="25"/>
        </w:rPr>
        <w:t>; EN LA OCTAVA</w:t>
      </w:r>
      <w:r>
        <w:rPr>
          <w:rFonts w:ascii="Palatino Linotype" w:hAnsi="Palatino Linotype"/>
          <w:sz w:val="25"/>
          <w:szCs w:val="25"/>
        </w:rPr>
        <w:t xml:space="preserve"> SESIÓN O</w:t>
      </w:r>
      <w:r w:rsidR="009A6B38">
        <w:rPr>
          <w:rFonts w:ascii="Palatino Linotype" w:hAnsi="Palatino Linotype"/>
          <w:sz w:val="25"/>
          <w:szCs w:val="25"/>
        </w:rPr>
        <w:t>RDINARIA CELEBRADA EL VEINTISIETE</w:t>
      </w:r>
      <w:r w:rsidR="0086718E">
        <w:rPr>
          <w:rFonts w:ascii="Palatino Linotype" w:hAnsi="Palatino Linotype"/>
          <w:sz w:val="25"/>
          <w:szCs w:val="25"/>
        </w:rPr>
        <w:t xml:space="preserve"> DE FEBRERO</w:t>
      </w:r>
      <w:r>
        <w:rPr>
          <w:rFonts w:ascii="Palatino Linotype" w:hAnsi="Palatino Linotype"/>
          <w:sz w:val="25"/>
          <w:szCs w:val="25"/>
        </w:rPr>
        <w:t xml:space="preserve"> DE DOS MIL DIECINUEVE, ANTE EL SECRETARIO TÉCNICO DEL PLENO ALEXIS TAPIA RAMÍREZ.</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538B2" w:rsidTr="0085366E">
        <w:trPr>
          <w:trHeight w:val="1483"/>
        </w:trPr>
        <w:tc>
          <w:tcPr>
            <w:tcW w:w="8838" w:type="dxa"/>
            <w:gridSpan w:val="2"/>
          </w:tcPr>
          <w:p w:rsidR="00E538B2" w:rsidRDefault="00E538B2" w:rsidP="0085366E">
            <w:pPr>
              <w:jc w:val="center"/>
              <w:rPr>
                <w:rFonts w:ascii="Palatino Linotype" w:hAnsi="Palatino Linotype"/>
                <w:b/>
              </w:rPr>
            </w:pPr>
          </w:p>
          <w:p w:rsidR="0086718E" w:rsidRDefault="0086718E" w:rsidP="0085366E">
            <w:pPr>
              <w:jc w:val="center"/>
              <w:rPr>
                <w:rFonts w:ascii="Palatino Linotype" w:hAnsi="Palatino Linotype"/>
                <w:b/>
              </w:rPr>
            </w:pPr>
          </w:p>
          <w:p w:rsidR="00423457" w:rsidRDefault="00423457" w:rsidP="0085366E">
            <w:pPr>
              <w:jc w:val="center"/>
              <w:rPr>
                <w:rFonts w:ascii="Palatino Linotype" w:hAnsi="Palatino Linotype"/>
                <w:b/>
              </w:rPr>
            </w:pPr>
          </w:p>
          <w:p w:rsidR="00423457" w:rsidRDefault="00423457" w:rsidP="0085366E">
            <w:pPr>
              <w:jc w:val="center"/>
              <w:rPr>
                <w:rFonts w:ascii="Palatino Linotype" w:hAnsi="Palatino Linotype"/>
                <w:b/>
              </w:rPr>
            </w:pPr>
          </w:p>
          <w:p w:rsidR="00E538B2" w:rsidRDefault="00E538B2" w:rsidP="0085366E">
            <w:pPr>
              <w:jc w:val="center"/>
              <w:rPr>
                <w:rFonts w:ascii="Palatino Linotype" w:hAnsi="Palatino Linotype"/>
                <w:b/>
              </w:rPr>
            </w:pPr>
          </w:p>
          <w:p w:rsidR="00E538B2" w:rsidRDefault="00E538B2" w:rsidP="0085366E">
            <w:pPr>
              <w:jc w:val="center"/>
              <w:rPr>
                <w:rFonts w:ascii="Palatino Linotype" w:hAnsi="Palatino Linotype"/>
                <w:b/>
              </w:rPr>
            </w:pPr>
            <w:r>
              <w:rPr>
                <w:rFonts w:ascii="Palatino Linotype" w:hAnsi="Palatino Linotype" w:cs="Arial"/>
                <w:b/>
              </w:rPr>
              <w:t>Zulema Martínez Sánchez</w:t>
            </w:r>
          </w:p>
          <w:p w:rsidR="00E538B2" w:rsidRDefault="00E538B2" w:rsidP="0085366E">
            <w:pPr>
              <w:jc w:val="center"/>
              <w:rPr>
                <w:rFonts w:ascii="Palatino Linotype" w:hAnsi="Palatino Linotype"/>
              </w:rPr>
            </w:pPr>
            <w:r>
              <w:rPr>
                <w:rFonts w:ascii="Palatino Linotype" w:hAnsi="Palatino Linotype"/>
              </w:rPr>
              <w:t>Comisionada Presidenta</w:t>
            </w:r>
          </w:p>
          <w:p w:rsidR="00E538B2" w:rsidRDefault="00E538B2" w:rsidP="0085366E">
            <w:pPr>
              <w:jc w:val="center"/>
              <w:rPr>
                <w:rFonts w:ascii="Palatino Linotype" w:hAnsi="Palatino Linotype"/>
              </w:rPr>
            </w:pPr>
            <w:r>
              <w:rPr>
                <w:rFonts w:ascii="Palatino Linotype" w:hAnsi="Palatino Linotype"/>
              </w:rPr>
              <w:t>(Rúbrica)</w:t>
            </w:r>
          </w:p>
          <w:p w:rsidR="00E538B2" w:rsidRDefault="00E538B2" w:rsidP="0085366E">
            <w:pPr>
              <w:jc w:val="center"/>
              <w:rPr>
                <w:rFonts w:ascii="Palatino Linotype" w:hAnsi="Palatino Linotype"/>
              </w:rPr>
            </w:pPr>
          </w:p>
          <w:p w:rsidR="00A44648" w:rsidRDefault="00A44648" w:rsidP="0085366E">
            <w:pPr>
              <w:jc w:val="center"/>
              <w:rPr>
                <w:rFonts w:ascii="Palatino Linotype" w:hAnsi="Palatino Linotype"/>
              </w:rPr>
            </w:pPr>
          </w:p>
          <w:p w:rsidR="00423457" w:rsidRDefault="00423457" w:rsidP="0085366E">
            <w:pPr>
              <w:jc w:val="center"/>
              <w:rPr>
                <w:rFonts w:ascii="Palatino Linotype" w:hAnsi="Palatino Linotype"/>
              </w:rPr>
            </w:pPr>
          </w:p>
          <w:p w:rsidR="00E538B2" w:rsidRDefault="00E538B2" w:rsidP="0085366E">
            <w:pPr>
              <w:jc w:val="center"/>
              <w:rPr>
                <w:rFonts w:ascii="Palatino Linotype" w:hAnsi="Palatino Linotype"/>
              </w:rPr>
            </w:pPr>
          </w:p>
          <w:p w:rsidR="00423457" w:rsidRDefault="00423457" w:rsidP="0085366E">
            <w:pPr>
              <w:jc w:val="center"/>
              <w:rPr>
                <w:rFonts w:ascii="Palatino Linotype" w:hAnsi="Palatino Linotype"/>
              </w:rPr>
            </w:pPr>
          </w:p>
          <w:p w:rsidR="00E538B2" w:rsidRDefault="00E538B2" w:rsidP="0085366E">
            <w:pPr>
              <w:jc w:val="center"/>
              <w:rPr>
                <w:rFonts w:ascii="Palatino Linotype" w:hAnsi="Palatino Linotype"/>
              </w:rPr>
            </w:pPr>
          </w:p>
        </w:tc>
      </w:tr>
      <w:tr w:rsidR="00E538B2" w:rsidTr="0085366E">
        <w:trPr>
          <w:trHeight w:val="1833"/>
        </w:trPr>
        <w:tc>
          <w:tcPr>
            <w:tcW w:w="4419" w:type="dxa"/>
            <w:vAlign w:val="center"/>
          </w:tcPr>
          <w:p w:rsidR="00E538B2" w:rsidRDefault="00E538B2" w:rsidP="0085366E">
            <w:pPr>
              <w:jc w:val="center"/>
              <w:rPr>
                <w:rFonts w:ascii="Palatino Linotype" w:hAnsi="Palatino Linotype"/>
                <w:b/>
                <w:sz w:val="25"/>
                <w:szCs w:val="25"/>
              </w:rPr>
            </w:pPr>
            <w:r>
              <w:rPr>
                <w:rFonts w:ascii="Palatino Linotype" w:hAnsi="Palatino Linotype"/>
                <w:b/>
                <w:sz w:val="25"/>
                <w:szCs w:val="25"/>
              </w:rPr>
              <w:t>Eva Abaid Yapur</w:t>
            </w:r>
          </w:p>
          <w:p w:rsidR="00E538B2" w:rsidRDefault="00E538B2" w:rsidP="0085366E">
            <w:pPr>
              <w:jc w:val="center"/>
              <w:rPr>
                <w:rFonts w:ascii="Palatino Linotype" w:hAnsi="Palatino Linotype"/>
                <w:sz w:val="25"/>
                <w:szCs w:val="25"/>
              </w:rPr>
            </w:pPr>
            <w:r>
              <w:rPr>
                <w:rFonts w:ascii="Palatino Linotype" w:hAnsi="Palatino Linotype"/>
                <w:sz w:val="25"/>
                <w:szCs w:val="25"/>
              </w:rPr>
              <w:t>Comisionada</w:t>
            </w:r>
          </w:p>
          <w:p w:rsidR="00E538B2" w:rsidRDefault="00E538B2" w:rsidP="0085366E">
            <w:pPr>
              <w:jc w:val="center"/>
              <w:rPr>
                <w:rFonts w:ascii="Palatino Linotype" w:hAnsi="Palatino Linotype"/>
                <w:sz w:val="25"/>
                <w:szCs w:val="25"/>
              </w:rPr>
            </w:pPr>
            <w:r>
              <w:rPr>
                <w:rFonts w:ascii="Palatino Linotype" w:hAnsi="Palatino Linotype"/>
                <w:sz w:val="25"/>
                <w:szCs w:val="25"/>
              </w:rPr>
              <w:t>(Rúbrica)</w:t>
            </w:r>
          </w:p>
          <w:p w:rsidR="00E538B2" w:rsidRDefault="00E538B2" w:rsidP="0085366E">
            <w:pPr>
              <w:jc w:val="center"/>
              <w:rPr>
                <w:rFonts w:ascii="Palatino Linotype" w:hAnsi="Palatino Linotype"/>
                <w:sz w:val="25"/>
                <w:szCs w:val="25"/>
              </w:rPr>
            </w:pPr>
          </w:p>
          <w:p w:rsidR="00A44648" w:rsidRDefault="00A44648"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E538B2" w:rsidRDefault="00E538B2"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E538B2" w:rsidRDefault="00E538B2" w:rsidP="0085366E">
            <w:pPr>
              <w:jc w:val="center"/>
              <w:rPr>
                <w:rFonts w:ascii="Palatino Linotype" w:hAnsi="Palatino Linotype"/>
                <w:b/>
                <w:sz w:val="25"/>
                <w:szCs w:val="25"/>
              </w:rPr>
            </w:pPr>
            <w:r>
              <w:rPr>
                <w:rFonts w:ascii="Palatino Linotype" w:hAnsi="Palatino Linotype"/>
                <w:b/>
                <w:sz w:val="25"/>
                <w:szCs w:val="25"/>
              </w:rPr>
              <w:t>Javier Martínez Cruz</w:t>
            </w:r>
          </w:p>
          <w:p w:rsidR="00E538B2" w:rsidRDefault="00E538B2" w:rsidP="0085366E">
            <w:pPr>
              <w:jc w:val="center"/>
              <w:rPr>
                <w:rFonts w:ascii="Palatino Linotype" w:hAnsi="Palatino Linotype"/>
                <w:sz w:val="25"/>
                <w:szCs w:val="25"/>
              </w:rPr>
            </w:pPr>
            <w:r>
              <w:rPr>
                <w:rFonts w:ascii="Palatino Linotype" w:hAnsi="Palatino Linotype"/>
                <w:sz w:val="25"/>
                <w:szCs w:val="25"/>
              </w:rPr>
              <w:t>Comisionado</w:t>
            </w:r>
          </w:p>
          <w:p w:rsidR="00E538B2" w:rsidRDefault="00E538B2" w:rsidP="0085366E">
            <w:pPr>
              <w:jc w:val="center"/>
              <w:rPr>
                <w:rFonts w:ascii="Palatino Linotype" w:hAnsi="Palatino Linotype"/>
                <w:sz w:val="25"/>
                <w:szCs w:val="25"/>
              </w:rPr>
            </w:pPr>
            <w:r>
              <w:rPr>
                <w:rFonts w:ascii="Palatino Linotype" w:hAnsi="Palatino Linotype"/>
                <w:sz w:val="25"/>
                <w:szCs w:val="25"/>
              </w:rPr>
              <w:t>(Rúbrica)</w:t>
            </w:r>
          </w:p>
        </w:tc>
        <w:tc>
          <w:tcPr>
            <w:tcW w:w="4419" w:type="dxa"/>
            <w:vAlign w:val="center"/>
          </w:tcPr>
          <w:p w:rsidR="00E538B2" w:rsidRDefault="00E538B2" w:rsidP="0085366E">
            <w:pPr>
              <w:jc w:val="center"/>
              <w:rPr>
                <w:rFonts w:ascii="Palatino Linotype" w:hAnsi="Palatino Linotype"/>
                <w:b/>
                <w:sz w:val="25"/>
                <w:szCs w:val="25"/>
              </w:rPr>
            </w:pPr>
            <w:r>
              <w:rPr>
                <w:rFonts w:ascii="Palatino Linotype" w:hAnsi="Palatino Linotype" w:cs="Arial"/>
                <w:b/>
                <w:sz w:val="25"/>
                <w:szCs w:val="25"/>
              </w:rPr>
              <w:lastRenderedPageBreak/>
              <w:t>José Guadalupe Luna Hernández</w:t>
            </w:r>
          </w:p>
          <w:p w:rsidR="00E538B2" w:rsidRDefault="00E538B2" w:rsidP="0085366E">
            <w:pPr>
              <w:jc w:val="center"/>
              <w:rPr>
                <w:rFonts w:ascii="Palatino Linotype" w:hAnsi="Palatino Linotype"/>
                <w:sz w:val="25"/>
                <w:szCs w:val="25"/>
              </w:rPr>
            </w:pPr>
            <w:r>
              <w:rPr>
                <w:rFonts w:ascii="Palatino Linotype" w:hAnsi="Palatino Linotype"/>
                <w:sz w:val="25"/>
                <w:szCs w:val="25"/>
              </w:rPr>
              <w:t>Comisionado</w:t>
            </w:r>
          </w:p>
          <w:p w:rsidR="00E538B2" w:rsidRDefault="00E538B2" w:rsidP="0085366E">
            <w:pPr>
              <w:jc w:val="center"/>
              <w:rPr>
                <w:rFonts w:ascii="Palatino Linotype" w:hAnsi="Palatino Linotype"/>
                <w:sz w:val="25"/>
                <w:szCs w:val="25"/>
              </w:rPr>
            </w:pPr>
            <w:r>
              <w:rPr>
                <w:rFonts w:ascii="Palatino Linotype" w:hAnsi="Palatino Linotype"/>
                <w:sz w:val="25"/>
                <w:szCs w:val="25"/>
              </w:rPr>
              <w:t>(Rúbrica)</w:t>
            </w:r>
          </w:p>
          <w:p w:rsidR="00A44648" w:rsidRDefault="00A44648" w:rsidP="0085366E">
            <w:pPr>
              <w:jc w:val="center"/>
              <w:rPr>
                <w:rFonts w:ascii="Palatino Linotype" w:hAnsi="Palatino Linotype"/>
                <w:sz w:val="25"/>
                <w:szCs w:val="25"/>
              </w:rPr>
            </w:pPr>
          </w:p>
          <w:p w:rsidR="00A44648" w:rsidRDefault="00A44648" w:rsidP="0085366E">
            <w:pPr>
              <w:jc w:val="center"/>
              <w:rPr>
                <w:rFonts w:ascii="Palatino Linotype" w:hAnsi="Palatino Linotype"/>
                <w:sz w:val="25"/>
                <w:szCs w:val="25"/>
              </w:rPr>
            </w:pPr>
          </w:p>
          <w:p w:rsidR="00E538B2" w:rsidRDefault="00E538B2"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423457" w:rsidRDefault="00423457" w:rsidP="0085366E">
            <w:pPr>
              <w:jc w:val="center"/>
              <w:rPr>
                <w:rFonts w:ascii="Palatino Linotype" w:hAnsi="Palatino Linotype"/>
                <w:sz w:val="25"/>
                <w:szCs w:val="25"/>
              </w:rPr>
            </w:pPr>
          </w:p>
          <w:p w:rsidR="00E538B2" w:rsidRDefault="00E538B2" w:rsidP="0085366E">
            <w:pPr>
              <w:jc w:val="center"/>
              <w:rPr>
                <w:rFonts w:ascii="Palatino Linotype" w:hAnsi="Palatino Linotype"/>
                <w:b/>
                <w:sz w:val="25"/>
                <w:szCs w:val="25"/>
              </w:rPr>
            </w:pPr>
            <w:r>
              <w:rPr>
                <w:rFonts w:ascii="Palatino Linotype" w:hAnsi="Palatino Linotype"/>
                <w:b/>
                <w:sz w:val="25"/>
                <w:szCs w:val="25"/>
              </w:rPr>
              <w:t>Luis Gustavo Parra Noriega</w:t>
            </w:r>
          </w:p>
          <w:p w:rsidR="00E538B2" w:rsidRDefault="00E538B2" w:rsidP="0085366E">
            <w:pPr>
              <w:jc w:val="center"/>
              <w:rPr>
                <w:rFonts w:ascii="Palatino Linotype" w:hAnsi="Palatino Linotype"/>
                <w:sz w:val="25"/>
                <w:szCs w:val="25"/>
              </w:rPr>
            </w:pPr>
            <w:r>
              <w:rPr>
                <w:rFonts w:ascii="Palatino Linotype" w:hAnsi="Palatino Linotype"/>
                <w:sz w:val="25"/>
                <w:szCs w:val="25"/>
              </w:rPr>
              <w:t>Comisionado</w:t>
            </w:r>
          </w:p>
          <w:p w:rsidR="00E538B2" w:rsidRDefault="0086718E" w:rsidP="0085366E">
            <w:pPr>
              <w:jc w:val="center"/>
              <w:rPr>
                <w:rFonts w:ascii="Palatino Linotype" w:hAnsi="Palatino Linotype"/>
                <w:sz w:val="25"/>
                <w:szCs w:val="25"/>
              </w:rPr>
            </w:pPr>
            <w:r>
              <w:rPr>
                <w:rFonts w:ascii="Palatino Linotype" w:hAnsi="Palatino Linotype"/>
                <w:sz w:val="25"/>
                <w:szCs w:val="25"/>
              </w:rPr>
              <w:t>(Rúbrica</w:t>
            </w:r>
            <w:r w:rsidR="00E538B2">
              <w:rPr>
                <w:rFonts w:ascii="Palatino Linotype" w:hAnsi="Palatino Linotype"/>
                <w:sz w:val="25"/>
                <w:szCs w:val="25"/>
              </w:rPr>
              <w:t>)</w:t>
            </w:r>
          </w:p>
        </w:tc>
      </w:tr>
      <w:tr w:rsidR="00E538B2" w:rsidTr="0085366E">
        <w:trPr>
          <w:trHeight w:val="776"/>
        </w:trPr>
        <w:tc>
          <w:tcPr>
            <w:tcW w:w="8838" w:type="dxa"/>
            <w:gridSpan w:val="2"/>
          </w:tcPr>
          <w:p w:rsidR="00E538B2" w:rsidRDefault="00E538B2" w:rsidP="0085366E">
            <w:pPr>
              <w:jc w:val="center"/>
              <w:rPr>
                <w:rFonts w:ascii="Palatino Linotype" w:hAnsi="Palatino Linotype" w:cs="Arial"/>
                <w:b/>
              </w:rPr>
            </w:pPr>
          </w:p>
          <w:p w:rsidR="00E538B2" w:rsidRDefault="00E538B2" w:rsidP="0085366E">
            <w:pPr>
              <w:jc w:val="center"/>
              <w:rPr>
                <w:rFonts w:ascii="Palatino Linotype" w:hAnsi="Palatino Linotype" w:cs="Arial"/>
                <w:b/>
              </w:rPr>
            </w:pPr>
          </w:p>
          <w:p w:rsidR="00423457" w:rsidRDefault="00423457" w:rsidP="0085366E">
            <w:pPr>
              <w:jc w:val="center"/>
              <w:rPr>
                <w:rFonts w:ascii="Palatino Linotype" w:hAnsi="Palatino Linotype" w:cs="Arial"/>
                <w:b/>
              </w:rPr>
            </w:pPr>
          </w:p>
          <w:p w:rsidR="00E538B2" w:rsidRDefault="00E538B2" w:rsidP="0085366E">
            <w:pPr>
              <w:jc w:val="center"/>
              <w:rPr>
                <w:rFonts w:ascii="Palatino Linotype" w:hAnsi="Palatino Linotype" w:cs="Arial"/>
                <w:b/>
              </w:rPr>
            </w:pPr>
          </w:p>
          <w:p w:rsidR="00423457" w:rsidRDefault="00423457" w:rsidP="0085366E">
            <w:pPr>
              <w:jc w:val="center"/>
              <w:rPr>
                <w:rFonts w:ascii="Palatino Linotype" w:hAnsi="Palatino Linotype" w:cs="Arial"/>
                <w:b/>
              </w:rPr>
            </w:pPr>
          </w:p>
          <w:p w:rsidR="00E538B2" w:rsidRDefault="00E538B2" w:rsidP="0085366E">
            <w:pPr>
              <w:jc w:val="center"/>
              <w:rPr>
                <w:rFonts w:ascii="Palatino Linotype" w:hAnsi="Palatino Linotype"/>
                <w:b/>
              </w:rPr>
            </w:pPr>
            <w:r>
              <w:rPr>
                <w:rFonts w:ascii="Palatino Linotype" w:hAnsi="Palatino Linotype" w:cs="Arial"/>
                <w:b/>
              </w:rPr>
              <w:t>Alexis Tapia Ramírez</w:t>
            </w:r>
          </w:p>
          <w:p w:rsidR="00E538B2" w:rsidRDefault="00E538B2" w:rsidP="0085366E">
            <w:pPr>
              <w:jc w:val="center"/>
              <w:rPr>
                <w:rFonts w:ascii="Palatino Linotype" w:hAnsi="Palatino Linotype"/>
              </w:rPr>
            </w:pPr>
            <w:r>
              <w:rPr>
                <w:rFonts w:ascii="Palatino Linotype" w:hAnsi="Palatino Linotype"/>
              </w:rPr>
              <w:t>Secretario Técnico del Pleno</w:t>
            </w:r>
          </w:p>
          <w:p w:rsidR="00E538B2" w:rsidRDefault="00E538B2" w:rsidP="0085366E">
            <w:pPr>
              <w:jc w:val="center"/>
              <w:rPr>
                <w:rFonts w:ascii="Palatino Linotype" w:hAnsi="Palatino Linotype"/>
              </w:rPr>
            </w:pPr>
            <w:r>
              <w:rPr>
                <w:rFonts w:ascii="Palatino Linotype" w:hAnsi="Palatino Linotype"/>
              </w:rPr>
              <w:t xml:space="preserve">(Rúbrica) </w:t>
            </w:r>
          </w:p>
          <w:p w:rsidR="00E538B2" w:rsidRDefault="00E538B2" w:rsidP="0085366E">
            <w:pPr>
              <w:jc w:val="center"/>
              <w:rPr>
                <w:rFonts w:ascii="Palatino Linotype" w:hAnsi="Palatino Linotype"/>
              </w:rPr>
            </w:pPr>
          </w:p>
        </w:tc>
      </w:tr>
    </w:tbl>
    <w:p w:rsidR="00E538B2" w:rsidRPr="00080788" w:rsidRDefault="00E538B2" w:rsidP="00E538B2">
      <w:pPr>
        <w:jc w:val="both"/>
        <w:rPr>
          <w:rFonts w:ascii="Palatino Linotype" w:hAnsi="Palatino Linotype"/>
        </w:rPr>
      </w:pPr>
      <w:r>
        <w:rPr>
          <w:rFonts w:ascii="Palatino Linotype" w:hAnsi="Palatino Linotype" w:cs="Arial"/>
          <w:sz w:val="18"/>
        </w:rPr>
        <w:t>Esta hoja correspond</w:t>
      </w:r>
      <w:r w:rsidR="009A6B38">
        <w:rPr>
          <w:rFonts w:ascii="Palatino Linotype" w:hAnsi="Palatino Linotype" w:cs="Arial"/>
          <w:sz w:val="18"/>
        </w:rPr>
        <w:t>e a la resolución del veintisiete de febrero</w:t>
      </w:r>
      <w:r>
        <w:rPr>
          <w:rFonts w:ascii="Palatino Linotype" w:hAnsi="Palatino Linotype" w:cs="Arial"/>
          <w:sz w:val="18"/>
        </w:rPr>
        <w:t xml:space="preserve"> de dos mil diecinueve, emitida en el recurso de revisión </w:t>
      </w:r>
      <w:r w:rsidR="0086718E">
        <w:rPr>
          <w:rFonts w:ascii="Palatino Linotype" w:hAnsi="Palatino Linotype"/>
          <w:b/>
          <w:sz w:val="18"/>
          <w:szCs w:val="18"/>
          <w:lang w:val="es-ES_tradnl"/>
        </w:rPr>
        <w:t>04739</w:t>
      </w:r>
      <w:r>
        <w:rPr>
          <w:rFonts w:ascii="Palatino Linotype" w:hAnsi="Palatino Linotype"/>
          <w:b/>
          <w:sz w:val="18"/>
          <w:szCs w:val="18"/>
          <w:lang w:val="es-ES_tradnl"/>
        </w:rPr>
        <w:t>/INFOEM/IP/RR/2018</w:t>
      </w:r>
      <w:r>
        <w:rPr>
          <w:rFonts w:ascii="Palatino Linotype" w:hAnsi="Palatino Linotype" w:cs="Arial"/>
          <w:sz w:val="18"/>
          <w:szCs w:val="18"/>
        </w:rPr>
        <w:t>.</w:t>
      </w:r>
    </w:p>
    <w:p w:rsidR="00AC3C64" w:rsidRDefault="00AC3C64" w:rsidP="00E538B2">
      <w:pPr>
        <w:pStyle w:val="paragraph"/>
        <w:spacing w:before="0" w:beforeAutospacing="0" w:after="240" w:afterAutospacing="0" w:line="360" w:lineRule="auto"/>
        <w:ind w:right="-150"/>
        <w:jc w:val="both"/>
        <w:textAlignment w:val="baseline"/>
        <w:rPr>
          <w:rFonts w:ascii="Palatino Linotype" w:hAnsi="Palatino Linotype" w:cs="Arial"/>
          <w:sz w:val="20"/>
        </w:rPr>
      </w:pPr>
    </w:p>
    <w:sectPr w:rsidR="00AC3C64" w:rsidSect="00CA6FB7">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D91" w:rsidRDefault="00214D91" w:rsidP="00AC3C64">
      <w:r>
        <w:separator/>
      </w:r>
    </w:p>
  </w:endnote>
  <w:endnote w:type="continuationSeparator" w:id="0">
    <w:p w:rsidR="00214D91" w:rsidRDefault="00214D91"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5F" w:rsidRDefault="00A2555F"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1254">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1254">
      <w:rPr>
        <w:rFonts w:ascii="Arial" w:hAnsi="Arial" w:cs="Arial"/>
        <w:b/>
        <w:bCs/>
        <w:noProof/>
        <w:sz w:val="20"/>
        <w:szCs w:val="20"/>
      </w:rPr>
      <w:t>20</w:t>
    </w:r>
    <w:r>
      <w:rPr>
        <w:rFonts w:ascii="Arial" w:hAnsi="Arial" w:cs="Arial"/>
        <w:b/>
        <w:bCs/>
        <w:sz w:val="20"/>
        <w:szCs w:val="20"/>
      </w:rPr>
      <w:fldChar w:fldCharType="end"/>
    </w:r>
  </w:p>
  <w:p w:rsidR="00A2555F" w:rsidRDefault="00A2555F" w:rsidP="00CA6FB7">
    <w:pPr>
      <w:pStyle w:val="Piedepgina"/>
      <w:rPr>
        <w:rFonts w:ascii="Times New Roman" w:hAnsi="Times New Roman" w:cs="Times New Roman"/>
      </w:rPr>
    </w:pPr>
  </w:p>
  <w:p w:rsidR="00A2555F" w:rsidRDefault="00A2555F"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5F" w:rsidRDefault="00A2555F"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E125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E1254">
      <w:rPr>
        <w:rFonts w:ascii="Arial" w:hAnsi="Arial" w:cs="Arial"/>
        <w:b/>
        <w:bCs/>
        <w:noProof/>
        <w:sz w:val="20"/>
        <w:szCs w:val="20"/>
      </w:rPr>
      <w:t>20</w:t>
    </w:r>
    <w:r>
      <w:rPr>
        <w:rFonts w:ascii="Arial" w:hAnsi="Arial" w:cs="Arial"/>
        <w:b/>
        <w:bCs/>
        <w:sz w:val="20"/>
        <w:szCs w:val="20"/>
      </w:rPr>
      <w:fldChar w:fldCharType="end"/>
    </w:r>
  </w:p>
  <w:p w:rsidR="00A2555F" w:rsidRDefault="00A255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D91" w:rsidRDefault="00214D91" w:rsidP="00AC3C64">
      <w:r>
        <w:separator/>
      </w:r>
    </w:p>
  </w:footnote>
  <w:footnote w:type="continuationSeparator" w:id="0">
    <w:p w:rsidR="00214D91" w:rsidRDefault="00214D91" w:rsidP="00AC3C64">
      <w:r>
        <w:continuationSeparator/>
      </w:r>
    </w:p>
  </w:footnote>
  <w:footnote w:id="1">
    <w:p w:rsidR="00A2555F" w:rsidRPr="0085366E" w:rsidRDefault="00A2555F" w:rsidP="0085366E">
      <w:pPr>
        <w:autoSpaceDE w:val="0"/>
        <w:autoSpaceDN w:val="0"/>
        <w:adjustRightInd w:val="0"/>
        <w:jc w:val="both"/>
        <w:rPr>
          <w:rFonts w:ascii="Palatino Linotype" w:eastAsiaTheme="minorEastAsia" w:hAnsi="Palatino Linotype" w:cs="Arial"/>
          <w:sz w:val="16"/>
          <w:szCs w:val="16"/>
          <w:lang w:val="es-MX" w:eastAsia="es-MX"/>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eastAsiaTheme="minorEastAsia" w:hAnsi="Palatino Linotype" w:cs="Arial"/>
          <w:sz w:val="16"/>
          <w:szCs w:val="16"/>
          <w:lang w:val="es-MX" w:eastAsia="es-MX"/>
        </w:rPr>
        <w:t>BURGOA ORIHUELA Ignacio. Diccionario De Derecho Constitucional, Garantías y Amparo. Ed. Porrúa, S.A., México. 1992, p.115.</w:t>
      </w:r>
    </w:p>
  </w:footnote>
  <w:footnote w:id="2">
    <w:p w:rsidR="00A2555F" w:rsidRPr="0085366E" w:rsidRDefault="00A2555F" w:rsidP="0085366E">
      <w:pPr>
        <w:autoSpaceDE w:val="0"/>
        <w:autoSpaceDN w:val="0"/>
        <w:adjustRightInd w:val="0"/>
        <w:jc w:val="both"/>
        <w:rPr>
          <w:rFonts w:ascii="Palatino Linotype" w:eastAsiaTheme="minorEastAsia" w:hAnsi="Palatino Linotype" w:cs="Arial"/>
          <w:sz w:val="16"/>
          <w:szCs w:val="16"/>
          <w:lang w:val="es-MX" w:eastAsia="es-MX"/>
        </w:rPr>
      </w:pPr>
      <w:r w:rsidRPr="0085366E">
        <w:rPr>
          <w:rFonts w:ascii="Palatino Linotype" w:eastAsiaTheme="minorEastAsia" w:hAnsi="Palatino Linotype"/>
          <w:sz w:val="16"/>
          <w:szCs w:val="16"/>
          <w:lang w:val="es-MX" w:eastAsia="es-MX"/>
        </w:rPr>
        <w:footnoteRef/>
      </w:r>
      <w:r w:rsidRPr="0085366E">
        <w:rPr>
          <w:rFonts w:ascii="Palatino Linotype" w:eastAsiaTheme="minorEastAsia" w:hAnsi="Palatino Linotype" w:cs="Arial"/>
          <w:sz w:val="16"/>
          <w:szCs w:val="16"/>
          <w:lang w:val="es-MX" w:eastAsia="es-MX"/>
        </w:rPr>
        <w:t xml:space="preserve"> CIENFUEGOS SALGADO David. El Derecho de Petición en México. Ed. Instituto de Investigaciones Jurídica UNAM. México 2004. p. 31</w:t>
      </w:r>
    </w:p>
  </w:footnote>
  <w:footnote w:id="3">
    <w:p w:rsidR="00A2555F" w:rsidRPr="0085366E" w:rsidRDefault="00A2555F" w:rsidP="0085366E">
      <w:pPr>
        <w:spacing w:before="240" w:after="240"/>
        <w:contextualSpacing/>
        <w:jc w:val="both"/>
        <w:rPr>
          <w:rFonts w:ascii="Palatino Linotype" w:hAnsi="Palatino Linotype" w:cs="Arial"/>
          <w:sz w:val="16"/>
          <w:szCs w:val="16"/>
        </w:rPr>
      </w:pPr>
      <w:r w:rsidRPr="0085366E">
        <w:rPr>
          <w:rStyle w:val="Refdenotaalpie"/>
          <w:rFonts w:ascii="Palatino Linotype" w:hAnsi="Palatino Linotype"/>
          <w:sz w:val="16"/>
          <w:szCs w:val="16"/>
        </w:rPr>
        <w:footnoteRef/>
      </w:r>
      <w:r w:rsidRPr="0085366E">
        <w:rPr>
          <w:rFonts w:ascii="Palatino Linotype" w:hAnsi="Palatino Linotype"/>
          <w:sz w:val="16"/>
          <w:szCs w:val="16"/>
        </w:rPr>
        <w:t xml:space="preserve"> </w:t>
      </w:r>
      <w:r w:rsidRPr="0085366E">
        <w:rPr>
          <w:rFonts w:ascii="Palatino Linotype" w:hAnsi="Palatino Linotype" w:cs="Arial"/>
          <w:sz w:val="16"/>
          <w:szCs w:val="16"/>
        </w:rPr>
        <w:t>Carbonell, M. (2004). Los Derechos Fundamentales (Primera Edición ed.), México: Instituto de investigaciones Jurídicas.</w:t>
      </w:r>
    </w:p>
  </w:footnote>
  <w:footnote w:id="4">
    <w:p w:rsidR="00A2555F" w:rsidRPr="003E7E06" w:rsidRDefault="00A2555F" w:rsidP="003E7E06">
      <w:pPr>
        <w:pStyle w:val="Textoindependiente"/>
        <w:kinsoku w:val="0"/>
        <w:overflowPunct w:val="0"/>
        <w:spacing w:line="198" w:lineRule="exact"/>
        <w:rPr>
          <w:rFonts w:ascii="Palatino Linotype" w:hAnsi="Palatino Linotype"/>
          <w:sz w:val="16"/>
          <w:szCs w:val="16"/>
        </w:rPr>
      </w:pPr>
      <w:r>
        <w:rPr>
          <w:rStyle w:val="Refdenotaalpie"/>
        </w:rPr>
        <w:footnoteRef/>
      </w:r>
      <w:r>
        <w:t xml:space="preserve"> </w:t>
      </w:r>
      <w:r w:rsidRPr="003E7E06">
        <w:rPr>
          <w:rFonts w:ascii="Palatino Linotype" w:hAnsi="Palatino Linotype"/>
          <w:sz w:val="16"/>
          <w:szCs w:val="16"/>
        </w:rPr>
        <w:t xml:space="preserve">VILLANUEVA </w:t>
      </w:r>
      <w:proofErr w:type="spellStart"/>
      <w:r w:rsidRPr="003E7E06">
        <w:rPr>
          <w:rFonts w:ascii="Palatino Linotype" w:hAnsi="Palatino Linotype"/>
          <w:sz w:val="16"/>
          <w:szCs w:val="16"/>
        </w:rPr>
        <w:t>VILLANUEVA</w:t>
      </w:r>
      <w:proofErr w:type="spellEnd"/>
      <w:r w:rsidRPr="003E7E06">
        <w:rPr>
          <w:rFonts w:ascii="Palatino Linotype" w:hAnsi="Palatino Linotype"/>
          <w:sz w:val="16"/>
          <w:szCs w:val="16"/>
        </w:rPr>
        <w:t xml:space="preserve"> Ernesto, Derecho de la Información, Ed, Porrúa S.A., México.</w:t>
      </w:r>
      <w:r w:rsidRPr="003E7E06">
        <w:rPr>
          <w:rFonts w:ascii="Palatino Linotype" w:hAnsi="Palatino Linotype"/>
          <w:spacing w:val="6"/>
          <w:sz w:val="16"/>
          <w:szCs w:val="16"/>
        </w:rPr>
        <w:t xml:space="preserve"> </w:t>
      </w:r>
      <w:r w:rsidRPr="003E7E06">
        <w:rPr>
          <w:rFonts w:ascii="Palatino Linotype" w:hAnsi="Palatino Linotype"/>
          <w:sz w:val="16"/>
          <w:szCs w:val="16"/>
        </w:rPr>
        <w:t xml:space="preserve">2006, </w:t>
      </w:r>
      <w:r>
        <w:rPr>
          <w:rFonts w:ascii="Palatino Linotype" w:hAnsi="Palatino Linotype"/>
          <w:sz w:val="16"/>
          <w:szCs w:val="16"/>
        </w:rPr>
        <w:t>pág.270.</w:t>
      </w:r>
    </w:p>
  </w:footnote>
  <w:footnote w:id="5">
    <w:p w:rsidR="00A2555F" w:rsidRPr="003E7E06" w:rsidRDefault="00A2555F" w:rsidP="003E7E06">
      <w:pPr>
        <w:pStyle w:val="Textoindependiente"/>
        <w:kinsoku w:val="0"/>
        <w:overflowPunct w:val="0"/>
        <w:ind w:left="0" w:right="96"/>
        <w:contextualSpacing/>
        <w:jc w:val="both"/>
        <w:rPr>
          <w:rFonts w:ascii="Palatino Linotype" w:hAnsi="Palatino Linotype" w:cs="Arial"/>
          <w:sz w:val="16"/>
          <w:szCs w:val="16"/>
        </w:rPr>
      </w:pPr>
      <w:r>
        <w:rPr>
          <w:rStyle w:val="Refdenotaalpie"/>
        </w:rPr>
        <w:footnoteRef/>
      </w:r>
      <w:r>
        <w:t xml:space="preserve"> </w:t>
      </w:r>
      <w:r w:rsidRPr="003E7E06">
        <w:rPr>
          <w:rFonts w:ascii="Palatino Linotype" w:hAnsi="Palatino Linotype" w:cs="Arial"/>
          <w:sz w:val="16"/>
          <w:szCs w:val="16"/>
        </w:rPr>
        <w:t xml:space="preserve">ROBLES HERNÁNDEZ José Guadalupe. Derecho de la Información y Comunicación Pública. </w:t>
      </w:r>
      <w:proofErr w:type="spellStart"/>
      <w:r w:rsidRPr="003E7E06">
        <w:rPr>
          <w:rFonts w:ascii="Palatino Linotype" w:hAnsi="Palatino Linotype" w:cs="Arial"/>
          <w:sz w:val="16"/>
          <w:szCs w:val="16"/>
        </w:rPr>
        <w:t>Ed.Universidad</w:t>
      </w:r>
      <w:proofErr w:type="spellEnd"/>
      <w:r w:rsidRPr="003E7E06">
        <w:rPr>
          <w:rFonts w:ascii="Palatino Linotype" w:hAnsi="Palatino Linotype" w:cs="Arial"/>
          <w:sz w:val="16"/>
          <w:szCs w:val="16"/>
        </w:rPr>
        <w:t xml:space="preserve"> de Occidente de México, 2004, pág.72.</w:t>
      </w:r>
    </w:p>
  </w:footnote>
  <w:footnote w:id="6">
    <w:p w:rsidR="00A2555F" w:rsidRDefault="00A2555F" w:rsidP="00E538B2">
      <w:pPr>
        <w:pStyle w:val="Textonotapie"/>
        <w:spacing w:before="120" w:after="120"/>
        <w:jc w:val="both"/>
        <w:rPr>
          <w:rFonts w:ascii="Palatino Linotype" w:hAnsi="Palatino Linotype"/>
          <w:color w:val="000000"/>
          <w:sz w:val="18"/>
          <w:szCs w:val="18"/>
          <w:shd w:val="clear" w:color="auto" w:fill="FFFFFF"/>
        </w:rPr>
      </w:pPr>
      <w:r>
        <w:rPr>
          <w:rStyle w:val="Refdenotaalpie"/>
          <w:rFonts w:ascii="Palatino Linotype" w:hAnsi="Palatino Linotype"/>
        </w:rPr>
        <w:footnoteRef/>
      </w:r>
      <w:r>
        <w:rPr>
          <w:rFonts w:ascii="Palatino Linotype" w:hAnsi="Palatino Linotype"/>
          <w:sz w:val="18"/>
          <w:szCs w:val="18"/>
        </w:rPr>
        <w:t xml:space="preserve"> </w:t>
      </w:r>
      <w:r>
        <w:rPr>
          <w:rFonts w:ascii="Palatino Linotype" w:hAnsi="Palatino Linotype"/>
          <w:b/>
          <w:sz w:val="18"/>
          <w:szCs w:val="18"/>
        </w:rPr>
        <w:t>Localización</w:t>
      </w:r>
      <w:r>
        <w:rPr>
          <w:rFonts w:ascii="Palatino Linotype" w:hAnsi="Palatino Linotype"/>
          <w:sz w:val="18"/>
          <w:szCs w:val="18"/>
        </w:rPr>
        <w:t>: 2</w:t>
      </w:r>
      <w:r>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rsidR="00A2555F" w:rsidRDefault="00A2555F" w:rsidP="00E538B2">
      <w:pPr>
        <w:pStyle w:val="Textonotapie"/>
        <w:spacing w:before="120" w:after="120"/>
        <w:jc w:val="both"/>
        <w:rPr>
          <w:rFonts w:ascii="Palatino Linotype" w:hAnsi="Palatino Linotype"/>
          <w:sz w:val="19"/>
          <w:szCs w:val="19"/>
        </w:rPr>
      </w:pPr>
      <w:r>
        <w:rPr>
          <w:rFonts w:ascii="Palatino Linotype" w:hAnsi="Palatino Linotype"/>
          <w:b/>
          <w:sz w:val="18"/>
          <w:szCs w:val="18"/>
        </w:rPr>
        <w:t>Cuerpo de tesis:</w:t>
      </w:r>
      <w:r>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7">
    <w:p w:rsidR="00A2555F" w:rsidRDefault="00A2555F" w:rsidP="00E538B2">
      <w:pPr>
        <w:pStyle w:val="Textonotapie"/>
        <w:jc w:val="both"/>
        <w:rPr>
          <w:rFonts w:ascii="Palatino Linotype" w:hAnsi="Palatino Linotype"/>
          <w:sz w:val="19"/>
          <w:szCs w:val="19"/>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b/>
          <w:sz w:val="19"/>
          <w:szCs w:val="19"/>
        </w:rPr>
        <w:t>Cuerpo de la tesis</w:t>
      </w:r>
      <w:r>
        <w:rPr>
          <w:rFonts w:ascii="Palatino Linotype" w:hAnsi="Palatino Linotype"/>
          <w:sz w:val="19"/>
          <w:szCs w:val="19"/>
        </w:rPr>
        <w:t xml:space="preserve">: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hAnsi="Palatino Linotype"/>
          <w:sz w:val="19"/>
          <w:szCs w:val="19"/>
        </w:rPr>
        <w:t>promovente</w:t>
      </w:r>
      <w:proofErr w:type="spellEnd"/>
      <w:r>
        <w:rPr>
          <w:rFonts w:ascii="Palatino Linotype" w:hAnsi="Palatino Linotype"/>
          <w:sz w:val="19"/>
          <w:szCs w:val="19"/>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A2555F" w:rsidTr="00CA6FB7">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rsidR="00A2555F" w:rsidRDefault="008430A4" w:rsidP="00CA6FB7">
          <w:pPr>
            <w:jc w:val="both"/>
            <w:rPr>
              <w:rFonts w:ascii="Palatino Linotype" w:hAnsi="Palatino Linotype"/>
              <w:b/>
              <w:sz w:val="22"/>
              <w:szCs w:val="22"/>
              <w:lang w:val="es-ES_tradnl"/>
            </w:rPr>
          </w:pPr>
          <w:r>
            <w:rPr>
              <w:rFonts w:ascii="Palatino Linotype" w:hAnsi="Palatino Linotype"/>
              <w:b/>
              <w:sz w:val="22"/>
              <w:szCs w:val="22"/>
              <w:lang w:val="es-ES_tradnl"/>
            </w:rPr>
            <w:t>04739</w:t>
          </w:r>
          <w:r w:rsidR="00A2555F">
            <w:rPr>
              <w:rFonts w:ascii="Palatino Linotype" w:hAnsi="Palatino Linotype"/>
              <w:b/>
              <w:sz w:val="22"/>
              <w:szCs w:val="22"/>
              <w:lang w:val="es-ES_tradnl"/>
            </w:rPr>
            <w:t>/INFOEM/IP/RR/2018</w:t>
          </w:r>
        </w:p>
      </w:tc>
    </w:tr>
    <w:tr w:rsidR="00A2555F" w:rsidTr="00CA6FB7">
      <w:trPr>
        <w:trHeight w:val="228"/>
      </w:trPr>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rsidR="00A2555F" w:rsidRDefault="008430A4" w:rsidP="004560B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A2555F" w:rsidTr="00CA6FB7">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rsidR="00A2555F" w:rsidRDefault="00A2555F"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555F" w:rsidRDefault="00A2555F" w:rsidP="00CA6FB7">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55F" w:rsidRDefault="00A2555F" w:rsidP="00CA6FB7">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A2555F" w:rsidTr="00CA6FB7">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A2555F" w:rsidRDefault="00A2555F" w:rsidP="00CA6FB7">
          <w:pPr>
            <w:jc w:val="both"/>
            <w:rPr>
              <w:rFonts w:ascii="Palatino Linotype" w:hAnsi="Palatino Linotype"/>
              <w:b/>
              <w:sz w:val="22"/>
              <w:szCs w:val="22"/>
              <w:lang w:val="es-ES_tradnl"/>
            </w:rPr>
          </w:pPr>
          <w:r>
            <w:rPr>
              <w:rFonts w:ascii="Palatino Linotype" w:hAnsi="Palatino Linotype"/>
              <w:b/>
              <w:sz w:val="22"/>
              <w:szCs w:val="22"/>
              <w:lang w:val="es-ES_tradnl"/>
            </w:rPr>
            <w:t xml:space="preserve">04739/INFOEM/IP/RR/2018 </w:t>
          </w:r>
        </w:p>
      </w:tc>
    </w:tr>
    <w:tr w:rsidR="00A2555F" w:rsidTr="00CA6FB7">
      <w:tc>
        <w:tcPr>
          <w:tcW w:w="2551" w:type="dxa"/>
          <w:vAlign w:val="center"/>
          <w:hideMark/>
        </w:tcPr>
        <w:p w:rsidR="00A2555F" w:rsidRDefault="00A2555F"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A2555F" w:rsidRDefault="00BE1254" w:rsidP="00CA6FB7">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A2555F">
            <w:rPr>
              <w:rFonts w:ascii="Palatino Linotype" w:hAnsi="Palatino Linotype"/>
              <w:b/>
              <w:sz w:val="22"/>
              <w:szCs w:val="22"/>
              <w:lang w:val="es-ES_tradnl"/>
            </w:rPr>
            <w:t>.</w:t>
          </w:r>
        </w:p>
      </w:tc>
    </w:tr>
    <w:tr w:rsidR="00A2555F" w:rsidTr="00CA6FB7">
      <w:trPr>
        <w:trHeight w:val="228"/>
      </w:trPr>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A2555F" w:rsidRDefault="00A2555F" w:rsidP="003823C8">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A2555F" w:rsidTr="00CA6FB7">
      <w:tc>
        <w:tcPr>
          <w:tcW w:w="2551" w:type="dxa"/>
          <w:vAlign w:val="center"/>
          <w:hideMark/>
        </w:tcPr>
        <w:p w:rsidR="00A2555F" w:rsidRDefault="00A2555F" w:rsidP="00CA6FB7">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A2555F" w:rsidRDefault="00A2555F"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2555F" w:rsidRDefault="00A2555F"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1ED4EC3"/>
    <w:multiLevelType w:val="hybridMultilevel"/>
    <w:tmpl w:val="CB1698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2F59A3"/>
    <w:multiLevelType w:val="hybridMultilevel"/>
    <w:tmpl w:val="F1AE30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106E0"/>
    <w:rsid w:val="000111CC"/>
    <w:rsid w:val="00023058"/>
    <w:rsid w:val="000231D0"/>
    <w:rsid w:val="00035D2D"/>
    <w:rsid w:val="000469AE"/>
    <w:rsid w:val="00061572"/>
    <w:rsid w:val="00072286"/>
    <w:rsid w:val="000756A1"/>
    <w:rsid w:val="00075746"/>
    <w:rsid w:val="00095AB1"/>
    <w:rsid w:val="000A673D"/>
    <w:rsid w:val="000D15BE"/>
    <w:rsid w:val="000F2EA0"/>
    <w:rsid w:val="001013A9"/>
    <w:rsid w:val="001118AA"/>
    <w:rsid w:val="0013325C"/>
    <w:rsid w:val="00146FFB"/>
    <w:rsid w:val="00153F55"/>
    <w:rsid w:val="00156F39"/>
    <w:rsid w:val="00170894"/>
    <w:rsid w:val="001725ED"/>
    <w:rsid w:val="00174388"/>
    <w:rsid w:val="00180662"/>
    <w:rsid w:val="001933A6"/>
    <w:rsid w:val="001A4B0E"/>
    <w:rsid w:val="001B6476"/>
    <w:rsid w:val="001C4714"/>
    <w:rsid w:val="001D1499"/>
    <w:rsid w:val="001D6D81"/>
    <w:rsid w:val="00212FA3"/>
    <w:rsid w:val="00214D91"/>
    <w:rsid w:val="002341AB"/>
    <w:rsid w:val="00235389"/>
    <w:rsid w:val="002512AC"/>
    <w:rsid w:val="00273D23"/>
    <w:rsid w:val="00274C2A"/>
    <w:rsid w:val="00276AF3"/>
    <w:rsid w:val="002B3327"/>
    <w:rsid w:val="002B4D27"/>
    <w:rsid w:val="002C2CE8"/>
    <w:rsid w:val="002C6C73"/>
    <w:rsid w:val="002D2EAC"/>
    <w:rsid w:val="002D63E5"/>
    <w:rsid w:val="002E10FD"/>
    <w:rsid w:val="002F7869"/>
    <w:rsid w:val="00300717"/>
    <w:rsid w:val="00335C38"/>
    <w:rsid w:val="00351F59"/>
    <w:rsid w:val="003535D6"/>
    <w:rsid w:val="00370D1D"/>
    <w:rsid w:val="003823C8"/>
    <w:rsid w:val="00384598"/>
    <w:rsid w:val="003A11D1"/>
    <w:rsid w:val="003A7EF4"/>
    <w:rsid w:val="003B2721"/>
    <w:rsid w:val="003C023E"/>
    <w:rsid w:val="003C2A2C"/>
    <w:rsid w:val="003D4EB7"/>
    <w:rsid w:val="003E7E06"/>
    <w:rsid w:val="003F689A"/>
    <w:rsid w:val="00406F15"/>
    <w:rsid w:val="0041470D"/>
    <w:rsid w:val="00415BF7"/>
    <w:rsid w:val="004171D9"/>
    <w:rsid w:val="00423457"/>
    <w:rsid w:val="00430382"/>
    <w:rsid w:val="004532C1"/>
    <w:rsid w:val="004560BD"/>
    <w:rsid w:val="00472FBE"/>
    <w:rsid w:val="004C11AB"/>
    <w:rsid w:val="004F4663"/>
    <w:rsid w:val="00510E32"/>
    <w:rsid w:val="00515FAA"/>
    <w:rsid w:val="00516141"/>
    <w:rsid w:val="00516180"/>
    <w:rsid w:val="005176F7"/>
    <w:rsid w:val="00522861"/>
    <w:rsid w:val="00546029"/>
    <w:rsid w:val="00556760"/>
    <w:rsid w:val="0057019A"/>
    <w:rsid w:val="005A3389"/>
    <w:rsid w:val="005B1093"/>
    <w:rsid w:val="005B7458"/>
    <w:rsid w:val="005C58FB"/>
    <w:rsid w:val="005D082A"/>
    <w:rsid w:val="005F4F02"/>
    <w:rsid w:val="00605EA1"/>
    <w:rsid w:val="00612719"/>
    <w:rsid w:val="006154F4"/>
    <w:rsid w:val="00642B07"/>
    <w:rsid w:val="00647E02"/>
    <w:rsid w:val="00654351"/>
    <w:rsid w:val="00662E06"/>
    <w:rsid w:val="00663EE9"/>
    <w:rsid w:val="0067162A"/>
    <w:rsid w:val="00675163"/>
    <w:rsid w:val="006912F8"/>
    <w:rsid w:val="006C39BD"/>
    <w:rsid w:val="006D67A4"/>
    <w:rsid w:val="006F3C93"/>
    <w:rsid w:val="0073071C"/>
    <w:rsid w:val="0073316E"/>
    <w:rsid w:val="00744577"/>
    <w:rsid w:val="0074718F"/>
    <w:rsid w:val="00751A12"/>
    <w:rsid w:val="00756876"/>
    <w:rsid w:val="00760FF7"/>
    <w:rsid w:val="0076279F"/>
    <w:rsid w:val="00764F26"/>
    <w:rsid w:val="007A718C"/>
    <w:rsid w:val="007B7A34"/>
    <w:rsid w:val="007D012C"/>
    <w:rsid w:val="007F6734"/>
    <w:rsid w:val="007F7346"/>
    <w:rsid w:val="00805668"/>
    <w:rsid w:val="00813EA7"/>
    <w:rsid w:val="00821072"/>
    <w:rsid w:val="00824589"/>
    <w:rsid w:val="00835A40"/>
    <w:rsid w:val="008430A4"/>
    <w:rsid w:val="00847472"/>
    <w:rsid w:val="00851545"/>
    <w:rsid w:val="0085366E"/>
    <w:rsid w:val="0086718E"/>
    <w:rsid w:val="00867824"/>
    <w:rsid w:val="00881707"/>
    <w:rsid w:val="008A6570"/>
    <w:rsid w:val="008B3B6F"/>
    <w:rsid w:val="008D13D2"/>
    <w:rsid w:val="008E206F"/>
    <w:rsid w:val="008E70D5"/>
    <w:rsid w:val="008F742E"/>
    <w:rsid w:val="009046F3"/>
    <w:rsid w:val="009075CE"/>
    <w:rsid w:val="00921DC5"/>
    <w:rsid w:val="009412A1"/>
    <w:rsid w:val="00943101"/>
    <w:rsid w:val="00951FE9"/>
    <w:rsid w:val="0095406D"/>
    <w:rsid w:val="00980CD3"/>
    <w:rsid w:val="00983E59"/>
    <w:rsid w:val="009A3844"/>
    <w:rsid w:val="009A6B38"/>
    <w:rsid w:val="009C2C0B"/>
    <w:rsid w:val="009C7267"/>
    <w:rsid w:val="009D5385"/>
    <w:rsid w:val="009D56ED"/>
    <w:rsid w:val="009D6488"/>
    <w:rsid w:val="009E7F55"/>
    <w:rsid w:val="00A037B6"/>
    <w:rsid w:val="00A222E5"/>
    <w:rsid w:val="00A24144"/>
    <w:rsid w:val="00A2555F"/>
    <w:rsid w:val="00A44648"/>
    <w:rsid w:val="00A467F8"/>
    <w:rsid w:val="00A47580"/>
    <w:rsid w:val="00A52344"/>
    <w:rsid w:val="00A57443"/>
    <w:rsid w:val="00A71E6B"/>
    <w:rsid w:val="00A73BB9"/>
    <w:rsid w:val="00A92AA5"/>
    <w:rsid w:val="00A93100"/>
    <w:rsid w:val="00A95DC6"/>
    <w:rsid w:val="00AC3C64"/>
    <w:rsid w:val="00AC7729"/>
    <w:rsid w:val="00AD0AB9"/>
    <w:rsid w:val="00B00356"/>
    <w:rsid w:val="00B00EEC"/>
    <w:rsid w:val="00B018AC"/>
    <w:rsid w:val="00B05932"/>
    <w:rsid w:val="00B146C6"/>
    <w:rsid w:val="00B37652"/>
    <w:rsid w:val="00B61EBD"/>
    <w:rsid w:val="00B724C0"/>
    <w:rsid w:val="00B82000"/>
    <w:rsid w:val="00B94319"/>
    <w:rsid w:val="00BA44E3"/>
    <w:rsid w:val="00BB542C"/>
    <w:rsid w:val="00BC43E8"/>
    <w:rsid w:val="00BD172D"/>
    <w:rsid w:val="00BE0058"/>
    <w:rsid w:val="00BE1254"/>
    <w:rsid w:val="00BE2CCF"/>
    <w:rsid w:val="00C23F33"/>
    <w:rsid w:val="00C321F6"/>
    <w:rsid w:val="00C32BDB"/>
    <w:rsid w:val="00C52D2A"/>
    <w:rsid w:val="00C53485"/>
    <w:rsid w:val="00C71550"/>
    <w:rsid w:val="00C7588F"/>
    <w:rsid w:val="00C76DCC"/>
    <w:rsid w:val="00C931C4"/>
    <w:rsid w:val="00C97B1B"/>
    <w:rsid w:val="00CA6FB7"/>
    <w:rsid w:val="00CA7900"/>
    <w:rsid w:val="00CD3752"/>
    <w:rsid w:val="00CD48AD"/>
    <w:rsid w:val="00CE2CFE"/>
    <w:rsid w:val="00CE35F4"/>
    <w:rsid w:val="00D0636A"/>
    <w:rsid w:val="00D16BCF"/>
    <w:rsid w:val="00D2494B"/>
    <w:rsid w:val="00D30A46"/>
    <w:rsid w:val="00D42E99"/>
    <w:rsid w:val="00D8379C"/>
    <w:rsid w:val="00D87AAD"/>
    <w:rsid w:val="00DB0611"/>
    <w:rsid w:val="00DB379F"/>
    <w:rsid w:val="00DC0D43"/>
    <w:rsid w:val="00DD40D5"/>
    <w:rsid w:val="00DE1D5A"/>
    <w:rsid w:val="00DF1877"/>
    <w:rsid w:val="00DF25B4"/>
    <w:rsid w:val="00DF3A3E"/>
    <w:rsid w:val="00E00436"/>
    <w:rsid w:val="00E01DD3"/>
    <w:rsid w:val="00E04C71"/>
    <w:rsid w:val="00E07F1A"/>
    <w:rsid w:val="00E112F9"/>
    <w:rsid w:val="00E12D09"/>
    <w:rsid w:val="00E1738F"/>
    <w:rsid w:val="00E17DDB"/>
    <w:rsid w:val="00E2199D"/>
    <w:rsid w:val="00E32775"/>
    <w:rsid w:val="00E50E9F"/>
    <w:rsid w:val="00E538B2"/>
    <w:rsid w:val="00E622EB"/>
    <w:rsid w:val="00E82280"/>
    <w:rsid w:val="00E9188C"/>
    <w:rsid w:val="00EA25E8"/>
    <w:rsid w:val="00EA5BE6"/>
    <w:rsid w:val="00EB645E"/>
    <w:rsid w:val="00ED7CD8"/>
    <w:rsid w:val="00EE1690"/>
    <w:rsid w:val="00EE2722"/>
    <w:rsid w:val="00EE288F"/>
    <w:rsid w:val="00EE3663"/>
    <w:rsid w:val="00F10EDC"/>
    <w:rsid w:val="00F137E3"/>
    <w:rsid w:val="00F33D43"/>
    <w:rsid w:val="00F35077"/>
    <w:rsid w:val="00F37A45"/>
    <w:rsid w:val="00F51343"/>
    <w:rsid w:val="00F535D9"/>
    <w:rsid w:val="00F75B93"/>
    <w:rsid w:val="00F76AC4"/>
    <w:rsid w:val="00F80239"/>
    <w:rsid w:val="00F9570E"/>
    <w:rsid w:val="00FA4E5B"/>
    <w:rsid w:val="00FB60E7"/>
    <w:rsid w:val="00FC3875"/>
    <w:rsid w:val="00FC702A"/>
    <w:rsid w:val="00FD47D2"/>
    <w:rsid w:val="00FD4877"/>
    <w:rsid w:val="00FE4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character" w:customStyle="1" w:styleId="nacep">
    <w:name w:val="n_acep"/>
    <w:basedOn w:val="Fuentedeprrafopredeter"/>
    <w:rsid w:val="0061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3258">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974992106">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128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24195.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62419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11531.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90FF1-16F0-410C-9D32-5176965C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20</Pages>
  <Words>4450</Words>
  <Characters>24478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2019-03-04T22:24:00Z</cp:lastPrinted>
  <dcterms:created xsi:type="dcterms:W3CDTF">2019-02-12T15:09:00Z</dcterms:created>
  <dcterms:modified xsi:type="dcterms:W3CDTF">2019-03-14T23:10:00Z</dcterms:modified>
</cp:coreProperties>
</file>