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A47AFF">
        <w:rPr>
          <w:rStyle w:val="normaltextrun"/>
          <w:rFonts w:ascii="Palatino Linotype" w:hAnsi="Palatino Linotype" w:cs="Arial"/>
        </w:rPr>
        <w:t>,</w:t>
      </w:r>
      <w:r w:rsidRPr="00A47AFF">
        <w:rPr>
          <w:rStyle w:val="apple-converted-space"/>
          <w:rFonts w:ascii="Palatino Linotype" w:hAnsi="Palatino Linotype" w:cs="Arial"/>
        </w:rPr>
        <w:t> </w:t>
      </w:r>
      <w:r w:rsidR="00CC39E6">
        <w:rPr>
          <w:rStyle w:val="apple-converted-space"/>
          <w:rFonts w:ascii="Palatino Linotype" w:hAnsi="Palatino Linotype" w:cs="Arial"/>
        </w:rPr>
        <w:t xml:space="preserve">de fecha </w:t>
      </w:r>
      <w:r w:rsidR="00B75ACB">
        <w:rPr>
          <w:rStyle w:val="normaltextrun"/>
          <w:rFonts w:ascii="Palatino Linotype" w:hAnsi="Palatino Linotype" w:cs="Arial"/>
        </w:rPr>
        <w:t xml:space="preserve">veintisiete </w:t>
      </w:r>
      <w:r>
        <w:rPr>
          <w:rStyle w:val="normaltextrun"/>
          <w:rFonts w:ascii="Palatino Linotype" w:hAnsi="Palatino Linotype" w:cs="Arial"/>
        </w:rPr>
        <w:t xml:space="preserve">de febrero </w:t>
      </w:r>
      <w:r w:rsidRPr="00A47AFF">
        <w:rPr>
          <w:rStyle w:val="normaltextrun"/>
          <w:rFonts w:ascii="Palatino Linotype" w:hAnsi="Palatino Linotype" w:cs="Arial"/>
        </w:rPr>
        <w:t>de dos mil dieci</w:t>
      </w:r>
      <w:r>
        <w:rPr>
          <w:rStyle w:val="normaltextrun"/>
          <w:rFonts w:ascii="Palatino Linotype" w:hAnsi="Palatino Linotype" w:cs="Arial"/>
        </w:rPr>
        <w:t>nueve</w:t>
      </w:r>
      <w:r w:rsidRPr="00A47AFF">
        <w:rPr>
          <w:rStyle w:val="normaltextrun"/>
          <w:rFonts w:ascii="Palatino Linotype" w:hAnsi="Palatino Linotype" w:cs="Arial"/>
        </w:rPr>
        <w:t>.</w:t>
      </w:r>
    </w:p>
    <w:p w:rsidR="00E5702D" w:rsidRPr="00A47AFF" w:rsidRDefault="00E5702D" w:rsidP="00E5702D">
      <w:pPr>
        <w:spacing w:before="240" w:after="240" w:line="360" w:lineRule="auto"/>
        <w:jc w:val="both"/>
        <w:rPr>
          <w:rFonts w:ascii="Palatino Linotype" w:hAnsi="Palatino Linotype" w:cs="Arial"/>
        </w:rPr>
      </w:pPr>
      <w:r>
        <w:rPr>
          <w:rFonts w:ascii="Palatino Linotype" w:hAnsi="Palatino Linotype" w:cs="Arial"/>
          <w:b/>
        </w:rPr>
        <w:t>Visto</w:t>
      </w:r>
      <w:r w:rsidRPr="00A47AFF">
        <w:rPr>
          <w:rFonts w:ascii="Palatino Linotype" w:hAnsi="Palatino Linotype" w:cs="Arial"/>
          <w:b/>
        </w:rPr>
        <w:t xml:space="preserve"> </w:t>
      </w:r>
      <w:r>
        <w:rPr>
          <w:rFonts w:ascii="Palatino Linotype" w:hAnsi="Palatino Linotype" w:cs="Arial"/>
        </w:rPr>
        <w:t>el expediente relativo al recurso</w:t>
      </w:r>
      <w:r w:rsidRPr="00A47AFF">
        <w:rPr>
          <w:rFonts w:ascii="Palatino Linotype" w:hAnsi="Palatino Linotype" w:cs="Arial"/>
        </w:rPr>
        <w:t xml:space="preserve"> de revisión </w:t>
      </w:r>
      <w:r w:rsidRPr="00A47AFF">
        <w:rPr>
          <w:rFonts w:ascii="Palatino Linotype" w:hAnsi="Palatino Linotype" w:cs="Arial"/>
          <w:b/>
          <w:bCs/>
        </w:rPr>
        <w:t>0</w:t>
      </w:r>
      <w:r>
        <w:rPr>
          <w:rFonts w:ascii="Palatino Linotype" w:hAnsi="Palatino Linotype" w:cs="Arial"/>
          <w:b/>
          <w:bCs/>
        </w:rPr>
        <w:t>4</w:t>
      </w:r>
      <w:r w:rsidR="00B75ACB">
        <w:rPr>
          <w:rFonts w:ascii="Palatino Linotype" w:hAnsi="Palatino Linotype" w:cs="Arial"/>
          <w:b/>
          <w:bCs/>
        </w:rPr>
        <w:t>794</w:t>
      </w:r>
      <w:r>
        <w:rPr>
          <w:rFonts w:ascii="Palatino Linotype" w:hAnsi="Palatino Linotype" w:cs="Arial"/>
          <w:b/>
          <w:bCs/>
        </w:rPr>
        <w:t>/INFOEM/IP/RR/2018</w:t>
      </w:r>
      <w:r>
        <w:rPr>
          <w:rFonts w:ascii="Palatino Linotype" w:hAnsi="Palatino Linotype" w:cs="Arial"/>
        </w:rPr>
        <w:t>, interpuesto</w:t>
      </w:r>
      <w:r w:rsidRPr="00A47AFF">
        <w:rPr>
          <w:rFonts w:ascii="Palatino Linotype" w:hAnsi="Palatino Linotype" w:cs="Arial"/>
        </w:rPr>
        <w:t xml:space="preserve"> por </w:t>
      </w:r>
      <w:r w:rsidR="001266F4" w:rsidRPr="001266F4">
        <w:rPr>
          <w:rFonts w:ascii="Palatino Linotype" w:hAnsi="Palatino Linotype" w:cs="Arial"/>
          <w:b/>
          <w:lang w:val="es-ES_tradnl"/>
        </w:rPr>
        <w:t>Xxxxxx Xxxxx</w:t>
      </w:r>
      <w:r>
        <w:rPr>
          <w:rFonts w:ascii="Palatino Linotype" w:hAnsi="Palatino Linotype" w:cs="Arial"/>
        </w:rPr>
        <w:t xml:space="preserve">, en lo sucesivo </w:t>
      </w:r>
      <w:r w:rsidRPr="00A47AFF">
        <w:rPr>
          <w:rFonts w:ascii="Palatino Linotype" w:hAnsi="Palatino Linotype" w:cs="Arial"/>
        </w:rPr>
        <w:t>l</w:t>
      </w:r>
      <w:r>
        <w:rPr>
          <w:rFonts w:ascii="Palatino Linotype" w:hAnsi="Palatino Linotype" w:cs="Arial"/>
        </w:rPr>
        <w:t>a</w:t>
      </w:r>
      <w:r w:rsidRPr="00A47AFF">
        <w:rPr>
          <w:rFonts w:ascii="Palatino Linotype" w:hAnsi="Palatino Linotype" w:cs="Arial"/>
        </w:rPr>
        <w:t xml:space="preserve"> </w:t>
      </w:r>
      <w:r w:rsidRPr="00A47AFF">
        <w:rPr>
          <w:rFonts w:ascii="Palatino Linotype" w:hAnsi="Palatino Linotype" w:cs="Arial"/>
          <w:b/>
        </w:rPr>
        <w:t>recurrente</w:t>
      </w:r>
      <w:r w:rsidRPr="00A47AFF">
        <w:rPr>
          <w:rFonts w:ascii="Palatino Linotype" w:hAnsi="Palatino Linotype" w:cs="Arial"/>
        </w:rPr>
        <w:t xml:space="preserve"> en </w:t>
      </w:r>
      <w:r>
        <w:rPr>
          <w:rFonts w:ascii="Palatino Linotype" w:hAnsi="Palatino Linotype" w:cs="Arial"/>
        </w:rPr>
        <w:t>contra de la falta de respuesta a la</w:t>
      </w:r>
      <w:r w:rsidRPr="00A47AFF">
        <w:rPr>
          <w:rFonts w:ascii="Palatino Linotype" w:hAnsi="Palatino Linotype" w:cs="Arial"/>
        </w:rPr>
        <w:t xml:space="preserve"> solic</w:t>
      </w:r>
      <w:r>
        <w:rPr>
          <w:rFonts w:ascii="Palatino Linotype" w:hAnsi="Palatino Linotype" w:cs="Arial"/>
        </w:rPr>
        <w:t>itud de información con número</w:t>
      </w:r>
      <w:r w:rsidRPr="00A47AFF">
        <w:rPr>
          <w:rFonts w:ascii="Palatino Linotype" w:hAnsi="Palatino Linotype" w:cs="Arial"/>
        </w:rPr>
        <w:t xml:space="preserve"> de folio </w:t>
      </w:r>
      <w:r w:rsidRPr="00A47AFF">
        <w:rPr>
          <w:rFonts w:ascii="Palatino Linotype" w:hAnsi="Palatino Linotype" w:cs="Arial"/>
          <w:b/>
        </w:rPr>
        <w:t>00</w:t>
      </w:r>
      <w:r w:rsidR="00B75ACB">
        <w:rPr>
          <w:rFonts w:ascii="Palatino Linotype" w:hAnsi="Palatino Linotype" w:cs="Arial"/>
          <w:b/>
        </w:rPr>
        <w:t>065</w:t>
      </w:r>
      <w:r w:rsidRPr="00A47AFF">
        <w:rPr>
          <w:rFonts w:ascii="Palatino Linotype" w:hAnsi="Palatino Linotype" w:cs="Arial"/>
          <w:b/>
        </w:rPr>
        <w:t>/</w:t>
      </w:r>
      <w:r w:rsidR="00B75ACB">
        <w:rPr>
          <w:rFonts w:ascii="Palatino Linotype" w:hAnsi="Palatino Linotype" w:cs="Arial"/>
          <w:b/>
        </w:rPr>
        <w:t>FELIPRO</w:t>
      </w:r>
      <w:r w:rsidRPr="00A47AFF">
        <w:rPr>
          <w:rFonts w:ascii="Palatino Linotype" w:hAnsi="Palatino Linotype" w:cs="Arial"/>
          <w:b/>
        </w:rPr>
        <w:t>/IP/2018</w:t>
      </w:r>
      <w:r w:rsidRPr="00A47AFF">
        <w:rPr>
          <w:rFonts w:ascii="Palatino Linotype" w:hAnsi="Palatino Linotype" w:cs="Arial"/>
        </w:rPr>
        <w:t>, por parte de</w:t>
      </w:r>
      <w:r>
        <w:rPr>
          <w:rFonts w:ascii="Palatino Linotype" w:hAnsi="Palatino Linotype" w:cs="Arial"/>
        </w:rPr>
        <w:t>l</w:t>
      </w:r>
      <w:r w:rsidRPr="00A47AFF">
        <w:rPr>
          <w:rFonts w:ascii="Palatino Linotype" w:hAnsi="Palatino Linotype" w:cs="Arial"/>
        </w:rPr>
        <w:t xml:space="preserve"> </w:t>
      </w:r>
      <w:r w:rsidRPr="00A47AFF">
        <w:rPr>
          <w:rFonts w:ascii="Palatino Linotype" w:hAnsi="Palatino Linotype" w:cs="Arial"/>
          <w:b/>
        </w:rPr>
        <w:t xml:space="preserve">Ayuntamiento de </w:t>
      </w:r>
      <w:r w:rsidR="00B75ACB">
        <w:rPr>
          <w:rFonts w:ascii="Palatino Linotype" w:hAnsi="Palatino Linotype" w:cs="Arial"/>
          <w:b/>
        </w:rPr>
        <w:t>San Felipe del Progreso</w:t>
      </w:r>
      <w:r w:rsidRPr="00A47AFF">
        <w:rPr>
          <w:rFonts w:ascii="Palatino Linotype" w:hAnsi="Palatino Linotype" w:cs="Arial"/>
        </w:rPr>
        <w:t xml:space="preserve">, en lo sucesivo el </w:t>
      </w:r>
      <w:r w:rsidRPr="00A47AFF">
        <w:rPr>
          <w:rFonts w:ascii="Palatino Linotype" w:hAnsi="Palatino Linotype" w:cs="Arial"/>
          <w:b/>
        </w:rPr>
        <w:t xml:space="preserve">Sujeto Obligado; </w:t>
      </w:r>
      <w:r w:rsidRPr="00A47AFF">
        <w:rPr>
          <w:rFonts w:ascii="Palatino Linotype" w:hAnsi="Palatino Linotype" w:cs="Arial"/>
        </w:rPr>
        <w:t>se procede a dictar la presente resolución, con base en lo siguiente.</w:t>
      </w:r>
    </w:p>
    <w:p w:rsidR="00E5702D" w:rsidRPr="00A47AFF" w:rsidRDefault="00E5702D" w:rsidP="00E5702D">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A47AFF">
        <w:rPr>
          <w:rFonts w:ascii="Palatino Linotype" w:hAnsi="Palatino Linotype" w:cs="Arial"/>
          <w:b/>
          <w:sz w:val="24"/>
          <w:szCs w:val="24"/>
        </w:rPr>
        <w:t>A N T E C E D E N T E S:</w:t>
      </w:r>
    </w:p>
    <w:p w:rsidR="00E5702D" w:rsidRPr="00A47AFF" w:rsidRDefault="00E5702D" w:rsidP="00E5702D">
      <w:pPr>
        <w:spacing w:before="240" w:after="240" w:line="360" w:lineRule="auto"/>
        <w:jc w:val="both"/>
        <w:rPr>
          <w:rFonts w:ascii="Palatino Linotype" w:hAnsi="Palatino Linotype" w:cs="Arial"/>
        </w:rPr>
      </w:pPr>
      <w:r>
        <w:rPr>
          <w:rFonts w:ascii="Palatino Linotype" w:hAnsi="Palatino Linotype" w:cs="Arial"/>
          <w:b/>
        </w:rPr>
        <w:t>1. Solicitud</w:t>
      </w:r>
      <w:r w:rsidRPr="00A47AFF">
        <w:rPr>
          <w:rFonts w:ascii="Palatino Linotype" w:hAnsi="Palatino Linotype" w:cs="Arial"/>
          <w:b/>
        </w:rPr>
        <w:t xml:space="preserve"> de acceso a la información. </w:t>
      </w:r>
      <w:r w:rsidRPr="00A47AFF">
        <w:rPr>
          <w:rFonts w:ascii="Palatino Linotype" w:hAnsi="Palatino Linotype" w:cs="Arial"/>
        </w:rPr>
        <w:t xml:space="preserve">Con fecha </w:t>
      </w:r>
      <w:r w:rsidR="00B75ACB">
        <w:rPr>
          <w:rFonts w:ascii="Palatino Linotype" w:hAnsi="Palatino Linotype" w:cs="Arial"/>
        </w:rPr>
        <w:t xml:space="preserve">trece de noviembre </w:t>
      </w:r>
      <w:r w:rsidRPr="00A47AFF">
        <w:rPr>
          <w:rFonts w:ascii="Palatino Linotype" w:hAnsi="Palatino Linotype" w:cs="Arial"/>
        </w:rPr>
        <w:t xml:space="preserve">de dos mil dieciocho, la parte </w:t>
      </w:r>
      <w:r w:rsidRPr="00A47AFF">
        <w:rPr>
          <w:rFonts w:ascii="Palatino Linotype" w:hAnsi="Palatino Linotype" w:cs="Arial"/>
          <w:b/>
        </w:rPr>
        <w:t>recurrente</w:t>
      </w:r>
      <w:r>
        <w:rPr>
          <w:rFonts w:ascii="Palatino Linotype" w:hAnsi="Palatino Linotype" w:cs="Arial"/>
        </w:rPr>
        <w:t xml:space="preserve"> formuló solicitud</w:t>
      </w:r>
      <w:r w:rsidRPr="00A47AFF">
        <w:rPr>
          <w:rFonts w:ascii="Palatino Linotype" w:hAnsi="Palatino Linotype" w:cs="Arial"/>
        </w:rPr>
        <w:t xml:space="preserve"> de acceso a información pública al </w:t>
      </w:r>
      <w:r w:rsidRPr="00A47AFF">
        <w:rPr>
          <w:rFonts w:ascii="Palatino Linotype" w:hAnsi="Palatino Linotype" w:cs="Arial"/>
          <w:b/>
        </w:rPr>
        <w:t>Sujeto Obligado</w:t>
      </w:r>
      <w:r w:rsidRPr="00A47AFF">
        <w:rPr>
          <w:rFonts w:ascii="Palatino Linotype" w:hAnsi="Palatino Linotype" w:cs="Arial"/>
        </w:rPr>
        <w:t xml:space="preserve"> a través del Sistema de Acceso a la Información Mexiquense, en adelante </w:t>
      </w:r>
      <w:r w:rsidRPr="00A47AFF">
        <w:rPr>
          <w:rFonts w:ascii="Palatino Linotype" w:hAnsi="Palatino Linotype" w:cs="Arial"/>
          <w:b/>
        </w:rPr>
        <w:t>SAIMEX,</w:t>
      </w:r>
      <w:r w:rsidRPr="00A47AFF">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708"/>
        <w:gridCol w:w="6120"/>
      </w:tblGrid>
      <w:tr w:rsidR="00E5702D" w:rsidRPr="00A47AFF" w:rsidTr="00284911">
        <w:tc>
          <w:tcPr>
            <w:tcW w:w="2708" w:type="dxa"/>
          </w:tcPr>
          <w:p w:rsidR="00E5702D" w:rsidRPr="00A47AFF" w:rsidRDefault="00E5702D" w:rsidP="00284911">
            <w:pPr>
              <w:jc w:val="both"/>
              <w:rPr>
                <w:rFonts w:ascii="Palatino Linotype" w:hAnsi="Palatino Linotype" w:cs="Arial"/>
                <w:b/>
                <w:i/>
                <w:sz w:val="22"/>
                <w:szCs w:val="22"/>
              </w:rPr>
            </w:pPr>
            <w:r w:rsidRPr="00A47AFF">
              <w:rPr>
                <w:rFonts w:ascii="Palatino Linotype" w:hAnsi="Palatino Linotype" w:cs="Arial"/>
                <w:b/>
                <w:i/>
                <w:sz w:val="22"/>
                <w:szCs w:val="22"/>
              </w:rPr>
              <w:t>Número de solicitud</w:t>
            </w:r>
          </w:p>
        </w:tc>
        <w:tc>
          <w:tcPr>
            <w:tcW w:w="6120" w:type="dxa"/>
          </w:tcPr>
          <w:p w:rsidR="00E5702D" w:rsidRPr="00A47AFF" w:rsidRDefault="00E5702D" w:rsidP="00284911">
            <w:pPr>
              <w:jc w:val="both"/>
              <w:rPr>
                <w:rFonts w:ascii="Palatino Linotype" w:hAnsi="Palatino Linotype" w:cs="Arial"/>
                <w:b/>
                <w:i/>
                <w:sz w:val="22"/>
                <w:szCs w:val="22"/>
              </w:rPr>
            </w:pPr>
            <w:r w:rsidRPr="00A47AFF">
              <w:rPr>
                <w:rFonts w:ascii="Palatino Linotype" w:hAnsi="Palatino Linotype" w:cs="Arial"/>
                <w:b/>
                <w:i/>
                <w:sz w:val="22"/>
                <w:szCs w:val="22"/>
              </w:rPr>
              <w:t>Información requerida.</w:t>
            </w:r>
          </w:p>
        </w:tc>
      </w:tr>
      <w:tr w:rsidR="00E5702D" w:rsidRPr="00A47AFF" w:rsidTr="00284911">
        <w:tc>
          <w:tcPr>
            <w:tcW w:w="2708" w:type="dxa"/>
          </w:tcPr>
          <w:p w:rsidR="00E5702D" w:rsidRPr="00A47AFF" w:rsidRDefault="00B75ACB" w:rsidP="00284911">
            <w:pPr>
              <w:jc w:val="both"/>
              <w:rPr>
                <w:rFonts w:ascii="Palatino Linotype" w:hAnsi="Palatino Linotype" w:cs="Arial"/>
                <w:b/>
                <w:i/>
                <w:sz w:val="22"/>
                <w:szCs w:val="22"/>
              </w:rPr>
            </w:pPr>
            <w:r w:rsidRPr="00B75ACB">
              <w:rPr>
                <w:rFonts w:ascii="Palatino Linotype" w:hAnsi="Palatino Linotype" w:cs="Arial"/>
                <w:b/>
                <w:sz w:val="22"/>
                <w:szCs w:val="22"/>
              </w:rPr>
              <w:t>00065/FELIPRO/IP/2018</w:t>
            </w:r>
          </w:p>
        </w:tc>
        <w:tc>
          <w:tcPr>
            <w:tcW w:w="6120" w:type="dxa"/>
          </w:tcPr>
          <w:p w:rsidR="00E5702D" w:rsidRDefault="00E5702D" w:rsidP="00284911">
            <w:pPr>
              <w:jc w:val="both"/>
              <w:rPr>
                <w:rFonts w:ascii="Palatino Linotype" w:hAnsi="Palatino Linotype" w:cs="Arial"/>
                <w:i/>
                <w:sz w:val="22"/>
                <w:szCs w:val="22"/>
              </w:rPr>
            </w:pPr>
            <w:r w:rsidRPr="00A47AFF">
              <w:rPr>
                <w:rFonts w:ascii="Palatino Linotype" w:hAnsi="Palatino Linotype" w:cs="Arial"/>
                <w:i/>
                <w:sz w:val="22"/>
                <w:szCs w:val="22"/>
              </w:rPr>
              <w:t>“</w:t>
            </w:r>
            <w:r w:rsidR="00B75ACB" w:rsidRPr="00B75ACB">
              <w:rPr>
                <w:rFonts w:ascii="Palatino Linotype" w:hAnsi="Palatino Linotype" w:cs="Arial"/>
                <w:i/>
                <w:sz w:val="22"/>
                <w:szCs w:val="22"/>
              </w:rPr>
              <w:t>SE ADJUNTA DOCUMENTO</w:t>
            </w:r>
            <w:r w:rsidRPr="00222424">
              <w:rPr>
                <w:rFonts w:ascii="Palatino Linotype" w:hAnsi="Palatino Linotype" w:cs="Arial"/>
                <w:i/>
                <w:sz w:val="22"/>
                <w:szCs w:val="22"/>
              </w:rPr>
              <w:t>.</w:t>
            </w:r>
            <w:r w:rsidRPr="00A47AFF">
              <w:rPr>
                <w:rFonts w:ascii="Palatino Linotype" w:hAnsi="Palatino Linotype" w:cs="Arial"/>
                <w:i/>
                <w:sz w:val="22"/>
                <w:szCs w:val="22"/>
              </w:rPr>
              <w:t>” (sic)</w:t>
            </w:r>
          </w:p>
          <w:p w:rsidR="00E5702D" w:rsidRPr="00A47AFF" w:rsidRDefault="00E5702D" w:rsidP="00284911">
            <w:pPr>
              <w:jc w:val="both"/>
              <w:rPr>
                <w:rFonts w:ascii="Palatino Linotype" w:hAnsi="Palatino Linotype" w:cs="Arial"/>
                <w:i/>
                <w:sz w:val="22"/>
                <w:szCs w:val="22"/>
              </w:rPr>
            </w:pPr>
            <w:r>
              <w:rPr>
                <w:rFonts w:ascii="Palatino Linotype" w:hAnsi="Palatino Linotype" w:cs="Arial"/>
                <w:i/>
                <w:sz w:val="22"/>
                <w:szCs w:val="22"/>
              </w:rPr>
              <w:t>Énfasis añadido.</w:t>
            </w:r>
          </w:p>
        </w:tc>
      </w:tr>
    </w:tbl>
    <w:p w:rsidR="00E5702D" w:rsidRPr="00A47AFF" w:rsidRDefault="00E5702D" w:rsidP="00E5702D">
      <w:pPr>
        <w:autoSpaceDE w:val="0"/>
        <w:autoSpaceDN w:val="0"/>
        <w:adjustRightInd w:val="0"/>
        <w:ind w:right="1043"/>
        <w:jc w:val="both"/>
        <w:rPr>
          <w:rFonts w:ascii="Palatino Linotype" w:hAnsi="Palatino Linotype" w:cs="Arial"/>
          <w:i/>
        </w:rPr>
      </w:pP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b/>
        </w:rPr>
        <w:t xml:space="preserve">Modalidad elegida para la entrega de la información: </w:t>
      </w:r>
      <w:r w:rsidRPr="00A47AFF">
        <w:rPr>
          <w:rFonts w:ascii="Palatino Linotype" w:hAnsi="Palatino Linotype" w:cs="Arial"/>
        </w:rPr>
        <w:t>a través del SAIMEX.</w:t>
      </w:r>
    </w:p>
    <w:p w:rsidR="00B75ACB" w:rsidRPr="00B75ACB" w:rsidRDefault="00B75ACB" w:rsidP="00E5702D">
      <w:pPr>
        <w:spacing w:before="240" w:after="240" w:line="360" w:lineRule="auto"/>
        <w:jc w:val="both"/>
        <w:rPr>
          <w:rFonts w:ascii="Palatino Linotype" w:hAnsi="Palatino Linotype" w:cs="Arial"/>
          <w:b/>
        </w:rPr>
      </w:pPr>
      <w:r w:rsidRPr="00B75ACB">
        <w:rPr>
          <w:rFonts w:ascii="Palatino Linotype" w:hAnsi="Palatino Linotype" w:cs="Arial"/>
        </w:rPr>
        <w:t>Al respecto es de suma importancia mencionar que el solicitante adjuntó el archivo electrónico denominado</w:t>
      </w:r>
      <w:r w:rsidRPr="00B75ACB">
        <w:rPr>
          <w:rFonts w:ascii="Palatino Linotype" w:hAnsi="Palatino Linotype" w:cs="Arial"/>
          <w:b/>
        </w:rPr>
        <w:t xml:space="preserve"> “</w:t>
      </w:r>
      <w:hyperlink r:id="rId8" w:tgtFrame="_blank" w:history="1">
        <w:r w:rsidRPr="00B75ACB">
          <w:rPr>
            <w:rStyle w:val="Hipervnculo"/>
            <w:rFonts w:ascii="Palatino Linotype" w:hAnsi="Palatino Linotype" w:cs="Arial"/>
            <w:b/>
            <w:bCs/>
            <w:color w:val="67C19D"/>
          </w:rPr>
          <w:t>Preguntas_Alumbrado_Nov_2018.pdf</w:t>
        </w:r>
      </w:hyperlink>
      <w:r w:rsidRPr="00B75ACB">
        <w:rPr>
          <w:rFonts w:ascii="Palatino Linotype" w:hAnsi="Palatino Linotype" w:cs="Arial"/>
          <w:color w:val="333333"/>
        </w:rPr>
        <w:t xml:space="preserve">” </w:t>
      </w:r>
      <w:r>
        <w:rPr>
          <w:rFonts w:ascii="Palatino Linotype" w:hAnsi="Palatino Linotype" w:cs="Arial"/>
          <w:color w:val="333333"/>
        </w:rPr>
        <w:t xml:space="preserve">mismo que se </w:t>
      </w:r>
      <w:r>
        <w:rPr>
          <w:rFonts w:ascii="Palatino Linotype" w:hAnsi="Palatino Linotype" w:cs="Arial"/>
          <w:color w:val="333333"/>
        </w:rPr>
        <w:lastRenderedPageBreak/>
        <w:t>tiene como si a letra se insertase en obvio de repeticiones innecesarias, aunado a que las partes ya tienen conocimiento del mismo.</w:t>
      </w:r>
    </w:p>
    <w:p w:rsidR="00E5702D" w:rsidRPr="00A47AFF" w:rsidRDefault="00E5702D" w:rsidP="00E5702D">
      <w:pPr>
        <w:spacing w:before="240" w:after="240" w:line="360" w:lineRule="auto"/>
        <w:jc w:val="both"/>
        <w:rPr>
          <w:rFonts w:ascii="Palatino Linotype" w:hAnsi="Palatino Linotype" w:cs="Arial"/>
          <w:b/>
          <w:i/>
        </w:rPr>
      </w:pPr>
      <w:r>
        <w:rPr>
          <w:rFonts w:ascii="Palatino Linotype" w:hAnsi="Palatino Linotype" w:cs="Arial"/>
          <w:b/>
        </w:rPr>
        <w:t>2. Respuesta</w:t>
      </w:r>
      <w:r w:rsidRPr="00A47AFF">
        <w:rPr>
          <w:rFonts w:ascii="Palatino Linotype" w:hAnsi="Palatino Linotype" w:cs="Arial"/>
          <w:b/>
        </w:rPr>
        <w:t xml:space="preserve">. </w:t>
      </w:r>
      <w:r w:rsidRPr="00A47AFF">
        <w:rPr>
          <w:rFonts w:ascii="Palatino Linotype" w:hAnsi="Palatino Linotype" w:cs="Arial"/>
        </w:rPr>
        <w:t xml:space="preserve">De las constancias que obran en </w:t>
      </w:r>
      <w:r w:rsidRPr="00A47AFF">
        <w:rPr>
          <w:rFonts w:ascii="Palatino Linotype" w:hAnsi="Palatino Linotype" w:cs="Arial"/>
          <w:b/>
        </w:rPr>
        <w:t>SAIMEX</w:t>
      </w:r>
      <w:r w:rsidRPr="00A47AFF">
        <w:rPr>
          <w:rFonts w:ascii="Palatino Linotype" w:hAnsi="Palatino Linotype" w:cs="Arial"/>
        </w:rPr>
        <w:t xml:space="preserve">, se observa que </w:t>
      </w:r>
      <w:r w:rsidRPr="00A47AFF">
        <w:rPr>
          <w:rFonts w:ascii="Palatino Linotype" w:hAnsi="Palatino Linotype" w:cs="Arial"/>
          <w:b/>
        </w:rPr>
        <w:t xml:space="preserve">el Sujeto Obligado </w:t>
      </w:r>
      <w:r>
        <w:rPr>
          <w:rFonts w:ascii="Palatino Linotype" w:hAnsi="Palatino Linotype" w:cs="Arial"/>
        </w:rPr>
        <w:t>no emitió respuesta a la</w:t>
      </w:r>
      <w:r w:rsidRPr="00A47AFF">
        <w:rPr>
          <w:rFonts w:ascii="Palatino Linotype" w:hAnsi="Palatino Linotype" w:cs="Arial"/>
        </w:rPr>
        <w:t xml:space="preserve"> solicitud de información formulada por el hoy recurrente.</w:t>
      </w:r>
    </w:p>
    <w:p w:rsidR="00E5702D" w:rsidRPr="00A47AFF" w:rsidRDefault="00E5702D" w:rsidP="00E5702D">
      <w:pPr>
        <w:spacing w:before="240" w:after="240" w:line="360" w:lineRule="auto"/>
        <w:jc w:val="both"/>
        <w:rPr>
          <w:rFonts w:ascii="Palatino Linotype" w:hAnsi="Palatino Linotype" w:cs="Arial"/>
        </w:rPr>
      </w:pPr>
      <w:r>
        <w:rPr>
          <w:rFonts w:ascii="Palatino Linotype" w:hAnsi="Palatino Linotype" w:cs="Arial"/>
          <w:b/>
        </w:rPr>
        <w:t>3. Interposición del recurso</w:t>
      </w:r>
      <w:r w:rsidRPr="00A47AFF">
        <w:rPr>
          <w:rFonts w:ascii="Palatino Linotype" w:hAnsi="Palatino Linotype" w:cs="Arial"/>
          <w:b/>
        </w:rPr>
        <w:t xml:space="preserve"> de revisión. </w:t>
      </w:r>
      <w:r w:rsidRPr="00A47AFF">
        <w:rPr>
          <w:rFonts w:ascii="Palatino Linotype" w:hAnsi="Palatino Linotype" w:cs="Arial"/>
        </w:rPr>
        <w:t>Inconforme el solici</w:t>
      </w:r>
      <w:r>
        <w:rPr>
          <w:rFonts w:ascii="Palatino Linotype" w:hAnsi="Palatino Linotype" w:cs="Arial"/>
        </w:rPr>
        <w:t>tante con la falta de respuesta</w:t>
      </w:r>
      <w:r w:rsidRPr="00A47AFF">
        <w:rPr>
          <w:rFonts w:ascii="Palatino Linotype" w:hAnsi="Palatino Linotype" w:cs="Arial"/>
        </w:rPr>
        <w:t xml:space="preserve"> del Suj</w:t>
      </w:r>
      <w:r>
        <w:rPr>
          <w:rFonts w:ascii="Palatino Linotype" w:hAnsi="Palatino Linotype" w:cs="Arial"/>
        </w:rPr>
        <w:t>eto Obligado, interpuso recurso</w:t>
      </w:r>
      <w:r w:rsidRPr="00A47AFF">
        <w:rPr>
          <w:rFonts w:ascii="Palatino Linotype" w:hAnsi="Palatino Linotype" w:cs="Arial"/>
        </w:rPr>
        <w:t xml:space="preserve"> de revisión a través del SAIMEX en fecha </w:t>
      </w:r>
      <w:r w:rsidR="00B75ACB">
        <w:rPr>
          <w:rFonts w:ascii="Palatino Linotype" w:hAnsi="Palatino Linotype" w:cs="Arial"/>
        </w:rPr>
        <w:t xml:space="preserve">trece de diciembre </w:t>
      </w:r>
      <w:r w:rsidRPr="00A47AFF">
        <w:rPr>
          <w:rFonts w:ascii="Palatino Linotype" w:hAnsi="Palatino Linotype" w:cs="Arial"/>
        </w:rPr>
        <w:t>de dos mil dieciocho, expresando lo siguiente:</w:t>
      </w:r>
    </w:p>
    <w:p w:rsidR="00E5702D" w:rsidRPr="00BD39B3" w:rsidRDefault="00E5702D" w:rsidP="00E5702D">
      <w:pPr>
        <w:spacing w:line="360" w:lineRule="auto"/>
        <w:rPr>
          <w:rFonts w:ascii="Palatino Linotype" w:hAnsi="Palatino Linotype" w:cs="Arial"/>
          <w:b/>
        </w:rPr>
      </w:pPr>
      <w:r>
        <w:rPr>
          <w:rFonts w:ascii="Palatino Linotype" w:hAnsi="Palatino Linotype" w:cs="Arial"/>
          <w:b/>
        </w:rPr>
        <w:t>a) Acto impugnado</w:t>
      </w:r>
      <w:r w:rsidRPr="00A47AFF">
        <w:rPr>
          <w:rFonts w:ascii="Palatino Linotype" w:hAnsi="Palatino Linotype" w:cs="Arial"/>
          <w:b/>
        </w:rPr>
        <w:t>.</w:t>
      </w:r>
    </w:p>
    <w:p w:rsidR="00E5702D" w:rsidRPr="00A47AFF" w:rsidRDefault="00E5702D" w:rsidP="00E5702D">
      <w:pPr>
        <w:pStyle w:val="Prrafodelista"/>
        <w:spacing w:before="240" w:after="240"/>
        <w:ind w:left="1080" w:right="1043"/>
        <w:jc w:val="both"/>
        <w:rPr>
          <w:rFonts w:ascii="Palatino Linotype" w:hAnsi="Palatino Linotype" w:cs="Arial"/>
          <w:b/>
          <w:bCs/>
          <w:i/>
        </w:rPr>
      </w:pPr>
      <w:r w:rsidRPr="00A47AFF">
        <w:rPr>
          <w:rFonts w:ascii="Palatino Linotype" w:hAnsi="Palatino Linotype"/>
          <w:i/>
        </w:rPr>
        <w:t>“</w:t>
      </w:r>
      <w:r w:rsidR="00B75ACB" w:rsidRPr="00B75ACB">
        <w:rPr>
          <w:rFonts w:ascii="Palatino Linotype" w:hAnsi="Palatino Linotype"/>
          <w:i/>
          <w:lang w:val="es-ES"/>
        </w:rPr>
        <w:t>Falta de respuesta a la solicitud de información con número de folio solicitud 00065/FELIPRO/IP/2018 por parte del Municipio de San Felipe del Progeso, con fundamento en el artículo 179 fracciones VII y XI de la Ley de Transparencia y Acceso a la Información Pública del Estado de México y Municipios</w:t>
      </w:r>
      <w:r w:rsidRPr="00A47AFF">
        <w:rPr>
          <w:rFonts w:ascii="Palatino Linotype" w:hAnsi="Palatino Linotype"/>
          <w:i/>
        </w:rPr>
        <w:t>.</w:t>
      </w:r>
      <w:r w:rsidRPr="00A47AFF">
        <w:rPr>
          <w:rFonts w:ascii="Palatino Linotype" w:hAnsi="Palatino Linotype" w:cs="Arial"/>
          <w:i/>
        </w:rPr>
        <w:t>” (sic)</w:t>
      </w:r>
    </w:p>
    <w:p w:rsidR="00E5702D" w:rsidRPr="00A47AFF" w:rsidRDefault="00E5702D" w:rsidP="00E5702D">
      <w:pPr>
        <w:pStyle w:val="Prrafodelista"/>
        <w:rPr>
          <w:rFonts w:ascii="Palatino Linotype" w:hAnsi="Palatino Linotype" w:cs="Arial"/>
          <w:b/>
          <w:bCs/>
          <w:i/>
        </w:rPr>
      </w:pPr>
    </w:p>
    <w:p w:rsidR="00E5702D" w:rsidRPr="00A47AFF" w:rsidRDefault="00E5702D" w:rsidP="00E5702D">
      <w:pPr>
        <w:spacing w:line="360" w:lineRule="auto"/>
        <w:jc w:val="both"/>
        <w:rPr>
          <w:rFonts w:ascii="Palatino Linotype" w:hAnsi="Palatino Linotype" w:cs="Arial"/>
          <w:b/>
        </w:rPr>
      </w:pPr>
      <w:r w:rsidRPr="00A47AFF">
        <w:rPr>
          <w:rFonts w:ascii="Palatino Linotype" w:hAnsi="Palatino Linotype" w:cs="Arial"/>
          <w:b/>
        </w:rPr>
        <w:t>b) Motivos de inconformidad.</w:t>
      </w:r>
    </w:p>
    <w:p w:rsidR="00E5702D" w:rsidRPr="00DB04C1" w:rsidRDefault="00E5702D" w:rsidP="00E5702D">
      <w:pPr>
        <w:pStyle w:val="Prrafodelista"/>
        <w:spacing w:before="240" w:after="240"/>
        <w:ind w:left="1080" w:right="1043"/>
        <w:jc w:val="both"/>
        <w:rPr>
          <w:rFonts w:ascii="Palatino Linotype" w:hAnsi="Palatino Linotype" w:cs="Arial"/>
          <w:i/>
        </w:rPr>
      </w:pPr>
      <w:r w:rsidRPr="00A47AFF">
        <w:rPr>
          <w:rFonts w:ascii="Palatino Linotype" w:hAnsi="Palatino Linotype" w:cs="Arial"/>
          <w:bCs/>
          <w:i/>
        </w:rPr>
        <w:t xml:space="preserve"> “</w:t>
      </w:r>
      <w:r w:rsidR="00B75ACB" w:rsidRPr="00B75ACB">
        <w:rPr>
          <w:rFonts w:ascii="Palatino Linotype" w:hAnsi="Palatino Linotype"/>
          <w:i/>
          <w:lang w:val="es-ES"/>
        </w:rPr>
        <w:t>No respondió la solicitud de información</w:t>
      </w:r>
      <w:r w:rsidRPr="00A47AFF">
        <w:rPr>
          <w:rFonts w:ascii="Palatino Linotype" w:hAnsi="Palatino Linotype"/>
          <w:i/>
        </w:rPr>
        <w:t>.</w:t>
      </w:r>
      <w:r w:rsidRPr="00A47AFF">
        <w:rPr>
          <w:rFonts w:ascii="Palatino Linotype" w:hAnsi="Palatino Linotype" w:cs="Arial"/>
          <w:i/>
        </w:rPr>
        <w:t>” (sic)</w:t>
      </w:r>
    </w:p>
    <w:p w:rsidR="00E5702D" w:rsidRPr="00CE323B" w:rsidRDefault="00E5702D" w:rsidP="00E5702D">
      <w:pPr>
        <w:spacing w:before="240" w:after="240" w:line="360" w:lineRule="auto"/>
        <w:jc w:val="both"/>
        <w:rPr>
          <w:rFonts w:ascii="Palatino Linotype" w:hAnsi="Palatino Linotype" w:cs="Arial"/>
          <w:bCs/>
          <w:lang w:eastAsia="es-MX"/>
        </w:rPr>
      </w:pPr>
      <w:r w:rsidRPr="00A47AFF">
        <w:rPr>
          <w:rFonts w:ascii="Palatino Linotype" w:hAnsi="Palatino Linotype" w:cs="Arial"/>
          <w:b/>
        </w:rPr>
        <w:t xml:space="preserve">4. </w:t>
      </w:r>
      <w:r w:rsidRPr="00A47AFF">
        <w:rPr>
          <w:rFonts w:ascii="Palatino Linotype" w:hAnsi="Palatino Linotype"/>
          <w:b/>
        </w:rPr>
        <w:t xml:space="preserve">Turno. </w:t>
      </w:r>
      <w:r w:rsidRPr="00A47AFF">
        <w:rPr>
          <w:rFonts w:ascii="Palatino Linotype" w:hAnsi="Palatino Linotype"/>
        </w:rPr>
        <w:t xml:space="preserve">De conformidad con el artículo 185 fracción I </w:t>
      </w:r>
      <w:r w:rsidRPr="00A47AFF">
        <w:rPr>
          <w:rFonts w:ascii="Palatino Linotype" w:hAnsi="Palatino Linotype"/>
          <w:shd w:val="clear" w:color="auto" w:fill="FFFFFF"/>
        </w:rPr>
        <w:t>de la Ley Transparencia y Acceso a la Información Pública</w:t>
      </w:r>
      <w:r w:rsidRPr="00A47AFF">
        <w:rPr>
          <w:rFonts w:ascii="Palatino Linotype" w:hAnsi="Palatino Linotype" w:cs="Arial"/>
        </w:rPr>
        <w:t xml:space="preserve">, </w:t>
      </w:r>
      <w:r>
        <w:rPr>
          <w:rFonts w:ascii="Palatino Linotype" w:hAnsi="Palatino Linotype" w:cs="Arial"/>
        </w:rPr>
        <w:t>el recurso de revisión número</w:t>
      </w:r>
      <w:r w:rsidRPr="00A47AFF">
        <w:rPr>
          <w:rFonts w:ascii="Palatino Linotype" w:hAnsi="Palatino Linotype" w:cs="Arial"/>
          <w:b/>
        </w:rPr>
        <w:t xml:space="preserve"> </w:t>
      </w:r>
      <w:r w:rsidRPr="00A47AFF">
        <w:rPr>
          <w:rFonts w:ascii="Palatino Linotype" w:hAnsi="Palatino Linotype" w:cs="Arial"/>
          <w:b/>
          <w:bCs/>
          <w:sz w:val="23"/>
          <w:szCs w:val="23"/>
        </w:rPr>
        <w:t>0</w:t>
      </w:r>
      <w:r>
        <w:rPr>
          <w:rFonts w:ascii="Palatino Linotype" w:hAnsi="Palatino Linotype" w:cs="Arial"/>
          <w:b/>
          <w:bCs/>
          <w:sz w:val="23"/>
          <w:szCs w:val="23"/>
        </w:rPr>
        <w:t>4</w:t>
      </w:r>
      <w:r w:rsidR="00B75ACB">
        <w:rPr>
          <w:rFonts w:ascii="Palatino Linotype" w:hAnsi="Palatino Linotype" w:cs="Arial"/>
          <w:b/>
          <w:bCs/>
          <w:sz w:val="23"/>
          <w:szCs w:val="23"/>
        </w:rPr>
        <w:t>794</w:t>
      </w:r>
      <w:r w:rsidRPr="00A47AFF">
        <w:rPr>
          <w:rFonts w:ascii="Palatino Linotype" w:hAnsi="Palatino Linotype" w:cs="Arial"/>
          <w:b/>
          <w:bCs/>
          <w:sz w:val="23"/>
          <w:szCs w:val="23"/>
        </w:rPr>
        <w:t xml:space="preserve">/INFOEM/IP/RR/2018 </w:t>
      </w:r>
      <w:r w:rsidRPr="00A47AFF">
        <w:rPr>
          <w:rFonts w:ascii="Palatino Linotype" w:hAnsi="Palatino Linotype" w:cs="Arial"/>
          <w:bCs/>
          <w:lang w:eastAsia="es-MX"/>
        </w:rPr>
        <w:t>fue</w:t>
      </w:r>
      <w:r>
        <w:rPr>
          <w:rFonts w:ascii="Palatino Linotype" w:hAnsi="Palatino Linotype" w:cs="Arial"/>
          <w:bCs/>
          <w:lang w:eastAsia="es-MX"/>
        </w:rPr>
        <w:t xml:space="preserve"> </w:t>
      </w:r>
      <w:r>
        <w:rPr>
          <w:rFonts w:ascii="Palatino Linotype" w:hAnsi="Palatino Linotype"/>
        </w:rPr>
        <w:t>turnado al Comisionado Ponente Javier Martínez Cruz</w:t>
      </w:r>
      <w:r w:rsidRPr="00A47AFF">
        <w:rPr>
          <w:rFonts w:ascii="Palatino Linotype" w:hAnsi="Palatino Linotype"/>
        </w:rPr>
        <w:t xml:space="preserve">; a efecto de presentar al Pleno </w:t>
      </w:r>
      <w:r>
        <w:rPr>
          <w:rFonts w:ascii="Palatino Linotype" w:hAnsi="Palatino Linotype"/>
        </w:rPr>
        <w:t>el proyecto de resolución correspondiente</w:t>
      </w:r>
      <w:r w:rsidRPr="00A47AFF">
        <w:rPr>
          <w:rFonts w:ascii="Palatino Linotype" w:hAnsi="Palatino Linotype"/>
        </w:rPr>
        <w:t>.</w:t>
      </w:r>
    </w:p>
    <w:p w:rsidR="00E5702D" w:rsidRPr="00A47AFF" w:rsidRDefault="00E5702D" w:rsidP="00E5702D">
      <w:pPr>
        <w:spacing w:before="240" w:after="240" w:line="360" w:lineRule="auto"/>
        <w:jc w:val="both"/>
        <w:rPr>
          <w:rFonts w:ascii="Palatino Linotype" w:hAnsi="Palatino Linotype"/>
        </w:rPr>
      </w:pPr>
      <w:r w:rsidRPr="00A47AFF">
        <w:rPr>
          <w:rFonts w:ascii="Palatino Linotype" w:hAnsi="Palatino Linotype"/>
          <w:b/>
        </w:rPr>
        <w:t xml:space="preserve">5. Admisión. </w:t>
      </w:r>
      <w:r w:rsidRPr="00A47AFF">
        <w:rPr>
          <w:rFonts w:ascii="Palatino Linotype" w:hAnsi="Palatino Linotype"/>
        </w:rPr>
        <w:t xml:space="preserve">En fecha </w:t>
      </w:r>
      <w:r w:rsidR="005650E5">
        <w:rPr>
          <w:rFonts w:ascii="Palatino Linotype" w:hAnsi="Palatino Linotype"/>
        </w:rPr>
        <w:t xml:space="preserve">diecinueve de diciembre </w:t>
      </w:r>
      <w:r>
        <w:rPr>
          <w:rFonts w:ascii="Palatino Linotype" w:hAnsi="Palatino Linotype"/>
        </w:rPr>
        <w:t>de dos mil dieciocho</w:t>
      </w:r>
      <w:r w:rsidRPr="00A47AFF">
        <w:rPr>
          <w:rFonts w:ascii="Palatino Linotype" w:hAnsi="Palatino Linotype"/>
        </w:rPr>
        <w:t xml:space="preserve">, en términos de lo dispuesto en el artículo 185 fracciones I, II y IV de la Ley de Transparencia y </w:t>
      </w:r>
      <w:r w:rsidRPr="00A47AFF">
        <w:rPr>
          <w:rFonts w:ascii="Palatino Linotype" w:hAnsi="Palatino Linotype"/>
        </w:rPr>
        <w:lastRenderedPageBreak/>
        <w:t>Acceso a la Información Pública del Estado de Mé</w:t>
      </w:r>
      <w:r>
        <w:rPr>
          <w:rFonts w:ascii="Palatino Linotype" w:hAnsi="Palatino Linotype"/>
        </w:rPr>
        <w:t>xico y Municipios, se admitió</w:t>
      </w:r>
      <w:r w:rsidRPr="00A47AFF">
        <w:rPr>
          <w:rFonts w:ascii="Palatino Linotype" w:hAnsi="Palatino Linotype"/>
        </w:rPr>
        <w:t xml:space="preserve"> a trámite </w:t>
      </w:r>
      <w:r>
        <w:rPr>
          <w:rFonts w:ascii="Palatino Linotype" w:hAnsi="Palatino Linotype"/>
        </w:rPr>
        <w:t>el recurso</w:t>
      </w:r>
      <w:r w:rsidRPr="00A47AFF">
        <w:rPr>
          <w:rFonts w:ascii="Palatino Linotype" w:hAnsi="Palatino Linotype"/>
        </w:rPr>
        <w:t xml:space="preserve"> de revisión</w:t>
      </w:r>
      <w:r>
        <w:rPr>
          <w:rFonts w:ascii="Palatino Linotype" w:hAnsi="Palatino Linotype"/>
        </w:rPr>
        <w:t xml:space="preserve"> al rubro indicado</w:t>
      </w:r>
      <w:r w:rsidRPr="00A47AFF">
        <w:rPr>
          <w:rFonts w:ascii="Palatino Linotype" w:hAnsi="Palatino Linotype"/>
        </w:rPr>
        <w:t>.</w:t>
      </w:r>
    </w:p>
    <w:p w:rsidR="00E5702D" w:rsidRDefault="00E5702D" w:rsidP="00E5702D">
      <w:pPr>
        <w:spacing w:before="240" w:after="240" w:line="360" w:lineRule="auto"/>
        <w:jc w:val="both"/>
        <w:rPr>
          <w:rFonts w:ascii="Palatino Linotype" w:hAnsi="Palatino Linotype" w:cs="Arial"/>
        </w:rPr>
      </w:pPr>
      <w:r w:rsidRPr="00A47AFF">
        <w:rPr>
          <w:rFonts w:ascii="Palatino Linotype" w:hAnsi="Palatino Linotype"/>
          <w:b/>
        </w:rPr>
        <w:t>6.</w:t>
      </w:r>
      <w:r>
        <w:rPr>
          <w:rFonts w:ascii="Palatino Linotype" w:hAnsi="Palatino Linotype" w:cs="Arial"/>
          <w:b/>
        </w:rPr>
        <w:t xml:space="preserve"> Informe</w:t>
      </w:r>
      <w:r w:rsidRPr="00A47AFF">
        <w:rPr>
          <w:rFonts w:ascii="Palatino Linotype" w:hAnsi="Palatino Linotype" w:cs="Arial"/>
          <w:b/>
        </w:rPr>
        <w:t xml:space="preserve"> de justificación. </w:t>
      </w:r>
      <w:r w:rsidRPr="00A47AFF">
        <w:rPr>
          <w:rFonts w:ascii="Palatino Linotype" w:hAnsi="Palatino Linotype" w:cs="Arial"/>
        </w:rPr>
        <w:t xml:space="preserve">De las constancias que obran en </w:t>
      </w:r>
      <w:r>
        <w:rPr>
          <w:rFonts w:ascii="Palatino Linotype" w:hAnsi="Palatino Linotype" w:cs="Arial"/>
        </w:rPr>
        <w:t>el expediente electrónico</w:t>
      </w:r>
      <w:r w:rsidRPr="00A47AFF">
        <w:rPr>
          <w:rFonts w:ascii="Palatino Linotype" w:hAnsi="Palatino Linotype" w:cs="Arial"/>
        </w:rPr>
        <w:t xml:space="preserve"> del SAIMEX se desprende que el </w:t>
      </w:r>
      <w:r w:rsidRPr="00A47AFF">
        <w:rPr>
          <w:rFonts w:ascii="Palatino Linotype" w:hAnsi="Palatino Linotype" w:cs="Arial"/>
          <w:b/>
        </w:rPr>
        <w:t>Sujeto Obligado</w:t>
      </w:r>
      <w:r w:rsidRPr="00A47AFF">
        <w:rPr>
          <w:rFonts w:ascii="Palatino Linotype" w:hAnsi="Palatino Linotype" w:cs="Arial"/>
        </w:rPr>
        <w:t xml:space="preserve"> </w:t>
      </w:r>
      <w:r>
        <w:rPr>
          <w:rFonts w:ascii="Palatino Linotype" w:hAnsi="Palatino Linotype" w:cs="Arial"/>
        </w:rPr>
        <w:t xml:space="preserve">en fecha </w:t>
      </w:r>
      <w:r w:rsidR="005650E5">
        <w:rPr>
          <w:rFonts w:ascii="Palatino Linotype" w:hAnsi="Palatino Linotype" w:cs="Arial"/>
        </w:rPr>
        <w:t>uno de enero de dos mil diecinueve</w:t>
      </w:r>
      <w:r>
        <w:rPr>
          <w:rFonts w:ascii="Palatino Linotype" w:hAnsi="Palatino Linotype" w:cs="Arial"/>
        </w:rPr>
        <w:t>, rindió su inform</w:t>
      </w:r>
      <w:r w:rsidR="005650E5">
        <w:rPr>
          <w:rFonts w:ascii="Palatino Linotype" w:hAnsi="Palatino Linotype" w:cs="Arial"/>
        </w:rPr>
        <w:t xml:space="preserve">e de justificación, adjuntando </w:t>
      </w:r>
      <w:r>
        <w:rPr>
          <w:rFonts w:ascii="Palatino Linotype" w:hAnsi="Palatino Linotype" w:cs="Arial"/>
        </w:rPr>
        <w:t>l</w:t>
      </w:r>
      <w:r w:rsidR="005650E5">
        <w:rPr>
          <w:rFonts w:ascii="Palatino Linotype" w:hAnsi="Palatino Linotype" w:cs="Arial"/>
        </w:rPr>
        <w:t>os</w:t>
      </w:r>
      <w:r>
        <w:rPr>
          <w:rFonts w:ascii="Palatino Linotype" w:hAnsi="Palatino Linotype" w:cs="Arial"/>
        </w:rPr>
        <w:t xml:space="preserve"> archivo</w:t>
      </w:r>
      <w:r w:rsidR="005650E5">
        <w:rPr>
          <w:rFonts w:ascii="Palatino Linotype" w:hAnsi="Palatino Linotype" w:cs="Arial"/>
        </w:rPr>
        <w:t>s</w:t>
      </w:r>
      <w:r>
        <w:rPr>
          <w:rFonts w:ascii="Palatino Linotype" w:hAnsi="Palatino Linotype" w:cs="Arial"/>
        </w:rPr>
        <w:t xml:space="preserve"> electrónico</w:t>
      </w:r>
      <w:r w:rsidR="005650E5">
        <w:rPr>
          <w:rFonts w:ascii="Palatino Linotype" w:hAnsi="Palatino Linotype" w:cs="Arial"/>
        </w:rPr>
        <w:t>s</w:t>
      </w:r>
      <w:r>
        <w:rPr>
          <w:rFonts w:ascii="Palatino Linotype" w:hAnsi="Palatino Linotype" w:cs="Arial"/>
        </w:rPr>
        <w:t xml:space="preserve"> cuyo contenido se describe a continuación:</w:t>
      </w:r>
    </w:p>
    <w:tbl>
      <w:tblPr>
        <w:tblW w:w="497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6804"/>
      </w:tblGrid>
      <w:tr w:rsidR="00E5702D" w:rsidRPr="00CE323B" w:rsidTr="00284911">
        <w:trPr>
          <w:tblCellSpacing w:w="0" w:type="dxa"/>
        </w:trPr>
        <w:tc>
          <w:tcPr>
            <w:tcW w:w="1126" w:type="pct"/>
            <w:tcBorders>
              <w:top w:val="outset" w:sz="6" w:space="0" w:color="auto"/>
              <w:left w:val="outset" w:sz="6" w:space="0" w:color="auto"/>
              <w:bottom w:val="outset" w:sz="6" w:space="0" w:color="auto"/>
              <w:right w:val="outset" w:sz="6" w:space="0" w:color="auto"/>
            </w:tcBorders>
            <w:shd w:val="clear" w:color="auto" w:fill="DFDFDF"/>
            <w:vAlign w:val="center"/>
            <w:hideMark/>
          </w:tcPr>
          <w:p w:rsidR="00E5702D" w:rsidRPr="00CE323B" w:rsidRDefault="00E5702D" w:rsidP="00284911">
            <w:pPr>
              <w:jc w:val="center"/>
              <w:rPr>
                <w:rFonts w:ascii="Palatino Linotype" w:hAnsi="Palatino Linotype"/>
                <w:b/>
                <w:i/>
                <w:sz w:val="20"/>
                <w:szCs w:val="20"/>
              </w:rPr>
            </w:pPr>
            <w:r w:rsidRPr="00CE323B">
              <w:rPr>
                <w:rFonts w:ascii="Palatino Linotype" w:hAnsi="Palatino Linotype"/>
                <w:b/>
                <w:i/>
                <w:sz w:val="20"/>
                <w:szCs w:val="20"/>
              </w:rPr>
              <w:t>Nombre del Archivo</w:t>
            </w:r>
          </w:p>
        </w:tc>
        <w:tc>
          <w:tcPr>
            <w:tcW w:w="3874" w:type="pct"/>
            <w:tcBorders>
              <w:top w:val="outset" w:sz="6" w:space="0" w:color="auto"/>
              <w:left w:val="outset" w:sz="6" w:space="0" w:color="auto"/>
              <w:bottom w:val="outset" w:sz="6" w:space="0" w:color="auto"/>
              <w:right w:val="outset" w:sz="6" w:space="0" w:color="auto"/>
            </w:tcBorders>
            <w:shd w:val="clear" w:color="auto" w:fill="DFDFDF"/>
            <w:vAlign w:val="center"/>
            <w:hideMark/>
          </w:tcPr>
          <w:p w:rsidR="00E5702D" w:rsidRPr="00CE323B" w:rsidRDefault="00E5702D" w:rsidP="00284911">
            <w:pPr>
              <w:jc w:val="center"/>
              <w:rPr>
                <w:rFonts w:ascii="Palatino Linotype" w:hAnsi="Palatino Linotype"/>
                <w:b/>
                <w:i/>
                <w:sz w:val="20"/>
                <w:szCs w:val="20"/>
              </w:rPr>
            </w:pPr>
            <w:r w:rsidRPr="00CE323B">
              <w:rPr>
                <w:rFonts w:ascii="Palatino Linotype" w:hAnsi="Palatino Linotype"/>
                <w:b/>
                <w:i/>
                <w:sz w:val="20"/>
                <w:szCs w:val="20"/>
              </w:rPr>
              <w:t>Co</w:t>
            </w:r>
            <w:r>
              <w:rPr>
                <w:rFonts w:ascii="Palatino Linotype" w:hAnsi="Palatino Linotype"/>
                <w:b/>
                <w:i/>
                <w:sz w:val="20"/>
                <w:szCs w:val="20"/>
              </w:rPr>
              <w:t>ntenido</w:t>
            </w:r>
          </w:p>
        </w:tc>
      </w:tr>
      <w:tr w:rsidR="00E5702D" w:rsidRPr="0012294E" w:rsidTr="005650E5">
        <w:trPr>
          <w:trHeight w:val="324"/>
          <w:tblCellSpacing w:w="0" w:type="dxa"/>
        </w:trPr>
        <w:tc>
          <w:tcPr>
            <w:tcW w:w="112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E5702D" w:rsidRPr="005650E5" w:rsidRDefault="00E5702D" w:rsidP="00284911">
            <w:pPr>
              <w:rPr>
                <w:rFonts w:ascii="Palatino Linotype" w:hAnsi="Palatino Linotype"/>
                <w:i/>
                <w:sz w:val="20"/>
                <w:szCs w:val="20"/>
              </w:rPr>
            </w:pPr>
            <w:r w:rsidRPr="005650E5">
              <w:fldChar w:fldCharType="begin"/>
            </w:r>
            <w:r w:rsidRPr="005650E5">
              <w:rPr>
                <w:rFonts w:ascii="Palatino Linotype" w:hAnsi="Palatino Linotype"/>
                <w:i/>
                <w:sz w:val="20"/>
                <w:szCs w:val="20"/>
              </w:rPr>
              <w:instrText xml:space="preserve"> HYPERLINK "https://www.saimex.org.mx/saimex/solicitud/downloadAttach/585832.page" </w:instrText>
            </w:r>
            <w:r w:rsidRPr="005650E5">
              <w:fldChar w:fldCharType="separate"/>
            </w:r>
            <w:hyperlink r:id="rId9" w:history="1">
              <w:r w:rsidR="005650E5" w:rsidRPr="005650E5">
                <w:rPr>
                  <w:rStyle w:val="Hipervnculo"/>
                  <w:rFonts w:ascii="Palatino Linotype" w:hAnsi="Palatino Linotype" w:cs="Arial"/>
                  <w:b/>
                  <w:bCs/>
                  <w:i/>
                  <w:color w:val="67C19D"/>
                  <w:sz w:val="20"/>
                  <w:szCs w:val="20"/>
                </w:rPr>
                <w:t xml:space="preserve">OFICIO 2016 </w:t>
              </w:r>
              <w:r w:rsidR="001266F4">
                <w:rPr>
                  <w:rStyle w:val="Hipervnculo"/>
                  <w:rFonts w:ascii="Palatino Linotype" w:hAnsi="Palatino Linotype" w:cs="Arial"/>
                  <w:b/>
                  <w:bCs/>
                  <w:i/>
                  <w:color w:val="67C19D"/>
                  <w:sz w:val="20"/>
                  <w:szCs w:val="20"/>
                </w:rPr>
                <w:t>transparencia XXXXXX</w:t>
              </w:r>
              <w:r w:rsidR="005650E5" w:rsidRPr="005650E5">
                <w:rPr>
                  <w:rStyle w:val="Hipervnculo"/>
                  <w:rFonts w:ascii="Palatino Linotype" w:hAnsi="Palatino Linotype" w:cs="Arial"/>
                  <w:b/>
                  <w:bCs/>
                  <w:i/>
                  <w:color w:val="67C19D"/>
                  <w:sz w:val="20"/>
                  <w:szCs w:val="20"/>
                </w:rPr>
                <w:t xml:space="preserve"> </w:t>
              </w:r>
              <w:r w:rsidR="001266F4">
                <w:rPr>
                  <w:rStyle w:val="Hipervnculo"/>
                  <w:rFonts w:ascii="Palatino Linotype" w:hAnsi="Palatino Linotype" w:cs="Arial"/>
                  <w:b/>
                  <w:bCs/>
                  <w:i/>
                  <w:color w:val="67C19D"/>
                  <w:sz w:val="20"/>
                  <w:szCs w:val="20"/>
                </w:rPr>
                <w:t>XXXXX</w:t>
              </w:r>
              <w:r w:rsidR="005650E5" w:rsidRPr="005650E5">
                <w:rPr>
                  <w:rStyle w:val="Hipervnculo"/>
                  <w:rFonts w:ascii="Palatino Linotype" w:hAnsi="Palatino Linotype" w:cs="Arial"/>
                  <w:b/>
                  <w:bCs/>
                  <w:i/>
                  <w:color w:val="67C19D"/>
                  <w:sz w:val="20"/>
                  <w:szCs w:val="20"/>
                </w:rPr>
                <w:t>.pdf</w:t>
              </w:r>
            </w:hyperlink>
          </w:p>
          <w:p w:rsidR="00E5702D" w:rsidRPr="005650E5" w:rsidRDefault="00E5702D" w:rsidP="00284911">
            <w:pPr>
              <w:rPr>
                <w:rFonts w:ascii="Palatino Linotype" w:hAnsi="Palatino Linotype" w:cs="Arial"/>
                <w:i/>
                <w:sz w:val="20"/>
                <w:szCs w:val="20"/>
                <w:lang w:val="es-MX" w:eastAsia="es-MX"/>
              </w:rPr>
            </w:pPr>
            <w:r w:rsidRPr="005650E5">
              <w:rPr>
                <w:rStyle w:val="Hipervnculo"/>
                <w:rFonts w:ascii="Palatino Linotype" w:hAnsi="Palatino Linotype" w:cs="Arial"/>
                <w:b/>
                <w:bCs/>
                <w:i/>
                <w:color w:val="67C19D"/>
                <w:sz w:val="20"/>
                <w:szCs w:val="20"/>
              </w:rPr>
              <w:fldChar w:fldCharType="end"/>
            </w:r>
          </w:p>
        </w:tc>
        <w:tc>
          <w:tcPr>
            <w:tcW w:w="38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E5702D" w:rsidRDefault="00284911" w:rsidP="00284911">
            <w:pPr>
              <w:jc w:val="both"/>
              <w:rPr>
                <w:rFonts w:ascii="Palatino Linotype" w:hAnsi="Palatino Linotype"/>
                <w:i/>
                <w:sz w:val="20"/>
                <w:szCs w:val="20"/>
              </w:rPr>
            </w:pPr>
            <w:r>
              <w:rPr>
                <w:rFonts w:ascii="Palatino Linotype" w:hAnsi="Palatino Linotype"/>
                <w:i/>
                <w:sz w:val="20"/>
                <w:szCs w:val="20"/>
              </w:rPr>
              <w:t>Contiene el oficio suscrito por el Titular de la Unidad de Transparencia del Sujeto Obligado a través del cual refiere que la información financiera del Ayuntamiento está disponible de manera pública en el Sistema de Información Pública de Oficio Mexiquense, anexando las direcciones electrónicas siguientes:</w:t>
            </w:r>
          </w:p>
          <w:p w:rsidR="00284911" w:rsidRDefault="001266F4" w:rsidP="00284911">
            <w:pPr>
              <w:jc w:val="both"/>
              <w:rPr>
                <w:rFonts w:ascii="Palatino Linotype" w:hAnsi="Palatino Linotype"/>
                <w:i/>
                <w:sz w:val="20"/>
                <w:szCs w:val="20"/>
              </w:rPr>
            </w:pPr>
            <w:hyperlink r:id="rId10" w:history="1">
              <w:r w:rsidR="00284911" w:rsidRPr="00EC395F">
                <w:rPr>
                  <w:rStyle w:val="Hipervnculo"/>
                  <w:rFonts w:ascii="Palatino Linotype" w:hAnsi="Palatino Linotype"/>
                  <w:i/>
                  <w:sz w:val="20"/>
                  <w:szCs w:val="20"/>
                </w:rPr>
                <w:t>http://www.sanfelipedelprogreso.gob.mx/ley-general-de-contabilidad-gubernamental.html</w:t>
              </w:r>
            </w:hyperlink>
          </w:p>
          <w:p w:rsidR="00284911" w:rsidRDefault="001266F4" w:rsidP="00284911">
            <w:pPr>
              <w:jc w:val="both"/>
              <w:rPr>
                <w:rFonts w:ascii="Palatino Linotype" w:hAnsi="Palatino Linotype"/>
                <w:i/>
                <w:sz w:val="20"/>
                <w:szCs w:val="20"/>
              </w:rPr>
            </w:pPr>
            <w:hyperlink r:id="rId11" w:history="1">
              <w:r w:rsidR="00284911" w:rsidRPr="00EC395F">
                <w:rPr>
                  <w:rStyle w:val="Hipervnculo"/>
                  <w:rFonts w:ascii="Palatino Linotype" w:hAnsi="Palatino Linotype"/>
                  <w:i/>
                  <w:sz w:val="20"/>
                  <w:szCs w:val="20"/>
                </w:rPr>
                <w:t>http://www.sanfelipedelprogreso.gob.mx/transparencia</w:t>
              </w:r>
            </w:hyperlink>
            <w:r w:rsidR="00284911">
              <w:rPr>
                <w:rFonts w:ascii="Palatino Linotype" w:hAnsi="Palatino Linotype"/>
                <w:i/>
                <w:sz w:val="20"/>
                <w:szCs w:val="20"/>
              </w:rPr>
              <w:t xml:space="preserve"> </w:t>
            </w:r>
          </w:p>
          <w:p w:rsidR="00284911" w:rsidRDefault="00284911" w:rsidP="00284911">
            <w:pPr>
              <w:jc w:val="both"/>
              <w:rPr>
                <w:rFonts w:ascii="Palatino Linotype" w:hAnsi="Palatino Linotype"/>
                <w:i/>
                <w:sz w:val="20"/>
                <w:szCs w:val="20"/>
              </w:rPr>
            </w:pPr>
          </w:p>
          <w:p w:rsidR="00284911" w:rsidRDefault="00284911" w:rsidP="00284911">
            <w:pPr>
              <w:jc w:val="both"/>
              <w:rPr>
                <w:rFonts w:ascii="Palatino Linotype" w:hAnsi="Palatino Linotype"/>
                <w:i/>
                <w:sz w:val="20"/>
                <w:szCs w:val="20"/>
              </w:rPr>
            </w:pPr>
            <w:r>
              <w:rPr>
                <w:rFonts w:ascii="Palatino Linotype" w:hAnsi="Palatino Linotype"/>
                <w:i/>
                <w:sz w:val="20"/>
                <w:szCs w:val="20"/>
              </w:rPr>
              <w:t>Del mismo modo refiere:</w:t>
            </w:r>
          </w:p>
          <w:p w:rsidR="00284911" w:rsidRDefault="00284911" w:rsidP="00284911">
            <w:pPr>
              <w:pStyle w:val="Prrafodelista"/>
              <w:numPr>
                <w:ilvl w:val="0"/>
                <w:numId w:val="7"/>
              </w:numPr>
              <w:jc w:val="both"/>
              <w:rPr>
                <w:rFonts w:ascii="Palatino Linotype" w:hAnsi="Palatino Linotype"/>
                <w:i/>
                <w:sz w:val="20"/>
                <w:szCs w:val="20"/>
              </w:rPr>
            </w:pPr>
            <w:r>
              <w:rPr>
                <w:rFonts w:ascii="Palatino Linotype" w:hAnsi="Palatino Linotype"/>
                <w:i/>
                <w:sz w:val="20"/>
                <w:szCs w:val="20"/>
              </w:rPr>
              <w:t>Número de luminarias instaladas en el municipio: 3746</w:t>
            </w:r>
          </w:p>
          <w:p w:rsidR="00284911" w:rsidRDefault="00284911" w:rsidP="00284911">
            <w:pPr>
              <w:pStyle w:val="Prrafodelista"/>
              <w:numPr>
                <w:ilvl w:val="0"/>
                <w:numId w:val="7"/>
              </w:numPr>
              <w:jc w:val="both"/>
              <w:rPr>
                <w:rFonts w:ascii="Palatino Linotype" w:hAnsi="Palatino Linotype"/>
                <w:i/>
                <w:sz w:val="20"/>
                <w:szCs w:val="20"/>
              </w:rPr>
            </w:pPr>
            <w:r>
              <w:rPr>
                <w:rFonts w:ascii="Palatino Linotype" w:hAnsi="Palatino Linotype"/>
                <w:i/>
                <w:sz w:val="20"/>
                <w:szCs w:val="20"/>
              </w:rPr>
              <w:t>Monto total facturado a la CFE en 2016: Febrero $104,275; Marzo $104,112; Abril $ 110,079</w:t>
            </w:r>
          </w:p>
          <w:p w:rsidR="00284911" w:rsidRPr="00284911" w:rsidRDefault="00284911" w:rsidP="00284911">
            <w:pPr>
              <w:pStyle w:val="Prrafodelista"/>
              <w:numPr>
                <w:ilvl w:val="0"/>
                <w:numId w:val="7"/>
              </w:numPr>
              <w:jc w:val="both"/>
              <w:rPr>
                <w:rFonts w:ascii="Palatino Linotype" w:hAnsi="Palatino Linotype"/>
                <w:i/>
                <w:sz w:val="20"/>
                <w:szCs w:val="20"/>
              </w:rPr>
            </w:pPr>
            <w:r>
              <w:rPr>
                <w:rFonts w:ascii="Palatino Linotype" w:hAnsi="Palatino Linotype"/>
                <w:i/>
                <w:sz w:val="20"/>
                <w:szCs w:val="20"/>
              </w:rPr>
              <w:t>Monto presupuestado para el ejercicio fiscal 2016 para alumbrado público: $5,800,000</w:t>
            </w:r>
          </w:p>
        </w:tc>
      </w:tr>
      <w:tr w:rsidR="005650E5" w:rsidRPr="0012294E" w:rsidTr="006705EA">
        <w:trPr>
          <w:trHeight w:val="917"/>
          <w:tblCellSpacing w:w="0" w:type="dxa"/>
        </w:trPr>
        <w:tc>
          <w:tcPr>
            <w:tcW w:w="1126" w:type="pct"/>
            <w:tcBorders>
              <w:top w:val="outset" w:sz="6" w:space="0" w:color="auto"/>
              <w:left w:val="outset" w:sz="6" w:space="0" w:color="auto"/>
              <w:bottom w:val="outset" w:sz="6" w:space="0" w:color="auto"/>
              <w:right w:val="outset" w:sz="6" w:space="0" w:color="auto"/>
            </w:tcBorders>
            <w:shd w:val="clear" w:color="auto" w:fill="auto"/>
            <w:vAlign w:val="center"/>
          </w:tcPr>
          <w:p w:rsidR="005650E5" w:rsidRPr="005650E5" w:rsidRDefault="001266F4" w:rsidP="005650E5">
            <w:pPr>
              <w:rPr>
                <w:rFonts w:ascii="Palatino Linotype" w:hAnsi="Palatino Linotype" w:cs="Arial"/>
                <w:i/>
                <w:sz w:val="20"/>
                <w:szCs w:val="20"/>
                <w:lang w:val="es-MX" w:eastAsia="es-MX"/>
              </w:rPr>
            </w:pPr>
            <w:hyperlink r:id="rId12" w:history="1">
              <w:r w:rsidR="005650E5" w:rsidRPr="005650E5">
                <w:rPr>
                  <w:rStyle w:val="Hipervnculo"/>
                  <w:rFonts w:ascii="Palatino Linotype" w:hAnsi="Palatino Linotype" w:cs="Arial"/>
                  <w:b/>
                  <w:bCs/>
                  <w:i/>
                  <w:color w:val="67C19D"/>
                  <w:sz w:val="20"/>
                  <w:szCs w:val="20"/>
                </w:rPr>
                <w:t>03 Libro 3er informe 2018 version 1 .pdf</w:t>
              </w:r>
            </w:hyperlink>
          </w:p>
          <w:p w:rsidR="005650E5" w:rsidRPr="005650E5" w:rsidRDefault="005650E5" w:rsidP="00284911">
            <w:pPr>
              <w:rPr>
                <w:rFonts w:ascii="Palatino Linotype" w:hAnsi="Palatino Linotype"/>
                <w:i/>
                <w:sz w:val="20"/>
                <w:szCs w:val="20"/>
              </w:rPr>
            </w:pPr>
          </w:p>
        </w:tc>
        <w:tc>
          <w:tcPr>
            <w:tcW w:w="3874" w:type="pct"/>
            <w:tcBorders>
              <w:top w:val="outset" w:sz="6" w:space="0" w:color="auto"/>
              <w:left w:val="outset" w:sz="6" w:space="0" w:color="auto"/>
              <w:bottom w:val="outset" w:sz="6" w:space="0" w:color="auto"/>
              <w:right w:val="outset" w:sz="6" w:space="0" w:color="auto"/>
            </w:tcBorders>
            <w:shd w:val="clear" w:color="auto" w:fill="auto"/>
            <w:vAlign w:val="center"/>
          </w:tcPr>
          <w:p w:rsidR="005650E5" w:rsidRDefault="00284911" w:rsidP="00284911">
            <w:pPr>
              <w:jc w:val="both"/>
              <w:rPr>
                <w:rFonts w:ascii="Palatino Linotype" w:hAnsi="Palatino Linotype"/>
                <w:i/>
                <w:sz w:val="20"/>
                <w:szCs w:val="20"/>
              </w:rPr>
            </w:pPr>
            <w:r>
              <w:rPr>
                <w:rFonts w:ascii="Palatino Linotype" w:hAnsi="Palatino Linotype"/>
                <w:i/>
                <w:sz w:val="20"/>
                <w:szCs w:val="20"/>
              </w:rPr>
              <w:t xml:space="preserve">Contiene el Tercer Informe de Gobierno del Presidente Municipal de San Felipe del Progreso Administración 2016-2018, constante de 80 </w:t>
            </w:r>
            <w:r w:rsidR="0031564B">
              <w:rPr>
                <w:rFonts w:ascii="Palatino Linotype" w:hAnsi="Palatino Linotype"/>
                <w:i/>
                <w:sz w:val="20"/>
                <w:szCs w:val="20"/>
              </w:rPr>
              <w:t>páginas</w:t>
            </w:r>
            <w:r>
              <w:rPr>
                <w:rFonts w:ascii="Palatino Linotype" w:hAnsi="Palatino Linotype"/>
                <w:i/>
                <w:sz w:val="20"/>
                <w:szCs w:val="20"/>
              </w:rPr>
              <w:t>.</w:t>
            </w:r>
          </w:p>
        </w:tc>
      </w:tr>
    </w:tbl>
    <w:p w:rsidR="00E5702D" w:rsidRDefault="00E5702D" w:rsidP="00E5702D"/>
    <w:p w:rsidR="006705EA" w:rsidRDefault="00E5702D" w:rsidP="006705EA">
      <w:pPr>
        <w:spacing w:before="240" w:after="240" w:line="360" w:lineRule="auto"/>
        <w:jc w:val="both"/>
        <w:rPr>
          <w:rFonts w:ascii="Palatino Linotype" w:hAnsi="Palatino Linotype"/>
        </w:rPr>
      </w:pPr>
      <w:r w:rsidRPr="006705EA">
        <w:rPr>
          <w:rFonts w:ascii="Palatino Linotype" w:hAnsi="Palatino Linotype"/>
        </w:rPr>
        <w:t xml:space="preserve">Al respecto es de suma importancia mencionar que en fecha </w:t>
      </w:r>
      <w:r w:rsidR="006705EA" w:rsidRPr="006705EA">
        <w:rPr>
          <w:rFonts w:ascii="Palatino Linotype" w:hAnsi="Palatino Linotype"/>
        </w:rPr>
        <w:t xml:space="preserve">seis de febrero de la anualidad en curso, únicamente </w:t>
      </w:r>
      <w:r w:rsidRPr="006705EA">
        <w:rPr>
          <w:rFonts w:ascii="Palatino Linotype" w:hAnsi="Palatino Linotype"/>
        </w:rPr>
        <w:t xml:space="preserve">se dio vista al recurrente del archivo electrónico </w:t>
      </w:r>
      <w:r w:rsidR="006705EA" w:rsidRPr="006705EA">
        <w:rPr>
          <w:rFonts w:ascii="Palatino Linotype" w:hAnsi="Palatino Linotype"/>
        </w:rPr>
        <w:t>denominado “</w:t>
      </w:r>
      <w:hyperlink r:id="rId13" w:history="1">
        <w:r w:rsidR="001266F4">
          <w:rPr>
            <w:rStyle w:val="Hipervnculo"/>
            <w:rFonts w:ascii="Palatino Linotype" w:hAnsi="Palatino Linotype" w:cs="Arial"/>
            <w:b/>
            <w:bCs/>
            <w:color w:val="67C19D"/>
          </w:rPr>
          <w:t>OFICIO 2016 transparencia XXXXXX</w:t>
        </w:r>
        <w:r w:rsidR="006705EA" w:rsidRPr="006705EA">
          <w:rPr>
            <w:rStyle w:val="Hipervnculo"/>
            <w:rFonts w:ascii="Palatino Linotype" w:hAnsi="Palatino Linotype" w:cs="Arial"/>
            <w:b/>
            <w:bCs/>
            <w:color w:val="67C19D"/>
          </w:rPr>
          <w:t xml:space="preserve"> </w:t>
        </w:r>
        <w:r w:rsidR="001266F4">
          <w:rPr>
            <w:rStyle w:val="Hipervnculo"/>
            <w:rFonts w:ascii="Palatino Linotype" w:hAnsi="Palatino Linotype" w:cs="Arial"/>
            <w:b/>
            <w:bCs/>
            <w:color w:val="67C19D"/>
          </w:rPr>
          <w:t>XXXXX</w:t>
        </w:r>
        <w:r w:rsidR="006705EA" w:rsidRPr="006705EA">
          <w:rPr>
            <w:rStyle w:val="Hipervnculo"/>
            <w:rFonts w:ascii="Palatino Linotype" w:hAnsi="Palatino Linotype" w:cs="Arial"/>
            <w:b/>
            <w:bCs/>
            <w:color w:val="67C19D"/>
          </w:rPr>
          <w:t>.pdf</w:t>
        </w:r>
      </w:hyperlink>
      <w:r w:rsidR="006705EA" w:rsidRPr="006705EA">
        <w:rPr>
          <w:rFonts w:ascii="Palatino Linotype" w:hAnsi="Palatino Linotype"/>
        </w:rPr>
        <w:t xml:space="preserve">” </w:t>
      </w:r>
      <w:r w:rsidRPr="006705EA">
        <w:rPr>
          <w:rFonts w:ascii="Palatino Linotype" w:hAnsi="Palatino Linotype"/>
        </w:rPr>
        <w:t>con la finalidad de que realizara las manifestaciones que estimara convenientes</w:t>
      </w:r>
      <w:r w:rsidR="006705EA">
        <w:rPr>
          <w:rFonts w:ascii="Palatino Linotype" w:hAnsi="Palatino Linotype"/>
        </w:rPr>
        <w:t>.</w:t>
      </w:r>
    </w:p>
    <w:p w:rsidR="00AA6B5B" w:rsidRPr="006705EA" w:rsidRDefault="006705EA" w:rsidP="006705EA">
      <w:pPr>
        <w:spacing w:before="240" w:after="240" w:line="360" w:lineRule="auto"/>
        <w:jc w:val="both"/>
        <w:rPr>
          <w:rFonts w:ascii="Palatino Linotype" w:hAnsi="Palatino Linotype"/>
        </w:rPr>
      </w:pPr>
      <w:r w:rsidRPr="006705EA">
        <w:rPr>
          <w:rFonts w:ascii="Palatino Linotype" w:hAnsi="Palatino Linotype"/>
        </w:rPr>
        <w:lastRenderedPageBreak/>
        <w:t xml:space="preserve">De las constancias que integran el recurso de revisión al rubro indicado se aprecia que el recurrente en fecha </w:t>
      </w:r>
      <w:r>
        <w:rPr>
          <w:rFonts w:ascii="Palatino Linotype" w:hAnsi="Palatino Linotype"/>
        </w:rPr>
        <w:t xml:space="preserve">once de febrero de </w:t>
      </w:r>
      <w:r w:rsidRPr="006705EA">
        <w:rPr>
          <w:rFonts w:ascii="Palatino Linotype" w:hAnsi="Palatino Linotype"/>
        </w:rPr>
        <w:t>l</w:t>
      </w:r>
      <w:r>
        <w:rPr>
          <w:rFonts w:ascii="Palatino Linotype" w:hAnsi="Palatino Linotype"/>
        </w:rPr>
        <w:t>a</w:t>
      </w:r>
      <w:r w:rsidRPr="006705EA">
        <w:rPr>
          <w:rFonts w:ascii="Palatino Linotype" w:hAnsi="Palatino Linotype"/>
        </w:rPr>
        <w:t xml:space="preserve"> anualidad en curso adjuntó el archivo electrónico denominado “</w:t>
      </w:r>
      <w:hyperlink r:id="rId14" w:history="1">
        <w:r w:rsidRPr="006705EA">
          <w:rPr>
            <w:rStyle w:val="Hipervnculo"/>
            <w:rFonts w:ascii="Palatino Linotype" w:hAnsi="Palatino Linotype" w:cs="Arial"/>
            <w:b/>
            <w:bCs/>
            <w:color w:val="67C19D"/>
          </w:rPr>
          <w:t>Escrito_Manifestaciones_04794_INFOEM_IP_RR_2018.docx</w:t>
        </w:r>
      </w:hyperlink>
      <w:r w:rsidRPr="006705EA">
        <w:rPr>
          <w:rFonts w:ascii="Palatino Linotype" w:hAnsi="Palatino Linotype"/>
        </w:rPr>
        <w:t>”</w:t>
      </w:r>
      <w:r>
        <w:rPr>
          <w:rFonts w:ascii="Palatino Linotype" w:hAnsi="Palatino Linotype"/>
        </w:rPr>
        <w:t xml:space="preserve">, a través del cual manifestó que </w:t>
      </w:r>
      <w:r w:rsidR="00AA6B5B" w:rsidRPr="00AA6B5B">
        <w:rPr>
          <w:rFonts w:ascii="Palatino Linotype" w:hAnsi="Palatino Linotype"/>
          <w:lang w:val="es-MX"/>
        </w:rPr>
        <w:t>los dos vínculos que le proporcionan no redirigen a ningún documento (</w:t>
      </w:r>
      <w:r w:rsidR="00AA6B5B" w:rsidRPr="00AA6B5B">
        <w:rPr>
          <w:rFonts w:ascii="Palatino Linotype" w:hAnsi="Palatino Linotype"/>
          <w:i/>
          <w:lang w:val="es-MX"/>
        </w:rPr>
        <w:t>anexa captura de pantalla para pronta referencia</w:t>
      </w:r>
      <w:r w:rsidR="00AA6B5B" w:rsidRPr="00AA6B5B">
        <w:rPr>
          <w:rFonts w:ascii="Palatino Linotype" w:hAnsi="Palatino Linotype"/>
          <w:lang w:val="es-MX"/>
        </w:rPr>
        <w:t>), de igual forma no se precisa que información de los apartados de la solicitud se encuentra en dichos vínculos; lo cual se muestra la opacidad del sujeto obligado</w:t>
      </w:r>
      <w:r w:rsidR="00AA6B5B">
        <w:rPr>
          <w:rFonts w:ascii="Palatino Linotype" w:hAnsi="Palatino Linotype"/>
          <w:lang w:val="es-MX"/>
        </w:rPr>
        <w:t>.</w:t>
      </w:r>
    </w:p>
    <w:p w:rsidR="00E5702D" w:rsidRPr="00A47AFF" w:rsidRDefault="00E5702D" w:rsidP="00E5702D">
      <w:pPr>
        <w:spacing w:before="240" w:after="240" w:line="360" w:lineRule="auto"/>
        <w:jc w:val="both"/>
        <w:rPr>
          <w:rFonts w:ascii="Palatino Linotype" w:hAnsi="Palatino Linotype"/>
          <w:b/>
        </w:rPr>
      </w:pPr>
      <w:r>
        <w:rPr>
          <w:rFonts w:ascii="Palatino Linotype" w:hAnsi="Palatino Linotype"/>
          <w:b/>
        </w:rPr>
        <w:t>7</w:t>
      </w:r>
      <w:r w:rsidRPr="00A47AFF">
        <w:rPr>
          <w:rFonts w:ascii="Palatino Linotype" w:hAnsi="Palatino Linotype"/>
          <w:b/>
        </w:rPr>
        <w:t xml:space="preserve">. Cierre de Instrucción. </w:t>
      </w:r>
      <w:r w:rsidRPr="00A47AFF">
        <w:rPr>
          <w:rFonts w:ascii="Palatino Linotype" w:hAnsi="Palatino Linotype"/>
        </w:rPr>
        <w:t xml:space="preserve">En </w:t>
      </w:r>
      <w:r w:rsidRPr="00D93A42">
        <w:rPr>
          <w:rFonts w:ascii="Palatino Linotype" w:hAnsi="Palatino Linotype"/>
        </w:rPr>
        <w:t xml:space="preserve">fecha </w:t>
      </w:r>
      <w:r w:rsidR="0086789E" w:rsidRPr="0086789E">
        <w:rPr>
          <w:rFonts w:ascii="Palatino Linotype" w:hAnsi="Palatino Linotype"/>
        </w:rPr>
        <w:t xml:space="preserve">veintiuno </w:t>
      </w:r>
      <w:r w:rsidR="00AA6B5B" w:rsidRPr="0086789E">
        <w:rPr>
          <w:rFonts w:ascii="Palatino Linotype" w:hAnsi="Palatino Linotype"/>
        </w:rPr>
        <w:t xml:space="preserve">de febrero </w:t>
      </w:r>
      <w:r w:rsidRPr="0086789E">
        <w:rPr>
          <w:rFonts w:ascii="Palatino Linotype" w:hAnsi="Palatino Linotype"/>
        </w:rPr>
        <w:t>de dos mil diecinueve,</w:t>
      </w:r>
      <w:r w:rsidRPr="0011644B">
        <w:rPr>
          <w:rFonts w:ascii="Palatino Linotype" w:hAnsi="Palatino Linotype"/>
        </w:rPr>
        <w:t xml:space="preserve"> </w:t>
      </w:r>
      <w:r w:rsidRPr="00A47AFF">
        <w:rPr>
          <w:rFonts w:ascii="Palatino Linotype" w:hAnsi="Palatino Linotype"/>
        </w:rPr>
        <w:t xml:space="preserve">con fundamento en lo establecido en los artículos 185, fracción VI de la </w:t>
      </w:r>
      <w:r w:rsidRPr="00A47AFF">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E5702D" w:rsidRPr="00A47AFF" w:rsidRDefault="00E5702D" w:rsidP="00E5702D">
      <w:pPr>
        <w:pStyle w:val="Prrafodelista"/>
        <w:numPr>
          <w:ilvl w:val="0"/>
          <w:numId w:val="1"/>
        </w:numPr>
        <w:spacing w:before="240" w:after="240" w:line="360" w:lineRule="auto"/>
        <w:jc w:val="center"/>
        <w:rPr>
          <w:rFonts w:ascii="Palatino Linotype" w:hAnsi="Palatino Linotype" w:cs="Arial"/>
          <w:b/>
          <w:sz w:val="24"/>
          <w:szCs w:val="24"/>
        </w:rPr>
      </w:pPr>
      <w:r w:rsidRPr="00A47AFF">
        <w:rPr>
          <w:rFonts w:ascii="Palatino Linotype" w:hAnsi="Palatino Linotype" w:cs="Arial"/>
          <w:b/>
          <w:sz w:val="24"/>
          <w:szCs w:val="24"/>
        </w:rPr>
        <w:t>C O N S I D E R A N D O:</w:t>
      </w:r>
    </w:p>
    <w:p w:rsidR="00E5702D" w:rsidRPr="00A47AFF" w:rsidRDefault="00E5702D" w:rsidP="00E5702D">
      <w:pPr>
        <w:spacing w:before="240" w:after="240" w:line="360" w:lineRule="auto"/>
        <w:jc w:val="both"/>
        <w:rPr>
          <w:rFonts w:ascii="Palatino Linotype" w:hAnsi="Palatino Linotype"/>
          <w:shd w:val="clear" w:color="auto" w:fill="FFFFFF"/>
        </w:rPr>
      </w:pPr>
      <w:r w:rsidRPr="00A47AFF">
        <w:rPr>
          <w:rFonts w:ascii="Palatino Linotype" w:hAnsi="Palatino Linotype" w:cs="Arial"/>
          <w:b/>
        </w:rPr>
        <w:t xml:space="preserve">Primero. Competencia. </w:t>
      </w:r>
      <w:r w:rsidRPr="00A47AFF">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w:t>
      </w:r>
      <w:r w:rsidRPr="00A47AFF">
        <w:rPr>
          <w:rFonts w:ascii="Palatino Linotype" w:hAnsi="Palatino Linotype"/>
          <w:shd w:val="clear" w:color="auto" w:fill="FFFFFF"/>
        </w:rPr>
        <w:lastRenderedPageBreak/>
        <w:t>Pública;</w:t>
      </w:r>
      <w:r w:rsidRPr="00A47AFF">
        <w:rPr>
          <w:rStyle w:val="apple-converted-space"/>
          <w:rFonts w:ascii="Palatino Linotype" w:hAnsi="Palatino Linotype"/>
          <w:shd w:val="clear" w:color="auto" w:fill="FFFFFF"/>
        </w:rPr>
        <w:t xml:space="preserve"> 7, </w:t>
      </w:r>
      <w:r w:rsidRPr="00A47AFF">
        <w:rPr>
          <w:rFonts w:ascii="Palatino Linotype" w:hAnsi="Palatino Linotype" w:cs="Arial"/>
        </w:rPr>
        <w:t xml:space="preserve">9, fracciones I y XXIV y 11 </w:t>
      </w:r>
      <w:r w:rsidRPr="00A47AFF">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b/>
        </w:rPr>
        <w:t xml:space="preserve">Segundo. Oportunidad y Procedibilidad. </w:t>
      </w:r>
      <w:r w:rsidRPr="00A47AFF">
        <w:rPr>
          <w:rFonts w:ascii="Palatino Linotype" w:hAnsi="Palatino Linotype" w:cs="Arial"/>
        </w:rPr>
        <w:t>Es de precisar que la</w:t>
      </w:r>
      <w:r w:rsidRPr="00A47AFF">
        <w:rPr>
          <w:rFonts w:ascii="Palatino Linotype" w:hAnsi="Palatino Linotype" w:cs="Arial"/>
          <w:b/>
        </w:rPr>
        <w:t xml:space="preserve"> </w:t>
      </w:r>
      <w:r w:rsidRPr="00A47AFF">
        <w:rPr>
          <w:rFonts w:ascii="Palatino Linotype" w:hAnsi="Palatino Linotype" w:cs="Arial"/>
        </w:rPr>
        <w:t xml:space="preserve">Ley de Transparencia y Acceso a la Información Pública del Estado de México y Municipios, describe el mecanismo de procedencia de los recursos de revisión, como se dispone en los artículos 163 y 166, del tenor literal siguiente: </w:t>
      </w:r>
    </w:p>
    <w:p w:rsidR="00E5702D" w:rsidRPr="00A47AFF" w:rsidRDefault="00E5702D" w:rsidP="00E5702D">
      <w:pPr>
        <w:ind w:left="851" w:right="851"/>
        <w:jc w:val="both"/>
        <w:rPr>
          <w:rFonts w:ascii="Palatino Linotype" w:hAnsi="Palatino Linotype" w:cs="Arial"/>
          <w:i/>
        </w:rPr>
      </w:pPr>
      <w:r w:rsidRPr="00A47AFF">
        <w:rPr>
          <w:rFonts w:ascii="Palatino Linotype" w:hAnsi="Palatino Linotype" w:cs="Arial"/>
          <w:i/>
          <w:sz w:val="22"/>
          <w:szCs w:val="22"/>
          <w:lang w:val="es-MX"/>
        </w:rPr>
        <w:t>“</w:t>
      </w:r>
      <w:r w:rsidRPr="00A47AFF">
        <w:rPr>
          <w:rFonts w:ascii="Palatino Linotype" w:hAnsi="Palatino Linotype" w:cs="Arial"/>
          <w:b/>
          <w:bCs/>
          <w:i/>
          <w:sz w:val="22"/>
          <w:szCs w:val="22"/>
          <w:lang w:val="es-MX"/>
        </w:rPr>
        <w:t xml:space="preserve">Artículo 163. </w:t>
      </w:r>
      <w:r w:rsidRPr="00A47AFF">
        <w:rPr>
          <w:rFonts w:ascii="Palatino Linotype" w:hAnsi="Palatino Linotype" w:cs="Arial"/>
          <w:i/>
          <w:sz w:val="22"/>
          <w:szCs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rsidR="00E5702D" w:rsidRPr="00A47AFF" w:rsidRDefault="00E5702D" w:rsidP="00E5702D">
      <w:pPr>
        <w:ind w:left="851" w:right="851"/>
        <w:jc w:val="both"/>
        <w:rPr>
          <w:rFonts w:ascii="Palatino Linotype" w:hAnsi="Palatino Linotype" w:cs="Arial"/>
          <w:i/>
        </w:rPr>
      </w:pPr>
      <w:r w:rsidRPr="00A47AFF">
        <w:rPr>
          <w:rFonts w:ascii="Palatino Linotype" w:hAnsi="Palatino Linotype" w:cs="Arial"/>
          <w:i/>
          <w:sz w:val="22"/>
          <w:szCs w:val="22"/>
          <w:lang w:val="es-MX"/>
        </w:rPr>
        <w:t>(…)</w:t>
      </w:r>
    </w:p>
    <w:p w:rsidR="00E5702D" w:rsidRPr="00A47AFF" w:rsidRDefault="00E5702D" w:rsidP="00E5702D">
      <w:pPr>
        <w:ind w:left="851" w:right="851"/>
        <w:jc w:val="both"/>
        <w:rPr>
          <w:rFonts w:ascii="Palatino Linotype" w:hAnsi="Palatino Linotype" w:cs="Arial"/>
          <w:i/>
        </w:rPr>
      </w:pPr>
      <w:r w:rsidRPr="00A47AFF">
        <w:rPr>
          <w:rFonts w:ascii="Palatino Linotype" w:hAnsi="Palatino Linotype" w:cs="Arial"/>
          <w:b/>
          <w:i/>
          <w:sz w:val="22"/>
          <w:szCs w:val="22"/>
        </w:rPr>
        <w:t>Artículo 166.-</w:t>
      </w:r>
      <w:r w:rsidRPr="00A47AFF">
        <w:rPr>
          <w:rFonts w:ascii="Palatino Linotype" w:hAnsi="Palatino Linotype" w:cs="Arial"/>
          <w:i/>
          <w:sz w:val="22"/>
          <w:szCs w:val="22"/>
        </w:rPr>
        <w:t xml:space="preserve"> (…)</w:t>
      </w:r>
    </w:p>
    <w:p w:rsidR="00E5702D" w:rsidRPr="00A47AFF" w:rsidRDefault="00E5702D" w:rsidP="00E5702D">
      <w:pPr>
        <w:ind w:left="851" w:right="851"/>
        <w:jc w:val="both"/>
        <w:rPr>
          <w:rFonts w:ascii="Palatino Linotype" w:hAnsi="Palatino Linotype" w:cs="Arial"/>
          <w:i/>
        </w:rPr>
      </w:pPr>
      <w:r w:rsidRPr="00A47AFF">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rsidR="00E5702D" w:rsidRPr="00A47AFF" w:rsidRDefault="00E5702D" w:rsidP="00E5702D">
      <w:pPr>
        <w:ind w:left="851" w:right="851"/>
        <w:jc w:val="both"/>
        <w:rPr>
          <w:rFonts w:ascii="Palatino Linotype" w:hAnsi="Palatino Linotype" w:cs="Arial"/>
          <w:i/>
        </w:rPr>
      </w:pPr>
      <w:r w:rsidRPr="00A47AFF">
        <w:rPr>
          <w:rFonts w:ascii="Palatino Linotype" w:hAnsi="Palatino Linotype" w:cs="Arial"/>
          <w:i/>
          <w:sz w:val="22"/>
          <w:szCs w:val="22"/>
        </w:rPr>
        <w:t xml:space="preserve">(…)” </w:t>
      </w:r>
    </w:p>
    <w:p w:rsidR="00E5702D" w:rsidRPr="00A47AFF" w:rsidRDefault="00E5702D" w:rsidP="00E5702D">
      <w:pPr>
        <w:ind w:left="851" w:right="851"/>
        <w:jc w:val="both"/>
        <w:rPr>
          <w:rFonts w:ascii="Palatino Linotype" w:hAnsi="Palatino Linotype" w:cs="Arial"/>
          <w:i/>
        </w:rPr>
      </w:pPr>
      <w:r w:rsidRPr="00A47AFF">
        <w:rPr>
          <w:rFonts w:ascii="Palatino Linotype" w:hAnsi="Palatino Linotype" w:cs="Arial"/>
          <w:i/>
          <w:sz w:val="22"/>
          <w:szCs w:val="22"/>
        </w:rPr>
        <w:t>(Énfasis añadido)</w:t>
      </w: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E5702D" w:rsidRPr="00A47AFF" w:rsidRDefault="00E5702D" w:rsidP="00E5702D">
      <w:pPr>
        <w:spacing w:before="240" w:after="240" w:line="360" w:lineRule="auto"/>
        <w:jc w:val="both"/>
        <w:rPr>
          <w:rFonts w:ascii="Palatino Linotype" w:hAnsi="Palatino Linotype" w:cs="Arial"/>
          <w:i/>
        </w:rPr>
      </w:pPr>
      <w:r w:rsidRPr="00A47AFF">
        <w:rPr>
          <w:rFonts w:ascii="Palatino Linotype" w:hAnsi="Palatino Linotype" w:cs="Arial"/>
        </w:rPr>
        <w:t xml:space="preserve">Derivado de lo anterior, se constituye lo que en la doctrina se conoce como negativa ficta, figura jurídica cuya esencia consiste en atribuir un efecto negativo al silencio </w:t>
      </w:r>
      <w:r w:rsidRPr="00A47AFF">
        <w:rPr>
          <w:rFonts w:ascii="Palatino Linotype" w:hAnsi="Palatino Linotype" w:cs="Arial"/>
        </w:rPr>
        <w:lastRenderedPageBreak/>
        <w:t>de la autoridad administrativa frente a las instancias y solicitudes que hagan los particulares.</w:t>
      </w:r>
    </w:p>
    <w:p w:rsidR="00E5702D" w:rsidRPr="00A47AFF" w:rsidRDefault="00E5702D" w:rsidP="00E5702D">
      <w:pPr>
        <w:spacing w:before="240" w:after="240" w:line="360" w:lineRule="auto"/>
        <w:jc w:val="both"/>
        <w:rPr>
          <w:rFonts w:ascii="Palatino Linotype" w:hAnsi="Palatino Linotype" w:cs="Arial"/>
          <w:i/>
        </w:rPr>
      </w:pPr>
      <w:r w:rsidRPr="00A47AFF">
        <w:rPr>
          <w:rFonts w:ascii="Palatino Linotype" w:hAnsi="Palatino Linotype" w:cs="Arial"/>
        </w:rPr>
        <w:t>Por su parte, el artículo 178 del citado ordenamiento, establece:</w:t>
      </w:r>
    </w:p>
    <w:p w:rsidR="00E5702D" w:rsidRPr="00A47AFF" w:rsidRDefault="00E5702D" w:rsidP="00E5702D">
      <w:pPr>
        <w:ind w:left="851" w:right="851"/>
        <w:jc w:val="both"/>
        <w:rPr>
          <w:rFonts w:ascii="Palatino Linotype" w:hAnsi="Palatino Linotype" w:cs="Arial"/>
          <w:i/>
        </w:rPr>
      </w:pPr>
      <w:r w:rsidRPr="00A47AFF">
        <w:rPr>
          <w:rFonts w:ascii="Palatino Linotype" w:hAnsi="Palatino Linotype" w:cs="Arial"/>
          <w:i/>
          <w:sz w:val="22"/>
          <w:szCs w:val="22"/>
        </w:rPr>
        <w:t>“</w:t>
      </w:r>
      <w:r w:rsidRPr="00A47AFF">
        <w:rPr>
          <w:rFonts w:ascii="Palatino Linotype" w:hAnsi="Palatino Linotype" w:cs="Arial"/>
          <w:b/>
          <w:bCs/>
          <w:i/>
          <w:sz w:val="22"/>
          <w:szCs w:val="22"/>
        </w:rPr>
        <w:t xml:space="preserve">Artículo 178. </w:t>
      </w:r>
      <w:r w:rsidRPr="00A47AFF">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A47AFF">
        <w:rPr>
          <w:rFonts w:ascii="Palatino Linotype" w:hAnsi="Palatino Linotype" w:cs="Arial"/>
          <w:b/>
          <w:i/>
          <w:sz w:val="22"/>
          <w:szCs w:val="22"/>
        </w:rPr>
        <w:t>.”</w:t>
      </w: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rPr>
        <w:t xml:space="preserve">De lo anterior, se advierte que el recurso de revisión se ha de interponer dentro del plazo de quince días hábiles, a partir de la fecha en que el </w:t>
      </w:r>
      <w:r w:rsidRPr="00A47AFF">
        <w:rPr>
          <w:rFonts w:ascii="Palatino Linotype" w:hAnsi="Palatino Linotype" w:cs="Arial"/>
          <w:b/>
        </w:rPr>
        <w:t xml:space="preserve">Sujeto Obligado </w:t>
      </w:r>
      <w:r w:rsidRPr="00A47AFF">
        <w:rPr>
          <w:rFonts w:ascii="Palatino Linotype" w:hAnsi="Palatino Linotype" w:cs="Arial"/>
        </w:rPr>
        <w:t xml:space="preserve">da respuesta a la solicitud de información; sin embargo, tratándose de </w:t>
      </w:r>
      <w:r w:rsidRPr="00A47AFF">
        <w:rPr>
          <w:rFonts w:ascii="Palatino Linotype" w:hAnsi="Palatino Linotype" w:cs="Arial"/>
          <w:i/>
        </w:rPr>
        <w:t>negativa ficta</w:t>
      </w:r>
      <w:r w:rsidRPr="00A47AFF">
        <w:rPr>
          <w:rFonts w:ascii="Palatino Linotype" w:hAnsi="Palatino Linotype" w:cs="Arial"/>
        </w:rPr>
        <w:t xml:space="preserve"> no existe resolución que se haga del conocimiento del particular a partir de la cual pueda computarse dicho plazo, por lo que se concluye que la interposición del recurso de revisión puede ser en cualquier momento.</w:t>
      </w: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rPr>
        <w:t xml:space="preserve">La </w:t>
      </w:r>
      <w:r w:rsidRPr="00A47AFF">
        <w:rPr>
          <w:rFonts w:ascii="Palatino Linotype" w:hAnsi="Palatino Linotype" w:cs="Arial"/>
          <w:i/>
        </w:rPr>
        <w:t>negativa ficta</w:t>
      </w:r>
      <w:r w:rsidRPr="00A47AFF">
        <w:rPr>
          <w:rFonts w:ascii="Palatino Linotype" w:hAnsi="Palatino Linotype" w:cs="Arial"/>
        </w:rPr>
        <w:t xml:space="preserve"> constituye una presunción legal, en el entendido de que donde no hubo respuesta por parte del </w:t>
      </w:r>
      <w:r w:rsidRPr="00A47AFF">
        <w:rPr>
          <w:rFonts w:ascii="Palatino Linotype" w:hAnsi="Palatino Linotype" w:cs="Arial"/>
          <w:b/>
        </w:rPr>
        <w:t xml:space="preserve">Sujeto Obligado </w:t>
      </w:r>
      <w:r w:rsidRPr="00A47AFF">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A47AFF">
        <w:rPr>
          <w:rFonts w:ascii="Palatino Linotype" w:hAnsi="Palatino Linotype" w:cs="Arial"/>
          <w:i/>
        </w:rPr>
        <w:t>Estado de Derecho</w:t>
      </w:r>
      <w:r w:rsidRPr="00A47AFF">
        <w:rPr>
          <w:rFonts w:ascii="Palatino Linotype" w:hAnsi="Palatino Linotype" w:cs="Arial"/>
        </w:rPr>
        <w:t xml:space="preserve"> en el que, el particular, tiene siempre una vía de defensa en contra de los actos autoritarios que le perjudican.</w:t>
      </w: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rPr>
        <w:t xml:space="preserve">En el marco del derecho de acceso a la información pública, la figura de la </w:t>
      </w:r>
      <w:r w:rsidRPr="00A47AFF">
        <w:rPr>
          <w:rFonts w:ascii="Palatino Linotype" w:hAnsi="Palatino Linotype" w:cs="Arial"/>
          <w:i/>
        </w:rPr>
        <w:t>negativa ficta</w:t>
      </w:r>
      <w:r w:rsidRPr="00A47AFF">
        <w:rPr>
          <w:rFonts w:ascii="Palatino Linotype" w:hAnsi="Palatino Linotype" w:cs="Arial"/>
        </w:rPr>
        <w:t xml:space="preserve"> brinda al ciudadano la oportunidad de inconformarse en los casos en que estime </w:t>
      </w:r>
      <w:r w:rsidRPr="00A47AFF">
        <w:rPr>
          <w:rFonts w:ascii="Palatino Linotype" w:hAnsi="Palatino Linotype" w:cs="Arial"/>
        </w:rPr>
        <w:lastRenderedPageBreak/>
        <w:t>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E5702D" w:rsidRPr="00A47AFF" w:rsidRDefault="00E5702D" w:rsidP="00E5702D">
      <w:pPr>
        <w:spacing w:before="240" w:after="240" w:line="360" w:lineRule="auto"/>
        <w:jc w:val="both"/>
        <w:rPr>
          <w:rFonts w:ascii="Palatino Linotype" w:hAnsi="Palatino Linotype" w:cs="Arial"/>
          <w:i/>
          <w:lang w:val="es-MX"/>
        </w:rPr>
      </w:pPr>
      <w:r w:rsidRPr="00A47AFF">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Pr="00A47AFF">
        <w:rPr>
          <w:rFonts w:ascii="Palatino Linotype" w:hAnsi="Palatino Linotype" w:cs="Arial"/>
          <w:b/>
        </w:rPr>
        <w:t>Sujeto Obligado</w:t>
      </w:r>
      <w:r w:rsidRPr="00A47AFF">
        <w:rPr>
          <w:rFonts w:ascii="Palatino Linotype" w:hAnsi="Palatino Linotype" w:cs="Arial"/>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E5702D" w:rsidRPr="002A430E" w:rsidRDefault="00E5702D" w:rsidP="00E5702D">
      <w:pPr>
        <w:ind w:left="851" w:right="851"/>
        <w:jc w:val="both"/>
        <w:rPr>
          <w:rFonts w:ascii="Palatino Linotype" w:hAnsi="Palatino Linotype" w:cs="Arial"/>
          <w:i/>
          <w:sz w:val="21"/>
          <w:szCs w:val="21"/>
        </w:rPr>
      </w:pPr>
      <w:r w:rsidRPr="002A430E">
        <w:rPr>
          <w:rFonts w:ascii="Palatino Linotype" w:hAnsi="Palatino Linotype" w:cs="Arial"/>
          <w:b/>
          <w:i/>
          <w:sz w:val="21"/>
          <w:szCs w:val="21"/>
          <w:lang w:val="es-MX"/>
        </w:rPr>
        <w:t>“CRITERIO 0001-15. NEGATIVA FICTA. PLAZO PARA INTERPONER EL RECURSO DE REVISIÓN TRATÁNDOSE DE</w:t>
      </w:r>
      <w:r w:rsidRPr="002A430E">
        <w:rPr>
          <w:rFonts w:ascii="Palatino Linotype" w:hAnsi="Palatino Linotype" w:cs="Arial"/>
          <w:i/>
          <w:sz w:val="21"/>
          <w:szCs w:val="21"/>
          <w:lang w:val="es-MX"/>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w:t>
      </w:r>
      <w:r w:rsidRPr="002A430E">
        <w:rPr>
          <w:rFonts w:ascii="Palatino Linotype" w:hAnsi="Palatino Linotype" w:cs="Arial"/>
          <w:i/>
          <w:sz w:val="21"/>
          <w:szCs w:val="21"/>
          <w:lang w:val="es-MX"/>
        </w:rPr>
        <w:lastRenderedPageBreak/>
        <w:t>es decir, mientras no haya respuesta por parte del Sujeto Obligado, momento a partir del cual deberá computarse el plazo previsto en el artículo 72 de la citada Ley.”</w:t>
      </w:r>
    </w:p>
    <w:p w:rsidR="00E5702D" w:rsidRPr="002A430E" w:rsidRDefault="00E5702D" w:rsidP="00E5702D">
      <w:pPr>
        <w:ind w:left="851" w:right="851"/>
        <w:jc w:val="both"/>
        <w:rPr>
          <w:rFonts w:ascii="Palatino Linotype" w:hAnsi="Palatino Linotype" w:cs="Arial"/>
          <w:i/>
          <w:sz w:val="21"/>
          <w:szCs w:val="21"/>
        </w:rPr>
      </w:pPr>
      <w:r w:rsidRPr="002A430E">
        <w:rPr>
          <w:rFonts w:ascii="Palatino Linotype" w:hAnsi="Palatino Linotype" w:cs="Arial"/>
          <w:i/>
          <w:sz w:val="21"/>
          <w:szCs w:val="21"/>
          <w:lang w:val="es-MX"/>
        </w:rPr>
        <w:t>(Énfasis añadido)</w:t>
      </w: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rPr>
        <w:t>Asimismo, tras la revisión de los escritos de interposición, se concluye la acreditación plena de todos y cada uno de los elementos formales exigidos por el artículo 180 de la Ley de Transparencia y Acceso a la Información Pública del Estado de México y Municipios.</w:t>
      </w: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rPr>
        <w:t>Del análisis efectuado se advierte que resulta pr</w:t>
      </w:r>
      <w:r>
        <w:rPr>
          <w:rFonts w:ascii="Palatino Linotype" w:hAnsi="Palatino Linotype" w:cs="Arial"/>
        </w:rPr>
        <w:t>ocedente la interposición del recurso</w:t>
      </w:r>
      <w:r w:rsidRPr="00A47AFF">
        <w:rPr>
          <w:rFonts w:ascii="Palatino Linotype" w:hAnsi="Palatino Linotype" w:cs="Arial"/>
        </w:rPr>
        <w:t xml:space="preserve"> y se concluye la acreditación plena de todos y cada uno de los elementos formales exigidos por el artículo 180 </w:t>
      </w:r>
      <w:r w:rsidRPr="00A47AFF">
        <w:rPr>
          <w:rFonts w:ascii="Palatino Linotype" w:hAnsi="Palatino Linotype" w:cs="Arial"/>
          <w:lang w:val="es-ES_tradnl"/>
        </w:rPr>
        <w:t xml:space="preserve">de la </w:t>
      </w:r>
      <w:r w:rsidRPr="00A47AFF">
        <w:rPr>
          <w:rFonts w:ascii="Palatino Linotype" w:hAnsi="Palatino Linotype" w:cs="Arial"/>
        </w:rPr>
        <w:t xml:space="preserve">Ley de Transparencia y Acceso a la Información Pública del Estado de México y Municipios en vigor, en atención a que fue presentado mediante el formato visible </w:t>
      </w:r>
      <w:r w:rsidRPr="00A47AFF">
        <w:rPr>
          <w:rFonts w:ascii="Palatino Linotype" w:hAnsi="Palatino Linotype" w:cs="Arial"/>
          <w:b/>
        </w:rPr>
        <w:t xml:space="preserve">EL SAIMEX.  </w:t>
      </w:r>
    </w:p>
    <w:p w:rsidR="00E5702D" w:rsidRPr="00266E58" w:rsidRDefault="00E5702D" w:rsidP="00E5702D">
      <w:pPr>
        <w:tabs>
          <w:tab w:val="left" w:pos="8647"/>
        </w:tabs>
        <w:spacing w:before="240" w:after="240" w:line="360" w:lineRule="auto"/>
        <w:jc w:val="both"/>
        <w:rPr>
          <w:rFonts w:ascii="Palatino Linotype" w:hAnsi="Palatino Linotype" w:cs="Arial"/>
          <w:b/>
        </w:rPr>
      </w:pPr>
      <w:r w:rsidRPr="00A47AFF">
        <w:rPr>
          <w:rFonts w:ascii="Palatino Linotype" w:hAnsi="Palatino Linotype" w:cs="Arial"/>
          <w:b/>
        </w:rPr>
        <w:t xml:space="preserve">Tercero. </w:t>
      </w:r>
      <w:r w:rsidRPr="00266E58">
        <w:rPr>
          <w:rFonts w:ascii="Palatino Linotype" w:hAnsi="Palatino Linotype" w:cs="Arial"/>
          <w:b/>
          <w:lang w:eastAsia="es-MX"/>
        </w:rPr>
        <w:t xml:space="preserve">Cuestiones de previo y especial pronunciamiento </w:t>
      </w:r>
      <w:r w:rsidRPr="00266E58">
        <w:rPr>
          <w:rFonts w:ascii="Palatino Linotype" w:hAnsi="Palatino Linotype" w:cs="Arial"/>
        </w:rPr>
        <w:t>De manera previa al estudio del asunto se considera importante abordar el análisis de los requisitos de procedibilidad del recurso de revisión; así los artículos 180 y 181 de la Ley de Transparencia y Acceso a la Información Pública del Estado de México y Municipios, establecen lo siguiente:</w:t>
      </w:r>
    </w:p>
    <w:p w:rsidR="00E5702D" w:rsidRPr="002A430E" w:rsidRDefault="00E5702D" w:rsidP="00E5702D">
      <w:pPr>
        <w:ind w:left="992" w:right="992"/>
        <w:jc w:val="both"/>
        <w:rPr>
          <w:rFonts w:ascii="Palatino Linotype" w:eastAsiaTheme="minorHAnsi" w:hAnsi="Palatino Linotype" w:cs="Arial"/>
          <w:b/>
          <w:bCs/>
          <w:i/>
          <w:sz w:val="21"/>
          <w:szCs w:val="21"/>
          <w:lang w:val="es-MX" w:eastAsia="en-US"/>
        </w:rPr>
      </w:pPr>
      <w:r w:rsidRPr="002A430E">
        <w:rPr>
          <w:rFonts w:ascii="Palatino Linotype" w:hAnsi="Palatino Linotype"/>
          <w:i/>
          <w:sz w:val="21"/>
          <w:szCs w:val="21"/>
        </w:rPr>
        <w:t>“</w:t>
      </w:r>
      <w:r w:rsidRPr="002A430E">
        <w:rPr>
          <w:rFonts w:ascii="Palatino Linotype" w:eastAsiaTheme="minorHAnsi" w:hAnsi="Palatino Linotype" w:cs="Arial"/>
          <w:b/>
          <w:bCs/>
          <w:i/>
          <w:sz w:val="21"/>
          <w:szCs w:val="21"/>
          <w:lang w:val="es-MX" w:eastAsia="en-US"/>
        </w:rPr>
        <w:t xml:space="preserve">Artículo 180. </w:t>
      </w:r>
      <w:r w:rsidRPr="002A430E">
        <w:rPr>
          <w:rFonts w:ascii="Palatino Linotype" w:eastAsiaTheme="minorHAnsi" w:hAnsi="Palatino Linotype" w:cs="Arial"/>
          <w:i/>
          <w:sz w:val="21"/>
          <w:szCs w:val="21"/>
          <w:lang w:val="es-MX" w:eastAsia="en-US"/>
        </w:rPr>
        <w:t>El recurso de revisión contendrá:</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i/>
          <w:sz w:val="21"/>
          <w:szCs w:val="21"/>
          <w:lang w:val="es-MX" w:eastAsia="en-US"/>
        </w:rPr>
        <w:t>I. El sujeto obligado ante la cual se presentó la solicitud;</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b/>
          <w:bCs/>
          <w:i/>
          <w:sz w:val="21"/>
          <w:szCs w:val="21"/>
          <w:lang w:val="es-MX" w:eastAsia="en-US"/>
        </w:rPr>
        <w:t xml:space="preserve">II. </w:t>
      </w:r>
      <w:r w:rsidRPr="002A430E">
        <w:rPr>
          <w:rFonts w:ascii="Palatino Linotype" w:eastAsiaTheme="minorHAnsi" w:hAnsi="Palatino Linotype" w:cs="Arial"/>
          <w:b/>
          <w:i/>
          <w:sz w:val="21"/>
          <w:szCs w:val="21"/>
          <w:u w:val="single"/>
          <w:lang w:val="es-MX" w:eastAsia="en-US"/>
        </w:rPr>
        <w:t>El nombre del solicitante que recurre o de su representante y, en su caso, del tercero interesado, así como la dirección o</w:t>
      </w:r>
      <w:r w:rsidRPr="002A430E">
        <w:rPr>
          <w:rFonts w:ascii="Palatino Linotype" w:hAnsi="Palatino Linotype"/>
          <w:b/>
          <w:i/>
          <w:sz w:val="21"/>
          <w:szCs w:val="21"/>
          <w:u w:val="single"/>
        </w:rPr>
        <w:t xml:space="preserve"> </w:t>
      </w:r>
      <w:r w:rsidRPr="002A430E">
        <w:rPr>
          <w:rFonts w:ascii="Palatino Linotype" w:eastAsiaTheme="minorHAnsi" w:hAnsi="Palatino Linotype" w:cs="Arial"/>
          <w:b/>
          <w:i/>
          <w:sz w:val="21"/>
          <w:szCs w:val="21"/>
          <w:u w:val="single"/>
          <w:lang w:val="es-MX" w:eastAsia="en-US"/>
        </w:rPr>
        <w:t>medio que señale para recibir notificaciones;</w:t>
      </w:r>
      <w:r w:rsidRPr="002A430E">
        <w:rPr>
          <w:rFonts w:ascii="Palatino Linotype" w:hAnsi="Palatino Linotype"/>
          <w:i/>
          <w:sz w:val="21"/>
          <w:szCs w:val="21"/>
        </w:rPr>
        <w:t xml:space="preserve"> </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b/>
          <w:bCs/>
          <w:i/>
          <w:sz w:val="21"/>
          <w:szCs w:val="21"/>
          <w:lang w:val="es-MX" w:eastAsia="en-US"/>
        </w:rPr>
        <w:t xml:space="preserve">III. </w:t>
      </w:r>
      <w:r w:rsidRPr="002A430E">
        <w:rPr>
          <w:rFonts w:ascii="Palatino Linotype" w:eastAsiaTheme="minorHAnsi" w:hAnsi="Palatino Linotype" w:cs="Arial"/>
          <w:i/>
          <w:sz w:val="21"/>
          <w:szCs w:val="21"/>
          <w:lang w:val="es-MX" w:eastAsia="en-US"/>
        </w:rPr>
        <w:t>El número de folio de respuesta de la solicitud de acceso;</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b/>
          <w:bCs/>
          <w:i/>
          <w:sz w:val="21"/>
          <w:szCs w:val="21"/>
          <w:lang w:val="es-MX" w:eastAsia="en-US"/>
        </w:rPr>
        <w:t xml:space="preserve">IV. </w:t>
      </w:r>
      <w:r w:rsidRPr="002A430E">
        <w:rPr>
          <w:rFonts w:ascii="Palatino Linotype" w:eastAsiaTheme="minorHAnsi" w:hAnsi="Palatino Linotype" w:cs="Arial"/>
          <w:i/>
          <w:sz w:val="21"/>
          <w:szCs w:val="21"/>
          <w:lang w:val="es-MX" w:eastAsia="en-US"/>
        </w:rPr>
        <w:t>La fecha en que fue notificada la respuesta al solicitante o tuvo conocimiento del acto reclamado, o de presentación de la solicitud, en caso de falta de respuesta;</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b/>
          <w:bCs/>
          <w:i/>
          <w:sz w:val="21"/>
          <w:szCs w:val="21"/>
          <w:lang w:val="es-MX" w:eastAsia="en-US"/>
        </w:rPr>
        <w:t xml:space="preserve">V. </w:t>
      </w:r>
      <w:r w:rsidRPr="002A430E">
        <w:rPr>
          <w:rFonts w:ascii="Palatino Linotype" w:eastAsiaTheme="minorHAnsi" w:hAnsi="Palatino Linotype" w:cs="Arial"/>
          <w:i/>
          <w:sz w:val="21"/>
          <w:szCs w:val="21"/>
          <w:lang w:val="es-MX" w:eastAsia="en-US"/>
        </w:rPr>
        <w:t>El acto que se recurre;</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b/>
          <w:bCs/>
          <w:i/>
          <w:sz w:val="21"/>
          <w:szCs w:val="21"/>
          <w:lang w:val="es-MX" w:eastAsia="en-US"/>
        </w:rPr>
        <w:t xml:space="preserve">VI. </w:t>
      </w:r>
      <w:r w:rsidRPr="002A430E">
        <w:rPr>
          <w:rFonts w:ascii="Palatino Linotype" w:eastAsiaTheme="minorHAnsi" w:hAnsi="Palatino Linotype" w:cs="Arial"/>
          <w:i/>
          <w:sz w:val="21"/>
          <w:szCs w:val="21"/>
          <w:lang w:val="es-MX" w:eastAsia="en-US"/>
        </w:rPr>
        <w:t>Las razones o motivos de inconformidad;</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b/>
          <w:bCs/>
          <w:i/>
          <w:sz w:val="21"/>
          <w:szCs w:val="21"/>
          <w:lang w:val="es-MX" w:eastAsia="en-US"/>
        </w:rPr>
        <w:lastRenderedPageBreak/>
        <w:t xml:space="preserve">VII. </w:t>
      </w:r>
      <w:r w:rsidRPr="002A430E">
        <w:rPr>
          <w:rFonts w:ascii="Palatino Linotype" w:eastAsiaTheme="minorHAnsi" w:hAnsi="Palatino Linotype" w:cs="Arial"/>
          <w:i/>
          <w:sz w:val="21"/>
          <w:szCs w:val="21"/>
          <w:lang w:val="es-MX" w:eastAsia="en-US"/>
        </w:rPr>
        <w:t>La copia de la respuesta que se impugna y, en su caso, de la notificación correspondiente, en el caso de respuesta de la</w:t>
      </w:r>
      <w:r w:rsidRPr="002A430E">
        <w:rPr>
          <w:rFonts w:ascii="Palatino Linotype" w:hAnsi="Palatino Linotype"/>
          <w:i/>
          <w:sz w:val="21"/>
          <w:szCs w:val="21"/>
        </w:rPr>
        <w:t xml:space="preserve"> </w:t>
      </w:r>
      <w:r w:rsidRPr="002A430E">
        <w:rPr>
          <w:rFonts w:ascii="Palatino Linotype" w:eastAsiaTheme="minorHAnsi" w:hAnsi="Palatino Linotype" w:cs="Arial"/>
          <w:i/>
          <w:sz w:val="21"/>
          <w:szCs w:val="21"/>
          <w:lang w:val="es-MX" w:eastAsia="en-US"/>
        </w:rPr>
        <w:t>solicitud; y</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b/>
          <w:bCs/>
          <w:i/>
          <w:sz w:val="21"/>
          <w:szCs w:val="21"/>
          <w:lang w:val="es-MX" w:eastAsia="en-US"/>
        </w:rPr>
        <w:t xml:space="preserve">VIII. </w:t>
      </w:r>
      <w:r w:rsidRPr="002A430E">
        <w:rPr>
          <w:rFonts w:ascii="Palatino Linotype" w:eastAsiaTheme="minorHAnsi" w:hAnsi="Palatino Linotype" w:cs="Arial"/>
          <w:i/>
          <w:sz w:val="21"/>
          <w:szCs w:val="21"/>
          <w:lang w:val="es-MX" w:eastAsia="en-US"/>
        </w:rPr>
        <w:t>Firma del recurrente o en su caso huella digital para el caso de que se presente por escrito, requisitos sin los cuales no</w:t>
      </w:r>
      <w:r w:rsidRPr="002A430E">
        <w:rPr>
          <w:rFonts w:ascii="Palatino Linotype" w:hAnsi="Palatino Linotype"/>
          <w:i/>
          <w:sz w:val="21"/>
          <w:szCs w:val="21"/>
        </w:rPr>
        <w:t xml:space="preserve"> </w:t>
      </w:r>
      <w:r w:rsidRPr="002A430E">
        <w:rPr>
          <w:rFonts w:ascii="Palatino Linotype" w:eastAsiaTheme="minorHAnsi" w:hAnsi="Palatino Linotype" w:cs="Arial"/>
          <w:i/>
          <w:sz w:val="21"/>
          <w:szCs w:val="21"/>
          <w:lang w:val="es-MX" w:eastAsia="en-US"/>
        </w:rPr>
        <w:t>se dará trámite al recurso.</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i/>
          <w:sz w:val="21"/>
          <w:szCs w:val="21"/>
          <w:lang w:val="es-MX" w:eastAsia="en-US"/>
        </w:rPr>
        <w:t>Adicionalmente, se podrán anexar las pruebas y demás elementos que considere procedentes someter a juicio del Instituto.</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i/>
          <w:sz w:val="21"/>
          <w:szCs w:val="21"/>
          <w:lang w:val="es-MX" w:eastAsia="en-US"/>
        </w:rPr>
        <w:t>En ningún caso será necesario que el particular ratifique el recurso de revisión interpuesto.</w:t>
      </w:r>
    </w:p>
    <w:p w:rsidR="00E5702D" w:rsidRPr="002A430E" w:rsidRDefault="00E5702D" w:rsidP="00E5702D">
      <w:pPr>
        <w:ind w:left="992" w:right="992"/>
        <w:jc w:val="both"/>
        <w:rPr>
          <w:rFonts w:ascii="Palatino Linotype" w:hAnsi="Palatino Linotype"/>
          <w:b/>
          <w:i/>
          <w:sz w:val="21"/>
          <w:szCs w:val="21"/>
          <w:u w:val="single"/>
        </w:rPr>
      </w:pPr>
      <w:r w:rsidRPr="002A430E">
        <w:rPr>
          <w:rFonts w:ascii="Palatino Linotype" w:eastAsiaTheme="minorHAnsi" w:hAnsi="Palatino Linotype" w:cs="Arial"/>
          <w:b/>
          <w:i/>
          <w:sz w:val="21"/>
          <w:szCs w:val="21"/>
          <w:u w:val="single"/>
          <w:lang w:val="es-MX" w:eastAsia="en-US"/>
        </w:rPr>
        <w:t>En caso de que el recurso se interponga de manera electrónica no será indispensable que contengan los requisitos</w:t>
      </w:r>
      <w:r w:rsidRPr="002A430E">
        <w:rPr>
          <w:rFonts w:ascii="Palatino Linotype" w:hAnsi="Palatino Linotype"/>
          <w:b/>
          <w:i/>
          <w:sz w:val="21"/>
          <w:szCs w:val="21"/>
          <w:u w:val="single"/>
        </w:rPr>
        <w:t xml:space="preserve"> </w:t>
      </w:r>
      <w:r w:rsidRPr="002A430E">
        <w:rPr>
          <w:rFonts w:ascii="Palatino Linotype" w:eastAsiaTheme="minorHAnsi" w:hAnsi="Palatino Linotype" w:cs="Arial"/>
          <w:b/>
          <w:i/>
          <w:sz w:val="21"/>
          <w:szCs w:val="21"/>
          <w:u w:val="single"/>
          <w:lang w:val="es-MX" w:eastAsia="en-US"/>
        </w:rPr>
        <w:t>establecidos en las fracciones II, IV, VII y VIII.</w:t>
      </w:r>
    </w:p>
    <w:p w:rsidR="00E5702D" w:rsidRPr="002A430E" w:rsidRDefault="00E5702D" w:rsidP="00E5702D">
      <w:pPr>
        <w:ind w:left="992" w:right="992"/>
        <w:jc w:val="both"/>
        <w:rPr>
          <w:rFonts w:ascii="Palatino Linotype" w:eastAsiaTheme="minorHAnsi" w:hAnsi="Palatino Linotype" w:cs="Arial"/>
          <w:b/>
          <w:bCs/>
          <w:i/>
          <w:sz w:val="21"/>
          <w:szCs w:val="21"/>
          <w:lang w:val="es-MX" w:eastAsia="en-US"/>
        </w:rPr>
      </w:pP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b/>
          <w:bCs/>
          <w:i/>
          <w:sz w:val="21"/>
          <w:szCs w:val="21"/>
          <w:lang w:val="es-MX" w:eastAsia="en-US"/>
        </w:rPr>
        <w:t xml:space="preserve">Artículo 181. </w:t>
      </w:r>
      <w:r w:rsidRPr="002A430E">
        <w:rPr>
          <w:rFonts w:ascii="Palatino Linotype" w:eastAsiaTheme="minorHAnsi" w:hAnsi="Palatino Linotype" w:cs="Arial"/>
          <w:i/>
          <w:sz w:val="21"/>
          <w:szCs w:val="21"/>
          <w:lang w:val="es-MX" w:eastAsia="en-US"/>
        </w:rPr>
        <w:t>Si el escrito de interposición del recurso no cumple con alguno de los requisitos establecidos en el artículo</w:t>
      </w:r>
      <w:r w:rsidRPr="002A430E">
        <w:rPr>
          <w:rFonts w:ascii="Palatino Linotype" w:hAnsi="Palatino Linotype"/>
          <w:i/>
          <w:sz w:val="21"/>
          <w:szCs w:val="21"/>
        </w:rPr>
        <w:t xml:space="preserve"> </w:t>
      </w:r>
      <w:r w:rsidRPr="002A430E">
        <w:rPr>
          <w:rFonts w:ascii="Palatino Linotype" w:eastAsiaTheme="minorHAnsi" w:hAnsi="Palatino Linotype" w:cs="Arial"/>
          <w:i/>
          <w:sz w:val="21"/>
          <w:szCs w:val="21"/>
          <w:lang w:val="es-MX" w:eastAsia="en-US"/>
        </w:rPr>
        <w:t>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i/>
          <w:sz w:val="21"/>
          <w:szCs w:val="21"/>
          <w:lang w:val="es-MX" w:eastAsia="en-US"/>
        </w:rPr>
        <w:t>La prevención tendrá el efecto de interrumpir el plazo que tiene el Instituto para resolver el recurso, por lo que comenzará a</w:t>
      </w:r>
      <w:r w:rsidRPr="002A430E">
        <w:rPr>
          <w:rFonts w:ascii="Palatino Linotype" w:hAnsi="Palatino Linotype"/>
          <w:i/>
          <w:sz w:val="21"/>
          <w:szCs w:val="21"/>
        </w:rPr>
        <w:t xml:space="preserve"> c</w:t>
      </w:r>
      <w:r w:rsidRPr="002A430E">
        <w:rPr>
          <w:rFonts w:ascii="Palatino Linotype" w:eastAsiaTheme="minorHAnsi" w:hAnsi="Palatino Linotype" w:cs="Arial"/>
          <w:i/>
          <w:sz w:val="21"/>
          <w:szCs w:val="21"/>
          <w:lang w:val="es-MX" w:eastAsia="en-US"/>
        </w:rPr>
        <w:t>omputarse a partir del día siguiente a su desahogo. No podrá prevenirse por el nombre que proporcione el solicitante.</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i/>
          <w:sz w:val="21"/>
          <w:szCs w:val="21"/>
          <w:lang w:val="es-MX" w:eastAsia="en-US"/>
        </w:rPr>
        <w:t>El Instituto resolverá el recurso de revisión en un plazo que no podrá exceder de treinta días hábiles, contados a partir de la</w:t>
      </w:r>
      <w:r w:rsidRPr="002A430E">
        <w:rPr>
          <w:rFonts w:ascii="Palatino Linotype" w:hAnsi="Palatino Linotype"/>
          <w:i/>
          <w:sz w:val="21"/>
          <w:szCs w:val="21"/>
        </w:rPr>
        <w:t xml:space="preserve"> </w:t>
      </w:r>
      <w:r w:rsidRPr="002A430E">
        <w:rPr>
          <w:rFonts w:ascii="Palatino Linotype" w:eastAsiaTheme="minorHAnsi" w:hAnsi="Palatino Linotype" w:cs="Arial"/>
          <w:i/>
          <w:sz w:val="21"/>
          <w:szCs w:val="21"/>
          <w:lang w:val="es-MX" w:eastAsia="en-US"/>
        </w:rPr>
        <w:t>admisión del mismo, en los términos que establezca la presente ley, plazo que podrá ampliarse por una sola vez y hasta por</w:t>
      </w:r>
      <w:r w:rsidRPr="002A430E">
        <w:rPr>
          <w:rFonts w:ascii="Palatino Linotype" w:hAnsi="Palatino Linotype"/>
          <w:i/>
          <w:sz w:val="21"/>
          <w:szCs w:val="21"/>
        </w:rPr>
        <w:t xml:space="preserve"> </w:t>
      </w:r>
      <w:r w:rsidRPr="002A430E">
        <w:rPr>
          <w:rFonts w:ascii="Palatino Linotype" w:eastAsiaTheme="minorHAnsi" w:hAnsi="Palatino Linotype" w:cs="Arial"/>
          <w:i/>
          <w:sz w:val="21"/>
          <w:szCs w:val="21"/>
          <w:lang w:val="es-MX" w:eastAsia="en-US"/>
        </w:rPr>
        <w:t>un periodo de quince días hábiles.</w:t>
      </w:r>
    </w:p>
    <w:p w:rsidR="00E5702D" w:rsidRPr="002A430E" w:rsidRDefault="00E5702D" w:rsidP="00E5702D">
      <w:pPr>
        <w:ind w:left="992" w:right="992"/>
        <w:jc w:val="both"/>
        <w:rPr>
          <w:rFonts w:ascii="Palatino Linotype" w:eastAsiaTheme="minorHAnsi" w:hAnsi="Palatino Linotype" w:cs="Arial"/>
          <w:b/>
          <w:i/>
          <w:sz w:val="21"/>
          <w:szCs w:val="21"/>
          <w:u w:val="single"/>
          <w:lang w:val="es-MX" w:eastAsia="en-US"/>
        </w:rPr>
      </w:pPr>
      <w:r w:rsidRPr="002A430E">
        <w:rPr>
          <w:rFonts w:ascii="Palatino Linotype" w:eastAsiaTheme="minorHAnsi" w:hAnsi="Palatino Linotype" w:cs="Arial"/>
          <w:b/>
          <w:i/>
          <w:sz w:val="21"/>
          <w:szCs w:val="21"/>
          <w:u w:val="single"/>
          <w:lang w:val="es-MX" w:eastAsia="en-US"/>
        </w:rPr>
        <w:t>Durante el procedimiento deberá aplicarse la suplencia de la queja a favor del recurrente, sin cambiar los hechos expuestos,</w:t>
      </w:r>
      <w:r w:rsidRPr="002A430E">
        <w:rPr>
          <w:rFonts w:ascii="Palatino Linotype" w:hAnsi="Palatino Linotype"/>
          <w:b/>
          <w:i/>
          <w:sz w:val="21"/>
          <w:szCs w:val="21"/>
          <w:u w:val="single"/>
        </w:rPr>
        <w:t xml:space="preserve"> </w:t>
      </w:r>
      <w:r w:rsidRPr="002A430E">
        <w:rPr>
          <w:rFonts w:ascii="Palatino Linotype" w:eastAsiaTheme="minorHAnsi" w:hAnsi="Palatino Linotype" w:cs="Arial"/>
          <w:b/>
          <w:i/>
          <w:sz w:val="21"/>
          <w:szCs w:val="21"/>
          <w:u w:val="single"/>
          <w:lang w:val="es-MX" w:eastAsia="en-US"/>
        </w:rPr>
        <w:t>asegurándose de que las partes puedan presentar, de manera oral o escrita, los argumentos que funden y motiven sus</w:t>
      </w:r>
      <w:r w:rsidRPr="002A430E">
        <w:rPr>
          <w:rFonts w:ascii="Palatino Linotype" w:hAnsi="Palatino Linotype"/>
          <w:b/>
          <w:i/>
          <w:sz w:val="21"/>
          <w:szCs w:val="21"/>
          <w:u w:val="single"/>
        </w:rPr>
        <w:t xml:space="preserve"> </w:t>
      </w:r>
      <w:r w:rsidRPr="002A430E">
        <w:rPr>
          <w:rFonts w:ascii="Palatino Linotype" w:eastAsiaTheme="minorHAnsi" w:hAnsi="Palatino Linotype" w:cs="Arial"/>
          <w:b/>
          <w:i/>
          <w:sz w:val="21"/>
          <w:szCs w:val="21"/>
          <w:u w:val="single"/>
          <w:lang w:val="es-MX" w:eastAsia="en-US"/>
        </w:rPr>
        <w:t>pretensiones.</w:t>
      </w:r>
    </w:p>
    <w:p w:rsidR="00E5702D" w:rsidRPr="002A430E" w:rsidRDefault="00E5702D" w:rsidP="00E5702D">
      <w:pPr>
        <w:ind w:left="992" w:right="992"/>
        <w:jc w:val="both"/>
        <w:rPr>
          <w:rFonts w:ascii="Palatino Linotype" w:hAnsi="Palatino Linotype"/>
          <w:i/>
          <w:sz w:val="21"/>
          <w:szCs w:val="21"/>
        </w:rPr>
      </w:pPr>
      <w:r w:rsidRPr="002A430E">
        <w:rPr>
          <w:rFonts w:ascii="Palatino Linotype" w:eastAsiaTheme="minorHAnsi" w:hAnsi="Palatino Linotype" w:cs="Arial"/>
          <w:i/>
          <w:sz w:val="21"/>
          <w:szCs w:val="21"/>
          <w:lang w:val="es-MX" w:eastAsia="en-US"/>
        </w:rPr>
        <w:t>Para el caso de interposición del recurso de revisión a través de la Plataforma Nacional o la plataforma que para tales efectos habilite el Instituto, éste podrá solicitar al particular subsane las deficiencias por ese medio..</w:t>
      </w:r>
      <w:r w:rsidRPr="002A430E">
        <w:rPr>
          <w:rFonts w:ascii="Palatino Linotype" w:hAnsi="Palatino Linotype"/>
          <w:i/>
          <w:sz w:val="21"/>
          <w:szCs w:val="21"/>
        </w:rPr>
        <w:t>.”</w:t>
      </w:r>
    </w:p>
    <w:p w:rsidR="00E5702D" w:rsidRPr="00266E58" w:rsidRDefault="00E5702D" w:rsidP="00E5702D">
      <w:pPr>
        <w:ind w:left="992" w:right="992"/>
        <w:jc w:val="both"/>
        <w:rPr>
          <w:rFonts w:ascii="Palatino Linotype" w:eastAsiaTheme="minorHAnsi" w:hAnsi="Palatino Linotype" w:cs="Arial"/>
          <w:i/>
          <w:sz w:val="22"/>
          <w:szCs w:val="22"/>
          <w:lang w:val="es-MX" w:eastAsia="en-US"/>
        </w:rPr>
      </w:pP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t xml:space="preserve">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procedibilidad de manera estricta, en el </w:t>
      </w:r>
      <w:r w:rsidRPr="00266E58">
        <w:rPr>
          <w:rFonts w:ascii="Palatino Linotype" w:hAnsi="Palatino Linotype"/>
        </w:rPr>
        <w:lastRenderedPageBreak/>
        <w:t>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determinación sólo es excepcional cuando la deficiencia de los recursos sea tan grave, que ésta sea materialmente imposible de subsanar.</w:t>
      </w: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t xml:space="preserve">Sobre el caso particular, de la revisión al SAIMEX se desprende que la parte solicitante en ejercicio de su derecho de acceso a la información pública en el expediente que se revisa, señaló en su solicitud como nombre el de </w:t>
      </w:r>
      <w:r w:rsidRPr="00266E58">
        <w:rPr>
          <w:rFonts w:ascii="Palatino Linotype" w:hAnsi="Palatino Linotype"/>
          <w:i/>
        </w:rPr>
        <w:t>“</w:t>
      </w:r>
      <w:r w:rsidR="00A55852">
        <w:rPr>
          <w:rFonts w:ascii="Palatino Linotype" w:hAnsi="Palatino Linotype"/>
          <w:i/>
        </w:rPr>
        <w:t>Xxxxxx Xxxxx</w:t>
      </w:r>
      <w:r w:rsidRPr="00266E58">
        <w:rPr>
          <w:rFonts w:ascii="Palatino Linotype" w:hAnsi="Palatino Linotype"/>
          <w:i/>
        </w:rPr>
        <w:t xml:space="preserve">” </w:t>
      </w:r>
      <w:r w:rsidRPr="00266E58">
        <w:rPr>
          <w:rFonts w:ascii="Palatino Linotype" w:hAnsi="Palatino Linotype"/>
        </w:rPr>
        <w:t xml:space="preserve">lo que se determina que no es el nombre </w:t>
      </w:r>
      <w:r>
        <w:rPr>
          <w:rFonts w:ascii="Palatino Linotype" w:hAnsi="Palatino Linotype"/>
        </w:rPr>
        <w:t xml:space="preserve">completo </w:t>
      </w:r>
      <w:r w:rsidRPr="00266E58">
        <w:rPr>
          <w:rFonts w:ascii="Palatino Linotype" w:hAnsi="Palatino Linotype"/>
        </w:rPr>
        <w:t>de una persona, y por ende no se tiene la certeza sobre su identidad, lo que en estricto sentido provoca que no se colmen los requisitos establecidos en el artículo 180 de la Ley de Transparencia y Acceso a la Información Pública del Estado de México y Municipios del Estado de México vigente.</w:t>
      </w: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t>No obstante lo anterior, el omitir señalar el nombre completo es un requisito subsanable por este Instituto, en el entendido de que no constituye un elemento indispensable para dictar resolución en el presente asunto.</w:t>
      </w: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rsidR="00E5702D" w:rsidRPr="002A430E" w:rsidRDefault="00E5702D" w:rsidP="00E5702D">
      <w:pPr>
        <w:ind w:left="992" w:right="992"/>
        <w:jc w:val="both"/>
        <w:rPr>
          <w:rFonts w:ascii="Palatino Linotype" w:hAnsi="Palatino Linotype"/>
          <w:b/>
          <w:i/>
          <w:sz w:val="21"/>
          <w:szCs w:val="21"/>
        </w:rPr>
      </w:pPr>
      <w:r w:rsidRPr="002A430E">
        <w:rPr>
          <w:rFonts w:ascii="Palatino Linotype" w:hAnsi="Palatino Linotype"/>
          <w:b/>
          <w:i/>
          <w:sz w:val="21"/>
          <w:szCs w:val="21"/>
        </w:rPr>
        <w:t>Constitución Política de los Estados Unidos Mexicanos</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lastRenderedPageBreak/>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A430E">
        <w:rPr>
          <w:rFonts w:ascii="Palatino Linotype" w:hAnsi="Palatino Linotype"/>
          <w:b/>
          <w:i/>
          <w:sz w:val="21"/>
          <w:szCs w:val="21"/>
          <w:u w:val="single"/>
        </w:rPr>
        <w:t>El derecho a la información será garantizado por el Estado.</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Para efectos de lo dispuesto en el presente artículo se observará lo siguiente: </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A. </w:t>
      </w:r>
      <w:r w:rsidRPr="002A430E">
        <w:rPr>
          <w:rFonts w:ascii="Palatino Linotype" w:hAnsi="Palatino Linotype"/>
          <w:b/>
          <w:i/>
          <w:sz w:val="21"/>
          <w:szCs w:val="21"/>
          <w:u w:val="single"/>
        </w:rPr>
        <w:t>Para el ejercicio del derecho de acceso a la información</w:t>
      </w:r>
      <w:r w:rsidRPr="002A430E">
        <w:rPr>
          <w:rFonts w:ascii="Palatino Linotype" w:hAnsi="Palatino Linotype"/>
          <w:i/>
          <w:sz w:val="21"/>
          <w:szCs w:val="21"/>
        </w:rPr>
        <w:t xml:space="preserve">, la Federación, </w:t>
      </w:r>
      <w:r w:rsidRPr="002A430E">
        <w:rPr>
          <w:rFonts w:ascii="Palatino Linotype" w:hAnsi="Palatino Linotype"/>
          <w:b/>
          <w:i/>
          <w:sz w:val="21"/>
          <w:szCs w:val="21"/>
          <w:u w:val="single"/>
        </w:rPr>
        <w:t>los Estados</w:t>
      </w:r>
      <w:r w:rsidRPr="002A430E">
        <w:rPr>
          <w:rFonts w:ascii="Palatino Linotype" w:hAnsi="Palatino Linotype"/>
          <w:i/>
          <w:sz w:val="21"/>
          <w:szCs w:val="21"/>
        </w:rPr>
        <w:t xml:space="preserve"> y el Distrito Federal, en el ámbito de sus respectivas competencias, se regirán por los siguientes principios y bases: </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I. </w:t>
      </w:r>
      <w:r w:rsidRPr="002A430E">
        <w:rPr>
          <w:rFonts w:ascii="Palatino Linotype" w:hAnsi="Palatino Linotype"/>
          <w:b/>
          <w:i/>
          <w:sz w:val="21"/>
          <w:szCs w:val="21"/>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A430E">
        <w:rPr>
          <w:rFonts w:ascii="Palatino Linotype" w:hAnsi="Palatino Linotype"/>
          <w:i/>
          <w:sz w:val="21"/>
          <w:szCs w:val="21"/>
        </w:rPr>
        <w:t xml:space="preserve"> y sólo podrá ser reservada temporalmente por razones de interés público y seguridad nacional, en los términos que fijen las leyes. </w:t>
      </w:r>
      <w:r w:rsidRPr="002A430E">
        <w:rPr>
          <w:rFonts w:ascii="Palatino Linotype" w:hAnsi="Palatino Linotype"/>
          <w:b/>
          <w:i/>
          <w:sz w:val="21"/>
          <w:szCs w:val="21"/>
          <w:u w:val="single"/>
        </w:rPr>
        <w:t>En la interpretación de este derecho deberá prevalecer el principio de máxima publicidad.</w:t>
      </w:r>
      <w:r w:rsidRPr="002A430E">
        <w:rPr>
          <w:rFonts w:ascii="Palatino Linotype" w:hAnsi="Palatino Linotype"/>
          <w:i/>
          <w:sz w:val="21"/>
          <w:szCs w:val="21"/>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II. La información que se refiere a la vida privada y los datos personales será protegida en los términos y con las excepciones que fijen las leyes. </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III. </w:t>
      </w:r>
      <w:r w:rsidRPr="002A430E">
        <w:rPr>
          <w:rFonts w:ascii="Palatino Linotype" w:hAnsi="Palatino Linotype"/>
          <w:b/>
          <w:i/>
          <w:sz w:val="21"/>
          <w:szCs w:val="21"/>
          <w:u w:val="single"/>
        </w:rPr>
        <w:t xml:space="preserve">Toda persona, sin necesidad de acreditar interés alguno o justificar su utilización, tendrá acceso gratuito a la información pública, </w:t>
      </w:r>
      <w:r w:rsidRPr="002A430E">
        <w:rPr>
          <w:rFonts w:ascii="Palatino Linotype" w:hAnsi="Palatino Linotype"/>
          <w:i/>
          <w:sz w:val="21"/>
          <w:szCs w:val="21"/>
        </w:rPr>
        <w:t xml:space="preserve">a sus datos personales o a la rectificación de éstos. </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IV. </w:t>
      </w:r>
      <w:r w:rsidRPr="002A430E">
        <w:rPr>
          <w:rFonts w:ascii="Palatino Linotype" w:hAnsi="Palatino Linotype"/>
          <w:b/>
          <w:i/>
          <w:sz w:val="21"/>
          <w:szCs w:val="21"/>
          <w:u w:val="single"/>
        </w:rPr>
        <w:t>Se establecerán mecanismos de acceso a la información y procedimientos de revisión expeditos que se sustanciarán ante los organismos autónomos especializados e imparciales que establece esta Constitución</w:t>
      </w:r>
      <w:r w:rsidRPr="002A430E">
        <w:rPr>
          <w:rFonts w:ascii="Palatino Linotype" w:hAnsi="Palatino Linotype"/>
          <w:i/>
          <w:sz w:val="21"/>
          <w:szCs w:val="21"/>
        </w:rPr>
        <w:t xml:space="preserve">.” </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(Énfasis añadido).</w:t>
      </w:r>
    </w:p>
    <w:p w:rsidR="00E5702D" w:rsidRPr="002A430E" w:rsidRDefault="00E5702D" w:rsidP="00E5702D">
      <w:pPr>
        <w:ind w:left="992" w:right="992"/>
        <w:jc w:val="both"/>
        <w:rPr>
          <w:rFonts w:ascii="Palatino Linotype" w:hAnsi="Palatino Linotype"/>
          <w:b/>
          <w:i/>
          <w:sz w:val="21"/>
          <w:szCs w:val="21"/>
        </w:rPr>
      </w:pPr>
    </w:p>
    <w:p w:rsidR="00E5702D" w:rsidRPr="002A430E" w:rsidRDefault="00E5702D" w:rsidP="00E5702D">
      <w:pPr>
        <w:ind w:left="992" w:right="992"/>
        <w:jc w:val="both"/>
        <w:rPr>
          <w:rFonts w:ascii="Palatino Linotype" w:hAnsi="Palatino Linotype"/>
          <w:b/>
          <w:i/>
          <w:sz w:val="21"/>
          <w:szCs w:val="21"/>
        </w:rPr>
      </w:pPr>
      <w:r w:rsidRPr="002A430E">
        <w:rPr>
          <w:rFonts w:ascii="Palatino Linotype" w:hAnsi="Palatino Linotype"/>
          <w:b/>
          <w:i/>
          <w:sz w:val="21"/>
          <w:szCs w:val="21"/>
        </w:rPr>
        <w:t>Constitución Política del Estado Libre y Soberano de México</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w:t>
      </w:r>
    </w:p>
    <w:p w:rsidR="00E5702D" w:rsidRPr="002A430E" w:rsidRDefault="00E5702D" w:rsidP="00E5702D">
      <w:pPr>
        <w:ind w:left="992" w:right="992"/>
        <w:jc w:val="both"/>
        <w:rPr>
          <w:rFonts w:ascii="Palatino Linotype" w:hAnsi="Palatino Linotype"/>
          <w:b/>
          <w:i/>
          <w:sz w:val="21"/>
          <w:szCs w:val="21"/>
          <w:u w:val="single"/>
        </w:rPr>
      </w:pPr>
      <w:r w:rsidRPr="002A430E">
        <w:rPr>
          <w:rFonts w:ascii="Palatino Linotype" w:hAnsi="Palatino Linotype"/>
          <w:i/>
          <w:sz w:val="21"/>
          <w:szCs w:val="21"/>
        </w:rPr>
        <w:t xml:space="preserve">Para garantizar el ejercicio del derecho de transparencia, acceso a la información pública y protección de datos personales, los poderes públicos y los organismos </w:t>
      </w:r>
      <w:r w:rsidRPr="002A430E">
        <w:rPr>
          <w:rFonts w:ascii="Palatino Linotype" w:hAnsi="Palatino Linotype"/>
          <w:i/>
          <w:sz w:val="21"/>
          <w:szCs w:val="21"/>
        </w:rPr>
        <w:lastRenderedPageBreak/>
        <w:t>autónomos, transparentarán sus acciones, en términos de las disposiciones aplicables, la información será oportuna, clara, veraz y de fácil acceso.</w:t>
      </w:r>
    </w:p>
    <w:p w:rsidR="00E5702D" w:rsidRPr="002A430E" w:rsidRDefault="00E5702D" w:rsidP="00E5702D">
      <w:pPr>
        <w:ind w:left="992" w:right="992"/>
        <w:jc w:val="both"/>
        <w:rPr>
          <w:rFonts w:ascii="Palatino Linotype" w:hAnsi="Palatino Linotype"/>
          <w:b/>
          <w:i/>
          <w:sz w:val="21"/>
          <w:szCs w:val="21"/>
          <w:u w:val="single"/>
        </w:rPr>
      </w:pPr>
      <w:r w:rsidRPr="002A430E">
        <w:rPr>
          <w:rFonts w:ascii="Palatino Linotype" w:hAnsi="Palatino Linotype"/>
          <w:i/>
          <w:sz w:val="21"/>
          <w:szCs w:val="21"/>
        </w:rPr>
        <w:t>Este derecho se regirá por los principios y bases siguientes:</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I. </w:t>
      </w:r>
      <w:r w:rsidRPr="002A430E">
        <w:rPr>
          <w:rFonts w:ascii="Palatino Linotype" w:hAnsi="Palatino Linotype"/>
          <w:b/>
          <w:i/>
          <w:sz w:val="21"/>
          <w:szCs w:val="21"/>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2A430E">
        <w:rPr>
          <w:rFonts w:ascii="Palatino Linotype" w:hAnsi="Palatino Linotype"/>
          <w:i/>
          <w:sz w:val="21"/>
          <w:szCs w:val="21"/>
        </w:rPr>
        <w:t xml:space="preserve">y sólo podrá ser reservada temporalmente por razones previstas en la Constitución Política de los Estados Unidos Mexicanos de interés público y seguridad, en los términos que fijen las leyes. </w:t>
      </w:r>
      <w:r w:rsidRPr="002A430E">
        <w:rPr>
          <w:rFonts w:ascii="Palatino Linotype" w:hAnsi="Palatino Linotype"/>
          <w:b/>
          <w:i/>
          <w:sz w:val="21"/>
          <w:szCs w:val="21"/>
        </w:rPr>
        <w:t>En la interpretación de este derecho deberá prevalecer el principio de máxima publicidad</w:t>
      </w:r>
      <w:r w:rsidRPr="002A430E">
        <w:rPr>
          <w:rFonts w:ascii="Palatino Linotype" w:hAnsi="Palatino Linotype"/>
          <w:i/>
          <w:sz w:val="21"/>
          <w:szCs w:val="21"/>
        </w:rPr>
        <w:t>. Los sujetos obligados deberán documentar todo acto que derive del ejercicio de sus facultades, competencias o funciones, la ley determinará los supuestos específicos bajo los cuales procederá la declaración de inexistencia de la información.</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III. </w:t>
      </w:r>
      <w:r w:rsidRPr="002A430E">
        <w:rPr>
          <w:rFonts w:ascii="Palatino Linotype" w:hAnsi="Palatino Linotype"/>
          <w:b/>
          <w:i/>
          <w:sz w:val="21"/>
          <w:szCs w:val="21"/>
          <w:u w:val="single"/>
        </w:rPr>
        <w:t>Toda persona, sin necesidad de acreditar interés alguno o justificar su utilización, tendrá acceso gratuito a la información pública</w:t>
      </w:r>
      <w:r w:rsidRPr="002A430E">
        <w:rPr>
          <w:rFonts w:ascii="Palatino Linotype" w:hAnsi="Palatino Linotype"/>
          <w:i/>
          <w:sz w:val="21"/>
          <w:szCs w:val="21"/>
        </w:rPr>
        <w:t>, a sus datos personales o a la rectificación de éstos;</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IV. Se establecerán mecanismos de acceso a la información y procedimientos de revisión expeditos que se sustanciarán ante el organismo autónomo especializado e imparcial que establece esta Constitución.</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V. Los procedimientos de acceso a la información pública, de acceso, corrección y supresión de datos personales, </w:t>
      </w:r>
      <w:r w:rsidRPr="002A430E">
        <w:rPr>
          <w:rFonts w:ascii="Palatino Linotype" w:hAnsi="Palatino Linotype"/>
          <w:b/>
          <w:i/>
          <w:sz w:val="21"/>
          <w:szCs w:val="21"/>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2A430E">
        <w:rPr>
          <w:rFonts w:ascii="Palatino Linotype" w:hAnsi="Palatino Linotype"/>
          <w:i/>
          <w:sz w:val="21"/>
          <w:szCs w:val="21"/>
        </w:rPr>
        <w:t>. Las resoluciones que correspondan a estos procedimientos se sistematizarán para favorecer su consulta.</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VI a VII. …</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lastRenderedPageBreak/>
        <w:t>(Énfasis añadido).</w:t>
      </w:r>
    </w:p>
    <w:p w:rsidR="00E5702D" w:rsidRPr="00266E58" w:rsidRDefault="00E5702D" w:rsidP="00E5702D">
      <w:pPr>
        <w:ind w:left="992" w:right="992"/>
        <w:jc w:val="both"/>
        <w:rPr>
          <w:rFonts w:ascii="Palatino Linotype" w:hAnsi="Palatino Linotype"/>
          <w:i/>
          <w:sz w:val="22"/>
          <w:szCs w:val="22"/>
        </w:rPr>
      </w:pP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t>Por otra parte, del contenido del artículo 1 de la Constitución Política de los Estados Unidos Mexicanos, se destaca lo siguiente:</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b/>
          <w:i/>
          <w:sz w:val="21"/>
          <w:szCs w:val="21"/>
          <w:u w:val="single"/>
        </w:rPr>
        <w:t>Las normas relativas a los derechos humanos se interpretarán</w:t>
      </w:r>
      <w:r w:rsidRPr="002A430E">
        <w:rPr>
          <w:rFonts w:ascii="Palatino Linotype" w:hAnsi="Palatino Linotype"/>
          <w:i/>
          <w:sz w:val="21"/>
          <w:szCs w:val="21"/>
        </w:rPr>
        <w:t xml:space="preserve"> de conformidad con esta Constitución y con los tratados internacionales de la materia </w:t>
      </w:r>
      <w:r w:rsidRPr="002A430E">
        <w:rPr>
          <w:rFonts w:ascii="Palatino Linotype" w:hAnsi="Palatino Linotype"/>
          <w:b/>
          <w:i/>
          <w:sz w:val="21"/>
          <w:szCs w:val="21"/>
          <w:u w:val="single"/>
        </w:rPr>
        <w:t>favoreciendo en todo tiempo a las personas la protección más amplia</w:t>
      </w:r>
      <w:r w:rsidRPr="002A430E">
        <w:rPr>
          <w:rFonts w:ascii="Palatino Linotype" w:hAnsi="Palatino Linotype"/>
          <w:i/>
          <w:sz w:val="21"/>
          <w:szCs w:val="21"/>
        </w:rPr>
        <w:t>.</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A430E">
        <w:rPr>
          <w:rFonts w:ascii="Palatino Linotype" w:hAnsi="Palatino Linotype"/>
          <w:i/>
          <w:sz w:val="21"/>
          <w:szCs w:val="21"/>
        </w:rPr>
        <w:t>. En consecuencia, el Estado deberá prevenir, investigar, sancionar y reparar las violaciones a los derechos humanos, en los términos que establezca la ley.”</w:t>
      </w:r>
    </w:p>
    <w:p w:rsidR="00E5702D" w:rsidRPr="002A430E" w:rsidRDefault="00E5702D" w:rsidP="00E5702D">
      <w:pPr>
        <w:ind w:left="992" w:right="992"/>
        <w:jc w:val="both"/>
        <w:rPr>
          <w:rFonts w:ascii="Palatino Linotype" w:hAnsi="Palatino Linotype"/>
          <w:i/>
          <w:sz w:val="21"/>
          <w:szCs w:val="21"/>
        </w:rPr>
      </w:pPr>
      <w:r w:rsidRPr="002A430E">
        <w:rPr>
          <w:rFonts w:ascii="Palatino Linotype" w:hAnsi="Palatino Linotype"/>
          <w:i/>
          <w:sz w:val="21"/>
          <w:szCs w:val="21"/>
        </w:rPr>
        <w:t>(Énfasis añadido).</w:t>
      </w:r>
    </w:p>
    <w:p w:rsidR="00E5702D" w:rsidRPr="00266E58" w:rsidRDefault="00E5702D" w:rsidP="00E5702D">
      <w:pPr>
        <w:ind w:left="992" w:right="992"/>
        <w:jc w:val="both"/>
        <w:rPr>
          <w:rFonts w:ascii="Palatino Linotype" w:hAnsi="Palatino Linotype"/>
          <w:i/>
          <w:sz w:val="22"/>
          <w:szCs w:val="22"/>
        </w:rPr>
      </w:pP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t>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t xml:space="preserve">En ese entendido, se omite un análisis más profundo en torno a los conceptos de interés jurídico y legitimación, debido a que se estima que a ningún efecto práctico </w:t>
      </w:r>
      <w:r w:rsidRPr="00266E58">
        <w:rPr>
          <w:rFonts w:ascii="Palatino Linotype" w:hAnsi="Palatino Linotype"/>
        </w:rPr>
        <w:lastRenderedPageBreak/>
        <w:t>conduciría, puesto que la propia estructura del derecho fundamental bajo análisis no lo exige.</w:t>
      </w: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t>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E5702D" w:rsidRPr="002A430E" w:rsidRDefault="00E5702D" w:rsidP="00E5702D">
      <w:pPr>
        <w:tabs>
          <w:tab w:val="left" w:pos="7655"/>
        </w:tabs>
        <w:ind w:left="992" w:right="992"/>
        <w:jc w:val="both"/>
        <w:rPr>
          <w:rFonts w:ascii="Palatino Linotype" w:hAnsi="Palatino Linotype"/>
          <w:i/>
          <w:sz w:val="21"/>
          <w:szCs w:val="21"/>
        </w:rPr>
      </w:pPr>
      <w:r w:rsidRPr="002A430E">
        <w:rPr>
          <w:rFonts w:ascii="Palatino Linotype" w:hAnsi="Palatino Linotype"/>
          <w:b/>
          <w:i/>
          <w:sz w:val="21"/>
          <w:szCs w:val="21"/>
        </w:rPr>
        <w:t>“Acceso a información gubernamental. No debe condicionarse a que el solicitante acredite su personalidad, demuestre interés alguno o justifique su utilización.</w:t>
      </w:r>
      <w:r w:rsidRPr="002A430E">
        <w:rPr>
          <w:rFonts w:ascii="Palatino Linotype" w:hAnsi="Palatino Linotype"/>
          <w:i/>
          <w:sz w:val="21"/>
          <w:szCs w:val="21"/>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5702D" w:rsidRPr="00266E58" w:rsidRDefault="00E5702D" w:rsidP="00E5702D">
      <w:pPr>
        <w:tabs>
          <w:tab w:val="left" w:pos="7655"/>
        </w:tabs>
        <w:ind w:left="992" w:right="992"/>
        <w:jc w:val="both"/>
        <w:rPr>
          <w:rFonts w:ascii="Palatino Linotype" w:hAnsi="Palatino Linotype"/>
          <w:i/>
          <w:sz w:val="22"/>
          <w:szCs w:val="22"/>
        </w:rPr>
      </w:pP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t>En ese orden de ideas, se estima que el requerimiento relativo al nombre como presupuesto de procedibilidad del Recurso de Revisión previsto por la Ley de Transparencia y Acceso a la Información Pública del Estado de México y Municipios vigente,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E5702D" w:rsidRPr="00266E58" w:rsidRDefault="00E5702D" w:rsidP="00E5702D">
      <w:pPr>
        <w:spacing w:before="240" w:after="240" w:line="360" w:lineRule="auto"/>
        <w:jc w:val="both"/>
        <w:rPr>
          <w:rFonts w:ascii="Palatino Linotype" w:hAnsi="Palatino Linotype"/>
        </w:rPr>
      </w:pPr>
      <w:r w:rsidRPr="00266E58">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párrafos vigésimo, vigésimo primero y vigésimo segundo 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E5702D" w:rsidRPr="00266E58" w:rsidRDefault="00E5702D" w:rsidP="00E5702D">
      <w:pPr>
        <w:pStyle w:val="paragraph"/>
        <w:spacing w:before="0" w:beforeAutospacing="0" w:after="0" w:afterAutospacing="0" w:line="360" w:lineRule="auto"/>
        <w:ind w:right="-150"/>
        <w:jc w:val="both"/>
        <w:textAlignment w:val="baseline"/>
        <w:rPr>
          <w:rFonts w:ascii="Palatino Linotype" w:hAnsi="Palatino Linotype"/>
        </w:rPr>
      </w:pPr>
      <w:r w:rsidRPr="00266E58">
        <w:rPr>
          <w:rFonts w:ascii="Palatino Linotype" w:hAnsi="Palatino Linotype"/>
        </w:rPr>
        <w:lastRenderedPageBreak/>
        <w:t>Por ende, se estima subsanada la deficiencia relativa a la falta de nombre completo del recurrente, en cumplimiento a lo dispuesto en el último párrafo del artículo 180 de la Ley de Transparencia y Acceso a la Información Pública del Estado de México y Municipios vigente, y por tanto, es posible proseguir en el dictado de la presente resolución.</w:t>
      </w:r>
    </w:p>
    <w:p w:rsidR="00E5702D" w:rsidRPr="00A47AFF" w:rsidRDefault="00E5702D" w:rsidP="00E5702D">
      <w:pPr>
        <w:tabs>
          <w:tab w:val="left" w:pos="8647"/>
        </w:tabs>
        <w:spacing w:before="240" w:after="240" w:line="360" w:lineRule="auto"/>
        <w:jc w:val="both"/>
        <w:rPr>
          <w:rFonts w:ascii="Palatino Linotype" w:hAnsi="Palatino Linotype" w:cs="Arial"/>
          <w:b/>
        </w:rPr>
      </w:pPr>
      <w:r w:rsidRPr="00266E58">
        <w:rPr>
          <w:rFonts w:ascii="Palatino Linotype" w:hAnsi="Palatino Linotype" w:cs="Arial"/>
          <w:b/>
        </w:rPr>
        <w:t>Cuarto.</w:t>
      </w:r>
      <w:r>
        <w:rPr>
          <w:rFonts w:ascii="Palatino Linotype" w:hAnsi="Palatino Linotype" w:cs="Arial"/>
          <w:b/>
        </w:rPr>
        <w:t xml:space="preserve"> </w:t>
      </w:r>
      <w:r w:rsidRPr="00A47AFF">
        <w:rPr>
          <w:rFonts w:ascii="Palatino Linotype" w:hAnsi="Palatino Linotype" w:cs="Arial"/>
          <w:b/>
        </w:rPr>
        <w:t xml:space="preserve">Materia de la revisión. </w:t>
      </w:r>
      <w:r w:rsidRPr="00A47AFF">
        <w:rPr>
          <w:rFonts w:ascii="Palatino Linotype" w:hAnsi="Palatino Linotype" w:cs="Arial"/>
        </w:rPr>
        <w:t xml:space="preserve">De la revisión a </w:t>
      </w:r>
      <w:r>
        <w:rPr>
          <w:rFonts w:ascii="Palatino Linotype" w:hAnsi="Palatino Linotype" w:cs="Arial"/>
        </w:rPr>
        <w:t>las constancias que obran en el expediente electrónico</w:t>
      </w:r>
      <w:r w:rsidRPr="00A47AFF">
        <w:rPr>
          <w:rFonts w:ascii="Palatino Linotype" w:hAnsi="Palatino Linotype" w:cs="Arial"/>
        </w:rPr>
        <w:t xml:space="preserve"> se advierte que el tema sobre el que este Instituto se pronunciará será: </w:t>
      </w:r>
      <w:r w:rsidRPr="00A47AFF">
        <w:rPr>
          <w:rFonts w:ascii="Palatino Linotype" w:hAnsi="Palatino Linotype" w:cs="Arial"/>
          <w:b/>
        </w:rPr>
        <w:t xml:space="preserve">verificar si el sujeto obligado en el ejercicio de sus atribuciones posee, administra o genera la información solicitada y si resulta procedente su entrega. </w:t>
      </w:r>
    </w:p>
    <w:p w:rsidR="00E5702D" w:rsidRPr="00A47AFF" w:rsidRDefault="00E5702D" w:rsidP="00E5702D">
      <w:pPr>
        <w:spacing w:before="240" w:after="240" w:line="360" w:lineRule="auto"/>
        <w:jc w:val="both"/>
        <w:rPr>
          <w:rFonts w:ascii="Palatino Linotype" w:hAnsi="Palatino Linotype" w:cs="Arial"/>
        </w:rPr>
      </w:pPr>
      <w:r>
        <w:rPr>
          <w:rFonts w:ascii="Palatino Linotype" w:hAnsi="Palatino Linotype" w:cs="Arial"/>
          <w:b/>
        </w:rPr>
        <w:t>Quin</w:t>
      </w:r>
      <w:r w:rsidRPr="00A47AFF">
        <w:rPr>
          <w:rFonts w:ascii="Palatino Linotype" w:hAnsi="Palatino Linotype" w:cs="Arial"/>
          <w:b/>
        </w:rPr>
        <w:t xml:space="preserve">to. Estudio del asunto. </w:t>
      </w:r>
      <w:r w:rsidRPr="00A47AFF">
        <w:rPr>
          <w:rFonts w:ascii="Palatino Linotype" w:hAnsi="Palatino Linotype" w:cs="Arial"/>
        </w:rPr>
        <w:t>Antes de entrar al estudio de la presente resolución es preciso determinar si resulta procedente la interposición de los recursos de revisión, toda vez que se actualiza la hipótesis prevista en el artículo 179, fracción VII de la ley de la materia, que a la letra dice:</w:t>
      </w:r>
    </w:p>
    <w:p w:rsidR="00E5702D" w:rsidRPr="00A47AFF" w:rsidRDefault="00E5702D" w:rsidP="00E5702D">
      <w:pPr>
        <w:ind w:left="851" w:right="851"/>
        <w:jc w:val="both"/>
        <w:rPr>
          <w:rFonts w:ascii="Palatino Linotype" w:hAnsi="Palatino Linotype" w:cs="Arial"/>
          <w:i/>
        </w:rPr>
      </w:pPr>
      <w:r w:rsidRPr="00A47AFF">
        <w:rPr>
          <w:rFonts w:ascii="Palatino Linotype" w:hAnsi="Palatino Linotype" w:cs="Arial"/>
          <w:bCs/>
          <w:i/>
          <w:sz w:val="22"/>
          <w:szCs w:val="22"/>
        </w:rPr>
        <w:t>“</w:t>
      </w:r>
      <w:r w:rsidRPr="00A47AFF">
        <w:rPr>
          <w:rFonts w:ascii="Palatino Linotype" w:hAnsi="Palatino Linotype" w:cs="Arial"/>
          <w:b/>
          <w:bCs/>
          <w:i/>
          <w:sz w:val="22"/>
          <w:szCs w:val="22"/>
        </w:rPr>
        <w:t xml:space="preserve">Artículo 179. </w:t>
      </w:r>
      <w:r w:rsidRPr="00A47AFF">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E5702D" w:rsidRPr="00A47AFF" w:rsidRDefault="00E5702D" w:rsidP="00E5702D">
      <w:pPr>
        <w:ind w:left="851" w:right="851"/>
        <w:jc w:val="both"/>
        <w:rPr>
          <w:rFonts w:ascii="Palatino Linotype" w:hAnsi="Palatino Linotype" w:cs="Arial"/>
          <w:i/>
        </w:rPr>
      </w:pPr>
      <w:r w:rsidRPr="00A47AFF">
        <w:rPr>
          <w:rFonts w:ascii="Palatino Linotype" w:hAnsi="Palatino Linotype" w:cs="Arial"/>
          <w:b/>
          <w:bCs/>
          <w:i/>
          <w:sz w:val="22"/>
          <w:szCs w:val="22"/>
        </w:rPr>
        <w:t>. . .</w:t>
      </w:r>
    </w:p>
    <w:p w:rsidR="00E5702D" w:rsidRPr="00A47AFF" w:rsidRDefault="00E5702D" w:rsidP="00E5702D">
      <w:pPr>
        <w:ind w:left="851" w:right="851"/>
        <w:jc w:val="both"/>
        <w:rPr>
          <w:rFonts w:ascii="Palatino Linotype" w:hAnsi="Palatino Linotype" w:cs="Arial"/>
          <w:i/>
          <w:sz w:val="22"/>
          <w:szCs w:val="22"/>
        </w:rPr>
      </w:pPr>
      <w:r w:rsidRPr="00A47AFF">
        <w:rPr>
          <w:rFonts w:ascii="Palatino Linotype" w:hAnsi="Palatino Linotype" w:cs="Arial"/>
          <w:b/>
          <w:bCs/>
          <w:i/>
          <w:sz w:val="22"/>
          <w:szCs w:val="22"/>
        </w:rPr>
        <w:t xml:space="preserve">VII. </w:t>
      </w:r>
      <w:r w:rsidRPr="00A47AFF">
        <w:rPr>
          <w:rFonts w:ascii="Palatino Linotype" w:hAnsi="Palatino Linotype" w:cs="Arial"/>
          <w:i/>
          <w:sz w:val="22"/>
          <w:szCs w:val="22"/>
        </w:rPr>
        <w:t>La falta de respuesta a una solicitud de acceso a la información;”</w:t>
      </w:r>
    </w:p>
    <w:p w:rsidR="00E5702D" w:rsidRPr="00A47AFF" w:rsidRDefault="00E5702D" w:rsidP="00E5702D">
      <w:pPr>
        <w:ind w:left="851" w:right="851"/>
        <w:jc w:val="both"/>
        <w:rPr>
          <w:rFonts w:ascii="Palatino Linotype" w:hAnsi="Palatino Linotype" w:cs="Arial"/>
          <w:i/>
        </w:rPr>
      </w:pP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rPr>
        <w:t xml:space="preserve">El precepto legal citado, establece como supuesto de procedencia del recurso de revisión, en aquellos casos en que el </w:t>
      </w:r>
      <w:r w:rsidRPr="00A47AFF">
        <w:rPr>
          <w:rFonts w:ascii="Palatino Linotype" w:hAnsi="Palatino Linotype" w:cs="Arial"/>
          <w:b/>
        </w:rPr>
        <w:t xml:space="preserve">recurrente </w:t>
      </w:r>
      <w:r w:rsidRPr="00A47AFF">
        <w:rPr>
          <w:rFonts w:ascii="Palatino Linotype" w:hAnsi="Palatino Linotype" w:cs="Arial"/>
        </w:rPr>
        <w:t xml:space="preserve">estime negado el acceso a la información por la falta de respuesta por el </w:t>
      </w:r>
      <w:r w:rsidRPr="00A47AFF">
        <w:rPr>
          <w:rFonts w:ascii="Palatino Linotype" w:hAnsi="Palatino Linotype" w:cs="Arial"/>
          <w:b/>
        </w:rPr>
        <w:t>Sujeto Obligado,</w:t>
      </w:r>
      <w:r w:rsidRPr="00A47AFF">
        <w:rPr>
          <w:rFonts w:ascii="Palatino Linotype" w:hAnsi="Palatino Linotype" w:cs="Arial"/>
        </w:rPr>
        <w:t xml:space="preserve"> luego, en este asunto se actualiza la hipótesis jurídica citada, en atención a que el </w:t>
      </w:r>
      <w:r w:rsidRPr="00A47AFF">
        <w:rPr>
          <w:rFonts w:ascii="Palatino Linotype" w:hAnsi="Palatino Linotype" w:cs="Arial"/>
          <w:b/>
        </w:rPr>
        <w:t xml:space="preserve">recurrente </w:t>
      </w:r>
      <w:r w:rsidRPr="00A47AFF">
        <w:rPr>
          <w:rFonts w:ascii="Palatino Linotype" w:hAnsi="Palatino Linotype" w:cs="Arial"/>
        </w:rPr>
        <w:t xml:space="preserve">combate falta </w:t>
      </w:r>
      <w:r w:rsidRPr="00A47AFF">
        <w:rPr>
          <w:rFonts w:ascii="Palatino Linotype" w:hAnsi="Palatino Linotype" w:cs="Arial"/>
        </w:rPr>
        <w:lastRenderedPageBreak/>
        <w:t xml:space="preserve">de trámite por el </w:t>
      </w:r>
      <w:r w:rsidRPr="00A47AFF">
        <w:rPr>
          <w:rFonts w:ascii="Palatino Linotype" w:hAnsi="Palatino Linotype" w:cs="Arial"/>
          <w:b/>
        </w:rPr>
        <w:t xml:space="preserve">Sujeto Obligado </w:t>
      </w:r>
      <w:r w:rsidRPr="00A47AFF">
        <w:rPr>
          <w:rFonts w:ascii="Palatino Linotype" w:hAnsi="Palatino Linotype" w:cs="Arial"/>
        </w:rPr>
        <w:t>y expresa motivos de inconformidad en contra de ella.</w:t>
      </w: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rPr>
        <w:t xml:space="preserve">El precepto legal citado, establece como supuesto de procedencia del recurso de revisión, en aquellos casos en que el </w:t>
      </w:r>
      <w:r w:rsidRPr="00A47AFF">
        <w:rPr>
          <w:rFonts w:ascii="Palatino Linotype" w:hAnsi="Palatino Linotype" w:cs="Arial"/>
          <w:b/>
        </w:rPr>
        <w:t xml:space="preserve">recurrente </w:t>
      </w:r>
      <w:r w:rsidRPr="00A47AFF">
        <w:rPr>
          <w:rFonts w:ascii="Palatino Linotype" w:hAnsi="Palatino Linotype" w:cs="Arial"/>
        </w:rPr>
        <w:t xml:space="preserve">estime negado el acceso a la información por la falta de respuesta por el </w:t>
      </w:r>
      <w:r w:rsidRPr="00A47AFF">
        <w:rPr>
          <w:rFonts w:ascii="Palatino Linotype" w:hAnsi="Palatino Linotype" w:cs="Arial"/>
          <w:b/>
        </w:rPr>
        <w:t>Sujeto Obligado,</w:t>
      </w:r>
      <w:r w:rsidRPr="00A47AFF">
        <w:rPr>
          <w:rFonts w:ascii="Palatino Linotype" w:hAnsi="Palatino Linotype" w:cs="Arial"/>
        </w:rPr>
        <w:t xml:space="preserve"> luego, en este asunto se actualiza la hipótesis jurídica citada, en atención a que el </w:t>
      </w:r>
      <w:r w:rsidRPr="00A47AFF">
        <w:rPr>
          <w:rFonts w:ascii="Palatino Linotype" w:hAnsi="Palatino Linotype" w:cs="Arial"/>
          <w:b/>
        </w:rPr>
        <w:t xml:space="preserve">recurrente </w:t>
      </w:r>
      <w:r w:rsidRPr="00A47AFF">
        <w:rPr>
          <w:rFonts w:ascii="Palatino Linotype" w:hAnsi="Palatino Linotype" w:cs="Arial"/>
        </w:rPr>
        <w:t xml:space="preserve">combate falta de trámite por el </w:t>
      </w:r>
      <w:r w:rsidRPr="00A47AFF">
        <w:rPr>
          <w:rFonts w:ascii="Palatino Linotype" w:hAnsi="Palatino Linotype" w:cs="Arial"/>
          <w:b/>
        </w:rPr>
        <w:t xml:space="preserve">Sujeto Obligado </w:t>
      </w:r>
      <w:r w:rsidRPr="00A47AFF">
        <w:rPr>
          <w:rFonts w:ascii="Palatino Linotype" w:hAnsi="Palatino Linotype" w:cs="Arial"/>
        </w:rPr>
        <w:t>y expresa motivos de inconformidad en contra de ella.</w:t>
      </w:r>
    </w:p>
    <w:p w:rsidR="00E5702D" w:rsidRPr="00A47AFF"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rPr>
        <w:t xml:space="preserve">Una vez determinada la vía sobre la que versará el presente recurso, y previa revisión </w:t>
      </w:r>
      <w:r>
        <w:rPr>
          <w:rFonts w:ascii="Palatino Linotype" w:hAnsi="Palatino Linotype" w:cs="Arial"/>
        </w:rPr>
        <w:t>del expediente del recurso</w:t>
      </w:r>
      <w:r w:rsidRPr="00A47AFF">
        <w:rPr>
          <w:rFonts w:ascii="Palatino Linotype" w:hAnsi="Palatino Linotype" w:cs="Arial"/>
        </w:rPr>
        <w:t xml:space="preserve"> de revisión materia de la presente resolución, se advierte que el </w:t>
      </w:r>
      <w:r w:rsidRPr="00A47AFF">
        <w:rPr>
          <w:rFonts w:ascii="Palatino Linotype" w:hAnsi="Palatino Linotype" w:cs="Arial"/>
          <w:b/>
        </w:rPr>
        <w:t xml:space="preserve">Sujeto Obligado </w:t>
      </w:r>
      <w:r>
        <w:rPr>
          <w:rFonts w:ascii="Palatino Linotype" w:hAnsi="Palatino Linotype" w:cs="Arial"/>
        </w:rPr>
        <w:t>no dio respuesta a la solicitud</w:t>
      </w:r>
      <w:r w:rsidRPr="00A47AFF">
        <w:rPr>
          <w:rFonts w:ascii="Palatino Linotype" w:hAnsi="Palatino Linotype" w:cs="Arial"/>
        </w:rPr>
        <w:t xml:space="preserve"> de información</w:t>
      </w:r>
      <w:r>
        <w:rPr>
          <w:rFonts w:ascii="Palatino Linotype" w:hAnsi="Palatino Linotype" w:cs="Arial"/>
        </w:rPr>
        <w:t xml:space="preserve"> planteada</w:t>
      </w:r>
      <w:r w:rsidRPr="00A47AFF">
        <w:rPr>
          <w:rFonts w:ascii="Palatino Linotype" w:hAnsi="Palatino Linotype" w:cs="Arial"/>
        </w:rPr>
        <w:t xml:space="preserve"> por el</w:t>
      </w:r>
      <w:r w:rsidRPr="00A47AFF">
        <w:rPr>
          <w:rFonts w:ascii="Palatino Linotype" w:hAnsi="Palatino Linotype" w:cs="Arial"/>
          <w:b/>
        </w:rPr>
        <w:t xml:space="preserve"> recurrente</w:t>
      </w:r>
      <w:r w:rsidRPr="00A47AFF">
        <w:rPr>
          <w:rFonts w:ascii="Palatino Linotype" w:hAnsi="Palatino Linotype" w:cs="Arial"/>
        </w:rPr>
        <w:t xml:space="preserve">, lo que se traduce como la configuración de la </w:t>
      </w:r>
      <w:r w:rsidRPr="00A47AFF">
        <w:rPr>
          <w:rFonts w:ascii="Palatino Linotype" w:hAnsi="Palatino Linotype" w:cs="Arial"/>
          <w:b/>
        </w:rPr>
        <w:t>NEGATIVA FICTA</w:t>
      </w:r>
      <w:r w:rsidRPr="00A47AFF">
        <w:rPr>
          <w:rFonts w:ascii="Palatino Linotype" w:hAnsi="Palatino Linotype" w:cs="Arial"/>
        </w:rPr>
        <w:t>, situación que demuestra la existencia del acto impugnado y procedencia del motivo de inconformidad, que en términos generales consistente en que el Sujeto Obligado</w:t>
      </w:r>
      <w:r>
        <w:rPr>
          <w:rFonts w:ascii="Palatino Linotype" w:hAnsi="Palatino Linotype" w:cs="Arial"/>
        </w:rPr>
        <w:t xml:space="preserve"> no emitió respuesta a la solicitud</w:t>
      </w:r>
      <w:r w:rsidRPr="00A47AFF">
        <w:rPr>
          <w:rFonts w:ascii="Palatino Linotype" w:hAnsi="Palatino Linotype" w:cs="Arial"/>
        </w:rPr>
        <w:t xml:space="preserve"> </w:t>
      </w:r>
      <w:r w:rsidRPr="00A47AFF">
        <w:rPr>
          <w:rFonts w:ascii="Palatino Linotype" w:hAnsi="Palatino Linotype" w:cs="Arial"/>
          <w:b/>
        </w:rPr>
        <w:t>00</w:t>
      </w:r>
      <w:r w:rsidR="00AA6B5B">
        <w:rPr>
          <w:rFonts w:ascii="Palatino Linotype" w:hAnsi="Palatino Linotype" w:cs="Arial"/>
          <w:b/>
        </w:rPr>
        <w:t>065</w:t>
      </w:r>
      <w:r w:rsidRPr="00A47AFF">
        <w:rPr>
          <w:rFonts w:ascii="Palatino Linotype" w:hAnsi="Palatino Linotype" w:cs="Arial"/>
          <w:b/>
        </w:rPr>
        <w:t>/</w:t>
      </w:r>
      <w:r w:rsidR="00AA6B5B">
        <w:rPr>
          <w:rFonts w:ascii="Palatino Linotype" w:hAnsi="Palatino Linotype" w:cs="Arial"/>
          <w:b/>
        </w:rPr>
        <w:t>FELIPRO</w:t>
      </w:r>
      <w:r w:rsidRPr="00A47AFF">
        <w:rPr>
          <w:rFonts w:ascii="Palatino Linotype" w:hAnsi="Palatino Linotype" w:cs="Arial"/>
          <w:b/>
        </w:rPr>
        <w:t>/IP/2018</w:t>
      </w:r>
      <w:r w:rsidRPr="00A47AFF">
        <w:rPr>
          <w:rFonts w:ascii="Palatino Linotype" w:hAnsi="Palatino Linotype" w:cs="Arial"/>
        </w:rPr>
        <w:t>, dentro del plazo legal previsto para ello.</w:t>
      </w:r>
    </w:p>
    <w:p w:rsidR="00E5702D" w:rsidRDefault="00E5702D" w:rsidP="00E5702D">
      <w:pPr>
        <w:spacing w:before="240" w:after="240" w:line="360" w:lineRule="auto"/>
        <w:jc w:val="both"/>
        <w:rPr>
          <w:rFonts w:ascii="Palatino Linotype" w:hAnsi="Palatino Linotype" w:cs="Arial"/>
        </w:rPr>
      </w:pPr>
      <w:r w:rsidRPr="00A47AFF">
        <w:rPr>
          <w:rFonts w:ascii="Palatino Linotype" w:hAnsi="Palatino Linotype" w:cs="Arial"/>
        </w:rPr>
        <w:t>Previo a exponer los argumentos que justifiquen la afirmación que antecede, es necesario precisar que de</w:t>
      </w:r>
      <w:r>
        <w:rPr>
          <w:rFonts w:ascii="Palatino Linotype" w:hAnsi="Palatino Linotype" w:cs="Arial"/>
        </w:rPr>
        <w:t>l análisis realizado a la</w:t>
      </w:r>
      <w:r w:rsidRPr="00A47AFF">
        <w:rPr>
          <w:rFonts w:ascii="Palatino Linotype" w:hAnsi="Palatino Linotype" w:cs="Arial"/>
        </w:rPr>
        <w:t xml:space="preserve"> solicitud formulada por el </w:t>
      </w:r>
      <w:r w:rsidRPr="00A47AFF">
        <w:rPr>
          <w:rFonts w:ascii="Palatino Linotype" w:hAnsi="Palatino Linotype" w:cs="Arial"/>
          <w:b/>
        </w:rPr>
        <w:t xml:space="preserve">recurrente, </w:t>
      </w:r>
      <w:r w:rsidRPr="00A47AFF">
        <w:rPr>
          <w:rFonts w:ascii="Palatino Linotype" w:hAnsi="Palatino Linotype" w:cs="Arial"/>
        </w:rPr>
        <w:t xml:space="preserve">se advierte que requirió al </w:t>
      </w:r>
      <w:r w:rsidRPr="00A47AFF">
        <w:rPr>
          <w:rFonts w:ascii="Palatino Linotype" w:hAnsi="Palatino Linotype" w:cs="Arial"/>
          <w:b/>
        </w:rPr>
        <w:t xml:space="preserve">Ayuntamiento de </w:t>
      </w:r>
      <w:r w:rsidR="00AA6B5B">
        <w:rPr>
          <w:rFonts w:ascii="Palatino Linotype" w:hAnsi="Palatino Linotype" w:cs="Arial"/>
          <w:b/>
        </w:rPr>
        <w:t xml:space="preserve">San Felipe del Progreso </w:t>
      </w:r>
      <w:r w:rsidRPr="00A47AFF">
        <w:rPr>
          <w:rFonts w:ascii="Palatino Linotype" w:hAnsi="Palatino Linotype" w:cs="Arial"/>
        </w:rPr>
        <w:t>que le proporcionara lo siguiente:</w:t>
      </w:r>
    </w:p>
    <w:p w:rsidR="001A0D06" w:rsidRPr="007A3379" w:rsidRDefault="001A0D06" w:rsidP="001A0D06">
      <w:pPr>
        <w:spacing w:before="240" w:after="240" w:line="360" w:lineRule="auto"/>
        <w:ind w:left="709" w:right="616"/>
        <w:jc w:val="both"/>
        <w:rPr>
          <w:rFonts w:ascii="Palatino Linotype" w:eastAsiaTheme="minorEastAsia" w:hAnsi="Palatino Linotype" w:cs="Arial"/>
          <w:b/>
          <w:bCs/>
          <w:i/>
          <w:sz w:val="22"/>
          <w:szCs w:val="22"/>
          <w:lang w:val="es-MX"/>
        </w:rPr>
      </w:pPr>
      <w:r>
        <w:rPr>
          <w:rFonts w:ascii="Arial" w:eastAsiaTheme="minorEastAsia" w:hAnsi="Arial" w:cs="Arial"/>
          <w:i/>
          <w:color w:val="000000"/>
          <w:lang w:val="es-MX"/>
        </w:rPr>
        <w:t>“</w:t>
      </w:r>
      <w:r w:rsidRPr="007A3379">
        <w:rPr>
          <w:rFonts w:ascii="Palatino Linotype" w:eastAsiaTheme="minorEastAsia" w:hAnsi="Palatino Linotype" w:cs="Arial"/>
          <w:b/>
          <w:bCs/>
          <w:i/>
          <w:sz w:val="22"/>
          <w:szCs w:val="22"/>
          <w:lang w:val="es-MX"/>
        </w:rPr>
        <w:t>I.- PRESUPUESTO DEL SISTEMA DE ALUMBRADO PÚBLICO MUNICIPAL.</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lastRenderedPageBreak/>
        <w:t xml:space="preserve">1. El </w:t>
      </w:r>
      <w:r w:rsidRPr="007A3379">
        <w:rPr>
          <w:rFonts w:ascii="Palatino Linotype" w:eastAsiaTheme="minorEastAsia" w:hAnsi="Palatino Linotype" w:cs="Arial"/>
          <w:i/>
          <w:iCs/>
          <w:sz w:val="22"/>
          <w:szCs w:val="22"/>
          <w:lang w:val="es-MX"/>
        </w:rPr>
        <w:t xml:space="preserve">importe por concepto </w:t>
      </w:r>
      <w:r w:rsidRPr="007A3379">
        <w:rPr>
          <w:rFonts w:ascii="Palatino Linotype" w:eastAsiaTheme="minorEastAsia" w:hAnsi="Palatino Linotype" w:cs="Arial"/>
          <w:i/>
          <w:sz w:val="22"/>
          <w:szCs w:val="22"/>
          <w:lang w:val="es-MX"/>
        </w:rPr>
        <w:t xml:space="preserve">de alumbrado público facturado por CFE en el municipio, desglosado ya sea por mes o bimestre, de los años 2013, 2014, 2015, 2016, 2017 y los meses que van de 2018.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2.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b/>
          <w:bCs/>
          <w:i/>
          <w:sz w:val="22"/>
          <w:szCs w:val="22"/>
          <w:lang w:val="es-MX"/>
        </w:rPr>
      </w:pPr>
      <w:r w:rsidRPr="007A3379">
        <w:rPr>
          <w:rFonts w:ascii="Palatino Linotype" w:eastAsiaTheme="minorEastAsia" w:hAnsi="Palatino Linotype" w:cs="Arial"/>
          <w:i/>
          <w:sz w:val="22"/>
          <w:szCs w:val="22"/>
          <w:lang w:val="es-MX"/>
        </w:rPr>
        <w:t xml:space="preserve"> </w:t>
      </w:r>
      <w:r w:rsidRPr="007A3379">
        <w:rPr>
          <w:rFonts w:ascii="Palatino Linotype" w:eastAsiaTheme="minorEastAsia" w:hAnsi="Palatino Linotype" w:cs="Arial"/>
          <w:b/>
          <w:bCs/>
          <w:i/>
          <w:sz w:val="22"/>
          <w:szCs w:val="22"/>
          <w:lang w:val="es-MX"/>
        </w:rPr>
        <w:t xml:space="preserve">II.- INFRAESTRUCTURA DEL SISTEMA DE ALUMBRADO PÚBLICO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6. </w:t>
      </w:r>
      <w:r w:rsidRPr="007A3379">
        <w:rPr>
          <w:rFonts w:ascii="Palatino Linotype" w:eastAsiaTheme="minorEastAsia" w:hAnsi="Palatino Linotype" w:cs="Arial"/>
          <w:i/>
          <w:iCs/>
          <w:sz w:val="22"/>
          <w:szCs w:val="22"/>
          <w:lang w:val="es-MX"/>
        </w:rPr>
        <w:t xml:space="preserve">Se solicita el censo </w:t>
      </w:r>
      <w:r w:rsidRPr="007A3379">
        <w:rPr>
          <w:rFonts w:ascii="Palatino Linotype" w:eastAsiaTheme="minorEastAsia" w:hAnsi="Palatino Linotype" w:cs="Arial"/>
          <w:i/>
          <w:sz w:val="22"/>
          <w:szCs w:val="22"/>
          <w:lang w:val="es-MX"/>
        </w:rPr>
        <w:t xml:space="preserve">de alumbrado público de los ejercicios 2016, 2017, 2018 o en su caso, el censo más reciente del municipio, en el que se desglose la siguiente información: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a. Me indique la cantidad de luminarias y balastros, el tipo de equipos, la capacidad (</w:t>
      </w:r>
      <w:r w:rsidRPr="007A3379">
        <w:rPr>
          <w:rFonts w:ascii="Palatino Linotype" w:eastAsiaTheme="minorEastAsia" w:hAnsi="Palatino Linotype" w:cs="Arial"/>
          <w:b/>
          <w:bCs/>
          <w:i/>
          <w:sz w:val="22"/>
          <w:szCs w:val="22"/>
          <w:lang w:val="es-MX"/>
        </w:rPr>
        <w:t>potencia</w:t>
      </w:r>
      <w:r w:rsidRPr="007A3379">
        <w:rPr>
          <w:rFonts w:ascii="Palatino Linotype" w:eastAsiaTheme="minorEastAsia" w:hAnsi="Palatino Linotype" w:cs="Arial"/>
          <w:i/>
          <w:sz w:val="22"/>
          <w:szCs w:val="22"/>
          <w:lang w:val="es-MX"/>
        </w:rPr>
        <w:t>), la ubicación (</w:t>
      </w:r>
      <w:r w:rsidRPr="007A3379">
        <w:rPr>
          <w:rFonts w:ascii="Palatino Linotype" w:eastAsiaTheme="minorEastAsia" w:hAnsi="Palatino Linotype" w:cs="Arial"/>
          <w:b/>
          <w:bCs/>
          <w:i/>
          <w:sz w:val="22"/>
          <w:szCs w:val="22"/>
          <w:lang w:val="es-MX"/>
        </w:rPr>
        <w:t>calle y/o colonia y/o delegación</w:t>
      </w:r>
      <w:r w:rsidRPr="007A3379">
        <w:rPr>
          <w:rFonts w:ascii="Palatino Linotype" w:eastAsiaTheme="minorEastAsia" w:hAnsi="Palatino Linotype" w:cs="Arial"/>
          <w:i/>
          <w:sz w:val="22"/>
          <w:szCs w:val="22"/>
          <w:lang w:val="es-MX"/>
        </w:rPr>
        <w:t>), y el tipo de poste en el que están montadas las luminarias (</w:t>
      </w:r>
      <w:r w:rsidRPr="007A3379">
        <w:rPr>
          <w:rFonts w:ascii="Palatino Linotype" w:eastAsiaTheme="minorEastAsia" w:hAnsi="Palatino Linotype" w:cs="Arial"/>
          <w:b/>
          <w:bCs/>
          <w:i/>
          <w:sz w:val="22"/>
          <w:szCs w:val="22"/>
          <w:lang w:val="es-MX"/>
        </w:rPr>
        <w:t>lámina, concreto, madera etcétera</w:t>
      </w:r>
      <w:r w:rsidRPr="007A3379">
        <w:rPr>
          <w:rFonts w:ascii="Palatino Linotype" w:eastAsiaTheme="minorEastAsia" w:hAnsi="Palatino Linotype" w:cs="Arial"/>
          <w:i/>
          <w:sz w:val="22"/>
          <w:szCs w:val="22"/>
          <w:lang w:val="es-MX"/>
        </w:rPr>
        <w:t xml:space="preserve">).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lastRenderedPageBreak/>
        <w:t xml:space="preserve">b. El </w:t>
      </w:r>
      <w:r w:rsidRPr="007A3379">
        <w:rPr>
          <w:rFonts w:ascii="Palatino Linotype" w:eastAsiaTheme="minorEastAsia" w:hAnsi="Palatino Linotype" w:cs="Arial"/>
          <w:b/>
          <w:bCs/>
          <w:i/>
          <w:sz w:val="22"/>
          <w:szCs w:val="22"/>
          <w:lang w:val="es-MX"/>
        </w:rPr>
        <w:t xml:space="preserve">Registro Permanente de Usuario </w:t>
      </w:r>
      <w:r w:rsidRPr="007A3379">
        <w:rPr>
          <w:rFonts w:ascii="Palatino Linotype" w:eastAsiaTheme="minorEastAsia" w:hAnsi="Palatino Linotype" w:cs="Arial"/>
          <w:i/>
          <w:sz w:val="22"/>
          <w:szCs w:val="22"/>
          <w:lang w:val="es-MX"/>
        </w:rPr>
        <w:t xml:space="preserve">(RPU o RPUs) asignado (s) al servicio de alumbrado público municipal </w:t>
      </w:r>
      <w:r w:rsidRPr="007A3379">
        <w:rPr>
          <w:rFonts w:ascii="Palatino Linotype" w:eastAsiaTheme="minorEastAsia" w:hAnsi="Palatino Linotype" w:cs="Arial"/>
          <w:b/>
          <w:bCs/>
          <w:i/>
          <w:sz w:val="22"/>
          <w:szCs w:val="22"/>
          <w:lang w:val="es-MX"/>
        </w:rPr>
        <w:t>tanto del servicio estimado como del servicio medido</w:t>
      </w:r>
      <w:r w:rsidRPr="007A3379">
        <w:rPr>
          <w:rFonts w:ascii="Palatino Linotype" w:eastAsiaTheme="minorEastAsia" w:hAnsi="Palatino Linotype" w:cs="Arial"/>
          <w:i/>
          <w:sz w:val="22"/>
          <w:szCs w:val="22"/>
          <w:lang w:val="es-MX"/>
        </w:rPr>
        <w:t xml:space="preserve">.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c. La cantidad desglosada de luminarias y balastros instalados, el tipo de equipos y su capacidad (potencia) </w:t>
      </w:r>
      <w:r w:rsidRPr="007A3379">
        <w:rPr>
          <w:rFonts w:ascii="Palatino Linotype" w:eastAsiaTheme="minorEastAsia" w:hAnsi="Palatino Linotype" w:cs="Arial"/>
          <w:b/>
          <w:bCs/>
          <w:i/>
          <w:sz w:val="22"/>
          <w:szCs w:val="22"/>
          <w:lang w:val="es-MX"/>
        </w:rPr>
        <w:t xml:space="preserve">instalados en las avenidas principales del municipio.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d. La cantidad de luminarias y balastros instalados, el tipo de equipos y su capacidad (potencia) instalados que </w:t>
      </w:r>
      <w:r w:rsidRPr="007A3379">
        <w:rPr>
          <w:rFonts w:ascii="Palatino Linotype" w:eastAsiaTheme="minorEastAsia" w:hAnsi="Palatino Linotype" w:cs="Arial"/>
          <w:b/>
          <w:bCs/>
          <w:i/>
          <w:sz w:val="22"/>
          <w:szCs w:val="22"/>
          <w:lang w:val="es-MX"/>
        </w:rPr>
        <w:t>poseen equipo de medición</w:t>
      </w:r>
      <w:r w:rsidRPr="007A3379">
        <w:rPr>
          <w:rFonts w:ascii="Palatino Linotype" w:eastAsiaTheme="minorEastAsia" w:hAnsi="Palatino Linotype" w:cs="Arial"/>
          <w:i/>
          <w:sz w:val="22"/>
          <w:szCs w:val="22"/>
          <w:lang w:val="es-MX"/>
        </w:rPr>
        <w:t xml:space="preserve">.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7. Del </w:t>
      </w:r>
      <w:r w:rsidRPr="007A3379">
        <w:rPr>
          <w:rFonts w:ascii="Palatino Linotype" w:eastAsiaTheme="minorEastAsia" w:hAnsi="Palatino Linotype" w:cs="Arial"/>
          <w:i/>
          <w:iCs/>
          <w:sz w:val="22"/>
          <w:szCs w:val="22"/>
          <w:lang w:val="es-MX"/>
        </w:rPr>
        <w:t xml:space="preserve">censo anterior al censo más reciente </w:t>
      </w:r>
      <w:r w:rsidRPr="007A3379">
        <w:rPr>
          <w:rFonts w:ascii="Palatino Linotype" w:eastAsiaTheme="minorEastAsia" w:hAnsi="Palatino Linotype" w:cs="Arial"/>
          <w:i/>
          <w:sz w:val="22"/>
          <w:szCs w:val="22"/>
          <w:lang w:val="es-MX"/>
        </w:rPr>
        <w:t xml:space="preserve">de luminarias y balastros del sistema de alumbrado público municipal que exista en el municipio, que contenga la siguiente información: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e. La cantidad de luminarias y balastros, el tipo de equipos, la capacidad (potencia), la ubicación (calle y/o colonia y/o delegación) y el tipo de poste en el que están montadas las luminarias (lámina, concreto, madera, etcétera).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f. El </w:t>
      </w:r>
      <w:r w:rsidRPr="007A3379">
        <w:rPr>
          <w:rFonts w:ascii="Palatino Linotype" w:eastAsiaTheme="minorEastAsia" w:hAnsi="Palatino Linotype" w:cs="Arial"/>
          <w:b/>
          <w:bCs/>
          <w:i/>
          <w:sz w:val="22"/>
          <w:szCs w:val="22"/>
          <w:lang w:val="es-MX"/>
        </w:rPr>
        <w:t xml:space="preserve">Registro Permanente de Usuario </w:t>
      </w:r>
      <w:r w:rsidRPr="007A3379">
        <w:rPr>
          <w:rFonts w:ascii="Palatino Linotype" w:eastAsiaTheme="minorEastAsia" w:hAnsi="Palatino Linotype" w:cs="Arial"/>
          <w:i/>
          <w:sz w:val="22"/>
          <w:szCs w:val="22"/>
          <w:lang w:val="es-MX"/>
        </w:rPr>
        <w:t xml:space="preserve">(RPU o RPUs) asignado (s) al servicio de alumbrado público municipal tanto del servicio estimado como del servicio medido.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b/>
          <w:bCs/>
          <w:i/>
          <w:sz w:val="22"/>
          <w:szCs w:val="22"/>
          <w:lang w:val="es-MX"/>
        </w:rPr>
      </w:pPr>
      <w:r w:rsidRPr="007A3379">
        <w:rPr>
          <w:rFonts w:ascii="Palatino Linotype" w:eastAsiaTheme="minorEastAsia" w:hAnsi="Palatino Linotype" w:cs="Arial"/>
          <w:b/>
          <w:bCs/>
          <w:i/>
          <w:sz w:val="22"/>
          <w:szCs w:val="22"/>
          <w:lang w:val="es-MX"/>
        </w:rPr>
        <w:t>III.- COBERTURA (EXPANSIÓN) DEL SISTEMA DE ALUMBRADO PÚBLICO.</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b/>
          <w:bCs/>
          <w:i/>
          <w:sz w:val="22"/>
          <w:szCs w:val="22"/>
          <w:lang w:val="es-MX"/>
        </w:rPr>
        <w:t xml:space="preserve">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8. En caso de que el municipio haya realizado un </w:t>
      </w:r>
      <w:r w:rsidRPr="007A3379">
        <w:rPr>
          <w:rFonts w:ascii="Palatino Linotype" w:eastAsiaTheme="minorEastAsia" w:hAnsi="Palatino Linotype" w:cs="Arial"/>
          <w:i/>
          <w:iCs/>
          <w:sz w:val="22"/>
          <w:szCs w:val="22"/>
          <w:lang w:val="es-MX"/>
        </w:rPr>
        <w:t xml:space="preserve">proyecto de electrificación </w:t>
      </w:r>
      <w:r w:rsidRPr="007A3379">
        <w:rPr>
          <w:rFonts w:ascii="Palatino Linotype" w:eastAsiaTheme="minorEastAsia" w:hAnsi="Palatino Linotype" w:cs="Arial"/>
          <w:i/>
          <w:sz w:val="22"/>
          <w:szCs w:val="22"/>
          <w:lang w:val="es-MX"/>
        </w:rPr>
        <w:t xml:space="preserve">para ampliar el sistema de alumbrado público y ofrecer este servicio a la o las comunidades durante los años 2013, 2014, 2015, 2016, 2017 y los meses que van de 2018, solicito la siguiente información desglosada: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a. El monto total de la inversión,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b. El tipo o fuente de financiamiento (recurso propio, recurso estatal, recurso federal, crédito, arrendamiento, APP, etcétera),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c. La cantidad de equipos colocados y/o sustituidos,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d. El tipo de equipos (Led, VSAP, suburbana, etcétera),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e. La capacidad instalada (potencia),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f. La ubicación (calle y/o colonia y/o delegación).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g. La fecha de inicio y término de obra,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lastRenderedPageBreak/>
        <w:t xml:space="preserve">h. Así como la fecha de modificación de su nuevo consumo en el sistema de facturación del alumbrado público ante CFE.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i. En donde se notificaron o publicaron los proyectos.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b/>
          <w:bCs/>
          <w:i/>
          <w:sz w:val="22"/>
          <w:szCs w:val="22"/>
          <w:lang w:val="es-MX"/>
        </w:rPr>
        <w:t xml:space="preserve">IV.- MODERNIZACIÓN DEL SISTEMA DE ALUMBRADO PÚBLICO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a. El monto total de la inversión,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b. El tipo o fuente de financiamiento (recurso propio, recurso estatal, recurso federal, crédito, arrendamiento, APP, etcétera),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c. La cantidad de equipos colocados y/o sustituidos,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d. El tipo de equipos (Led, VSAP, suburbana, etcétera),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e. La capacidad instalada (potencia),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f. La ubicación (calle y/o colonia y/o delegación).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g. La fecha de inicio y término de obra,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h. La georreferenciación de cada uno de los puntos de luz del nuevo alumbrado público,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i. La fecha de modificación de su nuevo consumo en el sistema de facturación del alumbrado público ante CFE.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j. El tipo de contrato celebrado para la adquisición de los nuevos equipos (licitación en su modalidad abierta o restringida, o adjudicación directa)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k. Número y nombre de las empresas concursantes o convocadas. </w:t>
      </w:r>
    </w:p>
    <w:p w:rsidR="001A0D06" w:rsidRPr="007A3379" w:rsidRDefault="001A0D06" w:rsidP="001A0D06">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l. Los criterios de selección utilizados por el comité de adquisiciones para elegir a la empresa contratada para realizar la modernización del sistema de alumbrado público.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m. El acta de cabildo en el cual se fundamenta, justifica, expone y autoriza el proyecto.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10. El número de solicitudes ciudadanas formales realizadas al municipio para ampliar el sistema de alumbrado público mediante proyectos de electrificación durante los años 2013, 2014, 2015, 2016, 2017 y los meses que van de 2018.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11. El número de solicitudes ciudadanas que fueron atendidas y concluidas para ampliar el sistema de alumbrado público durante los años 2013, 2014, 2015, 2016, 2017 y los meses que van del 2018.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b/>
          <w:bCs/>
          <w:i/>
          <w:sz w:val="22"/>
          <w:szCs w:val="22"/>
          <w:lang w:val="es-MX"/>
        </w:rPr>
      </w:pPr>
      <w:r w:rsidRPr="007A3379">
        <w:rPr>
          <w:rFonts w:ascii="Palatino Linotype" w:eastAsiaTheme="minorEastAsia" w:hAnsi="Palatino Linotype" w:cs="Arial"/>
          <w:b/>
          <w:bCs/>
          <w:i/>
          <w:sz w:val="22"/>
          <w:szCs w:val="22"/>
          <w:lang w:val="es-MX"/>
        </w:rPr>
        <w:t>V.- ADMINISTRACIÓN DEL SERVICIO DE ALUMBRADO PÚBLICO.</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b/>
          <w:bCs/>
          <w:i/>
          <w:sz w:val="22"/>
          <w:szCs w:val="22"/>
          <w:lang w:val="es-MX"/>
        </w:rPr>
        <w:t xml:space="preserve">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lastRenderedPageBreak/>
        <w:t xml:space="preserve">1. Se solicita Copia del </w:t>
      </w:r>
      <w:r w:rsidRPr="007A3379">
        <w:rPr>
          <w:rFonts w:ascii="Palatino Linotype" w:eastAsiaTheme="minorEastAsia" w:hAnsi="Palatino Linotype" w:cs="Arial"/>
          <w:b/>
          <w:bCs/>
          <w:i/>
          <w:sz w:val="22"/>
          <w:szCs w:val="22"/>
          <w:lang w:val="es-MX"/>
        </w:rPr>
        <w:t xml:space="preserve">contrato de prestación de servicios </w:t>
      </w:r>
      <w:r w:rsidRPr="007A3379">
        <w:rPr>
          <w:rFonts w:ascii="Palatino Linotype" w:eastAsiaTheme="minorEastAsia" w:hAnsi="Palatino Linotype" w:cs="Arial"/>
          <w:i/>
          <w:sz w:val="22"/>
          <w:szCs w:val="22"/>
          <w:lang w:val="es-MX"/>
        </w:rPr>
        <w:t xml:space="preserve">por concepto de suministro de energía eléctrica por parte de la </w:t>
      </w:r>
      <w:r w:rsidRPr="007A3379">
        <w:rPr>
          <w:rFonts w:ascii="Palatino Linotype" w:eastAsiaTheme="minorEastAsia" w:hAnsi="Palatino Linotype" w:cs="Arial"/>
          <w:b/>
          <w:bCs/>
          <w:i/>
          <w:sz w:val="22"/>
          <w:szCs w:val="22"/>
          <w:lang w:val="es-MX"/>
        </w:rPr>
        <w:t xml:space="preserve">CFE al municipio </w:t>
      </w:r>
      <w:r w:rsidRPr="007A3379">
        <w:rPr>
          <w:rFonts w:ascii="Palatino Linotype" w:eastAsiaTheme="minorEastAsia" w:hAnsi="Palatino Linotype" w:cs="Arial"/>
          <w:i/>
          <w:sz w:val="22"/>
          <w:szCs w:val="22"/>
          <w:lang w:val="es-MX"/>
        </w:rPr>
        <w:t xml:space="preserve">(ayuntamiento).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2. Se solicita Copia del </w:t>
      </w:r>
      <w:r w:rsidRPr="007A3379">
        <w:rPr>
          <w:rFonts w:ascii="Palatino Linotype" w:eastAsiaTheme="minorEastAsia" w:hAnsi="Palatino Linotype" w:cs="Arial"/>
          <w:b/>
          <w:bCs/>
          <w:i/>
          <w:sz w:val="22"/>
          <w:szCs w:val="22"/>
          <w:lang w:val="es-MX"/>
        </w:rPr>
        <w:t xml:space="preserve">convenio de “Peso por Peso” firmado entre la CFE y el municipio </w:t>
      </w:r>
      <w:r w:rsidRPr="007A3379">
        <w:rPr>
          <w:rFonts w:ascii="Palatino Linotype" w:eastAsiaTheme="minorEastAsia" w:hAnsi="Palatino Linotype" w:cs="Arial"/>
          <w:i/>
          <w:sz w:val="22"/>
          <w:szCs w:val="22"/>
          <w:lang w:val="es-MX"/>
        </w:rPr>
        <w:t xml:space="preserve">(ayuntamiento).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3. Se solicita Copia del </w:t>
      </w:r>
      <w:r w:rsidRPr="007A3379">
        <w:rPr>
          <w:rFonts w:ascii="Palatino Linotype" w:eastAsiaTheme="minorEastAsia" w:hAnsi="Palatino Linotype" w:cs="Arial"/>
          <w:b/>
          <w:bCs/>
          <w:i/>
          <w:sz w:val="22"/>
          <w:szCs w:val="22"/>
          <w:lang w:val="es-MX"/>
        </w:rPr>
        <w:t xml:space="preserve">convenio para recaudar el Derecho de Alumbrado Público “DAP” </w:t>
      </w:r>
      <w:r w:rsidRPr="007A3379">
        <w:rPr>
          <w:rFonts w:ascii="Palatino Linotype" w:eastAsiaTheme="minorEastAsia" w:hAnsi="Palatino Linotype" w:cs="Arial"/>
          <w:i/>
          <w:sz w:val="22"/>
          <w:szCs w:val="22"/>
          <w:lang w:val="es-MX"/>
        </w:rPr>
        <w:t xml:space="preserve">firmado entre la CFE y el municipio (ayuntamiento). Así como la recaudación (monto) reportado por CFE al municipio de los años 2013, 2014, 2015, 2016, 2017 y los meses que van de 2018.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4. El listado y/o número de juicios y controversias promovidos por particulares en contra del municipio por el cobro del Derecho de Alumbrado Público “DAP” durante los años 2013, 2014, 2015, 2016, 2017 y los meses que van de 2018.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rsidR="001A0D06" w:rsidRPr="007A3379" w:rsidRDefault="001A0D06" w:rsidP="001A0D06">
      <w:pPr>
        <w:autoSpaceDE w:val="0"/>
        <w:autoSpaceDN w:val="0"/>
        <w:adjustRightInd w:val="0"/>
        <w:ind w:left="709" w:right="616"/>
        <w:jc w:val="both"/>
        <w:rPr>
          <w:rFonts w:ascii="Palatino Linotype" w:eastAsiaTheme="minorEastAsia" w:hAnsi="Palatino Linotype" w:cs="Arial"/>
          <w:i/>
          <w:sz w:val="22"/>
          <w:szCs w:val="22"/>
          <w:lang w:val="es-MX"/>
        </w:rPr>
      </w:pPr>
    </w:p>
    <w:p w:rsidR="001A0D06" w:rsidRDefault="001A0D06" w:rsidP="001A0D06">
      <w:pPr>
        <w:autoSpaceDE w:val="0"/>
        <w:autoSpaceDN w:val="0"/>
        <w:adjustRightInd w:val="0"/>
        <w:ind w:left="709" w:right="616"/>
        <w:jc w:val="both"/>
        <w:rPr>
          <w:rFonts w:ascii="Palatino Linotype" w:eastAsiaTheme="minorEastAsia" w:hAnsi="Palatino Linotype" w:cs="Arial"/>
          <w:i/>
          <w:color w:val="000000"/>
          <w:sz w:val="22"/>
          <w:szCs w:val="22"/>
          <w:lang w:val="es-MX"/>
        </w:rPr>
      </w:pPr>
      <w:r w:rsidRPr="007A3379">
        <w:rPr>
          <w:rFonts w:ascii="Palatino Linotype" w:eastAsiaTheme="minorEastAsia" w:hAnsi="Palatino Linotype" w:cs="Arial"/>
          <w:i/>
          <w:sz w:val="22"/>
          <w:szCs w:val="22"/>
          <w:lang w:val="es-MX"/>
        </w:rPr>
        <w:t>6. Las normas y lineamientos que el municipio sigue para operar y proporcionar el servicio de alumbrado público municipal.</w:t>
      </w:r>
      <w:r>
        <w:rPr>
          <w:rFonts w:ascii="Palatino Linotype" w:eastAsiaTheme="minorEastAsia" w:hAnsi="Palatino Linotype" w:cs="Arial"/>
          <w:i/>
          <w:color w:val="000000"/>
          <w:sz w:val="22"/>
          <w:szCs w:val="22"/>
          <w:lang w:val="es-MX"/>
        </w:rPr>
        <w:t>” (Sic).</w:t>
      </w:r>
    </w:p>
    <w:p w:rsidR="006E1E19" w:rsidRPr="00E14401" w:rsidRDefault="006E1E19" w:rsidP="001A0D06">
      <w:pPr>
        <w:autoSpaceDE w:val="0"/>
        <w:autoSpaceDN w:val="0"/>
        <w:adjustRightInd w:val="0"/>
        <w:ind w:left="709" w:right="616"/>
        <w:jc w:val="both"/>
        <w:rPr>
          <w:rFonts w:ascii="Palatino Linotype" w:eastAsiaTheme="minorEastAsia" w:hAnsi="Palatino Linotype" w:cs="Arial"/>
          <w:i/>
          <w:color w:val="000000"/>
          <w:sz w:val="22"/>
          <w:szCs w:val="22"/>
          <w:lang w:val="es-MX"/>
        </w:rPr>
      </w:pPr>
    </w:p>
    <w:p w:rsidR="00E5702D" w:rsidRPr="00C50A21" w:rsidRDefault="00E5702D" w:rsidP="00E5702D">
      <w:pPr>
        <w:spacing w:before="240" w:after="240" w:line="360" w:lineRule="auto"/>
        <w:jc w:val="both"/>
        <w:rPr>
          <w:rFonts w:ascii="Palatino Linotype" w:hAnsi="Palatino Linotype" w:cs="Arial"/>
        </w:rPr>
      </w:pPr>
      <w:r w:rsidRPr="00C50A21">
        <w:rPr>
          <w:rFonts w:ascii="Palatino Linotype" w:hAnsi="Palatino Linotype" w:cs="Arial"/>
        </w:rPr>
        <w:t>Una vez precisado lo anterior,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E5702D" w:rsidRPr="00DA7175" w:rsidRDefault="00E5702D" w:rsidP="00E5702D">
      <w:pPr>
        <w:tabs>
          <w:tab w:val="left" w:pos="709"/>
        </w:tabs>
        <w:spacing w:line="360" w:lineRule="auto"/>
        <w:jc w:val="both"/>
        <w:rPr>
          <w:rFonts w:ascii="Palatino Linotype" w:hAnsi="Palatino Linotype"/>
        </w:rPr>
      </w:pPr>
      <w:r w:rsidRPr="00DA7175">
        <w:rPr>
          <w:rFonts w:ascii="Palatino Linotype" w:hAnsi="Palatino Linotype" w:cs="Arial"/>
        </w:rPr>
        <w:lastRenderedPageBreak/>
        <w:t xml:space="preserve">Primeramente, es </w:t>
      </w:r>
      <w:r w:rsidRPr="00DA7175">
        <w:rPr>
          <w:rFonts w:ascii="Palatino Linotype" w:hAnsi="Palatino Linotype"/>
        </w:rPr>
        <w:t xml:space="preserve">menester mencionar que </w:t>
      </w:r>
      <w:r w:rsidRPr="00DA7175">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5702D" w:rsidRPr="00DA7175" w:rsidRDefault="00E5702D" w:rsidP="00E5702D">
      <w:pPr>
        <w:tabs>
          <w:tab w:val="left" w:pos="709"/>
        </w:tabs>
        <w:ind w:left="851" w:right="850"/>
        <w:jc w:val="both"/>
        <w:rPr>
          <w:rFonts w:ascii="Palatino Linotype" w:hAnsi="Palatino Linotype" w:cs="Arial"/>
        </w:rPr>
      </w:pPr>
    </w:p>
    <w:p w:rsidR="00E5702D" w:rsidRPr="002A430E" w:rsidRDefault="00E5702D" w:rsidP="00E5702D">
      <w:pPr>
        <w:tabs>
          <w:tab w:val="left" w:pos="709"/>
        </w:tabs>
        <w:ind w:left="851" w:right="850"/>
        <w:jc w:val="both"/>
        <w:rPr>
          <w:rFonts w:ascii="Palatino Linotype" w:hAnsi="Palatino Linotype" w:cs="Arial"/>
          <w:i/>
          <w:sz w:val="21"/>
          <w:szCs w:val="21"/>
        </w:rPr>
      </w:pPr>
      <w:r w:rsidRPr="002A430E">
        <w:rPr>
          <w:rFonts w:ascii="Palatino Linotype" w:hAnsi="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sidRPr="002A430E">
        <w:rPr>
          <w:rFonts w:ascii="Palatino Linotype" w:hAnsi="Palatino Linotype"/>
          <w:i/>
          <w:sz w:val="21"/>
          <w:szCs w:val="21"/>
        </w:rPr>
        <w:t>, así como de las garantías para su protección, cuyo ejercicio no podrá restringirse ni suspenderse, salvo en los casos y bajo las condiciones que esta Constitución establece.</w:t>
      </w:r>
    </w:p>
    <w:p w:rsidR="00E5702D" w:rsidRPr="002A430E" w:rsidRDefault="00E5702D" w:rsidP="00E5702D">
      <w:pPr>
        <w:tabs>
          <w:tab w:val="left" w:pos="709"/>
        </w:tabs>
        <w:ind w:left="851" w:right="850"/>
        <w:jc w:val="both"/>
        <w:rPr>
          <w:rFonts w:ascii="Palatino Linotype" w:hAnsi="Palatino Linotype"/>
          <w:b/>
          <w:i/>
          <w:sz w:val="21"/>
          <w:szCs w:val="21"/>
        </w:rPr>
      </w:pPr>
      <w:r w:rsidRPr="002A430E">
        <w:rPr>
          <w:rFonts w:ascii="Palatino Linotype" w:hAnsi="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rsidR="00E5702D" w:rsidRPr="002A430E" w:rsidRDefault="00E5702D" w:rsidP="00E5702D">
      <w:pPr>
        <w:tabs>
          <w:tab w:val="left" w:pos="709"/>
        </w:tabs>
        <w:ind w:left="851" w:right="850"/>
        <w:jc w:val="both"/>
        <w:rPr>
          <w:rFonts w:ascii="Palatino Linotype" w:hAnsi="Palatino Linotype"/>
          <w:i/>
          <w:sz w:val="21"/>
          <w:szCs w:val="21"/>
        </w:rPr>
      </w:pPr>
      <w:r w:rsidRPr="002A430E">
        <w:rPr>
          <w:rFonts w:ascii="Palatino Linotype" w:hAnsi="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A430E">
        <w:rPr>
          <w:rFonts w:ascii="Palatino Linotype" w:hAnsi="Palatino Linotype"/>
          <w:i/>
          <w:sz w:val="21"/>
          <w:szCs w:val="21"/>
        </w:rPr>
        <w:t xml:space="preserve"> En consecuencia, el Estado deberá prevenir, investigar, sancionar y reparar las violaciones a los derechos humanos, en los términos que establezca la ley</w:t>
      </w:r>
    </w:p>
    <w:p w:rsidR="00E5702D" w:rsidRPr="002A430E" w:rsidRDefault="00E5702D" w:rsidP="00E5702D">
      <w:pPr>
        <w:tabs>
          <w:tab w:val="left" w:pos="709"/>
        </w:tabs>
        <w:ind w:left="851" w:right="850"/>
        <w:jc w:val="both"/>
        <w:rPr>
          <w:rFonts w:ascii="Palatino Linotype" w:hAnsi="Palatino Linotype" w:cs="Arial"/>
          <w:i/>
          <w:sz w:val="21"/>
          <w:szCs w:val="21"/>
        </w:rPr>
      </w:pPr>
      <w:r w:rsidRPr="002A430E">
        <w:rPr>
          <w:rFonts w:ascii="Palatino Linotype" w:hAnsi="Palatino Linotype" w:cs="Arial"/>
          <w:i/>
          <w:sz w:val="21"/>
          <w:szCs w:val="21"/>
        </w:rPr>
        <w:t>[…]</w:t>
      </w:r>
    </w:p>
    <w:p w:rsidR="00E5702D" w:rsidRPr="002A430E" w:rsidRDefault="00E5702D" w:rsidP="00E5702D">
      <w:pPr>
        <w:ind w:left="851" w:right="901"/>
        <w:jc w:val="both"/>
        <w:rPr>
          <w:rFonts w:ascii="Palatino Linotype" w:hAnsi="Palatino Linotype" w:cs="Arial"/>
          <w:i/>
          <w:sz w:val="21"/>
          <w:szCs w:val="21"/>
        </w:rPr>
      </w:pPr>
      <w:r w:rsidRPr="002A430E">
        <w:rPr>
          <w:rFonts w:ascii="Palatino Linotype" w:hAnsi="Palatino Linotype" w:cs="Arial"/>
          <w:b/>
          <w:i/>
          <w:sz w:val="21"/>
          <w:szCs w:val="21"/>
        </w:rPr>
        <w:t>“Artículo 6o.</w:t>
      </w:r>
    </w:p>
    <w:p w:rsidR="00E5702D" w:rsidRPr="002A430E" w:rsidRDefault="00E5702D" w:rsidP="00E5702D">
      <w:pPr>
        <w:ind w:left="851" w:right="901"/>
        <w:jc w:val="both"/>
        <w:rPr>
          <w:rFonts w:ascii="Palatino Linotype" w:hAnsi="Palatino Linotype" w:cs="Arial"/>
          <w:i/>
          <w:sz w:val="21"/>
          <w:szCs w:val="21"/>
        </w:rPr>
      </w:pPr>
      <w:r w:rsidRPr="002A430E">
        <w:rPr>
          <w:rFonts w:ascii="Palatino Linotype" w:hAnsi="Palatino Linotype" w:cs="Arial"/>
          <w:i/>
          <w:sz w:val="21"/>
          <w:szCs w:val="21"/>
        </w:rPr>
        <w:t>[...]</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b/>
          <w:bCs/>
          <w:i/>
          <w:sz w:val="21"/>
          <w:szCs w:val="21"/>
          <w:lang w:val="es-ES_tradnl" w:eastAsia="es-MX"/>
        </w:rPr>
        <w:t>A. </w:t>
      </w:r>
      <w:r w:rsidRPr="002A430E">
        <w:rPr>
          <w:rFonts w:ascii="Palatino Linotype" w:hAnsi="Palatino Linotype"/>
          <w:b/>
          <w:i/>
          <w:sz w:val="21"/>
          <w:szCs w:val="21"/>
        </w:rPr>
        <w:t xml:space="preserve">Para el ejercicio del derecho de acceso a la información, la Federación y </w:t>
      </w:r>
      <w:r w:rsidRPr="002A430E">
        <w:rPr>
          <w:rFonts w:ascii="Palatino Linotype" w:hAnsi="Palatino Linotype"/>
          <w:b/>
          <w:i/>
          <w:sz w:val="21"/>
          <w:szCs w:val="21"/>
          <w:u w:val="single"/>
        </w:rPr>
        <w:t>las entidades federativas</w:t>
      </w:r>
      <w:r w:rsidRPr="002A430E">
        <w:rPr>
          <w:rFonts w:ascii="Palatino Linotype" w:hAnsi="Palatino Linotype"/>
          <w:b/>
          <w:i/>
          <w:sz w:val="21"/>
          <w:szCs w:val="21"/>
        </w:rPr>
        <w:t>,</w:t>
      </w:r>
      <w:r w:rsidRPr="002A430E">
        <w:rPr>
          <w:rFonts w:ascii="Palatino Linotype" w:hAnsi="Palatino Linotype"/>
          <w:i/>
          <w:sz w:val="21"/>
          <w:szCs w:val="21"/>
        </w:rPr>
        <w:t xml:space="preserve"> en el ámbito de sus respectivas competencias, se regirán por los siguientes principios y bases:</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i/>
          <w:sz w:val="21"/>
          <w:szCs w:val="21"/>
          <w:lang w:eastAsia="es-MX"/>
        </w:rPr>
        <w:t> </w:t>
      </w:r>
    </w:p>
    <w:p w:rsidR="00E5702D" w:rsidRPr="002A430E" w:rsidRDefault="00E5702D" w:rsidP="00E5702D">
      <w:pPr>
        <w:ind w:left="851" w:right="851"/>
        <w:jc w:val="both"/>
        <w:rPr>
          <w:rFonts w:ascii="Palatino Linotype" w:hAnsi="Palatino Linotype" w:cs="Courier New"/>
          <w:i/>
          <w:sz w:val="21"/>
          <w:szCs w:val="21"/>
          <w:lang w:eastAsia="es-MX"/>
        </w:rPr>
      </w:pPr>
      <w:r w:rsidRPr="002A430E">
        <w:rPr>
          <w:rFonts w:ascii="Palatino Linotype" w:hAnsi="Palatino Linotype" w:cs="Arial"/>
          <w:b/>
          <w:bCs/>
          <w:i/>
          <w:sz w:val="21"/>
          <w:szCs w:val="21"/>
          <w:lang w:eastAsia="es-MX"/>
        </w:rPr>
        <w:t xml:space="preserve">I. </w:t>
      </w:r>
      <w:r w:rsidRPr="002A430E">
        <w:rPr>
          <w:rFonts w:ascii="Palatino Linotype" w:hAnsi="Palatino Linotype" w:cs="Arial"/>
          <w:b/>
          <w:i/>
          <w:sz w:val="21"/>
          <w:szCs w:val="21"/>
          <w:u w:val="single"/>
          <w:lang w:eastAsia="es-MX"/>
        </w:rPr>
        <w:t>Toda la información en posesión de cualquier autoridad, entidad, órgano y organismo de los Poderes</w:t>
      </w:r>
      <w:r w:rsidRPr="002A430E">
        <w:rPr>
          <w:rFonts w:ascii="Palatino Linotype" w:hAnsi="Palatino Linotype" w:cs="Arial"/>
          <w:i/>
          <w:sz w:val="21"/>
          <w:szCs w:val="21"/>
          <w:lang w:eastAsia="es-MX"/>
        </w:rPr>
        <w:t xml:space="preserve"> Ejecutivo, Legislativo </w:t>
      </w:r>
      <w:r w:rsidRPr="002A430E">
        <w:rPr>
          <w:rFonts w:ascii="Palatino Linotype" w:hAnsi="Palatino Linotype" w:cs="Arial"/>
          <w:b/>
          <w:i/>
          <w:sz w:val="21"/>
          <w:szCs w:val="21"/>
          <w:u w:val="single"/>
          <w:lang w:eastAsia="es-MX"/>
        </w:rPr>
        <w:t>y Judicial</w:t>
      </w:r>
      <w:r w:rsidRPr="002A430E">
        <w:rPr>
          <w:rFonts w:ascii="Palatino Linotype" w:hAnsi="Palatino Linotype" w:cs="Arial"/>
          <w:i/>
          <w:sz w:val="21"/>
          <w:szCs w:val="21"/>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A430E">
        <w:rPr>
          <w:rFonts w:ascii="Palatino Linotype" w:hAnsi="Palatino Linotype" w:cs="Arial"/>
          <w:b/>
          <w:i/>
          <w:sz w:val="21"/>
          <w:szCs w:val="21"/>
          <w:lang w:eastAsia="es-MX"/>
        </w:rPr>
        <w:t>es pública y sólo podrá ser reservada temporalmente por razones de interés público y seguridad nacional,</w:t>
      </w:r>
      <w:r w:rsidRPr="002A430E">
        <w:rPr>
          <w:rFonts w:ascii="Palatino Linotype" w:hAnsi="Palatino Linotype" w:cs="Arial"/>
          <w:i/>
          <w:sz w:val="21"/>
          <w:szCs w:val="21"/>
          <w:lang w:eastAsia="es-MX"/>
        </w:rPr>
        <w:t xml:space="preserve"> en los términos que fijen las leyes. En la interpretación de este derecho deberá prevalecer el principio de máxima publicidad. Los sujetos obligados deberán documentar todo acto </w:t>
      </w:r>
      <w:r w:rsidRPr="002A430E">
        <w:rPr>
          <w:rFonts w:ascii="Palatino Linotype" w:hAnsi="Palatino Linotype" w:cs="Arial"/>
          <w:i/>
          <w:sz w:val="21"/>
          <w:szCs w:val="21"/>
          <w:lang w:eastAsia="es-MX"/>
        </w:rPr>
        <w:lastRenderedPageBreak/>
        <w:t>que derive del ejercicio de sus facultades, competencias o funciones, la ley determinará los supuestos específicos bajo los cuales procederá la declaración de inexistencia de la información.</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i/>
          <w:sz w:val="21"/>
          <w:szCs w:val="21"/>
          <w:lang w:eastAsia="es-MX"/>
        </w:rPr>
        <w:t> </w:t>
      </w:r>
    </w:p>
    <w:p w:rsidR="00E5702D" w:rsidRPr="002A430E" w:rsidRDefault="00E5702D" w:rsidP="00E5702D">
      <w:pPr>
        <w:ind w:left="851" w:right="851"/>
        <w:jc w:val="both"/>
        <w:rPr>
          <w:rFonts w:ascii="Palatino Linotype" w:hAnsi="Palatino Linotype" w:cs="Arial"/>
          <w:b/>
          <w:i/>
          <w:sz w:val="21"/>
          <w:szCs w:val="21"/>
          <w:lang w:eastAsia="es-MX"/>
        </w:rPr>
      </w:pPr>
      <w:r w:rsidRPr="002A430E">
        <w:rPr>
          <w:rFonts w:ascii="Palatino Linotype" w:hAnsi="Palatino Linotype" w:cs="Arial"/>
          <w:b/>
          <w:bCs/>
          <w:i/>
          <w:sz w:val="21"/>
          <w:szCs w:val="21"/>
          <w:lang w:eastAsia="es-MX"/>
        </w:rPr>
        <w:t xml:space="preserve">II. </w:t>
      </w:r>
      <w:r w:rsidRPr="002A430E">
        <w:rPr>
          <w:rFonts w:ascii="Palatino Linotype" w:hAnsi="Palatino Linotype" w:cs="Arial"/>
          <w:b/>
          <w:i/>
          <w:sz w:val="21"/>
          <w:szCs w:val="21"/>
          <w:lang w:eastAsia="es-MX"/>
        </w:rPr>
        <w:t>La información que se refiere a la vida privada y los datos personales será protegida en los términos y con las excepciones que fijen las leyes.</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i/>
          <w:sz w:val="21"/>
          <w:szCs w:val="21"/>
          <w:lang w:eastAsia="es-MX"/>
        </w:rPr>
        <w:t> </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b/>
          <w:bCs/>
          <w:i/>
          <w:sz w:val="21"/>
          <w:szCs w:val="21"/>
          <w:lang w:eastAsia="es-MX"/>
        </w:rPr>
        <w:t xml:space="preserve">III. </w:t>
      </w:r>
      <w:r w:rsidRPr="002A430E">
        <w:rPr>
          <w:rFonts w:ascii="Palatino Linotype" w:hAnsi="Palatino Linotype" w:cs="Arial"/>
          <w:b/>
          <w:i/>
          <w:sz w:val="21"/>
          <w:szCs w:val="21"/>
          <w:u w:val="single"/>
          <w:lang w:eastAsia="es-MX"/>
        </w:rPr>
        <w:t>Toda persona, sin necesidad de acreditar interés alguno o justificar su utilización, tendrá acceso gratuito a la información pública,</w:t>
      </w:r>
      <w:r w:rsidRPr="002A430E">
        <w:rPr>
          <w:rFonts w:ascii="Palatino Linotype" w:hAnsi="Palatino Linotype" w:cs="Arial"/>
          <w:i/>
          <w:sz w:val="21"/>
          <w:szCs w:val="21"/>
          <w:lang w:eastAsia="es-MX"/>
        </w:rPr>
        <w:t xml:space="preserve"> a sus datos personales o a la rectificación de éstos.</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i/>
          <w:sz w:val="21"/>
          <w:szCs w:val="21"/>
          <w:lang w:eastAsia="es-MX"/>
        </w:rPr>
        <w:t> </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b/>
          <w:bCs/>
          <w:i/>
          <w:sz w:val="21"/>
          <w:szCs w:val="21"/>
          <w:lang w:eastAsia="es-MX"/>
        </w:rPr>
        <w:t xml:space="preserve">IV. </w:t>
      </w:r>
      <w:r w:rsidRPr="002A430E">
        <w:rPr>
          <w:rFonts w:ascii="Palatino Linotype" w:hAnsi="Palatino Linotype" w:cs="Arial"/>
          <w:i/>
          <w:sz w:val="21"/>
          <w:szCs w:val="21"/>
          <w:lang w:eastAsia="es-MX"/>
        </w:rPr>
        <w:t>Se establecerán mecanismos de acceso a la información y procedimientos de revisión expeditos que se sustanciarán ante los organismos autónomos especializados e imparciales que establece esta Constitución.</w:t>
      </w:r>
    </w:p>
    <w:p w:rsidR="00E5702D" w:rsidRPr="002A430E" w:rsidRDefault="00E5702D" w:rsidP="00E5702D">
      <w:pPr>
        <w:ind w:left="851" w:right="851"/>
        <w:jc w:val="both"/>
        <w:rPr>
          <w:rFonts w:ascii="Palatino Linotype" w:hAnsi="Palatino Linotype" w:cs="Courier New"/>
          <w:i/>
          <w:sz w:val="21"/>
          <w:szCs w:val="21"/>
          <w:lang w:eastAsia="es-MX"/>
        </w:rPr>
      </w:pP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b/>
          <w:bCs/>
          <w:i/>
          <w:sz w:val="21"/>
          <w:szCs w:val="21"/>
          <w:lang w:eastAsia="es-MX"/>
        </w:rPr>
        <w:t xml:space="preserve">V. </w:t>
      </w:r>
      <w:r w:rsidRPr="002A430E">
        <w:rPr>
          <w:rFonts w:ascii="Palatino Linotype" w:hAnsi="Palatino Linotype" w:cs="Arial"/>
          <w:i/>
          <w:sz w:val="21"/>
          <w:szCs w:val="21"/>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i/>
          <w:sz w:val="21"/>
          <w:szCs w:val="21"/>
          <w:lang w:eastAsia="es-MX"/>
        </w:rPr>
        <w:t> </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b/>
          <w:bCs/>
          <w:i/>
          <w:sz w:val="21"/>
          <w:szCs w:val="21"/>
          <w:lang w:eastAsia="es-MX"/>
        </w:rPr>
        <w:t xml:space="preserve">VI. </w:t>
      </w:r>
      <w:r w:rsidRPr="002A430E">
        <w:rPr>
          <w:rFonts w:ascii="Palatino Linotype" w:hAnsi="Palatino Linotype" w:cs="Arial"/>
          <w:i/>
          <w:sz w:val="21"/>
          <w:szCs w:val="21"/>
          <w:lang w:eastAsia="es-MX"/>
        </w:rPr>
        <w:t>Las leyes determinarán la manera en que los sujetos obligados deberán hacer pública la información relativa a los recursos públicos que entreguen a personas físicas o morales.</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i/>
          <w:sz w:val="21"/>
          <w:szCs w:val="21"/>
          <w:lang w:eastAsia="es-MX"/>
        </w:rPr>
        <w:t> </w:t>
      </w:r>
    </w:p>
    <w:p w:rsidR="00E5702D" w:rsidRPr="002A430E" w:rsidRDefault="00E5702D" w:rsidP="00E5702D">
      <w:pPr>
        <w:ind w:left="851" w:right="851"/>
        <w:jc w:val="both"/>
        <w:rPr>
          <w:rFonts w:ascii="Palatino Linotype" w:hAnsi="Palatino Linotype" w:cs="Arial"/>
          <w:i/>
          <w:sz w:val="21"/>
          <w:szCs w:val="21"/>
          <w:lang w:eastAsia="es-MX"/>
        </w:rPr>
      </w:pPr>
      <w:r w:rsidRPr="002A430E">
        <w:rPr>
          <w:rFonts w:ascii="Palatino Linotype" w:hAnsi="Palatino Linotype" w:cs="Arial"/>
          <w:b/>
          <w:bCs/>
          <w:i/>
          <w:sz w:val="21"/>
          <w:szCs w:val="21"/>
          <w:lang w:eastAsia="es-MX"/>
        </w:rPr>
        <w:t xml:space="preserve">VII. </w:t>
      </w:r>
      <w:r w:rsidRPr="002A430E">
        <w:rPr>
          <w:rFonts w:ascii="Palatino Linotype" w:hAnsi="Palatino Linotype" w:cs="Arial"/>
          <w:i/>
          <w:sz w:val="21"/>
          <w:szCs w:val="21"/>
          <w:lang w:eastAsia="es-MX"/>
        </w:rPr>
        <w:t>La inobservancia a las disposiciones en materia de acceso a la información pública será sancionada en los términos que dispongan las leyes.</w:t>
      </w:r>
      <w:r w:rsidRPr="002A430E">
        <w:rPr>
          <w:rFonts w:ascii="Palatino Linotype" w:hAnsi="Palatino Linotype"/>
          <w:i/>
          <w:sz w:val="21"/>
          <w:szCs w:val="21"/>
        </w:rPr>
        <w:t xml:space="preserve"> [...]</w:t>
      </w:r>
    </w:p>
    <w:p w:rsidR="00E5702D" w:rsidRPr="00A47AFF" w:rsidRDefault="00E5702D" w:rsidP="00E5702D">
      <w:pPr>
        <w:tabs>
          <w:tab w:val="left" w:pos="709"/>
        </w:tabs>
        <w:spacing w:before="240" w:after="240" w:line="360" w:lineRule="auto"/>
        <w:jc w:val="both"/>
        <w:rPr>
          <w:rFonts w:ascii="Palatino Linotype" w:hAnsi="Palatino Linotype" w:cs="Arial"/>
        </w:rPr>
      </w:pPr>
      <w:r w:rsidRPr="00A47AFF">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31564B" w:rsidRDefault="00E5702D" w:rsidP="00E5702D">
      <w:pPr>
        <w:autoSpaceDE w:val="0"/>
        <w:autoSpaceDN w:val="0"/>
        <w:adjustRightInd w:val="0"/>
        <w:spacing w:before="240" w:after="240" w:line="360" w:lineRule="auto"/>
        <w:jc w:val="both"/>
        <w:rPr>
          <w:rFonts w:ascii="Palatino Linotype" w:hAnsi="Palatino Linotype"/>
        </w:rPr>
      </w:pPr>
      <w:r w:rsidRPr="0031564B">
        <w:rPr>
          <w:rFonts w:ascii="Palatino Linotype" w:hAnsi="Palatino Linotype" w:cs="Arial"/>
          <w:lang w:val="es-MX"/>
        </w:rPr>
        <w:lastRenderedPageBreak/>
        <w:t>En este sentido, es pertinente precisar que del análisis realizado a las constancias que integran el recurs</w:t>
      </w:r>
      <w:r w:rsidR="0031564B">
        <w:rPr>
          <w:rFonts w:ascii="Palatino Linotype" w:hAnsi="Palatino Linotype" w:cs="Arial"/>
          <w:lang w:val="es-MX"/>
        </w:rPr>
        <w:t xml:space="preserve">o de revisión al rubro indicado, </w:t>
      </w:r>
      <w:r w:rsidRPr="0031564B">
        <w:rPr>
          <w:rFonts w:ascii="Palatino Linotype" w:hAnsi="Palatino Linotype" w:cs="Arial"/>
          <w:lang w:val="es-MX"/>
        </w:rPr>
        <w:t xml:space="preserve">se advierte que el Sujeto Obligado </w:t>
      </w:r>
      <w:r w:rsidRPr="00885808">
        <w:rPr>
          <w:rFonts w:ascii="Palatino Linotype" w:hAnsi="Palatino Linotype" w:cs="Arial"/>
          <w:lang w:val="es-MX"/>
        </w:rPr>
        <w:t xml:space="preserve">en fecha </w:t>
      </w:r>
      <w:r w:rsidR="0031564B" w:rsidRPr="00885808">
        <w:rPr>
          <w:rFonts w:ascii="Palatino Linotype" w:hAnsi="Palatino Linotype" w:cs="Arial"/>
          <w:lang w:val="es-MX"/>
        </w:rPr>
        <w:t>uno de enero de dos mil diecinueve</w:t>
      </w:r>
      <w:r w:rsidRPr="00885808">
        <w:rPr>
          <w:rFonts w:ascii="Palatino Linotype" w:hAnsi="Palatino Linotype" w:cs="Arial"/>
          <w:lang w:val="es-MX"/>
        </w:rPr>
        <w:t xml:space="preserve">, adjuntó </w:t>
      </w:r>
      <w:r w:rsidR="0031564B" w:rsidRPr="00885808">
        <w:rPr>
          <w:rFonts w:ascii="Palatino Linotype" w:hAnsi="Palatino Linotype" w:cs="Arial"/>
          <w:lang w:val="es-MX"/>
        </w:rPr>
        <w:t>los archivos electrónicos denominados “</w:t>
      </w:r>
      <w:hyperlink r:id="rId15" w:history="1">
        <w:r w:rsidR="0031564B" w:rsidRPr="00885808">
          <w:rPr>
            <w:rStyle w:val="Hipervnculo"/>
            <w:rFonts w:ascii="Palatino Linotype" w:hAnsi="Palatino Linotype" w:cs="Arial"/>
            <w:b/>
            <w:bCs/>
            <w:i/>
            <w:color w:val="67C19D"/>
          </w:rPr>
          <w:t xml:space="preserve">OFICIO 2016 transparencia </w:t>
        </w:r>
        <w:r w:rsidR="00A55852">
          <w:rPr>
            <w:rStyle w:val="Hipervnculo"/>
            <w:rFonts w:ascii="Palatino Linotype" w:hAnsi="Palatino Linotype" w:cs="Arial"/>
            <w:b/>
            <w:bCs/>
            <w:i/>
            <w:color w:val="67C19D"/>
          </w:rPr>
          <w:t>XXXXXX XXXXX</w:t>
        </w:r>
        <w:r w:rsidR="0031564B" w:rsidRPr="00885808">
          <w:rPr>
            <w:rStyle w:val="Hipervnculo"/>
            <w:rFonts w:ascii="Palatino Linotype" w:hAnsi="Palatino Linotype" w:cs="Arial"/>
            <w:b/>
            <w:bCs/>
            <w:i/>
            <w:color w:val="67C19D"/>
          </w:rPr>
          <w:t>.pdf</w:t>
        </w:r>
      </w:hyperlink>
      <w:r w:rsidR="0031564B" w:rsidRPr="00885808">
        <w:rPr>
          <w:rFonts w:ascii="Palatino Linotype" w:hAnsi="Palatino Linotype" w:cs="Arial"/>
          <w:lang w:val="es-MX"/>
        </w:rPr>
        <w:t>“ y “</w:t>
      </w:r>
      <w:hyperlink r:id="rId16" w:history="1">
        <w:r w:rsidR="0031564B" w:rsidRPr="00885808">
          <w:rPr>
            <w:rStyle w:val="Hipervnculo"/>
            <w:rFonts w:ascii="Palatino Linotype" w:hAnsi="Palatino Linotype" w:cs="Arial"/>
            <w:b/>
            <w:bCs/>
            <w:color w:val="67C19D"/>
            <w:shd w:val="clear" w:color="auto" w:fill="FECDE3"/>
          </w:rPr>
          <w:t>03 Libro 3er informe 2018 version 1 .pdf</w:t>
        </w:r>
      </w:hyperlink>
      <w:r w:rsidR="0031564B" w:rsidRPr="00885808">
        <w:rPr>
          <w:rFonts w:ascii="Palatino Linotype" w:hAnsi="Palatino Linotype"/>
        </w:rPr>
        <w:t>” a través de los cuales pretende atender los requerimientos, sin embargo tal circunstancia no sucedió, lo anterior es así en</w:t>
      </w:r>
      <w:r w:rsidR="0031564B">
        <w:rPr>
          <w:rFonts w:ascii="Palatino Linotype" w:hAnsi="Palatino Linotype"/>
        </w:rPr>
        <w:t xml:space="preserve"> atención a que si bien es cierto proporcionó dos direcciones electrónicas en donde se podría consultar la información financiera del Ayuntamiento de San Felipe del Progreso, sin embargo al consultar los links en comento no se pudo verificar si en los mismos se encuentra información relacionada con los requerimientos del impetrante, circunstancia que se demuestra con las siguientes capturas de pantalla:</w:t>
      </w:r>
    </w:p>
    <w:p w:rsidR="0031564B" w:rsidRPr="0031564B" w:rsidRDefault="0031564B" w:rsidP="0031564B">
      <w:pPr>
        <w:pStyle w:val="Prrafodelista"/>
        <w:numPr>
          <w:ilvl w:val="0"/>
          <w:numId w:val="13"/>
        </w:numPr>
        <w:autoSpaceDE w:val="0"/>
        <w:autoSpaceDN w:val="0"/>
        <w:adjustRightInd w:val="0"/>
        <w:spacing w:before="240" w:after="240" w:line="360" w:lineRule="auto"/>
        <w:jc w:val="both"/>
        <w:rPr>
          <w:rStyle w:val="Hipervnculo"/>
          <w:rFonts w:ascii="Palatino Linotype" w:hAnsi="Palatino Linotype"/>
          <w:color w:val="auto"/>
          <w:u w:val="none"/>
        </w:rPr>
      </w:pPr>
      <w:r>
        <w:rPr>
          <w:rFonts w:ascii="Palatino Linotype" w:hAnsi="Palatino Linotype"/>
        </w:rPr>
        <w:t xml:space="preserve">Al consultar el link </w:t>
      </w:r>
      <w:hyperlink r:id="rId17" w:history="1">
        <w:r w:rsidRPr="00EC395F">
          <w:rPr>
            <w:rStyle w:val="Hipervnculo"/>
            <w:rFonts w:ascii="Palatino Linotype" w:hAnsi="Palatino Linotype"/>
            <w:i/>
            <w:sz w:val="20"/>
            <w:szCs w:val="20"/>
          </w:rPr>
          <w:t>http://www.sanfelipedelprogreso.gob.mx/ley-general-de-contabilidad-gubernamental.html</w:t>
        </w:r>
      </w:hyperlink>
      <w:r>
        <w:rPr>
          <w:rStyle w:val="Hipervnculo"/>
          <w:rFonts w:ascii="Palatino Linotype" w:hAnsi="Palatino Linotype"/>
          <w:i/>
          <w:sz w:val="20"/>
          <w:szCs w:val="20"/>
        </w:rPr>
        <w:t xml:space="preserve"> </w:t>
      </w:r>
      <w:r>
        <w:rPr>
          <w:rStyle w:val="Hipervnculo"/>
          <w:rFonts w:ascii="Palatino Linotype" w:hAnsi="Palatino Linotype"/>
          <w:color w:val="auto"/>
          <w:sz w:val="20"/>
          <w:szCs w:val="20"/>
          <w:u w:val="none"/>
        </w:rPr>
        <w:t>se obtuvo:</w:t>
      </w:r>
    </w:p>
    <w:p w:rsidR="0031564B" w:rsidRPr="0031564B" w:rsidRDefault="00AF32AF" w:rsidP="0031564B">
      <w:pPr>
        <w:autoSpaceDE w:val="0"/>
        <w:autoSpaceDN w:val="0"/>
        <w:adjustRightInd w:val="0"/>
        <w:spacing w:before="240" w:after="240" w:line="360" w:lineRule="auto"/>
        <w:jc w:val="both"/>
        <w:rPr>
          <w:rStyle w:val="Hipervnculo"/>
          <w:rFonts w:ascii="Palatino Linotype" w:hAnsi="Palatino Linotype"/>
          <w:color w:val="auto"/>
          <w:sz w:val="22"/>
          <w:szCs w:val="22"/>
          <w:u w:val="none"/>
        </w:rPr>
      </w:pPr>
      <w:r>
        <w:rPr>
          <w:noProof/>
          <w:lang w:val="es-MX" w:eastAsia="es-MX"/>
        </w:rPr>
        <w:drawing>
          <wp:inline distT="0" distB="0" distL="0" distR="0" wp14:anchorId="2897578C" wp14:editId="1C35B6BF">
            <wp:extent cx="5595620" cy="2501798"/>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013" r="33915" b="70794"/>
                    <a:stretch/>
                  </pic:blipFill>
                  <pic:spPr bwMode="auto">
                    <a:xfrm>
                      <a:off x="0" y="0"/>
                      <a:ext cx="5624904" cy="2514891"/>
                    </a:xfrm>
                    <a:prstGeom prst="rect">
                      <a:avLst/>
                    </a:prstGeom>
                    <a:ln>
                      <a:noFill/>
                    </a:ln>
                    <a:extLst>
                      <a:ext uri="{53640926-AAD7-44D8-BBD7-CCE9431645EC}">
                        <a14:shadowObscured xmlns:a14="http://schemas.microsoft.com/office/drawing/2010/main"/>
                      </a:ext>
                    </a:extLst>
                  </pic:spPr>
                </pic:pic>
              </a:graphicData>
            </a:graphic>
          </wp:inline>
        </w:drawing>
      </w:r>
    </w:p>
    <w:p w:rsidR="0031564B" w:rsidRPr="0031564B" w:rsidRDefault="0031564B" w:rsidP="0031564B">
      <w:pPr>
        <w:pStyle w:val="Prrafodelista"/>
        <w:numPr>
          <w:ilvl w:val="0"/>
          <w:numId w:val="13"/>
        </w:numPr>
        <w:autoSpaceDE w:val="0"/>
        <w:autoSpaceDN w:val="0"/>
        <w:adjustRightInd w:val="0"/>
        <w:spacing w:before="240" w:after="240" w:line="360" w:lineRule="auto"/>
        <w:jc w:val="both"/>
        <w:rPr>
          <w:rFonts w:ascii="Palatino Linotype" w:hAnsi="Palatino Linotype"/>
        </w:rPr>
      </w:pPr>
      <w:r>
        <w:rPr>
          <w:rStyle w:val="Hipervnculo"/>
          <w:rFonts w:ascii="Palatino Linotype" w:hAnsi="Palatino Linotype"/>
          <w:color w:val="auto"/>
          <w:sz w:val="20"/>
          <w:szCs w:val="20"/>
          <w:u w:val="none"/>
        </w:rPr>
        <w:t xml:space="preserve">Al consultar el link </w:t>
      </w:r>
      <w:hyperlink r:id="rId19" w:history="1">
        <w:r w:rsidRPr="00EC395F">
          <w:rPr>
            <w:rStyle w:val="Hipervnculo"/>
            <w:rFonts w:ascii="Palatino Linotype" w:hAnsi="Palatino Linotype"/>
            <w:i/>
            <w:sz w:val="20"/>
            <w:szCs w:val="20"/>
          </w:rPr>
          <w:t>http://www.sanfelipedelprogreso.gob.mx/transparencia</w:t>
        </w:r>
      </w:hyperlink>
      <w:r>
        <w:rPr>
          <w:rStyle w:val="Hipervnculo"/>
          <w:rFonts w:ascii="Palatino Linotype" w:hAnsi="Palatino Linotype"/>
          <w:i/>
          <w:sz w:val="20"/>
          <w:szCs w:val="20"/>
        </w:rPr>
        <w:t xml:space="preserve"> </w:t>
      </w:r>
      <w:r>
        <w:rPr>
          <w:rStyle w:val="Hipervnculo"/>
          <w:rFonts w:ascii="Palatino Linotype" w:hAnsi="Palatino Linotype"/>
          <w:color w:val="auto"/>
          <w:sz w:val="20"/>
          <w:szCs w:val="20"/>
          <w:u w:val="none"/>
        </w:rPr>
        <w:t xml:space="preserve">se obtuvo: </w:t>
      </w:r>
    </w:p>
    <w:p w:rsidR="0031564B" w:rsidRDefault="00AF32AF" w:rsidP="00E5702D">
      <w:pPr>
        <w:autoSpaceDE w:val="0"/>
        <w:autoSpaceDN w:val="0"/>
        <w:adjustRightInd w:val="0"/>
        <w:spacing w:before="240" w:after="240" w:line="360" w:lineRule="auto"/>
        <w:jc w:val="both"/>
        <w:rPr>
          <w:rFonts w:ascii="Palatino Linotype" w:hAnsi="Palatino Linotype"/>
        </w:rPr>
      </w:pPr>
      <w:r>
        <w:rPr>
          <w:noProof/>
          <w:lang w:val="es-MX" w:eastAsia="es-MX"/>
        </w:rPr>
        <w:lastRenderedPageBreak/>
        <w:drawing>
          <wp:inline distT="0" distB="0" distL="0" distR="0" wp14:anchorId="6B93CCFE" wp14:editId="4C85F143">
            <wp:extent cx="5595620" cy="2626157"/>
            <wp:effectExtent l="0" t="0" r="508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013" r="33915" b="71029"/>
                    <a:stretch/>
                  </pic:blipFill>
                  <pic:spPr bwMode="auto">
                    <a:xfrm>
                      <a:off x="0" y="0"/>
                      <a:ext cx="5618521" cy="2636905"/>
                    </a:xfrm>
                    <a:prstGeom prst="rect">
                      <a:avLst/>
                    </a:prstGeom>
                    <a:ln>
                      <a:noFill/>
                    </a:ln>
                    <a:extLst>
                      <a:ext uri="{53640926-AAD7-44D8-BBD7-CCE9431645EC}">
                        <a14:shadowObscured xmlns:a14="http://schemas.microsoft.com/office/drawing/2010/main"/>
                      </a:ext>
                    </a:extLst>
                  </pic:spPr>
                </pic:pic>
              </a:graphicData>
            </a:graphic>
          </wp:inline>
        </w:drawing>
      </w:r>
    </w:p>
    <w:p w:rsidR="00AF32AF" w:rsidRDefault="00AF32AF" w:rsidP="00E5702D">
      <w:pPr>
        <w:autoSpaceDE w:val="0"/>
        <w:autoSpaceDN w:val="0"/>
        <w:adjustRightInd w:val="0"/>
        <w:spacing w:before="240" w:after="240" w:line="360" w:lineRule="auto"/>
        <w:jc w:val="both"/>
        <w:rPr>
          <w:rFonts w:ascii="Palatino Linotype" w:hAnsi="Palatino Linotype" w:cs="Arial"/>
          <w:bCs/>
        </w:rPr>
      </w:pPr>
      <w:r>
        <w:rPr>
          <w:rFonts w:ascii="Palatino Linotype" w:hAnsi="Palatino Linotype" w:cs="Arial"/>
          <w:bCs/>
        </w:rPr>
        <w:t>De las imágenes insertadas se aprecia que no se puede verificar si las direcciones electrónicas contienen la información solicitada por el impetrante, aunado a ello es de suma importancia agregar que si bien refiere el número total de luminarias instaladas en el municipio, monto total facturado a la CFE en los meses de febrero, marzo y abril de 2016, así como el monto presupuestado para el ejercicio fiscal 2016 para alumbrado público, sin embargo no se debe perder de vista que la información fue proporcionada por el Titular de la Unidad de Transparencia, sin que adjuntara el soporte documental que acreditara fehacientemente que las unidades administrativas legalmente facultadas del Ayuntamiento de San Felipe del Progreso para generar, administrar y poseer la información materia del presente asunto, se pronunciaron en relación a la solicitud 00065/FELIPRO/IP/2018.</w:t>
      </w:r>
    </w:p>
    <w:p w:rsidR="0031564B" w:rsidRDefault="00AF32AF" w:rsidP="00E5702D">
      <w:pPr>
        <w:autoSpaceDE w:val="0"/>
        <w:autoSpaceDN w:val="0"/>
        <w:adjustRightInd w:val="0"/>
        <w:spacing w:before="240" w:after="240" w:line="360" w:lineRule="auto"/>
        <w:jc w:val="both"/>
        <w:rPr>
          <w:rFonts w:ascii="Palatino Linotype" w:hAnsi="Palatino Linotype" w:cs="Arial"/>
          <w:bCs/>
        </w:rPr>
      </w:pPr>
      <w:r>
        <w:rPr>
          <w:rFonts w:ascii="Palatino Linotype" w:hAnsi="Palatino Linotype" w:cs="Arial"/>
          <w:bCs/>
        </w:rPr>
        <w:t>Aunado a lo anterior es de suma importancia mencionar que del análisis realizado a las constancias que integran el recurso de revisión al rubro</w:t>
      </w:r>
      <w:r w:rsidR="002806EB">
        <w:rPr>
          <w:rFonts w:ascii="Palatino Linotype" w:hAnsi="Palatino Linotype" w:cs="Arial"/>
          <w:bCs/>
        </w:rPr>
        <w:t xml:space="preserve"> indicado no se advierte que se hubiesen efectuado las diligencias necesarias para allegarse de la información requerida por el impetrante, es decir, que el Titular de la Unidad de Transparencia </w:t>
      </w:r>
      <w:r w:rsidR="002806EB">
        <w:rPr>
          <w:rFonts w:ascii="Palatino Linotype" w:hAnsi="Palatino Linotype" w:cs="Arial"/>
          <w:bCs/>
        </w:rPr>
        <w:lastRenderedPageBreak/>
        <w:t>le hubiese turnado la solicitud 00065/FELIPRO/IP/2018 a todas y cada una de las áreas administrativas legalmente facultadas para generar, administrar y poseer la información materia del presente asunto, se acredita tal circunstancia con la captura de pantalla siguiente:</w:t>
      </w:r>
    </w:p>
    <w:p w:rsidR="002806EB" w:rsidRDefault="00806573" w:rsidP="00E5702D">
      <w:pPr>
        <w:autoSpaceDE w:val="0"/>
        <w:autoSpaceDN w:val="0"/>
        <w:adjustRightInd w:val="0"/>
        <w:spacing w:before="240" w:after="240" w:line="360" w:lineRule="auto"/>
        <w:jc w:val="both"/>
        <w:rPr>
          <w:rFonts w:ascii="Palatino Linotype" w:hAnsi="Palatino Linotype" w:cs="Arial"/>
          <w:bCs/>
        </w:rPr>
      </w:pPr>
      <w:bookmarkStart w:id="0" w:name="_GoBack"/>
      <w:r>
        <w:rPr>
          <w:noProof/>
          <w:lang w:val="es-MX" w:eastAsia="es-MX"/>
        </w:rPr>
        <w:drawing>
          <wp:inline distT="0" distB="0" distL="0" distR="0" wp14:anchorId="7B4A2A71" wp14:editId="6F5B504B">
            <wp:extent cx="5628450" cy="3673503"/>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644" t="18646" r="13711" b="11567"/>
                    <a:stretch/>
                  </pic:blipFill>
                  <pic:spPr bwMode="auto">
                    <a:xfrm>
                      <a:off x="0" y="0"/>
                      <a:ext cx="5662781" cy="369591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806EB" w:rsidRDefault="002806EB" w:rsidP="00E5702D">
      <w:pPr>
        <w:autoSpaceDE w:val="0"/>
        <w:autoSpaceDN w:val="0"/>
        <w:adjustRightInd w:val="0"/>
        <w:spacing w:before="240" w:after="240" w:line="360" w:lineRule="auto"/>
        <w:jc w:val="both"/>
        <w:rPr>
          <w:rFonts w:ascii="Palatino Linotype" w:hAnsi="Palatino Linotype" w:cs="Arial"/>
          <w:bCs/>
        </w:rPr>
      </w:pPr>
      <w:r>
        <w:rPr>
          <w:rFonts w:ascii="Palatino Linotype" w:hAnsi="Palatino Linotype" w:cs="Arial"/>
          <w:bCs/>
        </w:rPr>
        <w:t>De lo anterior, se advierte que el sujeto obligado no dio estricto cumplimiento al artículo 162 de la Ley de Transparencia vigente que a continuación se establece:</w:t>
      </w:r>
    </w:p>
    <w:p w:rsidR="002806EB" w:rsidRDefault="002806EB" w:rsidP="002806EB">
      <w:pPr>
        <w:autoSpaceDE w:val="0"/>
        <w:autoSpaceDN w:val="0"/>
        <w:adjustRightInd w:val="0"/>
        <w:ind w:left="851" w:right="851"/>
        <w:jc w:val="both"/>
        <w:rPr>
          <w:rFonts w:ascii="Palatino Linotype" w:hAnsi="Palatino Linotype"/>
          <w:i/>
          <w:sz w:val="22"/>
          <w:szCs w:val="22"/>
        </w:rPr>
      </w:pPr>
      <w:r w:rsidRPr="002806EB">
        <w:rPr>
          <w:rFonts w:ascii="Palatino Linotype" w:hAnsi="Palatino Linotype"/>
          <w:b/>
          <w:i/>
          <w:sz w:val="22"/>
          <w:szCs w:val="22"/>
        </w:rPr>
        <w:t>Artículo 162.</w:t>
      </w:r>
      <w:r w:rsidRPr="002806EB">
        <w:rPr>
          <w:rFonts w:ascii="Palatino Linotype" w:hAnsi="Palatino Linotype"/>
          <w:i/>
          <w:sz w:val="22"/>
          <w:szCs w:val="22"/>
        </w:rPr>
        <w:t xml:space="preserve"> </w:t>
      </w:r>
      <w:r w:rsidRPr="002806EB">
        <w:rPr>
          <w:rFonts w:ascii="Palatino Linotype" w:hAnsi="Palatino Linotype"/>
          <w:b/>
          <w:i/>
          <w:sz w:val="22"/>
          <w:szCs w:val="22"/>
          <w:u w:val="single"/>
        </w:rPr>
        <w:t>Las unidades de transparencia deberán garantizar que las solicitudes se turnen a todas las Áreas competentes que cuenten con la información o deban tenerla de acuerdo a sus facultades</w:t>
      </w:r>
      <w:r w:rsidRPr="002806EB">
        <w:rPr>
          <w:rFonts w:ascii="Palatino Linotype" w:hAnsi="Palatino Linotype"/>
          <w:i/>
          <w:sz w:val="22"/>
          <w:szCs w:val="22"/>
        </w:rPr>
        <w:t>, competencias y funciones, con el objeto de que realicen una búsqueda exhaustiva y razonable de la información solicitada.</w:t>
      </w:r>
    </w:p>
    <w:p w:rsidR="002806EB" w:rsidRDefault="002806EB" w:rsidP="002806EB">
      <w:pPr>
        <w:autoSpaceDE w:val="0"/>
        <w:autoSpaceDN w:val="0"/>
        <w:adjustRightInd w:val="0"/>
        <w:ind w:left="851" w:right="851"/>
        <w:jc w:val="both"/>
        <w:rPr>
          <w:rFonts w:ascii="Palatino Linotype" w:hAnsi="Palatino Linotype"/>
          <w:i/>
          <w:sz w:val="22"/>
          <w:szCs w:val="22"/>
        </w:rPr>
      </w:pPr>
    </w:p>
    <w:p w:rsidR="002806EB" w:rsidRPr="002806EB" w:rsidRDefault="002806EB" w:rsidP="002806EB">
      <w:pPr>
        <w:autoSpaceDE w:val="0"/>
        <w:autoSpaceDN w:val="0"/>
        <w:adjustRightInd w:val="0"/>
        <w:ind w:left="851" w:right="851"/>
        <w:jc w:val="both"/>
        <w:rPr>
          <w:rFonts w:ascii="Palatino Linotype" w:hAnsi="Palatino Linotype"/>
          <w:i/>
          <w:sz w:val="22"/>
          <w:szCs w:val="22"/>
        </w:rPr>
      </w:pPr>
      <w:r>
        <w:rPr>
          <w:rFonts w:ascii="Palatino Linotype" w:hAnsi="Palatino Linotype"/>
          <w:i/>
          <w:sz w:val="22"/>
          <w:szCs w:val="22"/>
        </w:rPr>
        <w:t>Énfasis añadido.</w:t>
      </w:r>
    </w:p>
    <w:p w:rsidR="005222E1" w:rsidRPr="00DD0263" w:rsidRDefault="005222E1" w:rsidP="005222E1">
      <w:pPr>
        <w:autoSpaceDE w:val="0"/>
        <w:autoSpaceDN w:val="0"/>
        <w:adjustRightInd w:val="0"/>
        <w:spacing w:before="240" w:after="240" w:line="360" w:lineRule="auto"/>
        <w:jc w:val="both"/>
        <w:rPr>
          <w:rFonts w:ascii="Palatino Linotype" w:hAnsi="Palatino Linotype" w:cs="Arial"/>
          <w:bCs/>
        </w:rPr>
      </w:pPr>
      <w:r w:rsidRPr="00DD0263">
        <w:rPr>
          <w:rFonts w:ascii="Palatino Linotype" w:hAnsi="Palatino Linotype" w:cs="Arial"/>
          <w:bCs/>
        </w:rPr>
        <w:lastRenderedPageBreak/>
        <w:t xml:space="preserve">Por otra parte es importante mencionar que si bien es cierto el Sujeto Obligado adjuntó el Tercer Informe de Gobierno del Presidente Municipal de San Felipe del Progreso Administración 2016-2018, constante de 80 páginas, mismo que </w:t>
      </w:r>
      <w:r w:rsidR="00D1712D" w:rsidRPr="00DD0263">
        <w:rPr>
          <w:rFonts w:ascii="Palatino Linotype" w:hAnsi="Palatino Linotype" w:cs="Arial"/>
          <w:bCs/>
        </w:rPr>
        <w:t xml:space="preserve">en la página 32 de manera específica en el numeral 2.4 establece en términos generales que </w:t>
      </w:r>
      <w:r w:rsidR="00D1712D" w:rsidRPr="00DD0263">
        <w:rPr>
          <w:rFonts w:ascii="Palatino Linotype" w:hAnsi="Palatino Linotype"/>
        </w:rPr>
        <w:t xml:space="preserve">con el Programa Municipal de Modernización del Alumbrado Público, se dio mantenimiento y se repararon mil 658 luminarias, además se colocaron 155 nuevas luminarias y que en los tres años de la administración 2016-2018 se sustituyeron 2 mil 945 lámparas y se colocaron 871 nuevas lámparas de LED, </w:t>
      </w:r>
      <w:r w:rsidR="001D4D5D">
        <w:rPr>
          <w:rFonts w:ascii="Palatino Linotype" w:hAnsi="Palatino Linotype"/>
        </w:rPr>
        <w:t>del mismo modo proporcionar información sobre la cantidad pagada a la Comisión Federal de Electricidad por concepto de energía eléctrica del alumbrado público</w:t>
      </w:r>
      <w:r w:rsidR="00EA1176">
        <w:rPr>
          <w:rFonts w:ascii="Palatino Linotype" w:hAnsi="Palatino Linotype"/>
        </w:rPr>
        <w:t xml:space="preserve"> (</w:t>
      </w:r>
      <w:r w:rsidR="00EA1176" w:rsidRPr="00EA1176">
        <w:rPr>
          <w:rFonts w:ascii="Palatino Linotype" w:hAnsi="Palatino Linotype"/>
          <w:i/>
        </w:rPr>
        <w:t>sin que la misma se encuentre desglosada por años, aunado a que el impetrante requirió información del 1 de enero de 2013 al 13 de noviembre de 2018</w:t>
      </w:r>
      <w:r w:rsidR="00EA1176">
        <w:rPr>
          <w:rFonts w:ascii="Palatino Linotype" w:hAnsi="Palatino Linotype"/>
        </w:rPr>
        <w:t>)</w:t>
      </w:r>
      <w:r w:rsidR="001D4D5D">
        <w:rPr>
          <w:rFonts w:ascii="Palatino Linotype" w:hAnsi="Palatino Linotype"/>
        </w:rPr>
        <w:t xml:space="preserve">, </w:t>
      </w:r>
      <w:r w:rsidR="00D1712D" w:rsidRPr="00DD0263">
        <w:rPr>
          <w:rFonts w:ascii="Palatino Linotype" w:hAnsi="Palatino Linotype"/>
        </w:rPr>
        <w:t xml:space="preserve">lo cual no coincide con la información proporcionada por el Titular de la Unidad de Transparencia al momento de rendir informe justificado, de lo que se advierte que la información proporcionada </w:t>
      </w:r>
      <w:r w:rsidR="00DD0263" w:rsidRPr="00DD0263">
        <w:rPr>
          <w:rFonts w:ascii="Palatino Linotype" w:hAnsi="Palatino Linotype"/>
        </w:rPr>
        <w:t>presenta algunas inconsistencias, mismas que no dan certeza sobre la misma, motivo por el cual con la finalidad de garantizar el pleno ejercicio del derecho de acceso a la información pública del impetrante, este Instituto considera importante citar la fuente obligacional del Sujeto Obligado para generar, administrar y poseer la información materia del presente asunto</w:t>
      </w:r>
      <w:r w:rsidR="00DD0263">
        <w:rPr>
          <w:rFonts w:ascii="Palatino Linotype" w:hAnsi="Palatino Linotype"/>
        </w:rPr>
        <w:t xml:space="preserve"> y de ser procedente ordenar se realice la entrega de la misma.</w:t>
      </w:r>
    </w:p>
    <w:p w:rsidR="00CD0897" w:rsidRPr="00054841" w:rsidRDefault="00DD0263" w:rsidP="00CD0897">
      <w:pPr>
        <w:spacing w:before="240" w:after="240" w:line="360" w:lineRule="auto"/>
        <w:jc w:val="both"/>
        <w:rPr>
          <w:rFonts w:ascii="Palatino Linotype" w:hAnsi="Palatino Linotype" w:cs="Arial"/>
        </w:rPr>
      </w:pPr>
      <w:r>
        <w:rPr>
          <w:rFonts w:ascii="Palatino Linotype" w:hAnsi="Palatino Linotype" w:cs="Arial"/>
        </w:rPr>
        <w:t xml:space="preserve">Una vez precisado lo anterior, es importante mencionar que al ser </w:t>
      </w:r>
      <w:r w:rsidR="00CD0897" w:rsidRPr="00054841">
        <w:rPr>
          <w:rFonts w:ascii="Palatino Linotype" w:hAnsi="Palatino Linotype" w:cs="Arial"/>
        </w:rPr>
        <w:t xml:space="preserve">omiso el Sujeto Obligado en emitir respuesta alguna a la solicitud de información, los motivos aducidos por el recurrente, resultan fundados pues efectivamente transcurrió el plazo para dar respuesta determinado por la Ley de la Materia, sin que el Sujeto </w:t>
      </w:r>
      <w:r w:rsidR="00CD0897" w:rsidRPr="00054841">
        <w:rPr>
          <w:rFonts w:ascii="Palatino Linotype" w:hAnsi="Palatino Linotype" w:cs="Arial"/>
        </w:rPr>
        <w:lastRenderedPageBreak/>
        <w:t xml:space="preserve">Obligado atendiera la solicitud de información; por lo tanto, es evidente que se vulneró su derecho constitucional de acceso a la información pública </w:t>
      </w:r>
      <w:r w:rsidR="00CD0897" w:rsidRPr="00054841">
        <w:rPr>
          <w:rFonts w:ascii="Palatino Linotype" w:hAnsi="Palatino Linotype"/>
          <w:color w:val="000000"/>
        </w:rPr>
        <w:t>previsto en el artículo 6 de la Constitución Política de los Estados Unidos Mexicanos y el artículo 5 de la Constitución Política del Estado Libre y Soberano de México</w:t>
      </w:r>
      <w:r w:rsidR="00CD0897" w:rsidRPr="00054841">
        <w:rPr>
          <w:rFonts w:ascii="Palatino Linotype" w:hAnsi="Palatino Linotype" w:cs="Arial"/>
        </w:rPr>
        <w:t>.</w:t>
      </w:r>
    </w:p>
    <w:p w:rsidR="00CD0897" w:rsidRPr="00054841" w:rsidRDefault="00CD0897" w:rsidP="00CD0897">
      <w:pPr>
        <w:spacing w:before="240" w:after="240" w:line="360" w:lineRule="auto"/>
        <w:jc w:val="both"/>
        <w:rPr>
          <w:rFonts w:ascii="Palatino Linotype" w:hAnsi="Palatino Linotype" w:cs="Arial"/>
        </w:rPr>
      </w:pPr>
      <w:r w:rsidRPr="00054841">
        <w:rPr>
          <w:rFonts w:ascii="Palatino Linotype" w:hAnsi="Palatino Linotype"/>
        </w:rPr>
        <w:t>Así las cosas, conviene iniciar resaltando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rsidR="00CD0897" w:rsidRPr="00054841" w:rsidRDefault="00CD0897" w:rsidP="00D72D51">
      <w:pPr>
        <w:pStyle w:val="NormalWeb"/>
        <w:spacing w:before="0" w:beforeAutospacing="0" w:after="0" w:afterAutospacing="0"/>
        <w:ind w:left="851" w:right="851"/>
        <w:jc w:val="both"/>
        <w:rPr>
          <w:rFonts w:ascii="Palatino Linotype" w:hAnsi="Palatino Linotype"/>
          <w:i/>
          <w:sz w:val="22"/>
          <w:szCs w:val="22"/>
        </w:rPr>
      </w:pPr>
      <w:r w:rsidRPr="00054841">
        <w:rPr>
          <w:rFonts w:ascii="Palatino Linotype" w:hAnsi="Palatino Linotype"/>
          <w:i/>
          <w:sz w:val="22"/>
          <w:szCs w:val="22"/>
        </w:rPr>
        <w:t>“</w:t>
      </w:r>
      <w:r w:rsidRPr="00054841">
        <w:rPr>
          <w:rFonts w:ascii="Palatino Linotype" w:hAnsi="Palatino Linotype"/>
          <w:b/>
          <w:i/>
          <w:sz w:val="22"/>
          <w:szCs w:val="22"/>
        </w:rPr>
        <w:t>Artículo 4</w:t>
      </w:r>
      <w:r w:rsidRPr="00054841">
        <w:rPr>
          <w:rFonts w:ascii="Palatino Linotype" w:hAnsi="Palatino Linotype"/>
          <w:i/>
          <w:sz w:val="22"/>
          <w:szCs w:val="22"/>
        </w:rPr>
        <w:t>. (…)</w:t>
      </w:r>
    </w:p>
    <w:p w:rsidR="00CD0897" w:rsidRDefault="00CD0897" w:rsidP="00D72D51">
      <w:pPr>
        <w:pStyle w:val="NormalWeb"/>
        <w:spacing w:before="0" w:beforeAutospacing="0" w:after="0" w:afterAutospacing="0"/>
        <w:ind w:left="851" w:right="851"/>
        <w:jc w:val="both"/>
        <w:rPr>
          <w:rFonts w:ascii="Palatino Linotype" w:hAnsi="Palatino Linotype"/>
          <w:i/>
          <w:sz w:val="22"/>
          <w:szCs w:val="22"/>
        </w:rPr>
      </w:pPr>
      <w:r w:rsidRPr="00054841">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054841">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72D51" w:rsidRPr="00054841" w:rsidRDefault="00D72D51" w:rsidP="00D72D51">
      <w:pPr>
        <w:pStyle w:val="NormalWeb"/>
        <w:spacing w:before="0" w:beforeAutospacing="0" w:after="0" w:afterAutospacing="0"/>
        <w:ind w:left="851" w:right="851"/>
        <w:jc w:val="both"/>
        <w:rPr>
          <w:rFonts w:ascii="Palatino Linotype" w:hAnsi="Palatino Linotype"/>
          <w:i/>
          <w:color w:val="000000"/>
          <w:sz w:val="22"/>
          <w:szCs w:val="22"/>
        </w:rPr>
      </w:pPr>
    </w:p>
    <w:p w:rsidR="00CD0897" w:rsidRPr="00054841" w:rsidRDefault="00CD0897" w:rsidP="00CD0897">
      <w:pPr>
        <w:pStyle w:val="paragraph"/>
        <w:spacing w:before="0" w:beforeAutospacing="0" w:after="240" w:afterAutospacing="0" w:line="360" w:lineRule="auto"/>
        <w:ind w:right="-150"/>
        <w:jc w:val="both"/>
        <w:textAlignment w:val="baseline"/>
        <w:rPr>
          <w:rFonts w:ascii="Palatino Linotype" w:hAnsi="Palatino Linotype" w:cs="Arial"/>
        </w:rPr>
      </w:pPr>
      <w:r w:rsidRPr="00054841">
        <w:rPr>
          <w:rFonts w:ascii="Palatino Linotype" w:hAnsi="Palatino Linotype" w:cs="Arial"/>
        </w:rPr>
        <w:t>De ahí que se destaque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054841">
        <w:rPr>
          <w:vertAlign w:val="superscript"/>
        </w:rPr>
        <w:footnoteReference w:id="1"/>
      </w:r>
      <w:r w:rsidRPr="00054841">
        <w:rPr>
          <w:rFonts w:ascii="Palatino Linotype" w:hAnsi="Palatino Linotype" w:cs="Arial"/>
        </w:rPr>
        <w:t xml:space="preserve">; más aún si la misma se trata de información </w:t>
      </w:r>
      <w:r w:rsidRPr="00054841">
        <w:rPr>
          <w:rFonts w:ascii="Palatino Linotype" w:hAnsi="Palatino Linotype" w:cs="Arial"/>
        </w:rPr>
        <w:lastRenderedPageBreak/>
        <w:t>pública de oficio la cual se relaciona con aquella que se genere de acuerdo con sus facultades, atribuciones señaladas por la Ley en materia</w:t>
      </w:r>
      <w:r w:rsidRPr="00054841">
        <w:rPr>
          <w:vertAlign w:val="superscript"/>
        </w:rPr>
        <w:footnoteReference w:id="2"/>
      </w:r>
      <w:r w:rsidRPr="00054841">
        <w:rPr>
          <w:rFonts w:ascii="Palatino Linotype" w:hAnsi="Palatino Linotype" w:cs="Arial"/>
        </w:rPr>
        <w:t>, así como de interés público, es decir, aquella que resulta relevante o beneficiosa para la sociedad y no simplemente de interés individual y cuya divulgación resulta útil para que el público</w:t>
      </w:r>
      <w:r w:rsidRPr="00054841">
        <w:rPr>
          <w:vertAlign w:val="superscript"/>
        </w:rPr>
        <w:footnoteReference w:id="3"/>
      </w:r>
      <w:r w:rsidRPr="00054841">
        <w:rPr>
          <w:rFonts w:ascii="Palatino Linotype" w:hAnsi="Palatino Linotype" w:cs="Arial"/>
          <w:vertAlign w:val="superscript"/>
        </w:rPr>
        <w:t>:</w:t>
      </w:r>
      <w:r w:rsidRPr="00054841">
        <w:rPr>
          <w:rFonts w:ascii="Palatino Linotype" w:hAnsi="Palatino Linotype" w:cs="Arial"/>
        </w:rPr>
        <w:t xml:space="preserve"> como pudiera tratarse de aquella relacionada con la prestación de servicios públicos, específicamente del alumbrado público por parte de los Ayuntamientos.</w:t>
      </w:r>
    </w:p>
    <w:p w:rsidR="00CD0897" w:rsidRPr="00054841" w:rsidRDefault="00CD0897" w:rsidP="00CD0897">
      <w:pPr>
        <w:spacing w:after="200" w:line="360" w:lineRule="auto"/>
        <w:jc w:val="both"/>
        <w:rPr>
          <w:rFonts w:ascii="Arial" w:hAnsi="Arial" w:cs="Arial"/>
          <w:color w:val="222222"/>
          <w:szCs w:val="19"/>
          <w:lang w:val="es-MX" w:eastAsia="es-MX"/>
        </w:rPr>
      </w:pPr>
      <w:r w:rsidRPr="00054841">
        <w:rPr>
          <w:rFonts w:ascii="Palatino Linotype" w:hAnsi="Palatino Linotype" w:cs="Arial"/>
        </w:rPr>
        <w:t xml:space="preserve">De esta manera, </w:t>
      </w:r>
      <w:r w:rsidRPr="00054841">
        <w:rPr>
          <w:rFonts w:ascii="Palatino Linotype" w:hAnsi="Palatino Linotype"/>
        </w:rPr>
        <w:t xml:space="preserve">resulta oportuno establecer que en el asunto </w:t>
      </w:r>
      <w:r w:rsidRPr="00054841">
        <w:rPr>
          <w:rFonts w:ascii="Palatino Linotype" w:hAnsi="Palatino Linotype" w:cs="Arial"/>
        </w:rPr>
        <w:t>materia de la presente resolución se advierte que el particular solicitó diversa información, no precisando en todos los casos el documento al cual desea tener acceso, por lo que se deberá realizar una interpretación a la solicitud planteada</w:t>
      </w:r>
      <w:r w:rsidRPr="00054841">
        <w:rPr>
          <w:rStyle w:val="Refdenotaalpie"/>
          <w:rFonts w:ascii="Palatino Linotype" w:hAnsi="Palatino Linotype" w:cs="Arial"/>
        </w:rPr>
        <w:footnoteReference w:id="4"/>
      </w:r>
      <w:r w:rsidRPr="00054841">
        <w:rPr>
          <w:rFonts w:ascii="Palatino Linotype" w:hAnsi="Palatino Linotype" w:cs="Arial"/>
        </w:rPr>
        <w:t xml:space="preserve">, en virtud de que el derecho de acceso a la información </w:t>
      </w:r>
      <w:r w:rsidRPr="00054841">
        <w:rPr>
          <w:rFonts w:ascii="Palatino Linotype" w:hAnsi="Palatino Linotype" w:cs="Arial"/>
          <w:lang w:eastAsia="es-MX"/>
        </w:rPr>
        <w:t xml:space="preserve">constituye una prerrogativa a acceder a documentación en poder de los Sujetos Obligados, </w:t>
      </w:r>
      <w:r w:rsidRPr="00054841">
        <w:rPr>
          <w:rFonts w:ascii="Palatino Linotype" w:hAnsi="Palatino Linotype" w:cs="Arial"/>
          <w:color w:val="222222"/>
          <w:lang w:eastAsia="es-MX"/>
        </w:rPr>
        <w:t xml:space="preserve">lo que se traduce en una obligación de </w:t>
      </w:r>
      <w:r w:rsidRPr="00054841">
        <w:rPr>
          <w:rFonts w:ascii="Palatino Linotype" w:eastAsiaTheme="minorHAnsi" w:hAnsi="Palatino Linotype" w:cs="Bookman Old Style"/>
          <w:lang w:val="es-MX" w:eastAsia="en-US"/>
        </w:rPr>
        <w:t xml:space="preserve">proporcionarán la información pública que se les requiera y que obre en sus archivos y en el estado en que ésta se encuentre; lo cual, no comprende el procesamiento de la misma, ni el presentarla conforme al interés del solicitante; no estarán obligados </w:t>
      </w:r>
      <w:r w:rsidRPr="00054841">
        <w:rPr>
          <w:rFonts w:ascii="Palatino Linotype" w:eastAsiaTheme="minorHAnsi" w:hAnsi="Palatino Linotype" w:cs="Bookman Old Style"/>
          <w:lang w:val="es-MX" w:eastAsia="en-US"/>
        </w:rPr>
        <w:lastRenderedPageBreak/>
        <w:t xml:space="preserve">a generarla, resumirla, efectuar cálculos o practicar investigaciones,  </w:t>
      </w:r>
      <w:r w:rsidRPr="00054841">
        <w:rPr>
          <w:rFonts w:ascii="Palatino Linotype" w:hAnsi="Palatino Linotype" w:cs="Arial"/>
        </w:rPr>
        <w:t xml:space="preserve">en términos de los artículos </w:t>
      </w:r>
      <w:r w:rsidRPr="00054841">
        <w:rPr>
          <w:rFonts w:ascii="Palatino Linotype" w:hAnsi="Palatino Linotype" w:cs="Arial"/>
          <w:color w:val="000000" w:themeColor="text1"/>
        </w:rPr>
        <w:t xml:space="preserve">3 fracciones XI, XII 4, 12 y 24 último párrafo </w:t>
      </w:r>
      <w:r w:rsidRPr="00054841">
        <w:rPr>
          <w:rFonts w:ascii="Palatino Linotype" w:hAnsi="Palatino Linotype" w:cs="Arial"/>
          <w:bCs/>
          <w:color w:val="000000" w:themeColor="text1"/>
        </w:rPr>
        <w:t>de la Ley de Transparencia y Acceso a la Información Pública del Estado de México y Municipios</w:t>
      </w:r>
      <w:r w:rsidRPr="00054841">
        <w:rPr>
          <w:rStyle w:val="Refdenotaalpie"/>
          <w:rFonts w:ascii="Palatino Linotype" w:hAnsi="Palatino Linotype" w:cs="Arial"/>
          <w:bCs/>
          <w:color w:val="000000" w:themeColor="text1"/>
        </w:rPr>
        <w:footnoteReference w:id="5"/>
      </w:r>
      <w:r w:rsidRPr="00054841">
        <w:rPr>
          <w:rFonts w:ascii="Palatino Linotype" w:hAnsi="Palatino Linotype" w:cs="Arial"/>
          <w:color w:val="000000" w:themeColor="text1"/>
        </w:rPr>
        <w:t xml:space="preserve">, </w:t>
      </w:r>
      <w:r w:rsidRPr="00054841">
        <w:rPr>
          <w:rFonts w:ascii="Palatino Linotype" w:hAnsi="Palatino Linotype"/>
          <w:color w:val="000000"/>
        </w:rPr>
        <w:t xml:space="preserve">sirve como apoyo </w:t>
      </w:r>
      <w:r w:rsidRPr="0005484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CD0897" w:rsidRPr="00DD0263" w:rsidRDefault="00CD0897" w:rsidP="00CD0897">
      <w:pPr>
        <w:shd w:val="clear" w:color="auto" w:fill="FFFFFF"/>
        <w:tabs>
          <w:tab w:val="left" w:pos="8647"/>
        </w:tabs>
        <w:spacing w:before="240" w:after="240"/>
        <w:ind w:left="851" w:right="900"/>
        <w:jc w:val="both"/>
        <w:rPr>
          <w:rFonts w:ascii="Palatino Linotype" w:hAnsi="Palatino Linotype" w:cs="Arial"/>
          <w:i/>
          <w:iCs/>
          <w:color w:val="222222"/>
          <w:sz w:val="22"/>
          <w:szCs w:val="22"/>
          <w:lang w:eastAsia="es-MX"/>
        </w:rPr>
      </w:pPr>
      <w:r w:rsidRPr="00DD0263">
        <w:rPr>
          <w:rFonts w:ascii="Palatino Linotype" w:hAnsi="Palatino Linotype" w:cs="Arial"/>
          <w:b/>
          <w:bCs/>
          <w:i/>
          <w:iCs/>
          <w:color w:val="222222"/>
          <w:sz w:val="22"/>
          <w:szCs w:val="22"/>
          <w:lang w:eastAsia="es-MX"/>
        </w:rPr>
        <w:t>“Las dependencias y entidades no están obligadas a generar documentos ad hoc para responder una solicitud de acceso a la información. </w:t>
      </w:r>
      <w:r w:rsidRPr="00DD0263">
        <w:rPr>
          <w:rFonts w:ascii="Palatino Linotype" w:hAnsi="Palatino Linotype" w:cs="Arial"/>
          <w:i/>
          <w:iCs/>
          <w:color w:val="222222"/>
          <w:sz w:val="22"/>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CD0897" w:rsidRPr="00054841" w:rsidRDefault="00CD0897" w:rsidP="00CD0897">
      <w:pPr>
        <w:shd w:val="clear" w:color="auto" w:fill="FFFFFF"/>
        <w:spacing w:before="240" w:after="240" w:line="360" w:lineRule="auto"/>
        <w:jc w:val="both"/>
        <w:rPr>
          <w:rFonts w:ascii="Palatino Linotype" w:hAnsi="Palatino Linotype" w:cs="Arial"/>
          <w:szCs w:val="19"/>
          <w:lang w:eastAsia="es-MX"/>
        </w:rPr>
      </w:pPr>
      <w:r w:rsidRPr="00054841">
        <w:rPr>
          <w:rFonts w:ascii="Palatino Linotype" w:hAnsi="Palatino Linotype" w:cs="Arial"/>
          <w:szCs w:val="19"/>
          <w:lang w:eastAsia="es-MX"/>
        </w:rPr>
        <w:lastRenderedPageBreak/>
        <w:t>En efecto, el derecho de acceso a la información es un derecho de acceso a documentos; por lo que, se estima que la naturaleza de los artículos de la legislación en la materia, versa en ese acceso al documento </w:t>
      </w:r>
      <w:r w:rsidRPr="00054841">
        <w:rPr>
          <w:rFonts w:ascii="Palatino Linotype" w:hAnsi="Palatino Linotype" w:cs="Arial"/>
          <w:i/>
          <w:iCs/>
          <w:szCs w:val="19"/>
          <w:lang w:eastAsia="es-MX"/>
        </w:rPr>
        <w:t>per se</w:t>
      </w:r>
      <w:r w:rsidRPr="00054841">
        <w:rPr>
          <w:rFonts w:ascii="Palatino Linotype" w:hAnsi="Palatino Linotype" w:cs="Arial"/>
          <w:szCs w:val="19"/>
          <w:lang w:eastAsia="es-MX"/>
        </w:rPr>
        <w:t>.</w:t>
      </w:r>
    </w:p>
    <w:p w:rsidR="00CD0897" w:rsidRPr="00054841" w:rsidRDefault="00CD0897" w:rsidP="00CD0897">
      <w:pPr>
        <w:shd w:val="clear" w:color="auto" w:fill="FFFFFF"/>
        <w:spacing w:before="240" w:after="240" w:line="360" w:lineRule="auto"/>
        <w:jc w:val="both"/>
        <w:rPr>
          <w:rFonts w:ascii="Palatino Linotype" w:hAnsi="Palatino Linotype" w:cs="Arial"/>
          <w:szCs w:val="19"/>
          <w:lang w:eastAsia="es-MX"/>
        </w:rPr>
      </w:pPr>
      <w:r w:rsidRPr="00054841">
        <w:rPr>
          <w:rFonts w:ascii="Palatino Linotype" w:hAnsi="Palatino Linotype" w:cs="Arial"/>
          <w:szCs w:val="19"/>
          <w:lang w:eastAsia="es-MX"/>
        </w:rPr>
        <w:t>En ese sentido, es claro para este Instituto que con la falta de respuesta a la solicitud de acceso a la información, se vulneró en perjuicio del particular su derecho de accesar a la documentación que genera, posee o administrar el Sujeto Obligado</w:t>
      </w:r>
      <w:r w:rsidRPr="00054841">
        <w:rPr>
          <w:rFonts w:ascii="Palatino Linotype" w:hAnsi="Palatino Linotype" w:cs="Arial"/>
          <w:b/>
          <w:szCs w:val="19"/>
          <w:lang w:eastAsia="es-MX"/>
        </w:rPr>
        <w:t xml:space="preserve"> </w:t>
      </w:r>
      <w:r w:rsidRPr="00054841">
        <w:rPr>
          <w:rFonts w:ascii="Palatino Linotype" w:hAnsi="Palatino Linotype" w:cs="Arial"/>
          <w:szCs w:val="19"/>
          <w:lang w:eastAsia="es-MX"/>
        </w:rPr>
        <w:t>en el ejercicio de funciones.</w:t>
      </w:r>
    </w:p>
    <w:p w:rsidR="00CD0897" w:rsidRPr="00054841" w:rsidRDefault="00CD0897" w:rsidP="00CD0897">
      <w:pPr>
        <w:spacing w:before="240" w:after="240" w:line="360" w:lineRule="auto"/>
        <w:ind w:right="49"/>
        <w:jc w:val="both"/>
        <w:rPr>
          <w:rFonts w:ascii="Palatino Linotype" w:hAnsi="Palatino Linotype" w:cs="Arial"/>
        </w:rPr>
      </w:pPr>
      <w:r w:rsidRPr="00054841">
        <w:rPr>
          <w:rFonts w:ascii="Palatino Linotype" w:hAnsi="Palatino Linotype" w:cs="Arial"/>
          <w:szCs w:val="19"/>
          <w:lang w:eastAsia="es-MX"/>
        </w:rPr>
        <w:t xml:space="preserve">Por lo anterior, es deber analizar </w:t>
      </w:r>
      <w:r w:rsidRPr="00054841">
        <w:rPr>
          <w:rFonts w:ascii="Palatino Linotype" w:eastAsiaTheme="minorEastAsia" w:hAnsi="Palatino Linotype" w:cs="Bookman Old Style"/>
          <w:lang w:val="es-MX"/>
        </w:rPr>
        <w:t xml:space="preserve">el marco normativo que otorga competencia al Ayuntamiento de </w:t>
      </w:r>
      <w:r w:rsidR="00FC6930">
        <w:rPr>
          <w:rFonts w:ascii="Palatino Linotype" w:eastAsiaTheme="minorEastAsia" w:hAnsi="Palatino Linotype" w:cs="Bookman Old Style"/>
          <w:lang w:val="es-MX"/>
        </w:rPr>
        <w:t xml:space="preserve">San Felipe del Progreso </w:t>
      </w:r>
      <w:r w:rsidRPr="00054841">
        <w:rPr>
          <w:rFonts w:ascii="Palatino Linotype" w:eastAsiaTheme="minorEastAsia" w:hAnsi="Palatino Linotype" w:cs="Bookman Old Style"/>
          <w:lang w:val="es-MX"/>
        </w:rPr>
        <w:t xml:space="preserve">para atender los requerimientos de información, partiendo de lo estatuido en la </w:t>
      </w:r>
      <w:r w:rsidRPr="00054841">
        <w:rPr>
          <w:rFonts w:ascii="Palatino Linotype" w:hAnsi="Palatino Linotype" w:cs="Arial"/>
        </w:rPr>
        <w:t>Constitución Política de los Estados Unidos Mexicanos que establece en el artículo 115 fracciones I, párrafo primero, II párrafo primero y III inciso b), lo siguiente:</w:t>
      </w:r>
    </w:p>
    <w:p w:rsidR="00CD0897" w:rsidRPr="00D72D51" w:rsidRDefault="00CD0897" w:rsidP="00D72D51">
      <w:pPr>
        <w:ind w:left="851" w:right="851"/>
        <w:jc w:val="both"/>
        <w:rPr>
          <w:rFonts w:ascii="Palatino Linotype" w:hAnsi="Palatino Linotype"/>
          <w:i/>
          <w:sz w:val="22"/>
          <w:szCs w:val="22"/>
        </w:rPr>
      </w:pPr>
      <w:r w:rsidRPr="00D72D51">
        <w:rPr>
          <w:rFonts w:ascii="Palatino Linotype" w:hAnsi="Palatino Linotype" w:cs="Arial"/>
          <w:b/>
          <w:i/>
          <w:sz w:val="22"/>
          <w:szCs w:val="22"/>
        </w:rPr>
        <w:t>“</w:t>
      </w:r>
      <w:r w:rsidRPr="00D72D51">
        <w:rPr>
          <w:rFonts w:ascii="Palatino Linotype" w:hAnsi="Palatino Linotype"/>
          <w:b/>
          <w:i/>
          <w:sz w:val="22"/>
          <w:szCs w:val="22"/>
        </w:rPr>
        <w:t>Artículo 115.</w:t>
      </w:r>
      <w:r w:rsidRPr="00D72D51">
        <w:rPr>
          <w:rFonts w:ascii="Palatino Linotype" w:hAnsi="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CD0897" w:rsidRPr="00D72D51" w:rsidRDefault="00CD0897" w:rsidP="00D72D51">
      <w:pPr>
        <w:ind w:left="851" w:right="851"/>
        <w:jc w:val="both"/>
        <w:rPr>
          <w:rFonts w:ascii="Palatino Linotype" w:hAnsi="Palatino Linotype"/>
          <w:i/>
          <w:sz w:val="22"/>
          <w:szCs w:val="22"/>
        </w:rPr>
      </w:pPr>
      <w:r w:rsidRPr="00D72D51">
        <w:rPr>
          <w:rFonts w:ascii="Palatino Linotype" w:hAnsi="Palatino Linotype"/>
          <w:i/>
          <w:sz w:val="22"/>
          <w:szCs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CD0897" w:rsidRPr="00D72D51" w:rsidRDefault="00CD0897" w:rsidP="00D72D51">
      <w:pPr>
        <w:ind w:left="851" w:right="851"/>
        <w:jc w:val="both"/>
        <w:rPr>
          <w:rFonts w:ascii="Palatino Linotype" w:hAnsi="Palatino Linotype"/>
          <w:i/>
          <w:sz w:val="22"/>
          <w:szCs w:val="22"/>
        </w:rPr>
      </w:pPr>
      <w:r w:rsidRPr="00D72D51">
        <w:rPr>
          <w:rFonts w:ascii="Palatino Linotype" w:hAnsi="Palatino Linotype"/>
          <w:i/>
          <w:sz w:val="22"/>
          <w:szCs w:val="22"/>
        </w:rPr>
        <w:t>(…)</w:t>
      </w:r>
    </w:p>
    <w:p w:rsidR="00CD0897" w:rsidRPr="00D72D51" w:rsidRDefault="00CD0897" w:rsidP="00D72D51">
      <w:pPr>
        <w:pStyle w:val="Default"/>
        <w:ind w:left="851" w:right="851"/>
        <w:jc w:val="both"/>
        <w:rPr>
          <w:rFonts w:ascii="Palatino Linotype" w:hAnsi="Palatino Linotype"/>
          <w:i/>
          <w:sz w:val="22"/>
          <w:szCs w:val="22"/>
        </w:rPr>
      </w:pPr>
      <w:r w:rsidRPr="00D72D51">
        <w:rPr>
          <w:rFonts w:ascii="Palatino Linotype" w:hAnsi="Palatino Linotype"/>
          <w:b/>
          <w:bCs/>
          <w:i/>
          <w:sz w:val="22"/>
          <w:szCs w:val="22"/>
        </w:rPr>
        <w:t xml:space="preserve">II. </w:t>
      </w:r>
      <w:r w:rsidRPr="00D72D51">
        <w:rPr>
          <w:rFonts w:ascii="Palatino Linotype" w:hAnsi="Palatino Linotype"/>
          <w:i/>
          <w:sz w:val="22"/>
          <w:szCs w:val="22"/>
        </w:rPr>
        <w:t>Los municipios estarán investidos de personalidad jurídica y manejarán su patrimonio conforme a la ley</w:t>
      </w:r>
    </w:p>
    <w:p w:rsidR="00CD0897" w:rsidRPr="00D72D51" w:rsidRDefault="00CD0897" w:rsidP="00D72D51">
      <w:pPr>
        <w:pStyle w:val="Default"/>
        <w:ind w:left="851" w:right="851"/>
        <w:jc w:val="both"/>
        <w:rPr>
          <w:rFonts w:ascii="Palatino Linotype" w:hAnsi="Palatino Linotype"/>
          <w:i/>
          <w:sz w:val="22"/>
          <w:szCs w:val="22"/>
        </w:rPr>
      </w:pPr>
      <w:r w:rsidRPr="00D72D51">
        <w:rPr>
          <w:rFonts w:ascii="Palatino Linotype" w:hAnsi="Palatino Linotype"/>
          <w:b/>
          <w:bCs/>
          <w:i/>
          <w:sz w:val="22"/>
          <w:szCs w:val="22"/>
        </w:rPr>
        <w:t>(</w:t>
      </w:r>
      <w:r w:rsidRPr="00D72D51">
        <w:rPr>
          <w:rFonts w:ascii="Palatino Linotype" w:hAnsi="Palatino Linotype"/>
          <w:i/>
          <w:sz w:val="22"/>
          <w:szCs w:val="22"/>
        </w:rPr>
        <w:t>…)</w:t>
      </w:r>
    </w:p>
    <w:p w:rsidR="00CD0897" w:rsidRPr="00D72D51" w:rsidRDefault="00CD0897" w:rsidP="00D72D51">
      <w:pPr>
        <w:pStyle w:val="Default"/>
        <w:ind w:left="851" w:right="851"/>
        <w:jc w:val="both"/>
        <w:rPr>
          <w:rFonts w:ascii="Palatino Linotype" w:hAnsi="Palatino Linotype"/>
          <w:i/>
          <w:sz w:val="22"/>
          <w:szCs w:val="22"/>
        </w:rPr>
      </w:pPr>
      <w:r w:rsidRPr="00D72D51">
        <w:rPr>
          <w:rFonts w:ascii="Palatino Linotype" w:hAnsi="Palatino Linotype"/>
          <w:i/>
          <w:sz w:val="22"/>
          <w:szCs w:val="22"/>
        </w:rPr>
        <w:t>III. Los Municipios tendrán a su cargo las funciones y servicios públicos siguientes:</w:t>
      </w:r>
    </w:p>
    <w:p w:rsidR="00CD0897" w:rsidRPr="00D72D51" w:rsidRDefault="00CD0897" w:rsidP="00D72D51">
      <w:pPr>
        <w:pStyle w:val="Default"/>
        <w:ind w:left="851" w:right="851"/>
        <w:jc w:val="both"/>
        <w:rPr>
          <w:rFonts w:ascii="Palatino Linotype" w:hAnsi="Palatino Linotype"/>
          <w:i/>
          <w:sz w:val="22"/>
          <w:szCs w:val="22"/>
        </w:rPr>
      </w:pPr>
      <w:r w:rsidRPr="00D72D51">
        <w:rPr>
          <w:rFonts w:ascii="Palatino Linotype" w:hAnsi="Palatino Linotype"/>
          <w:i/>
          <w:sz w:val="22"/>
          <w:szCs w:val="22"/>
        </w:rPr>
        <w:t>(…)</w:t>
      </w:r>
    </w:p>
    <w:p w:rsidR="00CD0897" w:rsidRPr="00D72D51" w:rsidRDefault="00CD0897" w:rsidP="00D72D51">
      <w:pPr>
        <w:pStyle w:val="Default"/>
        <w:ind w:left="851" w:right="851"/>
        <w:jc w:val="both"/>
        <w:rPr>
          <w:rFonts w:ascii="Palatino Linotype" w:hAnsi="Palatino Linotype"/>
          <w:i/>
          <w:sz w:val="22"/>
          <w:szCs w:val="22"/>
        </w:rPr>
      </w:pPr>
      <w:r w:rsidRPr="00D72D51">
        <w:rPr>
          <w:rFonts w:ascii="Palatino Linotype" w:hAnsi="Palatino Linotype"/>
          <w:i/>
          <w:sz w:val="22"/>
          <w:szCs w:val="22"/>
        </w:rPr>
        <w:t>b) Alumbrado público...”</w:t>
      </w:r>
    </w:p>
    <w:p w:rsidR="00CD0897" w:rsidRPr="00054841" w:rsidRDefault="00CD0897" w:rsidP="00CD0897">
      <w:pPr>
        <w:autoSpaceDE w:val="0"/>
        <w:autoSpaceDN w:val="0"/>
        <w:adjustRightInd w:val="0"/>
        <w:spacing w:before="240" w:after="160" w:line="360" w:lineRule="auto"/>
        <w:jc w:val="both"/>
        <w:rPr>
          <w:rFonts w:ascii="Palatino Linotype" w:hAnsi="Palatino Linotype" w:cs="Arial"/>
        </w:rPr>
      </w:pPr>
      <w:r w:rsidRPr="00054841">
        <w:rPr>
          <w:rFonts w:ascii="Palatino Linotype" w:hAnsi="Palatino Linotype"/>
          <w:bCs/>
        </w:rPr>
        <w:lastRenderedPageBreak/>
        <w:t xml:space="preserve">Así, del texto transcrito se advierte que los Municipios son la base </w:t>
      </w:r>
      <w:r w:rsidR="00FC6930" w:rsidRPr="00054841">
        <w:rPr>
          <w:rFonts w:ascii="Palatino Linotype" w:hAnsi="Palatino Linotype"/>
          <w:bCs/>
        </w:rPr>
        <w:t>de la</w:t>
      </w:r>
      <w:r w:rsidRPr="00054841">
        <w:rPr>
          <w:rFonts w:ascii="Palatino Linotype" w:hAnsi="Palatino Linotype"/>
          <w:bCs/>
        </w:rPr>
        <w:t xml:space="preserve"> división territorial de los Estados, gobernados por un Ayuntamiento de elección popular, investidos de personalidad jurídica y </w:t>
      </w:r>
      <w:r w:rsidRPr="00054841">
        <w:rPr>
          <w:rFonts w:ascii="Palatino Linotype" w:hAnsi="Palatino Linotype"/>
        </w:rPr>
        <w:t xml:space="preserve">patrimonio propio, que tienen a su cargo </w:t>
      </w:r>
      <w:r w:rsidRPr="00054841">
        <w:rPr>
          <w:rFonts w:ascii="Palatino Linotype" w:hAnsi="Palatino Linotype"/>
          <w:color w:val="000000"/>
        </w:rPr>
        <w:t>el alumbrado público.</w:t>
      </w:r>
    </w:p>
    <w:p w:rsidR="00CD0897" w:rsidRPr="00054841" w:rsidRDefault="00CD0897" w:rsidP="00CD0897">
      <w:pPr>
        <w:spacing w:before="240" w:after="240" w:line="360" w:lineRule="auto"/>
        <w:ind w:right="49"/>
        <w:jc w:val="both"/>
        <w:rPr>
          <w:rFonts w:ascii="Palatino Linotype" w:hAnsi="Palatino Linotype"/>
        </w:rPr>
      </w:pPr>
      <w:r w:rsidRPr="00054841">
        <w:rPr>
          <w:rFonts w:ascii="Palatino Linotype" w:hAnsi="Palatino Linotype"/>
          <w:bCs/>
        </w:rPr>
        <w:t>Por su parte, la Constitución Política del Estado Libre y Soberano de México, reconoce en su artículo 112, a los Municipios como la base de la división territorial y organización política y administrativa del Estado, además de establecer las funciones y atribuciones contenidas en la Constitución Federal, cuestiones que no se pasaron por alto al emitirse la L</w:t>
      </w:r>
      <w:r w:rsidRPr="00054841">
        <w:rPr>
          <w:rFonts w:ascii="Palatino Linotype" w:hAnsi="Palatino Linotype"/>
        </w:rPr>
        <w:t>ey Orgánica Municipal del Estado de México, que acoge lo establecido por las Constituciones en comento, al incluir al municipio libre como la base de la división territorial y de la organización política del Estado, que tendrá a su cargo la prestación, explotación, administración y conservación del servicio público denominado alumbrado público.</w:t>
      </w:r>
    </w:p>
    <w:p w:rsidR="00CD0897" w:rsidRPr="00054841" w:rsidRDefault="00CD0897" w:rsidP="00CD0897">
      <w:pPr>
        <w:spacing w:before="240" w:after="240" w:line="360" w:lineRule="auto"/>
        <w:ind w:right="51"/>
        <w:jc w:val="both"/>
        <w:rPr>
          <w:rFonts w:ascii="Palatino Linotype" w:hAnsi="Palatino Linotype"/>
        </w:rPr>
      </w:pPr>
      <w:r w:rsidRPr="00054841">
        <w:rPr>
          <w:rFonts w:ascii="Palatino Linotype" w:hAnsi="Palatino Linotype"/>
        </w:rPr>
        <w:t>A saber, es función del Ayuntamiento prestar el servicio público consistente en la iluminación de las vías públicas, parques públicos, y demás espacios de libre circulación que no se encuentran a cargo de ninguna persona natural o jurídica de derecho privado o público</w:t>
      </w:r>
      <w:r w:rsidRPr="00054841">
        <w:rPr>
          <w:rStyle w:val="Refdenotaalpie"/>
          <w:rFonts w:ascii="Palatino Linotype" w:hAnsi="Palatino Linotype"/>
        </w:rPr>
        <w:footnoteReference w:id="6"/>
      </w:r>
      <w:r w:rsidRPr="00054841">
        <w:rPr>
          <w:rFonts w:ascii="Palatino Linotype" w:hAnsi="Palatino Linotype"/>
        </w:rPr>
        <w:t>, y para tales efectos, en términos del artículo 126 de la Constitución Local, podrán previo acuerdo entre los Ayuntamiento, coordinarse y asociarse para su eficaz prestación, o bien, para concesionar el servicio público de conformidad con las disposiciones jurídicas aplicables.</w:t>
      </w:r>
    </w:p>
    <w:p w:rsidR="00CD0897" w:rsidRPr="00054841" w:rsidRDefault="00CD0897" w:rsidP="00CD0897">
      <w:pPr>
        <w:spacing w:before="240" w:after="240" w:line="360" w:lineRule="auto"/>
        <w:ind w:right="51"/>
        <w:jc w:val="both"/>
        <w:rPr>
          <w:rFonts w:ascii="Palatino Linotype" w:hAnsi="Palatino Linotype"/>
        </w:rPr>
      </w:pPr>
      <w:r w:rsidRPr="00054841">
        <w:rPr>
          <w:rFonts w:ascii="Palatino Linotype" w:hAnsi="Palatino Linotype"/>
        </w:rPr>
        <w:t xml:space="preserve">En ese sentido, la fracción VII del artículo 31 de la Ley Orgánica Municipal del Estado de México, establece además de las atribuciones marcadas con anterioridad </w:t>
      </w:r>
      <w:r w:rsidRPr="00054841">
        <w:rPr>
          <w:rFonts w:ascii="Palatino Linotype" w:hAnsi="Palatino Linotype"/>
        </w:rPr>
        <w:lastRenderedPageBreak/>
        <w:t>entre otras, celebrar convenios para la prestación de servicios públicos a que se refiere el artículo 115 fracción III de la Constitución Federal; así como convenir, contratar o concesionar la prestación de servicios públicos con el Estado, con otros municipios de la entidad o con particulares, recabando cuando así proceda, la autorización de la Legislatura,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rsidR="00CD0897" w:rsidRPr="00054841" w:rsidRDefault="00CD0897" w:rsidP="00CD0897">
      <w:pPr>
        <w:pStyle w:val="Default"/>
        <w:spacing w:before="240" w:after="240" w:line="360" w:lineRule="auto"/>
        <w:ind w:right="49" w:firstLine="1"/>
        <w:jc w:val="both"/>
        <w:rPr>
          <w:rFonts w:ascii="Palatino Linotype" w:hAnsi="Palatino Linotype"/>
        </w:rPr>
      </w:pPr>
      <w:r w:rsidRPr="00054841">
        <w:rPr>
          <w:rFonts w:ascii="Palatino Linotype" w:hAnsi="Palatino Linotype"/>
        </w:rPr>
        <w:t>De aquí que, corresponde al Ayuntamiento a través de la “Dirección de Servicios Públicos”, el ejercicio y despacho del alumbrado público, según se pudo cons</w:t>
      </w:r>
      <w:r w:rsidR="00FC6930">
        <w:rPr>
          <w:rFonts w:ascii="Palatino Linotype" w:hAnsi="Palatino Linotype"/>
        </w:rPr>
        <w:t>ultar en el Bando Municipa</w:t>
      </w:r>
      <w:r w:rsidR="007F0C69">
        <w:rPr>
          <w:rFonts w:ascii="Palatino Linotype" w:hAnsi="Palatino Linotype"/>
        </w:rPr>
        <w:t>l</w:t>
      </w:r>
      <w:r w:rsidRPr="00054841">
        <w:rPr>
          <w:rFonts w:ascii="Palatino Linotype" w:hAnsi="Palatino Linotype"/>
        </w:rPr>
        <w:t xml:space="preserve">, disponible en la siguiente liga electrónica: </w:t>
      </w:r>
      <w:hyperlink r:id="rId22" w:history="1">
        <w:r w:rsidR="007F0C69" w:rsidRPr="003A208A">
          <w:rPr>
            <w:rStyle w:val="Hipervnculo"/>
          </w:rPr>
          <w:t>http://legislacion.edomex.gob.mx/sites/legislacion.edomex.gob.mx/files/files/pdf/bdo/bdo2019/bdo075.pdf</w:t>
        </w:r>
      </w:hyperlink>
      <w:r w:rsidR="007F0C69">
        <w:t xml:space="preserve"> </w:t>
      </w:r>
      <w:r w:rsidRPr="00054841">
        <w:rPr>
          <w:rFonts w:ascii="Palatino Linotype" w:hAnsi="Palatino Linotype"/>
        </w:rPr>
        <w:t xml:space="preserve"> y como se advierte de la siguiente imagen:</w:t>
      </w:r>
    </w:p>
    <w:p w:rsidR="00CD0897" w:rsidRPr="00054841" w:rsidRDefault="007F0C69" w:rsidP="007F0C69">
      <w:pPr>
        <w:pStyle w:val="Default"/>
        <w:spacing w:before="240" w:after="240" w:line="360" w:lineRule="auto"/>
        <w:ind w:right="49"/>
        <w:jc w:val="center"/>
        <w:rPr>
          <w:rFonts w:ascii="Palatino Linotype" w:hAnsi="Palatino Linotype"/>
        </w:rPr>
      </w:pPr>
      <w:r>
        <w:rPr>
          <w:noProof/>
          <w:lang w:eastAsia="es-MX"/>
        </w:rPr>
        <w:drawing>
          <wp:inline distT="0" distB="0" distL="0" distR="0" wp14:anchorId="238BFCC0" wp14:editId="7491E0E2">
            <wp:extent cx="3394075" cy="29041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723" t="8347" r="29613" b="11915"/>
                    <a:stretch/>
                  </pic:blipFill>
                  <pic:spPr bwMode="auto">
                    <a:xfrm>
                      <a:off x="0" y="0"/>
                      <a:ext cx="3404617" cy="2913155"/>
                    </a:xfrm>
                    <a:prstGeom prst="rect">
                      <a:avLst/>
                    </a:prstGeom>
                    <a:ln>
                      <a:noFill/>
                    </a:ln>
                    <a:extLst>
                      <a:ext uri="{53640926-AAD7-44D8-BBD7-CCE9431645EC}">
                        <a14:shadowObscured xmlns:a14="http://schemas.microsoft.com/office/drawing/2010/main"/>
                      </a:ext>
                    </a:extLst>
                  </pic:spPr>
                </pic:pic>
              </a:graphicData>
            </a:graphic>
          </wp:inline>
        </w:drawing>
      </w:r>
    </w:p>
    <w:p w:rsidR="00CD0897" w:rsidRPr="00054841" w:rsidRDefault="00CD0897" w:rsidP="00CD0897">
      <w:pPr>
        <w:spacing w:before="240" w:after="240" w:line="360" w:lineRule="auto"/>
        <w:ind w:right="49"/>
        <w:jc w:val="both"/>
        <w:rPr>
          <w:rFonts w:ascii="Palatino Linotype" w:hAnsi="Palatino Linotype"/>
        </w:rPr>
      </w:pPr>
      <w:r w:rsidRPr="00054841">
        <w:rPr>
          <w:rFonts w:ascii="Palatino Linotype" w:hAnsi="Palatino Linotype"/>
        </w:rPr>
        <w:lastRenderedPageBreak/>
        <w:t>Una vez establecida la competencia del Sujeto Obligado,</w:t>
      </w:r>
      <w:r w:rsidRPr="00054841">
        <w:rPr>
          <w:rFonts w:ascii="Palatino Linotype" w:hAnsi="Palatino Linotype"/>
          <w:b/>
        </w:rPr>
        <w:t xml:space="preserve"> </w:t>
      </w:r>
      <w:r w:rsidRPr="00054841">
        <w:rPr>
          <w:rFonts w:ascii="Palatino Linotype" w:hAnsi="Palatino Linotype"/>
        </w:rPr>
        <w:t>resulta oportuno tener en cuenta las cuestiones de fondo del presente medio de impugnación, por ello a efectos de evitar complejidades innecesarias, atendiendo los principios de simplicidad y rapidez reconocidos en el ejercicio del derecho de acceso a la información, es que el asunto materia de la presente resolución, se analizará conforme a los requerimientos que encuentran relacionan entre sí</w:t>
      </w:r>
      <w:r w:rsidR="00D72D51" w:rsidRPr="00054841">
        <w:rPr>
          <w:rFonts w:ascii="Palatino Linotype" w:hAnsi="Palatino Linotype"/>
        </w:rPr>
        <w:t>, bajo</w:t>
      </w:r>
      <w:r w:rsidRPr="00054841">
        <w:rPr>
          <w:rFonts w:ascii="Palatino Linotype" w:hAnsi="Palatino Linotype"/>
        </w:rPr>
        <w:t xml:space="preserve"> los siguientes grupos:</w:t>
      </w:r>
    </w:p>
    <w:tbl>
      <w:tblPr>
        <w:tblStyle w:val="Tabladecuadrcula6concolores"/>
        <w:tblW w:w="0" w:type="auto"/>
        <w:tblLook w:val="04A0" w:firstRow="1" w:lastRow="0" w:firstColumn="1" w:lastColumn="0" w:noHBand="0" w:noVBand="1"/>
      </w:tblPr>
      <w:tblGrid>
        <w:gridCol w:w="8828"/>
      </w:tblGrid>
      <w:tr w:rsidR="00CD0897" w:rsidRPr="00054841" w:rsidTr="00CD0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CD0897" w:rsidRPr="00054841" w:rsidRDefault="00CD0897" w:rsidP="00CD0897">
            <w:pPr>
              <w:spacing w:after="120"/>
              <w:ind w:right="51"/>
              <w:jc w:val="both"/>
              <w:rPr>
                <w:rFonts w:ascii="Palatino Linotype" w:hAnsi="Palatino Linotype"/>
                <w:b w:val="0"/>
              </w:rPr>
            </w:pPr>
            <w:r w:rsidRPr="00054841">
              <w:rPr>
                <w:rFonts w:ascii="Palatino Linotype" w:hAnsi="Palatino Linotype"/>
                <w:b w:val="0"/>
              </w:rPr>
              <w:t>Grupo 1:</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1. El importe por concepto de alumbrado público facturado por CFE en el municipio, desglosado ya sea por mes o bimestre, de los años 2013, 2014, 2015, 2016, 2017 y los meses que van de 2018.</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2. La o las partidas presupuestales que se utilizaron y los montos que se erogaron dentro del presupuesto de egresos municipal para el mantenimiento del sistema de alumbrado público durante los años 2013, 2014, 2015, 2016, 2017 y los meses que van del 2018.</w:t>
            </w:r>
          </w:p>
          <w:p w:rsidR="00CD0897" w:rsidRPr="00054841" w:rsidRDefault="00CD0897" w:rsidP="00CD0897">
            <w:pPr>
              <w:spacing w:after="120"/>
              <w:ind w:right="51"/>
              <w:jc w:val="both"/>
              <w:rPr>
                <w:rFonts w:ascii="Palatino Linotype" w:hAnsi="Palatino Linotype"/>
                <w:b w:val="0"/>
              </w:rPr>
            </w:pPr>
            <w:r w:rsidRPr="00054841">
              <w:rPr>
                <w:rFonts w:ascii="Palatino Linotype" w:hAnsi="Palatino Linotype"/>
                <w:sz w:val="18"/>
                <w:szCs w:val="18"/>
              </w:rPr>
              <w:t>3. La o las partidas presupuestales que se utilizaron y los montos que se pagaron por mes para cubrir la factura por concepto de consumo de energía eléctrica en el sistema de alumbrado público municipal de 2013, 2014, 2015, 2016, 2017 y los meses que van del 2018.</w:t>
            </w:r>
          </w:p>
        </w:tc>
      </w:tr>
      <w:tr w:rsidR="00CD0897" w:rsidRPr="00054841" w:rsidTr="00CD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CD0897" w:rsidRPr="00054841" w:rsidRDefault="00CD0897" w:rsidP="00CD0897">
            <w:pPr>
              <w:spacing w:after="120"/>
              <w:ind w:right="51"/>
              <w:jc w:val="both"/>
              <w:rPr>
                <w:rFonts w:ascii="Palatino Linotype" w:hAnsi="Palatino Linotype"/>
                <w:b w:val="0"/>
              </w:rPr>
            </w:pPr>
            <w:r w:rsidRPr="00054841">
              <w:rPr>
                <w:rFonts w:ascii="Palatino Linotype" w:hAnsi="Palatino Linotype"/>
                <w:b w:val="0"/>
              </w:rPr>
              <w:t>Grupo 2:</w:t>
            </w:r>
          </w:p>
          <w:p w:rsidR="00CD0897" w:rsidRPr="00054841" w:rsidRDefault="00CD0897" w:rsidP="00CD0897">
            <w:pPr>
              <w:spacing w:after="120"/>
              <w:ind w:right="51"/>
              <w:jc w:val="both"/>
              <w:rPr>
                <w:rFonts w:ascii="Palatino Linotype" w:hAnsi="Palatino Linotype"/>
                <w:b w:val="0"/>
                <w:sz w:val="18"/>
                <w:szCs w:val="18"/>
              </w:rPr>
            </w:pPr>
            <w:r w:rsidRPr="00054841">
              <w:rPr>
                <w:rFonts w:ascii="Palatino Linotype" w:hAnsi="Palatino Linotype"/>
                <w:sz w:val="18"/>
                <w:szCs w:val="18"/>
              </w:rPr>
              <w:t>1.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tc>
      </w:tr>
      <w:tr w:rsidR="00CD0897" w:rsidRPr="00054841" w:rsidTr="00CD0897">
        <w:tc>
          <w:tcPr>
            <w:cnfStyle w:val="001000000000" w:firstRow="0" w:lastRow="0" w:firstColumn="1" w:lastColumn="0" w:oddVBand="0" w:evenVBand="0" w:oddHBand="0" w:evenHBand="0" w:firstRowFirstColumn="0" w:firstRowLastColumn="0" w:lastRowFirstColumn="0" w:lastRowLastColumn="0"/>
            <w:tcW w:w="8828" w:type="dxa"/>
          </w:tcPr>
          <w:p w:rsidR="00CD0897" w:rsidRPr="00054841" w:rsidRDefault="00CD0897" w:rsidP="00CD0897">
            <w:pPr>
              <w:spacing w:after="120"/>
              <w:ind w:right="51"/>
              <w:jc w:val="both"/>
              <w:rPr>
                <w:rFonts w:ascii="Palatino Linotype" w:hAnsi="Palatino Linotype"/>
                <w:b w:val="0"/>
              </w:rPr>
            </w:pPr>
            <w:r w:rsidRPr="00054841">
              <w:rPr>
                <w:rFonts w:ascii="Palatino Linotype" w:hAnsi="Palatino Linotype"/>
                <w:b w:val="0"/>
              </w:rPr>
              <w:t>Grupo 3:</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1.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 xml:space="preserve">2. Se solicita el censo de alumbrado público de los ejercicios 2016, 2017, 2018 o en su caso, el censo más reciente del municipio, en el que se desglose la siguiente información: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sz w:val="18"/>
                <w:szCs w:val="18"/>
              </w:rPr>
              <w:t xml:space="preserve">a. Me indique la cantidad de luminarias y balastros, el tipo de equipos, la capacidad (potencia), la ubicación (calle y/o colonia y/o delegación), y el tipo de poste en el que están montadas las luminarias (lámina, concreto, madera etcétera).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sz w:val="18"/>
                <w:szCs w:val="18"/>
              </w:rPr>
              <w:t>b. El Registro Permanente de Usuario (RPU o RPUs) asignado (s) al servicio de alumbrado público municipal tanto del servicio estimado como del servicio medido.</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sz w:val="18"/>
                <w:szCs w:val="18"/>
              </w:rPr>
              <w:lastRenderedPageBreak/>
              <w:t xml:space="preserve">c. La cantidad desglosada de luminarias y balastros instalados, el tipo de equipos y su capacidad (potencia) instalados en las avenidas principales del municipio.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sz w:val="18"/>
                <w:szCs w:val="18"/>
              </w:rPr>
              <w:t>d. La cantidad de luminarias y balastros instalados, el tipo de equipos y su capacidad (potencia) instalados que poseen equipo de medición.</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 xml:space="preserve">3. Del censo anterior al censo más reciente de luminarias y balastros del sistema de alumbrado público municipal que exista en el municipio, que contenga la siguiente información: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Cantidad de luminarias y balastros, el tipo de equipos, capacidad, </w:t>
            </w:r>
            <w:r w:rsidR="007F0C69" w:rsidRPr="00054841">
              <w:rPr>
                <w:rFonts w:ascii="Palatino Linotype" w:hAnsi="Palatino Linotype"/>
                <w:sz w:val="18"/>
                <w:szCs w:val="18"/>
              </w:rPr>
              <w:t>ubicación y</w:t>
            </w:r>
            <w:r w:rsidRPr="00054841">
              <w:rPr>
                <w:rFonts w:ascii="Palatino Linotype" w:hAnsi="Palatino Linotype"/>
                <w:sz w:val="18"/>
                <w:szCs w:val="18"/>
              </w:rPr>
              <w:t xml:space="preserve"> el tipo de poste en el que están montadas las luminarias.</w:t>
            </w:r>
          </w:p>
          <w:p w:rsidR="00CD0897" w:rsidRPr="00054841" w:rsidRDefault="00CD0897" w:rsidP="00CD0897">
            <w:pPr>
              <w:spacing w:after="120"/>
              <w:ind w:left="313" w:right="51"/>
              <w:jc w:val="both"/>
              <w:rPr>
                <w:rFonts w:ascii="Palatino Linotype" w:hAnsi="Palatino Linotype"/>
              </w:rPr>
            </w:pPr>
            <w:r w:rsidRPr="00054841">
              <w:rPr>
                <w:rFonts w:ascii="Palatino Linotype" w:hAnsi="Palatino Linotype"/>
                <w:b w:val="0"/>
                <w:sz w:val="18"/>
                <w:szCs w:val="18"/>
              </w:rPr>
              <w:t>b.</w:t>
            </w:r>
            <w:r w:rsidRPr="00054841">
              <w:rPr>
                <w:rFonts w:ascii="Palatino Linotype" w:hAnsi="Palatino Linotype"/>
                <w:sz w:val="18"/>
                <w:szCs w:val="18"/>
              </w:rPr>
              <w:t xml:space="preserve"> El Registro Permanente de Usuario (RPU o RPUs) asignado (s) al servicio de alumbrado público municipal tanto del servicio estimado como del servicio medido.</w:t>
            </w:r>
          </w:p>
        </w:tc>
      </w:tr>
      <w:tr w:rsidR="00CD0897" w:rsidRPr="00054841" w:rsidTr="00CD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CD0897" w:rsidRPr="00054841" w:rsidRDefault="00CD0897" w:rsidP="00CD0897">
            <w:pPr>
              <w:spacing w:after="120"/>
              <w:ind w:right="51"/>
              <w:jc w:val="both"/>
              <w:rPr>
                <w:rFonts w:ascii="Palatino Linotype" w:hAnsi="Palatino Linotype"/>
                <w:b w:val="0"/>
              </w:rPr>
            </w:pPr>
            <w:r w:rsidRPr="00054841">
              <w:rPr>
                <w:rFonts w:ascii="Palatino Linotype" w:hAnsi="Palatino Linotype"/>
                <w:b w:val="0"/>
              </w:rPr>
              <w:lastRenderedPageBreak/>
              <w:t>Grupo 4:</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b w:val="0"/>
                <w:sz w:val="18"/>
                <w:szCs w:val="18"/>
              </w:rPr>
              <w:t xml:space="preserve">1. En </w:t>
            </w:r>
            <w:r w:rsidRPr="00054841">
              <w:rPr>
                <w:rFonts w:ascii="Palatino Linotype" w:hAnsi="Palatino Linotype"/>
                <w:sz w:val="18"/>
                <w:szCs w:val="18"/>
              </w:rPr>
              <w:t xml:space="preserve">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El monto total de la inversión</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b.</w:t>
            </w:r>
            <w:r w:rsidRPr="00054841">
              <w:rPr>
                <w:rFonts w:ascii="Palatino Linotype" w:hAnsi="Palatino Linotype"/>
                <w:sz w:val="18"/>
                <w:szCs w:val="18"/>
              </w:rPr>
              <w:t xml:space="preserve"> El tipo o fuente de financiamiento.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c.</w:t>
            </w:r>
            <w:r w:rsidRPr="00054841">
              <w:rPr>
                <w:rFonts w:ascii="Palatino Linotype" w:hAnsi="Palatino Linotype"/>
                <w:sz w:val="18"/>
                <w:szCs w:val="18"/>
              </w:rPr>
              <w:t xml:space="preserve"> La cantidad de equipos colocados y/o sustituidos.</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d.</w:t>
            </w:r>
            <w:r w:rsidRPr="00054841">
              <w:rPr>
                <w:rFonts w:ascii="Palatino Linotype" w:hAnsi="Palatino Linotype"/>
                <w:sz w:val="18"/>
                <w:szCs w:val="18"/>
              </w:rPr>
              <w:t xml:space="preserve"> El tipo de equipos.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e.</w:t>
            </w:r>
            <w:r w:rsidRPr="00054841">
              <w:rPr>
                <w:rFonts w:ascii="Palatino Linotype" w:hAnsi="Palatino Linotype"/>
                <w:sz w:val="18"/>
                <w:szCs w:val="18"/>
              </w:rPr>
              <w:t xml:space="preserve"> La capacidad instalada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f.</w:t>
            </w:r>
            <w:r w:rsidRPr="00054841">
              <w:rPr>
                <w:rFonts w:ascii="Palatino Linotype" w:hAnsi="Palatino Linotype"/>
                <w:sz w:val="18"/>
                <w:szCs w:val="18"/>
              </w:rPr>
              <w:t xml:space="preserve"> La ubicación</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g.</w:t>
            </w:r>
            <w:r w:rsidRPr="00054841">
              <w:rPr>
                <w:rFonts w:ascii="Palatino Linotype" w:hAnsi="Palatino Linotype"/>
                <w:sz w:val="18"/>
                <w:szCs w:val="18"/>
              </w:rPr>
              <w:t xml:space="preserve"> La fecha de inicio y término de obra,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h.</w:t>
            </w:r>
            <w:r w:rsidRPr="00054841">
              <w:rPr>
                <w:rFonts w:ascii="Palatino Linotype" w:hAnsi="Palatino Linotype"/>
                <w:sz w:val="18"/>
                <w:szCs w:val="18"/>
              </w:rPr>
              <w:t xml:space="preserve"> Fecha de modificación de su nuevo consumo en el sistema de facturación ante CFE.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i.</w:t>
            </w:r>
            <w:r w:rsidRPr="00054841">
              <w:rPr>
                <w:rFonts w:ascii="Palatino Linotype" w:hAnsi="Palatino Linotype"/>
                <w:sz w:val="18"/>
                <w:szCs w:val="18"/>
              </w:rPr>
              <w:t xml:space="preserve"> En donde se publicaron los proyectos</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b w:val="0"/>
                <w:sz w:val="18"/>
                <w:szCs w:val="18"/>
              </w:rPr>
              <w:t xml:space="preserve">2. </w:t>
            </w:r>
            <w:r w:rsidRPr="00054841">
              <w:rPr>
                <w:rFonts w:ascii="Palatino Linotype" w:hAnsi="Palatino Linotype"/>
                <w:sz w:val="18"/>
                <w:szCs w:val="18"/>
              </w:rPr>
              <w:t xml:space="preserve">En caso de que el municipio haya realizado un proyecto parcial o total de modernización de alumbrado público para generar eficiencia energética en 3 sus consumos en los años 2013, 2014, 2015, 2016, 2017 y los meses que van de 2018, solicito: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Monto total de la inversión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b.</w:t>
            </w:r>
            <w:r w:rsidRPr="00054841">
              <w:rPr>
                <w:rFonts w:ascii="Palatino Linotype" w:hAnsi="Palatino Linotype"/>
                <w:sz w:val="18"/>
                <w:szCs w:val="18"/>
              </w:rPr>
              <w:t xml:space="preserve"> Fuente de financiamiento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c.</w:t>
            </w:r>
            <w:r w:rsidRPr="00054841">
              <w:rPr>
                <w:rFonts w:ascii="Palatino Linotype" w:hAnsi="Palatino Linotype"/>
                <w:sz w:val="18"/>
                <w:szCs w:val="18"/>
              </w:rPr>
              <w:t xml:space="preserve"> Cantidad de equipos colocados y/o sustituidos,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d.</w:t>
            </w:r>
            <w:r w:rsidRPr="00054841">
              <w:rPr>
                <w:rFonts w:ascii="Palatino Linotype" w:hAnsi="Palatino Linotype"/>
                <w:sz w:val="18"/>
                <w:szCs w:val="18"/>
              </w:rPr>
              <w:t xml:space="preserve"> Tipo de equipos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e.</w:t>
            </w:r>
            <w:r w:rsidRPr="00054841">
              <w:rPr>
                <w:rFonts w:ascii="Palatino Linotype" w:hAnsi="Palatino Linotype"/>
                <w:sz w:val="18"/>
                <w:szCs w:val="18"/>
              </w:rPr>
              <w:t xml:space="preserve"> Capacidad instalada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f.</w:t>
            </w:r>
            <w:r w:rsidRPr="00054841">
              <w:rPr>
                <w:rFonts w:ascii="Palatino Linotype" w:hAnsi="Palatino Linotype"/>
                <w:sz w:val="18"/>
                <w:szCs w:val="18"/>
              </w:rPr>
              <w:t xml:space="preserve"> Ubicación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g.</w:t>
            </w:r>
            <w:r w:rsidRPr="00054841">
              <w:rPr>
                <w:rFonts w:ascii="Palatino Linotype" w:hAnsi="Palatino Linotype"/>
                <w:sz w:val="18"/>
                <w:szCs w:val="18"/>
              </w:rPr>
              <w:t xml:space="preserve"> Fecha de inicio y término de obra,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h.</w:t>
            </w:r>
            <w:r w:rsidRPr="00054841">
              <w:rPr>
                <w:rFonts w:ascii="Palatino Linotype" w:hAnsi="Palatino Linotype"/>
                <w:sz w:val="18"/>
                <w:szCs w:val="18"/>
              </w:rPr>
              <w:t xml:space="preserve"> Georreferenciación de cada uno de los puntos de luz del nuevo alumbrado público,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i.</w:t>
            </w:r>
            <w:r w:rsidRPr="00054841">
              <w:rPr>
                <w:rFonts w:ascii="Palatino Linotype" w:hAnsi="Palatino Linotype"/>
                <w:sz w:val="18"/>
                <w:szCs w:val="18"/>
              </w:rPr>
              <w:t xml:space="preserve"> Fecha de modificación de su nuevo consumo en el sistema de facturación ante CFE.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lastRenderedPageBreak/>
              <w:t>j.</w:t>
            </w:r>
            <w:r w:rsidRPr="00054841">
              <w:rPr>
                <w:rFonts w:ascii="Palatino Linotype" w:hAnsi="Palatino Linotype"/>
                <w:sz w:val="18"/>
                <w:szCs w:val="18"/>
              </w:rPr>
              <w:t xml:space="preserve"> Tipo de contrato celebrado para la adquisición de los nuevos equipos</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k.</w:t>
            </w:r>
            <w:r w:rsidRPr="00054841">
              <w:rPr>
                <w:rFonts w:ascii="Palatino Linotype" w:hAnsi="Palatino Linotype"/>
                <w:sz w:val="18"/>
                <w:szCs w:val="18"/>
              </w:rPr>
              <w:t xml:space="preserve"> Número y nombre de las empresas concursantes o convocadas.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l.</w:t>
            </w:r>
            <w:r w:rsidRPr="00054841">
              <w:rPr>
                <w:rFonts w:ascii="Palatino Linotype" w:hAnsi="Palatino Linotype"/>
                <w:sz w:val="18"/>
                <w:szCs w:val="18"/>
              </w:rPr>
              <w:t xml:space="preserve"> Criterios de selección utilizados por el comité de adquisiciones para elegir a la empresa contratada. </w:t>
            </w:r>
          </w:p>
          <w:p w:rsidR="00CD0897" w:rsidRPr="00054841" w:rsidRDefault="00CD0897" w:rsidP="00CD0897">
            <w:pPr>
              <w:spacing w:after="120"/>
              <w:ind w:left="313" w:right="51"/>
              <w:jc w:val="both"/>
              <w:rPr>
                <w:rFonts w:ascii="Palatino Linotype" w:hAnsi="Palatino Linotype"/>
                <w:sz w:val="18"/>
                <w:szCs w:val="18"/>
              </w:rPr>
            </w:pPr>
            <w:r w:rsidRPr="00054841">
              <w:rPr>
                <w:rFonts w:ascii="Palatino Linotype" w:hAnsi="Palatino Linotype"/>
                <w:b w:val="0"/>
                <w:sz w:val="18"/>
                <w:szCs w:val="18"/>
              </w:rPr>
              <w:t>m.</w:t>
            </w:r>
            <w:r w:rsidRPr="00054841">
              <w:rPr>
                <w:rFonts w:ascii="Palatino Linotype" w:hAnsi="Palatino Linotype"/>
                <w:sz w:val="18"/>
                <w:szCs w:val="18"/>
              </w:rPr>
              <w:t xml:space="preserve"> Acta de cabildo en el cual se fundamenta, justifica, expone y autoriza el proyecto.</w:t>
            </w:r>
          </w:p>
        </w:tc>
      </w:tr>
      <w:tr w:rsidR="00CD0897" w:rsidRPr="00054841" w:rsidTr="00CD0897">
        <w:tc>
          <w:tcPr>
            <w:cnfStyle w:val="001000000000" w:firstRow="0" w:lastRow="0" w:firstColumn="1" w:lastColumn="0" w:oddVBand="0" w:evenVBand="0" w:oddHBand="0" w:evenHBand="0" w:firstRowFirstColumn="0" w:firstRowLastColumn="0" w:lastRowFirstColumn="0" w:lastRowLastColumn="0"/>
            <w:tcW w:w="8828" w:type="dxa"/>
          </w:tcPr>
          <w:p w:rsidR="00CD0897" w:rsidRPr="00054841" w:rsidRDefault="00CD0897" w:rsidP="00CD0897">
            <w:pPr>
              <w:spacing w:after="120"/>
              <w:ind w:right="51"/>
              <w:jc w:val="both"/>
              <w:rPr>
                <w:rFonts w:ascii="Palatino Linotype" w:hAnsi="Palatino Linotype"/>
                <w:b w:val="0"/>
              </w:rPr>
            </w:pPr>
            <w:r w:rsidRPr="00054841">
              <w:rPr>
                <w:rFonts w:ascii="Palatino Linotype" w:hAnsi="Palatino Linotype"/>
                <w:b w:val="0"/>
              </w:rPr>
              <w:lastRenderedPageBreak/>
              <w:t>Grupo 5:</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1. El número de solicitudes ciudadanas formales realizadas al municipio para ampliar el sistema de alumbrado público mediante proyectos de electrificación durante los años 2013, 2014, 2015, 2016, 2017 y los meses que van de 2018.</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2. El número de solicitudes ciudadanas que fueron atendidas y concluidas para ampliar el sistema de alumbrado público durante los años 2013, 2014, 2015, 2016, 2017 y los meses que van del 2018.</w:t>
            </w:r>
          </w:p>
        </w:tc>
      </w:tr>
      <w:tr w:rsidR="00CD0897" w:rsidRPr="00054841" w:rsidTr="00CD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CD0897" w:rsidRPr="00054841" w:rsidRDefault="00CD0897" w:rsidP="00CD0897">
            <w:pPr>
              <w:spacing w:after="120"/>
              <w:ind w:right="51"/>
              <w:jc w:val="both"/>
              <w:rPr>
                <w:rFonts w:ascii="Palatino Linotype" w:hAnsi="Palatino Linotype"/>
                <w:b w:val="0"/>
              </w:rPr>
            </w:pPr>
            <w:r w:rsidRPr="00054841">
              <w:rPr>
                <w:rFonts w:ascii="Palatino Linotype" w:hAnsi="Palatino Linotype"/>
                <w:b w:val="0"/>
              </w:rPr>
              <w:t>Grupo 6:</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1. Se solicita Copia del contrato de prestación de servicios por concepto de suministro de energía eléctrica por parte de la CFE al municipio (ayuntamiento).</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2. Se solicita Copia del convenio de “Peso por Peso” firmado entre la CFE y el municipio (ayuntamiento).</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3. Se solicita Copia del convenio para recaudar el Derecho de Alumbrado Público “DAP” firmado entre la CFE y el municipio (ayuntamiento). Así 4 como la recaudación (monto) reportado por CFE al municipio de los años 2013, 2014, 2015, 2016, 2017 y los meses que van de 2018.</w:t>
            </w:r>
          </w:p>
        </w:tc>
      </w:tr>
      <w:tr w:rsidR="00CD0897" w:rsidRPr="00054841" w:rsidTr="00CD0897">
        <w:tc>
          <w:tcPr>
            <w:cnfStyle w:val="001000000000" w:firstRow="0" w:lastRow="0" w:firstColumn="1" w:lastColumn="0" w:oddVBand="0" w:evenVBand="0" w:oddHBand="0" w:evenHBand="0" w:firstRowFirstColumn="0" w:firstRowLastColumn="0" w:lastRowFirstColumn="0" w:lastRowLastColumn="0"/>
            <w:tcW w:w="8828" w:type="dxa"/>
          </w:tcPr>
          <w:p w:rsidR="00CD0897" w:rsidRPr="00054841" w:rsidRDefault="00CD0897" w:rsidP="00CD0897">
            <w:pPr>
              <w:spacing w:after="120"/>
              <w:ind w:right="51"/>
              <w:jc w:val="both"/>
              <w:rPr>
                <w:rFonts w:ascii="Palatino Linotype" w:hAnsi="Palatino Linotype"/>
                <w:b w:val="0"/>
              </w:rPr>
            </w:pPr>
            <w:r w:rsidRPr="00054841">
              <w:rPr>
                <w:rFonts w:ascii="Palatino Linotype" w:hAnsi="Palatino Linotype"/>
                <w:b w:val="0"/>
              </w:rPr>
              <w:t>Grupo 7:</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 xml:space="preserve">1. El listado y/o número de juicios y controversias promovidos por particulares en contra del municipio por el cobro del Derecho de Alumbrado Público “DAP” durante los años 2013, 2014, 2015, 2016, 2017 y los meses que van de 2018. </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 xml:space="preserve">2. El listado y/o número de juicios y controversias perdidos y ganados por el ayuntamiento (municipio) ante los particulares que reclaman el pago indebido del Derecho de Alumbrado Público durante los años 2013, 2014, 2015, 2016, 2017 y los meses que van de 2018. </w:t>
            </w:r>
          </w:p>
        </w:tc>
      </w:tr>
      <w:tr w:rsidR="00CD0897" w:rsidRPr="00054841" w:rsidTr="00CD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CD0897" w:rsidRPr="00054841" w:rsidRDefault="00CD0897" w:rsidP="00CD0897">
            <w:pPr>
              <w:spacing w:after="120"/>
              <w:ind w:right="51"/>
              <w:jc w:val="both"/>
              <w:rPr>
                <w:rFonts w:ascii="Palatino Linotype" w:hAnsi="Palatino Linotype"/>
                <w:b w:val="0"/>
              </w:rPr>
            </w:pPr>
            <w:r w:rsidRPr="00054841">
              <w:rPr>
                <w:rFonts w:ascii="Palatino Linotype" w:hAnsi="Palatino Linotype"/>
                <w:b w:val="0"/>
              </w:rPr>
              <w:t>Grupo 8:</w:t>
            </w:r>
          </w:p>
          <w:p w:rsidR="00CD0897" w:rsidRPr="00054841" w:rsidRDefault="00CD0897" w:rsidP="00CD0897">
            <w:pPr>
              <w:spacing w:after="120"/>
              <w:ind w:right="51"/>
              <w:jc w:val="both"/>
              <w:rPr>
                <w:rFonts w:ascii="Palatino Linotype" w:hAnsi="Palatino Linotype"/>
                <w:sz w:val="18"/>
                <w:szCs w:val="18"/>
              </w:rPr>
            </w:pPr>
            <w:r w:rsidRPr="00054841">
              <w:rPr>
                <w:rFonts w:ascii="Palatino Linotype" w:hAnsi="Palatino Linotype"/>
                <w:sz w:val="18"/>
                <w:szCs w:val="18"/>
              </w:rPr>
              <w:t>1. Las normas y lineamientos que el municipio sigue para operar y proporcionar el servicio de alumbrado público municipal.</w:t>
            </w:r>
          </w:p>
        </w:tc>
      </w:tr>
    </w:tbl>
    <w:p w:rsidR="00CD0897" w:rsidRPr="00054841" w:rsidRDefault="00CD0897" w:rsidP="00CD0897">
      <w:pPr>
        <w:pStyle w:val="paragraph"/>
        <w:spacing w:before="0" w:beforeAutospacing="0" w:after="240" w:afterAutospacing="0" w:line="360" w:lineRule="auto"/>
        <w:ind w:right="-150"/>
        <w:jc w:val="both"/>
        <w:textAlignment w:val="baseline"/>
        <w:rPr>
          <w:rFonts w:ascii="Palatino Linotype" w:hAnsi="Palatino Linotype" w:cs="Arial"/>
        </w:rPr>
      </w:pPr>
    </w:p>
    <w:p w:rsidR="00CD0897" w:rsidRPr="00054841" w:rsidRDefault="00CD0897" w:rsidP="00CD0897">
      <w:pPr>
        <w:spacing w:after="160" w:line="360" w:lineRule="auto"/>
        <w:contextualSpacing/>
        <w:jc w:val="center"/>
        <w:rPr>
          <w:rFonts w:ascii="Palatino Linotype" w:hAnsi="Palatino Linotype"/>
          <w:b/>
        </w:rPr>
      </w:pPr>
      <w:r w:rsidRPr="00054841">
        <w:rPr>
          <w:rFonts w:ascii="Palatino Linotype" w:hAnsi="Palatino Linotype"/>
          <w:b/>
        </w:rPr>
        <w:t>Grupo 1: Presupuesto del sistema de alumbrado público municipal.</w:t>
      </w:r>
    </w:p>
    <w:p w:rsidR="00CD0897" w:rsidRPr="00054841" w:rsidRDefault="00CD0897" w:rsidP="00D72D51">
      <w:pPr>
        <w:pStyle w:val="Default"/>
        <w:spacing w:before="240" w:after="240" w:line="360" w:lineRule="auto"/>
        <w:jc w:val="both"/>
        <w:rPr>
          <w:rFonts w:ascii="Palatino Linotype" w:eastAsiaTheme="minorEastAsia" w:hAnsi="Palatino Linotype"/>
          <w:szCs w:val="22"/>
        </w:rPr>
      </w:pPr>
      <w:r w:rsidRPr="00054841">
        <w:rPr>
          <w:rFonts w:ascii="Palatino Linotype" w:hAnsi="Palatino Linotype"/>
        </w:rPr>
        <w:t>Por cuanto hace al  grupo 1 del apartado denominado “Presupuesto del Sistema de Alumbrado Público”</w:t>
      </w:r>
      <w:r w:rsidRPr="00054841">
        <w:rPr>
          <w:rFonts w:ascii="Palatino Linotype" w:eastAsiaTheme="minorEastAsia" w:hAnsi="Palatino Linotype"/>
          <w:szCs w:val="22"/>
        </w:rPr>
        <w:t xml:space="preserve">, conviene precisar que en el cumplimiento de los principios que rigen la función pública, la Constitución Política del Estado Libre y Soberano de </w:t>
      </w:r>
      <w:r w:rsidRPr="00054841">
        <w:rPr>
          <w:rFonts w:ascii="Palatino Linotype" w:eastAsiaTheme="minorEastAsia" w:hAnsi="Palatino Linotype"/>
          <w:szCs w:val="22"/>
        </w:rPr>
        <w:lastRenderedPageBreak/>
        <w:t xml:space="preserve">México en su artículo 129 señala que los recursos económicos del Estado, de los Municipios, así como de los Organismos Autónomos, se administrarán con eficiencia, eficacia y honradez, para cumplir con los objetivos y programas a los que estén destinados. </w:t>
      </w:r>
    </w:p>
    <w:p w:rsidR="00CD0897" w:rsidRPr="00054841" w:rsidRDefault="00CD0897" w:rsidP="00D72D51">
      <w:pPr>
        <w:pStyle w:val="Default"/>
        <w:spacing w:before="240" w:after="240" w:line="360" w:lineRule="auto"/>
        <w:jc w:val="both"/>
        <w:rPr>
          <w:rFonts w:ascii="Palatino Linotype" w:hAnsi="Palatino Linotype"/>
        </w:rPr>
      </w:pPr>
      <w:r w:rsidRPr="00054841">
        <w:rPr>
          <w:rFonts w:ascii="Palatino Linotype" w:hAnsi="Palatino Linotype"/>
        </w:rPr>
        <w:t>Además, señala que todos los pagos se harán mediante orden escrita en la que se expresará la partida del presupuesto a cargo de la cual se realizan, por ello, los artículos 31 fracciones XVIII y XIX y 95 fracciones I y IV de la Ley Orgánica Municipal del Estado de México disponen como atribuciones de los ayuntamientos lo siguiente:</w:t>
      </w: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w:t>
      </w:r>
      <w:r w:rsidRPr="00D72D51">
        <w:rPr>
          <w:rFonts w:ascii="Palatino Linotype" w:eastAsiaTheme="minorEastAsia" w:hAnsi="Palatino Linotype" w:cs="Arial"/>
          <w:b/>
          <w:i/>
          <w:sz w:val="22"/>
          <w:szCs w:val="22"/>
        </w:rPr>
        <w:t>Artículo 31.-</w:t>
      </w:r>
      <w:r w:rsidRPr="00D72D51">
        <w:rPr>
          <w:rFonts w:ascii="Palatino Linotype" w:eastAsiaTheme="minorEastAsia" w:hAnsi="Palatino Linotype" w:cs="Arial"/>
          <w:i/>
          <w:sz w:val="22"/>
          <w:szCs w:val="22"/>
        </w:rPr>
        <w:t>Son atribuciones de los ayuntamientos:</w:t>
      </w: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b/>
          <w:i/>
          <w:sz w:val="22"/>
          <w:szCs w:val="22"/>
        </w:rPr>
        <w:t>XVIII.</w:t>
      </w:r>
      <w:r w:rsidRPr="00D72D51">
        <w:rPr>
          <w:rFonts w:ascii="Palatino Linotype" w:eastAsiaTheme="minorEastAsia" w:hAnsi="Palatino Linotype" w:cs="Arial"/>
          <w:i/>
          <w:sz w:val="22"/>
          <w:szCs w:val="22"/>
        </w:rPr>
        <w:tab/>
        <w:t>Administrar su hacienda en términos de ley, y controlar a través del presidente y síndico la aplicación del presupuesto de egresos del municipio;</w:t>
      </w: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b/>
          <w:i/>
          <w:sz w:val="22"/>
          <w:szCs w:val="22"/>
        </w:rPr>
        <w:t>…</w:t>
      </w:r>
    </w:p>
    <w:p w:rsidR="00CD0897" w:rsidRPr="00D72D51" w:rsidRDefault="00CD0897" w:rsidP="00D72D51">
      <w:pPr>
        <w:autoSpaceDE w:val="0"/>
        <w:autoSpaceDN w:val="0"/>
        <w:adjustRightInd w:val="0"/>
        <w:ind w:left="851" w:right="851"/>
        <w:jc w:val="both"/>
        <w:rPr>
          <w:rFonts w:ascii="Palatino Linotype" w:hAnsi="Palatino Linotype"/>
          <w:i/>
          <w:sz w:val="22"/>
          <w:szCs w:val="22"/>
        </w:rPr>
      </w:pPr>
      <w:r w:rsidRPr="00D72D51">
        <w:rPr>
          <w:rFonts w:ascii="Palatino Linotype" w:eastAsiaTheme="minorEastAsia" w:hAnsi="Palatino Linotype" w:cs="Arial"/>
          <w:b/>
          <w:i/>
          <w:sz w:val="22"/>
          <w:szCs w:val="22"/>
        </w:rPr>
        <w:t>XIX.</w:t>
      </w:r>
      <w:r w:rsidRPr="00D72D51">
        <w:rPr>
          <w:rFonts w:ascii="Palatino Linotype" w:eastAsiaTheme="minorEastAsia" w:hAnsi="Palatino Linotype" w:cs="Arial"/>
          <w:i/>
          <w:sz w:val="22"/>
          <w:szCs w:val="22"/>
        </w:rPr>
        <w:t xml:space="preserve"> </w:t>
      </w:r>
      <w:r w:rsidRPr="00D72D51">
        <w:rPr>
          <w:rFonts w:ascii="Palatino Linotype" w:hAnsi="Palatino Linotype"/>
          <w:i/>
          <w:sz w:val="22"/>
          <w:szCs w:val="22"/>
        </w:rPr>
        <w:t xml:space="preserve">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CD0897" w:rsidRPr="00D72D51" w:rsidRDefault="00CD0897" w:rsidP="00D72D51">
      <w:pPr>
        <w:autoSpaceDE w:val="0"/>
        <w:autoSpaceDN w:val="0"/>
        <w:adjustRightInd w:val="0"/>
        <w:ind w:left="851" w:right="851"/>
        <w:jc w:val="both"/>
        <w:rPr>
          <w:rFonts w:ascii="Palatino Linotype" w:hAnsi="Palatino Linotype"/>
          <w:i/>
          <w:sz w:val="22"/>
          <w:szCs w:val="22"/>
        </w:rPr>
      </w:pPr>
      <w:r w:rsidRPr="00D72D51">
        <w:rPr>
          <w:rFonts w:ascii="Palatino Linotype" w:hAnsi="Palatino Linotype"/>
          <w:i/>
          <w:sz w:val="22"/>
          <w:szCs w:val="22"/>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CD0897" w:rsidRPr="00D72D51" w:rsidRDefault="00CD0897" w:rsidP="00D72D51">
      <w:pPr>
        <w:autoSpaceDE w:val="0"/>
        <w:autoSpaceDN w:val="0"/>
        <w:adjustRightInd w:val="0"/>
        <w:ind w:left="851" w:right="851"/>
        <w:jc w:val="both"/>
        <w:rPr>
          <w:rFonts w:ascii="Palatino Linotype" w:hAnsi="Palatino Linotype"/>
          <w:i/>
          <w:sz w:val="22"/>
          <w:szCs w:val="22"/>
        </w:rPr>
      </w:pPr>
      <w:r w:rsidRPr="00D72D51">
        <w:rPr>
          <w:rFonts w:ascii="Palatino Linotype" w:hAnsi="Palatino Linotype"/>
          <w:i/>
          <w:sz w:val="22"/>
          <w:szCs w:val="22"/>
        </w:rPr>
        <w:t xml:space="preserve">Las remuneraciones de todo tipo del Presidente Municipal, Síndicos, Regidores y servidores públicos en general, incluyendo mandos medios y superiores de la administración municipal, serán determinadas anualmente en el presupuesto de </w:t>
      </w:r>
      <w:r w:rsidRPr="00D72D51">
        <w:rPr>
          <w:rFonts w:ascii="Palatino Linotype" w:hAnsi="Palatino Linotype"/>
          <w:i/>
          <w:sz w:val="22"/>
          <w:szCs w:val="22"/>
        </w:rPr>
        <w:lastRenderedPageBreak/>
        <w:t xml:space="preserve">egresos correspondiente y se sujetarán a los lineamientos legales establecidos para todos los servidores públicos municipales. </w:t>
      </w:r>
    </w:p>
    <w:p w:rsidR="00CD0897" w:rsidRPr="00D72D51" w:rsidRDefault="00CD0897" w:rsidP="00D72D51">
      <w:pPr>
        <w:autoSpaceDE w:val="0"/>
        <w:autoSpaceDN w:val="0"/>
        <w:adjustRightInd w:val="0"/>
        <w:ind w:left="851" w:right="851"/>
        <w:jc w:val="both"/>
        <w:rPr>
          <w:rFonts w:ascii="Palatino Linotype" w:hAnsi="Palatino Linotype"/>
          <w:i/>
          <w:sz w:val="22"/>
          <w:szCs w:val="22"/>
        </w:rPr>
      </w:pPr>
      <w:r w:rsidRPr="00D72D51">
        <w:rPr>
          <w:rFonts w:ascii="Palatino Linotype" w:hAnsi="Palatino Linotype"/>
          <w:i/>
          <w:sz w:val="22"/>
          <w:szCs w:val="22"/>
        </w:rPr>
        <w:t>Los ayuntamientos podrán promover el financiamiento de proyectos productivos de las mujeres emprendedoras.</w:t>
      </w: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w:t>
      </w:r>
      <w:r w:rsidRPr="00D72D51">
        <w:rPr>
          <w:rFonts w:ascii="Palatino Linotype" w:eastAsiaTheme="minorEastAsia" w:hAnsi="Palatino Linotype" w:cs="Arial"/>
          <w:b/>
          <w:i/>
          <w:sz w:val="22"/>
          <w:szCs w:val="22"/>
        </w:rPr>
        <w:t>Artículo 95</w:t>
      </w:r>
      <w:r w:rsidRPr="00D72D51">
        <w:rPr>
          <w:rFonts w:ascii="Palatino Linotype" w:eastAsiaTheme="minorEastAsia" w:hAnsi="Palatino Linotype" w:cs="Arial"/>
          <w:i/>
          <w:sz w:val="22"/>
          <w:szCs w:val="22"/>
        </w:rPr>
        <w:t xml:space="preserve">.-Son atribuciones del tesorero municipal: </w:t>
      </w: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l. Administrar la hacienda pública municipal, de conformidad con las disposiciones legales aplicables;</w:t>
      </w: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b/>
          <w:i/>
          <w:sz w:val="22"/>
          <w:szCs w:val="22"/>
        </w:rPr>
        <w:t>IV.</w:t>
      </w:r>
      <w:r w:rsidRPr="00D72D51">
        <w:rPr>
          <w:rFonts w:ascii="Palatino Linotype" w:eastAsiaTheme="minorEastAsia" w:hAnsi="Palatino Linotype" w:cs="Arial"/>
          <w:i/>
          <w:sz w:val="22"/>
          <w:szCs w:val="22"/>
        </w:rPr>
        <w:t xml:space="preserve"> Llevar los registros contables, financieros y administrativos de los ingresos, egresos, e inventarios;..”</w:t>
      </w:r>
    </w:p>
    <w:p w:rsidR="00CD0897" w:rsidRPr="00054841" w:rsidRDefault="00CD0897" w:rsidP="00CD0897">
      <w:pPr>
        <w:autoSpaceDE w:val="0"/>
        <w:autoSpaceDN w:val="0"/>
        <w:adjustRightInd w:val="0"/>
        <w:ind w:left="709" w:right="616"/>
        <w:jc w:val="both"/>
        <w:rPr>
          <w:rFonts w:ascii="Palatino Linotype" w:eastAsiaTheme="minorEastAsia" w:hAnsi="Palatino Linotype" w:cs="Arial"/>
          <w:i/>
        </w:rPr>
      </w:pPr>
    </w:p>
    <w:p w:rsidR="00CD0897" w:rsidRPr="00054841" w:rsidRDefault="00CD0897" w:rsidP="00D72D51">
      <w:pPr>
        <w:autoSpaceDE w:val="0"/>
        <w:autoSpaceDN w:val="0"/>
        <w:adjustRightInd w:val="0"/>
        <w:spacing w:before="240" w:after="240" w:line="360" w:lineRule="auto"/>
        <w:ind w:right="51"/>
        <w:jc w:val="both"/>
        <w:rPr>
          <w:rFonts w:ascii="Palatino Linotype" w:eastAsiaTheme="minorEastAsia" w:hAnsi="Palatino Linotype" w:cs="Arial"/>
        </w:rPr>
      </w:pPr>
      <w:r w:rsidRPr="00054841">
        <w:rPr>
          <w:rFonts w:ascii="Palatino Linotype" w:eastAsiaTheme="minorEastAsia" w:hAnsi="Palatino Linotype" w:cs="Arial"/>
        </w:rPr>
        <w:t xml:space="preserve">De los preceptos normativos citados con anterioridad, se advierte que los ayuntamientos tienen la atribución de administrar libremente su hacienda y controlar la aplicación del presupuesto de egresos aprobado por dicho cuerpo colegiado a más tardar el veinte de diciembre del año del año inmediato anterior, por lo que señala que será atribución del Tesorero Municipal, el llevar los registros contables, financieros y administrativos de los ingresos, egresos e inventarios. </w:t>
      </w:r>
    </w:p>
    <w:p w:rsidR="00D72D51" w:rsidRPr="00054841" w:rsidRDefault="00CD0897" w:rsidP="007F0C69">
      <w:pPr>
        <w:autoSpaceDE w:val="0"/>
        <w:autoSpaceDN w:val="0"/>
        <w:adjustRightInd w:val="0"/>
        <w:spacing w:before="240" w:after="240" w:line="360" w:lineRule="auto"/>
        <w:ind w:right="51"/>
        <w:jc w:val="both"/>
        <w:rPr>
          <w:rFonts w:ascii="Palatino Linotype" w:eastAsiaTheme="minorEastAsia" w:hAnsi="Palatino Linotype" w:cs="Arial"/>
        </w:rPr>
      </w:pPr>
      <w:r w:rsidRPr="00054841">
        <w:rPr>
          <w:rFonts w:ascii="Palatino Linotype" w:eastAsiaTheme="minorEastAsia" w:hAnsi="Palatino Linotype" w:cs="Arial"/>
        </w:rPr>
        <w:t>Por su parte, los artículos 343, 344 y 345 del Código Financiero del Estado de México y Municipios señalan el sistema y las políticas que deben seguirse para llevar el registro contable de efecto patrimonial y presupuestal de las operaciones financieras que llevan a cabo los Municipios del Estado de México en armonía con el Sistema de coordinación Hacendaria del Estado y con las disposiciones que se aprueben en materia de planeación, programación, presupuestación avaluación y contabilidad gubernamental</w:t>
      </w:r>
      <w:r w:rsidRPr="00054841">
        <w:rPr>
          <w:rStyle w:val="Refdenotaalpie"/>
          <w:rFonts w:ascii="Palatino Linotype" w:eastAsiaTheme="minorEastAsia" w:hAnsi="Palatino Linotype" w:cs="Arial"/>
        </w:rPr>
        <w:footnoteReference w:id="7"/>
      </w:r>
      <w:r w:rsidRPr="00054841">
        <w:rPr>
          <w:rFonts w:ascii="Palatino Linotype" w:eastAsiaTheme="minorEastAsia" w:hAnsi="Palatino Linotype" w:cs="Arial"/>
        </w:rPr>
        <w:t>, en los siguientes términos:</w:t>
      </w:r>
    </w:p>
    <w:p w:rsidR="00CD0897" w:rsidRPr="00D72D51" w:rsidRDefault="00CD0897" w:rsidP="007F0C69">
      <w:pPr>
        <w:autoSpaceDE w:val="0"/>
        <w:autoSpaceDN w:val="0"/>
        <w:adjustRightInd w:val="0"/>
        <w:ind w:left="851" w:right="902"/>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w:t>
      </w:r>
      <w:r w:rsidRPr="00D72D51">
        <w:rPr>
          <w:rFonts w:ascii="Palatino Linotype" w:eastAsiaTheme="minorEastAsia" w:hAnsi="Palatino Linotype" w:cs="Arial"/>
          <w:b/>
          <w:i/>
          <w:sz w:val="22"/>
          <w:szCs w:val="22"/>
        </w:rPr>
        <w:t>Artículo 343.-</w:t>
      </w:r>
      <w:r w:rsidRPr="00D72D51">
        <w:rPr>
          <w:rFonts w:ascii="Palatino Linotype" w:eastAsiaTheme="minorEastAsia" w:hAnsi="Palatino Linotype" w:cs="Arial"/>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w:t>
      </w:r>
      <w:r w:rsidRPr="00D72D51">
        <w:rPr>
          <w:rFonts w:ascii="Palatino Linotype" w:eastAsiaTheme="minorEastAsia" w:hAnsi="Palatino Linotype" w:cs="Arial"/>
          <w:i/>
          <w:sz w:val="22"/>
          <w:szCs w:val="22"/>
        </w:rPr>
        <w:lastRenderedPageBreak/>
        <w:t xml:space="preserve">y contener las medidas de control interno que permitan verificar el registro de la totalidad de las operaciones financieras. </w:t>
      </w:r>
    </w:p>
    <w:p w:rsidR="00CD0897" w:rsidRPr="00D72D51" w:rsidRDefault="00CD0897" w:rsidP="007F0C69">
      <w:pPr>
        <w:autoSpaceDE w:val="0"/>
        <w:autoSpaceDN w:val="0"/>
        <w:adjustRightInd w:val="0"/>
        <w:ind w:left="851" w:right="902"/>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El sistema de contabilidad sobre base acumulativa total se sustentará en los postulados básicos y el marco conceptual de la contabilidad gubernamental."</w:t>
      </w:r>
    </w:p>
    <w:p w:rsidR="00CD0897" w:rsidRPr="00D72D51" w:rsidRDefault="00CD0897" w:rsidP="007F0C69">
      <w:pPr>
        <w:autoSpaceDE w:val="0"/>
        <w:autoSpaceDN w:val="0"/>
        <w:adjustRightInd w:val="0"/>
        <w:ind w:left="851" w:right="902"/>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w:t>
      </w:r>
      <w:r w:rsidRPr="00D72D51">
        <w:rPr>
          <w:rFonts w:ascii="Palatino Linotype" w:eastAsiaTheme="minorEastAsia" w:hAnsi="Palatino Linotype" w:cs="Arial"/>
          <w:b/>
          <w:i/>
          <w:sz w:val="22"/>
          <w:szCs w:val="22"/>
        </w:rPr>
        <w:t>Artículo 344.-</w:t>
      </w:r>
      <w:r w:rsidRPr="00D72D51">
        <w:rPr>
          <w:rFonts w:ascii="Palatino Linotype" w:eastAsiaTheme="minorEastAsia" w:hAnsi="Palatino Linotype" w:cs="Arial"/>
          <w:i/>
          <w:sz w:val="22"/>
          <w:szCs w:val="22"/>
        </w:rPr>
        <w:t xml:space="preserve"> Las Dependencias, Entidades Públicas y unidades administrativas registrarán contablemente el efecto patrimonial y presupuesta/ de las operaciones financieras que realicen, en el momento en que ocurran, con base en el sistema y políticas de registro establecidas, en el caso de los Municipios se hará por la Tesorería. </w:t>
      </w:r>
    </w:p>
    <w:p w:rsidR="00CD0897" w:rsidRPr="00D72D51" w:rsidRDefault="00CD0897" w:rsidP="007F0C69">
      <w:pPr>
        <w:autoSpaceDE w:val="0"/>
        <w:autoSpaceDN w:val="0"/>
        <w:adjustRightInd w:val="0"/>
        <w:ind w:left="851" w:right="902"/>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w:t>
      </w:r>
    </w:p>
    <w:p w:rsidR="00CD0897" w:rsidRPr="00D72D51" w:rsidRDefault="00CD0897" w:rsidP="007F0C69">
      <w:pPr>
        <w:autoSpaceDE w:val="0"/>
        <w:autoSpaceDN w:val="0"/>
        <w:adjustRightInd w:val="0"/>
        <w:ind w:left="851" w:right="902"/>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 siguiente al que corresponda, en el caso de los municipios se hará por la Tesorería. </w:t>
      </w:r>
    </w:p>
    <w:p w:rsidR="00CD0897" w:rsidRPr="00D72D51" w:rsidRDefault="00CD0897" w:rsidP="007F0C69">
      <w:pPr>
        <w:autoSpaceDE w:val="0"/>
        <w:autoSpaceDN w:val="0"/>
        <w:adjustRightInd w:val="0"/>
        <w:ind w:left="851" w:right="902"/>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 xml:space="preserve">Tratándose de documentos de carácter histórico, se estará a lo dispuesto por la legislación de la materia. " </w:t>
      </w:r>
    </w:p>
    <w:p w:rsidR="00CD0897" w:rsidRPr="00D72D51" w:rsidRDefault="00CD0897" w:rsidP="007F0C69">
      <w:pPr>
        <w:autoSpaceDE w:val="0"/>
        <w:autoSpaceDN w:val="0"/>
        <w:adjustRightInd w:val="0"/>
        <w:ind w:left="851" w:right="902"/>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w:t>
      </w:r>
      <w:r w:rsidRPr="00D72D51">
        <w:rPr>
          <w:rFonts w:ascii="Palatino Linotype" w:eastAsiaTheme="minorEastAsia" w:hAnsi="Palatino Linotype" w:cs="Arial"/>
          <w:b/>
          <w:i/>
          <w:sz w:val="22"/>
          <w:szCs w:val="22"/>
        </w:rPr>
        <w:t>Artículo 345.-</w:t>
      </w:r>
      <w:r w:rsidRPr="00D72D51">
        <w:rPr>
          <w:rFonts w:ascii="Palatino Linotype" w:eastAsiaTheme="minorEastAsia" w:hAnsi="Palatino Linotype" w:cs="Arial"/>
          <w:i/>
          <w:sz w:val="22"/>
          <w:szCs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rsidR="00CD0897" w:rsidRDefault="00CD0897" w:rsidP="007F0C69">
      <w:pPr>
        <w:autoSpaceDE w:val="0"/>
        <w:autoSpaceDN w:val="0"/>
        <w:adjustRightInd w:val="0"/>
        <w:ind w:left="851" w:right="902"/>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El plazo señalado en el párrafo anterior, empezará a contar a partir de la publicación en el Periódico Oficial, del decreto correspondiente."</w:t>
      </w:r>
    </w:p>
    <w:p w:rsidR="00D72D51" w:rsidRPr="00D72D51" w:rsidRDefault="00D72D51" w:rsidP="00D72D51">
      <w:pPr>
        <w:autoSpaceDE w:val="0"/>
        <w:autoSpaceDN w:val="0"/>
        <w:adjustRightInd w:val="0"/>
        <w:ind w:left="851" w:right="902"/>
        <w:jc w:val="both"/>
        <w:rPr>
          <w:rFonts w:ascii="Palatino Linotype" w:eastAsiaTheme="minorEastAsia" w:hAnsi="Palatino Linotype" w:cs="Arial"/>
          <w:i/>
          <w:sz w:val="22"/>
          <w:szCs w:val="22"/>
        </w:rPr>
      </w:pPr>
    </w:p>
    <w:p w:rsidR="00CD0897" w:rsidRPr="00054841" w:rsidRDefault="00CD0897" w:rsidP="00CD0897">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De una interpretación sistemática de los artículos transcritos, se desprende primeramente que el sistema de contabilidad debe diseñarse de tal forma que facilite la fiscalización de los pasivos, activos, ingresos y egresos en general para que se pueda medir la eficacia del gasto público, es decir que se pueda tener un control de los recursos que permita la vigilancia de los mismos y medir su grado de efectividad en su aplicación.</w:t>
      </w:r>
    </w:p>
    <w:p w:rsidR="00CD0897" w:rsidRPr="00054841" w:rsidRDefault="00CD0897" w:rsidP="00CD0897">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lastRenderedPageBreak/>
        <w:t>Para ello, las dependencias, entidades y unidades administrativas deberán registrar todas las operaciones financieras que realicen en el momento que ocurran, que para el caso del Sujeto Obligado será a través del su Tesorería, documentación que se deberá de conservar del año en curso y la de los ejercicios anteriores cuyas cuentas públicas ya hayan sido revisadas y fiscalizadas.</w:t>
      </w:r>
    </w:p>
    <w:p w:rsidR="00CD0897" w:rsidRPr="00054841" w:rsidRDefault="00CD0897" w:rsidP="00CD0897">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054841">
        <w:rPr>
          <w:rFonts w:ascii="Palatino Linotype" w:eastAsiaTheme="minorEastAsia" w:hAnsi="Palatino Linotype" w:cs="Arial"/>
          <w:i/>
        </w:rPr>
        <w:t>"</w:t>
      </w:r>
      <w:r w:rsidRPr="00D72D51">
        <w:rPr>
          <w:rFonts w:ascii="Palatino Linotype" w:eastAsiaTheme="minorEastAsia" w:hAnsi="Palatino Linotype" w:cs="Arial"/>
          <w:b/>
          <w:i/>
          <w:sz w:val="22"/>
          <w:szCs w:val="22"/>
        </w:rPr>
        <w:t>REGISTRO CONTABLE</w:t>
      </w:r>
      <w:r w:rsidRPr="00D72D51">
        <w:rPr>
          <w:rFonts w:ascii="Palatino Linotype" w:eastAsiaTheme="minorEastAsia" w:hAnsi="Palatino Linotype" w:cs="Arial"/>
          <w:i/>
          <w:sz w:val="22"/>
          <w:szCs w:val="22"/>
        </w:rPr>
        <w:t xml:space="preserve"> </w:t>
      </w: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 xml:space="preserve">Asiento que se realiza en los libros de contabilidad de las actividades relacionadas con el ingreso y egresos de un ente económico." </w:t>
      </w: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w:t>
      </w:r>
      <w:r w:rsidRPr="00D72D51">
        <w:rPr>
          <w:rFonts w:ascii="Palatino Linotype" w:eastAsiaTheme="minorEastAsia" w:hAnsi="Palatino Linotype" w:cs="Arial"/>
          <w:b/>
          <w:i/>
          <w:sz w:val="22"/>
          <w:szCs w:val="22"/>
        </w:rPr>
        <w:t>REGISTRO PRESUPUESTARIO</w:t>
      </w:r>
      <w:r w:rsidRPr="00D72D51">
        <w:rPr>
          <w:rFonts w:ascii="Palatino Linotype" w:eastAsiaTheme="minorEastAsia" w:hAnsi="Palatino Linotype" w:cs="Arial"/>
          <w:i/>
          <w:sz w:val="22"/>
          <w:szCs w:val="22"/>
        </w:rPr>
        <w:t>”</w:t>
      </w:r>
    </w:p>
    <w:p w:rsidR="00CD0897"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Asiento contable de las erogaciones realizadas por las dependencias y entidades con relación a la asignación, modificación y ejercicio de los recursos presupuestarios que se les hayan autorizado."</w:t>
      </w:r>
    </w:p>
    <w:p w:rsidR="00D72D51" w:rsidRPr="00D72D51" w:rsidRDefault="00D72D51" w:rsidP="00D72D51">
      <w:pPr>
        <w:autoSpaceDE w:val="0"/>
        <w:autoSpaceDN w:val="0"/>
        <w:adjustRightInd w:val="0"/>
        <w:ind w:left="851" w:right="851"/>
        <w:jc w:val="both"/>
        <w:rPr>
          <w:rFonts w:ascii="Palatino Linotype" w:eastAsiaTheme="minorEastAsia" w:hAnsi="Palatino Linotype" w:cs="Arial"/>
          <w:i/>
          <w:sz w:val="22"/>
          <w:szCs w:val="22"/>
        </w:rPr>
      </w:pPr>
    </w:p>
    <w:p w:rsidR="00CD0897" w:rsidRPr="00054841" w:rsidRDefault="00CD0897" w:rsidP="00620A8D">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lastRenderedPageBreak/>
        <w:t xml:space="preserve">Como bien se desprende de las definiciones, los registros contables y presupuestarios son asientos o anotaciones contables que se realizan tanto de los ingresos como de los egresos, es decir, que se trata de un control financiero que para el caso del Ayuntamiento tendrá la obligación el Tesorero se llevar dicho registro; como ha sido mencionado en la normatividad antes citada, todo registro contable y presupuestal deberá estar soportado con los documentos comprobatorios originales, como lo son las facturas,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 </w:t>
      </w:r>
    </w:p>
    <w:p w:rsidR="00CD0897" w:rsidRPr="00054841" w:rsidRDefault="00CD0897" w:rsidP="00620A8D">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t>Atento a lo anterior, resulta claro que las facturas o comprobantes son documentos que el Sujeto Obligado generó en el ejercicio de sus atribuciones, y por lo cual se considera son el documento que de manera enunciativa más no limitativa podría satisfacer el derecho del particular.</w:t>
      </w:r>
    </w:p>
    <w:p w:rsidR="00CD0897" w:rsidRPr="00054841" w:rsidRDefault="00CD0897" w:rsidP="00620A8D">
      <w:pPr>
        <w:autoSpaceDE w:val="0"/>
        <w:autoSpaceDN w:val="0"/>
        <w:adjustRightInd w:val="0"/>
        <w:spacing w:before="240" w:after="240" w:line="360" w:lineRule="auto"/>
        <w:jc w:val="both"/>
        <w:rPr>
          <w:rFonts w:ascii="Palatino Linotype" w:hAnsi="Palatino Linotype" w:cs="Arial"/>
        </w:rPr>
      </w:pPr>
      <w:r w:rsidRPr="00054841">
        <w:rPr>
          <w:rFonts w:ascii="Palatino Linotype" w:eastAsiaTheme="minorEastAsia" w:hAnsi="Palatino Linotype" w:cs="Arial"/>
        </w:rPr>
        <w:t xml:space="preserve">De igual forma se considera que la expresión documental en la cual podría obrar la información relacionada con </w:t>
      </w:r>
      <w:r w:rsidRPr="00054841">
        <w:rPr>
          <w:rFonts w:ascii="Palatino Linotype" w:hAnsi="Palatino Linotype"/>
        </w:rPr>
        <w:t xml:space="preserve">el importe por concepto de alumbrado público facturado por la Comisión Federal de Electricidad o CFE resultaría el </w:t>
      </w:r>
      <w:r w:rsidRPr="00054841">
        <w:rPr>
          <w:rFonts w:ascii="Palatino Linotype" w:hAnsi="Palatino Linotype" w:cs="Arial"/>
        </w:rPr>
        <w:t>denominado: Aviso Recibo</w:t>
      </w:r>
      <w:r w:rsidRPr="00054841">
        <w:rPr>
          <w:rStyle w:val="Refdenotaalpie"/>
          <w:rFonts w:ascii="Palatino Linotype" w:hAnsi="Palatino Linotype" w:cs="Arial"/>
        </w:rPr>
        <w:footnoteReference w:id="8"/>
      </w:r>
      <w:r w:rsidRPr="00054841">
        <w:rPr>
          <w:rFonts w:ascii="Palatino Linotype" w:hAnsi="Palatino Linotype" w:cs="Arial"/>
        </w:rPr>
        <w:t xml:space="preserve">; de conformidad con la siguiente imagen: </w:t>
      </w:r>
    </w:p>
    <w:p w:rsidR="00CD0897" w:rsidRPr="00054841" w:rsidRDefault="00CD0897" w:rsidP="00CD0897">
      <w:pPr>
        <w:spacing w:before="240" w:after="240" w:line="360" w:lineRule="auto"/>
        <w:jc w:val="center"/>
        <w:rPr>
          <w:rFonts w:ascii="Palatino Linotype" w:hAnsi="Palatino Linotype" w:cs="Arial"/>
        </w:rPr>
      </w:pPr>
      <w:r w:rsidRPr="00054841">
        <w:rPr>
          <w:rFonts w:ascii="Palatino Linotype" w:hAnsi="Palatino Linotype"/>
          <w:noProof/>
          <w:lang w:val="es-MX" w:eastAsia="es-MX"/>
        </w:rPr>
        <w:lastRenderedPageBreak/>
        <w:drawing>
          <wp:inline distT="0" distB="0" distL="0" distR="0" wp14:anchorId="12013B19" wp14:editId="5444DAAA">
            <wp:extent cx="4500452" cy="5676406"/>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6691" cy="5696888"/>
                    </a:xfrm>
                    <a:prstGeom prst="rect">
                      <a:avLst/>
                    </a:prstGeom>
                  </pic:spPr>
                </pic:pic>
              </a:graphicData>
            </a:graphic>
          </wp:inline>
        </w:drawing>
      </w:r>
    </w:p>
    <w:p w:rsidR="00CD0897" w:rsidRPr="00054841" w:rsidRDefault="00CD0897" w:rsidP="00620A8D">
      <w:pPr>
        <w:spacing w:before="240" w:after="240" w:line="360" w:lineRule="auto"/>
        <w:jc w:val="both"/>
        <w:rPr>
          <w:rFonts w:ascii="Palatino Linotype" w:hAnsi="Palatino Linotype" w:cs="Arial"/>
        </w:rPr>
      </w:pPr>
      <w:r w:rsidRPr="00054841">
        <w:rPr>
          <w:rFonts w:ascii="Palatino Linotype" w:hAnsi="Palatino Linotype" w:cs="Arial"/>
        </w:rPr>
        <w:t>De la cuadro anterior se aprecia que el aviso recibo, es el recibo que expide la Comisión Federal de Electricidad por concepto de pago del servicio de luz, mismo que contiene los siguientes datos: datos generales, cálculo de consumo bimestral, periodo de facturación, medición del consumo, detalle de facturación, avisos importantes y talón de caja.</w:t>
      </w:r>
    </w:p>
    <w:p w:rsidR="00CD0897" w:rsidRPr="00054841" w:rsidRDefault="00CD0897" w:rsidP="00620A8D">
      <w:pPr>
        <w:spacing w:before="240" w:after="240" w:line="360" w:lineRule="auto"/>
        <w:jc w:val="both"/>
        <w:rPr>
          <w:rFonts w:ascii="Palatino Linotype" w:hAnsi="Palatino Linotype" w:cs="Arial"/>
        </w:rPr>
      </w:pPr>
      <w:r w:rsidRPr="00054841">
        <w:rPr>
          <w:rFonts w:ascii="Palatino Linotype" w:hAnsi="Palatino Linotype" w:cs="Arial"/>
        </w:rPr>
        <w:lastRenderedPageBreak/>
        <w:t>En ese sentido, el comprobante de pago emitido por la CFE sería el documento del cual se desprenderían los requerimientos de la particular, toda vez que de ahí se pude advertir el importe por concepto de alumbrado público por bimestre a partir del uno de enero del año dos mil trece y hasta el trece de noviembre de dos mil dieciocho.</w:t>
      </w:r>
    </w:p>
    <w:p w:rsidR="00CD0897" w:rsidRPr="00054841" w:rsidRDefault="00CD0897" w:rsidP="00620A8D">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hAnsi="Palatino Linotype" w:cs="Arial"/>
        </w:rPr>
        <w:t xml:space="preserve">Por otro lado, con respecto a los numerales 2 y 3 del grupo,  </w:t>
      </w:r>
      <w:r w:rsidRPr="00054841">
        <w:rPr>
          <w:rFonts w:ascii="Palatino Linotype" w:eastAsiaTheme="minorEastAsia" w:hAnsi="Palatino Linotype" w:cs="Arial"/>
        </w:rPr>
        <w:t xml:space="preserve">relativos a las partidas presupuestales que se utilizaron y montos que se erogaron para el mantenimiento del sistema de alumbrado público y para cubrir las facturas por concepto de consumo de energía eléctrica en el sistema de alumbrado público </w:t>
      </w:r>
      <w:r w:rsidRPr="00054841">
        <w:rPr>
          <w:rFonts w:ascii="Palatino Linotype" w:hAnsi="Palatino Linotype" w:cs="Arial"/>
        </w:rPr>
        <w:t xml:space="preserve">del uno de enero del año dos mil trece y hasta el trece de noviembre de dos mil dieciocho; al respecto, </w:t>
      </w:r>
      <w:r w:rsidRPr="00054841">
        <w:rPr>
          <w:rFonts w:ascii="Palatino Linotype" w:eastAsiaTheme="minorEastAsia" w:hAnsi="Palatino Linotype" w:cs="Arial"/>
        </w:rPr>
        <w:t>tenemos que el presupuesto es definido en el Código Financiero del Estado de México y Municipios, particularmente en su artículo 285, como el instrumento jurídico de la política de gasto que aprueba la legislatura, en el cual se establece el ejercicio, control y evaluación del gasto público durante el ejercicio fiscal correspondiente y que para el caso de los Municipios será el Ayuntamiento quien lo apruebe en una sesión de cabildo.</w:t>
      </w:r>
    </w:p>
    <w:p w:rsidR="00CD0897" w:rsidRPr="00054841" w:rsidRDefault="00CD0897" w:rsidP="00620A8D">
      <w:pPr>
        <w:spacing w:before="240" w:after="240" w:line="360" w:lineRule="auto"/>
        <w:jc w:val="both"/>
        <w:rPr>
          <w:rFonts w:ascii="Palatino Linotype" w:hAnsi="Palatino Linotype" w:cs="Arial"/>
        </w:rPr>
      </w:pPr>
      <w:r w:rsidRPr="00054841">
        <w:rPr>
          <w:rFonts w:ascii="Palatino Linotype" w:hAnsi="Palatino Linotype" w:cs="Arial"/>
        </w:rPr>
        <w:t>Ahora bien, el Manual Único de Contabilidad Gubernamental para las Dependencias y Entidades Públicas del Gobierno y Municipios del Estado de México en sus ediciones 2013 a 2018</w:t>
      </w:r>
      <w:r w:rsidRPr="00054841">
        <w:rPr>
          <w:rStyle w:val="Refdenotaalpie"/>
          <w:rFonts w:ascii="Palatino Linotype" w:hAnsi="Palatino Linotype"/>
        </w:rPr>
        <w:footnoteReference w:id="9"/>
      </w:r>
      <w:r w:rsidRPr="00054841">
        <w:rPr>
          <w:rFonts w:ascii="Palatino Linotype" w:hAnsi="Palatino Linotype"/>
        </w:rPr>
        <w:t xml:space="preserve">, </w:t>
      </w:r>
      <w:r w:rsidRPr="00054841">
        <w:rPr>
          <w:rFonts w:ascii="Palatino Linotype" w:hAnsi="Palatino Linotype" w:cs="Arial"/>
        </w:rPr>
        <w:t xml:space="preserve">tiene como objetivo el proporcionar a las entidades de la administración pública Estatal y Municipal, los elementos necesarios </w:t>
      </w:r>
      <w:r w:rsidRPr="00054841">
        <w:rPr>
          <w:rFonts w:ascii="Palatino Linotype" w:hAnsi="Palatino Linotype" w:cs="Arial"/>
        </w:rPr>
        <w:lastRenderedPageBreak/>
        <w:t>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w:t>
      </w:r>
    </w:p>
    <w:p w:rsidR="00CD0897" w:rsidRDefault="00CD0897" w:rsidP="00620A8D">
      <w:pPr>
        <w:spacing w:before="240" w:after="240" w:line="360" w:lineRule="auto"/>
        <w:jc w:val="both"/>
        <w:rPr>
          <w:rFonts w:ascii="Palatino Linotype" w:hAnsi="Palatino Linotype" w:cs="Arial"/>
        </w:rPr>
      </w:pPr>
      <w:r w:rsidRPr="00054841">
        <w:rPr>
          <w:rFonts w:ascii="Palatino Linotype" w:hAnsi="Palatino Linotype" w:cs="Arial"/>
        </w:rPr>
        <w:t>Es así, como el Clasificador por objeto de gasto de los años requeridos, establece la partida y el concepto del tema que nos ocupa, de la siguiente manera:</w:t>
      </w:r>
    </w:p>
    <w:p w:rsidR="00620A8D" w:rsidRPr="00054841" w:rsidRDefault="00620A8D" w:rsidP="00620A8D">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32158</wp:posOffset>
                </wp:positionH>
                <wp:positionV relativeFrom="paragraph">
                  <wp:posOffset>115029</wp:posOffset>
                </wp:positionV>
                <wp:extent cx="5561462" cy="2900149"/>
                <wp:effectExtent l="19050" t="19050" r="20320" b="33655"/>
                <wp:wrapNone/>
                <wp:docPr id="30" name="Conector recto 30"/>
                <wp:cNvGraphicFramePr/>
                <a:graphic xmlns:a="http://schemas.openxmlformats.org/drawingml/2006/main">
                  <a:graphicData uri="http://schemas.microsoft.com/office/word/2010/wordprocessingShape">
                    <wps:wsp>
                      <wps:cNvCnPr/>
                      <wps:spPr>
                        <a:xfrm>
                          <a:off x="0" y="0"/>
                          <a:ext cx="5561462" cy="290014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2558AA" id="Conector recto 3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5pt,9.05pt" to="440.45pt,2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" strokecolor="red" strokeweight="2.25pt">
                <v:stroke joinstyle="miter"/>
              </v:line>
            </w:pict>
          </mc:Fallback>
        </mc:AlternateContent>
      </w:r>
    </w:p>
    <w:p w:rsidR="00CD0897" w:rsidRPr="00054841" w:rsidRDefault="00CD0897" w:rsidP="00CD0897">
      <w:pPr>
        <w:spacing w:before="240" w:after="240" w:line="360" w:lineRule="auto"/>
        <w:jc w:val="both"/>
        <w:rPr>
          <w:rFonts w:ascii="Palatino Linotype" w:hAnsi="Palatino Linotype" w:cs="Arial"/>
          <w:lang w:eastAsia="es-MX"/>
        </w:rPr>
      </w:pPr>
      <w:r w:rsidRPr="00054841">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70858884" wp14:editId="4DD32B36">
                <wp:simplePos x="0" y="0"/>
                <wp:positionH relativeFrom="margin">
                  <wp:posOffset>69850</wp:posOffset>
                </wp:positionH>
                <wp:positionV relativeFrom="paragraph">
                  <wp:posOffset>2330450</wp:posOffset>
                </wp:positionV>
                <wp:extent cx="3429000" cy="1714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34290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F0E59" id="Rectángulo 12" o:spid="_x0000_s1026" style="position:absolute;margin-left:5.5pt;margin-top:183.5pt;width:270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" filled="f" strokecolor="red" strokeweight="3pt">
                <w10:wrap anchorx="margin"/>
              </v:rect>
            </w:pict>
          </mc:Fallback>
        </mc:AlternateContent>
      </w:r>
      <w:r w:rsidRPr="00054841">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92D88D0" wp14:editId="22E6775E">
                <wp:simplePos x="0" y="0"/>
                <wp:positionH relativeFrom="column">
                  <wp:posOffset>69215</wp:posOffset>
                </wp:positionH>
                <wp:positionV relativeFrom="paragraph">
                  <wp:posOffset>2631440</wp:posOffset>
                </wp:positionV>
                <wp:extent cx="3429000" cy="1714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34290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B5FC9" id="Rectángulo 5" o:spid="_x0000_s1026" style="position:absolute;margin-left:5.45pt;margin-top:207.2pt;width:270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" filled="f" strokecolor="red" strokeweight="3pt"/>
            </w:pict>
          </mc:Fallback>
        </mc:AlternateContent>
      </w:r>
      <w:r w:rsidRPr="00054841">
        <w:rPr>
          <w:rFonts w:ascii="Palatino Linotype" w:hAnsi="Palatino Linotype"/>
          <w:noProof/>
          <w:lang w:val="es-MX" w:eastAsia="es-MX"/>
        </w:rPr>
        <w:drawing>
          <wp:inline distT="0" distB="0" distL="0" distR="0" wp14:anchorId="7E7E28E3" wp14:editId="48F38134">
            <wp:extent cx="5765800" cy="3056692"/>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634" t="26890" r="19544" b="14848"/>
                    <a:stretch/>
                  </pic:blipFill>
                  <pic:spPr bwMode="auto">
                    <a:xfrm>
                      <a:off x="0" y="0"/>
                      <a:ext cx="5788599" cy="3068779"/>
                    </a:xfrm>
                    <a:prstGeom prst="rect">
                      <a:avLst/>
                    </a:prstGeom>
                    <a:ln>
                      <a:noFill/>
                    </a:ln>
                    <a:extLst>
                      <a:ext uri="{53640926-AAD7-44D8-BBD7-CCE9431645EC}">
                        <a14:shadowObscured xmlns:a14="http://schemas.microsoft.com/office/drawing/2010/main"/>
                      </a:ext>
                    </a:extLst>
                  </pic:spPr>
                </pic:pic>
              </a:graphicData>
            </a:graphic>
          </wp:inline>
        </w:drawing>
      </w:r>
    </w:p>
    <w:p w:rsidR="00CD0897" w:rsidRPr="00054841" w:rsidRDefault="00CD0897" w:rsidP="00CD0897">
      <w:pPr>
        <w:spacing w:before="240" w:after="240" w:line="360" w:lineRule="auto"/>
        <w:jc w:val="both"/>
        <w:rPr>
          <w:rFonts w:ascii="Palatino Linotype" w:hAnsi="Palatino Linotype"/>
        </w:rPr>
      </w:pPr>
      <w:r w:rsidRPr="00054841">
        <w:rPr>
          <w:rFonts w:ascii="Palatino Linotype" w:hAnsi="Palatino Linotype"/>
          <w:noProof/>
          <w:lang w:val="es-MX" w:eastAsia="es-MX"/>
        </w:rPr>
        <w:drawing>
          <wp:inline distT="0" distB="0" distL="0" distR="0" wp14:anchorId="40B081BB" wp14:editId="4E6DB49B">
            <wp:extent cx="5740154" cy="2000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43" t="29423" r="19952" b="39205"/>
                    <a:stretch/>
                  </pic:blipFill>
                  <pic:spPr bwMode="auto">
                    <a:xfrm>
                      <a:off x="0" y="0"/>
                      <a:ext cx="5783209" cy="2015253"/>
                    </a:xfrm>
                    <a:prstGeom prst="rect">
                      <a:avLst/>
                    </a:prstGeom>
                    <a:ln>
                      <a:noFill/>
                    </a:ln>
                    <a:extLst>
                      <a:ext uri="{53640926-AAD7-44D8-BBD7-CCE9431645EC}">
                        <a14:shadowObscured xmlns:a14="http://schemas.microsoft.com/office/drawing/2010/main"/>
                      </a:ext>
                    </a:extLst>
                  </pic:spPr>
                </pic:pic>
              </a:graphicData>
            </a:graphic>
          </wp:inline>
        </w:drawing>
      </w:r>
    </w:p>
    <w:p w:rsidR="00CD0897" w:rsidRPr="00054841" w:rsidRDefault="00CD0897" w:rsidP="00CD0897">
      <w:pPr>
        <w:spacing w:before="240" w:after="240" w:line="360" w:lineRule="auto"/>
        <w:jc w:val="both"/>
        <w:rPr>
          <w:rFonts w:ascii="Palatino Linotype" w:hAnsi="Palatino Linotype" w:cs="Arial"/>
          <w:lang w:eastAsia="es-MX"/>
        </w:rPr>
      </w:pPr>
      <w:r w:rsidRPr="00054841">
        <w:rPr>
          <w:rFonts w:ascii="Palatino Linotype" w:hAnsi="Palatino Linotype" w:cs="Arial"/>
          <w:lang w:eastAsia="es-MX"/>
        </w:rPr>
        <w:t xml:space="preserve">Por consiguiente, el servicio de energía eléctrica para alumbrado público establece una partida dentro del citado Manual, con la finalidad de que el Sujeto Obligado pueda proporcionar información financiera, presupuestaria, programática y económica para consolidarla y presentarla en la Cuenta Pública del Gobierno y Organismos Auxiliares del Estado de México, así como la Cuenta Pública Municipal y, como resultado, forma parte del presupuesto de egresos del Sujeto Obligado. </w:t>
      </w:r>
    </w:p>
    <w:p w:rsidR="00CD0897" w:rsidRPr="00054841" w:rsidRDefault="00CD0897" w:rsidP="00CD0897">
      <w:pPr>
        <w:spacing w:before="240" w:after="240" w:line="360" w:lineRule="auto"/>
        <w:jc w:val="both"/>
        <w:rPr>
          <w:rFonts w:ascii="Palatino Linotype" w:hAnsi="Palatino Linotype"/>
        </w:rPr>
      </w:pPr>
      <w:r w:rsidRPr="00054841">
        <w:rPr>
          <w:rFonts w:ascii="Palatino Linotype" w:hAnsi="Palatino Linotype" w:cs="Arial"/>
          <w:lang w:eastAsia="es-MX"/>
        </w:rPr>
        <w:lastRenderedPageBreak/>
        <w:t xml:space="preserve">Por otro lado, el Órgano Superior de Fiscalización del Estado de México (OSFEM), </w:t>
      </w:r>
      <w:r w:rsidRPr="00054841">
        <w:rPr>
          <w:rFonts w:ascii="Palatino Linotype" w:hAnsi="Palatino Linotype"/>
        </w:rPr>
        <w:t>emite anualmente los Lineamientos para definir los criterios, formatos y documentación necesaria para presentar los informes mensuales, donde se detalla la información en 6 discos, los cuales deberán entregarse mensualmente al OSFEM, y de los que destaca, en relación con el análisis que nos ocupa, el “Disco 5”, relativo a “imágenes digitalizadas”.</w:t>
      </w:r>
    </w:p>
    <w:p w:rsidR="00CD0897" w:rsidRPr="00054841" w:rsidRDefault="00CD0897" w:rsidP="00CD0897">
      <w:pPr>
        <w:spacing w:before="240" w:after="240" w:line="360" w:lineRule="auto"/>
        <w:jc w:val="both"/>
        <w:rPr>
          <w:rFonts w:ascii="Palatino Linotype" w:hAnsi="Palatino Linotype"/>
        </w:rPr>
      </w:pPr>
      <w:r w:rsidRPr="00054841">
        <w:rPr>
          <w:rFonts w:ascii="Palatino Linotype" w:hAnsi="Palatino Linotype"/>
        </w:rPr>
        <w:t>Dichos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CD0897" w:rsidRPr="00D72D51" w:rsidRDefault="00CD0897" w:rsidP="00620A8D">
      <w:pPr>
        <w:ind w:left="851" w:right="851"/>
        <w:jc w:val="both"/>
        <w:rPr>
          <w:rFonts w:ascii="Palatino Linotype" w:hAnsi="Palatino Linotype"/>
          <w:i/>
          <w:sz w:val="22"/>
          <w:szCs w:val="22"/>
        </w:rPr>
      </w:pPr>
      <w:r w:rsidRPr="00D72D51">
        <w:rPr>
          <w:rFonts w:ascii="Palatino Linotype" w:hAnsi="Palatino Linotype"/>
          <w:b/>
          <w:i/>
          <w:sz w:val="22"/>
          <w:szCs w:val="22"/>
        </w:rPr>
        <w:t>“Artículo 32.-</w:t>
      </w:r>
      <w:r w:rsidRPr="00D72D51">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CD0897" w:rsidRPr="00D72D51" w:rsidRDefault="00CD0897" w:rsidP="00620A8D">
      <w:pPr>
        <w:ind w:left="851" w:right="851"/>
        <w:jc w:val="both"/>
        <w:rPr>
          <w:rFonts w:ascii="Palatino Linotype" w:hAnsi="Palatino Linotype"/>
          <w:b/>
          <w:i/>
          <w:sz w:val="22"/>
          <w:szCs w:val="22"/>
        </w:rPr>
      </w:pPr>
      <w:r w:rsidRPr="00D72D51">
        <w:rPr>
          <w:rFonts w:ascii="Palatino Linotype" w:hAnsi="Palatino Linotype"/>
          <w:b/>
          <w:i/>
          <w:sz w:val="22"/>
          <w:szCs w:val="22"/>
        </w:rPr>
        <w:t>…</w:t>
      </w:r>
    </w:p>
    <w:p w:rsidR="00CD0897" w:rsidRDefault="00CD0897" w:rsidP="00620A8D">
      <w:pPr>
        <w:ind w:left="851" w:right="851"/>
        <w:jc w:val="both"/>
        <w:rPr>
          <w:rFonts w:ascii="Palatino Linotype" w:hAnsi="Palatino Linotype"/>
          <w:i/>
          <w:sz w:val="22"/>
          <w:szCs w:val="22"/>
          <w:u w:val="single"/>
        </w:rPr>
      </w:pPr>
      <w:r w:rsidRPr="00D72D51">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D72D51">
        <w:rPr>
          <w:rFonts w:ascii="Palatino Linotype" w:hAnsi="Palatino Linotype"/>
          <w:i/>
          <w:sz w:val="22"/>
          <w:szCs w:val="22"/>
          <w:u w:val="single"/>
        </w:rPr>
        <w:t>los informes mensuales</w:t>
      </w:r>
      <w:r w:rsidRPr="00D72D51">
        <w:rPr>
          <w:rFonts w:ascii="Palatino Linotype" w:hAnsi="Palatino Linotype"/>
          <w:i/>
          <w:sz w:val="22"/>
          <w:szCs w:val="22"/>
        </w:rPr>
        <w:t xml:space="preserve"> los deberán presentar </w:t>
      </w:r>
      <w:r w:rsidRPr="00D72D51">
        <w:rPr>
          <w:rFonts w:ascii="Palatino Linotype" w:hAnsi="Palatino Linotype"/>
          <w:i/>
          <w:sz w:val="22"/>
          <w:szCs w:val="22"/>
          <w:u w:val="single"/>
        </w:rPr>
        <w:t>dentro de los veinte días posteriores al término del mes correspondiente.”</w:t>
      </w:r>
    </w:p>
    <w:p w:rsidR="00620A8D" w:rsidRPr="00D72D51" w:rsidRDefault="00620A8D" w:rsidP="00620A8D">
      <w:pPr>
        <w:ind w:left="851" w:right="851"/>
        <w:jc w:val="both"/>
        <w:rPr>
          <w:rFonts w:ascii="Palatino Linotype" w:hAnsi="Palatino Linotype"/>
          <w:i/>
          <w:sz w:val="22"/>
          <w:szCs w:val="22"/>
          <w:u w:val="single"/>
        </w:rPr>
      </w:pPr>
    </w:p>
    <w:p w:rsidR="00CD0897" w:rsidRPr="00054841" w:rsidRDefault="00CD0897" w:rsidP="00CD0897">
      <w:pPr>
        <w:spacing w:before="240" w:after="240" w:line="360" w:lineRule="auto"/>
        <w:ind w:right="-91"/>
        <w:jc w:val="both"/>
        <w:rPr>
          <w:rFonts w:ascii="Palatino Linotype" w:hAnsi="Palatino Linotype"/>
        </w:rPr>
      </w:pPr>
      <w:r w:rsidRPr="00054841">
        <w:rPr>
          <w:rFonts w:ascii="Palatino Linotype" w:hAnsi="Palatino Linotype"/>
        </w:rPr>
        <w:t xml:space="preserve">Por lo anterior, se aprecia que la información documental comprobatoria, deberá conservarse en los archivos de la entidad fiscalizada –Municipio-, en original y </w:t>
      </w:r>
      <w:r w:rsidRPr="00054841">
        <w:rPr>
          <w:rFonts w:ascii="Palatino Linotype" w:hAnsi="Palatino Linotype"/>
        </w:rPr>
        <w:lastRenderedPageBreak/>
        <w:t>debidamente integrada en términos de los lineamientos de referencia, pues son susceptibles de revisión directa por el Órgano Superior de Fiscalización del Estado.</w:t>
      </w:r>
    </w:p>
    <w:p w:rsidR="00CD0897" w:rsidRPr="00054841" w:rsidRDefault="00CD0897" w:rsidP="00CD0897">
      <w:pPr>
        <w:spacing w:line="360" w:lineRule="auto"/>
        <w:ind w:right="-91"/>
        <w:jc w:val="both"/>
        <w:rPr>
          <w:rFonts w:ascii="Palatino Linotype" w:hAnsi="Palatino Linotype"/>
        </w:rPr>
      </w:pPr>
      <w:r w:rsidRPr="00054841">
        <w:rPr>
          <w:rFonts w:ascii="Palatino Linotype" w:hAnsi="Palatino Linotype"/>
        </w:rPr>
        <w:t>Aunado a lo anterior, en los Lineamientos para la Integración del Informe Mensual de 2013 a 2018</w:t>
      </w:r>
      <w:r w:rsidRPr="00054841">
        <w:rPr>
          <w:rStyle w:val="Refdenotaalpie"/>
          <w:rFonts w:ascii="Palatino Linotype" w:hAnsi="Palatino Linotype"/>
        </w:rPr>
        <w:footnoteReference w:id="10"/>
      </w:r>
      <w:r w:rsidRPr="00054841">
        <w:rPr>
          <w:rFonts w:ascii="Palatino Linotype" w:hAnsi="Palatino Linotype"/>
        </w:rPr>
        <w:t xml:space="preserve">, se destaca que, dentro de los informes mensuales, los Ayuntamientos tienen la obligación de rendir la Información referente a imágenes digitalizadas </w:t>
      </w:r>
      <w:r w:rsidR="00620A8D" w:rsidRPr="00054841">
        <w:rPr>
          <w:rFonts w:ascii="Palatino Linotype" w:hAnsi="Palatino Linotype"/>
        </w:rPr>
        <w:t>entre</w:t>
      </w:r>
      <w:r w:rsidR="00620A8D">
        <w:rPr>
          <w:rFonts w:ascii="Palatino Linotype" w:hAnsi="Palatino Linotype"/>
        </w:rPr>
        <w:t xml:space="preserve"> </w:t>
      </w:r>
      <w:r w:rsidRPr="00054841">
        <w:rPr>
          <w:rFonts w:ascii="Palatino Linotype" w:hAnsi="Palatino Linotype"/>
        </w:rPr>
        <w:t xml:space="preserve">las que se encuentran las pólizas de egresos con su respectivo soporte documental, tal y como se muestra en seguida: </w:t>
      </w:r>
    </w:p>
    <w:p w:rsidR="00CD0897" w:rsidRPr="00054841" w:rsidRDefault="00CD0897" w:rsidP="00CD0897">
      <w:pPr>
        <w:jc w:val="center"/>
        <w:rPr>
          <w:rFonts w:ascii="Palatino Linotype" w:hAnsi="Palatino Linotype" w:cs="Arial"/>
        </w:rPr>
      </w:pPr>
      <w:r w:rsidRPr="00054841">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61B677B2" wp14:editId="301ADC41">
                <wp:simplePos x="0" y="0"/>
                <wp:positionH relativeFrom="column">
                  <wp:posOffset>1136650</wp:posOffset>
                </wp:positionH>
                <wp:positionV relativeFrom="paragraph">
                  <wp:posOffset>1096010</wp:posOffset>
                </wp:positionV>
                <wp:extent cx="1905000" cy="209550"/>
                <wp:effectExtent l="19050" t="19050" r="19050" b="19050"/>
                <wp:wrapNone/>
                <wp:docPr id="11" name="13 Rectángulo"/>
                <wp:cNvGraphicFramePr/>
                <a:graphic xmlns:a="http://schemas.openxmlformats.org/drawingml/2006/main">
                  <a:graphicData uri="http://schemas.microsoft.com/office/word/2010/wordprocessingShape">
                    <wps:wsp>
                      <wps:cNvSpPr/>
                      <wps:spPr>
                        <a:xfrm>
                          <a:off x="0" y="0"/>
                          <a:ext cx="19050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25024" id="13 Rectángulo" o:spid="_x0000_s1026" style="position:absolute;margin-left:89.5pt;margin-top:86.3pt;width:150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" filled="f" strokecolor="red" strokeweight="3pt"/>
            </w:pict>
          </mc:Fallback>
        </mc:AlternateContent>
      </w:r>
      <w:r w:rsidRPr="00054841">
        <w:rPr>
          <w:rFonts w:ascii="Palatino Linotype" w:hAnsi="Palatino Linotype" w:cs="Arial"/>
          <w:noProof/>
          <w:lang w:val="es-MX" w:eastAsia="es-MX"/>
        </w:rPr>
        <w:drawing>
          <wp:inline distT="0" distB="0" distL="0" distR="0" wp14:anchorId="1180755E" wp14:editId="08236321">
            <wp:extent cx="3333750" cy="1425254"/>
            <wp:effectExtent l="57150" t="57150" r="114300" b="1181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286" t="65461" r="22248" b="14687"/>
                    <a:stretch/>
                  </pic:blipFill>
                  <pic:spPr bwMode="auto">
                    <a:xfrm>
                      <a:off x="0" y="0"/>
                      <a:ext cx="3337629" cy="1426912"/>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D0897" w:rsidRPr="00054841" w:rsidRDefault="00CD0897" w:rsidP="00CD0897">
      <w:pPr>
        <w:tabs>
          <w:tab w:val="left" w:pos="426"/>
          <w:tab w:val="left" w:pos="8222"/>
        </w:tabs>
        <w:ind w:right="51"/>
        <w:jc w:val="center"/>
        <w:rPr>
          <w:rFonts w:ascii="Palatino Linotype" w:hAnsi="Palatino Linotype" w:cs="Arial"/>
        </w:rPr>
      </w:pPr>
      <w:r w:rsidRPr="00054841">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509EA382" wp14:editId="70F386BE">
                <wp:simplePos x="0" y="0"/>
                <wp:positionH relativeFrom="column">
                  <wp:posOffset>755015</wp:posOffset>
                </wp:positionH>
                <wp:positionV relativeFrom="paragraph">
                  <wp:posOffset>885825</wp:posOffset>
                </wp:positionV>
                <wp:extent cx="2108934" cy="209550"/>
                <wp:effectExtent l="19050" t="19050" r="24765" b="19050"/>
                <wp:wrapNone/>
                <wp:docPr id="7" name="13 Rectángulo"/>
                <wp:cNvGraphicFramePr/>
                <a:graphic xmlns:a="http://schemas.openxmlformats.org/drawingml/2006/main">
                  <a:graphicData uri="http://schemas.microsoft.com/office/word/2010/wordprocessingShape">
                    <wps:wsp>
                      <wps:cNvSpPr/>
                      <wps:spPr>
                        <a:xfrm>
                          <a:off x="0" y="0"/>
                          <a:ext cx="2108934"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106DA" id="13 Rectángulo" o:spid="_x0000_s1026" style="position:absolute;margin-left:59.45pt;margin-top:69.75pt;width:166.0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" filled="f" strokecolor="red" strokeweight="3pt"/>
            </w:pict>
          </mc:Fallback>
        </mc:AlternateContent>
      </w:r>
      <w:r w:rsidRPr="00054841">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49852308" wp14:editId="139DB510">
                <wp:simplePos x="0" y="0"/>
                <wp:positionH relativeFrom="column">
                  <wp:posOffset>1548765</wp:posOffset>
                </wp:positionH>
                <wp:positionV relativeFrom="paragraph">
                  <wp:posOffset>315595</wp:posOffset>
                </wp:positionV>
                <wp:extent cx="561975" cy="180975"/>
                <wp:effectExtent l="19050" t="19050" r="28575" b="28575"/>
                <wp:wrapNone/>
                <wp:docPr id="8" name="13 Rectángulo"/>
                <wp:cNvGraphicFramePr/>
                <a:graphic xmlns:a="http://schemas.openxmlformats.org/drawingml/2006/main">
                  <a:graphicData uri="http://schemas.microsoft.com/office/word/2010/wordprocessingShape">
                    <wps:wsp>
                      <wps:cNvSpPr/>
                      <wps:spPr>
                        <a:xfrm>
                          <a:off x="0" y="0"/>
                          <a:ext cx="56197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57AE5" id="13 Rectángulo" o:spid="_x0000_s1026" style="position:absolute;margin-left:121.95pt;margin-top:24.85pt;width:44.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" filled="f" strokecolor="red" strokeweight="3pt"/>
            </w:pict>
          </mc:Fallback>
        </mc:AlternateContent>
      </w:r>
      <w:r w:rsidRPr="00054841">
        <w:rPr>
          <w:rFonts w:ascii="Palatino Linotype" w:hAnsi="Palatino Linotype"/>
          <w:noProof/>
          <w:lang w:val="es-MX" w:eastAsia="es-MX"/>
        </w:rPr>
        <w:drawing>
          <wp:inline distT="0" distB="0" distL="0" distR="0" wp14:anchorId="2437E169" wp14:editId="0ECF2E46">
            <wp:extent cx="4886325" cy="1670555"/>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93" t="27248" r="23816" b="40794"/>
                    <a:stretch/>
                  </pic:blipFill>
                  <pic:spPr bwMode="auto">
                    <a:xfrm>
                      <a:off x="0" y="0"/>
                      <a:ext cx="4955855" cy="1694326"/>
                    </a:xfrm>
                    <a:prstGeom prst="rect">
                      <a:avLst/>
                    </a:prstGeom>
                    <a:ln>
                      <a:noFill/>
                    </a:ln>
                    <a:extLst>
                      <a:ext uri="{53640926-AAD7-44D8-BBD7-CCE9431645EC}">
                        <a14:shadowObscured xmlns:a14="http://schemas.microsoft.com/office/drawing/2010/main"/>
                      </a:ext>
                    </a:extLst>
                  </pic:spPr>
                </pic:pic>
              </a:graphicData>
            </a:graphic>
          </wp:inline>
        </w:drawing>
      </w:r>
    </w:p>
    <w:p w:rsidR="00CD0897" w:rsidRPr="00054841" w:rsidRDefault="00CD0897" w:rsidP="00CD0897">
      <w:pPr>
        <w:widowControl w:val="0"/>
        <w:autoSpaceDE w:val="0"/>
        <w:autoSpaceDN w:val="0"/>
        <w:adjustRightInd w:val="0"/>
        <w:spacing w:before="240" w:after="240" w:line="276" w:lineRule="auto"/>
        <w:ind w:right="-141"/>
        <w:jc w:val="center"/>
        <w:rPr>
          <w:rFonts w:ascii="Palatino Linotype" w:hAnsi="Palatino Linotype"/>
          <w:color w:val="000000"/>
        </w:rPr>
      </w:pPr>
      <w:r w:rsidRPr="00054841">
        <w:rPr>
          <w:rFonts w:ascii="Palatino Linotype" w:hAnsi="Palatino Linotype"/>
          <w:noProof/>
          <w:lang w:val="es-MX" w:eastAsia="es-MX"/>
        </w:rPr>
        <w:lastRenderedPageBreak/>
        <w:drawing>
          <wp:inline distT="0" distB="0" distL="0" distR="0" wp14:anchorId="3D2EDE97" wp14:editId="4A1E124F">
            <wp:extent cx="4762593" cy="1686246"/>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542" t="12327" r="36576" b="58794"/>
                    <a:stretch/>
                  </pic:blipFill>
                  <pic:spPr bwMode="auto">
                    <a:xfrm>
                      <a:off x="0" y="0"/>
                      <a:ext cx="4851566" cy="1717748"/>
                    </a:xfrm>
                    <a:prstGeom prst="rect">
                      <a:avLst/>
                    </a:prstGeom>
                    <a:ln>
                      <a:noFill/>
                    </a:ln>
                    <a:extLst>
                      <a:ext uri="{53640926-AAD7-44D8-BBD7-CCE9431645EC}">
                        <a14:shadowObscured xmlns:a14="http://schemas.microsoft.com/office/drawing/2010/main"/>
                      </a:ext>
                    </a:extLst>
                  </pic:spPr>
                </pic:pic>
              </a:graphicData>
            </a:graphic>
          </wp:inline>
        </w:drawing>
      </w:r>
    </w:p>
    <w:p w:rsidR="00CD0897" w:rsidRPr="00054841" w:rsidRDefault="00CD0897" w:rsidP="00CD0897">
      <w:pPr>
        <w:widowControl w:val="0"/>
        <w:autoSpaceDE w:val="0"/>
        <w:autoSpaceDN w:val="0"/>
        <w:adjustRightInd w:val="0"/>
        <w:spacing w:before="240" w:after="240" w:line="276" w:lineRule="auto"/>
        <w:ind w:right="-141"/>
        <w:jc w:val="center"/>
        <w:rPr>
          <w:rFonts w:ascii="Palatino Linotype" w:hAnsi="Palatino Linotype"/>
          <w:color w:val="000000"/>
        </w:rPr>
      </w:pPr>
      <w:r w:rsidRPr="00054841">
        <w:rPr>
          <w:rFonts w:ascii="Palatino Linotype" w:hAnsi="Palatino Linotype"/>
          <w:noProof/>
          <w:lang w:val="es-MX" w:eastAsia="es-MX"/>
        </w:rPr>
        <w:drawing>
          <wp:inline distT="0" distB="0" distL="0" distR="0" wp14:anchorId="7EB1372A" wp14:editId="6F9E379F">
            <wp:extent cx="4465122" cy="238704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87" t="22708" r="35397" b="32515"/>
                    <a:stretch/>
                  </pic:blipFill>
                  <pic:spPr bwMode="auto">
                    <a:xfrm>
                      <a:off x="0" y="0"/>
                      <a:ext cx="4547520" cy="2431096"/>
                    </a:xfrm>
                    <a:prstGeom prst="rect">
                      <a:avLst/>
                    </a:prstGeom>
                    <a:ln>
                      <a:noFill/>
                    </a:ln>
                    <a:extLst>
                      <a:ext uri="{53640926-AAD7-44D8-BBD7-CCE9431645EC}">
                        <a14:shadowObscured xmlns:a14="http://schemas.microsoft.com/office/drawing/2010/main"/>
                      </a:ext>
                    </a:extLst>
                  </pic:spPr>
                </pic:pic>
              </a:graphicData>
            </a:graphic>
          </wp:inline>
        </w:drawing>
      </w:r>
    </w:p>
    <w:p w:rsidR="00CD0897" w:rsidRPr="00054841" w:rsidRDefault="00CD0897" w:rsidP="00AE2E6E">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Tal y como señalaron los citados lineamientos, la documentación anexa se encuentra regulada por los Lineamientos de Control Financiero y Administrativo para las Entidades Fiscalizables Municipales del Estado de México, los cuales tienen como objetivo el establecer las normas en materia de control financiero y administrativo en la obtención, administración y aplicación de los recursos públicos para las entidades fiscalizables municipales.</w:t>
      </w:r>
    </w:p>
    <w:p w:rsidR="00CD0897" w:rsidRPr="00054841" w:rsidRDefault="00CD0897" w:rsidP="00AE2E6E">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 xml:space="preserve">Por lo cual, en su artículo décimo primero, se establece que los servidores públicos municipales, tendrán en el ámbito de su competencia, diversas obligaciones, siendo las del Tesorero, las de verificar que todas las pólizas de registro contable y presupuestal se encuentren firmadas por quién las elaboró, revisó y autorizó, las </w:t>
      </w:r>
      <w:r w:rsidRPr="00054841">
        <w:rPr>
          <w:rFonts w:ascii="Palatino Linotype" w:hAnsi="Palatino Linotype" w:cs="Arial"/>
        </w:rPr>
        <w:lastRenderedPageBreak/>
        <w:t>cuales deberán estar soportadas con la documentación original, justificativa, comprobatoria, suficiente, competente, pertinente y relevante, así como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además, deberá integrar a la póliza de egresos, fotocopia del cheque original, para su debido cotejo.</w:t>
      </w:r>
    </w:p>
    <w:p w:rsidR="00CD0897" w:rsidRPr="00054841" w:rsidRDefault="00CD0897" w:rsidP="00AE2E6E">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Asimismo, deberá exigir que toda la documentación que soporta el ejercicio del gasto reúna los requisitos fiscales que establezcan las disposiciones fiscales federales, cuando hagan pagos a terceros y estén obligados a ello en términos de Ley; finalmente, deberá dar seguimiento de forma mensual a cada uno de sus saldos que se revelan en el "Estado de Situación Financiera", para mantener las cuentas con los saldos reales e integrados con base en lo dispuesto por el Manual Único de Contabilidad Gubernamental para las Dependencias y Entidades Públicas del Gobierno y Municipios del Estado de México.</w:t>
      </w:r>
    </w:p>
    <w:p w:rsidR="00CD0897" w:rsidRPr="00054841" w:rsidRDefault="00CD0897" w:rsidP="00AE2E6E">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Finalmente, el Código Financiero del Estado de México y Municipios</w:t>
      </w:r>
      <w:r w:rsidRPr="00054841">
        <w:rPr>
          <w:rStyle w:val="Refdenotaalpie"/>
          <w:rFonts w:ascii="Palatino Linotype" w:hAnsi="Palatino Linotype" w:cs="Arial"/>
        </w:rPr>
        <w:footnoteReference w:id="11"/>
      </w:r>
      <w:r w:rsidRPr="00054841">
        <w:rPr>
          <w:rFonts w:ascii="Palatino Linotype" w:hAnsi="Palatino Linotype" w:cs="Arial"/>
        </w:rPr>
        <w:t xml:space="preserve"> establece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por lo que todo registro contable y presupuestal deberá estar soportado con los documentos </w:t>
      </w:r>
      <w:r w:rsidRPr="00054841">
        <w:rPr>
          <w:rFonts w:ascii="Palatino Linotype" w:hAnsi="Palatino Linotype" w:cs="Arial"/>
        </w:rPr>
        <w:lastRenderedPageBreak/>
        <w:t>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rsidR="00CD0897" w:rsidRPr="00054841" w:rsidRDefault="00CD0897" w:rsidP="00AE2E6E">
      <w:pPr>
        <w:spacing w:before="240" w:after="240" w:line="360" w:lineRule="auto"/>
        <w:jc w:val="both"/>
        <w:rPr>
          <w:rFonts w:ascii="Palatino Linotype" w:hAnsi="Palatino Linotype" w:cs="Arial"/>
          <w:lang w:eastAsia="es-MX"/>
        </w:rPr>
      </w:pPr>
      <w:r w:rsidRPr="00054841">
        <w:rPr>
          <w:rFonts w:ascii="Palatino Linotype" w:hAnsi="Palatino Linotype" w:cs="Arial"/>
          <w:lang w:eastAsia="es-MX"/>
        </w:rPr>
        <w:t xml:space="preserve">Derivado de lo anterior, se considera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rsidR="00CD0897" w:rsidRDefault="00CD0897" w:rsidP="00AE2E6E">
      <w:pPr>
        <w:ind w:left="851" w:right="851"/>
        <w:jc w:val="both"/>
        <w:rPr>
          <w:rFonts w:ascii="Palatino Linotype" w:hAnsi="Palatino Linotype" w:cs="Segoe UI"/>
          <w:i/>
          <w:iCs/>
          <w:sz w:val="22"/>
          <w:szCs w:val="22"/>
        </w:rPr>
      </w:pPr>
      <w:r w:rsidRPr="00D72D51">
        <w:rPr>
          <w:rFonts w:ascii="Palatino Linotype" w:hAnsi="Palatino Linotype" w:cs="Segoe UI"/>
          <w:i/>
          <w:iCs/>
          <w:sz w:val="22"/>
          <w:szCs w:val="22"/>
        </w:rPr>
        <w:t>“</w:t>
      </w:r>
      <w:r w:rsidRPr="00AE2E6E">
        <w:rPr>
          <w:rFonts w:ascii="Palatino Linotype" w:hAnsi="Palatino Linotype" w:cs="Segoe UI"/>
          <w:b/>
          <w:i/>
          <w:iCs/>
          <w:sz w:val="22"/>
          <w:szCs w:val="22"/>
        </w:rPr>
        <w:t>Artículo 18</w:t>
      </w:r>
      <w:r w:rsidRPr="00D72D51">
        <w:rPr>
          <w:rFonts w:ascii="Palatino Linotype" w:hAnsi="Palatino Linotype" w:cs="Segoe UI"/>
          <w:i/>
          <w:iCs/>
          <w:sz w:val="22"/>
          <w:szCs w:val="22"/>
        </w:rPr>
        <w:t>. Los sujetos obligados deberán documentar todo acto que derive del ejercicio de sus facultades, competencias o funciones, considerando desde su origen la eventual publicidad y reutilización de la información que generen”</w:t>
      </w:r>
    </w:p>
    <w:p w:rsidR="00AE2E6E" w:rsidRPr="00D72D51" w:rsidRDefault="00AE2E6E" w:rsidP="00AE2E6E">
      <w:pPr>
        <w:ind w:left="851" w:right="851"/>
        <w:jc w:val="both"/>
        <w:rPr>
          <w:rFonts w:ascii="Palatino Linotype" w:hAnsi="Palatino Linotype" w:cs="Segoe UI"/>
          <w:i/>
          <w:iCs/>
          <w:sz w:val="22"/>
          <w:szCs w:val="22"/>
        </w:rPr>
      </w:pPr>
    </w:p>
    <w:p w:rsidR="00CD0897" w:rsidRPr="00054841" w:rsidRDefault="00CD0897" w:rsidP="00AE2E6E">
      <w:pPr>
        <w:spacing w:before="240" w:after="240" w:line="360" w:lineRule="auto"/>
        <w:jc w:val="both"/>
        <w:rPr>
          <w:rFonts w:ascii="Palatino Linotype" w:hAnsi="Palatino Linotype" w:cs="Arial"/>
          <w:lang w:eastAsia="es-MX"/>
        </w:rPr>
      </w:pPr>
      <w:r w:rsidRPr="00054841">
        <w:rPr>
          <w:rFonts w:ascii="Palatino Linotype" w:hAnsi="Palatino Linotype" w:cs="Arial"/>
          <w:lang w:eastAsia="es-MX"/>
        </w:rPr>
        <w:t>Aunado a lo anterior, de conformidad con las obligaciones de transparencia común señaladas en el art</w:t>
      </w:r>
      <w:r w:rsidR="00AE2E6E">
        <w:rPr>
          <w:rFonts w:ascii="Palatino Linotype" w:hAnsi="Palatino Linotype" w:cs="Arial"/>
          <w:lang w:eastAsia="es-MX"/>
        </w:rPr>
        <w:t>ículo 92, fracciones XXV y XXXV</w:t>
      </w:r>
      <w:r w:rsidR="00AE2E6E" w:rsidRPr="00054841">
        <w:rPr>
          <w:rFonts w:ascii="Palatino Linotype" w:hAnsi="Palatino Linotype" w:cs="Arial"/>
          <w:lang w:eastAsia="es-MX"/>
        </w:rPr>
        <w:t xml:space="preserve"> de</w:t>
      </w:r>
      <w:r w:rsidRPr="00054841">
        <w:rPr>
          <w:rFonts w:ascii="Palatino Linotype" w:hAnsi="Palatino Linotype" w:cs="Arial"/>
          <w:lang w:eastAsia="es-MX"/>
        </w:rPr>
        <w:t xml:space="preserve"> la Ley de Transparencia y Acceso a la Información Pública del Estado de México y Municipios, que a la letra señala: </w:t>
      </w:r>
    </w:p>
    <w:p w:rsidR="00CD0897" w:rsidRPr="00D72D51" w:rsidRDefault="00CD0897" w:rsidP="00AE2E6E">
      <w:pPr>
        <w:ind w:left="851" w:right="851"/>
        <w:jc w:val="both"/>
        <w:rPr>
          <w:rFonts w:ascii="Palatino Linotype" w:hAnsi="Palatino Linotype" w:cs="Segoe UI"/>
          <w:i/>
          <w:iCs/>
          <w:sz w:val="22"/>
          <w:szCs w:val="22"/>
        </w:rPr>
      </w:pPr>
      <w:r w:rsidRPr="00D72D51">
        <w:rPr>
          <w:rFonts w:ascii="Palatino Linotype" w:hAnsi="Palatino Linotype" w:cs="Segoe UI"/>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D0897" w:rsidRPr="00D72D51" w:rsidRDefault="00CD0897" w:rsidP="00AE2E6E">
      <w:pPr>
        <w:ind w:left="851" w:right="851"/>
        <w:jc w:val="both"/>
        <w:rPr>
          <w:rFonts w:ascii="Palatino Linotype" w:hAnsi="Palatino Linotype" w:cs="Segoe UI"/>
          <w:i/>
          <w:iCs/>
          <w:sz w:val="22"/>
          <w:szCs w:val="22"/>
        </w:rPr>
      </w:pPr>
      <w:r w:rsidRPr="00D72D51">
        <w:rPr>
          <w:rFonts w:ascii="Palatino Linotype" w:hAnsi="Palatino Linotype" w:cs="Segoe UI"/>
          <w:i/>
          <w:iCs/>
          <w:sz w:val="22"/>
          <w:szCs w:val="22"/>
        </w:rPr>
        <w:t>…</w:t>
      </w:r>
    </w:p>
    <w:p w:rsidR="00CD0897" w:rsidRPr="00D72D51" w:rsidRDefault="00CD0897" w:rsidP="00AE2E6E">
      <w:pPr>
        <w:ind w:left="851" w:right="851"/>
        <w:jc w:val="both"/>
        <w:rPr>
          <w:rFonts w:ascii="Palatino Linotype" w:hAnsi="Palatino Linotype" w:cs="Segoe UI"/>
          <w:i/>
          <w:iCs/>
          <w:sz w:val="22"/>
          <w:szCs w:val="22"/>
        </w:rPr>
      </w:pPr>
      <w:r w:rsidRPr="00D72D51">
        <w:rPr>
          <w:rFonts w:ascii="Palatino Linotype" w:hAnsi="Palatino Linotype" w:cs="Segoe UI"/>
          <w:i/>
          <w:iCs/>
          <w:sz w:val="22"/>
          <w:szCs w:val="22"/>
        </w:rPr>
        <w:t xml:space="preserve">XXV. La </w:t>
      </w:r>
      <w:r w:rsidRPr="00D72D51">
        <w:rPr>
          <w:rFonts w:ascii="Palatino Linotype" w:hAnsi="Palatino Linotype" w:cs="Segoe UI"/>
          <w:i/>
          <w:iCs/>
          <w:sz w:val="22"/>
          <w:szCs w:val="22"/>
          <w:u w:val="single"/>
        </w:rPr>
        <w:t>información financiera sobre el presupuesto asignado</w:t>
      </w:r>
      <w:r w:rsidRPr="00D72D51">
        <w:rPr>
          <w:rFonts w:ascii="Palatino Linotype" w:hAnsi="Palatino Linotype" w:cs="Segoe UI"/>
          <w:i/>
          <w:iCs/>
          <w:sz w:val="22"/>
          <w:szCs w:val="22"/>
        </w:rPr>
        <w:t>, así como los informes del ejercicio trimestral del gasto, en términos de la Ley General de Contabilidad Gubernamental y demás disposiciones jurídicas aplicables;</w:t>
      </w:r>
    </w:p>
    <w:p w:rsidR="00CD0897" w:rsidRPr="00D72D51" w:rsidRDefault="00CD0897" w:rsidP="00AE2E6E">
      <w:pPr>
        <w:ind w:left="851" w:right="851"/>
        <w:jc w:val="both"/>
        <w:rPr>
          <w:rFonts w:ascii="Palatino Linotype" w:hAnsi="Palatino Linotype" w:cs="Segoe UI"/>
          <w:i/>
          <w:iCs/>
          <w:sz w:val="22"/>
          <w:szCs w:val="22"/>
        </w:rPr>
      </w:pPr>
      <w:r w:rsidRPr="00D72D51">
        <w:rPr>
          <w:rFonts w:ascii="Palatino Linotype" w:hAnsi="Palatino Linotype" w:cs="Segoe UI"/>
          <w:i/>
          <w:iCs/>
          <w:sz w:val="22"/>
          <w:szCs w:val="22"/>
        </w:rPr>
        <w:t>…</w:t>
      </w:r>
    </w:p>
    <w:p w:rsidR="00CD0897" w:rsidRPr="00D72D51" w:rsidRDefault="00CD0897" w:rsidP="00AE2E6E">
      <w:pPr>
        <w:ind w:left="851" w:right="851"/>
        <w:jc w:val="both"/>
        <w:rPr>
          <w:rFonts w:ascii="Palatino Linotype" w:hAnsi="Palatino Linotype" w:cs="Segoe UI"/>
          <w:i/>
          <w:iCs/>
          <w:sz w:val="22"/>
          <w:szCs w:val="22"/>
        </w:rPr>
      </w:pPr>
      <w:r w:rsidRPr="00D72D51">
        <w:rPr>
          <w:rFonts w:ascii="Palatino Linotype" w:hAnsi="Palatino Linotype" w:cs="Segoe UI"/>
          <w:i/>
          <w:iCs/>
          <w:sz w:val="22"/>
          <w:szCs w:val="22"/>
        </w:rPr>
        <w:lastRenderedPageBreak/>
        <w:t xml:space="preserve">XXXV. </w:t>
      </w:r>
      <w:r w:rsidRPr="00D72D51">
        <w:rPr>
          <w:rFonts w:ascii="Palatino Linotype" w:hAnsi="Palatino Linotype" w:cs="Segoe UI"/>
          <w:i/>
          <w:iCs/>
          <w:sz w:val="22"/>
          <w:szCs w:val="22"/>
          <w:u w:val="single"/>
        </w:rPr>
        <w:t>Informes de avances</w:t>
      </w:r>
      <w:r w:rsidRPr="00D72D51">
        <w:rPr>
          <w:rFonts w:ascii="Palatino Linotype" w:hAnsi="Palatino Linotype" w:cs="Segoe UI"/>
          <w:i/>
          <w:iCs/>
          <w:sz w:val="22"/>
          <w:szCs w:val="22"/>
        </w:rPr>
        <w:t xml:space="preserve"> programáticos o </w:t>
      </w:r>
      <w:r w:rsidRPr="00D72D51">
        <w:rPr>
          <w:rFonts w:ascii="Palatino Linotype" w:hAnsi="Palatino Linotype" w:cs="Segoe UI"/>
          <w:i/>
          <w:iCs/>
          <w:sz w:val="22"/>
          <w:szCs w:val="22"/>
          <w:u w:val="single"/>
        </w:rPr>
        <w:t>presupuestales</w:t>
      </w:r>
      <w:r w:rsidRPr="00D72D51">
        <w:rPr>
          <w:rFonts w:ascii="Palatino Linotype" w:hAnsi="Palatino Linotype" w:cs="Segoe UI"/>
          <w:i/>
          <w:iCs/>
          <w:sz w:val="22"/>
          <w:szCs w:val="22"/>
        </w:rPr>
        <w:t>, balances generales y estado financiero;</w:t>
      </w:r>
    </w:p>
    <w:p w:rsidR="00CD0897" w:rsidRPr="00D72D51" w:rsidRDefault="00CD0897" w:rsidP="00AE2E6E">
      <w:pPr>
        <w:ind w:left="851" w:right="851"/>
        <w:jc w:val="both"/>
        <w:rPr>
          <w:rFonts w:ascii="Palatino Linotype" w:hAnsi="Palatino Linotype" w:cs="Segoe UI"/>
          <w:i/>
          <w:iCs/>
          <w:sz w:val="22"/>
          <w:szCs w:val="22"/>
        </w:rPr>
      </w:pPr>
      <w:r w:rsidRPr="00D72D51">
        <w:rPr>
          <w:rFonts w:ascii="Palatino Linotype" w:hAnsi="Palatino Linotype" w:cs="Segoe UI"/>
          <w:i/>
          <w:iCs/>
          <w:sz w:val="22"/>
          <w:szCs w:val="22"/>
        </w:rPr>
        <w:t>…”</w:t>
      </w:r>
    </w:p>
    <w:p w:rsidR="00CD0897" w:rsidRPr="00D72D51" w:rsidRDefault="00AE2E6E" w:rsidP="00AE2E6E">
      <w:pPr>
        <w:ind w:left="851" w:right="851"/>
        <w:jc w:val="both"/>
        <w:rPr>
          <w:rFonts w:ascii="Palatino Linotype" w:hAnsi="Palatino Linotype" w:cs="Segoe UI"/>
          <w:i/>
          <w:iCs/>
          <w:sz w:val="22"/>
          <w:szCs w:val="22"/>
        </w:rPr>
      </w:pPr>
      <w:r>
        <w:rPr>
          <w:rFonts w:ascii="Palatino Linotype" w:hAnsi="Palatino Linotype" w:cs="Segoe UI"/>
          <w:i/>
          <w:iCs/>
          <w:sz w:val="22"/>
          <w:szCs w:val="22"/>
        </w:rPr>
        <w:t>Énfasis añadido</w:t>
      </w:r>
    </w:p>
    <w:p w:rsidR="00CD0897" w:rsidRPr="00054841" w:rsidRDefault="00CD0897" w:rsidP="00AE2E6E">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Por lo tanto, existe una clara atribución del Sujeto Obligado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 del uno de enero de dos mil trece al trece de noviembre de dos mil dieciocho.</w:t>
      </w:r>
    </w:p>
    <w:p w:rsidR="00CD0897" w:rsidRPr="00054841" w:rsidRDefault="00CD0897" w:rsidP="00CD0897">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2: Adeudo por concepto de energía eléctrica.</w:t>
      </w:r>
    </w:p>
    <w:p w:rsidR="00CD0897" w:rsidRPr="00054841" w:rsidRDefault="00CD0897" w:rsidP="00AE2E6E">
      <w:pPr>
        <w:spacing w:before="240" w:after="240" w:line="360" w:lineRule="auto"/>
        <w:jc w:val="both"/>
        <w:rPr>
          <w:rFonts w:ascii="Palatino Linotype" w:hAnsi="Palatino Linotype"/>
          <w:i/>
        </w:rPr>
      </w:pPr>
      <w:r w:rsidRPr="00054841">
        <w:rPr>
          <w:rFonts w:ascii="Palatino Linotype" w:hAnsi="Palatino Linotype"/>
        </w:rPr>
        <w:t xml:space="preserve">Para atender lo concerniente al </w:t>
      </w:r>
      <w:r w:rsidRPr="00054841">
        <w:rPr>
          <w:rFonts w:ascii="Palatino Linotype" w:hAnsi="Palatino Linotype"/>
          <w:b/>
        </w:rPr>
        <w:t>Grupo 2</w:t>
      </w:r>
      <w:r w:rsidRPr="00054841">
        <w:rPr>
          <w:rFonts w:ascii="Palatino Linotype" w:hAnsi="Palatino Linotype"/>
        </w:rPr>
        <w:t xml:space="preserve">, conviene recordar que el particular solicitó la </w:t>
      </w:r>
      <w:r w:rsidRPr="00054841">
        <w:rPr>
          <w:rFonts w:ascii="Palatino Linotype" w:hAnsi="Palatino Linotype"/>
          <w:i/>
        </w:rPr>
        <w:t>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rsidR="00CD0897" w:rsidRPr="00054841" w:rsidRDefault="00CD0897" w:rsidP="00AE2E6E">
      <w:pPr>
        <w:spacing w:before="240" w:after="240" w:line="360" w:lineRule="auto"/>
        <w:jc w:val="both"/>
        <w:rPr>
          <w:rFonts w:ascii="Palatino Linotype" w:hAnsi="Palatino Linotype"/>
        </w:rPr>
      </w:pPr>
      <w:r w:rsidRPr="00054841">
        <w:rPr>
          <w:rFonts w:ascii="Palatino Linotype" w:hAnsi="Palatino Linotype"/>
        </w:rPr>
        <w:t xml:space="preserve">Al respecto, como ya fue señalado en párrafos que preceden, el Ayuntamiento de </w:t>
      </w:r>
      <w:r w:rsidR="00AE2E6E">
        <w:rPr>
          <w:rFonts w:ascii="Palatino Linotype" w:hAnsi="Palatino Linotype"/>
        </w:rPr>
        <w:t>San Felipe del Progreso</w:t>
      </w:r>
      <w:r w:rsidRPr="00054841">
        <w:rPr>
          <w:rFonts w:ascii="Palatino Linotype" w:hAnsi="Palatino Linotype"/>
        </w:rPr>
        <w:t>, es responsable de prestar el servicio de alumbrado público en vialidades, plazas, monumentos, jardines y parques públicos, en consecuencia tiene el deber de registrar los gastos erogados por dicho servicio.</w:t>
      </w:r>
    </w:p>
    <w:p w:rsidR="00CD0897" w:rsidRPr="00054841" w:rsidRDefault="00CD0897" w:rsidP="00AE2E6E">
      <w:pPr>
        <w:spacing w:before="240" w:after="240" w:line="360" w:lineRule="auto"/>
        <w:jc w:val="both"/>
        <w:rPr>
          <w:rFonts w:ascii="Palatino Linotype" w:hAnsi="Palatino Linotype"/>
          <w:color w:val="000000"/>
        </w:rPr>
      </w:pPr>
      <w:r w:rsidRPr="00054841">
        <w:rPr>
          <w:rFonts w:ascii="Palatino Linotype" w:hAnsi="Palatino Linotype"/>
        </w:rPr>
        <w:t xml:space="preserve">Por lo que resulta, hacer alusión a grandes rasgos al Manual </w:t>
      </w:r>
      <w:r w:rsidRPr="00054841">
        <w:rPr>
          <w:rFonts w:ascii="Palatino Linotype" w:hAnsi="Palatino Linotype"/>
          <w:color w:val="000000"/>
        </w:rPr>
        <w:t xml:space="preserve">Único de Contabilidad Gubernamental para las Dependencias y Entidades Públicas del Gobierno y </w:t>
      </w:r>
      <w:r w:rsidRPr="00054841">
        <w:rPr>
          <w:rFonts w:ascii="Palatino Linotype" w:hAnsi="Palatino Linotype"/>
          <w:color w:val="000000"/>
        </w:rPr>
        <w:lastRenderedPageBreak/>
        <w:t>Municipios del Estado de México, por proporciona los elementos necesarios para que los entes públicos contabilicen sus operaciones al establecer criterios en materia de contabilidad, mediante un conjunto de conceptos homogéneos que facilitan distinguir y formar agrupaciones generales para detallar los distintos conceptos de cargo y abono por los que cada cuenta deberá ser afectada, indicando el número respectivo, su denominación, clasificación y naturaleza, así como la representatividad de su saldo, y para ello establece un lista de cuentas autorizadas, entre las que se encuentra los conceptos siguientes:</w:t>
      </w:r>
    </w:p>
    <w:p w:rsidR="00CD0897" w:rsidRPr="00054841" w:rsidRDefault="00CD0897" w:rsidP="00CD0897">
      <w:pPr>
        <w:spacing w:before="240" w:after="240" w:line="360" w:lineRule="auto"/>
        <w:jc w:val="both"/>
        <w:rPr>
          <w:rFonts w:ascii="Palatino Linotype" w:hAnsi="Palatino Linotype"/>
          <w:color w:val="000000"/>
        </w:rPr>
      </w:pPr>
      <w:r w:rsidRPr="00054841">
        <w:rPr>
          <w:rFonts w:ascii="Palatino Linotype" w:hAnsi="Palatino Linotype"/>
          <w:noProof/>
          <w:color w:val="000000"/>
          <w:lang w:val="es-MX" w:eastAsia="es-MX"/>
        </w:rPr>
        <w:drawing>
          <wp:inline distT="0" distB="0" distL="0" distR="0" wp14:anchorId="23C8C839" wp14:editId="68B5F71D">
            <wp:extent cx="5612130" cy="8572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857250"/>
                    </a:xfrm>
                    <a:prstGeom prst="rect">
                      <a:avLst/>
                    </a:prstGeom>
                  </pic:spPr>
                </pic:pic>
              </a:graphicData>
            </a:graphic>
          </wp:inline>
        </w:drawing>
      </w:r>
      <w:r w:rsidRPr="00054841">
        <w:rPr>
          <w:rFonts w:ascii="Palatino Linotype" w:hAnsi="Palatino Linotype"/>
          <w:color w:val="000000"/>
        </w:rPr>
        <w:t xml:space="preserve"> </w:t>
      </w:r>
    </w:p>
    <w:p w:rsidR="00CD0897" w:rsidRPr="00054841" w:rsidRDefault="00CD0897" w:rsidP="00AE2E6E">
      <w:pPr>
        <w:spacing w:before="240" w:after="240" w:line="360" w:lineRule="auto"/>
        <w:jc w:val="both"/>
        <w:rPr>
          <w:rFonts w:ascii="Palatino Linotype" w:hAnsi="Palatino Linotype" w:cs="Arial"/>
          <w:bCs/>
          <w:color w:val="000000"/>
        </w:rPr>
      </w:pPr>
      <w:r w:rsidRPr="00054841">
        <w:rPr>
          <w:rFonts w:ascii="Palatino Linotype" w:hAnsi="Palatino Linotype"/>
        </w:rPr>
        <w:t xml:space="preserve">Ahora bien, en términos del artículo 93 de la multicitada Ley Orgánica, es la Tesorería Municipal el órgano encargado de la recaudación de los ingresos municipales y responsable de realizar las erogaciones que haga el Ayuntamiento, por tanto, le compete a éste, </w:t>
      </w:r>
      <w:r w:rsidRPr="00054841">
        <w:rPr>
          <w:rFonts w:ascii="Palatino Linotype" w:hAnsi="Palatino Linotype" w:cs="Arial"/>
          <w:bCs/>
          <w:color w:val="000000"/>
        </w:rPr>
        <w:t>rendir anualmente los informes de resultados y la situación fiscal del ejercicio fiscal inmediato anterior de la cuenta pública, en cuyo contenido debe encontrarse inmersa la información económica, patrimonial, administrativa, presupuestal, programática, cualitativa y cuantitativa que muestra los resultados de la ejecución de la Ley de Ingresos y Presupuestos de Egresos.</w:t>
      </w:r>
    </w:p>
    <w:p w:rsidR="00CD0897" w:rsidRPr="00054841" w:rsidRDefault="00CD0897" w:rsidP="00AE2E6E">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color w:val="000000"/>
        </w:rPr>
        <w:t xml:space="preserve">Dentro de esta perspectiva, los informes deben </w:t>
      </w:r>
      <w:r w:rsidRPr="00054841">
        <w:rPr>
          <w:rFonts w:ascii="Palatino Linotype" w:hAnsi="Palatino Linotype" w:cs="Arial"/>
        </w:rPr>
        <w:t xml:space="preserve">rendirse al Órgano Superior de Fiscalización del Estado de México, </w:t>
      </w:r>
      <w:r w:rsidRPr="00054841">
        <w:rPr>
          <w:rFonts w:ascii="Palatino Linotype" w:hAnsi="Palatino Linotype" w:cs="Arial"/>
          <w:color w:val="222222"/>
        </w:rPr>
        <w:t xml:space="preserve">para su análisis y evaluación, </w:t>
      </w:r>
      <w:r w:rsidRPr="00054841">
        <w:rPr>
          <w:rFonts w:ascii="Palatino Linotype" w:hAnsi="Palatino Linotype" w:cs="Arial"/>
        </w:rPr>
        <w:t xml:space="preserve">según lo prescrito en el </w:t>
      </w:r>
      <w:r w:rsidRPr="00054841">
        <w:rPr>
          <w:rFonts w:ascii="Palatino Linotype" w:eastAsia="Arial Unicode MS" w:hAnsi="Palatino Linotype" w:cs="Arial"/>
        </w:rPr>
        <w:t xml:space="preserve">artículo </w:t>
      </w:r>
      <w:r w:rsidRPr="00054841">
        <w:rPr>
          <w:rFonts w:ascii="Palatino Linotype" w:hAnsi="Palatino Linotype" w:cs="Arial"/>
          <w:color w:val="222222"/>
        </w:rPr>
        <w:t xml:space="preserve">350 del Código Financiero del Estado de México y Municipios, acatando lo dispuesto en los Lineamientos para la elaboración de la Cuenta Pública </w:t>
      </w:r>
      <w:r w:rsidRPr="00054841">
        <w:rPr>
          <w:rFonts w:ascii="Palatino Linotype" w:hAnsi="Palatino Linotype" w:cs="Arial"/>
          <w:color w:val="222222"/>
        </w:rPr>
        <w:lastRenderedPageBreak/>
        <w:t xml:space="preserve">Municipal, que entre otras cosas regulan lo relativo a la </w:t>
      </w:r>
      <w:r w:rsidRPr="00054841">
        <w:rPr>
          <w:rFonts w:ascii="Palatino Linotype" w:hAnsi="Palatino Linotype" w:cs="Arial"/>
          <w:b/>
          <w:bCs/>
          <w:color w:val="000000"/>
        </w:rPr>
        <w:t>Deuda Pública</w:t>
      </w:r>
      <w:r w:rsidRPr="00054841">
        <w:rPr>
          <w:rFonts w:ascii="Palatino Linotype" w:hAnsi="Palatino Linotype" w:cs="Arial"/>
          <w:bCs/>
          <w:color w:val="000000"/>
        </w:rPr>
        <w:t>, según las siguientes capturas de pantalla:</w:t>
      </w:r>
    </w:p>
    <w:p w:rsidR="00CD0897" w:rsidRDefault="00CD0897" w:rsidP="00CD0897">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drawing>
          <wp:inline distT="0" distB="0" distL="0" distR="0" wp14:anchorId="27D60D85" wp14:editId="59D17611">
            <wp:extent cx="5611518" cy="1869744"/>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4795" cy="1874168"/>
                    </a:xfrm>
                    <a:prstGeom prst="rect">
                      <a:avLst/>
                    </a:prstGeom>
                  </pic:spPr>
                </pic:pic>
              </a:graphicData>
            </a:graphic>
          </wp:inline>
        </w:drawing>
      </w:r>
    </w:p>
    <w:p w:rsidR="00AE2E6E" w:rsidRPr="00054841" w:rsidRDefault="00AE2E6E" w:rsidP="00CD0897">
      <w:pPr>
        <w:autoSpaceDE w:val="0"/>
        <w:autoSpaceDN w:val="0"/>
        <w:adjustRightInd w:val="0"/>
        <w:spacing w:before="240" w:after="240" w:line="360" w:lineRule="auto"/>
        <w:jc w:val="both"/>
        <w:rPr>
          <w:rFonts w:ascii="Palatino Linotype" w:hAnsi="Palatino Linotype" w:cs="Arial"/>
          <w:bCs/>
          <w:color w:val="000000"/>
        </w:rPr>
      </w:pPr>
      <w:r>
        <w:rPr>
          <w:rFonts w:ascii="Palatino Linotype" w:hAnsi="Palatino Linotype" w:cs="Arial"/>
          <w:bCs/>
          <w:noProof/>
          <w:color w:val="000000"/>
          <w:lang w:val="es-MX" w:eastAsia="es-MX"/>
        </w:rPr>
        <mc:AlternateContent>
          <mc:Choice Requires="wps">
            <w:drawing>
              <wp:anchor distT="0" distB="0" distL="114300" distR="114300" simplePos="0" relativeHeight="251667456" behindDoc="0" locked="0" layoutInCell="1" allowOverlap="1">
                <wp:simplePos x="0" y="0"/>
                <wp:positionH relativeFrom="column">
                  <wp:posOffset>11686</wp:posOffset>
                </wp:positionH>
                <wp:positionV relativeFrom="paragraph">
                  <wp:posOffset>117693</wp:posOffset>
                </wp:positionV>
                <wp:extent cx="5588758" cy="4667534"/>
                <wp:effectExtent l="0" t="0" r="31115" b="19050"/>
                <wp:wrapNone/>
                <wp:docPr id="31" name="Conector recto 31"/>
                <wp:cNvGraphicFramePr/>
                <a:graphic xmlns:a="http://schemas.openxmlformats.org/drawingml/2006/main">
                  <a:graphicData uri="http://schemas.microsoft.com/office/word/2010/wordprocessingShape">
                    <wps:wsp>
                      <wps:cNvCnPr/>
                      <wps:spPr>
                        <a:xfrm>
                          <a:off x="0" y="0"/>
                          <a:ext cx="5588758" cy="466753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D475C" id="Conector recto 3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pt,9.25pt" to="440.95pt,3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" strokecolor="red" strokeweight="1.5pt">
                <v:stroke joinstyle="miter"/>
              </v:line>
            </w:pict>
          </mc:Fallback>
        </mc:AlternateContent>
      </w:r>
    </w:p>
    <w:p w:rsidR="00CD0897" w:rsidRPr="00054841" w:rsidRDefault="00CD0897" w:rsidP="00CD0897">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lastRenderedPageBreak/>
        <w:drawing>
          <wp:inline distT="0" distB="0" distL="0" distR="0" wp14:anchorId="53AB4058" wp14:editId="6BD04576">
            <wp:extent cx="5612130" cy="7439025"/>
            <wp:effectExtent l="0" t="0" r="762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7439025"/>
                    </a:xfrm>
                    <a:prstGeom prst="rect">
                      <a:avLst/>
                    </a:prstGeom>
                  </pic:spPr>
                </pic:pic>
              </a:graphicData>
            </a:graphic>
          </wp:inline>
        </w:drawing>
      </w:r>
    </w:p>
    <w:p w:rsidR="00CD0897" w:rsidRPr="00054841" w:rsidRDefault="00CD0897" w:rsidP="00CD0897">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lastRenderedPageBreak/>
        <w:drawing>
          <wp:inline distT="0" distB="0" distL="0" distR="0" wp14:anchorId="3005A360" wp14:editId="635955BE">
            <wp:extent cx="5612130" cy="6334760"/>
            <wp:effectExtent l="0" t="0" r="762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6334760"/>
                    </a:xfrm>
                    <a:prstGeom prst="rect">
                      <a:avLst/>
                    </a:prstGeom>
                  </pic:spPr>
                </pic:pic>
              </a:graphicData>
            </a:graphic>
          </wp:inline>
        </w:drawing>
      </w:r>
    </w:p>
    <w:p w:rsidR="00CD0897" w:rsidRPr="00054841" w:rsidRDefault="00CD0897" w:rsidP="00AE2E6E">
      <w:pPr>
        <w:autoSpaceDE w:val="0"/>
        <w:autoSpaceDN w:val="0"/>
        <w:adjustRightInd w:val="0"/>
        <w:spacing w:before="240" w:after="240" w:line="360" w:lineRule="auto"/>
        <w:jc w:val="both"/>
        <w:rPr>
          <w:rFonts w:ascii="Palatino Linotype" w:eastAsiaTheme="minorEastAsia" w:hAnsi="Palatino Linotype" w:cs="Arial"/>
          <w:szCs w:val="22"/>
          <w:lang w:val="es-MX"/>
        </w:rPr>
      </w:pPr>
      <w:r w:rsidRPr="00054841">
        <w:rPr>
          <w:rFonts w:ascii="Palatino Linotype" w:hAnsi="Palatino Linotype" w:cs="Arial"/>
          <w:bCs/>
          <w:color w:val="000000"/>
        </w:rPr>
        <w:t>Derivado de lo anterior, es posible afirmar que el Sujeto Obligado</w:t>
      </w:r>
      <w:r w:rsidRPr="00054841">
        <w:rPr>
          <w:rFonts w:ascii="Palatino Linotype" w:hAnsi="Palatino Linotype" w:cs="Arial"/>
          <w:b/>
          <w:bCs/>
          <w:color w:val="000000"/>
        </w:rPr>
        <w:t xml:space="preserve"> </w:t>
      </w:r>
      <w:r w:rsidRPr="00054841">
        <w:rPr>
          <w:rFonts w:ascii="Palatino Linotype" w:hAnsi="Palatino Linotype" w:cs="Arial"/>
          <w:bCs/>
          <w:color w:val="000000"/>
        </w:rPr>
        <w:t xml:space="preserve">genera el Estado Analítico de la Deuda y otros Pasivos, que concentra las obligaciones insolutas de los entes públicos al inicio y fin de cada periodo derivadas de endeudamiento </w:t>
      </w:r>
      <w:r w:rsidRPr="00054841">
        <w:rPr>
          <w:rFonts w:ascii="Palatino Linotype" w:hAnsi="Palatino Linotype" w:cs="Arial"/>
          <w:bCs/>
          <w:color w:val="000000"/>
        </w:rPr>
        <w:lastRenderedPageBreak/>
        <w:t xml:space="preserve">interno y externo, sin embargo, no pasa de la óptica del que resuelve, que el particular solicitó la “situación actual”, por lo que cabe hacer alusión al artículo 50 de la Ley de Fiscalización Superior del Estado de México, que en su texto establece que, </w:t>
      </w:r>
      <w:r w:rsidRPr="00054841">
        <w:rPr>
          <w:rFonts w:ascii="Palatino Linotype" w:eastAsiaTheme="minorEastAsia" w:hAnsi="Palatino Linotype" w:cs="Arial"/>
          <w:szCs w:val="22"/>
          <w:lang w:val="es-MX"/>
        </w:rPr>
        <w:t>la información de la cuenta pública remitida al OSFEM tiene el carácter de pública, hasta en tanto dicho Órgano Superior emita su respectivo Informe de Resultados, esto es, hasta el treinta de septiembre del año inmediato posterior.</w:t>
      </w:r>
    </w:p>
    <w:p w:rsidR="00CD0897" w:rsidRPr="00054841" w:rsidRDefault="00CD0897" w:rsidP="00AE2E6E">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color w:val="000000"/>
        </w:rPr>
        <w:t>Bajo dicho contexto, no se soslaya que la cuenta pública del ejercicio fiscal 2018 aún no se entregaba a la fecha de la solicitud de información, sin embargo puede obrar en los archivos del Sujeto Obligado</w:t>
      </w:r>
      <w:r w:rsidRPr="00054841">
        <w:rPr>
          <w:rFonts w:ascii="Palatino Linotype" w:hAnsi="Palatino Linotype" w:cs="Arial"/>
          <w:b/>
          <w:bCs/>
          <w:color w:val="000000"/>
        </w:rPr>
        <w:t xml:space="preserve"> </w:t>
      </w:r>
      <w:r w:rsidRPr="00054841">
        <w:rPr>
          <w:rFonts w:ascii="Palatino Linotype" w:hAnsi="Palatino Linotype" w:cs="Arial"/>
          <w:bCs/>
          <w:color w:val="000000"/>
        </w:rPr>
        <w:t xml:space="preserve">documentos que den cuenta del adeudo solicitado por concepto de </w:t>
      </w:r>
      <w:r w:rsidRPr="00054841">
        <w:rPr>
          <w:rFonts w:ascii="Palatino Linotype" w:eastAsiaTheme="minorEastAsia" w:hAnsi="Palatino Linotype" w:cs="Arial"/>
          <w:szCs w:val="22"/>
          <w:lang w:val="es-MX"/>
        </w:rPr>
        <w:t>alumbrado público, que sirva de sustento para la elaboración del Estado de la Cuenta Pública.</w:t>
      </w:r>
    </w:p>
    <w:p w:rsidR="00CD0897" w:rsidRPr="00054841" w:rsidRDefault="00CD0897" w:rsidP="00CD0897">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3: Mantenimiento preventivo y censo del alumbrado público.</w:t>
      </w:r>
    </w:p>
    <w:p w:rsidR="00CD0897" w:rsidRPr="00054841" w:rsidRDefault="00CD0897" w:rsidP="00AE2E6E">
      <w:pPr>
        <w:spacing w:before="240" w:after="240" w:line="360" w:lineRule="auto"/>
        <w:jc w:val="both"/>
        <w:rPr>
          <w:rFonts w:ascii="Palatino Linotype" w:hAnsi="Palatino Linotype"/>
        </w:rPr>
      </w:pPr>
      <w:r w:rsidRPr="00054841">
        <w:rPr>
          <w:rFonts w:ascii="Palatino Linotype" w:hAnsi="Palatino Linotype"/>
        </w:rPr>
        <w:t xml:space="preserve">Por otra parte, respecto a los puntos de la solicitud identificados en el </w:t>
      </w:r>
      <w:r w:rsidRPr="00054841">
        <w:rPr>
          <w:rFonts w:ascii="Palatino Linotype" w:hAnsi="Palatino Linotype"/>
          <w:b/>
        </w:rPr>
        <w:t xml:space="preserve">Grupo 3 </w:t>
      </w:r>
      <w:r w:rsidRPr="00054841">
        <w:rPr>
          <w:rFonts w:ascii="Palatino Linotype" w:hAnsi="Palatino Linotype"/>
        </w:rPr>
        <w:t>de la presente resolución, se tiene que el particular solicitó lo siguiente:</w:t>
      </w:r>
    </w:p>
    <w:p w:rsidR="00CD0897" w:rsidRPr="00AE2E6E" w:rsidRDefault="00CD0897" w:rsidP="00CD0897">
      <w:pPr>
        <w:ind w:right="51"/>
        <w:jc w:val="both"/>
        <w:rPr>
          <w:rFonts w:ascii="Palatino Linotype" w:hAnsi="Palatino Linotype"/>
          <w:b/>
          <w:i/>
          <w:sz w:val="22"/>
          <w:szCs w:val="22"/>
        </w:rPr>
      </w:pPr>
      <w:r w:rsidRPr="00AE2E6E">
        <w:rPr>
          <w:rFonts w:ascii="Palatino Linotype" w:hAnsi="Palatino Linotype"/>
          <w:b/>
          <w:i/>
          <w:sz w:val="22"/>
          <w:szCs w:val="22"/>
        </w:rPr>
        <w:t>1.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rsidR="00CD0897" w:rsidRPr="00AE2E6E" w:rsidRDefault="00CD0897" w:rsidP="00CD0897">
      <w:pPr>
        <w:ind w:right="51"/>
        <w:jc w:val="both"/>
        <w:rPr>
          <w:rFonts w:ascii="Palatino Linotype" w:hAnsi="Palatino Linotype"/>
          <w:b/>
          <w:i/>
          <w:sz w:val="22"/>
          <w:szCs w:val="22"/>
        </w:rPr>
      </w:pPr>
      <w:r w:rsidRPr="00AE2E6E">
        <w:rPr>
          <w:rFonts w:ascii="Palatino Linotype" w:hAnsi="Palatino Linotype"/>
          <w:b/>
          <w:i/>
          <w:sz w:val="22"/>
          <w:szCs w:val="22"/>
        </w:rPr>
        <w:t xml:space="preserve">2. Se solicita el censo de alumbrado público de los ejercicios 2016, 2017, 2018 o en su caso, el censo más reciente del municipio, en el que se desglose la siguiente información: </w:t>
      </w:r>
    </w:p>
    <w:p w:rsidR="00CD0897" w:rsidRPr="00AE2E6E" w:rsidRDefault="00CD0897" w:rsidP="00CD0897">
      <w:pPr>
        <w:ind w:left="313" w:right="51"/>
        <w:jc w:val="both"/>
        <w:rPr>
          <w:rFonts w:ascii="Palatino Linotype" w:hAnsi="Palatino Linotype"/>
          <w:b/>
          <w:i/>
          <w:sz w:val="22"/>
          <w:szCs w:val="22"/>
        </w:rPr>
      </w:pPr>
      <w:r w:rsidRPr="00AE2E6E">
        <w:rPr>
          <w:rFonts w:ascii="Palatino Linotype" w:hAnsi="Palatino Linotype"/>
          <w:b/>
          <w:i/>
          <w:sz w:val="22"/>
          <w:szCs w:val="22"/>
        </w:rPr>
        <w:t xml:space="preserve">a. Me indique la cantidad de luminarias y balastros, el tipo de equipos, la capacidad (potencia), la ubicación (calle y/o colonia y/o delegación), y el tipo de poste en el que están montadas las luminarias (lámina, concreto, madera etcétera). </w:t>
      </w:r>
    </w:p>
    <w:p w:rsidR="00CD0897" w:rsidRPr="00AE2E6E" w:rsidRDefault="00CD0897" w:rsidP="00CD0897">
      <w:pPr>
        <w:ind w:left="313" w:right="51"/>
        <w:jc w:val="both"/>
        <w:rPr>
          <w:rFonts w:ascii="Palatino Linotype" w:hAnsi="Palatino Linotype"/>
          <w:b/>
          <w:i/>
          <w:sz w:val="22"/>
          <w:szCs w:val="22"/>
        </w:rPr>
      </w:pPr>
      <w:r w:rsidRPr="00AE2E6E">
        <w:rPr>
          <w:rFonts w:ascii="Palatino Linotype" w:hAnsi="Palatino Linotype"/>
          <w:b/>
          <w:i/>
          <w:sz w:val="22"/>
          <w:szCs w:val="22"/>
        </w:rPr>
        <w:t>b. El Registro Permanente de Usuario (RPU o RPUs) asignado (s) al servicio de alumbrado público municipal tanto del servicio estimado como del servicio medido.</w:t>
      </w:r>
    </w:p>
    <w:p w:rsidR="00CD0897" w:rsidRPr="00AE2E6E" w:rsidRDefault="00CD0897" w:rsidP="00CD0897">
      <w:pPr>
        <w:ind w:left="313" w:right="51"/>
        <w:jc w:val="both"/>
        <w:rPr>
          <w:rFonts w:ascii="Palatino Linotype" w:hAnsi="Palatino Linotype"/>
          <w:b/>
          <w:i/>
          <w:sz w:val="22"/>
          <w:szCs w:val="22"/>
        </w:rPr>
      </w:pPr>
      <w:r w:rsidRPr="00AE2E6E">
        <w:rPr>
          <w:rFonts w:ascii="Palatino Linotype" w:hAnsi="Palatino Linotype"/>
          <w:b/>
          <w:i/>
          <w:sz w:val="22"/>
          <w:szCs w:val="22"/>
        </w:rPr>
        <w:lastRenderedPageBreak/>
        <w:t xml:space="preserve">c. La cantidad desglosada de luminarias y balastros instalados, el tipo de equipos y su capacidad (potencia) instalados en las avenidas principales del municipio. </w:t>
      </w:r>
    </w:p>
    <w:p w:rsidR="00CD0897" w:rsidRPr="00AE2E6E" w:rsidRDefault="00CD0897" w:rsidP="00CD0897">
      <w:pPr>
        <w:ind w:left="313" w:right="51"/>
        <w:jc w:val="both"/>
        <w:rPr>
          <w:rFonts w:ascii="Palatino Linotype" w:hAnsi="Palatino Linotype"/>
          <w:b/>
          <w:i/>
          <w:sz w:val="22"/>
          <w:szCs w:val="22"/>
        </w:rPr>
      </w:pPr>
      <w:r w:rsidRPr="00AE2E6E">
        <w:rPr>
          <w:rFonts w:ascii="Palatino Linotype" w:hAnsi="Palatino Linotype"/>
          <w:b/>
          <w:i/>
          <w:sz w:val="22"/>
          <w:szCs w:val="22"/>
        </w:rPr>
        <w:t>d. La cantidad de luminarias y balastros instalados, el tipo de equipos y su capacidad (potencia) instalados que poseen equipo de medición.</w:t>
      </w:r>
    </w:p>
    <w:p w:rsidR="00CD0897" w:rsidRPr="00AE2E6E" w:rsidRDefault="00CD0897" w:rsidP="00CD0897">
      <w:pPr>
        <w:ind w:right="51"/>
        <w:jc w:val="both"/>
        <w:rPr>
          <w:rFonts w:ascii="Palatino Linotype" w:hAnsi="Palatino Linotype"/>
          <w:b/>
          <w:i/>
          <w:sz w:val="22"/>
          <w:szCs w:val="22"/>
        </w:rPr>
      </w:pPr>
      <w:r w:rsidRPr="00AE2E6E">
        <w:rPr>
          <w:rFonts w:ascii="Palatino Linotype" w:hAnsi="Palatino Linotype"/>
          <w:b/>
          <w:i/>
          <w:sz w:val="22"/>
          <w:szCs w:val="22"/>
        </w:rPr>
        <w:t xml:space="preserve">3. Del censo anterior al censo más reciente de luminarias y balastros del sistema de alumbrado público municipal que exista en el municipio, que contenga la siguiente información: </w:t>
      </w:r>
    </w:p>
    <w:p w:rsidR="00CD0897" w:rsidRPr="00AE2E6E" w:rsidRDefault="00CD0897" w:rsidP="00CD0897">
      <w:pPr>
        <w:ind w:left="313" w:right="51"/>
        <w:jc w:val="both"/>
        <w:rPr>
          <w:rFonts w:ascii="Palatino Linotype" w:hAnsi="Palatino Linotype"/>
          <w:b/>
          <w:i/>
          <w:sz w:val="22"/>
          <w:szCs w:val="22"/>
        </w:rPr>
      </w:pPr>
      <w:r w:rsidRPr="00AE2E6E">
        <w:rPr>
          <w:rFonts w:ascii="Palatino Linotype" w:hAnsi="Palatino Linotype"/>
          <w:b/>
          <w:i/>
          <w:sz w:val="22"/>
          <w:szCs w:val="22"/>
        </w:rPr>
        <w:t xml:space="preserve">a. Cantidad de luminarias y balastros, el tipo de equipos, capacidad, </w:t>
      </w:r>
      <w:r w:rsidR="00AE2E6E" w:rsidRPr="00AE2E6E">
        <w:rPr>
          <w:rFonts w:ascii="Palatino Linotype" w:hAnsi="Palatino Linotype"/>
          <w:b/>
          <w:i/>
          <w:sz w:val="22"/>
          <w:szCs w:val="22"/>
        </w:rPr>
        <w:t>ubicación y</w:t>
      </w:r>
      <w:r w:rsidRPr="00AE2E6E">
        <w:rPr>
          <w:rFonts w:ascii="Palatino Linotype" w:hAnsi="Palatino Linotype"/>
          <w:b/>
          <w:i/>
          <w:sz w:val="22"/>
          <w:szCs w:val="22"/>
        </w:rPr>
        <w:t xml:space="preserve"> el tipo de poste en el que están montadas las luminarias.</w:t>
      </w:r>
    </w:p>
    <w:p w:rsidR="00CD0897" w:rsidRPr="00AE2E6E" w:rsidRDefault="00CD0897" w:rsidP="00CD0897">
      <w:pPr>
        <w:spacing w:before="240" w:line="360" w:lineRule="auto"/>
        <w:ind w:right="49"/>
        <w:jc w:val="both"/>
        <w:rPr>
          <w:rFonts w:ascii="Palatino Linotype" w:hAnsi="Palatino Linotype"/>
          <w:b/>
          <w:i/>
          <w:sz w:val="22"/>
          <w:szCs w:val="22"/>
        </w:rPr>
      </w:pPr>
      <w:r w:rsidRPr="00AE2E6E">
        <w:rPr>
          <w:rFonts w:ascii="Palatino Linotype" w:hAnsi="Palatino Linotype"/>
          <w:b/>
          <w:i/>
          <w:sz w:val="22"/>
          <w:szCs w:val="22"/>
        </w:rPr>
        <w:t>b. El Registro Permanente de Usuario (RPU o RPUs) asignado (s) al servicio de alumbrado público municipal tanto del servicio estimado como del servicio medido.</w:t>
      </w:r>
    </w:p>
    <w:p w:rsidR="00CD0897" w:rsidRPr="00054841" w:rsidRDefault="00CD0897" w:rsidP="00AE2E6E">
      <w:pPr>
        <w:spacing w:before="240" w:after="240" w:line="360" w:lineRule="auto"/>
        <w:jc w:val="both"/>
        <w:rPr>
          <w:rFonts w:ascii="Palatino Linotype" w:hAnsi="Palatino Linotype"/>
          <w:i/>
        </w:rPr>
      </w:pPr>
      <w:r w:rsidRPr="00054841">
        <w:rPr>
          <w:rFonts w:ascii="Palatino Linotype" w:hAnsi="Palatino Linotype"/>
        </w:rPr>
        <w:t xml:space="preserve">Visto desde la perspectiva planteada por el particular en su solicitud de acceso a la información, se tiene la necesidad de recurrir al contenido del Diccionario de la Real Academia Española, para establecer nuestro estudio a partir de la definición de la palabra “censo”, que es conceptualizada como </w:t>
      </w:r>
      <w:r w:rsidRPr="00054841">
        <w:rPr>
          <w:rFonts w:ascii="Palatino Linotype" w:hAnsi="Palatino Linotype"/>
          <w:i/>
        </w:rPr>
        <w:t>el padrón o lista de la población o riqueza de una nación o pueblo.</w:t>
      </w:r>
    </w:p>
    <w:p w:rsidR="00CD0897" w:rsidRPr="00054841" w:rsidRDefault="00CD0897" w:rsidP="00AE2E6E">
      <w:pPr>
        <w:spacing w:before="240" w:after="240" w:line="360" w:lineRule="auto"/>
        <w:jc w:val="both"/>
        <w:rPr>
          <w:rFonts w:ascii="Palatino Linotype" w:hAnsi="Palatino Linotype" w:cs="Arial"/>
        </w:rPr>
      </w:pPr>
      <w:r w:rsidRPr="00054841">
        <w:rPr>
          <w:rFonts w:ascii="Palatino Linotype" w:hAnsi="Palatino Linotype"/>
        </w:rPr>
        <w:t xml:space="preserve">Bajo dichos argumentos, este </w:t>
      </w:r>
      <w:r w:rsidRPr="00054841">
        <w:rPr>
          <w:rFonts w:ascii="Palatino Linotype" w:hAnsi="Palatino Linotype" w:cs="Arial"/>
        </w:rPr>
        <w:t>Órgano Garante estima necesario precisar que la Ley de Transparencia y Acceso a la Información Pública del Estado de México y Municipios, prevé que el derecho de acceso a la información pública se garantiza con la entrega de la información que generan, obtienen, adquieren, transforman, administran o poseen los sujetos obligados en el ejercicio de sus funciones por revestirle el carácter de pública, por tanto, debe ser accesible a toda persona que la requiera, sin que implique que los sujetos obligados deban generarla, resumirla, efectuar cálculos o investigaciones para presentarla conforme al interés de los particulares.</w:t>
      </w:r>
    </w:p>
    <w:p w:rsidR="00CD0897" w:rsidRPr="00054841" w:rsidRDefault="00CD0897" w:rsidP="00AE2E6E">
      <w:pPr>
        <w:spacing w:before="240" w:after="240" w:line="360" w:lineRule="auto"/>
        <w:jc w:val="both"/>
        <w:rPr>
          <w:rFonts w:ascii="Palatino Linotype" w:hAnsi="Palatino Linotype" w:cs="Arial"/>
        </w:rPr>
      </w:pPr>
      <w:r w:rsidRPr="00054841">
        <w:rPr>
          <w:rFonts w:ascii="Palatino Linotype" w:hAnsi="Palatino Linotype" w:cs="Arial"/>
        </w:rPr>
        <w:lastRenderedPageBreak/>
        <w:t>Dicho lo previo, del análisis meticuloso al marco normativo que rige el actuar del Sujeto Obligado</w:t>
      </w:r>
      <w:r w:rsidRPr="00054841">
        <w:rPr>
          <w:rFonts w:ascii="Palatino Linotype" w:hAnsi="Palatino Linotype" w:cs="Arial"/>
          <w:b/>
        </w:rPr>
        <w:t xml:space="preserve"> </w:t>
      </w:r>
      <w:r w:rsidRPr="00054841">
        <w:rPr>
          <w:rFonts w:ascii="Palatino Linotype" w:hAnsi="Palatino Linotype" w:cs="Arial"/>
        </w:rPr>
        <w:t>no se advierte que el mismo este constreñido a generar, poseer o administrar el “censo” solicitado,  sin embargo, en términos de la Ley de Bienes del Estado de México y sus Municipios, regula el registro, destino, administración, control, posesión, uso, aprovechamiento y desincorporación de los bienes, que en su dispositivos legales 11 fracción I, 12, 18 fracción VI, 52 y 67, establece de manera puntual lo siguiente:</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b/>
          <w:i/>
          <w:sz w:val="22"/>
          <w:szCs w:val="22"/>
        </w:rPr>
        <w:t>“Artículo 11.-</w:t>
      </w:r>
      <w:r w:rsidRPr="00D72D51">
        <w:rPr>
          <w:rFonts w:ascii="Palatino Linotype" w:hAnsi="Palatino Linotype"/>
          <w:i/>
          <w:sz w:val="22"/>
          <w:szCs w:val="22"/>
        </w:rPr>
        <w:t xml:space="preserve"> Corresponde a cada una de las dependencias, organismos auxiliares y entidades de la administración pública estatal y municipal: </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i/>
          <w:sz w:val="22"/>
          <w:szCs w:val="22"/>
        </w:rPr>
        <w:t>I. Administrar, controlar y utilizar adecuadamente los bienes muebles e inmuebles que detenten o tengan asignados;…</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b/>
          <w:i/>
          <w:sz w:val="22"/>
          <w:szCs w:val="22"/>
        </w:rPr>
        <w:t>Artículo 12.-</w:t>
      </w:r>
      <w:r w:rsidRPr="00D72D51">
        <w:rPr>
          <w:rFonts w:ascii="Palatino Linotype" w:hAnsi="Palatino Linotype"/>
          <w:i/>
          <w:sz w:val="22"/>
          <w:szCs w:val="22"/>
        </w:rPr>
        <w:t xml:space="preserve"> El Estado de México y sus municipios tienen personalidad jurídica para adquirir y poseer bienes para la prestación de los servicios públicos y el cumplimiento de sus fines.</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b/>
          <w:i/>
          <w:sz w:val="22"/>
          <w:szCs w:val="22"/>
        </w:rPr>
        <w:t>Artículo 18.-</w:t>
      </w:r>
      <w:r w:rsidRPr="00D72D51">
        <w:rPr>
          <w:rFonts w:ascii="Palatino Linotype" w:hAnsi="Palatino Linotype"/>
          <w:i/>
          <w:sz w:val="22"/>
          <w:szCs w:val="22"/>
        </w:rPr>
        <w:t xml:space="preserve"> Son bienes destinados a un servicio público:</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i/>
          <w:sz w:val="22"/>
          <w:szCs w:val="22"/>
        </w:rPr>
        <w:t>(…)</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i/>
          <w:sz w:val="22"/>
          <w:szCs w:val="22"/>
        </w:rPr>
        <w:t>VI. Los bienes muebles de propiedad estatal o municipal que tengan uso o utilidad en la prestación de un servicio público; y…</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b/>
          <w:i/>
          <w:sz w:val="22"/>
          <w:szCs w:val="22"/>
        </w:rPr>
        <w:t>Artículo 52.-</w:t>
      </w:r>
      <w:r w:rsidRPr="00D72D51">
        <w:rPr>
          <w:rFonts w:ascii="Palatino Linotype" w:hAnsi="Palatino Linotype"/>
          <w:i/>
          <w:sz w:val="22"/>
          <w:szCs w:val="22"/>
        </w:rPr>
        <w:t xml:space="preserve"> Tratándose de muebles, éstos serán considerados en lo individual y en conjunto como integrantes del dominio público, por lo tanto bastará que los bienes se encuentren inventariados y asignados a la dependencia, organismo auxiliar estatal o municipal, para que se consideren como parte de este dominio.</w:t>
      </w:r>
    </w:p>
    <w:p w:rsidR="00CD0897" w:rsidRDefault="00CD0897" w:rsidP="00AE2E6E">
      <w:pPr>
        <w:ind w:left="851" w:right="851"/>
        <w:jc w:val="both"/>
        <w:rPr>
          <w:rFonts w:ascii="Palatino Linotype" w:hAnsi="Palatino Linotype"/>
          <w:i/>
          <w:sz w:val="22"/>
          <w:szCs w:val="22"/>
        </w:rPr>
      </w:pPr>
      <w:r w:rsidRPr="00D72D51">
        <w:rPr>
          <w:rFonts w:ascii="Palatino Linotype" w:hAnsi="Palatino Linotype"/>
          <w:b/>
          <w:i/>
          <w:sz w:val="22"/>
          <w:szCs w:val="22"/>
        </w:rPr>
        <w:t>Artículo 67.</w:t>
      </w:r>
      <w:r w:rsidRPr="00D72D51">
        <w:rPr>
          <w:rFonts w:ascii="Palatino Linotype" w:hAnsi="Palatino Linotype"/>
          <w:i/>
          <w:sz w:val="22"/>
          <w:szCs w:val="22"/>
        </w:rPr>
        <w:t xml:space="preserve"> La Secretaría de Finanzas y los ayuntamientos determinarán los procedimientos para integrar el inventario de los bienes del dominio público y privado estatal o municipal.”</w:t>
      </w:r>
    </w:p>
    <w:p w:rsidR="00AE2E6E" w:rsidRPr="00D72D51" w:rsidRDefault="00AE2E6E" w:rsidP="00AE2E6E">
      <w:pPr>
        <w:ind w:left="851" w:right="851"/>
        <w:jc w:val="both"/>
        <w:rPr>
          <w:rFonts w:ascii="Palatino Linotype" w:hAnsi="Palatino Linotype"/>
          <w:i/>
          <w:sz w:val="22"/>
          <w:szCs w:val="22"/>
        </w:rPr>
      </w:pPr>
    </w:p>
    <w:p w:rsidR="00CD0897" w:rsidRPr="00054841" w:rsidRDefault="00CD0897" w:rsidP="00AE2E6E">
      <w:pPr>
        <w:spacing w:before="240" w:after="240" w:line="360" w:lineRule="auto"/>
        <w:jc w:val="both"/>
        <w:rPr>
          <w:rFonts w:ascii="Palatino Linotype" w:hAnsi="Palatino Linotype"/>
        </w:rPr>
      </w:pPr>
      <w:r w:rsidRPr="00054841">
        <w:rPr>
          <w:rFonts w:ascii="Palatino Linotype" w:hAnsi="Palatino Linotype"/>
        </w:rPr>
        <w:t xml:space="preserve">En ese contexto, es una atribución de los Ayuntamientos administrar, controlar y utilizar adecuadamente los bienes muebles e inmuebles que tengan asignados para la prestación de los servicios públicos en el cumplimiento de sus fines, los cuales son considerados en lo individual y en conjunto como integrantes del dominio público, </w:t>
      </w:r>
      <w:r w:rsidRPr="00054841">
        <w:rPr>
          <w:rFonts w:ascii="Palatino Linotype" w:hAnsi="Palatino Linotype"/>
        </w:rPr>
        <w:lastRenderedPageBreak/>
        <w:t>en consecuencia deben encontrarse inventariados y asignados a la dependencia responsable.</w:t>
      </w:r>
    </w:p>
    <w:p w:rsidR="00CD0897" w:rsidRPr="00054841" w:rsidRDefault="00CD0897" w:rsidP="00AE2E6E">
      <w:pPr>
        <w:spacing w:before="240" w:after="240" w:line="360" w:lineRule="auto"/>
        <w:jc w:val="both"/>
        <w:rPr>
          <w:rFonts w:ascii="Palatino Linotype" w:hAnsi="Palatino Linotype"/>
        </w:rPr>
      </w:pPr>
      <w:r w:rsidRPr="00054841">
        <w:rPr>
          <w:rFonts w:ascii="Palatino Linotype" w:hAnsi="Palatino Linotype"/>
        </w:rPr>
        <w:t>Al respecto, el numerales IV párrafo décimo segundo y VI.2 de los Lineamientos para el Registro y Control del Inventario y Desincorporación de Bienes Muebles e Inmuebles de las Administración Pública Municipal, Dependencia Administrativas, Organismos Descentralizados y Fideicomisos Públicos, emitidos por el Órgano Superior de Fiscalización del Estado de México, disponen:</w:t>
      </w:r>
    </w:p>
    <w:p w:rsidR="00CD0897" w:rsidRPr="00D72D51" w:rsidRDefault="00CD0897" w:rsidP="00AE2E6E">
      <w:pPr>
        <w:ind w:left="851" w:right="851"/>
        <w:jc w:val="center"/>
        <w:rPr>
          <w:rFonts w:ascii="Palatino Linotype" w:hAnsi="Palatino Linotype"/>
          <w:i/>
          <w:sz w:val="22"/>
          <w:szCs w:val="22"/>
        </w:rPr>
      </w:pPr>
      <w:r w:rsidRPr="00D72D51">
        <w:rPr>
          <w:rFonts w:ascii="Palatino Linotype" w:hAnsi="Palatino Linotype"/>
          <w:i/>
          <w:sz w:val="22"/>
          <w:szCs w:val="22"/>
        </w:rPr>
        <w:t>“</w:t>
      </w:r>
      <w:r w:rsidRPr="00D72D51">
        <w:rPr>
          <w:rFonts w:ascii="Palatino Linotype" w:hAnsi="Palatino Linotype"/>
          <w:b/>
          <w:i/>
          <w:sz w:val="22"/>
          <w:szCs w:val="22"/>
        </w:rPr>
        <w:t>IV. DISPOSICIONES GENERALES</w:t>
      </w:r>
    </w:p>
    <w:p w:rsidR="00CD0897" w:rsidRPr="00D72D51" w:rsidRDefault="00CD0897" w:rsidP="00AE2E6E">
      <w:pPr>
        <w:tabs>
          <w:tab w:val="left" w:pos="2740"/>
        </w:tabs>
        <w:ind w:left="851" w:right="851"/>
        <w:jc w:val="both"/>
        <w:rPr>
          <w:rFonts w:ascii="Palatino Linotype" w:hAnsi="Palatino Linotype"/>
          <w:i/>
          <w:sz w:val="22"/>
          <w:szCs w:val="22"/>
        </w:rPr>
      </w:pPr>
      <w:r w:rsidRPr="00D72D51">
        <w:rPr>
          <w:rFonts w:ascii="Palatino Linotype" w:hAnsi="Palatino Linotype"/>
          <w:i/>
          <w:sz w:val="22"/>
          <w:szCs w:val="22"/>
        </w:rPr>
        <w:t>(…)</w:t>
      </w:r>
      <w:r w:rsidR="00AE2E6E">
        <w:rPr>
          <w:rFonts w:ascii="Palatino Linotype" w:hAnsi="Palatino Linotype"/>
          <w:i/>
          <w:sz w:val="22"/>
          <w:szCs w:val="22"/>
        </w:rPr>
        <w:tab/>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b/>
          <w:i/>
          <w:sz w:val="22"/>
          <w:szCs w:val="22"/>
        </w:rPr>
        <w:t>Bien mueble:</w:t>
      </w:r>
      <w:r w:rsidRPr="00D72D51">
        <w:rPr>
          <w:rFonts w:ascii="Palatino Linotype" w:hAnsi="Palatino Linotype"/>
          <w:i/>
          <w:sz w:val="22"/>
          <w:szCs w:val="22"/>
        </w:rPr>
        <w:t xml:space="preserve"> Objeto que por su naturaleza de uso o consumo, puede ser trasladado de un lugar a otro, es todo aquello que se conoce como: mobiliario, mesas, sillas, libreros, anaqueles, equipo de oficina en general, equipo de transporte, semovientes, etc…</w:t>
      </w:r>
    </w:p>
    <w:p w:rsidR="00CD0897" w:rsidRPr="00D72D51" w:rsidRDefault="00CD0897" w:rsidP="00AE2E6E">
      <w:pPr>
        <w:ind w:left="851" w:right="851"/>
        <w:jc w:val="center"/>
        <w:rPr>
          <w:rFonts w:ascii="Palatino Linotype" w:hAnsi="Palatino Linotype"/>
          <w:i/>
          <w:sz w:val="22"/>
          <w:szCs w:val="22"/>
        </w:rPr>
      </w:pPr>
      <w:r w:rsidRPr="00D72D51">
        <w:rPr>
          <w:rFonts w:ascii="Palatino Linotype" w:hAnsi="Palatino Linotype"/>
          <w:b/>
          <w:i/>
          <w:sz w:val="22"/>
          <w:szCs w:val="22"/>
        </w:rPr>
        <w:t>VI.2 INVENTARIO GENERAL DE BIENES MUEBLES</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i/>
          <w:sz w:val="22"/>
          <w:szCs w:val="22"/>
        </w:rPr>
        <w:t xml:space="preserve">El inventario general de bienes muebles, es el documento en el que están registrados los bienes muebles propiedad de las entidades municipales, conteniendo sus características de identificación, tales como: nombre, número de inventario, marca, modelo, serie, uso, número de factura, costo, fecha de adquisición, estado de conservación (consultar formato en el apartado de anexos). </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i/>
          <w:sz w:val="22"/>
          <w:szCs w:val="22"/>
        </w:rPr>
        <w:t xml:space="preserve">Tratándose de adquisiciones de bienes muebles, con un costo igual o mayor a 35 veces el Salario Mínimo General de la Zona Económica "C", deben registrarse contablemente como un aumento en el activo, y en la cedula de bienes muebles patrimoniales, aquellos con un costo inferior a 35 y hasta 17 veces el Salario Mínimo General de la Zona Económica "C", se registran solo en la cédula de bienes muebles patrimoniales de bajo costo como medida de control interno, y los bienes con un costo menor a este último se consideran bienes no inventariables y no requerirán de control alguno. </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i/>
          <w:sz w:val="22"/>
          <w:szCs w:val="22"/>
        </w:rPr>
        <w:t xml:space="preserve">Derivado de lo anterior los Ayuntamientos, Organismos Descentralizados y Fideicomisos Públicos, registrarán sus activos en el informe mensual que es presentado al Órgano Superior de Fiscalización del Estado de México, a través del formato "Cedula de Bienes Patrimoniales", con sus respectivas actualizaciones, misma que deberá integrarse en el disco No. 2 del informe mensual. </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i/>
          <w:sz w:val="22"/>
          <w:szCs w:val="22"/>
        </w:rPr>
        <w:t xml:space="preserve">A nivel municipal el responsable de elaborar el inventario general de bienes, es el secretario del Ayuntamiento con la intervención del síndico municipal y la </w:t>
      </w:r>
      <w:r w:rsidRPr="00D72D51">
        <w:rPr>
          <w:rFonts w:ascii="Palatino Linotype" w:hAnsi="Palatino Linotype"/>
          <w:i/>
          <w:sz w:val="22"/>
          <w:szCs w:val="22"/>
        </w:rPr>
        <w:lastRenderedPageBreak/>
        <w:t>participación del contralor, quienes previamente realizarán una revisión física de todos los bienes, al concluirlo deberán asentar sus firmas junto con la del presidente y tesorero municipal, la elaboración de este inventario se realizara dos veces al año, el primero a más tardar el último día hábil del mes de junio, el segundo el último día hábil del mes de diciembre.</w:t>
      </w:r>
    </w:p>
    <w:p w:rsidR="00CD0897" w:rsidRPr="00D72D51" w:rsidRDefault="00CD0897" w:rsidP="00AE2E6E">
      <w:pPr>
        <w:ind w:left="851" w:right="851"/>
        <w:jc w:val="both"/>
        <w:rPr>
          <w:rFonts w:ascii="Palatino Linotype" w:hAnsi="Palatino Linotype"/>
          <w:i/>
          <w:sz w:val="22"/>
          <w:szCs w:val="22"/>
        </w:rPr>
      </w:pPr>
      <w:r w:rsidRPr="00D72D51">
        <w:rPr>
          <w:rFonts w:ascii="Palatino Linotype" w:hAnsi="Palatino Linotype"/>
          <w:i/>
          <w:sz w:val="22"/>
          <w:szCs w:val="22"/>
        </w:rPr>
        <w:t xml:space="preserve"> (…)</w:t>
      </w:r>
    </w:p>
    <w:p w:rsidR="00CD0897" w:rsidRDefault="00CD0897" w:rsidP="00AE2E6E">
      <w:pPr>
        <w:ind w:left="851" w:right="851"/>
        <w:jc w:val="both"/>
        <w:rPr>
          <w:rFonts w:ascii="Palatino Linotype" w:hAnsi="Palatino Linotype"/>
          <w:i/>
          <w:sz w:val="22"/>
          <w:szCs w:val="22"/>
        </w:rPr>
      </w:pPr>
      <w:r w:rsidRPr="00D72D51">
        <w:rPr>
          <w:rFonts w:ascii="Palatino Linotype" w:hAnsi="Palatino Linotype"/>
          <w:i/>
          <w:sz w:val="22"/>
          <w:szCs w:val="22"/>
        </w:rPr>
        <w:t>Tratándose de bienes muebles adquiridos en paquete, se deberá desglosar, en la factura, el valor de cada bien, con sus características de identificación…”</w:t>
      </w:r>
    </w:p>
    <w:p w:rsidR="00AE2E6E" w:rsidRPr="00D72D51" w:rsidRDefault="00AE2E6E" w:rsidP="00AE2E6E">
      <w:pPr>
        <w:ind w:left="851" w:right="851"/>
        <w:jc w:val="both"/>
        <w:rPr>
          <w:rFonts w:ascii="Palatino Linotype" w:hAnsi="Palatino Linotype"/>
          <w:i/>
          <w:sz w:val="22"/>
          <w:szCs w:val="22"/>
        </w:rPr>
      </w:pPr>
    </w:p>
    <w:p w:rsidR="00CD0897" w:rsidRPr="00054841" w:rsidRDefault="00CD0897" w:rsidP="00AE2E6E">
      <w:pPr>
        <w:spacing w:before="240" w:after="240" w:line="360" w:lineRule="auto"/>
        <w:jc w:val="both"/>
        <w:rPr>
          <w:rFonts w:ascii="Palatino Linotype" w:hAnsi="Palatino Linotype"/>
        </w:rPr>
      </w:pPr>
      <w:r w:rsidRPr="00054841">
        <w:rPr>
          <w:rFonts w:ascii="Palatino Linotype" w:hAnsi="Palatino Linotype"/>
        </w:rPr>
        <w:t>De la normatividad citada, se desprende que los bienes muebles son aquellos que por su naturaleza puede ser trasladado de un lugar a otro, los cuales deben estar registrados en el inventario general de bienes muebles con algunas características de identificación como lo son: nombre, número de inventario, marca, modelo, serie, uso, número de factura, costo, fecha de adquisición, estado de conservación; bajo los siguientes formatos:</w:t>
      </w:r>
    </w:p>
    <w:p w:rsidR="00CD0897" w:rsidRPr="00054841" w:rsidRDefault="00CD0897" w:rsidP="00CD0897">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drawing>
          <wp:inline distT="0" distB="0" distL="0" distR="0" wp14:anchorId="753B38E1" wp14:editId="7C020E4A">
            <wp:extent cx="5612130" cy="2060812"/>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0863" cy="2078707"/>
                    </a:xfrm>
                    <a:prstGeom prst="rect">
                      <a:avLst/>
                    </a:prstGeom>
                  </pic:spPr>
                </pic:pic>
              </a:graphicData>
            </a:graphic>
          </wp:inline>
        </w:drawing>
      </w:r>
    </w:p>
    <w:p w:rsidR="00CD0897" w:rsidRPr="00054841" w:rsidRDefault="00CD0897" w:rsidP="00CD0897">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lastRenderedPageBreak/>
        <w:drawing>
          <wp:inline distT="0" distB="0" distL="0" distR="0" wp14:anchorId="75EB2524" wp14:editId="58FCC472">
            <wp:extent cx="5676900" cy="738251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1118" cy="7387995"/>
                    </a:xfrm>
                    <a:prstGeom prst="rect">
                      <a:avLst/>
                    </a:prstGeom>
                  </pic:spPr>
                </pic:pic>
              </a:graphicData>
            </a:graphic>
          </wp:inline>
        </w:drawing>
      </w:r>
    </w:p>
    <w:p w:rsidR="00CD0897" w:rsidRPr="00054841" w:rsidRDefault="00CD0897" w:rsidP="00AE2E6E">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rPr>
        <w:lastRenderedPageBreak/>
        <w:t>Ello autoriza a concluir que el inventario general de bienes patrimoniales o en su caso, la cedula de bienes patrimoniales de bajo costo, también contenido en los Lineamientos en análisis, son los instrumentos que permiten llevar un control de los bienes muebles propiedad del Municipio, que debe ser actualizados dos veces al año, el primero a más tardar el último día hábil del mes de junio, el segundo el último día hábil del mes de diciembre, por lo que resulta indubitable que el Sujeto Obligado</w:t>
      </w:r>
      <w:r w:rsidRPr="00054841">
        <w:rPr>
          <w:rFonts w:ascii="Palatino Linotype" w:hAnsi="Palatino Linotype"/>
          <w:b/>
        </w:rPr>
        <w:t xml:space="preserve"> </w:t>
      </w:r>
      <w:r w:rsidRPr="00054841">
        <w:rPr>
          <w:rFonts w:ascii="Palatino Linotype" w:hAnsi="Palatino Linotype"/>
        </w:rPr>
        <w:t xml:space="preserve">debe contar con los inventarios de bienes muebles de los ejercicios fiscales 2016, 2017 y el correspondiente al mes de junio de 2018, atendiendo la fecha en que fue interpuesta la solicitud de acceso a la información, sin que obste, que el particular desea conocer también, cuantas luminarias fueron sustituidas, arregladas o transformadas, por lo que conviene hacer alusión a los </w:t>
      </w:r>
      <w:r w:rsidRPr="00054841">
        <w:rPr>
          <w:rFonts w:ascii="Palatino Linotype" w:hAnsi="Palatino Linotype"/>
          <w:color w:val="000000"/>
        </w:rPr>
        <w:t>Lineamientos para la integración del Informe Mensual 2018 establecidos por el OSFEM en cuyo contenido se localizan los formatos relacionados con el control de bienes muebles, como se puede observar en la siguiente captura de pantalla:</w:t>
      </w:r>
    </w:p>
    <w:p w:rsidR="00CD0897" w:rsidRPr="00054841" w:rsidRDefault="00CD0897" w:rsidP="00CD0897">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noProof/>
          <w:color w:val="000000"/>
          <w:lang w:val="es-MX" w:eastAsia="es-MX"/>
        </w:rPr>
        <w:drawing>
          <wp:inline distT="0" distB="0" distL="0" distR="0" wp14:anchorId="740938AE" wp14:editId="20D0614D">
            <wp:extent cx="5612130" cy="3019425"/>
            <wp:effectExtent l="0" t="0" r="76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019425"/>
                    </a:xfrm>
                    <a:prstGeom prst="rect">
                      <a:avLst/>
                    </a:prstGeom>
                  </pic:spPr>
                </pic:pic>
              </a:graphicData>
            </a:graphic>
          </wp:inline>
        </w:drawing>
      </w:r>
    </w:p>
    <w:p w:rsidR="00CD0897" w:rsidRPr="00054841" w:rsidRDefault="00CD0897" w:rsidP="005E4E34">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color w:val="000000"/>
        </w:rPr>
        <w:lastRenderedPageBreak/>
        <w:t>Reporte que el Sujeto Obligado</w:t>
      </w:r>
      <w:r w:rsidRPr="00054841">
        <w:rPr>
          <w:rFonts w:ascii="Palatino Linotype" w:hAnsi="Palatino Linotype"/>
          <w:b/>
          <w:color w:val="000000"/>
        </w:rPr>
        <w:t xml:space="preserve"> h</w:t>
      </w:r>
      <w:r w:rsidRPr="00054841">
        <w:rPr>
          <w:rFonts w:ascii="Palatino Linotype" w:hAnsi="Palatino Linotype"/>
          <w:color w:val="000000"/>
        </w:rPr>
        <w:t>a generado en el periodo solicitado por el particular, esto es, desde el 2013 hasta el primer</w:t>
      </w:r>
      <w:r w:rsidR="005E4E34">
        <w:rPr>
          <w:rFonts w:ascii="Palatino Linotype" w:hAnsi="Palatino Linotype"/>
          <w:color w:val="000000"/>
        </w:rPr>
        <w:t xml:space="preserve"> semestre del 2018, según se pu</w:t>
      </w:r>
      <w:r w:rsidRPr="00054841">
        <w:rPr>
          <w:rFonts w:ascii="Palatino Linotype" w:hAnsi="Palatino Linotype"/>
          <w:color w:val="000000"/>
        </w:rPr>
        <w:t>do constatar en los Lineamientos para la In</w:t>
      </w:r>
      <w:r w:rsidR="00D72D51">
        <w:rPr>
          <w:rFonts w:ascii="Palatino Linotype" w:hAnsi="Palatino Linotype"/>
          <w:color w:val="000000"/>
        </w:rPr>
        <w:t>tegración del informe</w:t>
      </w:r>
      <w:r w:rsidRPr="00054841">
        <w:rPr>
          <w:rFonts w:ascii="Palatino Linotype" w:hAnsi="Palatino Linotype"/>
          <w:color w:val="000000"/>
        </w:rPr>
        <w:t xml:space="preserve"> mensual respectivos.</w:t>
      </w:r>
    </w:p>
    <w:p w:rsidR="00CD0897" w:rsidRPr="00054841" w:rsidRDefault="00CD0897" w:rsidP="005E4E34">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color w:val="000000"/>
        </w:rPr>
        <w:t>En consecuencia, la información solicitada podría constar de manera enunciativa más no limitativa, en el denominados “cedula” o “reporte” de bienes muebles patrimonial y de bajo costo, dependiendo del costo de cada equipo, aunado a que la unidad de Servicios Públicos es la responsable de organizar, supervisar y controlar los trabajos de aplicación o sustitución de alumbrado público en las calles, avenidas, plazas, jardines y lugares públicos en territorio municipal, en consecuencia el Sujeto Obligado</w:t>
      </w:r>
      <w:r w:rsidRPr="00054841">
        <w:rPr>
          <w:rFonts w:ascii="Palatino Linotype" w:hAnsi="Palatino Linotype"/>
          <w:b/>
          <w:color w:val="000000"/>
        </w:rPr>
        <w:t xml:space="preserve"> </w:t>
      </w:r>
      <w:r w:rsidRPr="00054841">
        <w:rPr>
          <w:rFonts w:ascii="Palatino Linotype" w:hAnsi="Palatino Linotype"/>
          <w:color w:val="000000"/>
        </w:rPr>
        <w:t xml:space="preserve">deberá atender los requerimientos de información, al mayor grado de desagregación posible, en el entendido de que no está obligados a generar documentos </w:t>
      </w:r>
      <w:r w:rsidRPr="00054841">
        <w:rPr>
          <w:rFonts w:ascii="Palatino Linotype" w:hAnsi="Palatino Linotype"/>
          <w:i/>
          <w:color w:val="000000"/>
        </w:rPr>
        <w:t xml:space="preserve">ad hoc </w:t>
      </w:r>
      <w:r w:rsidRPr="00054841">
        <w:rPr>
          <w:rFonts w:ascii="Palatino Linotype" w:hAnsi="Palatino Linotype"/>
          <w:color w:val="000000"/>
        </w:rPr>
        <w:t>para satisfacer las solicitudes de los gobernados.</w:t>
      </w:r>
    </w:p>
    <w:p w:rsidR="005E4E34" w:rsidRDefault="00CD0897" w:rsidP="005E4E34">
      <w:pPr>
        <w:spacing w:before="240" w:after="240" w:line="360" w:lineRule="auto"/>
        <w:jc w:val="both"/>
        <w:rPr>
          <w:rFonts w:ascii="Palatino Linotype" w:hAnsi="Palatino Linotype"/>
        </w:rPr>
      </w:pPr>
      <w:r w:rsidRPr="00054841">
        <w:rPr>
          <w:rFonts w:ascii="Palatino Linotype" w:hAnsi="Palatino Linotype"/>
          <w:color w:val="000000"/>
        </w:rPr>
        <w:t xml:space="preserve">En otro aspecto, de los requerimientos en análisis, se advierte que el particular solicitó </w:t>
      </w:r>
      <w:r w:rsidRPr="00054841">
        <w:rPr>
          <w:rFonts w:ascii="Palatino Linotype" w:hAnsi="Palatino Linotype"/>
        </w:rPr>
        <w:t>el “Registro Permanente de Usuario” asignado al servicio de alumbrado público, asignado tanto al servicio es</w:t>
      </w:r>
      <w:r w:rsidR="005E4E34">
        <w:rPr>
          <w:rFonts w:ascii="Palatino Linotype" w:hAnsi="Palatino Linotype"/>
        </w:rPr>
        <w:t>timado como al servicio medido.</w:t>
      </w:r>
    </w:p>
    <w:p w:rsidR="00CD0897" w:rsidRPr="00054841" w:rsidRDefault="00CD0897" w:rsidP="005E4E34">
      <w:pPr>
        <w:spacing w:before="240" w:after="240" w:line="360" w:lineRule="auto"/>
        <w:jc w:val="both"/>
        <w:rPr>
          <w:rFonts w:ascii="Palatino Linotype" w:hAnsi="Palatino Linotype"/>
        </w:rPr>
      </w:pPr>
      <w:r w:rsidRPr="00054841">
        <w:rPr>
          <w:rFonts w:ascii="Palatino Linotype" w:hAnsi="Palatino Linotype"/>
        </w:rPr>
        <w:t xml:space="preserve">Termino que se encuentra reconocido en el </w:t>
      </w:r>
      <w:r w:rsidRPr="00054841">
        <w:rPr>
          <w:rFonts w:ascii="Palatino Linotype" w:hAnsi="Palatino Linotype"/>
          <w:b/>
        </w:rPr>
        <w:t>Acuerdo Número A/031/2016, c</w:t>
      </w:r>
      <w:r w:rsidRPr="00054841">
        <w:rPr>
          <w:rFonts w:ascii="Palatino Linotype" w:hAnsi="Palatino Linotype"/>
        </w:rPr>
        <w:t>omo el número único de identificación que equivale al número de servicio, según se puede leer enseguida:</w:t>
      </w:r>
    </w:p>
    <w:p w:rsidR="00CD0897" w:rsidRDefault="00CD0897" w:rsidP="005E4E34">
      <w:pPr>
        <w:ind w:left="851" w:right="851"/>
        <w:jc w:val="both"/>
        <w:rPr>
          <w:rFonts w:ascii="Palatino Linotype" w:hAnsi="Palatino Linotype" w:cs="Arial"/>
          <w:i/>
          <w:color w:val="2F2F2F"/>
          <w:sz w:val="22"/>
          <w:szCs w:val="22"/>
          <w:shd w:val="clear" w:color="auto" w:fill="FFFFFF"/>
        </w:rPr>
      </w:pPr>
      <w:r w:rsidRPr="00D72D51">
        <w:rPr>
          <w:rFonts w:ascii="Palatino Linotype" w:hAnsi="Palatino Linotype" w:cs="Arial"/>
          <w:b/>
          <w:bCs/>
          <w:i/>
          <w:caps/>
          <w:color w:val="2F2F2F"/>
          <w:sz w:val="22"/>
          <w:szCs w:val="22"/>
          <w:shd w:val="clear" w:color="auto" w:fill="FFFFFF"/>
        </w:rPr>
        <w:t>“OCTAVO. </w:t>
      </w:r>
      <w:r w:rsidRPr="00D72D51">
        <w:rPr>
          <w:rFonts w:ascii="Palatino Linotype" w:hAnsi="Palatino Linotype" w:cs="Arial"/>
          <w:i/>
          <w:color w:val="2F2F2F"/>
          <w:sz w:val="22"/>
          <w:szCs w:val="22"/>
          <w:shd w:val="clear" w:color="auto" w:fill="FFFFFF"/>
        </w:rPr>
        <w:t xml:space="preserve">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w:t>
      </w:r>
      <w:r w:rsidRPr="00D72D51">
        <w:rPr>
          <w:rFonts w:ascii="Palatino Linotype" w:hAnsi="Palatino Linotype" w:cs="Arial"/>
          <w:i/>
          <w:color w:val="2F2F2F"/>
          <w:sz w:val="22"/>
          <w:szCs w:val="22"/>
          <w:shd w:val="clear" w:color="auto" w:fill="FFFFFF"/>
        </w:rPr>
        <w:lastRenderedPageBreak/>
        <w:t>número único de identificación equivale al número de servicio, también llamado registro permanente de usuario (RPU).”</w:t>
      </w:r>
    </w:p>
    <w:p w:rsidR="005E4E34" w:rsidRPr="00D72D51" w:rsidRDefault="005E4E34" w:rsidP="005E4E34">
      <w:pPr>
        <w:ind w:left="851" w:right="851"/>
        <w:jc w:val="both"/>
        <w:rPr>
          <w:rFonts w:ascii="Palatino Linotype" w:hAnsi="Palatino Linotype"/>
          <w:i/>
          <w:sz w:val="22"/>
          <w:szCs w:val="22"/>
        </w:rPr>
      </w:pPr>
    </w:p>
    <w:p w:rsidR="00CD0897" w:rsidRPr="00054841" w:rsidRDefault="00CD0897" w:rsidP="00CD0897">
      <w:pPr>
        <w:spacing w:before="240" w:after="240" w:line="360" w:lineRule="auto"/>
        <w:ind w:right="49"/>
        <w:jc w:val="both"/>
        <w:rPr>
          <w:rFonts w:ascii="Palatino Linotype" w:hAnsi="Palatino Linotype"/>
        </w:rPr>
      </w:pPr>
      <w:r w:rsidRPr="00054841">
        <w:rPr>
          <w:rFonts w:ascii="Palatino Linotype" w:hAnsi="Palatino Linotype"/>
        </w:rPr>
        <w:t>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CD0897" w:rsidRPr="00054841" w:rsidRDefault="00CD0897" w:rsidP="00CD0897">
      <w:pPr>
        <w:spacing w:before="240" w:after="240" w:line="360" w:lineRule="auto"/>
        <w:ind w:right="49"/>
        <w:jc w:val="center"/>
        <w:rPr>
          <w:rFonts w:ascii="Palatino Linotype" w:hAnsi="Palatino Linotype"/>
        </w:rPr>
      </w:pPr>
      <w:r w:rsidRPr="00054841">
        <w:rPr>
          <w:rFonts w:ascii="Palatino Linotype" w:hAnsi="Palatino Linotype"/>
          <w:noProof/>
          <w:lang w:val="es-MX" w:eastAsia="es-MX"/>
        </w:rPr>
        <w:drawing>
          <wp:inline distT="0" distB="0" distL="0" distR="0" wp14:anchorId="753184A3" wp14:editId="07BA4DDD">
            <wp:extent cx="4467849" cy="2676899"/>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67849" cy="2676899"/>
                    </a:xfrm>
                    <a:prstGeom prst="rect">
                      <a:avLst/>
                    </a:prstGeom>
                  </pic:spPr>
                </pic:pic>
              </a:graphicData>
            </a:graphic>
          </wp:inline>
        </w:drawing>
      </w:r>
    </w:p>
    <w:p w:rsidR="00CD0897" w:rsidRPr="00054841" w:rsidRDefault="00CD0897" w:rsidP="005E4E34">
      <w:pPr>
        <w:spacing w:before="240" w:after="240" w:line="360" w:lineRule="auto"/>
        <w:jc w:val="both"/>
        <w:rPr>
          <w:rFonts w:ascii="Palatino Linotype" w:hAnsi="Palatino Linotype"/>
        </w:rPr>
      </w:pPr>
      <w:r w:rsidRPr="00054841">
        <w:rPr>
          <w:rFonts w:ascii="Palatino Linotype" w:hAnsi="Palatino Linotype"/>
        </w:rPr>
        <w:t>Registro Móvil de Usuario, o bien, según fue señalado por el particular en su solicitud de acceso a la información como Registro Permanente de Usuario (RPU o RPUs), se localiza en el “aviso de recibo”, como se observa en la siguiente captura de pantalla:</w:t>
      </w:r>
    </w:p>
    <w:p w:rsidR="00CD0897" w:rsidRPr="00054841" w:rsidRDefault="00CD0897" w:rsidP="00CD0897">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lastRenderedPageBreak/>
        <w:drawing>
          <wp:inline distT="0" distB="0" distL="0" distR="0" wp14:anchorId="1149D973" wp14:editId="5927D32A">
            <wp:extent cx="5612130" cy="259588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595880"/>
                    </a:xfrm>
                    <a:prstGeom prst="rect">
                      <a:avLst/>
                    </a:prstGeom>
                  </pic:spPr>
                </pic:pic>
              </a:graphicData>
            </a:graphic>
          </wp:inline>
        </w:drawing>
      </w:r>
    </w:p>
    <w:p w:rsidR="00CD0897" w:rsidRPr="00054841" w:rsidRDefault="00CD0897" w:rsidP="005E4E34">
      <w:pPr>
        <w:spacing w:before="240" w:after="240" w:line="360" w:lineRule="auto"/>
        <w:jc w:val="both"/>
        <w:rPr>
          <w:rFonts w:ascii="Palatino Linotype" w:hAnsi="Palatino Linotype"/>
        </w:rPr>
      </w:pPr>
      <w:r w:rsidRPr="00054841">
        <w:rPr>
          <w:rFonts w:ascii="Palatino Linotype" w:hAnsi="Palatino Linotype"/>
        </w:rPr>
        <w:t xml:space="preserve">En consecuencias, resulta procedente ordenar la entrega del soporte documental, que de manera enunciativa es el aviso de recibo, en el que conste </w:t>
      </w:r>
      <w:r w:rsidR="005E4E34" w:rsidRPr="00054841">
        <w:rPr>
          <w:rFonts w:ascii="Palatino Linotype" w:hAnsi="Palatino Linotype"/>
        </w:rPr>
        <w:t>el Registro</w:t>
      </w:r>
      <w:r w:rsidRPr="00054841">
        <w:rPr>
          <w:rFonts w:ascii="Palatino Linotype" w:hAnsi="Palatino Linotype"/>
        </w:rPr>
        <w:t xml:space="preserve"> Móvil de Usuario (RMU) asignado al servicio de alumbrado público, en el entendido que dicho registro es único para el servicio, independientemente que haya una variación entre </w:t>
      </w:r>
      <w:r w:rsidR="005E4E34" w:rsidRPr="00054841">
        <w:rPr>
          <w:rFonts w:ascii="Palatino Linotype" w:hAnsi="Palatino Linotype"/>
        </w:rPr>
        <w:t>lo estimado</w:t>
      </w:r>
      <w:r w:rsidRPr="00054841">
        <w:rPr>
          <w:rFonts w:ascii="Palatino Linotype" w:hAnsi="Palatino Linotype"/>
        </w:rPr>
        <w:t xml:space="preserve"> por el municipio y lo medido y/o facturado por la CFE.</w:t>
      </w:r>
    </w:p>
    <w:p w:rsidR="00CD0897" w:rsidRPr="00054841" w:rsidRDefault="00CD0897" w:rsidP="00CD0897">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4: Cobertura y modernización del sistema de alumbrado público.</w:t>
      </w:r>
    </w:p>
    <w:p w:rsidR="00CD0897" w:rsidRPr="005E4E34" w:rsidRDefault="00CD0897" w:rsidP="00CD0897">
      <w:pPr>
        <w:autoSpaceDE w:val="0"/>
        <w:autoSpaceDN w:val="0"/>
        <w:adjustRightInd w:val="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t xml:space="preserve">1.  En caso de que el municipio haya realizado un </w:t>
      </w:r>
      <w:r w:rsidRPr="005E4E34">
        <w:rPr>
          <w:rFonts w:ascii="Palatino Linotype" w:hAnsi="Palatino Linotype" w:cs="Arial"/>
          <w:b/>
          <w:i/>
          <w:iCs/>
          <w:sz w:val="22"/>
          <w:szCs w:val="22"/>
        </w:rPr>
        <w:t xml:space="preserve">proyecto de electrificación </w:t>
      </w:r>
      <w:r w:rsidRPr="005E4E34">
        <w:rPr>
          <w:rFonts w:ascii="Palatino Linotype" w:hAnsi="Palatino Linotype" w:cs="Arial"/>
          <w:b/>
          <w:i/>
          <w:sz w:val="22"/>
          <w:szCs w:val="22"/>
        </w:rPr>
        <w:t xml:space="preserve">para </w:t>
      </w:r>
      <w:r w:rsidRPr="005E4E34">
        <w:rPr>
          <w:rFonts w:ascii="Palatino Linotype" w:hAnsi="Palatino Linotype" w:cs="Arial"/>
          <w:b/>
          <w:i/>
          <w:color w:val="000000"/>
          <w:sz w:val="22"/>
          <w:szCs w:val="22"/>
        </w:rPr>
        <w:t xml:space="preserve">ampliar el sistema de alumbrado público y ofrecer este servicio a la o las comunidades durante los años 2013, 2014, 2015, 2016, 2017 y los meses que van de 2018, solicito la siguiente información desglosada: </w:t>
      </w:r>
    </w:p>
    <w:p w:rsidR="00CD0897" w:rsidRPr="005E4E34" w:rsidRDefault="00CD0897" w:rsidP="00CD0897">
      <w:pPr>
        <w:autoSpaceDE w:val="0"/>
        <w:autoSpaceDN w:val="0"/>
        <w:adjustRightInd w:val="0"/>
        <w:jc w:val="both"/>
        <w:rPr>
          <w:rFonts w:ascii="Palatino Linotype" w:hAnsi="Palatino Linotype" w:cs="Arial"/>
          <w:b/>
          <w:i/>
          <w:color w:val="000000"/>
          <w:sz w:val="22"/>
          <w:szCs w:val="22"/>
        </w:rPr>
      </w:pPr>
    </w:p>
    <w:p w:rsidR="00CD0897" w:rsidRPr="005E4E34" w:rsidRDefault="00CD0897" w:rsidP="00CD0897">
      <w:pPr>
        <w:autoSpaceDE w:val="0"/>
        <w:autoSpaceDN w:val="0"/>
        <w:adjustRightInd w:val="0"/>
        <w:spacing w:after="2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t xml:space="preserve">a. El monto total de la inversión, </w:t>
      </w:r>
    </w:p>
    <w:p w:rsidR="00CD0897" w:rsidRPr="005E4E34" w:rsidRDefault="00CD0897" w:rsidP="00CD0897">
      <w:pPr>
        <w:autoSpaceDE w:val="0"/>
        <w:autoSpaceDN w:val="0"/>
        <w:adjustRightInd w:val="0"/>
        <w:spacing w:after="2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t xml:space="preserve">b. El tipo o fuente de financiamiento (recurso propio, recurso estatal, recurso federal, crédito, arrendamiento, APP, etcétera), </w:t>
      </w:r>
    </w:p>
    <w:p w:rsidR="00CD0897" w:rsidRPr="005E4E34" w:rsidRDefault="00CD0897" w:rsidP="00CD0897">
      <w:pPr>
        <w:autoSpaceDE w:val="0"/>
        <w:autoSpaceDN w:val="0"/>
        <w:adjustRightInd w:val="0"/>
        <w:spacing w:after="2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t xml:space="preserve">c. La cantidad de equipos colocados y/o sustituidos, </w:t>
      </w:r>
    </w:p>
    <w:p w:rsidR="00CD0897" w:rsidRPr="005E4E34" w:rsidRDefault="00CD0897" w:rsidP="00CD0897">
      <w:pPr>
        <w:autoSpaceDE w:val="0"/>
        <w:autoSpaceDN w:val="0"/>
        <w:adjustRightInd w:val="0"/>
        <w:spacing w:after="2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t xml:space="preserve">d. El tipo de equipos (Led, VSAP, suburbana, etcétera), </w:t>
      </w:r>
    </w:p>
    <w:p w:rsidR="00CD0897" w:rsidRPr="005E4E34" w:rsidRDefault="00CD0897" w:rsidP="00CD0897">
      <w:pPr>
        <w:autoSpaceDE w:val="0"/>
        <w:autoSpaceDN w:val="0"/>
        <w:adjustRightInd w:val="0"/>
        <w:spacing w:after="2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t xml:space="preserve">e. La capacidad instalada (potencia), </w:t>
      </w:r>
    </w:p>
    <w:p w:rsidR="00CD0897" w:rsidRPr="005E4E34" w:rsidRDefault="00CD0897" w:rsidP="00CD0897">
      <w:pPr>
        <w:autoSpaceDE w:val="0"/>
        <w:autoSpaceDN w:val="0"/>
        <w:adjustRightInd w:val="0"/>
        <w:spacing w:after="2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t xml:space="preserve">f. La ubicación (calle y/o colonia y/o delegación). </w:t>
      </w:r>
    </w:p>
    <w:p w:rsidR="00CD0897" w:rsidRPr="005E4E34" w:rsidRDefault="00CD0897" w:rsidP="00CD0897">
      <w:pPr>
        <w:autoSpaceDE w:val="0"/>
        <w:autoSpaceDN w:val="0"/>
        <w:adjustRightInd w:val="0"/>
        <w:spacing w:after="2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t xml:space="preserve">g. La fecha de inicio y término de obra, </w:t>
      </w:r>
    </w:p>
    <w:p w:rsidR="00CD0897" w:rsidRPr="005E4E34" w:rsidRDefault="00CD0897" w:rsidP="00CD0897">
      <w:pPr>
        <w:autoSpaceDE w:val="0"/>
        <w:autoSpaceDN w:val="0"/>
        <w:adjustRightInd w:val="0"/>
        <w:spacing w:after="2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lastRenderedPageBreak/>
        <w:t xml:space="preserve">h. Así como la fecha de modificación de su nuevo consumo en el sistema de facturación del alumbrado público ante CFE. </w:t>
      </w:r>
    </w:p>
    <w:p w:rsidR="00CD0897" w:rsidRPr="005E4E34" w:rsidRDefault="00CD0897" w:rsidP="00CD0897">
      <w:pPr>
        <w:autoSpaceDE w:val="0"/>
        <w:autoSpaceDN w:val="0"/>
        <w:adjustRightInd w:val="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t xml:space="preserve">i. En donde se notificaron o publicaron los proyectos. </w:t>
      </w:r>
    </w:p>
    <w:p w:rsidR="00CD0897" w:rsidRPr="005E4E34" w:rsidRDefault="00CD0897" w:rsidP="00CD0897">
      <w:pPr>
        <w:autoSpaceDE w:val="0"/>
        <w:autoSpaceDN w:val="0"/>
        <w:adjustRightInd w:val="0"/>
        <w:jc w:val="both"/>
        <w:rPr>
          <w:rFonts w:ascii="Palatino Linotype" w:hAnsi="Palatino Linotype" w:cs="Arial"/>
          <w:b/>
          <w:i/>
          <w:color w:val="000000"/>
          <w:sz w:val="22"/>
          <w:szCs w:val="22"/>
        </w:rPr>
      </w:pPr>
    </w:p>
    <w:p w:rsidR="00CD0897" w:rsidRPr="005E4E34" w:rsidRDefault="00CD0897" w:rsidP="00CD0897">
      <w:pPr>
        <w:autoSpaceDE w:val="0"/>
        <w:autoSpaceDN w:val="0"/>
        <w:adjustRightInd w:val="0"/>
        <w:jc w:val="both"/>
        <w:rPr>
          <w:rFonts w:ascii="Palatino Linotype" w:hAnsi="Palatino Linotype" w:cs="Arial"/>
          <w:b/>
          <w:i/>
          <w:color w:val="000000"/>
          <w:sz w:val="22"/>
          <w:szCs w:val="22"/>
        </w:rPr>
      </w:pPr>
      <w:r w:rsidRPr="005E4E34">
        <w:rPr>
          <w:rFonts w:ascii="Palatino Linotype" w:hAnsi="Palatino Linotype" w:cs="Arial"/>
          <w:b/>
          <w:i/>
          <w:color w:val="000000"/>
          <w:sz w:val="22"/>
          <w:szCs w:val="22"/>
        </w:rPr>
        <w:t xml:space="preserve">2. En caso de que el municipio haya realizado un proyecto parcial o total de modernización de alumbrado público para generar eficiencia energética en </w:t>
      </w:r>
      <w:r w:rsidRPr="005E4E34">
        <w:rPr>
          <w:rFonts w:ascii="Palatino Linotype" w:hAnsi="Palatino Linotype" w:cs="Arial"/>
          <w:b/>
          <w:i/>
          <w:sz w:val="22"/>
          <w:szCs w:val="22"/>
        </w:rPr>
        <w:t xml:space="preserve">sus consumos en los años 2013, 2014, 2015, 2016, 2017 y los meses que van de 2018, solicito: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a. El monto total de la inversión,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b. El tipo o fuente de financiamiento (recurso propio, recurso estatal, recurso federal, crédito, arrendamiento, APP, etcétera),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c. La cantidad de equipos colocados y/o sustituidos,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d. El tipo de equipos (Led, VSAP, suburbana, etcétera),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e. La capacidad instalada (potencia),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f. La ubicación (calle y/o colonia y/o delegación).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g. La fecha de inicio y término de obra,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h. La georreferenciación de cada uno de los puntos de luz del nuevo alumbrado público,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i. La fecha de modificación de su nuevo consumo en el sistema de facturación del alumbrado público ante CFE.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j. El tipo de contrato celebrado para la adquisición de los nuevos equipos (licitación en su modalidad abierta o restringida, o adjudicación directa)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k. Número y nombre de las empresas concursantes o convocadas. </w:t>
      </w:r>
    </w:p>
    <w:p w:rsidR="00CD0897" w:rsidRPr="005E4E34" w:rsidRDefault="00CD0897" w:rsidP="00CD0897">
      <w:pPr>
        <w:autoSpaceDE w:val="0"/>
        <w:autoSpaceDN w:val="0"/>
        <w:adjustRightInd w:val="0"/>
        <w:spacing w:after="20"/>
        <w:jc w:val="both"/>
        <w:rPr>
          <w:rFonts w:ascii="Palatino Linotype" w:hAnsi="Palatino Linotype" w:cs="Arial"/>
          <w:b/>
          <w:i/>
          <w:sz w:val="22"/>
          <w:szCs w:val="22"/>
        </w:rPr>
      </w:pPr>
      <w:r w:rsidRPr="005E4E34">
        <w:rPr>
          <w:rFonts w:ascii="Palatino Linotype" w:hAnsi="Palatino Linotype" w:cs="Arial"/>
          <w:b/>
          <w:i/>
          <w:sz w:val="22"/>
          <w:szCs w:val="22"/>
        </w:rPr>
        <w:t xml:space="preserve">l. Los criterios de selección utilizados por el comité de adquisiciones para elegir a la empresa contratada para realizar la modernización del sistema de alumbrado público. </w:t>
      </w:r>
    </w:p>
    <w:p w:rsidR="00CD0897" w:rsidRPr="005E4E34" w:rsidRDefault="00CD0897" w:rsidP="00CD0897">
      <w:pPr>
        <w:autoSpaceDE w:val="0"/>
        <w:autoSpaceDN w:val="0"/>
        <w:adjustRightInd w:val="0"/>
        <w:jc w:val="both"/>
        <w:rPr>
          <w:rFonts w:ascii="Palatino Linotype" w:hAnsi="Palatino Linotype" w:cs="Arial"/>
          <w:b/>
          <w:i/>
          <w:sz w:val="22"/>
          <w:szCs w:val="22"/>
        </w:rPr>
      </w:pPr>
      <w:r w:rsidRPr="005E4E34">
        <w:rPr>
          <w:rFonts w:ascii="Palatino Linotype" w:hAnsi="Palatino Linotype" w:cs="Arial"/>
          <w:b/>
          <w:i/>
          <w:sz w:val="22"/>
          <w:szCs w:val="22"/>
        </w:rPr>
        <w:t xml:space="preserve">m. El acta de cabildo en el cual se fundamenta, justifica, expone y autoriza el proyecto. </w:t>
      </w:r>
    </w:p>
    <w:p w:rsidR="00CD0897" w:rsidRPr="005E4E34" w:rsidRDefault="00CD0897" w:rsidP="00CD0897">
      <w:pPr>
        <w:autoSpaceDE w:val="0"/>
        <w:autoSpaceDN w:val="0"/>
        <w:adjustRightInd w:val="0"/>
        <w:jc w:val="both"/>
        <w:rPr>
          <w:rFonts w:ascii="Palatino Linotype" w:hAnsi="Palatino Linotype" w:cs="Arial"/>
          <w:sz w:val="22"/>
          <w:szCs w:val="22"/>
        </w:rPr>
      </w:pPr>
    </w:p>
    <w:p w:rsidR="00CD0897" w:rsidRPr="00054841" w:rsidRDefault="00CD0897" w:rsidP="005E4E34">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hAnsi="Palatino Linotype" w:cs="Arial"/>
        </w:rPr>
        <w:t>Siguiendo con el análisis y relacionado con los puntos 8 y 9 de la solicitud de información y englobados en el grupo 4 de la presente resolución, es de precisar que se trata de ampliaciones y modificaciones en el sistema de alumbrado público, el cual de acuerdo con el</w:t>
      </w:r>
      <w:r w:rsidRPr="00054841">
        <w:rPr>
          <w:rFonts w:ascii="Palatino Linotype" w:eastAsiaTheme="minorEastAsia" w:hAnsi="Palatino Linotype" w:cs="Arial"/>
        </w:rPr>
        <w:t xml:space="preserve"> Libro Décimo Segundo del Código Administrativo del Estado de México, se considera Obra Pública a todo trabajo que tenga por objeto principal construir, instalar, ampliar, adecuar, remodelar, restaurar, conservar, mantener, modificar o demoler bienes inmuebles propiedad del Estado, de sus dependencias </w:t>
      </w:r>
      <w:r w:rsidRPr="00054841">
        <w:rPr>
          <w:rFonts w:ascii="Palatino Linotype" w:eastAsiaTheme="minorEastAsia" w:hAnsi="Palatino Linotype" w:cs="Arial"/>
        </w:rPr>
        <w:lastRenderedPageBreak/>
        <w:t>y entidades y de los municipios y sus organismo</w:t>
      </w:r>
      <w:r w:rsidR="005E4E34">
        <w:rPr>
          <w:rFonts w:ascii="Palatino Linotype" w:eastAsiaTheme="minorEastAsia" w:hAnsi="Palatino Linotype" w:cs="Arial"/>
        </w:rPr>
        <w:t xml:space="preserve">s con cargo a recursos públicos </w:t>
      </w:r>
      <w:r w:rsidRPr="00054841">
        <w:rPr>
          <w:rFonts w:ascii="Palatino Linotype" w:eastAsiaTheme="minorEastAsia" w:hAnsi="Palatino Linotype" w:cs="Arial"/>
        </w:rPr>
        <w:t>estatales o municipales</w:t>
      </w:r>
      <w:r w:rsidRPr="00054841">
        <w:rPr>
          <w:rStyle w:val="Refdenotaalpie"/>
          <w:rFonts w:ascii="Palatino Linotype" w:eastAsiaTheme="minorEastAsia" w:hAnsi="Palatino Linotype" w:cs="Arial"/>
        </w:rPr>
        <w:footnoteReference w:id="12"/>
      </w:r>
      <w:r w:rsidRPr="00054841">
        <w:rPr>
          <w:rFonts w:ascii="Palatino Linotype" w:eastAsiaTheme="minorEastAsia" w:hAnsi="Palatino Linotype" w:cs="Arial"/>
        </w:rPr>
        <w:t xml:space="preserve">. </w:t>
      </w:r>
    </w:p>
    <w:p w:rsidR="00CD0897" w:rsidRPr="00054841" w:rsidRDefault="00CD0897" w:rsidP="005E4E34">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t>De igual forma, quedan comprendidos dentro de la definición de Obra Pública: el</w:t>
      </w:r>
      <w:r w:rsidRPr="00054841">
        <w:rPr>
          <w:rFonts w:ascii="Palatino Linotype" w:eastAsiaTheme="minorEastAsia" w:hAnsi="Palatino Linotype" w:cs="Arial"/>
          <w:i/>
        </w:rPr>
        <w:t xml:space="preserve"> </w:t>
      </w:r>
      <w:r w:rsidRPr="00054841">
        <w:rPr>
          <w:rFonts w:ascii="Palatino Linotype" w:eastAsiaTheme="minorEastAsia" w:hAnsi="Palatino Linotype" w:cs="Arial"/>
        </w:rPr>
        <w:t>mantenimiento, restauración, desmantelamiento o remoción de bienes muebles incorporados o adheridos a un inmueble; los proyectos integrales o comúnmente denominados llave en mano, en los cuales el contratista se obliga desde el diseño de la obra hasta su terminación total, incluyéndose, cuando se requiera, la transferencia de tecnología; los trabajos de exploración, localización y perforación; mejoramiento del suelo y/o subsuelo; desmontes y extracción y aquellos similares que tengan por objeto la explotación y desarrollo de los recursos naturales que se encuentran en el suelo y/o subsuelo;  los trabajos de infraestructura agropecuaria e hidroagrícola: y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de acuerdo con el artículo 12.4 del Código Administrativo del Estado de México.</w:t>
      </w:r>
    </w:p>
    <w:p w:rsidR="00CD0897" w:rsidRPr="00054841" w:rsidRDefault="00CD0897" w:rsidP="005E4E34">
      <w:pPr>
        <w:autoSpaceDE w:val="0"/>
        <w:autoSpaceDN w:val="0"/>
        <w:adjustRightInd w:val="0"/>
        <w:spacing w:before="240" w:after="240" w:line="360" w:lineRule="auto"/>
        <w:jc w:val="both"/>
        <w:rPr>
          <w:rFonts w:ascii="Palatino Linotype" w:eastAsiaTheme="minorEastAsia" w:hAnsi="Palatino Linotype" w:cs="Arial"/>
          <w:i/>
        </w:rPr>
      </w:pPr>
      <w:r w:rsidRPr="00054841">
        <w:rPr>
          <w:rFonts w:ascii="Palatino Linotype" w:eastAsiaTheme="minorEastAsia" w:hAnsi="Palatino Linotype" w:cs="Arial"/>
        </w:rPr>
        <w:t>Asimismo, el libro en mérito señala que corresponde a los Ayuntamientos en el ámbito de sus respectivas competencias ejecutar las obras públicas y de servicios mediante contrato con terceros o por administración directa, cuando a su juicio cuenten con elementos propios y organización necesaria</w:t>
      </w:r>
      <w:r w:rsidRPr="00054841">
        <w:rPr>
          <w:rStyle w:val="Refdenotaalpie"/>
          <w:rFonts w:ascii="Palatino Linotype" w:eastAsiaTheme="minorEastAsia" w:hAnsi="Palatino Linotype" w:cs="Arial"/>
        </w:rPr>
        <w:footnoteReference w:id="13"/>
      </w:r>
      <w:r w:rsidRPr="00054841">
        <w:rPr>
          <w:rFonts w:ascii="Palatino Linotype" w:eastAsiaTheme="minorEastAsia" w:hAnsi="Palatino Linotype" w:cs="Arial"/>
        </w:rPr>
        <w:t xml:space="preserve"> ; igualmente y según las características, complejidad y magnitud de los trabajos formularán los programas </w:t>
      </w:r>
      <w:r w:rsidRPr="00054841">
        <w:rPr>
          <w:rFonts w:ascii="Palatino Linotype" w:eastAsiaTheme="minorEastAsia" w:hAnsi="Palatino Linotype" w:cs="Arial"/>
        </w:rPr>
        <w:lastRenderedPageBreak/>
        <w:t>de obra o de servicios relacionados con la misma así como sus respectivos presupuestos, con base en las políticas, objetivos y prioridades de la planeación del desarrollo del Estado y de los municipios</w:t>
      </w:r>
      <w:r w:rsidRPr="00054841">
        <w:rPr>
          <w:rStyle w:val="Refdenotaalpie"/>
          <w:rFonts w:ascii="Palatino Linotype" w:eastAsiaTheme="minorEastAsia" w:hAnsi="Palatino Linotype" w:cs="Arial"/>
        </w:rPr>
        <w:footnoteReference w:id="14"/>
      </w:r>
      <w:r w:rsidRPr="00054841">
        <w:rPr>
          <w:rFonts w:ascii="Palatino Linotype" w:eastAsiaTheme="minorEastAsia" w:hAnsi="Palatino Linotype" w:cs="Arial"/>
        </w:rPr>
        <w:t xml:space="preserve">. </w:t>
      </w:r>
    </w:p>
    <w:p w:rsidR="00D72D51" w:rsidRPr="00054841" w:rsidRDefault="00CD0897" w:rsidP="005E4E34">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t>En relación con lo anterior, el Código en cita, establece que la contratación de obras o servicios relacionados con la obra pública se adjudicará mediante licitaciones públicas, invitación restringida y adjudicación directa, tal y como se aprecia en los artículos 12.20 y 12.21 del marco normativo de referencia, que a continuación se transcriben:</w:t>
      </w:r>
    </w:p>
    <w:p w:rsidR="00CD0897" w:rsidRPr="00D72D51" w:rsidRDefault="00CD0897" w:rsidP="005E4E34">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w:t>
      </w:r>
      <w:r w:rsidRPr="00D72D51">
        <w:rPr>
          <w:rFonts w:ascii="Palatino Linotype" w:eastAsiaTheme="minorEastAsia" w:hAnsi="Palatino Linotype" w:cs="Arial"/>
          <w:b/>
          <w:i/>
          <w:sz w:val="22"/>
          <w:szCs w:val="22"/>
        </w:rPr>
        <w:t>Artículo 12.20.-</w:t>
      </w:r>
      <w:r w:rsidRPr="00D72D51">
        <w:rPr>
          <w:rFonts w:ascii="Palatino Linotype" w:eastAsiaTheme="minorEastAsia" w:hAnsi="Palatino Linotype" w:cs="Arial"/>
          <w:i/>
          <w:sz w:val="22"/>
          <w:szCs w:val="22"/>
        </w:rPr>
        <w:t xml:space="preserve"> Los contratos a que se refiere este Libro, se adjudicarán a través de </w:t>
      </w:r>
      <w:r w:rsidRPr="00D72D51">
        <w:rPr>
          <w:rFonts w:ascii="Palatino Linotype" w:eastAsiaTheme="minorEastAsia" w:hAnsi="Palatino Linotype" w:cs="Arial"/>
          <w:b/>
          <w:i/>
          <w:sz w:val="22"/>
          <w:szCs w:val="22"/>
        </w:rPr>
        <w:t>licitaciones públicas</w:t>
      </w:r>
      <w:r w:rsidRPr="00D72D51">
        <w:rPr>
          <w:rFonts w:ascii="Palatino Linotype" w:eastAsiaTheme="minorEastAsia" w:hAnsi="Palatino Linotype" w:cs="Arial"/>
          <w:i/>
          <w:sz w:val="22"/>
          <w:szCs w:val="22"/>
        </w:rPr>
        <w:t xml:space="preserve">, mediante </w:t>
      </w:r>
      <w:r w:rsidRPr="00D72D51">
        <w:rPr>
          <w:rFonts w:ascii="Palatino Linotype" w:eastAsiaTheme="minorEastAsia" w:hAnsi="Palatino Linotype" w:cs="Arial"/>
          <w:b/>
          <w:i/>
          <w:sz w:val="22"/>
          <w:szCs w:val="22"/>
        </w:rPr>
        <w:t>convocatoria pública</w:t>
      </w:r>
      <w:r w:rsidRPr="00D72D51">
        <w:rPr>
          <w:rFonts w:ascii="Palatino Linotype" w:eastAsiaTheme="minorEastAsia" w:hAnsi="Palatino Linotype" w:cs="Arial"/>
          <w:i/>
          <w:sz w:val="22"/>
          <w:szCs w:val="22"/>
        </w:rPr>
        <w:t>.</w:t>
      </w:r>
    </w:p>
    <w:p w:rsidR="00CD0897" w:rsidRPr="00D72D51" w:rsidRDefault="00CD0897" w:rsidP="005E4E34">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b/>
          <w:i/>
          <w:sz w:val="22"/>
          <w:szCs w:val="22"/>
        </w:rPr>
        <w:t>Artículo 12.21.-</w:t>
      </w:r>
      <w:r w:rsidRPr="00D72D51">
        <w:rPr>
          <w:rFonts w:ascii="Palatino Linotype" w:eastAsiaTheme="minorEastAsia" w:hAnsi="Palatino Linotype" w:cs="Arial"/>
          <w:i/>
          <w:sz w:val="22"/>
          <w:szCs w:val="22"/>
        </w:rPr>
        <w:t>Las dependencias, entidades y ayuntamientos podrán adjudicar contratos para la ejecución de obra pública o servicios relacionados con la misma mediante las excepciones al procedimiento de licitación siguientes:</w:t>
      </w:r>
    </w:p>
    <w:p w:rsidR="00CD0897" w:rsidRPr="00D72D51" w:rsidRDefault="00CD0897" w:rsidP="005E4E34">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I.</w:t>
      </w:r>
      <w:r w:rsidRPr="00D72D51">
        <w:rPr>
          <w:rFonts w:ascii="Palatino Linotype" w:eastAsiaTheme="minorEastAsia" w:hAnsi="Palatino Linotype" w:cs="Arial"/>
          <w:i/>
          <w:sz w:val="22"/>
          <w:szCs w:val="22"/>
        </w:rPr>
        <w:tab/>
        <w:t>Invitación restringida;</w:t>
      </w:r>
    </w:p>
    <w:p w:rsidR="00CD0897" w:rsidRDefault="00CD0897" w:rsidP="005E4E34">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II.</w:t>
      </w:r>
      <w:r w:rsidRPr="00D72D51">
        <w:rPr>
          <w:rFonts w:ascii="Palatino Linotype" w:eastAsiaTheme="minorEastAsia" w:hAnsi="Palatino Linotype" w:cs="Arial"/>
          <w:i/>
          <w:sz w:val="22"/>
          <w:szCs w:val="22"/>
        </w:rPr>
        <w:tab/>
        <w:t>Adjudicación directa."</w:t>
      </w:r>
    </w:p>
    <w:p w:rsidR="00D72D51" w:rsidRPr="00D72D51" w:rsidRDefault="00D72D51" w:rsidP="00D72D51">
      <w:pPr>
        <w:autoSpaceDE w:val="0"/>
        <w:autoSpaceDN w:val="0"/>
        <w:adjustRightInd w:val="0"/>
        <w:ind w:left="851" w:right="851"/>
        <w:jc w:val="both"/>
        <w:rPr>
          <w:rFonts w:ascii="Palatino Linotype" w:eastAsiaTheme="minorEastAsia" w:hAnsi="Palatino Linotype" w:cs="Arial"/>
          <w:i/>
          <w:sz w:val="22"/>
          <w:szCs w:val="22"/>
        </w:rPr>
      </w:pPr>
    </w:p>
    <w:p w:rsidR="00CD0897" w:rsidRPr="00054841" w:rsidRDefault="00CD0897" w:rsidP="005E4E34">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t>Por ello, en todos los procedimientos de licitación se deberán establecer los mismos requisitos y condiciones para los participantes, debiendo los ayuntamientos proporcionar el acceso al información en igualdad de condiciones a los participantes, dichas licitaciones podrán ser de carácter nacional o internacional de acuerdo con la nacionalidad de los participantes y solamente podrán ser de carácter internacional cuando resulte obligatorio conforme a los tratados internacionales o el ayuntamiento considere que empresas extrajeras pudieran presentar ofertas que convengan a sus intereses</w:t>
      </w:r>
      <w:r w:rsidRPr="00054841">
        <w:rPr>
          <w:rStyle w:val="Refdenotaalpie"/>
          <w:rFonts w:ascii="Palatino Linotype" w:eastAsiaTheme="minorEastAsia" w:hAnsi="Palatino Linotype" w:cs="Arial"/>
        </w:rPr>
        <w:footnoteReference w:id="15"/>
      </w:r>
      <w:r w:rsidRPr="00054841">
        <w:rPr>
          <w:rFonts w:ascii="Palatino Linotype" w:eastAsiaTheme="minorEastAsia" w:hAnsi="Palatino Linotype" w:cs="Arial"/>
        </w:rPr>
        <w:t>.</w:t>
      </w:r>
    </w:p>
    <w:p w:rsidR="00CD0897" w:rsidRPr="00054841" w:rsidRDefault="00CD0897" w:rsidP="005E4E34">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lastRenderedPageBreak/>
        <w:t>Para la realización de las licitaciones ya sea de carácter nacional o internacional, el Código en cita menciona que se deberán emitir las convocatorias públicas, las cuales deberán divulgarse cuando menos en uno de los diarios de mayor circulación nacional, así como a través de medios electrónicos y contendrán lo siguiente:</w:t>
      </w:r>
    </w:p>
    <w:p w:rsidR="00CD0897" w:rsidRPr="00D72D51" w:rsidRDefault="00CD0897" w:rsidP="00CD0897">
      <w:pPr>
        <w:autoSpaceDE w:val="0"/>
        <w:autoSpaceDN w:val="0"/>
        <w:adjustRightInd w:val="0"/>
        <w:ind w:left="851" w:right="616"/>
        <w:jc w:val="both"/>
        <w:rPr>
          <w:rFonts w:ascii="Palatino Linotype" w:eastAsiaTheme="minorEastAsia" w:hAnsi="Palatino Linotype" w:cs="Arial"/>
          <w:i/>
          <w:sz w:val="22"/>
          <w:szCs w:val="22"/>
        </w:rPr>
      </w:pPr>
      <w:r w:rsidRPr="00D72D51">
        <w:rPr>
          <w:rFonts w:ascii="Palatino Linotype" w:eastAsiaTheme="minorEastAsia" w:hAnsi="Palatino Linotype" w:cs="Arial"/>
          <w:b/>
          <w:i/>
          <w:sz w:val="22"/>
          <w:szCs w:val="22"/>
        </w:rPr>
        <w:t>“Artículo 12.25</w:t>
      </w:r>
      <w:r w:rsidRPr="00D72D51">
        <w:rPr>
          <w:rFonts w:ascii="Palatino Linotype" w:eastAsiaTheme="minorEastAsia" w:hAnsi="Palatino Linotype" w:cs="Arial"/>
          <w:i/>
          <w:sz w:val="22"/>
          <w:szCs w:val="22"/>
        </w:rPr>
        <w:t>.-</w:t>
      </w:r>
    </w:p>
    <w:p w:rsidR="00CD0897" w:rsidRPr="00D72D51" w:rsidRDefault="00CD0897" w:rsidP="00CD0897">
      <w:pPr>
        <w:autoSpaceDE w:val="0"/>
        <w:autoSpaceDN w:val="0"/>
        <w:adjustRightInd w:val="0"/>
        <w:ind w:left="851" w:right="616"/>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El nombre, denominación o razón social de la dependencia, entidad o ayuntamiento convocante;</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El nombre y la descripción general de la obra o del servicio y el lugar en donde se llevarán a cabo los trabajos;</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El origen de los recursos para su ejecución;</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La forma en que los interesados deberán acreditar su existencia legal, experiencia, capacidad técnica y financiera que se requiera para participar en la licitación, de acuerdo con las características, complejidad y magnitud de los trabajos;</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La indicación de los lugares, fechas, horarios y medios electrónicos en que los interesados podrán obtener las bases de la licitación y en su caso, el costo y forma de pago de las mismas;</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El lugar, fecha y hora de celebración de los actos relativos a la presentación y apertura de proposiciones y a la vista al sitio de realización de los trabajos;</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Plazo de ejecución de los trabajos, indicando la fecha estimada de inicio de los mismos, así como el importe de la primera asignación, en el caso de que dicho plazo comprenda más de un ejercicio;</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Los porcentajes de los anticipos que, en su caso, se otorgarán;</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La indicación de las personas que estén impedidas a participar, conforme con las disposiciones de este Libro;</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 xml:space="preserve">La garantía que deberá otorgarse para asegurar la seriedad de la propuesta; </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t>Los ejercicios en que deberá pagarse la obra o servicio relacionados con la misma, cuando se trate de pago diferido;</w:t>
      </w:r>
    </w:p>
    <w:p w:rsidR="00CD0897" w:rsidRPr="00D72D51" w:rsidRDefault="00CD0897" w:rsidP="00CD0897">
      <w:pPr>
        <w:pStyle w:val="Prrafodelista"/>
        <w:numPr>
          <w:ilvl w:val="0"/>
          <w:numId w:val="10"/>
        </w:numPr>
        <w:autoSpaceDE w:val="0"/>
        <w:autoSpaceDN w:val="0"/>
        <w:adjustRightInd w:val="0"/>
        <w:spacing w:line="259" w:lineRule="auto"/>
        <w:ind w:right="616"/>
        <w:contextualSpacing/>
        <w:jc w:val="both"/>
        <w:rPr>
          <w:rFonts w:ascii="Palatino Linotype" w:eastAsiaTheme="minorEastAsia" w:hAnsi="Palatino Linotype" w:cs="Arial"/>
          <w:i/>
        </w:rPr>
      </w:pPr>
      <w:r w:rsidRPr="00D72D51">
        <w:rPr>
          <w:rFonts w:ascii="Palatino Linotype" w:eastAsiaTheme="minorEastAsia" w:hAnsi="Palatino Linotype" w:cs="Arial"/>
          <w:i/>
        </w:rPr>
        <w:lastRenderedPageBreak/>
        <w:t>Los demás requisitos generales que deberán cumplir los interesados, según las características, complejidad y magnitud de los trabajos…”</w:t>
      </w:r>
    </w:p>
    <w:p w:rsidR="00CD0897" w:rsidRPr="00054841" w:rsidRDefault="00CD0897" w:rsidP="00CD0897">
      <w:pPr>
        <w:autoSpaceDE w:val="0"/>
        <w:autoSpaceDN w:val="0"/>
        <w:adjustRightInd w:val="0"/>
        <w:spacing w:line="360" w:lineRule="auto"/>
        <w:ind w:right="49"/>
        <w:jc w:val="both"/>
        <w:rPr>
          <w:rFonts w:ascii="Palatino Linotype" w:eastAsiaTheme="minorEastAsia" w:hAnsi="Palatino Linotype" w:cs="Arial"/>
        </w:rPr>
      </w:pPr>
    </w:p>
    <w:p w:rsidR="00CD0897" w:rsidRPr="00054841" w:rsidRDefault="00CD0897" w:rsidP="000D6AAF">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t>De la misma manera, el Código de referencia establece el procedimiento a seguir para la realización de la licitación, el cual se describe en seguida: publicada la convocatoria con los elementos señalados con anterioridad, la normatividad establece que se realizará la evaluación de las proporciones únicamente cuando se cumplan con los requisitos establecidos en las bases de la licitación, una vez hecha la evaluación  de las proporciones la convocante emitirá un dictamen que servirá como base para el fallo, en el que se hará constar la reseña cronológica de los actos del procedimiento, el análisis de las proposiciones y las razones para admitirlas o desecharlas; el contrato se adjudicará de entre los licitantes, a aquel cuya propuesta cumpla con las bases de licitación y resulte idónea por asegurar las mejores condiciones disponibles en cuanto a precio, calidad, financiamiento, oportunidad y demás circunstancias pertinentes, en junta pública la convocante dará a conocer el fallo de la licitación, a la que libremente podrán asistir los licitantes que hubieren participado en el acto de presentación y apertura de proposiciones, levantándose el acta respectiva, que firmarán los asistentes, a quienes se entregará copia de la misma.</w:t>
      </w:r>
    </w:p>
    <w:p w:rsidR="00CD0897" w:rsidRPr="00054841" w:rsidRDefault="00CD0897" w:rsidP="000D6AAF">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t xml:space="preserve">Aparte de la licitación pública, el Código determina que se podrán hacer excepciones a la misma, esto es que los ayuntamientos podrán realizar procedimientos de invitación restringida y adjudicación directa, dichos procedimientos se realizaran bajo su responsabilidad y se realizará con personas que cuenten con capacidad de respuesta inmediata así como con los recursos técnicos, financieros y los demás que </w:t>
      </w:r>
      <w:r w:rsidRPr="00054841">
        <w:rPr>
          <w:rFonts w:ascii="Palatino Linotype" w:eastAsiaTheme="minorEastAsia" w:hAnsi="Palatino Linotype" w:cs="Arial"/>
        </w:rPr>
        <w:lastRenderedPageBreak/>
        <w:t>resulten necesarios de acuerdo con las características, complejidad y magnitud de los trabajos a ejecutar.</w:t>
      </w:r>
    </w:p>
    <w:p w:rsidR="00CD0897" w:rsidRPr="000D6AAF" w:rsidRDefault="00CD0897" w:rsidP="000D6AAF">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t>Una vez precisado lo anterior, se advierte que la adjudicación de una obra y los servicios relacionados con la misma obligan al Municipio a suscribir el contrato respectivo dentro de los diez días hábiles siguientes a dicha adjudicación. Tal y como se observa en el artículo 12.38 del ya referido Código Administrati</w:t>
      </w:r>
      <w:r w:rsidR="000D6AAF">
        <w:rPr>
          <w:rFonts w:ascii="Palatino Linotype" w:eastAsiaTheme="minorEastAsia" w:hAnsi="Palatino Linotype" w:cs="Arial"/>
        </w:rPr>
        <w:t>vo; que establece lo siguiente:</w:t>
      </w:r>
    </w:p>
    <w:p w:rsidR="00CD0897" w:rsidRPr="00D72D51"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w:t>
      </w:r>
      <w:r w:rsidRPr="00D72D51">
        <w:rPr>
          <w:rFonts w:ascii="Palatino Linotype" w:eastAsiaTheme="minorEastAsia" w:hAnsi="Palatino Linotype" w:cs="Arial"/>
          <w:b/>
          <w:i/>
          <w:sz w:val="22"/>
          <w:szCs w:val="22"/>
        </w:rPr>
        <w:t>Artículo 12.38.-</w:t>
      </w:r>
      <w:r w:rsidRPr="00D72D51">
        <w:rPr>
          <w:rFonts w:ascii="Palatino Linotype" w:eastAsiaTheme="minorEastAsia" w:hAnsi="Palatino Linotype" w:cs="Arial"/>
          <w:i/>
          <w:sz w:val="22"/>
          <w:szCs w:val="22"/>
        </w:rPr>
        <w:t xml:space="preserve">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rsidR="00D72D51" w:rsidRPr="00D72D51"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Si la dependencia, entidad o ayuntamiento no firmare el contrato dentro del plazo a que se refiere el párrafo anterior, el licitante ganador podrá exigir que se le cubran los gastos que realizo en preparar y elaborar su propuesta."</w:t>
      </w:r>
    </w:p>
    <w:p w:rsidR="00CD0897" w:rsidRPr="00D72D51" w:rsidRDefault="00CD0897" w:rsidP="00D72D51">
      <w:pPr>
        <w:autoSpaceDE w:val="0"/>
        <w:autoSpaceDN w:val="0"/>
        <w:adjustRightInd w:val="0"/>
        <w:ind w:left="851" w:right="851"/>
        <w:jc w:val="both"/>
        <w:rPr>
          <w:rFonts w:ascii="Palatino Linotype" w:eastAsiaTheme="minorEastAsia" w:hAnsi="Palatino Linotype" w:cs="Arial"/>
          <w:i/>
          <w:sz w:val="22"/>
          <w:szCs w:val="22"/>
        </w:rPr>
      </w:pPr>
      <w:r w:rsidRPr="00D72D51">
        <w:rPr>
          <w:rFonts w:ascii="Palatino Linotype" w:eastAsiaTheme="minorEastAsia" w:hAnsi="Palatino Linotype" w:cs="Arial"/>
          <w:i/>
          <w:sz w:val="22"/>
          <w:szCs w:val="22"/>
        </w:rPr>
        <w:t xml:space="preserve"> </w:t>
      </w:r>
    </w:p>
    <w:p w:rsidR="00CD0897" w:rsidRDefault="00CD0897" w:rsidP="000D6AAF">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t>Tal y como quedó precisado en el párrafo que antecede, los Municipios están obligados por mandato de ley a celebrar procedimientos de adjudicación para el contrato de obras públicas o servicios relacionados con la misma, por lo tanto a fin de dar claridad al Sujeto Obligado en la búsqueda de la información solicitada, se considera necesario señalar los tres tipos de contratos de obra pública y servicios relacionados con la misma, que se establecen en la legislación aplicable, los cuales consisten en: (i) Contrato sobre la base de precios unitarios; (ii) Contrato a precio alzado y (iii) Contratos Mixtos, de conformidad con el artículo 12.42 del multicitado Código.</w:t>
      </w:r>
    </w:p>
    <w:p w:rsidR="00CD0897" w:rsidRPr="00054841" w:rsidRDefault="00CD0897" w:rsidP="00CD0897">
      <w:pPr>
        <w:autoSpaceDE w:val="0"/>
        <w:autoSpaceDN w:val="0"/>
        <w:adjustRightInd w:val="0"/>
        <w:spacing w:line="360" w:lineRule="auto"/>
        <w:ind w:right="49"/>
        <w:jc w:val="both"/>
        <w:rPr>
          <w:rFonts w:ascii="Palatino Linotype" w:eastAsiaTheme="minorEastAsia" w:hAnsi="Palatino Linotype" w:cs="Arial"/>
        </w:rPr>
      </w:pP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lastRenderedPageBreak/>
        <w:t>"</w:t>
      </w:r>
      <w:r w:rsidRPr="00CD0897">
        <w:rPr>
          <w:rFonts w:ascii="Palatino Linotype" w:eastAsiaTheme="minorEastAsia" w:hAnsi="Palatino Linotype" w:cs="Arial"/>
          <w:b/>
          <w:i/>
          <w:sz w:val="22"/>
          <w:szCs w:val="22"/>
        </w:rPr>
        <w:t>Artículo 12.42.-</w:t>
      </w:r>
      <w:r w:rsidRPr="00CD0897">
        <w:rPr>
          <w:rFonts w:ascii="Palatino Linotype" w:eastAsiaTheme="minorEastAsia" w:hAnsi="Palatino Linotype" w:cs="Arial"/>
          <w:i/>
          <w:sz w:val="22"/>
          <w:szCs w:val="22"/>
        </w:rPr>
        <w:t>Los contratos de obra pública o de servicios relacionados con la misma, podrán ser de tres tipos:</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 xml:space="preserve"> l. Sobre la base de precios unitarios, en cuyo caso el pago que deba cubrirse al contratista se hará por unidad de concepto de trabajo terminado;</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II.</w:t>
      </w:r>
      <w:r w:rsidRPr="00CD0897">
        <w:rPr>
          <w:rFonts w:ascii="Palatino Linotype" w:eastAsiaTheme="minorEastAsia" w:hAnsi="Palatino Linotype" w:cs="Arial"/>
          <w:i/>
          <w:sz w:val="22"/>
          <w:szCs w:val="22"/>
        </w:rPr>
        <w:tab/>
        <w:t>A precio alzado, en cuyo caso el pago que deba cubrirse al contratista será por obra completa, desglosado en actividades principales terminadas;</w:t>
      </w:r>
    </w:p>
    <w:p w:rsid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III.</w:t>
      </w:r>
      <w:r w:rsidRPr="00CD0897">
        <w:rPr>
          <w:rFonts w:ascii="Palatino Linotype" w:eastAsiaTheme="minorEastAsia" w:hAnsi="Palatino Linotype" w:cs="Arial"/>
          <w:i/>
          <w:sz w:val="22"/>
          <w:szCs w:val="22"/>
        </w:rPr>
        <w:tab/>
        <w:t>Mixtos, cuando contengan una parte de los trabajos sobre la base de precios unitarios y otra, a precio alzado... "</w:t>
      </w:r>
    </w:p>
    <w:p w:rsidR="00CD0897" w:rsidRPr="00CD0897" w:rsidRDefault="00CD0897" w:rsidP="00CD0897">
      <w:pPr>
        <w:autoSpaceDE w:val="0"/>
        <w:autoSpaceDN w:val="0"/>
        <w:adjustRightInd w:val="0"/>
        <w:ind w:left="851" w:right="851"/>
        <w:jc w:val="both"/>
        <w:rPr>
          <w:rFonts w:ascii="Palatino Linotype" w:eastAsiaTheme="minorEastAsia" w:hAnsi="Palatino Linotype" w:cs="Arial"/>
          <w:i/>
          <w:sz w:val="22"/>
          <w:szCs w:val="22"/>
        </w:rPr>
      </w:pPr>
    </w:p>
    <w:p w:rsidR="00CD0897" w:rsidRPr="00054841" w:rsidRDefault="00CD0897" w:rsidP="000D6AAF">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eastAsiaTheme="minorEastAsia" w:hAnsi="Palatino Linotype" w:cs="Arial"/>
        </w:rPr>
        <w:t>Ahora bien, no pasa desapercibido para este Órgano Garante que, si durante la vigencia del contrato, hay la necesidad de modificar el monto o plazo de ejecución de los trabajos, el contratante celebrará el convenio correspondiente con las nuevas condiciones y que las modificaciones que se aprueben mediante la celebración de los convenios, se considerarán parte de los contratos, por tal motivo, de existir dichos convenios, también deben ser entregados al solicitante. Lo anterior de conformidad con los artículos 187 y 192 del Reglamento al Libro Décimo Segundo del Código Administrativo del Estado de México que establecen lo siguiente:</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b/>
          <w:i/>
          <w:sz w:val="22"/>
          <w:szCs w:val="22"/>
        </w:rPr>
        <w:t>“Artículo 187.-</w:t>
      </w:r>
      <w:r w:rsidRPr="00CD0897">
        <w:rPr>
          <w:rFonts w:ascii="Palatino Linotype" w:eastAsiaTheme="minorEastAsia" w:hAnsi="Palatino Linotype" w:cs="Arial"/>
          <w:i/>
          <w:sz w:val="22"/>
          <w:szCs w:val="22"/>
        </w:rPr>
        <w:t>Si, durante la vigencia del contrato, hay la necesidad de modificar el monto plazo de ejecución de los trabajos, el contratante celebrará el convenio correspondiente con las nuevas condiciones. El residente de obra deberá sustentarlo en un dictamen técnico que funde y motive las causas que lo originan.</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Para efectos de este Reglamento, las modificaciones que se aprueben mediante la celebración de los convenios, se considerarán parte del contrato y por lo tanto obligatorias para las partes.</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 xml:space="preserve">El conjunto de programas de ejecución que se deriven de las modificaciones, integrará el programa de ejecución convenido en el contrato, con el cual se medirá el avance en la ejecución de los trabajos. </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b/>
          <w:i/>
          <w:sz w:val="22"/>
          <w:szCs w:val="22"/>
        </w:rPr>
        <w:t>Artículo 192.-</w:t>
      </w:r>
      <w:r w:rsidRPr="00CD0897">
        <w:rPr>
          <w:rFonts w:ascii="Palatino Linotype" w:eastAsiaTheme="minorEastAsia" w:hAnsi="Palatino Linotype" w:cs="Arial"/>
          <w:i/>
          <w:sz w:val="22"/>
          <w:szCs w:val="22"/>
        </w:rPr>
        <w:t>Los convenios deberán contener como mínimo:</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l. Identificación del tipo de convenio y de cada una de las partes contratantes y nombre, cargo y acreditación de la personalidad de los representantes;</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Il. Objeto y descripción sucinta de las modificaciones;</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III.</w:t>
      </w:r>
      <w:r w:rsidRPr="00CD0897">
        <w:rPr>
          <w:rFonts w:ascii="Palatino Linotype" w:eastAsiaTheme="minorEastAsia" w:hAnsi="Palatino Linotype" w:cs="Arial"/>
          <w:i/>
          <w:sz w:val="22"/>
          <w:szCs w:val="22"/>
        </w:rPr>
        <w:tab/>
        <w:t>Dictamen técnico y documentos que lo soporten;</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IV.</w:t>
      </w:r>
      <w:r w:rsidRPr="00CD0897">
        <w:rPr>
          <w:rFonts w:ascii="Palatino Linotype" w:eastAsiaTheme="minorEastAsia" w:hAnsi="Palatino Linotype" w:cs="Arial"/>
          <w:i/>
          <w:sz w:val="22"/>
          <w:szCs w:val="22"/>
        </w:rPr>
        <w:tab/>
        <w:t>Programa de ejecución y presupuesto mensual por concepto de obra;</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lastRenderedPageBreak/>
        <w:t>V.</w:t>
      </w:r>
      <w:r w:rsidRPr="00CD0897">
        <w:rPr>
          <w:rFonts w:ascii="Palatino Linotype" w:eastAsiaTheme="minorEastAsia" w:hAnsi="Palatino Linotype" w:cs="Arial"/>
          <w:i/>
          <w:sz w:val="22"/>
          <w:szCs w:val="22"/>
        </w:rPr>
        <w:tab/>
        <w:t>Acuerdo de las partes de que, con excepción a lo expresamente estipulado en el convenio, regirán las cláusulas del contrato original;</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VI.</w:t>
      </w:r>
      <w:r w:rsidRPr="00CD0897">
        <w:rPr>
          <w:rFonts w:ascii="Palatino Linotype" w:eastAsiaTheme="minorEastAsia" w:hAnsi="Palatino Linotype" w:cs="Arial"/>
          <w:i/>
          <w:sz w:val="22"/>
          <w:szCs w:val="22"/>
        </w:rPr>
        <w:tab/>
        <w:t>Plazo de ejecución para el convenio, cuando implique incremento al originalmente contratado, el porcentaje que representa de éste; y el nuevo programa de ejecución convenido; y</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VII.</w:t>
      </w:r>
      <w:r w:rsidRPr="00CD0897">
        <w:rPr>
          <w:rFonts w:ascii="Palatino Linotype" w:eastAsiaTheme="minorEastAsia" w:hAnsi="Palatino Linotype" w:cs="Arial"/>
          <w:i/>
          <w:sz w:val="22"/>
          <w:szCs w:val="22"/>
        </w:rPr>
        <w:tab/>
        <w:t>Cuando el convenio implique un incremento al monto, deberá contener, además:</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a.</w:t>
      </w:r>
      <w:r w:rsidRPr="00CD0897">
        <w:rPr>
          <w:rFonts w:ascii="Palatino Linotype" w:eastAsiaTheme="minorEastAsia" w:hAnsi="Palatino Linotype" w:cs="Arial"/>
          <w:i/>
          <w:sz w:val="22"/>
          <w:szCs w:val="22"/>
        </w:rPr>
        <w:tab/>
        <w:t>La autorización presupuesta/ de la Secretaría de Finanzas;</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b.</w:t>
      </w:r>
      <w:r w:rsidRPr="00CD0897">
        <w:rPr>
          <w:rFonts w:ascii="Palatino Linotype" w:eastAsiaTheme="minorEastAsia" w:hAnsi="Palatino Linotype" w:cs="Arial"/>
          <w:i/>
          <w:sz w:val="22"/>
          <w:szCs w:val="22"/>
        </w:rPr>
        <w:tab/>
        <w:t>El importe del convenio, con número y letra; el importe original contratado más el importe del convenio; y el porcentaje que representa esta suma respecto del monto original;</w:t>
      </w:r>
    </w:p>
    <w:p w:rsidR="00CD0897" w:rsidRP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c.</w:t>
      </w:r>
      <w:r w:rsidRPr="00CD0897">
        <w:rPr>
          <w:rFonts w:ascii="Palatino Linotype" w:eastAsiaTheme="minorEastAsia" w:hAnsi="Palatino Linotype" w:cs="Arial"/>
          <w:i/>
          <w:sz w:val="22"/>
          <w:szCs w:val="22"/>
        </w:rPr>
        <w:tab/>
        <w:t>La obligación del contratista de ampliar la garantía de cumplimiento en los términos establecidos para el contrato original, y</w:t>
      </w:r>
    </w:p>
    <w:p w:rsidR="00CD0897" w:rsidRDefault="00CD0897" w:rsidP="000D6AAF">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d.</w:t>
      </w:r>
      <w:r w:rsidRPr="00CD0897">
        <w:rPr>
          <w:rFonts w:ascii="Palatino Linotype" w:eastAsiaTheme="minorEastAsia" w:hAnsi="Palatino Linotype" w:cs="Arial"/>
          <w:i/>
          <w:sz w:val="22"/>
          <w:szCs w:val="22"/>
        </w:rPr>
        <w:tab/>
        <w:t>El catálogo de conceptos valorizado, indicando las cantidades de obra y los precios unitarios."</w:t>
      </w:r>
    </w:p>
    <w:p w:rsidR="000D6AAF" w:rsidRPr="00CD0897" w:rsidRDefault="000D6AAF" w:rsidP="000D6AAF">
      <w:pPr>
        <w:autoSpaceDE w:val="0"/>
        <w:autoSpaceDN w:val="0"/>
        <w:adjustRightInd w:val="0"/>
        <w:ind w:left="851" w:right="851"/>
        <w:jc w:val="both"/>
        <w:rPr>
          <w:rFonts w:ascii="Palatino Linotype" w:eastAsiaTheme="minorEastAsia" w:hAnsi="Palatino Linotype" w:cs="Arial"/>
          <w:i/>
          <w:sz w:val="22"/>
          <w:szCs w:val="22"/>
        </w:rPr>
      </w:pPr>
    </w:p>
    <w:p w:rsidR="00CD0897" w:rsidRDefault="00CD0897" w:rsidP="00BE7B4A">
      <w:pPr>
        <w:autoSpaceDE w:val="0"/>
        <w:autoSpaceDN w:val="0"/>
        <w:adjustRightInd w:val="0"/>
        <w:spacing w:before="240" w:after="240" w:line="360" w:lineRule="auto"/>
        <w:jc w:val="both"/>
        <w:rPr>
          <w:rFonts w:ascii="Palatino Linotype" w:eastAsiaTheme="minorEastAsia" w:hAnsi="Palatino Linotype" w:cs="Arial"/>
        </w:rPr>
      </w:pPr>
      <w:r w:rsidRPr="000D6AAF">
        <w:rPr>
          <w:rFonts w:ascii="Palatino Linotype" w:eastAsiaTheme="minorEastAsia" w:hAnsi="Palatino Linotype" w:cs="Arial"/>
        </w:rPr>
        <w:t xml:space="preserve">Atento a lo anterior, resulta claro que la información solicitada puede ser satisfecha con los expedientes de los procesos de licitación pública, invitación restringida o adjudicación directa que se hayan generado para la ampliación del sistema de alumbrado público y la modernización del mismo con el fin de generar eficiencia energética en los consumos; así como, por los contratos y convenios que deriven de éstos, situación que infiere que la información es generada en ejercicio de las atribuciones del Sujeto Obligado, además de ser de naturaleza pública de común, de acuerdo a lo dispuesto por el artículo 92 fracción XXIX de la Ley de Transparencia y Acceso a la Información Pública del Estado de México y Municipios y que obra en sus archivos, por lo que se encuentra posibilitado a entregarla, tal y como lo señala el artículos 12 del ordenamiento legal en cita. </w:t>
      </w:r>
    </w:p>
    <w:p w:rsidR="00BE7B4A" w:rsidRPr="00BE7B4A" w:rsidRDefault="000D6AAF" w:rsidP="00BE7B4A">
      <w:pPr>
        <w:autoSpaceDE w:val="0"/>
        <w:autoSpaceDN w:val="0"/>
        <w:adjustRightInd w:val="0"/>
        <w:spacing w:before="240" w:after="240" w:line="360" w:lineRule="auto"/>
        <w:jc w:val="both"/>
        <w:rPr>
          <w:rFonts w:ascii="Palatino Linotype" w:eastAsiaTheme="minorEastAsia" w:hAnsi="Palatino Linotype" w:cs="Arial"/>
        </w:rPr>
      </w:pPr>
      <w:r>
        <w:rPr>
          <w:rFonts w:ascii="Palatino Linotype" w:eastAsiaTheme="minorEastAsia" w:hAnsi="Palatino Linotype" w:cs="Arial"/>
        </w:rPr>
        <w:t xml:space="preserve">Al respecto es de suma importancia mencionar que el Sujeto Obligado al momento de rendir su informe justificado adjuntó el Tercer Informe de Gobierno de la Administración Pública Municipal 2016-2018 </w:t>
      </w:r>
      <w:r w:rsidR="00BE7B4A">
        <w:rPr>
          <w:rFonts w:ascii="Palatino Linotype" w:eastAsiaTheme="minorEastAsia" w:hAnsi="Palatino Linotype" w:cs="Arial"/>
        </w:rPr>
        <w:t xml:space="preserve">en cual entre otras cosas refirió que </w:t>
      </w:r>
      <w:r w:rsidR="00BE7B4A">
        <w:rPr>
          <w:rFonts w:ascii="Palatino Linotype" w:eastAsiaTheme="minorEastAsia" w:hAnsi="Palatino Linotype" w:cs="Arial"/>
        </w:rPr>
        <w:lastRenderedPageBreak/>
        <w:t>p</w:t>
      </w:r>
      <w:r w:rsidR="00BE7B4A" w:rsidRPr="00BE7B4A">
        <w:rPr>
          <w:rFonts w:ascii="Palatino Linotype" w:hAnsi="Palatino Linotype"/>
        </w:rPr>
        <w:t xml:space="preserve">ara la Ampliación de la Red de Energía Eléctrica y Alumbrado Público: </w:t>
      </w:r>
      <w:r w:rsidR="00BE7B4A">
        <w:rPr>
          <w:rFonts w:ascii="Palatino Linotype" w:hAnsi="Palatino Linotype"/>
        </w:rPr>
        <w:t xml:space="preserve">realizó </w:t>
      </w:r>
      <w:r w:rsidR="00BE7B4A" w:rsidRPr="00BE7B4A">
        <w:rPr>
          <w:rFonts w:ascii="Palatino Linotype" w:hAnsi="Palatino Linotype"/>
        </w:rPr>
        <w:t>109 obras con las que se invirtieron 99 millones</w:t>
      </w:r>
      <w:r w:rsidR="00BE7B4A">
        <w:rPr>
          <w:rFonts w:ascii="Palatino Linotype" w:hAnsi="Palatino Linotype"/>
        </w:rPr>
        <w:t xml:space="preserve"> de pesos, colocándose mil 334 p</w:t>
      </w:r>
      <w:r w:rsidR="00BE7B4A" w:rsidRPr="00BE7B4A">
        <w:rPr>
          <w:rFonts w:ascii="Palatino Linotype" w:hAnsi="Palatino Linotype"/>
        </w:rPr>
        <w:t>ostes, 215 transformador</w:t>
      </w:r>
      <w:r w:rsidR="00BE7B4A">
        <w:rPr>
          <w:rFonts w:ascii="Palatino Linotype" w:hAnsi="Palatino Linotype"/>
        </w:rPr>
        <w:t>es y 65.2 kilómetros de c</w:t>
      </w:r>
      <w:r w:rsidR="00BE7B4A" w:rsidRPr="00BE7B4A">
        <w:rPr>
          <w:rFonts w:ascii="Palatino Linotype" w:hAnsi="Palatino Linotype"/>
        </w:rPr>
        <w:t>ableado</w:t>
      </w:r>
      <w:r w:rsidR="00BE7B4A">
        <w:rPr>
          <w:rFonts w:ascii="Palatino Linotype" w:hAnsi="Palatino Linotype"/>
        </w:rPr>
        <w:t xml:space="preserve">, sin que adjunte el soporte documental que sustente lo manifestado, no obstante lo anterior, se advierte que el Sujeto Obligado está facultado para generar, administrar y poseer la información materia del presente asunto. </w:t>
      </w:r>
    </w:p>
    <w:p w:rsidR="00CD0897" w:rsidRPr="000D6AAF" w:rsidRDefault="00BE7B4A" w:rsidP="00BE7B4A">
      <w:pPr>
        <w:spacing w:before="240" w:after="240" w:line="360" w:lineRule="auto"/>
        <w:jc w:val="both"/>
        <w:rPr>
          <w:rFonts w:ascii="Palatino Linotype" w:hAnsi="Palatino Linotype"/>
        </w:rPr>
      </w:pPr>
      <w:r>
        <w:rPr>
          <w:rFonts w:ascii="Palatino Linotype" w:eastAsiaTheme="minorEastAsia" w:hAnsi="Palatino Linotype" w:cs="Arial"/>
        </w:rPr>
        <w:t xml:space="preserve">En mérito de </w:t>
      </w:r>
      <w:r w:rsidR="00CD0897" w:rsidRPr="000D6AAF">
        <w:rPr>
          <w:rFonts w:ascii="Palatino Linotype" w:eastAsiaTheme="minorEastAsia" w:hAnsi="Palatino Linotype" w:cs="Arial"/>
        </w:rPr>
        <w:t xml:space="preserve">lo anterior, de ser el caso que el Sujeto Obligado no haya generado la información requerida en los numerales analizados, por no haberse realizado proyectos de ampliación y modernización del sistema de alumbrado público en alguno de los años del periodo solicitado, bastará con que lo haga del conocimiento </w:t>
      </w:r>
      <w:r w:rsidR="00CD0897" w:rsidRPr="000D6AAF">
        <w:rPr>
          <w:rFonts w:ascii="Palatino Linotype" w:hAnsi="Palatino Linotype"/>
        </w:rPr>
        <w:t>del particular al momento de dar cumplimiento a la presente resolución.</w:t>
      </w:r>
    </w:p>
    <w:p w:rsidR="00CD0897" w:rsidRPr="00054841" w:rsidRDefault="00CD0897" w:rsidP="00CD0897">
      <w:pPr>
        <w:spacing w:before="240" w:after="240" w:line="360" w:lineRule="auto"/>
        <w:ind w:right="49"/>
        <w:jc w:val="center"/>
        <w:rPr>
          <w:rFonts w:ascii="Palatino Linotype" w:eastAsiaTheme="minorEastAsia" w:hAnsi="Palatino Linotype" w:cs="Arial"/>
          <w:b/>
        </w:rPr>
      </w:pPr>
      <w:r w:rsidRPr="00054841">
        <w:rPr>
          <w:rFonts w:ascii="Palatino Linotype" w:hAnsi="Palatino Linotype"/>
          <w:b/>
        </w:rPr>
        <w:t>Grupo 5: Solicitudes ciudadanas de ampliación del sistema de alumbrado</w:t>
      </w:r>
      <w:r w:rsidRPr="00054841">
        <w:rPr>
          <w:rFonts w:ascii="Palatino Linotype" w:eastAsiaTheme="minorEastAsia" w:hAnsi="Palatino Linotype" w:cs="Arial"/>
          <w:b/>
        </w:rPr>
        <w:t xml:space="preserve"> público.</w:t>
      </w:r>
    </w:p>
    <w:p w:rsidR="00CD0897" w:rsidRPr="00054841" w:rsidRDefault="00CD0897" w:rsidP="00BE7B4A">
      <w:pPr>
        <w:spacing w:before="240" w:after="240" w:line="360" w:lineRule="auto"/>
        <w:jc w:val="both"/>
        <w:rPr>
          <w:rFonts w:ascii="Palatino Linotype" w:hAnsi="Palatino Linotype"/>
        </w:rPr>
      </w:pPr>
      <w:r w:rsidRPr="00054841">
        <w:rPr>
          <w:rFonts w:ascii="Palatino Linotype" w:hAnsi="Palatino Linotype"/>
        </w:rPr>
        <w:t xml:space="preserve">Relativo al </w:t>
      </w:r>
      <w:r w:rsidRPr="00054841">
        <w:rPr>
          <w:rFonts w:ascii="Palatino Linotype" w:hAnsi="Palatino Linotype"/>
          <w:b/>
        </w:rPr>
        <w:t xml:space="preserve">Grupo 5 </w:t>
      </w:r>
      <w:r w:rsidRPr="00054841">
        <w:rPr>
          <w:rFonts w:ascii="Palatino Linotype" w:hAnsi="Palatino Linotype"/>
        </w:rPr>
        <w:t>de los requerimientos de información, mediante los cuales el particular pidió el número de solicitudes para ampliar el sistema de alumbrado público mediante proyectos de electrificación en los años 2013, 2014, 2015, 2016, 2017 y los meses de enero a octubre de 2018; así como el número de solicitudes que fueron atendidas y concluidas.</w:t>
      </w:r>
    </w:p>
    <w:p w:rsidR="00CD0897" w:rsidRPr="00054841" w:rsidRDefault="00CD0897" w:rsidP="00BE7B4A">
      <w:pPr>
        <w:spacing w:before="240" w:after="240" w:line="360" w:lineRule="auto"/>
        <w:jc w:val="both"/>
        <w:rPr>
          <w:rFonts w:ascii="Palatino Linotype" w:hAnsi="Palatino Linotype"/>
        </w:rPr>
      </w:pPr>
      <w:r w:rsidRPr="00054841">
        <w:rPr>
          <w:rFonts w:ascii="Palatino Linotype" w:hAnsi="Palatino Linotype"/>
        </w:rPr>
        <w:t>Por ello, a efectos de iniciar nuestro análisis en este punto, cabe recordar que el Sujeto Obligado</w:t>
      </w:r>
      <w:r w:rsidRPr="00054841">
        <w:rPr>
          <w:rFonts w:ascii="Palatino Linotype" w:hAnsi="Palatino Linotype"/>
          <w:b/>
        </w:rPr>
        <w:t xml:space="preserve"> </w:t>
      </w:r>
      <w:r w:rsidRPr="00054841">
        <w:rPr>
          <w:rFonts w:ascii="Palatino Linotype" w:hAnsi="Palatino Linotype"/>
        </w:rPr>
        <w:t xml:space="preserve">es responsable de garantizar el derecho fundamental de los gobernados consistente en la iluminación de las vías públicas, parques públicos y demás espacios de libre circulación, el cual se traduce en un servicio público; mismo </w:t>
      </w:r>
      <w:r w:rsidRPr="00054841">
        <w:rPr>
          <w:rFonts w:ascii="Palatino Linotype" w:hAnsi="Palatino Linotype"/>
        </w:rPr>
        <w:lastRenderedPageBreak/>
        <w:t>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CD0897" w:rsidRPr="00054841" w:rsidRDefault="00CD0897" w:rsidP="00BE7B4A">
      <w:pPr>
        <w:spacing w:before="240" w:after="240" w:line="360" w:lineRule="auto"/>
        <w:jc w:val="both"/>
        <w:rPr>
          <w:rFonts w:ascii="Palatino Linotype" w:hAnsi="Palatino Linotype"/>
        </w:rPr>
      </w:pPr>
      <w:r w:rsidRPr="00054841">
        <w:rPr>
          <w:rFonts w:ascii="Palatino Linotype" w:hAnsi="Palatino Linotype"/>
        </w:rPr>
        <w:t xml:space="preserve">Acto que tienen como base o sustento el ejercicio de un derecho de petición, consagrado en el artículo 8 de la Constitución Política de los Estados unidos Mexicanos, bajo el texto, de que </w:t>
      </w:r>
      <w:r w:rsidRPr="00054841">
        <w:rPr>
          <w:rFonts w:ascii="Palatino Linotype" w:hAnsi="Palatino Linotype"/>
          <w:i/>
        </w:rPr>
        <w:t xml:space="preserve">los funcionarios y empleados públicos respetarán el ejercicio del derecho de petición, siempre que ésta se formule por escrito, de manera pacífica y respetuosa; </w:t>
      </w:r>
      <w:r w:rsidRPr="00054841">
        <w:rPr>
          <w:rFonts w:ascii="Palatino Linotype" w:hAnsi="Palatino Linotype"/>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CD0897" w:rsidRDefault="00CD0897" w:rsidP="00BE7B4A">
      <w:pPr>
        <w:ind w:left="851" w:right="851"/>
        <w:jc w:val="both"/>
        <w:rPr>
          <w:rFonts w:ascii="Palatino Linotype" w:hAnsi="Palatino Linotype"/>
          <w:i/>
          <w:sz w:val="22"/>
          <w:szCs w:val="22"/>
        </w:rPr>
      </w:pPr>
      <w:r w:rsidRPr="00CD0897">
        <w:rPr>
          <w:rFonts w:ascii="Palatino Linotype" w:hAnsi="Palatino Linotype"/>
          <w:b/>
          <w:i/>
          <w:sz w:val="22"/>
          <w:szCs w:val="22"/>
        </w:rPr>
        <w:t>“Artículo 135.-</w:t>
      </w:r>
      <w:r w:rsidRPr="00CD0897">
        <w:rPr>
          <w:rFonts w:ascii="Palatino Linotype" w:hAnsi="Palatino Linotype"/>
          <w:i/>
          <w:sz w:val="22"/>
          <w:szCs w:val="22"/>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rsidR="00BE7B4A" w:rsidRPr="00CD0897" w:rsidRDefault="00BE7B4A" w:rsidP="00BE7B4A">
      <w:pPr>
        <w:ind w:left="851" w:right="851"/>
        <w:jc w:val="both"/>
        <w:rPr>
          <w:rFonts w:ascii="Palatino Linotype" w:hAnsi="Palatino Linotype"/>
          <w:i/>
          <w:sz w:val="22"/>
          <w:szCs w:val="22"/>
        </w:rPr>
      </w:pPr>
    </w:p>
    <w:p w:rsidR="00CD0897" w:rsidRPr="00054841" w:rsidRDefault="00CD0897" w:rsidP="00BE7B4A">
      <w:pPr>
        <w:spacing w:before="240" w:after="240" w:line="360" w:lineRule="auto"/>
        <w:jc w:val="both"/>
        <w:rPr>
          <w:rFonts w:ascii="Palatino Linotype" w:hAnsi="Palatino Linotype"/>
        </w:rPr>
      </w:pPr>
      <w:r w:rsidRPr="00054841">
        <w:rPr>
          <w:rFonts w:ascii="Palatino Linotype" w:hAnsi="Palatino Linotype"/>
        </w:rPr>
        <w:t xml:space="preserve">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w:t>
      </w:r>
      <w:r w:rsidRPr="00054841">
        <w:rPr>
          <w:rFonts w:ascii="Palatino Linotype" w:hAnsi="Palatino Linotype"/>
        </w:rPr>
        <w:lastRenderedPageBreak/>
        <w:t>en el que se contenga la solicitudes de ampliación de alumbrado público, las atendidas y concluidas.</w:t>
      </w:r>
    </w:p>
    <w:p w:rsidR="00CD0897" w:rsidRPr="00054841" w:rsidRDefault="00CD0897" w:rsidP="00BE7B4A">
      <w:pPr>
        <w:spacing w:before="240" w:after="240" w:line="360" w:lineRule="auto"/>
        <w:jc w:val="both"/>
        <w:rPr>
          <w:rFonts w:ascii="Palatino Linotype" w:hAnsi="Palatino Linotype"/>
        </w:rPr>
      </w:pPr>
      <w:r w:rsidRPr="00054841">
        <w:rPr>
          <w:rFonts w:ascii="Palatino Linotype" w:hAnsi="Palatino Linotype"/>
        </w:rPr>
        <w:t>Las cuales en todo caso, tiene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CD0897" w:rsidRPr="00CD0897" w:rsidRDefault="00CD0897" w:rsidP="00BE7B4A">
      <w:pPr>
        <w:ind w:left="851" w:right="851"/>
        <w:jc w:val="both"/>
        <w:rPr>
          <w:rFonts w:ascii="Palatino Linotype" w:hAnsi="Palatino Linotype"/>
          <w:b/>
          <w:i/>
          <w:sz w:val="22"/>
          <w:szCs w:val="22"/>
        </w:rPr>
      </w:pPr>
      <w:r w:rsidRPr="00054841">
        <w:rPr>
          <w:rFonts w:ascii="Palatino Linotype" w:hAnsi="Palatino Linotype"/>
          <w:b/>
          <w:i/>
          <w:sz w:val="20"/>
          <w:szCs w:val="20"/>
        </w:rPr>
        <w:t>“</w:t>
      </w:r>
      <w:r w:rsidRPr="00CD0897">
        <w:rPr>
          <w:rFonts w:ascii="Palatino Linotype" w:hAnsi="Palatino Linotype"/>
          <w:b/>
          <w:i/>
          <w:sz w:val="22"/>
          <w:szCs w:val="22"/>
        </w:rPr>
        <w:t>XXX. Las estadísticas que generen en cumplimiento de sus facultades, competencias o funciones con la mayor desagregación posible.</w:t>
      </w:r>
    </w:p>
    <w:p w:rsidR="00CD0897" w:rsidRPr="00CD0897" w:rsidRDefault="00CD0897" w:rsidP="00BE7B4A">
      <w:pPr>
        <w:ind w:left="851" w:right="851"/>
        <w:jc w:val="both"/>
        <w:rPr>
          <w:rFonts w:ascii="Palatino Linotype" w:hAnsi="Palatino Linotype"/>
          <w:i/>
          <w:sz w:val="22"/>
          <w:szCs w:val="22"/>
        </w:rPr>
      </w:pPr>
      <w:r w:rsidRPr="00CD0897">
        <w:rPr>
          <w:rFonts w:ascii="Palatino Linotype" w:hAnsi="Palatino Linotype"/>
          <w:i/>
          <w:sz w:val="22"/>
          <w:szCs w:val="22"/>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CD0897" w:rsidRPr="00CD0897" w:rsidRDefault="00CD0897" w:rsidP="00BE7B4A">
      <w:pPr>
        <w:ind w:left="851" w:right="851"/>
        <w:jc w:val="both"/>
        <w:rPr>
          <w:rFonts w:ascii="Palatino Linotype" w:hAnsi="Palatino Linotype"/>
          <w:i/>
          <w:sz w:val="22"/>
          <w:szCs w:val="22"/>
        </w:rPr>
      </w:pPr>
      <w:r w:rsidRPr="00CD0897">
        <w:rPr>
          <w:rFonts w:ascii="Palatino Linotype" w:hAnsi="Palatino Linotype"/>
          <w:i/>
          <w:sz w:val="22"/>
          <w:szCs w:val="22"/>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w:t>
      </w:r>
      <w:r w:rsidRPr="00CD0897">
        <w:rPr>
          <w:rFonts w:ascii="Palatino Linotype" w:hAnsi="Palatino Linotype"/>
          <w:i/>
          <w:sz w:val="22"/>
          <w:szCs w:val="22"/>
        </w:rPr>
        <w:lastRenderedPageBreak/>
        <w:t xml:space="preserve">sujetos obligados en el país y que hayan sido financiadas parcial o totalmente con recursos públicos, durante los últimos seis años. </w:t>
      </w:r>
    </w:p>
    <w:p w:rsidR="00CD0897" w:rsidRPr="00CD0897" w:rsidRDefault="00CD0897" w:rsidP="00BE7B4A">
      <w:pPr>
        <w:ind w:left="851" w:right="851"/>
        <w:jc w:val="both"/>
        <w:rPr>
          <w:rFonts w:ascii="Palatino Linotype" w:hAnsi="Palatino Linotype"/>
          <w:i/>
          <w:sz w:val="22"/>
          <w:szCs w:val="22"/>
        </w:rPr>
      </w:pPr>
      <w:r w:rsidRPr="00CD0897">
        <w:rPr>
          <w:rFonts w:ascii="Palatino Linotype" w:hAnsi="Palatino Linotype"/>
          <w:i/>
          <w:sz w:val="22"/>
          <w:szCs w:val="22"/>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CD0897" w:rsidRDefault="00CD0897" w:rsidP="00BE7B4A">
      <w:pPr>
        <w:ind w:left="851" w:right="851"/>
        <w:jc w:val="both"/>
        <w:rPr>
          <w:rFonts w:ascii="Palatino Linotype" w:hAnsi="Palatino Linotype"/>
          <w:i/>
          <w:sz w:val="22"/>
          <w:szCs w:val="22"/>
        </w:rPr>
      </w:pPr>
      <w:r w:rsidRPr="00CD0897">
        <w:rPr>
          <w:rFonts w:ascii="Palatino Linotype" w:hAnsi="Palatino Linotype"/>
          <w:i/>
          <w:sz w:val="22"/>
          <w:szCs w:val="22"/>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BE7B4A" w:rsidRPr="00CD0897" w:rsidRDefault="00BE7B4A" w:rsidP="00BE7B4A">
      <w:pPr>
        <w:ind w:left="851" w:right="851"/>
        <w:jc w:val="both"/>
        <w:rPr>
          <w:rFonts w:ascii="Palatino Linotype" w:hAnsi="Palatino Linotype"/>
          <w:i/>
          <w:sz w:val="22"/>
          <w:szCs w:val="22"/>
        </w:rPr>
      </w:pPr>
    </w:p>
    <w:p w:rsidR="00CD0897" w:rsidRPr="00054841" w:rsidRDefault="00CD0897" w:rsidP="00BE7B4A">
      <w:pPr>
        <w:spacing w:before="240" w:after="240" w:line="360" w:lineRule="auto"/>
        <w:jc w:val="both"/>
        <w:rPr>
          <w:rFonts w:ascii="Palatino Linotype" w:hAnsi="Palatino Linotype"/>
        </w:rPr>
      </w:pPr>
      <w:r w:rsidRPr="00054841">
        <w:rPr>
          <w:rFonts w:ascii="Palatino Linotype" w:hAnsi="Palatino Linotype"/>
        </w:rPr>
        <w:t>Sin que obste, que en todo caso para dar atención a las solitudes de los gobernados para atender el servicio público denominado “Alumbrado Público” deberá generar un documento que permitir registrar las solicitudes planteadas y el seguimiento dado a la mismas, en consecuencia en términos del artículo del párrafo segundo del artículo12 de la Ley de la Materia, el Sujeto Obligado</w:t>
      </w:r>
      <w:r w:rsidRPr="00054841">
        <w:rPr>
          <w:rFonts w:ascii="Palatino Linotype" w:hAnsi="Palatino Linotype"/>
          <w:b/>
        </w:rPr>
        <w:t xml:space="preserve"> </w:t>
      </w:r>
      <w:r w:rsidRPr="00054841">
        <w:rPr>
          <w:rFonts w:ascii="Palatino Linotype" w:hAnsi="Palatino Linotype"/>
        </w:rPr>
        <w:t>tiene el deber de proporcionar la expresión documental en que consten el requerimiento del particular, misma que no está obligado a procesar a efectos de dar cumplimiento a lo solicitado.</w:t>
      </w:r>
    </w:p>
    <w:p w:rsidR="00CD0897" w:rsidRPr="00054841" w:rsidRDefault="00CD0897" w:rsidP="00BE7B4A">
      <w:pPr>
        <w:spacing w:before="240" w:after="240" w:line="360" w:lineRule="auto"/>
        <w:jc w:val="both"/>
        <w:rPr>
          <w:rFonts w:ascii="Palatino Linotype" w:hAnsi="Palatino Linotype"/>
        </w:rPr>
      </w:pPr>
      <w:r w:rsidRPr="00054841">
        <w:rPr>
          <w:rFonts w:ascii="Palatino Linotype" w:hAnsi="Palatino Linotype"/>
        </w:rPr>
        <w:t xml:space="preserve">Bajo dicha ordenanza, este Órgano Garante no soslaya, que la generación de dicha información, tienen como naturaleza el ejercicio de un derecho de petición, que puede ser o no ejercido por los particulares, dicho de otra manera, es una facultad potestativa que ejercer los particulares,  por ello, para el caso de que no obre en sus archivos dicha información, por haber registrado solicitudes de ampliación de </w:t>
      </w:r>
      <w:r w:rsidRPr="00054841">
        <w:rPr>
          <w:rFonts w:ascii="Palatino Linotype" w:hAnsi="Palatino Linotype"/>
        </w:rPr>
        <w:lastRenderedPageBreak/>
        <w:t xml:space="preserve">servicio de alumbrado público, </w:t>
      </w:r>
      <w:r w:rsidR="00BE7B4A" w:rsidRPr="00054841">
        <w:rPr>
          <w:rFonts w:ascii="Palatino Linotype" w:hAnsi="Palatino Linotype"/>
        </w:rPr>
        <w:t>bastará</w:t>
      </w:r>
      <w:r w:rsidRPr="00054841">
        <w:rPr>
          <w:rFonts w:ascii="Palatino Linotype" w:hAnsi="Palatino Linotype"/>
        </w:rPr>
        <w:t xml:space="preserve"> con el solo pronunciamiento del Sujeto Obligado</w:t>
      </w:r>
      <w:r w:rsidRPr="00054841">
        <w:rPr>
          <w:rFonts w:ascii="Palatino Linotype" w:hAnsi="Palatino Linotype"/>
          <w:b/>
        </w:rPr>
        <w:t xml:space="preserve"> </w:t>
      </w:r>
      <w:r w:rsidRPr="00054841">
        <w:rPr>
          <w:rFonts w:ascii="Palatino Linotype" w:hAnsi="Palatino Linotype"/>
        </w:rPr>
        <w:t>para tener por colmado el requerimiento de información.</w:t>
      </w:r>
    </w:p>
    <w:p w:rsidR="00CD0897" w:rsidRPr="00054841" w:rsidRDefault="00CD0897" w:rsidP="00CD0897">
      <w:pPr>
        <w:autoSpaceDE w:val="0"/>
        <w:autoSpaceDN w:val="0"/>
        <w:adjustRightInd w:val="0"/>
        <w:spacing w:before="240" w:after="240" w:line="360" w:lineRule="auto"/>
        <w:ind w:right="-141"/>
        <w:contextualSpacing/>
        <w:jc w:val="center"/>
        <w:rPr>
          <w:rFonts w:ascii="Palatino Linotype" w:hAnsi="Palatino Linotype" w:cs="Arial"/>
          <w:b/>
        </w:rPr>
      </w:pPr>
      <w:r w:rsidRPr="00054841">
        <w:rPr>
          <w:rFonts w:ascii="Palatino Linotype" w:hAnsi="Palatino Linotype" w:cs="Arial"/>
          <w:b/>
        </w:rPr>
        <w:t>Grupo 6: Contratos y convenios suscritos con la Comisión Federal de Electricidad</w:t>
      </w:r>
    </w:p>
    <w:p w:rsidR="00CD0897" w:rsidRPr="00054841" w:rsidRDefault="00CD0897" w:rsidP="00CD0897">
      <w:pPr>
        <w:pStyle w:val="Prrafodelista"/>
        <w:numPr>
          <w:ilvl w:val="0"/>
          <w:numId w:val="11"/>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Copia del contrato de prestación de servicios por concepto de suministro de energía eléctrica por parte de la CFE al municipio.</w:t>
      </w:r>
    </w:p>
    <w:p w:rsidR="00CD0897" w:rsidRPr="00054841" w:rsidRDefault="00CD0897" w:rsidP="00CD0897">
      <w:pPr>
        <w:pStyle w:val="Prrafodelista"/>
        <w:numPr>
          <w:ilvl w:val="0"/>
          <w:numId w:val="11"/>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Copia del convenio de “Peso por Peso” firmado entre la CFE y el municipio.</w:t>
      </w:r>
    </w:p>
    <w:p w:rsidR="00CD0897" w:rsidRPr="00054841" w:rsidRDefault="00CD0897" w:rsidP="00CD0897">
      <w:pPr>
        <w:pStyle w:val="Prrafodelista"/>
        <w:numPr>
          <w:ilvl w:val="0"/>
          <w:numId w:val="11"/>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 xml:space="preserve">Copia del convenio para recaudar el Derecho de Alumbrado Público “DAP” firmado entre la CFE y el municipio, así como el monto recaudado por la CFE al municipio del uno de enero de dos mil trece al trece de noviembre de dos mil dieciocho. </w:t>
      </w:r>
    </w:p>
    <w:p w:rsidR="00CD0897" w:rsidRPr="00054841" w:rsidRDefault="00CD0897" w:rsidP="008E45D6">
      <w:pPr>
        <w:autoSpaceDE w:val="0"/>
        <w:autoSpaceDN w:val="0"/>
        <w:adjustRightInd w:val="0"/>
        <w:spacing w:before="240" w:after="240" w:line="360" w:lineRule="auto"/>
        <w:jc w:val="both"/>
        <w:rPr>
          <w:rFonts w:ascii="Palatino Linotype" w:eastAsiaTheme="minorEastAsia" w:hAnsi="Palatino Linotype" w:cs="Arial"/>
        </w:rPr>
      </w:pPr>
      <w:r w:rsidRPr="00054841">
        <w:rPr>
          <w:rFonts w:ascii="Palatino Linotype" w:hAnsi="Palatino Linotype" w:cs="Arial"/>
        </w:rPr>
        <w:t xml:space="preserve">En relación a los contratos y convenios requeridos por la particular, es importante precisar que </w:t>
      </w:r>
      <w:r w:rsidRPr="00054841">
        <w:rPr>
          <w:rFonts w:ascii="Palatino Linotype" w:eastAsiaTheme="minorEastAsia" w:hAnsi="Palatino Linotype" w:cs="Arial"/>
          <w:lang w:val="es-MX"/>
        </w:rPr>
        <w:t xml:space="preserve">el artículo 115, fracción III de la Constitución Política de los Estados Unidos Mexicanos indica que los municipios tendrán a su cargo </w:t>
      </w:r>
      <w:r w:rsidRPr="00054841">
        <w:rPr>
          <w:rFonts w:ascii="Palatino Linotype" w:eastAsiaTheme="minorEastAsia" w:hAnsi="Palatino Linotype" w:cs="Arial"/>
        </w:rPr>
        <w:t xml:space="preserve">la prestación de servicios públicos, entre los que destaca el </w:t>
      </w:r>
      <w:r w:rsidRPr="00054841">
        <w:rPr>
          <w:rFonts w:ascii="Palatino Linotype" w:eastAsiaTheme="minorEastAsia" w:hAnsi="Palatino Linotype" w:cs="Arial"/>
          <w:lang w:val="es-MX"/>
        </w:rPr>
        <w:t>alumbrado público, el cual</w:t>
      </w:r>
      <w:r w:rsidRPr="00054841">
        <w:rPr>
          <w:rFonts w:ascii="Palatino Linotype" w:eastAsiaTheme="minorEastAsia" w:hAnsi="Palatino Linotype" w:cs="Arial"/>
        </w:rPr>
        <w:t xml:space="preserve"> conforme a lo dispuesto por el artículo</w:t>
      </w:r>
      <w:r w:rsidRPr="00054841">
        <w:rPr>
          <w:rFonts w:ascii="Palatino Linotype" w:eastAsiaTheme="minorEastAsia" w:hAnsi="Palatino Linotype" w:cs="Arial"/>
          <w:lang w:val="es-MX"/>
        </w:rPr>
        <w:t xml:space="preserve"> 3</w:t>
      </w:r>
      <w:r w:rsidRPr="00054841">
        <w:rPr>
          <w:rFonts w:ascii="Palatino Linotype" w:eastAsiaTheme="minorEastAsia" w:hAnsi="Palatino Linotype" w:cs="Arial"/>
        </w:rPr>
        <w:t>1</w:t>
      </w:r>
      <w:r w:rsidRPr="00054841">
        <w:rPr>
          <w:rFonts w:ascii="Palatino Linotype" w:eastAsiaTheme="minorEastAsia" w:hAnsi="Palatino Linotype" w:cs="Arial"/>
          <w:lang w:val="es-MX"/>
        </w:rPr>
        <w:t xml:space="preserve"> fracciones II y VII de la Ley Orgánica Municipal</w:t>
      </w:r>
      <w:r w:rsidRPr="00054841">
        <w:rPr>
          <w:rFonts w:ascii="Palatino Linotype" w:eastAsiaTheme="minorEastAsia" w:hAnsi="Palatino Linotype" w:cs="Arial"/>
        </w:rPr>
        <w:t xml:space="preserve"> del Estado de México, </w:t>
      </w:r>
      <w:r w:rsidRPr="00054841">
        <w:rPr>
          <w:rFonts w:ascii="Palatino Linotype" w:eastAsiaTheme="minorEastAsia" w:hAnsi="Palatino Linotype" w:cs="Arial"/>
          <w:lang w:val="es-MX"/>
        </w:rPr>
        <w:t>podrá prestarse mediante conven</w:t>
      </w:r>
      <w:r w:rsidRPr="00054841">
        <w:rPr>
          <w:rFonts w:ascii="Palatino Linotype" w:eastAsiaTheme="minorEastAsia" w:hAnsi="Palatino Linotype" w:cs="Arial"/>
        </w:rPr>
        <w:t>io, contrato o concesión, como se observa a continuación:</w:t>
      </w:r>
    </w:p>
    <w:p w:rsidR="00CD0897" w:rsidRPr="00CD0897" w:rsidRDefault="00CD0897" w:rsidP="008E45D6">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b/>
          <w:i/>
          <w:sz w:val="22"/>
          <w:szCs w:val="22"/>
        </w:rPr>
        <w:t>“Artículo 31.-</w:t>
      </w:r>
      <w:r w:rsidRPr="00CD0897">
        <w:rPr>
          <w:rFonts w:ascii="Palatino Linotype" w:eastAsiaTheme="minorEastAsia" w:hAnsi="Palatino Linotype" w:cs="Arial"/>
          <w:i/>
          <w:sz w:val="22"/>
          <w:szCs w:val="22"/>
        </w:rPr>
        <w:t xml:space="preserve"> Son atribuciones de los ayuntamientos:</w:t>
      </w:r>
    </w:p>
    <w:p w:rsidR="00CD0897" w:rsidRPr="00CD0897" w:rsidRDefault="00CD0897" w:rsidP="008E45D6">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w:t>
      </w:r>
    </w:p>
    <w:p w:rsidR="00CD0897" w:rsidRPr="00CD0897" w:rsidRDefault="00CD0897" w:rsidP="008E45D6">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CD0897" w:rsidRPr="00CD0897" w:rsidRDefault="00CD0897" w:rsidP="008E45D6">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w:t>
      </w:r>
    </w:p>
    <w:p w:rsidR="00CD0897" w:rsidRDefault="00CD0897" w:rsidP="008E45D6">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 xml:space="preserve">VII. Convenir, contratar o concesionar, en términos de ley, la ejecución de obras y la prestación de servicios públicos, con el Estado, con otros municipios de la </w:t>
      </w:r>
      <w:r w:rsidRPr="00CD0897">
        <w:rPr>
          <w:rFonts w:ascii="Palatino Linotype" w:eastAsiaTheme="minorEastAsia" w:hAnsi="Palatino Linotype" w:cs="Arial"/>
          <w:i/>
          <w:sz w:val="22"/>
          <w:szCs w:val="22"/>
        </w:rPr>
        <w:lastRenderedPageBreak/>
        <w:t>entidad o con particulares, recabando, cuando proceda, la autorización de la Legislatura del Estado;”</w:t>
      </w:r>
    </w:p>
    <w:p w:rsidR="008E45D6" w:rsidRPr="00CD0897" w:rsidRDefault="008E45D6" w:rsidP="008E45D6">
      <w:pPr>
        <w:autoSpaceDE w:val="0"/>
        <w:autoSpaceDN w:val="0"/>
        <w:adjustRightInd w:val="0"/>
        <w:ind w:left="851" w:right="851"/>
        <w:jc w:val="both"/>
        <w:rPr>
          <w:rFonts w:ascii="Palatino Linotype" w:eastAsiaTheme="minorEastAsia" w:hAnsi="Palatino Linotype" w:cs="Arial"/>
          <w:i/>
          <w:sz w:val="22"/>
          <w:szCs w:val="22"/>
        </w:rPr>
      </w:pPr>
    </w:p>
    <w:p w:rsidR="00CD0897" w:rsidRPr="00054841" w:rsidRDefault="00CD0897" w:rsidP="008E45D6">
      <w:pPr>
        <w:autoSpaceDE w:val="0"/>
        <w:autoSpaceDN w:val="0"/>
        <w:adjustRightInd w:val="0"/>
        <w:spacing w:before="240" w:after="240" w:line="360" w:lineRule="auto"/>
        <w:jc w:val="both"/>
        <w:rPr>
          <w:rFonts w:ascii="Palatino Linotype" w:hAnsi="Palatino Linotype" w:cs="Arial"/>
        </w:rPr>
      </w:pPr>
      <w:r w:rsidRPr="00054841">
        <w:rPr>
          <w:rFonts w:ascii="Palatino Linotype" w:eastAsiaTheme="minorHAnsi" w:hAnsi="Palatino Linotype" w:cs="Arial"/>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054841">
        <w:rPr>
          <w:rStyle w:val="Refdenotaalpie"/>
          <w:rFonts w:ascii="Palatino Linotype" w:hAnsi="Palatino Linotype" w:cs="Arial"/>
        </w:rPr>
        <w:footnoteReference w:id="16"/>
      </w:r>
      <w:r w:rsidRPr="00054841">
        <w:rPr>
          <w:rFonts w:ascii="Palatino Linotype" w:hAnsi="Palatino Linotype" w:cs="Arial"/>
        </w:rPr>
        <w:t>, dicha empresa tiene como fin el desarrollo de actividades empresariales, económicas, industriales y comerciales y como objeto la prestación del servicio público de transmisión y distribución de energía eléctrica, por cuenta y orden del Estado Mexicano</w:t>
      </w:r>
      <w:r w:rsidRPr="00054841">
        <w:rPr>
          <w:rStyle w:val="Refdenotaalpie"/>
          <w:rFonts w:ascii="Palatino Linotype" w:hAnsi="Palatino Linotype" w:cs="Arial"/>
        </w:rPr>
        <w:footnoteReference w:id="17"/>
      </w:r>
      <w:r w:rsidRPr="00054841">
        <w:rPr>
          <w:rFonts w:ascii="Palatino Linotype" w:hAnsi="Palatino Linotype" w:cs="Arial"/>
        </w:rPr>
        <w:t>, asimismo la Ley en mérito indica 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rsidR="00CD0897" w:rsidRPr="00CD0897" w:rsidRDefault="00CD0897" w:rsidP="008E45D6">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b/>
          <w:i/>
          <w:sz w:val="22"/>
          <w:szCs w:val="22"/>
        </w:rPr>
        <w:t>“Artículo 7.-</w:t>
      </w:r>
      <w:r w:rsidRPr="00CD0897">
        <w:rPr>
          <w:rFonts w:ascii="Palatino Linotype" w:eastAsiaTheme="minorEastAsia" w:hAnsi="Palatino Linotype" w:cs="Arial"/>
          <w:i/>
          <w:sz w:val="22"/>
          <w:szCs w:val="22"/>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CD0897" w:rsidRPr="00CD0897" w:rsidRDefault="00CD0897" w:rsidP="008E45D6">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i/>
          <w:sz w:val="22"/>
          <w:szCs w:val="22"/>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CD0897" w:rsidRDefault="00CD0897" w:rsidP="008E45D6">
      <w:pPr>
        <w:autoSpaceDE w:val="0"/>
        <w:autoSpaceDN w:val="0"/>
        <w:adjustRightInd w:val="0"/>
        <w:ind w:left="851" w:right="851"/>
        <w:jc w:val="both"/>
        <w:rPr>
          <w:rFonts w:ascii="Palatino Linotype" w:eastAsiaTheme="minorEastAsia" w:hAnsi="Palatino Linotype" w:cs="Arial"/>
          <w:i/>
          <w:sz w:val="22"/>
          <w:szCs w:val="22"/>
        </w:rPr>
      </w:pPr>
      <w:r w:rsidRPr="00CD0897">
        <w:rPr>
          <w:rFonts w:ascii="Palatino Linotype" w:eastAsiaTheme="minorEastAsia" w:hAnsi="Palatino Linotype" w:cs="Arial"/>
          <w:b/>
          <w:i/>
          <w:sz w:val="22"/>
          <w:szCs w:val="22"/>
        </w:rPr>
        <w:lastRenderedPageBreak/>
        <w:t>Artículo 8.-</w:t>
      </w:r>
      <w:r w:rsidRPr="00CD0897">
        <w:rPr>
          <w:rFonts w:ascii="Palatino Linotype" w:eastAsiaTheme="minorEastAsia" w:hAnsi="Palatino Linotype" w:cs="Arial"/>
          <w:i/>
          <w:sz w:val="22"/>
          <w:szCs w:val="22"/>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8E45D6" w:rsidRPr="00CD0897" w:rsidRDefault="008E45D6" w:rsidP="008E45D6">
      <w:pPr>
        <w:autoSpaceDE w:val="0"/>
        <w:autoSpaceDN w:val="0"/>
        <w:adjustRightInd w:val="0"/>
        <w:ind w:left="851" w:right="851"/>
        <w:jc w:val="both"/>
        <w:rPr>
          <w:rFonts w:ascii="Palatino Linotype" w:eastAsiaTheme="minorEastAsia" w:hAnsi="Palatino Linotype" w:cs="Arial"/>
          <w:i/>
          <w:sz w:val="22"/>
          <w:szCs w:val="22"/>
        </w:rPr>
      </w:pPr>
    </w:p>
    <w:p w:rsidR="00CD0897" w:rsidRPr="00054841" w:rsidRDefault="00CD0897" w:rsidP="00D2307F">
      <w:pPr>
        <w:autoSpaceDE w:val="0"/>
        <w:autoSpaceDN w:val="0"/>
        <w:adjustRightInd w:val="0"/>
        <w:spacing w:before="240" w:after="240" w:line="360" w:lineRule="auto"/>
        <w:jc w:val="both"/>
        <w:rPr>
          <w:rFonts w:ascii="Palatino Linotype" w:hAnsi="Palatino Linotype" w:cs="Arial"/>
        </w:rPr>
      </w:pPr>
      <w:r w:rsidRPr="00054841">
        <w:rPr>
          <w:rFonts w:ascii="Palatino Linotype" w:eastAsiaTheme="minorHAnsi" w:hAnsi="Palatino Linotype" w:cs="Arial"/>
        </w:rPr>
        <w:t xml:space="preserve">De la interpretación de los preceptos jurídicos citados con anterioridad, se advierte que tanto los Municipios como la Comisión Federal de Electricidad cuentan con las atribuciones y facultades suficientes para la celebración de contratos y convenios para la prestación de servicios </w:t>
      </w:r>
      <w:r w:rsidRPr="00054841">
        <w:rPr>
          <w:rFonts w:ascii="Palatino Linotype" w:hAnsi="Palatino Linotype" w:cs="Arial"/>
        </w:rPr>
        <w:t>por concepto de suministro de energía eléctrica, por lo que se considera dable ordenar la entrega del o los contratos que se hayan celebrado al trece de noviembre de dos mil dieciocho.</w:t>
      </w:r>
    </w:p>
    <w:p w:rsidR="00CD0897" w:rsidRPr="00054841" w:rsidRDefault="00CD0897" w:rsidP="00D2307F">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 xml:space="preserve">En cuanto al siguiente </w:t>
      </w:r>
      <w:r w:rsidRPr="00D2307F">
        <w:rPr>
          <w:rFonts w:ascii="Palatino Linotype" w:hAnsi="Palatino Linotype" w:cs="Arial"/>
          <w:b/>
        </w:rPr>
        <w:t>punto, relacionado con el convenio denominado “Peso por Peso”</w:t>
      </w:r>
      <w:r w:rsidRPr="00054841">
        <w:rPr>
          <w:rFonts w:ascii="Palatino Linotype" w:hAnsi="Palatino Linotype" w:cs="Arial"/>
        </w:rPr>
        <w:t>, tenemos que la Comisión Federal de Electricidad emitió las “Políticas generales para la cancelación de adeudos a cargo de terceros y a favor de la CFE”, dichas políticas fueron dirigidas principalmente para ayudar a los deudores cuando existiera inviabilidad económica o imposibilidad de práctica en el cobro de los deudores, por ende se diseñaron instrumentos para reducir el crecimiento de la cartera vencida de la CFE, entre los cuales el instrumento 5 corresponde a la “Política de peso por peso para gobiernos municipales”.</w:t>
      </w:r>
    </w:p>
    <w:p w:rsidR="00CD0897" w:rsidRPr="00054841" w:rsidRDefault="00CD0897" w:rsidP="00D2307F">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 xml:space="preserve">Dicha política consiste en la recuperación de cartera vencida a través de la formulación de convenios con gobiernos municipales, para restructurar por una sola vez los adeudos aplicando un esquema que garantice el pago oportuno de la facturación; en dicha modalidad el Gobierno Federal aportará por conducto de la </w:t>
      </w:r>
      <w:r w:rsidRPr="00054841">
        <w:rPr>
          <w:rFonts w:ascii="Palatino Linotype" w:hAnsi="Palatino Linotype" w:cs="Arial"/>
        </w:rPr>
        <w:lastRenderedPageBreak/>
        <w:t>CFE un peso para cubrir el adeudo histórico</w:t>
      </w:r>
      <w:r w:rsidRPr="00054841">
        <w:rPr>
          <w:rStyle w:val="Refdenotaalpie"/>
          <w:rFonts w:ascii="Palatino Linotype" w:hAnsi="Palatino Linotype" w:cs="Arial"/>
        </w:rPr>
        <w:footnoteReference w:id="18"/>
      </w:r>
      <w:r w:rsidRPr="00054841">
        <w:rPr>
          <w:rFonts w:ascii="Palatino Linotype" w:hAnsi="Palatino Linotype" w:cs="Arial"/>
        </w:rPr>
        <w:t>, por cada peso que paguen los municipios de la facturación normal, dichos pagos se podrán garantizar con las participaciones federales que le correspondan a cada municipio que firme el convenio.</w:t>
      </w:r>
    </w:p>
    <w:p w:rsidR="00CD0897" w:rsidRPr="00054841" w:rsidRDefault="00CD0897" w:rsidP="00D2307F">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Además, en dichos documento se establece que la aplicación de esa política ha resultado efectiva para atender la cartera vencida en entidades como el Estado de México, en donde se han firmado 196 convenios con municipios, como se muestra en el siguiente extracto:</w:t>
      </w:r>
    </w:p>
    <w:p w:rsidR="00CD0897" w:rsidRPr="00054841" w:rsidRDefault="00CD0897" w:rsidP="00CD0897">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noProof/>
          <w:lang w:val="es-MX" w:eastAsia="es-MX"/>
        </w:rPr>
        <w:drawing>
          <wp:inline distT="0" distB="0" distL="0" distR="0" wp14:anchorId="67DCC98C" wp14:editId="1C2CF127">
            <wp:extent cx="5612130" cy="264795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04.png"/>
                    <pic:cNvPicPr/>
                  </pic:nvPicPr>
                  <pic:blipFill rotWithShape="1">
                    <a:blip r:embed="rId40">
                      <a:extLst>
                        <a:ext uri="{28A0092B-C50C-407E-A947-70E740481C1C}">
                          <a14:useLocalDpi xmlns:a14="http://schemas.microsoft.com/office/drawing/2010/main" val="0"/>
                        </a:ext>
                      </a:extLst>
                    </a:blip>
                    <a:srcRect b="49892"/>
                    <a:stretch/>
                  </pic:blipFill>
                  <pic:spPr bwMode="auto">
                    <a:xfrm>
                      <a:off x="0" y="0"/>
                      <a:ext cx="5612130" cy="2647950"/>
                    </a:xfrm>
                    <a:prstGeom prst="rect">
                      <a:avLst/>
                    </a:prstGeom>
                    <a:ln>
                      <a:noFill/>
                    </a:ln>
                    <a:extLst>
                      <a:ext uri="{53640926-AAD7-44D8-BBD7-CCE9431645EC}">
                        <a14:shadowObscured xmlns:a14="http://schemas.microsoft.com/office/drawing/2010/main"/>
                      </a:ext>
                    </a:extLst>
                  </pic:spPr>
                </pic:pic>
              </a:graphicData>
            </a:graphic>
          </wp:inline>
        </w:drawing>
      </w:r>
    </w:p>
    <w:p w:rsidR="00CD0897" w:rsidRPr="00054841" w:rsidRDefault="00CD0897" w:rsidP="00D2307F">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 xml:space="preserve">Por lo anterior, este Órgano Garante advierte que el Sujeto Obligado haya firmado un convenio “Peso por peso”, por lo que lo procedente será ordenar el último celebrado o el vigente a la fecha de la solicitud, en caso de localizarlo deberá </w:t>
      </w:r>
      <w:r w:rsidRPr="00054841">
        <w:rPr>
          <w:rFonts w:ascii="Palatino Linotype" w:hAnsi="Palatino Linotype" w:cs="Arial"/>
        </w:rPr>
        <w:lastRenderedPageBreak/>
        <w:t>entregarlo en versión pública al particular en términos del considerando siguiente, sin embargo de no haberse celebrado convenio alguno bastará que lo haga del conocimiento del particular.</w:t>
      </w:r>
    </w:p>
    <w:p w:rsidR="00CD0897" w:rsidRPr="00054841" w:rsidRDefault="00CD0897" w:rsidP="00D2307F">
      <w:pPr>
        <w:autoSpaceDE w:val="0"/>
        <w:autoSpaceDN w:val="0"/>
        <w:adjustRightInd w:val="0"/>
        <w:spacing w:before="240" w:after="240" w:line="360" w:lineRule="auto"/>
        <w:jc w:val="both"/>
        <w:rPr>
          <w:rFonts w:ascii="Palatino Linotype" w:hAnsi="Palatino Linotype" w:cs="Arial"/>
        </w:rPr>
      </w:pPr>
      <w:r w:rsidRPr="00D2307F">
        <w:rPr>
          <w:rFonts w:ascii="Palatino Linotype" w:hAnsi="Palatino Linotype" w:cs="Arial"/>
          <w:b/>
          <w:noProof/>
          <w:lang w:val="es-MX" w:eastAsia="es-MX"/>
        </w:rPr>
        <w:drawing>
          <wp:anchor distT="0" distB="0" distL="114300" distR="114300" simplePos="0" relativeHeight="251665408" behindDoc="1" locked="0" layoutInCell="1" allowOverlap="1" wp14:anchorId="032C3139" wp14:editId="51691932">
            <wp:simplePos x="0" y="0"/>
            <wp:positionH relativeFrom="margin">
              <wp:posOffset>277817</wp:posOffset>
            </wp:positionH>
            <wp:positionV relativeFrom="paragraph">
              <wp:posOffset>3353159</wp:posOffset>
            </wp:positionV>
            <wp:extent cx="4784725" cy="3145809"/>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4.jpg"/>
                    <pic:cNvPicPr/>
                  </pic:nvPicPr>
                  <pic:blipFill>
                    <a:blip r:embed="rId41">
                      <a:extLst>
                        <a:ext uri="{28A0092B-C50C-407E-A947-70E740481C1C}">
                          <a14:useLocalDpi xmlns:a14="http://schemas.microsoft.com/office/drawing/2010/main" val="0"/>
                        </a:ext>
                      </a:extLst>
                    </a:blip>
                    <a:stretch>
                      <a:fillRect/>
                    </a:stretch>
                  </pic:blipFill>
                  <pic:spPr>
                    <a:xfrm>
                      <a:off x="0" y="0"/>
                      <a:ext cx="4794271" cy="3152085"/>
                    </a:xfrm>
                    <a:prstGeom prst="rect">
                      <a:avLst/>
                    </a:prstGeom>
                  </pic:spPr>
                </pic:pic>
              </a:graphicData>
            </a:graphic>
            <wp14:sizeRelH relativeFrom="margin">
              <wp14:pctWidth>0</wp14:pctWidth>
            </wp14:sizeRelH>
            <wp14:sizeRelV relativeFrom="margin">
              <wp14:pctHeight>0</wp14:pctHeight>
            </wp14:sizeRelV>
          </wp:anchor>
        </w:drawing>
      </w:r>
      <w:r w:rsidR="00575F0E">
        <w:rPr>
          <w:rFonts w:ascii="Palatino Linotype" w:hAnsi="Palatino Linotype" w:cs="Arial"/>
          <w:b/>
        </w:rPr>
        <w:t xml:space="preserve">Por lo que se refiere </w:t>
      </w:r>
      <w:r w:rsidRPr="00D2307F">
        <w:rPr>
          <w:rFonts w:ascii="Palatino Linotype" w:hAnsi="Palatino Linotype" w:cs="Arial"/>
          <w:b/>
        </w:rPr>
        <w:t>al convenio para recaudar el Derecho de Alumbrado Público “DAP”</w:t>
      </w:r>
      <w:r w:rsidRPr="00054841">
        <w:rPr>
          <w:rFonts w:ascii="Palatino Linotype" w:hAnsi="Palatino Linotype" w:cs="Arial"/>
        </w:rPr>
        <w:t>, en primer lugar debemos precisar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2018, se pudo advertir que se encuentra dentro de las mismas el pago por derechos de servicio de alumbrado público, como se muestra en la siguiente imagen a manera de ejemplo:</w:t>
      </w:r>
    </w:p>
    <w:p w:rsidR="00CD0897" w:rsidRPr="00054841" w:rsidRDefault="00CD0897" w:rsidP="00CD0897">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noProof/>
          <w:lang w:val="es-MX" w:eastAsia="es-MX"/>
        </w:rPr>
        <w:lastRenderedPageBreak/>
        <w:drawing>
          <wp:inline distT="0" distB="0" distL="0" distR="0" wp14:anchorId="47F86390" wp14:editId="1F107856">
            <wp:extent cx="5612130" cy="33401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804.jpg"/>
                    <pic:cNvPicPr/>
                  </pic:nvPicPr>
                  <pic:blipFill>
                    <a:blip r:embed="rId41">
                      <a:extLst>
                        <a:ext uri="{28A0092B-C50C-407E-A947-70E740481C1C}">
                          <a14:useLocalDpi xmlns:a14="http://schemas.microsoft.com/office/drawing/2010/main" val="0"/>
                        </a:ext>
                      </a:extLst>
                    </a:blip>
                    <a:stretch>
                      <a:fillRect/>
                    </a:stretch>
                  </pic:blipFill>
                  <pic:spPr>
                    <a:xfrm>
                      <a:off x="0" y="0"/>
                      <a:ext cx="5612130" cy="3340100"/>
                    </a:xfrm>
                    <a:prstGeom prst="rect">
                      <a:avLst/>
                    </a:prstGeom>
                  </pic:spPr>
                </pic:pic>
              </a:graphicData>
            </a:graphic>
          </wp:inline>
        </w:drawing>
      </w:r>
    </w:p>
    <w:p w:rsidR="00CD0897" w:rsidRPr="00054841" w:rsidRDefault="00CD0897" w:rsidP="00CD0897">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De la misma manera, el Código Financiero del Estado de México, contempla los derechos por servicio de alumbrado público en sus artículos 161 y 162, indicando que para la prestación de dicho servicio se pagará bimestralmente el 10 % del cargo a cubrir por la recepción del servicio contratado cuando se apliquen tarifas 1,</w:t>
      </w:r>
      <w:r w:rsidR="00D2307F">
        <w:rPr>
          <w:rFonts w:ascii="Palatino Linotype" w:hAnsi="Palatino Linotype" w:cs="Arial"/>
        </w:rPr>
        <w:t xml:space="preserve"> </w:t>
      </w:r>
      <w:r w:rsidRPr="00054841">
        <w:rPr>
          <w:rFonts w:ascii="Palatino Linotype" w:hAnsi="Palatino Linotype" w:cs="Arial"/>
        </w:rPr>
        <w:t xml:space="preserve">2 3 del acuerdo que autoriza el ajuste de las mismas para el suministro y venta de energía, y el 2% en aquellos casos en que se apliquen las tarifas H-M u O-M y H-S o H-T, mismo que no podrá exceder 5 veces el valor diario de la unidad de medida y actualización vigente; asimismo señala que los ayuntamientos podrán acordar la aplicación del derecho en aquellas zonas que no tengan grado relativo de existencia del servicio, a solitud de los habitantes del área específica del municipio, o por convenio expreso entre éstos y el ayuntamiento cuando los importes de su recaudación se detienen a la introducción o ampliación de las redes de alumbrado público faltantes o insuficientes. </w:t>
      </w:r>
    </w:p>
    <w:p w:rsidR="00782804" w:rsidRPr="00885808" w:rsidRDefault="00F37C28" w:rsidP="00CD0897">
      <w:pPr>
        <w:autoSpaceDE w:val="0"/>
        <w:autoSpaceDN w:val="0"/>
        <w:adjustRightInd w:val="0"/>
        <w:spacing w:before="240" w:after="240" w:line="360" w:lineRule="auto"/>
        <w:ind w:right="-141"/>
        <w:jc w:val="both"/>
        <w:rPr>
          <w:rFonts w:ascii="Palatino Linotype" w:hAnsi="Palatino Linotype"/>
        </w:rPr>
      </w:pPr>
      <w:r w:rsidRPr="00885808">
        <w:rPr>
          <w:rFonts w:ascii="Palatino Linotype" w:hAnsi="Palatino Linotype" w:cs="Arial"/>
        </w:rPr>
        <w:lastRenderedPageBreak/>
        <w:t xml:space="preserve">Al respecto es de suma importancia mencionar que </w:t>
      </w:r>
      <w:r w:rsidR="00782804" w:rsidRPr="00885808">
        <w:rPr>
          <w:rFonts w:ascii="Palatino Linotype" w:hAnsi="Palatino Linotype" w:cs="Arial"/>
        </w:rPr>
        <w:t xml:space="preserve">al consultar </w:t>
      </w:r>
      <w:r w:rsidRPr="00885808">
        <w:rPr>
          <w:rFonts w:ascii="Palatino Linotype" w:hAnsi="Palatino Linotype" w:cs="Arial"/>
        </w:rPr>
        <w:t xml:space="preserve">la dirección electrónica </w:t>
      </w:r>
      <w:hyperlink r:id="rId42" w:history="1">
        <w:r w:rsidR="00782804" w:rsidRPr="00885808">
          <w:rPr>
            <w:rStyle w:val="Hipervnculo"/>
            <w:rFonts w:ascii="Palatino Linotype" w:hAnsi="Palatino Linotype" w:cs="Arial"/>
          </w:rPr>
          <w:t>http://legislacion.edomex.gob.mx/convenio</w:t>
        </w:r>
      </w:hyperlink>
      <w:r w:rsidR="00782804" w:rsidRPr="00885808">
        <w:rPr>
          <w:rFonts w:ascii="Palatino Linotype" w:hAnsi="Palatino Linotype" w:cs="Arial"/>
        </w:rPr>
        <w:t xml:space="preserve"> se advierte que el Municipio de San Felipe del Progreso el 08 de junio de 1990 celebró el convenio de colaboración para el cobro y administración </w:t>
      </w:r>
      <w:r w:rsidR="00782804" w:rsidRPr="00885808">
        <w:rPr>
          <w:rFonts w:ascii="Palatino Linotype" w:hAnsi="Palatino Linotype"/>
        </w:rPr>
        <w:t>de los derechos de alumbrado público, tal y como muestra a continuación:</w:t>
      </w:r>
    </w:p>
    <w:p w:rsidR="00782804" w:rsidRPr="00885808" w:rsidRDefault="00782804" w:rsidP="00CD0897">
      <w:pPr>
        <w:autoSpaceDE w:val="0"/>
        <w:autoSpaceDN w:val="0"/>
        <w:adjustRightInd w:val="0"/>
        <w:spacing w:before="240" w:after="240" w:line="360" w:lineRule="auto"/>
        <w:ind w:right="-141"/>
        <w:jc w:val="both"/>
      </w:pPr>
      <w:r w:rsidRPr="00885808">
        <w:rPr>
          <w:noProof/>
          <w:lang w:val="es-MX" w:eastAsia="es-MX"/>
        </w:rPr>
        <w:drawing>
          <wp:inline distT="0" distB="0" distL="0" distR="0" wp14:anchorId="647C2391" wp14:editId="6EE675A8">
            <wp:extent cx="5721714" cy="1065475"/>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9694" t="37792" r="25051" b="52135"/>
                    <a:stretch/>
                  </pic:blipFill>
                  <pic:spPr bwMode="auto">
                    <a:xfrm>
                      <a:off x="0" y="0"/>
                      <a:ext cx="5768728" cy="1074230"/>
                    </a:xfrm>
                    <a:prstGeom prst="rect">
                      <a:avLst/>
                    </a:prstGeom>
                    <a:ln>
                      <a:noFill/>
                    </a:ln>
                    <a:extLst>
                      <a:ext uri="{53640926-AAD7-44D8-BBD7-CCE9431645EC}">
                        <a14:shadowObscured xmlns:a14="http://schemas.microsoft.com/office/drawing/2010/main"/>
                      </a:ext>
                    </a:extLst>
                  </pic:spPr>
                </pic:pic>
              </a:graphicData>
            </a:graphic>
          </wp:inline>
        </w:drawing>
      </w:r>
    </w:p>
    <w:p w:rsidR="00CD0897" w:rsidRPr="00054841" w:rsidRDefault="00782804" w:rsidP="00CD0897">
      <w:pPr>
        <w:autoSpaceDE w:val="0"/>
        <w:autoSpaceDN w:val="0"/>
        <w:adjustRightInd w:val="0"/>
        <w:spacing w:before="240" w:after="240" w:line="360" w:lineRule="auto"/>
        <w:ind w:right="-141"/>
        <w:jc w:val="both"/>
        <w:rPr>
          <w:rFonts w:ascii="Palatino Linotype" w:hAnsi="Palatino Linotype" w:cs="Arial"/>
        </w:rPr>
      </w:pPr>
      <w:r w:rsidRPr="00885808">
        <w:rPr>
          <w:rFonts w:ascii="Palatino Linotype" w:hAnsi="Palatino Linotype" w:cs="Arial"/>
        </w:rPr>
        <w:t xml:space="preserve">No obstante </w:t>
      </w:r>
      <w:r w:rsidR="00CD0897" w:rsidRPr="00885808">
        <w:rPr>
          <w:rFonts w:ascii="Palatino Linotype" w:hAnsi="Palatino Linotype" w:cs="Arial"/>
        </w:rPr>
        <w:t xml:space="preserve">lo anterior, se advierte que existe la posibilidad de que </w:t>
      </w:r>
      <w:r w:rsidRPr="00885808">
        <w:rPr>
          <w:rFonts w:ascii="Palatino Linotype" w:hAnsi="Palatino Linotype" w:cs="Arial"/>
        </w:rPr>
        <w:t xml:space="preserve">después de la firma del referido anteriormente se hubiese celebrado otro convenio con </w:t>
      </w:r>
      <w:r w:rsidR="00CD0897" w:rsidRPr="00885808">
        <w:rPr>
          <w:rFonts w:ascii="Palatino Linotype" w:hAnsi="Palatino Linotype" w:cs="Arial"/>
        </w:rPr>
        <w:t xml:space="preserve">la Comisión Federal de Electricidad </w:t>
      </w:r>
      <w:r w:rsidRPr="00885808">
        <w:rPr>
          <w:rFonts w:ascii="Palatino Linotype" w:hAnsi="Palatino Linotype" w:cs="Arial"/>
        </w:rPr>
        <w:t xml:space="preserve">para </w:t>
      </w:r>
      <w:r w:rsidR="00CD0897" w:rsidRPr="00885808">
        <w:rPr>
          <w:rFonts w:ascii="Palatino Linotype" w:hAnsi="Palatino Linotype" w:cs="Arial"/>
        </w:rPr>
        <w:t>el cobro del derecho de alumbrado público, por lo que resulta procedente ordenar la entrega del último convenio celebrado que se hayan firmado con la CFE así como el monto recaudado por ese derecho a través de la Comisión del periodo del uno de enero de dos mil trece al trece de noviembre de dos mil dieciocho.</w:t>
      </w:r>
    </w:p>
    <w:p w:rsidR="00CD0897" w:rsidRPr="00054841" w:rsidRDefault="00CD0897" w:rsidP="00CD0897">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7: Juicios y controversias por el pago de Derecho de Alumbrado Público</w:t>
      </w:r>
    </w:p>
    <w:p w:rsidR="00CD0897" w:rsidRPr="00054841" w:rsidRDefault="00CD0897" w:rsidP="00D2307F">
      <w:pPr>
        <w:spacing w:before="240" w:after="240" w:line="360" w:lineRule="auto"/>
        <w:jc w:val="both"/>
        <w:rPr>
          <w:rFonts w:ascii="Palatino Linotype" w:hAnsi="Palatino Linotype"/>
        </w:rPr>
      </w:pPr>
      <w:r w:rsidRPr="00054841">
        <w:rPr>
          <w:rFonts w:ascii="Palatino Linotype" w:hAnsi="Palatino Linotype"/>
        </w:rPr>
        <w:t xml:space="preserve">En otro punto, toca el momento de analizar lo relativo al </w:t>
      </w:r>
      <w:r w:rsidRPr="00054841">
        <w:rPr>
          <w:rFonts w:ascii="Palatino Linotype" w:hAnsi="Palatino Linotype"/>
          <w:b/>
        </w:rPr>
        <w:t xml:space="preserve">Grupo 7, </w:t>
      </w:r>
      <w:r w:rsidRPr="00054841">
        <w:rPr>
          <w:rFonts w:ascii="Palatino Linotype" w:hAnsi="Palatino Linotype"/>
        </w:rPr>
        <w:t>en el que agruparon los siguientes requerimientos:</w:t>
      </w:r>
    </w:p>
    <w:p w:rsidR="00CD0897" w:rsidRPr="00D2307F" w:rsidRDefault="00CD0897" w:rsidP="00CD0897">
      <w:pPr>
        <w:spacing w:line="360" w:lineRule="auto"/>
        <w:ind w:left="567" w:right="51"/>
        <w:jc w:val="both"/>
        <w:rPr>
          <w:rFonts w:ascii="Palatino Linotype" w:hAnsi="Palatino Linotype"/>
          <w:b/>
          <w:i/>
          <w:sz w:val="22"/>
          <w:szCs w:val="22"/>
        </w:rPr>
      </w:pPr>
      <w:r w:rsidRPr="00D2307F">
        <w:rPr>
          <w:rFonts w:ascii="Palatino Linotype" w:hAnsi="Palatino Linotype"/>
          <w:b/>
          <w:i/>
          <w:sz w:val="22"/>
          <w:szCs w:val="22"/>
        </w:rPr>
        <w:t xml:space="preserve">1. El listado y/o número de juicios y controversias promovidos por particulares en contra del municipio por el cobro del Derecho de Alumbrado Público “DAP” durante los años 2013, 2014, 2015, 2016, 2017 y los meses que van de 2018. </w:t>
      </w:r>
    </w:p>
    <w:p w:rsidR="00CD0897" w:rsidRPr="00D2307F" w:rsidRDefault="00CD0897" w:rsidP="00CD0897">
      <w:pPr>
        <w:spacing w:line="360" w:lineRule="auto"/>
        <w:ind w:left="567" w:right="49"/>
        <w:jc w:val="both"/>
        <w:rPr>
          <w:rFonts w:ascii="Palatino Linotype" w:hAnsi="Palatino Linotype"/>
          <w:b/>
          <w:i/>
          <w:sz w:val="22"/>
          <w:szCs w:val="22"/>
        </w:rPr>
      </w:pPr>
      <w:r w:rsidRPr="00D2307F">
        <w:rPr>
          <w:rFonts w:ascii="Palatino Linotype" w:hAnsi="Palatino Linotype"/>
          <w:b/>
          <w:i/>
          <w:sz w:val="22"/>
          <w:szCs w:val="22"/>
        </w:rPr>
        <w:lastRenderedPageBreak/>
        <w:t>2. El listado y/o número de juicios y controversias perdidos y ganados por el ayuntamiento (municipio) ante los particulares que reclaman el pago indebido del Derecho de Alumbrado Público durante los años 2013, 2014, 2015, 2016, 2017 y los meses que van de 2018.</w:t>
      </w:r>
    </w:p>
    <w:p w:rsidR="00CD0897" w:rsidRPr="00054841" w:rsidRDefault="00CD0897" w:rsidP="00D2307F">
      <w:pPr>
        <w:spacing w:before="240" w:after="240" w:line="360" w:lineRule="auto"/>
        <w:jc w:val="both"/>
        <w:rPr>
          <w:rFonts w:ascii="Palatino Linotype" w:hAnsi="Palatino Linotype"/>
        </w:rPr>
      </w:pPr>
      <w:r w:rsidRPr="00054841">
        <w:rPr>
          <w:rFonts w:ascii="Palatino Linotype" w:hAnsi="Palatino Linotype"/>
        </w:rPr>
        <w:t>Al respecto, es de establecer en primer lugar que el “DAP” o bien denominado “Derecho de Alumbrado Público”, consistente en el pago porcentual del total de consumo de un periodo, por tener iluminadas las vialidades, plazas, monumentos, jardines y parques públicos, en donde actúa la CFE como autoridad responsable, cuando auxilia a la autoridad municipal en el cobro de los derechos de alumbrado público, mediante la emisión de un recibo de facturación del servicio de energía eléctrica, que se sustenta en la Ley de Ingresos Municipal previo convenio con el Ayuntamiento, sustenta lo dicho la tesis aislada de los Tribunales Colegiados de Circuito que responde al rubro y texto siguiente:</w:t>
      </w:r>
    </w:p>
    <w:p w:rsidR="00CD0897" w:rsidRDefault="00CD0897" w:rsidP="00244C0B">
      <w:pPr>
        <w:ind w:left="851" w:right="851"/>
        <w:jc w:val="both"/>
        <w:rPr>
          <w:rFonts w:ascii="Palatino Linotype" w:hAnsi="Palatino Linotype"/>
          <w:i/>
          <w:sz w:val="22"/>
          <w:szCs w:val="22"/>
        </w:rPr>
      </w:pPr>
      <w:r w:rsidRPr="00CD0897">
        <w:rPr>
          <w:rFonts w:ascii="Palatino Linotype" w:hAnsi="Palatino Linotype"/>
          <w:b/>
          <w:i/>
          <w:sz w:val="22"/>
          <w:szCs w:val="22"/>
        </w:rPr>
        <w:t xml:space="preserve">“COMISIÓN FEDERAL DE ELECTRICIDAD. ACTÚA COMO PARTICULAR ASIMILADA A AUTORIDAD RESPONSABLE, CUANDO MEDIANTE LA EMISIÓN DEL AVISO-RECIBO CORRESPONDIENTE AUXILIA A LA ADMINISTRACIÓN MUNICIPAL EN EL COBRO DE DERECHOS DE ALUMBRADO PÚBLICO (LEGISLACIÓN VIGENTE A PARTIR DEL 3 DE ABRIL DE 2013). </w:t>
      </w:r>
      <w:r w:rsidRPr="00CD0897">
        <w:rPr>
          <w:rFonts w:ascii="Palatino Linotype" w:hAnsi="Palatino Linotype"/>
          <w:i/>
          <w:sz w:val="22"/>
          <w:szCs w:val="22"/>
        </w:rPr>
        <w:t xml:space="preserve">Conforme al artículo 5o., fracción II, de la Ley de Amparo, el concepto de autoridades responsables comprende las siguientes: i. Autoridades stricto sensu, es decir, los entes públicos con facultades coercitivas que dictan, ordenan, ejecutan o tratan de ejecutar un acto susceptible de crear, modificar o extinguir situaciones jurídicas de forma unilateral y obligatoria, o bien, omiten el acto que crearía, modificaría o extinguiría esas situaciones; y, ii. Los particulares asimilados a autoridades, que son los entes públicos sin facultades coercitivas o las personas privadas que realizan actos equivalentes a los de las autoridades en virtud de una norma general. Ahora bien, la Comisión Federal de Electricidad actúa con este último carácter cuando auxilia a la administración municipal en el cobro de los derechos de alumbrado público mediante la emisión de un recibo de facturación </w:t>
      </w:r>
      <w:r w:rsidRPr="00CD0897">
        <w:rPr>
          <w:rFonts w:ascii="Palatino Linotype" w:hAnsi="Palatino Linotype"/>
          <w:i/>
          <w:sz w:val="22"/>
          <w:szCs w:val="22"/>
        </w:rPr>
        <w:lastRenderedPageBreak/>
        <w:t>del servicio de energía eléctrica. Efectivamente, ese acto equivale al de una autoridad, pues a través de él se determina y requiere unilateralmente el pago de una contribución, lo que crea una situación jurídica vinculante para el gobernado, al concretar y delimitar su obligación tributaria. Además, esa actuación es efectuada con base en una norma general, es decir, la ley de ingresos municipal que autoriza el cobro del servicio de alumbrado público a través de la mencionada comisión, previo convenio con el Ayuntamiento. Por tanto, cuando se reclame la recaudación del derecho de alumbrado público contenida en un aviso-recibo del referido organismo descentralizado, deberá considerarse a éste como autoridad responsable por equiparación. No obsta a lo anterior la jurisprudencia 2a./J. 112/2006 de rubro: "COMISIÓN FEDERAL DE ELECTRICIDAD. ACTÚA COMO PARTICULAR EN AUXILIO DE LA ADMINISTRACIÓN PÚBLICA MUNICIPAL CUANDO DETERMINA Y RECAUDA EL DERECHO POR EL SERVICIO DE ALUMBRADO PÚBLICO.", en la cual la Segunda Sala de la Suprema Corte de Justicia de la Nación determinó que la comisión no actuaba como una autoridad por carecer de facultades coercitivas de cobro; ya que ese criterio se sustentó en el concepto de autoridad contenido en el artículo 11 de la Ley de Amparo, vigente hasta el 2 de abril de 2013, el cual no incluía a los particulares asimilados a autoridades, a diferencia del nuevo concepto de autoridad acuñado en el citado artículo 5o., fracción II.”</w:t>
      </w:r>
    </w:p>
    <w:p w:rsidR="00244C0B" w:rsidRPr="00CD0897" w:rsidRDefault="00244C0B" w:rsidP="00244C0B">
      <w:pPr>
        <w:ind w:left="851" w:right="851"/>
        <w:jc w:val="both"/>
        <w:rPr>
          <w:rFonts w:ascii="Palatino Linotype" w:hAnsi="Palatino Linotype"/>
          <w:i/>
          <w:sz w:val="22"/>
          <w:szCs w:val="22"/>
        </w:rPr>
      </w:pPr>
    </w:p>
    <w:p w:rsidR="00CD0897" w:rsidRPr="00054841" w:rsidRDefault="00CD0897" w:rsidP="00244C0B">
      <w:pPr>
        <w:spacing w:before="240" w:after="240" w:line="360" w:lineRule="auto"/>
        <w:jc w:val="both"/>
        <w:rPr>
          <w:rFonts w:ascii="Palatino Linotype" w:hAnsi="Palatino Linotype"/>
        </w:rPr>
      </w:pPr>
      <w:r w:rsidRPr="00054841">
        <w:rPr>
          <w:rFonts w:ascii="Palatino Linotype" w:hAnsi="Palatino Linotype"/>
        </w:rPr>
        <w:t>Ahora bien, en términos de la Tesis Aislada XXI.4o.14 A de los Tribunales Colegiados de Circuito de la Novena Época, se acredita el interés jurídico para impugnar en amparo el derecho relativo al alumbrado público con el aviso-recibo expedido por la CFE, que en esencia constituye el acto concreto, al encontrarse consignado en el mismo, el mo</w:t>
      </w:r>
      <w:r w:rsidR="00F220D6">
        <w:rPr>
          <w:rFonts w:ascii="Palatino Linotype" w:hAnsi="Palatino Linotype"/>
        </w:rPr>
        <w:t>nto que corresponde a la tarif</w:t>
      </w:r>
      <w:r w:rsidRPr="00054841">
        <w:rPr>
          <w:rFonts w:ascii="Palatino Linotype" w:hAnsi="Palatino Linotype"/>
        </w:rPr>
        <w:t>a de usuario por el DAP</w:t>
      </w:r>
      <w:r w:rsidRPr="00054841">
        <w:rPr>
          <w:rStyle w:val="Refdenotaalpie"/>
          <w:rFonts w:ascii="Palatino Linotype" w:hAnsi="Palatino Linotype"/>
        </w:rPr>
        <w:footnoteReference w:id="19"/>
      </w:r>
      <w:r w:rsidRPr="00054841">
        <w:rPr>
          <w:rFonts w:ascii="Palatino Linotype" w:hAnsi="Palatino Linotype"/>
        </w:rPr>
        <w:t>.</w:t>
      </w:r>
    </w:p>
    <w:p w:rsidR="00CD0897" w:rsidRPr="00054841" w:rsidRDefault="00CD0897" w:rsidP="00244C0B">
      <w:pPr>
        <w:spacing w:before="240" w:after="240" w:line="360" w:lineRule="auto"/>
        <w:jc w:val="both"/>
        <w:rPr>
          <w:rFonts w:ascii="Palatino Linotype" w:hAnsi="Palatino Linotype"/>
        </w:rPr>
      </w:pPr>
      <w:r w:rsidRPr="00054841">
        <w:rPr>
          <w:rFonts w:ascii="Palatino Linotype" w:hAnsi="Palatino Linotype"/>
        </w:rPr>
        <w:lastRenderedPageBreak/>
        <w:t>Consecuentemente, resulta necesario hacer alusión a la Ley Orgánica Municipal del Estado de México, que en su artículo 48 fracción IV dispone, que es una atribución del Presidente Municipal, asumir la representación jurídica del Municipio y del Ayuntamiento, así como de las Dependencias de la Administración Pública Municipal en los litigios en que este sea parte.</w:t>
      </w:r>
    </w:p>
    <w:p w:rsidR="00CD0897" w:rsidRPr="00054841" w:rsidRDefault="00CD0897" w:rsidP="00244C0B">
      <w:pPr>
        <w:spacing w:before="240" w:after="240" w:line="360" w:lineRule="auto"/>
        <w:jc w:val="both"/>
        <w:rPr>
          <w:rFonts w:ascii="Palatino Linotype" w:hAnsi="Palatino Linotype"/>
        </w:rPr>
      </w:pPr>
      <w:r w:rsidRPr="00054841">
        <w:rPr>
          <w:rFonts w:ascii="Palatino Linotype" w:hAnsi="Palatino Linotype"/>
        </w:rPr>
        <w:t xml:space="preserve">Ahora bien, en términos de lo prescrito en el Diccionario de la Real Academia Española, el “litigio” es definido como el </w:t>
      </w:r>
      <w:r w:rsidRPr="00054841">
        <w:rPr>
          <w:rFonts w:ascii="Palatino Linotype" w:hAnsi="Palatino Linotype"/>
          <w:i/>
        </w:rPr>
        <w:t xml:space="preserve">pleito, altercado en juicio, disputa o contienda, </w:t>
      </w:r>
      <w:r w:rsidRPr="00054841">
        <w:rPr>
          <w:rFonts w:ascii="Palatino Linotype" w:hAnsi="Palatino Linotype"/>
        </w:rPr>
        <w:t>por lo que es fuerza concluir, que para aquellos casos en que se susciten litigios entre partes por el derecho relativo al alumbrado público en el municipio, le corresponde al Presidente Municipal asumir la representación jurídica.</w:t>
      </w:r>
    </w:p>
    <w:p w:rsidR="00CD0897" w:rsidRPr="00054841" w:rsidRDefault="00CD0897" w:rsidP="00244C0B">
      <w:pPr>
        <w:spacing w:before="240" w:after="240" w:line="360" w:lineRule="auto"/>
        <w:jc w:val="both"/>
        <w:rPr>
          <w:rFonts w:ascii="Palatino Linotype" w:hAnsi="Palatino Linotype"/>
        </w:rPr>
      </w:pPr>
      <w:r w:rsidRPr="00054841">
        <w:rPr>
          <w:rFonts w:ascii="Palatino Linotype" w:hAnsi="Palatino Linotype"/>
        </w:rPr>
        <w:t xml:space="preserve">Bajo dicho contexto, debe generar el soporte documental que le permita conocer los litigios promovidos por particulares por el cobro del DAP, que en su caso contenga el sentido de la resolución, ya sea a favor o en contra del Municipio, por lo que resulta procedente ordenar su entrega al mayor grado de desagregación posible, privilegiando el principio de máxima publicidad previsto en el artículo 4 de la Ley de Transparencia y Acceso a la Información Pública del Estado de México y Municipios. Para el caso, que no obre en sus archivos por no existir controversias judiciales en los años </w:t>
      </w:r>
      <w:r w:rsidR="00F37C28" w:rsidRPr="00F37C28">
        <w:rPr>
          <w:rFonts w:ascii="Palatino Linotype" w:hAnsi="Palatino Linotype"/>
        </w:rPr>
        <w:t xml:space="preserve">2013, 2014, 2015, 2016, 2017 hasta el 13 de noviembre de dos </w:t>
      </w:r>
      <w:r w:rsidR="00F37C28" w:rsidRPr="00F37C28">
        <w:rPr>
          <w:rFonts w:ascii="Palatino Linotype" w:hAnsi="Palatino Linotype"/>
        </w:rPr>
        <w:lastRenderedPageBreak/>
        <w:t>mil dieciocho</w:t>
      </w:r>
      <w:r w:rsidRPr="00054841">
        <w:rPr>
          <w:rFonts w:ascii="Palatino Linotype" w:hAnsi="Palatino Linotype"/>
        </w:rPr>
        <w:t xml:space="preserve"> </w:t>
      </w:r>
      <w:r w:rsidR="00244C0B" w:rsidRPr="00054841">
        <w:rPr>
          <w:rFonts w:ascii="Palatino Linotype" w:hAnsi="Palatino Linotype"/>
        </w:rPr>
        <w:t>basta</w:t>
      </w:r>
      <w:r w:rsidR="00244C0B">
        <w:rPr>
          <w:rFonts w:ascii="Palatino Linotype" w:hAnsi="Palatino Linotype"/>
        </w:rPr>
        <w:t>r</w:t>
      </w:r>
      <w:r w:rsidR="00244C0B" w:rsidRPr="00054841">
        <w:rPr>
          <w:rFonts w:ascii="Palatino Linotype" w:hAnsi="Palatino Linotype"/>
        </w:rPr>
        <w:t>á</w:t>
      </w:r>
      <w:r w:rsidRPr="00054841">
        <w:rPr>
          <w:rFonts w:ascii="Palatino Linotype" w:hAnsi="Palatino Linotype"/>
        </w:rPr>
        <w:t xml:space="preserve"> con el solo pronunciamiento del Sujeto Obligado</w:t>
      </w:r>
      <w:r w:rsidRPr="00054841">
        <w:rPr>
          <w:rFonts w:ascii="Palatino Linotype" w:hAnsi="Palatino Linotype"/>
          <w:b/>
        </w:rPr>
        <w:t xml:space="preserve"> </w:t>
      </w:r>
      <w:r w:rsidRPr="00054841">
        <w:rPr>
          <w:rFonts w:ascii="Palatino Linotype" w:hAnsi="Palatino Linotype"/>
        </w:rPr>
        <w:t>para tener por colmado el requerimiento de información.</w:t>
      </w:r>
    </w:p>
    <w:p w:rsidR="00CD0897" w:rsidRPr="00054841" w:rsidRDefault="00CD0897" w:rsidP="00CD0897">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8: Normatividad en materia de alumbrado público</w:t>
      </w:r>
    </w:p>
    <w:p w:rsidR="00CD0897" w:rsidRPr="00CD0897" w:rsidRDefault="00CD0897" w:rsidP="00720C88">
      <w:pPr>
        <w:autoSpaceDE w:val="0"/>
        <w:autoSpaceDN w:val="0"/>
        <w:adjustRightInd w:val="0"/>
        <w:spacing w:before="240" w:after="240" w:line="360" w:lineRule="auto"/>
        <w:jc w:val="both"/>
        <w:rPr>
          <w:rFonts w:ascii="Palatino Linotype" w:eastAsiaTheme="minorEastAsia" w:hAnsi="Palatino Linotype" w:cs="Arial"/>
          <w:i/>
          <w:sz w:val="22"/>
          <w:szCs w:val="22"/>
        </w:rPr>
      </w:pPr>
      <w:r w:rsidRPr="00054841">
        <w:rPr>
          <w:rFonts w:ascii="Palatino Linotype" w:hAnsi="Palatino Linotype" w:cs="Arial"/>
        </w:rPr>
        <w:t>Por cuanto hace al requerimiento relativo a la normatividad que el municipio sigue para operar y proporcionar el servicio de alumbrado público, debemos recordar que la Ley Orgánica Municipal, antes citada, estipula que los municipios tienen a su cargo la prestación, explotación, administración y conservación de los servicios públicos, entre ellos el del alumbrado público, para lo cual se debe ayudar el ayuntamiento de sus unidades administrativas y organismos auxiliares, quienes pueden coordinarse con el Estado u otros municipios para la eficacia de su prestación pudiéndose concesionar a terceros con sus excepciones, como lo indican los artículos 125 fracción</w:t>
      </w:r>
      <w:r w:rsidR="00244C0B">
        <w:rPr>
          <w:rFonts w:ascii="Palatino Linotype" w:hAnsi="Palatino Linotype" w:cs="Arial"/>
        </w:rPr>
        <w:t xml:space="preserve"> II</w:t>
      </w:r>
      <w:r w:rsidRPr="00054841">
        <w:rPr>
          <w:rFonts w:ascii="Palatino Linotype" w:hAnsi="Palatino Linotype" w:cs="Arial"/>
        </w:rPr>
        <w:t xml:space="preserve"> y 126</w:t>
      </w:r>
      <w:r w:rsidR="00244C0B">
        <w:rPr>
          <w:rFonts w:ascii="Palatino Linotype" w:hAnsi="Palatino Linotype" w:cs="Arial"/>
        </w:rPr>
        <w:t xml:space="preserve"> que se tienen como si a la letra se insertasen en obvio de repeticiones innecesarias.</w:t>
      </w:r>
      <w:r w:rsidR="00244C0B" w:rsidRPr="00CD0897">
        <w:rPr>
          <w:rFonts w:ascii="Palatino Linotype" w:eastAsiaTheme="minorEastAsia" w:hAnsi="Palatino Linotype" w:cs="Arial"/>
          <w:i/>
          <w:sz w:val="22"/>
          <w:szCs w:val="22"/>
        </w:rPr>
        <w:t xml:space="preserve"> </w:t>
      </w:r>
    </w:p>
    <w:p w:rsidR="00CD0897" w:rsidRPr="00054841" w:rsidRDefault="00CD0897" w:rsidP="00720C88">
      <w:pPr>
        <w:autoSpaceDE w:val="0"/>
        <w:autoSpaceDN w:val="0"/>
        <w:adjustRightInd w:val="0"/>
        <w:spacing w:before="240" w:after="240" w:line="360" w:lineRule="auto"/>
        <w:jc w:val="both"/>
        <w:rPr>
          <w:rFonts w:ascii="Palatino Linotype" w:eastAsiaTheme="minorEastAsia" w:hAnsi="Palatino Linotype" w:cs="Arial"/>
          <w:lang w:val="es-MX"/>
        </w:rPr>
      </w:pPr>
      <w:r w:rsidRPr="00054841">
        <w:rPr>
          <w:rFonts w:ascii="Palatino Linotype" w:eastAsiaTheme="minorEastAsia" w:hAnsi="Palatino Linotype" w:cs="Arial"/>
        </w:rPr>
        <w:t>De la misma forma</w:t>
      </w:r>
      <w:r w:rsidRPr="00054841">
        <w:rPr>
          <w:rFonts w:ascii="Palatino Linotype" w:eastAsiaTheme="minorEastAsia" w:hAnsi="Palatino Linotype" w:cs="Arial"/>
          <w:lang w:val="es-MX"/>
        </w:rPr>
        <w:t>, el artículo 1</w:t>
      </w:r>
      <w:r w:rsidRPr="00054841">
        <w:rPr>
          <w:rFonts w:ascii="Palatino Linotype" w:eastAsiaTheme="minorEastAsia" w:hAnsi="Palatino Linotype" w:cs="Arial"/>
        </w:rPr>
        <w:t xml:space="preserve">27 de esa Ley, </w:t>
      </w:r>
      <w:r w:rsidRPr="00054841">
        <w:rPr>
          <w:rFonts w:ascii="Palatino Linotype" w:eastAsiaTheme="minorEastAsia" w:hAnsi="Palatino Linotype" w:cs="Arial"/>
          <w:lang w:val="es-MX"/>
        </w:rPr>
        <w:t xml:space="preserve">establece que cuando los servicios públicos sean prestados directamente por el ayuntamiento, serán supervisados por los regidores o por los órganos municipales respectivos, en la forma que determine esa </w:t>
      </w:r>
      <w:r w:rsidRPr="00054841">
        <w:rPr>
          <w:rFonts w:ascii="Palatino Linotype" w:eastAsiaTheme="minorEastAsia" w:hAnsi="Palatino Linotype" w:cs="Arial"/>
        </w:rPr>
        <w:t>legislación</w:t>
      </w:r>
      <w:r w:rsidRPr="00054841">
        <w:rPr>
          <w:rFonts w:ascii="Palatino Linotype" w:eastAsiaTheme="minorEastAsia" w:hAnsi="Palatino Linotype" w:cs="Arial"/>
          <w:lang w:val="es-MX"/>
        </w:rPr>
        <w:t xml:space="preserve"> y los reglamentos aplicables, en tanto que cuando dicho servicio público sea proporcionado por particulares, se estará a las bases de organización y bajo la dirección del ayuntamiento. </w:t>
      </w:r>
      <w:r w:rsidRPr="00054841">
        <w:rPr>
          <w:rFonts w:ascii="Palatino Linotype" w:eastAsiaTheme="minorEastAsia" w:hAnsi="Palatino Linotype" w:cs="Arial"/>
        </w:rPr>
        <w:t>Por ende</w:t>
      </w:r>
      <w:r w:rsidRPr="00054841">
        <w:rPr>
          <w:rFonts w:ascii="Palatino Linotype" w:eastAsiaTheme="minorEastAsia" w:hAnsi="Palatino Linotype" w:cs="Arial"/>
          <w:lang w:val="es-MX"/>
        </w:rPr>
        <w:t>, se advierte que</w:t>
      </w:r>
      <w:r w:rsidRPr="00054841">
        <w:rPr>
          <w:rFonts w:ascii="Palatino Linotype" w:eastAsiaTheme="minorEastAsia" w:hAnsi="Palatino Linotype" w:cs="Arial"/>
        </w:rPr>
        <w:t xml:space="preserve"> en ambos casos será el propio a</w:t>
      </w:r>
      <w:r w:rsidRPr="00054841">
        <w:rPr>
          <w:rFonts w:ascii="Palatino Linotype" w:eastAsiaTheme="minorEastAsia" w:hAnsi="Palatino Linotype" w:cs="Arial"/>
          <w:lang w:val="es-MX"/>
        </w:rPr>
        <w:t>yuntamiento quien establezca las normas y lineamientos para la operación y prestación del servicio de alumbrado público. Tal y como se aprecia de la transcripción de los preceptos legales citados:</w:t>
      </w:r>
    </w:p>
    <w:p w:rsidR="00CD0897" w:rsidRPr="00054841" w:rsidRDefault="00CD0897" w:rsidP="00720C88">
      <w:pPr>
        <w:autoSpaceDE w:val="0"/>
        <w:autoSpaceDN w:val="0"/>
        <w:adjustRightInd w:val="0"/>
        <w:ind w:left="851" w:right="851"/>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lastRenderedPageBreak/>
        <w:t>"</w:t>
      </w:r>
      <w:r w:rsidRPr="00054841">
        <w:rPr>
          <w:rFonts w:ascii="Palatino Linotype" w:eastAsiaTheme="minorEastAsia" w:hAnsi="Palatino Linotype" w:cs="Arial"/>
          <w:b/>
          <w:i/>
          <w:sz w:val="22"/>
          <w:szCs w:val="22"/>
          <w:lang w:val="es-MX"/>
        </w:rPr>
        <w:t>Artículo 126.</w:t>
      </w:r>
      <w:r w:rsidRPr="00054841">
        <w:rPr>
          <w:rFonts w:ascii="Palatino Linotype" w:eastAsiaTheme="minorEastAsia" w:hAnsi="Palatino Linotype" w:cs="Arial"/>
          <w:i/>
          <w:sz w:val="22"/>
          <w:szCs w:val="22"/>
          <w:lang w:val="es-MX"/>
        </w:rPr>
        <w:t xml:space="preserve"> - La prestación de los servicios públicos deberá realizarse por los ayuntamientos, sus unidades administrativas y organismos auxiliares, quienes podrán coordinarse con el Estado o con otros municipios para la eficacia en su prestación. </w:t>
      </w:r>
      <w:r w:rsidR="00244C0B" w:rsidRPr="00244C0B">
        <w:rPr>
          <w:rFonts w:ascii="Palatino Linotype" w:eastAsiaTheme="minorEastAsia" w:hAnsi="Palatino Linotype" w:cs="Arial"/>
          <w:i/>
          <w:sz w:val="22"/>
          <w:szCs w:val="22"/>
        </w:rPr>
        <w:t>Podrá concesionarse a terceros la prestación de servicios públicos municipales, a excepción de los de Seguridad Pública y Tránsito, prefiriéndose en igualdad de circunstancias a vecinos del municipio.”</w:t>
      </w:r>
    </w:p>
    <w:p w:rsidR="00CD0897" w:rsidRPr="00054841" w:rsidRDefault="00CD0897" w:rsidP="00720C88">
      <w:pPr>
        <w:autoSpaceDE w:val="0"/>
        <w:autoSpaceDN w:val="0"/>
        <w:adjustRightInd w:val="0"/>
        <w:ind w:left="851" w:right="851"/>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 xml:space="preserve">Podrá concesionarse a terceros la prestación de servicios públicos municipales, a excepción de los de Seguridad Pública y Tránsito, prefiriéndose en igualdad de circunstancias a vecinos del municipio." </w:t>
      </w:r>
    </w:p>
    <w:p w:rsidR="00CD0897" w:rsidRPr="00054841" w:rsidRDefault="00CD0897" w:rsidP="00720C88">
      <w:pPr>
        <w:autoSpaceDE w:val="0"/>
        <w:autoSpaceDN w:val="0"/>
        <w:adjustRightInd w:val="0"/>
        <w:ind w:left="851" w:right="851"/>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w:t>
      </w:r>
      <w:r w:rsidRPr="00054841">
        <w:rPr>
          <w:rFonts w:ascii="Palatino Linotype" w:eastAsiaTheme="minorEastAsia" w:hAnsi="Palatino Linotype" w:cs="Arial"/>
          <w:b/>
          <w:i/>
          <w:sz w:val="22"/>
          <w:szCs w:val="22"/>
          <w:lang w:val="es-MX"/>
        </w:rPr>
        <w:t xml:space="preserve">Artículo 127.- </w:t>
      </w:r>
      <w:r w:rsidRPr="00054841">
        <w:rPr>
          <w:rFonts w:ascii="Palatino Linotype" w:eastAsiaTheme="minorEastAsia" w:hAnsi="Palatino Linotype" w:cs="Arial"/>
          <w:i/>
          <w:sz w:val="22"/>
          <w:szCs w:val="22"/>
          <w:lang w:val="es-MX"/>
        </w:rPr>
        <w:t xml:space="preserve">Cuando los servicios públicos sean prestados directamente por el ayuntamiento, serán supervisados por los regidores o por los órganos municipales respectivos, en la forma que determine esta Ley y los reglamentos aplicables. </w:t>
      </w:r>
    </w:p>
    <w:p w:rsidR="00CD0897" w:rsidRDefault="00CD0897" w:rsidP="00720C88">
      <w:pPr>
        <w:autoSpaceDE w:val="0"/>
        <w:autoSpaceDN w:val="0"/>
        <w:adjustRightInd w:val="0"/>
        <w:ind w:left="851" w:right="851"/>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 xml:space="preserve">Los particulares podrán participar en la prestación de servicios públicos, conforme a las bases de organización y bajo la dirección que acuerden los ayuntamientos." </w:t>
      </w:r>
    </w:p>
    <w:p w:rsidR="00CD0897" w:rsidRPr="00054841" w:rsidRDefault="00CD0897" w:rsidP="00CD0897">
      <w:pPr>
        <w:autoSpaceDE w:val="0"/>
        <w:autoSpaceDN w:val="0"/>
        <w:adjustRightInd w:val="0"/>
        <w:ind w:left="851" w:right="851"/>
        <w:jc w:val="both"/>
        <w:rPr>
          <w:rFonts w:ascii="Palatino Linotype" w:eastAsiaTheme="minorEastAsia" w:hAnsi="Palatino Linotype" w:cs="Arial"/>
          <w:i/>
          <w:sz w:val="22"/>
          <w:szCs w:val="22"/>
          <w:lang w:val="es-MX"/>
        </w:rPr>
      </w:pPr>
    </w:p>
    <w:p w:rsidR="00CD0897" w:rsidRPr="00CD0897" w:rsidRDefault="00CD0897" w:rsidP="00720C88">
      <w:pPr>
        <w:spacing w:before="240" w:after="240" w:line="360" w:lineRule="auto"/>
        <w:jc w:val="both"/>
        <w:rPr>
          <w:rFonts w:ascii="Palatino Linotype" w:hAnsi="Palatino Linotype" w:cstheme="minorBidi"/>
          <w:sz w:val="22"/>
          <w:szCs w:val="22"/>
        </w:rPr>
      </w:pPr>
      <w:r w:rsidRPr="00054841">
        <w:rPr>
          <w:rFonts w:ascii="Palatino Linotype" w:hAnsi="Palatino Linotype"/>
        </w:rPr>
        <w:t>Aunado a lo anterior, el mismo marco normativo contempla en la fracción I del artículo 31, que son atribuciones de los ayuntamientos, el expedir y reformar el Bando Municipal, así como los reglamentos, circulares y disposiciones administrativas de observancia general dentro del territorio del municipio, que sean necesarios para su organización, prestación de los servicios públicos y para el cumplimiento de sus atribuciones en general; por lo cual para el caso del alumbrado público resulta dable ordenar la normatividad utiliz</w:t>
      </w:r>
      <w:r w:rsidR="00575F0E">
        <w:rPr>
          <w:rFonts w:ascii="Palatino Linotype" w:hAnsi="Palatino Linotype"/>
        </w:rPr>
        <w:t xml:space="preserve">ada por el Sujeto Obligado para </w:t>
      </w:r>
      <w:r w:rsidRPr="00054841">
        <w:rPr>
          <w:rFonts w:ascii="Palatino Linotype" w:hAnsi="Palatino Linotype"/>
        </w:rPr>
        <w:t>operar y proporcionar el servicio de alumbrado público vigente a la fecha de la solicitud de información, ello es el trece de noviembre de dos mil dieciocho.</w:t>
      </w:r>
    </w:p>
    <w:p w:rsidR="00E5702D" w:rsidRDefault="00E5702D" w:rsidP="00720C88">
      <w:pPr>
        <w:spacing w:before="240" w:after="240" w:line="360" w:lineRule="auto"/>
        <w:jc w:val="both"/>
        <w:rPr>
          <w:rFonts w:ascii="Palatino Linotype" w:eastAsia="MS Mincho" w:hAnsi="Palatino Linotype" w:cs="Arial"/>
          <w:lang w:val="es-ES_tradnl"/>
        </w:rPr>
      </w:pPr>
      <w:r w:rsidRPr="00F37C28">
        <w:rPr>
          <w:rFonts w:ascii="Palatino Linotype" w:eastAsia="MS Mincho" w:hAnsi="Palatino Linotype" w:cs="Arial"/>
        </w:rPr>
        <w:t xml:space="preserve">Finalmente, toda vez que el presente recurso de revisión tuvo como origen la falta de respuesta a la solicitud número </w:t>
      </w:r>
      <w:r w:rsidRPr="00F37C28">
        <w:rPr>
          <w:rFonts w:ascii="Palatino Linotype" w:eastAsia="MS Mincho" w:hAnsi="Palatino Linotype" w:cs="Arial"/>
          <w:b/>
        </w:rPr>
        <w:t>00</w:t>
      </w:r>
      <w:r w:rsidR="001A0D06" w:rsidRPr="00F37C28">
        <w:rPr>
          <w:rFonts w:ascii="Palatino Linotype" w:eastAsia="MS Mincho" w:hAnsi="Palatino Linotype" w:cs="Arial"/>
          <w:b/>
        </w:rPr>
        <w:t>065</w:t>
      </w:r>
      <w:r w:rsidRPr="00F37C28">
        <w:rPr>
          <w:rFonts w:ascii="Palatino Linotype" w:eastAsia="MS Mincho" w:hAnsi="Palatino Linotype" w:cs="Arial"/>
          <w:b/>
        </w:rPr>
        <w:t>/</w:t>
      </w:r>
      <w:r w:rsidR="001A0D06" w:rsidRPr="00F37C28">
        <w:rPr>
          <w:rFonts w:ascii="Palatino Linotype" w:eastAsia="MS Mincho" w:hAnsi="Palatino Linotype" w:cs="Arial"/>
          <w:b/>
        </w:rPr>
        <w:t>FELIPRO</w:t>
      </w:r>
      <w:r w:rsidRPr="00F37C28">
        <w:rPr>
          <w:rFonts w:ascii="Palatino Linotype" w:eastAsia="MS Mincho" w:hAnsi="Palatino Linotype" w:cs="Arial"/>
          <w:b/>
        </w:rPr>
        <w:t>/IP/2018</w:t>
      </w:r>
      <w:r w:rsidRPr="00F37C28">
        <w:rPr>
          <w:rFonts w:ascii="Palatino Linotype" w:eastAsia="MS Mincho" w:hAnsi="Palatino Linotype" w:cs="Arial"/>
        </w:rPr>
        <w:t xml:space="preserve">, en el plazo que tienen los Sujetos Obligados para atender las solicitudes de información que les son formuladas, de conformidad, según lo establece el artículo 163 de la Ley de Transparencia y Acceso a la Información Pública del Estado de México y Municipios; </w:t>
      </w:r>
      <w:r w:rsidRPr="00F37C28">
        <w:rPr>
          <w:rFonts w:ascii="Palatino Linotype" w:eastAsia="MS Mincho" w:hAnsi="Palatino Linotype" w:cs="Arial"/>
        </w:rPr>
        <w:lastRenderedPageBreak/>
        <w:t>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w:t>
      </w:r>
      <w:r w:rsidRPr="00A47AFF">
        <w:rPr>
          <w:rFonts w:ascii="Palatino Linotype" w:eastAsia="MS Mincho" w:hAnsi="Palatino Linotype" w:cs="Arial"/>
        </w:rPr>
        <w:t> </w:t>
      </w:r>
    </w:p>
    <w:p w:rsidR="00CD0897" w:rsidRPr="00054841" w:rsidRDefault="00E5702D" w:rsidP="00720C88">
      <w:pPr>
        <w:spacing w:before="240" w:after="240" w:line="360" w:lineRule="auto"/>
        <w:jc w:val="both"/>
        <w:rPr>
          <w:rFonts w:ascii="Palatino Linotype" w:hAnsi="Palatino Linotype" w:cs="Arial"/>
          <w:lang w:val="es-MX" w:eastAsia="es-MX"/>
        </w:rPr>
      </w:pPr>
      <w:r w:rsidRPr="00720C88">
        <w:rPr>
          <w:rFonts w:ascii="Palatino Linotype" w:hAnsi="Palatino Linotype"/>
          <w:b/>
        </w:rPr>
        <w:t xml:space="preserve">Sexto. Versión Pública. </w:t>
      </w:r>
      <w:r w:rsidR="00CD0897" w:rsidRPr="00054841">
        <w:rPr>
          <w:rFonts w:ascii="Palatino Linotype" w:hAnsi="Palatino Linotype"/>
        </w:rPr>
        <w:t>Finalmente, debe señalarse que de ser el caso en que los documentos que vayan a ser entregados por el Ayuntamiento de Tultepec, para dar cumplimiento a la presente resolución, contengan datos que deban ser clasificados, el Sujeto Obligado deberá hacer la elaboración de la versión pública de tales documentos a fin de satisfacer el derecho de acceso a la información pública de la recurrente sin menoscabo al derecho a la protección de los datos personales de terceros.</w:t>
      </w:r>
    </w:p>
    <w:p w:rsidR="00CD0897" w:rsidRPr="00054841" w:rsidRDefault="00CD0897" w:rsidP="00720C88">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CD0897" w:rsidRPr="00054841" w:rsidRDefault="00CD0897" w:rsidP="00720C88">
      <w:pPr>
        <w:autoSpaceDE w:val="0"/>
        <w:autoSpaceDN w:val="0"/>
        <w:adjustRightInd w:val="0"/>
        <w:ind w:left="851" w:right="851"/>
        <w:jc w:val="both"/>
        <w:rPr>
          <w:rFonts w:ascii="Palatino Linotype" w:hAnsi="Palatino Linotype" w:cs="Arial"/>
          <w:b/>
          <w:i/>
          <w:sz w:val="22"/>
          <w:szCs w:val="22"/>
        </w:rPr>
      </w:pPr>
      <w:r w:rsidRPr="00054841">
        <w:rPr>
          <w:rFonts w:ascii="Palatino Linotype" w:hAnsi="Palatino Linotype" w:cs="Arial"/>
          <w:b/>
          <w:i/>
          <w:sz w:val="22"/>
          <w:szCs w:val="22"/>
        </w:rPr>
        <w:t xml:space="preserve"> “Artículo 3. Para los efectos de la presente Ley se entenderá por:</w:t>
      </w:r>
    </w:p>
    <w:p w:rsidR="00CD0897" w:rsidRPr="00054841" w:rsidRDefault="00CD0897" w:rsidP="00720C88">
      <w:pPr>
        <w:autoSpaceDE w:val="0"/>
        <w:autoSpaceDN w:val="0"/>
        <w:adjustRightInd w:val="0"/>
        <w:ind w:left="851" w:right="851"/>
        <w:jc w:val="both"/>
        <w:rPr>
          <w:rFonts w:ascii="Palatino Linotype" w:hAnsi="Palatino Linotype" w:cs="Arial"/>
          <w:i/>
          <w:sz w:val="22"/>
          <w:szCs w:val="22"/>
        </w:rPr>
      </w:pPr>
      <w:r w:rsidRPr="00054841">
        <w:rPr>
          <w:rFonts w:ascii="Palatino Linotype" w:hAnsi="Palatino Linotype" w:cs="Arial"/>
          <w:b/>
          <w:i/>
          <w:sz w:val="22"/>
          <w:szCs w:val="22"/>
        </w:rPr>
        <w:t>IX. Datos personales:</w:t>
      </w:r>
      <w:r w:rsidRPr="00054841">
        <w:rPr>
          <w:rFonts w:ascii="Palatino Linotype" w:hAnsi="Palatino Linotype" w:cs="Arial"/>
          <w:i/>
          <w:sz w:val="22"/>
          <w:szCs w:val="22"/>
        </w:rPr>
        <w:t xml:space="preserve"> </w:t>
      </w:r>
      <w:r w:rsidRPr="00054841">
        <w:rPr>
          <w:rFonts w:ascii="Palatino Linotype" w:hAnsi="Palatino Linotype" w:cs="Arial"/>
          <w:b/>
          <w:i/>
          <w:sz w:val="22"/>
          <w:szCs w:val="22"/>
        </w:rPr>
        <w:t>La información concerniente a una persona, identificada o identificable</w:t>
      </w:r>
      <w:r w:rsidRPr="00054841">
        <w:rPr>
          <w:rFonts w:ascii="Palatino Linotype" w:hAnsi="Palatino Linotype" w:cs="Arial"/>
          <w:i/>
          <w:sz w:val="22"/>
          <w:szCs w:val="22"/>
        </w:rPr>
        <w:t xml:space="preserve"> según lo dispuesto por la Ley de Protección de Datos Personales del Estado de México;</w:t>
      </w:r>
    </w:p>
    <w:p w:rsidR="00CD0897" w:rsidRPr="00054841" w:rsidRDefault="00CD0897" w:rsidP="00720C88">
      <w:pPr>
        <w:autoSpaceDE w:val="0"/>
        <w:autoSpaceDN w:val="0"/>
        <w:adjustRightInd w:val="0"/>
        <w:ind w:left="851" w:right="851"/>
        <w:jc w:val="both"/>
        <w:rPr>
          <w:rFonts w:ascii="Palatino Linotype" w:hAnsi="Palatino Linotype" w:cs="Arial"/>
          <w:i/>
          <w:sz w:val="22"/>
          <w:szCs w:val="22"/>
        </w:rPr>
      </w:pPr>
      <w:r w:rsidRPr="00054841">
        <w:rPr>
          <w:rFonts w:ascii="Palatino Linotype" w:hAnsi="Palatino Linotype" w:cs="Arial"/>
          <w:b/>
          <w:i/>
          <w:sz w:val="22"/>
          <w:szCs w:val="22"/>
        </w:rPr>
        <w:t>XX. Información clasificada:</w:t>
      </w:r>
      <w:r w:rsidRPr="00054841">
        <w:rPr>
          <w:rFonts w:ascii="Palatino Linotype" w:hAnsi="Palatino Linotype" w:cs="Arial"/>
          <w:i/>
          <w:sz w:val="22"/>
          <w:szCs w:val="22"/>
        </w:rPr>
        <w:t xml:space="preserve"> Aquella considerada por la presente Ley como reservada o confidencial;</w:t>
      </w:r>
    </w:p>
    <w:p w:rsidR="00CD0897" w:rsidRPr="00054841" w:rsidRDefault="00CD0897" w:rsidP="00720C88">
      <w:pPr>
        <w:autoSpaceDE w:val="0"/>
        <w:autoSpaceDN w:val="0"/>
        <w:adjustRightInd w:val="0"/>
        <w:ind w:left="851" w:right="851"/>
        <w:jc w:val="both"/>
        <w:rPr>
          <w:rFonts w:ascii="Palatino Linotype" w:hAnsi="Palatino Linotype"/>
          <w:i/>
          <w:sz w:val="22"/>
          <w:szCs w:val="22"/>
        </w:rPr>
      </w:pPr>
      <w:r w:rsidRPr="00054841">
        <w:rPr>
          <w:rFonts w:ascii="Palatino Linotype" w:hAnsi="Palatino Linotype"/>
          <w:b/>
          <w:i/>
          <w:sz w:val="22"/>
          <w:szCs w:val="22"/>
        </w:rPr>
        <w:t>XXXII. Protección de Datos Personales:</w:t>
      </w:r>
      <w:r w:rsidRPr="00054841">
        <w:rPr>
          <w:rFonts w:ascii="Palatino Linotype" w:hAnsi="Palatino Linotype"/>
          <w:i/>
          <w:sz w:val="22"/>
          <w:szCs w:val="22"/>
        </w:rPr>
        <w:t xml:space="preserve"> Derecho humano que tutela la privacidad de datos personales en poder de los sujetos obligados y sujetos particulares;</w:t>
      </w:r>
    </w:p>
    <w:p w:rsidR="00CD0897" w:rsidRPr="00054841" w:rsidRDefault="00CD0897" w:rsidP="00720C88">
      <w:pPr>
        <w:autoSpaceDE w:val="0"/>
        <w:autoSpaceDN w:val="0"/>
        <w:adjustRightInd w:val="0"/>
        <w:ind w:left="851" w:right="851"/>
        <w:jc w:val="both"/>
        <w:rPr>
          <w:rFonts w:ascii="Palatino Linotype" w:hAnsi="Palatino Linotype" w:cs="Arial"/>
          <w:i/>
          <w:sz w:val="22"/>
          <w:szCs w:val="22"/>
        </w:rPr>
      </w:pPr>
      <w:r w:rsidRPr="00054841">
        <w:rPr>
          <w:rFonts w:ascii="Palatino Linotype" w:hAnsi="Palatino Linotype" w:cs="Arial"/>
          <w:b/>
          <w:i/>
          <w:sz w:val="22"/>
          <w:szCs w:val="22"/>
        </w:rPr>
        <w:t>XLV. Versión pública</w:t>
      </w:r>
      <w:r w:rsidRPr="00054841">
        <w:rPr>
          <w:rFonts w:ascii="Palatino Linotype" w:hAnsi="Palatino Linotype" w:cs="Arial"/>
          <w:i/>
          <w:sz w:val="22"/>
          <w:szCs w:val="22"/>
        </w:rPr>
        <w:t>: Documento en el que se elimine, suprime o borra la información clasificada como reservada o confidencial para permitir su acceso.”</w:t>
      </w:r>
    </w:p>
    <w:p w:rsidR="00CD0897" w:rsidRPr="00054841" w:rsidRDefault="00CD0897" w:rsidP="00720C88">
      <w:pPr>
        <w:autoSpaceDE w:val="0"/>
        <w:autoSpaceDN w:val="0"/>
        <w:adjustRightInd w:val="0"/>
        <w:ind w:left="851" w:right="851"/>
        <w:jc w:val="both"/>
        <w:rPr>
          <w:rFonts w:ascii="Palatino Linotype" w:hAnsi="Palatino Linotype" w:cs="Arial"/>
          <w:i/>
          <w:sz w:val="22"/>
          <w:szCs w:val="22"/>
        </w:rPr>
      </w:pPr>
    </w:p>
    <w:p w:rsidR="00CD0897" w:rsidRPr="00054841" w:rsidRDefault="00CD0897" w:rsidP="00720C88">
      <w:pPr>
        <w:ind w:left="851" w:right="851"/>
        <w:contextualSpacing/>
        <w:jc w:val="both"/>
        <w:rPr>
          <w:rFonts w:ascii="Palatino Linotype" w:hAnsi="Palatino Linotype"/>
          <w:i/>
          <w:sz w:val="22"/>
          <w:szCs w:val="22"/>
        </w:rPr>
      </w:pPr>
      <w:r w:rsidRPr="00054841">
        <w:rPr>
          <w:rFonts w:ascii="Palatino Linotype" w:hAnsi="Palatino Linotype"/>
          <w:b/>
          <w:i/>
          <w:sz w:val="22"/>
          <w:szCs w:val="22"/>
        </w:rPr>
        <w:lastRenderedPageBreak/>
        <w:t>“Artículo 6.</w:t>
      </w:r>
      <w:r w:rsidRPr="00054841">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CD0897" w:rsidRPr="00054841" w:rsidRDefault="00CD0897" w:rsidP="00720C88">
      <w:pPr>
        <w:ind w:left="851" w:right="851"/>
        <w:contextualSpacing/>
        <w:jc w:val="both"/>
        <w:rPr>
          <w:rFonts w:ascii="Palatino Linotype" w:hAnsi="Palatino Linotype" w:cs="Arial"/>
          <w:bCs/>
          <w:i/>
          <w:noProof/>
          <w:sz w:val="22"/>
          <w:szCs w:val="22"/>
        </w:rPr>
      </w:pPr>
    </w:p>
    <w:p w:rsidR="00CD0897" w:rsidRPr="00054841" w:rsidRDefault="00CD0897" w:rsidP="00720C88">
      <w:pPr>
        <w:ind w:left="851" w:right="851"/>
        <w:contextualSpacing/>
        <w:jc w:val="both"/>
        <w:rPr>
          <w:rFonts w:ascii="Palatino Linotype" w:hAnsi="Palatino Linotype" w:cs="Arial"/>
          <w:b/>
          <w:bCs/>
          <w:i/>
          <w:noProof/>
          <w:color w:val="FF0000"/>
          <w:sz w:val="22"/>
          <w:szCs w:val="22"/>
        </w:rPr>
      </w:pPr>
      <w:r w:rsidRPr="00054841">
        <w:rPr>
          <w:rFonts w:ascii="Palatino Linotype" w:hAnsi="Palatino Linotype"/>
          <w:b/>
          <w:i/>
          <w:sz w:val="22"/>
          <w:szCs w:val="22"/>
        </w:rPr>
        <w:t>“Artículo 137.</w:t>
      </w:r>
      <w:r w:rsidRPr="00054841">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D0897" w:rsidRPr="00054841" w:rsidRDefault="00CD0897" w:rsidP="00720C88">
      <w:pPr>
        <w:ind w:left="851" w:right="851"/>
        <w:contextualSpacing/>
        <w:jc w:val="both"/>
        <w:rPr>
          <w:rFonts w:ascii="Palatino Linotype" w:hAnsi="Palatino Linotype" w:cs="Arial"/>
          <w:b/>
          <w:bCs/>
          <w:i/>
          <w:noProof/>
          <w:color w:val="FF0000"/>
          <w:sz w:val="22"/>
          <w:szCs w:val="22"/>
        </w:rPr>
      </w:pPr>
    </w:p>
    <w:p w:rsidR="00CD0897" w:rsidRPr="00054841" w:rsidRDefault="00CD0897" w:rsidP="00720C88">
      <w:pPr>
        <w:ind w:left="851" w:right="851"/>
        <w:contextualSpacing/>
        <w:jc w:val="both"/>
        <w:rPr>
          <w:rFonts w:ascii="Palatino Linotype" w:hAnsi="Palatino Linotype"/>
          <w:i/>
          <w:sz w:val="22"/>
          <w:szCs w:val="22"/>
        </w:rPr>
      </w:pPr>
      <w:r w:rsidRPr="00054841">
        <w:rPr>
          <w:rFonts w:ascii="Palatino Linotype" w:hAnsi="Palatino Linotype"/>
          <w:b/>
          <w:i/>
          <w:sz w:val="22"/>
          <w:szCs w:val="22"/>
        </w:rPr>
        <w:t>“Artículo 143</w:t>
      </w:r>
      <w:r w:rsidRPr="00054841">
        <w:rPr>
          <w:rFonts w:ascii="Palatino Linotype" w:hAnsi="Palatino Linotype"/>
          <w:i/>
          <w:sz w:val="22"/>
          <w:szCs w:val="22"/>
        </w:rPr>
        <w:t>. Para los efectos de esta Ley se considera información confidencial, la clasificada como tal, de manera permanente, por su naturaleza, cuando:</w:t>
      </w:r>
    </w:p>
    <w:p w:rsidR="00CD0897" w:rsidRPr="00054841" w:rsidRDefault="00CD0897" w:rsidP="00720C88">
      <w:pPr>
        <w:ind w:left="851" w:right="851"/>
        <w:contextualSpacing/>
        <w:jc w:val="both"/>
        <w:rPr>
          <w:rFonts w:ascii="Palatino Linotype" w:hAnsi="Palatino Linotype"/>
          <w:i/>
        </w:rPr>
      </w:pPr>
      <w:r w:rsidRPr="00054841">
        <w:rPr>
          <w:rFonts w:ascii="Palatino Linotype" w:hAnsi="Palatino Linotype"/>
          <w:b/>
          <w:i/>
          <w:sz w:val="22"/>
          <w:szCs w:val="22"/>
        </w:rPr>
        <w:t>I.</w:t>
      </w:r>
      <w:r w:rsidRPr="00054841">
        <w:rPr>
          <w:rFonts w:ascii="Palatino Linotype" w:hAnsi="Palatino Linotype"/>
          <w:i/>
          <w:sz w:val="22"/>
          <w:szCs w:val="22"/>
        </w:rPr>
        <w:t xml:space="preserve"> </w:t>
      </w:r>
      <w:r w:rsidRPr="00054841">
        <w:rPr>
          <w:rFonts w:ascii="Palatino Linotype" w:hAnsi="Palatino Linotype"/>
          <w:b/>
          <w:i/>
          <w:sz w:val="22"/>
          <w:szCs w:val="22"/>
        </w:rPr>
        <w:t>Se refiera a la información privada y los datos personales concernientes a una persona física o jurídico colectiva identificada o identificable</w:t>
      </w:r>
      <w:r w:rsidRPr="00054841">
        <w:rPr>
          <w:rFonts w:ascii="Palatino Linotype" w:hAnsi="Palatino Linotype"/>
          <w:i/>
          <w:sz w:val="22"/>
          <w:szCs w:val="22"/>
        </w:rPr>
        <w:t>…”</w:t>
      </w:r>
    </w:p>
    <w:p w:rsidR="00CD0897" w:rsidRPr="00054841" w:rsidRDefault="00CD0897" w:rsidP="00720C88">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rsidR="00CD0897" w:rsidRPr="00054841" w:rsidRDefault="00CD0897" w:rsidP="00720C88">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CD0897" w:rsidRPr="00054841" w:rsidRDefault="00CD0897" w:rsidP="00720C88">
      <w:pPr>
        <w:autoSpaceDE w:val="0"/>
        <w:autoSpaceDN w:val="0"/>
        <w:adjustRightInd w:val="0"/>
        <w:spacing w:before="240" w:after="240" w:line="360" w:lineRule="auto"/>
        <w:jc w:val="both"/>
        <w:rPr>
          <w:rFonts w:ascii="Palatino Linotype" w:hAnsi="Palatino Linotype" w:cs="Arial"/>
        </w:rPr>
      </w:pPr>
      <w:r w:rsidRPr="00054841">
        <w:rPr>
          <w:rFonts w:ascii="Palatino Linotype" w:eastAsia="Arial Unicode MS" w:hAnsi="Palatino Linotype" w:cs="Arial"/>
        </w:rPr>
        <w:t>E</w:t>
      </w:r>
      <w:r w:rsidRPr="00054841">
        <w:rPr>
          <w:rFonts w:ascii="Palatino Linotype" w:hAnsi="Palatino Linotype"/>
        </w:rPr>
        <w:t xml:space="preserve">n el caso específico en los documentos que se ordenan, pudieran obrar datos que son considerados confidenciales, cuyo acceso debe ser restringido, los cuales </w:t>
      </w:r>
      <w:r w:rsidRPr="00054841">
        <w:rPr>
          <w:rFonts w:ascii="Palatino Linotype" w:hAnsi="Palatino Linotype" w:cs="Arial"/>
        </w:rPr>
        <w:t xml:space="preserve">deben testarse al momento de la elaboración de versiones públicas, como es el caso de la </w:t>
      </w:r>
      <w:r w:rsidRPr="00054841">
        <w:rPr>
          <w:rFonts w:ascii="Palatino Linotype" w:hAnsi="Palatino Linotype" w:cs="Arial"/>
          <w:b/>
        </w:rPr>
        <w:t>Clave Única de Registro de Población</w:t>
      </w:r>
      <w:r w:rsidRPr="00054841">
        <w:rPr>
          <w:rFonts w:ascii="Palatino Linotype" w:hAnsi="Palatino Linotype" w:cs="Arial"/>
        </w:rPr>
        <w:t xml:space="preserve"> (CURP), la </w:t>
      </w:r>
      <w:r w:rsidRPr="00054841">
        <w:rPr>
          <w:rFonts w:ascii="Palatino Linotype" w:hAnsi="Palatino Linotype" w:cs="Arial"/>
          <w:b/>
        </w:rPr>
        <w:t>firma de los</w:t>
      </w:r>
      <w:r w:rsidRPr="00054841">
        <w:rPr>
          <w:rFonts w:ascii="Palatino Linotype" w:hAnsi="Palatino Linotype" w:cs="Arial"/>
        </w:rPr>
        <w:t xml:space="preserve"> </w:t>
      </w:r>
      <w:r w:rsidRPr="00054841">
        <w:rPr>
          <w:rFonts w:ascii="Palatino Linotype" w:hAnsi="Palatino Linotype" w:cs="Arial"/>
          <w:b/>
        </w:rPr>
        <w:t>particulares</w:t>
      </w:r>
      <w:r w:rsidRPr="00054841">
        <w:rPr>
          <w:rFonts w:ascii="Palatino Linotype" w:hAnsi="Palatino Linotype" w:cs="Arial"/>
        </w:rPr>
        <w:t xml:space="preserve"> y cualquier otro dato que por su naturaleza confidencial pudiera conllevar un riesgo grave para la esfera privada de los servidores públicos.</w:t>
      </w:r>
    </w:p>
    <w:p w:rsidR="00CD0897" w:rsidRPr="00054841" w:rsidRDefault="00CD0897" w:rsidP="00720C88">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Dada la naturaleza de la información que se ordena, es importante resaltar que si bien este Instituto ha sostenido que el RFC y domicilio de las personas físicas debe ser tes</w:t>
      </w:r>
      <w:r>
        <w:rPr>
          <w:rFonts w:ascii="Palatino Linotype" w:hAnsi="Palatino Linotype" w:cs="Arial"/>
        </w:rPr>
        <w:t xml:space="preserve">tado por los Sujetos Obligados, en </w:t>
      </w:r>
      <w:r w:rsidRPr="00054841">
        <w:rPr>
          <w:rFonts w:ascii="Palatino Linotype" w:hAnsi="Palatino Linotype" w:cs="Arial"/>
        </w:rPr>
        <w:t>las versiones públicas de los documentos que elaboren para atender las solicitudes de información pública, lo cierto es que tratándose de proveedo</w:t>
      </w:r>
      <w:r>
        <w:rPr>
          <w:rFonts w:ascii="Palatino Linotype" w:hAnsi="Palatino Linotype" w:cs="Arial"/>
        </w:rPr>
        <w:t xml:space="preserve">res, prestadores de servicios o </w:t>
      </w:r>
      <w:r w:rsidRPr="00054841">
        <w:rPr>
          <w:rFonts w:ascii="Palatino Linotype" w:hAnsi="Palatino Linotype" w:cs="Arial"/>
        </w:rPr>
        <w:t>contratistas, dichos datos no deben ser suprimidos de las facturas y contratos que vayan a ser entregados.</w:t>
      </w:r>
    </w:p>
    <w:p w:rsidR="00CD0897" w:rsidRPr="00054841" w:rsidRDefault="00CD0897" w:rsidP="00720C88">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Ello</w:t>
      </w:r>
      <w:r>
        <w:rPr>
          <w:rFonts w:ascii="Palatino Linotype" w:hAnsi="Palatino Linotype" w:cs="Arial"/>
        </w:rPr>
        <w:t xml:space="preserve"> se debe a que del ejercicio de </w:t>
      </w:r>
      <w:r w:rsidRPr="00054841">
        <w:rPr>
          <w:rFonts w:ascii="Palatino Linotype" w:hAnsi="Palatino Linotype" w:cs="Arial"/>
        </w:rPr>
        <w:t xml:space="preserve">ponderación entre el derecho a la protección de datos personales con el derecho de acceso a la información pública, es de mayor trascendencia el que </w:t>
      </w:r>
      <w:r>
        <w:rPr>
          <w:rFonts w:ascii="Palatino Linotype" w:hAnsi="Palatino Linotype" w:cs="Arial"/>
        </w:rPr>
        <w:t xml:space="preserve">cualquier persona pueda conocer en </w:t>
      </w:r>
      <w:r w:rsidRPr="00054841">
        <w:rPr>
          <w:rFonts w:ascii="Palatino Linotype" w:hAnsi="Palatino Linotype" w:cs="Arial"/>
        </w:rPr>
        <w:t>qué se gastan los recursos públicos, puesto que se trata de erogaciones que realiza un órgano del Estad</w:t>
      </w:r>
      <w:r>
        <w:rPr>
          <w:rFonts w:ascii="Palatino Linotype" w:hAnsi="Palatino Linotype" w:cs="Arial"/>
        </w:rPr>
        <w:t xml:space="preserve">o con base en </w:t>
      </w:r>
      <w:r w:rsidRPr="00054841">
        <w:rPr>
          <w:rFonts w:ascii="Palatino Linotype" w:hAnsi="Palatino Linotype" w:cs="Arial"/>
        </w:rPr>
        <w:t>los re</w:t>
      </w:r>
      <w:r>
        <w:rPr>
          <w:rFonts w:ascii="Palatino Linotype" w:hAnsi="Palatino Linotype" w:cs="Arial"/>
        </w:rPr>
        <w:t xml:space="preserve">cursos que encuentran su origen en mayor medida en </w:t>
      </w:r>
      <w:r w:rsidRPr="00054841">
        <w:rPr>
          <w:rFonts w:ascii="Palatino Linotype" w:hAnsi="Palatino Linotype" w:cs="Arial"/>
        </w:rPr>
        <w:t>las contribuciones aportados por los gobernados, por lo que debe transparentarse su ejercicio.</w:t>
      </w:r>
    </w:p>
    <w:p w:rsidR="00CD0897" w:rsidRPr="00054841" w:rsidRDefault="00CD0897" w:rsidP="00720C88">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lastRenderedPageBreak/>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CD0897" w:rsidRPr="00054841" w:rsidRDefault="00CD0897" w:rsidP="00720C88">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Ar</w:t>
      </w:r>
      <w:r>
        <w:rPr>
          <w:rFonts w:ascii="Palatino Linotype" w:hAnsi="Palatino Linotype" w:cs="Arial"/>
        </w:rPr>
        <w:t xml:space="preserve">gumentación que guarda sustento en </w:t>
      </w:r>
      <w:r w:rsidRPr="00054841">
        <w:rPr>
          <w:rFonts w:ascii="Palatino Linotype" w:hAnsi="Palatino Linotype" w:cs="Arial"/>
        </w:rPr>
        <w:t>lo estipulado por el artículo 23 de la Ley de Transparencia y Acceso a la Información Pública del Estado</w:t>
      </w:r>
      <w:r>
        <w:rPr>
          <w:rFonts w:ascii="Palatino Linotype" w:hAnsi="Palatino Linotype" w:cs="Arial"/>
        </w:rPr>
        <w:t xml:space="preserve"> de México y Municipios vigente en </w:t>
      </w:r>
      <w:r w:rsidRPr="00054841">
        <w:rPr>
          <w:rFonts w:ascii="Palatino Linotype" w:hAnsi="Palatino Linotype" w:cs="Arial"/>
        </w:rPr>
        <w:t>su penúltimo párrafo, mismo que se lee como sigue:</w:t>
      </w:r>
    </w:p>
    <w:p w:rsidR="00CD0897" w:rsidRPr="00054841" w:rsidRDefault="00CD0897" w:rsidP="00720C88">
      <w:pPr>
        <w:ind w:left="851" w:right="851"/>
        <w:jc w:val="both"/>
        <w:rPr>
          <w:rFonts w:ascii="Palatino Linotype" w:hAnsi="Palatino Linotype" w:cs="Arial,Bold"/>
          <w:b/>
          <w:bCs/>
          <w:i/>
          <w:sz w:val="22"/>
          <w:lang w:eastAsia="es-MX"/>
        </w:rPr>
      </w:pPr>
      <w:r w:rsidRPr="00054841">
        <w:rPr>
          <w:rFonts w:ascii="Palatino Linotype" w:hAnsi="Palatino Linotype" w:cs="Arial,Bold"/>
          <w:b/>
          <w:bCs/>
          <w:i/>
          <w:sz w:val="22"/>
          <w:lang w:eastAsia="es-MX"/>
        </w:rPr>
        <w:t>“Artículo 23. </w:t>
      </w:r>
      <w:r w:rsidRPr="00054841">
        <w:rPr>
          <w:rFonts w:ascii="Palatino Linotype" w:hAnsi="Palatino Linotype" w:cs="Arial,Bold"/>
          <w:bCs/>
          <w:i/>
          <w:sz w:val="22"/>
          <w:lang w:eastAsia="es-MX"/>
        </w:rPr>
        <w:t>(…)</w:t>
      </w:r>
    </w:p>
    <w:p w:rsidR="00CD0897" w:rsidRDefault="00CD0897" w:rsidP="00720C88">
      <w:pPr>
        <w:ind w:left="851" w:right="851"/>
        <w:jc w:val="both"/>
        <w:rPr>
          <w:rFonts w:ascii="Palatino Linotype" w:hAnsi="Palatino Linotype" w:cs="Arial,Bold"/>
          <w:b/>
          <w:bCs/>
          <w:i/>
          <w:sz w:val="22"/>
          <w:lang w:eastAsia="es-MX"/>
        </w:rPr>
      </w:pPr>
      <w:r w:rsidRPr="00054841">
        <w:rPr>
          <w:rFonts w:ascii="Palatino Linotype" w:hAnsi="Palatino Linotype" w:cs="Arial,Bold"/>
          <w:bCs/>
          <w:i/>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054841">
        <w:rPr>
          <w:rFonts w:ascii="Palatino Linotype" w:hAnsi="Palatino Linotype" w:cs="Arial,Bold"/>
          <w:b/>
          <w:bCs/>
          <w:i/>
          <w:sz w:val="22"/>
          <w:lang w:eastAsia="es-MX"/>
        </w:rPr>
        <w:t>”</w:t>
      </w:r>
    </w:p>
    <w:p w:rsidR="00720C88" w:rsidRPr="00054841" w:rsidRDefault="00720C88" w:rsidP="00720C88">
      <w:pPr>
        <w:ind w:left="851" w:right="851"/>
        <w:jc w:val="both"/>
        <w:rPr>
          <w:rFonts w:ascii="Palatino Linotype" w:hAnsi="Palatino Linotype" w:cs="Arial,Bold"/>
          <w:b/>
          <w:bCs/>
          <w:i/>
          <w:sz w:val="22"/>
          <w:lang w:eastAsia="es-MX"/>
        </w:rPr>
      </w:pPr>
    </w:p>
    <w:p w:rsidR="00CD0897" w:rsidRPr="00054841" w:rsidRDefault="00CD0897" w:rsidP="00720C88">
      <w:pPr>
        <w:spacing w:line="360" w:lineRule="auto"/>
        <w:jc w:val="both"/>
        <w:rPr>
          <w:rFonts w:ascii="Palatino Linotype" w:hAnsi="Palatino Linotype" w:cs="Arial"/>
          <w:lang w:eastAsia="es-MX"/>
        </w:rPr>
      </w:pPr>
      <w:r w:rsidRPr="00054841">
        <w:rPr>
          <w:rFonts w:ascii="Palatino Linotype" w:hAnsi="Palatino Linotype" w:cs="Arial"/>
          <w:lang w:eastAsia="es-MX"/>
        </w:rPr>
        <w:t xml:space="preserve">Por cuanto hace a la </w:t>
      </w:r>
      <w:r w:rsidRPr="00054841">
        <w:rPr>
          <w:rFonts w:ascii="Palatino Linotype" w:hAnsi="Palatino Linotype" w:cs="Arial"/>
          <w:b/>
        </w:rPr>
        <w:t xml:space="preserve">Clave Única de Registro de Población, </w:t>
      </w:r>
      <w:r w:rsidRPr="00054841">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20C88" w:rsidRDefault="00CD0897" w:rsidP="00720C88">
      <w:pPr>
        <w:spacing w:line="360" w:lineRule="auto"/>
        <w:jc w:val="both"/>
        <w:rPr>
          <w:rFonts w:ascii="Palatino Linotype" w:hAnsi="Palatino Linotype" w:cs="Arial"/>
          <w:lang w:eastAsia="es-MX"/>
        </w:rPr>
      </w:pPr>
      <w:r w:rsidRPr="00054841">
        <w:rPr>
          <w:rFonts w:ascii="Palatino Linotype" w:hAnsi="Palatino Linotype" w:cs="Arial"/>
          <w:lang w:eastAsia="es-MX"/>
        </w:rPr>
        <w:t>Lo anterior, tiene sustento en los artículos 86 y 91 de la Ley General de Población, la cual señala lo siguiente:</w:t>
      </w:r>
    </w:p>
    <w:p w:rsidR="00B76C94" w:rsidRDefault="00B76C94" w:rsidP="00720C88">
      <w:pPr>
        <w:ind w:left="851" w:right="851"/>
        <w:jc w:val="both"/>
        <w:rPr>
          <w:rFonts w:ascii="Palatino Linotype" w:hAnsi="Palatino Linotype" w:cs="Arial"/>
          <w:lang w:eastAsia="es-MX"/>
        </w:rPr>
      </w:pPr>
    </w:p>
    <w:p w:rsidR="00CD0897" w:rsidRPr="00054841" w:rsidRDefault="00B76C94" w:rsidP="00720C88">
      <w:pPr>
        <w:ind w:left="851" w:right="851"/>
        <w:jc w:val="both"/>
        <w:rPr>
          <w:rFonts w:ascii="Palatino Linotype" w:hAnsi="Palatino Linotype" w:cs="Arial"/>
          <w:i/>
          <w:sz w:val="22"/>
          <w:lang w:eastAsia="es-MX"/>
        </w:rPr>
      </w:pPr>
      <w:r w:rsidRPr="00054841">
        <w:rPr>
          <w:rFonts w:ascii="Palatino Linotype" w:hAnsi="Palatino Linotype" w:cs="Arial,Bold"/>
          <w:b/>
          <w:bCs/>
          <w:i/>
          <w:sz w:val="22"/>
          <w:lang w:eastAsia="es-MX"/>
        </w:rPr>
        <w:t xml:space="preserve"> </w:t>
      </w:r>
      <w:r w:rsidR="00CD0897" w:rsidRPr="00054841">
        <w:rPr>
          <w:rFonts w:ascii="Palatino Linotype" w:hAnsi="Palatino Linotype" w:cs="Arial,Bold"/>
          <w:b/>
          <w:bCs/>
          <w:i/>
          <w:sz w:val="22"/>
          <w:lang w:eastAsia="es-MX"/>
        </w:rPr>
        <w:t xml:space="preserve">“Artículo 86. </w:t>
      </w:r>
      <w:r w:rsidR="00CD0897" w:rsidRPr="00054841">
        <w:rPr>
          <w:rFonts w:ascii="Palatino Linotype" w:hAnsi="Palatino Linotype" w:cs="Arial"/>
          <w:i/>
          <w:sz w:val="22"/>
          <w:lang w:eastAsia="es-MX"/>
        </w:rPr>
        <w:t xml:space="preserve">El </w:t>
      </w:r>
      <w:r w:rsidR="00CD0897" w:rsidRPr="00054841">
        <w:rPr>
          <w:rFonts w:ascii="Palatino Linotype" w:hAnsi="Palatino Linotype" w:cs="Arial"/>
          <w:i/>
          <w:sz w:val="22"/>
          <w:szCs w:val="22"/>
        </w:rPr>
        <w:t>Registro</w:t>
      </w:r>
      <w:r w:rsidR="00CD0897" w:rsidRPr="00054841">
        <w:rPr>
          <w:rFonts w:ascii="Palatino Linotype" w:hAnsi="Palatino Linotype" w:cs="Arial"/>
          <w:i/>
          <w:sz w:val="22"/>
          <w:lang w:eastAsia="es-MX"/>
        </w:rPr>
        <w:t xml:space="preserve"> Nacional </w:t>
      </w:r>
      <w:r w:rsidR="00CD0897" w:rsidRPr="00054841">
        <w:rPr>
          <w:rFonts w:ascii="Palatino Linotype" w:hAnsi="Palatino Linotype" w:cs="Arial"/>
          <w:i/>
          <w:sz w:val="22"/>
        </w:rPr>
        <w:t>de</w:t>
      </w:r>
      <w:r w:rsidR="00CD0897" w:rsidRPr="00054841">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rsidR="00CD0897" w:rsidRPr="00054841" w:rsidRDefault="00CD0897" w:rsidP="00720C88">
      <w:pPr>
        <w:ind w:left="851" w:right="851"/>
        <w:jc w:val="both"/>
        <w:rPr>
          <w:rFonts w:ascii="Palatino Linotype" w:hAnsi="Palatino Linotype" w:cs="Arial"/>
          <w:i/>
          <w:sz w:val="22"/>
          <w:lang w:eastAsia="es-MX"/>
        </w:rPr>
      </w:pPr>
      <w:r w:rsidRPr="00054841">
        <w:rPr>
          <w:rFonts w:ascii="Palatino Linotype" w:hAnsi="Palatino Linotype" w:cs="Arial,Bold"/>
          <w:b/>
          <w:bCs/>
          <w:i/>
          <w:sz w:val="22"/>
          <w:lang w:eastAsia="es-MX"/>
        </w:rPr>
        <w:lastRenderedPageBreak/>
        <w:t xml:space="preserve">Artículo 91. </w:t>
      </w:r>
      <w:r w:rsidRPr="00054841">
        <w:rPr>
          <w:rFonts w:ascii="Palatino Linotype" w:hAnsi="Palatino Linotype" w:cs="Arial"/>
          <w:i/>
          <w:sz w:val="22"/>
          <w:lang w:eastAsia="es-MX"/>
        </w:rPr>
        <w:t xml:space="preserve">Al incorporar a una persona en el Registro Nacional de Población, se le asignará una clave que se denominará </w:t>
      </w:r>
      <w:r w:rsidRPr="00054841">
        <w:rPr>
          <w:rFonts w:ascii="Palatino Linotype" w:hAnsi="Palatino Linotype" w:cs="Arial"/>
          <w:i/>
          <w:sz w:val="22"/>
          <w:szCs w:val="22"/>
        </w:rPr>
        <w:t>Clave</w:t>
      </w:r>
      <w:r w:rsidRPr="00054841">
        <w:rPr>
          <w:rFonts w:ascii="Palatino Linotype" w:hAnsi="Palatino Linotype" w:cs="Arial"/>
          <w:i/>
          <w:sz w:val="22"/>
          <w:lang w:eastAsia="es-MX"/>
        </w:rPr>
        <w:t xml:space="preserve"> Única de Registro de Población. Esta servirá para registrarla e identificarla en forma </w:t>
      </w:r>
      <w:r w:rsidRPr="00054841">
        <w:rPr>
          <w:rFonts w:ascii="Palatino Linotype" w:hAnsi="Palatino Linotype" w:cs="Arial"/>
          <w:i/>
          <w:sz w:val="22"/>
        </w:rPr>
        <w:t>individual</w:t>
      </w:r>
      <w:r w:rsidRPr="00054841">
        <w:rPr>
          <w:rFonts w:ascii="Palatino Linotype" w:hAnsi="Palatino Linotype" w:cs="Arial"/>
          <w:i/>
          <w:sz w:val="22"/>
          <w:lang w:eastAsia="es-MX"/>
        </w:rPr>
        <w:t>.”</w:t>
      </w:r>
    </w:p>
    <w:p w:rsidR="00CD0897" w:rsidRPr="00054841" w:rsidRDefault="00CD0897" w:rsidP="00CD0897">
      <w:pPr>
        <w:shd w:val="clear" w:color="auto" w:fill="FFFFFF"/>
        <w:spacing w:line="360" w:lineRule="auto"/>
        <w:jc w:val="both"/>
        <w:rPr>
          <w:rFonts w:ascii="Palatino Linotype" w:hAnsi="Palatino Linotype"/>
          <w:lang w:eastAsia="es-MX"/>
        </w:rPr>
      </w:pPr>
    </w:p>
    <w:p w:rsidR="00CD0897" w:rsidRPr="00054841" w:rsidRDefault="00CD0897" w:rsidP="00B76C94">
      <w:pPr>
        <w:shd w:val="clear" w:color="auto" w:fill="FFFFFF"/>
        <w:spacing w:before="240" w:after="240" w:line="360" w:lineRule="auto"/>
        <w:jc w:val="both"/>
        <w:rPr>
          <w:rFonts w:ascii="Palatino Linotype" w:hAnsi="Palatino Linotype"/>
          <w:lang w:eastAsia="es-MX"/>
        </w:rPr>
      </w:pPr>
      <w:r w:rsidRPr="00054841">
        <w:rPr>
          <w:rFonts w:ascii="Palatino Linotype" w:hAnsi="Palatino Linotype"/>
          <w:lang w:eastAsia="es-MX"/>
        </w:rPr>
        <w:t xml:space="preserve">Por cuanto hace a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054841">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054841">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CD0897" w:rsidRPr="00054841" w:rsidRDefault="00CD0897" w:rsidP="00B76C94">
      <w:pPr>
        <w:spacing w:before="240" w:after="240" w:line="360" w:lineRule="auto"/>
        <w:jc w:val="both"/>
        <w:rPr>
          <w:rFonts w:ascii="Palatino Linotype" w:hAnsi="Palatino Linotype" w:cs="Arial"/>
          <w:lang w:eastAsia="es-MX"/>
        </w:rPr>
      </w:pPr>
      <w:r w:rsidRPr="00054841">
        <w:rPr>
          <w:rFonts w:ascii="Palatino Linotype" w:hAnsi="Palatino Linotype" w:cs="Arial"/>
          <w:lang w:eastAsia="es-MX"/>
        </w:rPr>
        <w:t>Al respecto, el entonces Instituto Federal de Acceso a la Información Pública y Protección de Datos Personales (IFAI), ahora Instituto Nacional de Transparencia, Acceso a la Información y Protección de Datos Personales (INAI), a través del Criterio 18/17, señala literalmente lo siguiente:</w:t>
      </w:r>
    </w:p>
    <w:p w:rsidR="00CD0897" w:rsidRPr="00054841" w:rsidRDefault="00CD0897" w:rsidP="00B76C94">
      <w:pPr>
        <w:ind w:left="851" w:right="851"/>
        <w:jc w:val="both"/>
        <w:rPr>
          <w:rFonts w:ascii="Palatino Linotype" w:hAnsi="Palatino Linotype" w:cs="Arial,Bold"/>
          <w:b/>
          <w:bCs/>
          <w:i/>
          <w:sz w:val="22"/>
          <w:lang w:eastAsia="es-MX"/>
        </w:rPr>
      </w:pPr>
      <w:r w:rsidRPr="00054841">
        <w:rPr>
          <w:rFonts w:ascii="Palatino Linotype" w:hAnsi="Palatino Linotype" w:cs="Arial,Bold"/>
          <w:b/>
          <w:bCs/>
          <w:i/>
          <w:sz w:val="22"/>
          <w:lang w:eastAsia="es-MX"/>
        </w:rPr>
        <w:t xml:space="preserve">“Clave Única de Registro de Población (CURP). </w:t>
      </w:r>
      <w:r w:rsidRPr="00054841">
        <w:rPr>
          <w:rFonts w:ascii="Palatino Linotype" w:hAnsi="Palatino Linotype" w:cs="Arial,Bold"/>
          <w:bCs/>
          <w:i/>
          <w:sz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D0897" w:rsidRPr="00054841" w:rsidRDefault="00CD0897" w:rsidP="00B76C94">
      <w:pPr>
        <w:ind w:left="851" w:right="851"/>
        <w:jc w:val="both"/>
        <w:rPr>
          <w:rFonts w:ascii="Palatino Linotype" w:hAnsi="Palatino Linotype" w:cs="Arial,Bold"/>
          <w:bCs/>
          <w:i/>
          <w:sz w:val="22"/>
          <w:lang w:eastAsia="es-MX"/>
        </w:rPr>
      </w:pPr>
      <w:r w:rsidRPr="00054841">
        <w:rPr>
          <w:rFonts w:ascii="Palatino Linotype" w:hAnsi="Palatino Linotype" w:cs="Arial,Bold"/>
          <w:bCs/>
          <w:i/>
          <w:sz w:val="22"/>
          <w:lang w:eastAsia="es-MX"/>
        </w:rPr>
        <w:t>Resoluciones:</w:t>
      </w:r>
    </w:p>
    <w:p w:rsidR="00CD0897" w:rsidRPr="00054841" w:rsidRDefault="00CD0897" w:rsidP="00B76C94">
      <w:pPr>
        <w:ind w:left="851" w:right="851"/>
        <w:jc w:val="both"/>
        <w:rPr>
          <w:rFonts w:ascii="Palatino Linotype" w:hAnsi="Palatino Linotype" w:cs="Arial,Bold"/>
          <w:bCs/>
          <w:i/>
          <w:sz w:val="22"/>
          <w:lang w:eastAsia="es-MX"/>
        </w:rPr>
      </w:pPr>
      <w:r w:rsidRPr="00054841">
        <w:rPr>
          <w:rFonts w:ascii="Palatino Linotype" w:hAnsi="Palatino Linotype" w:cs="Arial,Bold"/>
          <w:bCs/>
          <w:i/>
          <w:sz w:val="22"/>
          <w:lang w:eastAsia="es-MX"/>
        </w:rPr>
        <w:t>RRA 3995/16. Secretaría de la Defensa Nacional. 1 de febrero de 2017. Por unanimidad. Comisionado Ponente Rosendoevgueni Monterrey Chepov.</w:t>
      </w:r>
    </w:p>
    <w:p w:rsidR="00CD0897" w:rsidRPr="00054841" w:rsidRDefault="00CD0897" w:rsidP="00B76C94">
      <w:pPr>
        <w:ind w:left="851" w:right="851"/>
        <w:jc w:val="both"/>
        <w:rPr>
          <w:rFonts w:ascii="Palatino Linotype" w:hAnsi="Palatino Linotype" w:cs="Arial,Bold"/>
          <w:bCs/>
          <w:i/>
          <w:sz w:val="22"/>
          <w:lang w:eastAsia="es-MX"/>
        </w:rPr>
      </w:pPr>
      <w:r w:rsidRPr="00054841">
        <w:rPr>
          <w:rFonts w:ascii="Palatino Linotype" w:hAnsi="Palatino Linotype" w:cs="Arial,Bold"/>
          <w:bCs/>
          <w:i/>
          <w:sz w:val="22"/>
          <w:lang w:eastAsia="es-MX"/>
        </w:rPr>
        <w:lastRenderedPageBreak/>
        <w:t xml:space="preserve">RRA 0937/17. Senado de la República. 15 de marzo de 2017. Por unanimidad. Comisionada Ponente Ximena Puente de la Mora. </w:t>
      </w:r>
    </w:p>
    <w:p w:rsidR="00CD0897" w:rsidRDefault="00CD0897" w:rsidP="00B76C94">
      <w:pPr>
        <w:ind w:left="851" w:right="851"/>
        <w:jc w:val="both"/>
        <w:rPr>
          <w:rFonts w:ascii="Palatino Linotype" w:hAnsi="Palatino Linotype" w:cs="Arial,Bold"/>
          <w:bCs/>
          <w:i/>
          <w:sz w:val="22"/>
          <w:lang w:eastAsia="es-MX"/>
        </w:rPr>
      </w:pPr>
      <w:r w:rsidRPr="00054841">
        <w:rPr>
          <w:rFonts w:ascii="Palatino Linotype" w:hAnsi="Palatino Linotype" w:cs="Arial,Bold"/>
          <w:bCs/>
          <w:i/>
          <w:sz w:val="22"/>
          <w:lang w:eastAsia="es-MX"/>
        </w:rPr>
        <w:t>RRA 0478/17. Secretaría de Relaciones Exteriores. 26 de abril de 2017. Por unanimidad. Comisionada Ponente Areli Cano Guadiana.”</w:t>
      </w:r>
    </w:p>
    <w:p w:rsidR="00B76C94" w:rsidRPr="00054841" w:rsidRDefault="00B76C94" w:rsidP="00B76C94">
      <w:pPr>
        <w:ind w:left="851" w:right="851"/>
        <w:jc w:val="both"/>
        <w:rPr>
          <w:rFonts w:ascii="Palatino Linotype" w:hAnsi="Palatino Linotype" w:cs="Arial,Bold"/>
          <w:bCs/>
          <w:i/>
          <w:sz w:val="22"/>
          <w:lang w:eastAsia="es-MX"/>
        </w:rPr>
      </w:pPr>
    </w:p>
    <w:p w:rsidR="00CD0897" w:rsidRPr="00054841" w:rsidRDefault="00CD0897" w:rsidP="00B76C94">
      <w:pPr>
        <w:autoSpaceDE w:val="0"/>
        <w:autoSpaceDN w:val="0"/>
        <w:adjustRightInd w:val="0"/>
        <w:spacing w:before="240" w:after="240" w:line="360" w:lineRule="auto"/>
        <w:jc w:val="both"/>
        <w:rPr>
          <w:rFonts w:ascii="Palatino Linotype" w:hAnsi="Palatino Linotype" w:cs="Arial"/>
        </w:rPr>
      </w:pPr>
      <w:r w:rsidRPr="00054841">
        <w:rPr>
          <w:rFonts w:ascii="Palatino Linotype" w:hAnsi="Palatino Linotype" w:cs="Arial"/>
        </w:rPr>
        <w:t>Finalmente,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se deberá realizarse en términos de lo que disponen los artículos 49 fracción VIII, 53, fracción X y 59, fracción V, de la Ley en consulta, cuyo sentido literal es el siguiente:</w:t>
      </w:r>
    </w:p>
    <w:p w:rsidR="00CD0897" w:rsidRPr="00054841" w:rsidRDefault="00CD0897" w:rsidP="00B76C94">
      <w:pPr>
        <w:ind w:left="851" w:right="851"/>
        <w:contextualSpacing/>
        <w:jc w:val="both"/>
        <w:rPr>
          <w:rFonts w:ascii="Palatino Linotype" w:hAnsi="Palatino Linotype"/>
          <w:i/>
          <w:sz w:val="22"/>
          <w:szCs w:val="22"/>
        </w:rPr>
      </w:pPr>
      <w:r w:rsidRPr="00054841">
        <w:rPr>
          <w:rFonts w:ascii="Palatino Linotype" w:hAnsi="Palatino Linotype"/>
          <w:b/>
          <w:i/>
          <w:sz w:val="22"/>
          <w:szCs w:val="22"/>
        </w:rPr>
        <w:t>“Artículo 49.</w:t>
      </w:r>
      <w:r w:rsidRPr="00054841">
        <w:rPr>
          <w:rFonts w:ascii="Palatino Linotype" w:hAnsi="Palatino Linotype"/>
          <w:i/>
          <w:sz w:val="22"/>
          <w:szCs w:val="22"/>
        </w:rPr>
        <w:t xml:space="preserve"> </w:t>
      </w:r>
      <w:r w:rsidRPr="00054841">
        <w:rPr>
          <w:rFonts w:ascii="Palatino Linotype" w:hAnsi="Palatino Linotype"/>
          <w:b/>
          <w:i/>
          <w:sz w:val="22"/>
          <w:szCs w:val="22"/>
        </w:rPr>
        <w:t>Los Comités de Transparencia</w:t>
      </w:r>
      <w:r w:rsidRPr="00054841">
        <w:rPr>
          <w:rFonts w:ascii="Palatino Linotype" w:hAnsi="Palatino Linotype"/>
          <w:i/>
          <w:sz w:val="22"/>
          <w:szCs w:val="22"/>
        </w:rPr>
        <w:t xml:space="preserve"> tendrán las siguientes atribuciones:</w:t>
      </w:r>
    </w:p>
    <w:p w:rsidR="00CD0897" w:rsidRPr="00054841" w:rsidRDefault="00CD0897" w:rsidP="00B76C94">
      <w:pPr>
        <w:ind w:left="851" w:right="851"/>
        <w:contextualSpacing/>
        <w:jc w:val="both"/>
        <w:rPr>
          <w:rFonts w:ascii="Palatino Linotype" w:hAnsi="Palatino Linotype"/>
          <w:i/>
          <w:sz w:val="22"/>
          <w:szCs w:val="22"/>
        </w:rPr>
      </w:pPr>
      <w:r w:rsidRPr="00054841">
        <w:rPr>
          <w:rFonts w:ascii="Palatino Linotype" w:hAnsi="Palatino Linotype"/>
          <w:b/>
          <w:i/>
          <w:sz w:val="22"/>
          <w:szCs w:val="22"/>
        </w:rPr>
        <w:t>VIII. Aprobar, modificar o revocar la clasificación de la información</w:t>
      </w:r>
      <w:r w:rsidRPr="00054841">
        <w:rPr>
          <w:rFonts w:ascii="Palatino Linotype" w:hAnsi="Palatino Linotype"/>
          <w:i/>
          <w:sz w:val="22"/>
          <w:szCs w:val="22"/>
        </w:rPr>
        <w:t>…”</w:t>
      </w:r>
    </w:p>
    <w:p w:rsidR="00CD0897" w:rsidRPr="00054841" w:rsidRDefault="00CD0897" w:rsidP="00B76C94">
      <w:pPr>
        <w:ind w:left="851" w:right="851"/>
        <w:contextualSpacing/>
        <w:jc w:val="both"/>
        <w:rPr>
          <w:rFonts w:ascii="Palatino Linotype" w:hAnsi="Palatino Linotype"/>
          <w:b/>
          <w:i/>
          <w:sz w:val="22"/>
          <w:szCs w:val="22"/>
        </w:rPr>
      </w:pPr>
    </w:p>
    <w:p w:rsidR="00CD0897" w:rsidRPr="00054841" w:rsidRDefault="00CD0897" w:rsidP="00B76C94">
      <w:pPr>
        <w:ind w:left="851" w:right="851"/>
        <w:contextualSpacing/>
        <w:jc w:val="both"/>
        <w:rPr>
          <w:rFonts w:ascii="Palatino Linotype" w:hAnsi="Palatino Linotype"/>
          <w:i/>
          <w:sz w:val="22"/>
          <w:szCs w:val="22"/>
        </w:rPr>
      </w:pPr>
      <w:r w:rsidRPr="00054841">
        <w:rPr>
          <w:rFonts w:ascii="Palatino Linotype" w:hAnsi="Palatino Linotype"/>
          <w:i/>
          <w:sz w:val="22"/>
          <w:szCs w:val="22"/>
        </w:rPr>
        <w:t>“</w:t>
      </w:r>
      <w:r w:rsidRPr="00054841">
        <w:rPr>
          <w:rFonts w:ascii="Palatino Linotype" w:hAnsi="Palatino Linotype"/>
          <w:b/>
          <w:i/>
          <w:sz w:val="22"/>
          <w:szCs w:val="22"/>
        </w:rPr>
        <w:t>Artículo 53.</w:t>
      </w:r>
      <w:r w:rsidRPr="00054841">
        <w:rPr>
          <w:rFonts w:ascii="Palatino Linotype" w:hAnsi="Palatino Linotype"/>
          <w:i/>
          <w:sz w:val="22"/>
          <w:szCs w:val="22"/>
        </w:rPr>
        <w:t xml:space="preserve"> Las </w:t>
      </w:r>
      <w:r w:rsidRPr="00054841">
        <w:rPr>
          <w:rFonts w:ascii="Palatino Linotype" w:hAnsi="Palatino Linotype"/>
          <w:b/>
          <w:i/>
          <w:sz w:val="22"/>
          <w:szCs w:val="22"/>
        </w:rPr>
        <w:t>Unidades de Transparencia</w:t>
      </w:r>
      <w:r w:rsidRPr="00054841">
        <w:rPr>
          <w:rFonts w:ascii="Palatino Linotype" w:hAnsi="Palatino Linotype"/>
          <w:i/>
          <w:sz w:val="22"/>
          <w:szCs w:val="22"/>
        </w:rPr>
        <w:t xml:space="preserve"> tendrán las siguientes </w:t>
      </w:r>
      <w:r w:rsidRPr="00054841">
        <w:rPr>
          <w:rFonts w:ascii="Palatino Linotype" w:hAnsi="Palatino Linotype"/>
          <w:b/>
          <w:i/>
          <w:sz w:val="22"/>
          <w:szCs w:val="22"/>
        </w:rPr>
        <w:t>funciones</w:t>
      </w:r>
      <w:r w:rsidRPr="00054841">
        <w:rPr>
          <w:rFonts w:ascii="Palatino Linotype" w:hAnsi="Palatino Linotype"/>
          <w:i/>
          <w:sz w:val="22"/>
          <w:szCs w:val="22"/>
        </w:rPr>
        <w:t>:</w:t>
      </w:r>
    </w:p>
    <w:p w:rsidR="00CD0897" w:rsidRPr="00054841" w:rsidRDefault="00CD0897" w:rsidP="00B76C94">
      <w:pPr>
        <w:ind w:left="851" w:right="851"/>
        <w:contextualSpacing/>
        <w:jc w:val="both"/>
        <w:rPr>
          <w:rFonts w:ascii="Palatino Linotype" w:hAnsi="Palatino Linotype"/>
          <w:i/>
          <w:sz w:val="22"/>
          <w:szCs w:val="22"/>
        </w:rPr>
      </w:pPr>
      <w:r w:rsidRPr="00054841">
        <w:rPr>
          <w:rFonts w:ascii="Palatino Linotype" w:hAnsi="Palatino Linotype"/>
          <w:b/>
          <w:i/>
          <w:sz w:val="22"/>
          <w:szCs w:val="22"/>
        </w:rPr>
        <w:t>X. Presentar ante el Comité, el proyecto de clasificación de información</w:t>
      </w:r>
      <w:r w:rsidRPr="00054841">
        <w:rPr>
          <w:rFonts w:ascii="Palatino Linotype" w:hAnsi="Palatino Linotype"/>
          <w:i/>
          <w:sz w:val="22"/>
          <w:szCs w:val="22"/>
        </w:rPr>
        <w:t xml:space="preserve">…” </w:t>
      </w:r>
    </w:p>
    <w:p w:rsidR="00CD0897" w:rsidRPr="00054841" w:rsidRDefault="00CD0897" w:rsidP="00B76C94">
      <w:pPr>
        <w:ind w:left="851" w:right="851"/>
        <w:contextualSpacing/>
        <w:jc w:val="both"/>
        <w:rPr>
          <w:rFonts w:ascii="Palatino Linotype" w:hAnsi="Palatino Linotype"/>
          <w:i/>
          <w:sz w:val="22"/>
          <w:szCs w:val="22"/>
        </w:rPr>
      </w:pPr>
    </w:p>
    <w:p w:rsidR="00CD0897" w:rsidRPr="00054841" w:rsidRDefault="00CD0897" w:rsidP="00B76C94">
      <w:pPr>
        <w:ind w:left="851" w:right="851"/>
        <w:contextualSpacing/>
        <w:jc w:val="both"/>
        <w:rPr>
          <w:rFonts w:ascii="Palatino Linotype" w:hAnsi="Palatino Linotype"/>
          <w:i/>
          <w:sz w:val="22"/>
          <w:szCs w:val="22"/>
        </w:rPr>
      </w:pPr>
      <w:r w:rsidRPr="00054841">
        <w:rPr>
          <w:rFonts w:ascii="Palatino Linotype" w:hAnsi="Palatino Linotype"/>
          <w:b/>
          <w:i/>
          <w:sz w:val="22"/>
          <w:szCs w:val="22"/>
        </w:rPr>
        <w:t>“Artículo 59.</w:t>
      </w:r>
      <w:r w:rsidRPr="00054841">
        <w:rPr>
          <w:rFonts w:ascii="Palatino Linotype" w:hAnsi="Palatino Linotype"/>
          <w:i/>
          <w:sz w:val="22"/>
          <w:szCs w:val="22"/>
        </w:rPr>
        <w:t xml:space="preserve"> Los </w:t>
      </w:r>
      <w:r w:rsidRPr="00054841">
        <w:rPr>
          <w:rFonts w:ascii="Palatino Linotype" w:hAnsi="Palatino Linotype"/>
          <w:b/>
          <w:i/>
          <w:sz w:val="22"/>
          <w:szCs w:val="22"/>
        </w:rPr>
        <w:t>servidores públicos habilitados</w:t>
      </w:r>
      <w:r w:rsidRPr="00054841">
        <w:rPr>
          <w:rFonts w:ascii="Palatino Linotype" w:hAnsi="Palatino Linotype"/>
          <w:i/>
          <w:sz w:val="22"/>
          <w:szCs w:val="22"/>
        </w:rPr>
        <w:t xml:space="preserve"> tendrán las </w:t>
      </w:r>
      <w:r w:rsidRPr="00054841">
        <w:rPr>
          <w:rFonts w:ascii="Palatino Linotype" w:hAnsi="Palatino Linotype"/>
          <w:b/>
          <w:i/>
          <w:sz w:val="22"/>
          <w:szCs w:val="22"/>
        </w:rPr>
        <w:t>funciones</w:t>
      </w:r>
      <w:r w:rsidRPr="00054841">
        <w:rPr>
          <w:rFonts w:ascii="Palatino Linotype" w:hAnsi="Palatino Linotype"/>
          <w:i/>
          <w:sz w:val="22"/>
          <w:szCs w:val="22"/>
        </w:rPr>
        <w:t xml:space="preserve"> siguientes:</w:t>
      </w:r>
    </w:p>
    <w:p w:rsidR="00CD0897" w:rsidRDefault="00CD0897" w:rsidP="00B76C94">
      <w:pPr>
        <w:ind w:left="851" w:right="851"/>
        <w:contextualSpacing/>
        <w:jc w:val="both"/>
        <w:rPr>
          <w:rFonts w:ascii="Palatino Linotype" w:hAnsi="Palatino Linotype"/>
          <w:i/>
          <w:sz w:val="22"/>
          <w:szCs w:val="22"/>
        </w:rPr>
      </w:pPr>
      <w:r w:rsidRPr="00054841">
        <w:rPr>
          <w:rFonts w:ascii="Palatino Linotype" w:hAnsi="Palatino Linotype"/>
          <w:b/>
          <w:i/>
          <w:sz w:val="22"/>
          <w:szCs w:val="22"/>
        </w:rPr>
        <w:t>V. Integrar y presentar al responsable de la Unidad de Transparencia la propuesta de clasificación de información</w:t>
      </w:r>
      <w:r w:rsidRPr="00054841">
        <w:rPr>
          <w:rFonts w:ascii="Palatino Linotype" w:hAnsi="Palatino Linotype"/>
          <w:i/>
          <w:sz w:val="22"/>
          <w:szCs w:val="22"/>
        </w:rPr>
        <w:t>, la cual tendrá los fundamentos y argumentos en que se basa dicha propuesta…”</w:t>
      </w:r>
    </w:p>
    <w:p w:rsidR="00B76C94" w:rsidRPr="00054841" w:rsidRDefault="00B76C94" w:rsidP="00B76C94">
      <w:pPr>
        <w:ind w:left="851" w:right="851"/>
        <w:contextualSpacing/>
        <w:jc w:val="both"/>
        <w:rPr>
          <w:rFonts w:ascii="Palatino Linotype" w:hAnsi="Palatino Linotype"/>
          <w:i/>
          <w:sz w:val="22"/>
          <w:szCs w:val="22"/>
        </w:rPr>
      </w:pPr>
    </w:p>
    <w:p w:rsidR="00CD0897" w:rsidRPr="00054841" w:rsidRDefault="00CD0897" w:rsidP="00B76C94">
      <w:pPr>
        <w:spacing w:before="240" w:after="240" w:line="360" w:lineRule="auto"/>
        <w:jc w:val="both"/>
        <w:rPr>
          <w:rFonts w:ascii="Palatino Linotype" w:hAnsi="Palatino Linotype" w:cs="Arial"/>
        </w:rPr>
      </w:pPr>
      <w:r w:rsidRPr="00054841">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sidRPr="00054841">
        <w:rPr>
          <w:rFonts w:ascii="Palatino Linotype" w:hAnsi="Palatino Linotype" w:cs="Arial"/>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rsidR="00CD0897" w:rsidRPr="00054841" w:rsidRDefault="00CD0897" w:rsidP="00B76C94">
      <w:pPr>
        <w:spacing w:before="240" w:after="240" w:line="360" w:lineRule="auto"/>
        <w:jc w:val="both"/>
        <w:rPr>
          <w:rFonts w:ascii="Palatino Linotype" w:hAnsi="Palatino Linotype"/>
          <w:color w:val="000000"/>
        </w:rPr>
      </w:pPr>
      <w:r w:rsidRPr="00054841">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CD0897" w:rsidRDefault="00CD0897" w:rsidP="00B76C94">
      <w:pPr>
        <w:ind w:left="851" w:right="851"/>
        <w:jc w:val="both"/>
        <w:rPr>
          <w:rFonts w:ascii="Palatino Linotype" w:hAnsi="Palatino Linotype"/>
          <w:i/>
          <w:sz w:val="22"/>
          <w:szCs w:val="22"/>
        </w:rPr>
      </w:pPr>
      <w:r w:rsidRPr="00054841">
        <w:rPr>
          <w:rFonts w:ascii="Palatino Linotype" w:hAnsi="Palatino Linotype"/>
          <w:i/>
          <w:color w:val="000000"/>
          <w:sz w:val="22"/>
          <w:szCs w:val="22"/>
        </w:rPr>
        <w:t>“</w:t>
      </w:r>
      <w:r w:rsidRPr="00054841">
        <w:rPr>
          <w:rFonts w:ascii="Palatino Linotype" w:hAnsi="Palatino Linotype"/>
          <w:b/>
          <w:i/>
          <w:sz w:val="22"/>
          <w:szCs w:val="22"/>
        </w:rPr>
        <w:t>Artículo 149.</w:t>
      </w:r>
      <w:r w:rsidRPr="00054841">
        <w:rPr>
          <w:rFonts w:ascii="Palatino Linotype" w:hAnsi="Palatino Linotype"/>
          <w:i/>
          <w:sz w:val="22"/>
          <w:szCs w:val="22"/>
        </w:rPr>
        <w:t xml:space="preserve"> El </w:t>
      </w:r>
      <w:r w:rsidRPr="00054841">
        <w:rPr>
          <w:rFonts w:ascii="Palatino Linotype" w:hAnsi="Palatino Linotype"/>
          <w:b/>
          <w:i/>
          <w:sz w:val="22"/>
          <w:szCs w:val="22"/>
        </w:rPr>
        <w:t>acuerdo que clasifique la información como confidencial</w:t>
      </w:r>
      <w:r w:rsidRPr="00054841">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B76C94" w:rsidRPr="00054841" w:rsidRDefault="00B76C94" w:rsidP="00B76C94">
      <w:pPr>
        <w:ind w:left="851" w:right="851"/>
        <w:jc w:val="both"/>
        <w:rPr>
          <w:rFonts w:ascii="Palatino Linotype" w:hAnsi="Palatino Linotype" w:cs="Arial"/>
          <w:i/>
          <w:sz w:val="22"/>
          <w:szCs w:val="22"/>
        </w:rPr>
      </w:pPr>
    </w:p>
    <w:p w:rsidR="00CD0897" w:rsidRPr="00054841" w:rsidRDefault="00CD0897" w:rsidP="00B76C94">
      <w:pPr>
        <w:spacing w:before="240" w:after="240" w:line="360" w:lineRule="auto"/>
        <w:jc w:val="both"/>
        <w:rPr>
          <w:rFonts w:ascii="Palatino Linotype" w:hAnsi="Palatino Linotype" w:cs="Arial"/>
        </w:rPr>
      </w:pPr>
      <w:r w:rsidRPr="00054841">
        <w:rPr>
          <w:rFonts w:ascii="Palatino Linotype" w:hAnsi="Palatino Linotype" w:cs="Arial"/>
          <w:lang w:eastAsia="es-CO"/>
        </w:rPr>
        <w:t>Es decir, el Sujeto Obligado 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rsidR="00E5702D" w:rsidRPr="00A47AFF" w:rsidRDefault="00E5702D" w:rsidP="00B76C94">
      <w:pPr>
        <w:spacing w:before="240" w:after="240" w:line="360" w:lineRule="auto"/>
        <w:jc w:val="both"/>
        <w:rPr>
          <w:rFonts w:ascii="Palatino Linotype" w:hAnsi="Palatino Linotype" w:cs="Arial"/>
        </w:rPr>
      </w:pPr>
      <w:r w:rsidRPr="00A47AFF">
        <w:rPr>
          <w:rFonts w:ascii="Palatino Linotype" w:hAnsi="Palatino Linotype" w:cs="Arial"/>
        </w:rPr>
        <w:t xml:space="preserve">En mérito de lo expuesto en líneas anteriores, este Órgano Garante considera que resultan fundados los motivos de inconformidad que arguye el recurrente en sus medios de impugnación que fue materia de estudio, por ello con fundamento en el artículo 186 fracción IV de la Ley de Transparencia y Acceso a la Información Pública del Estado de México y Municipios, se </w:t>
      </w:r>
      <w:r w:rsidRPr="00A47AFF">
        <w:rPr>
          <w:rFonts w:ascii="Palatino Linotype" w:hAnsi="Palatino Linotype" w:cs="Arial"/>
          <w:b/>
        </w:rPr>
        <w:t xml:space="preserve">ORDENA al Sujeto Obligado </w:t>
      </w:r>
      <w:r w:rsidRPr="00A47AFF">
        <w:rPr>
          <w:rFonts w:ascii="Palatino Linotype" w:hAnsi="Palatino Linotype"/>
          <w:b/>
        </w:rPr>
        <w:t>de</w:t>
      </w:r>
      <w:r w:rsidRPr="00A47AFF">
        <w:rPr>
          <w:rFonts w:ascii="Palatino Linotype" w:hAnsi="Palatino Linotype"/>
        </w:rPr>
        <w:t xml:space="preserve"> respuesta </w:t>
      </w:r>
      <w:r w:rsidRPr="00A47AFF">
        <w:rPr>
          <w:rFonts w:ascii="Palatino Linotype" w:hAnsi="Palatino Linotype"/>
        </w:rPr>
        <w:lastRenderedPageBreak/>
        <w:t xml:space="preserve">a la solicitud de información </w:t>
      </w:r>
      <w:r w:rsidRPr="00A47AFF">
        <w:rPr>
          <w:rFonts w:ascii="Palatino Linotype" w:hAnsi="Palatino Linotype" w:cs="Arial"/>
          <w:b/>
        </w:rPr>
        <w:t>00</w:t>
      </w:r>
      <w:r w:rsidR="00B75ACB">
        <w:rPr>
          <w:rFonts w:ascii="Palatino Linotype" w:hAnsi="Palatino Linotype" w:cs="Arial"/>
          <w:b/>
        </w:rPr>
        <w:t>065</w:t>
      </w:r>
      <w:r w:rsidRPr="00A47AFF">
        <w:rPr>
          <w:rFonts w:ascii="Palatino Linotype" w:hAnsi="Palatino Linotype" w:cs="Arial"/>
          <w:b/>
        </w:rPr>
        <w:t>/</w:t>
      </w:r>
      <w:r w:rsidR="00B75ACB">
        <w:rPr>
          <w:rFonts w:ascii="Palatino Linotype" w:hAnsi="Palatino Linotype" w:cs="Arial"/>
          <w:b/>
        </w:rPr>
        <w:t>FELIPRO</w:t>
      </w:r>
      <w:r w:rsidRPr="00A47AFF">
        <w:rPr>
          <w:rFonts w:ascii="Palatino Linotype" w:hAnsi="Palatino Linotype" w:cs="Arial"/>
          <w:b/>
        </w:rPr>
        <w:t>/IP/2018</w:t>
      </w:r>
      <w:r>
        <w:rPr>
          <w:rFonts w:ascii="Palatino Linotype" w:hAnsi="Palatino Linotype" w:cs="Arial"/>
          <w:b/>
        </w:rPr>
        <w:t xml:space="preserve"> </w:t>
      </w:r>
      <w:r>
        <w:rPr>
          <w:rFonts w:ascii="Palatino Linotype" w:hAnsi="Palatino Linotype"/>
        </w:rPr>
        <w:t>que ha</w:t>
      </w:r>
      <w:r w:rsidRPr="00A47AFF">
        <w:rPr>
          <w:rFonts w:ascii="Palatino Linotype" w:hAnsi="Palatino Linotype"/>
        </w:rPr>
        <w:t xml:space="preserve"> sido materia del presente fallo</w:t>
      </w:r>
      <w:r w:rsidRPr="00A47AFF">
        <w:rPr>
          <w:rFonts w:ascii="Palatino Linotype" w:hAnsi="Palatino Linotype" w:cs="Arial"/>
        </w:rPr>
        <w:t>, por lo que este Pleno:</w:t>
      </w:r>
    </w:p>
    <w:p w:rsidR="00E5702D" w:rsidRPr="00A47AFF" w:rsidRDefault="00E5702D" w:rsidP="00E5702D">
      <w:pPr>
        <w:pStyle w:val="NormalWeb"/>
        <w:numPr>
          <w:ilvl w:val="0"/>
          <w:numId w:val="1"/>
        </w:numPr>
        <w:spacing w:line="360" w:lineRule="auto"/>
        <w:jc w:val="center"/>
        <w:rPr>
          <w:rFonts w:ascii="Palatino Linotype" w:hAnsi="Palatino Linotype" w:cs="Arial"/>
          <w:b/>
        </w:rPr>
      </w:pPr>
      <w:r w:rsidRPr="00A47AFF">
        <w:rPr>
          <w:rFonts w:ascii="Palatino Linotype" w:hAnsi="Palatino Linotype" w:cs="Arial"/>
          <w:b/>
        </w:rPr>
        <w:t>R E S U E L V E:</w:t>
      </w:r>
    </w:p>
    <w:p w:rsidR="00E5702D" w:rsidRPr="00A47AFF" w:rsidRDefault="00E5702D" w:rsidP="00E5702D">
      <w:pPr>
        <w:spacing w:before="240" w:after="240" w:line="360" w:lineRule="auto"/>
        <w:ind w:right="49"/>
        <w:jc w:val="both"/>
        <w:rPr>
          <w:rFonts w:ascii="Palatino Linotype" w:hAnsi="Palatino Linotype" w:cs="Arial"/>
        </w:rPr>
      </w:pPr>
      <w:r w:rsidRPr="00A47AFF">
        <w:rPr>
          <w:rFonts w:ascii="Palatino Linotype" w:hAnsi="Palatino Linotype" w:cs="Arial"/>
          <w:b/>
        </w:rPr>
        <w:t xml:space="preserve">Primero. </w:t>
      </w:r>
      <w:r w:rsidRPr="00A47AFF">
        <w:rPr>
          <w:rFonts w:ascii="Palatino Linotype" w:hAnsi="Palatino Linotype" w:cs="Arial"/>
          <w:lang w:val="es-ES_tradnl"/>
        </w:rPr>
        <w:t xml:space="preserve">Resultan </w:t>
      </w:r>
      <w:r w:rsidRPr="00A47AFF">
        <w:rPr>
          <w:rFonts w:ascii="Palatino Linotype" w:eastAsia="Arial Unicode MS" w:hAnsi="Palatino Linotype" w:cs="Arial"/>
        </w:rPr>
        <w:t xml:space="preserve">fundados los motivos de inconformidad que arguye el recurrente, en términos del </w:t>
      </w:r>
      <w:r w:rsidRPr="00A47AFF">
        <w:rPr>
          <w:rFonts w:ascii="Palatino Linotype" w:hAnsi="Palatino Linotype" w:cs="Arial"/>
        </w:rPr>
        <w:t xml:space="preserve">Considerando </w:t>
      </w:r>
      <w:r>
        <w:rPr>
          <w:rFonts w:ascii="Palatino Linotype" w:hAnsi="Palatino Linotype" w:cs="Arial"/>
        </w:rPr>
        <w:t xml:space="preserve">Quinto </w:t>
      </w:r>
      <w:r w:rsidRPr="00A47AFF">
        <w:rPr>
          <w:rFonts w:ascii="Palatino Linotype" w:hAnsi="Palatino Linotype" w:cs="Arial"/>
        </w:rPr>
        <w:t>de la presente resolución.</w:t>
      </w:r>
    </w:p>
    <w:p w:rsidR="00CD0897" w:rsidRPr="00054841" w:rsidRDefault="00E5702D" w:rsidP="00CD0897">
      <w:pPr>
        <w:spacing w:after="240" w:line="360" w:lineRule="auto"/>
        <w:jc w:val="both"/>
        <w:rPr>
          <w:rFonts w:ascii="Palatino Linotype" w:hAnsi="Palatino Linotype" w:cs="Arial"/>
          <w:bCs/>
          <w:shd w:val="clear" w:color="auto" w:fill="FFFFFF"/>
        </w:rPr>
      </w:pPr>
      <w:r w:rsidRPr="00A47AFF">
        <w:rPr>
          <w:rFonts w:ascii="Palatino Linotype" w:hAnsi="Palatino Linotype" w:cs="Arial"/>
          <w:b/>
        </w:rPr>
        <w:t>Segundo.</w:t>
      </w:r>
      <w:r w:rsidRPr="00A47AFF">
        <w:rPr>
          <w:rFonts w:ascii="Palatino Linotype" w:eastAsia="Calibri" w:hAnsi="Palatino Linotype" w:cs="Arial"/>
        </w:rPr>
        <w:t xml:space="preserve"> </w:t>
      </w:r>
      <w:r w:rsidRPr="00A47AFF">
        <w:rPr>
          <w:rFonts w:ascii="Palatino Linotype" w:hAnsi="Palatino Linotype" w:cs="Arial"/>
        </w:rPr>
        <w:t>Se</w:t>
      </w:r>
      <w:r w:rsidRPr="00A47AFF">
        <w:rPr>
          <w:rFonts w:ascii="Palatino Linotype" w:hAnsi="Palatino Linotype" w:cs="Arial"/>
          <w:b/>
        </w:rPr>
        <w:t xml:space="preserve"> </w:t>
      </w:r>
      <w:r w:rsidRPr="00A47AFF">
        <w:rPr>
          <w:rFonts w:ascii="Palatino Linotype" w:hAnsi="Palatino Linotype"/>
          <w:b/>
        </w:rPr>
        <w:t xml:space="preserve">ORDENA </w:t>
      </w:r>
      <w:r w:rsidRPr="00A47AFF">
        <w:rPr>
          <w:rFonts w:ascii="Palatino Linotype" w:hAnsi="Palatino Linotype"/>
        </w:rPr>
        <w:t xml:space="preserve">al </w:t>
      </w:r>
      <w:r w:rsidRPr="00A47AFF">
        <w:rPr>
          <w:rFonts w:ascii="Palatino Linotype" w:hAnsi="Palatino Linotype"/>
          <w:b/>
        </w:rPr>
        <w:t>Sujeto Obligado</w:t>
      </w:r>
      <w:r w:rsidRPr="00A47AFF">
        <w:rPr>
          <w:rFonts w:ascii="Palatino Linotype" w:hAnsi="Palatino Linotype"/>
        </w:rPr>
        <w:t xml:space="preserve"> a que</w:t>
      </w:r>
      <w:r w:rsidRPr="00A47AFF">
        <w:rPr>
          <w:rFonts w:ascii="Palatino Linotype" w:hAnsi="Palatino Linotype"/>
          <w:b/>
        </w:rPr>
        <w:t xml:space="preserve"> </w:t>
      </w:r>
      <w:r w:rsidRPr="00A47AFF">
        <w:rPr>
          <w:rFonts w:ascii="Palatino Linotype" w:hAnsi="Palatino Linotype"/>
        </w:rPr>
        <w:t xml:space="preserve">en términos de los Considerandos </w:t>
      </w:r>
      <w:r>
        <w:rPr>
          <w:rFonts w:ascii="Palatino Linotype" w:hAnsi="Palatino Linotype"/>
        </w:rPr>
        <w:t>Quinto y Sexto</w:t>
      </w:r>
      <w:r w:rsidRPr="00A47AFF">
        <w:rPr>
          <w:rFonts w:ascii="Palatino Linotype" w:hAnsi="Palatino Linotype"/>
        </w:rPr>
        <w:t xml:space="preserve">, </w:t>
      </w:r>
      <w:r w:rsidRPr="00D9318F">
        <w:rPr>
          <w:rFonts w:ascii="Palatino Linotype" w:hAnsi="Palatino Linotype"/>
        </w:rPr>
        <w:t>haga entrega, vía SAIMEX, de ser p</w:t>
      </w:r>
      <w:r>
        <w:rPr>
          <w:rFonts w:ascii="Palatino Linotype" w:hAnsi="Palatino Linotype"/>
        </w:rPr>
        <w:t>rocedente en versión pública</w:t>
      </w:r>
      <w:r w:rsidR="00CD0897">
        <w:rPr>
          <w:rFonts w:ascii="Palatino Linotype" w:hAnsi="Palatino Linotype"/>
        </w:rPr>
        <w:t xml:space="preserve">, </w:t>
      </w:r>
      <w:r w:rsidR="00CD0897" w:rsidRPr="00054841">
        <w:rPr>
          <w:rFonts w:ascii="Palatino Linotype" w:hAnsi="Palatino Linotype" w:cs="Arial"/>
          <w:bCs/>
          <w:shd w:val="clear" w:color="auto" w:fill="FFFFFF"/>
        </w:rPr>
        <w:t>al mayor grado de desagregación posible, lo siguiente:</w:t>
      </w:r>
    </w:p>
    <w:p w:rsidR="00CD0897" w:rsidRPr="00054841" w:rsidRDefault="00CD0897" w:rsidP="00CD0897">
      <w:p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Del periodo del uno de enero de dos mil trece al trece de noviembre de dos mil dieciocho:</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Documento o documentos en donde conste el importe por concepto de alumbrado público facturado por la CFE.</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rPr>
        <w:t>Soporte documental en donde conste la partida (s) presupuestal (es</w:t>
      </w:r>
      <w:r w:rsidR="00B76C94" w:rsidRPr="00054841">
        <w:rPr>
          <w:rFonts w:ascii="Palatino Linotype" w:hAnsi="Palatino Linotype" w:cs="Arial"/>
        </w:rPr>
        <w:t>) y</w:t>
      </w:r>
      <w:r w:rsidRPr="00054841">
        <w:rPr>
          <w:rFonts w:ascii="Palatino Linotype" w:hAnsi="Palatino Linotype" w:cs="Arial"/>
        </w:rPr>
        <w:t xml:space="preserve"> monto (s) erogado (s) y pagado (s) para cubrir las facturas por concepto de consumo de energía eléctrica y el mantenimiento del sistema de alumbrado público.</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rPr>
        <w:t>Documento o documentos en donde conste el número de luminarias sustituidas, arregladas o transformadas así como sus características y lugar de ubicación, derivado del mantenimiento preventivo o correctivo del sistema de alumbrado público.</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En el supuesto de haberse realizado proyectos de electrificación para ampliar el sistema de alumbrado público, el documento o documentos en donde conste: el </w:t>
      </w:r>
      <w:r w:rsidRPr="00054841">
        <w:rPr>
          <w:rFonts w:ascii="Palatino Linotype" w:hAnsi="Palatino Linotype" w:cs="Arial"/>
          <w:bCs/>
          <w:shd w:val="clear" w:color="auto" w:fill="FFFFFF"/>
        </w:rPr>
        <w:lastRenderedPageBreak/>
        <w:t>monto total de la inversión, tipo o fuente de financiamiento, cantidad de equipos colocados y/o sustituidos, tipo de equipos, ubicación, fecha de inicio y término de la obra así como la fecha de modificación de nuevo consumo en el sistema de facturación de alumbrado público, el medio de publicación de los proyectos y de ser posible la capacidad instalada.</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En el supuesto de haberse realizado proyectos de modernización de alumbrado público, el documento o documentos en donde conste: el monto total de la inversión, tipo o fuente de financiamiento, cantidad de equipos colocados y/o sustituidos, tipo de equipos, ubicación, fecha de inicio y término de la obra, la fecha de modificación de nuevo consumo en el sistema de facturación de alumbrado público, tipo de contrato celebrado, número y nombre de empresas concursantes o convocadas, criterios de selección utilizados por el comité de adquisiciones para elegir a la empresa contratada, el acta de cabildo en la que se autoriza el proyecto y de ser posible la capacidad instalada y georreferenciación de cada uno de los puntos de luz del nuevo alumbrado.</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Documento o documentos donde se desprenda el número de solicitudes para ampliar el sistema de alumbrado público mediante proyectos de electrificación, así como las atendidas y concluidas.</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Convenio (s) para recaudar el Derecho de Alumbrado Público celebrado con la Comisión Federal de Electricidad.</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Soporte documental que contenga el (los</w:t>
      </w:r>
      <w:r w:rsidR="00B76C94" w:rsidRPr="00054841">
        <w:rPr>
          <w:rFonts w:ascii="Palatino Linotype" w:hAnsi="Palatino Linotype" w:cs="Arial"/>
          <w:bCs/>
          <w:shd w:val="clear" w:color="auto" w:fill="FFFFFF"/>
        </w:rPr>
        <w:t>) monto</w:t>
      </w:r>
      <w:r w:rsidRPr="00054841">
        <w:rPr>
          <w:rFonts w:ascii="Palatino Linotype" w:hAnsi="Palatino Linotype" w:cs="Arial"/>
          <w:bCs/>
          <w:shd w:val="clear" w:color="auto" w:fill="FFFFFF"/>
        </w:rPr>
        <w:t xml:space="preserve"> (s) recaudado (s) por la CFE por concepto de DAP a favor del Sujeto Obligado.</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lastRenderedPageBreak/>
        <w:t>Documento o documentos donde conste el número de juicios y/o controversias promovidos por particulares, por el cobro del Derecho de Alumbrado Público, que en su caso contenga el sentido de la resolución.</w:t>
      </w:r>
    </w:p>
    <w:p w:rsidR="00CD0897" w:rsidRPr="00054841" w:rsidRDefault="00CD0897" w:rsidP="00CD0897">
      <w:p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De los ejercicios 2016, 2017 o el más actualizado al 2018 </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Censo o el documento análogo donde conste el número de luminarias y balastros en el municipio que contenga las instaladas en avenidas principales, así como sus características y lugares de ubicación.</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Soporte documental de donde se advierta el</w:t>
      </w:r>
      <w:r w:rsidRPr="00054841">
        <w:rPr>
          <w:rFonts w:ascii="Palatino Linotype" w:hAnsi="Palatino Linotype"/>
        </w:rPr>
        <w:t xml:space="preserve"> Registro Móvil de Usuario (RMU) asignado al servicio de alumbrado público.</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Documento en donde conste el monto y fecha del adeudo por concepto de consumo de energía eléctrica en el alumbrado público, actualizado al trece de noviembre de dos mil dieciocho.</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El (los) último (s) Contrato (s) celebrado (s) con la Comisión Federal de Electricidad por concepto de suministro de energía eléctrica a la fecha de la solicitud.</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El último convenio denominado “Peso por Peso”, celebrado con la Comisión Federal de Electricidad, a la fecha de la solicitud.</w:t>
      </w:r>
    </w:p>
    <w:p w:rsidR="00CD0897" w:rsidRPr="00054841" w:rsidRDefault="00CD0897" w:rsidP="00CD0897">
      <w:pPr>
        <w:pStyle w:val="Prrafodelista"/>
        <w:numPr>
          <w:ilvl w:val="0"/>
          <w:numId w:val="9"/>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Normatividad vigente al trece de noviembre dos mil dieciocho, </w:t>
      </w:r>
      <w:r w:rsidRPr="00054841">
        <w:rPr>
          <w:rFonts w:ascii="Palatino Linotype" w:hAnsi="Palatino Linotype"/>
        </w:rPr>
        <w:t>para operar y proporcionar el servicio de alumbrado público.</w:t>
      </w:r>
    </w:p>
    <w:p w:rsidR="00CD0897" w:rsidRPr="00054841" w:rsidRDefault="00CD0897" w:rsidP="00CD0897">
      <w:pPr>
        <w:spacing w:before="240" w:after="240" w:line="360" w:lineRule="auto"/>
        <w:ind w:left="360"/>
        <w:jc w:val="both"/>
        <w:rPr>
          <w:rFonts w:ascii="Palatino Linotype" w:hAnsi="Palatino Linotype"/>
          <w:color w:val="000000"/>
        </w:rPr>
      </w:pPr>
      <w:r w:rsidRPr="00054841">
        <w:rPr>
          <w:rFonts w:ascii="Palatino Linotype" w:hAnsi="Palatino Linotype"/>
        </w:rPr>
        <w:t xml:space="preserve">Para la entrega de la información en versión pública, </w:t>
      </w:r>
      <w:r w:rsidRPr="00054841">
        <w:rPr>
          <w:rFonts w:ascii="Palatino Linotype" w:hAnsi="Palatino Linotype"/>
          <w:color w:val="000000"/>
        </w:rPr>
        <w:t xml:space="preserve">se deberá emitir el Acuerdo del Comité de Transparencia de acuerdo con la Ley de Transparencia y Acceso a la Información Pública del Estado de México y Municipios, en el que funde y </w:t>
      </w:r>
      <w:r w:rsidRPr="00054841">
        <w:rPr>
          <w:rFonts w:ascii="Palatino Linotype" w:hAnsi="Palatino Linotype"/>
          <w:color w:val="000000"/>
        </w:rPr>
        <w:lastRenderedPageBreak/>
        <w:t>motive las razones sobre los datos que se supriman o eliminen, mismo que también hará de conocimiento del particular.</w:t>
      </w:r>
    </w:p>
    <w:p w:rsidR="00CD0897" w:rsidRPr="00054841" w:rsidRDefault="00CD0897" w:rsidP="00CD0897">
      <w:pPr>
        <w:spacing w:before="240" w:after="240" w:line="360" w:lineRule="auto"/>
        <w:ind w:left="360"/>
        <w:jc w:val="both"/>
        <w:rPr>
          <w:rFonts w:ascii="Palatino Linotype" w:hAnsi="Palatino Linotype"/>
        </w:rPr>
      </w:pPr>
      <w:r w:rsidRPr="00054841">
        <w:rPr>
          <w:rFonts w:ascii="Palatino Linotype" w:hAnsi="Palatino Linotype"/>
        </w:rPr>
        <w:t>Para el caso, que la información que se ordena en los numerales 4, 5, 6, 9, 12 y</w:t>
      </w:r>
      <w:r>
        <w:rPr>
          <w:rFonts w:ascii="Palatino Linotype" w:hAnsi="Palatino Linotype"/>
        </w:rPr>
        <w:t xml:space="preserve"> </w:t>
      </w:r>
      <w:r w:rsidR="00B76C94" w:rsidRPr="00054841">
        <w:rPr>
          <w:rFonts w:ascii="Palatino Linotype" w:hAnsi="Palatino Linotype"/>
        </w:rPr>
        <w:t>14 no</w:t>
      </w:r>
      <w:r w:rsidRPr="00054841">
        <w:rPr>
          <w:rFonts w:ascii="Palatino Linotype" w:hAnsi="Palatino Linotype"/>
        </w:rPr>
        <w:t xml:space="preserve"> se haya generado o </w:t>
      </w:r>
      <w:r w:rsidR="00552143">
        <w:rPr>
          <w:rFonts w:ascii="Palatino Linotype" w:hAnsi="Palatino Linotype"/>
        </w:rPr>
        <w:t xml:space="preserve">no </w:t>
      </w:r>
      <w:r w:rsidRPr="00054841">
        <w:rPr>
          <w:rFonts w:ascii="Palatino Linotype" w:hAnsi="Palatino Linotype"/>
        </w:rPr>
        <w:t>se encuentre en posesión del Sujeto Obligado bastará con que lo haga del conocimiento de la particular.</w:t>
      </w:r>
    </w:p>
    <w:p w:rsidR="00E5702D" w:rsidRPr="00A47AFF" w:rsidRDefault="00E5702D" w:rsidP="00CD0897">
      <w:pPr>
        <w:pStyle w:val="NormalWeb"/>
        <w:spacing w:line="360" w:lineRule="auto"/>
        <w:jc w:val="both"/>
        <w:rPr>
          <w:rFonts w:ascii="Palatino Linotype" w:eastAsia="MS Mincho" w:hAnsi="Palatino Linotype"/>
          <w:shd w:val="clear" w:color="auto" w:fill="FFFFFF"/>
          <w:lang w:val="es-ES_tradnl"/>
        </w:rPr>
      </w:pPr>
      <w:r w:rsidRPr="00A47AFF">
        <w:rPr>
          <w:rFonts w:ascii="Palatino Linotype" w:hAnsi="Palatino Linotype" w:cs="Arial"/>
          <w:b/>
          <w:bCs/>
          <w:shd w:val="clear" w:color="auto" w:fill="FFFFFF"/>
        </w:rPr>
        <w:t xml:space="preserve">Tercero. </w:t>
      </w:r>
      <w:bookmarkStart w:id="1" w:name="_Toc450120670"/>
      <w:r w:rsidRPr="00A47AFF">
        <w:rPr>
          <w:rFonts w:ascii="Palatino Linotype" w:eastAsia="MS Mincho" w:hAnsi="Palatino Linotype" w:cs="Arial"/>
          <w:b/>
          <w:bCs/>
          <w:shd w:val="clear" w:color="auto" w:fill="FFFFFF"/>
          <w:lang w:val="es-ES_tradnl"/>
        </w:rPr>
        <w:t xml:space="preserve">Remítase </w:t>
      </w:r>
      <w:r w:rsidRPr="00A47AFF">
        <w:rPr>
          <w:rFonts w:ascii="Palatino Linotype" w:eastAsia="MS Mincho" w:hAnsi="Palatino Linotype"/>
          <w:shd w:val="clear" w:color="auto" w:fill="FFFFFF"/>
          <w:lang w:val="es-ES_tradnl"/>
        </w:rPr>
        <w:t>al Titular de la Unidad de Transparencia del</w:t>
      </w:r>
      <w:r w:rsidRPr="00A47AFF">
        <w:rPr>
          <w:rFonts w:ascii="Palatino Linotype" w:eastAsia="MS Mincho" w:hAnsi="Palatino Linotype"/>
          <w:b/>
          <w:bCs/>
          <w:shd w:val="clear" w:color="auto" w:fill="FFFFFF"/>
          <w:lang w:val="es-ES_tradnl"/>
        </w:rPr>
        <w:t xml:space="preserve"> SUJETO OBLIGADO</w:t>
      </w:r>
      <w:r w:rsidRPr="00A47AFF">
        <w:rPr>
          <w:rFonts w:ascii="Palatino Linotype" w:eastAsia="MS Mincho" w:hAnsi="Palatino Linotype"/>
          <w:shd w:val="clear" w:color="auto" w:fill="FFFFFF"/>
          <w:lang w:val="es-ES_tradnl"/>
        </w:rPr>
        <w:t>,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1"/>
    </w:p>
    <w:p w:rsidR="00E5702D" w:rsidRPr="00A47AFF" w:rsidRDefault="00E5702D" w:rsidP="00E5702D">
      <w:pPr>
        <w:spacing w:before="240" w:after="240" w:line="360" w:lineRule="auto"/>
        <w:ind w:right="49"/>
        <w:jc w:val="both"/>
        <w:rPr>
          <w:rFonts w:ascii="Palatino Linotype" w:hAnsi="Palatino Linotype" w:cs="Arial"/>
          <w:b/>
        </w:rPr>
      </w:pPr>
      <w:r w:rsidRPr="00A47AFF">
        <w:rPr>
          <w:rFonts w:ascii="Palatino Linotype" w:hAnsi="Palatino Linotype" w:cs="Arial"/>
          <w:b/>
        </w:rPr>
        <w:t xml:space="preserve">Cuarto.  Hágase del Conocimiento </w:t>
      </w:r>
      <w:r w:rsidRPr="00A47AFF">
        <w:rPr>
          <w:rFonts w:ascii="Palatino Linotype" w:hAnsi="Palatino Linotype" w:cs="Arial"/>
        </w:rPr>
        <w:t xml:space="preserve">del </w:t>
      </w:r>
      <w:r w:rsidRPr="00A47AFF">
        <w:rPr>
          <w:rFonts w:ascii="Palatino Linotype" w:hAnsi="Palatino Linotype" w:cs="Arial"/>
          <w:b/>
        </w:rPr>
        <w:t>recurrente</w:t>
      </w:r>
      <w:r w:rsidRPr="00A47AFF">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E5702D" w:rsidRPr="00A47AFF" w:rsidRDefault="00E5702D" w:rsidP="00E5702D">
      <w:pPr>
        <w:spacing w:before="240" w:after="240" w:line="360" w:lineRule="auto"/>
        <w:jc w:val="both"/>
        <w:rPr>
          <w:rFonts w:ascii="Palatino Linotype" w:eastAsia="MS Mincho" w:hAnsi="Palatino Linotype"/>
          <w:shd w:val="clear" w:color="auto" w:fill="FFFFFF"/>
          <w:lang w:val="es-ES_tradnl"/>
        </w:rPr>
      </w:pPr>
      <w:r w:rsidRPr="00A47AFF">
        <w:rPr>
          <w:rFonts w:ascii="Palatino Linotype" w:hAnsi="Palatino Linotype"/>
          <w:b/>
        </w:rPr>
        <w:t>Quinto.</w:t>
      </w:r>
      <w:r w:rsidRPr="00A47AFF">
        <w:rPr>
          <w:rFonts w:ascii="Palatino Linotype" w:eastAsia="MS Mincho" w:hAnsi="Palatino Linotype" w:cs="Arial"/>
          <w:b/>
          <w:bCs/>
          <w:shd w:val="clear" w:color="auto" w:fill="FFFFFF"/>
          <w:lang w:val="es-ES_tradnl"/>
        </w:rPr>
        <w:t xml:space="preserve"> </w:t>
      </w:r>
      <w:r w:rsidRPr="00A47AFF">
        <w:rPr>
          <w:rFonts w:ascii="Palatino Linotype" w:eastAsia="MS Mincho" w:hAnsi="Palatino Linotype" w:cs="Arial"/>
          <w:b/>
          <w:bCs/>
          <w:shd w:val="clear" w:color="auto" w:fill="FFFFFF"/>
        </w:rPr>
        <w:t>Gírese</w:t>
      </w:r>
      <w:r w:rsidRPr="00A47AFF">
        <w:rPr>
          <w:rFonts w:ascii="Palatino Linotype" w:eastAsia="MS Mincho" w:hAnsi="Palatino Linotype" w:cs="Arial"/>
          <w:bCs/>
          <w:shd w:val="clear" w:color="auto" w:fill="FFFFFF"/>
        </w:rPr>
        <w:t xml:space="preserve"> oficio al Contralor Interno de este Instituto para que actúe en razón de su competencia, en términos de lo expuesto en el </w:t>
      </w:r>
      <w:r w:rsidRPr="001A0D06">
        <w:rPr>
          <w:rFonts w:ascii="Palatino Linotype" w:eastAsia="MS Mincho" w:hAnsi="Palatino Linotype" w:cs="Arial"/>
          <w:bCs/>
          <w:shd w:val="clear" w:color="auto" w:fill="FFFFFF"/>
        </w:rPr>
        <w:t>Considerando Quinto</w:t>
      </w:r>
      <w:r>
        <w:rPr>
          <w:rFonts w:ascii="Palatino Linotype" w:eastAsia="MS Mincho" w:hAnsi="Palatino Linotype" w:cs="Arial"/>
          <w:bCs/>
          <w:shd w:val="clear" w:color="auto" w:fill="FFFFFF"/>
        </w:rPr>
        <w:t xml:space="preserve"> </w:t>
      </w:r>
      <w:r w:rsidRPr="00A47AFF">
        <w:rPr>
          <w:rFonts w:ascii="Palatino Linotype" w:eastAsia="MS Mincho" w:hAnsi="Palatino Linotype" w:cs="Arial"/>
          <w:bCs/>
          <w:shd w:val="clear" w:color="auto" w:fill="FFFFFF"/>
        </w:rPr>
        <w:t>de la presente resolución.</w:t>
      </w:r>
    </w:p>
    <w:p w:rsidR="00E5702D" w:rsidRDefault="00E5702D" w:rsidP="00E5702D">
      <w:pPr>
        <w:tabs>
          <w:tab w:val="left" w:pos="709"/>
        </w:tabs>
        <w:spacing w:before="240" w:after="240" w:line="360" w:lineRule="auto"/>
        <w:jc w:val="both"/>
        <w:rPr>
          <w:rFonts w:ascii="Palatino Linotype" w:hAnsi="Palatino Linotype" w:cs="Arial"/>
        </w:rPr>
      </w:pPr>
      <w:r w:rsidRPr="00A47AF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Pr="00A47AFF">
        <w:rPr>
          <w:rFonts w:ascii="Palatino Linotype" w:hAnsi="Palatino Linotype"/>
        </w:rPr>
        <w:lastRenderedPageBreak/>
        <w:t>MARTÍNEZ SÁNCHEZ; EVA ABAID YAPUR</w:t>
      </w:r>
      <w:r w:rsidR="00141E73">
        <w:rPr>
          <w:rFonts w:ascii="Palatino Linotype" w:hAnsi="Palatino Linotype"/>
        </w:rPr>
        <w:t>(EMITIENDO VOTO PARTICULAR)</w:t>
      </w:r>
      <w:r w:rsidRPr="00A47AFF">
        <w:rPr>
          <w:rFonts w:ascii="Palatino Linotype" w:hAnsi="Palatino Linotype"/>
        </w:rPr>
        <w:t>; JOSÉ GUADALUPE LUNA HERNÁNDEZ</w:t>
      </w:r>
      <w:r w:rsidR="00141E73">
        <w:rPr>
          <w:rFonts w:ascii="Palatino Linotype" w:hAnsi="Palatino Linotype"/>
        </w:rPr>
        <w:t>(EMITIENDO VOTO PARTICULAR)</w:t>
      </w:r>
      <w:r w:rsidRPr="00A47AFF">
        <w:rPr>
          <w:rFonts w:ascii="Palatino Linotype" w:hAnsi="Palatino Linotype"/>
        </w:rPr>
        <w:t xml:space="preserve">; JAVIER MARTÍNEZ CRUZ Y LUIS GUSTAVO PARRA NORIEGA; EN LA </w:t>
      </w:r>
      <w:r w:rsidR="00B75ACB">
        <w:rPr>
          <w:rFonts w:ascii="Palatino Linotype" w:hAnsi="Palatino Linotype"/>
        </w:rPr>
        <w:t xml:space="preserve">OCTAVA </w:t>
      </w:r>
      <w:r w:rsidRPr="00A47AFF">
        <w:rPr>
          <w:rFonts w:ascii="Palatino Linotype" w:hAnsi="Palatino Linotype"/>
        </w:rPr>
        <w:t xml:space="preserve">SESIÓN ORDINARIA CELEBRADA EL </w:t>
      </w:r>
      <w:r w:rsidR="00B75ACB">
        <w:rPr>
          <w:rFonts w:ascii="Palatino Linotype" w:hAnsi="Palatino Linotype"/>
        </w:rPr>
        <w:t xml:space="preserve">VEINTISIETE </w:t>
      </w:r>
      <w:r>
        <w:rPr>
          <w:rFonts w:ascii="Palatino Linotype" w:hAnsi="Palatino Linotype"/>
        </w:rPr>
        <w:t xml:space="preserve">DE FEBRERO </w:t>
      </w:r>
      <w:r w:rsidRPr="00A47AFF">
        <w:rPr>
          <w:rFonts w:ascii="Palatino Linotype" w:hAnsi="Palatino Linotype"/>
        </w:rPr>
        <w:t>DE DOS MIL DIECI</w:t>
      </w:r>
      <w:r>
        <w:rPr>
          <w:rFonts w:ascii="Palatino Linotype" w:hAnsi="Palatino Linotype"/>
        </w:rPr>
        <w:t>NUEVE</w:t>
      </w:r>
      <w:r w:rsidRPr="00A47AFF">
        <w:rPr>
          <w:rFonts w:ascii="Palatino Linotype" w:hAnsi="Palatino Linotype"/>
        </w:rPr>
        <w:t>, ANTE EL SECRETARIO TÉCNICO DEL PLENO ALEXIS TAPIA RAMÍREZ.</w:t>
      </w:r>
      <w:r w:rsidRPr="00A47AFF">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E5702D" w:rsidRPr="00C46589" w:rsidTr="00284911">
        <w:trPr>
          <w:trHeight w:val="1807"/>
        </w:trPr>
        <w:tc>
          <w:tcPr>
            <w:tcW w:w="8838" w:type="dxa"/>
            <w:gridSpan w:val="2"/>
            <w:vAlign w:val="center"/>
          </w:tcPr>
          <w:p w:rsidR="00E5702D" w:rsidRPr="00C46589" w:rsidRDefault="00E5702D" w:rsidP="00284911">
            <w:pPr>
              <w:rPr>
                <w:rFonts w:ascii="Palatino Linotype" w:hAnsi="Palatino Linotype"/>
              </w:rPr>
            </w:pPr>
          </w:p>
          <w:p w:rsidR="00E5702D" w:rsidRPr="00C46589" w:rsidRDefault="00E5702D" w:rsidP="00284911">
            <w:pPr>
              <w:rPr>
                <w:rFonts w:ascii="Palatino Linotype" w:hAnsi="Palatino Linotype"/>
              </w:rPr>
            </w:pPr>
          </w:p>
          <w:p w:rsidR="00E5702D" w:rsidRPr="00C46589" w:rsidRDefault="00E5702D" w:rsidP="00284911">
            <w:pPr>
              <w:rPr>
                <w:rFonts w:ascii="Palatino Linotype" w:hAnsi="Palatino Linotype"/>
              </w:rPr>
            </w:pPr>
          </w:p>
          <w:p w:rsidR="00E5702D" w:rsidRPr="00C46589" w:rsidRDefault="00E5702D" w:rsidP="00284911">
            <w:pPr>
              <w:jc w:val="center"/>
              <w:rPr>
                <w:rFonts w:ascii="Palatino Linotype" w:hAnsi="Palatino Linotype"/>
                <w:b/>
              </w:rPr>
            </w:pPr>
            <w:r w:rsidRPr="00C46589">
              <w:rPr>
                <w:rFonts w:ascii="Palatino Linotype" w:hAnsi="Palatino Linotype" w:cs="Arial"/>
                <w:b/>
              </w:rPr>
              <w:t>Zulema Martínez Sánchez</w:t>
            </w:r>
            <w:r w:rsidRPr="00C46589">
              <w:rPr>
                <w:rFonts w:ascii="Palatino Linotype" w:hAnsi="Palatino Linotype"/>
                <w:b/>
              </w:rPr>
              <w:t xml:space="preserve"> </w:t>
            </w:r>
          </w:p>
          <w:p w:rsidR="00E5702D" w:rsidRPr="00C46589" w:rsidRDefault="00E5702D" w:rsidP="00284911">
            <w:pPr>
              <w:jc w:val="center"/>
              <w:rPr>
                <w:rFonts w:ascii="Palatino Linotype" w:hAnsi="Palatino Linotype"/>
              </w:rPr>
            </w:pPr>
            <w:r w:rsidRPr="00C46589">
              <w:rPr>
                <w:rFonts w:ascii="Palatino Linotype" w:hAnsi="Palatino Linotype"/>
              </w:rPr>
              <w:t>Comisionada Presidenta</w:t>
            </w:r>
          </w:p>
          <w:p w:rsidR="00E5702D" w:rsidRPr="00C46589" w:rsidRDefault="00E5702D" w:rsidP="00284911">
            <w:pPr>
              <w:jc w:val="center"/>
              <w:rPr>
                <w:rFonts w:ascii="Palatino Linotype" w:hAnsi="Palatino Linotype"/>
              </w:rPr>
            </w:pPr>
            <w:r w:rsidRPr="00C46589">
              <w:rPr>
                <w:rFonts w:ascii="Palatino Linotype" w:hAnsi="Palatino Linotype"/>
              </w:rPr>
              <w:t>(Rúbrica)</w:t>
            </w:r>
          </w:p>
          <w:p w:rsidR="00E5702D" w:rsidRDefault="00E5702D" w:rsidP="00284911">
            <w:pPr>
              <w:jc w:val="center"/>
              <w:rPr>
                <w:rFonts w:ascii="Palatino Linotype" w:hAnsi="Palatino Linotype"/>
              </w:rPr>
            </w:pPr>
          </w:p>
          <w:p w:rsidR="00E5702D" w:rsidRDefault="00E5702D" w:rsidP="00284911">
            <w:pPr>
              <w:jc w:val="center"/>
              <w:rPr>
                <w:rFonts w:ascii="Palatino Linotype" w:hAnsi="Palatino Linotype"/>
              </w:rPr>
            </w:pPr>
          </w:p>
          <w:p w:rsidR="00E5702D" w:rsidRDefault="00E5702D" w:rsidP="00284911">
            <w:pPr>
              <w:jc w:val="center"/>
              <w:rPr>
                <w:rFonts w:ascii="Palatino Linotype" w:hAnsi="Palatino Linotype"/>
              </w:rPr>
            </w:pPr>
          </w:p>
          <w:p w:rsidR="00E5702D" w:rsidRPr="00C46589" w:rsidRDefault="00E5702D" w:rsidP="00284911">
            <w:pPr>
              <w:jc w:val="center"/>
              <w:rPr>
                <w:rFonts w:ascii="Palatino Linotype" w:hAnsi="Palatino Linotype"/>
              </w:rPr>
            </w:pPr>
          </w:p>
          <w:p w:rsidR="00E5702D" w:rsidRPr="00C46589" w:rsidRDefault="00E5702D" w:rsidP="00284911">
            <w:pPr>
              <w:rPr>
                <w:rFonts w:ascii="Palatino Linotype" w:hAnsi="Palatino Linotype"/>
              </w:rPr>
            </w:pPr>
          </w:p>
        </w:tc>
      </w:tr>
      <w:tr w:rsidR="00E5702D" w:rsidRPr="00C46589" w:rsidTr="00284911">
        <w:trPr>
          <w:trHeight w:val="2156"/>
        </w:trPr>
        <w:tc>
          <w:tcPr>
            <w:tcW w:w="4419" w:type="dxa"/>
            <w:vAlign w:val="center"/>
          </w:tcPr>
          <w:p w:rsidR="00E5702D" w:rsidRPr="00C46589" w:rsidRDefault="00E5702D" w:rsidP="00284911">
            <w:pPr>
              <w:rPr>
                <w:rFonts w:ascii="Palatino Linotype" w:hAnsi="Palatino Linotype"/>
                <w:b/>
              </w:rPr>
            </w:pPr>
          </w:p>
          <w:p w:rsidR="00E5702D" w:rsidRPr="00C46589" w:rsidRDefault="00E5702D" w:rsidP="00284911">
            <w:pPr>
              <w:rPr>
                <w:rFonts w:ascii="Palatino Linotype" w:hAnsi="Palatino Linotype"/>
                <w:b/>
              </w:rPr>
            </w:pPr>
          </w:p>
          <w:p w:rsidR="00E5702D" w:rsidRPr="00C46589" w:rsidRDefault="00E5702D" w:rsidP="00284911">
            <w:pPr>
              <w:rPr>
                <w:rFonts w:ascii="Palatino Linotype" w:hAnsi="Palatino Linotype"/>
                <w:b/>
              </w:rPr>
            </w:pPr>
          </w:p>
          <w:p w:rsidR="00E5702D" w:rsidRPr="00C46589" w:rsidRDefault="00E5702D" w:rsidP="00284911">
            <w:pPr>
              <w:jc w:val="center"/>
              <w:rPr>
                <w:rFonts w:ascii="Palatino Linotype" w:hAnsi="Palatino Linotype"/>
                <w:b/>
              </w:rPr>
            </w:pPr>
            <w:r w:rsidRPr="00C46589">
              <w:rPr>
                <w:rFonts w:ascii="Palatino Linotype" w:hAnsi="Palatino Linotype"/>
                <w:b/>
              </w:rPr>
              <w:t>Eva Abaid Yapur</w:t>
            </w:r>
          </w:p>
          <w:p w:rsidR="00E5702D" w:rsidRPr="00C46589" w:rsidRDefault="00E5702D" w:rsidP="00284911">
            <w:pPr>
              <w:jc w:val="center"/>
              <w:rPr>
                <w:rFonts w:ascii="Palatino Linotype" w:hAnsi="Palatino Linotype"/>
              </w:rPr>
            </w:pPr>
            <w:r w:rsidRPr="00C46589">
              <w:rPr>
                <w:rFonts w:ascii="Palatino Linotype" w:hAnsi="Palatino Linotype"/>
              </w:rPr>
              <w:t>Comisionada</w:t>
            </w:r>
          </w:p>
          <w:p w:rsidR="00E5702D" w:rsidRPr="00C46589" w:rsidRDefault="00E5702D" w:rsidP="00284911">
            <w:pPr>
              <w:jc w:val="center"/>
              <w:rPr>
                <w:rFonts w:ascii="Palatino Linotype" w:hAnsi="Palatino Linotype"/>
              </w:rPr>
            </w:pPr>
            <w:r w:rsidRPr="00C46589">
              <w:rPr>
                <w:rFonts w:ascii="Palatino Linotype" w:hAnsi="Palatino Linotype"/>
              </w:rPr>
              <w:t>(Rúbrica)</w:t>
            </w:r>
          </w:p>
        </w:tc>
        <w:tc>
          <w:tcPr>
            <w:tcW w:w="4419" w:type="dxa"/>
            <w:vAlign w:val="center"/>
          </w:tcPr>
          <w:p w:rsidR="00E5702D" w:rsidRPr="00C46589" w:rsidRDefault="00E5702D" w:rsidP="00284911">
            <w:pPr>
              <w:rPr>
                <w:rFonts w:ascii="Palatino Linotype" w:hAnsi="Palatino Linotype" w:cs="Arial"/>
                <w:b/>
              </w:rPr>
            </w:pPr>
          </w:p>
          <w:p w:rsidR="00E5702D" w:rsidRPr="00C46589" w:rsidRDefault="00E5702D" w:rsidP="00284911">
            <w:pPr>
              <w:jc w:val="center"/>
              <w:rPr>
                <w:rFonts w:ascii="Palatino Linotype" w:hAnsi="Palatino Linotype" w:cs="Arial"/>
                <w:b/>
              </w:rPr>
            </w:pPr>
          </w:p>
          <w:p w:rsidR="00E5702D" w:rsidRPr="00C46589" w:rsidRDefault="00E5702D" w:rsidP="00284911">
            <w:pPr>
              <w:jc w:val="center"/>
              <w:rPr>
                <w:rFonts w:ascii="Palatino Linotype" w:hAnsi="Palatino Linotype" w:cs="Arial"/>
                <w:b/>
              </w:rPr>
            </w:pPr>
          </w:p>
          <w:p w:rsidR="00E5702D" w:rsidRPr="00C46589" w:rsidRDefault="00E5702D" w:rsidP="00284911">
            <w:pPr>
              <w:rPr>
                <w:rFonts w:ascii="Palatino Linotype" w:hAnsi="Palatino Linotype" w:cs="Arial"/>
                <w:b/>
              </w:rPr>
            </w:pPr>
          </w:p>
          <w:p w:rsidR="00E5702D" w:rsidRPr="00C46589" w:rsidRDefault="00E5702D" w:rsidP="00284911">
            <w:pPr>
              <w:jc w:val="center"/>
              <w:rPr>
                <w:rFonts w:ascii="Palatino Linotype" w:hAnsi="Palatino Linotype"/>
                <w:b/>
              </w:rPr>
            </w:pPr>
            <w:r w:rsidRPr="00C46589">
              <w:rPr>
                <w:rFonts w:ascii="Palatino Linotype" w:hAnsi="Palatino Linotype" w:cs="Arial"/>
                <w:b/>
              </w:rPr>
              <w:t>José Guadalupe Luna Hernández</w:t>
            </w:r>
          </w:p>
          <w:p w:rsidR="00E5702D" w:rsidRPr="00C46589" w:rsidRDefault="00E5702D" w:rsidP="00284911">
            <w:pPr>
              <w:jc w:val="center"/>
              <w:rPr>
                <w:rFonts w:ascii="Palatino Linotype" w:hAnsi="Palatino Linotype"/>
              </w:rPr>
            </w:pPr>
            <w:r w:rsidRPr="00C46589">
              <w:rPr>
                <w:rFonts w:ascii="Palatino Linotype" w:hAnsi="Palatino Linotype"/>
              </w:rPr>
              <w:t xml:space="preserve"> Comisionado</w:t>
            </w:r>
          </w:p>
          <w:p w:rsidR="00E5702D" w:rsidRPr="00C46589" w:rsidRDefault="00E5702D" w:rsidP="00284911">
            <w:pPr>
              <w:jc w:val="center"/>
              <w:rPr>
                <w:rFonts w:ascii="Palatino Linotype" w:hAnsi="Palatino Linotype"/>
              </w:rPr>
            </w:pPr>
            <w:r w:rsidRPr="00C46589">
              <w:rPr>
                <w:rFonts w:ascii="Palatino Linotype" w:hAnsi="Palatino Linotype"/>
              </w:rPr>
              <w:t>(Rúbrica)</w:t>
            </w:r>
          </w:p>
          <w:p w:rsidR="00E5702D" w:rsidRPr="00C46589" w:rsidRDefault="00E5702D" w:rsidP="00284911">
            <w:pPr>
              <w:jc w:val="center"/>
              <w:rPr>
                <w:rFonts w:ascii="Palatino Linotype" w:hAnsi="Palatino Linotype"/>
              </w:rPr>
            </w:pPr>
          </w:p>
        </w:tc>
      </w:tr>
      <w:tr w:rsidR="00E5702D" w:rsidRPr="00C46589" w:rsidTr="00284911">
        <w:trPr>
          <w:trHeight w:val="1953"/>
        </w:trPr>
        <w:tc>
          <w:tcPr>
            <w:tcW w:w="8838" w:type="dxa"/>
            <w:gridSpan w:val="2"/>
            <w:vAlign w:val="center"/>
          </w:tcPr>
          <w:p w:rsidR="00E5702D" w:rsidRPr="00C46589" w:rsidRDefault="00E5702D" w:rsidP="00284911">
            <w:pPr>
              <w:rPr>
                <w:rFonts w:ascii="Palatino Linotype" w:hAnsi="Palatino Linotype" w:cs="Arial"/>
                <w:b/>
              </w:rPr>
            </w:pPr>
          </w:p>
          <w:p w:rsidR="00E5702D" w:rsidRPr="00C46589" w:rsidRDefault="00E5702D" w:rsidP="00284911">
            <w:pPr>
              <w:jc w:val="center"/>
              <w:rPr>
                <w:rFonts w:ascii="Palatino Linotype" w:hAnsi="Palatino Linotype" w:cs="Arial"/>
                <w:b/>
              </w:rPr>
            </w:pPr>
          </w:p>
          <w:p w:rsidR="00E5702D" w:rsidRPr="00C46589" w:rsidRDefault="00E5702D" w:rsidP="00284911">
            <w:pPr>
              <w:jc w:val="center"/>
              <w:rPr>
                <w:rFonts w:ascii="Palatino Linotype" w:hAnsi="Palatino Linotype" w:cs="Arial"/>
                <w:b/>
              </w:rPr>
            </w:pPr>
          </w:p>
          <w:p w:rsidR="00E5702D" w:rsidRPr="00C46589" w:rsidRDefault="00E5702D" w:rsidP="00284911">
            <w:pPr>
              <w:jc w:val="center"/>
              <w:rPr>
                <w:rFonts w:ascii="Palatino Linotype" w:hAnsi="Palatino Linotype" w:cs="Arial"/>
                <w:b/>
              </w:rPr>
            </w:pPr>
          </w:p>
          <w:p w:rsidR="00E5702D" w:rsidRPr="00C46589" w:rsidRDefault="00E5702D" w:rsidP="00284911">
            <w:pPr>
              <w:jc w:val="both"/>
              <w:rPr>
                <w:rFonts w:ascii="Palatino Linotype" w:hAnsi="Palatino Linotype" w:cs="Arial"/>
                <w:b/>
              </w:rPr>
            </w:pPr>
            <w:r w:rsidRPr="00C46589">
              <w:rPr>
                <w:rFonts w:ascii="Palatino Linotype" w:hAnsi="Palatino Linotype" w:cs="Arial"/>
                <w:b/>
              </w:rPr>
              <w:t xml:space="preserve">                                    </w:t>
            </w:r>
          </w:p>
          <w:p w:rsidR="00E5702D" w:rsidRPr="00C46589" w:rsidRDefault="00E5702D" w:rsidP="00284911">
            <w:pPr>
              <w:jc w:val="both"/>
              <w:rPr>
                <w:rFonts w:ascii="Palatino Linotype" w:hAnsi="Palatino Linotype" w:cs="Arial"/>
                <w:b/>
              </w:rPr>
            </w:pPr>
            <w:r w:rsidRPr="00C46589">
              <w:rPr>
                <w:rFonts w:ascii="Palatino Linotype" w:hAnsi="Palatino Linotype" w:cs="Arial"/>
                <w:b/>
              </w:rPr>
              <w:t xml:space="preserve">                                                   </w:t>
            </w:r>
          </w:p>
          <w:p w:rsidR="00E5702D" w:rsidRPr="00C46589" w:rsidRDefault="00E5702D" w:rsidP="00284911">
            <w:pPr>
              <w:jc w:val="both"/>
              <w:rPr>
                <w:rFonts w:ascii="Palatino Linotype" w:hAnsi="Palatino Linotype" w:cs="Arial"/>
                <w:b/>
              </w:rPr>
            </w:pPr>
            <w:r w:rsidRPr="00C46589">
              <w:rPr>
                <w:rFonts w:ascii="Palatino Linotype" w:hAnsi="Palatino Linotype" w:cs="Arial"/>
                <w:b/>
              </w:rPr>
              <w:t xml:space="preserve">                                                                    </w:t>
            </w:r>
          </w:p>
          <w:p w:rsidR="00E5702D" w:rsidRPr="00C46589" w:rsidRDefault="00E5702D" w:rsidP="00284911">
            <w:pPr>
              <w:jc w:val="both"/>
              <w:rPr>
                <w:rFonts w:ascii="Palatino Linotype" w:hAnsi="Palatino Linotype" w:cs="Arial"/>
                <w:b/>
              </w:rPr>
            </w:pPr>
          </w:p>
          <w:p w:rsidR="00E5702D" w:rsidRPr="00C46589" w:rsidRDefault="00E5702D" w:rsidP="00284911">
            <w:pPr>
              <w:jc w:val="both"/>
              <w:rPr>
                <w:rFonts w:ascii="Palatino Linotype" w:hAnsi="Palatino Linotype" w:cs="Arial"/>
                <w:b/>
              </w:rPr>
            </w:pPr>
          </w:p>
          <w:p w:rsidR="00E5702D" w:rsidRPr="00C46589" w:rsidRDefault="00E5702D" w:rsidP="00284911">
            <w:pPr>
              <w:jc w:val="both"/>
              <w:rPr>
                <w:rFonts w:ascii="Palatino Linotype" w:hAnsi="Palatino Linotype" w:cs="Arial"/>
                <w:b/>
              </w:rPr>
            </w:pPr>
            <w:r w:rsidRPr="00C46589">
              <w:rPr>
                <w:rFonts w:ascii="Palatino Linotype" w:hAnsi="Palatino Linotype" w:cs="Arial"/>
                <w:b/>
              </w:rPr>
              <w:t xml:space="preserve">                 </w:t>
            </w:r>
          </w:p>
          <w:p w:rsidR="00E5702D" w:rsidRPr="00C46589" w:rsidRDefault="00E5702D" w:rsidP="00284911">
            <w:pPr>
              <w:rPr>
                <w:rFonts w:ascii="Palatino Linotype" w:hAnsi="Palatino Linotype" w:cs="Arial"/>
                <w:b/>
              </w:rPr>
            </w:pPr>
            <w:r w:rsidRPr="00C46589">
              <w:rPr>
                <w:rFonts w:ascii="Palatino Linotype" w:hAnsi="Palatino Linotype" w:cs="Arial"/>
                <w:b/>
              </w:rPr>
              <w:t xml:space="preserve">            Javier Martínez Cruz                                 Luis Gustavo Parra Noriega </w:t>
            </w:r>
          </w:p>
          <w:p w:rsidR="00E5702D" w:rsidRPr="00C46589" w:rsidRDefault="00E5702D" w:rsidP="00284911">
            <w:pPr>
              <w:rPr>
                <w:rFonts w:ascii="Palatino Linotype" w:hAnsi="Palatino Linotype" w:cs="Arial"/>
                <w:b/>
              </w:rPr>
            </w:pPr>
            <w:r w:rsidRPr="00C46589">
              <w:rPr>
                <w:rFonts w:ascii="Palatino Linotype" w:hAnsi="Palatino Linotype" w:cs="Arial"/>
              </w:rPr>
              <w:t xml:space="preserve">                  Comisionado</w:t>
            </w:r>
            <w:r w:rsidRPr="00C46589">
              <w:rPr>
                <w:rFonts w:ascii="Palatino Linotype" w:hAnsi="Palatino Linotype" w:cs="Arial"/>
                <w:b/>
              </w:rPr>
              <w:t xml:space="preserve">                                                        </w:t>
            </w:r>
            <w:r w:rsidRPr="00C46589">
              <w:rPr>
                <w:rFonts w:ascii="Palatino Linotype" w:hAnsi="Palatino Linotype" w:cs="Arial"/>
              </w:rPr>
              <w:t>Comisionado</w:t>
            </w:r>
            <w:r w:rsidRPr="00C46589">
              <w:rPr>
                <w:rFonts w:ascii="Palatino Linotype" w:hAnsi="Palatino Linotype" w:cs="Arial"/>
                <w:b/>
              </w:rPr>
              <w:t xml:space="preserve">                                 </w:t>
            </w:r>
          </w:p>
          <w:p w:rsidR="00E5702D" w:rsidRPr="00C46589" w:rsidRDefault="00E5702D" w:rsidP="00284911">
            <w:pPr>
              <w:rPr>
                <w:rFonts w:ascii="Palatino Linotype" w:hAnsi="Palatino Linotype" w:cs="Arial"/>
              </w:rPr>
            </w:pPr>
            <w:r w:rsidRPr="00C46589">
              <w:rPr>
                <w:rFonts w:ascii="Palatino Linotype" w:hAnsi="Palatino Linotype" w:cs="Arial"/>
              </w:rPr>
              <w:t xml:space="preserve">                     </w:t>
            </w:r>
            <w:r w:rsidRPr="00C46589">
              <w:rPr>
                <w:rFonts w:ascii="Palatino Linotype" w:hAnsi="Palatino Linotype"/>
              </w:rPr>
              <w:t xml:space="preserve">(Rúbrica)             </w:t>
            </w:r>
            <w:r w:rsidRPr="00C46589">
              <w:rPr>
                <w:rFonts w:ascii="Palatino Linotype" w:hAnsi="Palatino Linotype" w:cs="Arial"/>
              </w:rPr>
              <w:t xml:space="preserve">                                                   </w:t>
            </w:r>
            <w:r w:rsidRPr="00C46589">
              <w:rPr>
                <w:rFonts w:ascii="Palatino Linotype" w:hAnsi="Palatino Linotype"/>
              </w:rPr>
              <w:t>(Rúbrica)</w:t>
            </w:r>
          </w:p>
          <w:p w:rsidR="00E5702D" w:rsidRPr="00C46589" w:rsidRDefault="00E5702D" w:rsidP="00284911">
            <w:pPr>
              <w:rPr>
                <w:rFonts w:ascii="Palatino Linotype" w:hAnsi="Palatino Linotype"/>
              </w:rPr>
            </w:pPr>
            <w:r w:rsidRPr="00C46589">
              <w:rPr>
                <w:rFonts w:ascii="Palatino Linotype" w:hAnsi="Palatino Linotype"/>
              </w:rPr>
              <w:t xml:space="preserve">                                                                                          </w:t>
            </w:r>
          </w:p>
        </w:tc>
      </w:tr>
      <w:tr w:rsidR="00E5702D" w:rsidRPr="00C46589" w:rsidTr="00284911">
        <w:trPr>
          <w:trHeight w:val="1544"/>
        </w:trPr>
        <w:tc>
          <w:tcPr>
            <w:tcW w:w="8838" w:type="dxa"/>
            <w:gridSpan w:val="2"/>
            <w:vAlign w:val="center"/>
          </w:tcPr>
          <w:p w:rsidR="00E5702D" w:rsidRPr="00C46589" w:rsidRDefault="00E5702D" w:rsidP="00284911">
            <w:pPr>
              <w:jc w:val="center"/>
              <w:rPr>
                <w:rFonts w:ascii="Palatino Linotype" w:hAnsi="Palatino Linotype" w:cs="Arial"/>
                <w:b/>
              </w:rPr>
            </w:pPr>
          </w:p>
          <w:p w:rsidR="00E5702D" w:rsidRPr="00C46589" w:rsidRDefault="00E5702D" w:rsidP="00284911">
            <w:pPr>
              <w:rPr>
                <w:rFonts w:ascii="Palatino Linotype" w:hAnsi="Palatino Linotype" w:cs="Arial"/>
                <w:b/>
              </w:rPr>
            </w:pPr>
          </w:p>
          <w:p w:rsidR="00E5702D" w:rsidRPr="00C46589" w:rsidRDefault="00E5702D" w:rsidP="00284911">
            <w:pPr>
              <w:rPr>
                <w:rFonts w:ascii="Palatino Linotype" w:hAnsi="Palatino Linotype" w:cs="Arial"/>
                <w:b/>
              </w:rPr>
            </w:pPr>
          </w:p>
          <w:p w:rsidR="00E5702D" w:rsidRPr="00C46589" w:rsidRDefault="00E5702D" w:rsidP="00284911">
            <w:pPr>
              <w:rPr>
                <w:rFonts w:ascii="Palatino Linotype" w:hAnsi="Palatino Linotype" w:cs="Arial"/>
                <w:b/>
              </w:rPr>
            </w:pPr>
          </w:p>
          <w:p w:rsidR="00E5702D" w:rsidRPr="00C46589" w:rsidRDefault="00E5702D" w:rsidP="00284911">
            <w:pPr>
              <w:rPr>
                <w:rFonts w:ascii="Palatino Linotype" w:hAnsi="Palatino Linotype" w:cs="Arial"/>
                <w:b/>
              </w:rPr>
            </w:pPr>
          </w:p>
          <w:p w:rsidR="00E5702D" w:rsidRPr="00C46589" w:rsidRDefault="00E5702D" w:rsidP="00284911">
            <w:pPr>
              <w:rPr>
                <w:rFonts w:ascii="Palatino Linotype" w:hAnsi="Palatino Linotype" w:cs="Arial"/>
                <w:b/>
              </w:rPr>
            </w:pPr>
          </w:p>
          <w:p w:rsidR="00E5702D" w:rsidRPr="00C46589" w:rsidRDefault="00E5702D" w:rsidP="00284911">
            <w:pPr>
              <w:rPr>
                <w:rFonts w:ascii="Palatino Linotype" w:hAnsi="Palatino Linotype" w:cs="Arial"/>
                <w:b/>
              </w:rPr>
            </w:pPr>
          </w:p>
          <w:p w:rsidR="00E5702D" w:rsidRPr="00C46589" w:rsidRDefault="00E5702D" w:rsidP="00284911">
            <w:pPr>
              <w:rPr>
                <w:rFonts w:ascii="Palatino Linotype" w:hAnsi="Palatino Linotype" w:cs="Arial"/>
                <w:b/>
              </w:rPr>
            </w:pPr>
          </w:p>
          <w:p w:rsidR="00E5702D" w:rsidRPr="00C46589" w:rsidRDefault="00E5702D" w:rsidP="00284911">
            <w:pPr>
              <w:jc w:val="center"/>
              <w:rPr>
                <w:rFonts w:ascii="Palatino Linotype" w:hAnsi="Palatino Linotype"/>
                <w:b/>
              </w:rPr>
            </w:pPr>
            <w:r w:rsidRPr="00C46589">
              <w:rPr>
                <w:rFonts w:ascii="Palatino Linotype" w:hAnsi="Palatino Linotype" w:cs="Arial"/>
                <w:b/>
              </w:rPr>
              <w:t>Alexis Tapia Ramírez</w:t>
            </w:r>
          </w:p>
          <w:p w:rsidR="00E5702D" w:rsidRPr="00C46589" w:rsidRDefault="00E5702D" w:rsidP="00284911">
            <w:pPr>
              <w:jc w:val="center"/>
              <w:rPr>
                <w:rFonts w:ascii="Palatino Linotype" w:hAnsi="Palatino Linotype"/>
              </w:rPr>
            </w:pPr>
            <w:r w:rsidRPr="00C46589">
              <w:rPr>
                <w:rFonts w:ascii="Palatino Linotype" w:hAnsi="Palatino Linotype"/>
              </w:rPr>
              <w:t>Secretario Técnico del Pleno</w:t>
            </w:r>
          </w:p>
          <w:p w:rsidR="00E5702D" w:rsidRPr="00C46589" w:rsidRDefault="00E5702D" w:rsidP="00284911">
            <w:pPr>
              <w:jc w:val="center"/>
              <w:rPr>
                <w:rFonts w:ascii="Palatino Linotype" w:hAnsi="Palatino Linotype"/>
              </w:rPr>
            </w:pPr>
            <w:r w:rsidRPr="00C46589">
              <w:rPr>
                <w:rFonts w:ascii="Palatino Linotype" w:hAnsi="Palatino Linotype"/>
              </w:rPr>
              <w:t>(Rúbrica)</w:t>
            </w:r>
          </w:p>
          <w:p w:rsidR="00E5702D" w:rsidRPr="00C46589" w:rsidRDefault="00E5702D" w:rsidP="00284911">
            <w:pPr>
              <w:jc w:val="center"/>
              <w:rPr>
                <w:rFonts w:ascii="Palatino Linotype" w:hAnsi="Palatino Linotype"/>
              </w:rPr>
            </w:pPr>
          </w:p>
        </w:tc>
      </w:tr>
    </w:tbl>
    <w:p w:rsidR="00E5702D" w:rsidRPr="00A47AFF" w:rsidRDefault="00E5702D" w:rsidP="00E5702D">
      <w:pPr>
        <w:jc w:val="both"/>
        <w:rPr>
          <w:rFonts w:ascii="Palatino Linotype" w:hAnsi="Palatino Linotype" w:cs="Arial"/>
        </w:rPr>
      </w:pPr>
    </w:p>
    <w:p w:rsidR="00E5702D" w:rsidRPr="00680B1A" w:rsidRDefault="00E5702D" w:rsidP="00E5702D">
      <w:pPr>
        <w:jc w:val="both"/>
      </w:pPr>
      <w:r w:rsidRPr="00A47AFF">
        <w:rPr>
          <w:rFonts w:ascii="Palatino Linotype" w:hAnsi="Palatino Linotype" w:cs="Arial"/>
        </w:rPr>
        <w:t xml:space="preserve">Esta hoja corresponde a la resolución de </w:t>
      </w:r>
      <w:r w:rsidR="00366304">
        <w:t xml:space="preserve">veintisiete </w:t>
      </w:r>
      <w:r>
        <w:t xml:space="preserve">de febrero </w:t>
      </w:r>
      <w:r w:rsidRPr="00A47AFF">
        <w:rPr>
          <w:rFonts w:ascii="Palatino Linotype" w:hAnsi="Palatino Linotype" w:cs="Arial"/>
        </w:rPr>
        <w:t>de dos mil dieci</w:t>
      </w:r>
      <w:r>
        <w:rPr>
          <w:rFonts w:ascii="Palatino Linotype" w:hAnsi="Palatino Linotype" w:cs="Arial"/>
        </w:rPr>
        <w:t>nueve</w:t>
      </w:r>
      <w:r w:rsidRPr="00A47AFF">
        <w:rPr>
          <w:rFonts w:ascii="Palatino Linotype" w:hAnsi="Palatino Linotype" w:cs="Arial"/>
        </w:rPr>
        <w:t xml:space="preserve">, emitida en el recurso de revisión </w:t>
      </w:r>
      <w:r w:rsidRPr="00A47AFF">
        <w:rPr>
          <w:rFonts w:ascii="Palatino Linotype" w:hAnsi="Palatino Linotype" w:cs="Arial"/>
          <w:b/>
          <w:bCs/>
        </w:rPr>
        <w:t>0</w:t>
      </w:r>
      <w:r>
        <w:rPr>
          <w:rFonts w:ascii="Palatino Linotype" w:hAnsi="Palatino Linotype" w:cs="Arial"/>
          <w:b/>
          <w:bCs/>
        </w:rPr>
        <w:t>4</w:t>
      </w:r>
      <w:r w:rsidR="00366304">
        <w:rPr>
          <w:rFonts w:ascii="Palatino Linotype" w:hAnsi="Palatino Linotype" w:cs="Arial"/>
          <w:b/>
          <w:bCs/>
        </w:rPr>
        <w:t>794</w:t>
      </w:r>
      <w:r w:rsidRPr="00A47AFF">
        <w:rPr>
          <w:rFonts w:ascii="Palatino Linotype" w:hAnsi="Palatino Linotype" w:cs="Arial"/>
          <w:b/>
          <w:bCs/>
        </w:rPr>
        <w:t>/INFOEM/IP/RR/2018</w:t>
      </w:r>
      <w:r w:rsidRPr="00A47AFF">
        <w:rPr>
          <w:rFonts w:ascii="Palatino Linotype" w:hAnsi="Palatino Linotype" w:cs="Arial"/>
        </w:rPr>
        <w:t>.</w:t>
      </w:r>
    </w:p>
    <w:p w:rsidR="00E5702D" w:rsidRDefault="00E5702D" w:rsidP="00E5702D"/>
    <w:p w:rsidR="00E5702D" w:rsidRDefault="00E5702D" w:rsidP="00E5702D"/>
    <w:p w:rsidR="00E5702D" w:rsidRDefault="00E5702D" w:rsidP="00E5702D"/>
    <w:p w:rsidR="008A3E1F" w:rsidRDefault="008A3E1F"/>
    <w:sectPr w:rsidR="008A3E1F" w:rsidSect="00284911">
      <w:headerReference w:type="default" r:id="rId44"/>
      <w:footerReference w:type="default" r:id="rId45"/>
      <w:headerReference w:type="first" r:id="rId46"/>
      <w:footerReference w:type="first" r:id="rId47"/>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6F4" w:rsidRDefault="001266F4" w:rsidP="00E5702D">
      <w:r>
        <w:separator/>
      </w:r>
    </w:p>
  </w:endnote>
  <w:endnote w:type="continuationSeparator" w:id="0">
    <w:p w:rsidR="001266F4" w:rsidRDefault="001266F4" w:rsidP="00E57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6F4" w:rsidRDefault="001266F4" w:rsidP="00284911">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06573">
      <w:rPr>
        <w:rFonts w:ascii="Arial" w:hAnsi="Arial" w:cs="Arial"/>
        <w:b/>
        <w:bCs/>
        <w:noProof/>
        <w:sz w:val="20"/>
        <w:szCs w:val="20"/>
      </w:rPr>
      <w:t>24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06573">
      <w:rPr>
        <w:rFonts w:ascii="Arial" w:hAnsi="Arial" w:cs="Arial"/>
        <w:b/>
        <w:bCs/>
        <w:noProof/>
        <w:sz w:val="20"/>
        <w:szCs w:val="20"/>
      </w:rPr>
      <w:t>102</w:t>
    </w:r>
    <w:r>
      <w:rPr>
        <w:rFonts w:ascii="Arial" w:hAnsi="Arial" w:cs="Arial"/>
        <w:b/>
        <w:bCs/>
        <w:sz w:val="20"/>
        <w:szCs w:val="20"/>
      </w:rPr>
      <w:fldChar w:fldCharType="end"/>
    </w:r>
  </w:p>
  <w:p w:rsidR="001266F4" w:rsidRDefault="001266F4" w:rsidP="00284911">
    <w:pPr>
      <w:pStyle w:val="Piedepgina"/>
      <w:rPr>
        <w:rFonts w:ascii="Times New Roman" w:hAnsi="Times New Roman" w:cs="Times New Roman"/>
      </w:rPr>
    </w:pPr>
  </w:p>
  <w:p w:rsidR="001266F4" w:rsidRDefault="001266F4" w:rsidP="0028491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6F4" w:rsidRDefault="001266F4" w:rsidP="00284911">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0657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06573">
      <w:rPr>
        <w:rFonts w:ascii="Arial" w:hAnsi="Arial" w:cs="Arial"/>
        <w:b/>
        <w:bCs/>
        <w:noProof/>
        <w:sz w:val="20"/>
        <w:szCs w:val="20"/>
      </w:rPr>
      <w:t>102</w:t>
    </w:r>
    <w:r>
      <w:rPr>
        <w:rFonts w:ascii="Arial" w:hAnsi="Arial" w:cs="Arial"/>
        <w:b/>
        <w:bCs/>
        <w:sz w:val="20"/>
        <w:szCs w:val="20"/>
      </w:rPr>
      <w:fldChar w:fldCharType="end"/>
    </w:r>
  </w:p>
  <w:p w:rsidR="001266F4" w:rsidRDefault="001266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6F4" w:rsidRDefault="001266F4" w:rsidP="00E5702D">
      <w:r>
        <w:separator/>
      </w:r>
    </w:p>
  </w:footnote>
  <w:footnote w:type="continuationSeparator" w:id="0">
    <w:p w:rsidR="001266F4" w:rsidRDefault="001266F4" w:rsidP="00E5702D">
      <w:r>
        <w:continuationSeparator/>
      </w:r>
    </w:p>
  </w:footnote>
  <w:footnote w:id="1">
    <w:p w:rsidR="001266F4" w:rsidRPr="00D72D51" w:rsidRDefault="001266F4" w:rsidP="00CD0897">
      <w:pPr>
        <w:pStyle w:val="Textonotapie"/>
        <w:jc w:val="both"/>
        <w:rPr>
          <w:rFonts w:ascii="Palatino Linotype" w:hAnsi="Palatino Linotype"/>
          <w:i/>
          <w:sz w:val="18"/>
          <w:szCs w:val="18"/>
        </w:rPr>
      </w:pPr>
      <w:r w:rsidRPr="005C79BE">
        <w:rPr>
          <w:rStyle w:val="Refdenotaalpie"/>
          <w:rFonts w:ascii="Palatino Linotype" w:hAnsi="Palatino Linotype"/>
        </w:rPr>
        <w:footnoteRef/>
      </w:r>
      <w:r w:rsidRPr="005C79BE">
        <w:rPr>
          <w:rFonts w:ascii="Palatino Linotype" w:hAnsi="Palatino Linotype"/>
        </w:rPr>
        <w:t xml:space="preserve"> </w:t>
      </w:r>
      <w:r w:rsidRPr="00D72D51">
        <w:rPr>
          <w:rFonts w:ascii="Palatino Linotype" w:hAnsi="Palatino Linotype"/>
          <w:i/>
          <w:sz w:val="18"/>
          <w:szCs w:val="18"/>
        </w:rPr>
        <w:t>“Artículo 12. (…)</w:t>
      </w:r>
    </w:p>
    <w:p w:rsidR="001266F4" w:rsidRPr="00D72D51" w:rsidRDefault="001266F4" w:rsidP="00CD0897">
      <w:pPr>
        <w:pStyle w:val="Textonotapie"/>
        <w:jc w:val="both"/>
        <w:rPr>
          <w:rFonts w:ascii="Palatino Linotype" w:hAnsi="Palatino Linotype"/>
          <w:i/>
          <w:sz w:val="18"/>
          <w:szCs w:val="18"/>
        </w:rPr>
      </w:pPr>
      <w:r w:rsidRPr="00D72D51">
        <w:rPr>
          <w:rFonts w:ascii="Palatino Linotype" w:hAnsi="Palatino Linotype"/>
          <w:i/>
          <w:sz w:val="18"/>
          <w:szCs w:val="18"/>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rsidR="001266F4" w:rsidRPr="00D72D51" w:rsidRDefault="001266F4" w:rsidP="00CD0897">
      <w:pPr>
        <w:pStyle w:val="Textonotapie"/>
        <w:rPr>
          <w:rFonts w:ascii="Palatino Linotype" w:hAnsi="Palatino Linotype"/>
          <w:i/>
          <w:sz w:val="18"/>
          <w:szCs w:val="18"/>
        </w:rPr>
      </w:pPr>
      <w:r w:rsidRPr="00D72D51">
        <w:rPr>
          <w:rStyle w:val="Refdenotaalpie"/>
          <w:rFonts w:ascii="Palatino Linotype" w:hAnsi="Palatino Linotype"/>
          <w:i/>
          <w:sz w:val="18"/>
          <w:szCs w:val="18"/>
        </w:rPr>
        <w:footnoteRef/>
      </w:r>
      <w:r w:rsidRPr="00D72D51">
        <w:rPr>
          <w:rFonts w:ascii="Palatino Linotype" w:hAnsi="Palatino Linotype"/>
          <w:i/>
          <w:sz w:val="18"/>
          <w:szCs w:val="18"/>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3">
    <w:p w:rsidR="001266F4" w:rsidRPr="00D72D51" w:rsidRDefault="001266F4" w:rsidP="00CD0897">
      <w:pPr>
        <w:pStyle w:val="Textonotapie"/>
        <w:jc w:val="both"/>
        <w:rPr>
          <w:rFonts w:ascii="Palatino Linotype" w:hAnsi="Palatino Linotype"/>
          <w:sz w:val="18"/>
          <w:szCs w:val="18"/>
        </w:rPr>
      </w:pPr>
      <w:r w:rsidRPr="005C79BE">
        <w:rPr>
          <w:rStyle w:val="Refdenotaalpie"/>
          <w:rFonts w:ascii="Palatino Linotype" w:hAnsi="Palatino Linotype"/>
        </w:rPr>
        <w:footnoteRef/>
      </w:r>
      <w:r w:rsidRPr="005C79BE">
        <w:rPr>
          <w:rFonts w:ascii="Palatino Linotype" w:hAnsi="Palatino Linotype"/>
        </w:rPr>
        <w:t xml:space="preserve"> </w:t>
      </w:r>
      <w:r w:rsidRPr="00D72D51">
        <w:rPr>
          <w:rFonts w:ascii="Palatino Linotype" w:hAnsi="Palatino Linotype"/>
          <w:sz w:val="18"/>
          <w:szCs w:val="18"/>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rsidR="001266F4" w:rsidRPr="00891688" w:rsidRDefault="001266F4" w:rsidP="00CD0897">
      <w:pPr>
        <w:spacing w:after="120"/>
        <w:ind w:right="49"/>
        <w:jc w:val="both"/>
        <w:rPr>
          <w:rFonts w:ascii="Palatino Linotype" w:hAnsi="Palatino Linotype" w:cs="Arial"/>
          <w:color w:val="000000" w:themeColor="text1"/>
          <w:sz w:val="16"/>
          <w:szCs w:val="16"/>
        </w:rPr>
      </w:pPr>
      <w:r w:rsidRPr="00891688">
        <w:rPr>
          <w:rStyle w:val="Refdenotaalpie"/>
          <w:sz w:val="16"/>
          <w:szCs w:val="16"/>
        </w:rPr>
        <w:footnoteRef/>
      </w:r>
      <w:r w:rsidRPr="00891688">
        <w:rPr>
          <w:sz w:val="16"/>
          <w:szCs w:val="16"/>
        </w:rPr>
        <w:t xml:space="preserve"> “</w:t>
      </w:r>
      <w:r w:rsidRPr="00891688">
        <w:rPr>
          <w:rFonts w:ascii="Palatino Linotype" w:hAnsi="Palatino Linotype" w:cs="Arial"/>
          <w:b/>
          <w:bCs/>
          <w:i/>
          <w:sz w:val="16"/>
          <w:szCs w:val="16"/>
        </w:rPr>
        <w:t xml:space="preserve">Expresión documental. </w:t>
      </w:r>
      <w:r w:rsidRPr="00891688">
        <w:rPr>
          <w:rFonts w:ascii="Palatino Linotype" w:hAnsi="Palatino Linotype" w:cs="Arial"/>
          <w:bCs/>
          <w:i/>
          <w:sz w:val="16"/>
          <w:szCs w:val="16"/>
        </w:rPr>
        <w:t>Cuando</w:t>
      </w:r>
      <w:r w:rsidRPr="00891688">
        <w:rPr>
          <w:rFonts w:ascii="Palatino Linotype" w:hAnsi="Palatino Linotype" w:cs="Arial"/>
          <w:i/>
          <w:color w:val="000000" w:themeColor="text1"/>
          <w:sz w:val="16"/>
          <w:szCs w:val="16"/>
        </w:rPr>
        <w:t xml:space="preserve"> los particulares presenten solicitudes de acceso a la información sin identificar de forma precisa la documentación que pudiera contener la información de su interés, </w:t>
      </w:r>
      <w:r w:rsidRPr="00891688">
        <w:rPr>
          <w:rFonts w:ascii="Palatino Linotype" w:hAnsi="Palatino Linotype" w:cs="Arial"/>
          <w:i/>
          <w:sz w:val="16"/>
          <w:szCs w:val="16"/>
        </w:rPr>
        <w:t>o bien, la solicitud constituya una consulta,</w:t>
      </w:r>
      <w:r w:rsidRPr="00891688">
        <w:rPr>
          <w:rFonts w:ascii="Palatino Linotype" w:hAnsi="Palatino Linotype" w:cs="Arial"/>
          <w:i/>
          <w:color w:val="000000" w:themeColor="text1"/>
          <w:sz w:val="16"/>
          <w:szCs w:val="16"/>
        </w:rPr>
        <w:t xml:space="preserve"> pero la respuesta pudiera obrar en algún documento en poder de los sujetos obligados, éstos deben dar a dichas solicitudes una interpretación que les otorgue una expresión documental.”</w:t>
      </w:r>
    </w:p>
    <w:p w:rsidR="001266F4" w:rsidRPr="00287C71" w:rsidRDefault="001266F4" w:rsidP="00CD0897">
      <w:pPr>
        <w:pStyle w:val="Textonotapie"/>
        <w:rPr>
          <w:lang w:val="es-ES"/>
        </w:rPr>
      </w:pPr>
    </w:p>
  </w:footnote>
  <w:footnote w:id="5">
    <w:p w:rsidR="001266F4" w:rsidRPr="009137B7" w:rsidRDefault="001266F4" w:rsidP="00CD0897">
      <w:pPr>
        <w:ind w:right="51"/>
        <w:jc w:val="both"/>
        <w:rPr>
          <w:rFonts w:ascii="Palatino Linotype" w:hAnsi="Palatino Linotype" w:cs="Arial"/>
          <w:i/>
          <w:color w:val="000000" w:themeColor="text1"/>
          <w:sz w:val="16"/>
          <w:szCs w:val="16"/>
        </w:rPr>
      </w:pPr>
      <w:r w:rsidRPr="009137B7">
        <w:rPr>
          <w:rStyle w:val="Refdenotaalpie"/>
          <w:rFonts w:ascii="Palatino Linotype" w:hAnsi="Palatino Linotype"/>
          <w:sz w:val="16"/>
          <w:szCs w:val="16"/>
        </w:rPr>
        <w:footnoteRef/>
      </w:r>
      <w:r w:rsidRPr="009137B7">
        <w:rPr>
          <w:rFonts w:ascii="Palatino Linotype" w:hAnsi="Palatino Linotype"/>
          <w:sz w:val="16"/>
          <w:szCs w:val="16"/>
        </w:rPr>
        <w:t xml:space="preserve"> </w:t>
      </w:r>
      <w:r w:rsidRPr="009137B7">
        <w:rPr>
          <w:rFonts w:ascii="Palatino Linotype" w:hAnsi="Palatino Linotype" w:cs="Arial"/>
          <w:b/>
          <w:bCs/>
          <w:i/>
          <w:color w:val="000000" w:themeColor="text1"/>
          <w:sz w:val="16"/>
          <w:szCs w:val="16"/>
        </w:rPr>
        <w:t xml:space="preserve">Artículo 3. </w:t>
      </w:r>
      <w:r w:rsidRPr="009137B7">
        <w:rPr>
          <w:rFonts w:ascii="Palatino Linotype" w:hAnsi="Palatino Linotype" w:cs="Arial"/>
          <w:bCs/>
          <w:i/>
          <w:color w:val="000000" w:themeColor="text1"/>
          <w:sz w:val="16"/>
          <w:szCs w:val="16"/>
        </w:rPr>
        <w:t>Para los efectos de la presente Ley se entenderá por:</w:t>
      </w:r>
      <w:r>
        <w:rPr>
          <w:rFonts w:ascii="Palatino Linotype" w:hAnsi="Palatino Linotype" w:cs="Arial"/>
          <w:bCs/>
          <w:i/>
          <w:color w:val="000000" w:themeColor="text1"/>
          <w:sz w:val="16"/>
          <w:szCs w:val="16"/>
        </w:rPr>
        <w:t xml:space="preserve"> </w:t>
      </w:r>
      <w:r w:rsidRPr="009137B7">
        <w:rPr>
          <w:rFonts w:ascii="Palatino Linotype" w:hAnsi="Palatino Linotype" w:cs="Arial"/>
          <w:i/>
          <w:sz w:val="16"/>
          <w:szCs w:val="16"/>
        </w:rPr>
        <w:t>…</w:t>
      </w:r>
      <w:r>
        <w:rPr>
          <w:rFonts w:ascii="Palatino Linotype" w:hAnsi="Palatino Linotype" w:cs="Arial"/>
          <w:i/>
          <w:sz w:val="16"/>
          <w:szCs w:val="16"/>
        </w:rPr>
        <w:t xml:space="preserve"> </w:t>
      </w:r>
      <w:r w:rsidRPr="009137B7">
        <w:rPr>
          <w:rFonts w:ascii="Palatino Linotype" w:hAnsi="Palatino Linotype" w:cs="Arial"/>
          <w:b/>
          <w:bCs/>
          <w:i/>
          <w:color w:val="000000" w:themeColor="text1"/>
          <w:sz w:val="16"/>
          <w:szCs w:val="16"/>
        </w:rPr>
        <w:t xml:space="preserve">XI. Documento: </w:t>
      </w:r>
      <w:r w:rsidRPr="009137B7">
        <w:rPr>
          <w:rFonts w:ascii="Palatino Linotype" w:hAnsi="Palatino Linotype" w:cs="Arial"/>
          <w:i/>
          <w:color w:val="000000" w:themeColor="text1"/>
          <w:sz w:val="16"/>
          <w:szCs w:val="16"/>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Arial"/>
          <w:i/>
          <w:color w:val="000000" w:themeColor="text1"/>
          <w:sz w:val="16"/>
          <w:szCs w:val="16"/>
        </w:rPr>
        <w:t xml:space="preserve"> </w:t>
      </w:r>
      <w:r w:rsidRPr="009137B7">
        <w:rPr>
          <w:rFonts w:ascii="Palatino Linotype" w:hAnsi="Palatino Linotype" w:cs="Arial"/>
          <w:b/>
          <w:bCs/>
          <w:i/>
          <w:color w:val="000000" w:themeColor="text1"/>
          <w:sz w:val="16"/>
          <w:szCs w:val="16"/>
        </w:rPr>
        <w:t>XII. Documento electrónico:</w:t>
      </w:r>
      <w:r w:rsidRPr="009137B7">
        <w:rPr>
          <w:rFonts w:ascii="Palatino Linotype" w:hAnsi="Palatino Linotype" w:cs="Arial"/>
          <w:bCs/>
          <w:i/>
          <w:color w:val="000000" w:themeColor="text1"/>
          <w:sz w:val="16"/>
          <w:szCs w:val="16"/>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9137B7">
        <w:rPr>
          <w:rFonts w:ascii="Palatino Linotype" w:hAnsi="Palatino Linotype" w:cs="Arial"/>
          <w:b/>
          <w:i/>
          <w:color w:val="000000" w:themeColor="text1"/>
          <w:sz w:val="16"/>
          <w:szCs w:val="16"/>
        </w:rPr>
        <w:t>…</w:t>
      </w:r>
    </w:p>
    <w:p w:rsidR="001266F4" w:rsidRPr="009137B7" w:rsidRDefault="001266F4" w:rsidP="00CD0897">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4. </w:t>
      </w:r>
      <w:r w:rsidRPr="009137B7">
        <w:rPr>
          <w:rFonts w:ascii="Palatino Linotype" w:hAnsi="Palatino Linotype" w:cs="Arial"/>
          <w:bCs/>
          <w:i/>
          <w:color w:val="000000" w:themeColor="text1"/>
          <w:sz w:val="16"/>
          <w:szCs w:val="16"/>
        </w:rPr>
        <w:t>El derecho humano de acceso a la información pública es la prerrogativa de las personas para buscar, difundir, investigar, recabar, recibir y solicitar información pública, sin necesidad de acreditar personalidad ni interés jurídico.</w:t>
      </w:r>
      <w:r>
        <w:rPr>
          <w:rFonts w:ascii="Palatino Linotype" w:hAnsi="Palatino Linotype" w:cs="Arial"/>
          <w:bCs/>
          <w:i/>
          <w:color w:val="000000" w:themeColor="text1"/>
          <w:sz w:val="16"/>
          <w:szCs w:val="16"/>
        </w:rPr>
        <w:t xml:space="preserve"> </w:t>
      </w:r>
      <w:r w:rsidRPr="009137B7">
        <w:rPr>
          <w:rFonts w:ascii="Palatino Linotype" w:hAnsi="Palatino Linotype" w:cs="Arial"/>
          <w:bCs/>
          <w:i/>
          <w:color w:val="000000" w:themeColor="text1"/>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sidRPr="009137B7">
        <w:rPr>
          <w:rFonts w:ascii="Palatino Linotype" w:hAnsi="Palatino Linotype" w:cs="Arial"/>
          <w:i/>
          <w:color w:val="000000" w:themeColor="text1"/>
          <w:sz w:val="16"/>
          <w:szCs w:val="16"/>
        </w:rPr>
        <w:t>.</w:t>
      </w:r>
    </w:p>
    <w:p w:rsidR="001266F4" w:rsidRPr="009137B7" w:rsidRDefault="001266F4" w:rsidP="00CD0897">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12. </w:t>
      </w:r>
      <w:r w:rsidRPr="009137B7">
        <w:rPr>
          <w:rFonts w:ascii="Palatino Linotype" w:hAnsi="Palatino Linotype" w:cs="Arial"/>
          <w:i/>
          <w:color w:val="000000" w:themeColor="text1"/>
          <w:sz w:val="16"/>
          <w:szCs w:val="16"/>
        </w:rPr>
        <w:t>Quienes generen, recopilen, administren, manejen, procesen, archiven o conserven información pública serán responsables de la misma en los términos de las disposiciones jurídicas aplicables.</w:t>
      </w:r>
      <w:r>
        <w:rPr>
          <w:rFonts w:ascii="Palatino Linotype" w:hAnsi="Palatino Linotype" w:cs="Arial"/>
          <w:i/>
          <w:color w:val="000000" w:themeColor="text1"/>
          <w:sz w:val="16"/>
          <w:szCs w:val="16"/>
        </w:rPr>
        <w:t xml:space="preserve"> </w:t>
      </w:r>
      <w:r w:rsidRPr="009137B7">
        <w:rPr>
          <w:rFonts w:ascii="Palatino Linotype" w:hAnsi="Palatino Linotype" w:cs="Arial"/>
          <w:i/>
          <w:color w:val="000000" w:themeColor="text1"/>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w:t>
      </w:r>
      <w:r>
        <w:rPr>
          <w:rFonts w:ascii="Palatino Linotype" w:hAnsi="Palatino Linotype" w:cs="Arial"/>
          <w:i/>
          <w:color w:val="000000" w:themeColor="text1"/>
          <w:sz w:val="16"/>
          <w:szCs w:val="16"/>
        </w:rPr>
        <w:t>os o practicar investigaciones</w:t>
      </w:r>
      <w:r w:rsidRPr="009137B7">
        <w:rPr>
          <w:rFonts w:ascii="Palatino Linotype" w:hAnsi="Palatino Linotype" w:cs="Arial"/>
          <w:i/>
          <w:color w:val="000000" w:themeColor="text1"/>
          <w:sz w:val="16"/>
          <w:szCs w:val="16"/>
        </w:rPr>
        <w:t>…</w:t>
      </w:r>
    </w:p>
    <w:p w:rsidR="001266F4" w:rsidRPr="009137B7" w:rsidRDefault="001266F4" w:rsidP="00CD0897">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24. </w:t>
      </w:r>
      <w:r w:rsidRPr="009137B7">
        <w:rPr>
          <w:rFonts w:ascii="Palatino Linotype" w:hAnsi="Palatino Linotype" w:cs="Arial"/>
          <w:i/>
          <w:color w:val="000000" w:themeColor="text1"/>
          <w:sz w:val="16"/>
          <w:szCs w:val="16"/>
        </w:rPr>
        <w:t>Para el cumplimiento de los objetivos de esta Ley, los sujetos obligados deberán cumplir con las siguientes obligaciones, según corresponda, de acuerdo a su naturaleza:</w:t>
      </w:r>
      <w:r>
        <w:rPr>
          <w:rFonts w:ascii="Palatino Linotype" w:hAnsi="Palatino Linotype" w:cs="Arial"/>
          <w:i/>
          <w:color w:val="000000" w:themeColor="text1"/>
          <w:sz w:val="16"/>
          <w:szCs w:val="16"/>
        </w:rPr>
        <w:t xml:space="preserve"> </w:t>
      </w:r>
      <w:r w:rsidRPr="009137B7">
        <w:rPr>
          <w:rFonts w:ascii="Palatino Linotype" w:hAnsi="Palatino Linotype" w:cs="Arial"/>
          <w:b/>
          <w:bCs/>
          <w:i/>
          <w:color w:val="000000" w:themeColor="text1"/>
          <w:sz w:val="16"/>
          <w:szCs w:val="16"/>
        </w:rPr>
        <w:t>…</w:t>
      </w:r>
      <w:r>
        <w:rPr>
          <w:rFonts w:ascii="Palatino Linotype" w:hAnsi="Palatino Linotype" w:cs="Arial"/>
          <w:b/>
          <w:bCs/>
          <w:i/>
          <w:color w:val="000000" w:themeColor="text1"/>
          <w:sz w:val="16"/>
          <w:szCs w:val="16"/>
        </w:rPr>
        <w:t xml:space="preserve"> </w:t>
      </w:r>
      <w:r w:rsidRPr="009137B7">
        <w:rPr>
          <w:rFonts w:ascii="Palatino Linotype" w:hAnsi="Palatino Linotype" w:cs="Arial"/>
          <w:i/>
          <w:color w:val="000000" w:themeColor="text1"/>
          <w:sz w:val="16"/>
          <w:szCs w:val="16"/>
        </w:rPr>
        <w:t>En la administración, gestión y custodia de los archivos de información pública, los sujetos obligados, los servidores públicos habilitados y los servidores públicos en general, se ajustarán a lo establecido por la normatividad aplicable.</w:t>
      </w:r>
    </w:p>
    <w:p w:rsidR="001266F4" w:rsidRDefault="001266F4" w:rsidP="00CD0897">
      <w:pPr>
        <w:ind w:right="51"/>
        <w:jc w:val="both"/>
      </w:pPr>
      <w:r w:rsidRPr="009137B7">
        <w:rPr>
          <w:rFonts w:ascii="Palatino Linotype" w:hAnsi="Palatino Linotype" w:cs="Arial"/>
          <w:i/>
          <w:color w:val="000000" w:themeColor="text1"/>
          <w:sz w:val="16"/>
          <w:szCs w:val="16"/>
        </w:rPr>
        <w:t>Los sujetos obligados solo proporcionarán la información pública que generen, administren o posean en el ejerc</w:t>
      </w:r>
      <w:r>
        <w:rPr>
          <w:rFonts w:ascii="Palatino Linotype" w:hAnsi="Palatino Linotype" w:cs="Arial"/>
          <w:i/>
          <w:color w:val="000000" w:themeColor="text1"/>
          <w:sz w:val="16"/>
          <w:szCs w:val="16"/>
        </w:rPr>
        <w:t>icio de sus atribuciones.”</w:t>
      </w:r>
    </w:p>
  </w:footnote>
  <w:footnote w:id="6">
    <w:p w:rsidR="001266F4" w:rsidRDefault="001266F4" w:rsidP="00CD0897">
      <w:pPr>
        <w:pStyle w:val="Textonotapie"/>
      </w:pPr>
      <w:r>
        <w:rPr>
          <w:rStyle w:val="Refdenotaalpie"/>
        </w:rPr>
        <w:footnoteRef/>
      </w:r>
      <w:r w:rsidRPr="001D5E80">
        <w:rPr>
          <w:rFonts w:ascii="Palatino Linotype" w:hAnsi="Palatino Linotype"/>
          <w:sz w:val="16"/>
          <w:szCs w:val="16"/>
        </w:rPr>
        <w:t xml:space="preserve"> </w:t>
      </w:r>
      <w:hyperlink r:id="rId1" w:tgtFrame="_blank" w:history="1">
        <w:r w:rsidRPr="001D5E80">
          <w:rPr>
            <w:rStyle w:val="Hipervnculo"/>
            <w:rFonts w:ascii="Palatino Linotype" w:hAnsi="Palatino Linotype"/>
            <w:sz w:val="16"/>
            <w:szCs w:val="16"/>
            <w:shd w:val="clear" w:color="auto" w:fill="FFFFFF"/>
          </w:rPr>
          <w:t>Programa de modernización  del Alumbrado Público, periodo 2011 - 2017.</w:t>
        </w:r>
      </w:hyperlink>
    </w:p>
  </w:footnote>
  <w:footnote w:id="7">
    <w:p w:rsidR="001266F4" w:rsidRPr="007F0C69" w:rsidRDefault="001266F4" w:rsidP="00CD0897">
      <w:pPr>
        <w:pStyle w:val="Textonotapie"/>
        <w:rPr>
          <w:rFonts w:ascii="Palatino Linotype" w:hAnsi="Palatino Linotype"/>
          <w:sz w:val="18"/>
          <w:szCs w:val="18"/>
        </w:rPr>
      </w:pPr>
      <w:r w:rsidRPr="007F0C69">
        <w:rPr>
          <w:rStyle w:val="Refdenotaalpie"/>
          <w:rFonts w:ascii="Palatino Linotype" w:hAnsi="Palatino Linotype"/>
          <w:sz w:val="18"/>
          <w:szCs w:val="18"/>
        </w:rPr>
        <w:footnoteRef/>
      </w:r>
      <w:r w:rsidRPr="007F0C69">
        <w:rPr>
          <w:rFonts w:ascii="Palatino Linotype" w:hAnsi="Palatino Linotype"/>
          <w:sz w:val="18"/>
          <w:szCs w:val="18"/>
        </w:rPr>
        <w:t xml:space="preserve"> Artículo 342 </w:t>
      </w:r>
      <w:r w:rsidRPr="007F0C69">
        <w:rPr>
          <w:rFonts w:ascii="Palatino Linotype" w:eastAsiaTheme="minorEastAsia" w:hAnsi="Palatino Linotype" w:cs="Arial"/>
          <w:sz w:val="18"/>
          <w:szCs w:val="18"/>
        </w:rPr>
        <w:t>del Código Financiero del Estado de México.</w:t>
      </w:r>
    </w:p>
  </w:footnote>
  <w:footnote w:id="8">
    <w:p w:rsidR="001266F4" w:rsidRPr="005422C7" w:rsidRDefault="001266F4" w:rsidP="00CD0897">
      <w:pPr>
        <w:pStyle w:val="Textonotapie"/>
        <w:rPr>
          <w:rFonts w:ascii="Palatino Linotype" w:hAnsi="Palatino Linotype"/>
        </w:rPr>
      </w:pPr>
      <w:r w:rsidRPr="005422C7">
        <w:rPr>
          <w:rStyle w:val="Refdenotaalpie"/>
          <w:rFonts w:ascii="Palatino Linotype" w:hAnsi="Palatino Linotype"/>
        </w:rPr>
        <w:footnoteRef/>
      </w:r>
      <w:r w:rsidRPr="005422C7">
        <w:rPr>
          <w:rFonts w:ascii="Palatino Linotype" w:hAnsi="Palatino Linotype"/>
        </w:rPr>
        <w:t xml:space="preserve"> Disponible en: https://www.cfe.mx/Casa/InformacionCliente/Pages/Conoce-tu-recibo.aspx</w:t>
      </w:r>
    </w:p>
  </w:footnote>
  <w:footnote w:id="9">
    <w:p w:rsidR="001266F4" w:rsidRPr="00DA47A0" w:rsidRDefault="001266F4" w:rsidP="00CD0897">
      <w:pPr>
        <w:pStyle w:val="Textonotapie"/>
        <w:rPr>
          <w:rFonts w:ascii="Palatino Linotype" w:hAnsi="Palatino Linotype"/>
          <w:sz w:val="16"/>
          <w:szCs w:val="16"/>
        </w:rPr>
      </w:pPr>
      <w:r>
        <w:rPr>
          <w:rStyle w:val="Refdenotaalpie"/>
        </w:rPr>
        <w:footnoteRef/>
      </w:r>
      <w:r w:rsidRPr="00DA47A0">
        <w:rPr>
          <w:rFonts w:ascii="Palatino Linotype" w:hAnsi="Palatino Linotype"/>
          <w:sz w:val="16"/>
          <w:szCs w:val="16"/>
        </w:rPr>
        <w:t xml:space="preserve"> Consultable en: http://legislacion.edomex.gob.mx/sites/legislacion.edomex.gob.mx/files/files/pdf/gct/2017/may085.pdf</w:t>
      </w:r>
    </w:p>
    <w:p w:rsidR="001266F4" w:rsidRPr="00DA47A0" w:rsidRDefault="001266F4" w:rsidP="00CD0897">
      <w:pPr>
        <w:pStyle w:val="Textonotapie"/>
        <w:rPr>
          <w:rFonts w:ascii="Palatino Linotype" w:hAnsi="Palatino Linotype"/>
          <w:sz w:val="16"/>
          <w:szCs w:val="16"/>
        </w:rPr>
      </w:pPr>
      <w:r w:rsidRPr="007F2745">
        <w:rPr>
          <w:rFonts w:ascii="Palatino Linotype" w:hAnsi="Palatino Linotype"/>
          <w:sz w:val="16"/>
          <w:szCs w:val="16"/>
        </w:rPr>
        <w:t>http://legislacion.edomex.gob.mx/sites/legislacion.edomex.gob.mx/files/files/pdf/gct/2018/mar124.pdf</w:t>
      </w:r>
    </w:p>
    <w:p w:rsidR="001266F4" w:rsidRPr="00DA47A0" w:rsidRDefault="001266F4" w:rsidP="00CD0897">
      <w:pPr>
        <w:pStyle w:val="Textonotapie"/>
        <w:rPr>
          <w:rFonts w:ascii="Palatino Linotype" w:hAnsi="Palatino Linotype"/>
          <w:sz w:val="16"/>
          <w:szCs w:val="16"/>
        </w:rPr>
      </w:pPr>
      <w:r w:rsidRPr="007F2745">
        <w:rPr>
          <w:rFonts w:ascii="Palatino Linotype" w:hAnsi="Palatino Linotype"/>
          <w:sz w:val="16"/>
          <w:szCs w:val="16"/>
        </w:rPr>
        <w:t>https://legislacion.edomex.gob.mx/sites/legislacion.edomex.gob.mx/files/files/pdf/gct/2015/feb244.pdf</w:t>
      </w:r>
    </w:p>
    <w:p w:rsidR="001266F4" w:rsidRPr="00DA47A0" w:rsidRDefault="001266F4" w:rsidP="00CD0897">
      <w:pPr>
        <w:pStyle w:val="Textonotapie"/>
        <w:rPr>
          <w:rFonts w:ascii="Palatino Linotype" w:hAnsi="Palatino Linotype"/>
          <w:sz w:val="16"/>
          <w:szCs w:val="16"/>
        </w:rPr>
      </w:pPr>
      <w:r w:rsidRPr="007F2745">
        <w:rPr>
          <w:rFonts w:ascii="Palatino Linotype" w:hAnsi="Palatino Linotype"/>
          <w:sz w:val="16"/>
          <w:szCs w:val="16"/>
        </w:rPr>
        <w:t>http://legislacion.edomex.gob.mx/sites/legislacion.edomex.gob.mx/files/files/pdf/gct/2016/may034.pdf</w:t>
      </w:r>
    </w:p>
    <w:p w:rsidR="001266F4" w:rsidRPr="00DA47A0" w:rsidRDefault="001266F4" w:rsidP="00CD0897">
      <w:pPr>
        <w:pStyle w:val="Textonotapie"/>
        <w:rPr>
          <w:rFonts w:ascii="Palatino Linotype" w:hAnsi="Palatino Linotype"/>
          <w:sz w:val="16"/>
          <w:szCs w:val="16"/>
        </w:rPr>
      </w:pPr>
      <w:r w:rsidRPr="007F2745">
        <w:rPr>
          <w:rFonts w:ascii="Palatino Linotype" w:hAnsi="Palatino Linotype"/>
          <w:sz w:val="16"/>
          <w:szCs w:val="16"/>
        </w:rPr>
        <w:t>https://legislacion.edomex.gob.mx/sites/legislacion.edomex.gob.mx/files/files/vigentes/ene083.PDF</w:t>
      </w:r>
    </w:p>
    <w:p w:rsidR="001266F4" w:rsidRDefault="001266F4" w:rsidP="00CD0897">
      <w:pPr>
        <w:pStyle w:val="Textonotapie"/>
      </w:pPr>
    </w:p>
  </w:footnote>
  <w:footnote w:id="10">
    <w:p w:rsidR="001266F4" w:rsidRPr="009B72A1" w:rsidRDefault="001266F4" w:rsidP="00CD0897">
      <w:pPr>
        <w:pStyle w:val="Textonotapie"/>
        <w:rPr>
          <w:rFonts w:ascii="Palatino Linotype" w:hAnsi="Palatino Linotype"/>
          <w:sz w:val="16"/>
          <w:szCs w:val="16"/>
        </w:rPr>
      </w:pPr>
      <w:r>
        <w:rPr>
          <w:rStyle w:val="Refdenotaalpie"/>
        </w:rPr>
        <w:footnoteRef/>
      </w:r>
      <w:r>
        <w:t xml:space="preserve"> </w:t>
      </w:r>
      <w:r w:rsidRPr="009B72A1">
        <w:rPr>
          <w:rFonts w:ascii="Palatino Linotype" w:hAnsi="Palatino Linotype"/>
          <w:sz w:val="16"/>
          <w:szCs w:val="16"/>
        </w:rPr>
        <w:t xml:space="preserve">Disponible en : </w:t>
      </w:r>
      <w:hyperlink r:id="rId2" w:history="1">
        <w:r w:rsidRPr="009B72A1">
          <w:rPr>
            <w:rFonts w:ascii="Palatino Linotype" w:hAnsi="Palatino Linotype"/>
            <w:sz w:val="16"/>
            <w:szCs w:val="16"/>
          </w:rPr>
          <w:t>http://www.osfem.gob.mx/04_Normatividad/Normatividad.html</w:t>
        </w:r>
      </w:hyperlink>
    </w:p>
    <w:p w:rsidR="001266F4" w:rsidRPr="009B72A1" w:rsidRDefault="001266F4" w:rsidP="00CD0897">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https://www.osfem.gob.mx/04_Normatividad/doc/Normatividad/2013/04_LinIntInfMen13.pdf</w:t>
      </w:r>
    </w:p>
    <w:p w:rsidR="001266F4" w:rsidRPr="009B72A1" w:rsidRDefault="001266F4" w:rsidP="00CD0897">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https://www.osfem.gob.mx/04_Normatividad/doc/Normatividad/2016/01_LinIntInfoMen16.pdf</w:t>
      </w:r>
    </w:p>
    <w:p w:rsidR="001266F4" w:rsidRPr="009B72A1" w:rsidRDefault="001266F4" w:rsidP="00CD0897">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https://www.osfem.gob.mx/04_Normatividad/doc/Normatividad/2015/04_LinGralInt%20InfMensPodPubOrgAutOrgAuxEM15.pdf</w:t>
      </w:r>
    </w:p>
    <w:p w:rsidR="001266F4" w:rsidRDefault="001266F4" w:rsidP="00CD0897">
      <w:pPr>
        <w:pStyle w:val="Textonotapie"/>
      </w:pPr>
      <w:r w:rsidRPr="009B72A1">
        <w:rPr>
          <w:rFonts w:ascii="Palatino Linotype" w:hAnsi="Palatino Linotype"/>
          <w:sz w:val="16"/>
          <w:szCs w:val="16"/>
        </w:rPr>
        <w:t>https://www.osfem.gob.mx/04_Normatividad/doc/Normatividad/2018/03_LinElabyPresInfoMenMpal18.pdf</w:t>
      </w:r>
    </w:p>
  </w:footnote>
  <w:footnote w:id="11">
    <w:p w:rsidR="001266F4" w:rsidRDefault="001266F4" w:rsidP="00CD0897">
      <w:pPr>
        <w:pStyle w:val="Textonotapie"/>
      </w:pPr>
      <w:r>
        <w:rPr>
          <w:rStyle w:val="Refdenotaalpie"/>
        </w:rPr>
        <w:footnoteRef/>
      </w:r>
      <w:r>
        <w:t xml:space="preserve"> </w:t>
      </w:r>
      <w:r w:rsidRPr="006B76D7">
        <w:rPr>
          <w:rFonts w:ascii="Palatino Linotype" w:hAnsi="Palatino Linotype"/>
          <w:sz w:val="16"/>
          <w:szCs w:val="16"/>
        </w:rPr>
        <w:t xml:space="preserve">Artículo 344 del </w:t>
      </w:r>
      <w:r w:rsidRPr="006B76D7">
        <w:rPr>
          <w:rFonts w:ascii="Palatino Linotype" w:hAnsi="Palatino Linotype" w:cs="Arial"/>
          <w:sz w:val="16"/>
          <w:szCs w:val="16"/>
        </w:rPr>
        <w:t>Código Financiero del Estado de México y Municipios</w:t>
      </w:r>
    </w:p>
  </w:footnote>
  <w:footnote w:id="12">
    <w:p w:rsidR="001266F4" w:rsidRPr="005B4C1F" w:rsidRDefault="001266F4" w:rsidP="00CD0897">
      <w:pPr>
        <w:pStyle w:val="Textonotapie"/>
        <w:rPr>
          <w:rFonts w:ascii="Palatino Linotype" w:hAnsi="Palatino Linotype"/>
        </w:rPr>
      </w:pPr>
      <w:r w:rsidRPr="005B4C1F">
        <w:rPr>
          <w:rStyle w:val="Refdenotaalpie"/>
          <w:rFonts w:ascii="Palatino Linotype" w:hAnsi="Palatino Linotype"/>
          <w:sz w:val="16"/>
        </w:rPr>
        <w:footnoteRef/>
      </w:r>
      <w:r w:rsidRPr="005B4C1F">
        <w:rPr>
          <w:rFonts w:ascii="Palatino Linotype" w:hAnsi="Palatino Linotype"/>
          <w:sz w:val="16"/>
        </w:rPr>
        <w:t xml:space="preserve"> Artículo 12.4 del </w:t>
      </w:r>
      <w:r w:rsidRPr="005B4C1F">
        <w:rPr>
          <w:rFonts w:ascii="Palatino Linotype" w:eastAsiaTheme="minorEastAsia" w:hAnsi="Palatino Linotype" w:cs="Arial"/>
          <w:sz w:val="16"/>
        </w:rPr>
        <w:t>Código Administrativo del Estado de México.</w:t>
      </w:r>
    </w:p>
  </w:footnote>
  <w:footnote w:id="13">
    <w:p w:rsidR="001266F4" w:rsidRPr="005746BB" w:rsidRDefault="001266F4" w:rsidP="00CD0897">
      <w:pPr>
        <w:pStyle w:val="Textonotapie"/>
        <w:rPr>
          <w:rFonts w:ascii="Palatino Linotype" w:hAnsi="Palatino Linotype"/>
          <w:sz w:val="16"/>
          <w:szCs w:val="16"/>
        </w:rPr>
      </w:pPr>
      <w:r w:rsidRPr="005746BB">
        <w:rPr>
          <w:rStyle w:val="Refdenotaalpie"/>
          <w:rFonts w:ascii="Palatino Linotype" w:hAnsi="Palatino Linotype"/>
          <w:sz w:val="16"/>
          <w:szCs w:val="16"/>
        </w:rPr>
        <w:footnoteRef/>
      </w:r>
      <w:r w:rsidRPr="005746BB">
        <w:rPr>
          <w:rFonts w:ascii="Palatino Linotype" w:hAnsi="Palatino Linotype"/>
          <w:sz w:val="16"/>
          <w:szCs w:val="16"/>
        </w:rPr>
        <w:t xml:space="preserve"> Artículo 12.8, ibídem.</w:t>
      </w:r>
    </w:p>
  </w:footnote>
  <w:footnote w:id="14">
    <w:p w:rsidR="001266F4" w:rsidRDefault="001266F4" w:rsidP="00CD0897">
      <w:pPr>
        <w:pStyle w:val="Textonotapie"/>
      </w:pPr>
      <w:r w:rsidRPr="006E3B82">
        <w:rPr>
          <w:rFonts w:ascii="Palatino Linotype" w:hAnsi="Palatino Linotype"/>
          <w:sz w:val="16"/>
          <w:szCs w:val="16"/>
          <w:vertAlign w:val="superscript"/>
        </w:rPr>
        <w:footnoteRef/>
      </w:r>
      <w:r w:rsidRPr="00B12D3B">
        <w:rPr>
          <w:rFonts w:ascii="Palatino Linotype" w:hAnsi="Palatino Linotype"/>
          <w:sz w:val="16"/>
          <w:szCs w:val="16"/>
        </w:rPr>
        <w:t xml:space="preserve"> Artículo 12.15, ibídem.</w:t>
      </w:r>
      <w:r>
        <w:t xml:space="preserve"> </w:t>
      </w:r>
    </w:p>
  </w:footnote>
  <w:footnote w:id="15">
    <w:p w:rsidR="001266F4" w:rsidRPr="00BF6AA5" w:rsidRDefault="001266F4" w:rsidP="00CD0897">
      <w:pPr>
        <w:pStyle w:val="Textonotapie"/>
        <w:rPr>
          <w:rFonts w:ascii="Palatino Linotype" w:hAnsi="Palatino Linotype"/>
          <w:sz w:val="16"/>
          <w:szCs w:val="16"/>
        </w:rPr>
      </w:pPr>
      <w:r w:rsidRPr="00BF6AA5">
        <w:rPr>
          <w:rStyle w:val="Refdenotaalpie"/>
          <w:rFonts w:ascii="Palatino Linotype" w:hAnsi="Palatino Linotype"/>
          <w:sz w:val="16"/>
          <w:szCs w:val="16"/>
        </w:rPr>
        <w:footnoteRef/>
      </w:r>
      <w:r w:rsidRPr="00BF6AA5">
        <w:rPr>
          <w:rFonts w:ascii="Palatino Linotype" w:hAnsi="Palatino Linotype"/>
          <w:sz w:val="16"/>
          <w:szCs w:val="16"/>
        </w:rPr>
        <w:t xml:space="preserve"> Sección Segunda del Libro </w:t>
      </w:r>
      <w:r w:rsidRPr="00BF6AA5">
        <w:rPr>
          <w:rFonts w:ascii="Palatino Linotype" w:eastAsiaTheme="minorEastAsia" w:hAnsi="Palatino Linotype" w:cs="Arial"/>
          <w:sz w:val="16"/>
          <w:szCs w:val="16"/>
        </w:rPr>
        <w:t>Décimo Segundo del Código Administrativo del Estado de México</w:t>
      </w:r>
      <w:r>
        <w:rPr>
          <w:rFonts w:ascii="Palatino Linotype" w:eastAsiaTheme="minorEastAsia" w:hAnsi="Palatino Linotype" w:cs="Arial"/>
          <w:sz w:val="16"/>
          <w:szCs w:val="16"/>
        </w:rPr>
        <w:t>.</w:t>
      </w:r>
    </w:p>
  </w:footnote>
  <w:footnote w:id="16">
    <w:p w:rsidR="001266F4" w:rsidRDefault="001266F4" w:rsidP="00CD0897">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17">
    <w:p w:rsidR="001266F4" w:rsidRPr="008B7EFC" w:rsidRDefault="001266F4" w:rsidP="00CD0897">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 w:id="18">
    <w:p w:rsidR="001266F4" w:rsidRDefault="001266F4" w:rsidP="00CD0897">
      <w:pPr>
        <w:pStyle w:val="Textonotapie"/>
      </w:pPr>
      <w:r>
        <w:rPr>
          <w:rStyle w:val="Refdenotaalpie"/>
        </w:rPr>
        <w:footnoteRef/>
      </w:r>
      <w:r>
        <w:t xml:space="preserve"> </w:t>
      </w:r>
      <w:r w:rsidRPr="005D22CA">
        <w:rPr>
          <w:rFonts w:ascii="Palatino Linotype" w:hAnsi="Palatino Linotype"/>
          <w:sz w:val="16"/>
        </w:rPr>
        <w:t>Disponible para su consulta en: https://potcorporativo.cfe.mx/I%20Marco%20normativo/Documento%20completo%20de%20cada%20norma/Pol%C3%ADticas%20generales%20para%20la%20Cancelaci%C3%B3n%20de%20Adeudos%20a%20cargo%20de%20terceros%20y%20a%20favor%20de%20la%20CFE.pdf</w:t>
      </w:r>
    </w:p>
  </w:footnote>
  <w:footnote w:id="19">
    <w:p w:rsidR="001266F4" w:rsidRPr="0008299B" w:rsidRDefault="001266F4" w:rsidP="00CD0897">
      <w:pPr>
        <w:pStyle w:val="Textonotapie"/>
        <w:jc w:val="both"/>
        <w:rPr>
          <w:rFonts w:ascii="Palatino Linotype" w:hAnsi="Palatino Linotype"/>
          <w:i/>
          <w:sz w:val="16"/>
          <w:szCs w:val="16"/>
        </w:rPr>
      </w:pPr>
      <w:r>
        <w:rPr>
          <w:rStyle w:val="Refdenotaalpie"/>
        </w:rPr>
        <w:footnoteRef/>
      </w:r>
      <w:r>
        <w:t xml:space="preserve"> </w:t>
      </w:r>
      <w:r w:rsidRPr="0008299B">
        <w:rPr>
          <w:rFonts w:ascii="Palatino Linotype" w:hAnsi="Palatino Linotype"/>
          <w:i/>
          <w:sz w:val="16"/>
          <w:szCs w:val="16"/>
        </w:rPr>
        <w:t>ALUMBRADO PÚBLICO. EL INTERÉS JURÍDICO PARA IMPUGNAR EN AMPARO EL DERECHO RELATIVO, SE ACREDITA CON EL AVISO-RECIBO EXPEDIDO POR LA COMISIÓN FEDERAL DE ELECTRICIDAD QUE CONSTITUYE EL ACTO CONCRETO DE APLICACIÓN DE LA LEY DE INGRESOS PARA EL MUNICIPIO DE ACAPULCO DE JUÁREZ, GUERRERO, VIGENTE PARA 2004. El artículo 81 de la citada ley que establece el derecho que por concepto de alumbrado público debe aportarse al Municipio a través de una cuota fija mensual o bimestral que determine la Comisión Federal de Electricidad tiene carácter de una ley heteroaplicativa que por su sola entrada en vigor no causa perjuicio ni modifica alguna situación jurídica existente, ya que la obligación de contribuir al gasto público ocasionado por ese servicio será exigible cuando el gobernado conozca el monto de esa contribución hasta que la autoridad administrativa, mediante el recibo que para ese efecto emita, efectúe su cobro; acto diverso a la simple expedición de la norma que condiciona su aplicación a la realización de aquel evento, el cual constituye el acto concreto de aplicación. Ahora bien, el hecho de que el monto consignado en el aviso-recibo no corresponda a la tarifa de usuario en que se clasificó a la quejosa, no implica que no se haya aplicado la cuota fija que establecen las disposiciones legales impugnadas, pues su inclusión en el documento de mérito, al especificar en el concepto "DAP" cierta cantidad, no puede tener otro soporte que aquéllas, dado que cuando una norma jurídica no es expresada por la autoridad como el sustento de su actuación, el interés jurídico para impugnarla mediante el juicio de amparo proviene tanto de la disposición legal como de su aplicación. Así, con independencia de que la autoridad someta su actuar a los precisos términos de las disposiciones que debieron aplicarse, debe tenerse en cuenta que dicha documental fue expedida en uso de la facultad que le otorga tanto la Ley del Servicio Público de Energía Eléctrica como la Ley de Ingresos combatida.</w:t>
      </w:r>
    </w:p>
    <w:p w:rsidR="001266F4" w:rsidRDefault="001266F4" w:rsidP="00CD0897">
      <w:pPr>
        <w:pStyle w:val="Textonotapie"/>
      </w:pPr>
    </w:p>
    <w:p w:rsidR="001266F4" w:rsidRPr="0008299B" w:rsidRDefault="001266F4" w:rsidP="00CD0897">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1266F4" w:rsidTr="00284911">
      <w:tc>
        <w:tcPr>
          <w:tcW w:w="2552" w:type="dxa"/>
          <w:vAlign w:val="center"/>
          <w:hideMark/>
        </w:tcPr>
        <w:p w:rsidR="001266F4" w:rsidRDefault="001266F4" w:rsidP="00284911">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1266F4" w:rsidRDefault="001266F4" w:rsidP="00B75ACB">
          <w:pPr>
            <w:jc w:val="both"/>
            <w:rPr>
              <w:rFonts w:ascii="Palatino Linotype" w:hAnsi="Palatino Linotype"/>
              <w:b/>
              <w:sz w:val="22"/>
              <w:szCs w:val="22"/>
              <w:lang w:val="es-ES_tradnl"/>
            </w:rPr>
          </w:pPr>
          <w:r>
            <w:rPr>
              <w:rFonts w:ascii="Palatino Linotype" w:hAnsi="Palatino Linotype"/>
              <w:b/>
              <w:sz w:val="22"/>
              <w:szCs w:val="22"/>
              <w:lang w:val="es-ES_tradnl"/>
            </w:rPr>
            <w:t xml:space="preserve">04794/INFOEM/IP/RR/2018 </w:t>
          </w:r>
        </w:p>
      </w:tc>
    </w:tr>
    <w:tr w:rsidR="001266F4" w:rsidTr="00284911">
      <w:trPr>
        <w:trHeight w:val="228"/>
      </w:trPr>
      <w:tc>
        <w:tcPr>
          <w:tcW w:w="2552" w:type="dxa"/>
          <w:vAlign w:val="center"/>
          <w:hideMark/>
        </w:tcPr>
        <w:p w:rsidR="001266F4" w:rsidRDefault="001266F4" w:rsidP="00284911">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1266F4" w:rsidRDefault="001266F4" w:rsidP="00B75ACB">
          <w:pPr>
            <w:jc w:val="both"/>
            <w:rPr>
              <w:rFonts w:ascii="Palatino Linotype" w:hAnsi="Palatino Linotype"/>
              <w:b/>
              <w:sz w:val="22"/>
              <w:szCs w:val="22"/>
              <w:lang w:val="es-ES_tradnl"/>
            </w:rPr>
          </w:pPr>
          <w:r w:rsidRPr="002A430E">
            <w:rPr>
              <w:rFonts w:ascii="Palatino Linotype" w:hAnsi="Palatino Linotype"/>
              <w:b/>
              <w:sz w:val="22"/>
              <w:szCs w:val="22"/>
              <w:lang w:val="es-ES_tradnl"/>
            </w:rPr>
            <w:t xml:space="preserve">Ayuntamiento de </w:t>
          </w:r>
          <w:r>
            <w:rPr>
              <w:rFonts w:ascii="Palatino Linotype" w:hAnsi="Palatino Linotype"/>
              <w:b/>
              <w:sz w:val="22"/>
              <w:szCs w:val="22"/>
              <w:lang w:val="es-ES_tradnl"/>
            </w:rPr>
            <w:t>San Felipe del Progeso</w:t>
          </w:r>
        </w:p>
      </w:tc>
    </w:tr>
    <w:tr w:rsidR="001266F4" w:rsidTr="00284911">
      <w:tc>
        <w:tcPr>
          <w:tcW w:w="2552" w:type="dxa"/>
          <w:vAlign w:val="center"/>
          <w:hideMark/>
        </w:tcPr>
        <w:p w:rsidR="001266F4" w:rsidRDefault="001266F4" w:rsidP="00284911">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1266F4" w:rsidRDefault="001266F4" w:rsidP="00284911">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1266F4" w:rsidRDefault="001266F4" w:rsidP="00284911">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48C17E9" wp14:editId="3D7E2E8B">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6F4" w:rsidRDefault="001266F4" w:rsidP="00284911">
    <w:pPr>
      <w:pStyle w:val="Encabezado"/>
      <w:jc w:val="both"/>
    </w:pPr>
    <w:r>
      <w:rPr>
        <w:noProof/>
        <w:lang w:val="es-MX" w:eastAsia="es-MX"/>
      </w:rPr>
      <w:drawing>
        <wp:anchor distT="0" distB="0" distL="114300" distR="114300" simplePos="0" relativeHeight="251660288" behindDoc="1" locked="0" layoutInCell="1" allowOverlap="1" wp14:anchorId="5C108682" wp14:editId="01051AE6">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1266F4" w:rsidRPr="00294C56" w:rsidTr="00284911">
      <w:tc>
        <w:tcPr>
          <w:tcW w:w="2551" w:type="dxa"/>
          <w:vAlign w:val="center"/>
          <w:hideMark/>
        </w:tcPr>
        <w:p w:rsidR="001266F4" w:rsidRPr="00294C56" w:rsidRDefault="001266F4" w:rsidP="00284911">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1266F4" w:rsidRPr="00294C56" w:rsidRDefault="001266F4" w:rsidP="00B75ACB">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4794/INFOEM/IP/RR/2018</w:t>
          </w:r>
        </w:p>
      </w:tc>
    </w:tr>
    <w:tr w:rsidR="001266F4" w:rsidRPr="00294C56" w:rsidTr="00284911">
      <w:tc>
        <w:tcPr>
          <w:tcW w:w="2551" w:type="dxa"/>
          <w:vAlign w:val="center"/>
          <w:hideMark/>
        </w:tcPr>
        <w:p w:rsidR="001266F4" w:rsidRPr="00294C56" w:rsidRDefault="001266F4" w:rsidP="00284911">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1266F4" w:rsidRPr="00294C56" w:rsidRDefault="001266F4" w:rsidP="001266F4">
          <w:pPr>
            <w:jc w:val="both"/>
            <w:rPr>
              <w:rFonts w:ascii="Palatino Linotype" w:hAnsi="Palatino Linotype"/>
              <w:b/>
              <w:sz w:val="21"/>
              <w:szCs w:val="21"/>
              <w:lang w:val="es-ES_tradnl"/>
            </w:rPr>
          </w:pPr>
          <w:r>
            <w:rPr>
              <w:rFonts w:ascii="Palatino Linotype" w:hAnsi="Palatino Linotype"/>
              <w:b/>
              <w:sz w:val="21"/>
              <w:szCs w:val="21"/>
              <w:lang w:val="es-ES_tradnl"/>
            </w:rPr>
            <w:t>Xxxxxx Xxxxx</w:t>
          </w:r>
        </w:p>
      </w:tc>
    </w:tr>
    <w:tr w:rsidR="001266F4" w:rsidRPr="00294C56" w:rsidTr="00284911">
      <w:trPr>
        <w:trHeight w:val="228"/>
      </w:trPr>
      <w:tc>
        <w:tcPr>
          <w:tcW w:w="2551" w:type="dxa"/>
          <w:vAlign w:val="center"/>
          <w:hideMark/>
        </w:tcPr>
        <w:p w:rsidR="001266F4" w:rsidRPr="00294C56" w:rsidRDefault="001266F4" w:rsidP="00284911">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1266F4" w:rsidRPr="00294C56" w:rsidRDefault="001266F4" w:rsidP="00B75ACB">
          <w:pPr>
            <w:jc w:val="both"/>
            <w:rPr>
              <w:rFonts w:ascii="Palatino Linotype" w:hAnsi="Palatino Linotype"/>
              <w:b/>
              <w:sz w:val="21"/>
              <w:szCs w:val="21"/>
              <w:lang w:val="es-ES_tradnl"/>
            </w:rPr>
          </w:pPr>
          <w:r w:rsidRPr="002A430E">
            <w:rPr>
              <w:rFonts w:ascii="Palatino Linotype" w:hAnsi="Palatino Linotype"/>
              <w:b/>
              <w:sz w:val="21"/>
              <w:szCs w:val="21"/>
              <w:lang w:val="es-ES_tradnl"/>
            </w:rPr>
            <w:t xml:space="preserve">Ayuntamiento de </w:t>
          </w:r>
          <w:r>
            <w:rPr>
              <w:rFonts w:ascii="Palatino Linotype" w:hAnsi="Palatino Linotype"/>
              <w:b/>
              <w:sz w:val="21"/>
              <w:szCs w:val="21"/>
              <w:lang w:val="es-ES_tradnl"/>
            </w:rPr>
            <w:t>San Felipe del Progreso</w:t>
          </w:r>
        </w:p>
      </w:tc>
    </w:tr>
    <w:tr w:rsidR="001266F4" w:rsidRPr="00294C56" w:rsidTr="00284911">
      <w:tc>
        <w:tcPr>
          <w:tcW w:w="2551" w:type="dxa"/>
          <w:vAlign w:val="center"/>
          <w:hideMark/>
        </w:tcPr>
        <w:p w:rsidR="001266F4" w:rsidRPr="00294C56" w:rsidRDefault="001266F4" w:rsidP="00284911">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1266F4" w:rsidRPr="00294C56" w:rsidRDefault="001266F4" w:rsidP="00284911">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1266F4" w:rsidRDefault="001266F4" w:rsidP="0028491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C6B74"/>
    <w:multiLevelType w:val="multilevel"/>
    <w:tmpl w:val="36B4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C4B17CF"/>
    <w:multiLevelType w:val="hybridMultilevel"/>
    <w:tmpl w:val="DEA642C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CD07E3"/>
    <w:multiLevelType w:val="hybridMultilevel"/>
    <w:tmpl w:val="80A48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F2682B"/>
    <w:multiLevelType w:val="hybridMultilevel"/>
    <w:tmpl w:val="DDD853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0E43A12"/>
    <w:multiLevelType w:val="hybridMultilevel"/>
    <w:tmpl w:val="11A082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BDC70DA"/>
    <w:multiLevelType w:val="hybridMultilevel"/>
    <w:tmpl w:val="E55E0452"/>
    <w:lvl w:ilvl="0" w:tplc="B78273D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4E0D7D72"/>
    <w:multiLevelType w:val="hybridMultilevel"/>
    <w:tmpl w:val="11A082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0DC4FE9"/>
    <w:multiLevelType w:val="hybridMultilevel"/>
    <w:tmpl w:val="C7968232"/>
    <w:lvl w:ilvl="0" w:tplc="780E17D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2993ACE"/>
    <w:multiLevelType w:val="hybridMultilevel"/>
    <w:tmpl w:val="709EF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
  </w:num>
  <w:num w:numId="5">
    <w:abstractNumId w:val="11"/>
  </w:num>
  <w:num w:numId="6">
    <w:abstractNumId w:val="0"/>
  </w:num>
  <w:num w:numId="7">
    <w:abstractNumId w:val="6"/>
  </w:num>
  <w:num w:numId="8">
    <w:abstractNumId w:val="5"/>
  </w:num>
  <w:num w:numId="9">
    <w:abstractNumId w:val="2"/>
  </w:num>
  <w:num w:numId="10">
    <w:abstractNumId w:val="7"/>
  </w:num>
  <w:num w:numId="11">
    <w:abstractNumId w:val="9"/>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02D"/>
    <w:rsid w:val="00065C46"/>
    <w:rsid w:val="000D6AAF"/>
    <w:rsid w:val="001266F4"/>
    <w:rsid w:val="00141E73"/>
    <w:rsid w:val="001A0D06"/>
    <w:rsid w:val="001D4D5D"/>
    <w:rsid w:val="00244C0B"/>
    <w:rsid w:val="00276644"/>
    <w:rsid w:val="002806EB"/>
    <w:rsid w:val="00284911"/>
    <w:rsid w:val="0031564B"/>
    <w:rsid w:val="00366304"/>
    <w:rsid w:val="005222E1"/>
    <w:rsid w:val="00552143"/>
    <w:rsid w:val="005650E5"/>
    <w:rsid w:val="00575F0E"/>
    <w:rsid w:val="00577AF2"/>
    <w:rsid w:val="005C13A9"/>
    <w:rsid w:val="005E4E34"/>
    <w:rsid w:val="005F25B5"/>
    <w:rsid w:val="00620A8D"/>
    <w:rsid w:val="006705EA"/>
    <w:rsid w:val="006C03AB"/>
    <w:rsid w:val="006E1E19"/>
    <w:rsid w:val="00720C88"/>
    <w:rsid w:val="00782804"/>
    <w:rsid w:val="007F0C69"/>
    <w:rsid w:val="00806573"/>
    <w:rsid w:val="0086789E"/>
    <w:rsid w:val="00885808"/>
    <w:rsid w:val="008A3E1F"/>
    <w:rsid w:val="008E45D6"/>
    <w:rsid w:val="0096187D"/>
    <w:rsid w:val="00A55852"/>
    <w:rsid w:val="00AA6B5B"/>
    <w:rsid w:val="00AE2E6E"/>
    <w:rsid w:val="00AF32AF"/>
    <w:rsid w:val="00B75ACB"/>
    <w:rsid w:val="00B76C94"/>
    <w:rsid w:val="00BA7E55"/>
    <w:rsid w:val="00BE7B4A"/>
    <w:rsid w:val="00CC39E6"/>
    <w:rsid w:val="00CD0897"/>
    <w:rsid w:val="00D1712D"/>
    <w:rsid w:val="00D2307F"/>
    <w:rsid w:val="00D72D51"/>
    <w:rsid w:val="00DD0263"/>
    <w:rsid w:val="00E105FC"/>
    <w:rsid w:val="00E5702D"/>
    <w:rsid w:val="00EA1176"/>
    <w:rsid w:val="00EA354F"/>
    <w:rsid w:val="00F220D6"/>
    <w:rsid w:val="00F37C28"/>
    <w:rsid w:val="00FC69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31094E4-8AFD-4A3B-93C1-3D3750100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02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02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5702D"/>
    <w:rPr>
      <w:rFonts w:eastAsiaTheme="minorEastAsia"/>
      <w:sz w:val="24"/>
      <w:szCs w:val="24"/>
      <w:lang w:val="es-ES_tradnl" w:eastAsia="es-ES"/>
    </w:rPr>
  </w:style>
  <w:style w:type="paragraph" w:styleId="Piedepgina">
    <w:name w:val="footer"/>
    <w:basedOn w:val="Normal"/>
    <w:link w:val="PiedepginaCar"/>
    <w:uiPriority w:val="99"/>
    <w:unhideWhenUsed/>
    <w:rsid w:val="00E5702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5702D"/>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5702D"/>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E5702D"/>
    <w:pPr>
      <w:ind w:left="708"/>
    </w:pPr>
    <w:rPr>
      <w:sz w:val="22"/>
      <w:szCs w:val="22"/>
      <w:lang w:val="es-MX" w:eastAsia="en-US"/>
    </w:rPr>
  </w:style>
  <w:style w:type="table" w:styleId="Tablaconcuadrcula">
    <w:name w:val="Table Grid"/>
    <w:basedOn w:val="Tablanormal"/>
    <w:uiPriority w:val="59"/>
    <w:rsid w:val="00E5702D"/>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E5702D"/>
  </w:style>
  <w:style w:type="character" w:customStyle="1" w:styleId="apple-converted-space">
    <w:name w:val="apple-converted-space"/>
    <w:basedOn w:val="Fuentedeprrafopredeter"/>
    <w:rsid w:val="00E5702D"/>
  </w:style>
  <w:style w:type="character" w:styleId="Hipervnculo">
    <w:name w:val="Hyperlink"/>
    <w:basedOn w:val="Fuentedeprrafopredeter"/>
    <w:uiPriority w:val="99"/>
    <w:unhideWhenUsed/>
    <w:rsid w:val="00E5702D"/>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5702D"/>
    <w:rPr>
      <w:vertAlign w:val="superscript"/>
    </w:rPr>
  </w:style>
  <w:style w:type="paragraph" w:styleId="NormalWeb">
    <w:name w:val="Normal (Web)"/>
    <w:basedOn w:val="Normal"/>
    <w:uiPriority w:val="99"/>
    <w:unhideWhenUsed/>
    <w:rsid w:val="00E5702D"/>
    <w:pPr>
      <w:spacing w:before="100" w:beforeAutospacing="1" w:after="100" w:afterAutospacing="1"/>
    </w:pPr>
    <w:rPr>
      <w:lang w:val="es-MX" w:eastAsia="es-MX"/>
    </w:rPr>
  </w:style>
  <w:style w:type="paragraph" w:customStyle="1" w:styleId="Default">
    <w:name w:val="Default"/>
    <w:rsid w:val="00E5702D"/>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E5702D"/>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E5702D"/>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5702D"/>
    <w:rPr>
      <w:sz w:val="20"/>
      <w:szCs w:val="20"/>
    </w:rPr>
  </w:style>
  <w:style w:type="table" w:styleId="Tabladecuadrcula6concolores">
    <w:name w:val="Grid Table 6 Colorful"/>
    <w:basedOn w:val="Tablanormal"/>
    <w:uiPriority w:val="51"/>
    <w:rsid w:val="00CD0897"/>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CC39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39E6"/>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525343">
      <w:bodyDiv w:val="1"/>
      <w:marLeft w:val="0"/>
      <w:marRight w:val="0"/>
      <w:marTop w:val="0"/>
      <w:marBottom w:val="0"/>
      <w:divBdr>
        <w:top w:val="none" w:sz="0" w:space="0" w:color="auto"/>
        <w:left w:val="none" w:sz="0" w:space="0" w:color="auto"/>
        <w:bottom w:val="none" w:sz="0" w:space="0" w:color="auto"/>
        <w:right w:val="none" w:sz="0" w:space="0" w:color="auto"/>
      </w:divBdr>
    </w:div>
    <w:div w:id="2037608573">
      <w:bodyDiv w:val="1"/>
      <w:marLeft w:val="0"/>
      <w:marRight w:val="0"/>
      <w:marTop w:val="0"/>
      <w:marBottom w:val="0"/>
      <w:divBdr>
        <w:top w:val="none" w:sz="0" w:space="0" w:color="auto"/>
        <w:left w:val="none" w:sz="0" w:space="0" w:color="auto"/>
        <w:bottom w:val="none" w:sz="0" w:space="0" w:color="auto"/>
        <w:right w:val="none" w:sz="0" w:space="0" w:color="auto"/>
      </w:divBdr>
    </w:div>
    <w:div w:id="208930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22266.page" TargetMode="Externa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hyperlink" Target="http://legislacion.edomex.gob.mx/convenio"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622267.page" TargetMode="External"/><Relationship Id="rId29" Type="http://schemas.openxmlformats.org/officeDocument/2006/relationships/image" Target="media/image10.png"/><Relationship Id="rId11" Type="http://schemas.openxmlformats.org/officeDocument/2006/relationships/hyperlink" Target="http://www.sanfelipedelprogreso.gob.mx/transparencia"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622266.pag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hyperlink" Target="http://www.sanfelipedelprogreso.gob.mx/ley-general-de-contabilidad-gubernamental.html" TargetMode="External"/><Relationship Id="rId19" Type="http://schemas.openxmlformats.org/officeDocument/2006/relationships/hyperlink" Target="http://www.sanfelipedelprogreso.gob.mx/transparencia" TargetMode="External"/><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622266.page" TargetMode="External"/><Relationship Id="rId14" Type="http://schemas.openxmlformats.org/officeDocument/2006/relationships/hyperlink" Target="https://www.saimex.org.mx/saimex/solicitud/downloadAttach/636621.page" TargetMode="External"/><Relationship Id="rId22" Type="http://schemas.openxmlformats.org/officeDocument/2006/relationships/hyperlink" Target="http://legislacion.edomex.gob.mx/sites/legislacion.edomex.gob.mx/files/files/pdf/bdo/bdo2019/bdo075.pd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hyperlink" Target="https://www.saimex.org.mx/saimex/solicitud/downloadAttach/606497.page" TargetMode="External"/><Relationship Id="rId3" Type="http://schemas.openxmlformats.org/officeDocument/2006/relationships/styles" Target="styles.xml"/><Relationship Id="rId12" Type="http://schemas.openxmlformats.org/officeDocument/2006/relationships/hyperlink" Target="https://www.saimex.org.mx/saimex/solicitud/downloadAttach/622267.page" TargetMode="External"/><Relationship Id="rId17" Type="http://schemas.openxmlformats.org/officeDocument/2006/relationships/hyperlink" Target="http://www.sanfelipedelprogreso.gob.mx/ley-general-de-contabilidad-gubernamental.htm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2.xml"/><Relationship Id="rId20" Type="http://schemas.openxmlformats.org/officeDocument/2006/relationships/image" Target="media/image2.pn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osfem.gob.mx/04_Normatividad/Normatividad.html" TargetMode="External"/><Relationship Id="rId1" Type="http://schemas.openxmlformats.org/officeDocument/2006/relationships/hyperlink" Target="http://obrapublica.edomex.gob.mx/sites/infraestructura.edomex.gob.mx/files/files/Administracion_y_Construccion/pdf/DGE/A-Public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18906-EF87-4B1A-AC85-E2A44D8A4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102</Pages>
  <Words>25365</Words>
  <Characters>139513</Characters>
  <Application>Microsoft Office Word</Application>
  <DocSecurity>0</DocSecurity>
  <Lines>1162</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2019-02-28T02:21:00Z</cp:lastPrinted>
  <dcterms:created xsi:type="dcterms:W3CDTF">2019-03-14T17:16:00Z</dcterms:created>
  <dcterms:modified xsi:type="dcterms:W3CDTF">2019-03-14T17:41:00Z</dcterms:modified>
</cp:coreProperties>
</file>