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77008B8E" w:rsidR="00091682" w:rsidRPr="0040233B" w:rsidRDefault="00091682" w:rsidP="00091682">
      <w:pPr>
        <w:spacing w:before="240" w:after="240" w:line="360" w:lineRule="auto"/>
        <w:jc w:val="both"/>
        <w:rPr>
          <w:rFonts w:ascii="Palatino Linotype" w:hAnsi="Palatino Linotype"/>
        </w:rPr>
      </w:pPr>
      <w:r w:rsidRPr="0040233B">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40233B">
        <w:rPr>
          <w:rFonts w:ascii="Palatino Linotype" w:hAnsi="Palatino Linotype"/>
        </w:rPr>
        <w:t xml:space="preserve">Metepec, Estado de México, de </w:t>
      </w:r>
      <w:r w:rsidR="008F49F7">
        <w:rPr>
          <w:rFonts w:ascii="Palatino Linotype" w:hAnsi="Palatino Linotype"/>
          <w:color w:val="C00000"/>
        </w:rPr>
        <w:t>veinte de febrero</w:t>
      </w:r>
      <w:r w:rsidR="004440AC" w:rsidRPr="00DD4EA2">
        <w:rPr>
          <w:rFonts w:ascii="Palatino Linotype" w:hAnsi="Palatino Linotype"/>
          <w:color w:val="C00000"/>
        </w:rPr>
        <w:t xml:space="preserve"> </w:t>
      </w:r>
      <w:r w:rsidRPr="0040233B">
        <w:rPr>
          <w:rFonts w:ascii="Palatino Linotype" w:hAnsi="Palatino Linotype"/>
        </w:rPr>
        <w:t>de</w:t>
      </w:r>
      <w:r w:rsidR="00686279" w:rsidRPr="0040233B">
        <w:rPr>
          <w:rFonts w:ascii="Palatino Linotype" w:hAnsi="Palatino Linotype"/>
        </w:rPr>
        <w:t>l</w:t>
      </w:r>
      <w:r w:rsidRPr="0040233B">
        <w:rPr>
          <w:rFonts w:ascii="Palatino Linotype" w:hAnsi="Palatino Linotype"/>
        </w:rPr>
        <w:t xml:space="preserve"> dos mil dieci</w:t>
      </w:r>
      <w:r w:rsidR="00862234">
        <w:rPr>
          <w:rFonts w:ascii="Palatino Linotype" w:hAnsi="Palatino Linotype"/>
        </w:rPr>
        <w:t>nueve</w:t>
      </w:r>
      <w:r w:rsidRPr="0040233B">
        <w:rPr>
          <w:rFonts w:ascii="Palatino Linotype" w:hAnsi="Palatino Linotype"/>
        </w:rPr>
        <w:t>.</w:t>
      </w:r>
    </w:p>
    <w:p w14:paraId="7D53FE2D" w14:textId="19E25D0D" w:rsidR="008E7698" w:rsidRPr="0040233B" w:rsidRDefault="008E7698" w:rsidP="008E7698">
      <w:pPr>
        <w:spacing w:before="240" w:after="240" w:line="360" w:lineRule="auto"/>
        <w:jc w:val="both"/>
        <w:rPr>
          <w:rFonts w:ascii="Palatino Linotype" w:hAnsi="Palatino Linotype" w:cs="Arial"/>
        </w:rPr>
      </w:pPr>
      <w:r w:rsidRPr="0040233B">
        <w:rPr>
          <w:rFonts w:ascii="Palatino Linotype" w:hAnsi="Palatino Linotype" w:cs="Arial"/>
          <w:b/>
          <w:sz w:val="28"/>
          <w:szCs w:val="28"/>
        </w:rPr>
        <w:t>Visto</w:t>
      </w:r>
      <w:r w:rsidRPr="0040233B">
        <w:rPr>
          <w:rFonts w:ascii="Palatino Linotype" w:hAnsi="Palatino Linotype" w:cs="Arial"/>
        </w:rPr>
        <w:t xml:space="preserve"> el expediente relativo al recurso de revisión </w:t>
      </w:r>
      <w:r w:rsidR="0008736D">
        <w:rPr>
          <w:rFonts w:ascii="Palatino Linotype" w:hAnsi="Palatino Linotype" w:cs="Arial"/>
          <w:b/>
          <w:sz w:val="22"/>
          <w:szCs w:val="22"/>
        </w:rPr>
        <w:t>04799/INFOEM</w:t>
      </w:r>
      <w:r w:rsidR="00200852">
        <w:rPr>
          <w:rFonts w:ascii="Palatino Linotype" w:eastAsiaTheme="minorEastAsia" w:hAnsi="Palatino Linotype" w:cs="Arial"/>
          <w:b/>
          <w:bCs/>
          <w:color w:val="C00000"/>
          <w:sz w:val="22"/>
          <w:szCs w:val="22"/>
          <w:lang w:val="es-MX"/>
        </w:rPr>
        <w:t>/IP/RR/2018</w:t>
      </w:r>
      <w:r w:rsidR="00945D23">
        <w:rPr>
          <w:rFonts w:ascii="Palatino Linotype" w:hAnsi="Palatino Linotype" w:cs="Arial"/>
        </w:rPr>
        <w:t xml:space="preserve">, interpuesto por </w:t>
      </w:r>
      <w:proofErr w:type="spellStart"/>
      <w:r w:rsidR="00CB72BE">
        <w:rPr>
          <w:rFonts w:ascii="Palatino Linotype" w:eastAsiaTheme="minorEastAsia" w:hAnsi="Palatino Linotype" w:cs="Arial"/>
          <w:b/>
          <w:color w:val="C00000"/>
          <w:lang w:val="es-MX"/>
        </w:rPr>
        <w:t>Xxxxxx</w:t>
      </w:r>
      <w:proofErr w:type="spellEnd"/>
      <w:r w:rsidR="00CB72BE">
        <w:rPr>
          <w:rFonts w:ascii="Palatino Linotype" w:eastAsiaTheme="minorEastAsia" w:hAnsi="Palatino Linotype" w:cs="Arial"/>
          <w:b/>
          <w:color w:val="C00000"/>
          <w:lang w:val="es-MX"/>
        </w:rPr>
        <w:t xml:space="preserve"> </w:t>
      </w:r>
      <w:proofErr w:type="spellStart"/>
      <w:r w:rsidR="00CB72BE">
        <w:rPr>
          <w:rFonts w:ascii="Palatino Linotype" w:eastAsiaTheme="minorEastAsia" w:hAnsi="Palatino Linotype" w:cs="Arial"/>
          <w:b/>
          <w:color w:val="C00000"/>
          <w:lang w:val="es-MX"/>
        </w:rPr>
        <w:t>Xxxxx</w:t>
      </w:r>
      <w:proofErr w:type="spellEnd"/>
      <w:r w:rsidRPr="0040233B">
        <w:rPr>
          <w:rFonts w:ascii="Palatino Linotype" w:hAnsi="Palatino Linotype" w:cs="Arial"/>
        </w:rPr>
        <w:t>,</w:t>
      </w:r>
      <w:r w:rsidR="00D66A2A">
        <w:rPr>
          <w:rFonts w:ascii="Palatino Linotype" w:hAnsi="Palatino Linotype" w:cs="Arial"/>
        </w:rPr>
        <w:t xml:space="preserve"> a </w:t>
      </w:r>
      <w:r w:rsidR="004440AC" w:rsidRPr="0040233B">
        <w:rPr>
          <w:rFonts w:ascii="Palatino Linotype" w:hAnsi="Palatino Linotype" w:cs="Arial"/>
        </w:rPr>
        <w:t>quien</w:t>
      </w:r>
      <w:r w:rsidRPr="0040233B">
        <w:rPr>
          <w:rFonts w:ascii="Palatino Linotype" w:hAnsi="Palatino Linotype" w:cs="Arial"/>
        </w:rPr>
        <w:t xml:space="preserve"> en lo sucesivo se le denominará </w:t>
      </w:r>
      <w:r w:rsidR="00945D23">
        <w:rPr>
          <w:rFonts w:ascii="Palatino Linotype" w:hAnsi="Palatino Linotype" w:cs="Arial"/>
        </w:rPr>
        <w:t>l</w:t>
      </w:r>
      <w:r w:rsidR="0008736D">
        <w:rPr>
          <w:rFonts w:ascii="Palatino Linotype" w:hAnsi="Palatino Linotype" w:cs="Arial"/>
        </w:rPr>
        <w:t>a</w:t>
      </w:r>
      <w:r w:rsidR="004C7629">
        <w:rPr>
          <w:rFonts w:ascii="Palatino Linotype" w:hAnsi="Palatino Linotype" w:cs="Arial"/>
        </w:rPr>
        <w:t xml:space="preserve"> </w:t>
      </w:r>
      <w:r w:rsidR="004C7629" w:rsidRPr="004C7629">
        <w:rPr>
          <w:rFonts w:ascii="Palatino Linotype" w:hAnsi="Palatino Linotype" w:cs="Arial"/>
          <w:b/>
          <w:i/>
        </w:rPr>
        <w:t>Recurrente</w:t>
      </w:r>
      <w:r w:rsidRPr="0040233B">
        <w:rPr>
          <w:rFonts w:ascii="Palatino Linotype" w:hAnsi="Palatino Linotype" w:cs="Arial"/>
          <w:b/>
          <w:i/>
        </w:rPr>
        <w:t xml:space="preserve"> </w:t>
      </w:r>
      <w:r w:rsidRPr="0040233B">
        <w:rPr>
          <w:rFonts w:ascii="Palatino Linotype" w:hAnsi="Palatino Linotype" w:cs="Arial"/>
        </w:rPr>
        <w:t xml:space="preserve">en contra de la </w:t>
      </w:r>
      <w:r w:rsidR="00211018">
        <w:rPr>
          <w:rFonts w:ascii="Palatino Linotype" w:hAnsi="Palatino Linotype" w:cs="Arial"/>
        </w:rPr>
        <w:t>falta de respuesta</w:t>
      </w:r>
      <w:r w:rsidR="00E66AC9" w:rsidRPr="0040233B">
        <w:rPr>
          <w:rFonts w:ascii="Palatino Linotype" w:hAnsi="Palatino Linotype" w:cs="Arial"/>
        </w:rPr>
        <w:t xml:space="preserve"> a</w:t>
      </w:r>
      <w:r w:rsidRPr="0040233B">
        <w:rPr>
          <w:rFonts w:ascii="Palatino Linotype" w:hAnsi="Palatino Linotype" w:cs="Arial"/>
        </w:rPr>
        <w:t xml:space="preserve"> </w:t>
      </w:r>
      <w:r w:rsidR="00095E37">
        <w:rPr>
          <w:rFonts w:ascii="Palatino Linotype" w:hAnsi="Palatino Linotype" w:cs="Arial"/>
        </w:rPr>
        <w:t>la</w:t>
      </w:r>
      <w:r w:rsidRPr="0040233B">
        <w:rPr>
          <w:rFonts w:ascii="Palatino Linotype" w:hAnsi="Palatino Linotype" w:cs="Arial"/>
        </w:rPr>
        <w:t xml:space="preserve"> solicitud de in</w:t>
      </w:r>
      <w:r w:rsidR="004440AC" w:rsidRPr="0040233B">
        <w:rPr>
          <w:rFonts w:ascii="Palatino Linotype" w:hAnsi="Palatino Linotype" w:cs="Arial"/>
        </w:rPr>
        <w:t xml:space="preserve">formación con número de folio </w:t>
      </w:r>
      <w:r w:rsidR="0008736D">
        <w:rPr>
          <w:rFonts w:ascii="Palatino Linotype" w:eastAsiaTheme="minorEastAsia" w:hAnsi="Palatino Linotype" w:cs="Arial"/>
          <w:b/>
          <w:color w:val="C00000"/>
          <w:sz w:val="22"/>
          <w:szCs w:val="22"/>
          <w:lang w:val="es-MX"/>
        </w:rPr>
        <w:t>00049/TENAAIR</w:t>
      </w:r>
      <w:r w:rsidR="00200852">
        <w:rPr>
          <w:rFonts w:ascii="Palatino Linotype" w:eastAsiaTheme="minorEastAsia" w:hAnsi="Palatino Linotype" w:cs="Arial"/>
          <w:b/>
          <w:color w:val="C00000"/>
          <w:sz w:val="22"/>
          <w:szCs w:val="22"/>
          <w:lang w:val="es-MX"/>
        </w:rPr>
        <w:t>/IP/</w:t>
      </w:r>
      <w:r w:rsidR="00971EA5">
        <w:rPr>
          <w:rFonts w:ascii="Palatino Linotype" w:eastAsiaTheme="minorEastAsia" w:hAnsi="Palatino Linotype" w:cs="Arial"/>
          <w:b/>
          <w:color w:val="C00000"/>
          <w:sz w:val="22"/>
          <w:szCs w:val="22"/>
          <w:lang w:val="es-MX"/>
        </w:rPr>
        <w:t>2018</w:t>
      </w:r>
      <w:r w:rsidRPr="0040233B">
        <w:rPr>
          <w:rFonts w:ascii="Palatino Linotype" w:hAnsi="Palatino Linotype" w:cs="Arial"/>
        </w:rPr>
        <w:t xml:space="preserve">, </w:t>
      </w:r>
      <w:r w:rsidR="00945D23">
        <w:rPr>
          <w:rFonts w:ascii="Palatino Linotype" w:hAnsi="Palatino Linotype" w:cs="Arial"/>
        </w:rPr>
        <w:t xml:space="preserve">del </w:t>
      </w:r>
      <w:r w:rsidR="0008736D">
        <w:rPr>
          <w:rFonts w:ascii="Palatino Linotype" w:eastAsiaTheme="minorEastAsia" w:hAnsi="Palatino Linotype" w:cs="Arial"/>
          <w:b/>
          <w:lang w:val="es-MX"/>
        </w:rPr>
        <w:t>Ayuntamiento de Tenango del Aire</w:t>
      </w:r>
      <w:r w:rsidRPr="0040233B">
        <w:rPr>
          <w:rFonts w:ascii="Palatino Linotype" w:hAnsi="Palatino Linotype" w:cs="Arial"/>
        </w:rPr>
        <w:t xml:space="preserve">, en lo sucesivo el </w:t>
      </w:r>
      <w:r w:rsidRPr="0040233B">
        <w:rPr>
          <w:rFonts w:ascii="Palatino Linotype" w:hAnsi="Palatino Linotype" w:cs="Arial"/>
          <w:b/>
        </w:rPr>
        <w:t>Sujeto Obligado</w:t>
      </w:r>
      <w:r w:rsidRPr="0040233B">
        <w:rPr>
          <w:rFonts w:ascii="Palatino Linotype" w:hAnsi="Palatino Linotype" w:cs="Arial"/>
        </w:rPr>
        <w:t>;</w:t>
      </w:r>
      <w:r w:rsidRPr="0040233B">
        <w:rPr>
          <w:rFonts w:ascii="Palatino Linotype" w:hAnsi="Palatino Linotype" w:cs="Arial"/>
          <w:b/>
        </w:rPr>
        <w:t xml:space="preserve"> </w:t>
      </w:r>
      <w:r w:rsidRPr="0040233B">
        <w:rPr>
          <w:rFonts w:ascii="Palatino Linotype" w:hAnsi="Palatino Linotype" w:cs="Arial"/>
        </w:rPr>
        <w:t>se procede a dictar la presente resolución, con base en lo siguiente.</w:t>
      </w:r>
    </w:p>
    <w:p w14:paraId="1A4B04B4" w14:textId="6FE3E403"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 </w:t>
      </w:r>
      <w:r w:rsidR="008E7698" w:rsidRPr="0040233B">
        <w:rPr>
          <w:rFonts w:ascii="Palatino Linotype" w:hAnsi="Palatino Linotype"/>
          <w:b/>
          <w:color w:val="auto"/>
          <w:sz w:val="24"/>
          <w:szCs w:val="24"/>
        </w:rPr>
        <w:t>A N T E C E D E N T E S:</w:t>
      </w:r>
    </w:p>
    <w:p w14:paraId="4B0026B6" w14:textId="31043DC0" w:rsidR="008E7698" w:rsidRPr="0040233B" w:rsidRDefault="008E7698"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1. Solicitud de acceso a la información.</w:t>
      </w:r>
      <w:r w:rsidRPr="0040233B">
        <w:rPr>
          <w:rFonts w:ascii="Palatino Linotype" w:hAnsi="Palatino Linotype" w:cs="Arial"/>
          <w:b/>
        </w:rPr>
        <w:t xml:space="preserve"> </w:t>
      </w:r>
      <w:r w:rsidRPr="0040233B">
        <w:rPr>
          <w:rFonts w:ascii="Palatino Linotype" w:hAnsi="Palatino Linotype" w:cs="Arial"/>
        </w:rPr>
        <w:t>Con</w:t>
      </w:r>
      <w:r w:rsidR="004440AC" w:rsidRPr="0040233B">
        <w:rPr>
          <w:rFonts w:ascii="Palatino Linotype" w:hAnsi="Palatino Linotype" w:cs="Arial"/>
        </w:rPr>
        <w:t xml:space="preserve"> fecha </w:t>
      </w:r>
      <w:r w:rsidR="0008736D">
        <w:rPr>
          <w:rFonts w:ascii="Palatino Linotype" w:hAnsi="Palatino Linotype" w:cs="Arial"/>
          <w:color w:val="C00000"/>
        </w:rPr>
        <w:t>trece de noviembre</w:t>
      </w:r>
      <w:r w:rsidR="00C673D1" w:rsidRPr="00DD4EA2">
        <w:rPr>
          <w:rFonts w:ascii="Palatino Linotype" w:hAnsi="Palatino Linotype" w:cs="Arial"/>
          <w:color w:val="C00000"/>
        </w:rPr>
        <w:t xml:space="preserve"> </w:t>
      </w:r>
      <w:r w:rsidRPr="0040233B">
        <w:rPr>
          <w:rFonts w:ascii="Palatino Linotype" w:hAnsi="Palatino Linotype" w:cs="Arial"/>
        </w:rPr>
        <w:t xml:space="preserve">de dos mil </w:t>
      </w:r>
      <w:r w:rsidR="00971EA5">
        <w:rPr>
          <w:rFonts w:ascii="Palatino Linotype" w:hAnsi="Palatino Linotype" w:cs="Arial"/>
        </w:rPr>
        <w:t>dieciocho</w:t>
      </w:r>
      <w:r w:rsidR="00682656" w:rsidRPr="0040233B">
        <w:rPr>
          <w:rFonts w:ascii="Palatino Linotype" w:hAnsi="Palatino Linotype" w:cs="Arial"/>
        </w:rPr>
        <w:t xml:space="preserve">, </w:t>
      </w:r>
      <w:r w:rsidR="00945D23">
        <w:rPr>
          <w:rFonts w:ascii="Palatino Linotype" w:hAnsi="Palatino Linotype" w:cs="Arial"/>
        </w:rPr>
        <w:t>l</w:t>
      </w:r>
      <w:r w:rsidR="0008736D">
        <w:rPr>
          <w:rFonts w:ascii="Palatino Linotype" w:hAnsi="Palatino Linotype" w:cs="Arial"/>
        </w:rPr>
        <w:t>a</w:t>
      </w:r>
      <w:r w:rsidRPr="0040233B">
        <w:rPr>
          <w:rFonts w:ascii="Palatino Linotype" w:hAnsi="Palatino Linotype" w:cs="Arial"/>
        </w:rPr>
        <w:t xml:space="preserve"> ahora </w:t>
      </w:r>
      <w:r w:rsidR="00DE7F9A" w:rsidRPr="0040233B">
        <w:rPr>
          <w:rFonts w:ascii="Palatino Linotype" w:hAnsi="Palatino Linotype" w:cs="Arial"/>
          <w:b/>
          <w:i/>
        </w:rPr>
        <w:t>Recurrente</w:t>
      </w:r>
      <w:r w:rsidRPr="0040233B">
        <w:rPr>
          <w:rFonts w:ascii="Palatino Linotype" w:hAnsi="Palatino Linotype" w:cs="Arial"/>
        </w:rPr>
        <w:t xml:space="preserve"> formuló solicitud de acceso a </w:t>
      </w:r>
      <w:r w:rsidR="00DF1223" w:rsidRPr="0040233B">
        <w:rPr>
          <w:rFonts w:ascii="Palatino Linotype" w:hAnsi="Palatino Linotype" w:cs="Arial"/>
        </w:rPr>
        <w:t xml:space="preserve">la </w:t>
      </w:r>
      <w:r w:rsidRPr="0040233B">
        <w:rPr>
          <w:rFonts w:ascii="Palatino Linotype" w:hAnsi="Palatino Linotype" w:cs="Arial"/>
        </w:rPr>
        <w:t xml:space="preserve">información pública al </w:t>
      </w:r>
      <w:r w:rsidRPr="00857279">
        <w:rPr>
          <w:rFonts w:ascii="Palatino Linotype" w:hAnsi="Palatino Linotype" w:cs="Arial"/>
          <w:b/>
        </w:rPr>
        <w:t>Sujeto Obligado</w:t>
      </w:r>
      <w:r w:rsidRPr="0040233B">
        <w:rPr>
          <w:rFonts w:ascii="Palatino Linotype" w:hAnsi="Palatino Linotype" w:cs="Arial"/>
        </w:rPr>
        <w:t xml:space="preserve"> a través del Sistema de Acceso a la Información Mexiquense, en adelante </w:t>
      </w:r>
      <w:r w:rsidRPr="0040233B">
        <w:rPr>
          <w:rFonts w:ascii="Palatino Linotype" w:hAnsi="Palatino Linotype" w:cs="Arial"/>
          <w:b/>
        </w:rPr>
        <w:t>SAIMEX,</w:t>
      </w:r>
      <w:r w:rsidRPr="0040233B">
        <w:rPr>
          <w:rFonts w:ascii="Palatino Linotype" w:hAnsi="Palatino Linotype" w:cs="Arial"/>
        </w:rPr>
        <w:t xml:space="preserve"> </w:t>
      </w:r>
      <w:r w:rsidR="002C49B0" w:rsidRPr="0040233B">
        <w:rPr>
          <w:rFonts w:ascii="Palatino Linotype" w:hAnsi="Palatino Linotype" w:cs="Arial"/>
        </w:rPr>
        <w:t>requiriendo</w:t>
      </w:r>
      <w:r w:rsidRPr="0040233B">
        <w:rPr>
          <w:rFonts w:ascii="Palatino Linotype" w:hAnsi="Palatino Linotype" w:cs="Arial"/>
        </w:rPr>
        <w:t xml:space="preserve"> lo siguiente:</w:t>
      </w:r>
    </w:p>
    <w:p w14:paraId="3F4E6C5F" w14:textId="6621942A" w:rsidR="00293DE5" w:rsidRPr="006D64F9" w:rsidRDefault="00293DE5" w:rsidP="00945D23">
      <w:pPr>
        <w:spacing w:before="240" w:after="240" w:line="360" w:lineRule="auto"/>
        <w:ind w:left="851" w:right="902"/>
        <w:jc w:val="both"/>
        <w:rPr>
          <w:rFonts w:ascii="Palatino Linotype" w:hAnsi="Palatino Linotype" w:cs="Arial"/>
          <w:b/>
          <w:i/>
        </w:rPr>
      </w:pPr>
      <w:r w:rsidRPr="0008736D">
        <w:rPr>
          <w:rFonts w:ascii="Palatino Linotype" w:eastAsiaTheme="minorEastAsia" w:hAnsi="Palatino Linotype" w:cs="Arial"/>
          <w:i/>
          <w:lang w:val="es-MX"/>
        </w:rPr>
        <w:t>“</w:t>
      </w:r>
      <w:r w:rsidR="0008736D" w:rsidRPr="0008736D">
        <w:rPr>
          <w:rFonts w:ascii="Palatino Linotype" w:hAnsi="Palatino Linotype"/>
          <w:i/>
          <w:color w:val="000000"/>
        </w:rPr>
        <w:t>SE ADJUNTA DOCUMENTO</w:t>
      </w:r>
      <w:proofErr w:type="gramStart"/>
      <w:r w:rsidR="004F5243" w:rsidRPr="00211018">
        <w:rPr>
          <w:rFonts w:ascii="Palatino Linotype" w:hAnsi="Palatino Linotype" w:cs="Arial"/>
          <w:i/>
        </w:rPr>
        <w:t>”</w:t>
      </w:r>
      <w:r w:rsidR="00C673D1" w:rsidRPr="00211018">
        <w:rPr>
          <w:rFonts w:ascii="Palatino Linotype" w:hAnsi="Palatino Linotype" w:cs="Arial"/>
          <w:i/>
        </w:rPr>
        <w:t>(</w:t>
      </w:r>
      <w:proofErr w:type="gramEnd"/>
      <w:r w:rsidR="00C673D1" w:rsidRPr="006D64F9">
        <w:rPr>
          <w:rFonts w:ascii="Palatino Linotype" w:hAnsi="Palatino Linotype" w:cs="Arial"/>
          <w:i/>
        </w:rPr>
        <w:t>sic)</w:t>
      </w:r>
    </w:p>
    <w:p w14:paraId="43243204" w14:textId="2CBB33E9" w:rsidR="0008736D" w:rsidRDefault="0008736D" w:rsidP="0008736D">
      <w:pPr>
        <w:spacing w:before="240" w:after="240" w:line="360" w:lineRule="auto"/>
        <w:jc w:val="both"/>
        <w:rPr>
          <w:rFonts w:ascii="Palatino Linotype" w:hAnsi="Palatino Linotype" w:cs="Arial"/>
        </w:rPr>
      </w:pPr>
      <w:r>
        <w:rPr>
          <w:rFonts w:ascii="Palatino Linotype" w:hAnsi="Palatino Linotype" w:cs="Arial"/>
        </w:rPr>
        <w:t>El</w:t>
      </w:r>
      <w:r w:rsidRPr="0040233B">
        <w:rPr>
          <w:rFonts w:ascii="Palatino Linotype" w:hAnsi="Palatino Linotype" w:cs="Arial"/>
        </w:rPr>
        <w:t xml:space="preserve"> solicitante</w:t>
      </w:r>
      <w:r>
        <w:rPr>
          <w:rFonts w:ascii="Palatino Linotype" w:hAnsi="Palatino Linotype" w:cs="Arial"/>
        </w:rPr>
        <w:t xml:space="preserve"> acompaño a su solicitud, el archivo denominado </w:t>
      </w:r>
      <w:hyperlink r:id="rId8" w:tgtFrame="_blank" w:history="1">
        <w:r w:rsidRPr="0008736D">
          <w:rPr>
            <w:rStyle w:val="Hipervnculo"/>
            <w:rFonts w:ascii="Palatino Linotype" w:hAnsi="Palatino Linotype" w:cs="Arial"/>
            <w:b/>
            <w:bCs/>
            <w:color w:val="auto"/>
            <w:u w:val="none"/>
          </w:rPr>
          <w:t>Preguntas_Alumbrado_Nov_2018.pdf</w:t>
        </w:r>
      </w:hyperlink>
      <w:r>
        <w:rPr>
          <w:rFonts w:ascii="Palatino Linotype" w:hAnsi="Palatino Linotype" w:cs="Arial"/>
        </w:rPr>
        <w:t xml:space="preserve"> de cuyo contenido se advierten cinco rubros, intitulados:</w:t>
      </w:r>
    </w:p>
    <w:p w14:paraId="24C33E60" w14:textId="6E3E965C" w:rsidR="0008736D" w:rsidRPr="0008736D" w:rsidRDefault="0008736D" w:rsidP="0008736D">
      <w:pPr>
        <w:spacing w:before="240" w:after="240" w:line="360" w:lineRule="auto"/>
        <w:ind w:left="567"/>
        <w:jc w:val="both"/>
        <w:rPr>
          <w:rFonts w:ascii="Palatino Linotype" w:hAnsi="Palatino Linotype"/>
        </w:rPr>
      </w:pPr>
      <w:r w:rsidRPr="0008736D">
        <w:rPr>
          <w:rFonts w:ascii="Palatino Linotype" w:hAnsi="Palatino Linotype"/>
        </w:rPr>
        <w:t>I.- PRESUPUESTO DEL SISTEMA DE ALUMBRADO PÚBLICO MUNICIPAL, que a su vez consta de cinco requerimientos de información.</w:t>
      </w:r>
    </w:p>
    <w:p w14:paraId="721B436D" w14:textId="02116C2F" w:rsidR="0008736D" w:rsidRPr="0008736D" w:rsidRDefault="0008736D" w:rsidP="0008736D">
      <w:pPr>
        <w:spacing w:before="240" w:after="240" w:line="360" w:lineRule="auto"/>
        <w:ind w:left="567"/>
        <w:jc w:val="both"/>
        <w:rPr>
          <w:rFonts w:ascii="Palatino Linotype" w:hAnsi="Palatino Linotype"/>
        </w:rPr>
      </w:pPr>
      <w:r w:rsidRPr="0008736D">
        <w:rPr>
          <w:rFonts w:ascii="Palatino Linotype" w:hAnsi="Palatino Linotype"/>
        </w:rPr>
        <w:lastRenderedPageBreak/>
        <w:t>II.- INFRAESTRUCTURA DEL SISTEMA DE ALUMBRADO PÚBLICO, de cuyo contenido se advierte dos requerimientos bajo determinadas especificaciones.</w:t>
      </w:r>
    </w:p>
    <w:p w14:paraId="717001AA" w14:textId="6ED0643B" w:rsidR="0008736D" w:rsidRPr="0008736D" w:rsidRDefault="0008736D" w:rsidP="0008736D">
      <w:pPr>
        <w:spacing w:before="240" w:after="240" w:line="360" w:lineRule="auto"/>
        <w:ind w:left="567"/>
        <w:jc w:val="both"/>
        <w:rPr>
          <w:rFonts w:ascii="Palatino Linotype" w:hAnsi="Palatino Linotype"/>
        </w:rPr>
      </w:pPr>
      <w:r w:rsidRPr="0008736D">
        <w:rPr>
          <w:rFonts w:ascii="Palatino Linotype" w:hAnsi="Palatino Linotype"/>
        </w:rPr>
        <w:t>III.- COBERTURA (EXPANSIÓN) DEL SISTEMA DE ALUMBRADO PÚBLICO, un requerimiento, que a su vez contiene 9 incisos.</w:t>
      </w:r>
    </w:p>
    <w:p w14:paraId="5BA54838" w14:textId="607E5D43" w:rsidR="0008736D" w:rsidRPr="0008736D" w:rsidRDefault="0008736D" w:rsidP="0008736D">
      <w:pPr>
        <w:spacing w:before="240" w:after="240" w:line="360" w:lineRule="auto"/>
        <w:ind w:left="567"/>
        <w:jc w:val="both"/>
        <w:rPr>
          <w:rFonts w:ascii="Palatino Linotype" w:hAnsi="Palatino Linotype"/>
        </w:rPr>
      </w:pPr>
      <w:r w:rsidRPr="0008736D">
        <w:rPr>
          <w:rFonts w:ascii="Palatino Linotype" w:hAnsi="Palatino Linotype"/>
        </w:rPr>
        <w:t>IV.- MODERNIZACIÓN DEL SISTEMA DE ALUMBRADO PÚBLICO, tres requerimientos, el primero de ellos con trece incisos adicionales.</w:t>
      </w:r>
    </w:p>
    <w:p w14:paraId="333A593E" w14:textId="2B1EE37F" w:rsidR="0008736D" w:rsidRPr="0008736D" w:rsidRDefault="0008736D" w:rsidP="0008736D">
      <w:pPr>
        <w:spacing w:before="240" w:after="240" w:line="360" w:lineRule="auto"/>
        <w:ind w:left="567"/>
        <w:jc w:val="both"/>
        <w:rPr>
          <w:rFonts w:ascii="Palatino Linotype" w:hAnsi="Palatino Linotype"/>
        </w:rPr>
      </w:pPr>
      <w:r w:rsidRPr="0008736D">
        <w:rPr>
          <w:rFonts w:ascii="Palatino Linotype" w:hAnsi="Palatino Linotype"/>
        </w:rPr>
        <w:t>V.- ADMINISTRACIÓN DEL SERVICIO DE ALUMBRADO PÚBLICO, seis requerimientos.</w:t>
      </w:r>
    </w:p>
    <w:p w14:paraId="6E6FDF5A" w14:textId="558C64EB" w:rsidR="0008736D" w:rsidRDefault="0008736D" w:rsidP="0008736D">
      <w:pPr>
        <w:spacing w:before="240" w:after="240" w:line="360" w:lineRule="auto"/>
        <w:jc w:val="both"/>
        <w:rPr>
          <w:rFonts w:ascii="Palatino Linotype" w:hAnsi="Palatino Linotype" w:cs="Arial"/>
          <w:b/>
        </w:rPr>
      </w:pPr>
      <w:r>
        <w:rPr>
          <w:rFonts w:ascii="Palatino Linotype" w:hAnsi="Palatino Linotype" w:cs="Arial"/>
        </w:rPr>
        <w:t>Asimismo</w:t>
      </w:r>
      <w:r w:rsidRPr="0040233B">
        <w:rPr>
          <w:rFonts w:ascii="Palatino Linotype" w:hAnsi="Palatino Linotype" w:cs="Arial"/>
        </w:rPr>
        <w:t xml:space="preserve"> indicó como modalidad de entrega el</w:t>
      </w:r>
      <w:r w:rsidRPr="0040233B">
        <w:rPr>
          <w:rFonts w:ascii="Palatino Linotype" w:hAnsi="Palatino Linotype" w:cs="Arial"/>
          <w:b/>
        </w:rPr>
        <w:t xml:space="preserve"> SAIMEX.</w:t>
      </w:r>
    </w:p>
    <w:p w14:paraId="486A14B9" w14:textId="46019FF2" w:rsidR="008E7698" w:rsidRPr="0040233B" w:rsidRDefault="008E7698" w:rsidP="008E7698">
      <w:pPr>
        <w:spacing w:before="240" w:after="240" w:line="360" w:lineRule="auto"/>
        <w:jc w:val="both"/>
        <w:rPr>
          <w:rFonts w:ascii="Palatino Linotype" w:hAnsi="Palatino Linotype" w:cs="Arial"/>
        </w:rPr>
      </w:pPr>
      <w:r w:rsidRPr="0040233B">
        <w:rPr>
          <w:rFonts w:ascii="Palatino Linotype" w:hAnsi="Palatino Linotype" w:cs="Arial"/>
          <w:b/>
          <w:sz w:val="28"/>
          <w:szCs w:val="28"/>
        </w:rPr>
        <w:t>2. Respuesta.</w:t>
      </w:r>
      <w:r w:rsidRPr="0040233B">
        <w:rPr>
          <w:rFonts w:ascii="Palatino Linotype" w:hAnsi="Palatino Linotype" w:cs="Arial"/>
          <w:b/>
        </w:rPr>
        <w:t xml:space="preserve"> </w:t>
      </w:r>
      <w:r w:rsidRPr="0040233B">
        <w:rPr>
          <w:rFonts w:ascii="Palatino Linotype" w:hAnsi="Palatino Linotype" w:cs="Arial"/>
        </w:rPr>
        <w:t xml:space="preserve">Con </w:t>
      </w:r>
      <w:r w:rsidR="00DC3B6D">
        <w:rPr>
          <w:rFonts w:ascii="Palatino Linotype" w:hAnsi="Palatino Linotype" w:cs="Arial"/>
        </w:rPr>
        <w:t xml:space="preserve">base en el detalle de seguimiento que obra en el </w:t>
      </w:r>
      <w:r w:rsidR="00DC3B6D">
        <w:rPr>
          <w:rFonts w:ascii="Palatino Linotype" w:hAnsi="Palatino Linotype" w:cs="Arial"/>
          <w:b/>
        </w:rPr>
        <w:t xml:space="preserve">SAIMEX, </w:t>
      </w:r>
      <w:r w:rsidR="00DC3B6D">
        <w:rPr>
          <w:rFonts w:ascii="Palatino Linotype" w:hAnsi="Palatino Linotype" w:cs="Arial"/>
        </w:rPr>
        <w:t xml:space="preserve">se advierte que el </w:t>
      </w:r>
      <w:r w:rsidR="00DC3B6D">
        <w:rPr>
          <w:rFonts w:ascii="Palatino Linotype" w:hAnsi="Palatino Linotype" w:cs="Arial"/>
          <w:b/>
        </w:rPr>
        <w:t xml:space="preserve">Sujeto Obligado </w:t>
      </w:r>
      <w:r w:rsidR="00DC3B6D">
        <w:rPr>
          <w:rFonts w:ascii="Palatino Linotype" w:hAnsi="Palatino Linotype" w:cs="Arial"/>
        </w:rPr>
        <w:t>omitió dar contestación a la solicitud de acceso a la información pública, tal y como se aprecia a continuación:</w:t>
      </w:r>
    </w:p>
    <w:p w14:paraId="38359AC4" w14:textId="0BECDCAE" w:rsidR="00DC3B6D" w:rsidRDefault="00E70B5C" w:rsidP="00211018">
      <w:pPr>
        <w:spacing w:before="240" w:after="240" w:line="360" w:lineRule="auto"/>
        <w:jc w:val="center"/>
        <w:rPr>
          <w:rFonts w:ascii="Palatino Linotype" w:hAnsi="Palatino Linotype" w:cs="Arial"/>
          <w:b/>
          <w:sz w:val="28"/>
          <w:szCs w:val="28"/>
        </w:rPr>
      </w:pPr>
      <w:r w:rsidRPr="00E70B5C">
        <w:rPr>
          <w:rFonts w:ascii="Palatino Linotype" w:hAnsi="Palatino Linotype" w:cs="Arial"/>
          <w:b/>
          <w:sz w:val="28"/>
          <w:szCs w:val="28"/>
        </w:rPr>
        <w:drawing>
          <wp:inline distT="0" distB="0" distL="0" distR="0" wp14:anchorId="18DAC8DE" wp14:editId="40BE059C">
            <wp:extent cx="5612130" cy="7512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751205"/>
                    </a:xfrm>
                    <a:prstGeom prst="rect">
                      <a:avLst/>
                    </a:prstGeom>
                  </pic:spPr>
                </pic:pic>
              </a:graphicData>
            </a:graphic>
          </wp:inline>
        </w:drawing>
      </w:r>
    </w:p>
    <w:p w14:paraId="7056C445" w14:textId="2671BF4B" w:rsidR="008E7698" w:rsidRDefault="008E7698" w:rsidP="008F4C62">
      <w:pPr>
        <w:spacing w:before="240" w:after="240" w:line="360" w:lineRule="auto"/>
        <w:jc w:val="both"/>
        <w:rPr>
          <w:rFonts w:ascii="Palatino Linotype" w:hAnsi="Palatino Linotype" w:cs="Arial"/>
        </w:rPr>
      </w:pPr>
      <w:r w:rsidRPr="0040233B">
        <w:rPr>
          <w:rFonts w:ascii="Palatino Linotype" w:hAnsi="Palatino Linotype" w:cs="Arial"/>
          <w:b/>
          <w:sz w:val="28"/>
          <w:szCs w:val="28"/>
        </w:rPr>
        <w:t>3. Recurso de revisión.</w:t>
      </w:r>
      <w:r w:rsidRPr="0040233B">
        <w:rPr>
          <w:rFonts w:ascii="Palatino Linotype" w:hAnsi="Palatino Linotype" w:cs="Arial"/>
          <w:b/>
        </w:rPr>
        <w:t xml:space="preserve"> </w:t>
      </w:r>
      <w:r w:rsidRPr="0040233B">
        <w:rPr>
          <w:rFonts w:ascii="Palatino Linotype" w:hAnsi="Palatino Linotype" w:cs="Arial"/>
        </w:rPr>
        <w:t>El recurso de revisión se interpuso a través del SAIMEX con fecha</w:t>
      </w:r>
      <w:r w:rsidR="00FC3695" w:rsidRPr="0040233B">
        <w:rPr>
          <w:rFonts w:ascii="Palatino Linotype" w:hAnsi="Palatino Linotype" w:cs="Arial"/>
        </w:rPr>
        <w:t xml:space="preserve"> </w:t>
      </w:r>
      <w:r w:rsidR="0008736D">
        <w:rPr>
          <w:rFonts w:ascii="Palatino Linotype" w:hAnsi="Palatino Linotype" w:cs="Arial"/>
          <w:color w:val="C00000"/>
        </w:rPr>
        <w:t>trece de diciembre</w:t>
      </w:r>
      <w:r w:rsidR="00DC3B6D">
        <w:rPr>
          <w:rFonts w:ascii="Palatino Linotype" w:hAnsi="Palatino Linotype" w:cs="Arial"/>
          <w:color w:val="C00000"/>
        </w:rPr>
        <w:t xml:space="preserve"> </w:t>
      </w:r>
      <w:r w:rsidR="00200852">
        <w:rPr>
          <w:rFonts w:ascii="Palatino Linotype" w:hAnsi="Palatino Linotype" w:cs="Arial"/>
        </w:rPr>
        <w:t xml:space="preserve">del </w:t>
      </w:r>
      <w:r w:rsidR="00FF3CDA">
        <w:rPr>
          <w:rFonts w:ascii="Palatino Linotype" w:hAnsi="Palatino Linotype" w:cs="Arial"/>
        </w:rPr>
        <w:t>dos mil dieciocho</w:t>
      </w:r>
      <w:r w:rsidR="002C49B0">
        <w:rPr>
          <w:rFonts w:ascii="Palatino Linotype" w:hAnsi="Palatino Linotype" w:cs="Arial"/>
        </w:rPr>
        <w:t>,</w:t>
      </w:r>
      <w:r w:rsidR="002C49B0" w:rsidRPr="0040233B">
        <w:rPr>
          <w:rFonts w:ascii="Palatino Linotype" w:hAnsi="Palatino Linotype" w:cs="Arial"/>
        </w:rPr>
        <w:t xml:space="preserve"> por</w:t>
      </w:r>
      <w:r w:rsidRPr="0040233B">
        <w:rPr>
          <w:rFonts w:ascii="Palatino Linotype" w:hAnsi="Palatino Linotype" w:cs="Arial"/>
        </w:rPr>
        <w:t xml:space="preserve"> parte del solicitante de información, quien expresó las siguientes manifestaciones:</w:t>
      </w:r>
    </w:p>
    <w:p w14:paraId="4BB47E28" w14:textId="77777777" w:rsidR="008E7698" w:rsidRPr="0040233B" w:rsidRDefault="008E7698" w:rsidP="00AF299E">
      <w:pPr>
        <w:spacing w:before="240" w:after="240" w:line="360" w:lineRule="auto"/>
        <w:ind w:left="567"/>
        <w:rPr>
          <w:rFonts w:ascii="Palatino Linotype" w:hAnsi="Palatino Linotype" w:cs="Arial"/>
          <w:b/>
        </w:rPr>
      </w:pPr>
      <w:r w:rsidRPr="0040233B">
        <w:rPr>
          <w:rFonts w:ascii="Palatino Linotype" w:hAnsi="Palatino Linotype" w:cs="Arial"/>
          <w:b/>
        </w:rPr>
        <w:t>a) Acto impugnado.</w:t>
      </w:r>
    </w:p>
    <w:p w14:paraId="1F63D101" w14:textId="1718BBC7" w:rsidR="00FC3695" w:rsidRPr="0040233B" w:rsidRDefault="00FC3695" w:rsidP="00104E08">
      <w:pPr>
        <w:spacing w:before="240" w:after="240" w:line="360" w:lineRule="auto"/>
        <w:ind w:left="992" w:right="1043"/>
        <w:jc w:val="both"/>
        <w:rPr>
          <w:rFonts w:ascii="Palatino Linotype" w:hAnsi="Palatino Linotype" w:cs="Arial"/>
        </w:rPr>
      </w:pPr>
      <w:r w:rsidRPr="0008736D">
        <w:rPr>
          <w:rFonts w:ascii="Palatino Linotype" w:eastAsiaTheme="minorEastAsia" w:hAnsi="Palatino Linotype" w:cs="Arial"/>
          <w:i/>
          <w:lang w:val="es-MX"/>
        </w:rPr>
        <w:lastRenderedPageBreak/>
        <w:t>“</w:t>
      </w:r>
      <w:r w:rsidR="0008736D" w:rsidRPr="0008736D">
        <w:rPr>
          <w:rFonts w:ascii="Palatino Linotype" w:hAnsi="Palatino Linotype"/>
          <w:i/>
          <w:color w:val="000000"/>
        </w:rPr>
        <w:t>Falta de respuesta a la solicitud de información con número de folio solicitud 00049/TENAAIR/IP/2018 por parte del Municipio de Tenango del Aire, con fundamento en el artículo 179 fracciones VII y XI de la Ley de Transparencia y Acceso a la Información Pública del Estado de México y Municipios.</w:t>
      </w:r>
      <w:r w:rsidRPr="00971EA5">
        <w:rPr>
          <w:rFonts w:ascii="Palatino Linotype" w:hAnsi="Palatino Linotype" w:cs="Arial"/>
          <w:b/>
          <w:i/>
        </w:rPr>
        <w:t>”</w:t>
      </w:r>
      <w:r w:rsidR="009F704F" w:rsidRPr="003A4399">
        <w:rPr>
          <w:rFonts w:ascii="Palatino Linotype" w:hAnsi="Palatino Linotype" w:cs="Arial"/>
          <w:b/>
          <w:i/>
        </w:rPr>
        <w:t xml:space="preserve"> </w:t>
      </w:r>
      <w:r w:rsidR="009F704F" w:rsidRPr="003A4399">
        <w:rPr>
          <w:rFonts w:ascii="Palatino Linotype" w:hAnsi="Palatino Linotype" w:cs="Arial"/>
          <w:i/>
        </w:rPr>
        <w:t>(</w:t>
      </w:r>
      <w:proofErr w:type="gramStart"/>
      <w:r w:rsidR="009F704F" w:rsidRPr="00945D23">
        <w:rPr>
          <w:rFonts w:ascii="Palatino Linotype" w:hAnsi="Palatino Linotype" w:cs="Arial"/>
          <w:sz w:val="16"/>
          <w:szCs w:val="16"/>
        </w:rPr>
        <w:t>sic</w:t>
      </w:r>
      <w:proofErr w:type="gramEnd"/>
      <w:r w:rsidR="009F704F" w:rsidRPr="00945D23">
        <w:rPr>
          <w:rFonts w:ascii="Palatino Linotype" w:hAnsi="Palatino Linotype" w:cs="Arial"/>
          <w:sz w:val="16"/>
          <w:szCs w:val="16"/>
        </w:rPr>
        <w:t>)</w:t>
      </w:r>
    </w:p>
    <w:p w14:paraId="70C0742E" w14:textId="78F3676F" w:rsidR="008E7698" w:rsidRPr="0040233B" w:rsidRDefault="008E7698" w:rsidP="00AF299E">
      <w:pPr>
        <w:spacing w:before="240" w:after="240" w:line="360" w:lineRule="auto"/>
        <w:ind w:left="567"/>
        <w:jc w:val="both"/>
        <w:rPr>
          <w:rFonts w:ascii="Palatino Linotype" w:hAnsi="Palatino Linotype" w:cs="Arial"/>
          <w:b/>
        </w:rPr>
      </w:pPr>
      <w:r w:rsidRPr="0040233B">
        <w:rPr>
          <w:rFonts w:ascii="Palatino Linotype" w:hAnsi="Palatino Linotype" w:cs="Arial"/>
          <w:b/>
        </w:rPr>
        <w:t>b) Motivos de inconformidad.</w:t>
      </w:r>
    </w:p>
    <w:p w14:paraId="07A25EE7" w14:textId="39F6F773" w:rsidR="00186B63" w:rsidRPr="00AA41F6" w:rsidRDefault="00186B63" w:rsidP="00AA41F6">
      <w:pPr>
        <w:ind w:left="851"/>
        <w:jc w:val="both"/>
        <w:rPr>
          <w:lang w:val="es-MX" w:eastAsia="es-MX"/>
        </w:rPr>
      </w:pPr>
      <w:r w:rsidRPr="00AA41F6">
        <w:rPr>
          <w:rFonts w:ascii="Palatino Linotype" w:eastAsiaTheme="minorEastAsia" w:hAnsi="Palatino Linotype" w:cs="Arial"/>
          <w:i/>
          <w:lang w:val="es-MX"/>
        </w:rPr>
        <w:t>“</w:t>
      </w:r>
      <w:r w:rsidR="0008736D" w:rsidRPr="00AA41F6">
        <w:rPr>
          <w:rFonts w:ascii="Palatino Linotype" w:hAnsi="Palatino Linotype"/>
          <w:i/>
          <w:lang w:val="es-MX" w:eastAsia="es-MX"/>
        </w:rPr>
        <w:t>No respondió la solicitud de información.</w:t>
      </w:r>
      <w:r w:rsidRPr="00AA41F6">
        <w:rPr>
          <w:rFonts w:ascii="Palatino Linotype" w:hAnsi="Palatino Linotype" w:cs="Arial"/>
          <w:b/>
          <w:i/>
        </w:rPr>
        <w:t>”</w:t>
      </w:r>
      <w:r w:rsidR="009F704F" w:rsidRPr="00AA41F6">
        <w:rPr>
          <w:rFonts w:ascii="Palatino Linotype" w:hAnsi="Palatino Linotype" w:cs="Arial"/>
          <w:b/>
          <w:i/>
        </w:rPr>
        <w:t xml:space="preserve"> </w:t>
      </w:r>
      <w:r w:rsidR="009F704F" w:rsidRPr="003A4399">
        <w:rPr>
          <w:rFonts w:ascii="Palatino Linotype" w:hAnsi="Palatino Linotype" w:cs="Arial"/>
          <w:i/>
        </w:rPr>
        <w:t>(</w:t>
      </w:r>
      <w:proofErr w:type="gramStart"/>
      <w:r w:rsidR="009F704F" w:rsidRPr="00C20E42">
        <w:rPr>
          <w:rFonts w:ascii="Palatino Linotype" w:hAnsi="Palatino Linotype" w:cs="Arial"/>
          <w:i/>
        </w:rPr>
        <w:t>sic</w:t>
      </w:r>
      <w:proofErr w:type="gramEnd"/>
      <w:r w:rsidR="009F704F" w:rsidRPr="00C20E42">
        <w:rPr>
          <w:rFonts w:ascii="Palatino Linotype" w:hAnsi="Palatino Linotype" w:cs="Arial"/>
          <w:i/>
        </w:rPr>
        <w:t>)</w:t>
      </w:r>
    </w:p>
    <w:p w14:paraId="1D62F603" w14:textId="072FECE9" w:rsidR="00D41D70" w:rsidRPr="0040233B" w:rsidRDefault="008E7698" w:rsidP="00AF299E">
      <w:pPr>
        <w:spacing w:before="240" w:after="240" w:line="360" w:lineRule="auto"/>
        <w:jc w:val="both"/>
        <w:rPr>
          <w:rFonts w:ascii="Palatino Linotype" w:hAnsi="Palatino Linotype" w:cs="Arial"/>
        </w:rPr>
      </w:pPr>
      <w:r w:rsidRPr="0040233B">
        <w:rPr>
          <w:rFonts w:ascii="Palatino Linotype" w:hAnsi="Palatino Linotype" w:cs="Arial"/>
          <w:b/>
          <w:sz w:val="28"/>
          <w:szCs w:val="28"/>
        </w:rPr>
        <w:t xml:space="preserve">4. </w:t>
      </w:r>
      <w:r w:rsidR="00D41D70" w:rsidRPr="0040233B">
        <w:rPr>
          <w:rFonts w:ascii="Palatino Linotype" w:eastAsia="Calibri" w:hAnsi="Palatino Linotype" w:cs="Arial"/>
          <w:b/>
          <w:sz w:val="28"/>
          <w:szCs w:val="28"/>
        </w:rPr>
        <w:t xml:space="preserve">Turno. </w:t>
      </w:r>
      <w:r w:rsidR="00D41D70" w:rsidRPr="0040233B">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40233B">
        <w:rPr>
          <w:rFonts w:ascii="Palatino Linotype" w:hAnsi="Palatino Linotype" w:cs="Arial"/>
        </w:rPr>
        <w:t>por razón de turno fue asignado al</w:t>
      </w:r>
      <w:r w:rsidR="00D41D70" w:rsidRPr="0040233B">
        <w:rPr>
          <w:rFonts w:ascii="Palatino Linotype" w:eastAsia="Calibri" w:hAnsi="Palatino Linotype" w:cs="Arial"/>
        </w:rPr>
        <w:t xml:space="preserve"> Comisionado </w:t>
      </w:r>
      <w:r w:rsidR="00D41D70" w:rsidRPr="0040233B">
        <w:rPr>
          <w:rFonts w:ascii="Palatino Linotype" w:eastAsia="Calibri" w:hAnsi="Palatino Linotype" w:cs="Arial"/>
          <w:b/>
        </w:rPr>
        <w:t>Javier Martínez Cruz</w:t>
      </w:r>
      <w:r w:rsidR="00D41D70" w:rsidRPr="0040233B">
        <w:rPr>
          <w:rFonts w:ascii="Palatino Linotype" w:hAnsi="Palatino Linotype" w:cs="Arial"/>
        </w:rPr>
        <w:t xml:space="preserve"> para su análisis, estudio, elaboración del proyecto y </w:t>
      </w:r>
      <w:r w:rsidR="00D41D70" w:rsidRPr="0040233B">
        <w:rPr>
          <w:rFonts w:ascii="Palatino Linotype" w:eastAsia="Calibri" w:hAnsi="Palatino Linotype" w:cs="Arial"/>
        </w:rPr>
        <w:t>presentación ante el Pleno de este Instituto.</w:t>
      </w:r>
    </w:p>
    <w:p w14:paraId="64E6B459" w14:textId="5D3B5230" w:rsidR="00D41D70" w:rsidRPr="0040233B" w:rsidRDefault="00D41D70" w:rsidP="00184FBA">
      <w:pPr>
        <w:spacing w:before="240" w:after="240" w:line="360" w:lineRule="auto"/>
        <w:jc w:val="both"/>
        <w:rPr>
          <w:rFonts w:cs="Arial"/>
        </w:rPr>
      </w:pPr>
      <w:r w:rsidRPr="0040233B">
        <w:rPr>
          <w:rFonts w:ascii="Palatino Linotype" w:hAnsi="Palatino Linotype" w:cs="Arial"/>
          <w:b/>
          <w:sz w:val="28"/>
          <w:szCs w:val="28"/>
        </w:rPr>
        <w:t xml:space="preserve">5. Admisión. </w:t>
      </w:r>
      <w:r w:rsidRPr="0040233B">
        <w:rPr>
          <w:rFonts w:ascii="Palatino Linotype" w:hAnsi="Palatino Linotype" w:cs="Arial"/>
        </w:rPr>
        <w:t xml:space="preserve">Mediante auto de fecha </w:t>
      </w:r>
      <w:r w:rsidR="00AA41F6">
        <w:rPr>
          <w:rFonts w:ascii="Palatino Linotype" w:hAnsi="Palatino Linotype" w:cs="Arial"/>
          <w:color w:val="C00000"/>
        </w:rPr>
        <w:t>diecinueve de diciembre</w:t>
      </w:r>
      <w:r w:rsidR="00FF3CDA">
        <w:rPr>
          <w:rFonts w:ascii="Palatino Linotype" w:hAnsi="Palatino Linotype" w:cs="Arial"/>
          <w:color w:val="C00000"/>
        </w:rPr>
        <w:t xml:space="preserve"> de dos mil dieciocho</w:t>
      </w:r>
      <w:r w:rsidRPr="0040233B">
        <w:rPr>
          <w:rFonts w:ascii="Palatino Linotype" w:hAnsi="Palatino Linotype" w:cs="Arial"/>
        </w:rPr>
        <w:t xml:space="preserve">, este Órgano Garante, admitió a trámite el recurso de revisión respectivo, </w:t>
      </w:r>
      <w:r w:rsidR="00BD000E" w:rsidRPr="0040233B">
        <w:rPr>
          <w:rFonts w:ascii="Palatino Linotype" w:hAnsi="Palatino Linotype" w:cs="Arial"/>
        </w:rPr>
        <w:t xml:space="preserve">poniéndose </w:t>
      </w:r>
      <w:r w:rsidRPr="0040233B">
        <w:rPr>
          <w:rFonts w:ascii="Palatino Linotype" w:hAnsi="Palatino Linotype" w:cs="Arial"/>
        </w:rPr>
        <w:t xml:space="preserve">a disposición de las partes, para que un plazo no mayor a siete días </w:t>
      </w:r>
      <w:r w:rsidR="00857279">
        <w:rPr>
          <w:rFonts w:ascii="Palatino Linotype" w:hAnsi="Palatino Linotype" w:cs="Arial"/>
        </w:rPr>
        <w:t xml:space="preserve">hábiles </w:t>
      </w:r>
      <w:r w:rsidRPr="0040233B">
        <w:rPr>
          <w:rFonts w:ascii="Palatino Linotype" w:hAnsi="Palatino Linotype" w:cs="Arial"/>
        </w:rPr>
        <w:t>manifestaran lo que a su derecho corresponda</w:t>
      </w:r>
      <w:r w:rsidR="00BD000E" w:rsidRPr="0040233B">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40233B">
        <w:rPr>
          <w:rFonts w:ascii="Palatino Linotype" w:hAnsi="Palatino Linotype" w:cs="Arial"/>
        </w:rPr>
        <w:t>Pública</w:t>
      </w:r>
      <w:r w:rsidR="00BD000E" w:rsidRPr="0040233B">
        <w:rPr>
          <w:rFonts w:ascii="Palatino Linotype" w:hAnsi="Palatino Linotype" w:cs="Arial"/>
        </w:rPr>
        <w:t xml:space="preserve"> del </w:t>
      </w:r>
      <w:r w:rsidR="00104E08" w:rsidRPr="0040233B">
        <w:rPr>
          <w:rFonts w:ascii="Palatino Linotype" w:hAnsi="Palatino Linotype" w:cs="Arial"/>
        </w:rPr>
        <w:t>E</w:t>
      </w:r>
      <w:r w:rsidR="00BD000E" w:rsidRPr="0040233B">
        <w:rPr>
          <w:rFonts w:ascii="Palatino Linotype" w:hAnsi="Palatino Linotype" w:cs="Arial"/>
        </w:rPr>
        <w:t>stado de México y Municipios.</w:t>
      </w:r>
      <w:r w:rsidRPr="0040233B">
        <w:rPr>
          <w:rFonts w:ascii="Palatino Linotype" w:hAnsi="Palatino Linotype" w:cs="Arial"/>
        </w:rPr>
        <w:t xml:space="preserve"> </w:t>
      </w:r>
    </w:p>
    <w:p w14:paraId="5CF9DD4A" w14:textId="26179213" w:rsidR="00FF3CDA" w:rsidRPr="00FF3CDA" w:rsidRDefault="004E4987" w:rsidP="00AA41F6">
      <w:pPr>
        <w:spacing w:before="240" w:after="240" w:line="360" w:lineRule="auto"/>
        <w:jc w:val="both"/>
        <w:rPr>
          <w:rFonts w:ascii="Palatino Linotype" w:hAnsi="Palatino Linotype"/>
        </w:rPr>
      </w:pPr>
      <w:r w:rsidRPr="0040233B">
        <w:rPr>
          <w:rFonts w:ascii="Palatino Linotype" w:hAnsi="Palatino Linotype" w:cs="Arial"/>
          <w:b/>
          <w:sz w:val="28"/>
          <w:szCs w:val="28"/>
        </w:rPr>
        <w:lastRenderedPageBreak/>
        <w:t xml:space="preserve">6. </w:t>
      </w:r>
      <w:r w:rsidR="00E954B7" w:rsidRPr="0040233B">
        <w:rPr>
          <w:rFonts w:ascii="Palatino Linotype" w:hAnsi="Palatino Linotype" w:cs="Arial"/>
          <w:b/>
          <w:sz w:val="28"/>
          <w:szCs w:val="28"/>
        </w:rPr>
        <w:t>Manifestaciones.</w:t>
      </w:r>
      <w:r w:rsidR="00E954B7" w:rsidRPr="0040233B">
        <w:t xml:space="preserve"> </w:t>
      </w:r>
      <w:r w:rsidR="00E954B7" w:rsidRPr="00F123D8">
        <w:rPr>
          <w:rFonts w:ascii="Palatino Linotype" w:hAnsi="Palatino Linotype"/>
        </w:rPr>
        <w:t>De las constancias del expediente electrónico del</w:t>
      </w:r>
      <w:r w:rsidR="00E954B7" w:rsidRPr="00F123D8">
        <w:rPr>
          <w:rFonts w:ascii="Palatino Linotype" w:hAnsi="Palatino Linotype" w:cs="Arial"/>
          <w:b/>
        </w:rPr>
        <w:t xml:space="preserve"> SAIMEX</w:t>
      </w:r>
      <w:r w:rsidR="00E954B7" w:rsidRPr="00F123D8">
        <w:rPr>
          <w:rFonts w:ascii="Palatino Linotype" w:hAnsi="Palatino Linotype"/>
        </w:rPr>
        <w:t xml:space="preserve">, se observa que </w:t>
      </w:r>
      <w:r w:rsidR="004E45B8">
        <w:rPr>
          <w:rFonts w:ascii="Palatino Linotype" w:hAnsi="Palatino Linotype"/>
        </w:rPr>
        <w:t xml:space="preserve">el </w:t>
      </w:r>
      <w:r w:rsidR="004E45B8">
        <w:rPr>
          <w:rFonts w:ascii="Palatino Linotype" w:hAnsi="Palatino Linotype"/>
          <w:b/>
        </w:rPr>
        <w:t>Sujeto Obligado</w:t>
      </w:r>
      <w:r w:rsidR="00945D23">
        <w:rPr>
          <w:rFonts w:ascii="Palatino Linotype" w:hAnsi="Palatino Linotype"/>
          <w:b/>
        </w:rPr>
        <w:t xml:space="preserve"> </w:t>
      </w:r>
      <w:r w:rsidR="00AA41F6">
        <w:rPr>
          <w:rFonts w:ascii="Palatino Linotype" w:hAnsi="Palatino Linotype"/>
        </w:rPr>
        <w:t xml:space="preserve">y el </w:t>
      </w:r>
      <w:r w:rsidR="00AA41F6">
        <w:rPr>
          <w:rFonts w:ascii="Palatino Linotype" w:hAnsi="Palatino Linotype"/>
          <w:b/>
          <w:i/>
        </w:rPr>
        <w:t xml:space="preserve">Recurrente </w:t>
      </w:r>
      <w:r w:rsidR="00AA41F6">
        <w:rPr>
          <w:rFonts w:ascii="Palatino Linotype" w:hAnsi="Palatino Linotype"/>
        </w:rPr>
        <w:t xml:space="preserve">fueron omisos en presentar en </w:t>
      </w:r>
      <w:r w:rsidR="00D46A09" w:rsidRPr="00D46A09">
        <w:rPr>
          <w:rFonts w:ascii="Palatino Linotype" w:hAnsi="Palatino Linotype"/>
        </w:rPr>
        <w:t>el momento procesal previsto</w:t>
      </w:r>
      <w:r w:rsidR="00D46A09">
        <w:rPr>
          <w:rFonts w:ascii="Palatino Linotype" w:hAnsi="Palatino Linotype"/>
        </w:rPr>
        <w:t xml:space="preserve"> en la Ley</w:t>
      </w:r>
      <w:r w:rsidR="00AA41F6">
        <w:rPr>
          <w:rFonts w:ascii="Palatino Linotype" w:hAnsi="Palatino Linotype"/>
        </w:rPr>
        <w:t>,</w:t>
      </w:r>
      <w:r w:rsidR="00D46A09">
        <w:rPr>
          <w:rFonts w:ascii="Palatino Linotype" w:hAnsi="Palatino Linotype"/>
        </w:rPr>
        <w:t xml:space="preserve"> informe justificado </w:t>
      </w:r>
      <w:r w:rsidR="00AA41F6">
        <w:rPr>
          <w:rFonts w:ascii="Palatino Linotype" w:hAnsi="Palatino Linotype"/>
        </w:rPr>
        <w:t>y ofrecer pruebas y/o alegatos.</w:t>
      </w:r>
    </w:p>
    <w:p w14:paraId="7E999664" w14:textId="2EF48AD9" w:rsidR="00945D23" w:rsidRPr="00DA0B77" w:rsidRDefault="00945D23" w:rsidP="00200852">
      <w:pPr>
        <w:spacing w:before="240" w:after="240" w:line="360" w:lineRule="auto"/>
        <w:jc w:val="both"/>
        <w:rPr>
          <w:rFonts w:ascii="Palatino Linotype" w:eastAsia="Calibri" w:hAnsi="Palatino Linotype" w:cs="Arial"/>
          <w:szCs w:val="28"/>
        </w:rPr>
      </w:pPr>
      <w:r w:rsidRPr="0040233B">
        <w:rPr>
          <w:rFonts w:ascii="Palatino Linotype" w:eastAsia="Calibri" w:hAnsi="Palatino Linotype" w:cs="Arial"/>
          <w:b/>
          <w:sz w:val="28"/>
          <w:szCs w:val="28"/>
        </w:rPr>
        <w:t xml:space="preserve">7. Cierre de Instrucción. </w:t>
      </w:r>
      <w:r w:rsidRPr="0040233B">
        <w:rPr>
          <w:rFonts w:ascii="Palatino Linotype" w:eastAsia="Calibri" w:hAnsi="Palatino Linotype" w:cs="Arial"/>
        </w:rPr>
        <w:t>Una vez transcurrido el plazo otorgado</w:t>
      </w:r>
      <w:r>
        <w:rPr>
          <w:rFonts w:ascii="Palatino Linotype" w:eastAsia="Calibri" w:hAnsi="Palatino Linotype" w:cs="Arial"/>
        </w:rPr>
        <w:t xml:space="preserve"> para que las partes manifestara</w:t>
      </w:r>
      <w:r w:rsidRPr="0040233B">
        <w:rPr>
          <w:rFonts w:ascii="Palatino Linotype" w:eastAsia="Calibri" w:hAnsi="Palatino Linotype" w:cs="Arial"/>
        </w:rPr>
        <w:t xml:space="preserve">n lo que a su derecho conviniera, y siguiendo </w:t>
      </w:r>
      <w:r w:rsidRPr="0040233B">
        <w:rPr>
          <w:rFonts w:ascii="Palatino Linotype" w:hAnsi="Palatino Linotype"/>
        </w:rPr>
        <w:t>los trámites correspondientes con fundamento en el artículo 185 fracción VI de la Ley de Transparencia y Acceso a la Información Pública del Estado de México y Municipios</w:t>
      </w:r>
      <w:r>
        <w:rPr>
          <w:rFonts w:ascii="Palatino Linotype" w:hAnsi="Palatino Linotype"/>
        </w:rPr>
        <w:t>,</w:t>
      </w:r>
      <w:r w:rsidRPr="0040233B">
        <w:rPr>
          <w:rFonts w:ascii="Palatino Linotype" w:hAnsi="Palatino Linotype"/>
        </w:rPr>
        <w:t xml:space="preserve"> el día </w:t>
      </w:r>
      <w:r w:rsidR="00FE0A5E">
        <w:rPr>
          <w:rFonts w:ascii="Palatino Linotype" w:hAnsi="Palatino Linotype"/>
          <w:color w:val="C00000"/>
        </w:rPr>
        <w:t>seis de febrero</w:t>
      </w:r>
      <w:r w:rsidRPr="001C5205">
        <w:rPr>
          <w:rFonts w:ascii="Palatino Linotype" w:hAnsi="Palatino Linotype"/>
          <w:color w:val="C00000"/>
        </w:rPr>
        <w:t xml:space="preserve"> </w:t>
      </w:r>
      <w:r w:rsidRPr="0040233B">
        <w:rPr>
          <w:rFonts w:ascii="Palatino Linotype" w:hAnsi="Palatino Linotype"/>
        </w:rPr>
        <w:t>de</w:t>
      </w:r>
      <w:r>
        <w:rPr>
          <w:rFonts w:ascii="Palatino Linotype" w:hAnsi="Palatino Linotype"/>
        </w:rPr>
        <w:t>l</w:t>
      </w:r>
      <w:r w:rsidRPr="0040233B">
        <w:rPr>
          <w:rFonts w:ascii="Palatino Linotype" w:hAnsi="Palatino Linotype"/>
        </w:rPr>
        <w:t xml:space="preserve"> dos mil </w:t>
      </w:r>
      <w:r w:rsidR="00211018">
        <w:rPr>
          <w:rFonts w:ascii="Palatino Linotype" w:hAnsi="Palatino Linotype"/>
        </w:rPr>
        <w:t>dieci</w:t>
      </w:r>
      <w:r w:rsidR="00AD0240">
        <w:rPr>
          <w:rFonts w:ascii="Palatino Linotype" w:hAnsi="Palatino Linotype"/>
        </w:rPr>
        <w:t>nueve</w:t>
      </w:r>
      <w:r w:rsidRPr="0040233B">
        <w:rPr>
          <w:rFonts w:ascii="Palatino Linotype" w:hAnsi="Palatino Linotype"/>
        </w:rPr>
        <w:t xml:space="preserve"> se procedió a decretar el ci</w:t>
      </w:r>
      <w:r w:rsidR="00200852">
        <w:rPr>
          <w:rFonts w:ascii="Palatino Linotype" w:hAnsi="Palatino Linotype"/>
        </w:rPr>
        <w:t>erre de instrucción respectivo y</w:t>
      </w:r>
      <w:r w:rsidRPr="00DA0B77">
        <w:rPr>
          <w:rFonts w:ascii="Palatino Linotype" w:eastAsia="Calibri" w:hAnsi="Palatino Linotype" w:cs="Arial"/>
          <w:szCs w:val="28"/>
        </w:rPr>
        <w:t xml:space="preserve"> no existiendo diligencia pendiente de desahogo, se ordenó emitir la resolución que conforme a derecho proceda, de acuerdo </w:t>
      </w:r>
      <w:r w:rsidR="00200852">
        <w:rPr>
          <w:rFonts w:ascii="Palatino Linotype" w:eastAsia="Calibri" w:hAnsi="Palatino Linotype" w:cs="Arial"/>
          <w:szCs w:val="28"/>
        </w:rPr>
        <w:t>con</w:t>
      </w:r>
      <w:r w:rsidRPr="00DA0B77">
        <w:rPr>
          <w:rFonts w:ascii="Palatino Linotype" w:eastAsia="Calibri" w:hAnsi="Palatino Linotype" w:cs="Arial"/>
          <w:szCs w:val="28"/>
        </w:rPr>
        <w:t xml:space="preserve"> los siguientes:</w:t>
      </w:r>
    </w:p>
    <w:p w14:paraId="2326DF6F" w14:textId="77777777" w:rsidR="000A515A" w:rsidRDefault="000A515A" w:rsidP="004A6EFE">
      <w:pPr>
        <w:pStyle w:val="Ttulo2"/>
        <w:jc w:val="center"/>
        <w:rPr>
          <w:rFonts w:ascii="Palatino Linotype" w:hAnsi="Palatino Linotype"/>
          <w:b/>
          <w:color w:val="auto"/>
          <w:sz w:val="24"/>
          <w:szCs w:val="24"/>
        </w:rPr>
      </w:pPr>
    </w:p>
    <w:p w14:paraId="7CD5D137" w14:textId="10283084"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II. </w:t>
      </w:r>
      <w:r w:rsidR="008E7698" w:rsidRPr="0040233B">
        <w:rPr>
          <w:rFonts w:ascii="Palatino Linotype" w:hAnsi="Palatino Linotype"/>
          <w:b/>
          <w:color w:val="auto"/>
          <w:sz w:val="24"/>
          <w:szCs w:val="24"/>
        </w:rPr>
        <w:t>C O N S I D E R A N D O</w:t>
      </w:r>
      <w:r w:rsidR="00DA0B77">
        <w:rPr>
          <w:rFonts w:ascii="Palatino Linotype" w:hAnsi="Palatino Linotype"/>
          <w:b/>
          <w:color w:val="auto"/>
          <w:sz w:val="24"/>
          <w:szCs w:val="24"/>
        </w:rPr>
        <w:t xml:space="preserve"> S</w:t>
      </w:r>
      <w:r w:rsidR="008E7698" w:rsidRPr="0040233B">
        <w:rPr>
          <w:rFonts w:ascii="Palatino Linotype" w:hAnsi="Palatino Linotype"/>
          <w:b/>
          <w:color w:val="auto"/>
          <w:sz w:val="24"/>
          <w:szCs w:val="24"/>
        </w:rPr>
        <w:t>:</w:t>
      </w:r>
    </w:p>
    <w:p w14:paraId="445D27E5" w14:textId="77777777" w:rsidR="002339A2" w:rsidRDefault="00516E6A"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PRIMERO</w:t>
      </w:r>
      <w:r w:rsidR="008E7698" w:rsidRPr="0040233B">
        <w:rPr>
          <w:rFonts w:ascii="Palatino Linotype" w:hAnsi="Palatino Linotype" w:cs="Arial"/>
          <w:b/>
          <w:sz w:val="28"/>
          <w:szCs w:val="28"/>
        </w:rPr>
        <w:t>. Competencia</w:t>
      </w:r>
      <w:r w:rsidR="008E7698" w:rsidRPr="0040233B">
        <w:rPr>
          <w:rFonts w:ascii="Palatino Linotype" w:hAnsi="Palatino Linotype" w:cs="Arial"/>
          <w:b/>
        </w:rPr>
        <w:t xml:space="preserve">. </w:t>
      </w:r>
    </w:p>
    <w:p w14:paraId="0B1FAD6B" w14:textId="7E8A0405" w:rsidR="00A5404F" w:rsidRDefault="00A5404F" w:rsidP="008E7698">
      <w:pPr>
        <w:spacing w:before="240" w:after="240" w:line="360" w:lineRule="auto"/>
        <w:jc w:val="both"/>
        <w:rPr>
          <w:rFonts w:ascii="Palatino Linotype" w:hAnsi="Palatino Linotype"/>
          <w:shd w:val="clear" w:color="auto" w:fill="FFFFFF"/>
        </w:rPr>
      </w:pPr>
      <w:r w:rsidRPr="0040233B">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40233B">
        <w:rPr>
          <w:rFonts w:ascii="Palatino Linotype" w:hAnsi="Palatino Linotype"/>
          <w:shd w:val="clear" w:color="auto" w:fill="FFFFFF"/>
        </w:rPr>
        <w:t>Recurrente</w:t>
      </w:r>
      <w:r w:rsidRPr="0040233B">
        <w:rPr>
          <w:rFonts w:ascii="Palatino Linotype" w:hAnsi="Palatino Linotype"/>
          <w:shd w:val="clear" w:color="auto" w:fill="FFFFFF"/>
        </w:rPr>
        <w:t>, conforme a lo dispuesto en los artículos 6, apartado A de la Constitución Política de los Estados Unidos Mexican</w:t>
      </w:r>
      <w:r w:rsidR="00D371C6" w:rsidRPr="0040233B">
        <w:rPr>
          <w:rFonts w:ascii="Palatino Linotype" w:hAnsi="Palatino Linotype"/>
          <w:shd w:val="clear" w:color="auto" w:fill="FFFFFF"/>
        </w:rPr>
        <w:t xml:space="preserve">os; 5, párrafos </w:t>
      </w:r>
      <w:r w:rsidR="00200852">
        <w:rPr>
          <w:rFonts w:ascii="Palatino Linotype" w:hAnsi="Palatino Linotype"/>
          <w:shd w:val="clear" w:color="auto" w:fill="FFFFFF"/>
        </w:rPr>
        <w:t>vigésimo, vigésimo primero y vigésimo segundo</w:t>
      </w:r>
      <w:r w:rsidR="00077347" w:rsidRPr="0040233B">
        <w:rPr>
          <w:rFonts w:ascii="Palatino Linotype" w:hAnsi="Palatino Linotype"/>
          <w:shd w:val="clear" w:color="auto" w:fill="FFFFFF"/>
        </w:rPr>
        <w:t xml:space="preserve"> </w:t>
      </w:r>
      <w:r w:rsidR="00D371C6" w:rsidRPr="0040233B">
        <w:rPr>
          <w:rFonts w:ascii="Palatino Linotype" w:hAnsi="Palatino Linotype"/>
          <w:shd w:val="clear" w:color="auto" w:fill="FFFFFF"/>
        </w:rPr>
        <w:t xml:space="preserve">fracción IV y V </w:t>
      </w:r>
      <w:r w:rsidRPr="0040233B">
        <w:rPr>
          <w:rFonts w:ascii="Palatino Linotype" w:hAnsi="Palatino Linotype"/>
          <w:shd w:val="clear" w:color="auto" w:fill="FFFFFF"/>
        </w:rPr>
        <w:t>de la Constitución Política del Estado Libre y Soberano de México; 1,</w:t>
      </w:r>
      <w:r w:rsidR="00551BA4" w:rsidRPr="0040233B">
        <w:rPr>
          <w:rFonts w:ascii="Palatino Linotype" w:hAnsi="Palatino Linotype"/>
          <w:shd w:val="clear" w:color="auto" w:fill="FFFFFF"/>
        </w:rPr>
        <w:t xml:space="preserve"> </w:t>
      </w:r>
      <w:r w:rsidR="00E34890" w:rsidRPr="0040233B">
        <w:rPr>
          <w:rFonts w:ascii="Palatino Linotype" w:hAnsi="Palatino Linotype"/>
          <w:shd w:val="clear" w:color="auto" w:fill="FFFFFF"/>
        </w:rPr>
        <w:t>2, fracción II</w:t>
      </w:r>
      <w:r w:rsidR="00551BA4" w:rsidRPr="0040233B">
        <w:rPr>
          <w:rFonts w:ascii="Palatino Linotype" w:hAnsi="Palatino Linotype"/>
          <w:shd w:val="clear" w:color="auto" w:fill="FFFFFF"/>
        </w:rPr>
        <w:t>;</w:t>
      </w:r>
      <w:r w:rsidR="00E34890" w:rsidRPr="0040233B">
        <w:rPr>
          <w:rFonts w:ascii="Palatino Linotype" w:hAnsi="Palatino Linotype"/>
          <w:shd w:val="clear" w:color="auto" w:fill="FFFFFF"/>
        </w:rPr>
        <w:t xml:space="preserve"> 13, </w:t>
      </w:r>
      <w:r w:rsidRPr="0040233B">
        <w:rPr>
          <w:rFonts w:ascii="Palatino Linotype" w:hAnsi="Palatino Linotype"/>
          <w:shd w:val="clear" w:color="auto" w:fill="FFFFFF"/>
        </w:rPr>
        <w:t xml:space="preserve"> 29, 36, fracciones I</w:t>
      </w:r>
      <w:r w:rsidR="005A232E" w:rsidRPr="0040233B">
        <w:rPr>
          <w:rFonts w:ascii="Palatino Linotype" w:hAnsi="Palatino Linotype"/>
          <w:shd w:val="clear" w:color="auto" w:fill="FFFFFF"/>
        </w:rPr>
        <w:t xml:space="preserve"> y II;</w:t>
      </w:r>
      <w:r w:rsidRPr="0040233B">
        <w:rPr>
          <w:rFonts w:ascii="Palatino Linotype" w:hAnsi="Palatino Linotype"/>
          <w:shd w:val="clear" w:color="auto" w:fill="FFFFFF"/>
        </w:rPr>
        <w:t xml:space="preserve"> 176,</w:t>
      </w:r>
      <w:r w:rsidR="004D5FEF" w:rsidRPr="0040233B">
        <w:rPr>
          <w:rFonts w:ascii="Palatino Linotype" w:hAnsi="Palatino Linotype"/>
          <w:shd w:val="clear" w:color="auto" w:fill="FFFFFF"/>
        </w:rPr>
        <w:t xml:space="preserve"> 178,</w:t>
      </w:r>
      <w:r w:rsidRPr="0040233B">
        <w:rPr>
          <w:rFonts w:ascii="Palatino Linotype" w:hAnsi="Palatino Linotype"/>
          <w:shd w:val="clear" w:color="auto" w:fill="FFFFFF"/>
        </w:rPr>
        <w:t xml:space="preserve"> 179, </w:t>
      </w:r>
      <w:r w:rsidR="004D5FEF" w:rsidRPr="0040233B">
        <w:rPr>
          <w:rFonts w:ascii="Palatino Linotype" w:hAnsi="Palatino Linotype"/>
          <w:shd w:val="clear" w:color="auto" w:fill="FFFFFF"/>
        </w:rPr>
        <w:t xml:space="preserve">181 párrafo 3 y </w:t>
      </w:r>
      <w:r w:rsidRPr="0040233B">
        <w:rPr>
          <w:rFonts w:ascii="Palatino Linotype" w:hAnsi="Palatino Linotype"/>
          <w:shd w:val="clear" w:color="auto" w:fill="FFFFFF"/>
        </w:rPr>
        <w:t>185</w:t>
      </w:r>
      <w:r w:rsidR="004D5FEF" w:rsidRPr="0040233B">
        <w:rPr>
          <w:rFonts w:ascii="Palatino Linotype" w:hAnsi="Palatino Linotype"/>
          <w:shd w:val="clear" w:color="auto" w:fill="FFFFFF"/>
        </w:rPr>
        <w:t xml:space="preserve"> </w:t>
      </w:r>
      <w:r w:rsidRPr="0040233B">
        <w:rPr>
          <w:rFonts w:ascii="Palatino Linotype" w:hAnsi="Palatino Linotype"/>
          <w:shd w:val="clear" w:color="auto" w:fill="FFFFFF"/>
        </w:rPr>
        <w:t xml:space="preserve">de la Ley Transparencia y Acceso a la Información Pública </w:t>
      </w:r>
      <w:r w:rsidR="0010152C">
        <w:rPr>
          <w:rFonts w:ascii="Palatino Linotype" w:hAnsi="Palatino Linotype"/>
          <w:shd w:val="clear" w:color="auto" w:fill="FFFFFF"/>
        </w:rPr>
        <w:t xml:space="preserve">del Estado de México y </w:t>
      </w:r>
      <w:r w:rsidR="0010152C">
        <w:rPr>
          <w:rFonts w:ascii="Palatino Linotype" w:hAnsi="Palatino Linotype"/>
          <w:shd w:val="clear" w:color="auto" w:fill="FFFFFF"/>
        </w:rPr>
        <w:lastRenderedPageBreak/>
        <w:t>Municipios</w:t>
      </w:r>
      <w:r w:rsidRPr="0040233B">
        <w:rPr>
          <w:rFonts w:ascii="Palatino Linotype" w:hAnsi="Palatino Linotype"/>
          <w:shd w:val="clear" w:color="auto" w:fill="FFFFFF"/>
        </w:rPr>
        <w:t>;</w:t>
      </w:r>
      <w:r w:rsidR="00EB49F3">
        <w:rPr>
          <w:rStyle w:val="apple-converted-space"/>
          <w:rFonts w:ascii="Palatino Linotype" w:hAnsi="Palatino Linotype"/>
          <w:shd w:val="clear" w:color="auto" w:fill="FFFFFF"/>
        </w:rPr>
        <w:t xml:space="preserve"> 9 fracciones I, XXIV y 11</w:t>
      </w:r>
      <w:r w:rsidR="005408FA">
        <w:rPr>
          <w:rStyle w:val="apple-converted-space"/>
          <w:rFonts w:ascii="Palatino Linotype" w:hAnsi="Palatino Linotype"/>
          <w:shd w:val="clear" w:color="auto" w:fill="FFFFFF"/>
        </w:rPr>
        <w:t xml:space="preserve"> </w:t>
      </w:r>
      <w:r w:rsidRPr="0040233B">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652B712A" w14:textId="77777777" w:rsidR="00945D23" w:rsidRPr="0040233B" w:rsidRDefault="00945D23" w:rsidP="008E7698">
      <w:pPr>
        <w:spacing w:before="240" w:after="240" w:line="360" w:lineRule="auto"/>
        <w:jc w:val="both"/>
        <w:rPr>
          <w:rFonts w:ascii="Palatino Linotype" w:hAnsi="Palatino Linotype" w:cs="Arial"/>
          <w:b/>
        </w:rPr>
      </w:pPr>
    </w:p>
    <w:p w14:paraId="658122E9" w14:textId="574FC785" w:rsidR="00CE4CC9" w:rsidRDefault="00DF134A" w:rsidP="00CE4CC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CE4CC9">
        <w:rPr>
          <w:rFonts w:ascii="Palatino Linotype" w:hAnsi="Palatino Linotype" w:cs="Arial"/>
          <w:b/>
          <w:sz w:val="28"/>
          <w:szCs w:val="28"/>
        </w:rPr>
        <w:t xml:space="preserve">SEGUNDO. Oportunidad y </w:t>
      </w:r>
      <w:proofErr w:type="spellStart"/>
      <w:r w:rsidRPr="00CE4CC9">
        <w:rPr>
          <w:rFonts w:ascii="Palatino Linotype" w:hAnsi="Palatino Linotype" w:cs="Arial"/>
          <w:b/>
          <w:sz w:val="28"/>
          <w:szCs w:val="28"/>
        </w:rPr>
        <w:t>Procediblidad</w:t>
      </w:r>
      <w:proofErr w:type="spellEnd"/>
      <w:r w:rsidRPr="00CE4CC9">
        <w:rPr>
          <w:rFonts w:ascii="Palatino Linotype" w:hAnsi="Palatino Linotype" w:cs="Arial"/>
          <w:b/>
          <w:sz w:val="28"/>
          <w:szCs w:val="28"/>
        </w:rPr>
        <w:t xml:space="preserve"> del Recurso de Revisión.</w:t>
      </w:r>
      <w:r w:rsidRPr="0040233B">
        <w:rPr>
          <w:rFonts w:ascii="Palatino Linotype" w:hAnsi="Palatino Linotype" w:cs="Arial"/>
          <w:b/>
        </w:rPr>
        <w:t xml:space="preserve"> </w:t>
      </w:r>
      <w:r w:rsidR="00E207FE">
        <w:rPr>
          <w:rFonts w:ascii="Palatino Linotype" w:hAnsi="Palatino Linotype" w:cs="Arial"/>
        </w:rPr>
        <w:t xml:space="preserve">Previo </w:t>
      </w:r>
      <w:r w:rsidR="00CE4CC9">
        <w:rPr>
          <w:rFonts w:ascii="Palatino Linotype" w:hAnsi="Palatino Linotype" w:cs="Arial"/>
        </w:rPr>
        <w:t xml:space="preserve">al </w:t>
      </w:r>
      <w:r w:rsidRPr="0040233B">
        <w:rPr>
          <w:rFonts w:ascii="Palatino Linotype" w:hAnsi="Palatino Linotype" w:cs="Arial"/>
        </w:rPr>
        <w:t>es</w:t>
      </w:r>
      <w:r w:rsidR="00B006A9">
        <w:rPr>
          <w:rFonts w:ascii="Palatino Linotype" w:hAnsi="Palatino Linotype" w:cs="Arial"/>
        </w:rPr>
        <w:t xml:space="preserve">tudio del fondo del asunto, </w:t>
      </w:r>
      <w:r w:rsidR="00CE4CC9">
        <w:rPr>
          <w:rFonts w:ascii="Palatino Linotype" w:hAnsi="Palatino Linotype" w:cs="Arial"/>
        </w:rPr>
        <w:t xml:space="preserve">se procede a analizar los requisitos de oportunidad y </w:t>
      </w:r>
      <w:proofErr w:type="spellStart"/>
      <w:r w:rsidR="00CE4CC9">
        <w:rPr>
          <w:rFonts w:ascii="Palatino Linotype" w:hAnsi="Palatino Linotype" w:cs="Arial"/>
        </w:rPr>
        <w:t>procedibilidad</w:t>
      </w:r>
      <w:proofErr w:type="spellEnd"/>
      <w:r w:rsidR="00CE4CC9">
        <w:rPr>
          <w:rFonts w:ascii="Palatino Linotype" w:hAnsi="Palatino Linotype" w:cs="Arial"/>
        </w:rPr>
        <w:t xml:space="preserve"> que debe reunir el recurso de revisión, previstos en los artículos 178 y 180 de la Ley de Transparencia y Acceso a la Información Pública del Estado de México y Municipios.</w:t>
      </w:r>
    </w:p>
    <w:p w14:paraId="45A24001" w14:textId="77777777" w:rsidR="00CE4CC9" w:rsidRPr="007F1AC9" w:rsidRDefault="00CE4CC9" w:rsidP="00CE4CC9">
      <w:pPr>
        <w:pStyle w:val="Prrafodelista"/>
        <w:widowControl w:val="0"/>
        <w:autoSpaceDE w:val="0"/>
        <w:autoSpaceDN w:val="0"/>
        <w:adjustRightInd w:val="0"/>
        <w:spacing w:before="120" w:after="120" w:line="360" w:lineRule="auto"/>
        <w:ind w:left="0"/>
        <w:jc w:val="both"/>
        <w:rPr>
          <w:rFonts w:ascii="Palatino Linotype" w:hAnsi="Palatino Linotype" w:cs="Arial"/>
          <w:color w:val="000000"/>
        </w:rPr>
      </w:pPr>
      <w:r w:rsidRPr="005E597C">
        <w:rPr>
          <w:rFonts w:ascii="Palatino Linotype" w:hAnsi="Palatino Linotype" w:cs="Arial"/>
        </w:rPr>
        <w:t xml:space="preserve">Primeramente, </w:t>
      </w:r>
      <w:r>
        <w:rPr>
          <w:rFonts w:ascii="Palatino Linotype" w:hAnsi="Palatino Linotype" w:cs="Arial"/>
        </w:rPr>
        <w:t xml:space="preserve">es de precisar que la Ley de Transparencia </w:t>
      </w:r>
      <w:r w:rsidRPr="007F1AC9">
        <w:rPr>
          <w:rFonts w:ascii="Palatino Linotype" w:hAnsi="Palatino Linotype" w:cs="Arial"/>
          <w:color w:val="000000"/>
        </w:rPr>
        <w:t>y</w:t>
      </w:r>
      <w:r>
        <w:rPr>
          <w:rFonts w:ascii="Palatino Linotype" w:hAnsi="Palatino Linotype" w:cs="Arial"/>
          <w:color w:val="000000"/>
        </w:rPr>
        <w:t xml:space="preserve"> </w:t>
      </w:r>
      <w:r w:rsidRPr="007F1AC9">
        <w:rPr>
          <w:rFonts w:ascii="Palatino Linotype" w:hAnsi="Palatino Linotype" w:cs="Arial"/>
          <w:color w:val="000000"/>
        </w:rPr>
        <w:t>Acceso</w:t>
      </w:r>
      <w:r>
        <w:rPr>
          <w:rFonts w:ascii="Palatino Linotype" w:hAnsi="Palatino Linotype" w:cs="Arial"/>
          <w:color w:val="000000"/>
        </w:rPr>
        <w:t xml:space="preserve"> </w:t>
      </w:r>
      <w:r w:rsidRPr="007F1AC9">
        <w:rPr>
          <w:rFonts w:ascii="Palatino Linotype" w:hAnsi="Palatino Linotype" w:cs="Arial"/>
          <w:color w:val="000000"/>
        </w:rPr>
        <w:t>a</w:t>
      </w:r>
      <w:r>
        <w:rPr>
          <w:rFonts w:ascii="Palatino Linotype" w:hAnsi="Palatino Linotype" w:cs="Arial"/>
          <w:color w:val="000000"/>
        </w:rPr>
        <w:t xml:space="preserve"> </w:t>
      </w:r>
      <w:r w:rsidRPr="007F1AC9">
        <w:rPr>
          <w:rFonts w:ascii="Palatino Linotype" w:hAnsi="Palatino Linotype" w:cs="Arial"/>
          <w:color w:val="000000"/>
        </w:rPr>
        <w:t>la</w:t>
      </w:r>
      <w:r>
        <w:rPr>
          <w:rFonts w:ascii="Palatino Linotype" w:hAnsi="Palatino Linotype" w:cs="Arial"/>
          <w:color w:val="000000"/>
        </w:rPr>
        <w:t xml:space="preserve"> </w:t>
      </w:r>
      <w:r w:rsidRPr="007F1AC9">
        <w:rPr>
          <w:rFonts w:ascii="Palatino Linotype" w:hAnsi="Palatino Linotype" w:cs="Arial"/>
          <w:color w:val="000000"/>
        </w:rPr>
        <w:t>Información</w:t>
      </w:r>
      <w:r>
        <w:rPr>
          <w:rFonts w:ascii="Palatino Linotype" w:hAnsi="Palatino Linotype" w:cs="Arial"/>
          <w:color w:val="000000"/>
        </w:rPr>
        <w:t xml:space="preserve"> </w:t>
      </w:r>
      <w:r w:rsidRPr="007F1AC9">
        <w:rPr>
          <w:rFonts w:ascii="Palatino Linotype" w:hAnsi="Palatino Linotype" w:cs="Arial"/>
          <w:color w:val="000000"/>
        </w:rPr>
        <w:t>Pública</w:t>
      </w:r>
      <w:r>
        <w:rPr>
          <w:rFonts w:ascii="Palatino Linotype" w:hAnsi="Palatino Linotype" w:cs="Arial"/>
          <w:color w:val="000000"/>
        </w:rPr>
        <w:t xml:space="preserve"> </w:t>
      </w:r>
      <w:r w:rsidRPr="007F1AC9">
        <w:rPr>
          <w:rFonts w:ascii="Palatino Linotype" w:hAnsi="Palatino Linotype" w:cs="Arial"/>
          <w:color w:val="000000"/>
        </w:rPr>
        <w:t>del</w:t>
      </w:r>
      <w:r>
        <w:rPr>
          <w:rFonts w:ascii="Palatino Linotype" w:hAnsi="Palatino Linotype" w:cs="Arial"/>
          <w:color w:val="000000"/>
        </w:rPr>
        <w:t xml:space="preserve"> </w:t>
      </w:r>
      <w:r w:rsidRPr="007F1AC9">
        <w:rPr>
          <w:rFonts w:ascii="Palatino Linotype" w:hAnsi="Palatino Linotype" w:cs="Arial"/>
          <w:color w:val="000000"/>
        </w:rPr>
        <w:t>Estado</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México</w:t>
      </w:r>
      <w:r>
        <w:rPr>
          <w:rFonts w:ascii="Palatino Linotype" w:hAnsi="Palatino Linotype" w:cs="Arial"/>
          <w:color w:val="000000"/>
        </w:rPr>
        <w:t xml:space="preserve"> </w:t>
      </w:r>
      <w:r w:rsidRPr="007F1AC9">
        <w:rPr>
          <w:rFonts w:ascii="Palatino Linotype" w:hAnsi="Palatino Linotype" w:cs="Arial"/>
          <w:color w:val="000000"/>
        </w:rPr>
        <w:t>y</w:t>
      </w:r>
      <w:r>
        <w:rPr>
          <w:rFonts w:ascii="Palatino Linotype" w:hAnsi="Palatino Linotype" w:cs="Arial"/>
          <w:color w:val="000000"/>
        </w:rPr>
        <w:t xml:space="preserve"> </w:t>
      </w:r>
      <w:r w:rsidRPr="007F1AC9">
        <w:rPr>
          <w:rFonts w:ascii="Palatino Linotype" w:hAnsi="Palatino Linotype" w:cs="Arial"/>
          <w:color w:val="000000"/>
        </w:rPr>
        <w:t>Municipios,</w:t>
      </w:r>
      <w:r>
        <w:rPr>
          <w:rFonts w:ascii="Palatino Linotype" w:hAnsi="Palatino Linotype" w:cs="Arial"/>
          <w:color w:val="000000"/>
        </w:rPr>
        <w:t xml:space="preserve"> </w:t>
      </w:r>
      <w:r w:rsidRPr="007F1AC9">
        <w:rPr>
          <w:rFonts w:ascii="Palatino Linotype" w:hAnsi="Palatino Linotype" w:cs="Arial"/>
          <w:color w:val="000000"/>
        </w:rPr>
        <w:t>describe</w:t>
      </w:r>
      <w:r>
        <w:rPr>
          <w:rFonts w:ascii="Palatino Linotype" w:hAnsi="Palatino Linotype" w:cs="Arial"/>
          <w:color w:val="000000"/>
        </w:rPr>
        <w:t xml:space="preserve"> </w:t>
      </w:r>
      <w:r w:rsidRPr="007F1AC9">
        <w:rPr>
          <w:rFonts w:ascii="Palatino Linotype" w:hAnsi="Palatino Linotype" w:cs="Arial"/>
          <w:color w:val="000000"/>
        </w:rPr>
        <w:t>el</w:t>
      </w:r>
      <w:r>
        <w:rPr>
          <w:rFonts w:ascii="Palatino Linotype" w:hAnsi="Palatino Linotype" w:cs="Arial"/>
          <w:color w:val="000000"/>
        </w:rPr>
        <w:t xml:space="preserve"> </w:t>
      </w:r>
      <w:r w:rsidRPr="00D92984">
        <w:rPr>
          <w:rFonts w:ascii="Palatino Linotype" w:hAnsi="Palatino Linotype" w:cs="Arial"/>
        </w:rPr>
        <w:t>mecanismo</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procedencia</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los</w:t>
      </w:r>
      <w:r>
        <w:rPr>
          <w:rFonts w:ascii="Palatino Linotype" w:hAnsi="Palatino Linotype" w:cs="Arial"/>
          <w:color w:val="000000"/>
        </w:rPr>
        <w:t xml:space="preserve"> </w:t>
      </w:r>
      <w:r w:rsidRPr="007F1AC9">
        <w:rPr>
          <w:rFonts w:ascii="Palatino Linotype" w:hAnsi="Palatino Linotype" w:cs="Arial"/>
          <w:color w:val="000000"/>
        </w:rPr>
        <w:t>recursos</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revisión,</w:t>
      </w:r>
      <w:r>
        <w:rPr>
          <w:rFonts w:ascii="Palatino Linotype" w:hAnsi="Palatino Linotype" w:cs="Arial"/>
          <w:color w:val="000000"/>
        </w:rPr>
        <w:t xml:space="preserve"> en ese sentido en su artículo 163 prevé lo </w:t>
      </w:r>
      <w:r w:rsidRPr="007F1AC9">
        <w:rPr>
          <w:rFonts w:ascii="Palatino Linotype" w:hAnsi="Palatino Linotype" w:cs="Arial"/>
          <w:color w:val="000000"/>
        </w:rPr>
        <w:t>siguiente:</w:t>
      </w:r>
    </w:p>
    <w:p w14:paraId="7C7E4332" w14:textId="77777777" w:rsidR="00CE4CC9" w:rsidRPr="00B006A9" w:rsidRDefault="00CE4CC9" w:rsidP="00CE4CC9">
      <w:pPr>
        <w:spacing w:before="120" w:after="240"/>
        <w:ind w:left="851" w:right="902"/>
        <w:jc w:val="both"/>
        <w:rPr>
          <w:rFonts w:ascii="Palatino Linotype" w:hAnsi="Palatino Linotype" w:cs="Arial"/>
          <w:i/>
          <w:color w:val="000000"/>
          <w:sz w:val="20"/>
          <w:szCs w:val="20"/>
        </w:rPr>
      </w:pPr>
      <w:r w:rsidRPr="00B006A9">
        <w:rPr>
          <w:rFonts w:ascii="Palatino Linotype" w:hAnsi="Palatino Linotype" w:cs="Arial"/>
          <w:b/>
          <w:i/>
          <w:color w:val="000000"/>
          <w:sz w:val="20"/>
          <w:szCs w:val="20"/>
        </w:rPr>
        <w:t>“Artículo 163.</w:t>
      </w:r>
      <w:r w:rsidRPr="00B006A9">
        <w:rPr>
          <w:rFonts w:ascii="Palatino Linotype" w:hAnsi="Palatino Linotype" w:cs="Arial"/>
          <w:i/>
          <w:color w:val="000000"/>
          <w:sz w:val="20"/>
          <w:szCs w:val="20"/>
        </w:rPr>
        <w:t xml:space="preserve"> La Unidad de Transparencia deberá notificar la respuesta a la solicitud al interesado en el menor tiempo posible, que no podrá exceder de quince días hábiles, contados a partir del día siguiente a la presentación de aquélla.</w:t>
      </w:r>
    </w:p>
    <w:p w14:paraId="12E4D764" w14:textId="77777777" w:rsidR="00CE4CC9" w:rsidRPr="00B006A9" w:rsidRDefault="00CE4CC9" w:rsidP="00CE4CC9">
      <w:pPr>
        <w:spacing w:before="120" w:after="240"/>
        <w:ind w:left="851" w:right="902"/>
        <w:jc w:val="both"/>
        <w:rPr>
          <w:rFonts w:ascii="Palatino Linotype" w:hAnsi="Palatino Linotype" w:cs="Arial"/>
          <w:i/>
          <w:color w:val="000000"/>
          <w:sz w:val="20"/>
          <w:szCs w:val="20"/>
        </w:rPr>
      </w:pPr>
      <w:r w:rsidRPr="00B006A9">
        <w:rPr>
          <w:rFonts w:ascii="Palatino Linotype" w:hAnsi="Palatino Linotype" w:cs="Arial"/>
          <w:i/>
          <w:sz w:val="20"/>
          <w:szCs w:val="20"/>
          <w:lang w:eastAsia="es-MX"/>
        </w:rPr>
        <w:t>Excepcionalmente</w:t>
      </w:r>
      <w:r w:rsidRPr="00B006A9">
        <w:rPr>
          <w:rFonts w:ascii="Palatino Linotype" w:hAnsi="Palatino Linotype" w:cs="Arial"/>
          <w:i/>
          <w:color w:val="000000"/>
          <w:sz w:val="20"/>
          <w:szCs w:val="20"/>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027E57A" w14:textId="459B6478" w:rsidR="00CE4CC9" w:rsidRDefault="00CE4CC9" w:rsidP="00CE4CC9">
      <w:pPr>
        <w:pStyle w:val="Prrafodelista"/>
        <w:widowControl w:val="0"/>
        <w:autoSpaceDE w:val="0"/>
        <w:autoSpaceDN w:val="0"/>
        <w:adjustRightInd w:val="0"/>
        <w:spacing w:before="120" w:after="120" w:line="360" w:lineRule="auto"/>
        <w:ind w:left="0"/>
        <w:jc w:val="both"/>
        <w:rPr>
          <w:rFonts w:ascii="Palatino Linotype" w:hAnsi="Palatino Linotype" w:cs="Arial"/>
          <w:color w:val="000000"/>
        </w:rPr>
      </w:pPr>
      <w:r w:rsidRPr="007F1AC9">
        <w:rPr>
          <w:rFonts w:ascii="Palatino Linotype" w:hAnsi="Palatino Linotype" w:cs="Arial"/>
          <w:color w:val="000000"/>
        </w:rPr>
        <w:t>De</w:t>
      </w:r>
      <w:r>
        <w:rPr>
          <w:rFonts w:ascii="Palatino Linotype" w:hAnsi="Palatino Linotype" w:cs="Arial"/>
          <w:color w:val="000000"/>
        </w:rPr>
        <w:t xml:space="preserve">l precepto legal inserto </w:t>
      </w:r>
      <w:r w:rsidRPr="007F1AC9">
        <w:rPr>
          <w:rFonts w:ascii="Palatino Linotype" w:hAnsi="Palatino Linotype" w:cs="Arial"/>
          <w:color w:val="000000"/>
        </w:rPr>
        <w:t>se</w:t>
      </w:r>
      <w:r>
        <w:rPr>
          <w:rFonts w:ascii="Palatino Linotype" w:hAnsi="Palatino Linotype" w:cs="Arial"/>
          <w:color w:val="000000"/>
        </w:rPr>
        <w:t xml:space="preserve"> advierte </w:t>
      </w:r>
      <w:r w:rsidRPr="007F1AC9">
        <w:rPr>
          <w:rFonts w:ascii="Palatino Linotype" w:hAnsi="Palatino Linotype" w:cs="Arial"/>
          <w:color w:val="000000"/>
        </w:rPr>
        <w:t>que</w:t>
      </w:r>
      <w:r>
        <w:rPr>
          <w:rFonts w:ascii="Palatino Linotype" w:hAnsi="Palatino Linotype" w:cs="Arial"/>
          <w:color w:val="000000"/>
        </w:rPr>
        <w:t xml:space="preserve"> </w:t>
      </w:r>
      <w:r w:rsidRPr="007F1AC9">
        <w:rPr>
          <w:rFonts w:ascii="Palatino Linotype" w:hAnsi="Palatino Linotype" w:cs="Arial"/>
          <w:color w:val="000000"/>
        </w:rPr>
        <w:t>el</w:t>
      </w:r>
      <w:r>
        <w:rPr>
          <w:rFonts w:ascii="Palatino Linotype" w:hAnsi="Palatino Linotype" w:cs="Arial"/>
          <w:color w:val="000000"/>
        </w:rPr>
        <w:t xml:space="preserve"> </w:t>
      </w:r>
      <w:r w:rsidRPr="007F1AC9">
        <w:rPr>
          <w:rFonts w:ascii="Palatino Linotype" w:hAnsi="Palatino Linotype" w:cs="Arial"/>
          <w:color w:val="000000"/>
        </w:rPr>
        <w:t>plazo</w:t>
      </w:r>
      <w:r>
        <w:rPr>
          <w:rFonts w:ascii="Palatino Linotype" w:hAnsi="Palatino Linotype" w:cs="Arial"/>
          <w:color w:val="000000"/>
        </w:rPr>
        <w:t xml:space="preserve"> </w:t>
      </w:r>
      <w:r w:rsidRPr="007F1AC9">
        <w:rPr>
          <w:rFonts w:ascii="Palatino Linotype" w:hAnsi="Palatino Linotype" w:cs="Arial"/>
          <w:color w:val="000000"/>
        </w:rPr>
        <w:t>que</w:t>
      </w:r>
      <w:r>
        <w:rPr>
          <w:rFonts w:ascii="Palatino Linotype" w:hAnsi="Palatino Linotype" w:cs="Arial"/>
          <w:color w:val="000000"/>
        </w:rPr>
        <w:t xml:space="preserve"> </w:t>
      </w:r>
      <w:r w:rsidRPr="007F1AC9">
        <w:rPr>
          <w:rFonts w:ascii="Palatino Linotype" w:hAnsi="Palatino Linotype" w:cs="Arial"/>
          <w:color w:val="000000"/>
        </w:rPr>
        <w:t>le</w:t>
      </w:r>
      <w:r>
        <w:rPr>
          <w:rFonts w:ascii="Palatino Linotype" w:hAnsi="Palatino Linotype" w:cs="Arial"/>
          <w:color w:val="000000"/>
        </w:rPr>
        <w:t xml:space="preserve"> </w:t>
      </w:r>
      <w:r w:rsidRPr="007F1AC9">
        <w:rPr>
          <w:rFonts w:ascii="Palatino Linotype" w:hAnsi="Palatino Linotype" w:cs="Arial"/>
          <w:color w:val="000000"/>
        </w:rPr>
        <w:t>asiste</w:t>
      </w:r>
      <w:r>
        <w:rPr>
          <w:rFonts w:ascii="Palatino Linotype" w:hAnsi="Palatino Linotype" w:cs="Arial"/>
          <w:color w:val="000000"/>
        </w:rPr>
        <w:t xml:space="preserve"> </w:t>
      </w:r>
      <w:r w:rsidRPr="007F1AC9">
        <w:rPr>
          <w:rFonts w:ascii="Palatino Linotype" w:hAnsi="Palatino Linotype" w:cs="Arial"/>
          <w:color w:val="000000"/>
        </w:rPr>
        <w:t>a</w:t>
      </w:r>
      <w:r>
        <w:rPr>
          <w:rFonts w:ascii="Palatino Linotype" w:hAnsi="Palatino Linotype" w:cs="Arial"/>
          <w:color w:val="000000"/>
        </w:rPr>
        <w:t xml:space="preserve"> </w:t>
      </w:r>
      <w:r w:rsidRPr="007F1AC9">
        <w:rPr>
          <w:rFonts w:ascii="Palatino Linotype" w:hAnsi="Palatino Linotype" w:cs="Arial"/>
          <w:color w:val="000000"/>
        </w:rPr>
        <w:t>los</w:t>
      </w:r>
      <w:r>
        <w:rPr>
          <w:rFonts w:ascii="Palatino Linotype" w:hAnsi="Palatino Linotype" w:cs="Arial"/>
          <w:color w:val="000000"/>
        </w:rPr>
        <w:t xml:space="preserve"> s</w:t>
      </w:r>
      <w:r w:rsidRPr="007F1AC9">
        <w:rPr>
          <w:rFonts w:ascii="Palatino Linotype" w:hAnsi="Palatino Linotype" w:cs="Arial"/>
          <w:color w:val="000000"/>
        </w:rPr>
        <w:t>ujetos</w:t>
      </w:r>
      <w:r>
        <w:rPr>
          <w:rFonts w:ascii="Palatino Linotype" w:hAnsi="Palatino Linotype" w:cs="Arial"/>
          <w:color w:val="000000"/>
        </w:rPr>
        <w:t xml:space="preserve"> o</w:t>
      </w:r>
      <w:r w:rsidRPr="007F1AC9">
        <w:rPr>
          <w:rFonts w:ascii="Palatino Linotype" w:hAnsi="Palatino Linotype" w:cs="Arial"/>
          <w:color w:val="000000"/>
        </w:rPr>
        <w:t>bligados</w:t>
      </w:r>
      <w:r>
        <w:rPr>
          <w:rFonts w:ascii="Palatino Linotype" w:hAnsi="Palatino Linotype" w:cs="Arial"/>
          <w:color w:val="000000"/>
        </w:rPr>
        <w:t xml:space="preserve"> </w:t>
      </w:r>
      <w:r w:rsidRPr="007F1AC9">
        <w:rPr>
          <w:rFonts w:ascii="Palatino Linotype" w:hAnsi="Palatino Linotype" w:cs="Arial"/>
          <w:color w:val="000000"/>
        </w:rPr>
        <w:t>para</w:t>
      </w:r>
      <w:r>
        <w:rPr>
          <w:rFonts w:ascii="Palatino Linotype" w:hAnsi="Palatino Linotype" w:cs="Arial"/>
          <w:color w:val="000000"/>
        </w:rPr>
        <w:t xml:space="preserve"> notificar </w:t>
      </w:r>
      <w:r w:rsidRPr="007F1AC9">
        <w:rPr>
          <w:rFonts w:ascii="Palatino Linotype" w:hAnsi="Palatino Linotype" w:cs="Arial"/>
          <w:color w:val="000000"/>
        </w:rPr>
        <w:t>la</w:t>
      </w:r>
      <w:r>
        <w:rPr>
          <w:rFonts w:ascii="Palatino Linotype" w:hAnsi="Palatino Linotype" w:cs="Arial"/>
          <w:color w:val="000000"/>
        </w:rPr>
        <w:t xml:space="preserve"> </w:t>
      </w:r>
      <w:r w:rsidRPr="007F1AC9">
        <w:rPr>
          <w:rFonts w:ascii="Palatino Linotype" w:hAnsi="Palatino Linotype" w:cs="Arial"/>
          <w:color w:val="000000"/>
        </w:rPr>
        <w:t>respuesta</w:t>
      </w:r>
      <w:r>
        <w:rPr>
          <w:rFonts w:ascii="Palatino Linotype" w:hAnsi="Palatino Linotype" w:cs="Arial"/>
          <w:color w:val="000000"/>
        </w:rPr>
        <w:t xml:space="preserve"> </w:t>
      </w:r>
      <w:r w:rsidRPr="007F1AC9">
        <w:rPr>
          <w:rFonts w:ascii="Palatino Linotype" w:hAnsi="Palatino Linotype" w:cs="Arial"/>
          <w:color w:val="000000"/>
        </w:rPr>
        <w:t>a</w:t>
      </w:r>
      <w:r>
        <w:rPr>
          <w:rFonts w:ascii="Palatino Linotype" w:hAnsi="Palatino Linotype" w:cs="Arial"/>
          <w:color w:val="000000"/>
        </w:rPr>
        <w:t xml:space="preserve"> </w:t>
      </w:r>
      <w:r w:rsidRPr="007F1AC9">
        <w:rPr>
          <w:rFonts w:ascii="Palatino Linotype" w:hAnsi="Palatino Linotype" w:cs="Arial"/>
          <w:color w:val="000000"/>
        </w:rPr>
        <w:t>una</w:t>
      </w:r>
      <w:r>
        <w:rPr>
          <w:rFonts w:ascii="Palatino Linotype" w:hAnsi="Palatino Linotype" w:cs="Arial"/>
          <w:color w:val="000000"/>
        </w:rPr>
        <w:t xml:space="preserve"> </w:t>
      </w:r>
      <w:r w:rsidRPr="007F1AC9">
        <w:rPr>
          <w:rFonts w:ascii="Palatino Linotype" w:hAnsi="Palatino Linotype" w:cs="Arial"/>
          <w:color w:val="000000"/>
        </w:rPr>
        <w:t>solicitud</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información</w:t>
      </w:r>
      <w:r>
        <w:rPr>
          <w:rFonts w:ascii="Palatino Linotype" w:hAnsi="Palatino Linotype" w:cs="Arial"/>
          <w:color w:val="000000"/>
        </w:rPr>
        <w:t xml:space="preserve"> </w:t>
      </w:r>
      <w:r w:rsidRPr="007F1AC9">
        <w:rPr>
          <w:rFonts w:ascii="Palatino Linotype" w:hAnsi="Palatino Linotype" w:cs="Arial"/>
          <w:color w:val="000000"/>
        </w:rPr>
        <w:t>pública</w:t>
      </w:r>
      <w:r>
        <w:rPr>
          <w:rFonts w:ascii="Palatino Linotype" w:hAnsi="Palatino Linotype" w:cs="Arial"/>
          <w:color w:val="000000"/>
        </w:rPr>
        <w:t xml:space="preserve"> </w:t>
      </w:r>
      <w:r w:rsidRPr="007F1AC9">
        <w:rPr>
          <w:rFonts w:ascii="Palatino Linotype" w:hAnsi="Palatino Linotype" w:cs="Arial"/>
          <w:color w:val="000000"/>
        </w:rPr>
        <w:t>es</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quince</w:t>
      </w:r>
      <w:r>
        <w:rPr>
          <w:rFonts w:ascii="Palatino Linotype" w:hAnsi="Palatino Linotype" w:cs="Arial"/>
          <w:color w:val="000000"/>
        </w:rPr>
        <w:t xml:space="preserve"> </w:t>
      </w:r>
      <w:r w:rsidRPr="007F1AC9">
        <w:rPr>
          <w:rFonts w:ascii="Palatino Linotype" w:hAnsi="Palatino Linotype" w:cs="Arial"/>
          <w:color w:val="000000"/>
        </w:rPr>
        <w:t>días</w:t>
      </w:r>
      <w:r>
        <w:rPr>
          <w:rFonts w:ascii="Palatino Linotype" w:hAnsi="Palatino Linotype" w:cs="Arial"/>
          <w:color w:val="000000"/>
        </w:rPr>
        <w:t xml:space="preserve"> </w:t>
      </w:r>
      <w:r w:rsidRPr="007F1AC9">
        <w:rPr>
          <w:rFonts w:ascii="Palatino Linotype" w:hAnsi="Palatino Linotype" w:cs="Arial"/>
          <w:color w:val="000000"/>
        </w:rPr>
        <w:t>hábiles</w:t>
      </w:r>
      <w:r>
        <w:rPr>
          <w:rFonts w:ascii="Palatino Linotype" w:hAnsi="Palatino Linotype" w:cs="Arial"/>
          <w:color w:val="000000"/>
        </w:rPr>
        <w:t xml:space="preserve"> </w:t>
      </w:r>
      <w:r w:rsidRPr="007F1AC9">
        <w:rPr>
          <w:rFonts w:ascii="Palatino Linotype" w:hAnsi="Palatino Linotype" w:cs="Arial"/>
          <w:color w:val="000000"/>
        </w:rPr>
        <w:t>poster</w:t>
      </w:r>
      <w:r>
        <w:rPr>
          <w:rFonts w:ascii="Palatino Linotype" w:hAnsi="Palatino Linotype" w:cs="Arial"/>
          <w:color w:val="000000"/>
        </w:rPr>
        <w:t>iores a la presentación de ésta.</w:t>
      </w:r>
    </w:p>
    <w:p w14:paraId="6D486FFC" w14:textId="280A95F8" w:rsidR="00CE4CC9" w:rsidRPr="005E597C" w:rsidRDefault="00CE4CC9" w:rsidP="00CE4CC9">
      <w:pPr>
        <w:spacing w:before="240" w:after="240" w:line="360" w:lineRule="auto"/>
        <w:jc w:val="both"/>
        <w:rPr>
          <w:rFonts w:ascii="Palatino Linotype" w:hAnsi="Palatino Linotype" w:cs="Arial"/>
        </w:rPr>
      </w:pPr>
      <w:r>
        <w:rPr>
          <w:rFonts w:ascii="Palatino Linotype" w:hAnsi="Palatino Linotype" w:cs="Arial"/>
        </w:rPr>
        <w:lastRenderedPageBreak/>
        <w:t xml:space="preserve">Caso contrario, se actualiza lo que en </w:t>
      </w:r>
      <w:r w:rsidRPr="005E597C">
        <w:rPr>
          <w:rFonts w:ascii="Palatino Linotype" w:hAnsi="Palatino Linotype" w:cs="Arial"/>
        </w:rPr>
        <w:t>la doctrina se conoce como negativa ficta, figura jurídica cuya esencia consiste en atribuir un efecto negativo al silencio de la autoridad administrativa frente a las instancias y solicitudes que hagan los particulares; bajo este supuesto, es importante destacar lo establecido en la Ley de Transparencia y Acceso a la Información Pública del Estado de México y Municipios, que señala en su artículo 166 párrafo cuarto:</w:t>
      </w:r>
    </w:p>
    <w:p w14:paraId="0EFCFB67" w14:textId="77777777" w:rsidR="00CE4CC9" w:rsidRPr="008F47CD" w:rsidRDefault="00CE4CC9" w:rsidP="00380791">
      <w:pPr>
        <w:spacing w:after="120"/>
        <w:ind w:left="851" w:right="902"/>
        <w:jc w:val="both"/>
        <w:rPr>
          <w:rFonts w:ascii="Palatino Linotype" w:hAnsi="Palatino Linotype" w:cs="Arial"/>
          <w:i/>
          <w:sz w:val="20"/>
          <w:szCs w:val="20"/>
          <w:lang w:val="es-MX"/>
        </w:rPr>
      </w:pPr>
      <w:r w:rsidRPr="008F47CD">
        <w:rPr>
          <w:rFonts w:ascii="Palatino Linotype" w:hAnsi="Palatino Linotype" w:cs="Arial"/>
          <w:b/>
          <w:bCs/>
          <w:i/>
          <w:sz w:val="20"/>
          <w:szCs w:val="20"/>
          <w:lang w:val="es-MX"/>
        </w:rPr>
        <w:t xml:space="preserve">“Artículo 166. </w:t>
      </w:r>
      <w:r w:rsidRPr="008F47CD">
        <w:rPr>
          <w:rFonts w:ascii="Palatino Linotype" w:hAnsi="Palatino Linotype" w:cs="Arial"/>
          <w:i/>
          <w:sz w:val="20"/>
          <w:szCs w:val="20"/>
          <w:lang w:val="es-MX"/>
        </w:rPr>
        <w:t>La obligación de acceso a la información pública se tendrá por cumplida cuando el solicitante tenga a su disposición la información requerida, o cuando realice la consulta de la misma en el lugar en el que ésta se localice.</w:t>
      </w:r>
    </w:p>
    <w:p w14:paraId="1A4564C7" w14:textId="77777777" w:rsidR="00CE4CC9" w:rsidRPr="008F47CD" w:rsidRDefault="00CE4CC9" w:rsidP="00380791">
      <w:pPr>
        <w:spacing w:after="120"/>
        <w:ind w:left="851" w:right="902"/>
        <w:jc w:val="both"/>
        <w:rPr>
          <w:rFonts w:ascii="Palatino Linotype" w:hAnsi="Palatino Linotype" w:cs="Arial"/>
          <w:i/>
          <w:sz w:val="20"/>
          <w:szCs w:val="20"/>
          <w:lang w:val="es-MX"/>
        </w:rPr>
      </w:pPr>
      <w:r w:rsidRPr="008F47CD">
        <w:rPr>
          <w:rFonts w:ascii="Palatino Linotype" w:hAnsi="Palatino Linotype" w:cs="Arial"/>
          <w:i/>
          <w:sz w:val="20"/>
          <w:szCs w:val="20"/>
          <w:lang w:val="es-MX"/>
        </w:rPr>
        <w:t>…</w:t>
      </w:r>
    </w:p>
    <w:p w14:paraId="7337EF45" w14:textId="77777777" w:rsidR="00CE4CC9" w:rsidRPr="008F47CD" w:rsidRDefault="00CE4CC9" w:rsidP="00380791">
      <w:pPr>
        <w:spacing w:after="120"/>
        <w:ind w:left="851" w:right="902"/>
        <w:jc w:val="both"/>
        <w:rPr>
          <w:rFonts w:ascii="Palatino Linotype" w:hAnsi="Palatino Linotype" w:cs="Arial"/>
          <w:i/>
          <w:sz w:val="20"/>
          <w:szCs w:val="20"/>
        </w:rPr>
      </w:pPr>
      <w:r w:rsidRPr="008F47CD">
        <w:rPr>
          <w:rFonts w:ascii="Palatino Linotype" w:hAnsi="Palatino Linotype" w:cs="Arial"/>
          <w:i/>
          <w:sz w:val="20"/>
          <w:szCs w:val="20"/>
          <w:lang w:val="es-MX"/>
        </w:rPr>
        <w:t>Cuando el sujeto obligado no entregue la respuesta a la solicitud dentro del plazo previsto en la Ley, la solicitud se entenderá negada y el solicitante podrá interponer el recurso de revisión previsto en este ordenamiento.</w:t>
      </w:r>
      <w:r w:rsidRPr="008F47CD">
        <w:rPr>
          <w:rFonts w:ascii="Palatino Linotype" w:hAnsi="Palatino Linotype" w:cs="Arial"/>
          <w:i/>
          <w:sz w:val="20"/>
          <w:szCs w:val="20"/>
        </w:rPr>
        <w:t>”</w:t>
      </w:r>
    </w:p>
    <w:p w14:paraId="42D48EBC" w14:textId="52A55C1A" w:rsidR="00CE4CC9" w:rsidRPr="001D36C6" w:rsidRDefault="00CE4CC9" w:rsidP="00CE4CC9">
      <w:pPr>
        <w:spacing w:before="240" w:after="240" w:line="360" w:lineRule="auto"/>
        <w:jc w:val="both"/>
        <w:rPr>
          <w:rFonts w:ascii="Palatino Linotype" w:hAnsi="Palatino Linotype" w:cs="Arial"/>
        </w:rPr>
      </w:pPr>
      <w:r w:rsidRPr="005E597C">
        <w:rPr>
          <w:rFonts w:ascii="Palatino Linotype" w:hAnsi="Palatino Linotype" w:cs="Arial"/>
        </w:rPr>
        <w:t>De lo anterior, se advierte que el recurso de revisión se ha de interponer dentro del plazo de quince días hábiles contados a partir del día siguiente en que el particular tiene conocimiento de la</w:t>
      </w:r>
      <w:r>
        <w:rPr>
          <w:rFonts w:ascii="Palatino Linotype" w:hAnsi="Palatino Linotype" w:cs="Arial"/>
        </w:rPr>
        <w:t xml:space="preserve"> resolució</w:t>
      </w:r>
      <w:r w:rsidRPr="005E597C">
        <w:rPr>
          <w:rFonts w:ascii="Palatino Linotype" w:hAnsi="Palatino Linotype" w:cs="Arial"/>
        </w:rPr>
        <w:t xml:space="preserve">n respectiva, a partir de la fecha en que el Sujeto Obligado da respuesta a la solicitud de información; sin embargo, tratándose de negativa ficta no existe resolución que se haga del conocimiento del particular a partir de la cual pueda computarse dicho plazo, por lo que se concluye que la interposición de los recursos de revisión </w:t>
      </w:r>
      <w:r w:rsidR="001D36C6">
        <w:rPr>
          <w:rFonts w:ascii="Palatino Linotype" w:hAnsi="Palatino Linotype" w:cs="Arial"/>
        </w:rPr>
        <w:t>pueden ser en cualquier momento</w:t>
      </w:r>
      <w:r w:rsidRPr="005E597C">
        <w:rPr>
          <w:rFonts w:ascii="Palatino Linotype" w:hAnsi="Palatino Linotype" w:cs="Arial"/>
        </w:rPr>
        <w:t>; 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14:paraId="6F74A02E" w14:textId="77777777" w:rsidR="00CE4CC9" w:rsidRPr="008F47CD" w:rsidRDefault="00CE4CC9" w:rsidP="00380791">
      <w:pPr>
        <w:spacing w:after="120"/>
        <w:ind w:left="851" w:right="902"/>
        <w:jc w:val="both"/>
        <w:rPr>
          <w:rFonts w:ascii="Palatino Linotype" w:hAnsi="Palatino Linotype" w:cs="Arial"/>
          <w:sz w:val="20"/>
          <w:szCs w:val="20"/>
        </w:rPr>
      </w:pPr>
      <w:r w:rsidRPr="008F47CD">
        <w:rPr>
          <w:rFonts w:ascii="Palatino Linotype" w:hAnsi="Palatino Linotype" w:cs="Arial"/>
          <w:b/>
          <w:i/>
          <w:sz w:val="20"/>
          <w:szCs w:val="20"/>
          <w:lang w:val="es-MX"/>
        </w:rPr>
        <w:t>“CRITERIO 0001-15 NEGATIVA FICTA. PLAZO PARA INTERPONER EL RECURSO DE REVISIÓN TRATÁNDOSE DE</w:t>
      </w:r>
      <w:r w:rsidRPr="008F47CD">
        <w:rPr>
          <w:rFonts w:ascii="Palatino Linotype" w:hAnsi="Palatino Linotype" w:cs="Arial"/>
          <w:i/>
          <w:sz w:val="20"/>
          <w:szCs w:val="20"/>
          <w:lang w:val="es-MX"/>
        </w:rPr>
        <w:t xml:space="preserve">. El artículo 48, párrafo tercero de la </w:t>
      </w:r>
      <w:r w:rsidRPr="008F47CD">
        <w:rPr>
          <w:rFonts w:ascii="Palatino Linotype" w:hAnsi="Palatino Linotype" w:cs="Arial"/>
          <w:i/>
          <w:sz w:val="20"/>
          <w:szCs w:val="20"/>
          <w:lang w:val="es-MX"/>
        </w:rPr>
        <w:lastRenderedPageBreak/>
        <w:t>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F5A88FF" w14:textId="77777777" w:rsidR="00FF3CDA" w:rsidRDefault="00FF3CDA" w:rsidP="00FF3CDA">
      <w:pPr>
        <w:spacing w:before="240" w:after="240" w:line="360" w:lineRule="auto"/>
        <w:jc w:val="both"/>
        <w:rPr>
          <w:rStyle w:val="normaltextrun"/>
          <w:rFonts w:ascii="Palatino Linotype" w:hAnsi="Palatino Linotype" w:cs="Segoe UI"/>
        </w:rPr>
      </w:pPr>
      <w:r w:rsidRPr="0040233B">
        <w:rPr>
          <w:rFonts w:ascii="Palatino Linotype" w:hAnsi="Palatino Linotype" w:cs="Arial"/>
        </w:rPr>
        <w:t xml:space="preserve">Así también, por cuanto hace a la </w:t>
      </w:r>
      <w:proofErr w:type="spellStart"/>
      <w:r w:rsidRPr="0040233B">
        <w:rPr>
          <w:rFonts w:ascii="Palatino Linotype" w:hAnsi="Palatino Linotype" w:cs="Arial"/>
        </w:rPr>
        <w:t>procedibilidad</w:t>
      </w:r>
      <w:proofErr w:type="spellEnd"/>
      <w:r w:rsidRPr="0040233B">
        <w:rPr>
          <w:rFonts w:ascii="Palatino Linotype" w:hAnsi="Palatino Linotype" w:cs="Arial"/>
        </w:rPr>
        <w:t xml:space="preserve"> del recurso de revisión</w:t>
      </w:r>
      <w:r>
        <w:rPr>
          <w:rFonts w:ascii="Palatino Linotype" w:hAnsi="Palatino Linotype" w:cs="Arial"/>
        </w:rPr>
        <w:t xml:space="preserve"> una vez realizado el análisis </w:t>
      </w:r>
      <w:r w:rsidRPr="0040233B">
        <w:rPr>
          <w:rFonts w:ascii="Palatino Linotype" w:hAnsi="Palatino Linotype" w:cs="Arial"/>
        </w:rPr>
        <w:t>del formato de interposición</w:t>
      </w:r>
      <w:r w:rsidRPr="0040233B">
        <w:rPr>
          <w:rStyle w:val="normaltextrun"/>
          <w:rFonts w:ascii="Palatino Linotype" w:hAnsi="Palatino Linotype" w:cs="Segoe UI"/>
        </w:rPr>
        <w:t xml:space="preserve"> del recurso, </w:t>
      </w:r>
      <w:r>
        <w:rPr>
          <w:rStyle w:val="normaltextrun"/>
          <w:rFonts w:ascii="Palatino Linotype" w:hAnsi="Palatino Linotype" w:cs="Segoe UI"/>
        </w:rPr>
        <w:t xml:space="preserve">se advierte que el </w:t>
      </w:r>
      <w:r w:rsidRPr="0040233B">
        <w:rPr>
          <w:rStyle w:val="normaltextrun"/>
          <w:rFonts w:ascii="Palatino Linotype" w:hAnsi="Palatino Linotype" w:cs="Segoe UI"/>
        </w:rPr>
        <w:t>artículo 180 de la</w:t>
      </w:r>
      <w:r w:rsidRPr="0040233B">
        <w:rPr>
          <w:rStyle w:val="apple-converted-space"/>
          <w:rFonts w:ascii="Palatino Linotype" w:eastAsiaTheme="minorHAnsi" w:hAnsi="Palatino Linotype" w:cs="Segoe UI"/>
        </w:rPr>
        <w:t> </w:t>
      </w:r>
      <w:r w:rsidRPr="0040233B">
        <w:rPr>
          <w:rStyle w:val="normaltextrun"/>
          <w:rFonts w:ascii="Palatino Linotype" w:hAnsi="Palatino Linotype" w:cs="Segoe UI"/>
        </w:rPr>
        <w:t xml:space="preserve">Ley de Transparencia y Acceso a la Información Pública del Estado de México y Municipios, </w:t>
      </w:r>
      <w:r>
        <w:rPr>
          <w:rStyle w:val="normaltextrun"/>
          <w:rFonts w:ascii="Palatino Linotype" w:hAnsi="Palatino Linotype" w:cs="Segoe UI"/>
        </w:rPr>
        <w:t xml:space="preserve">establece </w:t>
      </w:r>
      <w:r w:rsidRPr="0040233B">
        <w:rPr>
          <w:rStyle w:val="normaltextrun"/>
          <w:rFonts w:ascii="Palatino Linotype" w:hAnsi="Palatino Linotype" w:cs="Segoe UI"/>
        </w:rPr>
        <w:t xml:space="preserve">los </w:t>
      </w:r>
      <w:r>
        <w:rPr>
          <w:rStyle w:val="normaltextrun"/>
          <w:rFonts w:ascii="Palatino Linotype" w:hAnsi="Palatino Linotype" w:cs="Segoe UI"/>
        </w:rPr>
        <w:t xml:space="preserve">siguientes </w:t>
      </w:r>
      <w:r w:rsidRPr="0040233B">
        <w:rPr>
          <w:rStyle w:val="normaltextrun"/>
          <w:rFonts w:ascii="Palatino Linotype" w:hAnsi="Palatino Linotype" w:cs="Segoe UI"/>
        </w:rPr>
        <w:t xml:space="preserve">elementos formales </w:t>
      </w:r>
      <w:r>
        <w:rPr>
          <w:rStyle w:val="normaltextrun"/>
          <w:rFonts w:ascii="Palatino Linotype" w:hAnsi="Palatino Linotype" w:cs="Segoe UI"/>
        </w:rPr>
        <w:t>para la presentación del recurso:</w:t>
      </w:r>
    </w:p>
    <w:p w14:paraId="1F465F74" w14:textId="77777777" w:rsidR="00FF3CDA" w:rsidRPr="00414EE8" w:rsidRDefault="00FF3CDA" w:rsidP="00FF3CDA">
      <w:pPr>
        <w:autoSpaceDE w:val="0"/>
        <w:autoSpaceDN w:val="0"/>
        <w:adjustRightInd w:val="0"/>
        <w:spacing w:after="120"/>
        <w:ind w:left="851" w:right="902"/>
        <w:jc w:val="both"/>
        <w:rPr>
          <w:rFonts w:ascii="Palatino Linotype" w:hAnsi="Palatino Linotype" w:cs="Arial"/>
          <w:i/>
          <w:sz w:val="20"/>
        </w:rPr>
      </w:pPr>
      <w:r w:rsidRPr="001A2FF3">
        <w:rPr>
          <w:rFonts w:ascii="Palatino Linotype" w:hAnsi="Palatino Linotype" w:cs="Arial"/>
          <w:b/>
          <w:i/>
          <w:sz w:val="20"/>
        </w:rPr>
        <w:t>“Artículo 180.</w:t>
      </w:r>
      <w:r w:rsidRPr="00414EE8">
        <w:rPr>
          <w:rFonts w:ascii="Palatino Linotype" w:hAnsi="Palatino Linotype" w:cs="Arial"/>
          <w:i/>
          <w:sz w:val="20"/>
        </w:rPr>
        <w:t xml:space="preserve"> El recurso de revisión contendrá: </w:t>
      </w:r>
    </w:p>
    <w:p w14:paraId="69C89D2F" w14:textId="77777777" w:rsidR="00FF3CDA" w:rsidRDefault="00FF3CDA" w:rsidP="00FF3CDA">
      <w:pPr>
        <w:autoSpaceDE w:val="0"/>
        <w:autoSpaceDN w:val="0"/>
        <w:adjustRightInd w:val="0"/>
        <w:spacing w:after="120"/>
        <w:ind w:left="1134" w:right="902"/>
        <w:jc w:val="both"/>
        <w:rPr>
          <w:rFonts w:ascii="Palatino Linotype" w:hAnsi="Palatino Linotype" w:cs="Arial"/>
          <w:i/>
          <w:sz w:val="20"/>
        </w:rPr>
      </w:pPr>
      <w:r>
        <w:rPr>
          <w:rFonts w:ascii="Palatino Linotype" w:hAnsi="Palatino Linotype" w:cs="Arial"/>
          <w:i/>
          <w:sz w:val="20"/>
        </w:rPr>
        <w:t>(…)</w:t>
      </w:r>
    </w:p>
    <w:p w14:paraId="50430F2E" w14:textId="77777777" w:rsidR="00FF3CDA" w:rsidRPr="00414EE8" w:rsidRDefault="00FF3CDA" w:rsidP="00FF3CDA">
      <w:pPr>
        <w:autoSpaceDE w:val="0"/>
        <w:autoSpaceDN w:val="0"/>
        <w:adjustRightInd w:val="0"/>
        <w:spacing w:after="120"/>
        <w:ind w:left="1134" w:right="902"/>
        <w:jc w:val="both"/>
        <w:rPr>
          <w:rFonts w:ascii="Palatino Linotype" w:hAnsi="Palatino Linotype" w:cs="Arial"/>
          <w:i/>
          <w:sz w:val="20"/>
        </w:rPr>
      </w:pPr>
      <w:r w:rsidRPr="00414EE8">
        <w:rPr>
          <w:rFonts w:ascii="Palatino Linotype" w:hAnsi="Palatino Linotype" w:cs="Arial"/>
          <w:i/>
          <w:sz w:val="20"/>
        </w:rPr>
        <w:t xml:space="preserve">II. El nombre del solicitante que recurre o de su representante y, en su caso, del tercero interesado, así como la dirección o medio que señale para recibir notificaciones; </w:t>
      </w:r>
    </w:p>
    <w:p w14:paraId="37AA4243" w14:textId="77777777" w:rsidR="00FF3CDA" w:rsidRDefault="00FF3CDA" w:rsidP="00FF3CDA">
      <w:pPr>
        <w:autoSpaceDE w:val="0"/>
        <w:autoSpaceDN w:val="0"/>
        <w:adjustRightInd w:val="0"/>
        <w:spacing w:after="120"/>
        <w:ind w:left="851" w:right="902"/>
        <w:jc w:val="both"/>
        <w:rPr>
          <w:rFonts w:ascii="Palatino Linotype" w:hAnsi="Palatino Linotype" w:cs="Arial"/>
          <w:i/>
          <w:sz w:val="20"/>
        </w:rPr>
      </w:pPr>
      <w:r>
        <w:rPr>
          <w:rFonts w:ascii="Palatino Linotype" w:hAnsi="Palatino Linotype" w:cs="Arial"/>
          <w:i/>
          <w:sz w:val="20"/>
        </w:rPr>
        <w:t>(…)</w:t>
      </w:r>
    </w:p>
    <w:p w14:paraId="19BCC30F" w14:textId="77777777" w:rsidR="00FF3CDA" w:rsidRPr="00414EE8" w:rsidRDefault="00FF3CDA" w:rsidP="00FF3CDA">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En caso de que el recurso se interponga de manera electrónica no será indispensable que contengan los requisitos establecidos en las</w:t>
      </w:r>
      <w:r>
        <w:rPr>
          <w:rFonts w:ascii="Palatino Linotype" w:hAnsi="Palatino Linotype" w:cs="Arial"/>
          <w:i/>
          <w:sz w:val="20"/>
        </w:rPr>
        <w:t xml:space="preserve"> fracciones II, IV, VII y VIII.”</w:t>
      </w:r>
    </w:p>
    <w:p w14:paraId="7993CB32" w14:textId="77777777" w:rsidR="00FF3CDA" w:rsidRDefault="00FF3CDA" w:rsidP="00FF3CDA">
      <w:pPr>
        <w:spacing w:before="240" w:after="240" w:line="360" w:lineRule="auto"/>
        <w:jc w:val="both"/>
        <w:rPr>
          <w:rStyle w:val="normaltextrun"/>
          <w:rFonts w:ascii="Palatino Linotype" w:hAnsi="Palatino Linotype" w:cs="Segoe UI"/>
        </w:rPr>
      </w:pPr>
      <w:r>
        <w:rPr>
          <w:rStyle w:val="normaltextrun"/>
          <w:rFonts w:ascii="Palatino Linotype" w:hAnsi="Palatino Linotype" w:cs="Segoe UI"/>
        </w:rPr>
        <w:t>Por su parte, el artículo 181 del citado ordenamiento dispone, que:</w:t>
      </w:r>
    </w:p>
    <w:p w14:paraId="35E73892" w14:textId="77777777" w:rsidR="00FF3CDA" w:rsidRPr="00D9245C" w:rsidRDefault="00FF3CDA" w:rsidP="00FF3CDA">
      <w:pPr>
        <w:autoSpaceDE w:val="0"/>
        <w:autoSpaceDN w:val="0"/>
        <w:adjustRightInd w:val="0"/>
        <w:spacing w:after="120"/>
        <w:ind w:left="851" w:right="902"/>
        <w:jc w:val="both"/>
        <w:rPr>
          <w:rFonts w:ascii="Palatino Linotype" w:hAnsi="Palatino Linotype" w:cs="Arial"/>
          <w:i/>
          <w:sz w:val="20"/>
          <w:szCs w:val="20"/>
        </w:rPr>
      </w:pPr>
      <w:r w:rsidRPr="00D9245C">
        <w:rPr>
          <w:rFonts w:ascii="Palatino Linotype" w:hAnsi="Palatino Linotype" w:cs="Arial"/>
          <w:b/>
          <w:i/>
          <w:sz w:val="20"/>
          <w:szCs w:val="20"/>
        </w:rPr>
        <w:t>“Artículo 181.</w:t>
      </w:r>
      <w:r w:rsidRPr="00D9245C">
        <w:rPr>
          <w:rFonts w:ascii="Palatino Linotype" w:hAnsi="Palatino Linotype" w:cs="Arial"/>
          <w:i/>
          <w:sz w:val="20"/>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0272192D" w14:textId="77777777" w:rsidR="00FF3CDA" w:rsidRPr="00D9245C" w:rsidRDefault="00FF3CDA" w:rsidP="00FF3CDA">
      <w:pPr>
        <w:autoSpaceDE w:val="0"/>
        <w:autoSpaceDN w:val="0"/>
        <w:adjustRightInd w:val="0"/>
        <w:spacing w:after="120"/>
        <w:ind w:left="851" w:right="902"/>
        <w:jc w:val="both"/>
        <w:rPr>
          <w:rFonts w:ascii="Palatino Linotype" w:hAnsi="Palatino Linotype" w:cs="Arial"/>
          <w:i/>
          <w:sz w:val="20"/>
          <w:szCs w:val="20"/>
        </w:rPr>
      </w:pPr>
      <w:r w:rsidRPr="00D9245C">
        <w:rPr>
          <w:rFonts w:ascii="Palatino Linotype" w:hAnsi="Palatino Linotype" w:cs="Arial"/>
          <w:i/>
          <w:sz w:val="20"/>
          <w:szCs w:val="20"/>
        </w:rPr>
        <w:lastRenderedPageBreak/>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6E3C888B" w14:textId="77777777" w:rsidR="00FF3CDA" w:rsidRPr="00D9245C" w:rsidRDefault="00FF3CDA" w:rsidP="00FF3CDA">
      <w:pPr>
        <w:autoSpaceDE w:val="0"/>
        <w:autoSpaceDN w:val="0"/>
        <w:adjustRightInd w:val="0"/>
        <w:spacing w:after="120"/>
        <w:ind w:left="851" w:right="902"/>
        <w:jc w:val="both"/>
        <w:rPr>
          <w:rFonts w:ascii="Palatino Linotype" w:hAnsi="Palatino Linotype" w:cs="Arial"/>
          <w:i/>
          <w:sz w:val="20"/>
          <w:szCs w:val="20"/>
        </w:rPr>
      </w:pPr>
      <w:r w:rsidRPr="00D9245C">
        <w:rPr>
          <w:rFonts w:ascii="Palatino Linotype" w:hAnsi="Palatino Linotype" w:cs="Arial"/>
          <w:i/>
          <w:sz w:val="20"/>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234F3B5B" w14:textId="77777777" w:rsidR="00FF3CDA" w:rsidRPr="00D9245C" w:rsidRDefault="00FF3CDA" w:rsidP="00FF3CDA">
      <w:pPr>
        <w:autoSpaceDE w:val="0"/>
        <w:autoSpaceDN w:val="0"/>
        <w:adjustRightInd w:val="0"/>
        <w:spacing w:after="120"/>
        <w:ind w:left="851" w:right="902"/>
        <w:jc w:val="both"/>
        <w:rPr>
          <w:rFonts w:ascii="Palatino Linotype" w:hAnsi="Palatino Linotype" w:cs="Arial"/>
          <w:i/>
          <w:sz w:val="20"/>
          <w:szCs w:val="20"/>
        </w:rPr>
      </w:pPr>
      <w:r w:rsidRPr="00D9245C">
        <w:rPr>
          <w:rFonts w:ascii="Palatino Linotype" w:hAnsi="Palatino Linotype" w:cs="Arial"/>
          <w:i/>
          <w:sz w:val="20"/>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31A4CA08" w14:textId="77777777" w:rsidR="00FF3CDA" w:rsidRPr="00D9245C" w:rsidRDefault="00FF3CDA" w:rsidP="00FF3CDA">
      <w:pPr>
        <w:spacing w:after="120"/>
        <w:ind w:left="851" w:right="902"/>
        <w:jc w:val="both"/>
        <w:rPr>
          <w:rStyle w:val="normaltextrun"/>
          <w:rFonts w:ascii="Palatino Linotype" w:hAnsi="Palatino Linotype" w:cs="Segoe UI"/>
          <w:sz w:val="20"/>
          <w:szCs w:val="20"/>
        </w:rPr>
      </w:pPr>
      <w:r w:rsidRPr="00D9245C">
        <w:rPr>
          <w:rFonts w:ascii="Palatino Linotype" w:hAnsi="Palatino Linotype" w:cs="Arial"/>
          <w:i/>
          <w:sz w:val="20"/>
          <w:szCs w:val="20"/>
        </w:rPr>
        <w:t>Para el caso de interposición del recurso de revisión a través de la Plataforma Nacional o la plataforma que para tales efectos habilite el Instituto, éste podrá solicitar al particular subsane las deficiencias por ese medio.”</w:t>
      </w:r>
    </w:p>
    <w:p w14:paraId="19E762AF" w14:textId="77777777" w:rsidR="00FF3CDA" w:rsidRPr="00C774F6" w:rsidRDefault="00FF3CDA" w:rsidP="00FF3CDA">
      <w:pPr>
        <w:autoSpaceDE w:val="0"/>
        <w:autoSpaceDN w:val="0"/>
        <w:adjustRightInd w:val="0"/>
        <w:spacing w:before="240" w:after="240" w:line="360" w:lineRule="auto"/>
        <w:ind w:right="-91"/>
        <w:jc w:val="both"/>
        <w:rPr>
          <w:rFonts w:ascii="Palatino Linotype" w:hAnsi="Palatino Linotype" w:cs="Arial"/>
        </w:rPr>
      </w:pPr>
      <w:r>
        <w:rPr>
          <w:rFonts w:ascii="Palatino Linotype" w:hAnsi="Palatino Linotype" w:cs="Arial"/>
        </w:rPr>
        <w:t>De la</w:t>
      </w:r>
      <w:r w:rsidRPr="00C774F6">
        <w:rPr>
          <w:rFonts w:ascii="Palatino Linotype" w:hAnsi="Palatino Linotype" w:cs="Arial"/>
        </w:rPr>
        <w:t xml:space="preserve"> interpretación sistemática </w:t>
      </w:r>
      <w:r>
        <w:rPr>
          <w:rFonts w:ascii="Palatino Linotype" w:hAnsi="Palatino Linotype" w:cs="Arial"/>
        </w:rPr>
        <w:t>a</w:t>
      </w:r>
      <w:r w:rsidRPr="00C774F6">
        <w:rPr>
          <w:rFonts w:ascii="Palatino Linotype" w:hAnsi="Palatino Linotype" w:cs="Arial"/>
        </w:rPr>
        <w:t xml:space="preserve"> los artículos transcritos se </w:t>
      </w:r>
      <w:r>
        <w:rPr>
          <w:rFonts w:ascii="Palatino Linotype" w:hAnsi="Palatino Linotype" w:cs="Arial"/>
        </w:rPr>
        <w:t>advierten los</w:t>
      </w:r>
      <w:r w:rsidRPr="00C774F6">
        <w:rPr>
          <w:rFonts w:ascii="Palatino Linotype" w:hAnsi="Palatino Linotype" w:cs="Arial"/>
        </w:rPr>
        <w:t xml:space="preserve">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14:paraId="5CC19BE1" w14:textId="42E28371" w:rsidR="00FF3CDA" w:rsidRPr="00C774F6" w:rsidRDefault="00FF3CDA" w:rsidP="00FF3CDA">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Sobre el particular, de la revisión al expediente electrónico del SAIMEX se desprende que la parte solicitante, en ejercicio de su derecho de acceso a la información pública, y ahora recurrente, </w:t>
      </w:r>
      <w:r>
        <w:rPr>
          <w:rFonts w:ascii="Palatino Linotype" w:hAnsi="Palatino Linotype" w:cs="Arial"/>
          <w:color w:val="C00000"/>
        </w:rPr>
        <w:t xml:space="preserve">proporcionó </w:t>
      </w:r>
      <w:r w:rsidR="002D5F1E">
        <w:rPr>
          <w:rFonts w:ascii="Palatino Linotype" w:hAnsi="Palatino Linotype" w:cs="Arial"/>
          <w:color w:val="C00000"/>
        </w:rPr>
        <w:t>nombre y apellido paterno</w:t>
      </w:r>
      <w:r>
        <w:rPr>
          <w:rFonts w:ascii="Palatino Linotype" w:hAnsi="Palatino Linotype" w:cs="Arial"/>
          <w:color w:val="C00000"/>
        </w:rPr>
        <w:t>, lo que impide hacerlo identificable</w:t>
      </w:r>
      <w:r w:rsidRPr="00875E79">
        <w:rPr>
          <w:rFonts w:ascii="Palatino Linotype" w:hAnsi="Palatino Linotype" w:cs="Arial"/>
          <w:color w:val="C00000"/>
        </w:rPr>
        <w:t xml:space="preserve">, por ende no se tiene el nombre </w:t>
      </w:r>
      <w:r>
        <w:rPr>
          <w:rFonts w:ascii="Palatino Linotype" w:hAnsi="Palatino Linotype" w:cs="Arial"/>
          <w:color w:val="C00000"/>
        </w:rPr>
        <w:t>de la persona</w:t>
      </w:r>
      <w:r w:rsidRPr="00875E79">
        <w:rPr>
          <w:rFonts w:ascii="Palatino Linotype" w:hAnsi="Palatino Linotype" w:cs="Arial"/>
          <w:color w:val="C00000"/>
        </w:rPr>
        <w:t>, ni se tiene la certeza sobre su identidad</w:t>
      </w:r>
      <w:r w:rsidRPr="00C774F6">
        <w:rPr>
          <w:rFonts w:ascii="Palatino Linotype" w:hAnsi="Palatino Linotype" w:cs="Arial"/>
        </w:rPr>
        <w:t>, lo que en estricto sentido provoca que no se colmen los requisitos establecidos en el citado artículo 180 de la Ley de Transparencia.</w:t>
      </w:r>
    </w:p>
    <w:p w14:paraId="0A85EB72" w14:textId="77777777" w:rsidR="00FF3CDA" w:rsidRPr="00C774F6" w:rsidRDefault="00FF3CDA" w:rsidP="00FF3CDA">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Empero lo anterior, debe destacarse que el artículo 15 de </w:t>
      </w:r>
      <w:r w:rsidRPr="00C774F6">
        <w:rPr>
          <w:rFonts w:ascii="Palatino Linotype" w:hAnsi="Palatino Linotype" w:cs="Arial"/>
          <w:lang w:val="es-MX"/>
        </w:rPr>
        <w:t xml:space="preserve">Ley de Transparencia y Acceso a la Información Pública del Estado de México y Municipios </w:t>
      </w:r>
      <w:r w:rsidRPr="00C774F6">
        <w:rPr>
          <w:rFonts w:ascii="Palatino Linotype" w:hAnsi="Palatino Linotype" w:cs="Arial"/>
          <w:iCs/>
        </w:rPr>
        <w:t xml:space="preserve">prevé que </w:t>
      </w:r>
      <w:r w:rsidRPr="00C774F6">
        <w:rPr>
          <w:rFonts w:ascii="Palatino Linotype" w:hAnsi="Palatino Linotype" w:cs="Arial"/>
        </w:rPr>
        <w:t xml:space="preserve">toda persona tendrá acceso a la información sin necesidad de acreditar interés alguno o justificar su utilización, de lo que se infiere que para el ejercicio del derecho de acceso </w:t>
      </w:r>
      <w:r w:rsidRPr="00C774F6">
        <w:rPr>
          <w:rFonts w:ascii="Palatino Linotype" w:hAnsi="Palatino Linotype" w:cs="Arial"/>
        </w:rPr>
        <w:lastRenderedPageBreak/>
        <w:t xml:space="preserve">a la información pública, el nombre no es un requisito </w:t>
      </w:r>
      <w:r w:rsidRPr="00C774F6">
        <w:rPr>
          <w:rFonts w:ascii="Palatino Linotype" w:hAnsi="Palatino Linotype" w:cs="Arial"/>
          <w:i/>
        </w:rPr>
        <w:t>sine qua non</w:t>
      </w:r>
      <w:r w:rsidRPr="00C774F6">
        <w:rPr>
          <w:rFonts w:ascii="Palatino Linotype" w:hAnsi="Palatino Linotype" w:cs="Arial"/>
        </w:rPr>
        <w:t xml:space="preserve"> que los particulares y, en su caso, los recurrentes deban señalar, por el contrario la Ley de Transparencia prevé en su artículo 155, párrafo</w:t>
      </w:r>
      <w:r>
        <w:rPr>
          <w:rFonts w:ascii="Palatino Linotype" w:hAnsi="Palatino Linotype" w:cs="Arial"/>
        </w:rPr>
        <w:t>s</w:t>
      </w:r>
      <w:r w:rsidRPr="00C774F6">
        <w:rPr>
          <w:rFonts w:ascii="Palatino Linotype" w:hAnsi="Palatino Linotype" w:cs="Arial"/>
        </w:rPr>
        <w:t xml:space="preserve"> segundo</w:t>
      </w:r>
      <w:r>
        <w:rPr>
          <w:rFonts w:ascii="Palatino Linotype" w:hAnsi="Palatino Linotype" w:cs="Arial"/>
        </w:rPr>
        <w:t>, tercero y cuarto</w:t>
      </w:r>
      <w:r w:rsidRPr="00C774F6">
        <w:rPr>
          <w:rFonts w:ascii="Palatino Linotype" w:hAnsi="Palatino Linotype" w:cs="Arial"/>
        </w:rPr>
        <w:t xml:space="preserve"> la posibilidad de que las solicitudes de información sean anónimas, con nombre incompleto o seudónimo.</w:t>
      </w:r>
    </w:p>
    <w:p w14:paraId="4EA62CAF" w14:textId="77777777" w:rsidR="00FF3CDA" w:rsidRPr="00C774F6" w:rsidRDefault="00FF3CDA" w:rsidP="00FF3CDA">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Correlativo a ello, cabe mencionar que los artículos 6, </w:t>
      </w:r>
      <w:r>
        <w:rPr>
          <w:rFonts w:ascii="Palatino Linotype" w:hAnsi="Palatino Linotype" w:cs="Arial"/>
        </w:rPr>
        <w:t>a</w:t>
      </w:r>
      <w:r w:rsidRPr="00C774F6">
        <w:rPr>
          <w:rFonts w:ascii="Palatino Linotype" w:hAnsi="Palatino Linotype" w:cs="Arial"/>
        </w:rPr>
        <w:t xml:space="preserve">partado A, fracciones </w:t>
      </w:r>
      <w:r>
        <w:rPr>
          <w:rFonts w:ascii="Palatino Linotype" w:hAnsi="Palatino Linotype" w:cs="Arial"/>
        </w:rPr>
        <w:t xml:space="preserve">I, II, </w:t>
      </w:r>
      <w:r w:rsidRPr="00C774F6">
        <w:rPr>
          <w:rFonts w:ascii="Palatino Linotype" w:hAnsi="Palatino Linotype" w:cs="Arial"/>
        </w:rPr>
        <w:t xml:space="preserve">III y IV de la Constitución Política de los Estados Unidos Mexicanos y 5 </w:t>
      </w:r>
      <w:r>
        <w:rPr>
          <w:rFonts w:ascii="Palatino Linotype" w:hAnsi="Palatino Linotype" w:cs="Arial"/>
        </w:rPr>
        <w:t>vigésimo, vigésimo primero y vigésimo segundo</w:t>
      </w:r>
      <w:r w:rsidRPr="00C774F6">
        <w:rPr>
          <w:rFonts w:ascii="Palatino Linotype" w:hAnsi="Palatino Linotype" w:cs="Arial"/>
        </w:rPr>
        <w:t xml:space="preserve">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80D1F39" w14:textId="77777777" w:rsidR="00FF3CDA" w:rsidRPr="00414EE8" w:rsidRDefault="00FF3CDA" w:rsidP="00FF3CDA">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A73ABE5" w14:textId="77777777" w:rsidR="00FF3CDA" w:rsidRDefault="00FF3CDA" w:rsidP="00FF3CDA">
      <w:pPr>
        <w:autoSpaceDE w:val="0"/>
        <w:autoSpaceDN w:val="0"/>
        <w:adjustRightInd w:val="0"/>
        <w:spacing w:after="120"/>
        <w:ind w:left="851" w:right="902"/>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12963009" w14:textId="77777777" w:rsidR="00FF3CDA" w:rsidRPr="00414EE8" w:rsidRDefault="00FF3CDA" w:rsidP="00FF3CDA">
      <w:pPr>
        <w:autoSpaceDE w:val="0"/>
        <w:autoSpaceDN w:val="0"/>
        <w:adjustRightInd w:val="0"/>
        <w:spacing w:after="120"/>
        <w:ind w:left="851" w:right="902"/>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 xml:space="preserve">Para efectos de lo dispuesto en el presente artículo se observará lo siguiente: </w:t>
      </w:r>
    </w:p>
    <w:p w14:paraId="26BD7375" w14:textId="77777777" w:rsidR="00FF3CDA" w:rsidRPr="00414EE8" w:rsidRDefault="00FF3CDA" w:rsidP="00FF3CDA">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A. Para el ejercicio del derecho de acceso a la información, la Federación, los Estados y el Distrito Federal, en el ámbito de sus respectivas competencias, se regirán por los siguientes principios y bases: </w:t>
      </w:r>
    </w:p>
    <w:p w14:paraId="4D030D18" w14:textId="77777777" w:rsidR="00FF3CDA" w:rsidRPr="00414EE8" w:rsidRDefault="00FF3CDA" w:rsidP="00FF3CDA">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91A3766" w14:textId="77777777" w:rsidR="00FF3CDA" w:rsidRPr="00414EE8" w:rsidRDefault="00FF3CDA" w:rsidP="00FF3CDA">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lastRenderedPageBreak/>
        <w:t xml:space="preserve">II. La información que se refiere a la vida privada y los datos personales será protegida en los términos y con las excepciones que fijen las leyes. </w:t>
      </w:r>
    </w:p>
    <w:p w14:paraId="4DCC0A30" w14:textId="77777777" w:rsidR="00FF3CDA" w:rsidRPr="00414EE8" w:rsidRDefault="00FF3CDA" w:rsidP="00FF3CDA">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III. Toda persona, sin necesidad de acreditar interés alguno o justificar su utilización, tendrá acceso gratuito a la información pública, a sus datos personales o a la rectificación de éstos. </w:t>
      </w:r>
    </w:p>
    <w:p w14:paraId="27AFADE1" w14:textId="77777777" w:rsidR="00FF3CDA" w:rsidRPr="00414EE8" w:rsidRDefault="00FF3CDA" w:rsidP="00FF3CDA">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IV. Se establecerán mecanismos de acceso a la información y procedimientos de revisión expeditos que se sustanciarán ante los organismos autónomos especializados e imparciales que establece esta Constitución.” </w:t>
      </w:r>
    </w:p>
    <w:p w14:paraId="19AE4D6F" w14:textId="77777777" w:rsidR="00FF3CDA" w:rsidRPr="00414EE8" w:rsidRDefault="00FF3CDA" w:rsidP="00FF3CDA">
      <w:pPr>
        <w:autoSpaceDE w:val="0"/>
        <w:autoSpaceDN w:val="0"/>
        <w:adjustRightInd w:val="0"/>
        <w:spacing w:after="120"/>
        <w:ind w:left="851" w:right="900"/>
        <w:jc w:val="both"/>
        <w:rPr>
          <w:rFonts w:ascii="Palatino Linotype" w:hAnsi="Palatino Linotype" w:cs="Arial"/>
          <w:i/>
          <w:sz w:val="20"/>
        </w:rPr>
      </w:pPr>
      <w:r w:rsidRPr="00414EE8">
        <w:rPr>
          <w:rFonts w:ascii="Palatino Linotype" w:hAnsi="Palatino Linotype" w:cs="Arial"/>
          <w:i/>
          <w:sz w:val="20"/>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4EDD53BF" w14:textId="77777777" w:rsidR="00FF3CDA" w:rsidRDefault="00FF3CDA" w:rsidP="00FF3CDA">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1BE2979D" w14:textId="77777777" w:rsidR="00FF3CDA" w:rsidRPr="00414EE8" w:rsidRDefault="00FF3CDA" w:rsidP="00FF3CDA">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EDF119D" w14:textId="77777777" w:rsidR="00FF3CDA" w:rsidRPr="00414EE8" w:rsidRDefault="00FF3CDA" w:rsidP="00FF3CDA">
      <w:pPr>
        <w:autoSpaceDE w:val="0"/>
        <w:autoSpaceDN w:val="0"/>
        <w:adjustRightInd w:val="0"/>
        <w:spacing w:after="120"/>
        <w:ind w:left="851" w:right="900"/>
        <w:jc w:val="both"/>
        <w:rPr>
          <w:rFonts w:ascii="Palatino Linotype" w:hAnsi="Palatino Linotype" w:cs="Arial"/>
          <w:i/>
          <w:sz w:val="20"/>
        </w:rPr>
      </w:pPr>
      <w:r w:rsidRPr="00414EE8">
        <w:rPr>
          <w:rFonts w:ascii="Palatino Linotype" w:hAnsi="Palatino Linotype" w:cs="Arial"/>
          <w:i/>
          <w:sz w:val="20"/>
        </w:rPr>
        <w:t>Este derecho se regirá por los principios y bases siguientes:</w:t>
      </w:r>
    </w:p>
    <w:p w14:paraId="2EB39AFD" w14:textId="77777777" w:rsidR="00FF3CDA" w:rsidRPr="00414EE8" w:rsidRDefault="00FF3CDA" w:rsidP="00FF3CDA">
      <w:pPr>
        <w:autoSpaceDE w:val="0"/>
        <w:autoSpaceDN w:val="0"/>
        <w:adjustRightInd w:val="0"/>
        <w:spacing w:after="120"/>
        <w:ind w:left="851" w:right="900"/>
        <w:jc w:val="both"/>
        <w:rPr>
          <w:rFonts w:ascii="Palatino Linotype" w:hAnsi="Palatino Linotype" w:cs="Arial"/>
          <w:i/>
          <w:sz w:val="20"/>
        </w:rPr>
      </w:pPr>
      <w:r w:rsidRPr="00414EE8">
        <w:rPr>
          <w:rFonts w:ascii="Palatino Linotype" w:hAnsi="Palatino Linotype" w:cs="Arial"/>
          <w:i/>
          <w:sz w:val="2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B4DA56A" w14:textId="77777777" w:rsidR="00FF3CDA" w:rsidRDefault="00FF3CDA" w:rsidP="00FF3CDA">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2CCFB49E" w14:textId="77777777" w:rsidR="00FF3CDA" w:rsidRPr="00414EE8" w:rsidRDefault="00FF3CDA" w:rsidP="00FF3CDA">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III. Toda persona, sin necesidad de acreditar interés alguno o justificar su utilización, tendrá acceso gratuito a la información pública, a sus datos personales o a la rectificación de éstos;</w:t>
      </w:r>
    </w:p>
    <w:p w14:paraId="3750D476" w14:textId="77777777" w:rsidR="00FF3CDA" w:rsidRDefault="00FF3CDA" w:rsidP="00FF3CDA">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32F37C26" w14:textId="77777777" w:rsidR="00FF3CDA" w:rsidRPr="00414EE8" w:rsidRDefault="00FF3CDA" w:rsidP="00FF3CDA">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w:t>
      </w:r>
      <w:r w:rsidRPr="00414EE8">
        <w:rPr>
          <w:rFonts w:ascii="Palatino Linotype" w:hAnsi="Palatino Linotype" w:cs="Arial"/>
          <w:i/>
          <w:sz w:val="20"/>
        </w:rPr>
        <w:lastRenderedPageBreak/>
        <w:t>de su competencia. Las resoluciones que correspondan a estos procedimientos se sistematizarán para favorecer su consulta…</w:t>
      </w:r>
      <w:r>
        <w:rPr>
          <w:rFonts w:ascii="Palatino Linotype" w:hAnsi="Palatino Linotype" w:cs="Arial"/>
          <w:i/>
          <w:sz w:val="20"/>
        </w:rPr>
        <w:t>”</w:t>
      </w:r>
    </w:p>
    <w:p w14:paraId="41EE8A02" w14:textId="77777777" w:rsidR="00FF3CDA" w:rsidRPr="00C774F6" w:rsidRDefault="00FF3CDA" w:rsidP="00FF3CDA">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Por otra parte, del contenido del artículo 1 de la Constitución Política de los Estados Unidos Mexicanos, se destaca lo siguiente:</w:t>
      </w:r>
    </w:p>
    <w:p w14:paraId="77313E26" w14:textId="77777777" w:rsidR="00FF3CDA" w:rsidRPr="00414EE8" w:rsidRDefault="00FF3CDA" w:rsidP="00FF3CDA">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72A2653" w14:textId="77777777" w:rsidR="00FF3CDA" w:rsidRPr="00414EE8" w:rsidRDefault="00FF3CDA" w:rsidP="00FF3CDA">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Las normas relativas a los derechos humanos se interpretarán de conformidad con esta Constitución y con los tratados internacionales de la materia favoreciendo en todo tiempo a las personas la protección más amplia.</w:t>
      </w:r>
    </w:p>
    <w:p w14:paraId="670D14FE" w14:textId="77777777" w:rsidR="00FF3CDA" w:rsidRPr="00414EE8" w:rsidRDefault="00FF3CDA" w:rsidP="00FF3CDA">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BEB421D" w14:textId="77777777" w:rsidR="00FF3CDA" w:rsidRPr="00C774F6" w:rsidRDefault="00FF3CDA" w:rsidP="00FF3CDA">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B545DAE" w14:textId="77777777" w:rsidR="00FF3CDA" w:rsidRPr="00C774F6" w:rsidRDefault="00FF3CDA" w:rsidP="00FF3CDA">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Robustece lo anterior, el Criterio 6/2014 del entonces Instituto Federal de Acceso a la Información y Protección de Datos, el cual se reproduce para una mayor referencia:</w:t>
      </w:r>
    </w:p>
    <w:p w14:paraId="3E9A9B87" w14:textId="77777777" w:rsidR="00FF3CDA" w:rsidRPr="00414EE8" w:rsidRDefault="00FF3CDA" w:rsidP="00FF3CDA">
      <w:pPr>
        <w:autoSpaceDE w:val="0"/>
        <w:autoSpaceDN w:val="0"/>
        <w:adjustRightInd w:val="0"/>
        <w:spacing w:after="120"/>
        <w:ind w:left="851" w:right="902"/>
        <w:jc w:val="both"/>
        <w:rPr>
          <w:rFonts w:ascii="Palatino Linotype" w:hAnsi="Palatino Linotype" w:cs="Arial"/>
          <w:i/>
          <w:sz w:val="22"/>
        </w:rPr>
      </w:pPr>
      <w:r w:rsidRPr="00414EE8">
        <w:rPr>
          <w:rFonts w:ascii="Palatino Linotype" w:hAnsi="Palatino Linotype" w:cs="Arial"/>
          <w:i/>
          <w:sz w:val="20"/>
        </w:rPr>
        <w:t xml:space="preserve">“Acceso a información gubernamental. No debe condicionarse a que el solicitante acredite su personalidad, demuestre interés alguno o justifique su utilización. De conformidad con </w:t>
      </w:r>
      <w:r w:rsidRPr="00414EE8">
        <w:rPr>
          <w:rFonts w:ascii="Palatino Linotype" w:hAnsi="Palatino Linotype" w:cs="Arial"/>
          <w:i/>
          <w:sz w:val="20"/>
        </w:rPr>
        <w:lastRenderedPageBreak/>
        <w:t>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C4D502D" w14:textId="77777777" w:rsidR="00FF3CDA" w:rsidRPr="00C774F6" w:rsidRDefault="00FF3CDA" w:rsidP="00FF3CDA">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En ese orden de ideas, se estima que el requerimiento relativo al nombre como presupuesto de </w:t>
      </w:r>
      <w:proofErr w:type="spellStart"/>
      <w:r w:rsidRPr="00C774F6">
        <w:rPr>
          <w:rFonts w:ascii="Palatino Linotype" w:hAnsi="Palatino Linotype" w:cs="Arial"/>
        </w:rPr>
        <w:t>procedibilidad</w:t>
      </w:r>
      <w:proofErr w:type="spellEnd"/>
      <w:r w:rsidRPr="00C774F6">
        <w:rPr>
          <w:rFonts w:ascii="Palatino Linotype" w:hAnsi="Palatino Linotype" w:cs="Arial"/>
        </w:rPr>
        <w:t xml:space="preserv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4D09A8C9" w14:textId="77777777" w:rsidR="00FF3CDA" w:rsidRPr="00C774F6" w:rsidRDefault="00FF3CDA" w:rsidP="00FF3CDA">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Aunado a ello, para el estudio de la materia sobre la que se </w:t>
      </w:r>
      <w:r>
        <w:rPr>
          <w:rFonts w:ascii="Palatino Linotype" w:hAnsi="Palatino Linotype" w:cs="Arial"/>
        </w:rPr>
        <w:t>resuelve</w:t>
      </w:r>
      <w:r w:rsidRPr="00C774F6">
        <w:rPr>
          <w:rFonts w:ascii="Palatino Linotype" w:hAnsi="Palatino Linotype" w:cs="Arial"/>
        </w:rPr>
        <w:t xml:space="preserve"> </w:t>
      </w:r>
      <w:r>
        <w:rPr>
          <w:rFonts w:ascii="Palatino Linotype" w:hAnsi="Palatino Linotype" w:cs="Arial"/>
        </w:rPr>
        <w:t xml:space="preserve">el </w:t>
      </w:r>
      <w:r w:rsidRPr="00C774F6">
        <w:rPr>
          <w:rFonts w:ascii="Palatino Linotype" w:hAnsi="Palatino Linotype" w:cs="Arial"/>
        </w:rPr>
        <w:t>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69D0A14" w14:textId="77777777" w:rsidR="00FF3CDA" w:rsidRDefault="00FF3CDA" w:rsidP="00FF3CDA">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En consecuencia, dado lo expuesto y fundado con anterioridad, se estima que el requisito relativo al nombre del recurrente no constituye un presupuesto indispensable de </w:t>
      </w:r>
      <w:proofErr w:type="spellStart"/>
      <w:r w:rsidRPr="00C774F6">
        <w:rPr>
          <w:rFonts w:ascii="Palatino Linotype" w:hAnsi="Palatino Linotype" w:cs="Arial"/>
        </w:rPr>
        <w:t>procedibilidad</w:t>
      </w:r>
      <w:proofErr w:type="spellEnd"/>
      <w:r w:rsidRPr="00C774F6">
        <w:rPr>
          <w:rFonts w:ascii="Palatino Linotype" w:hAnsi="Palatino Linotype" w:cs="Arial"/>
        </w:rPr>
        <w:t xml:space="preserve"> de los recursos de revisión, en términos de los artículos 25 de la Convención Americana de Derechos Humanos, 1 párrafos segundo </w:t>
      </w:r>
      <w:r w:rsidRPr="00C774F6">
        <w:rPr>
          <w:rFonts w:ascii="Palatino Linotype" w:hAnsi="Palatino Linotype" w:cs="Arial"/>
        </w:rPr>
        <w:lastRenderedPageBreak/>
        <w:t xml:space="preserve">y tercero, 6 apartado A, fracciones III y IV de la Constitución Política de los Estados Unidos Mexicanos y 5, párrafo </w:t>
      </w:r>
      <w:r>
        <w:rPr>
          <w:rFonts w:ascii="Palatino Linotype" w:hAnsi="Palatino Linotype" w:cs="Arial"/>
        </w:rPr>
        <w:t>vigésimo segundo</w:t>
      </w:r>
      <w:r w:rsidRPr="00C774F6">
        <w:rPr>
          <w:rFonts w:ascii="Palatino Linotype" w:hAnsi="Palatino Linotype" w:cs="Arial"/>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w:t>
      </w:r>
      <w:r>
        <w:rPr>
          <w:rFonts w:ascii="Palatino Linotype" w:hAnsi="Palatino Linotype" w:cs="Arial"/>
        </w:rPr>
        <w:t xml:space="preserve">solicitud </w:t>
      </w:r>
      <w:r w:rsidRPr="00C774F6">
        <w:rPr>
          <w:rFonts w:ascii="Palatino Linotype" w:hAnsi="Palatino Linotype" w:cs="Arial"/>
        </w:rPr>
        <w:t>de acceso a la información pública que ahora se impugna.</w:t>
      </w:r>
    </w:p>
    <w:p w14:paraId="6106AB73" w14:textId="5A95F302" w:rsidR="00CF0C04" w:rsidRPr="00CD59DC" w:rsidRDefault="002E155E" w:rsidP="00CF0C04">
      <w:pPr>
        <w:spacing w:before="240" w:after="240" w:line="360" w:lineRule="auto"/>
        <w:jc w:val="both"/>
        <w:rPr>
          <w:rFonts w:ascii="Segoe UI" w:hAnsi="Segoe UI" w:cs="Segoe UI"/>
        </w:rPr>
      </w:pPr>
      <w:r>
        <w:rPr>
          <w:rFonts w:ascii="Palatino Linotype" w:hAnsi="Palatino Linotype" w:cs="Arial"/>
        </w:rPr>
        <w:t xml:space="preserve">Entonces </w:t>
      </w:r>
      <w:r w:rsidRPr="006A776D">
        <w:rPr>
          <w:rFonts w:ascii="Palatino Linotype" w:hAnsi="Palatino Linotype" w:cs="Arial"/>
        </w:rPr>
        <w:t xml:space="preserve">se concluye la acreditación plena de todos y cada uno de los elementos formales exigidos por el artículo 180 de la </w:t>
      </w:r>
      <w:r w:rsidRPr="006A776D">
        <w:rPr>
          <w:rFonts w:ascii="Palatino Linotype" w:hAnsi="Palatino Linotype" w:cs="Arial"/>
          <w:lang w:val="es-MX"/>
        </w:rPr>
        <w:t>Ley de Transparencia y Acceso a la Información Pública de</w:t>
      </w:r>
      <w:r>
        <w:rPr>
          <w:rFonts w:ascii="Palatino Linotype" w:hAnsi="Palatino Linotype" w:cs="Arial"/>
          <w:lang w:val="es-MX"/>
        </w:rPr>
        <w:t xml:space="preserve">l Estado de México y Municipios, y en consecuencia resulta conforme a derecho entrar al estudio de fondo y resolver el presente medio de impugnación, al actualizarse lo dispuesto en los </w:t>
      </w:r>
      <w:r w:rsidR="00CF0C04">
        <w:rPr>
          <w:rStyle w:val="normaltextrun"/>
          <w:rFonts w:ascii="Palatino Linotype" w:hAnsi="Palatino Linotype" w:cs="Segoe UI"/>
        </w:rPr>
        <w:t>artículos 176 y</w:t>
      </w:r>
      <w:r w:rsidR="00CF0C04" w:rsidRPr="00CD59DC">
        <w:rPr>
          <w:rStyle w:val="apple-converted-space"/>
          <w:rFonts w:ascii="Palatino Linotype" w:eastAsiaTheme="minorHAnsi" w:hAnsi="Palatino Linotype" w:cs="Segoe UI"/>
        </w:rPr>
        <w:t xml:space="preserve"> 179 </w:t>
      </w:r>
      <w:r w:rsidR="00CF0C04">
        <w:rPr>
          <w:rStyle w:val="apple-converted-space"/>
          <w:rFonts w:ascii="Palatino Linotype" w:eastAsiaTheme="minorHAnsi" w:hAnsi="Palatino Linotype" w:cs="Segoe UI"/>
        </w:rPr>
        <w:t xml:space="preserve">fracción VII </w:t>
      </w:r>
      <w:r w:rsidR="00CF0C04" w:rsidRPr="00CD59DC">
        <w:rPr>
          <w:rStyle w:val="normaltextrun"/>
          <w:rFonts w:ascii="Palatino Linotype" w:hAnsi="Palatino Linotype" w:cs="Segoe UI"/>
        </w:rPr>
        <w:t xml:space="preserve">del ordenamiento legal citado, que </w:t>
      </w:r>
      <w:r w:rsidR="00CF0C04">
        <w:rPr>
          <w:rStyle w:val="normaltextrun"/>
          <w:rFonts w:ascii="Palatino Linotype" w:hAnsi="Palatino Linotype" w:cs="Segoe UI"/>
        </w:rPr>
        <w:t>establecen los supuestos en que puede interponerse el recurso de revisión:</w:t>
      </w:r>
    </w:p>
    <w:p w14:paraId="57EC3C68" w14:textId="77777777" w:rsidR="00CF0C04" w:rsidRDefault="00CF0C04" w:rsidP="00CF0C04">
      <w:pPr>
        <w:autoSpaceDE w:val="0"/>
        <w:autoSpaceDN w:val="0"/>
        <w:adjustRightInd w:val="0"/>
        <w:spacing w:before="240" w:after="240" w:line="360" w:lineRule="auto"/>
        <w:ind w:left="1134" w:right="902"/>
        <w:jc w:val="both"/>
        <w:rPr>
          <w:rStyle w:val="normaltextrun"/>
          <w:rFonts w:ascii="Palatino Linotype" w:hAnsi="Palatino Linotype" w:cs="Segoe UI"/>
          <w:bCs/>
          <w:i/>
          <w:sz w:val="20"/>
          <w:szCs w:val="22"/>
        </w:rPr>
      </w:pPr>
      <w:r w:rsidRPr="00CD59DC">
        <w:rPr>
          <w:rStyle w:val="normaltextrun"/>
          <w:rFonts w:ascii="Palatino Linotype" w:hAnsi="Palatino Linotype" w:cs="Segoe UI"/>
          <w:b/>
          <w:bCs/>
          <w:i/>
          <w:iCs/>
          <w:sz w:val="20"/>
          <w:szCs w:val="22"/>
        </w:rPr>
        <w:t>“</w:t>
      </w:r>
      <w:r w:rsidRPr="00AC17F2">
        <w:rPr>
          <w:rStyle w:val="normaltextrun"/>
          <w:rFonts w:ascii="Palatino Linotype" w:hAnsi="Palatino Linotype" w:cs="Segoe UI"/>
          <w:b/>
          <w:bCs/>
          <w:i/>
          <w:sz w:val="20"/>
          <w:szCs w:val="22"/>
        </w:rPr>
        <w:t xml:space="preserve">Artículo 176. </w:t>
      </w:r>
      <w:r w:rsidRPr="00AC17F2">
        <w:rPr>
          <w:rStyle w:val="normaltextrun"/>
          <w:rFonts w:ascii="Palatino Linotype" w:hAnsi="Palatino Linotype" w:cs="Segoe UI"/>
          <w:bCs/>
          <w:i/>
          <w:sz w:val="20"/>
          <w:szCs w:val="22"/>
        </w:rPr>
        <w:t>El recurso de revisión  es la garantía secundaria</w:t>
      </w:r>
      <w:r>
        <w:rPr>
          <w:rStyle w:val="normaltextrun"/>
          <w:rFonts w:ascii="Palatino Linotype" w:hAnsi="Palatino Linotype" w:cs="Segoe UI"/>
          <w:bCs/>
          <w:i/>
          <w:sz w:val="20"/>
          <w:szCs w:val="22"/>
        </w:rPr>
        <w:t xml:space="preserve"> mediante la cual se pretende reparar cualquier posible afectación al derecho de acceso a la información pública en términos del presente y siguiente Capítulo.</w:t>
      </w:r>
    </w:p>
    <w:p w14:paraId="1CD6559F" w14:textId="77777777" w:rsidR="00CF0C04" w:rsidRPr="00CD59DC" w:rsidRDefault="00CF0C04" w:rsidP="00CF0C04">
      <w:pPr>
        <w:autoSpaceDE w:val="0"/>
        <w:autoSpaceDN w:val="0"/>
        <w:adjustRightInd w:val="0"/>
        <w:spacing w:before="240" w:after="240" w:line="360" w:lineRule="auto"/>
        <w:ind w:left="1134" w:right="902"/>
        <w:jc w:val="both"/>
        <w:rPr>
          <w:rStyle w:val="eop"/>
          <w:rFonts w:ascii="Palatino Linotype" w:eastAsiaTheme="majorEastAsia" w:hAnsi="Palatino Linotype" w:cs="Segoe UI"/>
          <w:i/>
          <w:sz w:val="20"/>
          <w:szCs w:val="20"/>
        </w:rPr>
      </w:pPr>
      <w:r>
        <w:rPr>
          <w:rStyle w:val="normaltextrun"/>
          <w:rFonts w:ascii="Palatino Linotype" w:hAnsi="Palatino Linotype" w:cs="Segoe UI"/>
          <w:b/>
          <w:bCs/>
          <w:i/>
          <w:sz w:val="20"/>
          <w:szCs w:val="22"/>
        </w:rPr>
        <w:t xml:space="preserve">Artículo </w:t>
      </w:r>
      <w:r w:rsidRPr="00AC17F2">
        <w:rPr>
          <w:rStyle w:val="normaltextrun"/>
          <w:rFonts w:ascii="Palatino Linotype" w:hAnsi="Palatino Linotype" w:cs="Segoe UI"/>
          <w:b/>
          <w:bCs/>
          <w:i/>
          <w:sz w:val="20"/>
          <w:szCs w:val="22"/>
        </w:rPr>
        <w:t>179</w:t>
      </w:r>
      <w:r w:rsidRPr="00CD59DC">
        <w:rPr>
          <w:rStyle w:val="normaltextrun"/>
          <w:rFonts w:ascii="Palatino Linotype" w:hAnsi="Palatino Linotype" w:cs="Segoe UI"/>
          <w:b/>
          <w:bCs/>
          <w:sz w:val="20"/>
          <w:szCs w:val="22"/>
        </w:rPr>
        <w:t>.-</w:t>
      </w:r>
      <w:r w:rsidRPr="00CD59DC">
        <w:rPr>
          <w:rFonts w:ascii="Bookman Old Style" w:eastAsiaTheme="minorEastAsia" w:hAnsi="Bookman Old Style" w:cs="Bookman Old Style"/>
          <w:sz w:val="18"/>
          <w:szCs w:val="20"/>
          <w:lang w:val="es-MX"/>
        </w:rPr>
        <w:t xml:space="preserve"> </w:t>
      </w:r>
      <w:r w:rsidRPr="00CD59DC">
        <w:rPr>
          <w:rFonts w:ascii="Palatino Linotype" w:eastAsiaTheme="minorEastAsia" w:hAnsi="Palatino Linotype" w:cs="Bookman Old Style"/>
          <w:i/>
          <w:sz w:val="20"/>
          <w:szCs w:val="20"/>
          <w:lang w:val="es-MX"/>
        </w:rPr>
        <w:t>El recurso de revisión es un medio de protección que la Ley otorga a los particulares, para hacer valer su derecho de acceso a la información pública, y procederá en contra de las siguientes causas:</w:t>
      </w:r>
    </w:p>
    <w:p w14:paraId="4DDDA603" w14:textId="6BB6DB44" w:rsidR="00DF134A" w:rsidRPr="00D66740" w:rsidRDefault="008B3A27" w:rsidP="00CF0C04">
      <w:pPr>
        <w:spacing w:before="240" w:after="240" w:line="360" w:lineRule="auto"/>
        <w:ind w:left="1276"/>
        <w:jc w:val="both"/>
        <w:rPr>
          <w:rFonts w:ascii="Palatino Linotype" w:eastAsiaTheme="minorEastAsia" w:hAnsi="Palatino Linotype" w:cs="Bookman Old Style"/>
          <w:b/>
          <w:i/>
          <w:sz w:val="20"/>
          <w:szCs w:val="20"/>
          <w:lang w:val="es-MX"/>
        </w:rPr>
      </w:pPr>
      <w:r w:rsidRPr="008B3A27">
        <w:rPr>
          <w:rFonts w:ascii="Palatino Linotype" w:hAnsi="Palatino Linotype" w:cs="Arial"/>
          <w:b/>
          <w:bCs/>
          <w:i/>
          <w:sz w:val="22"/>
          <w:szCs w:val="22"/>
        </w:rPr>
        <w:t>VII. La falta de respuesta a una solicitud de acceso a la información</w:t>
      </w:r>
      <w:r w:rsidR="00DF134A" w:rsidRPr="0040233B">
        <w:rPr>
          <w:rStyle w:val="eop"/>
          <w:rFonts w:ascii="Palatino Linotype" w:eastAsiaTheme="majorEastAsia" w:hAnsi="Palatino Linotype" w:cs="Segoe UI"/>
          <w:i/>
          <w:sz w:val="22"/>
          <w:szCs w:val="22"/>
        </w:rPr>
        <w:t>…</w:t>
      </w:r>
      <w:r>
        <w:rPr>
          <w:rStyle w:val="eop"/>
          <w:rFonts w:ascii="Palatino Linotype" w:eastAsiaTheme="majorEastAsia" w:hAnsi="Palatino Linotype" w:cs="Segoe UI"/>
          <w:i/>
          <w:sz w:val="22"/>
          <w:szCs w:val="22"/>
        </w:rPr>
        <w:t>”</w:t>
      </w:r>
    </w:p>
    <w:p w14:paraId="53BFCA30" w14:textId="77777777" w:rsidR="0059069B" w:rsidRDefault="0059069B" w:rsidP="0059069B">
      <w:pPr>
        <w:spacing w:before="240" w:after="240" w:line="360" w:lineRule="auto"/>
        <w:ind w:left="708" w:hanging="708"/>
        <w:jc w:val="both"/>
        <w:rPr>
          <w:rFonts w:ascii="Palatino Linotype" w:hAnsi="Palatino Linotype"/>
          <w:b/>
        </w:rPr>
      </w:pPr>
      <w:r w:rsidRPr="00D66740">
        <w:rPr>
          <w:rFonts w:ascii="Palatino Linotype" w:hAnsi="Palatino Linotype"/>
          <w:b/>
          <w:sz w:val="28"/>
          <w:szCs w:val="28"/>
        </w:rPr>
        <w:t>TERCERO. Materia de la revisión</w:t>
      </w:r>
      <w:r w:rsidRPr="0040233B">
        <w:rPr>
          <w:rFonts w:ascii="Palatino Linotype" w:hAnsi="Palatino Linotype"/>
          <w:b/>
        </w:rPr>
        <w:t>.</w:t>
      </w:r>
    </w:p>
    <w:p w14:paraId="7FBC7451" w14:textId="77777777" w:rsidR="0059069B" w:rsidRPr="0020435D" w:rsidRDefault="0059069B" w:rsidP="0059069B">
      <w:pPr>
        <w:spacing w:before="240" w:after="240" w:line="360" w:lineRule="auto"/>
        <w:jc w:val="both"/>
        <w:rPr>
          <w:rFonts w:ascii="Palatino Linotype" w:hAnsi="Palatino Linotype"/>
        </w:rPr>
      </w:pPr>
      <w:r>
        <w:rPr>
          <w:rFonts w:ascii="Palatino Linotype" w:hAnsi="Palatino Linotype"/>
        </w:rPr>
        <w:lastRenderedPageBreak/>
        <w:t xml:space="preserve">Una vez realizado el análisis de las constancias que integran el expediente en que se actúa, se desprende que la resolución consiste en determinar la legalidad de la respuesta emitida por el </w:t>
      </w:r>
      <w:r>
        <w:rPr>
          <w:rFonts w:ascii="Palatino Linotype" w:hAnsi="Palatino Linotype"/>
          <w:b/>
        </w:rPr>
        <w:t xml:space="preserve">Sujeto Obligado </w:t>
      </w:r>
      <w:r>
        <w:rPr>
          <w:rFonts w:ascii="Palatino Linotype" w:hAnsi="Palatino Linotype"/>
        </w:rPr>
        <w:t>a la solicitud de acceso a la información, y en su caso resolver si resulta procedente ordenar lo requerido según la manifestaciones hechas al momento de interponerse el presente medio de impugnación, de conformidad con lo dispuesto en la Ley de Transparencia y Acceso a la Información Pública del Estado de México y Municipios.</w:t>
      </w:r>
    </w:p>
    <w:p w14:paraId="2647A658" w14:textId="77777777" w:rsidR="0059069B" w:rsidRPr="00D66740" w:rsidRDefault="0059069B" w:rsidP="0059069B">
      <w:pPr>
        <w:spacing w:before="240" w:after="240" w:line="360" w:lineRule="auto"/>
        <w:jc w:val="both"/>
        <w:rPr>
          <w:rFonts w:ascii="Palatino Linotype" w:hAnsi="Palatino Linotype"/>
          <w:b/>
          <w:sz w:val="28"/>
          <w:szCs w:val="28"/>
        </w:rPr>
      </w:pPr>
      <w:r w:rsidRPr="00F75E36">
        <w:rPr>
          <w:rFonts w:ascii="Palatino Linotype" w:hAnsi="Palatino Linotype"/>
          <w:b/>
          <w:sz w:val="28"/>
          <w:szCs w:val="28"/>
        </w:rPr>
        <w:t>CUARTO. Estudio del asunto.</w:t>
      </w:r>
    </w:p>
    <w:p w14:paraId="2DCCB828" w14:textId="4FE42A77" w:rsidR="00CC6364" w:rsidRDefault="002D5F1E" w:rsidP="00CC6364">
      <w:pPr>
        <w:spacing w:before="240" w:after="240" w:line="360" w:lineRule="auto"/>
        <w:jc w:val="both"/>
        <w:rPr>
          <w:rFonts w:ascii="Palatino Linotype" w:hAnsi="Palatino Linotype" w:cs="Arial"/>
        </w:rPr>
      </w:pPr>
      <w:r>
        <w:rPr>
          <w:rFonts w:ascii="Palatino Linotype" w:hAnsi="Palatino Linotype" w:cs="Arial"/>
        </w:rPr>
        <w:t>T</w:t>
      </w:r>
      <w:r w:rsidR="00CC6364" w:rsidRPr="006058FE">
        <w:rPr>
          <w:rFonts w:ascii="Palatino Linotype" w:hAnsi="Palatino Linotype" w:cs="Arial"/>
        </w:rPr>
        <w:t>ras la revisión a las constancias que integran el expediente electrónico del SAIMEX</w:t>
      </w:r>
      <w:r w:rsidR="006A1C0F">
        <w:rPr>
          <w:rFonts w:ascii="Palatino Linotype" w:hAnsi="Palatino Linotype" w:cs="Arial"/>
        </w:rPr>
        <w:t>,</w:t>
      </w:r>
      <w:r w:rsidR="00CC6364" w:rsidRPr="006058FE">
        <w:rPr>
          <w:rFonts w:ascii="Palatino Linotype" w:hAnsi="Palatino Linotype" w:cs="Arial"/>
        </w:rPr>
        <w:t xml:space="preserve"> número 0</w:t>
      </w:r>
      <w:r w:rsidR="00CC6364">
        <w:rPr>
          <w:rFonts w:ascii="Palatino Linotype" w:hAnsi="Palatino Linotype" w:cs="Arial"/>
        </w:rPr>
        <w:t>4</w:t>
      </w:r>
      <w:r w:rsidR="006A1C0F">
        <w:rPr>
          <w:rFonts w:ascii="Palatino Linotype" w:hAnsi="Palatino Linotype" w:cs="Arial"/>
        </w:rPr>
        <w:t>799</w:t>
      </w:r>
      <w:r w:rsidR="00CC6364" w:rsidRPr="006058FE">
        <w:rPr>
          <w:rFonts w:ascii="Palatino Linotype" w:hAnsi="Palatino Linotype" w:cs="Arial"/>
        </w:rPr>
        <w:t>/INFOEM/IP/RR/201</w:t>
      </w:r>
      <w:r w:rsidR="00CC6364">
        <w:rPr>
          <w:rFonts w:ascii="Palatino Linotype" w:hAnsi="Palatino Linotype" w:cs="Arial"/>
        </w:rPr>
        <w:t>8</w:t>
      </w:r>
      <w:r w:rsidR="00CC6364" w:rsidRPr="006058FE">
        <w:rPr>
          <w:rFonts w:ascii="Palatino Linotype" w:hAnsi="Palatino Linotype" w:cs="Arial"/>
        </w:rPr>
        <w:t xml:space="preserve"> se acredita la falta de respuesta por parte del </w:t>
      </w:r>
      <w:r w:rsidR="00CC6364" w:rsidRPr="006058FE">
        <w:rPr>
          <w:rFonts w:ascii="Palatino Linotype" w:hAnsi="Palatino Linotype" w:cs="Arial"/>
          <w:b/>
        </w:rPr>
        <w:t xml:space="preserve">Sujeto Obligado, </w:t>
      </w:r>
      <w:r w:rsidR="00CC6364" w:rsidRPr="006058FE">
        <w:rPr>
          <w:rFonts w:ascii="Palatino Linotype" w:hAnsi="Palatino Linotype" w:cs="Arial"/>
        </w:rPr>
        <w:t>vulner</w:t>
      </w:r>
      <w:r>
        <w:rPr>
          <w:rFonts w:ascii="Palatino Linotype" w:hAnsi="Palatino Linotype" w:cs="Arial"/>
        </w:rPr>
        <w:t>ando así</w:t>
      </w:r>
      <w:r w:rsidR="00CC6364" w:rsidRPr="006058FE">
        <w:rPr>
          <w:rFonts w:ascii="Palatino Linotype" w:hAnsi="Palatino Linotype" w:cs="Arial"/>
        </w:rPr>
        <w:t xml:space="preserve"> el derecho de acceso a la información pública del </w:t>
      </w:r>
      <w:r w:rsidR="00CC6364" w:rsidRPr="006058FE">
        <w:rPr>
          <w:rFonts w:ascii="Palatino Linotype" w:hAnsi="Palatino Linotype" w:cs="Arial"/>
          <w:b/>
          <w:i/>
        </w:rPr>
        <w:t>Recurrente</w:t>
      </w:r>
      <w:r w:rsidR="00CC6364" w:rsidRPr="006058FE">
        <w:rPr>
          <w:rFonts w:ascii="Palatino Linotype" w:hAnsi="Palatino Linotype" w:cs="Arial"/>
        </w:rPr>
        <w:t xml:space="preserve">, toda vez que </w:t>
      </w:r>
      <w:r w:rsidR="006A1C0F">
        <w:rPr>
          <w:rFonts w:ascii="Palatino Linotype" w:hAnsi="Palatino Linotype" w:cs="Arial"/>
        </w:rPr>
        <w:t>el particular solicitó en fecha trece de noviembre de dos mil dieciocho, información relativa al sistema de alumbrado público municipal como lo es, presupuesto, infraestructura, cobertura, modernización y administración, sin que a la fecha en que se presentó el recurso de revisión materia de la presente resolución se haya emitido respuesta alguna.</w:t>
      </w:r>
    </w:p>
    <w:p w14:paraId="68561AE0" w14:textId="77777777" w:rsidR="006A1C0F" w:rsidRDefault="007A4219" w:rsidP="00425752">
      <w:pPr>
        <w:spacing w:before="240" w:after="240" w:line="360" w:lineRule="auto"/>
        <w:ind w:right="-91"/>
        <w:jc w:val="both"/>
        <w:rPr>
          <w:rFonts w:ascii="Palatino Linotype" w:hAnsi="Palatino Linotype"/>
        </w:rPr>
      </w:pPr>
      <w:r>
        <w:rPr>
          <w:rFonts w:ascii="Palatino Linotype" w:hAnsi="Palatino Linotype" w:cs="Arial"/>
        </w:rPr>
        <w:t>Visto desde esta perspectiva</w:t>
      </w:r>
      <w:r w:rsidR="00425752" w:rsidRPr="006058FE">
        <w:rPr>
          <w:rFonts w:ascii="Palatino Linotype" w:hAnsi="Palatino Linotype" w:cs="Arial"/>
        </w:rPr>
        <w:t xml:space="preserve">, </w:t>
      </w:r>
      <w:r>
        <w:rPr>
          <w:rFonts w:ascii="Palatino Linotype" w:hAnsi="Palatino Linotype" w:cs="Arial"/>
        </w:rPr>
        <w:t>e</w:t>
      </w:r>
      <w:r w:rsidR="00425752" w:rsidRPr="006058FE">
        <w:rPr>
          <w:rFonts w:ascii="Palatino Linotype" w:hAnsi="Palatino Linotype"/>
        </w:rPr>
        <w:t xml:space="preserve">l artículo 1 de la Constitución Política de los Estados Unidos Mexicanos </w:t>
      </w:r>
      <w:r>
        <w:rPr>
          <w:rFonts w:ascii="Palatino Linotype" w:hAnsi="Palatino Linotype"/>
        </w:rPr>
        <w:t xml:space="preserve">prevé que </w:t>
      </w:r>
      <w:r w:rsidR="00425752" w:rsidRPr="006058FE">
        <w:rPr>
          <w:rFonts w:ascii="Palatino Linotype" w:hAnsi="Palatino Linotype"/>
        </w:rPr>
        <w:t>las normas de derechos humanos se interpretarán de conformidad con nuestro máximo ordenamiento y con los tratados internacionales de la materia, favoreciendo en todo momento a las personas con la protección más amplia</w:t>
      </w:r>
      <w:r w:rsidR="006A1C0F">
        <w:rPr>
          <w:rFonts w:ascii="Palatino Linotype" w:hAnsi="Palatino Linotype"/>
        </w:rPr>
        <w:t>.</w:t>
      </w:r>
    </w:p>
    <w:p w14:paraId="11E8CCE5" w14:textId="2D3B360B" w:rsidR="006A1C0F" w:rsidRDefault="006A1C0F" w:rsidP="006A1C0F">
      <w:pPr>
        <w:spacing w:before="240" w:after="240" w:line="360" w:lineRule="auto"/>
        <w:jc w:val="both"/>
        <w:rPr>
          <w:rFonts w:ascii="Palatino Linotype" w:hAnsi="Palatino Linotype"/>
        </w:rPr>
      </w:pPr>
      <w:r>
        <w:rPr>
          <w:rFonts w:ascii="Palatino Linotype" w:hAnsi="Palatino Linotype"/>
        </w:rPr>
        <w:lastRenderedPageBreak/>
        <w:t xml:space="preserve">Bajo dicho </w:t>
      </w:r>
      <w:r w:rsidR="0019308D">
        <w:rPr>
          <w:rFonts w:ascii="Palatino Linotype" w:hAnsi="Palatino Linotype"/>
        </w:rPr>
        <w:t>argumento, resulta necesario hac</w:t>
      </w:r>
      <w:r>
        <w:rPr>
          <w:rFonts w:ascii="Palatino Linotype" w:hAnsi="Palatino Linotype"/>
        </w:rPr>
        <w:t>er alusión al contenido de los artículos 6 apartado A, fracción I de la Constitución Política de los Estados Unidos Mexicanos y 5 párrafo vigésimo primero y vigésimo segundo fracción I de la Constitución Política del Estado Libre y Soberano de México, en los que se establece que toda la información en posesión de cualquier autoridad, entidad, órgano y organismo federal, estatal y municipal, es pública y solo podrá ser reservada temporalmente por razones de interés público en l</w:t>
      </w:r>
      <w:r w:rsidR="001354D6">
        <w:rPr>
          <w:rFonts w:ascii="Palatino Linotype" w:hAnsi="Palatino Linotype"/>
        </w:rPr>
        <w:t>os términos que fijen las leyes</w:t>
      </w:r>
      <w:r w:rsidR="0019308D">
        <w:rPr>
          <w:rFonts w:ascii="Palatino Linotype" w:hAnsi="Palatino Linotype"/>
        </w:rPr>
        <w:t>.</w:t>
      </w:r>
    </w:p>
    <w:p w14:paraId="459496AF" w14:textId="68DD0D5F" w:rsidR="00425752" w:rsidRPr="006058FE" w:rsidRDefault="006A1C0F" w:rsidP="00FF6792">
      <w:pPr>
        <w:spacing w:before="240" w:after="240" w:line="360" w:lineRule="auto"/>
        <w:jc w:val="both"/>
        <w:rPr>
          <w:rFonts w:ascii="Palatino Linotype" w:hAnsi="Palatino Linotype"/>
        </w:rPr>
      </w:pPr>
      <w:r>
        <w:rPr>
          <w:rFonts w:ascii="Palatino Linotype" w:hAnsi="Palatino Linotype"/>
        </w:rPr>
        <w:t xml:space="preserve">Entonces,  </w:t>
      </w:r>
      <w:r w:rsidR="00FF6792">
        <w:rPr>
          <w:rFonts w:ascii="Palatino Linotype" w:hAnsi="Palatino Linotype"/>
        </w:rPr>
        <w:t xml:space="preserve">es una </w:t>
      </w:r>
      <w:r w:rsidR="00425752" w:rsidRPr="006058FE">
        <w:rPr>
          <w:rFonts w:ascii="Palatino Linotype" w:hAnsi="Palatino Linotype"/>
        </w:rPr>
        <w:t>base distintiva</w:t>
      </w:r>
      <w:r w:rsidR="00FF6792">
        <w:rPr>
          <w:rFonts w:ascii="Palatino Linotype" w:hAnsi="Palatino Linotype"/>
        </w:rPr>
        <w:t xml:space="preserve"> derecho del acceso a la información </w:t>
      </w:r>
      <w:r w:rsidR="00425752" w:rsidRPr="006058FE">
        <w:rPr>
          <w:rFonts w:ascii="Palatino Linotype" w:hAnsi="Palatino Linotype"/>
        </w:rPr>
        <w:t>el principio de máxima publicidad</w:t>
      </w:r>
      <w:r w:rsidR="00FF6792">
        <w:rPr>
          <w:rFonts w:ascii="Palatino Linotype" w:hAnsi="Palatino Linotype"/>
        </w:rPr>
        <w:t>, bajo las siguientes consideraciones</w:t>
      </w:r>
      <w:r w:rsidR="00425752" w:rsidRPr="006058FE">
        <w:rPr>
          <w:rFonts w:ascii="Palatino Linotype" w:hAnsi="Palatino Linotype"/>
        </w:rPr>
        <w:t>:</w:t>
      </w:r>
    </w:p>
    <w:p w14:paraId="70658FFD" w14:textId="77777777" w:rsidR="00425752" w:rsidRPr="006058FE" w:rsidRDefault="00425752" w:rsidP="00425752">
      <w:pPr>
        <w:pStyle w:val="Default"/>
        <w:numPr>
          <w:ilvl w:val="0"/>
          <w:numId w:val="30"/>
        </w:numPr>
        <w:spacing w:before="240" w:after="240" w:line="360" w:lineRule="auto"/>
        <w:jc w:val="both"/>
        <w:rPr>
          <w:rFonts w:ascii="Palatino Linotype" w:hAnsi="Palatino Linotype"/>
          <w:color w:val="auto"/>
        </w:rPr>
      </w:pPr>
      <w:r w:rsidRPr="006058FE">
        <w:rPr>
          <w:rFonts w:ascii="Palatino Linotype" w:hAnsi="Palatino Linotype"/>
          <w:color w:val="auto"/>
        </w:rPr>
        <w:t>Toda la información de las autoridades es pública para cualquier persona, por ser una prerrogativa constitucional, salvo restringidas excepciones.</w:t>
      </w:r>
    </w:p>
    <w:p w14:paraId="0351C3A4" w14:textId="77777777" w:rsidR="00425752" w:rsidRPr="006058FE" w:rsidRDefault="00425752" w:rsidP="00425752">
      <w:pPr>
        <w:pStyle w:val="Default"/>
        <w:numPr>
          <w:ilvl w:val="0"/>
          <w:numId w:val="30"/>
        </w:numPr>
        <w:spacing w:before="240" w:after="240" w:line="360" w:lineRule="auto"/>
        <w:jc w:val="both"/>
        <w:rPr>
          <w:rFonts w:ascii="Palatino Linotype" w:hAnsi="Palatino Linotype"/>
          <w:color w:val="auto"/>
        </w:rPr>
      </w:pPr>
      <w:r w:rsidRPr="006058FE">
        <w:rPr>
          <w:rFonts w:ascii="Palatino Linotype" w:hAnsi="Palatino Linotype"/>
          <w:color w:val="auto"/>
        </w:rPr>
        <w:t>Las excepciones a la máxima publicidad deben ser previstas expresamente en la legislación e invocarse por circunstancias justificadas.</w:t>
      </w:r>
    </w:p>
    <w:p w14:paraId="3FD90467" w14:textId="04CEAA51" w:rsidR="0019308D" w:rsidRPr="00416661" w:rsidRDefault="00FF6792" w:rsidP="0019308D">
      <w:pPr>
        <w:spacing w:after="200" w:line="360" w:lineRule="auto"/>
        <w:jc w:val="both"/>
        <w:rPr>
          <w:rFonts w:ascii="Arial" w:hAnsi="Arial" w:cs="Arial"/>
          <w:color w:val="222222"/>
          <w:szCs w:val="19"/>
          <w:lang w:val="es-MX" w:eastAsia="es-MX"/>
        </w:rPr>
      </w:pPr>
      <w:r w:rsidRPr="00FF6792">
        <w:rPr>
          <w:rFonts w:ascii="Palatino Linotype" w:hAnsi="Palatino Linotype" w:cs="Arial"/>
        </w:rPr>
        <w:t xml:space="preserve">De esta manera, </w:t>
      </w:r>
      <w:r>
        <w:rPr>
          <w:rFonts w:ascii="Palatino Linotype" w:hAnsi="Palatino Linotype"/>
        </w:rPr>
        <w:t xml:space="preserve">resulta oportuno establecer que en el asunto </w:t>
      </w:r>
      <w:r w:rsidRPr="00FD7C99">
        <w:rPr>
          <w:rFonts w:ascii="Palatino Linotype" w:hAnsi="Palatino Linotype" w:cs="Arial"/>
        </w:rPr>
        <w:t xml:space="preserve">materia de la presente resolución se advierte que el particular </w:t>
      </w:r>
      <w:r>
        <w:rPr>
          <w:rFonts w:ascii="Palatino Linotype" w:hAnsi="Palatino Linotype" w:cs="Arial"/>
        </w:rPr>
        <w:t>solicitó diversa información, no precisando en todos los casos el documento al cual desea tener acceso</w:t>
      </w:r>
      <w:r w:rsidRPr="00FD7C99">
        <w:rPr>
          <w:rFonts w:ascii="Palatino Linotype" w:hAnsi="Palatino Linotype" w:cs="Arial"/>
        </w:rPr>
        <w:t xml:space="preserve">, </w:t>
      </w:r>
      <w:r>
        <w:rPr>
          <w:rFonts w:ascii="Palatino Linotype" w:hAnsi="Palatino Linotype" w:cs="Arial"/>
        </w:rPr>
        <w:t xml:space="preserve">por lo que se deberá realizar </w:t>
      </w:r>
      <w:r w:rsidRPr="00FD7C99">
        <w:rPr>
          <w:rFonts w:ascii="Palatino Linotype" w:hAnsi="Palatino Linotype" w:cs="Arial"/>
        </w:rPr>
        <w:t>una interpretación a la solicitud planteada</w:t>
      </w:r>
      <w:r w:rsidR="00287C71">
        <w:rPr>
          <w:rStyle w:val="Refdenotaalpie"/>
          <w:rFonts w:ascii="Palatino Linotype" w:hAnsi="Palatino Linotype" w:cs="Arial"/>
        </w:rPr>
        <w:footnoteReference w:id="1"/>
      </w:r>
      <w:r>
        <w:rPr>
          <w:rFonts w:ascii="Palatino Linotype" w:hAnsi="Palatino Linotype" w:cs="Arial"/>
        </w:rPr>
        <w:t>,</w:t>
      </w:r>
      <w:r w:rsidRPr="00FD7C99">
        <w:rPr>
          <w:rFonts w:ascii="Palatino Linotype" w:hAnsi="Palatino Linotype" w:cs="Arial"/>
        </w:rPr>
        <w:t xml:space="preserve"> </w:t>
      </w:r>
      <w:r>
        <w:rPr>
          <w:rFonts w:ascii="Palatino Linotype" w:hAnsi="Palatino Linotype" w:cs="Arial"/>
        </w:rPr>
        <w:t xml:space="preserve">en virtud de que el derecho de acceso a la información </w:t>
      </w:r>
      <w:r w:rsidRPr="002B15A9">
        <w:rPr>
          <w:rFonts w:ascii="Palatino Linotype" w:hAnsi="Palatino Linotype" w:cs="Arial"/>
          <w:lang w:eastAsia="es-MX"/>
        </w:rPr>
        <w:t xml:space="preserve">constituye una prerrogativa a acceder a documentación en poder de los Sujetos Obligados, </w:t>
      </w:r>
      <w:r w:rsidR="0019308D">
        <w:rPr>
          <w:rFonts w:ascii="Palatino Linotype" w:hAnsi="Palatino Linotype" w:cs="Arial"/>
          <w:color w:val="222222"/>
          <w:lang w:eastAsia="es-MX"/>
        </w:rPr>
        <w:t xml:space="preserve">lo que se traduce en una obligación de </w:t>
      </w:r>
      <w:r w:rsidR="0019308D" w:rsidRPr="00102700">
        <w:rPr>
          <w:rFonts w:ascii="Palatino Linotype" w:eastAsiaTheme="minorHAnsi" w:hAnsi="Palatino Linotype" w:cs="Bookman Old Style"/>
          <w:lang w:val="es-MX" w:eastAsia="en-US"/>
        </w:rPr>
        <w:lastRenderedPageBreak/>
        <w:t>proporcionarán la información pública que se les requiera y que obre en sus</w:t>
      </w:r>
      <w:r w:rsidR="0019308D">
        <w:rPr>
          <w:rFonts w:ascii="Palatino Linotype" w:eastAsiaTheme="minorHAnsi" w:hAnsi="Palatino Linotype" w:cs="Bookman Old Style"/>
          <w:lang w:val="es-MX" w:eastAsia="en-US"/>
        </w:rPr>
        <w:t xml:space="preserve"> </w:t>
      </w:r>
      <w:r w:rsidR="0019308D" w:rsidRPr="00102700">
        <w:rPr>
          <w:rFonts w:ascii="Palatino Linotype" w:eastAsiaTheme="minorHAnsi" w:hAnsi="Palatino Linotype" w:cs="Bookman Old Style"/>
          <w:lang w:val="es-MX" w:eastAsia="en-US"/>
        </w:rPr>
        <w:t>archivos y en el estado en que ésta se encuentre</w:t>
      </w:r>
      <w:r w:rsidR="0019308D">
        <w:rPr>
          <w:rFonts w:ascii="Palatino Linotype" w:eastAsiaTheme="minorHAnsi" w:hAnsi="Palatino Linotype" w:cs="Bookman Old Style"/>
          <w:lang w:val="es-MX" w:eastAsia="en-US"/>
        </w:rPr>
        <w:t xml:space="preserve">; lo cual, no </w:t>
      </w:r>
      <w:r w:rsidR="0019308D" w:rsidRPr="00102700">
        <w:rPr>
          <w:rFonts w:ascii="Palatino Linotype" w:eastAsiaTheme="minorHAnsi" w:hAnsi="Palatino Linotype" w:cs="Bookman Old Style"/>
          <w:lang w:val="es-MX" w:eastAsia="en-US"/>
        </w:rPr>
        <w:t xml:space="preserve">comprende el procesamiento de la misma, </w:t>
      </w:r>
      <w:r w:rsidR="0019308D" w:rsidRPr="007D1F27">
        <w:rPr>
          <w:rFonts w:ascii="Palatino Linotype" w:eastAsiaTheme="minorHAnsi" w:hAnsi="Palatino Linotype" w:cs="Bookman Old Style"/>
          <w:lang w:val="es-MX" w:eastAsia="en-US"/>
        </w:rPr>
        <w:t>ni el presentarla conforme al interés del solicitante</w:t>
      </w:r>
      <w:r w:rsidR="0019308D" w:rsidRPr="00102700">
        <w:rPr>
          <w:rFonts w:ascii="Palatino Linotype" w:eastAsiaTheme="minorHAnsi" w:hAnsi="Palatino Linotype" w:cs="Bookman Old Style"/>
          <w:lang w:val="es-MX" w:eastAsia="en-US"/>
        </w:rPr>
        <w:t xml:space="preserve">; no estarán obligados </w:t>
      </w:r>
      <w:r w:rsidR="0019308D" w:rsidRPr="00763EB1">
        <w:rPr>
          <w:rFonts w:ascii="Palatino Linotype" w:eastAsiaTheme="minorHAnsi" w:hAnsi="Palatino Linotype" w:cs="Bookman Old Style"/>
          <w:lang w:val="es-MX" w:eastAsia="en-US"/>
        </w:rPr>
        <w:t>a generarla, resumirla, efectuar</w:t>
      </w:r>
      <w:r w:rsidR="0019308D" w:rsidRPr="00102700">
        <w:rPr>
          <w:rFonts w:ascii="Palatino Linotype" w:eastAsiaTheme="minorHAnsi" w:hAnsi="Palatino Linotype" w:cs="Bookman Old Style"/>
          <w:lang w:val="es-MX" w:eastAsia="en-US"/>
        </w:rPr>
        <w:t xml:space="preserve"> cálcu</w:t>
      </w:r>
      <w:r w:rsidR="0019308D">
        <w:rPr>
          <w:rFonts w:ascii="Palatino Linotype" w:eastAsiaTheme="minorHAnsi" w:hAnsi="Palatino Linotype" w:cs="Bookman Old Style"/>
          <w:lang w:val="es-MX" w:eastAsia="en-US"/>
        </w:rPr>
        <w:t xml:space="preserve">los o practicar investigaciones,  </w:t>
      </w:r>
      <w:r>
        <w:rPr>
          <w:rFonts w:ascii="Palatino Linotype" w:hAnsi="Palatino Linotype" w:cs="Arial"/>
        </w:rPr>
        <w:t xml:space="preserve">en términos de los </w:t>
      </w:r>
      <w:r w:rsidRPr="00FF6792">
        <w:rPr>
          <w:rFonts w:ascii="Palatino Linotype" w:hAnsi="Palatino Linotype" w:cs="Arial"/>
        </w:rPr>
        <w:t xml:space="preserve">artículos </w:t>
      </w:r>
      <w:r w:rsidRPr="00FF6792">
        <w:rPr>
          <w:rFonts w:ascii="Palatino Linotype" w:hAnsi="Palatino Linotype" w:cs="Arial"/>
          <w:color w:val="000000" w:themeColor="text1"/>
        </w:rPr>
        <w:t xml:space="preserve">3 fracciones XI, XII 4, 12 y 24 último párrafo </w:t>
      </w:r>
      <w:r w:rsidRPr="00FF6792">
        <w:rPr>
          <w:rFonts w:ascii="Palatino Linotype" w:hAnsi="Palatino Linotype" w:cs="Arial"/>
          <w:bCs/>
          <w:color w:val="000000" w:themeColor="text1"/>
        </w:rPr>
        <w:t>de la Ley de Transparencia y Acceso a la Información Pública del Estado de México y Municipios</w:t>
      </w:r>
      <w:r>
        <w:rPr>
          <w:rStyle w:val="Refdenotaalpie"/>
          <w:rFonts w:ascii="Palatino Linotype" w:hAnsi="Palatino Linotype" w:cs="Arial"/>
          <w:bCs/>
          <w:color w:val="000000" w:themeColor="text1"/>
        </w:rPr>
        <w:footnoteReference w:id="2"/>
      </w:r>
      <w:r w:rsidRPr="00FF6792">
        <w:rPr>
          <w:rFonts w:ascii="Palatino Linotype" w:hAnsi="Palatino Linotype" w:cs="Arial"/>
          <w:color w:val="000000" w:themeColor="text1"/>
        </w:rPr>
        <w:t xml:space="preserve">, </w:t>
      </w:r>
      <w:r w:rsidR="0019308D">
        <w:rPr>
          <w:rFonts w:ascii="Palatino Linotype" w:hAnsi="Palatino Linotype"/>
          <w:color w:val="000000"/>
        </w:rPr>
        <w:t xml:space="preserve">sirve como apoyo </w:t>
      </w:r>
      <w:r w:rsidR="0019308D" w:rsidRPr="00416661">
        <w:rPr>
          <w:rFonts w:ascii="Palatino Linotype" w:hAnsi="Palatino Linotype" w:cs="Arial"/>
          <w:color w:val="222222"/>
          <w:szCs w:val="19"/>
          <w:lang w:eastAsia="es-MX"/>
        </w:rPr>
        <w:t xml:space="preserve">a lo anterior, </w:t>
      </w:r>
      <w:r w:rsidR="0019308D">
        <w:rPr>
          <w:rFonts w:ascii="Palatino Linotype" w:hAnsi="Palatino Linotype" w:cs="Arial"/>
          <w:color w:val="222222"/>
          <w:szCs w:val="19"/>
          <w:lang w:eastAsia="es-MX"/>
        </w:rPr>
        <w:t>el c</w:t>
      </w:r>
      <w:r w:rsidR="0019308D" w:rsidRPr="00416661">
        <w:rPr>
          <w:rFonts w:ascii="Palatino Linotype" w:hAnsi="Palatino Linotype" w:cs="Arial"/>
          <w:color w:val="222222"/>
          <w:szCs w:val="19"/>
          <w:lang w:eastAsia="es-MX"/>
        </w:rPr>
        <w:t xml:space="preserve">riterio 09-10, emitido por el Pleno del entonces Instituto Federal de Acceso a la Información y Protección de Datos, que </w:t>
      </w:r>
      <w:r w:rsidR="0019308D">
        <w:rPr>
          <w:rFonts w:ascii="Palatino Linotype" w:hAnsi="Palatino Linotype" w:cs="Arial"/>
          <w:color w:val="222222"/>
          <w:szCs w:val="19"/>
          <w:lang w:eastAsia="es-MX"/>
        </w:rPr>
        <w:t xml:space="preserve">a la letra </w:t>
      </w:r>
      <w:r w:rsidR="0019308D" w:rsidRPr="00416661">
        <w:rPr>
          <w:rFonts w:ascii="Palatino Linotype" w:hAnsi="Palatino Linotype" w:cs="Arial"/>
          <w:color w:val="222222"/>
          <w:szCs w:val="19"/>
          <w:lang w:eastAsia="es-MX"/>
        </w:rPr>
        <w:t>dice:</w:t>
      </w:r>
    </w:p>
    <w:p w14:paraId="038ACAAC" w14:textId="77777777" w:rsidR="0019308D" w:rsidRDefault="0019308D" w:rsidP="0019308D">
      <w:pPr>
        <w:shd w:val="clear" w:color="auto" w:fill="FFFFFF"/>
        <w:tabs>
          <w:tab w:val="left" w:pos="8647"/>
        </w:tabs>
        <w:spacing w:before="240" w:after="240"/>
        <w:ind w:left="851" w:right="900"/>
        <w:jc w:val="both"/>
        <w:rPr>
          <w:rFonts w:ascii="Palatino Linotype" w:hAnsi="Palatino Linotype" w:cs="Arial"/>
          <w:i/>
          <w:iCs/>
          <w:color w:val="222222"/>
          <w:sz w:val="20"/>
          <w:szCs w:val="22"/>
          <w:lang w:eastAsia="es-MX"/>
        </w:rPr>
      </w:pPr>
      <w:r w:rsidRPr="00416661">
        <w:rPr>
          <w:rFonts w:ascii="Palatino Linotype" w:hAnsi="Palatino Linotype" w:cs="Arial"/>
          <w:b/>
          <w:bCs/>
          <w:i/>
          <w:iCs/>
          <w:color w:val="222222"/>
          <w:sz w:val="20"/>
          <w:szCs w:val="22"/>
          <w:lang w:eastAsia="es-MX"/>
        </w:rPr>
        <w:t>“Las dependencias y entidades no están obligadas a generar documentos ad hoc para responder una solicitud de acceso a la información. </w:t>
      </w:r>
      <w:r w:rsidRPr="00416661">
        <w:rPr>
          <w:rFonts w:ascii="Palatino Linotype" w:hAnsi="Palatino Linotype" w:cs="Arial"/>
          <w:i/>
          <w:iCs/>
          <w:color w:val="222222"/>
          <w:sz w:val="20"/>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w:t>
      </w:r>
      <w:r>
        <w:rPr>
          <w:rFonts w:ascii="Palatino Linotype" w:hAnsi="Palatino Linotype" w:cs="Arial"/>
          <w:i/>
          <w:iCs/>
          <w:color w:val="222222"/>
          <w:sz w:val="20"/>
          <w:szCs w:val="22"/>
          <w:lang w:eastAsia="es-MX"/>
        </w:rPr>
        <w:t xml:space="preserve">ión a la solicitud presentada.” </w:t>
      </w:r>
      <w:r w:rsidRPr="00416661">
        <w:rPr>
          <w:rFonts w:ascii="Palatino Linotype" w:hAnsi="Palatino Linotype" w:cs="Arial"/>
          <w:i/>
          <w:iCs/>
          <w:color w:val="222222"/>
          <w:sz w:val="20"/>
          <w:szCs w:val="22"/>
          <w:lang w:eastAsia="es-MX"/>
        </w:rPr>
        <w:t>(Sic)</w:t>
      </w:r>
    </w:p>
    <w:p w14:paraId="13F3A499" w14:textId="0768AA83" w:rsidR="0019308D" w:rsidRDefault="0019308D" w:rsidP="0019308D">
      <w:pPr>
        <w:shd w:val="clear" w:color="auto" w:fill="FFFFFF"/>
        <w:spacing w:before="240" w:after="240" w:line="360" w:lineRule="auto"/>
        <w:jc w:val="both"/>
        <w:rPr>
          <w:rFonts w:ascii="Palatino Linotype" w:hAnsi="Palatino Linotype" w:cs="Arial"/>
          <w:szCs w:val="19"/>
          <w:lang w:eastAsia="es-MX"/>
        </w:rPr>
      </w:pPr>
      <w:r w:rsidRPr="00A339AF">
        <w:rPr>
          <w:rFonts w:ascii="Palatino Linotype" w:hAnsi="Palatino Linotype" w:cs="Arial"/>
          <w:szCs w:val="19"/>
          <w:lang w:eastAsia="es-MX"/>
        </w:rPr>
        <w:lastRenderedPageBreak/>
        <w:t>En efecto, el derecho de acceso a la información es un derecho de acceso a documentos; por lo que, se estima que la naturaleza de los artículos de la legislación en la materia</w:t>
      </w:r>
      <w:r w:rsidR="00891688">
        <w:rPr>
          <w:rFonts w:ascii="Palatino Linotype" w:hAnsi="Palatino Linotype" w:cs="Arial"/>
          <w:szCs w:val="19"/>
          <w:lang w:eastAsia="es-MX"/>
        </w:rPr>
        <w:t>,</w:t>
      </w:r>
      <w:r w:rsidRPr="00A339AF">
        <w:rPr>
          <w:rFonts w:ascii="Palatino Linotype" w:hAnsi="Palatino Linotype" w:cs="Arial"/>
          <w:szCs w:val="19"/>
          <w:lang w:eastAsia="es-MX"/>
        </w:rPr>
        <w:t xml:space="preserve"> versa en ese acceso al documento </w:t>
      </w:r>
      <w:r w:rsidRPr="00A339AF">
        <w:rPr>
          <w:rFonts w:ascii="Palatino Linotype" w:hAnsi="Palatino Linotype" w:cs="Arial"/>
          <w:i/>
          <w:iCs/>
          <w:szCs w:val="19"/>
          <w:lang w:eastAsia="es-MX"/>
        </w:rPr>
        <w:t>per se</w:t>
      </w:r>
      <w:r w:rsidRPr="00A339AF">
        <w:rPr>
          <w:rFonts w:ascii="Palatino Linotype" w:hAnsi="Palatino Linotype" w:cs="Arial"/>
          <w:szCs w:val="19"/>
          <w:lang w:eastAsia="es-MX"/>
        </w:rPr>
        <w:t>.</w:t>
      </w:r>
    </w:p>
    <w:p w14:paraId="55622932" w14:textId="295AEFF2" w:rsidR="00891688" w:rsidRDefault="001354D6" w:rsidP="0019308D">
      <w:pPr>
        <w:shd w:val="clear" w:color="auto" w:fill="FFFFFF"/>
        <w:spacing w:before="240" w:after="240" w:line="360" w:lineRule="auto"/>
        <w:jc w:val="both"/>
        <w:rPr>
          <w:rFonts w:ascii="Palatino Linotype" w:hAnsi="Palatino Linotype" w:cs="Arial"/>
          <w:szCs w:val="19"/>
          <w:lang w:eastAsia="es-MX"/>
        </w:rPr>
      </w:pPr>
      <w:r>
        <w:rPr>
          <w:rFonts w:ascii="Palatino Linotype" w:hAnsi="Palatino Linotype" w:cs="Arial"/>
          <w:szCs w:val="19"/>
          <w:lang w:eastAsia="es-MX"/>
        </w:rPr>
        <w:t xml:space="preserve">En ese sentido, es claro para este Instituto que con la falta de respuesta a la solicitud de acceso a la información, se vulneró en perjuicio del particular su derecho de </w:t>
      </w:r>
      <w:proofErr w:type="spellStart"/>
      <w:r>
        <w:rPr>
          <w:rFonts w:ascii="Palatino Linotype" w:hAnsi="Palatino Linotype" w:cs="Arial"/>
          <w:szCs w:val="19"/>
          <w:lang w:eastAsia="es-MX"/>
        </w:rPr>
        <w:t>accesar</w:t>
      </w:r>
      <w:proofErr w:type="spellEnd"/>
      <w:r>
        <w:rPr>
          <w:rFonts w:ascii="Palatino Linotype" w:hAnsi="Palatino Linotype" w:cs="Arial"/>
          <w:szCs w:val="19"/>
          <w:lang w:eastAsia="es-MX"/>
        </w:rPr>
        <w:t xml:space="preserve"> a la documentación que genera, posee o administrar el </w:t>
      </w:r>
      <w:r>
        <w:rPr>
          <w:rFonts w:ascii="Palatino Linotype" w:hAnsi="Palatino Linotype" w:cs="Arial"/>
          <w:b/>
          <w:szCs w:val="19"/>
          <w:lang w:eastAsia="es-MX"/>
        </w:rPr>
        <w:t xml:space="preserve">Sujeto Obligado </w:t>
      </w:r>
      <w:r>
        <w:rPr>
          <w:rFonts w:ascii="Palatino Linotype" w:hAnsi="Palatino Linotype" w:cs="Arial"/>
          <w:szCs w:val="19"/>
          <w:lang w:eastAsia="es-MX"/>
        </w:rPr>
        <w:t>en el ejercicio de funciones.</w:t>
      </w:r>
    </w:p>
    <w:p w14:paraId="440DEB36" w14:textId="05231956" w:rsidR="00BE3B41" w:rsidRPr="002A1993" w:rsidRDefault="00BE3B41" w:rsidP="00BE3B41">
      <w:pPr>
        <w:spacing w:before="240" w:after="240" w:line="360" w:lineRule="auto"/>
        <w:ind w:right="49"/>
        <w:jc w:val="both"/>
        <w:rPr>
          <w:rFonts w:ascii="Palatino Linotype" w:hAnsi="Palatino Linotype" w:cs="Arial"/>
        </w:rPr>
      </w:pPr>
      <w:r>
        <w:rPr>
          <w:rFonts w:ascii="Palatino Linotype" w:hAnsi="Palatino Linotype" w:cs="Arial"/>
          <w:szCs w:val="19"/>
          <w:lang w:eastAsia="es-MX"/>
        </w:rPr>
        <w:t xml:space="preserve">Por lo anterior, es deber analizar </w:t>
      </w:r>
      <w:r>
        <w:rPr>
          <w:rFonts w:ascii="Palatino Linotype" w:eastAsiaTheme="minorEastAsia" w:hAnsi="Palatino Linotype" w:cs="Bookman Old Style"/>
          <w:lang w:val="es-MX"/>
        </w:rPr>
        <w:t xml:space="preserve">el marco normativo que otorga competencia al Ayuntamiento de Tenango del Aire para atender los requerimientos de información, partiendo de lo estatuido en </w:t>
      </w:r>
      <w:r w:rsidRPr="0079518F">
        <w:rPr>
          <w:rFonts w:ascii="Palatino Linotype" w:eastAsiaTheme="minorEastAsia" w:hAnsi="Palatino Linotype" w:cs="Bookman Old Style"/>
          <w:lang w:val="es-MX"/>
        </w:rPr>
        <w:t xml:space="preserve">la </w:t>
      </w:r>
      <w:r w:rsidRPr="0079518F">
        <w:rPr>
          <w:rFonts w:ascii="Palatino Linotype" w:hAnsi="Palatino Linotype" w:cs="Arial"/>
        </w:rPr>
        <w:t>Constitución Política</w:t>
      </w:r>
      <w:r w:rsidRPr="002A1993">
        <w:rPr>
          <w:rFonts w:ascii="Palatino Linotype" w:hAnsi="Palatino Linotype" w:cs="Arial"/>
        </w:rPr>
        <w:t xml:space="preserve"> de los Estados Unidos Mexicanos</w:t>
      </w:r>
      <w:r>
        <w:rPr>
          <w:rFonts w:ascii="Palatino Linotype" w:hAnsi="Palatino Linotype" w:cs="Arial"/>
        </w:rPr>
        <w:t xml:space="preserve"> que establece en el artículo 115 fracc</w:t>
      </w:r>
      <w:r w:rsidRPr="002A1993">
        <w:rPr>
          <w:rFonts w:ascii="Palatino Linotype" w:hAnsi="Palatino Linotype" w:cs="Arial"/>
        </w:rPr>
        <w:t>iones I</w:t>
      </w:r>
      <w:r>
        <w:rPr>
          <w:rFonts w:ascii="Palatino Linotype" w:hAnsi="Palatino Linotype" w:cs="Arial"/>
        </w:rPr>
        <w:t>, párrafo primero, II párrafo primero</w:t>
      </w:r>
      <w:r w:rsidR="0006786B">
        <w:rPr>
          <w:rFonts w:ascii="Palatino Linotype" w:hAnsi="Palatino Linotype" w:cs="Arial"/>
        </w:rPr>
        <w:t xml:space="preserve"> y III inciso b)</w:t>
      </w:r>
      <w:r w:rsidRPr="002A1993">
        <w:rPr>
          <w:rFonts w:ascii="Palatino Linotype" w:hAnsi="Palatino Linotype" w:cs="Arial"/>
        </w:rPr>
        <w:t xml:space="preserve">, </w:t>
      </w:r>
      <w:r>
        <w:rPr>
          <w:rFonts w:ascii="Palatino Linotype" w:hAnsi="Palatino Linotype" w:cs="Arial"/>
        </w:rPr>
        <w:t>lo</w:t>
      </w:r>
      <w:r w:rsidRPr="002A1993">
        <w:rPr>
          <w:rFonts w:ascii="Palatino Linotype" w:hAnsi="Palatino Linotype" w:cs="Arial"/>
        </w:rPr>
        <w:t xml:space="preserve"> siguiente:</w:t>
      </w:r>
    </w:p>
    <w:p w14:paraId="6505455D" w14:textId="77777777" w:rsidR="00BE3B41" w:rsidRPr="00D11D47" w:rsidRDefault="00BE3B41" w:rsidP="00BE3B41">
      <w:pPr>
        <w:spacing w:before="240" w:after="240"/>
        <w:ind w:left="851" w:right="900"/>
        <w:jc w:val="both"/>
        <w:rPr>
          <w:rFonts w:ascii="Palatino Linotype" w:hAnsi="Palatino Linotype"/>
          <w:i/>
          <w:sz w:val="20"/>
          <w:szCs w:val="22"/>
        </w:rPr>
      </w:pPr>
      <w:r w:rsidRPr="00E261A8">
        <w:rPr>
          <w:rFonts w:ascii="Palatino Linotype" w:hAnsi="Palatino Linotype" w:cs="Arial"/>
          <w:b/>
          <w:i/>
          <w:sz w:val="20"/>
          <w:szCs w:val="22"/>
        </w:rPr>
        <w:t>“</w:t>
      </w:r>
      <w:r w:rsidRPr="00E261A8">
        <w:rPr>
          <w:rFonts w:ascii="Palatino Linotype" w:hAnsi="Palatino Linotype"/>
          <w:b/>
          <w:i/>
          <w:sz w:val="20"/>
          <w:szCs w:val="22"/>
        </w:rPr>
        <w:t>Artículo 115.</w:t>
      </w:r>
      <w:r w:rsidRPr="00D11D47">
        <w:rPr>
          <w:rFonts w:ascii="Palatino Linotype" w:hAnsi="Palatino Linotype"/>
          <w:i/>
          <w:sz w:val="20"/>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1642FD52" w14:textId="77777777" w:rsidR="00BE3B41" w:rsidRDefault="00BE3B41" w:rsidP="00BE3B41">
      <w:pPr>
        <w:spacing w:after="120"/>
        <w:ind w:left="1134" w:right="902"/>
        <w:jc w:val="both"/>
        <w:rPr>
          <w:rFonts w:ascii="Palatino Linotype" w:hAnsi="Palatino Linotype"/>
          <w:i/>
          <w:sz w:val="20"/>
          <w:szCs w:val="22"/>
        </w:rPr>
      </w:pPr>
      <w:r w:rsidRPr="00D11D47">
        <w:rPr>
          <w:rFonts w:ascii="Palatino Linotype" w:hAnsi="Palatino Linotype"/>
          <w:i/>
          <w:sz w:val="20"/>
          <w:szCs w:val="22"/>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r>
        <w:rPr>
          <w:rFonts w:ascii="Palatino Linotype" w:hAnsi="Palatino Linotype"/>
          <w:i/>
          <w:sz w:val="20"/>
          <w:szCs w:val="22"/>
        </w:rPr>
        <w:t>.</w:t>
      </w:r>
    </w:p>
    <w:p w14:paraId="22FCE1EC" w14:textId="77777777" w:rsidR="00BE3B41" w:rsidRPr="00D11D47" w:rsidRDefault="00BE3B41" w:rsidP="00BE3B41">
      <w:pPr>
        <w:spacing w:after="120"/>
        <w:ind w:left="1134" w:right="902"/>
        <w:jc w:val="both"/>
        <w:rPr>
          <w:rFonts w:ascii="Palatino Linotype" w:hAnsi="Palatino Linotype"/>
          <w:i/>
          <w:sz w:val="20"/>
          <w:szCs w:val="22"/>
        </w:rPr>
      </w:pPr>
      <w:r>
        <w:rPr>
          <w:rFonts w:ascii="Palatino Linotype" w:hAnsi="Palatino Linotype"/>
          <w:i/>
          <w:sz w:val="20"/>
          <w:szCs w:val="22"/>
        </w:rPr>
        <w:t>(…)</w:t>
      </w:r>
    </w:p>
    <w:p w14:paraId="6FC35F0B" w14:textId="77777777" w:rsidR="00E24033" w:rsidRDefault="00BE3B41" w:rsidP="00BE3B41">
      <w:pPr>
        <w:pStyle w:val="Default"/>
        <w:spacing w:after="120"/>
        <w:ind w:left="1134" w:right="902"/>
        <w:jc w:val="both"/>
        <w:rPr>
          <w:rFonts w:ascii="Palatino Linotype" w:hAnsi="Palatino Linotype"/>
          <w:i/>
          <w:sz w:val="20"/>
          <w:szCs w:val="20"/>
        </w:rPr>
      </w:pPr>
      <w:r w:rsidRPr="00D11D47">
        <w:rPr>
          <w:rFonts w:ascii="Palatino Linotype" w:hAnsi="Palatino Linotype"/>
          <w:b/>
          <w:bCs/>
          <w:i/>
          <w:sz w:val="20"/>
          <w:szCs w:val="20"/>
        </w:rPr>
        <w:t xml:space="preserve">II. </w:t>
      </w:r>
      <w:r w:rsidRPr="00D11D47">
        <w:rPr>
          <w:rFonts w:ascii="Palatino Linotype" w:hAnsi="Palatino Linotype"/>
          <w:i/>
          <w:sz w:val="20"/>
          <w:szCs w:val="20"/>
        </w:rPr>
        <w:t>Los municipios estarán investidos de personalidad jurídica y manejarán s</w:t>
      </w:r>
      <w:r>
        <w:rPr>
          <w:rFonts w:ascii="Palatino Linotype" w:hAnsi="Palatino Linotype"/>
          <w:i/>
          <w:sz w:val="20"/>
          <w:szCs w:val="20"/>
        </w:rPr>
        <w:t>u patrimonio conforme a la ley</w:t>
      </w:r>
    </w:p>
    <w:p w14:paraId="76F64E9D" w14:textId="77777777" w:rsidR="00E24033" w:rsidRDefault="00E24033" w:rsidP="00BE3B41">
      <w:pPr>
        <w:pStyle w:val="Default"/>
        <w:spacing w:after="120"/>
        <w:ind w:left="1134" w:right="902"/>
        <w:jc w:val="both"/>
        <w:rPr>
          <w:rFonts w:ascii="Palatino Linotype" w:hAnsi="Palatino Linotype"/>
          <w:i/>
          <w:sz w:val="20"/>
          <w:szCs w:val="20"/>
        </w:rPr>
      </w:pPr>
      <w:r>
        <w:rPr>
          <w:rFonts w:ascii="Palatino Linotype" w:hAnsi="Palatino Linotype"/>
          <w:b/>
          <w:bCs/>
          <w:i/>
          <w:sz w:val="20"/>
          <w:szCs w:val="20"/>
        </w:rPr>
        <w:t>(</w:t>
      </w:r>
      <w:r w:rsidR="00BE3B41">
        <w:rPr>
          <w:rFonts w:ascii="Palatino Linotype" w:hAnsi="Palatino Linotype"/>
          <w:i/>
          <w:sz w:val="20"/>
          <w:szCs w:val="20"/>
        </w:rPr>
        <w:t>…</w:t>
      </w:r>
      <w:r>
        <w:rPr>
          <w:rFonts w:ascii="Palatino Linotype" w:hAnsi="Palatino Linotype"/>
          <w:i/>
          <w:sz w:val="20"/>
          <w:szCs w:val="20"/>
        </w:rPr>
        <w:t>)</w:t>
      </w:r>
    </w:p>
    <w:p w14:paraId="7528E66C" w14:textId="77777777" w:rsidR="00E24033" w:rsidRDefault="00E24033" w:rsidP="00E24033">
      <w:pPr>
        <w:pStyle w:val="Default"/>
        <w:spacing w:after="120"/>
        <w:ind w:left="1134" w:right="902"/>
        <w:jc w:val="both"/>
        <w:rPr>
          <w:rFonts w:ascii="Palatino Linotype" w:hAnsi="Palatino Linotype"/>
          <w:i/>
          <w:sz w:val="20"/>
          <w:szCs w:val="20"/>
        </w:rPr>
      </w:pPr>
      <w:r w:rsidRPr="00E24033">
        <w:rPr>
          <w:rFonts w:ascii="Palatino Linotype" w:hAnsi="Palatino Linotype"/>
          <w:i/>
          <w:sz w:val="20"/>
          <w:szCs w:val="20"/>
        </w:rPr>
        <w:t>III. Los Municipios tendrán a su cargo las funciones y servicios públicos siguientes:</w:t>
      </w:r>
    </w:p>
    <w:p w14:paraId="3B1E3D4D" w14:textId="77777777" w:rsidR="00E24033" w:rsidRDefault="00E24033" w:rsidP="00E24033">
      <w:pPr>
        <w:pStyle w:val="Default"/>
        <w:spacing w:after="120"/>
        <w:ind w:left="1418" w:right="902"/>
        <w:jc w:val="both"/>
        <w:rPr>
          <w:rFonts w:ascii="Palatino Linotype" w:hAnsi="Palatino Linotype"/>
          <w:i/>
          <w:sz w:val="20"/>
          <w:szCs w:val="20"/>
        </w:rPr>
      </w:pPr>
      <w:r>
        <w:rPr>
          <w:rFonts w:ascii="Palatino Linotype" w:hAnsi="Palatino Linotype"/>
          <w:i/>
          <w:sz w:val="20"/>
          <w:szCs w:val="20"/>
        </w:rPr>
        <w:t>(…)</w:t>
      </w:r>
    </w:p>
    <w:p w14:paraId="5A73D7E0" w14:textId="518104BE" w:rsidR="00BE3B41" w:rsidRDefault="00E24033" w:rsidP="00E24033">
      <w:pPr>
        <w:pStyle w:val="Default"/>
        <w:spacing w:after="120"/>
        <w:ind w:left="1418" w:right="902"/>
        <w:jc w:val="both"/>
        <w:rPr>
          <w:rFonts w:ascii="Palatino Linotype" w:hAnsi="Palatino Linotype"/>
          <w:i/>
          <w:sz w:val="20"/>
          <w:szCs w:val="20"/>
        </w:rPr>
      </w:pPr>
      <w:r w:rsidRPr="00E24033">
        <w:rPr>
          <w:rFonts w:ascii="Palatino Linotype" w:hAnsi="Palatino Linotype"/>
          <w:i/>
          <w:sz w:val="20"/>
          <w:szCs w:val="20"/>
        </w:rPr>
        <w:t>b) Alumbrado público</w:t>
      </w:r>
      <w:r>
        <w:rPr>
          <w:rFonts w:ascii="Palatino Linotype" w:hAnsi="Palatino Linotype"/>
          <w:i/>
          <w:sz w:val="20"/>
          <w:szCs w:val="20"/>
        </w:rPr>
        <w:t>..</w:t>
      </w:r>
      <w:r w:rsidRPr="00E24033">
        <w:rPr>
          <w:rFonts w:ascii="Palatino Linotype" w:hAnsi="Palatino Linotype"/>
          <w:i/>
          <w:sz w:val="20"/>
          <w:szCs w:val="20"/>
        </w:rPr>
        <w:t>.</w:t>
      </w:r>
      <w:r w:rsidR="00BE3B41">
        <w:rPr>
          <w:rFonts w:ascii="Palatino Linotype" w:hAnsi="Palatino Linotype"/>
          <w:i/>
          <w:sz w:val="20"/>
          <w:szCs w:val="20"/>
        </w:rPr>
        <w:t>”</w:t>
      </w:r>
    </w:p>
    <w:p w14:paraId="164ABCA3" w14:textId="4D3B189B" w:rsidR="0006786B" w:rsidRDefault="00BE3B41" w:rsidP="0006786B">
      <w:pPr>
        <w:autoSpaceDE w:val="0"/>
        <w:autoSpaceDN w:val="0"/>
        <w:adjustRightInd w:val="0"/>
        <w:spacing w:before="240" w:after="160" w:line="360" w:lineRule="auto"/>
        <w:jc w:val="both"/>
        <w:rPr>
          <w:rFonts w:ascii="Palatino Linotype" w:hAnsi="Palatino Linotype" w:cs="Arial"/>
        </w:rPr>
      </w:pPr>
      <w:r>
        <w:rPr>
          <w:rFonts w:ascii="Palatino Linotype" w:hAnsi="Palatino Linotype"/>
          <w:bCs/>
        </w:rPr>
        <w:lastRenderedPageBreak/>
        <w:t xml:space="preserve">Así, del texto transcrito se advierte que los Municipios son la base de  la división territorial de los Estados, gobernados por un Ayuntamiento de elección popular, investidos de personalidad jurídica y </w:t>
      </w:r>
      <w:r>
        <w:rPr>
          <w:rFonts w:ascii="Palatino Linotype" w:hAnsi="Palatino Linotype"/>
        </w:rPr>
        <w:t xml:space="preserve">patrimonio </w:t>
      </w:r>
      <w:r w:rsidR="0006786B">
        <w:rPr>
          <w:rFonts w:ascii="Palatino Linotype" w:hAnsi="Palatino Linotype"/>
        </w:rPr>
        <w:t xml:space="preserve">propio, que tienen a su cargo </w:t>
      </w:r>
      <w:r w:rsidR="0006786B" w:rsidRPr="000F582D">
        <w:rPr>
          <w:rFonts w:ascii="Palatino Linotype" w:hAnsi="Palatino Linotype"/>
          <w:color w:val="000000"/>
        </w:rPr>
        <w:t>el alumbrado público</w:t>
      </w:r>
      <w:r w:rsidR="0006786B">
        <w:rPr>
          <w:rFonts w:ascii="Palatino Linotype" w:hAnsi="Palatino Linotype"/>
          <w:color w:val="000000"/>
        </w:rPr>
        <w:t>.</w:t>
      </w:r>
    </w:p>
    <w:p w14:paraId="53C4AF2B" w14:textId="251394AC" w:rsidR="00BE3B41" w:rsidRPr="00E6223B" w:rsidRDefault="00BE3B41" w:rsidP="00BE3B41">
      <w:pPr>
        <w:spacing w:before="240" w:after="240" w:line="360" w:lineRule="auto"/>
        <w:ind w:right="49"/>
        <w:jc w:val="both"/>
        <w:rPr>
          <w:rFonts w:ascii="Palatino Linotype" w:hAnsi="Palatino Linotype"/>
        </w:rPr>
      </w:pPr>
      <w:r>
        <w:rPr>
          <w:rFonts w:ascii="Palatino Linotype" w:hAnsi="Palatino Linotype"/>
          <w:bCs/>
        </w:rPr>
        <w:t>Por su parte, la Constitución Política del Estado Libre y Soberano de México, reconoce en su artículo 112, a los Municipios como la base de la división territorial y organización política y administrativa del Estado, además de establecer las funciones y atribuciones contenidas en la Constitución Federal, cuestiones que no se pasaron por alto al emitir</w:t>
      </w:r>
      <w:r w:rsidR="0006786B">
        <w:rPr>
          <w:rFonts w:ascii="Palatino Linotype" w:hAnsi="Palatino Linotype"/>
          <w:bCs/>
        </w:rPr>
        <w:t>se</w:t>
      </w:r>
      <w:r>
        <w:rPr>
          <w:rFonts w:ascii="Palatino Linotype" w:hAnsi="Palatino Linotype"/>
          <w:bCs/>
        </w:rPr>
        <w:t xml:space="preserve"> la L</w:t>
      </w:r>
      <w:r>
        <w:rPr>
          <w:rFonts w:ascii="Palatino Linotype" w:hAnsi="Palatino Linotype"/>
        </w:rPr>
        <w:t xml:space="preserve">ey Orgánica Municipal del Estado de México, </w:t>
      </w:r>
      <w:r w:rsidR="0006786B">
        <w:rPr>
          <w:rFonts w:ascii="Palatino Linotype" w:hAnsi="Palatino Linotype"/>
        </w:rPr>
        <w:t xml:space="preserve">que </w:t>
      </w:r>
      <w:r>
        <w:rPr>
          <w:rFonts w:ascii="Palatino Linotype" w:hAnsi="Palatino Linotype"/>
        </w:rPr>
        <w:t xml:space="preserve">acoge lo establecido por las Constituciones en comento, al incluir al municipio libre como la base de la división territorial y de la organización política del Estado, </w:t>
      </w:r>
      <w:r w:rsidR="00E6223B">
        <w:rPr>
          <w:rFonts w:ascii="Palatino Linotype" w:hAnsi="Palatino Linotype"/>
        </w:rPr>
        <w:t xml:space="preserve">que tendrá a su cargo </w:t>
      </w:r>
      <w:r w:rsidR="00E6223B" w:rsidRPr="00E6223B">
        <w:rPr>
          <w:rFonts w:ascii="Palatino Linotype" w:hAnsi="Palatino Linotype"/>
        </w:rPr>
        <w:t>la prestación, explotación, administración y conservación del servicio público</w:t>
      </w:r>
      <w:r w:rsidR="00E6223B">
        <w:rPr>
          <w:rFonts w:ascii="Palatino Linotype" w:hAnsi="Palatino Linotype"/>
        </w:rPr>
        <w:t xml:space="preserve"> denominado alumbrado público.</w:t>
      </w:r>
    </w:p>
    <w:p w14:paraId="1024C1C9" w14:textId="3FDFA21D" w:rsidR="00387B82" w:rsidRDefault="001D5E80" w:rsidP="00387B82">
      <w:pPr>
        <w:spacing w:before="240" w:after="240" w:line="360" w:lineRule="auto"/>
        <w:ind w:right="51"/>
        <w:jc w:val="both"/>
        <w:rPr>
          <w:rFonts w:ascii="Palatino Linotype" w:hAnsi="Palatino Linotype"/>
        </w:rPr>
      </w:pPr>
      <w:r>
        <w:rPr>
          <w:rFonts w:ascii="Palatino Linotype" w:hAnsi="Palatino Linotype"/>
        </w:rPr>
        <w:t>A saber, es función del</w:t>
      </w:r>
      <w:r w:rsidR="00BE3B41">
        <w:rPr>
          <w:rFonts w:ascii="Palatino Linotype" w:hAnsi="Palatino Linotype"/>
        </w:rPr>
        <w:t xml:space="preserve"> Ayuntamiento </w:t>
      </w:r>
      <w:r w:rsidR="00E6223B">
        <w:rPr>
          <w:rFonts w:ascii="Palatino Linotype" w:hAnsi="Palatino Linotype"/>
        </w:rPr>
        <w:t xml:space="preserve">prestar el servicio </w:t>
      </w:r>
      <w:r>
        <w:rPr>
          <w:rFonts w:ascii="Palatino Linotype" w:hAnsi="Palatino Linotype"/>
        </w:rPr>
        <w:t xml:space="preserve">público </w:t>
      </w:r>
      <w:r w:rsidR="00E6223B">
        <w:rPr>
          <w:rFonts w:ascii="Palatino Linotype" w:hAnsi="Palatino Linotype"/>
        </w:rPr>
        <w:t xml:space="preserve">consistente en la iluminación </w:t>
      </w:r>
      <w:r w:rsidR="00E6223B" w:rsidRPr="00E6223B">
        <w:rPr>
          <w:rFonts w:ascii="Palatino Linotype" w:hAnsi="Palatino Linotype"/>
        </w:rPr>
        <w:t>de las vías públicas, parques públicos, y demás espacios de libre circulación que no se encuentran a cargo de ninguna persona natural o jurídica de derecho privado o público</w:t>
      </w:r>
      <w:r>
        <w:rPr>
          <w:rStyle w:val="Refdenotaalpie"/>
          <w:rFonts w:ascii="Palatino Linotype" w:hAnsi="Palatino Linotype"/>
        </w:rPr>
        <w:footnoteReference w:id="3"/>
      </w:r>
      <w:r w:rsidR="00387B82">
        <w:rPr>
          <w:rFonts w:ascii="Palatino Linotype" w:hAnsi="Palatino Linotype"/>
        </w:rPr>
        <w:t>, y para tales efectos, en términos del artículo 126 de la Constitución Local, podrán previo acuerdo entre los Ayuntamiento, coordinarse y asociarse para su eficaz prestación, o bien, para concesionar el servicio público de conformidad con las disposiciones jurídicas aplicables.</w:t>
      </w:r>
    </w:p>
    <w:p w14:paraId="25D03721" w14:textId="5CE999F0" w:rsidR="00387B82" w:rsidRPr="007B57F5" w:rsidRDefault="00387B82" w:rsidP="00387B82">
      <w:pPr>
        <w:spacing w:before="240" w:after="240" w:line="360" w:lineRule="auto"/>
        <w:ind w:right="51"/>
        <w:jc w:val="both"/>
        <w:rPr>
          <w:rFonts w:ascii="Palatino Linotype" w:hAnsi="Palatino Linotype"/>
        </w:rPr>
      </w:pPr>
      <w:r>
        <w:rPr>
          <w:rFonts w:ascii="Palatino Linotype" w:hAnsi="Palatino Linotype"/>
        </w:rPr>
        <w:lastRenderedPageBreak/>
        <w:t xml:space="preserve">En ese sentido, la fracción VII del artículo 31 de la Ley Orgánica Municipal del Estado de México, establece además de las atribuciones marcadas con </w:t>
      </w:r>
      <w:r w:rsidR="00DA613F">
        <w:rPr>
          <w:rFonts w:ascii="Palatino Linotype" w:hAnsi="Palatino Linotype"/>
        </w:rPr>
        <w:t>anterioridad</w:t>
      </w:r>
      <w:r>
        <w:rPr>
          <w:rFonts w:ascii="Palatino Linotype" w:hAnsi="Palatino Linotype"/>
        </w:rPr>
        <w:t xml:space="preserve"> entre otras,, la celebrar </w:t>
      </w:r>
      <w:r w:rsidR="00DA613F">
        <w:rPr>
          <w:rFonts w:ascii="Palatino Linotype" w:hAnsi="Palatino Linotype"/>
        </w:rPr>
        <w:t>convenios</w:t>
      </w:r>
      <w:r>
        <w:rPr>
          <w:rFonts w:ascii="Palatino Linotype" w:hAnsi="Palatino Linotype"/>
        </w:rPr>
        <w:t xml:space="preserve"> para la prestación de servicios públicos a que se refiere el artículo 115 </w:t>
      </w:r>
      <w:r w:rsidR="00DA613F">
        <w:rPr>
          <w:rFonts w:ascii="Palatino Linotype" w:hAnsi="Palatino Linotype"/>
        </w:rPr>
        <w:t>fracción</w:t>
      </w:r>
      <w:r>
        <w:rPr>
          <w:rFonts w:ascii="Palatino Linotype" w:hAnsi="Palatino Linotype"/>
        </w:rPr>
        <w:t xml:space="preserve"> III de la </w:t>
      </w:r>
      <w:r w:rsidR="00DA613F">
        <w:rPr>
          <w:rFonts w:ascii="Palatino Linotype" w:hAnsi="Palatino Linotype"/>
        </w:rPr>
        <w:t>Constitución</w:t>
      </w:r>
      <w:r>
        <w:rPr>
          <w:rFonts w:ascii="Palatino Linotype" w:hAnsi="Palatino Linotype"/>
        </w:rPr>
        <w:t xml:space="preserve"> Federal; </w:t>
      </w:r>
      <w:r w:rsidR="00DA613F">
        <w:rPr>
          <w:rFonts w:ascii="Palatino Linotype" w:hAnsi="Palatino Linotype"/>
        </w:rPr>
        <w:t>así</w:t>
      </w:r>
      <w:r>
        <w:rPr>
          <w:rFonts w:ascii="Palatino Linotype" w:hAnsi="Palatino Linotype"/>
        </w:rPr>
        <w:t xml:space="preserve"> como convenir, contratar o concesionar la prestación de servicios públicos con el Estado, con otros municipios de la entidad o con particulares, recabando cuando </w:t>
      </w:r>
      <w:r w:rsidR="00DA613F">
        <w:rPr>
          <w:rFonts w:ascii="Palatino Linotype" w:hAnsi="Palatino Linotype"/>
        </w:rPr>
        <w:t>así</w:t>
      </w:r>
      <w:r>
        <w:rPr>
          <w:rFonts w:ascii="Palatino Linotype" w:hAnsi="Palatino Linotype"/>
        </w:rPr>
        <w:t xml:space="preserve"> proceda, la </w:t>
      </w:r>
      <w:r w:rsidR="00DA613F">
        <w:rPr>
          <w:rFonts w:ascii="Palatino Linotype" w:hAnsi="Palatino Linotype"/>
        </w:rPr>
        <w:t>autorización</w:t>
      </w:r>
      <w:r>
        <w:rPr>
          <w:rFonts w:ascii="Palatino Linotype" w:hAnsi="Palatino Linotype"/>
        </w:rPr>
        <w:t xml:space="preserve"> de la Legis</w:t>
      </w:r>
      <w:r w:rsidR="00DA613F">
        <w:rPr>
          <w:rFonts w:ascii="Palatino Linotype" w:hAnsi="Palatino Linotype"/>
        </w:rPr>
        <w:t>latura,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08AC22E4" w14:textId="4AFB8551" w:rsidR="004024AC" w:rsidRDefault="00DA613F" w:rsidP="00DA613F">
      <w:pPr>
        <w:pStyle w:val="Default"/>
        <w:spacing w:before="240" w:after="240" w:line="360" w:lineRule="auto"/>
        <w:ind w:right="49" w:firstLine="1"/>
        <w:jc w:val="both"/>
        <w:rPr>
          <w:rFonts w:ascii="Palatino Linotype" w:hAnsi="Palatino Linotype"/>
        </w:rPr>
      </w:pPr>
      <w:r>
        <w:rPr>
          <w:rFonts w:ascii="Palatino Linotype" w:hAnsi="Palatino Linotype"/>
        </w:rPr>
        <w:t xml:space="preserve">De aquí que, corresponde al Ayuntamiento a través de la </w:t>
      </w:r>
      <w:r w:rsidR="007B3462">
        <w:rPr>
          <w:rFonts w:ascii="Palatino Linotype" w:hAnsi="Palatino Linotype"/>
        </w:rPr>
        <w:t>unidad</w:t>
      </w:r>
      <w:r>
        <w:rPr>
          <w:rFonts w:ascii="Palatino Linotype" w:hAnsi="Palatino Linotype"/>
        </w:rPr>
        <w:t xml:space="preserve"> de</w:t>
      </w:r>
      <w:r w:rsidR="007B3462">
        <w:rPr>
          <w:rFonts w:ascii="Palatino Linotype" w:hAnsi="Palatino Linotype"/>
        </w:rPr>
        <w:t xml:space="preserve"> “Servicios Públicos”, </w:t>
      </w:r>
      <w:r>
        <w:rPr>
          <w:rFonts w:ascii="Palatino Linotype" w:hAnsi="Palatino Linotype"/>
        </w:rPr>
        <w:t>el ejercicio y despacho del alumbrado público, según se pudo consultar en la Plataforma de Información Pública de Oficio Mexiquense (</w:t>
      </w:r>
      <w:proofErr w:type="spellStart"/>
      <w:r>
        <w:rPr>
          <w:rFonts w:ascii="Palatino Linotype" w:hAnsi="Palatino Linotype"/>
        </w:rPr>
        <w:t>Ipomex</w:t>
      </w:r>
      <w:proofErr w:type="spellEnd"/>
      <w:r>
        <w:rPr>
          <w:rFonts w:ascii="Palatino Linotype" w:hAnsi="Palatino Linotype"/>
        </w:rPr>
        <w:t xml:space="preserve">),  en los ejercicios fiscales 2011-2015, 2015-2017 y 2018, consultable en la liga electrónica </w:t>
      </w:r>
      <w:hyperlink r:id="rId10" w:history="1">
        <w:r w:rsidRPr="00CF619E">
          <w:rPr>
            <w:rStyle w:val="Hipervnculo"/>
            <w:rFonts w:ascii="Palatino Linotype" w:hAnsi="Palatino Linotype"/>
          </w:rPr>
          <w:t>https://www.ipomex.org.mx/ipo/lgt/indice/tenangodelaire.web</w:t>
        </w:r>
      </w:hyperlink>
      <w:r>
        <w:rPr>
          <w:rFonts w:ascii="Palatino Linotype" w:hAnsi="Palatino Linotype"/>
        </w:rPr>
        <w:t>, de cuyo contenido se advierte lo siguiente:</w:t>
      </w:r>
    </w:p>
    <w:p w14:paraId="3295F709" w14:textId="1D5DB5BC" w:rsidR="004024AC" w:rsidRDefault="004024AC" w:rsidP="007B3462">
      <w:pPr>
        <w:pStyle w:val="Default"/>
        <w:spacing w:before="240" w:after="240" w:line="360" w:lineRule="auto"/>
        <w:ind w:right="49" w:firstLine="1"/>
        <w:jc w:val="both"/>
        <w:rPr>
          <w:rFonts w:ascii="Palatino Linotype" w:hAnsi="Palatino Linotype"/>
        </w:rPr>
      </w:pPr>
      <w:r w:rsidRPr="004024AC">
        <w:rPr>
          <w:rFonts w:ascii="Palatino Linotype" w:hAnsi="Palatino Linotype"/>
          <w:noProof/>
          <w:lang w:eastAsia="es-MX"/>
        </w:rPr>
        <w:drawing>
          <wp:inline distT="0" distB="0" distL="0" distR="0" wp14:anchorId="2F11A904" wp14:editId="7CCA9ED1">
            <wp:extent cx="5612130" cy="189547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895475"/>
                    </a:xfrm>
                    <a:prstGeom prst="rect">
                      <a:avLst/>
                    </a:prstGeom>
                  </pic:spPr>
                </pic:pic>
              </a:graphicData>
            </a:graphic>
          </wp:inline>
        </w:drawing>
      </w:r>
    </w:p>
    <w:p w14:paraId="043BA2B4" w14:textId="12F15C0C" w:rsidR="00DA613F" w:rsidRDefault="00DA613F" w:rsidP="00BE3B41">
      <w:pPr>
        <w:spacing w:before="240" w:after="240" w:line="360" w:lineRule="auto"/>
        <w:ind w:right="49"/>
        <w:jc w:val="both"/>
        <w:rPr>
          <w:rFonts w:ascii="Palatino Linotype" w:hAnsi="Palatino Linotype"/>
        </w:rPr>
      </w:pPr>
      <w:r>
        <w:rPr>
          <w:rFonts w:ascii="Palatino Linotype" w:hAnsi="Palatino Linotype"/>
        </w:rPr>
        <w:lastRenderedPageBreak/>
        <w:t>No obstante, que en términos del artículo 104 del Bando Municipal 2018 del Municipio de Tenango del Aire, el servicio de alumbrado público se prestara en vialidades, plazas, monumentos, jardines y parques públicos.</w:t>
      </w:r>
    </w:p>
    <w:p w14:paraId="59A3E962" w14:textId="7BE98C01" w:rsidR="00BE3B41" w:rsidRDefault="00BE3B41" w:rsidP="00BE3B41">
      <w:pPr>
        <w:spacing w:before="240" w:after="240" w:line="360" w:lineRule="auto"/>
        <w:ind w:right="49"/>
        <w:jc w:val="both"/>
        <w:rPr>
          <w:rFonts w:ascii="Palatino Linotype" w:hAnsi="Palatino Linotype"/>
        </w:rPr>
      </w:pPr>
      <w:r>
        <w:rPr>
          <w:rFonts w:ascii="Palatino Linotype" w:hAnsi="Palatino Linotype"/>
        </w:rPr>
        <w:t xml:space="preserve">Una vez establecida la competencia del </w:t>
      </w:r>
      <w:r w:rsidRPr="00884557">
        <w:rPr>
          <w:rFonts w:ascii="Palatino Linotype" w:hAnsi="Palatino Linotype"/>
          <w:b/>
        </w:rPr>
        <w:t>Sujeto Obligado</w:t>
      </w:r>
      <w:r w:rsidR="007B57F5">
        <w:rPr>
          <w:rFonts w:ascii="Palatino Linotype" w:hAnsi="Palatino Linotype"/>
          <w:b/>
        </w:rPr>
        <w:t>,</w:t>
      </w:r>
      <w:r w:rsidRPr="00884557">
        <w:rPr>
          <w:rFonts w:ascii="Palatino Linotype" w:hAnsi="Palatino Linotype"/>
          <w:b/>
        </w:rPr>
        <w:t xml:space="preserve"> </w:t>
      </w:r>
      <w:r>
        <w:rPr>
          <w:rFonts w:ascii="Palatino Linotype" w:hAnsi="Palatino Linotype"/>
        </w:rPr>
        <w:t>resulta oportun</w:t>
      </w:r>
      <w:r w:rsidR="007B57F5">
        <w:rPr>
          <w:rFonts w:ascii="Palatino Linotype" w:hAnsi="Palatino Linotype"/>
        </w:rPr>
        <w:t>o</w:t>
      </w:r>
      <w:r>
        <w:rPr>
          <w:rFonts w:ascii="Palatino Linotype" w:hAnsi="Palatino Linotype"/>
        </w:rPr>
        <w:t xml:space="preserve"> </w:t>
      </w:r>
      <w:r w:rsidR="007B57F5">
        <w:rPr>
          <w:rFonts w:ascii="Palatino Linotype" w:hAnsi="Palatino Linotype"/>
        </w:rPr>
        <w:t>tener en cuenta</w:t>
      </w:r>
      <w:r>
        <w:rPr>
          <w:rFonts w:ascii="Palatino Linotype" w:hAnsi="Palatino Linotype"/>
        </w:rPr>
        <w:t xml:space="preserve"> las cuestiones de fondo del presente medio de impugnación, </w:t>
      </w:r>
      <w:r w:rsidR="004024AC">
        <w:rPr>
          <w:rFonts w:ascii="Palatino Linotype" w:hAnsi="Palatino Linotype"/>
        </w:rPr>
        <w:t xml:space="preserve">por ello a efectos </w:t>
      </w:r>
      <w:r w:rsidR="007B57F5">
        <w:rPr>
          <w:rFonts w:ascii="Palatino Linotype" w:hAnsi="Palatino Linotype"/>
        </w:rPr>
        <w:t xml:space="preserve">de evitar complejidades innecesarias, atendiendo </w:t>
      </w:r>
      <w:r w:rsidR="004024AC">
        <w:rPr>
          <w:rFonts w:ascii="Palatino Linotype" w:hAnsi="Palatino Linotype"/>
        </w:rPr>
        <w:t>los principios de simplicidad y rapidez</w:t>
      </w:r>
      <w:r w:rsidR="0074533C">
        <w:rPr>
          <w:rFonts w:ascii="Palatino Linotype" w:hAnsi="Palatino Linotype"/>
        </w:rPr>
        <w:t xml:space="preserve"> reconocidos en el ejercicio del derecho de acceso a la información</w:t>
      </w:r>
      <w:r w:rsidR="007B57F5">
        <w:rPr>
          <w:rFonts w:ascii="Palatino Linotype" w:hAnsi="Palatino Linotype"/>
        </w:rPr>
        <w:t>,</w:t>
      </w:r>
      <w:r w:rsidR="0074533C">
        <w:rPr>
          <w:rFonts w:ascii="Palatino Linotype" w:hAnsi="Palatino Linotype"/>
        </w:rPr>
        <w:t xml:space="preserve"> es </w:t>
      </w:r>
      <w:r w:rsidR="007B57F5">
        <w:rPr>
          <w:rFonts w:ascii="Palatino Linotype" w:hAnsi="Palatino Linotype"/>
        </w:rPr>
        <w:t xml:space="preserve">que </w:t>
      </w:r>
      <w:r w:rsidR="0074533C">
        <w:rPr>
          <w:rFonts w:ascii="Palatino Linotype" w:hAnsi="Palatino Linotype"/>
        </w:rPr>
        <w:t>el asunto materia de</w:t>
      </w:r>
      <w:r w:rsidR="007B57F5">
        <w:rPr>
          <w:rFonts w:ascii="Palatino Linotype" w:hAnsi="Palatino Linotype"/>
        </w:rPr>
        <w:t xml:space="preserve"> </w:t>
      </w:r>
      <w:r w:rsidR="0074533C">
        <w:rPr>
          <w:rFonts w:ascii="Palatino Linotype" w:hAnsi="Palatino Linotype"/>
        </w:rPr>
        <w:t>l</w:t>
      </w:r>
      <w:r w:rsidR="007B57F5">
        <w:rPr>
          <w:rFonts w:ascii="Palatino Linotype" w:hAnsi="Palatino Linotype"/>
        </w:rPr>
        <w:t>a</w:t>
      </w:r>
      <w:r w:rsidR="0074533C">
        <w:rPr>
          <w:rFonts w:ascii="Palatino Linotype" w:hAnsi="Palatino Linotype"/>
        </w:rPr>
        <w:t xml:space="preserve"> presente </w:t>
      </w:r>
      <w:r w:rsidR="007B57F5">
        <w:rPr>
          <w:rFonts w:ascii="Palatino Linotype" w:hAnsi="Palatino Linotype"/>
        </w:rPr>
        <w:t xml:space="preserve">resolución, se analizará conforme a los </w:t>
      </w:r>
      <w:r w:rsidR="0074533C">
        <w:rPr>
          <w:rFonts w:ascii="Palatino Linotype" w:hAnsi="Palatino Linotype"/>
        </w:rPr>
        <w:t xml:space="preserve">requerimientos </w:t>
      </w:r>
      <w:r w:rsidR="007B57F5">
        <w:rPr>
          <w:rFonts w:ascii="Palatino Linotype" w:hAnsi="Palatino Linotype"/>
        </w:rPr>
        <w:t>que encuentran relacionan entre sí,  bajo los siguientes grupos:</w:t>
      </w:r>
    </w:p>
    <w:tbl>
      <w:tblPr>
        <w:tblStyle w:val="Tabladecuadrcula6concolores"/>
        <w:tblW w:w="0" w:type="auto"/>
        <w:tblLook w:val="04A0" w:firstRow="1" w:lastRow="0" w:firstColumn="1" w:lastColumn="0" w:noHBand="0" w:noVBand="1"/>
      </w:tblPr>
      <w:tblGrid>
        <w:gridCol w:w="8828"/>
      </w:tblGrid>
      <w:tr w:rsidR="00A313C6" w14:paraId="789C1777" w14:textId="77777777" w:rsidTr="007B5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DCB956D" w14:textId="36306E56" w:rsidR="00A313C6" w:rsidRDefault="00A313C6" w:rsidP="00A313C6">
            <w:pPr>
              <w:spacing w:after="120"/>
              <w:ind w:right="51"/>
              <w:jc w:val="both"/>
              <w:rPr>
                <w:rFonts w:ascii="Palatino Linotype" w:hAnsi="Palatino Linotype"/>
                <w:b w:val="0"/>
              </w:rPr>
            </w:pPr>
            <w:r>
              <w:rPr>
                <w:rFonts w:ascii="Palatino Linotype" w:hAnsi="Palatino Linotype"/>
                <w:b w:val="0"/>
              </w:rPr>
              <w:t>Grupo 1:</w:t>
            </w:r>
          </w:p>
          <w:p w14:paraId="607976E1" w14:textId="77777777" w:rsidR="00A313C6" w:rsidRDefault="00A313C6" w:rsidP="00A313C6">
            <w:pPr>
              <w:spacing w:after="120"/>
              <w:ind w:right="51"/>
              <w:jc w:val="both"/>
              <w:rPr>
                <w:rFonts w:ascii="Palatino Linotype" w:hAnsi="Palatino Linotype"/>
                <w:sz w:val="18"/>
                <w:szCs w:val="18"/>
              </w:rPr>
            </w:pPr>
            <w:r w:rsidRPr="00C96A4C">
              <w:rPr>
                <w:rFonts w:ascii="Palatino Linotype" w:hAnsi="Palatino Linotype"/>
                <w:sz w:val="18"/>
                <w:szCs w:val="18"/>
              </w:rPr>
              <w:t>1. El importe por concepto de alumbrado público facturado por CFE en el municipio, desglosado ya sea por mes o bimestre, de los años 2013, 2014, 2015, 2016, 2017 y los meses que van de 2018.</w:t>
            </w:r>
          </w:p>
          <w:p w14:paraId="2598035D" w14:textId="77777777" w:rsidR="00A313C6" w:rsidRDefault="00A313C6" w:rsidP="00A313C6">
            <w:pPr>
              <w:spacing w:after="120"/>
              <w:ind w:right="51"/>
              <w:jc w:val="both"/>
              <w:rPr>
                <w:rFonts w:ascii="Palatino Linotype" w:hAnsi="Palatino Linotype"/>
                <w:sz w:val="18"/>
                <w:szCs w:val="18"/>
              </w:rPr>
            </w:pPr>
            <w:r w:rsidRPr="00C96A4C">
              <w:rPr>
                <w:rFonts w:ascii="Palatino Linotype" w:hAnsi="Palatino Linotype"/>
                <w:sz w:val="18"/>
                <w:szCs w:val="18"/>
              </w:rPr>
              <w:t>2. La o las partidas presupuestales que se utilizaron y los montos que se erogaron dentro del presupuesto de egresos municipal para el mantenimiento del sistema de alumbrado público durante los años 2013, 2014, 2015, 2016, 2017 y los meses que van del 2018.</w:t>
            </w:r>
          </w:p>
          <w:p w14:paraId="4DE5813E" w14:textId="53C5D1DD" w:rsidR="00A313C6" w:rsidRPr="00A313C6" w:rsidRDefault="00A313C6" w:rsidP="00A313C6">
            <w:pPr>
              <w:spacing w:after="120"/>
              <w:ind w:right="51"/>
              <w:jc w:val="both"/>
              <w:rPr>
                <w:rFonts w:ascii="Palatino Linotype" w:hAnsi="Palatino Linotype"/>
                <w:b w:val="0"/>
              </w:rPr>
            </w:pPr>
            <w:r w:rsidRPr="00C96A4C">
              <w:rPr>
                <w:rFonts w:ascii="Palatino Linotype" w:hAnsi="Palatino Linotype"/>
                <w:sz w:val="18"/>
                <w:szCs w:val="18"/>
              </w:rPr>
              <w:t>3. La o las partidas presupuestales que se utilizaron y los montos que se pagaron por mes para cubrir la factura por concepto de consumo de energía eléctrica en el sistema de alumbrado público municipal de 2013, 2014, 2015, 2016, 2017 y los meses que van del 2018.</w:t>
            </w:r>
          </w:p>
        </w:tc>
      </w:tr>
      <w:tr w:rsidR="00A313C6" w14:paraId="1DDA4DB7" w14:textId="77777777" w:rsidTr="007B5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6ACDD2F" w14:textId="10AE5135" w:rsidR="00A313C6" w:rsidRDefault="00A313C6" w:rsidP="00A313C6">
            <w:pPr>
              <w:spacing w:after="120"/>
              <w:ind w:right="51"/>
              <w:jc w:val="both"/>
              <w:rPr>
                <w:rFonts w:ascii="Palatino Linotype" w:hAnsi="Palatino Linotype"/>
                <w:b w:val="0"/>
              </w:rPr>
            </w:pPr>
            <w:r>
              <w:rPr>
                <w:rFonts w:ascii="Palatino Linotype" w:hAnsi="Palatino Linotype"/>
                <w:b w:val="0"/>
              </w:rPr>
              <w:t>Grupo 2:</w:t>
            </w:r>
          </w:p>
          <w:p w14:paraId="173D184F" w14:textId="67FB04F2" w:rsidR="00A313C6" w:rsidRPr="00A313C6" w:rsidRDefault="00A313C6" w:rsidP="00A313C6">
            <w:pPr>
              <w:spacing w:after="120"/>
              <w:ind w:right="51"/>
              <w:jc w:val="both"/>
              <w:rPr>
                <w:rFonts w:ascii="Palatino Linotype" w:hAnsi="Palatino Linotype"/>
                <w:b w:val="0"/>
                <w:sz w:val="18"/>
                <w:szCs w:val="18"/>
              </w:rPr>
            </w:pPr>
            <w:r w:rsidRPr="00C96A4C">
              <w:rPr>
                <w:rFonts w:ascii="Palatino Linotype" w:hAnsi="Palatino Linotype"/>
                <w:sz w:val="18"/>
                <w:szCs w:val="18"/>
              </w:rPr>
              <w:t>1.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tc>
      </w:tr>
      <w:tr w:rsidR="00A313C6" w14:paraId="7FFC6E5D" w14:textId="77777777" w:rsidTr="007B57F5">
        <w:tc>
          <w:tcPr>
            <w:cnfStyle w:val="001000000000" w:firstRow="0" w:lastRow="0" w:firstColumn="1" w:lastColumn="0" w:oddVBand="0" w:evenVBand="0" w:oddHBand="0" w:evenHBand="0" w:firstRowFirstColumn="0" w:firstRowLastColumn="0" w:lastRowFirstColumn="0" w:lastRowLastColumn="0"/>
            <w:tcW w:w="8828" w:type="dxa"/>
          </w:tcPr>
          <w:p w14:paraId="32120B35" w14:textId="7944B5C9" w:rsidR="00A313C6" w:rsidRPr="00A313C6" w:rsidRDefault="00A313C6" w:rsidP="00A313C6">
            <w:pPr>
              <w:spacing w:after="120"/>
              <w:ind w:right="51"/>
              <w:jc w:val="both"/>
              <w:rPr>
                <w:rFonts w:ascii="Palatino Linotype" w:hAnsi="Palatino Linotype"/>
                <w:b w:val="0"/>
              </w:rPr>
            </w:pPr>
            <w:r w:rsidRPr="00A313C6">
              <w:rPr>
                <w:rFonts w:ascii="Palatino Linotype" w:hAnsi="Palatino Linotype"/>
                <w:b w:val="0"/>
              </w:rPr>
              <w:t>Grupo 3:</w:t>
            </w:r>
          </w:p>
          <w:p w14:paraId="41DFB21A" w14:textId="77777777" w:rsidR="00A313C6" w:rsidRDefault="00A313C6" w:rsidP="00A313C6">
            <w:pPr>
              <w:spacing w:after="120"/>
              <w:ind w:right="51"/>
              <w:jc w:val="both"/>
              <w:rPr>
                <w:rFonts w:ascii="Palatino Linotype" w:hAnsi="Palatino Linotype"/>
                <w:sz w:val="18"/>
                <w:szCs w:val="18"/>
              </w:rPr>
            </w:pPr>
            <w:r w:rsidRPr="00C96A4C">
              <w:rPr>
                <w:rFonts w:ascii="Palatino Linotype" w:hAnsi="Palatino Linotype"/>
                <w:sz w:val="18"/>
                <w:szCs w:val="18"/>
              </w:rPr>
              <w:t>1.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14:paraId="73400594" w14:textId="77777777" w:rsidR="00A313C6" w:rsidRPr="00C96A4C" w:rsidRDefault="00A313C6" w:rsidP="00A313C6">
            <w:pPr>
              <w:spacing w:after="120"/>
              <w:ind w:right="51"/>
              <w:jc w:val="both"/>
              <w:rPr>
                <w:rFonts w:ascii="Palatino Linotype" w:hAnsi="Palatino Linotype"/>
                <w:sz w:val="18"/>
                <w:szCs w:val="18"/>
              </w:rPr>
            </w:pPr>
            <w:r w:rsidRPr="00C96A4C">
              <w:rPr>
                <w:rFonts w:ascii="Palatino Linotype" w:hAnsi="Palatino Linotype"/>
                <w:sz w:val="18"/>
                <w:szCs w:val="18"/>
              </w:rPr>
              <w:lastRenderedPageBreak/>
              <w:t xml:space="preserve">2. Se solicita el censo de alumbrado público de los ejercicios 2016, 2017, 2018 o en su caso, el censo más reciente del municipio, en el que se desglose la siguiente información: </w:t>
            </w:r>
          </w:p>
          <w:p w14:paraId="7A22F167"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sz w:val="18"/>
                <w:szCs w:val="18"/>
              </w:rPr>
              <w:t xml:space="preserve">a. Me indique la cantidad de luminarias y balastros, el tipo de equipos, la capacidad (potencia), la ubicación (calle y/o colonia y/o delegación), y el tipo de poste en el que están montadas las luminarias (lámina, concreto, madera etcétera). </w:t>
            </w:r>
          </w:p>
          <w:p w14:paraId="2993F953"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sz w:val="18"/>
                <w:szCs w:val="18"/>
              </w:rPr>
              <w:t xml:space="preserve">b. El Registro Permanente de Usuario (RPU o </w:t>
            </w:r>
            <w:proofErr w:type="spellStart"/>
            <w:r w:rsidRPr="00C96A4C">
              <w:rPr>
                <w:rFonts w:ascii="Palatino Linotype" w:hAnsi="Palatino Linotype"/>
                <w:sz w:val="18"/>
                <w:szCs w:val="18"/>
              </w:rPr>
              <w:t>RPUs</w:t>
            </w:r>
            <w:proofErr w:type="spellEnd"/>
            <w:r w:rsidRPr="00C96A4C">
              <w:rPr>
                <w:rFonts w:ascii="Palatino Linotype" w:hAnsi="Palatino Linotype"/>
                <w:sz w:val="18"/>
                <w:szCs w:val="18"/>
              </w:rPr>
              <w:t>) asignado (s) al servicio de alumbrado público municipal tanto del servicio estimado como del servicio medido.</w:t>
            </w:r>
          </w:p>
          <w:p w14:paraId="2CD0B733"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sz w:val="18"/>
                <w:szCs w:val="18"/>
              </w:rPr>
              <w:t xml:space="preserve">c. La cantidad desglosada de luminarias y balastros instalados, el tipo de equipos y su capacidad (potencia) instalados en las avenidas principales del municipio. </w:t>
            </w:r>
          </w:p>
          <w:p w14:paraId="237DCC6C" w14:textId="77777777" w:rsidR="00A313C6" w:rsidRDefault="00A313C6" w:rsidP="00A313C6">
            <w:pPr>
              <w:spacing w:after="120"/>
              <w:ind w:left="313" w:right="51"/>
              <w:jc w:val="both"/>
              <w:rPr>
                <w:rFonts w:ascii="Palatino Linotype" w:hAnsi="Palatino Linotype"/>
                <w:sz w:val="18"/>
                <w:szCs w:val="18"/>
              </w:rPr>
            </w:pPr>
            <w:r w:rsidRPr="00C96A4C">
              <w:rPr>
                <w:rFonts w:ascii="Palatino Linotype" w:hAnsi="Palatino Linotype"/>
                <w:sz w:val="18"/>
                <w:szCs w:val="18"/>
              </w:rPr>
              <w:t>d. La cantidad de luminarias y balastros instalados, el tipo de equipos y su capacidad (potencia) instalados que poseen equipo de medición.</w:t>
            </w:r>
          </w:p>
          <w:p w14:paraId="2C181AE2" w14:textId="77777777" w:rsidR="00A313C6" w:rsidRPr="00A313C6" w:rsidRDefault="00A313C6" w:rsidP="00A313C6">
            <w:pPr>
              <w:spacing w:after="120"/>
              <w:ind w:right="51"/>
              <w:jc w:val="both"/>
              <w:rPr>
                <w:rFonts w:ascii="Palatino Linotype" w:hAnsi="Palatino Linotype"/>
                <w:sz w:val="18"/>
                <w:szCs w:val="18"/>
              </w:rPr>
            </w:pPr>
            <w:r w:rsidRPr="00C96A4C">
              <w:rPr>
                <w:rFonts w:ascii="Palatino Linotype" w:hAnsi="Palatino Linotype"/>
                <w:sz w:val="18"/>
                <w:szCs w:val="18"/>
              </w:rPr>
              <w:t xml:space="preserve">3. </w:t>
            </w:r>
            <w:r w:rsidRPr="00A313C6">
              <w:rPr>
                <w:rFonts w:ascii="Palatino Linotype" w:hAnsi="Palatino Linotype"/>
                <w:sz w:val="18"/>
                <w:szCs w:val="18"/>
              </w:rPr>
              <w:t xml:space="preserve">Del censo anterior al censo más reciente de luminarias y balastros del sistema de alumbrado público municipal que exista en el municipio, que contenga la siguiente información: </w:t>
            </w:r>
          </w:p>
          <w:p w14:paraId="33CC2D2A"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a.</w:t>
            </w:r>
            <w:r w:rsidRPr="00C96A4C">
              <w:rPr>
                <w:rFonts w:ascii="Palatino Linotype" w:hAnsi="Palatino Linotype"/>
                <w:sz w:val="18"/>
                <w:szCs w:val="18"/>
              </w:rPr>
              <w:t xml:space="preserve"> Cantidad de luminarias y balastros, el tipo de equipos, capacidad, ubicación  y el tipo de poste en el que están montadas las luminarias.</w:t>
            </w:r>
          </w:p>
          <w:p w14:paraId="5AE4361A" w14:textId="3AED6EAA" w:rsidR="00A313C6" w:rsidRDefault="00A313C6" w:rsidP="00A313C6">
            <w:pPr>
              <w:spacing w:after="120"/>
              <w:ind w:left="313" w:right="51"/>
              <w:jc w:val="both"/>
              <w:rPr>
                <w:rFonts w:ascii="Palatino Linotype" w:hAnsi="Palatino Linotype"/>
              </w:rPr>
            </w:pPr>
            <w:r w:rsidRPr="00C96A4C">
              <w:rPr>
                <w:rFonts w:ascii="Palatino Linotype" w:hAnsi="Palatino Linotype"/>
                <w:b w:val="0"/>
                <w:sz w:val="18"/>
                <w:szCs w:val="18"/>
              </w:rPr>
              <w:t>b.</w:t>
            </w:r>
            <w:r w:rsidRPr="00C96A4C">
              <w:rPr>
                <w:rFonts w:ascii="Palatino Linotype" w:hAnsi="Palatino Linotype"/>
                <w:sz w:val="18"/>
                <w:szCs w:val="18"/>
              </w:rPr>
              <w:t xml:space="preserve"> El Registro Permanente de Usuario (RPU o </w:t>
            </w:r>
            <w:proofErr w:type="spellStart"/>
            <w:r w:rsidRPr="00C96A4C">
              <w:rPr>
                <w:rFonts w:ascii="Palatino Linotype" w:hAnsi="Palatino Linotype"/>
                <w:sz w:val="18"/>
                <w:szCs w:val="18"/>
              </w:rPr>
              <w:t>RPUs</w:t>
            </w:r>
            <w:proofErr w:type="spellEnd"/>
            <w:r w:rsidRPr="00C96A4C">
              <w:rPr>
                <w:rFonts w:ascii="Palatino Linotype" w:hAnsi="Palatino Linotype"/>
                <w:sz w:val="18"/>
                <w:szCs w:val="18"/>
              </w:rPr>
              <w:t>) asignado (s) al servicio de alumbrado público municipal tanto del servicio estimado como del servicio medido.</w:t>
            </w:r>
          </w:p>
        </w:tc>
      </w:tr>
      <w:tr w:rsidR="00A313C6" w14:paraId="6105FF69" w14:textId="77777777" w:rsidTr="007B5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5F3055E" w14:textId="2721A604" w:rsidR="00A313C6" w:rsidRPr="00A313C6" w:rsidRDefault="00A313C6" w:rsidP="00A313C6">
            <w:pPr>
              <w:spacing w:after="120"/>
              <w:ind w:right="51"/>
              <w:jc w:val="both"/>
              <w:rPr>
                <w:rFonts w:ascii="Palatino Linotype" w:hAnsi="Palatino Linotype"/>
                <w:b w:val="0"/>
              </w:rPr>
            </w:pPr>
            <w:r w:rsidRPr="00A313C6">
              <w:rPr>
                <w:rFonts w:ascii="Palatino Linotype" w:hAnsi="Palatino Linotype"/>
                <w:b w:val="0"/>
              </w:rPr>
              <w:lastRenderedPageBreak/>
              <w:t>Grupo 4:</w:t>
            </w:r>
          </w:p>
          <w:p w14:paraId="0F97FE6C" w14:textId="77777777" w:rsidR="00A313C6" w:rsidRPr="00A313C6" w:rsidRDefault="00A313C6" w:rsidP="00A313C6">
            <w:pPr>
              <w:spacing w:after="120"/>
              <w:ind w:right="51"/>
              <w:jc w:val="both"/>
              <w:rPr>
                <w:rFonts w:ascii="Palatino Linotype" w:hAnsi="Palatino Linotype"/>
                <w:sz w:val="18"/>
                <w:szCs w:val="18"/>
              </w:rPr>
            </w:pPr>
            <w:r w:rsidRPr="00C96A4C">
              <w:rPr>
                <w:rFonts w:ascii="Palatino Linotype" w:hAnsi="Palatino Linotype"/>
                <w:b w:val="0"/>
                <w:sz w:val="18"/>
                <w:szCs w:val="18"/>
              </w:rPr>
              <w:t xml:space="preserve">1. En </w:t>
            </w:r>
            <w:r w:rsidRPr="00A313C6">
              <w:rPr>
                <w:rFonts w:ascii="Palatino Linotype" w:hAnsi="Palatino Linotype"/>
                <w:sz w:val="18"/>
                <w:szCs w:val="18"/>
              </w:rPr>
              <w:t xml:space="preserve">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14:paraId="5508244A"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a.</w:t>
            </w:r>
            <w:r w:rsidRPr="00C96A4C">
              <w:rPr>
                <w:rFonts w:ascii="Palatino Linotype" w:hAnsi="Palatino Linotype"/>
                <w:sz w:val="18"/>
                <w:szCs w:val="18"/>
              </w:rPr>
              <w:t xml:space="preserve"> El monto total de la inversión</w:t>
            </w:r>
          </w:p>
          <w:p w14:paraId="3465076C"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b.</w:t>
            </w:r>
            <w:r w:rsidRPr="00C96A4C">
              <w:rPr>
                <w:rFonts w:ascii="Palatino Linotype" w:hAnsi="Palatino Linotype"/>
                <w:sz w:val="18"/>
                <w:szCs w:val="18"/>
              </w:rPr>
              <w:t xml:space="preserve"> El tipo o fuente de financiamiento. </w:t>
            </w:r>
          </w:p>
          <w:p w14:paraId="22DA7A3A"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c.</w:t>
            </w:r>
            <w:r w:rsidRPr="00C96A4C">
              <w:rPr>
                <w:rFonts w:ascii="Palatino Linotype" w:hAnsi="Palatino Linotype"/>
                <w:sz w:val="18"/>
                <w:szCs w:val="18"/>
              </w:rPr>
              <w:t xml:space="preserve"> La cantidad de equipos colocados y/o sustituidos.</w:t>
            </w:r>
          </w:p>
          <w:p w14:paraId="328FBB31"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d.</w:t>
            </w:r>
            <w:r w:rsidRPr="00C96A4C">
              <w:rPr>
                <w:rFonts w:ascii="Palatino Linotype" w:hAnsi="Palatino Linotype"/>
                <w:sz w:val="18"/>
                <w:szCs w:val="18"/>
              </w:rPr>
              <w:t xml:space="preserve"> El tipo de equipos. </w:t>
            </w:r>
          </w:p>
          <w:p w14:paraId="4F0D2283"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e.</w:t>
            </w:r>
            <w:r w:rsidRPr="00C96A4C">
              <w:rPr>
                <w:rFonts w:ascii="Palatino Linotype" w:hAnsi="Palatino Linotype"/>
                <w:sz w:val="18"/>
                <w:szCs w:val="18"/>
              </w:rPr>
              <w:t xml:space="preserve"> La capacidad instalada </w:t>
            </w:r>
          </w:p>
          <w:p w14:paraId="45F1E204"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f.</w:t>
            </w:r>
            <w:r w:rsidRPr="00C96A4C">
              <w:rPr>
                <w:rFonts w:ascii="Palatino Linotype" w:hAnsi="Palatino Linotype"/>
                <w:sz w:val="18"/>
                <w:szCs w:val="18"/>
              </w:rPr>
              <w:t xml:space="preserve"> La ubicación</w:t>
            </w:r>
          </w:p>
          <w:p w14:paraId="6B7898E7"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g.</w:t>
            </w:r>
            <w:r w:rsidRPr="00C96A4C">
              <w:rPr>
                <w:rFonts w:ascii="Palatino Linotype" w:hAnsi="Palatino Linotype"/>
                <w:sz w:val="18"/>
                <w:szCs w:val="18"/>
              </w:rPr>
              <w:t xml:space="preserve"> La fecha de inicio y término de obra, </w:t>
            </w:r>
          </w:p>
          <w:p w14:paraId="0C8ED3E0"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h.</w:t>
            </w:r>
            <w:r w:rsidRPr="00C96A4C">
              <w:rPr>
                <w:rFonts w:ascii="Palatino Linotype" w:hAnsi="Palatino Linotype"/>
                <w:sz w:val="18"/>
                <w:szCs w:val="18"/>
              </w:rPr>
              <w:t xml:space="preserve"> Fecha de modificación de su nuevo consumo en el sistema de facturación ante CFE. </w:t>
            </w:r>
          </w:p>
          <w:p w14:paraId="546A005D" w14:textId="77777777" w:rsidR="00A313C6"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i.</w:t>
            </w:r>
            <w:r w:rsidRPr="00C96A4C">
              <w:rPr>
                <w:rFonts w:ascii="Palatino Linotype" w:hAnsi="Palatino Linotype"/>
                <w:sz w:val="18"/>
                <w:szCs w:val="18"/>
              </w:rPr>
              <w:t xml:space="preserve"> En donde se publicaron los proyectos</w:t>
            </w:r>
          </w:p>
          <w:p w14:paraId="019CD82A" w14:textId="77777777" w:rsidR="00A313C6" w:rsidRPr="00A313C6" w:rsidRDefault="00A313C6" w:rsidP="00A313C6">
            <w:pPr>
              <w:spacing w:after="120"/>
              <w:ind w:right="51"/>
              <w:jc w:val="both"/>
              <w:rPr>
                <w:rFonts w:ascii="Palatino Linotype" w:hAnsi="Palatino Linotype"/>
                <w:sz w:val="18"/>
                <w:szCs w:val="18"/>
              </w:rPr>
            </w:pPr>
            <w:r w:rsidRPr="00C96A4C">
              <w:rPr>
                <w:rFonts w:ascii="Palatino Linotype" w:hAnsi="Palatino Linotype"/>
                <w:b w:val="0"/>
                <w:sz w:val="18"/>
                <w:szCs w:val="18"/>
              </w:rPr>
              <w:t xml:space="preserve">2. </w:t>
            </w:r>
            <w:r w:rsidRPr="00A313C6">
              <w:rPr>
                <w:rFonts w:ascii="Palatino Linotype" w:hAnsi="Palatino Linotype"/>
                <w:sz w:val="18"/>
                <w:szCs w:val="18"/>
              </w:rPr>
              <w:t xml:space="preserve">En caso de que el municipio haya realizado un proyecto parcial o total de modernización de alumbrado público para generar eficiencia energética en 3 sus consumos en los años 2013, 2014, 2015, 2016, 2017 y los meses que van de 2018, solicito: </w:t>
            </w:r>
          </w:p>
          <w:p w14:paraId="791D77B4"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a.</w:t>
            </w:r>
            <w:r w:rsidRPr="00C96A4C">
              <w:rPr>
                <w:rFonts w:ascii="Palatino Linotype" w:hAnsi="Palatino Linotype"/>
                <w:sz w:val="18"/>
                <w:szCs w:val="18"/>
              </w:rPr>
              <w:t xml:space="preserve"> Monto total de la inversión </w:t>
            </w:r>
          </w:p>
          <w:p w14:paraId="7A863A49"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b.</w:t>
            </w:r>
            <w:r w:rsidRPr="00C96A4C">
              <w:rPr>
                <w:rFonts w:ascii="Palatino Linotype" w:hAnsi="Palatino Linotype"/>
                <w:sz w:val="18"/>
                <w:szCs w:val="18"/>
              </w:rPr>
              <w:t xml:space="preserve"> Fuente de financiamiento </w:t>
            </w:r>
          </w:p>
          <w:p w14:paraId="0A76FEAE"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c.</w:t>
            </w:r>
            <w:r w:rsidRPr="00C96A4C">
              <w:rPr>
                <w:rFonts w:ascii="Palatino Linotype" w:hAnsi="Palatino Linotype"/>
                <w:sz w:val="18"/>
                <w:szCs w:val="18"/>
              </w:rPr>
              <w:t xml:space="preserve"> Cantidad de equipos colocados y/o sustituidos, </w:t>
            </w:r>
          </w:p>
          <w:p w14:paraId="12150BF1"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lastRenderedPageBreak/>
              <w:t>d.</w:t>
            </w:r>
            <w:r w:rsidRPr="00C96A4C">
              <w:rPr>
                <w:rFonts w:ascii="Palatino Linotype" w:hAnsi="Palatino Linotype"/>
                <w:sz w:val="18"/>
                <w:szCs w:val="18"/>
              </w:rPr>
              <w:t xml:space="preserve"> Tipo de equipos </w:t>
            </w:r>
          </w:p>
          <w:p w14:paraId="4C77CEE7"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e.</w:t>
            </w:r>
            <w:r w:rsidRPr="00C96A4C">
              <w:rPr>
                <w:rFonts w:ascii="Palatino Linotype" w:hAnsi="Palatino Linotype"/>
                <w:sz w:val="18"/>
                <w:szCs w:val="18"/>
              </w:rPr>
              <w:t xml:space="preserve"> Capacidad instalada </w:t>
            </w:r>
          </w:p>
          <w:p w14:paraId="2B495028"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f.</w:t>
            </w:r>
            <w:r w:rsidRPr="00C96A4C">
              <w:rPr>
                <w:rFonts w:ascii="Palatino Linotype" w:hAnsi="Palatino Linotype"/>
                <w:sz w:val="18"/>
                <w:szCs w:val="18"/>
              </w:rPr>
              <w:t xml:space="preserve"> Ubicación </w:t>
            </w:r>
          </w:p>
          <w:p w14:paraId="3694D903"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g.</w:t>
            </w:r>
            <w:r w:rsidRPr="00C96A4C">
              <w:rPr>
                <w:rFonts w:ascii="Palatino Linotype" w:hAnsi="Palatino Linotype"/>
                <w:sz w:val="18"/>
                <w:szCs w:val="18"/>
              </w:rPr>
              <w:t xml:space="preserve"> Fecha de inicio y término de obra, </w:t>
            </w:r>
          </w:p>
          <w:p w14:paraId="075610B3"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h.</w:t>
            </w:r>
            <w:r w:rsidRPr="00C96A4C">
              <w:rPr>
                <w:rFonts w:ascii="Palatino Linotype" w:hAnsi="Palatino Linotype"/>
                <w:sz w:val="18"/>
                <w:szCs w:val="18"/>
              </w:rPr>
              <w:t xml:space="preserve"> Georreferenciación de cada uno de los puntos de luz del nuevo alumbrado público, </w:t>
            </w:r>
          </w:p>
          <w:p w14:paraId="0BCB56E2"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i.</w:t>
            </w:r>
            <w:r w:rsidRPr="00C96A4C">
              <w:rPr>
                <w:rFonts w:ascii="Palatino Linotype" w:hAnsi="Palatino Linotype"/>
                <w:sz w:val="18"/>
                <w:szCs w:val="18"/>
              </w:rPr>
              <w:t xml:space="preserve"> Fecha de modificación de su nuevo consumo en el sistema de facturación ante CFE. </w:t>
            </w:r>
          </w:p>
          <w:p w14:paraId="12D0C3E4"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j.</w:t>
            </w:r>
            <w:r w:rsidRPr="00C96A4C">
              <w:rPr>
                <w:rFonts w:ascii="Palatino Linotype" w:hAnsi="Palatino Linotype"/>
                <w:sz w:val="18"/>
                <w:szCs w:val="18"/>
              </w:rPr>
              <w:t xml:space="preserve"> Tipo de contrato celebrado para la adquisición de los nuevos equipos</w:t>
            </w:r>
          </w:p>
          <w:p w14:paraId="6DF7C69C"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k.</w:t>
            </w:r>
            <w:r w:rsidRPr="00C96A4C">
              <w:rPr>
                <w:rFonts w:ascii="Palatino Linotype" w:hAnsi="Palatino Linotype"/>
                <w:sz w:val="18"/>
                <w:szCs w:val="18"/>
              </w:rPr>
              <w:t xml:space="preserve"> Número y nombre de las empresas concursantes o convocadas. </w:t>
            </w:r>
          </w:p>
          <w:p w14:paraId="558B4522" w14:textId="77777777" w:rsidR="00A313C6" w:rsidRPr="00C96A4C"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l.</w:t>
            </w:r>
            <w:r w:rsidRPr="00C96A4C">
              <w:rPr>
                <w:rFonts w:ascii="Palatino Linotype" w:hAnsi="Palatino Linotype"/>
                <w:sz w:val="18"/>
                <w:szCs w:val="18"/>
              </w:rPr>
              <w:t xml:space="preserve"> Criterios de selección utilizados por el comité de adquisiciones para elegir a la empresa contratada. </w:t>
            </w:r>
          </w:p>
          <w:p w14:paraId="1222EDB5" w14:textId="5AE809EF" w:rsidR="00A313C6" w:rsidRPr="00A313C6" w:rsidRDefault="00A313C6" w:rsidP="00A313C6">
            <w:pPr>
              <w:spacing w:after="120"/>
              <w:ind w:left="313" w:right="51"/>
              <w:jc w:val="both"/>
              <w:rPr>
                <w:rFonts w:ascii="Palatino Linotype" w:hAnsi="Palatino Linotype"/>
                <w:sz w:val="18"/>
                <w:szCs w:val="18"/>
              </w:rPr>
            </w:pPr>
            <w:r w:rsidRPr="00C96A4C">
              <w:rPr>
                <w:rFonts w:ascii="Palatino Linotype" w:hAnsi="Palatino Linotype"/>
                <w:b w:val="0"/>
                <w:sz w:val="18"/>
                <w:szCs w:val="18"/>
              </w:rPr>
              <w:t>m.</w:t>
            </w:r>
            <w:r w:rsidRPr="00C96A4C">
              <w:rPr>
                <w:rFonts w:ascii="Palatino Linotype" w:hAnsi="Palatino Linotype"/>
                <w:sz w:val="18"/>
                <w:szCs w:val="18"/>
              </w:rPr>
              <w:t xml:space="preserve"> Acta de cabildo en el cual se fundamenta, justifica, expone y autoriza el proyecto.</w:t>
            </w:r>
          </w:p>
        </w:tc>
      </w:tr>
      <w:tr w:rsidR="00A313C6" w14:paraId="10517A36" w14:textId="77777777" w:rsidTr="007B57F5">
        <w:tc>
          <w:tcPr>
            <w:cnfStyle w:val="001000000000" w:firstRow="0" w:lastRow="0" w:firstColumn="1" w:lastColumn="0" w:oddVBand="0" w:evenVBand="0" w:oddHBand="0" w:evenHBand="0" w:firstRowFirstColumn="0" w:firstRowLastColumn="0" w:lastRowFirstColumn="0" w:lastRowLastColumn="0"/>
            <w:tcW w:w="8828" w:type="dxa"/>
          </w:tcPr>
          <w:p w14:paraId="7ABAA73F" w14:textId="77777777" w:rsidR="00A313C6" w:rsidRPr="00A313C6" w:rsidRDefault="00A313C6" w:rsidP="00A313C6">
            <w:pPr>
              <w:spacing w:after="120"/>
              <w:ind w:right="51"/>
              <w:jc w:val="both"/>
              <w:rPr>
                <w:rFonts w:ascii="Palatino Linotype" w:hAnsi="Palatino Linotype"/>
                <w:b w:val="0"/>
              </w:rPr>
            </w:pPr>
            <w:r w:rsidRPr="00A313C6">
              <w:rPr>
                <w:rFonts w:ascii="Palatino Linotype" w:hAnsi="Palatino Linotype"/>
                <w:b w:val="0"/>
              </w:rPr>
              <w:lastRenderedPageBreak/>
              <w:t>Grupo 5:</w:t>
            </w:r>
          </w:p>
          <w:p w14:paraId="468BC2BD" w14:textId="77777777" w:rsidR="00A313C6" w:rsidRDefault="00A313C6" w:rsidP="00A313C6">
            <w:pPr>
              <w:spacing w:after="120"/>
              <w:ind w:right="51"/>
              <w:jc w:val="both"/>
              <w:rPr>
                <w:rFonts w:ascii="Palatino Linotype" w:hAnsi="Palatino Linotype"/>
                <w:sz w:val="18"/>
                <w:szCs w:val="18"/>
              </w:rPr>
            </w:pPr>
            <w:r w:rsidRPr="00C96A4C">
              <w:rPr>
                <w:rFonts w:ascii="Palatino Linotype" w:hAnsi="Palatino Linotype"/>
                <w:sz w:val="18"/>
                <w:szCs w:val="18"/>
              </w:rPr>
              <w:t>1. El número de solicitudes ciudadanas formales realizadas al municipio para ampliar el sistema de alumbrado público mediante proyectos de electrificación durante los años 2013, 2014, 2015, 2016, 2017 y los meses que van de 2018.</w:t>
            </w:r>
          </w:p>
          <w:p w14:paraId="3E244400" w14:textId="5090FE25" w:rsidR="00A313C6" w:rsidRPr="00A313C6" w:rsidRDefault="00A313C6" w:rsidP="00A313C6">
            <w:pPr>
              <w:spacing w:after="120"/>
              <w:ind w:right="51"/>
              <w:jc w:val="both"/>
              <w:rPr>
                <w:rFonts w:ascii="Palatino Linotype" w:hAnsi="Palatino Linotype"/>
                <w:sz w:val="18"/>
                <w:szCs w:val="18"/>
              </w:rPr>
            </w:pPr>
            <w:r w:rsidRPr="00C96A4C">
              <w:rPr>
                <w:rFonts w:ascii="Palatino Linotype" w:hAnsi="Palatino Linotype"/>
                <w:sz w:val="18"/>
                <w:szCs w:val="18"/>
              </w:rPr>
              <w:t>2. El número de solicitudes ciudadanas que fueron atendidas y concluidas para ampliar el sistema de alumbrado público durante los años 2013, 2014, 2015, 2016, 2017 y los meses que van del 2018.</w:t>
            </w:r>
          </w:p>
        </w:tc>
      </w:tr>
      <w:tr w:rsidR="00A313C6" w14:paraId="05ED4655" w14:textId="77777777" w:rsidTr="007B5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8B7F071" w14:textId="538FF7FD" w:rsidR="00A313C6" w:rsidRPr="00A313C6" w:rsidRDefault="00A313C6" w:rsidP="00A313C6">
            <w:pPr>
              <w:spacing w:after="120"/>
              <w:ind w:right="51"/>
              <w:jc w:val="both"/>
              <w:rPr>
                <w:rFonts w:ascii="Palatino Linotype" w:hAnsi="Palatino Linotype"/>
                <w:b w:val="0"/>
              </w:rPr>
            </w:pPr>
            <w:r w:rsidRPr="00A313C6">
              <w:rPr>
                <w:rFonts w:ascii="Palatino Linotype" w:hAnsi="Palatino Linotype"/>
                <w:b w:val="0"/>
              </w:rPr>
              <w:t>Grupo 6:</w:t>
            </w:r>
          </w:p>
          <w:p w14:paraId="376E5534" w14:textId="77777777" w:rsidR="00A313C6" w:rsidRDefault="00A313C6" w:rsidP="00A313C6">
            <w:pPr>
              <w:spacing w:after="120"/>
              <w:ind w:right="51"/>
              <w:jc w:val="both"/>
              <w:rPr>
                <w:rFonts w:ascii="Palatino Linotype" w:hAnsi="Palatino Linotype"/>
                <w:sz w:val="18"/>
                <w:szCs w:val="18"/>
              </w:rPr>
            </w:pPr>
            <w:r w:rsidRPr="00C96A4C">
              <w:rPr>
                <w:rFonts w:ascii="Palatino Linotype" w:hAnsi="Palatino Linotype"/>
                <w:sz w:val="18"/>
                <w:szCs w:val="18"/>
              </w:rPr>
              <w:t>1. Se solicita Copia del contrato de prestación de servicios por concepto de suministro de energía eléctrica por parte de la CFE al municipio (ayuntamiento).</w:t>
            </w:r>
          </w:p>
          <w:p w14:paraId="21B10616" w14:textId="77777777" w:rsidR="00A313C6" w:rsidRDefault="00A313C6" w:rsidP="00A313C6">
            <w:pPr>
              <w:spacing w:after="120"/>
              <w:ind w:right="51"/>
              <w:jc w:val="both"/>
              <w:rPr>
                <w:rFonts w:ascii="Palatino Linotype" w:hAnsi="Palatino Linotype"/>
                <w:sz w:val="18"/>
                <w:szCs w:val="18"/>
              </w:rPr>
            </w:pPr>
            <w:r w:rsidRPr="00C96A4C">
              <w:rPr>
                <w:rFonts w:ascii="Palatino Linotype" w:hAnsi="Palatino Linotype"/>
                <w:sz w:val="18"/>
                <w:szCs w:val="18"/>
              </w:rPr>
              <w:t>2. Se solicita Copia del convenio de “Peso por Peso” firmado entre la CFE y el municipio (ayuntamiento).</w:t>
            </w:r>
          </w:p>
          <w:p w14:paraId="20CA24AA" w14:textId="71229005" w:rsidR="00A313C6" w:rsidRPr="00A313C6" w:rsidRDefault="00A313C6" w:rsidP="00A313C6">
            <w:pPr>
              <w:spacing w:after="120"/>
              <w:ind w:right="51"/>
              <w:jc w:val="both"/>
              <w:rPr>
                <w:rFonts w:ascii="Palatino Linotype" w:hAnsi="Palatino Linotype"/>
                <w:sz w:val="18"/>
                <w:szCs w:val="18"/>
              </w:rPr>
            </w:pPr>
            <w:r w:rsidRPr="00C96A4C">
              <w:rPr>
                <w:rFonts w:ascii="Palatino Linotype" w:hAnsi="Palatino Linotype"/>
                <w:sz w:val="18"/>
                <w:szCs w:val="18"/>
              </w:rPr>
              <w:t>3. Se solicita Copia del convenio para recaudar el Derecho de Alumbrado Público “DAP” firmado entre la CFE y el municipio (ayuntamiento). Así 4 como la recaudación (monto) reportado por CFE al municipio de los años 2013, 2014, 2015, 2016, 2017 y los meses que van de 2018.</w:t>
            </w:r>
          </w:p>
        </w:tc>
      </w:tr>
      <w:tr w:rsidR="00A313C6" w14:paraId="48BE318C" w14:textId="77777777" w:rsidTr="007B57F5">
        <w:tc>
          <w:tcPr>
            <w:cnfStyle w:val="001000000000" w:firstRow="0" w:lastRow="0" w:firstColumn="1" w:lastColumn="0" w:oddVBand="0" w:evenVBand="0" w:oddHBand="0" w:evenHBand="0" w:firstRowFirstColumn="0" w:firstRowLastColumn="0" w:lastRowFirstColumn="0" w:lastRowLastColumn="0"/>
            <w:tcW w:w="8828" w:type="dxa"/>
          </w:tcPr>
          <w:p w14:paraId="38635610" w14:textId="77777777" w:rsidR="00A313C6" w:rsidRPr="00A313C6" w:rsidRDefault="00A313C6" w:rsidP="00A313C6">
            <w:pPr>
              <w:spacing w:after="120"/>
              <w:ind w:right="51"/>
              <w:jc w:val="both"/>
              <w:rPr>
                <w:rFonts w:ascii="Palatino Linotype" w:hAnsi="Palatino Linotype"/>
                <w:b w:val="0"/>
              </w:rPr>
            </w:pPr>
            <w:r w:rsidRPr="00A313C6">
              <w:rPr>
                <w:rFonts w:ascii="Palatino Linotype" w:hAnsi="Palatino Linotype"/>
                <w:b w:val="0"/>
              </w:rPr>
              <w:t>Grupo 7:</w:t>
            </w:r>
          </w:p>
          <w:p w14:paraId="5C295309" w14:textId="77777777" w:rsidR="00A313C6" w:rsidRPr="00C96A4C" w:rsidRDefault="00A313C6" w:rsidP="00A313C6">
            <w:pPr>
              <w:spacing w:after="120"/>
              <w:ind w:right="51"/>
              <w:jc w:val="both"/>
              <w:rPr>
                <w:rFonts w:ascii="Palatino Linotype" w:hAnsi="Palatino Linotype"/>
                <w:sz w:val="18"/>
                <w:szCs w:val="18"/>
              </w:rPr>
            </w:pPr>
            <w:r w:rsidRPr="00C96A4C">
              <w:rPr>
                <w:rFonts w:ascii="Palatino Linotype" w:hAnsi="Palatino Linotype"/>
                <w:sz w:val="18"/>
                <w:szCs w:val="18"/>
              </w:rPr>
              <w:t xml:space="preserve">1. El listado y/o número de juicios y controversias promovidos por particulares en contra del municipio por el cobro del Derecho de Alumbrado Público “DAP” durante los años 2013, 2014, 2015, 2016, 2017 y los meses que van de 2018. </w:t>
            </w:r>
          </w:p>
          <w:p w14:paraId="7AAFE3AC" w14:textId="1CFE93CC" w:rsidR="00A313C6" w:rsidRPr="00A313C6" w:rsidRDefault="00A313C6" w:rsidP="00A313C6">
            <w:pPr>
              <w:spacing w:after="120"/>
              <w:ind w:right="51"/>
              <w:jc w:val="both"/>
              <w:rPr>
                <w:rFonts w:ascii="Palatino Linotype" w:hAnsi="Palatino Linotype"/>
                <w:sz w:val="18"/>
                <w:szCs w:val="18"/>
              </w:rPr>
            </w:pPr>
            <w:r w:rsidRPr="00C96A4C">
              <w:rPr>
                <w:rFonts w:ascii="Palatino Linotype" w:hAnsi="Palatino Linotype"/>
                <w:sz w:val="18"/>
                <w:szCs w:val="18"/>
              </w:rPr>
              <w:t xml:space="preserve">2. El listado y/o número de juicios y controversias perdidos y ganados por el ayuntamiento (municipio) ante los particulares que reclaman el pago indebido del Derecho de Alumbrado Público durante los años 2013, 2014, 2015, 2016, 2017 y los meses que van de 2018. </w:t>
            </w:r>
          </w:p>
        </w:tc>
      </w:tr>
      <w:tr w:rsidR="00A313C6" w14:paraId="1481C9A6" w14:textId="77777777" w:rsidTr="007B5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1F53F3F" w14:textId="28880FAE" w:rsidR="00A313C6" w:rsidRPr="00A313C6" w:rsidRDefault="00A313C6" w:rsidP="00A313C6">
            <w:pPr>
              <w:spacing w:after="120"/>
              <w:ind w:right="51"/>
              <w:jc w:val="both"/>
              <w:rPr>
                <w:rFonts w:ascii="Palatino Linotype" w:hAnsi="Palatino Linotype"/>
                <w:b w:val="0"/>
              </w:rPr>
            </w:pPr>
            <w:r w:rsidRPr="00A313C6">
              <w:rPr>
                <w:rFonts w:ascii="Palatino Linotype" w:hAnsi="Palatino Linotype"/>
                <w:b w:val="0"/>
              </w:rPr>
              <w:t>Grupo 8:</w:t>
            </w:r>
          </w:p>
          <w:p w14:paraId="437FAFA3" w14:textId="4253CEEC" w:rsidR="00A313C6" w:rsidRPr="00A313C6" w:rsidRDefault="00A313C6" w:rsidP="00A313C6">
            <w:pPr>
              <w:spacing w:after="120"/>
              <w:ind w:right="51"/>
              <w:jc w:val="both"/>
              <w:rPr>
                <w:rFonts w:ascii="Palatino Linotype" w:hAnsi="Palatino Linotype"/>
                <w:sz w:val="18"/>
                <w:szCs w:val="18"/>
              </w:rPr>
            </w:pPr>
            <w:r w:rsidRPr="00C96A4C">
              <w:rPr>
                <w:rFonts w:ascii="Palatino Linotype" w:hAnsi="Palatino Linotype"/>
                <w:sz w:val="18"/>
                <w:szCs w:val="18"/>
              </w:rPr>
              <w:t>1. Las normas y lineamientos que el municipio sigue para operar y proporcionar el servicio</w:t>
            </w:r>
            <w:r>
              <w:rPr>
                <w:rFonts w:ascii="Palatino Linotype" w:hAnsi="Palatino Linotype"/>
                <w:sz w:val="18"/>
                <w:szCs w:val="18"/>
              </w:rPr>
              <w:t xml:space="preserve"> de alumbrado público municipal.</w:t>
            </w:r>
          </w:p>
        </w:tc>
      </w:tr>
    </w:tbl>
    <w:p w14:paraId="37B21CFD" w14:textId="77777777" w:rsidR="005E7F42" w:rsidRDefault="005E7F42" w:rsidP="00BE3B41">
      <w:pPr>
        <w:spacing w:before="240" w:after="240" w:line="360" w:lineRule="auto"/>
        <w:ind w:right="49"/>
        <w:jc w:val="both"/>
        <w:rPr>
          <w:rFonts w:ascii="Palatino Linotype" w:hAnsi="Palatino Linotype"/>
        </w:rPr>
      </w:pPr>
    </w:p>
    <w:p w14:paraId="083B2EFC" w14:textId="19C76A2F" w:rsidR="008E53B6" w:rsidRDefault="008E53B6" w:rsidP="007B57F5">
      <w:pPr>
        <w:spacing w:before="240" w:after="240" w:line="360" w:lineRule="auto"/>
        <w:ind w:right="51"/>
        <w:jc w:val="both"/>
        <w:rPr>
          <w:rFonts w:ascii="Palatino Linotype" w:hAnsi="Palatino Linotype"/>
        </w:rPr>
      </w:pPr>
      <w:r>
        <w:rPr>
          <w:rFonts w:ascii="Palatino Linotype" w:hAnsi="Palatino Linotype"/>
        </w:rPr>
        <w:lastRenderedPageBreak/>
        <w:t>U</w:t>
      </w:r>
      <w:r w:rsidRPr="008E53B6">
        <w:rPr>
          <w:rFonts w:ascii="Palatino Linotype" w:hAnsi="Palatino Linotype"/>
        </w:rPr>
        <w:t xml:space="preserve">na vez expuestos los grupos </w:t>
      </w:r>
      <w:r>
        <w:rPr>
          <w:rFonts w:ascii="Palatino Linotype" w:hAnsi="Palatino Linotype"/>
        </w:rPr>
        <w:t xml:space="preserve">que servirán de base para analizar el presente medio de impugnación con la finalidad de obviar repeticiones necesarias, se atiende en primer lugar lo relativo al </w:t>
      </w:r>
      <w:r>
        <w:rPr>
          <w:rFonts w:ascii="Palatino Linotype" w:hAnsi="Palatino Linotype"/>
          <w:b/>
        </w:rPr>
        <w:t xml:space="preserve">Grupo 1, </w:t>
      </w:r>
      <w:r>
        <w:rPr>
          <w:rFonts w:ascii="Palatino Linotype" w:hAnsi="Palatino Linotype"/>
        </w:rPr>
        <w:t>en el que se tuvo a bien encuadrar los siguientes puntos:</w:t>
      </w:r>
    </w:p>
    <w:p w14:paraId="678354B7" w14:textId="77777777" w:rsidR="008E53B6" w:rsidRPr="008E53B6" w:rsidRDefault="008E53B6" w:rsidP="00DD11A6">
      <w:pPr>
        <w:spacing w:before="240" w:after="240" w:line="360" w:lineRule="auto"/>
        <w:ind w:left="567" w:right="51"/>
        <w:jc w:val="both"/>
        <w:rPr>
          <w:rFonts w:ascii="Palatino Linotype" w:hAnsi="Palatino Linotype"/>
          <w:b/>
          <w:sz w:val="22"/>
          <w:szCs w:val="22"/>
        </w:rPr>
      </w:pPr>
      <w:r w:rsidRPr="008E53B6">
        <w:rPr>
          <w:rFonts w:ascii="Palatino Linotype" w:hAnsi="Palatino Linotype"/>
          <w:b/>
          <w:sz w:val="22"/>
          <w:szCs w:val="22"/>
        </w:rPr>
        <w:t>1. El importe por concepto de alumbrado público facturado por CFE en el municipio, desglosado ya sea por mes o bimestre, de los años 2013, 2014, 2015, 2016, 2017 y los meses que van de 2018.</w:t>
      </w:r>
    </w:p>
    <w:p w14:paraId="3455D69C" w14:textId="77777777" w:rsidR="008E53B6" w:rsidRPr="008E53B6" w:rsidRDefault="008E53B6" w:rsidP="00DD11A6">
      <w:pPr>
        <w:spacing w:before="240" w:after="240" w:line="360" w:lineRule="auto"/>
        <w:ind w:left="567" w:right="51"/>
        <w:jc w:val="both"/>
        <w:rPr>
          <w:rFonts w:ascii="Palatino Linotype" w:hAnsi="Palatino Linotype"/>
          <w:b/>
          <w:sz w:val="22"/>
          <w:szCs w:val="22"/>
        </w:rPr>
      </w:pPr>
      <w:r w:rsidRPr="008E53B6">
        <w:rPr>
          <w:rFonts w:ascii="Palatino Linotype" w:hAnsi="Palatino Linotype"/>
          <w:b/>
          <w:sz w:val="22"/>
          <w:szCs w:val="22"/>
        </w:rPr>
        <w:t>2. La o las partidas presupuestales que se utilizaron y los montos que se erogaron dentro del presupuesto de egresos municipal para el mantenimiento del sistema de alumbrado público durante los años 2013, 2014, 2015, 2016, 2017 y los meses que van del 2018.</w:t>
      </w:r>
    </w:p>
    <w:p w14:paraId="58E30F1B" w14:textId="1863A075" w:rsidR="008E53B6" w:rsidRPr="008E53B6" w:rsidRDefault="008E53B6" w:rsidP="00DD11A6">
      <w:pPr>
        <w:spacing w:before="240" w:after="240" w:line="360" w:lineRule="auto"/>
        <w:ind w:left="567" w:right="51"/>
        <w:jc w:val="both"/>
        <w:rPr>
          <w:rFonts w:ascii="Palatino Linotype" w:hAnsi="Palatino Linotype"/>
          <w:b/>
          <w:sz w:val="22"/>
          <w:szCs w:val="22"/>
        </w:rPr>
      </w:pPr>
      <w:r w:rsidRPr="008E53B6">
        <w:rPr>
          <w:rFonts w:ascii="Palatino Linotype" w:hAnsi="Palatino Linotype"/>
          <w:b/>
          <w:sz w:val="22"/>
          <w:szCs w:val="22"/>
        </w:rPr>
        <w:t>3. La o las partidas presupuestales que se utilizaron y los montos que se pagaron por mes para cubrir la factura por concepto de consumo de energía eléctrica en el sistema de alumbrado público municipal de 2013, 2014, 2015, 2016, 2017 y los meses que van del 2018.</w:t>
      </w:r>
    </w:p>
    <w:p w14:paraId="77039DC4" w14:textId="60EFF4FF" w:rsidR="008E53B6" w:rsidRPr="00F56112" w:rsidRDefault="0083555C" w:rsidP="0083555C">
      <w:pPr>
        <w:pStyle w:val="Default"/>
        <w:spacing w:before="240" w:after="240" w:line="360" w:lineRule="auto"/>
        <w:jc w:val="both"/>
        <w:rPr>
          <w:rFonts w:ascii="Palatino Linotype" w:hAnsi="Palatino Linotype"/>
          <w:szCs w:val="22"/>
        </w:rPr>
      </w:pPr>
      <w:r>
        <w:rPr>
          <w:rFonts w:ascii="Palatino Linotype" w:hAnsi="Palatino Linotype"/>
        </w:rPr>
        <w:t>En ese contexto, cabe precisar en términos generales</w:t>
      </w:r>
      <w:r w:rsidR="00DD11A6">
        <w:rPr>
          <w:rFonts w:ascii="Palatino Linotype" w:hAnsi="Palatino Linotype"/>
        </w:rPr>
        <w:t>,</w:t>
      </w:r>
      <w:r>
        <w:rPr>
          <w:rFonts w:ascii="Palatino Linotype" w:hAnsi="Palatino Linotype"/>
        </w:rPr>
        <w:t xml:space="preserve"> que la </w:t>
      </w:r>
      <w:r w:rsidR="008E53B6" w:rsidRPr="00F56112">
        <w:rPr>
          <w:rFonts w:ascii="Palatino Linotype" w:hAnsi="Palatino Linotype"/>
          <w:szCs w:val="22"/>
        </w:rPr>
        <w:t>Constitución Política del Estado Libre y Soberano de México en su artículo 129</w:t>
      </w:r>
      <w:r>
        <w:rPr>
          <w:rFonts w:ascii="Palatino Linotype" w:hAnsi="Palatino Linotype"/>
          <w:szCs w:val="22"/>
        </w:rPr>
        <w:t>,</w:t>
      </w:r>
      <w:r w:rsidR="00DD11A6">
        <w:rPr>
          <w:rFonts w:ascii="Palatino Linotype" w:hAnsi="Palatino Linotype"/>
          <w:szCs w:val="22"/>
        </w:rPr>
        <w:t xml:space="preserve"> dispone que</w:t>
      </w:r>
      <w:r w:rsidR="008E53B6" w:rsidRPr="00F56112">
        <w:rPr>
          <w:rFonts w:ascii="Palatino Linotype" w:hAnsi="Palatino Linotype"/>
          <w:szCs w:val="22"/>
        </w:rPr>
        <w:t xml:space="preserve"> los recursos económicos del Estado, de los Municipios, así como de los Organismos Autónomos, </w:t>
      </w:r>
      <w:r w:rsidR="00DD11A6">
        <w:rPr>
          <w:rFonts w:ascii="Palatino Linotype" w:hAnsi="Palatino Linotype"/>
          <w:szCs w:val="22"/>
        </w:rPr>
        <w:t xml:space="preserve">se rigen bajo </w:t>
      </w:r>
      <w:r w:rsidRPr="00F56112">
        <w:rPr>
          <w:rFonts w:ascii="Palatino Linotype" w:hAnsi="Palatino Linotype"/>
          <w:szCs w:val="22"/>
        </w:rPr>
        <w:t xml:space="preserve">los principios </w:t>
      </w:r>
      <w:r w:rsidR="00DD11A6">
        <w:rPr>
          <w:rFonts w:ascii="Palatino Linotype" w:hAnsi="Palatino Linotype"/>
          <w:szCs w:val="22"/>
        </w:rPr>
        <w:t xml:space="preserve">de </w:t>
      </w:r>
      <w:r w:rsidR="008E53B6" w:rsidRPr="00F56112">
        <w:rPr>
          <w:rFonts w:ascii="Palatino Linotype" w:hAnsi="Palatino Linotype"/>
          <w:szCs w:val="22"/>
        </w:rPr>
        <w:t>eficiencia, eficacia y honradez</w:t>
      </w:r>
      <w:r w:rsidR="00DD11A6">
        <w:rPr>
          <w:rFonts w:ascii="Palatino Linotype" w:hAnsi="Palatino Linotype"/>
          <w:szCs w:val="22"/>
        </w:rPr>
        <w:t xml:space="preserve"> en el ejercicio de</w:t>
      </w:r>
      <w:r w:rsidR="00DD11A6" w:rsidRPr="00F56112">
        <w:rPr>
          <w:rFonts w:ascii="Palatino Linotype" w:hAnsi="Palatino Linotype"/>
          <w:szCs w:val="22"/>
        </w:rPr>
        <w:t xml:space="preserve"> la función pública</w:t>
      </w:r>
      <w:r w:rsidR="008E53B6" w:rsidRPr="00F56112">
        <w:rPr>
          <w:rFonts w:ascii="Palatino Linotype" w:hAnsi="Palatino Linotype"/>
          <w:szCs w:val="22"/>
        </w:rPr>
        <w:t xml:space="preserve">, </w:t>
      </w:r>
      <w:r>
        <w:rPr>
          <w:rFonts w:ascii="Palatino Linotype" w:hAnsi="Palatino Linotype"/>
          <w:szCs w:val="22"/>
        </w:rPr>
        <w:t>para</w:t>
      </w:r>
      <w:r w:rsidR="008E53B6" w:rsidRPr="00F56112">
        <w:rPr>
          <w:rFonts w:ascii="Palatino Linotype" w:hAnsi="Palatino Linotype"/>
          <w:szCs w:val="22"/>
        </w:rPr>
        <w:t xml:space="preserve"> cumplir los objetivos y programas a los que estén destinados. </w:t>
      </w:r>
    </w:p>
    <w:p w14:paraId="60C84D48" w14:textId="168D1BFB" w:rsidR="008E53B6" w:rsidRPr="00D74938" w:rsidRDefault="00DD11A6" w:rsidP="0083555C">
      <w:pPr>
        <w:pStyle w:val="Default"/>
        <w:spacing w:before="240" w:after="240" w:line="360" w:lineRule="auto"/>
        <w:jc w:val="both"/>
        <w:rPr>
          <w:rFonts w:ascii="Palatino Linotype" w:hAnsi="Palatino Linotype"/>
        </w:rPr>
      </w:pPr>
      <w:r>
        <w:rPr>
          <w:rFonts w:ascii="Palatino Linotype" w:hAnsi="Palatino Linotype"/>
        </w:rPr>
        <w:t xml:space="preserve">Ahora bien, respecto al punto 1 de este grupo, cabe hacer alusión a </w:t>
      </w:r>
      <w:r w:rsidR="008E53B6" w:rsidRPr="00D74938">
        <w:rPr>
          <w:rFonts w:ascii="Palatino Linotype" w:hAnsi="Palatino Linotype"/>
        </w:rPr>
        <w:t>los artículos 31 fracciones XVIII y XIX y 95 fracciones I y IV de la Ley Orgánica Municipal del Estado de México</w:t>
      </w:r>
      <w:r>
        <w:rPr>
          <w:rFonts w:ascii="Palatino Linotype" w:hAnsi="Palatino Linotype"/>
        </w:rPr>
        <w:t>, que</w:t>
      </w:r>
      <w:r w:rsidR="008E53B6" w:rsidRPr="00D74938">
        <w:rPr>
          <w:rFonts w:ascii="Palatino Linotype" w:hAnsi="Palatino Linotype"/>
        </w:rPr>
        <w:t xml:space="preserve"> disponen</w:t>
      </w:r>
      <w:r w:rsidR="008E53B6">
        <w:rPr>
          <w:rFonts w:ascii="Palatino Linotype" w:hAnsi="Palatino Linotype"/>
        </w:rPr>
        <w:t xml:space="preserve"> como atribuciones de los ayuntamientos</w:t>
      </w:r>
      <w:r>
        <w:rPr>
          <w:rFonts w:ascii="Palatino Linotype" w:hAnsi="Palatino Linotype"/>
        </w:rPr>
        <w:t>,</w:t>
      </w:r>
      <w:r w:rsidR="008E53B6" w:rsidRPr="00D74938">
        <w:rPr>
          <w:rFonts w:ascii="Palatino Linotype" w:hAnsi="Palatino Linotype"/>
        </w:rPr>
        <w:t xml:space="preserve"> lo siguiente:</w:t>
      </w:r>
    </w:p>
    <w:p w14:paraId="7F499E57" w14:textId="77777777" w:rsidR="008E53B6" w:rsidRPr="00DD11A6" w:rsidRDefault="008E53B6" w:rsidP="00DD11A6">
      <w:pPr>
        <w:autoSpaceDE w:val="0"/>
        <w:autoSpaceDN w:val="0"/>
        <w:adjustRightInd w:val="0"/>
        <w:spacing w:after="120"/>
        <w:ind w:left="851" w:right="900"/>
        <w:jc w:val="both"/>
        <w:rPr>
          <w:rFonts w:ascii="Palatino Linotype" w:eastAsiaTheme="minorEastAsia" w:hAnsi="Palatino Linotype" w:cs="Arial"/>
          <w:i/>
          <w:sz w:val="20"/>
          <w:szCs w:val="20"/>
        </w:rPr>
      </w:pPr>
      <w:r w:rsidRPr="00DD11A6">
        <w:rPr>
          <w:rFonts w:ascii="Palatino Linotype" w:eastAsiaTheme="minorEastAsia" w:hAnsi="Palatino Linotype" w:cs="Arial"/>
          <w:i/>
          <w:sz w:val="20"/>
          <w:szCs w:val="20"/>
        </w:rPr>
        <w:lastRenderedPageBreak/>
        <w:t>"</w:t>
      </w:r>
      <w:r w:rsidRPr="00DD11A6">
        <w:rPr>
          <w:rFonts w:ascii="Palatino Linotype" w:eastAsiaTheme="minorEastAsia" w:hAnsi="Palatino Linotype" w:cs="Arial"/>
          <w:b/>
          <w:i/>
          <w:sz w:val="20"/>
          <w:szCs w:val="20"/>
        </w:rPr>
        <w:t>Artículo 31.-</w:t>
      </w:r>
      <w:r w:rsidRPr="00DD11A6">
        <w:rPr>
          <w:rFonts w:ascii="Palatino Linotype" w:eastAsiaTheme="minorEastAsia" w:hAnsi="Palatino Linotype" w:cs="Arial"/>
          <w:i/>
          <w:sz w:val="20"/>
          <w:szCs w:val="20"/>
        </w:rPr>
        <w:t>Son atribuciones de los ayuntamientos:</w:t>
      </w:r>
    </w:p>
    <w:p w14:paraId="7E90405A" w14:textId="77777777" w:rsidR="00DD11A6" w:rsidRDefault="00DD11A6" w:rsidP="00DD11A6">
      <w:pPr>
        <w:autoSpaceDE w:val="0"/>
        <w:autoSpaceDN w:val="0"/>
        <w:adjustRightInd w:val="0"/>
        <w:spacing w:after="120"/>
        <w:ind w:left="1134" w:right="900"/>
        <w:jc w:val="both"/>
        <w:rPr>
          <w:rFonts w:ascii="Palatino Linotype" w:eastAsiaTheme="minorEastAsia" w:hAnsi="Palatino Linotype" w:cs="Arial"/>
          <w:b/>
          <w:i/>
          <w:sz w:val="20"/>
          <w:szCs w:val="20"/>
        </w:rPr>
      </w:pPr>
      <w:r>
        <w:rPr>
          <w:rFonts w:ascii="Palatino Linotype" w:eastAsiaTheme="minorEastAsia" w:hAnsi="Palatino Linotype" w:cs="Arial"/>
          <w:b/>
          <w:i/>
          <w:sz w:val="20"/>
          <w:szCs w:val="20"/>
        </w:rPr>
        <w:t>(…)</w:t>
      </w:r>
    </w:p>
    <w:p w14:paraId="7DBD861E" w14:textId="7F01CA62" w:rsidR="008E53B6" w:rsidRPr="00DD11A6" w:rsidRDefault="008E53B6" w:rsidP="00DD11A6">
      <w:pPr>
        <w:autoSpaceDE w:val="0"/>
        <w:autoSpaceDN w:val="0"/>
        <w:adjustRightInd w:val="0"/>
        <w:spacing w:after="120"/>
        <w:ind w:left="1134" w:right="900"/>
        <w:jc w:val="both"/>
        <w:rPr>
          <w:rFonts w:ascii="Palatino Linotype" w:eastAsiaTheme="minorEastAsia" w:hAnsi="Palatino Linotype" w:cs="Arial"/>
          <w:i/>
          <w:sz w:val="20"/>
          <w:szCs w:val="20"/>
        </w:rPr>
      </w:pPr>
      <w:r w:rsidRPr="00DD11A6">
        <w:rPr>
          <w:rFonts w:ascii="Palatino Linotype" w:eastAsiaTheme="minorEastAsia" w:hAnsi="Palatino Linotype" w:cs="Arial"/>
          <w:b/>
          <w:i/>
          <w:sz w:val="20"/>
          <w:szCs w:val="20"/>
        </w:rPr>
        <w:t>XVIII.</w:t>
      </w:r>
      <w:r w:rsidRPr="00DD11A6">
        <w:rPr>
          <w:rFonts w:ascii="Palatino Linotype" w:eastAsiaTheme="minorEastAsia" w:hAnsi="Palatino Linotype" w:cs="Arial"/>
          <w:i/>
          <w:sz w:val="20"/>
          <w:szCs w:val="20"/>
        </w:rPr>
        <w:tab/>
        <w:t>Administrar su hacienda en términos de ley, y controlar a través del presidente y síndico la aplicación del presupuesto de egresos del municipio;</w:t>
      </w:r>
    </w:p>
    <w:p w14:paraId="6ACF283A" w14:textId="4DC6FFB9" w:rsidR="008E53B6" w:rsidRPr="00DD11A6" w:rsidRDefault="00DD11A6" w:rsidP="00DD11A6">
      <w:pPr>
        <w:autoSpaceDE w:val="0"/>
        <w:autoSpaceDN w:val="0"/>
        <w:adjustRightInd w:val="0"/>
        <w:spacing w:after="120"/>
        <w:ind w:left="1134" w:right="900"/>
        <w:jc w:val="both"/>
        <w:rPr>
          <w:rFonts w:ascii="Palatino Linotype" w:eastAsiaTheme="minorEastAsia" w:hAnsi="Palatino Linotype" w:cs="Arial"/>
          <w:i/>
          <w:sz w:val="20"/>
          <w:szCs w:val="20"/>
        </w:rPr>
      </w:pPr>
      <w:r>
        <w:rPr>
          <w:rFonts w:ascii="Palatino Linotype" w:eastAsiaTheme="minorEastAsia" w:hAnsi="Palatino Linotype" w:cs="Arial"/>
          <w:b/>
          <w:i/>
          <w:sz w:val="20"/>
          <w:szCs w:val="20"/>
        </w:rPr>
        <w:t>(</w:t>
      </w:r>
      <w:r w:rsidR="008E53B6" w:rsidRPr="00DD11A6">
        <w:rPr>
          <w:rFonts w:ascii="Palatino Linotype" w:eastAsiaTheme="minorEastAsia" w:hAnsi="Palatino Linotype" w:cs="Arial"/>
          <w:b/>
          <w:i/>
          <w:sz w:val="20"/>
          <w:szCs w:val="20"/>
        </w:rPr>
        <w:t>…</w:t>
      </w:r>
      <w:r>
        <w:rPr>
          <w:rFonts w:ascii="Palatino Linotype" w:eastAsiaTheme="minorEastAsia" w:hAnsi="Palatino Linotype" w:cs="Arial"/>
          <w:b/>
          <w:i/>
          <w:sz w:val="20"/>
          <w:szCs w:val="20"/>
        </w:rPr>
        <w:t>)</w:t>
      </w:r>
    </w:p>
    <w:p w14:paraId="284738AD" w14:textId="77777777" w:rsidR="008E53B6" w:rsidRPr="00DD11A6" w:rsidRDefault="008E53B6" w:rsidP="00DD11A6">
      <w:pPr>
        <w:autoSpaceDE w:val="0"/>
        <w:autoSpaceDN w:val="0"/>
        <w:adjustRightInd w:val="0"/>
        <w:spacing w:after="120"/>
        <w:ind w:left="1134" w:right="900"/>
        <w:jc w:val="both"/>
        <w:rPr>
          <w:rFonts w:ascii="Palatino Linotype" w:hAnsi="Palatino Linotype"/>
          <w:i/>
          <w:sz w:val="20"/>
          <w:szCs w:val="20"/>
        </w:rPr>
      </w:pPr>
      <w:r w:rsidRPr="00DD11A6">
        <w:rPr>
          <w:rFonts w:ascii="Palatino Linotype" w:eastAsiaTheme="minorEastAsia" w:hAnsi="Palatino Linotype" w:cs="Arial"/>
          <w:b/>
          <w:i/>
          <w:sz w:val="20"/>
          <w:szCs w:val="20"/>
        </w:rPr>
        <w:t>XIX.</w:t>
      </w:r>
      <w:r w:rsidRPr="00DD11A6">
        <w:rPr>
          <w:rFonts w:ascii="Palatino Linotype" w:eastAsiaTheme="minorEastAsia" w:hAnsi="Palatino Linotype" w:cs="Arial"/>
          <w:i/>
          <w:sz w:val="20"/>
          <w:szCs w:val="20"/>
        </w:rPr>
        <w:t xml:space="preserve"> </w:t>
      </w:r>
      <w:r w:rsidRPr="00DD11A6">
        <w:rPr>
          <w:rFonts w:ascii="Palatino Linotype" w:hAnsi="Palatino Linotype"/>
          <w:i/>
          <w:sz w:val="20"/>
          <w:szCs w:val="20"/>
        </w:rPr>
        <w:t xml:space="preserve">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4F560536" w14:textId="77777777" w:rsidR="008E53B6" w:rsidRPr="00DD11A6" w:rsidRDefault="008E53B6" w:rsidP="00DD11A6">
      <w:pPr>
        <w:autoSpaceDE w:val="0"/>
        <w:autoSpaceDN w:val="0"/>
        <w:adjustRightInd w:val="0"/>
        <w:spacing w:after="120"/>
        <w:ind w:left="851" w:right="900"/>
        <w:jc w:val="both"/>
        <w:rPr>
          <w:rFonts w:ascii="Palatino Linotype" w:hAnsi="Palatino Linotype"/>
          <w:i/>
          <w:sz w:val="20"/>
          <w:szCs w:val="20"/>
        </w:rPr>
      </w:pPr>
      <w:r w:rsidRPr="00DD11A6">
        <w:rPr>
          <w:rFonts w:ascii="Palatino Linotype" w:hAnsi="Palatino Linotype"/>
          <w:i/>
          <w:sz w:val="20"/>
          <w:szCs w:val="20"/>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3212C395" w14:textId="77777777" w:rsidR="008E53B6" w:rsidRPr="00DD11A6" w:rsidRDefault="008E53B6" w:rsidP="00DD11A6">
      <w:pPr>
        <w:autoSpaceDE w:val="0"/>
        <w:autoSpaceDN w:val="0"/>
        <w:adjustRightInd w:val="0"/>
        <w:spacing w:after="120"/>
        <w:ind w:left="851" w:right="900"/>
        <w:jc w:val="both"/>
        <w:rPr>
          <w:rFonts w:ascii="Palatino Linotype" w:hAnsi="Palatino Linotype"/>
          <w:i/>
          <w:sz w:val="20"/>
          <w:szCs w:val="20"/>
        </w:rPr>
      </w:pPr>
      <w:r w:rsidRPr="00DD11A6">
        <w:rPr>
          <w:rFonts w:ascii="Palatino Linotype" w:hAnsi="Palatino Linotype"/>
          <w:i/>
          <w:sz w:val="20"/>
          <w:szCs w:val="20"/>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14:paraId="14E5F23D" w14:textId="77777777" w:rsidR="008E53B6" w:rsidRPr="00DD11A6" w:rsidRDefault="008E53B6" w:rsidP="00DD11A6">
      <w:pPr>
        <w:autoSpaceDE w:val="0"/>
        <w:autoSpaceDN w:val="0"/>
        <w:adjustRightInd w:val="0"/>
        <w:spacing w:after="120"/>
        <w:ind w:left="851" w:right="900"/>
        <w:jc w:val="both"/>
        <w:rPr>
          <w:rFonts w:ascii="Palatino Linotype" w:hAnsi="Palatino Linotype"/>
          <w:i/>
          <w:sz w:val="20"/>
          <w:szCs w:val="20"/>
        </w:rPr>
      </w:pPr>
      <w:r w:rsidRPr="00DD11A6">
        <w:rPr>
          <w:rFonts w:ascii="Palatino Linotype" w:hAnsi="Palatino Linotype"/>
          <w:i/>
          <w:sz w:val="20"/>
          <w:szCs w:val="20"/>
        </w:rPr>
        <w:t>Los ayuntamientos podrán promover el financiamiento de proyectos productivos de las mujeres emprendedoras.</w:t>
      </w:r>
    </w:p>
    <w:p w14:paraId="548AD019" w14:textId="664D4A5A" w:rsidR="008E53B6" w:rsidRPr="00DD11A6" w:rsidRDefault="008E53B6" w:rsidP="00DD11A6">
      <w:pPr>
        <w:autoSpaceDE w:val="0"/>
        <w:autoSpaceDN w:val="0"/>
        <w:adjustRightInd w:val="0"/>
        <w:spacing w:after="120"/>
        <w:ind w:left="851" w:right="900"/>
        <w:jc w:val="both"/>
        <w:rPr>
          <w:rFonts w:ascii="Palatino Linotype" w:eastAsiaTheme="minorEastAsia" w:hAnsi="Palatino Linotype" w:cs="Arial"/>
          <w:i/>
          <w:sz w:val="20"/>
          <w:szCs w:val="20"/>
        </w:rPr>
      </w:pPr>
      <w:r w:rsidRPr="00DD11A6">
        <w:rPr>
          <w:rFonts w:ascii="Palatino Linotype" w:eastAsiaTheme="minorEastAsia" w:hAnsi="Palatino Linotype" w:cs="Arial"/>
          <w:b/>
          <w:i/>
          <w:sz w:val="20"/>
          <w:szCs w:val="20"/>
        </w:rPr>
        <w:t>Artículo 95</w:t>
      </w:r>
      <w:r w:rsidRPr="00DD11A6">
        <w:rPr>
          <w:rFonts w:ascii="Palatino Linotype" w:eastAsiaTheme="minorEastAsia" w:hAnsi="Palatino Linotype" w:cs="Arial"/>
          <w:i/>
          <w:sz w:val="20"/>
          <w:szCs w:val="20"/>
        </w:rPr>
        <w:t xml:space="preserve">.-Son atribuciones del tesorero municipal: </w:t>
      </w:r>
    </w:p>
    <w:p w14:paraId="6C5E22ED" w14:textId="688D4D79" w:rsidR="008E53B6" w:rsidRPr="00DD11A6" w:rsidRDefault="00DD11A6" w:rsidP="00DD11A6">
      <w:pPr>
        <w:autoSpaceDE w:val="0"/>
        <w:autoSpaceDN w:val="0"/>
        <w:adjustRightInd w:val="0"/>
        <w:spacing w:after="120"/>
        <w:ind w:left="1134" w:right="900"/>
        <w:jc w:val="both"/>
        <w:rPr>
          <w:rFonts w:ascii="Palatino Linotype" w:eastAsiaTheme="minorEastAsia" w:hAnsi="Palatino Linotype" w:cs="Arial"/>
          <w:i/>
          <w:sz w:val="20"/>
          <w:szCs w:val="20"/>
        </w:rPr>
      </w:pPr>
      <w:r w:rsidRPr="00DD11A6">
        <w:rPr>
          <w:rFonts w:ascii="Palatino Linotype" w:eastAsiaTheme="minorEastAsia" w:hAnsi="Palatino Linotype" w:cs="Arial"/>
          <w:b/>
          <w:i/>
          <w:sz w:val="20"/>
          <w:szCs w:val="20"/>
        </w:rPr>
        <w:t>I</w:t>
      </w:r>
      <w:r w:rsidR="008E53B6" w:rsidRPr="00DD11A6">
        <w:rPr>
          <w:rFonts w:ascii="Palatino Linotype" w:eastAsiaTheme="minorEastAsia" w:hAnsi="Palatino Linotype" w:cs="Arial"/>
          <w:b/>
          <w:i/>
          <w:sz w:val="20"/>
          <w:szCs w:val="20"/>
        </w:rPr>
        <w:t>.</w:t>
      </w:r>
      <w:r w:rsidR="008E53B6" w:rsidRPr="00DD11A6">
        <w:rPr>
          <w:rFonts w:ascii="Palatino Linotype" w:eastAsiaTheme="minorEastAsia" w:hAnsi="Palatino Linotype" w:cs="Arial"/>
          <w:i/>
          <w:sz w:val="20"/>
          <w:szCs w:val="20"/>
        </w:rPr>
        <w:t xml:space="preserve"> Administrar la hacienda pública municipal, de conformidad con las disposiciones legales aplicables;</w:t>
      </w:r>
    </w:p>
    <w:p w14:paraId="7CB76A38" w14:textId="77777777" w:rsidR="00DD11A6" w:rsidRDefault="00DD11A6" w:rsidP="00DD11A6">
      <w:pPr>
        <w:autoSpaceDE w:val="0"/>
        <w:autoSpaceDN w:val="0"/>
        <w:adjustRightInd w:val="0"/>
        <w:spacing w:after="120"/>
        <w:ind w:left="1134" w:right="900"/>
        <w:jc w:val="both"/>
        <w:rPr>
          <w:rFonts w:ascii="Palatino Linotype" w:eastAsiaTheme="minorEastAsia" w:hAnsi="Palatino Linotype" w:cs="Arial"/>
          <w:b/>
          <w:i/>
          <w:sz w:val="20"/>
          <w:szCs w:val="20"/>
        </w:rPr>
      </w:pPr>
      <w:r>
        <w:rPr>
          <w:rFonts w:ascii="Palatino Linotype" w:eastAsiaTheme="minorEastAsia" w:hAnsi="Palatino Linotype" w:cs="Arial"/>
          <w:b/>
          <w:i/>
          <w:sz w:val="20"/>
          <w:szCs w:val="20"/>
        </w:rPr>
        <w:t>(…)</w:t>
      </w:r>
    </w:p>
    <w:p w14:paraId="726EC1C0" w14:textId="2372E187" w:rsidR="008E53B6" w:rsidRPr="00DD11A6" w:rsidRDefault="008E53B6" w:rsidP="00DD11A6">
      <w:pPr>
        <w:autoSpaceDE w:val="0"/>
        <w:autoSpaceDN w:val="0"/>
        <w:adjustRightInd w:val="0"/>
        <w:spacing w:after="120"/>
        <w:ind w:left="1134" w:right="900"/>
        <w:jc w:val="both"/>
        <w:rPr>
          <w:rFonts w:ascii="Palatino Linotype" w:eastAsiaTheme="minorEastAsia" w:hAnsi="Palatino Linotype" w:cs="Arial"/>
          <w:i/>
          <w:sz w:val="20"/>
          <w:szCs w:val="20"/>
        </w:rPr>
      </w:pPr>
      <w:r w:rsidRPr="00DD11A6">
        <w:rPr>
          <w:rFonts w:ascii="Palatino Linotype" w:eastAsiaTheme="minorEastAsia" w:hAnsi="Palatino Linotype" w:cs="Arial"/>
          <w:b/>
          <w:i/>
          <w:sz w:val="20"/>
          <w:szCs w:val="20"/>
        </w:rPr>
        <w:t>IV.</w:t>
      </w:r>
      <w:r w:rsidRPr="00DD11A6">
        <w:rPr>
          <w:rFonts w:ascii="Palatino Linotype" w:eastAsiaTheme="minorEastAsia" w:hAnsi="Palatino Linotype" w:cs="Arial"/>
          <w:i/>
          <w:sz w:val="20"/>
          <w:szCs w:val="20"/>
        </w:rPr>
        <w:t xml:space="preserve"> Llevar los registros contables, financieros y administrativos de los ingresos, egresos, e inventarios;..”</w:t>
      </w:r>
    </w:p>
    <w:p w14:paraId="1E0BD312" w14:textId="77777777" w:rsidR="008E53B6" w:rsidRDefault="008E53B6" w:rsidP="008E53B6">
      <w:pPr>
        <w:autoSpaceDE w:val="0"/>
        <w:autoSpaceDN w:val="0"/>
        <w:adjustRightInd w:val="0"/>
        <w:ind w:left="709" w:right="616"/>
        <w:jc w:val="both"/>
        <w:rPr>
          <w:rFonts w:ascii="Palatino Linotype" w:eastAsiaTheme="minorEastAsia" w:hAnsi="Palatino Linotype" w:cs="Arial"/>
          <w:i/>
        </w:rPr>
      </w:pPr>
    </w:p>
    <w:p w14:paraId="46AD17CE" w14:textId="77777777" w:rsidR="008E53B6" w:rsidRPr="00F56112" w:rsidRDefault="008E53B6" w:rsidP="00DD11A6">
      <w:pPr>
        <w:autoSpaceDE w:val="0"/>
        <w:autoSpaceDN w:val="0"/>
        <w:adjustRightInd w:val="0"/>
        <w:spacing w:before="240" w:after="240" w:line="360" w:lineRule="auto"/>
        <w:ind w:right="51"/>
        <w:jc w:val="both"/>
        <w:rPr>
          <w:rFonts w:ascii="Palatino Linotype" w:eastAsiaTheme="minorEastAsia" w:hAnsi="Palatino Linotype" w:cs="Arial"/>
        </w:rPr>
      </w:pPr>
      <w:r w:rsidRPr="00F56112">
        <w:rPr>
          <w:rFonts w:ascii="Palatino Linotype" w:eastAsiaTheme="minorEastAsia" w:hAnsi="Palatino Linotype" w:cs="Arial"/>
        </w:rPr>
        <w:t>De lo</w:t>
      </w:r>
      <w:r>
        <w:rPr>
          <w:rFonts w:ascii="Palatino Linotype" w:eastAsiaTheme="minorEastAsia" w:hAnsi="Palatino Linotype" w:cs="Arial"/>
        </w:rPr>
        <w:t>s preceptos normativos citados con anterioridad,</w:t>
      </w:r>
      <w:r w:rsidRPr="00F56112">
        <w:rPr>
          <w:rFonts w:ascii="Palatino Linotype" w:eastAsiaTheme="minorEastAsia" w:hAnsi="Palatino Linotype" w:cs="Arial"/>
        </w:rPr>
        <w:t xml:space="preserve"> se advierte que los ayuntamientos tienen la atribución de administrar libremente su hacienda y </w:t>
      </w:r>
      <w:r w:rsidRPr="00F56112">
        <w:rPr>
          <w:rFonts w:ascii="Palatino Linotype" w:eastAsiaTheme="minorEastAsia" w:hAnsi="Palatino Linotype" w:cs="Arial"/>
        </w:rPr>
        <w:lastRenderedPageBreak/>
        <w:t>controlar la aplicación del presupuesto de egresos aprobado por dicho cuerpo colegiado</w:t>
      </w:r>
      <w:r>
        <w:rPr>
          <w:rFonts w:ascii="Palatino Linotype" w:eastAsiaTheme="minorEastAsia" w:hAnsi="Palatino Linotype" w:cs="Arial"/>
        </w:rPr>
        <w:t xml:space="preserve"> a más tardar el veinte de diciembre del año del año inmediato anterior</w:t>
      </w:r>
      <w:r w:rsidRPr="00F56112">
        <w:rPr>
          <w:rFonts w:ascii="Palatino Linotype" w:eastAsiaTheme="minorEastAsia" w:hAnsi="Palatino Linotype" w:cs="Arial"/>
        </w:rPr>
        <w:t xml:space="preserve">, </w:t>
      </w:r>
      <w:r>
        <w:rPr>
          <w:rFonts w:ascii="Palatino Linotype" w:eastAsiaTheme="minorEastAsia" w:hAnsi="Palatino Linotype" w:cs="Arial"/>
        </w:rPr>
        <w:t>por lo que señala que será atribución del Tesorero Municipal, el llevar</w:t>
      </w:r>
      <w:r w:rsidRPr="00F56112">
        <w:rPr>
          <w:rFonts w:ascii="Palatino Linotype" w:eastAsiaTheme="minorEastAsia" w:hAnsi="Palatino Linotype" w:cs="Arial"/>
        </w:rPr>
        <w:t xml:space="preserve"> los registros contables, financieros y administrativos de los ingresos, egresos e inventarios. </w:t>
      </w:r>
    </w:p>
    <w:p w14:paraId="67E74945" w14:textId="77777777" w:rsidR="008E53B6" w:rsidRPr="00F56112" w:rsidRDefault="008E53B6" w:rsidP="00DD11A6">
      <w:pPr>
        <w:autoSpaceDE w:val="0"/>
        <w:autoSpaceDN w:val="0"/>
        <w:adjustRightInd w:val="0"/>
        <w:spacing w:before="240" w:after="240" w:line="360" w:lineRule="auto"/>
        <w:ind w:right="51"/>
        <w:jc w:val="both"/>
        <w:rPr>
          <w:rFonts w:ascii="Palatino Linotype" w:eastAsiaTheme="minorEastAsia" w:hAnsi="Palatino Linotype" w:cs="Arial"/>
        </w:rPr>
      </w:pPr>
      <w:r>
        <w:rPr>
          <w:rFonts w:ascii="Palatino Linotype" w:eastAsiaTheme="minorEastAsia" w:hAnsi="Palatino Linotype" w:cs="Arial"/>
        </w:rPr>
        <w:t>Por su parte</w:t>
      </w:r>
      <w:r w:rsidRPr="00F56112">
        <w:rPr>
          <w:rFonts w:ascii="Palatino Linotype" w:eastAsiaTheme="minorEastAsia" w:hAnsi="Palatino Linotype" w:cs="Arial"/>
        </w:rPr>
        <w:t xml:space="preserve">, los artículos 343, 344 y 345 del Código Financiero del Estado de México y Municipios </w:t>
      </w:r>
      <w:r>
        <w:rPr>
          <w:rFonts w:ascii="Palatino Linotype" w:eastAsiaTheme="minorEastAsia" w:hAnsi="Palatino Linotype" w:cs="Arial"/>
        </w:rPr>
        <w:t xml:space="preserve">señalan </w:t>
      </w:r>
      <w:r w:rsidRPr="00F56112">
        <w:rPr>
          <w:rFonts w:ascii="Palatino Linotype" w:eastAsiaTheme="minorEastAsia" w:hAnsi="Palatino Linotype" w:cs="Arial"/>
        </w:rPr>
        <w:t xml:space="preserve">el sistema y las políticas que deben seguirse para llevar el registro contable </w:t>
      </w:r>
      <w:r>
        <w:rPr>
          <w:rFonts w:ascii="Palatino Linotype" w:eastAsiaTheme="minorEastAsia" w:hAnsi="Palatino Linotype" w:cs="Arial"/>
        </w:rPr>
        <w:t xml:space="preserve">de efecto patrimonial </w:t>
      </w:r>
      <w:r w:rsidRPr="00F56112">
        <w:rPr>
          <w:rFonts w:ascii="Palatino Linotype" w:eastAsiaTheme="minorEastAsia" w:hAnsi="Palatino Linotype" w:cs="Arial"/>
        </w:rPr>
        <w:t>y presupuesta</w:t>
      </w:r>
      <w:r>
        <w:rPr>
          <w:rFonts w:ascii="Palatino Linotype" w:eastAsiaTheme="minorEastAsia" w:hAnsi="Palatino Linotype" w:cs="Arial"/>
        </w:rPr>
        <w:t>l</w:t>
      </w:r>
      <w:r w:rsidRPr="00F56112">
        <w:rPr>
          <w:rFonts w:ascii="Palatino Linotype" w:eastAsiaTheme="minorEastAsia" w:hAnsi="Palatino Linotype" w:cs="Arial"/>
        </w:rPr>
        <w:t xml:space="preserve"> de las operaciones financieras que llevan a cabo los Municipios del Estado de México</w:t>
      </w:r>
      <w:r>
        <w:rPr>
          <w:rFonts w:ascii="Palatino Linotype" w:eastAsiaTheme="minorEastAsia" w:hAnsi="Palatino Linotype" w:cs="Arial"/>
        </w:rPr>
        <w:t xml:space="preserve"> en armonía con el Sistema de coordinación Hacendaria del Estado y con las disposiciones que se aprueben en materia de planeación, programación, </w:t>
      </w:r>
      <w:proofErr w:type="spellStart"/>
      <w:r>
        <w:rPr>
          <w:rFonts w:ascii="Palatino Linotype" w:eastAsiaTheme="minorEastAsia" w:hAnsi="Palatino Linotype" w:cs="Arial"/>
        </w:rPr>
        <w:t>presupuestación</w:t>
      </w:r>
      <w:proofErr w:type="spellEnd"/>
      <w:r>
        <w:rPr>
          <w:rFonts w:ascii="Palatino Linotype" w:eastAsiaTheme="minorEastAsia" w:hAnsi="Palatino Linotype" w:cs="Arial"/>
        </w:rPr>
        <w:t xml:space="preserve"> avaluación y contabilidad gubernamental</w:t>
      </w:r>
      <w:r>
        <w:rPr>
          <w:rStyle w:val="Refdenotaalpie"/>
          <w:rFonts w:ascii="Palatino Linotype" w:eastAsiaTheme="minorEastAsia" w:hAnsi="Palatino Linotype" w:cs="Arial"/>
        </w:rPr>
        <w:footnoteReference w:id="4"/>
      </w:r>
      <w:r w:rsidRPr="00F56112">
        <w:rPr>
          <w:rFonts w:ascii="Palatino Linotype" w:eastAsiaTheme="minorEastAsia" w:hAnsi="Palatino Linotype" w:cs="Arial"/>
        </w:rPr>
        <w:t>, en los siguientes términos:</w:t>
      </w:r>
    </w:p>
    <w:p w14:paraId="2EF2B9F4" w14:textId="77777777" w:rsidR="008E53B6" w:rsidRPr="00DD11A6" w:rsidRDefault="008E53B6" w:rsidP="00DD11A6">
      <w:pPr>
        <w:autoSpaceDE w:val="0"/>
        <w:autoSpaceDN w:val="0"/>
        <w:adjustRightInd w:val="0"/>
        <w:spacing w:after="120"/>
        <w:ind w:left="851" w:right="902"/>
        <w:jc w:val="both"/>
        <w:rPr>
          <w:rFonts w:ascii="Palatino Linotype" w:eastAsiaTheme="minorEastAsia" w:hAnsi="Palatino Linotype" w:cs="Arial"/>
          <w:i/>
          <w:sz w:val="20"/>
          <w:szCs w:val="20"/>
        </w:rPr>
      </w:pPr>
      <w:r w:rsidRPr="00DD11A6">
        <w:rPr>
          <w:rFonts w:ascii="Palatino Linotype" w:eastAsiaTheme="minorEastAsia" w:hAnsi="Palatino Linotype" w:cs="Arial"/>
          <w:i/>
          <w:sz w:val="20"/>
          <w:szCs w:val="20"/>
        </w:rPr>
        <w:t>"</w:t>
      </w:r>
      <w:r w:rsidRPr="00DD11A6">
        <w:rPr>
          <w:rFonts w:ascii="Palatino Linotype" w:eastAsiaTheme="minorEastAsia" w:hAnsi="Palatino Linotype" w:cs="Arial"/>
          <w:b/>
          <w:i/>
          <w:sz w:val="20"/>
          <w:szCs w:val="20"/>
        </w:rPr>
        <w:t>Artículo 343.-</w:t>
      </w:r>
      <w:r w:rsidRPr="00DD11A6">
        <w:rPr>
          <w:rFonts w:ascii="Palatino Linotype" w:eastAsiaTheme="minorEastAsia" w:hAnsi="Palatino Linotype" w:cs="Arial"/>
          <w:i/>
          <w:sz w:val="20"/>
          <w:szCs w:val="20"/>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30D48FF9" w14:textId="2F7CF954" w:rsidR="008E53B6" w:rsidRPr="00DD11A6" w:rsidRDefault="008E53B6" w:rsidP="00DD11A6">
      <w:pPr>
        <w:autoSpaceDE w:val="0"/>
        <w:autoSpaceDN w:val="0"/>
        <w:adjustRightInd w:val="0"/>
        <w:spacing w:after="120"/>
        <w:ind w:left="851" w:right="902"/>
        <w:jc w:val="both"/>
        <w:rPr>
          <w:rFonts w:ascii="Palatino Linotype" w:eastAsiaTheme="minorEastAsia" w:hAnsi="Palatino Linotype" w:cs="Arial"/>
          <w:i/>
          <w:sz w:val="20"/>
          <w:szCs w:val="20"/>
        </w:rPr>
      </w:pPr>
      <w:r w:rsidRPr="00DD11A6">
        <w:rPr>
          <w:rFonts w:ascii="Palatino Linotype" w:eastAsiaTheme="minorEastAsia" w:hAnsi="Palatino Linotype" w:cs="Arial"/>
          <w:i/>
          <w:sz w:val="20"/>
          <w:szCs w:val="20"/>
        </w:rPr>
        <w:t>El sistema de contabilidad sobre base acumulativa total se sustentará en los postulados básicos y el marco conceptual de la contabilidad gubername</w:t>
      </w:r>
      <w:r w:rsidR="00DD11A6">
        <w:rPr>
          <w:rFonts w:ascii="Palatino Linotype" w:eastAsiaTheme="minorEastAsia" w:hAnsi="Palatino Linotype" w:cs="Arial"/>
          <w:i/>
          <w:sz w:val="20"/>
          <w:szCs w:val="20"/>
        </w:rPr>
        <w:t>ntal.</w:t>
      </w:r>
    </w:p>
    <w:p w14:paraId="65A3FE20" w14:textId="6F3C8EA2" w:rsidR="008E53B6" w:rsidRPr="00DD11A6" w:rsidRDefault="008E53B6" w:rsidP="00DD11A6">
      <w:pPr>
        <w:autoSpaceDE w:val="0"/>
        <w:autoSpaceDN w:val="0"/>
        <w:adjustRightInd w:val="0"/>
        <w:spacing w:after="120"/>
        <w:ind w:left="851" w:right="902"/>
        <w:jc w:val="both"/>
        <w:rPr>
          <w:rFonts w:ascii="Palatino Linotype" w:eastAsiaTheme="minorEastAsia" w:hAnsi="Palatino Linotype" w:cs="Arial"/>
          <w:i/>
          <w:sz w:val="20"/>
          <w:szCs w:val="20"/>
        </w:rPr>
      </w:pPr>
      <w:r w:rsidRPr="00DD11A6">
        <w:rPr>
          <w:rFonts w:ascii="Palatino Linotype" w:eastAsiaTheme="minorEastAsia" w:hAnsi="Palatino Linotype" w:cs="Arial"/>
          <w:b/>
          <w:i/>
          <w:sz w:val="20"/>
          <w:szCs w:val="20"/>
        </w:rPr>
        <w:t>Artículo 344.-</w:t>
      </w:r>
      <w:r w:rsidRPr="00DD11A6">
        <w:rPr>
          <w:rFonts w:ascii="Palatino Linotype" w:eastAsiaTheme="minorEastAsia" w:hAnsi="Palatino Linotype" w:cs="Arial"/>
          <w:i/>
          <w:sz w:val="20"/>
          <w:szCs w:val="20"/>
        </w:rPr>
        <w:t xml:space="preserve"> Las Dependencias, Entidades Públicas y unidades administrativas registrarán contablemente el efecto patrimonial y presupuesta/ de las operaciones financieras que realicen, en el momento en que ocurran, con base en el sistema y políticas de registro establecidas, en el caso de los Municipios se hará por la Tesorería. </w:t>
      </w:r>
    </w:p>
    <w:p w14:paraId="5F58F414" w14:textId="7C06F2BE" w:rsidR="008E53B6" w:rsidRPr="00DD11A6" w:rsidRDefault="00DD11A6" w:rsidP="00DD11A6">
      <w:pPr>
        <w:autoSpaceDE w:val="0"/>
        <w:autoSpaceDN w:val="0"/>
        <w:adjustRightInd w:val="0"/>
        <w:spacing w:after="120"/>
        <w:ind w:left="851" w:right="902"/>
        <w:jc w:val="both"/>
        <w:rPr>
          <w:rFonts w:ascii="Palatino Linotype" w:eastAsiaTheme="minorEastAsia" w:hAnsi="Palatino Linotype" w:cs="Arial"/>
          <w:i/>
          <w:sz w:val="20"/>
          <w:szCs w:val="20"/>
        </w:rPr>
      </w:pPr>
      <w:r>
        <w:rPr>
          <w:rFonts w:ascii="Palatino Linotype" w:eastAsiaTheme="minorEastAsia" w:hAnsi="Palatino Linotype" w:cs="Arial"/>
          <w:i/>
          <w:sz w:val="20"/>
          <w:szCs w:val="20"/>
        </w:rPr>
        <w:t>(</w:t>
      </w:r>
      <w:r w:rsidR="008E53B6" w:rsidRPr="00DD11A6">
        <w:rPr>
          <w:rFonts w:ascii="Palatino Linotype" w:eastAsiaTheme="minorEastAsia" w:hAnsi="Palatino Linotype" w:cs="Arial"/>
          <w:i/>
          <w:sz w:val="20"/>
          <w:szCs w:val="20"/>
        </w:rPr>
        <w:t>…</w:t>
      </w:r>
      <w:r>
        <w:rPr>
          <w:rFonts w:ascii="Palatino Linotype" w:eastAsiaTheme="minorEastAsia" w:hAnsi="Palatino Linotype" w:cs="Arial"/>
          <w:i/>
          <w:sz w:val="20"/>
          <w:szCs w:val="20"/>
        </w:rPr>
        <w:t>)</w:t>
      </w:r>
    </w:p>
    <w:p w14:paraId="72989707" w14:textId="77777777" w:rsidR="008E53B6" w:rsidRPr="00DD11A6" w:rsidRDefault="008E53B6" w:rsidP="00DD11A6">
      <w:pPr>
        <w:autoSpaceDE w:val="0"/>
        <w:autoSpaceDN w:val="0"/>
        <w:adjustRightInd w:val="0"/>
        <w:spacing w:after="120"/>
        <w:ind w:left="851" w:right="902"/>
        <w:jc w:val="both"/>
        <w:rPr>
          <w:rFonts w:ascii="Palatino Linotype" w:eastAsiaTheme="minorEastAsia" w:hAnsi="Palatino Linotype" w:cs="Arial"/>
          <w:i/>
          <w:sz w:val="20"/>
          <w:szCs w:val="20"/>
        </w:rPr>
      </w:pPr>
      <w:r w:rsidRPr="00DD11A6">
        <w:rPr>
          <w:rFonts w:ascii="Palatino Linotype" w:eastAsiaTheme="minorEastAsia" w:hAnsi="Palatino Linotype" w:cs="Arial"/>
          <w:i/>
          <w:sz w:val="20"/>
          <w:szCs w:val="20"/>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w:t>
      </w:r>
      <w:r w:rsidRPr="00DD11A6">
        <w:rPr>
          <w:rFonts w:ascii="Palatino Linotype" w:eastAsiaTheme="minorEastAsia" w:hAnsi="Palatino Linotype" w:cs="Arial"/>
          <w:i/>
          <w:sz w:val="20"/>
          <w:szCs w:val="20"/>
        </w:rPr>
        <w:lastRenderedPageBreak/>
        <w:t xml:space="preserve">presupuesta/ siguiente al que corresponda, en el caso de los municipios se hará por la Tesorería. </w:t>
      </w:r>
    </w:p>
    <w:p w14:paraId="62E6D9BB" w14:textId="11E28016" w:rsidR="008E53B6" w:rsidRPr="00DD11A6" w:rsidRDefault="008E53B6" w:rsidP="00DD11A6">
      <w:pPr>
        <w:autoSpaceDE w:val="0"/>
        <w:autoSpaceDN w:val="0"/>
        <w:adjustRightInd w:val="0"/>
        <w:spacing w:after="120"/>
        <w:ind w:left="851" w:right="902"/>
        <w:jc w:val="both"/>
        <w:rPr>
          <w:rFonts w:ascii="Palatino Linotype" w:eastAsiaTheme="minorEastAsia" w:hAnsi="Palatino Linotype" w:cs="Arial"/>
          <w:i/>
          <w:sz w:val="20"/>
          <w:szCs w:val="20"/>
        </w:rPr>
      </w:pPr>
      <w:r w:rsidRPr="00DD11A6">
        <w:rPr>
          <w:rFonts w:ascii="Palatino Linotype" w:eastAsiaTheme="minorEastAsia" w:hAnsi="Palatino Linotype" w:cs="Arial"/>
          <w:i/>
          <w:sz w:val="20"/>
          <w:szCs w:val="20"/>
        </w:rPr>
        <w:t xml:space="preserve">Tratándose de documentos de carácter histórico, se estará a lo dispuesto por </w:t>
      </w:r>
      <w:r w:rsidR="00DD11A6">
        <w:rPr>
          <w:rFonts w:ascii="Palatino Linotype" w:eastAsiaTheme="minorEastAsia" w:hAnsi="Palatino Linotype" w:cs="Arial"/>
          <w:i/>
          <w:sz w:val="20"/>
          <w:szCs w:val="20"/>
        </w:rPr>
        <w:t xml:space="preserve">la legislación de la materia. </w:t>
      </w:r>
    </w:p>
    <w:p w14:paraId="4D3BD43E" w14:textId="6875D671" w:rsidR="008E53B6" w:rsidRPr="00DD11A6" w:rsidRDefault="008E53B6" w:rsidP="00DD11A6">
      <w:pPr>
        <w:autoSpaceDE w:val="0"/>
        <w:autoSpaceDN w:val="0"/>
        <w:adjustRightInd w:val="0"/>
        <w:spacing w:after="120"/>
        <w:ind w:left="851" w:right="902"/>
        <w:jc w:val="both"/>
        <w:rPr>
          <w:rFonts w:ascii="Palatino Linotype" w:eastAsiaTheme="minorEastAsia" w:hAnsi="Palatino Linotype" w:cs="Arial"/>
          <w:i/>
          <w:sz w:val="20"/>
          <w:szCs w:val="20"/>
        </w:rPr>
      </w:pPr>
      <w:r w:rsidRPr="00DD11A6">
        <w:rPr>
          <w:rFonts w:ascii="Palatino Linotype" w:eastAsiaTheme="minorEastAsia" w:hAnsi="Palatino Linotype" w:cs="Arial"/>
          <w:b/>
          <w:i/>
          <w:sz w:val="20"/>
          <w:szCs w:val="20"/>
        </w:rPr>
        <w:t>Artículo 345.-</w:t>
      </w:r>
      <w:r w:rsidRPr="00DD11A6">
        <w:rPr>
          <w:rFonts w:ascii="Palatino Linotype" w:eastAsiaTheme="minorEastAsia" w:hAnsi="Palatino Linotype" w:cs="Arial"/>
          <w:i/>
          <w:sz w:val="20"/>
          <w:szCs w:val="20"/>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0B4A2B4A" w14:textId="77777777" w:rsidR="008E53B6" w:rsidRPr="00DD11A6" w:rsidRDefault="008E53B6" w:rsidP="00DD11A6">
      <w:pPr>
        <w:autoSpaceDE w:val="0"/>
        <w:autoSpaceDN w:val="0"/>
        <w:adjustRightInd w:val="0"/>
        <w:spacing w:after="120"/>
        <w:ind w:left="851" w:right="902"/>
        <w:jc w:val="both"/>
        <w:rPr>
          <w:rFonts w:ascii="Palatino Linotype" w:eastAsiaTheme="minorEastAsia" w:hAnsi="Palatino Linotype" w:cs="Arial"/>
          <w:i/>
          <w:sz w:val="20"/>
          <w:szCs w:val="20"/>
        </w:rPr>
      </w:pPr>
      <w:r w:rsidRPr="00DD11A6">
        <w:rPr>
          <w:rFonts w:ascii="Palatino Linotype" w:eastAsiaTheme="minorEastAsia" w:hAnsi="Palatino Linotype" w:cs="Arial"/>
          <w:i/>
          <w:sz w:val="20"/>
          <w:szCs w:val="20"/>
        </w:rPr>
        <w:t>El plazo señalado en el párrafo anterior, empezará a contar a partir de la publicación en el Periódico Oficial, del decreto correspondiente."</w:t>
      </w:r>
    </w:p>
    <w:p w14:paraId="376B646A" w14:textId="77777777" w:rsidR="008E53B6" w:rsidRDefault="008E53B6" w:rsidP="00DD11A6">
      <w:pPr>
        <w:autoSpaceDE w:val="0"/>
        <w:autoSpaceDN w:val="0"/>
        <w:adjustRightInd w:val="0"/>
        <w:spacing w:before="240" w:after="240" w:line="360" w:lineRule="auto"/>
        <w:ind w:right="51"/>
        <w:jc w:val="both"/>
        <w:rPr>
          <w:rFonts w:ascii="Palatino Linotype" w:eastAsiaTheme="minorEastAsia" w:hAnsi="Palatino Linotype" w:cs="Arial"/>
        </w:rPr>
      </w:pPr>
      <w:r w:rsidRPr="00851F87">
        <w:rPr>
          <w:rFonts w:ascii="Palatino Linotype" w:eastAsiaTheme="minorEastAsia" w:hAnsi="Palatino Linotype" w:cs="Arial"/>
        </w:rPr>
        <w:t xml:space="preserve">De una interpretación sistemática de los artículos transcritos, se desprende primeramente que el </w:t>
      </w:r>
      <w:r>
        <w:rPr>
          <w:rFonts w:ascii="Palatino Linotype" w:eastAsiaTheme="minorEastAsia" w:hAnsi="Palatino Linotype" w:cs="Arial"/>
        </w:rPr>
        <w:t>sistema de contabilidad debe diseñarse de tal forma que facilite la fiscalización de los pasivos, activos, ingresos y egresos en general para que se pueda medir la eficacia del gasto público, es decir que se pueda tener un control de los recursos que permita la vigilancia de los mismos y medir su grado de efectividad en su aplicación.</w:t>
      </w:r>
    </w:p>
    <w:p w14:paraId="2DF808A1" w14:textId="77777777" w:rsidR="008E53B6" w:rsidRDefault="008E53B6" w:rsidP="00DD11A6">
      <w:pPr>
        <w:autoSpaceDE w:val="0"/>
        <w:autoSpaceDN w:val="0"/>
        <w:adjustRightInd w:val="0"/>
        <w:spacing w:before="240" w:after="240" w:line="360" w:lineRule="auto"/>
        <w:ind w:right="51"/>
        <w:jc w:val="both"/>
        <w:rPr>
          <w:rFonts w:ascii="Palatino Linotype" w:eastAsiaTheme="minorEastAsia" w:hAnsi="Palatino Linotype" w:cs="Arial"/>
        </w:rPr>
      </w:pPr>
      <w:r>
        <w:rPr>
          <w:rFonts w:ascii="Palatino Linotype" w:eastAsiaTheme="minorEastAsia" w:hAnsi="Palatino Linotype" w:cs="Arial"/>
        </w:rPr>
        <w:t>Para ello, las dependencias, entidades y unidades administrativas deberán registrar todas las operaciones financieras que realicen en el momento que ocurran, que para el caso del Sujeto Obligado será a través del su Tesorería, documentación que se deberá de conservar del año en curso y la de los ejercicios anteriores cuyas cuentas públicas ya hayan sido revisadas y fiscalizadas.</w:t>
      </w:r>
    </w:p>
    <w:p w14:paraId="1F6FE554" w14:textId="77777777" w:rsidR="008E53B6" w:rsidRPr="00851F87" w:rsidRDefault="008E53B6" w:rsidP="008E53B6">
      <w:pPr>
        <w:autoSpaceDE w:val="0"/>
        <w:autoSpaceDN w:val="0"/>
        <w:adjustRightInd w:val="0"/>
        <w:spacing w:line="360" w:lineRule="auto"/>
        <w:ind w:right="49"/>
        <w:jc w:val="both"/>
        <w:rPr>
          <w:rFonts w:ascii="Palatino Linotype" w:eastAsiaTheme="minorEastAsia" w:hAnsi="Palatino Linotype" w:cs="Arial"/>
        </w:rPr>
      </w:pPr>
      <w:r w:rsidRPr="00851F87">
        <w:rPr>
          <w:rFonts w:ascii="Palatino Linotype" w:eastAsiaTheme="minorEastAsia"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w:t>
      </w:r>
      <w:r>
        <w:rPr>
          <w:rFonts w:ascii="Palatino Linotype" w:eastAsiaTheme="minorEastAsia" w:hAnsi="Palatino Linotype" w:cs="Arial"/>
        </w:rPr>
        <w:t>l</w:t>
      </w:r>
      <w:r w:rsidRPr="00851F87">
        <w:rPr>
          <w:rFonts w:ascii="Palatino Linotype" w:eastAsiaTheme="minorEastAsia" w:hAnsi="Palatino Linotype" w:cs="Arial"/>
        </w:rPr>
        <w:t xml:space="preserve">; sin embargo, </w:t>
      </w:r>
      <w:r w:rsidRPr="00851F87">
        <w:rPr>
          <w:rFonts w:ascii="Palatino Linotype" w:eastAsiaTheme="minorEastAsia" w:hAnsi="Palatino Linotype" w:cs="Arial"/>
        </w:rPr>
        <w:lastRenderedPageBreak/>
        <w:t xml:space="preserve">el "Glosario de Términos Administrativos", emitido por el Instituto Nacional de Administración Pública, A.C. y el "Glosario de Términos para el Proceso de Planeación, Programación, </w:t>
      </w:r>
      <w:proofErr w:type="spellStart"/>
      <w:r w:rsidRPr="00851F87">
        <w:rPr>
          <w:rFonts w:ascii="Palatino Linotype" w:eastAsiaTheme="minorEastAsia" w:hAnsi="Palatino Linotype" w:cs="Arial"/>
        </w:rPr>
        <w:t>Presupuestación</w:t>
      </w:r>
      <w:proofErr w:type="spellEnd"/>
      <w:r w:rsidRPr="00851F87">
        <w:rPr>
          <w:rFonts w:ascii="Palatino Linotype" w:eastAsiaTheme="minorEastAsia" w:hAnsi="Palatino Linotype" w:cs="Arial"/>
        </w:rPr>
        <w:t xml:space="preserve"> y Evaluación en la Administración Pública", elaborado por el Grupo de Trabajo de Sistemas de Información Financiera, Contable y Presupuesta</w:t>
      </w:r>
      <w:r>
        <w:rPr>
          <w:rFonts w:ascii="Palatino Linotype" w:eastAsiaTheme="minorEastAsia" w:hAnsi="Palatino Linotype" w:cs="Arial"/>
        </w:rPr>
        <w:t>l</w:t>
      </w:r>
      <w:r w:rsidRPr="00851F87">
        <w:rPr>
          <w:rFonts w:ascii="Palatino Linotype" w:eastAsiaTheme="minorEastAsia" w:hAnsi="Palatino Linotype" w:cs="Arial"/>
        </w:rPr>
        <w:t xml:space="preserve"> de la Comisión Permanente de Funcionarios Fiscales del Instituto para el Desarrollo Técnico de las Haciendas Públicas (INDETEC) señalan las siguientes definiciones de las palabras registro contable y registro presupuestario:</w:t>
      </w:r>
    </w:p>
    <w:p w14:paraId="22BD7D04" w14:textId="77777777" w:rsidR="008E53B6" w:rsidRPr="00DD11A6" w:rsidRDefault="008E53B6" w:rsidP="00DD11A6">
      <w:pPr>
        <w:autoSpaceDE w:val="0"/>
        <w:autoSpaceDN w:val="0"/>
        <w:adjustRightInd w:val="0"/>
        <w:spacing w:after="120"/>
        <w:ind w:left="851" w:right="900"/>
        <w:jc w:val="both"/>
        <w:rPr>
          <w:rFonts w:ascii="Palatino Linotype" w:eastAsiaTheme="minorEastAsia" w:hAnsi="Palatino Linotype" w:cs="Arial"/>
          <w:i/>
          <w:sz w:val="20"/>
          <w:szCs w:val="20"/>
        </w:rPr>
      </w:pPr>
      <w:r w:rsidRPr="00DD11A6">
        <w:rPr>
          <w:rFonts w:ascii="Palatino Linotype" w:eastAsiaTheme="minorEastAsia" w:hAnsi="Palatino Linotype" w:cs="Arial"/>
          <w:i/>
          <w:sz w:val="20"/>
          <w:szCs w:val="20"/>
        </w:rPr>
        <w:t>"</w:t>
      </w:r>
      <w:r w:rsidRPr="00DD11A6">
        <w:rPr>
          <w:rFonts w:ascii="Palatino Linotype" w:eastAsiaTheme="minorEastAsia" w:hAnsi="Palatino Linotype" w:cs="Arial"/>
          <w:b/>
          <w:i/>
          <w:sz w:val="20"/>
          <w:szCs w:val="20"/>
        </w:rPr>
        <w:t>REGISTRO CONTABLE</w:t>
      </w:r>
      <w:r w:rsidRPr="00DD11A6">
        <w:rPr>
          <w:rFonts w:ascii="Palatino Linotype" w:eastAsiaTheme="minorEastAsia" w:hAnsi="Palatino Linotype" w:cs="Arial"/>
          <w:i/>
          <w:sz w:val="20"/>
          <w:szCs w:val="20"/>
        </w:rPr>
        <w:t xml:space="preserve"> </w:t>
      </w:r>
    </w:p>
    <w:p w14:paraId="5A71D074" w14:textId="54A39964" w:rsidR="008E53B6" w:rsidRPr="00DD11A6" w:rsidRDefault="008E53B6" w:rsidP="00DD11A6">
      <w:pPr>
        <w:autoSpaceDE w:val="0"/>
        <w:autoSpaceDN w:val="0"/>
        <w:adjustRightInd w:val="0"/>
        <w:spacing w:after="120"/>
        <w:ind w:left="851" w:right="900"/>
        <w:jc w:val="both"/>
        <w:rPr>
          <w:rFonts w:ascii="Palatino Linotype" w:eastAsiaTheme="minorEastAsia" w:hAnsi="Palatino Linotype" w:cs="Arial"/>
          <w:i/>
          <w:sz w:val="20"/>
          <w:szCs w:val="20"/>
        </w:rPr>
      </w:pPr>
      <w:r w:rsidRPr="00DD11A6">
        <w:rPr>
          <w:rFonts w:ascii="Palatino Linotype" w:eastAsiaTheme="minorEastAsia" w:hAnsi="Palatino Linotype" w:cs="Arial"/>
          <w:i/>
          <w:sz w:val="20"/>
          <w:szCs w:val="20"/>
        </w:rPr>
        <w:t xml:space="preserve">Asiento que se realiza en los libros de contabilidad de las actividades relacionadas con el ingreso y egresos de un ente económico. </w:t>
      </w:r>
    </w:p>
    <w:p w14:paraId="2C5D880A" w14:textId="7A16F9E2" w:rsidR="008E53B6" w:rsidRPr="00DD11A6" w:rsidRDefault="008E53B6" w:rsidP="00DD11A6">
      <w:pPr>
        <w:autoSpaceDE w:val="0"/>
        <w:autoSpaceDN w:val="0"/>
        <w:adjustRightInd w:val="0"/>
        <w:spacing w:after="120"/>
        <w:ind w:left="851" w:right="900"/>
        <w:jc w:val="both"/>
        <w:rPr>
          <w:rFonts w:ascii="Palatino Linotype" w:eastAsiaTheme="minorEastAsia" w:hAnsi="Palatino Linotype" w:cs="Arial"/>
          <w:i/>
          <w:sz w:val="20"/>
          <w:szCs w:val="20"/>
        </w:rPr>
      </w:pPr>
      <w:r w:rsidRPr="00DD11A6">
        <w:rPr>
          <w:rFonts w:ascii="Palatino Linotype" w:eastAsiaTheme="minorEastAsia" w:hAnsi="Palatino Linotype" w:cs="Arial"/>
          <w:b/>
          <w:i/>
          <w:sz w:val="20"/>
          <w:szCs w:val="20"/>
        </w:rPr>
        <w:t>REGISTRO PRESUPUESTARIO</w:t>
      </w:r>
    </w:p>
    <w:p w14:paraId="1B38A108" w14:textId="77777777" w:rsidR="008E53B6" w:rsidRPr="00DD11A6" w:rsidRDefault="008E53B6" w:rsidP="00DD11A6">
      <w:pPr>
        <w:autoSpaceDE w:val="0"/>
        <w:autoSpaceDN w:val="0"/>
        <w:adjustRightInd w:val="0"/>
        <w:spacing w:after="120"/>
        <w:ind w:left="851" w:right="900"/>
        <w:jc w:val="both"/>
        <w:rPr>
          <w:rFonts w:ascii="Palatino Linotype" w:eastAsiaTheme="minorEastAsia" w:hAnsi="Palatino Linotype" w:cs="Arial"/>
          <w:i/>
          <w:sz w:val="20"/>
          <w:szCs w:val="20"/>
        </w:rPr>
      </w:pPr>
      <w:r w:rsidRPr="00DD11A6">
        <w:rPr>
          <w:rFonts w:ascii="Palatino Linotype" w:eastAsiaTheme="minorEastAsia" w:hAnsi="Palatino Linotype" w:cs="Arial"/>
          <w:i/>
          <w:sz w:val="20"/>
          <w:szCs w:val="20"/>
        </w:rPr>
        <w:t>Asiento contable de las erogaciones realizadas por las dependencias y entidades con relación a la asignación, modificación y ejercicio de los recursos presupuestarios que se les hayan autorizado."</w:t>
      </w:r>
    </w:p>
    <w:p w14:paraId="668668A0" w14:textId="77777777" w:rsidR="008E53B6" w:rsidRPr="00FE6626" w:rsidRDefault="008E53B6" w:rsidP="00DD11A6">
      <w:pPr>
        <w:autoSpaceDE w:val="0"/>
        <w:autoSpaceDN w:val="0"/>
        <w:adjustRightInd w:val="0"/>
        <w:spacing w:before="240" w:after="240" w:line="360" w:lineRule="auto"/>
        <w:ind w:right="51"/>
        <w:jc w:val="both"/>
        <w:rPr>
          <w:rFonts w:ascii="Palatino Linotype" w:eastAsiaTheme="minorEastAsia" w:hAnsi="Palatino Linotype" w:cs="Arial"/>
        </w:rPr>
      </w:pPr>
      <w:r>
        <w:rPr>
          <w:rFonts w:ascii="Palatino Linotype" w:eastAsiaTheme="minorEastAsia" w:hAnsi="Palatino Linotype" w:cs="Arial"/>
        </w:rPr>
        <w:t xml:space="preserve">Como bien se desprende de las definiciones, los registros contables y presupuestarios son asientos o anotaciones contables que se realizan tanto de los ingresos como de los egresos, es decir, que se trata de un control financiero que para el caso del Ayuntamiento tendrá la obligación el Tesorero se llevar dicho registro; como ha sido mencionado en la normatividad antes citada, </w:t>
      </w:r>
      <w:r w:rsidRPr="00FE6626">
        <w:rPr>
          <w:rFonts w:ascii="Palatino Linotype" w:eastAsiaTheme="minorEastAsia" w:hAnsi="Palatino Linotype" w:cs="Arial"/>
        </w:rPr>
        <w:t>todo registro contable y presupuestal deberá estar soportado con los documentos comprobatorios originales, como lo son las facturas</w:t>
      </w:r>
      <w:r>
        <w:rPr>
          <w:rFonts w:ascii="Palatino Linotype" w:eastAsiaTheme="minorEastAsia" w:hAnsi="Palatino Linotype" w:cs="Arial"/>
        </w:rPr>
        <w:t xml:space="preserve">, documentos </w:t>
      </w:r>
      <w:r w:rsidRPr="00FE6626">
        <w:rPr>
          <w:rFonts w:ascii="Palatino Linotype" w:eastAsiaTheme="minorEastAsia" w:hAnsi="Palatino Linotype" w:cs="Arial"/>
        </w:rPr>
        <w:t>que deberán permanecer en custodia y conservación de la Tesorería Municipal y a disposición del Órgano Superior de Fiscalización del Estado de México y de los órganos de control interno, en el caso de los municipios; por un término de cinco años contados a p</w:t>
      </w:r>
      <w:r>
        <w:rPr>
          <w:rFonts w:ascii="Palatino Linotype" w:eastAsiaTheme="minorEastAsia" w:hAnsi="Palatino Linotype" w:cs="Arial"/>
        </w:rPr>
        <w:t xml:space="preserve">artir del </w:t>
      </w:r>
      <w:r>
        <w:rPr>
          <w:rFonts w:ascii="Palatino Linotype" w:eastAsiaTheme="minorEastAsia" w:hAnsi="Palatino Linotype" w:cs="Arial"/>
        </w:rPr>
        <w:lastRenderedPageBreak/>
        <w:t>ejercicio presupuestal</w:t>
      </w:r>
      <w:r w:rsidRPr="00FE6626">
        <w:rPr>
          <w:rFonts w:ascii="Palatino Linotype" w:eastAsiaTheme="minorEastAsia" w:hAnsi="Palatino Linotype" w:cs="Arial"/>
        </w:rPr>
        <w:t xml:space="preserve"> siguiente al que corresponda, tal y como se establece en el Código Financiero del Estado de México. </w:t>
      </w:r>
    </w:p>
    <w:p w14:paraId="4D68AF38" w14:textId="77777777" w:rsidR="008E53B6" w:rsidRDefault="008E53B6" w:rsidP="00DD11A6">
      <w:pPr>
        <w:autoSpaceDE w:val="0"/>
        <w:autoSpaceDN w:val="0"/>
        <w:adjustRightInd w:val="0"/>
        <w:spacing w:before="240" w:after="240" w:line="360" w:lineRule="auto"/>
        <w:ind w:right="51"/>
        <w:jc w:val="both"/>
        <w:rPr>
          <w:rFonts w:ascii="Palatino Linotype" w:eastAsiaTheme="minorEastAsia" w:hAnsi="Palatino Linotype" w:cs="Arial"/>
        </w:rPr>
      </w:pPr>
      <w:r w:rsidRPr="00FE6626">
        <w:rPr>
          <w:rFonts w:ascii="Palatino Linotype" w:eastAsiaTheme="minorEastAsia" w:hAnsi="Palatino Linotype" w:cs="Arial"/>
        </w:rPr>
        <w:t xml:space="preserve">Atento a lo anterior, resulta claro que las facturas o comprobantes </w:t>
      </w:r>
      <w:r>
        <w:rPr>
          <w:rFonts w:ascii="Palatino Linotype" w:eastAsiaTheme="minorEastAsia" w:hAnsi="Palatino Linotype" w:cs="Arial"/>
        </w:rPr>
        <w:t>son documentos que el Sujeto Obligado generó en el ejercicio de sus atribuciones, y por lo cual se considera son el documento que de manera enunciativa más no limitativa podría satisfacer el derecho del particular.</w:t>
      </w:r>
    </w:p>
    <w:p w14:paraId="4416E32A" w14:textId="5A99839A" w:rsidR="008E53B6" w:rsidRPr="00B422F8" w:rsidRDefault="008E53B6" w:rsidP="00DD11A6">
      <w:pPr>
        <w:autoSpaceDE w:val="0"/>
        <w:autoSpaceDN w:val="0"/>
        <w:adjustRightInd w:val="0"/>
        <w:spacing w:before="240" w:after="240" w:line="360" w:lineRule="auto"/>
        <w:ind w:right="51"/>
        <w:jc w:val="both"/>
        <w:rPr>
          <w:rFonts w:ascii="Palatino Linotype" w:hAnsi="Palatino Linotype" w:cs="Arial"/>
        </w:rPr>
      </w:pPr>
      <w:r>
        <w:rPr>
          <w:rFonts w:ascii="Palatino Linotype" w:eastAsiaTheme="minorEastAsia" w:hAnsi="Palatino Linotype" w:cs="Arial"/>
        </w:rPr>
        <w:t xml:space="preserve">De igual forma se considera que la expresión documental en la cual podría obrar la información relacionada con </w:t>
      </w:r>
      <w:r w:rsidRPr="00B422F8">
        <w:rPr>
          <w:rFonts w:ascii="Palatino Linotype" w:hAnsi="Palatino Linotype"/>
        </w:rPr>
        <w:t>el importe por concepto de alumbrado público facturado por la C</w:t>
      </w:r>
      <w:r>
        <w:rPr>
          <w:rFonts w:ascii="Palatino Linotype" w:hAnsi="Palatino Linotype"/>
        </w:rPr>
        <w:t>omisión Federal de Electricidad o C</w:t>
      </w:r>
      <w:r w:rsidRPr="00B422F8">
        <w:rPr>
          <w:rFonts w:ascii="Palatino Linotype" w:hAnsi="Palatino Linotype"/>
        </w:rPr>
        <w:t xml:space="preserve">FE </w:t>
      </w:r>
      <w:r>
        <w:rPr>
          <w:rFonts w:ascii="Palatino Linotype" w:hAnsi="Palatino Linotype"/>
        </w:rPr>
        <w:t xml:space="preserve">resultaría el </w:t>
      </w:r>
      <w:r w:rsidRPr="00B422F8">
        <w:rPr>
          <w:rFonts w:ascii="Palatino Linotype" w:hAnsi="Palatino Linotype" w:cs="Arial"/>
        </w:rPr>
        <w:t>denominado: Aviso</w:t>
      </w:r>
      <w:r w:rsidR="00DD11A6">
        <w:rPr>
          <w:rFonts w:ascii="Palatino Linotype" w:hAnsi="Palatino Linotype" w:cs="Arial"/>
        </w:rPr>
        <w:t>-</w:t>
      </w:r>
      <w:r w:rsidRPr="00B422F8">
        <w:rPr>
          <w:rFonts w:ascii="Palatino Linotype" w:hAnsi="Palatino Linotype" w:cs="Arial"/>
        </w:rPr>
        <w:t>Recibo</w:t>
      </w:r>
      <w:r w:rsidRPr="00B422F8">
        <w:rPr>
          <w:rStyle w:val="Refdenotaalpie"/>
          <w:rFonts w:ascii="Palatino Linotype" w:hAnsi="Palatino Linotype" w:cs="Arial"/>
        </w:rPr>
        <w:footnoteReference w:id="5"/>
      </w:r>
      <w:r w:rsidRPr="00B422F8">
        <w:rPr>
          <w:rFonts w:ascii="Palatino Linotype" w:hAnsi="Palatino Linotype" w:cs="Arial"/>
        </w:rPr>
        <w:t xml:space="preserve">; </w:t>
      </w:r>
      <w:r w:rsidR="00DD11A6">
        <w:rPr>
          <w:rFonts w:ascii="Palatino Linotype" w:hAnsi="Palatino Linotype" w:cs="Arial"/>
        </w:rPr>
        <w:t xml:space="preserve">atento a la </w:t>
      </w:r>
      <w:r>
        <w:rPr>
          <w:rFonts w:ascii="Palatino Linotype" w:hAnsi="Palatino Linotype" w:cs="Arial"/>
        </w:rPr>
        <w:t>siguiente</w:t>
      </w:r>
      <w:r w:rsidR="00DD11A6">
        <w:rPr>
          <w:rFonts w:ascii="Palatino Linotype" w:hAnsi="Palatino Linotype" w:cs="Arial"/>
        </w:rPr>
        <w:t xml:space="preserve"> captura de pantalla</w:t>
      </w:r>
      <w:r>
        <w:rPr>
          <w:rFonts w:ascii="Palatino Linotype" w:hAnsi="Palatino Linotype" w:cs="Arial"/>
        </w:rPr>
        <w:t xml:space="preserve">: </w:t>
      </w:r>
    </w:p>
    <w:p w14:paraId="3D15AAB5" w14:textId="77777777" w:rsidR="008E53B6" w:rsidRPr="00B422F8" w:rsidRDefault="008E53B6" w:rsidP="008E53B6">
      <w:pPr>
        <w:spacing w:before="240" w:after="240" w:line="360" w:lineRule="auto"/>
        <w:jc w:val="center"/>
        <w:rPr>
          <w:rFonts w:ascii="Palatino Linotype" w:hAnsi="Palatino Linotype" w:cs="Arial"/>
        </w:rPr>
      </w:pPr>
      <w:r w:rsidRPr="00B422F8">
        <w:rPr>
          <w:rFonts w:ascii="Palatino Linotype" w:hAnsi="Palatino Linotype"/>
          <w:noProof/>
          <w:lang w:val="es-MX" w:eastAsia="es-MX"/>
        </w:rPr>
        <w:drawing>
          <wp:inline distT="0" distB="0" distL="0" distR="0" wp14:anchorId="20F03993" wp14:editId="01C2703B">
            <wp:extent cx="4848225" cy="33623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8225" cy="3362325"/>
                    </a:xfrm>
                    <a:prstGeom prst="rect">
                      <a:avLst/>
                    </a:prstGeom>
                  </pic:spPr>
                </pic:pic>
              </a:graphicData>
            </a:graphic>
          </wp:inline>
        </w:drawing>
      </w:r>
    </w:p>
    <w:p w14:paraId="0342C38A" w14:textId="685AE373" w:rsidR="008E53B6" w:rsidRDefault="008E53B6" w:rsidP="008E53B6">
      <w:pPr>
        <w:spacing w:before="240" w:after="240" w:line="360" w:lineRule="auto"/>
        <w:jc w:val="both"/>
        <w:rPr>
          <w:rFonts w:ascii="Palatino Linotype" w:hAnsi="Palatino Linotype" w:cs="Arial"/>
        </w:rPr>
      </w:pPr>
      <w:r w:rsidRPr="00B422F8">
        <w:rPr>
          <w:rFonts w:ascii="Palatino Linotype" w:hAnsi="Palatino Linotype" w:cs="Arial"/>
        </w:rPr>
        <w:lastRenderedPageBreak/>
        <w:t xml:space="preserve">De la </w:t>
      </w:r>
      <w:r w:rsidR="00DD11A6">
        <w:rPr>
          <w:rFonts w:ascii="Palatino Linotype" w:hAnsi="Palatino Linotype" w:cs="Arial"/>
        </w:rPr>
        <w:t>imagen</w:t>
      </w:r>
      <w:r w:rsidRPr="00B422F8">
        <w:rPr>
          <w:rFonts w:ascii="Palatino Linotype" w:hAnsi="Palatino Linotype" w:cs="Arial"/>
        </w:rPr>
        <w:t xml:space="preserve"> anterior se aprecia</w:t>
      </w:r>
      <w:r w:rsidR="00DD11A6">
        <w:rPr>
          <w:rFonts w:ascii="Palatino Linotype" w:hAnsi="Palatino Linotype" w:cs="Arial"/>
        </w:rPr>
        <w:t>,</w:t>
      </w:r>
      <w:r w:rsidRPr="00B422F8">
        <w:rPr>
          <w:rFonts w:ascii="Palatino Linotype" w:hAnsi="Palatino Linotype" w:cs="Arial"/>
        </w:rPr>
        <w:t xml:space="preserve"> que el aviso recibo</w:t>
      </w:r>
      <w:r w:rsidR="00DD11A6">
        <w:rPr>
          <w:rFonts w:ascii="Palatino Linotype" w:hAnsi="Palatino Linotype" w:cs="Arial"/>
        </w:rPr>
        <w:t xml:space="preserve"> es </w:t>
      </w:r>
      <w:r w:rsidR="00DD11A6" w:rsidRPr="00B422F8">
        <w:rPr>
          <w:rFonts w:ascii="Palatino Linotype" w:hAnsi="Palatino Linotype" w:cs="Arial"/>
        </w:rPr>
        <w:t>exped</w:t>
      </w:r>
      <w:r w:rsidR="00DD11A6">
        <w:rPr>
          <w:rFonts w:ascii="Palatino Linotype" w:hAnsi="Palatino Linotype" w:cs="Arial"/>
        </w:rPr>
        <w:t>ido por</w:t>
      </w:r>
      <w:r w:rsidRPr="00B422F8">
        <w:rPr>
          <w:rFonts w:ascii="Palatino Linotype" w:hAnsi="Palatino Linotype" w:cs="Arial"/>
        </w:rPr>
        <w:t xml:space="preserve"> la Comisión Federal de Electricidad </w:t>
      </w:r>
      <w:r w:rsidR="00DD11A6">
        <w:rPr>
          <w:rFonts w:ascii="Palatino Linotype" w:hAnsi="Palatino Linotype" w:cs="Arial"/>
        </w:rPr>
        <w:t xml:space="preserve">(CFE), </w:t>
      </w:r>
      <w:r w:rsidRPr="00B422F8">
        <w:rPr>
          <w:rFonts w:ascii="Palatino Linotype" w:hAnsi="Palatino Linotype" w:cs="Arial"/>
        </w:rPr>
        <w:t>por concepto de pago del servicio de luz, mismo que contiene los siguientes datos: datos generales, cálculo de consumo bimestral</w:t>
      </w:r>
      <w:r>
        <w:rPr>
          <w:rFonts w:ascii="Palatino Linotype" w:hAnsi="Palatino Linotype" w:cs="Arial"/>
        </w:rPr>
        <w:t>, periodo de facturación</w:t>
      </w:r>
      <w:r w:rsidRPr="00B422F8">
        <w:rPr>
          <w:rFonts w:ascii="Palatino Linotype" w:hAnsi="Palatino Linotype" w:cs="Arial"/>
        </w:rPr>
        <w:t>, medición del c</w:t>
      </w:r>
      <w:r>
        <w:rPr>
          <w:rFonts w:ascii="Palatino Linotype" w:hAnsi="Palatino Linotype" w:cs="Arial"/>
        </w:rPr>
        <w:t>onsumo, detalle de facturación</w:t>
      </w:r>
      <w:r w:rsidRPr="00B422F8">
        <w:rPr>
          <w:rFonts w:ascii="Palatino Linotype" w:hAnsi="Palatino Linotype" w:cs="Arial"/>
        </w:rPr>
        <w:t>, avisos importantes y talón de caja.</w:t>
      </w:r>
    </w:p>
    <w:p w14:paraId="33543A2F" w14:textId="28F43EEE" w:rsidR="008E53B6" w:rsidRPr="00B422F8" w:rsidRDefault="008E53B6" w:rsidP="008E53B6">
      <w:pPr>
        <w:spacing w:before="240" w:after="240" w:line="360" w:lineRule="auto"/>
        <w:jc w:val="both"/>
        <w:rPr>
          <w:rFonts w:ascii="Palatino Linotype" w:hAnsi="Palatino Linotype" w:cs="Arial"/>
        </w:rPr>
      </w:pPr>
      <w:r>
        <w:rPr>
          <w:rFonts w:ascii="Palatino Linotype" w:hAnsi="Palatino Linotype" w:cs="Arial"/>
        </w:rPr>
        <w:t xml:space="preserve">En ese sentido, el comprobante de pago emitido por la CFE sería el documento </w:t>
      </w:r>
      <w:r w:rsidR="00DD11A6">
        <w:rPr>
          <w:rFonts w:ascii="Palatino Linotype" w:hAnsi="Palatino Linotype" w:cs="Arial"/>
        </w:rPr>
        <w:t>que atiende</w:t>
      </w:r>
      <w:r>
        <w:rPr>
          <w:rFonts w:ascii="Palatino Linotype" w:hAnsi="Palatino Linotype" w:cs="Arial"/>
        </w:rPr>
        <w:t xml:space="preserve"> los requerimientos de la particular, toda vez que de ahí </w:t>
      </w:r>
      <w:r w:rsidRPr="00E70B5C">
        <w:rPr>
          <w:rFonts w:ascii="Palatino Linotype" w:hAnsi="Palatino Linotype" w:cs="Arial"/>
        </w:rPr>
        <w:t>se pude advertir el importe por concepto de alumbrado público por bimestre a partir del uno de enero del año dos mil trece y hasta el trece de noviembre de dos mil dieciocho.</w:t>
      </w:r>
    </w:p>
    <w:p w14:paraId="4148E7A1" w14:textId="687B83D4" w:rsidR="008E53B6" w:rsidRPr="00B422F8" w:rsidRDefault="008E53B6" w:rsidP="008E53B6">
      <w:pPr>
        <w:autoSpaceDE w:val="0"/>
        <w:autoSpaceDN w:val="0"/>
        <w:adjustRightInd w:val="0"/>
        <w:spacing w:line="360" w:lineRule="auto"/>
        <w:ind w:right="49"/>
        <w:jc w:val="both"/>
        <w:rPr>
          <w:rFonts w:ascii="Palatino Linotype" w:eastAsiaTheme="minorEastAsia" w:hAnsi="Palatino Linotype" w:cs="Arial"/>
        </w:rPr>
      </w:pPr>
      <w:r w:rsidRPr="00B422F8">
        <w:rPr>
          <w:rFonts w:ascii="Palatino Linotype" w:hAnsi="Palatino Linotype" w:cs="Arial"/>
        </w:rPr>
        <w:t>Por otro lado,</w:t>
      </w:r>
      <w:r>
        <w:rPr>
          <w:rFonts w:ascii="Palatino Linotype" w:hAnsi="Palatino Linotype" w:cs="Arial"/>
        </w:rPr>
        <w:t xml:space="preserve"> con respecto a </w:t>
      </w:r>
      <w:r>
        <w:rPr>
          <w:rFonts w:ascii="Palatino Linotype" w:eastAsiaTheme="minorEastAsia" w:hAnsi="Palatino Linotype" w:cs="Arial"/>
        </w:rPr>
        <w:t xml:space="preserve">las partidas presupuestales que se utilizaron y montos que se erogaron para el mantenimiento del sistema de alumbrado público y para cubrir las facturas por concepto de consumo de energía eléctrica en el sistema de alumbrado público </w:t>
      </w:r>
      <w:r w:rsidRPr="003B04E6">
        <w:rPr>
          <w:rFonts w:ascii="Palatino Linotype" w:hAnsi="Palatino Linotype" w:cs="Arial"/>
        </w:rPr>
        <w:t>del uno de enero del año dos mil trece y hasta el trece de noviembre de dos mil dieciocho</w:t>
      </w:r>
      <w:r>
        <w:rPr>
          <w:rFonts w:ascii="Palatino Linotype" w:hAnsi="Palatino Linotype" w:cs="Arial"/>
        </w:rPr>
        <w:t xml:space="preserve">; al respecto, </w:t>
      </w:r>
      <w:r w:rsidRPr="00B422F8">
        <w:rPr>
          <w:rFonts w:ascii="Palatino Linotype" w:eastAsiaTheme="minorEastAsia" w:hAnsi="Palatino Linotype" w:cs="Arial"/>
        </w:rPr>
        <w:t xml:space="preserve">tenemos </w:t>
      </w:r>
      <w:r>
        <w:rPr>
          <w:rFonts w:ascii="Palatino Linotype" w:eastAsiaTheme="minorEastAsia" w:hAnsi="Palatino Linotype" w:cs="Arial"/>
        </w:rPr>
        <w:t xml:space="preserve">que el </w:t>
      </w:r>
      <w:r w:rsidRPr="00B422F8">
        <w:rPr>
          <w:rFonts w:ascii="Palatino Linotype" w:eastAsiaTheme="minorEastAsia" w:hAnsi="Palatino Linotype" w:cs="Arial"/>
        </w:rPr>
        <w:t xml:space="preserve">presupuesto </w:t>
      </w:r>
      <w:r>
        <w:rPr>
          <w:rFonts w:ascii="Palatino Linotype" w:eastAsiaTheme="minorEastAsia" w:hAnsi="Palatino Linotype" w:cs="Arial"/>
        </w:rPr>
        <w:t xml:space="preserve">es definido en el </w:t>
      </w:r>
      <w:r w:rsidRPr="00B422F8">
        <w:rPr>
          <w:rFonts w:ascii="Palatino Linotype" w:eastAsiaTheme="minorEastAsia" w:hAnsi="Palatino Linotype" w:cs="Arial"/>
        </w:rPr>
        <w:t>Código Financiero del Estado d</w:t>
      </w:r>
      <w:r>
        <w:rPr>
          <w:rFonts w:ascii="Palatino Linotype" w:eastAsiaTheme="minorEastAsia" w:hAnsi="Palatino Linotype" w:cs="Arial"/>
        </w:rPr>
        <w:t>e México y Municipios, particularmente en su artículo 285, como el instrumento jurídico de la política de gasto que aprueba la legislatura, en el cual se establece el ejercicio, control y evaluación del gasto público durante el ejercicio fiscal correspondiente y que para el caso de los Municipios será el Ayuntamiento quien lo apruebe en una sesión de cabildo.</w:t>
      </w:r>
    </w:p>
    <w:p w14:paraId="24EAF211" w14:textId="77777777" w:rsidR="008E53B6" w:rsidRPr="00B422F8" w:rsidRDefault="008E53B6" w:rsidP="008E53B6">
      <w:pPr>
        <w:spacing w:before="240" w:after="240" w:line="360" w:lineRule="auto"/>
        <w:jc w:val="both"/>
        <w:rPr>
          <w:rFonts w:ascii="Palatino Linotype" w:hAnsi="Palatino Linotype" w:cs="Arial"/>
        </w:rPr>
      </w:pPr>
      <w:r>
        <w:rPr>
          <w:rFonts w:ascii="Palatino Linotype" w:hAnsi="Palatino Linotype" w:cs="Arial"/>
        </w:rPr>
        <w:t xml:space="preserve">Ahora bien, </w:t>
      </w:r>
      <w:r w:rsidRPr="00B422F8">
        <w:rPr>
          <w:rFonts w:ascii="Palatino Linotype" w:hAnsi="Palatino Linotype" w:cs="Arial"/>
        </w:rPr>
        <w:t xml:space="preserve">el Manual Único de Contabilidad Gubernamental para las Dependencias y Entidades Públicas del Gobierno y </w:t>
      </w:r>
      <w:r>
        <w:rPr>
          <w:rFonts w:ascii="Palatino Linotype" w:hAnsi="Palatino Linotype" w:cs="Arial"/>
        </w:rPr>
        <w:t xml:space="preserve">Municipios del Estado de </w:t>
      </w:r>
      <w:r>
        <w:rPr>
          <w:rFonts w:ascii="Palatino Linotype" w:hAnsi="Palatino Linotype" w:cs="Arial"/>
        </w:rPr>
        <w:lastRenderedPageBreak/>
        <w:t>México en sus ediciones 2013 a 2018</w:t>
      </w:r>
      <w:r w:rsidRPr="00B422F8">
        <w:rPr>
          <w:rStyle w:val="Refdenotaalpie"/>
          <w:rFonts w:ascii="Palatino Linotype" w:hAnsi="Palatino Linotype"/>
        </w:rPr>
        <w:footnoteReference w:id="6"/>
      </w:r>
      <w:r w:rsidRPr="00B422F8">
        <w:rPr>
          <w:rFonts w:ascii="Palatino Linotype" w:hAnsi="Palatino Linotype"/>
        </w:rPr>
        <w:t>,</w:t>
      </w:r>
      <w:r>
        <w:rPr>
          <w:rFonts w:ascii="Palatino Linotype" w:hAnsi="Palatino Linotype"/>
        </w:rPr>
        <w:t xml:space="preserve"> </w:t>
      </w:r>
      <w:r w:rsidRPr="00B422F8">
        <w:rPr>
          <w:rFonts w:ascii="Palatino Linotype" w:hAnsi="Palatino Linotype" w:cs="Arial"/>
        </w:rPr>
        <w:t>tiene como objetivo el proporcionar a las entidades de la administración pública Estatal y Municipal, los elementos necesarios que les permitan contabilizar sus operaciones al establecer los criterios en materia de contabilidad gubernamental; el instrumento básico para su operación es el Catálogo de Cuentas, el cual agrupa un conjunto de conceptos homogéneos, cuya ordenación 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y naturaleza, así como la representatividad de su saldo; de igual manera, la Guía Contabilizadora contiene la descripción detallada de las principales operaciones, además de mencionar los documentos fuente que respaldan cada operación, señalando su periodicidad durante un ejercicio e incluye las cuentas a afectar, tanto contable como presupuestalmente.</w:t>
      </w:r>
    </w:p>
    <w:p w14:paraId="64554333" w14:textId="77777777" w:rsidR="008E53B6" w:rsidRDefault="008E53B6" w:rsidP="008E53B6">
      <w:pPr>
        <w:spacing w:before="240" w:after="240" w:line="360" w:lineRule="auto"/>
        <w:jc w:val="both"/>
        <w:rPr>
          <w:rFonts w:ascii="Palatino Linotype" w:hAnsi="Palatino Linotype" w:cs="Arial"/>
        </w:rPr>
      </w:pPr>
      <w:r w:rsidRPr="00B422F8">
        <w:rPr>
          <w:rFonts w:ascii="Palatino Linotype" w:hAnsi="Palatino Linotype" w:cs="Arial"/>
        </w:rPr>
        <w:t>Es así, como el Cl</w:t>
      </w:r>
      <w:r>
        <w:rPr>
          <w:rFonts w:ascii="Palatino Linotype" w:hAnsi="Palatino Linotype" w:cs="Arial"/>
        </w:rPr>
        <w:t>asificador por objeto de gasto de los años requeridos</w:t>
      </w:r>
      <w:r w:rsidRPr="00B422F8">
        <w:rPr>
          <w:rFonts w:ascii="Palatino Linotype" w:hAnsi="Palatino Linotype" w:cs="Arial"/>
        </w:rPr>
        <w:t>, establece la partida y el concepto del tema que nos ocupa, de la siguiente manera:</w:t>
      </w:r>
    </w:p>
    <w:p w14:paraId="657D4D75" w14:textId="13115B7F" w:rsidR="00A64380" w:rsidRPr="00B422F8" w:rsidRDefault="00A64380" w:rsidP="008E53B6">
      <w:pPr>
        <w:spacing w:before="240" w:after="240" w:line="360" w:lineRule="auto"/>
        <w:jc w:val="both"/>
        <w:rPr>
          <w:rFonts w:ascii="Palatino Linotype" w:hAnsi="Palatino Linotype" w:cs="Arial"/>
        </w:rPr>
      </w:pPr>
      <w:r>
        <w:rPr>
          <w:rFonts w:ascii="Palatino Linotype" w:hAnsi="Palatino Linotype" w:cs="Arial"/>
        </w:rPr>
        <w:t>------------------------------------------------------------------------------------------------------------------------------------------------------------------------------------------------------------------------------------------------------------------------------------------------------------------------------------------</w:t>
      </w:r>
    </w:p>
    <w:p w14:paraId="35FFF13E" w14:textId="77777777" w:rsidR="008E53B6" w:rsidRPr="00B422F8" w:rsidRDefault="008E53B6" w:rsidP="008E53B6">
      <w:pPr>
        <w:spacing w:before="240" w:after="240" w:line="360" w:lineRule="auto"/>
        <w:jc w:val="both"/>
        <w:rPr>
          <w:rFonts w:ascii="Palatino Linotype" w:hAnsi="Palatino Linotype" w:cs="Arial"/>
          <w:lang w:eastAsia="es-MX"/>
        </w:rPr>
      </w:pPr>
      <w:r w:rsidRPr="00B422F8">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60472C4D" wp14:editId="257B60DD">
                <wp:simplePos x="0" y="0"/>
                <wp:positionH relativeFrom="margin">
                  <wp:posOffset>69850</wp:posOffset>
                </wp:positionH>
                <wp:positionV relativeFrom="paragraph">
                  <wp:posOffset>2330450</wp:posOffset>
                </wp:positionV>
                <wp:extent cx="3429000" cy="17145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34290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0909F" id="Rectángulo 12" o:spid="_x0000_s1026" style="position:absolute;margin-left:5.5pt;margin-top:183.5pt;width:270pt;height:1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VoAIAAJMFAAAOAAAAZHJzL2Uyb0RvYy54bWysVM1u2zAMvg/YOwi6r46zdG2DOkXQIsOA&#10;oivaDj0rshQbkEWNUuJkb7Nn2YuNkn8adMUOwy62KJIfxY8/l1f7xrCdQl+DLXh+MuFMWQllbTcF&#10;//a0+nDOmQ/ClsKAVQU/KM+vFu/fXbZurqZQgSkVMgKxft66glchuHmWeVmpRvgTcMqSUgM2IpCI&#10;m6xE0RJ6Y7LpZPIpawFLhyCV93R70yn5IuFrrWT4qrVXgZmC09tC+mL6ruM3W1yK+QaFq2rZP0P8&#10;wysaUVsKOkLdiCDYFus/oJpaInjQ4URCk4HWtVQpB8omn7zK5rESTqVciBzvRpr8/4OVd7t7ZHVJ&#10;tZtyZkVDNXog1n79tJutAUa3RFHr/JwsH9099pKnY8x3r7GJf8qE7ROth5FWtQ9M0uXH2fRiMiH2&#10;Jenys3x2mnjPXrwd+vBZQcPioeBID0hsit2tDxSRTAeTGMzCqjYmlc5Y1lKE85zwo8qDqcuoTQJu&#10;1tcG2U5Q9VcresMQ+MiMsI2lEDHHLqt0CgejIoaxD0oTQZTHtIsQW1ONsEJKZUPeqSpRqi7a6XGw&#10;wSMlkgAjsqZXjtg9wGDZgQzYHQO9fXRVqbNH5z71vzmPHiky2DA6N7UFfCszQ1n1kTv7gaSOmsjS&#10;GsoDtQ9CN1feyVVNFbwVPtwLpEGiotNyCF/pow1QpaA/cVYB/njrPtpTf5OWs5YGs+D++1ag4sx8&#10;sdT5F/lsFic5CbPTsykJeKxZH2vstrkGqn5Oa8jJdIz2wQxHjdA80w5ZxqikElZS7ILLgINwHbqF&#10;QVtIquUymdH0OhFu7aOTETyyGjv0af8s0PVtHGgA7mAYYjF/1c2dbfS0sNwG0HVq9Rdee75p8lPj&#10;9FsqrpZjOVm97NLFbwAAAP//AwBQSwMEFAAGAAgAAAAhAJtSaijbAAAACgEAAA8AAABkcnMvZG93&#10;bnJldi54bWxMT8tOwzAQvCPxD9YicaNOSp8hToWQANEbgYqrGy9JFHsdxW4T/p7tCW47D83O5LvJ&#10;WXHGIbSeFKSzBARS5U1LtYLPj+e7DYgQNRltPaGCHwywK66vcp0ZP9I7nstYCw6hkGkFTYx9JmWo&#10;GnQ6zHyPxNq3H5yODIdamkGPHO6snCfJSjrdEn9odI9PDVZdeXIK3sa5bb9qvX8tu/LQ+cVLut46&#10;pW5vpscHEBGn+GeGS32uDgV3OvoTmSAs45SnRAX3qzUfbFguL8yRme0iAVnk8v+E4hcAAP//AwBQ&#10;SwECLQAUAAYACAAAACEAtoM4kv4AAADhAQAAEwAAAAAAAAAAAAAAAAAAAAAAW0NvbnRlbnRfVHlw&#10;ZXNdLnhtbFBLAQItABQABgAIAAAAIQA4/SH/1gAAAJQBAAALAAAAAAAAAAAAAAAAAC8BAABfcmVs&#10;cy8ucmVsc1BLAQItABQABgAIAAAAIQCd8N/VoAIAAJMFAAAOAAAAAAAAAAAAAAAAAC4CAABkcnMv&#10;ZTJvRG9jLnhtbFBLAQItABQABgAIAAAAIQCbUmoo2wAAAAoBAAAPAAAAAAAAAAAAAAAAAPoEAABk&#10;cnMvZG93bnJldi54bWxQSwUGAAAAAAQABADzAAAAAgYAAAAA&#10;" filled="f" strokecolor="red" strokeweight="3pt">
                <w10:wrap anchorx="margin"/>
              </v:rect>
            </w:pict>
          </mc:Fallback>
        </mc:AlternateContent>
      </w:r>
      <w:r w:rsidRPr="00B422F8">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093FBE6D" wp14:editId="6D7921A7">
                <wp:simplePos x="0" y="0"/>
                <wp:positionH relativeFrom="column">
                  <wp:posOffset>69215</wp:posOffset>
                </wp:positionH>
                <wp:positionV relativeFrom="paragraph">
                  <wp:posOffset>2631440</wp:posOffset>
                </wp:positionV>
                <wp:extent cx="3429000" cy="17145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34290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0DC30" id="Rectángulo 13" o:spid="_x0000_s1026" style="position:absolute;margin-left:5.45pt;margin-top:207.2pt;width:270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roAIAAJMFAAAOAAAAZHJzL2Uyb0RvYy54bWysVM1u2zAMvg/YOwi6r47TdG2DOkXQIsOA&#10;og3aDj0rspQYkEWNUuJkb7Nn2YuNkn8adMUOwy62KJIfxY8/V9f72rCdQl+BLXh+MuJMWQllZdcF&#10;//a8+HTBmQ/ClsKAVQU/KM+vZx8/XDVuqsawAVMqZARi/bRxBd+E4KZZ5uVG1cKfgFOWlBqwFoFE&#10;XGcliobQa5ONR6PPWQNYOgSpvKfb21bJZwlfayXDg9ZeBWYKTm8L6Yvpu4rfbHYlpmsUblPJ7hni&#10;H15Ri8pS0AHqVgTBtlj9AVVXEsGDDicS6gy0rqRKOVA2+ehNNk8b4VTKhcjxbqDJ/z9Yeb9bIqtK&#10;qt0pZ1bUVKNHYu3XT7veGmB0SxQ1zk/J8sktsZM8HWO+e411/FMmbJ9oPQy0qn1gki5PJ+PL0YjY&#10;l6TLz/PJWeI9e/V26MMXBTWLh4IjPSCxKXZ3PlBEMu1NYjALi8qYVDpjWUMRLnLCjyoPpiqjNgm4&#10;Xt0YZDtB1V8s6A194CMzwjaWQsQc26zSKRyMihjGPipNBFEe4zZCbE01wAoplQ15q9qIUrXRzo6D&#10;9R4pkQQYkTW9csDuAHrLFqTHbhno7KOrSp09OHep/8158EiRwYbBua4s4HuZGcqqi9za9yS11ESW&#10;VlAeqH0Q2rnyTi4qquCd8GEpkAaJik7LITzQRxugSkF34mwD+OO9+2hP/U1azhoazIL771uBijPz&#10;1VLnX+aTSZzkJEzOzsck4LFmdayx2/oGqPo5rSEn0zHaB9MfNUL9QjtkHqOSSlhJsQsuA/bCTWgX&#10;Bm0hqebzZEbT60S4s09ORvDIauzQ5/2LQNe1caABuId+iMX0TTe3ttHTwnwbQFep1V957fimyU+N&#10;022puFqO5WT1uktnvwEAAP//AwBQSwMEFAAGAAgAAAAhANkiy/3bAAAACgEAAA8AAABkcnMvZG93&#10;bnJldi54bWxMj0FPg0AQhe8m/ofNmHizCw1ViyyNMVGjN1HjdcqOQGBnCbst+O+dnvT4vnl5816x&#10;W9ygjjSFzrOBdJWAIq697bgx8PH+eHULKkRki4NnMvBDAXbl+VmBufUzv9Gxio2SEA45GmhjHHOt&#10;Q92Sw7DyI7Hcvv3kMIqcGm0nnCXcDXqdJNfaYcfyocWRHlqq++rgDLzM66H7avD1ueqrz95nT+nN&#10;1hlzebHc34GKtMQ/M5zqS3UopdPeH9gGNYhOtuI0kKVZBkoMm82J7IUIAl0W+v+E8hcAAP//AwBQ&#10;SwECLQAUAAYACAAAACEAtoM4kv4AAADhAQAAEwAAAAAAAAAAAAAAAAAAAAAAW0NvbnRlbnRfVHlw&#10;ZXNdLnhtbFBLAQItABQABgAIAAAAIQA4/SH/1gAAAJQBAAALAAAAAAAAAAAAAAAAAC8BAABfcmVs&#10;cy8ucmVsc1BLAQItABQABgAIAAAAIQAZz/CroAIAAJMFAAAOAAAAAAAAAAAAAAAAAC4CAABkcnMv&#10;ZTJvRG9jLnhtbFBLAQItABQABgAIAAAAIQDZIsv92wAAAAoBAAAPAAAAAAAAAAAAAAAAAPoEAABk&#10;cnMvZG93bnJldi54bWxQSwUGAAAAAAQABADzAAAAAgYAAAAA&#10;" filled="f" strokecolor="red" strokeweight="3pt"/>
            </w:pict>
          </mc:Fallback>
        </mc:AlternateContent>
      </w:r>
      <w:r w:rsidRPr="00B422F8">
        <w:rPr>
          <w:rFonts w:ascii="Palatino Linotype" w:hAnsi="Palatino Linotype"/>
          <w:noProof/>
          <w:lang w:val="es-MX" w:eastAsia="es-MX"/>
        </w:rPr>
        <w:drawing>
          <wp:inline distT="0" distB="0" distL="0" distR="0" wp14:anchorId="5B0CFD80" wp14:editId="1C65FED4">
            <wp:extent cx="5765800" cy="3056692"/>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634" t="26890" r="19544" b="14848"/>
                    <a:stretch/>
                  </pic:blipFill>
                  <pic:spPr bwMode="auto">
                    <a:xfrm>
                      <a:off x="0" y="0"/>
                      <a:ext cx="5788599" cy="3068779"/>
                    </a:xfrm>
                    <a:prstGeom prst="rect">
                      <a:avLst/>
                    </a:prstGeom>
                    <a:ln>
                      <a:noFill/>
                    </a:ln>
                    <a:extLst>
                      <a:ext uri="{53640926-AAD7-44D8-BBD7-CCE9431645EC}">
                        <a14:shadowObscured xmlns:a14="http://schemas.microsoft.com/office/drawing/2010/main"/>
                      </a:ext>
                    </a:extLst>
                  </pic:spPr>
                </pic:pic>
              </a:graphicData>
            </a:graphic>
          </wp:inline>
        </w:drawing>
      </w:r>
    </w:p>
    <w:p w14:paraId="36D698B6" w14:textId="77777777" w:rsidR="008E53B6" w:rsidRPr="00B422F8" w:rsidRDefault="008E53B6" w:rsidP="008E53B6">
      <w:pPr>
        <w:spacing w:before="240" w:after="240" w:line="360" w:lineRule="auto"/>
        <w:jc w:val="both"/>
        <w:rPr>
          <w:rFonts w:ascii="Palatino Linotype" w:hAnsi="Palatino Linotype"/>
        </w:rPr>
      </w:pPr>
      <w:r w:rsidRPr="00B422F8">
        <w:rPr>
          <w:rFonts w:ascii="Palatino Linotype" w:hAnsi="Palatino Linotype"/>
          <w:noProof/>
          <w:lang w:val="es-MX" w:eastAsia="es-MX"/>
        </w:rPr>
        <w:drawing>
          <wp:inline distT="0" distB="0" distL="0" distR="0" wp14:anchorId="0FEDD100" wp14:editId="3177B981">
            <wp:extent cx="5740154" cy="20002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843" t="29423" r="19952" b="39205"/>
                    <a:stretch/>
                  </pic:blipFill>
                  <pic:spPr bwMode="auto">
                    <a:xfrm>
                      <a:off x="0" y="0"/>
                      <a:ext cx="5783209" cy="2015253"/>
                    </a:xfrm>
                    <a:prstGeom prst="rect">
                      <a:avLst/>
                    </a:prstGeom>
                    <a:ln>
                      <a:noFill/>
                    </a:ln>
                    <a:extLst>
                      <a:ext uri="{53640926-AAD7-44D8-BBD7-CCE9431645EC}">
                        <a14:shadowObscured xmlns:a14="http://schemas.microsoft.com/office/drawing/2010/main"/>
                      </a:ext>
                    </a:extLst>
                  </pic:spPr>
                </pic:pic>
              </a:graphicData>
            </a:graphic>
          </wp:inline>
        </w:drawing>
      </w:r>
    </w:p>
    <w:p w14:paraId="61AD5901" w14:textId="77777777" w:rsidR="008E53B6" w:rsidRPr="00B422F8" w:rsidRDefault="008E53B6" w:rsidP="008E53B6">
      <w:pPr>
        <w:spacing w:before="240" w:after="240" w:line="360" w:lineRule="auto"/>
        <w:jc w:val="both"/>
        <w:rPr>
          <w:rFonts w:ascii="Palatino Linotype" w:hAnsi="Palatino Linotype" w:cs="Arial"/>
          <w:lang w:eastAsia="es-MX"/>
        </w:rPr>
      </w:pPr>
      <w:r w:rsidRPr="00B422F8">
        <w:rPr>
          <w:rFonts w:ascii="Palatino Linotype" w:hAnsi="Palatino Linotype" w:cs="Arial"/>
          <w:lang w:eastAsia="es-MX"/>
        </w:rPr>
        <w:t xml:space="preserve">Por consiguiente, el servicio de energía eléctrica para alumbrado público establece una partida dentro del citado Manual, con la finalidad de que el </w:t>
      </w:r>
      <w:r w:rsidRPr="00A64380">
        <w:rPr>
          <w:rFonts w:ascii="Palatino Linotype" w:hAnsi="Palatino Linotype" w:cs="Arial"/>
          <w:b/>
          <w:lang w:eastAsia="es-MX"/>
        </w:rPr>
        <w:t>Sujeto Obligado</w:t>
      </w:r>
      <w:r w:rsidRPr="00B422F8">
        <w:rPr>
          <w:rFonts w:ascii="Palatino Linotype" w:hAnsi="Palatino Linotype" w:cs="Arial"/>
          <w:lang w:eastAsia="es-MX"/>
        </w:rPr>
        <w:t xml:space="preserve"> pueda proporcionar información financiera, presupuestaria, programática y económica para consolidarla y presentarla en la Cuenta Pública del Gobierno y Organismos Auxiliares del Estado de México, así como la Cuenta Pública Municipal y, como resultado, forma parte del presupuesto de egresos del </w:t>
      </w:r>
      <w:r w:rsidRPr="00A64380">
        <w:rPr>
          <w:rFonts w:ascii="Palatino Linotype" w:hAnsi="Palatino Linotype" w:cs="Arial"/>
          <w:b/>
          <w:lang w:eastAsia="es-MX"/>
        </w:rPr>
        <w:t>Sujeto Obligado</w:t>
      </w:r>
      <w:r w:rsidRPr="00B422F8">
        <w:rPr>
          <w:rFonts w:ascii="Palatino Linotype" w:hAnsi="Palatino Linotype" w:cs="Arial"/>
          <w:lang w:eastAsia="es-MX"/>
        </w:rPr>
        <w:t xml:space="preserve">. </w:t>
      </w:r>
    </w:p>
    <w:p w14:paraId="523C61DD" w14:textId="77777777" w:rsidR="008E53B6" w:rsidRPr="00B422F8" w:rsidRDefault="008E53B6" w:rsidP="008E53B6">
      <w:pPr>
        <w:spacing w:before="240" w:after="240" w:line="360" w:lineRule="auto"/>
        <w:jc w:val="both"/>
        <w:rPr>
          <w:rFonts w:ascii="Palatino Linotype" w:hAnsi="Palatino Linotype"/>
        </w:rPr>
      </w:pPr>
      <w:r w:rsidRPr="00B422F8">
        <w:rPr>
          <w:rFonts w:ascii="Palatino Linotype" w:hAnsi="Palatino Linotype" w:cs="Arial"/>
          <w:lang w:eastAsia="es-MX"/>
        </w:rPr>
        <w:lastRenderedPageBreak/>
        <w:t xml:space="preserve">Por otro lado, el Órgano Superior de Fiscalización del Estado de México (OSFEM), </w:t>
      </w:r>
      <w:r w:rsidRPr="00B422F8">
        <w:rPr>
          <w:rFonts w:ascii="Palatino Linotype" w:hAnsi="Palatino Linotype"/>
        </w:rPr>
        <w:t>emite anualmente los Lineamientos para definir los criterios, formatos y documentación necesaria para presentar los informes mensuales, donde se detalla la información en 6 discos, los cuales deberán entregarse mensualmente al OSFEM, y de los que destaca, en relación con el análisis que nos ocupa, el “Disco 5”, relativo a “imágenes digitalizadas”.</w:t>
      </w:r>
    </w:p>
    <w:p w14:paraId="718347B4" w14:textId="77777777" w:rsidR="008E53B6" w:rsidRPr="00B422F8" w:rsidRDefault="008E53B6" w:rsidP="008E53B6">
      <w:pPr>
        <w:spacing w:before="240" w:after="240" w:line="360" w:lineRule="auto"/>
        <w:jc w:val="both"/>
        <w:rPr>
          <w:rFonts w:ascii="Palatino Linotype" w:hAnsi="Palatino Linotype"/>
        </w:rPr>
      </w:pPr>
      <w:r w:rsidRPr="00B422F8">
        <w:rPr>
          <w:rFonts w:ascii="Palatino Linotype" w:hAnsi="Palatino Linotype"/>
        </w:rPr>
        <w:t>Dichos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5462BE39" w14:textId="77777777" w:rsidR="008E53B6" w:rsidRPr="00A64380" w:rsidRDefault="008E53B6" w:rsidP="00A64380">
      <w:pPr>
        <w:spacing w:after="120"/>
        <w:ind w:left="851" w:right="760"/>
        <w:jc w:val="both"/>
        <w:rPr>
          <w:rFonts w:ascii="Palatino Linotype" w:hAnsi="Palatino Linotype"/>
          <w:i/>
          <w:sz w:val="20"/>
          <w:szCs w:val="20"/>
        </w:rPr>
      </w:pPr>
      <w:r w:rsidRPr="00A64380">
        <w:rPr>
          <w:rFonts w:ascii="Palatino Linotype" w:hAnsi="Palatino Linotype"/>
          <w:b/>
          <w:i/>
          <w:sz w:val="20"/>
          <w:szCs w:val="20"/>
        </w:rPr>
        <w:t>“Artículo 32.-</w:t>
      </w:r>
      <w:r w:rsidRPr="00A64380">
        <w:rPr>
          <w:rFonts w:ascii="Palatino Linotype" w:hAnsi="Palatino Linotype"/>
          <w:i/>
          <w:sz w:val="20"/>
          <w:szCs w:val="20"/>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B287808" w14:textId="3651A879" w:rsidR="008E53B6" w:rsidRPr="00A64380" w:rsidRDefault="00A64380" w:rsidP="00A64380">
      <w:pPr>
        <w:spacing w:after="120"/>
        <w:ind w:left="851" w:right="760"/>
        <w:jc w:val="both"/>
        <w:rPr>
          <w:rFonts w:ascii="Palatino Linotype" w:hAnsi="Palatino Linotype"/>
          <w:b/>
          <w:i/>
          <w:sz w:val="20"/>
          <w:szCs w:val="20"/>
        </w:rPr>
      </w:pPr>
      <w:r>
        <w:rPr>
          <w:rFonts w:ascii="Palatino Linotype" w:hAnsi="Palatino Linotype"/>
          <w:b/>
          <w:i/>
          <w:sz w:val="20"/>
          <w:szCs w:val="20"/>
        </w:rPr>
        <w:t>(</w:t>
      </w:r>
      <w:r w:rsidR="008E53B6" w:rsidRPr="00A64380">
        <w:rPr>
          <w:rFonts w:ascii="Palatino Linotype" w:hAnsi="Palatino Linotype"/>
          <w:b/>
          <w:i/>
          <w:sz w:val="20"/>
          <w:szCs w:val="20"/>
        </w:rPr>
        <w:t>…</w:t>
      </w:r>
      <w:r>
        <w:rPr>
          <w:rFonts w:ascii="Palatino Linotype" w:hAnsi="Palatino Linotype"/>
          <w:b/>
          <w:i/>
          <w:sz w:val="20"/>
          <w:szCs w:val="20"/>
        </w:rPr>
        <w:t>)</w:t>
      </w:r>
    </w:p>
    <w:p w14:paraId="0A91B742" w14:textId="77777777" w:rsidR="008E53B6" w:rsidRPr="00A64380" w:rsidRDefault="008E53B6" w:rsidP="00A64380">
      <w:pPr>
        <w:spacing w:after="120"/>
        <w:ind w:left="851" w:right="760"/>
        <w:jc w:val="both"/>
        <w:rPr>
          <w:rFonts w:ascii="Palatino Linotype" w:hAnsi="Palatino Linotype"/>
          <w:i/>
          <w:sz w:val="20"/>
          <w:szCs w:val="20"/>
          <w:u w:val="single"/>
        </w:rPr>
      </w:pPr>
      <w:r w:rsidRPr="00A64380">
        <w:rPr>
          <w:rFonts w:ascii="Palatino Linotype" w:hAnsi="Palatino Linotype"/>
          <w:i/>
          <w:sz w:val="20"/>
          <w:szCs w:val="20"/>
        </w:rPr>
        <w:t xml:space="preserve">Los Presidentes Municipales presentarán a la Legislatura las cuentas públicas anuales de sus respectivos municipios, del ejercicio fiscal inmediato anterior, dentro de los quince primeros días del mes de marzo de cada año; asimismo, </w:t>
      </w:r>
      <w:r w:rsidRPr="00A64380">
        <w:rPr>
          <w:rFonts w:ascii="Palatino Linotype" w:hAnsi="Palatino Linotype"/>
          <w:i/>
          <w:sz w:val="20"/>
          <w:szCs w:val="20"/>
          <w:u w:val="single"/>
        </w:rPr>
        <w:t>los informes mensuales</w:t>
      </w:r>
      <w:r w:rsidRPr="00A64380">
        <w:rPr>
          <w:rFonts w:ascii="Palatino Linotype" w:hAnsi="Palatino Linotype"/>
          <w:i/>
          <w:sz w:val="20"/>
          <w:szCs w:val="20"/>
        </w:rPr>
        <w:t xml:space="preserve"> los deberán presentar </w:t>
      </w:r>
      <w:r w:rsidRPr="00A64380">
        <w:rPr>
          <w:rFonts w:ascii="Palatino Linotype" w:hAnsi="Palatino Linotype"/>
          <w:i/>
          <w:sz w:val="20"/>
          <w:szCs w:val="20"/>
          <w:u w:val="single"/>
        </w:rPr>
        <w:t>dentro de los veinte días posteriores al término del mes correspondiente.”</w:t>
      </w:r>
    </w:p>
    <w:p w14:paraId="13300545" w14:textId="77777777" w:rsidR="008E53B6" w:rsidRPr="00B422F8" w:rsidRDefault="008E53B6" w:rsidP="008E53B6">
      <w:pPr>
        <w:spacing w:before="240" w:after="240" w:line="360" w:lineRule="auto"/>
        <w:ind w:right="-91"/>
        <w:jc w:val="both"/>
        <w:rPr>
          <w:rFonts w:ascii="Palatino Linotype" w:hAnsi="Palatino Linotype"/>
        </w:rPr>
      </w:pPr>
      <w:r w:rsidRPr="00B422F8">
        <w:rPr>
          <w:rFonts w:ascii="Palatino Linotype" w:hAnsi="Palatino Linotype"/>
        </w:rPr>
        <w:t>Por lo anterior, se aprecia que 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 del Estado.</w:t>
      </w:r>
    </w:p>
    <w:p w14:paraId="3446D493" w14:textId="77777777" w:rsidR="008E53B6" w:rsidRPr="00B422F8" w:rsidRDefault="008E53B6" w:rsidP="008E53B6">
      <w:pPr>
        <w:spacing w:line="360" w:lineRule="auto"/>
        <w:ind w:right="-91"/>
        <w:jc w:val="both"/>
        <w:rPr>
          <w:rFonts w:ascii="Palatino Linotype" w:hAnsi="Palatino Linotype"/>
        </w:rPr>
      </w:pPr>
      <w:r w:rsidRPr="00B422F8">
        <w:rPr>
          <w:rFonts w:ascii="Palatino Linotype" w:hAnsi="Palatino Linotype"/>
        </w:rPr>
        <w:lastRenderedPageBreak/>
        <w:t>Aunado a lo anterior, en los Lineamientos para la Integración del Informe Mensual</w:t>
      </w:r>
      <w:r>
        <w:rPr>
          <w:rFonts w:ascii="Palatino Linotype" w:hAnsi="Palatino Linotype"/>
        </w:rPr>
        <w:t xml:space="preserve"> de 2013 a </w:t>
      </w:r>
      <w:r w:rsidRPr="00B422F8">
        <w:rPr>
          <w:rFonts w:ascii="Palatino Linotype" w:hAnsi="Palatino Linotype"/>
        </w:rPr>
        <w:t>201</w:t>
      </w:r>
      <w:r>
        <w:rPr>
          <w:rFonts w:ascii="Palatino Linotype" w:hAnsi="Palatino Linotype"/>
        </w:rPr>
        <w:t>8</w:t>
      </w:r>
      <w:r w:rsidRPr="00B422F8">
        <w:rPr>
          <w:rStyle w:val="Refdenotaalpie"/>
          <w:rFonts w:ascii="Palatino Linotype" w:hAnsi="Palatino Linotype"/>
        </w:rPr>
        <w:footnoteReference w:id="7"/>
      </w:r>
      <w:r w:rsidRPr="00B422F8">
        <w:rPr>
          <w:rFonts w:ascii="Palatino Linotype" w:hAnsi="Palatino Linotype"/>
        </w:rPr>
        <w:t>, se destaca que, dentro de los informes mensuales, los Ayuntamientos tienen la obligación de rendir la Información referente a imágenes digitalizadas</w:t>
      </w:r>
      <w:r>
        <w:rPr>
          <w:rFonts w:ascii="Palatino Linotype" w:hAnsi="Palatino Linotype"/>
        </w:rPr>
        <w:t xml:space="preserve"> éntrelas que se encuentran las pólizas de egresos con su respectivo soporte documental</w:t>
      </w:r>
      <w:r w:rsidRPr="00B422F8">
        <w:rPr>
          <w:rFonts w:ascii="Palatino Linotype" w:hAnsi="Palatino Linotype"/>
        </w:rPr>
        <w:t xml:space="preserve">, tal y como se muestra en seguida: </w:t>
      </w:r>
    </w:p>
    <w:p w14:paraId="1C55E133" w14:textId="77777777" w:rsidR="008E53B6" w:rsidRPr="00B422F8" w:rsidRDefault="008E53B6" w:rsidP="008E53B6">
      <w:pPr>
        <w:jc w:val="center"/>
        <w:rPr>
          <w:rFonts w:ascii="Palatino Linotype" w:hAnsi="Palatino Linotype" w:cs="Arial"/>
        </w:rPr>
      </w:pPr>
      <w:r w:rsidRPr="00B422F8">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59144ECC" wp14:editId="7B1FC624">
                <wp:simplePos x="0" y="0"/>
                <wp:positionH relativeFrom="column">
                  <wp:posOffset>1136650</wp:posOffset>
                </wp:positionH>
                <wp:positionV relativeFrom="paragraph">
                  <wp:posOffset>1096010</wp:posOffset>
                </wp:positionV>
                <wp:extent cx="1905000" cy="209550"/>
                <wp:effectExtent l="19050" t="19050" r="19050" b="19050"/>
                <wp:wrapNone/>
                <wp:docPr id="14" name="13 Rectángulo"/>
                <wp:cNvGraphicFramePr/>
                <a:graphic xmlns:a="http://schemas.openxmlformats.org/drawingml/2006/main">
                  <a:graphicData uri="http://schemas.microsoft.com/office/word/2010/wordprocessingShape">
                    <wps:wsp>
                      <wps:cNvSpPr/>
                      <wps:spPr>
                        <a:xfrm>
                          <a:off x="0" y="0"/>
                          <a:ext cx="19050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F4D15" id="13 Rectángulo" o:spid="_x0000_s1026" style="position:absolute;margin-left:89.5pt;margin-top:86.3pt;width:150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8NoQIAAJMFAAAOAAAAZHJzL2Uyb0RvYy54bWysVM1u2zAMvg/YOwi6r7bTZGuDOkXQIsOA&#10;oi3aDj0rshQLkEVNUuJkb7Nn2YuVkn8adMUOwy6yaJIfxY8/F5f7RpOdcF6BKWlxklMiDIdKmU1J&#10;vz+tPp1R4gMzFdNgREkPwtPLxccPF62diwnUoCvhCIIYP29tSesQ7DzLPK9Fw/wJWGFQKcE1LKDo&#10;NlnlWIvojc4mef45a8FV1gEX3uPf605JFwlfSsHDnZReBKJLim8L6XTpXMczW1yw+cYxWyveP4P9&#10;wysapgwGHaGuWWBk69QfUI3iDjzIcMKhyUBKxUXKAbMp8jfZPNbMipQLkuPtSJP/f7D8dnfviKqw&#10;dlNKDGuwRsUpeUDifv8ym62GSFFr/RwtH+296yWP15jvXromfjETsk+0HkZaxT4Qjj+L83yW58g+&#10;R90kP5/NEu/Zq7d1PnwV0JB4KanD6IlNtrvxASOi6WASgxlYKa1T6bQhbUlPzwrEjyoPWlVRmwS3&#10;WV9pR3YMq79a4RuGwEdmiK0Nhog5dlmlWzhoETG0eRASCcI8Jl2E2JpihGWcCxOKTlWzSnTRYsJj&#10;sMEjJZIAI7LEV47YPcBg2YEM2B0DvX10FamzR+c+9b85jx4pMpgwOjfKgHsvM41Z9ZE7+4GkjprI&#10;0hqqA7aPg26uvOUrhRW8YT7cM4eDhEXH5RDu8JAasFLQ3yipwf1873+0x/5GLSUtDmZJ/Y8tc4IS&#10;/c1g558X02mc5CRMZ18mKLhjzfpYY7bNFWD1C1xDlqdrtA96uEoHzTPukGWMiipmOMYuKQ9uEK5C&#10;tzBwC3GxXCYznF7Lwo15tDyCR1Zjhz7tn5mzfRsHHIBbGIaYzd90c2cbPQ0stwGkSq3+ymvPN05+&#10;apx+S8XVciwnq9ddungBAAD//wMAUEsDBBQABgAIAAAAIQALKvyE3gAAAAsBAAAPAAAAZHJzL2Rv&#10;d25yZXYueG1sTI9BT8MwDIXvSPyHyEjcWLpqdKw0nRASILhRQFy9xrRVE6dqsrX798u4wM3Pfnr+&#10;XrGdrREHGn3nWMFykYAgrp3uuFHw+fF0cwfCB2SNxjEpOJKHbXl5UWCu3cTvdKhCI2II+xwVtCEM&#10;uZS+bsmiX7iBON5+3GgxRDk2Uo84xXBrZJokmbTYcfzQ4kCPLdV9tbcKXqfUdN8Nvr1UffXVu9Xz&#10;cr2xSl1fzQ/3IALN4c8MZ/yIDmVk2rk9ay9M1OtN7BLOQ5qBiI7V72anIE1uM5BlIf93KE8AAAD/&#10;/wMAUEsBAi0AFAAGAAgAAAAhALaDOJL+AAAA4QEAABMAAAAAAAAAAAAAAAAAAAAAAFtDb250ZW50&#10;X1R5cGVzXS54bWxQSwECLQAUAAYACAAAACEAOP0h/9YAAACUAQAACwAAAAAAAAAAAAAAAAAvAQAA&#10;X3JlbHMvLnJlbHNQSwECLQAUAAYACAAAACEA2FCvDaECAACTBQAADgAAAAAAAAAAAAAAAAAuAgAA&#10;ZHJzL2Uyb0RvYy54bWxQSwECLQAUAAYACAAAACEACyr8hN4AAAALAQAADwAAAAAAAAAAAAAAAAD7&#10;BAAAZHJzL2Rvd25yZXYueG1sUEsFBgAAAAAEAAQA8wAAAAYGAAAAAA==&#10;" filled="f" strokecolor="red" strokeweight="3pt"/>
            </w:pict>
          </mc:Fallback>
        </mc:AlternateContent>
      </w:r>
      <w:r w:rsidRPr="00B422F8">
        <w:rPr>
          <w:rFonts w:ascii="Palatino Linotype" w:hAnsi="Palatino Linotype" w:cs="Arial"/>
          <w:noProof/>
          <w:lang w:val="es-MX" w:eastAsia="es-MX"/>
        </w:rPr>
        <w:drawing>
          <wp:inline distT="0" distB="0" distL="0" distR="0" wp14:anchorId="0D0151B6" wp14:editId="06A865B3">
            <wp:extent cx="3333750" cy="1425254"/>
            <wp:effectExtent l="57150" t="57150" r="114300" b="1181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286" t="65461" r="22248" b="14687"/>
                    <a:stretch/>
                  </pic:blipFill>
                  <pic:spPr bwMode="auto">
                    <a:xfrm>
                      <a:off x="0" y="0"/>
                      <a:ext cx="3337629" cy="1426912"/>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AD142E" w14:textId="77777777" w:rsidR="008E53B6" w:rsidRPr="00B422F8" w:rsidRDefault="008E53B6" w:rsidP="008E53B6">
      <w:pPr>
        <w:tabs>
          <w:tab w:val="left" w:pos="426"/>
          <w:tab w:val="left" w:pos="8222"/>
        </w:tabs>
        <w:ind w:right="51"/>
        <w:jc w:val="center"/>
        <w:rPr>
          <w:rFonts w:ascii="Palatino Linotype" w:hAnsi="Palatino Linotype" w:cs="Arial"/>
        </w:rPr>
      </w:pPr>
      <w:r w:rsidRPr="00B422F8">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05522872" wp14:editId="3BE65B88">
                <wp:simplePos x="0" y="0"/>
                <wp:positionH relativeFrom="column">
                  <wp:posOffset>755015</wp:posOffset>
                </wp:positionH>
                <wp:positionV relativeFrom="paragraph">
                  <wp:posOffset>885825</wp:posOffset>
                </wp:positionV>
                <wp:extent cx="2108934" cy="209550"/>
                <wp:effectExtent l="19050" t="19050" r="24765" b="19050"/>
                <wp:wrapNone/>
                <wp:docPr id="15" name="13 Rectángulo"/>
                <wp:cNvGraphicFramePr/>
                <a:graphic xmlns:a="http://schemas.openxmlformats.org/drawingml/2006/main">
                  <a:graphicData uri="http://schemas.microsoft.com/office/word/2010/wordprocessingShape">
                    <wps:wsp>
                      <wps:cNvSpPr/>
                      <wps:spPr>
                        <a:xfrm>
                          <a:off x="0" y="0"/>
                          <a:ext cx="2108934"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82061" id="13 Rectángulo" o:spid="_x0000_s1026" style="position:absolute;margin-left:59.45pt;margin-top:69.75pt;width:166.0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zWpAIAAJMFAAAOAAAAZHJzL2Uyb0RvYy54bWysVM1OGzEQvlfqO1i+l90NSQsRGxSBUlVC&#10;gICKs+O1s5a8Htd2sknfps/SF2Ps/SGiqIeqOTienZlvPN/8XFzuG012wnkFpqTFSU6JMBwqZTYl&#10;/f60+nRGiQ/MVEyDESU9CE8vFx8/XLR2LiZQg66EIwhi/Ly1Ja1DsPMs87wWDfMnYIVBpQTXsICi&#10;22SVYy2iNzqb5PnnrAVXWQdceI9frzslXSR8KQUPd1J6EYguKb4tpNOlcx3PbHHB5hvHbK14/wz2&#10;D69omDIYdIS6ZoGRrVN/QDWKO/AgwwmHJgMpFRcpB8ymyN9k81gzK1IuSI63I03+/8Hy2929I6rC&#10;2s0oMazBGhWn5AGJ+/3LbLYaIkWt9XO0fLT3rpc8XmO+e+ma+I+ZkH2i9TDSKvaBcPw4KfKz89Mp&#10;JRx1k/x8Nku8Z6/e1vnwVUBD4qWkDqMnNtnuxgeMiKaDSQxmYKW0TqXThrQlPT0r8jx5eNCqitpo&#10;591mfaUd2TGs/mqV4y9mg2hHZihpgx9jjl1W6RYOWkQMbR6ERIJiHl2E2JpihGWcCxOKTlWzSnTR&#10;ZsfBBo8UOgFGZImvHLF7gMGyAxmwuzf39tFVpM4enfvU/+Y8eqTIYMLo3CgD7r3MNGbVR+7sB5I6&#10;aiJLa6gO2D4Ournylq8UVvCG+XDPHA4Sjhwuh3CHh9SAlYL+RkkN7ud736M99jdqKWlxMEvqf2yZ&#10;E5TobwY7/7yYTuMkJ2E6+zJBwR1r1scas22uAKtf4BqyPF2jfdDDVTponnGHLGNUVDHDMXZJeXCD&#10;cBW6hYFbiIvlMpnh9FoWbsyj5RE8sho79Gn/zJzt2zjgANzCMMRs/qabO9voaWC5DSBVavVXXnu+&#10;cfJT4/RbKq6WYzlZve7SxQsAAAD//wMAUEsDBBQABgAIAAAAIQDL5WvS3wAAAAsBAAAPAAAAZHJz&#10;L2Rvd25yZXYueG1sTI9BT4NAEIXvJv6HzZh4swtYbKEsjTFRozdR0+uWHYHAzhJ2W/DfO570Nm/m&#10;5c33iv1iB3HGyXeOFMSrCARS7UxHjYKP98ebLQgfNBk9OEIF3+hhX15eFDo3bqY3PFehERxCPtcK&#10;2hDGXEpft2i1X7kRiW9fbrI6sJwaaSY9c7gdZBJFd9LqjvhDq0d8aLHuq5NV8DInQ3do9Otz1Vef&#10;vVs/xZvMKnV9tdzvQARcwp8ZfvEZHUpmOroTGS8G1vE2YysPt1kKgh3rNOZ2R95skhRkWcj/Hcof&#10;AAAA//8DAFBLAQItABQABgAIAAAAIQC2gziS/gAAAOEBAAATAAAAAAAAAAAAAAAAAAAAAABbQ29u&#10;dGVudF9UeXBlc10ueG1sUEsBAi0AFAAGAAgAAAAhADj9If/WAAAAlAEAAAsAAAAAAAAAAAAAAAAA&#10;LwEAAF9yZWxzLy5yZWxzUEsBAi0AFAAGAAgAAAAhAA2mXNakAgAAkwUAAA4AAAAAAAAAAAAAAAAA&#10;LgIAAGRycy9lMm9Eb2MueG1sUEsBAi0AFAAGAAgAAAAhAMvla9LfAAAACwEAAA8AAAAAAAAAAAAA&#10;AAAA/gQAAGRycy9kb3ducmV2LnhtbFBLBQYAAAAABAAEAPMAAAAKBgAAAAA=&#10;" filled="f" strokecolor="red" strokeweight="3pt"/>
            </w:pict>
          </mc:Fallback>
        </mc:AlternateContent>
      </w:r>
      <w:r w:rsidRPr="00B422F8">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0F523A24" wp14:editId="608D205D">
                <wp:simplePos x="0" y="0"/>
                <wp:positionH relativeFrom="column">
                  <wp:posOffset>1548765</wp:posOffset>
                </wp:positionH>
                <wp:positionV relativeFrom="paragraph">
                  <wp:posOffset>315595</wp:posOffset>
                </wp:positionV>
                <wp:extent cx="561975" cy="180975"/>
                <wp:effectExtent l="19050" t="19050" r="28575" b="28575"/>
                <wp:wrapNone/>
                <wp:docPr id="16" name="13 Rectángulo"/>
                <wp:cNvGraphicFramePr/>
                <a:graphic xmlns:a="http://schemas.openxmlformats.org/drawingml/2006/main">
                  <a:graphicData uri="http://schemas.microsoft.com/office/word/2010/wordprocessingShape">
                    <wps:wsp>
                      <wps:cNvSpPr/>
                      <wps:spPr>
                        <a:xfrm>
                          <a:off x="0" y="0"/>
                          <a:ext cx="561975"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D9706" id="13 Rectángulo" o:spid="_x0000_s1026" style="position:absolute;margin-left:121.95pt;margin-top:24.85pt;width:44.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moogIAAJIFAAAOAAAAZHJzL2Uyb0RvYy54bWysVM1u2zAMvg/YOwi6r7bTpj9GnSJokWFA&#10;0RZth54VWUoMyKImKXGyt9mz7MVKSbYbdMUOw3yQKZH8KH4ieXm1axXZCusa0BUtjnJKhOZQN3pV&#10;0e/Piy/nlDjPdM0UaFHRvXD0avb502VnSjGBNahaWIIg2pWdqejae1NmmeNr0TJ3BEZoVEqwLfO4&#10;taustqxD9FZlkzw/zTqwtbHAhXN4epOUdBbxpRTc30vphCeqong3H1cb12VYs9klK1eWmXXD+2uw&#10;f7hFyxqNQUeoG+YZ2djmD6i24RYcSH/Eoc1AyoaLmANmU+TvsnlaMyNiLkiOMyNN7v/B8rvtgyVN&#10;jW93SolmLb5RcUwekbjfv/RqoyBQ1BlXouWTebD9zqEY8t1J24Y/ZkJ2kdb9SKvYecLxcHpaXJxN&#10;KeGoKs7zICNK9uZsrPNfBbQkCBW1GDySyba3zifTwSTE0rBolMJzVipNuooenxd5Hj0cqKYO2qB0&#10;drW8VpZsGT7+YpHj1wc+MMNrKI23CSmmpKLk90qkAI9CIj+YxiRFCJUpRljGudC+SKo1q0WKNj0M&#10;NnjEnJVGwIAs8ZYjdg8wWCaQATsx0NsHVxELe3TuU/+b8+gRI4P2o3PbaLAfZaYwqz5ysh9IStQE&#10;lpZQ77F6LKS2coYvGnzBW+b8A7PYR9hxOBv8PS5SAb4U9BIla7A/PzoP9ljeqKWkw76sqPuxYVZQ&#10;or5pLPyL4uQkNHLcnEzPJrixh5rloUZv2mvA1y9wChkexWDv1SBKC+0LjpB5iIoqpjnGrij3dthc&#10;+zQvcAhxMZ9HM2xew/ytfjI8gAdWQ4U+716YNX0Ze6z/Oxh6mJXvqjnZBk8N840H2cRSf+O15xsb&#10;PxZOP6TCZDncR6u3UTp7BQAA//8DAFBLAwQUAAYACAAAACEAFqliRd4AAAAJAQAADwAAAGRycy9k&#10;b3ducmV2LnhtbEyPQU+EMBCF7yb+h2ZMvLllC5EFKRtjokZvosbrLK1AaKeEdhf899aTe5y8L+99&#10;U+1Xa9hJz35wJGG7SYBpap0aqJPw8f54swPmA5JC40hL+NEe9vXlRYWlcgu96VMTOhZLyJcooQ9h&#10;Kjn3ba8t+o2bNMXs280WQzznjqsZl1huDRdJcsstDhQXepz0Q6/bsTlaCS+LMMNXh6/Pzdh8ji57&#10;2uaFlfL6ar2/Axb0Gv5h+NOP6lBHp4M7kvLMSBBZWkRUQlbkwCKQpiIDdpCQ7wTwuuLnH9S/AAAA&#10;//8DAFBLAQItABQABgAIAAAAIQC2gziS/gAAAOEBAAATAAAAAAAAAAAAAAAAAAAAAABbQ29udGVu&#10;dF9UeXBlc10ueG1sUEsBAi0AFAAGAAgAAAAhADj9If/WAAAAlAEAAAsAAAAAAAAAAAAAAAAALwEA&#10;AF9yZWxzLy5yZWxzUEsBAi0AFAAGAAgAAAAhALJI6aiiAgAAkgUAAA4AAAAAAAAAAAAAAAAALgIA&#10;AGRycy9lMm9Eb2MueG1sUEsBAi0AFAAGAAgAAAAhABapYkXeAAAACQEAAA8AAAAAAAAAAAAAAAAA&#10;/AQAAGRycy9kb3ducmV2LnhtbFBLBQYAAAAABAAEAPMAAAAHBgAAAAA=&#10;" filled="f" strokecolor="red" strokeweight="3pt"/>
            </w:pict>
          </mc:Fallback>
        </mc:AlternateContent>
      </w:r>
      <w:r w:rsidRPr="00B422F8">
        <w:rPr>
          <w:rFonts w:ascii="Palatino Linotype" w:hAnsi="Palatino Linotype"/>
          <w:noProof/>
          <w:lang w:val="es-MX" w:eastAsia="es-MX"/>
        </w:rPr>
        <w:drawing>
          <wp:inline distT="0" distB="0" distL="0" distR="0" wp14:anchorId="211F6CD9" wp14:editId="4D9F8B3C">
            <wp:extent cx="4886325" cy="1670555"/>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93" t="27248" r="23816" b="40794"/>
                    <a:stretch/>
                  </pic:blipFill>
                  <pic:spPr bwMode="auto">
                    <a:xfrm>
                      <a:off x="0" y="0"/>
                      <a:ext cx="4955855" cy="1694326"/>
                    </a:xfrm>
                    <a:prstGeom prst="rect">
                      <a:avLst/>
                    </a:prstGeom>
                    <a:ln>
                      <a:noFill/>
                    </a:ln>
                    <a:extLst>
                      <a:ext uri="{53640926-AAD7-44D8-BBD7-CCE9431645EC}">
                        <a14:shadowObscured xmlns:a14="http://schemas.microsoft.com/office/drawing/2010/main"/>
                      </a:ext>
                    </a:extLst>
                  </pic:spPr>
                </pic:pic>
              </a:graphicData>
            </a:graphic>
          </wp:inline>
        </w:drawing>
      </w:r>
    </w:p>
    <w:p w14:paraId="7BEBFA74" w14:textId="77777777" w:rsidR="008E53B6" w:rsidRPr="00B422F8" w:rsidRDefault="008E53B6" w:rsidP="008E53B6">
      <w:pPr>
        <w:widowControl w:val="0"/>
        <w:autoSpaceDE w:val="0"/>
        <w:autoSpaceDN w:val="0"/>
        <w:adjustRightInd w:val="0"/>
        <w:spacing w:before="240" w:after="240" w:line="276" w:lineRule="auto"/>
        <w:ind w:right="-141"/>
        <w:jc w:val="center"/>
        <w:rPr>
          <w:rFonts w:ascii="Palatino Linotype" w:hAnsi="Palatino Linotype"/>
          <w:color w:val="000000"/>
        </w:rPr>
      </w:pPr>
      <w:r w:rsidRPr="00B422F8">
        <w:rPr>
          <w:rFonts w:ascii="Palatino Linotype" w:hAnsi="Palatino Linotype"/>
          <w:noProof/>
          <w:lang w:val="es-MX" w:eastAsia="es-MX"/>
        </w:rPr>
        <w:lastRenderedPageBreak/>
        <w:drawing>
          <wp:inline distT="0" distB="0" distL="0" distR="0" wp14:anchorId="7CAD64CB" wp14:editId="2300C472">
            <wp:extent cx="4872881" cy="1725295"/>
            <wp:effectExtent l="0" t="0" r="4445"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542" t="12327" r="36576" b="58794"/>
                    <a:stretch/>
                  </pic:blipFill>
                  <pic:spPr bwMode="auto">
                    <a:xfrm>
                      <a:off x="0" y="0"/>
                      <a:ext cx="4934916" cy="1747259"/>
                    </a:xfrm>
                    <a:prstGeom prst="rect">
                      <a:avLst/>
                    </a:prstGeom>
                    <a:ln>
                      <a:noFill/>
                    </a:ln>
                    <a:extLst>
                      <a:ext uri="{53640926-AAD7-44D8-BBD7-CCE9431645EC}">
                        <a14:shadowObscured xmlns:a14="http://schemas.microsoft.com/office/drawing/2010/main"/>
                      </a:ext>
                    </a:extLst>
                  </pic:spPr>
                </pic:pic>
              </a:graphicData>
            </a:graphic>
          </wp:inline>
        </w:drawing>
      </w:r>
    </w:p>
    <w:p w14:paraId="26F43ADD" w14:textId="77777777" w:rsidR="008E53B6" w:rsidRPr="00B422F8" w:rsidRDefault="008E53B6" w:rsidP="008E53B6">
      <w:pPr>
        <w:widowControl w:val="0"/>
        <w:autoSpaceDE w:val="0"/>
        <w:autoSpaceDN w:val="0"/>
        <w:adjustRightInd w:val="0"/>
        <w:spacing w:before="240" w:after="240" w:line="276" w:lineRule="auto"/>
        <w:ind w:right="-141"/>
        <w:jc w:val="center"/>
        <w:rPr>
          <w:rFonts w:ascii="Palatino Linotype" w:hAnsi="Palatino Linotype"/>
          <w:color w:val="000000"/>
        </w:rPr>
      </w:pPr>
      <w:r w:rsidRPr="00B422F8">
        <w:rPr>
          <w:rFonts w:ascii="Palatino Linotype" w:hAnsi="Palatino Linotype"/>
          <w:noProof/>
          <w:lang w:val="es-MX" w:eastAsia="es-MX"/>
        </w:rPr>
        <w:drawing>
          <wp:inline distT="0" distB="0" distL="0" distR="0" wp14:anchorId="6F7D1743" wp14:editId="2CF25AFB">
            <wp:extent cx="4777364" cy="255397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487" t="22708" r="35397" b="32515"/>
                    <a:stretch/>
                  </pic:blipFill>
                  <pic:spPr bwMode="auto">
                    <a:xfrm>
                      <a:off x="0" y="0"/>
                      <a:ext cx="4859389" cy="2597821"/>
                    </a:xfrm>
                    <a:prstGeom prst="rect">
                      <a:avLst/>
                    </a:prstGeom>
                    <a:ln>
                      <a:noFill/>
                    </a:ln>
                    <a:extLst>
                      <a:ext uri="{53640926-AAD7-44D8-BBD7-CCE9431645EC}">
                        <a14:shadowObscured xmlns:a14="http://schemas.microsoft.com/office/drawing/2010/main"/>
                      </a:ext>
                    </a:extLst>
                  </pic:spPr>
                </pic:pic>
              </a:graphicData>
            </a:graphic>
          </wp:inline>
        </w:drawing>
      </w:r>
    </w:p>
    <w:p w14:paraId="0282FA8B" w14:textId="77777777" w:rsidR="008E53B6" w:rsidRPr="00B422F8" w:rsidRDefault="008E53B6" w:rsidP="00A64380">
      <w:pPr>
        <w:autoSpaceDE w:val="0"/>
        <w:autoSpaceDN w:val="0"/>
        <w:adjustRightInd w:val="0"/>
        <w:spacing w:before="240" w:after="240" w:line="360" w:lineRule="auto"/>
        <w:ind w:right="-142"/>
        <w:jc w:val="both"/>
        <w:rPr>
          <w:rFonts w:ascii="Palatino Linotype" w:hAnsi="Palatino Linotype" w:cs="Arial"/>
        </w:rPr>
      </w:pPr>
      <w:r w:rsidRPr="00B422F8">
        <w:rPr>
          <w:rFonts w:ascii="Palatino Linotype" w:hAnsi="Palatino Linotype" w:cs="Arial"/>
        </w:rPr>
        <w:t>Tal y como señalaron los citados lineamientos, la documentación anexa se encuentra regulada por los Lineamientos de Control Financiero y Administrativo para las Entidades Fiscalizables Municipales del Estado de México, los cuales tiene</w:t>
      </w:r>
      <w:r>
        <w:rPr>
          <w:rFonts w:ascii="Palatino Linotype" w:hAnsi="Palatino Linotype" w:cs="Arial"/>
        </w:rPr>
        <w:t>n</w:t>
      </w:r>
      <w:r w:rsidRPr="00B422F8">
        <w:rPr>
          <w:rFonts w:ascii="Palatino Linotype" w:hAnsi="Palatino Linotype" w:cs="Arial"/>
        </w:rPr>
        <w:t xml:space="preserve"> como objetivo el establecer las normas en materia de control financiero y administrativo en la obtención, administración y aplicación de los recursos públicos para las entidades fiscalizables municipales.</w:t>
      </w:r>
    </w:p>
    <w:p w14:paraId="75D25A32" w14:textId="77777777" w:rsidR="008E53B6" w:rsidRPr="00B422F8" w:rsidRDefault="008E53B6" w:rsidP="00A64380">
      <w:pPr>
        <w:autoSpaceDE w:val="0"/>
        <w:autoSpaceDN w:val="0"/>
        <w:adjustRightInd w:val="0"/>
        <w:spacing w:before="240" w:after="240" w:line="360" w:lineRule="auto"/>
        <w:ind w:right="-142"/>
        <w:jc w:val="both"/>
        <w:rPr>
          <w:rFonts w:ascii="Palatino Linotype" w:hAnsi="Palatino Linotype" w:cs="Arial"/>
        </w:rPr>
      </w:pPr>
      <w:r w:rsidRPr="00B422F8">
        <w:rPr>
          <w:rFonts w:ascii="Palatino Linotype" w:hAnsi="Palatino Linotype" w:cs="Arial"/>
        </w:rPr>
        <w:t xml:space="preserve">Por lo cual, en su artículo décimo primero, se establece que los servidores públicos municipales, tendrán en el ámbito de su competencia, diversas obligaciones, siendo las del Tesorero, las de verificar que todas las pólizas de registro contable y </w:t>
      </w:r>
      <w:r w:rsidRPr="00B422F8">
        <w:rPr>
          <w:rFonts w:ascii="Palatino Linotype" w:hAnsi="Palatino Linotype" w:cs="Arial"/>
        </w:rPr>
        <w:lastRenderedPageBreak/>
        <w:t>presupuestal se encuentren firmadas por quién las elaboró, revisó y autorizó, las cuales deberán estar soportadas con la documentación original, justificativa, comprobatoria, suficiente, competente, pertinente y relevante, así como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además, deberá integrar a la póliza de egresos, fotocopia del cheque original, para su debido cotejo.</w:t>
      </w:r>
    </w:p>
    <w:p w14:paraId="21DB16BF" w14:textId="77777777" w:rsidR="008E53B6" w:rsidRPr="00B422F8" w:rsidRDefault="008E53B6" w:rsidP="00A64380">
      <w:pPr>
        <w:autoSpaceDE w:val="0"/>
        <w:autoSpaceDN w:val="0"/>
        <w:adjustRightInd w:val="0"/>
        <w:spacing w:before="240" w:after="240" w:line="360" w:lineRule="auto"/>
        <w:ind w:right="-142"/>
        <w:jc w:val="both"/>
        <w:rPr>
          <w:rFonts w:ascii="Palatino Linotype" w:hAnsi="Palatino Linotype" w:cs="Arial"/>
        </w:rPr>
      </w:pPr>
      <w:r w:rsidRPr="00B422F8">
        <w:rPr>
          <w:rFonts w:ascii="Palatino Linotype" w:hAnsi="Palatino Linotype" w:cs="Arial"/>
        </w:rPr>
        <w:t>Asimismo, deberá exigir que toda la documentación que soporta el ejercicio del gasto reúna los requisitos fiscales que establezcan las disposiciones fiscales federales, cuando hagan pagos a terceros y estén obligados a ello en términos de Ley; finalmente, deberá dar seguimiento de forma mensual a cada uno de sus saldos que se revelan en el "Estado de Situación Financiera", para mantener las cuentas con los saldos reales e integrados con base en lo dispuesto por el Manual Único de Contabilidad Gubernamental para las Dependencias y Entidades Públicas del Gobierno y Municipios del Estado de México.</w:t>
      </w:r>
    </w:p>
    <w:p w14:paraId="6D045B0D" w14:textId="77777777" w:rsidR="008E53B6" w:rsidRPr="00B422F8" w:rsidRDefault="008E53B6" w:rsidP="00A64380">
      <w:pPr>
        <w:autoSpaceDE w:val="0"/>
        <w:autoSpaceDN w:val="0"/>
        <w:adjustRightInd w:val="0"/>
        <w:spacing w:before="240" w:after="240" w:line="360" w:lineRule="auto"/>
        <w:ind w:right="-142"/>
        <w:jc w:val="both"/>
        <w:rPr>
          <w:rFonts w:ascii="Palatino Linotype" w:hAnsi="Palatino Linotype" w:cs="Arial"/>
        </w:rPr>
      </w:pPr>
      <w:r w:rsidRPr="00B422F8">
        <w:rPr>
          <w:rFonts w:ascii="Palatino Linotype" w:hAnsi="Palatino Linotype" w:cs="Arial"/>
        </w:rPr>
        <w:t>Finalmente, el Código Financiero del Estado de México y Municipios</w:t>
      </w:r>
      <w:r w:rsidRPr="00B422F8">
        <w:rPr>
          <w:rStyle w:val="Refdenotaalpie"/>
          <w:rFonts w:ascii="Palatino Linotype" w:hAnsi="Palatino Linotype" w:cs="Arial"/>
        </w:rPr>
        <w:footnoteReference w:id="8"/>
      </w:r>
      <w:r w:rsidRPr="00B422F8">
        <w:rPr>
          <w:rFonts w:ascii="Palatino Linotype" w:hAnsi="Palatino Linotype" w:cs="Arial"/>
        </w:rPr>
        <w:t xml:space="preserve"> establece que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por lo que todo </w:t>
      </w:r>
      <w:r w:rsidRPr="00B422F8">
        <w:rPr>
          <w:rFonts w:ascii="Palatino Linotype" w:hAnsi="Palatino Linotype" w:cs="Arial"/>
        </w:rPr>
        <w:lastRenderedPageBreak/>
        <w:t>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14:paraId="5B25EE5E" w14:textId="77777777" w:rsidR="008E53B6" w:rsidRPr="00B422F8" w:rsidRDefault="008E53B6" w:rsidP="00A64380">
      <w:pPr>
        <w:spacing w:before="240" w:after="240" w:line="360" w:lineRule="auto"/>
        <w:ind w:right="-142"/>
        <w:jc w:val="both"/>
        <w:rPr>
          <w:rFonts w:ascii="Palatino Linotype" w:hAnsi="Palatino Linotype" w:cs="Arial"/>
          <w:lang w:eastAsia="es-MX"/>
        </w:rPr>
      </w:pPr>
      <w:r>
        <w:rPr>
          <w:rFonts w:ascii="Palatino Linotype" w:hAnsi="Palatino Linotype" w:cs="Arial"/>
          <w:lang w:eastAsia="es-MX"/>
        </w:rPr>
        <w:t>Derivado de lo anterior</w:t>
      </w:r>
      <w:r w:rsidRPr="00B422F8">
        <w:rPr>
          <w:rFonts w:ascii="Palatino Linotype" w:hAnsi="Palatino Linotype" w:cs="Arial"/>
          <w:lang w:eastAsia="es-MX"/>
        </w:rPr>
        <w:t>,</w:t>
      </w:r>
      <w:r>
        <w:rPr>
          <w:rFonts w:ascii="Palatino Linotype" w:hAnsi="Palatino Linotype" w:cs="Arial"/>
          <w:lang w:eastAsia="es-MX"/>
        </w:rPr>
        <w:t xml:space="preserve"> se considera que</w:t>
      </w:r>
      <w:r w:rsidRPr="00B422F8">
        <w:rPr>
          <w:rFonts w:ascii="Palatino Linotype" w:hAnsi="Palatino Linotype" w:cs="Arial"/>
          <w:lang w:eastAsia="es-MX"/>
        </w:rPr>
        <w:t xml:space="preserv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593674AC" w14:textId="77777777" w:rsidR="008E53B6" w:rsidRPr="00A64380" w:rsidRDefault="008E53B6" w:rsidP="00A64380">
      <w:pPr>
        <w:spacing w:after="120"/>
        <w:ind w:left="851" w:right="51"/>
        <w:jc w:val="both"/>
        <w:rPr>
          <w:rFonts w:ascii="Palatino Linotype" w:hAnsi="Palatino Linotype" w:cs="Segoe UI"/>
          <w:i/>
          <w:iCs/>
          <w:sz w:val="20"/>
          <w:szCs w:val="20"/>
        </w:rPr>
      </w:pPr>
      <w:r w:rsidRPr="00A64380">
        <w:rPr>
          <w:rFonts w:ascii="Palatino Linotype" w:hAnsi="Palatino Linotype" w:cs="Segoe UI"/>
          <w:i/>
          <w:iCs/>
          <w:sz w:val="20"/>
          <w:szCs w:val="20"/>
        </w:rPr>
        <w:t>“</w:t>
      </w:r>
      <w:r w:rsidRPr="00A64380">
        <w:rPr>
          <w:rFonts w:ascii="Palatino Linotype" w:hAnsi="Palatino Linotype" w:cs="Segoe UI"/>
          <w:b/>
          <w:i/>
          <w:iCs/>
          <w:sz w:val="20"/>
          <w:szCs w:val="20"/>
        </w:rPr>
        <w:t>Artículo 18.</w:t>
      </w:r>
      <w:r w:rsidRPr="00A64380">
        <w:rPr>
          <w:rFonts w:ascii="Palatino Linotype" w:hAnsi="Palatino Linotype" w:cs="Segoe UI"/>
          <w:i/>
          <w:iCs/>
          <w:sz w:val="20"/>
          <w:szCs w:val="20"/>
        </w:rPr>
        <w:t xml:space="preserve"> Los sujetos obligados deberán documentar todo acto que derive del ejercicio de sus facultades, competencias o funciones, considerando desde su origen la eventual publicidad y reutilización de la información que generen”</w:t>
      </w:r>
    </w:p>
    <w:p w14:paraId="1926D33D" w14:textId="77777777" w:rsidR="008E53B6" w:rsidRPr="00B422F8" w:rsidRDefault="008E53B6" w:rsidP="00A64380">
      <w:pPr>
        <w:spacing w:before="240" w:after="240" w:line="360" w:lineRule="auto"/>
        <w:ind w:right="-142"/>
        <w:jc w:val="both"/>
        <w:rPr>
          <w:rFonts w:ascii="Palatino Linotype" w:hAnsi="Palatino Linotype" w:cs="Arial"/>
          <w:lang w:eastAsia="es-MX"/>
        </w:rPr>
      </w:pPr>
      <w:r w:rsidRPr="00B422F8">
        <w:rPr>
          <w:rFonts w:ascii="Palatino Linotype" w:hAnsi="Palatino Linotype" w:cs="Arial"/>
          <w:lang w:eastAsia="es-MX"/>
        </w:rPr>
        <w:t xml:space="preserve">Aunado a lo anterior, de conformidad con las obligaciones de transparencia común señaladas en el artículo 92, fracciones XXV y XXXV,  de la Ley de Transparencia y Acceso a la Información Pública del Estado de México y Municipios, que a la letra señala: </w:t>
      </w:r>
    </w:p>
    <w:p w14:paraId="01827C18" w14:textId="77777777" w:rsidR="008E53B6" w:rsidRPr="00A64380" w:rsidRDefault="008E53B6" w:rsidP="00A64380">
      <w:pPr>
        <w:spacing w:after="120"/>
        <w:ind w:left="851" w:right="902"/>
        <w:jc w:val="both"/>
        <w:rPr>
          <w:rFonts w:ascii="Palatino Linotype" w:hAnsi="Palatino Linotype" w:cs="Segoe UI"/>
          <w:i/>
          <w:iCs/>
          <w:sz w:val="20"/>
          <w:szCs w:val="20"/>
        </w:rPr>
      </w:pPr>
      <w:r w:rsidRPr="00A64380">
        <w:rPr>
          <w:rFonts w:ascii="Palatino Linotype" w:hAnsi="Palatino Linotype" w:cs="Segoe UI"/>
          <w:i/>
          <w:iCs/>
          <w:sz w:val="20"/>
          <w:szCs w:val="2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DF494A" w14:textId="4E1549F3" w:rsidR="008E53B6" w:rsidRPr="00A64380" w:rsidRDefault="00A64380" w:rsidP="00A64380">
      <w:pPr>
        <w:spacing w:after="120"/>
        <w:ind w:left="1134" w:right="902"/>
        <w:jc w:val="both"/>
        <w:rPr>
          <w:rFonts w:ascii="Palatino Linotype" w:hAnsi="Palatino Linotype" w:cs="Segoe UI"/>
          <w:i/>
          <w:iCs/>
          <w:sz w:val="20"/>
          <w:szCs w:val="20"/>
        </w:rPr>
      </w:pPr>
      <w:r>
        <w:rPr>
          <w:rFonts w:ascii="Palatino Linotype" w:hAnsi="Palatino Linotype" w:cs="Segoe UI"/>
          <w:i/>
          <w:iCs/>
          <w:sz w:val="20"/>
          <w:szCs w:val="20"/>
        </w:rPr>
        <w:t>(</w:t>
      </w:r>
      <w:r w:rsidR="008E53B6" w:rsidRPr="00A64380">
        <w:rPr>
          <w:rFonts w:ascii="Palatino Linotype" w:hAnsi="Palatino Linotype" w:cs="Segoe UI"/>
          <w:i/>
          <w:iCs/>
          <w:sz w:val="20"/>
          <w:szCs w:val="20"/>
        </w:rPr>
        <w:t>…</w:t>
      </w:r>
      <w:r>
        <w:rPr>
          <w:rFonts w:ascii="Palatino Linotype" w:hAnsi="Palatino Linotype" w:cs="Segoe UI"/>
          <w:i/>
          <w:iCs/>
          <w:sz w:val="20"/>
          <w:szCs w:val="20"/>
        </w:rPr>
        <w:t>)</w:t>
      </w:r>
    </w:p>
    <w:p w14:paraId="620B4192" w14:textId="77777777" w:rsidR="008E53B6" w:rsidRPr="00A64380" w:rsidRDefault="008E53B6" w:rsidP="00A64380">
      <w:pPr>
        <w:spacing w:after="120"/>
        <w:ind w:left="1134" w:right="902"/>
        <w:jc w:val="both"/>
        <w:rPr>
          <w:rFonts w:ascii="Palatino Linotype" w:hAnsi="Palatino Linotype" w:cs="Segoe UI"/>
          <w:i/>
          <w:iCs/>
          <w:sz w:val="20"/>
          <w:szCs w:val="20"/>
        </w:rPr>
      </w:pPr>
      <w:r w:rsidRPr="00A64380">
        <w:rPr>
          <w:rFonts w:ascii="Palatino Linotype" w:hAnsi="Palatino Linotype" w:cs="Segoe UI"/>
          <w:i/>
          <w:iCs/>
          <w:sz w:val="20"/>
          <w:szCs w:val="20"/>
        </w:rPr>
        <w:t xml:space="preserve">XXV. La </w:t>
      </w:r>
      <w:r w:rsidRPr="00A64380">
        <w:rPr>
          <w:rFonts w:ascii="Palatino Linotype" w:hAnsi="Palatino Linotype" w:cs="Segoe UI"/>
          <w:i/>
          <w:iCs/>
          <w:sz w:val="20"/>
          <w:szCs w:val="20"/>
          <w:u w:val="single"/>
        </w:rPr>
        <w:t>información financiera sobre el presupuesto asignado</w:t>
      </w:r>
      <w:r w:rsidRPr="00A64380">
        <w:rPr>
          <w:rFonts w:ascii="Palatino Linotype" w:hAnsi="Palatino Linotype" w:cs="Segoe UI"/>
          <w:i/>
          <w:iCs/>
          <w:sz w:val="20"/>
          <w:szCs w:val="20"/>
        </w:rPr>
        <w:t>, así como los informes del ejercicio trimestral del gasto, en términos de la Ley General de Contabilidad Gubernamental y demás disposiciones jurídicas aplicables;</w:t>
      </w:r>
    </w:p>
    <w:p w14:paraId="64DF7162" w14:textId="47F53DB8" w:rsidR="008E53B6" w:rsidRPr="00A64380" w:rsidRDefault="00A64380" w:rsidP="00A64380">
      <w:pPr>
        <w:spacing w:after="120"/>
        <w:ind w:left="1134" w:right="902"/>
        <w:jc w:val="both"/>
        <w:rPr>
          <w:rFonts w:ascii="Palatino Linotype" w:hAnsi="Palatino Linotype" w:cs="Segoe UI"/>
          <w:i/>
          <w:iCs/>
          <w:sz w:val="20"/>
          <w:szCs w:val="20"/>
        </w:rPr>
      </w:pPr>
      <w:r>
        <w:rPr>
          <w:rFonts w:ascii="Palatino Linotype" w:hAnsi="Palatino Linotype" w:cs="Segoe UI"/>
          <w:i/>
          <w:iCs/>
          <w:sz w:val="20"/>
          <w:szCs w:val="20"/>
        </w:rPr>
        <w:lastRenderedPageBreak/>
        <w:t>(</w:t>
      </w:r>
      <w:r w:rsidR="008E53B6" w:rsidRPr="00A64380">
        <w:rPr>
          <w:rFonts w:ascii="Palatino Linotype" w:hAnsi="Palatino Linotype" w:cs="Segoe UI"/>
          <w:i/>
          <w:iCs/>
          <w:sz w:val="20"/>
          <w:szCs w:val="20"/>
        </w:rPr>
        <w:t>…</w:t>
      </w:r>
      <w:r>
        <w:rPr>
          <w:rFonts w:ascii="Palatino Linotype" w:hAnsi="Palatino Linotype" w:cs="Segoe UI"/>
          <w:i/>
          <w:iCs/>
          <w:sz w:val="20"/>
          <w:szCs w:val="20"/>
        </w:rPr>
        <w:t>)</w:t>
      </w:r>
    </w:p>
    <w:p w14:paraId="08B500A6" w14:textId="264D8C52" w:rsidR="008E53B6" w:rsidRPr="00A64380" w:rsidRDefault="008E53B6" w:rsidP="00A64380">
      <w:pPr>
        <w:spacing w:after="120"/>
        <w:ind w:left="1134" w:right="902"/>
        <w:jc w:val="both"/>
        <w:rPr>
          <w:rFonts w:ascii="Palatino Linotype" w:hAnsi="Palatino Linotype" w:cs="Segoe UI"/>
          <w:i/>
          <w:iCs/>
          <w:sz w:val="20"/>
          <w:szCs w:val="20"/>
        </w:rPr>
      </w:pPr>
      <w:r w:rsidRPr="00A64380">
        <w:rPr>
          <w:rFonts w:ascii="Palatino Linotype" w:hAnsi="Palatino Linotype" w:cs="Segoe UI"/>
          <w:i/>
          <w:iCs/>
          <w:sz w:val="20"/>
          <w:szCs w:val="20"/>
        </w:rPr>
        <w:t xml:space="preserve">XXXV. </w:t>
      </w:r>
      <w:r w:rsidRPr="00A64380">
        <w:rPr>
          <w:rFonts w:ascii="Palatino Linotype" w:hAnsi="Palatino Linotype" w:cs="Segoe UI"/>
          <w:i/>
          <w:iCs/>
          <w:sz w:val="20"/>
          <w:szCs w:val="20"/>
          <w:u w:val="single"/>
        </w:rPr>
        <w:t>Informes de avances</w:t>
      </w:r>
      <w:r w:rsidRPr="00A64380">
        <w:rPr>
          <w:rFonts w:ascii="Palatino Linotype" w:hAnsi="Palatino Linotype" w:cs="Segoe UI"/>
          <w:i/>
          <w:iCs/>
          <w:sz w:val="20"/>
          <w:szCs w:val="20"/>
        </w:rPr>
        <w:t xml:space="preserve"> programáticos o </w:t>
      </w:r>
      <w:r w:rsidRPr="00A64380">
        <w:rPr>
          <w:rFonts w:ascii="Palatino Linotype" w:hAnsi="Palatino Linotype" w:cs="Segoe UI"/>
          <w:i/>
          <w:iCs/>
          <w:sz w:val="20"/>
          <w:szCs w:val="20"/>
          <w:u w:val="single"/>
        </w:rPr>
        <w:t>presupuestales</w:t>
      </w:r>
      <w:r w:rsidRPr="00A64380">
        <w:rPr>
          <w:rFonts w:ascii="Palatino Linotype" w:hAnsi="Palatino Linotype" w:cs="Segoe UI"/>
          <w:i/>
          <w:iCs/>
          <w:sz w:val="20"/>
          <w:szCs w:val="20"/>
        </w:rPr>
        <w:t>, balances generales y estado financiero;…”</w:t>
      </w:r>
    </w:p>
    <w:p w14:paraId="053894E1" w14:textId="77777777" w:rsidR="008E53B6" w:rsidRDefault="008E53B6" w:rsidP="008E53B6">
      <w:pPr>
        <w:autoSpaceDE w:val="0"/>
        <w:autoSpaceDN w:val="0"/>
        <w:adjustRightInd w:val="0"/>
        <w:spacing w:before="240" w:after="240" w:line="360" w:lineRule="auto"/>
        <w:ind w:right="-141"/>
        <w:jc w:val="both"/>
        <w:rPr>
          <w:rFonts w:ascii="Palatino Linotype" w:hAnsi="Palatino Linotype" w:cs="Arial"/>
        </w:rPr>
      </w:pPr>
      <w:r w:rsidRPr="00B422F8">
        <w:rPr>
          <w:rFonts w:ascii="Palatino Linotype" w:hAnsi="Palatino Linotype" w:cs="Arial"/>
        </w:rPr>
        <w:t xml:space="preserve">Por lo tanto, existe una clara atribución del </w:t>
      </w:r>
      <w:r w:rsidRPr="00A64380">
        <w:rPr>
          <w:rFonts w:ascii="Palatino Linotype" w:hAnsi="Palatino Linotype" w:cs="Arial"/>
          <w:b/>
        </w:rPr>
        <w:t>Sujeto Obligado</w:t>
      </w:r>
      <w:r w:rsidRPr="00B422F8">
        <w:rPr>
          <w:rFonts w:ascii="Palatino Linotype" w:hAnsi="Palatino Linotype" w:cs="Arial"/>
        </w:rPr>
        <w:t xml:space="preserve"> de remitir la informaci</w:t>
      </w:r>
      <w:r>
        <w:rPr>
          <w:rFonts w:ascii="Palatino Linotype" w:hAnsi="Palatino Linotype" w:cs="Arial"/>
        </w:rPr>
        <w:t xml:space="preserve">ón mensual al ente fiscalizador y por ende hacer entrega del soporte documental de donde se puedan desprender los requerimientos del particular en torno a las partidas presupuestales y montos </w:t>
      </w:r>
      <w:r w:rsidRPr="0020460D">
        <w:rPr>
          <w:rFonts w:ascii="Palatino Linotype" w:hAnsi="Palatino Linotype" w:cs="Arial"/>
        </w:rPr>
        <w:t>erogados para el mantenimiento del sistema de alumbrado público y para el pago de las facturas por concepto de consumo de energía eléctrica del uno de enero de dos mil trece al trece de noviembre de dos mil dieciocho.</w:t>
      </w:r>
    </w:p>
    <w:p w14:paraId="726931AA" w14:textId="6FCA90B9" w:rsidR="007B57F5" w:rsidRDefault="007B57F5" w:rsidP="007B57F5">
      <w:pPr>
        <w:spacing w:before="240" w:after="240" w:line="360" w:lineRule="auto"/>
        <w:ind w:right="51"/>
        <w:jc w:val="both"/>
        <w:rPr>
          <w:rFonts w:ascii="Palatino Linotype" w:hAnsi="Palatino Linotype"/>
          <w:i/>
        </w:rPr>
      </w:pPr>
      <w:r w:rsidRPr="00E70B5C">
        <w:rPr>
          <w:rFonts w:ascii="Palatino Linotype" w:hAnsi="Palatino Linotype"/>
        </w:rPr>
        <w:t>Por otro lado, para</w:t>
      </w:r>
      <w:r w:rsidRPr="007B57F5">
        <w:rPr>
          <w:rFonts w:ascii="Palatino Linotype" w:hAnsi="Palatino Linotype"/>
        </w:rPr>
        <w:t xml:space="preserve"> atender lo concerniente al </w:t>
      </w:r>
      <w:r w:rsidRPr="007B57F5">
        <w:rPr>
          <w:rFonts w:ascii="Palatino Linotype" w:hAnsi="Palatino Linotype"/>
          <w:b/>
        </w:rPr>
        <w:t>Grupo 2</w:t>
      </w:r>
      <w:r w:rsidRPr="007B57F5">
        <w:rPr>
          <w:rFonts w:ascii="Palatino Linotype" w:hAnsi="Palatino Linotype"/>
        </w:rPr>
        <w:t xml:space="preserve">, conviene recordar que el particular solicitó la </w:t>
      </w:r>
      <w:r w:rsidRPr="007B57F5">
        <w:rPr>
          <w:rFonts w:ascii="Palatino Linotype" w:hAnsi="Palatino Linotype"/>
          <w:i/>
        </w:rPr>
        <w:t>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14:paraId="6CF257C0" w14:textId="77777777" w:rsidR="00AF3966" w:rsidRDefault="007B57F5" w:rsidP="00DA613F">
      <w:pPr>
        <w:spacing w:before="240" w:after="240" w:line="360" w:lineRule="auto"/>
        <w:ind w:right="49"/>
        <w:jc w:val="both"/>
        <w:rPr>
          <w:rFonts w:ascii="Palatino Linotype" w:hAnsi="Palatino Linotype"/>
        </w:rPr>
      </w:pPr>
      <w:r>
        <w:rPr>
          <w:rFonts w:ascii="Palatino Linotype" w:hAnsi="Palatino Linotype"/>
        </w:rPr>
        <w:t xml:space="preserve">Al respecto, como ya fue señalado </w:t>
      </w:r>
      <w:r w:rsidR="00DA613F">
        <w:rPr>
          <w:rFonts w:ascii="Palatino Linotype" w:hAnsi="Palatino Linotype"/>
        </w:rPr>
        <w:t>en párrafos que preceden</w:t>
      </w:r>
      <w:r>
        <w:rPr>
          <w:rFonts w:ascii="Palatino Linotype" w:hAnsi="Palatino Linotype"/>
        </w:rPr>
        <w:t xml:space="preserve">, </w:t>
      </w:r>
      <w:r w:rsidR="00DA613F">
        <w:rPr>
          <w:rFonts w:ascii="Palatino Linotype" w:hAnsi="Palatino Linotype"/>
        </w:rPr>
        <w:t>el Ayuntamiento de Tenango del Aire, es responsable de prestar el servicio de alumbrado público en vialidades, plazas, monumentos, jardines y parques p</w:t>
      </w:r>
      <w:r w:rsidR="00C324F3">
        <w:rPr>
          <w:rFonts w:ascii="Palatino Linotype" w:hAnsi="Palatino Linotype"/>
        </w:rPr>
        <w:t xml:space="preserve">úblicos, </w:t>
      </w:r>
      <w:r w:rsidR="00AF3966">
        <w:rPr>
          <w:rFonts w:ascii="Palatino Linotype" w:hAnsi="Palatino Linotype"/>
        </w:rPr>
        <w:t>en consecuencia tiene el deber de registrar los gastos erogados por dicho servicio.</w:t>
      </w:r>
    </w:p>
    <w:p w14:paraId="15756C35" w14:textId="1646386C" w:rsidR="00AF3966" w:rsidRDefault="00AF3966" w:rsidP="00AF3966">
      <w:pPr>
        <w:spacing w:before="240" w:after="240" w:line="360" w:lineRule="auto"/>
        <w:jc w:val="both"/>
        <w:rPr>
          <w:rFonts w:ascii="Palatino Linotype" w:hAnsi="Palatino Linotype"/>
          <w:color w:val="000000"/>
        </w:rPr>
      </w:pPr>
      <w:r>
        <w:rPr>
          <w:rFonts w:ascii="Palatino Linotype" w:hAnsi="Palatino Linotype"/>
        </w:rPr>
        <w:t>Por lo que resulta, hacer alusión a grandes rasgos</w:t>
      </w:r>
      <w:r w:rsidR="00DF58D0">
        <w:rPr>
          <w:rFonts w:ascii="Palatino Linotype" w:hAnsi="Palatino Linotype"/>
        </w:rPr>
        <w:t xml:space="preserve"> al</w:t>
      </w:r>
      <w:r>
        <w:rPr>
          <w:rFonts w:ascii="Palatino Linotype" w:hAnsi="Palatino Linotype"/>
        </w:rPr>
        <w:t xml:space="preserve"> Manual </w:t>
      </w:r>
      <w:r>
        <w:rPr>
          <w:rFonts w:ascii="Palatino Linotype" w:hAnsi="Palatino Linotype"/>
          <w:color w:val="000000"/>
        </w:rPr>
        <w:t xml:space="preserve">Único de Contabilidad Gubernamental para las Dependencias y Entidades Públicas del Gobierno y Municipios del Estado de México, </w:t>
      </w:r>
      <w:r w:rsidR="00DF58D0">
        <w:rPr>
          <w:rFonts w:ascii="Palatino Linotype" w:hAnsi="Palatino Linotype"/>
          <w:color w:val="000000"/>
        </w:rPr>
        <w:t>por</w:t>
      </w:r>
      <w:r>
        <w:rPr>
          <w:rFonts w:ascii="Palatino Linotype" w:hAnsi="Palatino Linotype"/>
          <w:color w:val="000000"/>
        </w:rPr>
        <w:t xml:space="preserve"> proporciona los elementos necesarios para que los entes públicos contabilicen sus operaciones al establecer criterios en materia </w:t>
      </w:r>
      <w:r>
        <w:rPr>
          <w:rFonts w:ascii="Palatino Linotype" w:hAnsi="Palatino Linotype"/>
          <w:color w:val="000000"/>
        </w:rPr>
        <w:lastRenderedPageBreak/>
        <w:t>de contabilidad, mediante un conjunto de conceptos homogéneos que facilitan distinguir y formar agrupaciones generales para detallar los distintos conceptos de cargo y abono por los que cada cuenta deberá ser afectada, indicando el número respectivo, su denominación, clasificación y naturaleza, así como la representatividad de su saldo, y para ello establece un lista de cuentas autorizadas, entre las que se encuentra los conceptos siguientes:</w:t>
      </w:r>
    </w:p>
    <w:p w14:paraId="392330A7" w14:textId="673B3FF4" w:rsidR="00AF3966" w:rsidRDefault="009E4CAE" w:rsidP="00AF3966">
      <w:pPr>
        <w:spacing w:before="240" w:after="240" w:line="360" w:lineRule="auto"/>
        <w:jc w:val="both"/>
        <w:rPr>
          <w:rFonts w:ascii="Palatino Linotype" w:hAnsi="Palatino Linotype"/>
          <w:color w:val="000000"/>
        </w:rPr>
      </w:pPr>
      <w:r w:rsidRPr="009E4CAE">
        <w:rPr>
          <w:rFonts w:ascii="Palatino Linotype" w:hAnsi="Palatino Linotype"/>
          <w:noProof/>
          <w:color w:val="000000"/>
          <w:lang w:val="es-MX" w:eastAsia="es-MX"/>
        </w:rPr>
        <w:drawing>
          <wp:inline distT="0" distB="0" distL="0" distR="0" wp14:anchorId="0F267BEC" wp14:editId="173DD24F">
            <wp:extent cx="5612130" cy="8572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857250"/>
                    </a:xfrm>
                    <a:prstGeom prst="rect">
                      <a:avLst/>
                    </a:prstGeom>
                  </pic:spPr>
                </pic:pic>
              </a:graphicData>
            </a:graphic>
          </wp:inline>
        </w:drawing>
      </w:r>
      <w:r w:rsidRPr="009E4CAE">
        <w:rPr>
          <w:rFonts w:ascii="Palatino Linotype" w:hAnsi="Palatino Linotype"/>
          <w:color w:val="000000"/>
        </w:rPr>
        <w:t xml:space="preserve"> </w:t>
      </w:r>
    </w:p>
    <w:p w14:paraId="7EF78F3B" w14:textId="18575833" w:rsidR="006062AA" w:rsidRDefault="006062AA" w:rsidP="006062AA">
      <w:pPr>
        <w:spacing w:before="240" w:after="360" w:line="360" w:lineRule="auto"/>
        <w:jc w:val="both"/>
        <w:rPr>
          <w:rFonts w:ascii="Palatino Linotype" w:hAnsi="Palatino Linotype" w:cs="Arial"/>
          <w:bCs/>
          <w:color w:val="000000"/>
        </w:rPr>
      </w:pPr>
      <w:r>
        <w:rPr>
          <w:rFonts w:ascii="Palatino Linotype" w:hAnsi="Palatino Linotype"/>
        </w:rPr>
        <w:t xml:space="preserve">Ahora bien, en términos del artículo 93 de la multicitada Ley Orgánica, es la Tesorería Municipal el órgano encargado de la recaudación de los ingresos municipales y responsable de realizar las erogaciones que haga el Ayuntamiento, por tanto, le compete a éste, </w:t>
      </w:r>
      <w:r>
        <w:rPr>
          <w:rFonts w:ascii="Palatino Linotype" w:hAnsi="Palatino Linotype" w:cs="Arial"/>
          <w:bCs/>
          <w:color w:val="000000"/>
        </w:rPr>
        <w:t>rendir anualmente los informes de resultados y la situación fiscal del ejercicio fiscal inmediato anterior de la cuenta pública, en cuyo contenido debe encontrarse inmersa la información económica, patrimonial, administrativa, presupuestal, programática, cualitativa y cuantitativa que muestra los resultados de la ejecución de la Ley de Ingresos y Presupuestos de Egresos.</w:t>
      </w:r>
    </w:p>
    <w:p w14:paraId="7A3ECFE1" w14:textId="3AFBBD8A" w:rsidR="006062AA" w:rsidRDefault="006062AA" w:rsidP="006062AA">
      <w:pPr>
        <w:autoSpaceDE w:val="0"/>
        <w:autoSpaceDN w:val="0"/>
        <w:adjustRightInd w:val="0"/>
        <w:spacing w:before="240" w:after="240" w:line="360" w:lineRule="auto"/>
        <w:jc w:val="both"/>
        <w:rPr>
          <w:rFonts w:ascii="Palatino Linotype" w:hAnsi="Palatino Linotype" w:cs="Arial"/>
          <w:bCs/>
          <w:color w:val="000000"/>
        </w:rPr>
      </w:pPr>
      <w:r>
        <w:rPr>
          <w:rFonts w:ascii="Palatino Linotype" w:hAnsi="Palatino Linotype" w:cs="Arial"/>
          <w:bCs/>
          <w:color w:val="000000"/>
        </w:rPr>
        <w:t xml:space="preserve">Dentro de esta perspectiva, los informes deben </w:t>
      </w:r>
      <w:r>
        <w:rPr>
          <w:rFonts w:ascii="Palatino Linotype" w:hAnsi="Palatino Linotype" w:cs="Arial"/>
        </w:rPr>
        <w:t xml:space="preserve">rendirse al Órgano Superior de Fiscalización del Estado de México, </w:t>
      </w:r>
      <w:r>
        <w:rPr>
          <w:rFonts w:ascii="Palatino Linotype" w:hAnsi="Palatino Linotype" w:cs="Arial"/>
          <w:color w:val="222222"/>
        </w:rPr>
        <w:t xml:space="preserve">para su análisis y evaluación, </w:t>
      </w:r>
      <w:r>
        <w:rPr>
          <w:rFonts w:ascii="Palatino Linotype" w:hAnsi="Palatino Linotype" w:cs="Arial"/>
        </w:rPr>
        <w:t xml:space="preserve">según lo prescrito en el </w:t>
      </w:r>
      <w:r w:rsidRPr="00067AE2">
        <w:rPr>
          <w:rFonts w:ascii="Palatino Linotype" w:eastAsia="Arial Unicode MS" w:hAnsi="Palatino Linotype" w:cs="Arial"/>
        </w:rPr>
        <w:t xml:space="preserve">artículo </w:t>
      </w:r>
      <w:r>
        <w:rPr>
          <w:rFonts w:ascii="Palatino Linotype" w:hAnsi="Palatino Linotype" w:cs="Arial"/>
          <w:color w:val="222222"/>
        </w:rPr>
        <w:t xml:space="preserve">350 del Código Financiero del Estado de México y Municipios, acatando lo dispuesto en los Lineamientos para la elaboración de la Cuenta Pública </w:t>
      </w:r>
      <w:r>
        <w:rPr>
          <w:rFonts w:ascii="Palatino Linotype" w:hAnsi="Palatino Linotype" w:cs="Arial"/>
          <w:color w:val="222222"/>
        </w:rPr>
        <w:lastRenderedPageBreak/>
        <w:t xml:space="preserve">Municipal, que entre otras cosas regulan lo relativo a la </w:t>
      </w:r>
      <w:r>
        <w:rPr>
          <w:rFonts w:ascii="Palatino Linotype" w:hAnsi="Palatino Linotype" w:cs="Arial"/>
          <w:b/>
          <w:bCs/>
          <w:color w:val="000000"/>
        </w:rPr>
        <w:t>Deuda Pública</w:t>
      </w:r>
      <w:r>
        <w:rPr>
          <w:rFonts w:ascii="Palatino Linotype" w:hAnsi="Palatino Linotype" w:cs="Arial"/>
          <w:bCs/>
          <w:color w:val="000000"/>
        </w:rPr>
        <w:t>, según las siguientes capturas de pantalla:</w:t>
      </w:r>
    </w:p>
    <w:p w14:paraId="16B8E582" w14:textId="3B870D01" w:rsidR="006062AA" w:rsidRDefault="006062AA" w:rsidP="006062AA">
      <w:pPr>
        <w:autoSpaceDE w:val="0"/>
        <w:autoSpaceDN w:val="0"/>
        <w:adjustRightInd w:val="0"/>
        <w:spacing w:before="240" w:after="240" w:line="360" w:lineRule="auto"/>
        <w:jc w:val="both"/>
        <w:rPr>
          <w:rFonts w:ascii="Palatino Linotype" w:hAnsi="Palatino Linotype" w:cs="Arial"/>
          <w:bCs/>
          <w:color w:val="000000"/>
        </w:rPr>
      </w:pPr>
      <w:r w:rsidRPr="006062AA">
        <w:rPr>
          <w:rFonts w:ascii="Palatino Linotype" w:hAnsi="Palatino Linotype" w:cs="Arial"/>
          <w:bCs/>
          <w:noProof/>
          <w:color w:val="000000"/>
          <w:lang w:val="es-MX" w:eastAsia="es-MX"/>
        </w:rPr>
        <w:drawing>
          <wp:inline distT="0" distB="0" distL="0" distR="0" wp14:anchorId="470AB8FA" wp14:editId="1851F6D3">
            <wp:extent cx="5612130" cy="15240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524000"/>
                    </a:xfrm>
                    <a:prstGeom prst="rect">
                      <a:avLst/>
                    </a:prstGeom>
                  </pic:spPr>
                </pic:pic>
              </a:graphicData>
            </a:graphic>
          </wp:inline>
        </w:drawing>
      </w:r>
    </w:p>
    <w:p w14:paraId="34577E3B" w14:textId="77777777" w:rsidR="006062AA" w:rsidRDefault="006062AA" w:rsidP="006062AA">
      <w:pPr>
        <w:autoSpaceDE w:val="0"/>
        <w:autoSpaceDN w:val="0"/>
        <w:adjustRightInd w:val="0"/>
        <w:spacing w:before="240" w:after="240" w:line="360" w:lineRule="auto"/>
        <w:jc w:val="both"/>
        <w:rPr>
          <w:rFonts w:ascii="Palatino Linotype" w:hAnsi="Palatino Linotype" w:cs="Arial"/>
          <w:bCs/>
          <w:color w:val="000000"/>
        </w:rPr>
      </w:pPr>
      <w:r w:rsidRPr="007D1AB2">
        <w:rPr>
          <w:rFonts w:ascii="Palatino Linotype" w:hAnsi="Palatino Linotype" w:cs="Arial"/>
          <w:bCs/>
          <w:noProof/>
          <w:color w:val="000000"/>
          <w:lang w:val="es-MX" w:eastAsia="es-MX"/>
        </w:rPr>
        <w:drawing>
          <wp:inline distT="0" distB="0" distL="0" distR="0" wp14:anchorId="025EFD3F" wp14:editId="782367F5">
            <wp:extent cx="5612130" cy="49244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4924425"/>
                    </a:xfrm>
                    <a:prstGeom prst="rect">
                      <a:avLst/>
                    </a:prstGeom>
                  </pic:spPr>
                </pic:pic>
              </a:graphicData>
            </a:graphic>
          </wp:inline>
        </w:drawing>
      </w:r>
    </w:p>
    <w:p w14:paraId="1B9273E7" w14:textId="77777777" w:rsidR="006062AA" w:rsidRDefault="006062AA" w:rsidP="006062AA">
      <w:pPr>
        <w:autoSpaceDE w:val="0"/>
        <w:autoSpaceDN w:val="0"/>
        <w:adjustRightInd w:val="0"/>
        <w:spacing w:before="240" w:after="240" w:line="360" w:lineRule="auto"/>
        <w:jc w:val="both"/>
        <w:rPr>
          <w:rFonts w:ascii="Palatino Linotype" w:hAnsi="Palatino Linotype" w:cs="Arial"/>
          <w:bCs/>
          <w:color w:val="000000"/>
        </w:rPr>
      </w:pPr>
      <w:r w:rsidRPr="007D1AB2">
        <w:rPr>
          <w:rFonts w:ascii="Palatino Linotype" w:hAnsi="Palatino Linotype" w:cs="Arial"/>
          <w:bCs/>
          <w:noProof/>
          <w:color w:val="000000"/>
          <w:lang w:val="es-MX" w:eastAsia="es-MX"/>
        </w:rPr>
        <w:lastRenderedPageBreak/>
        <w:drawing>
          <wp:inline distT="0" distB="0" distL="0" distR="0" wp14:anchorId="7AC1C721" wp14:editId="7701419C">
            <wp:extent cx="5612130" cy="6334760"/>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6334760"/>
                    </a:xfrm>
                    <a:prstGeom prst="rect">
                      <a:avLst/>
                    </a:prstGeom>
                  </pic:spPr>
                </pic:pic>
              </a:graphicData>
            </a:graphic>
          </wp:inline>
        </w:drawing>
      </w:r>
    </w:p>
    <w:p w14:paraId="5C752FEB" w14:textId="1DDBE85F" w:rsidR="006062AA" w:rsidRDefault="006062AA" w:rsidP="006062AA">
      <w:pPr>
        <w:autoSpaceDE w:val="0"/>
        <w:autoSpaceDN w:val="0"/>
        <w:adjustRightInd w:val="0"/>
        <w:spacing w:before="240" w:after="240" w:line="360" w:lineRule="auto"/>
        <w:jc w:val="both"/>
        <w:rPr>
          <w:rFonts w:ascii="Palatino Linotype" w:eastAsiaTheme="minorEastAsia" w:hAnsi="Palatino Linotype" w:cs="Arial"/>
          <w:szCs w:val="22"/>
          <w:lang w:val="es-MX"/>
        </w:rPr>
      </w:pPr>
      <w:r>
        <w:rPr>
          <w:rFonts w:ascii="Palatino Linotype" w:hAnsi="Palatino Linotype" w:cs="Arial"/>
          <w:bCs/>
          <w:color w:val="000000"/>
        </w:rPr>
        <w:t xml:space="preserve">Derivado de lo anterior, es posible afirmar que el </w:t>
      </w:r>
      <w:r>
        <w:rPr>
          <w:rFonts w:ascii="Palatino Linotype" w:hAnsi="Palatino Linotype" w:cs="Arial"/>
          <w:b/>
          <w:bCs/>
          <w:color w:val="000000"/>
        </w:rPr>
        <w:t xml:space="preserve">Sujeto Obligado </w:t>
      </w:r>
      <w:r>
        <w:rPr>
          <w:rFonts w:ascii="Palatino Linotype" w:hAnsi="Palatino Linotype" w:cs="Arial"/>
          <w:bCs/>
          <w:color w:val="000000"/>
        </w:rPr>
        <w:t xml:space="preserve">genera el Estado Analítico de la Deuda y otros Pasivos, que concentra las obligaciones insolutas de los entes públicos al inicio y fin de cada periodo derivadas de endeudamiento </w:t>
      </w:r>
      <w:r>
        <w:rPr>
          <w:rFonts w:ascii="Palatino Linotype" w:hAnsi="Palatino Linotype" w:cs="Arial"/>
          <w:bCs/>
          <w:color w:val="000000"/>
        </w:rPr>
        <w:lastRenderedPageBreak/>
        <w:t xml:space="preserve">interno y externo, </w:t>
      </w:r>
      <w:r w:rsidR="00403F7A">
        <w:rPr>
          <w:rFonts w:ascii="Palatino Linotype" w:hAnsi="Palatino Linotype" w:cs="Arial"/>
          <w:bCs/>
          <w:color w:val="000000"/>
        </w:rPr>
        <w:t>sin embargo, no pasa de la óptica del que resuelve, que el particular solicitó la “situación actual”, por lo que cabe hacer alusión al artículo 50 de la Ley de Fiscalización Superior del Estado de México</w:t>
      </w:r>
      <w:r w:rsidR="00102498">
        <w:rPr>
          <w:rFonts w:ascii="Palatino Linotype" w:hAnsi="Palatino Linotype" w:cs="Arial"/>
          <w:bCs/>
          <w:color w:val="000000"/>
        </w:rPr>
        <w:t xml:space="preserve">, que en su texto establece que, </w:t>
      </w:r>
      <w:r w:rsidR="00102498" w:rsidRPr="007509C1">
        <w:rPr>
          <w:rFonts w:ascii="Palatino Linotype" w:eastAsiaTheme="minorEastAsia" w:hAnsi="Palatino Linotype" w:cs="Arial"/>
          <w:szCs w:val="22"/>
          <w:lang w:val="es-MX"/>
        </w:rPr>
        <w:t xml:space="preserve">la información de </w:t>
      </w:r>
      <w:r w:rsidR="00102498">
        <w:rPr>
          <w:rFonts w:ascii="Palatino Linotype" w:eastAsiaTheme="minorEastAsia" w:hAnsi="Palatino Linotype" w:cs="Arial"/>
          <w:szCs w:val="22"/>
          <w:lang w:val="es-MX"/>
        </w:rPr>
        <w:t xml:space="preserve">la </w:t>
      </w:r>
      <w:r w:rsidR="00102498" w:rsidRPr="007509C1">
        <w:rPr>
          <w:rFonts w:ascii="Palatino Linotype" w:eastAsiaTheme="minorEastAsia" w:hAnsi="Palatino Linotype" w:cs="Arial"/>
          <w:szCs w:val="22"/>
          <w:lang w:val="es-MX"/>
        </w:rPr>
        <w:t>cuenta pública remitida al OSFEM tiene el carácter de pública</w:t>
      </w:r>
      <w:r w:rsidR="00102498">
        <w:rPr>
          <w:rFonts w:ascii="Palatino Linotype" w:eastAsiaTheme="minorEastAsia" w:hAnsi="Palatino Linotype" w:cs="Arial"/>
          <w:szCs w:val="22"/>
          <w:lang w:val="es-MX"/>
        </w:rPr>
        <w:t>,</w:t>
      </w:r>
      <w:r w:rsidR="00102498" w:rsidRPr="007509C1">
        <w:rPr>
          <w:rFonts w:ascii="Palatino Linotype" w:eastAsiaTheme="minorEastAsia" w:hAnsi="Palatino Linotype" w:cs="Arial"/>
          <w:szCs w:val="22"/>
          <w:lang w:val="es-MX"/>
        </w:rPr>
        <w:t xml:space="preserve"> hasta en tanto dicho Órgano Superior emita su respectivo Informe de Resultados, esto es, hasta el treinta de septiembre del año inmediato posterior.</w:t>
      </w:r>
    </w:p>
    <w:p w14:paraId="7EBECCA9" w14:textId="2CA8217A" w:rsidR="00102498" w:rsidRPr="00102498" w:rsidRDefault="00102498" w:rsidP="00102498">
      <w:pPr>
        <w:autoSpaceDE w:val="0"/>
        <w:autoSpaceDN w:val="0"/>
        <w:adjustRightInd w:val="0"/>
        <w:spacing w:before="240" w:after="240" w:line="360" w:lineRule="auto"/>
        <w:jc w:val="both"/>
        <w:rPr>
          <w:rFonts w:ascii="Palatino Linotype" w:hAnsi="Palatino Linotype" w:cs="Arial"/>
          <w:bCs/>
          <w:color w:val="000000"/>
        </w:rPr>
      </w:pPr>
      <w:r>
        <w:rPr>
          <w:rFonts w:ascii="Palatino Linotype" w:hAnsi="Palatino Linotype" w:cs="Arial"/>
          <w:bCs/>
          <w:color w:val="000000"/>
        </w:rPr>
        <w:t xml:space="preserve">Bajo dicho contexto, no se soslaya que la cuenta pública del ejercicio fiscal 2018 aún no se entregaba a la fecha de la solicitud de información, sin embargo puede obrar en los archivos del </w:t>
      </w:r>
      <w:r>
        <w:rPr>
          <w:rFonts w:ascii="Palatino Linotype" w:hAnsi="Palatino Linotype" w:cs="Arial"/>
          <w:b/>
          <w:bCs/>
          <w:color w:val="000000"/>
        </w:rPr>
        <w:t xml:space="preserve">Sujeto Obligado </w:t>
      </w:r>
      <w:r>
        <w:rPr>
          <w:rFonts w:ascii="Palatino Linotype" w:hAnsi="Palatino Linotype" w:cs="Arial"/>
          <w:bCs/>
          <w:color w:val="000000"/>
        </w:rPr>
        <w:t xml:space="preserve">documentos que den cuenta del adeudo solicitado por concepto de </w:t>
      </w:r>
      <w:r w:rsidRPr="007509C1">
        <w:rPr>
          <w:rFonts w:ascii="Palatino Linotype" w:eastAsiaTheme="minorEastAsia" w:hAnsi="Palatino Linotype" w:cs="Arial"/>
          <w:szCs w:val="22"/>
          <w:lang w:val="es-MX"/>
        </w:rPr>
        <w:t>alumbrado público</w:t>
      </w:r>
      <w:r>
        <w:rPr>
          <w:rFonts w:ascii="Palatino Linotype" w:eastAsiaTheme="minorEastAsia" w:hAnsi="Palatino Linotype" w:cs="Arial"/>
          <w:szCs w:val="22"/>
          <w:lang w:val="es-MX"/>
        </w:rPr>
        <w:t>,</w:t>
      </w:r>
      <w:r w:rsidRPr="007509C1">
        <w:rPr>
          <w:rFonts w:ascii="Palatino Linotype" w:eastAsiaTheme="minorEastAsia" w:hAnsi="Palatino Linotype" w:cs="Arial"/>
          <w:szCs w:val="22"/>
          <w:lang w:val="es-MX"/>
        </w:rPr>
        <w:t xml:space="preserve"> que sirva de sustento para la elaboración d</w:t>
      </w:r>
      <w:r>
        <w:rPr>
          <w:rFonts w:ascii="Palatino Linotype" w:eastAsiaTheme="minorEastAsia" w:hAnsi="Palatino Linotype" w:cs="Arial"/>
          <w:szCs w:val="22"/>
          <w:lang w:val="es-MX"/>
        </w:rPr>
        <w:t>el Estado de la Cuenta Pública.</w:t>
      </w:r>
    </w:p>
    <w:p w14:paraId="49190CA7" w14:textId="289D9900" w:rsidR="00102498" w:rsidRDefault="009E4CAE" w:rsidP="00DA613F">
      <w:pPr>
        <w:spacing w:before="240" w:after="240" w:line="360" w:lineRule="auto"/>
        <w:ind w:right="49"/>
        <w:jc w:val="both"/>
        <w:rPr>
          <w:rFonts w:ascii="Palatino Linotype" w:hAnsi="Palatino Linotype"/>
        </w:rPr>
      </w:pPr>
      <w:r w:rsidRPr="00E70B5C">
        <w:rPr>
          <w:rFonts w:ascii="Palatino Linotype" w:hAnsi="Palatino Linotype"/>
        </w:rPr>
        <w:t>Por otra parte, respecto a los puntos</w:t>
      </w:r>
      <w:r>
        <w:rPr>
          <w:rFonts w:ascii="Palatino Linotype" w:hAnsi="Palatino Linotype"/>
        </w:rPr>
        <w:t xml:space="preserve"> de la solicitud identificados en el </w:t>
      </w:r>
      <w:r w:rsidR="00102498">
        <w:rPr>
          <w:rFonts w:ascii="Palatino Linotype" w:hAnsi="Palatino Linotype"/>
          <w:b/>
        </w:rPr>
        <w:t xml:space="preserve">Grupo 3 </w:t>
      </w:r>
      <w:r w:rsidR="00102498">
        <w:rPr>
          <w:rFonts w:ascii="Palatino Linotype" w:hAnsi="Palatino Linotype"/>
        </w:rPr>
        <w:t xml:space="preserve">de </w:t>
      </w:r>
      <w:r>
        <w:rPr>
          <w:rFonts w:ascii="Palatino Linotype" w:hAnsi="Palatino Linotype"/>
        </w:rPr>
        <w:t xml:space="preserve">la presente resolución, </w:t>
      </w:r>
      <w:r w:rsidR="00102498">
        <w:rPr>
          <w:rFonts w:ascii="Palatino Linotype" w:hAnsi="Palatino Linotype"/>
        </w:rPr>
        <w:t>se tiene que el particular solicitó lo siguiente:</w:t>
      </w:r>
    </w:p>
    <w:p w14:paraId="3D2E8357" w14:textId="77777777" w:rsidR="00102498" w:rsidRPr="00102498" w:rsidRDefault="00102498" w:rsidP="00102498">
      <w:pPr>
        <w:spacing w:after="120"/>
        <w:ind w:right="51"/>
        <w:jc w:val="both"/>
        <w:rPr>
          <w:rFonts w:ascii="Palatino Linotype" w:hAnsi="Palatino Linotype"/>
          <w:b/>
        </w:rPr>
      </w:pPr>
      <w:r w:rsidRPr="00102498">
        <w:rPr>
          <w:rFonts w:ascii="Palatino Linotype" w:hAnsi="Palatino Linotype"/>
          <w:b/>
        </w:rPr>
        <w:t>1.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14:paraId="3C7178DF" w14:textId="77777777" w:rsidR="00102498" w:rsidRPr="00102498" w:rsidRDefault="00102498" w:rsidP="00102498">
      <w:pPr>
        <w:spacing w:after="120"/>
        <w:ind w:right="51"/>
        <w:jc w:val="both"/>
        <w:rPr>
          <w:rFonts w:ascii="Palatino Linotype" w:hAnsi="Palatino Linotype"/>
          <w:b/>
        </w:rPr>
      </w:pPr>
      <w:r w:rsidRPr="00102498">
        <w:rPr>
          <w:rFonts w:ascii="Palatino Linotype" w:hAnsi="Palatino Linotype"/>
          <w:b/>
        </w:rPr>
        <w:t xml:space="preserve">2. Se solicita el censo de alumbrado público de los ejercicios 2016, 2017, 2018 o en su caso, el censo más reciente del municipio, en el que se desglose la siguiente información: </w:t>
      </w:r>
    </w:p>
    <w:p w14:paraId="6836DBCD" w14:textId="77777777" w:rsidR="00102498" w:rsidRPr="00102498" w:rsidRDefault="00102498" w:rsidP="00102498">
      <w:pPr>
        <w:spacing w:after="120"/>
        <w:ind w:left="313" w:right="51"/>
        <w:jc w:val="both"/>
        <w:rPr>
          <w:rFonts w:ascii="Palatino Linotype" w:hAnsi="Palatino Linotype"/>
          <w:b/>
        </w:rPr>
      </w:pPr>
      <w:r w:rsidRPr="00102498">
        <w:rPr>
          <w:rFonts w:ascii="Palatino Linotype" w:hAnsi="Palatino Linotype"/>
          <w:b/>
        </w:rPr>
        <w:t xml:space="preserve">a. Me indique la cantidad de luminarias y balastros, el tipo de equipos, la capacidad (potencia), la ubicación (calle y/o colonia y/o delegación), y el tipo de poste en el que están montadas las luminarias (lámina, concreto, madera etcétera). </w:t>
      </w:r>
    </w:p>
    <w:p w14:paraId="1B9B2AAE" w14:textId="77777777" w:rsidR="00102498" w:rsidRPr="00102498" w:rsidRDefault="00102498" w:rsidP="00102498">
      <w:pPr>
        <w:spacing w:after="120"/>
        <w:ind w:left="313" w:right="51"/>
        <w:jc w:val="both"/>
        <w:rPr>
          <w:rFonts w:ascii="Palatino Linotype" w:hAnsi="Palatino Linotype"/>
          <w:b/>
        </w:rPr>
      </w:pPr>
      <w:r w:rsidRPr="00102498">
        <w:rPr>
          <w:rFonts w:ascii="Palatino Linotype" w:hAnsi="Palatino Linotype"/>
          <w:b/>
        </w:rPr>
        <w:lastRenderedPageBreak/>
        <w:t xml:space="preserve">b. El Registro Permanente de Usuario (RPU o </w:t>
      </w:r>
      <w:proofErr w:type="spellStart"/>
      <w:r w:rsidRPr="00102498">
        <w:rPr>
          <w:rFonts w:ascii="Palatino Linotype" w:hAnsi="Palatino Linotype"/>
          <w:b/>
        </w:rPr>
        <w:t>RPUs</w:t>
      </w:r>
      <w:proofErr w:type="spellEnd"/>
      <w:r w:rsidRPr="00102498">
        <w:rPr>
          <w:rFonts w:ascii="Palatino Linotype" w:hAnsi="Palatino Linotype"/>
          <w:b/>
        </w:rPr>
        <w:t>) asignado (s) al servicio de alumbrado público municipal tanto del servicio estimado como del servicio medido.</w:t>
      </w:r>
    </w:p>
    <w:p w14:paraId="2AC11B92" w14:textId="77777777" w:rsidR="00102498" w:rsidRPr="00102498" w:rsidRDefault="00102498" w:rsidP="00102498">
      <w:pPr>
        <w:spacing w:after="120"/>
        <w:ind w:left="313" w:right="51"/>
        <w:jc w:val="both"/>
        <w:rPr>
          <w:rFonts w:ascii="Palatino Linotype" w:hAnsi="Palatino Linotype"/>
          <w:b/>
        </w:rPr>
      </w:pPr>
      <w:r w:rsidRPr="00102498">
        <w:rPr>
          <w:rFonts w:ascii="Palatino Linotype" w:hAnsi="Palatino Linotype"/>
          <w:b/>
        </w:rPr>
        <w:t xml:space="preserve">c. La cantidad desglosada de luminarias y balastros instalados, el tipo de equipos y su capacidad (potencia) instalados en las avenidas principales del municipio. </w:t>
      </w:r>
    </w:p>
    <w:p w14:paraId="4D4B7905" w14:textId="77777777" w:rsidR="00102498" w:rsidRPr="00102498" w:rsidRDefault="00102498" w:rsidP="00102498">
      <w:pPr>
        <w:spacing w:after="120"/>
        <w:ind w:left="313" w:right="51"/>
        <w:jc w:val="both"/>
        <w:rPr>
          <w:rFonts w:ascii="Palatino Linotype" w:hAnsi="Palatino Linotype"/>
          <w:b/>
        </w:rPr>
      </w:pPr>
      <w:r w:rsidRPr="00102498">
        <w:rPr>
          <w:rFonts w:ascii="Palatino Linotype" w:hAnsi="Palatino Linotype"/>
          <w:b/>
        </w:rPr>
        <w:t>d. La cantidad de luminarias y balastros instalados, el tipo de equipos y su capacidad (potencia) instalados que poseen equipo de medición.</w:t>
      </w:r>
    </w:p>
    <w:p w14:paraId="636E8B82" w14:textId="77777777" w:rsidR="00102498" w:rsidRPr="00102498" w:rsidRDefault="00102498" w:rsidP="00102498">
      <w:pPr>
        <w:spacing w:after="120"/>
        <w:ind w:right="51"/>
        <w:jc w:val="both"/>
        <w:rPr>
          <w:rFonts w:ascii="Palatino Linotype" w:hAnsi="Palatino Linotype"/>
          <w:b/>
        </w:rPr>
      </w:pPr>
      <w:r w:rsidRPr="00102498">
        <w:rPr>
          <w:rFonts w:ascii="Palatino Linotype" w:hAnsi="Palatino Linotype"/>
          <w:b/>
        </w:rPr>
        <w:t xml:space="preserve">3. Del censo anterior al censo más reciente de luminarias y balastros del sistema de alumbrado público municipal que exista en el municipio, que contenga la siguiente información: </w:t>
      </w:r>
    </w:p>
    <w:p w14:paraId="22EADA23" w14:textId="77777777" w:rsidR="00102498" w:rsidRPr="00102498" w:rsidRDefault="00102498" w:rsidP="00102498">
      <w:pPr>
        <w:spacing w:after="120"/>
        <w:ind w:left="313" w:right="51"/>
        <w:jc w:val="both"/>
        <w:rPr>
          <w:rFonts w:ascii="Palatino Linotype" w:hAnsi="Palatino Linotype"/>
          <w:b/>
        </w:rPr>
      </w:pPr>
      <w:r w:rsidRPr="00102498">
        <w:rPr>
          <w:rFonts w:ascii="Palatino Linotype" w:hAnsi="Palatino Linotype"/>
          <w:b/>
        </w:rPr>
        <w:t>a. Cantidad de luminarias y balastros, el tipo de equipos, capacidad, ubicación  y el tipo de poste en el que están montadas las luminarias.</w:t>
      </w:r>
    </w:p>
    <w:p w14:paraId="61AAFA52" w14:textId="10BC1C5E" w:rsidR="00102498" w:rsidRPr="00102498" w:rsidRDefault="00102498" w:rsidP="00102498">
      <w:pPr>
        <w:spacing w:before="240" w:after="240" w:line="360" w:lineRule="auto"/>
        <w:ind w:right="49"/>
        <w:jc w:val="both"/>
        <w:rPr>
          <w:rFonts w:ascii="Palatino Linotype" w:hAnsi="Palatino Linotype"/>
          <w:b/>
        </w:rPr>
      </w:pPr>
      <w:r w:rsidRPr="00102498">
        <w:rPr>
          <w:rFonts w:ascii="Palatino Linotype" w:hAnsi="Palatino Linotype"/>
          <w:b/>
        </w:rPr>
        <w:t xml:space="preserve">b. El Registro Permanente de Usuario (RPU o </w:t>
      </w:r>
      <w:proofErr w:type="spellStart"/>
      <w:r w:rsidRPr="00102498">
        <w:rPr>
          <w:rFonts w:ascii="Palatino Linotype" w:hAnsi="Palatino Linotype"/>
          <w:b/>
        </w:rPr>
        <w:t>RPUs</w:t>
      </w:r>
      <w:proofErr w:type="spellEnd"/>
      <w:r w:rsidRPr="00102498">
        <w:rPr>
          <w:rFonts w:ascii="Palatino Linotype" w:hAnsi="Palatino Linotype"/>
          <w:b/>
        </w:rPr>
        <w:t>) asignado (s) al servicio de alumbrado público municipal tanto del servicio estimado como del servicio medido.</w:t>
      </w:r>
    </w:p>
    <w:p w14:paraId="6219D44A" w14:textId="55D411F0" w:rsidR="00823362" w:rsidRDefault="006D1044" w:rsidP="00DA613F">
      <w:pPr>
        <w:spacing w:before="240" w:after="240" w:line="360" w:lineRule="auto"/>
        <w:ind w:right="49"/>
        <w:jc w:val="both"/>
        <w:rPr>
          <w:rFonts w:ascii="Palatino Linotype" w:hAnsi="Palatino Linotype"/>
          <w:i/>
        </w:rPr>
      </w:pPr>
      <w:r>
        <w:rPr>
          <w:rFonts w:ascii="Palatino Linotype" w:hAnsi="Palatino Linotype"/>
        </w:rPr>
        <w:t>V</w:t>
      </w:r>
      <w:r w:rsidRPr="006D1044">
        <w:rPr>
          <w:rFonts w:ascii="Palatino Linotype" w:hAnsi="Palatino Linotype"/>
        </w:rPr>
        <w:t xml:space="preserve">isto desde la perspectiva planteada por el particular en su solicitud de acceso a la información, </w:t>
      </w:r>
      <w:r>
        <w:rPr>
          <w:rFonts w:ascii="Palatino Linotype" w:hAnsi="Palatino Linotype"/>
        </w:rPr>
        <w:t xml:space="preserve">se tiene la necesidad de recurrir al contenido del Diccionario de la Real Academia Española, para establecer nuestro estudio a partir de la definición de la palabra “censo”, que es conceptualizada como </w:t>
      </w:r>
      <w:r>
        <w:rPr>
          <w:rFonts w:ascii="Palatino Linotype" w:hAnsi="Palatino Linotype"/>
          <w:i/>
        </w:rPr>
        <w:t>el padrón o lista de la población o riqueza de una nación o pueblo.</w:t>
      </w:r>
    </w:p>
    <w:p w14:paraId="73B1803A" w14:textId="42708C77" w:rsidR="00CA54B7" w:rsidRDefault="00CA54B7" w:rsidP="00CA54B7">
      <w:pPr>
        <w:spacing w:before="240" w:after="240" w:line="360" w:lineRule="auto"/>
        <w:jc w:val="both"/>
        <w:rPr>
          <w:rFonts w:ascii="Palatino Linotype" w:hAnsi="Palatino Linotype" w:cs="Arial"/>
        </w:rPr>
      </w:pPr>
      <w:r>
        <w:rPr>
          <w:rFonts w:ascii="Palatino Linotype" w:hAnsi="Palatino Linotype"/>
        </w:rPr>
        <w:t xml:space="preserve">Bajo dichos argumentos, este </w:t>
      </w:r>
      <w:r>
        <w:rPr>
          <w:rFonts w:ascii="Palatino Linotype" w:hAnsi="Palatino Linotype" w:cs="Arial"/>
        </w:rPr>
        <w:t xml:space="preserve">Órgano Garante estima necesario precisar que la </w:t>
      </w:r>
      <w:r w:rsidRPr="001E74EB">
        <w:rPr>
          <w:rFonts w:ascii="Palatino Linotype" w:hAnsi="Palatino Linotype" w:cs="Arial"/>
        </w:rPr>
        <w:t>Ley de Transparencia y Acceso a la Información Pública del Estado de México y Municipios</w:t>
      </w:r>
      <w:r>
        <w:rPr>
          <w:rFonts w:ascii="Palatino Linotype" w:hAnsi="Palatino Linotype" w:cs="Arial"/>
        </w:rPr>
        <w:t xml:space="preserve">, prevé que el derecho de acceso a la información pública se garantiza con la entrega de la información que generan, obtienen, adquieren, transforman, administran o poseen los sujetos obligados en el ejercicio de sus funciones por </w:t>
      </w:r>
      <w:r>
        <w:rPr>
          <w:rFonts w:ascii="Palatino Linotype" w:hAnsi="Palatino Linotype" w:cs="Arial"/>
        </w:rPr>
        <w:lastRenderedPageBreak/>
        <w:t>revestirle el carácter de pública</w:t>
      </w:r>
      <w:r w:rsidR="0067119C">
        <w:rPr>
          <w:rFonts w:ascii="Palatino Linotype" w:hAnsi="Palatino Linotype" w:cs="Arial"/>
        </w:rPr>
        <w:t xml:space="preserve">, por tanto, </w:t>
      </w:r>
      <w:r>
        <w:rPr>
          <w:rFonts w:ascii="Palatino Linotype" w:hAnsi="Palatino Linotype" w:cs="Arial"/>
        </w:rPr>
        <w:t>debe ser accesible a toda persona que la requiera, sin que implique que</w:t>
      </w:r>
      <w:r w:rsidR="0067119C">
        <w:rPr>
          <w:rFonts w:ascii="Palatino Linotype" w:hAnsi="Palatino Linotype" w:cs="Arial"/>
        </w:rPr>
        <w:t xml:space="preserve"> los sujetos obligados</w:t>
      </w:r>
      <w:r>
        <w:rPr>
          <w:rFonts w:ascii="Palatino Linotype" w:hAnsi="Palatino Linotype" w:cs="Arial"/>
        </w:rPr>
        <w:t xml:space="preserve"> deban generarla, resumirla, efectuar cálculos o investigaciones para presentarla conforme al interés de los particulares.</w:t>
      </w:r>
    </w:p>
    <w:p w14:paraId="72C980CD" w14:textId="01B1FA2A" w:rsidR="0067119C" w:rsidRDefault="0067119C" w:rsidP="00CA54B7">
      <w:pPr>
        <w:spacing w:before="240" w:after="240" w:line="360" w:lineRule="auto"/>
        <w:jc w:val="both"/>
        <w:rPr>
          <w:rFonts w:ascii="Palatino Linotype" w:hAnsi="Palatino Linotype" w:cs="Arial"/>
        </w:rPr>
      </w:pPr>
      <w:r>
        <w:rPr>
          <w:rFonts w:ascii="Palatino Linotype" w:hAnsi="Palatino Linotype" w:cs="Arial"/>
        </w:rPr>
        <w:t xml:space="preserve">Dicho lo previo, del análisis meticuloso al marco normativo que rige el actuar del </w:t>
      </w:r>
      <w:r>
        <w:rPr>
          <w:rFonts w:ascii="Palatino Linotype" w:hAnsi="Palatino Linotype" w:cs="Arial"/>
          <w:b/>
        </w:rPr>
        <w:t xml:space="preserve">Sujeto Obligado </w:t>
      </w:r>
      <w:r>
        <w:rPr>
          <w:rFonts w:ascii="Palatino Linotype" w:hAnsi="Palatino Linotype" w:cs="Arial"/>
        </w:rPr>
        <w:t>no se advierte que el mismo este constreñido a generar, poseer o administrar el “censo” solicitado,  sin embargo, en términos de la Ley de Bienes del Estado de México y sus Municipios, regula el registro, destino, administración, control, posesión, uso, aprovechamiento y desincorporación de los bienes</w:t>
      </w:r>
      <w:r w:rsidR="008546D3">
        <w:rPr>
          <w:rFonts w:ascii="Palatino Linotype" w:hAnsi="Palatino Linotype" w:cs="Arial"/>
        </w:rPr>
        <w:t>, que en su dispositivos legales 11 fracción I, 12, 18 fracción VI, 52 y 67, establece de manera puntual lo siguiente:</w:t>
      </w:r>
    </w:p>
    <w:p w14:paraId="465E3C95" w14:textId="0D7A0D25" w:rsidR="008546D3" w:rsidRPr="008546D3" w:rsidRDefault="008546D3" w:rsidP="008546D3">
      <w:pPr>
        <w:spacing w:after="120"/>
        <w:ind w:left="851" w:right="902"/>
        <w:jc w:val="both"/>
        <w:rPr>
          <w:rFonts w:ascii="Palatino Linotype" w:hAnsi="Palatino Linotype"/>
          <w:i/>
          <w:sz w:val="20"/>
          <w:szCs w:val="20"/>
        </w:rPr>
      </w:pPr>
      <w:r>
        <w:rPr>
          <w:rFonts w:ascii="Palatino Linotype" w:hAnsi="Palatino Linotype"/>
          <w:b/>
          <w:i/>
          <w:sz w:val="20"/>
          <w:szCs w:val="20"/>
        </w:rPr>
        <w:t>“</w:t>
      </w:r>
      <w:r w:rsidRPr="008546D3">
        <w:rPr>
          <w:rFonts w:ascii="Palatino Linotype" w:hAnsi="Palatino Linotype"/>
          <w:b/>
          <w:i/>
          <w:sz w:val="20"/>
          <w:szCs w:val="20"/>
        </w:rPr>
        <w:t>Artículo 11.-</w:t>
      </w:r>
      <w:r w:rsidRPr="008546D3">
        <w:rPr>
          <w:rFonts w:ascii="Palatino Linotype" w:hAnsi="Palatino Linotype"/>
          <w:i/>
          <w:sz w:val="20"/>
          <w:szCs w:val="20"/>
        </w:rPr>
        <w:t xml:space="preserve"> Corresponde a cada una de las dependencias, organismos auxiliares y entidades de la administración pública estatal y municipal: </w:t>
      </w:r>
    </w:p>
    <w:p w14:paraId="23D6C9B1" w14:textId="2B823624" w:rsidR="008546D3" w:rsidRPr="008546D3" w:rsidRDefault="008546D3" w:rsidP="008546D3">
      <w:pPr>
        <w:spacing w:after="120"/>
        <w:ind w:left="1134" w:right="902"/>
        <w:jc w:val="both"/>
        <w:rPr>
          <w:rFonts w:ascii="Palatino Linotype" w:hAnsi="Palatino Linotype"/>
          <w:i/>
          <w:sz w:val="20"/>
          <w:szCs w:val="20"/>
        </w:rPr>
      </w:pPr>
      <w:r w:rsidRPr="008546D3">
        <w:rPr>
          <w:rFonts w:ascii="Palatino Linotype" w:hAnsi="Palatino Linotype"/>
          <w:i/>
          <w:sz w:val="20"/>
          <w:szCs w:val="20"/>
        </w:rPr>
        <w:t>I. Administrar, controlar y utilizar adecuadamente los bienes muebles e inmuebles que detenten o tengan asignados;</w:t>
      </w:r>
      <w:r>
        <w:rPr>
          <w:rFonts w:ascii="Palatino Linotype" w:hAnsi="Palatino Linotype"/>
          <w:i/>
          <w:sz w:val="20"/>
          <w:szCs w:val="20"/>
        </w:rPr>
        <w:t>…</w:t>
      </w:r>
    </w:p>
    <w:p w14:paraId="46BF6774" w14:textId="5DBA4233" w:rsidR="008546D3" w:rsidRPr="008546D3" w:rsidRDefault="008546D3" w:rsidP="008546D3">
      <w:pPr>
        <w:spacing w:after="120"/>
        <w:ind w:left="851" w:right="902"/>
        <w:jc w:val="both"/>
        <w:rPr>
          <w:rFonts w:ascii="Palatino Linotype" w:hAnsi="Palatino Linotype"/>
          <w:i/>
          <w:sz w:val="20"/>
          <w:szCs w:val="20"/>
        </w:rPr>
      </w:pPr>
      <w:r w:rsidRPr="008546D3">
        <w:rPr>
          <w:rFonts w:ascii="Palatino Linotype" w:hAnsi="Palatino Linotype"/>
          <w:b/>
          <w:i/>
          <w:sz w:val="20"/>
          <w:szCs w:val="20"/>
        </w:rPr>
        <w:t>Artículo 12.-</w:t>
      </w:r>
      <w:r w:rsidRPr="008546D3">
        <w:rPr>
          <w:rFonts w:ascii="Palatino Linotype" w:hAnsi="Palatino Linotype"/>
          <w:i/>
          <w:sz w:val="20"/>
          <w:szCs w:val="20"/>
        </w:rPr>
        <w:t xml:space="preserve"> El Estado de México y sus municipios tienen personalidad jurídica para adquirir y poseer bienes para la prestación de los servicios públicos y el cumplimiento de sus fines.</w:t>
      </w:r>
    </w:p>
    <w:p w14:paraId="4D8A8BD9" w14:textId="58A5F8E2" w:rsidR="008546D3" w:rsidRPr="008546D3" w:rsidRDefault="008546D3" w:rsidP="008546D3">
      <w:pPr>
        <w:spacing w:after="120"/>
        <w:ind w:left="851" w:right="902"/>
        <w:jc w:val="both"/>
        <w:rPr>
          <w:rFonts w:ascii="Palatino Linotype" w:hAnsi="Palatino Linotype"/>
          <w:i/>
          <w:sz w:val="20"/>
          <w:szCs w:val="20"/>
        </w:rPr>
      </w:pPr>
      <w:r w:rsidRPr="008546D3">
        <w:rPr>
          <w:rFonts w:ascii="Palatino Linotype" w:hAnsi="Palatino Linotype"/>
          <w:b/>
          <w:i/>
          <w:sz w:val="20"/>
          <w:szCs w:val="20"/>
        </w:rPr>
        <w:t>Artículo 18.-</w:t>
      </w:r>
      <w:r w:rsidRPr="008546D3">
        <w:rPr>
          <w:rFonts w:ascii="Palatino Linotype" w:hAnsi="Palatino Linotype"/>
          <w:i/>
          <w:sz w:val="20"/>
          <w:szCs w:val="20"/>
        </w:rPr>
        <w:t xml:space="preserve"> Son bienes destinados a un servicio público:</w:t>
      </w:r>
    </w:p>
    <w:p w14:paraId="1B588C2F" w14:textId="77777777" w:rsidR="008546D3" w:rsidRDefault="008546D3" w:rsidP="008546D3">
      <w:pPr>
        <w:spacing w:after="120"/>
        <w:ind w:left="1134" w:right="902"/>
        <w:jc w:val="both"/>
        <w:rPr>
          <w:rFonts w:ascii="Palatino Linotype" w:hAnsi="Palatino Linotype"/>
          <w:i/>
          <w:sz w:val="20"/>
          <w:szCs w:val="20"/>
        </w:rPr>
      </w:pPr>
      <w:r>
        <w:rPr>
          <w:rFonts w:ascii="Palatino Linotype" w:hAnsi="Palatino Linotype"/>
          <w:i/>
          <w:sz w:val="20"/>
          <w:szCs w:val="20"/>
        </w:rPr>
        <w:t>(…)</w:t>
      </w:r>
    </w:p>
    <w:p w14:paraId="7249E511" w14:textId="5DBE3FD6" w:rsidR="008546D3" w:rsidRPr="008546D3" w:rsidRDefault="008546D3" w:rsidP="008546D3">
      <w:pPr>
        <w:spacing w:after="120"/>
        <w:ind w:left="1134" w:right="902"/>
        <w:jc w:val="both"/>
        <w:rPr>
          <w:rFonts w:ascii="Palatino Linotype" w:hAnsi="Palatino Linotype"/>
          <w:i/>
          <w:sz w:val="20"/>
          <w:szCs w:val="20"/>
        </w:rPr>
      </w:pPr>
      <w:r w:rsidRPr="008546D3">
        <w:rPr>
          <w:rFonts w:ascii="Palatino Linotype" w:hAnsi="Palatino Linotype"/>
          <w:i/>
          <w:sz w:val="20"/>
          <w:szCs w:val="20"/>
        </w:rPr>
        <w:t>VI. Los bienes muebles de propiedad estatal o municipal que tengan uso o utilidad en la prestación de un servicio público; y</w:t>
      </w:r>
      <w:r>
        <w:rPr>
          <w:rFonts w:ascii="Palatino Linotype" w:hAnsi="Palatino Linotype"/>
          <w:i/>
          <w:sz w:val="20"/>
          <w:szCs w:val="20"/>
        </w:rPr>
        <w:t>…</w:t>
      </w:r>
    </w:p>
    <w:p w14:paraId="66080620" w14:textId="299BE034" w:rsidR="008546D3" w:rsidRPr="008546D3" w:rsidRDefault="008546D3" w:rsidP="008546D3">
      <w:pPr>
        <w:spacing w:after="120"/>
        <w:ind w:left="851" w:right="902"/>
        <w:jc w:val="both"/>
        <w:rPr>
          <w:rFonts w:ascii="Palatino Linotype" w:hAnsi="Palatino Linotype"/>
          <w:i/>
          <w:sz w:val="20"/>
          <w:szCs w:val="20"/>
        </w:rPr>
      </w:pPr>
      <w:r w:rsidRPr="008546D3">
        <w:rPr>
          <w:rFonts w:ascii="Palatino Linotype" w:hAnsi="Palatino Linotype"/>
          <w:b/>
          <w:i/>
          <w:sz w:val="20"/>
          <w:szCs w:val="20"/>
        </w:rPr>
        <w:t>Artículo 52.-</w:t>
      </w:r>
      <w:r w:rsidRPr="008546D3">
        <w:rPr>
          <w:rFonts w:ascii="Palatino Linotype" w:hAnsi="Palatino Linotype"/>
          <w:i/>
          <w:sz w:val="20"/>
          <w:szCs w:val="20"/>
        </w:rPr>
        <w:t xml:space="preserve"> Tratándose de muebles, éstos serán considerados en lo individual y en conjunto como integrantes del dominio público, por lo tanto bastará que los bienes se encuentren inventariados y asignados a la dependencia, organismo auxiliar estatal o municipal, para que se consideren como parte de este dominio.</w:t>
      </w:r>
    </w:p>
    <w:p w14:paraId="5BF4F9A4" w14:textId="16E42988" w:rsidR="008546D3" w:rsidRDefault="008546D3" w:rsidP="008546D3">
      <w:pPr>
        <w:spacing w:after="120"/>
        <w:ind w:left="851" w:right="902"/>
        <w:jc w:val="both"/>
        <w:rPr>
          <w:rFonts w:ascii="Palatino Linotype" w:hAnsi="Palatino Linotype"/>
          <w:i/>
          <w:sz w:val="20"/>
          <w:szCs w:val="20"/>
        </w:rPr>
      </w:pPr>
      <w:r w:rsidRPr="008546D3">
        <w:rPr>
          <w:rFonts w:ascii="Palatino Linotype" w:hAnsi="Palatino Linotype"/>
          <w:b/>
          <w:i/>
          <w:sz w:val="20"/>
          <w:szCs w:val="20"/>
        </w:rPr>
        <w:t>Artículo 67.</w:t>
      </w:r>
      <w:r w:rsidRPr="008546D3">
        <w:rPr>
          <w:rFonts w:ascii="Palatino Linotype" w:hAnsi="Palatino Linotype"/>
          <w:i/>
          <w:sz w:val="20"/>
          <w:szCs w:val="20"/>
        </w:rPr>
        <w:t xml:space="preserve"> La Secretaría de Finanzas y los ayuntamientos determinarán los procedimientos para integrar el inventario de los bienes del dominio público y privado estatal o municipal.</w:t>
      </w:r>
      <w:r>
        <w:rPr>
          <w:rFonts w:ascii="Palatino Linotype" w:hAnsi="Palatino Linotype"/>
          <w:i/>
          <w:sz w:val="20"/>
          <w:szCs w:val="20"/>
        </w:rPr>
        <w:t>”</w:t>
      </w:r>
    </w:p>
    <w:p w14:paraId="4A19FF34" w14:textId="34B1968B" w:rsidR="008546D3" w:rsidRDefault="00F70DBC" w:rsidP="00F70DBC">
      <w:pPr>
        <w:spacing w:before="240" w:after="240" w:line="360" w:lineRule="auto"/>
        <w:ind w:right="51"/>
        <w:jc w:val="both"/>
        <w:rPr>
          <w:rFonts w:ascii="Palatino Linotype" w:hAnsi="Palatino Linotype"/>
        </w:rPr>
      </w:pPr>
      <w:r>
        <w:rPr>
          <w:rFonts w:ascii="Palatino Linotype" w:hAnsi="Palatino Linotype"/>
        </w:rPr>
        <w:lastRenderedPageBreak/>
        <w:t>En ese contexto, es una atribución de los Ayuntamientos administrar, controlar y utilizar adecuadamente los bienes muebles e inmuebles que tengan asignados para la prestación de los servicios públicos en el cumplimiento de sus fines, los cuales son considerados en lo individual y en conjunto como integrantes del dominio público</w:t>
      </w:r>
      <w:r w:rsidR="00BB5012">
        <w:rPr>
          <w:rFonts w:ascii="Palatino Linotype" w:hAnsi="Palatino Linotype"/>
        </w:rPr>
        <w:t>, en consecuencia deben encontrarse inventariados y asignados a la dependencia responsable.</w:t>
      </w:r>
    </w:p>
    <w:p w14:paraId="5CA04AB6" w14:textId="0CFF8C2F" w:rsidR="00DC0953" w:rsidRDefault="00DC0953" w:rsidP="00F70DBC">
      <w:pPr>
        <w:spacing w:before="240" w:after="240" w:line="360" w:lineRule="auto"/>
        <w:ind w:right="51"/>
        <w:jc w:val="both"/>
        <w:rPr>
          <w:rFonts w:ascii="Palatino Linotype" w:hAnsi="Palatino Linotype"/>
        </w:rPr>
      </w:pPr>
      <w:r>
        <w:rPr>
          <w:rFonts w:ascii="Palatino Linotype" w:hAnsi="Palatino Linotype"/>
        </w:rPr>
        <w:t>Al respecto, el numerales IV párrafo décimo segundo y VI.2 de los Lineamientos para el Registro y Control del Inventario y Desincorporación de Bienes Muebles e Inmuebles de las Administración Pública Municipal, Dependencia Administrativas, Organismos Descentralizados y Fideicomisos Públicos, emitidos por el Órgano Superior de Fiscalización del Estado de México, disponen:</w:t>
      </w:r>
    </w:p>
    <w:p w14:paraId="30C27912" w14:textId="2E94EE86" w:rsidR="00DC0953" w:rsidRPr="00B2583B" w:rsidRDefault="00B2583B" w:rsidP="00B2583B">
      <w:pPr>
        <w:spacing w:after="120"/>
        <w:ind w:left="851" w:right="902"/>
        <w:jc w:val="center"/>
        <w:rPr>
          <w:rFonts w:ascii="Palatino Linotype" w:hAnsi="Palatino Linotype"/>
          <w:i/>
          <w:sz w:val="20"/>
          <w:szCs w:val="20"/>
        </w:rPr>
      </w:pPr>
      <w:r>
        <w:rPr>
          <w:rFonts w:ascii="Palatino Linotype" w:hAnsi="Palatino Linotype"/>
          <w:i/>
          <w:sz w:val="20"/>
          <w:szCs w:val="20"/>
        </w:rPr>
        <w:t>“</w:t>
      </w:r>
      <w:r w:rsidR="00DC0953" w:rsidRPr="00B2583B">
        <w:rPr>
          <w:rFonts w:ascii="Palatino Linotype" w:hAnsi="Palatino Linotype"/>
          <w:b/>
          <w:i/>
          <w:sz w:val="20"/>
          <w:szCs w:val="20"/>
        </w:rPr>
        <w:t>IV. DISPOSICIONES GENERALES</w:t>
      </w:r>
    </w:p>
    <w:p w14:paraId="63C3769F" w14:textId="77777777" w:rsidR="00B2583B" w:rsidRDefault="00B2583B" w:rsidP="00B2583B">
      <w:pPr>
        <w:spacing w:after="120"/>
        <w:ind w:left="851" w:right="902"/>
        <w:jc w:val="both"/>
        <w:rPr>
          <w:rFonts w:ascii="Palatino Linotype" w:hAnsi="Palatino Linotype"/>
          <w:i/>
          <w:sz w:val="20"/>
          <w:szCs w:val="20"/>
        </w:rPr>
      </w:pPr>
      <w:r>
        <w:rPr>
          <w:rFonts w:ascii="Palatino Linotype" w:hAnsi="Palatino Linotype"/>
          <w:i/>
          <w:sz w:val="20"/>
          <w:szCs w:val="20"/>
        </w:rPr>
        <w:t>(…)</w:t>
      </w:r>
    </w:p>
    <w:p w14:paraId="2F8CE6A4" w14:textId="3EBF2612" w:rsidR="00DC0953" w:rsidRPr="00B2583B" w:rsidRDefault="00DC0953" w:rsidP="00B2583B">
      <w:pPr>
        <w:spacing w:after="120"/>
        <w:ind w:left="851" w:right="902"/>
        <w:jc w:val="both"/>
        <w:rPr>
          <w:rFonts w:ascii="Palatino Linotype" w:hAnsi="Palatino Linotype"/>
          <w:i/>
          <w:sz w:val="20"/>
          <w:szCs w:val="20"/>
        </w:rPr>
      </w:pPr>
      <w:r w:rsidRPr="00B2583B">
        <w:rPr>
          <w:rFonts w:ascii="Palatino Linotype" w:hAnsi="Palatino Linotype"/>
          <w:b/>
          <w:i/>
          <w:sz w:val="20"/>
          <w:szCs w:val="20"/>
        </w:rPr>
        <w:t>Bien mueble:</w:t>
      </w:r>
      <w:r w:rsidRPr="00B2583B">
        <w:rPr>
          <w:rFonts w:ascii="Palatino Linotype" w:hAnsi="Palatino Linotype"/>
          <w:i/>
          <w:sz w:val="20"/>
          <w:szCs w:val="20"/>
        </w:rPr>
        <w:t xml:space="preserve"> Objeto que por su naturaleza de uso o consumo, puede ser trasladado de un lugar a otro, es todo aquello que se conoce como: mobiliario, mesas, sillas, libreros, anaqueles, equipo de oficina en general, equipo de transporte, semovientes, etc</w:t>
      </w:r>
      <w:r w:rsidR="00B2583B">
        <w:rPr>
          <w:rFonts w:ascii="Palatino Linotype" w:hAnsi="Palatino Linotype"/>
          <w:i/>
          <w:sz w:val="20"/>
          <w:szCs w:val="20"/>
        </w:rPr>
        <w:t>…</w:t>
      </w:r>
    </w:p>
    <w:p w14:paraId="46244E9D" w14:textId="71492F32" w:rsidR="00B2583B" w:rsidRDefault="00DC0953" w:rsidP="00B2583B">
      <w:pPr>
        <w:spacing w:after="120"/>
        <w:ind w:left="851" w:right="902"/>
        <w:jc w:val="center"/>
        <w:rPr>
          <w:rFonts w:ascii="Palatino Linotype" w:hAnsi="Palatino Linotype"/>
          <w:i/>
          <w:sz w:val="20"/>
          <w:szCs w:val="20"/>
        </w:rPr>
      </w:pPr>
      <w:r w:rsidRPr="00B2583B">
        <w:rPr>
          <w:rFonts w:ascii="Palatino Linotype" w:hAnsi="Palatino Linotype"/>
          <w:b/>
          <w:i/>
          <w:sz w:val="20"/>
          <w:szCs w:val="20"/>
        </w:rPr>
        <w:t>VI.2 INVENTARIO GENERAL DE BIENES MUEBLES</w:t>
      </w:r>
    </w:p>
    <w:p w14:paraId="1FA497AA" w14:textId="77777777" w:rsidR="00B2583B" w:rsidRDefault="00DC0953" w:rsidP="00B2583B">
      <w:pPr>
        <w:spacing w:after="120"/>
        <w:ind w:left="851" w:right="902"/>
        <w:jc w:val="both"/>
        <w:rPr>
          <w:rFonts w:ascii="Palatino Linotype" w:hAnsi="Palatino Linotype"/>
          <w:i/>
          <w:sz w:val="20"/>
          <w:szCs w:val="20"/>
        </w:rPr>
      </w:pPr>
      <w:r w:rsidRPr="00B2583B">
        <w:rPr>
          <w:rFonts w:ascii="Palatino Linotype" w:hAnsi="Palatino Linotype"/>
          <w:i/>
          <w:sz w:val="20"/>
          <w:szCs w:val="20"/>
        </w:rPr>
        <w:t xml:space="preserve">El inventario general de bienes muebles, es el documento en el que están registrados los bienes muebles propiedad de las entidades municipales, conteniendo sus características de identificación, tales como: nombre, número de inventario, marca, modelo, serie, uso, número de factura, costo, fecha de adquisición, estado de conservación (consultar formato en el apartado de anexos). </w:t>
      </w:r>
    </w:p>
    <w:p w14:paraId="279CB45E" w14:textId="77777777" w:rsidR="00B2583B" w:rsidRDefault="00DC0953" w:rsidP="00B2583B">
      <w:pPr>
        <w:spacing w:after="120"/>
        <w:ind w:left="851" w:right="902"/>
        <w:jc w:val="both"/>
        <w:rPr>
          <w:rFonts w:ascii="Palatino Linotype" w:hAnsi="Palatino Linotype"/>
          <w:i/>
          <w:sz w:val="20"/>
          <w:szCs w:val="20"/>
        </w:rPr>
      </w:pPr>
      <w:r w:rsidRPr="00B2583B">
        <w:rPr>
          <w:rFonts w:ascii="Palatino Linotype" w:hAnsi="Palatino Linotype"/>
          <w:i/>
          <w:sz w:val="20"/>
          <w:szCs w:val="20"/>
        </w:rPr>
        <w:t xml:space="preserve">Tratándose de adquisiciones de bienes muebles, con un costo igual o mayor a 35 veces el Salario Mínimo General de la Zona Económica "C", deben registrarse contablemente como un aumento en el activo, y en la cedula de bienes muebles patrimoniales, aquellos con un costo inferior a 35 y hasta 17 veces el Salario Mínimo General de la Zona Económica "C", se registran solo en la cédula de bienes muebles patrimoniales de bajo costo como medida de control interno, y los bienes con un costo menor a este último se consideran bienes no </w:t>
      </w:r>
      <w:proofErr w:type="spellStart"/>
      <w:r w:rsidRPr="00B2583B">
        <w:rPr>
          <w:rFonts w:ascii="Palatino Linotype" w:hAnsi="Palatino Linotype"/>
          <w:i/>
          <w:sz w:val="20"/>
          <w:szCs w:val="20"/>
        </w:rPr>
        <w:t>inventariables</w:t>
      </w:r>
      <w:proofErr w:type="spellEnd"/>
      <w:r w:rsidRPr="00B2583B">
        <w:rPr>
          <w:rFonts w:ascii="Palatino Linotype" w:hAnsi="Palatino Linotype"/>
          <w:i/>
          <w:sz w:val="20"/>
          <w:szCs w:val="20"/>
        </w:rPr>
        <w:t xml:space="preserve"> y no requerirán de control alguno. </w:t>
      </w:r>
    </w:p>
    <w:p w14:paraId="06FEC9A4" w14:textId="77777777" w:rsidR="00B2583B" w:rsidRDefault="00DC0953" w:rsidP="00B2583B">
      <w:pPr>
        <w:spacing w:after="120"/>
        <w:ind w:left="851" w:right="902"/>
        <w:jc w:val="both"/>
        <w:rPr>
          <w:rFonts w:ascii="Palatino Linotype" w:hAnsi="Palatino Linotype"/>
          <w:i/>
          <w:sz w:val="20"/>
          <w:szCs w:val="20"/>
        </w:rPr>
      </w:pPr>
      <w:r w:rsidRPr="00B2583B">
        <w:rPr>
          <w:rFonts w:ascii="Palatino Linotype" w:hAnsi="Palatino Linotype"/>
          <w:i/>
          <w:sz w:val="20"/>
          <w:szCs w:val="20"/>
        </w:rPr>
        <w:lastRenderedPageBreak/>
        <w:t xml:space="preserve">Derivado de lo anterior los Ayuntamientos, Organismos Descentralizados y Fideicomisos Públicos, registrarán sus activos en el informe mensual que es presentado al Órgano Superior de Fiscalización del Estado de México, a través del formato "Cedula de Bienes Patrimoniales", con sus respectivas actualizaciones, misma que deberá integrarse en el disco No. 2 del informe mensual. </w:t>
      </w:r>
    </w:p>
    <w:p w14:paraId="120CEA4F" w14:textId="77777777" w:rsidR="00B2583B" w:rsidRDefault="00DC0953" w:rsidP="00B2583B">
      <w:pPr>
        <w:spacing w:after="120"/>
        <w:ind w:left="851" w:right="902"/>
        <w:jc w:val="both"/>
        <w:rPr>
          <w:rFonts w:ascii="Palatino Linotype" w:hAnsi="Palatino Linotype"/>
          <w:i/>
          <w:sz w:val="20"/>
          <w:szCs w:val="20"/>
        </w:rPr>
      </w:pPr>
      <w:r w:rsidRPr="00B2583B">
        <w:rPr>
          <w:rFonts w:ascii="Palatino Linotype" w:hAnsi="Palatino Linotype"/>
          <w:i/>
          <w:sz w:val="20"/>
          <w:szCs w:val="20"/>
        </w:rPr>
        <w:t>A nivel municipal el responsable de elaborar el inventario general de bienes, es el secretario del Ayuntamiento con la intervención del síndico municipal y la participación del contralor, quienes previamente realizarán una revisión física de todos los bienes, al concluirlo deberán asentar sus firmas junto con la del presidente y tesorero municipal, la elaboración de este inventario se realizara dos veces al año, el primero a más tardar el último día hábil del mes de junio, el segundo el último día hábil del mes de diciembre.</w:t>
      </w:r>
    </w:p>
    <w:p w14:paraId="64705439" w14:textId="77777777" w:rsidR="00B2583B" w:rsidRDefault="00DC0953" w:rsidP="00B2583B">
      <w:pPr>
        <w:spacing w:after="120"/>
        <w:ind w:left="851" w:right="902"/>
        <w:jc w:val="both"/>
        <w:rPr>
          <w:rFonts w:ascii="Palatino Linotype" w:hAnsi="Palatino Linotype"/>
          <w:i/>
          <w:sz w:val="20"/>
          <w:szCs w:val="20"/>
        </w:rPr>
      </w:pPr>
      <w:r w:rsidRPr="00B2583B">
        <w:rPr>
          <w:rFonts w:ascii="Palatino Linotype" w:hAnsi="Palatino Linotype"/>
          <w:i/>
          <w:sz w:val="20"/>
          <w:szCs w:val="20"/>
        </w:rPr>
        <w:t xml:space="preserve"> (…)</w:t>
      </w:r>
    </w:p>
    <w:p w14:paraId="6BBDDBA5" w14:textId="35B80F87" w:rsidR="00DC0953" w:rsidRDefault="00DC0953" w:rsidP="00B2583B">
      <w:pPr>
        <w:spacing w:after="120"/>
        <w:ind w:left="851" w:right="902"/>
        <w:jc w:val="both"/>
        <w:rPr>
          <w:rFonts w:ascii="Palatino Linotype" w:hAnsi="Palatino Linotype"/>
          <w:i/>
          <w:sz w:val="20"/>
          <w:szCs w:val="20"/>
        </w:rPr>
      </w:pPr>
      <w:r w:rsidRPr="00B2583B">
        <w:rPr>
          <w:rFonts w:ascii="Palatino Linotype" w:hAnsi="Palatino Linotype"/>
          <w:i/>
          <w:sz w:val="20"/>
          <w:szCs w:val="20"/>
        </w:rPr>
        <w:t>Tratándose de bienes muebles adquiridos en paquete, se deberá desglosar, en la factura, el valor de cada bien, con sus características de identificación</w:t>
      </w:r>
      <w:r w:rsidR="00B2583B">
        <w:rPr>
          <w:rFonts w:ascii="Palatino Linotype" w:hAnsi="Palatino Linotype"/>
          <w:i/>
          <w:sz w:val="20"/>
          <w:szCs w:val="20"/>
        </w:rPr>
        <w:t>…”</w:t>
      </w:r>
    </w:p>
    <w:p w14:paraId="6AD7D0DF" w14:textId="11D271C0" w:rsidR="00C9200B" w:rsidRDefault="00C9200B" w:rsidP="00C9200B">
      <w:pPr>
        <w:spacing w:before="240" w:after="240" w:line="360" w:lineRule="auto"/>
        <w:ind w:right="49"/>
        <w:jc w:val="both"/>
        <w:rPr>
          <w:rFonts w:ascii="Palatino Linotype" w:hAnsi="Palatino Linotype"/>
        </w:rPr>
      </w:pPr>
      <w:r>
        <w:rPr>
          <w:rFonts w:ascii="Palatino Linotype" w:hAnsi="Palatino Linotype"/>
        </w:rPr>
        <w:t xml:space="preserve">De la normatividad citada, se desprende que los bienes muebles son aquellos que por su naturaleza puede ser trasladado de un lugar a otro, los cuales deben estar registrados en el inventario general de bienes muebles con algunas características de identificación como lo son: </w:t>
      </w:r>
      <w:r w:rsidRPr="00C9200B">
        <w:rPr>
          <w:rFonts w:ascii="Palatino Linotype" w:hAnsi="Palatino Linotype"/>
        </w:rPr>
        <w:t>nombre, número de inventario, marca, modelo, serie, uso, número de factura, costo, fecha de adquisición, estado de conservación</w:t>
      </w:r>
      <w:r w:rsidR="006564BD">
        <w:rPr>
          <w:rFonts w:ascii="Palatino Linotype" w:hAnsi="Palatino Linotype"/>
        </w:rPr>
        <w:t>; bajo los siguientes formatos:</w:t>
      </w:r>
    </w:p>
    <w:p w14:paraId="4C97773C" w14:textId="6B008D6C" w:rsidR="006564BD" w:rsidRDefault="006564BD" w:rsidP="00C9200B">
      <w:pPr>
        <w:spacing w:before="240" w:after="240" w:line="360" w:lineRule="auto"/>
        <w:ind w:right="49"/>
        <w:jc w:val="both"/>
        <w:rPr>
          <w:rFonts w:ascii="Palatino Linotype" w:hAnsi="Palatino Linotype"/>
        </w:rPr>
      </w:pPr>
      <w:r w:rsidRPr="006564BD">
        <w:rPr>
          <w:rFonts w:ascii="Palatino Linotype" w:hAnsi="Palatino Linotype"/>
          <w:noProof/>
          <w:lang w:val="es-MX" w:eastAsia="es-MX"/>
        </w:rPr>
        <w:drawing>
          <wp:inline distT="0" distB="0" distL="0" distR="0" wp14:anchorId="0F3E4B71" wp14:editId="370F238A">
            <wp:extent cx="5612130" cy="16192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619250"/>
                    </a:xfrm>
                    <a:prstGeom prst="rect">
                      <a:avLst/>
                    </a:prstGeom>
                  </pic:spPr>
                </pic:pic>
              </a:graphicData>
            </a:graphic>
          </wp:inline>
        </w:drawing>
      </w:r>
    </w:p>
    <w:p w14:paraId="02D04FAD" w14:textId="5AD32D37" w:rsidR="006564BD" w:rsidRDefault="006564BD" w:rsidP="00C9200B">
      <w:pPr>
        <w:spacing w:before="240" w:after="240" w:line="360" w:lineRule="auto"/>
        <w:ind w:right="49"/>
        <w:jc w:val="both"/>
        <w:rPr>
          <w:rFonts w:ascii="Palatino Linotype" w:hAnsi="Palatino Linotype"/>
        </w:rPr>
      </w:pPr>
      <w:r w:rsidRPr="006564BD">
        <w:rPr>
          <w:rFonts w:ascii="Palatino Linotype" w:hAnsi="Palatino Linotype"/>
          <w:noProof/>
          <w:lang w:val="es-MX" w:eastAsia="es-MX"/>
        </w:rPr>
        <w:lastRenderedPageBreak/>
        <w:drawing>
          <wp:inline distT="0" distB="0" distL="0" distR="0" wp14:anchorId="110933D2" wp14:editId="2025892C">
            <wp:extent cx="5676900" cy="738251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1118" cy="7387995"/>
                    </a:xfrm>
                    <a:prstGeom prst="rect">
                      <a:avLst/>
                    </a:prstGeom>
                  </pic:spPr>
                </pic:pic>
              </a:graphicData>
            </a:graphic>
          </wp:inline>
        </w:drawing>
      </w:r>
    </w:p>
    <w:p w14:paraId="4DEFFA54" w14:textId="4A54760C" w:rsidR="00CF27D0" w:rsidRDefault="006564BD" w:rsidP="00CF27D0">
      <w:pPr>
        <w:autoSpaceDE w:val="0"/>
        <w:autoSpaceDN w:val="0"/>
        <w:adjustRightInd w:val="0"/>
        <w:spacing w:before="240" w:after="240" w:line="360" w:lineRule="auto"/>
        <w:jc w:val="both"/>
        <w:rPr>
          <w:rFonts w:ascii="Palatino Linotype" w:hAnsi="Palatino Linotype"/>
          <w:color w:val="000000"/>
        </w:rPr>
      </w:pPr>
      <w:r>
        <w:rPr>
          <w:rFonts w:ascii="Palatino Linotype" w:hAnsi="Palatino Linotype"/>
        </w:rPr>
        <w:lastRenderedPageBreak/>
        <w:t>Ello</w:t>
      </w:r>
      <w:r w:rsidR="0020460D">
        <w:rPr>
          <w:rFonts w:ascii="Palatino Linotype" w:hAnsi="Palatino Linotype"/>
        </w:rPr>
        <w:t>,</w:t>
      </w:r>
      <w:r>
        <w:rPr>
          <w:rFonts w:ascii="Palatino Linotype" w:hAnsi="Palatino Linotype"/>
        </w:rPr>
        <w:t xml:space="preserve"> autoriza a concluir que el inventario general de bienes patrimoniales o en su caso, la cedula de bienes patrimoniales de bajo costo, </w:t>
      </w:r>
      <w:r w:rsidR="00CF27D0">
        <w:rPr>
          <w:rFonts w:ascii="Palatino Linotype" w:hAnsi="Palatino Linotype"/>
        </w:rPr>
        <w:t xml:space="preserve">son los instrumentos que permiten llevar un control de los bienes muebles propiedad del Municipio, que debe ser actualizados dos veces al año, </w:t>
      </w:r>
      <w:r w:rsidR="00CF27D0" w:rsidRPr="00CF27D0">
        <w:rPr>
          <w:rFonts w:ascii="Palatino Linotype" w:hAnsi="Palatino Linotype"/>
        </w:rPr>
        <w:t>el primero a más tardar el último día hábil del mes de junio, el segundo el último día hábil del mes de diciembre</w:t>
      </w:r>
      <w:r w:rsidR="00CF27D0">
        <w:rPr>
          <w:rFonts w:ascii="Palatino Linotype" w:hAnsi="Palatino Linotype"/>
        </w:rPr>
        <w:t xml:space="preserve">, por lo que resulta indubitable que el </w:t>
      </w:r>
      <w:r w:rsidR="00CF27D0">
        <w:rPr>
          <w:rFonts w:ascii="Palatino Linotype" w:hAnsi="Palatino Linotype"/>
          <w:b/>
        </w:rPr>
        <w:t xml:space="preserve">Sujeto Obligado </w:t>
      </w:r>
      <w:r w:rsidR="00CF27D0">
        <w:rPr>
          <w:rFonts w:ascii="Palatino Linotype" w:hAnsi="Palatino Linotype"/>
        </w:rPr>
        <w:t xml:space="preserve">debe contar con los inventarios de bienes muebles de los ejercicios fiscales 2016, 2017 y el correspondiente al mes de junio de 2018, atendiendo la fecha en que fue interpuesta la solicitud de acceso a la información, sin que obste, que el particular desea conocer también, cuantas luminarias fueron sustituidas, arregladas o transformadas, por lo que conviene hacer alusión a los </w:t>
      </w:r>
      <w:r w:rsidR="00CF27D0">
        <w:rPr>
          <w:rFonts w:ascii="Palatino Linotype" w:hAnsi="Palatino Linotype"/>
          <w:color w:val="000000"/>
        </w:rPr>
        <w:t>Lineamientos para la integración del Informe Mensual 2018 establecidos por el OSFEM en cuyo contenido se localizan los formatos relacionados con el control de bienes muebles, como se puede observar en la siguiente captura de pantalla:</w:t>
      </w:r>
    </w:p>
    <w:p w14:paraId="5CBC9894" w14:textId="1BC4462F" w:rsidR="00CF27D0" w:rsidRDefault="00CF27D0" w:rsidP="00CF27D0">
      <w:pPr>
        <w:autoSpaceDE w:val="0"/>
        <w:autoSpaceDN w:val="0"/>
        <w:adjustRightInd w:val="0"/>
        <w:spacing w:before="240" w:after="240" w:line="360" w:lineRule="auto"/>
        <w:jc w:val="both"/>
        <w:rPr>
          <w:rFonts w:ascii="Palatino Linotype" w:hAnsi="Palatino Linotype"/>
          <w:color w:val="000000"/>
        </w:rPr>
      </w:pPr>
      <w:r w:rsidRPr="00CF27D0">
        <w:rPr>
          <w:rFonts w:ascii="Palatino Linotype" w:hAnsi="Palatino Linotype"/>
          <w:noProof/>
          <w:color w:val="000000"/>
          <w:lang w:val="es-MX" w:eastAsia="es-MX"/>
        </w:rPr>
        <w:drawing>
          <wp:inline distT="0" distB="0" distL="0" distR="0" wp14:anchorId="53C54C65" wp14:editId="11619A6A">
            <wp:extent cx="5612130" cy="301942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019425"/>
                    </a:xfrm>
                    <a:prstGeom prst="rect">
                      <a:avLst/>
                    </a:prstGeom>
                  </pic:spPr>
                </pic:pic>
              </a:graphicData>
            </a:graphic>
          </wp:inline>
        </w:drawing>
      </w:r>
    </w:p>
    <w:p w14:paraId="0393307C" w14:textId="79F435B7" w:rsidR="00C97EF1" w:rsidRDefault="00C97EF1" w:rsidP="00CF27D0">
      <w:pPr>
        <w:autoSpaceDE w:val="0"/>
        <w:autoSpaceDN w:val="0"/>
        <w:adjustRightInd w:val="0"/>
        <w:spacing w:before="240" w:after="240" w:line="360" w:lineRule="auto"/>
        <w:jc w:val="both"/>
        <w:rPr>
          <w:rFonts w:ascii="Palatino Linotype" w:hAnsi="Palatino Linotype"/>
          <w:color w:val="000000"/>
        </w:rPr>
      </w:pPr>
      <w:r>
        <w:rPr>
          <w:rFonts w:ascii="Palatino Linotype" w:hAnsi="Palatino Linotype"/>
          <w:color w:val="000000"/>
        </w:rPr>
        <w:lastRenderedPageBreak/>
        <w:t xml:space="preserve">Reporte que el </w:t>
      </w:r>
      <w:r>
        <w:rPr>
          <w:rFonts w:ascii="Palatino Linotype" w:hAnsi="Palatino Linotype"/>
          <w:b/>
          <w:color w:val="000000"/>
        </w:rPr>
        <w:t xml:space="preserve">Sujeto Obligado </w:t>
      </w:r>
      <w:proofErr w:type="gramStart"/>
      <w:r>
        <w:rPr>
          <w:rFonts w:ascii="Palatino Linotype" w:hAnsi="Palatino Linotype"/>
          <w:color w:val="000000"/>
        </w:rPr>
        <w:t>a</w:t>
      </w:r>
      <w:proofErr w:type="gramEnd"/>
      <w:r>
        <w:rPr>
          <w:rFonts w:ascii="Palatino Linotype" w:hAnsi="Palatino Linotype"/>
          <w:color w:val="000000"/>
        </w:rPr>
        <w:t xml:space="preserve"> generado en el periodo solicitado por el particular, esto es, desde el 2013 hasta el primer semestre del 2018, según se puedo constatar en los Lineamientos para la Integración del informes mensual respectivos.</w:t>
      </w:r>
    </w:p>
    <w:p w14:paraId="28F02672" w14:textId="3279FD6F" w:rsidR="00A657BC" w:rsidRDefault="00C97EF1" w:rsidP="00A657BC">
      <w:pPr>
        <w:autoSpaceDE w:val="0"/>
        <w:autoSpaceDN w:val="0"/>
        <w:adjustRightInd w:val="0"/>
        <w:spacing w:before="240" w:after="240" w:line="360" w:lineRule="auto"/>
        <w:jc w:val="both"/>
        <w:rPr>
          <w:rFonts w:ascii="Palatino Linotype" w:hAnsi="Palatino Linotype"/>
          <w:color w:val="000000"/>
        </w:rPr>
      </w:pPr>
      <w:r>
        <w:rPr>
          <w:rFonts w:ascii="Palatino Linotype" w:hAnsi="Palatino Linotype"/>
          <w:color w:val="000000"/>
        </w:rPr>
        <w:t xml:space="preserve">En consecuencia, la información solicitada consta en una expresión documental que genera, posee y administra el Ayuntamiento de Tenango del aire, denominadas “cedula” o “reporte” de bienes muebles patrimonial y de bajo costo, dependiendo del costo de cada equipo, aunado a que la unidad de Servicios Públicos es la responsable de organizar, supervisar y controlar los trabajos de aplicación o sustitución de alumbrado público en las calles, avenidas, plazas, jardines y lugares públicos en territorio municipal, en consecuencia el </w:t>
      </w:r>
      <w:r>
        <w:rPr>
          <w:rFonts w:ascii="Palatino Linotype" w:hAnsi="Palatino Linotype"/>
          <w:b/>
          <w:color w:val="000000"/>
        </w:rPr>
        <w:t xml:space="preserve">Sujeto Obligado </w:t>
      </w:r>
      <w:r>
        <w:rPr>
          <w:rFonts w:ascii="Palatino Linotype" w:hAnsi="Palatino Linotype"/>
          <w:color w:val="000000"/>
        </w:rPr>
        <w:t xml:space="preserve">deberá atender los requerimientos de información, </w:t>
      </w:r>
      <w:r w:rsidR="00A657BC">
        <w:rPr>
          <w:rFonts w:ascii="Palatino Linotype" w:hAnsi="Palatino Linotype"/>
          <w:color w:val="000000"/>
        </w:rPr>
        <w:t xml:space="preserve">al mayor grado de desagregación posible, en el entendido de que no está obligados a generar documentos </w:t>
      </w:r>
      <w:r w:rsidR="00A657BC">
        <w:rPr>
          <w:rFonts w:ascii="Palatino Linotype" w:hAnsi="Palatino Linotype"/>
          <w:i/>
          <w:color w:val="000000"/>
        </w:rPr>
        <w:t xml:space="preserve">ad hoc </w:t>
      </w:r>
      <w:r w:rsidR="00A657BC">
        <w:rPr>
          <w:rFonts w:ascii="Palatino Linotype" w:hAnsi="Palatino Linotype"/>
          <w:color w:val="000000"/>
        </w:rPr>
        <w:t>para satisfacer las solicitudes de los gobernados.</w:t>
      </w:r>
    </w:p>
    <w:p w14:paraId="6E098801" w14:textId="77777777" w:rsidR="00A657BC" w:rsidRDefault="00A657BC" w:rsidP="00A657BC">
      <w:pPr>
        <w:spacing w:before="240" w:after="240" w:line="360" w:lineRule="auto"/>
        <w:ind w:right="49"/>
        <w:jc w:val="both"/>
        <w:rPr>
          <w:rFonts w:ascii="Palatino Linotype" w:hAnsi="Palatino Linotype"/>
        </w:rPr>
      </w:pPr>
      <w:r>
        <w:rPr>
          <w:rFonts w:ascii="Palatino Linotype" w:hAnsi="Palatino Linotype"/>
          <w:color w:val="000000"/>
        </w:rPr>
        <w:t xml:space="preserve">En otro aspecto, de los requerimientos en análisis, se advierte que el particular solicitó </w:t>
      </w:r>
      <w:r>
        <w:rPr>
          <w:rFonts w:ascii="Palatino Linotype" w:hAnsi="Palatino Linotype"/>
        </w:rPr>
        <w:t>el “Registro Permanente de Usuario” asignado al servicio de alumbrado público, asignado tanto al servicio estimado como al servicio medido.</w:t>
      </w:r>
    </w:p>
    <w:p w14:paraId="72C11F59" w14:textId="1BFA651F" w:rsidR="00A657BC" w:rsidRDefault="00A657BC" w:rsidP="00A657BC">
      <w:pPr>
        <w:spacing w:before="240" w:after="240" w:line="360" w:lineRule="auto"/>
        <w:ind w:right="49"/>
        <w:jc w:val="both"/>
        <w:rPr>
          <w:rFonts w:ascii="Palatino Linotype" w:hAnsi="Palatino Linotype"/>
        </w:rPr>
      </w:pPr>
      <w:r>
        <w:rPr>
          <w:rFonts w:ascii="Palatino Linotype" w:hAnsi="Palatino Linotype"/>
        </w:rPr>
        <w:t xml:space="preserve">Termino que se encuentra reconocido en el </w:t>
      </w:r>
      <w:r>
        <w:rPr>
          <w:rFonts w:ascii="Palatino Linotype" w:hAnsi="Palatino Linotype"/>
          <w:b/>
        </w:rPr>
        <w:t xml:space="preserve">Acuerdo </w:t>
      </w:r>
      <w:r w:rsidR="00721A78">
        <w:rPr>
          <w:rFonts w:ascii="Palatino Linotype" w:hAnsi="Palatino Linotype"/>
          <w:b/>
        </w:rPr>
        <w:t>Número</w:t>
      </w:r>
      <w:r>
        <w:rPr>
          <w:rFonts w:ascii="Palatino Linotype" w:hAnsi="Palatino Linotype"/>
          <w:b/>
        </w:rPr>
        <w:t xml:space="preserve"> A/031/2016, c</w:t>
      </w:r>
      <w:r w:rsidRPr="00656C0A">
        <w:rPr>
          <w:rFonts w:ascii="Palatino Linotype" w:hAnsi="Palatino Linotype"/>
        </w:rPr>
        <w:t xml:space="preserve">omo el número </w:t>
      </w:r>
      <w:r>
        <w:rPr>
          <w:rFonts w:ascii="Palatino Linotype" w:hAnsi="Palatino Linotype"/>
        </w:rPr>
        <w:t>único de identificación que equivale al número de servicio, según se puede leer enseguida:</w:t>
      </w:r>
    </w:p>
    <w:p w14:paraId="75DC9722" w14:textId="77777777" w:rsidR="00A657BC" w:rsidRPr="00656C0A" w:rsidRDefault="00A657BC" w:rsidP="00A657BC">
      <w:pPr>
        <w:spacing w:after="120"/>
        <w:ind w:left="851" w:right="902"/>
        <w:jc w:val="both"/>
        <w:rPr>
          <w:rFonts w:ascii="Palatino Linotype" w:hAnsi="Palatino Linotype"/>
          <w:i/>
          <w:sz w:val="20"/>
          <w:szCs w:val="20"/>
        </w:rPr>
      </w:pPr>
      <w:r>
        <w:rPr>
          <w:rFonts w:ascii="Palatino Linotype" w:hAnsi="Palatino Linotype" w:cs="Arial"/>
          <w:b/>
          <w:bCs/>
          <w:i/>
          <w:caps/>
          <w:color w:val="2F2F2F"/>
          <w:sz w:val="20"/>
          <w:szCs w:val="20"/>
          <w:shd w:val="clear" w:color="auto" w:fill="FFFFFF"/>
        </w:rPr>
        <w:t>“</w:t>
      </w:r>
      <w:r w:rsidRPr="00656C0A">
        <w:rPr>
          <w:rFonts w:ascii="Palatino Linotype" w:hAnsi="Palatino Linotype" w:cs="Arial"/>
          <w:b/>
          <w:bCs/>
          <w:i/>
          <w:caps/>
          <w:color w:val="2F2F2F"/>
          <w:sz w:val="20"/>
          <w:szCs w:val="20"/>
          <w:shd w:val="clear" w:color="auto" w:fill="FFFFFF"/>
        </w:rPr>
        <w:t>OCTAVO. </w:t>
      </w:r>
      <w:r w:rsidRPr="00656C0A">
        <w:rPr>
          <w:rFonts w:ascii="Palatino Linotype" w:hAnsi="Palatino Linotype" w:cs="Arial"/>
          <w:i/>
          <w:color w:val="2F2F2F"/>
          <w:sz w:val="20"/>
          <w:szCs w:val="20"/>
          <w:shd w:val="clear" w:color="auto" w:fill="FFFFFF"/>
        </w:rPr>
        <w:t xml:space="preserve">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w:t>
      </w:r>
      <w:r w:rsidRPr="00656C0A">
        <w:rPr>
          <w:rFonts w:ascii="Palatino Linotype" w:hAnsi="Palatino Linotype" w:cs="Arial"/>
          <w:i/>
          <w:color w:val="2F2F2F"/>
          <w:sz w:val="20"/>
          <w:szCs w:val="20"/>
          <w:shd w:val="clear" w:color="auto" w:fill="FFFFFF"/>
        </w:rPr>
        <w:lastRenderedPageBreak/>
        <w:t>de identificación equivale al número de servicio, también llamado registro permanente de usuario (RPU).</w:t>
      </w:r>
      <w:r>
        <w:rPr>
          <w:rFonts w:ascii="Palatino Linotype" w:hAnsi="Palatino Linotype" w:cs="Arial"/>
          <w:i/>
          <w:color w:val="2F2F2F"/>
          <w:sz w:val="20"/>
          <w:szCs w:val="20"/>
          <w:shd w:val="clear" w:color="auto" w:fill="FFFFFF"/>
        </w:rPr>
        <w:t>”</w:t>
      </w:r>
    </w:p>
    <w:p w14:paraId="2A9EF2A8" w14:textId="77777777" w:rsidR="00A657BC" w:rsidRDefault="00A657BC" w:rsidP="00A657BC">
      <w:pPr>
        <w:spacing w:before="240" w:after="240" w:line="360" w:lineRule="auto"/>
        <w:ind w:right="49"/>
        <w:jc w:val="both"/>
        <w:rPr>
          <w:rFonts w:ascii="Palatino Linotype" w:hAnsi="Palatino Linotype"/>
        </w:rPr>
      </w:pPr>
      <w:r w:rsidRPr="00BA1D0F">
        <w:rPr>
          <w:rFonts w:ascii="Palatino Linotype" w:hAnsi="Palatino Linotype"/>
        </w:rPr>
        <w:t>Así, en términos</w:t>
      </w:r>
      <w:r>
        <w:rPr>
          <w:rFonts w:ascii="Palatino Linotype" w:hAnsi="Palatino Linotype"/>
        </w:rPr>
        <w:t xml:space="preserve"> del numeral I de los Lineamientos para la Asignación del Registro Móvil de Usuario (RMU), el registro permanente de usuario (RPU) es remplazado por el RMU, utilizado por la Comisión Federal de Electricidad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14:paraId="5102C07E" w14:textId="60514D44" w:rsidR="00A657BC" w:rsidRDefault="00A657BC" w:rsidP="00E343DD">
      <w:pPr>
        <w:spacing w:before="240" w:after="240" w:line="360" w:lineRule="auto"/>
        <w:ind w:right="49"/>
        <w:jc w:val="center"/>
        <w:rPr>
          <w:rFonts w:ascii="Palatino Linotype" w:hAnsi="Palatino Linotype"/>
        </w:rPr>
      </w:pPr>
      <w:r w:rsidRPr="00CA54B7">
        <w:rPr>
          <w:rFonts w:ascii="Palatino Linotype" w:hAnsi="Palatino Linotype"/>
          <w:noProof/>
          <w:lang w:val="es-MX" w:eastAsia="es-MX"/>
        </w:rPr>
        <w:drawing>
          <wp:inline distT="0" distB="0" distL="0" distR="0" wp14:anchorId="7819868C" wp14:editId="064B94D6">
            <wp:extent cx="4467849" cy="2676899"/>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7849" cy="2676899"/>
                    </a:xfrm>
                    <a:prstGeom prst="rect">
                      <a:avLst/>
                    </a:prstGeom>
                  </pic:spPr>
                </pic:pic>
              </a:graphicData>
            </a:graphic>
          </wp:inline>
        </w:drawing>
      </w:r>
    </w:p>
    <w:p w14:paraId="2A0E0425" w14:textId="2509B2D5" w:rsidR="00E343DD" w:rsidRDefault="00E343DD" w:rsidP="00E343DD">
      <w:pPr>
        <w:spacing w:before="240" w:after="240" w:line="360" w:lineRule="auto"/>
        <w:ind w:right="49"/>
        <w:jc w:val="both"/>
        <w:rPr>
          <w:rFonts w:ascii="Palatino Linotype" w:hAnsi="Palatino Linotype"/>
        </w:rPr>
      </w:pPr>
      <w:r>
        <w:rPr>
          <w:rFonts w:ascii="Palatino Linotype" w:hAnsi="Palatino Linotype"/>
        </w:rPr>
        <w:t>Registro Móvil</w:t>
      </w:r>
      <w:r w:rsidR="00DA5F4E">
        <w:rPr>
          <w:rFonts w:ascii="Palatino Linotype" w:hAnsi="Palatino Linotype"/>
        </w:rPr>
        <w:t xml:space="preserve"> de Usuario, o bien, según fue señalado por el particular en su solicitud de acceso a la información como Registro Permanente de Usuario (RPU o </w:t>
      </w:r>
      <w:proofErr w:type="spellStart"/>
      <w:r w:rsidR="00DA5F4E">
        <w:rPr>
          <w:rFonts w:ascii="Palatino Linotype" w:hAnsi="Palatino Linotype"/>
        </w:rPr>
        <w:t>RPUs</w:t>
      </w:r>
      <w:proofErr w:type="spellEnd"/>
      <w:r w:rsidR="00DA5F4E">
        <w:rPr>
          <w:rFonts w:ascii="Palatino Linotype" w:hAnsi="Palatino Linotype"/>
        </w:rPr>
        <w:t>), se localiza en el “aviso de recibo”, como se observa en la siguiente captura de pantalla:</w:t>
      </w:r>
    </w:p>
    <w:p w14:paraId="001E590B" w14:textId="42C67086" w:rsidR="00DA5F4E" w:rsidRDefault="00DA5F4E" w:rsidP="00E343DD">
      <w:pPr>
        <w:spacing w:before="240" w:after="240" w:line="360" w:lineRule="auto"/>
        <w:ind w:right="49"/>
        <w:jc w:val="both"/>
        <w:rPr>
          <w:rFonts w:ascii="Palatino Linotype" w:hAnsi="Palatino Linotype"/>
        </w:rPr>
      </w:pPr>
      <w:r w:rsidRPr="00DA5F4E">
        <w:rPr>
          <w:rFonts w:ascii="Palatino Linotype" w:hAnsi="Palatino Linotype"/>
          <w:noProof/>
          <w:lang w:val="es-MX" w:eastAsia="es-MX"/>
        </w:rPr>
        <w:lastRenderedPageBreak/>
        <w:drawing>
          <wp:inline distT="0" distB="0" distL="0" distR="0" wp14:anchorId="51D793F5" wp14:editId="0B31CBA7">
            <wp:extent cx="5612130" cy="259588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595880"/>
                    </a:xfrm>
                    <a:prstGeom prst="rect">
                      <a:avLst/>
                    </a:prstGeom>
                  </pic:spPr>
                </pic:pic>
              </a:graphicData>
            </a:graphic>
          </wp:inline>
        </w:drawing>
      </w:r>
    </w:p>
    <w:p w14:paraId="37E9F285" w14:textId="39B4C365" w:rsidR="00DA5F4E" w:rsidRDefault="00DA5F4E" w:rsidP="00E343DD">
      <w:pPr>
        <w:spacing w:before="240" w:after="240" w:line="360" w:lineRule="auto"/>
        <w:ind w:right="49"/>
        <w:jc w:val="both"/>
        <w:rPr>
          <w:rFonts w:ascii="Palatino Linotype" w:hAnsi="Palatino Linotype"/>
        </w:rPr>
      </w:pPr>
      <w:r>
        <w:rPr>
          <w:rFonts w:ascii="Palatino Linotype" w:hAnsi="Palatino Linotype"/>
        </w:rPr>
        <w:t>En consecuencias, resulta procedente ordenar la entrega del soporte documental</w:t>
      </w:r>
      <w:r w:rsidR="00A069C3">
        <w:rPr>
          <w:rFonts w:ascii="Palatino Linotype" w:hAnsi="Palatino Linotype"/>
        </w:rPr>
        <w:t>,</w:t>
      </w:r>
      <w:r>
        <w:rPr>
          <w:rFonts w:ascii="Palatino Linotype" w:hAnsi="Palatino Linotype"/>
        </w:rPr>
        <w:t xml:space="preserve"> que de manera enunciativa es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p>
    <w:p w14:paraId="67D3CECD" w14:textId="4ADD7775" w:rsidR="00B46D60" w:rsidRPr="00231EF0" w:rsidRDefault="00B46D60" w:rsidP="00B46D60">
      <w:pPr>
        <w:autoSpaceDE w:val="0"/>
        <w:autoSpaceDN w:val="0"/>
        <w:adjustRightInd w:val="0"/>
        <w:spacing w:line="360" w:lineRule="auto"/>
        <w:ind w:right="49"/>
        <w:jc w:val="both"/>
        <w:rPr>
          <w:rFonts w:ascii="Palatino Linotype" w:eastAsiaTheme="minorEastAsia" w:hAnsi="Palatino Linotype" w:cs="Arial"/>
        </w:rPr>
      </w:pPr>
      <w:r w:rsidRPr="00231EF0">
        <w:rPr>
          <w:rFonts w:ascii="Palatino Linotype" w:hAnsi="Palatino Linotype" w:cs="Arial"/>
        </w:rPr>
        <w:t xml:space="preserve">Siguiendo con el análisis y relacionado con </w:t>
      </w:r>
      <w:r>
        <w:rPr>
          <w:rFonts w:ascii="Palatino Linotype" w:hAnsi="Palatino Linotype" w:cs="Arial"/>
        </w:rPr>
        <w:t xml:space="preserve">el </w:t>
      </w:r>
      <w:r>
        <w:rPr>
          <w:rFonts w:ascii="Palatino Linotype" w:hAnsi="Palatino Linotype" w:cs="Arial"/>
          <w:b/>
        </w:rPr>
        <w:t>Grupo 4</w:t>
      </w:r>
      <w:r w:rsidRPr="00231EF0">
        <w:rPr>
          <w:rFonts w:ascii="Palatino Linotype" w:hAnsi="Palatino Linotype" w:cs="Arial"/>
        </w:rPr>
        <w:t xml:space="preserve"> de</w:t>
      </w:r>
      <w:r>
        <w:rPr>
          <w:rFonts w:ascii="Palatino Linotype" w:hAnsi="Palatino Linotype" w:cs="Arial"/>
        </w:rPr>
        <w:t xml:space="preserve"> los puntos solicitados por la particular</w:t>
      </w:r>
      <w:r w:rsidRPr="00231EF0">
        <w:rPr>
          <w:rFonts w:ascii="Palatino Linotype" w:hAnsi="Palatino Linotype" w:cs="Arial"/>
        </w:rPr>
        <w:t>, es de precisar que se trata de ampliaciones y modificaciones en el sistema de alumbrado público, el cual de acuerdo con el</w:t>
      </w:r>
      <w:r w:rsidRPr="00231EF0">
        <w:rPr>
          <w:rFonts w:ascii="Palatino Linotype" w:eastAsiaTheme="minorEastAsia" w:hAnsi="Palatino Linotype" w:cs="Arial"/>
        </w:rPr>
        <w:t xml:space="preserve"> Libro Décimo Segundo del Código Administrativo del Estado de México, se considera Obra Pública 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r w:rsidRPr="00231EF0">
        <w:rPr>
          <w:rStyle w:val="Refdenotaalpie"/>
          <w:rFonts w:ascii="Palatino Linotype" w:eastAsiaTheme="minorEastAsia" w:hAnsi="Palatino Linotype" w:cs="Arial"/>
        </w:rPr>
        <w:footnoteReference w:id="9"/>
      </w:r>
      <w:r w:rsidRPr="00231EF0">
        <w:rPr>
          <w:rFonts w:ascii="Palatino Linotype" w:eastAsiaTheme="minorEastAsia" w:hAnsi="Palatino Linotype" w:cs="Arial"/>
        </w:rPr>
        <w:t xml:space="preserve">. </w:t>
      </w:r>
    </w:p>
    <w:p w14:paraId="43B16A7C" w14:textId="77777777" w:rsidR="00B46D60" w:rsidRPr="00231EF0" w:rsidRDefault="00B46D60" w:rsidP="00130A42">
      <w:pPr>
        <w:autoSpaceDE w:val="0"/>
        <w:autoSpaceDN w:val="0"/>
        <w:adjustRightInd w:val="0"/>
        <w:spacing w:before="240" w:after="240" w:line="360" w:lineRule="auto"/>
        <w:ind w:right="51"/>
        <w:jc w:val="both"/>
        <w:rPr>
          <w:rFonts w:ascii="Palatino Linotype" w:eastAsiaTheme="minorEastAsia" w:hAnsi="Palatino Linotype" w:cs="Arial"/>
        </w:rPr>
      </w:pPr>
      <w:r w:rsidRPr="00231EF0">
        <w:rPr>
          <w:rFonts w:ascii="Palatino Linotype" w:eastAsiaTheme="minorEastAsia" w:hAnsi="Palatino Linotype" w:cs="Arial"/>
        </w:rPr>
        <w:lastRenderedPageBreak/>
        <w:t>De igual forma, quedan comprendidos dentro de la definición de Obra Pública: el</w:t>
      </w:r>
      <w:r w:rsidRPr="00231EF0">
        <w:rPr>
          <w:rFonts w:ascii="Palatino Linotype" w:eastAsiaTheme="minorEastAsia" w:hAnsi="Palatino Linotype" w:cs="Arial"/>
          <w:i/>
        </w:rPr>
        <w:t xml:space="preserve"> </w:t>
      </w:r>
      <w:r w:rsidRPr="00231EF0">
        <w:rPr>
          <w:rFonts w:ascii="Palatino Linotype" w:eastAsiaTheme="minorEastAsia" w:hAnsi="Palatino Linotype" w:cs="Arial"/>
        </w:rPr>
        <w:t xml:space="preserve">mantenimiento, restauración, desmantelamiento o remoción de bienes muebles incorporados o adheridos a un inmueble; los proyectos integrales o comúnmente denominados llave en mano, en los cuales el contratista se obliga desde el diseño de la obra hasta su terminación total, incluyéndose, cuando se requiera, la transferencia de tecnología; los trabajos de exploración, localización y perforación; mejoramiento del suelo y/o subsuelo; desmontes y extracción y aquellos similares que tengan por objeto la explotación y desarrollo de los recursos naturales que se encuentran en el suelo y/o subsuelo;  los trabajos de infraestructura agropecuaria e </w:t>
      </w:r>
      <w:proofErr w:type="spellStart"/>
      <w:r w:rsidRPr="00231EF0">
        <w:rPr>
          <w:rFonts w:ascii="Palatino Linotype" w:eastAsiaTheme="minorEastAsia" w:hAnsi="Palatino Linotype" w:cs="Arial"/>
        </w:rPr>
        <w:t>hidroagrícola</w:t>
      </w:r>
      <w:proofErr w:type="spellEnd"/>
      <w:r w:rsidRPr="00231EF0">
        <w:rPr>
          <w:rFonts w:ascii="Palatino Linotype" w:eastAsiaTheme="minorEastAsia" w:hAnsi="Palatino Linotype" w:cs="Arial"/>
        </w:rPr>
        <w:t>: y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de acuerdo con el artículo 12.4 del Código Administrativo del Estado de México.</w:t>
      </w:r>
    </w:p>
    <w:p w14:paraId="084EF2FD" w14:textId="77777777" w:rsidR="00B46D60" w:rsidRPr="00231EF0" w:rsidRDefault="00B46D60" w:rsidP="00130A42">
      <w:pPr>
        <w:autoSpaceDE w:val="0"/>
        <w:autoSpaceDN w:val="0"/>
        <w:adjustRightInd w:val="0"/>
        <w:spacing w:before="240" w:after="240" w:line="360" w:lineRule="auto"/>
        <w:ind w:right="51"/>
        <w:jc w:val="both"/>
        <w:rPr>
          <w:rFonts w:ascii="Palatino Linotype" w:eastAsiaTheme="minorEastAsia" w:hAnsi="Palatino Linotype" w:cs="Arial"/>
          <w:i/>
        </w:rPr>
      </w:pPr>
      <w:r w:rsidRPr="00231EF0">
        <w:rPr>
          <w:rFonts w:ascii="Palatino Linotype" w:eastAsiaTheme="minorEastAsia" w:hAnsi="Palatino Linotype" w:cs="Arial"/>
        </w:rPr>
        <w:t>Asimismo, el libro en mérito señala que corresponde a los Ayuntamientos en el ámbito de sus respectivas competencias podrán ejecutar las obras públicas y de servicios mediante contrato con terceros o por administración directa, cuando a su juicio cuenten con elementos propios y organización necesaria</w:t>
      </w:r>
      <w:r w:rsidRPr="00231EF0">
        <w:rPr>
          <w:rStyle w:val="Refdenotaalpie"/>
          <w:rFonts w:ascii="Palatino Linotype" w:eastAsiaTheme="minorEastAsia" w:hAnsi="Palatino Linotype" w:cs="Arial"/>
        </w:rPr>
        <w:footnoteReference w:id="10"/>
      </w:r>
      <w:r w:rsidRPr="00231EF0">
        <w:rPr>
          <w:rFonts w:ascii="Palatino Linotype" w:eastAsiaTheme="minorEastAsia" w:hAnsi="Palatino Linotype" w:cs="Arial"/>
        </w:rPr>
        <w:t xml:space="preserve"> ; igualmente y según las características, complejidad y magnitud de los trabajos formularán los programas de obra o de servicios relacionados con la misma así como sus </w:t>
      </w:r>
      <w:r w:rsidRPr="00231EF0">
        <w:rPr>
          <w:rFonts w:ascii="Palatino Linotype" w:eastAsiaTheme="minorEastAsia" w:hAnsi="Palatino Linotype" w:cs="Arial"/>
        </w:rPr>
        <w:lastRenderedPageBreak/>
        <w:t>respectivos presupuestos, con base en las políticas, objetivos y prioridades de la planeación del desarrollo del Estado y de los municipios</w:t>
      </w:r>
      <w:r w:rsidRPr="00231EF0">
        <w:rPr>
          <w:rStyle w:val="Refdenotaalpie"/>
          <w:rFonts w:ascii="Palatino Linotype" w:eastAsiaTheme="minorEastAsia" w:hAnsi="Palatino Linotype" w:cs="Arial"/>
        </w:rPr>
        <w:footnoteReference w:id="11"/>
      </w:r>
      <w:r w:rsidRPr="00231EF0">
        <w:rPr>
          <w:rFonts w:ascii="Palatino Linotype" w:eastAsiaTheme="minorEastAsia" w:hAnsi="Palatino Linotype" w:cs="Arial"/>
        </w:rPr>
        <w:t xml:space="preserve">. </w:t>
      </w:r>
    </w:p>
    <w:p w14:paraId="57CC8284" w14:textId="77777777" w:rsidR="00B46D60" w:rsidRPr="00231EF0" w:rsidRDefault="00B46D60" w:rsidP="00B46D60">
      <w:pPr>
        <w:autoSpaceDE w:val="0"/>
        <w:autoSpaceDN w:val="0"/>
        <w:adjustRightInd w:val="0"/>
        <w:spacing w:line="360" w:lineRule="auto"/>
        <w:ind w:right="49"/>
        <w:jc w:val="both"/>
        <w:rPr>
          <w:rFonts w:ascii="Palatino Linotype" w:eastAsiaTheme="minorEastAsia" w:hAnsi="Palatino Linotype" w:cs="Arial"/>
        </w:rPr>
      </w:pPr>
      <w:r w:rsidRPr="00231EF0">
        <w:rPr>
          <w:rFonts w:ascii="Palatino Linotype" w:eastAsiaTheme="minorEastAsia" w:hAnsi="Palatino Linotype" w:cs="Arial"/>
        </w:rPr>
        <w:t>En relación con lo anterior, el Código en cita, establece que la contratación de obras o servicios relacionados con la obra pública se adjudicará mediante licitaciones públicas, invitación restringida y adjudicación directa, tal y como se aprecia en los artículos 12.20 y 12.21 del marco normativo de referencia, que a continuación se transcriben:</w:t>
      </w:r>
    </w:p>
    <w:p w14:paraId="5BB7DB0B" w14:textId="77777777" w:rsidR="00B46D60" w:rsidRPr="00130A42" w:rsidRDefault="00B46D60" w:rsidP="00130A42">
      <w:pPr>
        <w:autoSpaceDE w:val="0"/>
        <w:autoSpaceDN w:val="0"/>
        <w:adjustRightInd w:val="0"/>
        <w:spacing w:after="120"/>
        <w:ind w:left="851"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w:t>
      </w:r>
      <w:r w:rsidRPr="00130A42">
        <w:rPr>
          <w:rFonts w:ascii="Palatino Linotype" w:eastAsiaTheme="minorEastAsia" w:hAnsi="Palatino Linotype" w:cs="Arial"/>
          <w:b/>
          <w:i/>
          <w:sz w:val="20"/>
          <w:szCs w:val="20"/>
        </w:rPr>
        <w:t>Artículo 12.20.-</w:t>
      </w:r>
      <w:r w:rsidRPr="00130A42">
        <w:rPr>
          <w:rFonts w:ascii="Palatino Linotype" w:eastAsiaTheme="minorEastAsia" w:hAnsi="Palatino Linotype" w:cs="Arial"/>
          <w:i/>
          <w:sz w:val="20"/>
          <w:szCs w:val="20"/>
        </w:rPr>
        <w:t xml:space="preserve"> Los contratos a que se refiere este Libro, se adjudicarán a través de </w:t>
      </w:r>
      <w:r w:rsidRPr="00130A42">
        <w:rPr>
          <w:rFonts w:ascii="Palatino Linotype" w:eastAsiaTheme="minorEastAsia" w:hAnsi="Palatino Linotype" w:cs="Arial"/>
          <w:b/>
          <w:i/>
          <w:sz w:val="20"/>
          <w:szCs w:val="20"/>
        </w:rPr>
        <w:t>licitaciones públicas</w:t>
      </w:r>
      <w:r w:rsidRPr="00130A42">
        <w:rPr>
          <w:rFonts w:ascii="Palatino Linotype" w:eastAsiaTheme="minorEastAsia" w:hAnsi="Palatino Linotype" w:cs="Arial"/>
          <w:i/>
          <w:sz w:val="20"/>
          <w:szCs w:val="20"/>
        </w:rPr>
        <w:t xml:space="preserve">, mediante </w:t>
      </w:r>
      <w:r w:rsidRPr="00130A42">
        <w:rPr>
          <w:rFonts w:ascii="Palatino Linotype" w:eastAsiaTheme="minorEastAsia" w:hAnsi="Palatino Linotype" w:cs="Arial"/>
          <w:b/>
          <w:i/>
          <w:sz w:val="20"/>
          <w:szCs w:val="20"/>
        </w:rPr>
        <w:t>convocatoria pública</w:t>
      </w:r>
      <w:r w:rsidRPr="00130A42">
        <w:rPr>
          <w:rFonts w:ascii="Palatino Linotype" w:eastAsiaTheme="minorEastAsia" w:hAnsi="Palatino Linotype" w:cs="Arial"/>
          <w:i/>
          <w:sz w:val="20"/>
          <w:szCs w:val="20"/>
        </w:rPr>
        <w:t>.</w:t>
      </w:r>
    </w:p>
    <w:p w14:paraId="375B0DB6" w14:textId="77777777" w:rsidR="00B46D60" w:rsidRPr="00130A42" w:rsidRDefault="00B46D60" w:rsidP="00130A42">
      <w:pPr>
        <w:autoSpaceDE w:val="0"/>
        <w:autoSpaceDN w:val="0"/>
        <w:adjustRightInd w:val="0"/>
        <w:spacing w:after="120"/>
        <w:ind w:left="851" w:right="900"/>
        <w:jc w:val="both"/>
        <w:rPr>
          <w:rFonts w:ascii="Palatino Linotype" w:eastAsiaTheme="minorEastAsia" w:hAnsi="Palatino Linotype" w:cs="Arial"/>
          <w:i/>
          <w:sz w:val="20"/>
          <w:szCs w:val="20"/>
        </w:rPr>
      </w:pPr>
      <w:r w:rsidRPr="00130A42">
        <w:rPr>
          <w:rFonts w:ascii="Palatino Linotype" w:eastAsiaTheme="minorEastAsia" w:hAnsi="Palatino Linotype" w:cs="Arial"/>
          <w:b/>
          <w:i/>
          <w:sz w:val="20"/>
          <w:szCs w:val="20"/>
        </w:rPr>
        <w:t>Artículo 12.21.-</w:t>
      </w:r>
      <w:r w:rsidRPr="00130A42">
        <w:rPr>
          <w:rFonts w:ascii="Palatino Linotype" w:eastAsiaTheme="minorEastAsia" w:hAnsi="Palatino Linotype" w:cs="Arial"/>
          <w:i/>
          <w:sz w:val="20"/>
          <w:szCs w:val="20"/>
        </w:rPr>
        <w:t>Las dependencias, entidades y ayuntamientos podrán adjudicar contratos para la ejecución de obra pública o servicios relacionados con la misma mediante las excepciones al procedimiento de licitación siguientes:</w:t>
      </w:r>
    </w:p>
    <w:p w14:paraId="3B29DB5B" w14:textId="77777777" w:rsidR="00B46D60" w:rsidRPr="00130A42" w:rsidRDefault="00B46D60" w:rsidP="00130A42">
      <w:pPr>
        <w:autoSpaceDE w:val="0"/>
        <w:autoSpaceDN w:val="0"/>
        <w:adjustRightInd w:val="0"/>
        <w:spacing w:after="120"/>
        <w:ind w:left="1134" w:right="618"/>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I.</w:t>
      </w:r>
      <w:r w:rsidRPr="00130A42">
        <w:rPr>
          <w:rFonts w:ascii="Palatino Linotype" w:eastAsiaTheme="minorEastAsia" w:hAnsi="Palatino Linotype" w:cs="Arial"/>
          <w:i/>
          <w:sz w:val="20"/>
          <w:szCs w:val="20"/>
        </w:rPr>
        <w:tab/>
        <w:t>Invitación restringida;</w:t>
      </w:r>
    </w:p>
    <w:p w14:paraId="4FD0FC89" w14:textId="77777777" w:rsidR="00B46D60" w:rsidRPr="00130A42" w:rsidRDefault="00B46D60" w:rsidP="00130A42">
      <w:pPr>
        <w:autoSpaceDE w:val="0"/>
        <w:autoSpaceDN w:val="0"/>
        <w:adjustRightInd w:val="0"/>
        <w:spacing w:after="120"/>
        <w:ind w:left="1134" w:right="618"/>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II.</w:t>
      </w:r>
      <w:r w:rsidRPr="00130A42">
        <w:rPr>
          <w:rFonts w:ascii="Palatino Linotype" w:eastAsiaTheme="minorEastAsia" w:hAnsi="Palatino Linotype" w:cs="Arial"/>
          <w:i/>
          <w:sz w:val="20"/>
          <w:szCs w:val="20"/>
        </w:rPr>
        <w:tab/>
        <w:t>Adjudicación directa."</w:t>
      </w:r>
    </w:p>
    <w:p w14:paraId="1F7502BE" w14:textId="77777777" w:rsidR="00B46D60" w:rsidRPr="00231EF0" w:rsidRDefault="00B46D60" w:rsidP="00130A42">
      <w:pPr>
        <w:autoSpaceDE w:val="0"/>
        <w:autoSpaceDN w:val="0"/>
        <w:adjustRightInd w:val="0"/>
        <w:spacing w:before="240" w:after="240" w:line="360" w:lineRule="auto"/>
        <w:ind w:right="51"/>
        <w:jc w:val="both"/>
        <w:rPr>
          <w:rFonts w:ascii="Palatino Linotype" w:eastAsiaTheme="minorEastAsia" w:hAnsi="Palatino Linotype" w:cs="Arial"/>
        </w:rPr>
      </w:pPr>
      <w:r w:rsidRPr="00231EF0">
        <w:rPr>
          <w:rFonts w:ascii="Palatino Linotype" w:eastAsiaTheme="minorEastAsia" w:hAnsi="Palatino Linotype" w:cs="Arial"/>
        </w:rPr>
        <w:t>Por ello, en todos los procedimientos de licitación se deberán establecer los mismos requisitos y condiciones para los participantes, debiendo los ayuntamientos proporcionar el acceso al información en igualdad de condiciones a los participantes, dichas licitaciones podrán ser de carácter nacional o internacional de acuerdo con la nacionalidad de los participantes y solamente podrán ser de carácter internacional cuando resulte obligatorio conforme a los tratados internacionales o el ayuntamiento considere que empresas extrajeras pudieran presentar ofertas que convengan a sus intereses</w:t>
      </w:r>
      <w:r w:rsidRPr="00231EF0">
        <w:rPr>
          <w:rStyle w:val="Refdenotaalpie"/>
          <w:rFonts w:ascii="Palatino Linotype" w:eastAsiaTheme="minorEastAsia" w:hAnsi="Palatino Linotype" w:cs="Arial"/>
        </w:rPr>
        <w:footnoteReference w:id="12"/>
      </w:r>
      <w:r w:rsidRPr="00231EF0">
        <w:rPr>
          <w:rFonts w:ascii="Palatino Linotype" w:eastAsiaTheme="minorEastAsia" w:hAnsi="Palatino Linotype" w:cs="Arial"/>
        </w:rPr>
        <w:t>.</w:t>
      </w:r>
    </w:p>
    <w:p w14:paraId="66F6E6DF" w14:textId="77777777" w:rsidR="00B46D60" w:rsidRPr="00231EF0" w:rsidRDefault="00B46D60" w:rsidP="00130A42">
      <w:pPr>
        <w:autoSpaceDE w:val="0"/>
        <w:autoSpaceDN w:val="0"/>
        <w:adjustRightInd w:val="0"/>
        <w:spacing w:before="240" w:after="240" w:line="360" w:lineRule="auto"/>
        <w:ind w:right="51"/>
        <w:jc w:val="both"/>
        <w:rPr>
          <w:rFonts w:ascii="Palatino Linotype" w:eastAsiaTheme="minorEastAsia" w:hAnsi="Palatino Linotype" w:cs="Arial"/>
        </w:rPr>
      </w:pPr>
      <w:r w:rsidRPr="00231EF0">
        <w:rPr>
          <w:rFonts w:ascii="Palatino Linotype" w:eastAsiaTheme="minorEastAsia" w:hAnsi="Palatino Linotype" w:cs="Arial"/>
        </w:rPr>
        <w:lastRenderedPageBreak/>
        <w:t>Para la realización de las licitaciones ya sea de carácter nacional o internacional, el Código en cita menciona que se deberán emitir las convocatorias públicas, las cuales deberán divulgarse cuando menos en uno de los diarios de mayor circulación nacional, así como a través de medios electrónicos y contendrán lo siguiente:</w:t>
      </w:r>
    </w:p>
    <w:p w14:paraId="16BC18D4" w14:textId="475DC319" w:rsidR="00B46D60" w:rsidRPr="00130A42" w:rsidRDefault="00B46D60" w:rsidP="00B46D60">
      <w:pPr>
        <w:autoSpaceDE w:val="0"/>
        <w:autoSpaceDN w:val="0"/>
        <w:adjustRightInd w:val="0"/>
        <w:ind w:left="851" w:right="616"/>
        <w:jc w:val="both"/>
        <w:rPr>
          <w:rFonts w:ascii="Palatino Linotype" w:eastAsiaTheme="minorEastAsia" w:hAnsi="Palatino Linotype" w:cs="Arial"/>
          <w:i/>
          <w:sz w:val="20"/>
          <w:szCs w:val="20"/>
        </w:rPr>
      </w:pPr>
      <w:r w:rsidRPr="00130A42">
        <w:rPr>
          <w:rFonts w:ascii="Palatino Linotype" w:eastAsiaTheme="minorEastAsia" w:hAnsi="Palatino Linotype" w:cs="Arial"/>
          <w:b/>
          <w:i/>
          <w:sz w:val="20"/>
          <w:szCs w:val="20"/>
        </w:rPr>
        <w:t>“Artículo 12.25</w:t>
      </w:r>
      <w:r w:rsidRPr="00130A42">
        <w:rPr>
          <w:rFonts w:ascii="Palatino Linotype" w:eastAsiaTheme="minorEastAsia" w:hAnsi="Palatino Linotype" w:cs="Arial"/>
          <w:i/>
          <w:sz w:val="20"/>
          <w:szCs w:val="20"/>
        </w:rPr>
        <w:t>.-</w:t>
      </w:r>
      <w:r w:rsidR="00130A42">
        <w:rPr>
          <w:rFonts w:ascii="Palatino Linotype" w:eastAsiaTheme="minorEastAsia" w:hAnsi="Palatino Linotype" w:cs="Arial"/>
          <w:i/>
          <w:sz w:val="20"/>
          <w:szCs w:val="20"/>
        </w:rPr>
        <w:t xml:space="preserve"> (</w:t>
      </w:r>
      <w:r w:rsidRPr="00130A42">
        <w:rPr>
          <w:rFonts w:ascii="Palatino Linotype" w:eastAsiaTheme="minorEastAsia" w:hAnsi="Palatino Linotype" w:cs="Arial"/>
          <w:i/>
          <w:sz w:val="20"/>
          <w:szCs w:val="20"/>
        </w:rPr>
        <w:t>…</w:t>
      </w:r>
      <w:r w:rsidR="00130A42">
        <w:rPr>
          <w:rFonts w:ascii="Palatino Linotype" w:eastAsiaTheme="minorEastAsia" w:hAnsi="Palatino Linotype" w:cs="Arial"/>
          <w:i/>
          <w:sz w:val="20"/>
          <w:szCs w:val="20"/>
        </w:rPr>
        <w:t>)</w:t>
      </w:r>
    </w:p>
    <w:p w14:paraId="49114D1D" w14:textId="77777777" w:rsidR="00B46D60" w:rsidRPr="00130A42" w:rsidRDefault="00B46D60" w:rsidP="00130A42">
      <w:pPr>
        <w:pStyle w:val="Prrafodelista"/>
        <w:numPr>
          <w:ilvl w:val="0"/>
          <w:numId w:val="35"/>
        </w:numPr>
        <w:autoSpaceDE w:val="0"/>
        <w:autoSpaceDN w:val="0"/>
        <w:adjustRightInd w:val="0"/>
        <w:spacing w:line="259" w:lineRule="auto"/>
        <w:ind w:left="1134" w:right="900" w:hanging="11"/>
        <w:contextualSpacing/>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El nombre, denominación o razón social de la dependencia, entidad o ayuntamiento convocante;</w:t>
      </w:r>
    </w:p>
    <w:p w14:paraId="37C8320B" w14:textId="77777777" w:rsidR="00B46D60" w:rsidRPr="00130A42" w:rsidRDefault="00B46D60" w:rsidP="00130A42">
      <w:pPr>
        <w:pStyle w:val="Prrafodelista"/>
        <w:numPr>
          <w:ilvl w:val="0"/>
          <w:numId w:val="35"/>
        </w:numPr>
        <w:autoSpaceDE w:val="0"/>
        <w:autoSpaceDN w:val="0"/>
        <w:adjustRightInd w:val="0"/>
        <w:spacing w:line="259" w:lineRule="auto"/>
        <w:ind w:left="1134" w:right="900" w:hanging="11"/>
        <w:contextualSpacing/>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El nombre y la descripción general de la obra o del servicio y el lugar en donde se llevarán a cabo los trabajos;</w:t>
      </w:r>
    </w:p>
    <w:p w14:paraId="1634A80A" w14:textId="77777777" w:rsidR="00B46D60" w:rsidRPr="00130A42" w:rsidRDefault="00B46D60" w:rsidP="00130A42">
      <w:pPr>
        <w:pStyle w:val="Prrafodelista"/>
        <w:numPr>
          <w:ilvl w:val="0"/>
          <w:numId w:val="35"/>
        </w:numPr>
        <w:autoSpaceDE w:val="0"/>
        <w:autoSpaceDN w:val="0"/>
        <w:adjustRightInd w:val="0"/>
        <w:spacing w:line="259" w:lineRule="auto"/>
        <w:ind w:left="1134" w:right="900" w:hanging="11"/>
        <w:contextualSpacing/>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La indicación de si la licitación es nacional o internacional; y en caso de ser internacional, si se realizará o no bajo la cobertura del capítulo de compras del sector público de alguno de los Tratados de Libre Comercio celebrados por México con otras naciones y el idioma o idiomas, además del español, en que podrán presentarse las proposiciones;</w:t>
      </w:r>
    </w:p>
    <w:p w14:paraId="7D1F4B84" w14:textId="77777777" w:rsidR="00B46D60" w:rsidRPr="00130A42" w:rsidRDefault="00B46D60" w:rsidP="00130A42">
      <w:pPr>
        <w:pStyle w:val="Prrafodelista"/>
        <w:numPr>
          <w:ilvl w:val="0"/>
          <w:numId w:val="35"/>
        </w:numPr>
        <w:autoSpaceDE w:val="0"/>
        <w:autoSpaceDN w:val="0"/>
        <w:adjustRightInd w:val="0"/>
        <w:spacing w:line="259" w:lineRule="auto"/>
        <w:ind w:left="1134" w:right="900" w:hanging="11"/>
        <w:contextualSpacing/>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El origen de los recursos para su ejecución;</w:t>
      </w:r>
    </w:p>
    <w:p w14:paraId="34A0F686" w14:textId="77777777" w:rsidR="00B46D60" w:rsidRPr="00130A42" w:rsidRDefault="00B46D60" w:rsidP="00130A42">
      <w:pPr>
        <w:pStyle w:val="Prrafodelista"/>
        <w:numPr>
          <w:ilvl w:val="0"/>
          <w:numId w:val="35"/>
        </w:numPr>
        <w:autoSpaceDE w:val="0"/>
        <w:autoSpaceDN w:val="0"/>
        <w:adjustRightInd w:val="0"/>
        <w:spacing w:line="259" w:lineRule="auto"/>
        <w:ind w:left="1134" w:right="900" w:hanging="11"/>
        <w:contextualSpacing/>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La forma en que los interesados deberán acreditar su existencia legal, experiencia, capacidad técnica y financiera que se requiera para participar en la licitación, de acuerdo con las características, complejidad y magnitud de los trabajos;</w:t>
      </w:r>
    </w:p>
    <w:p w14:paraId="1E1E37FE" w14:textId="77777777" w:rsidR="00B46D60" w:rsidRPr="00130A42" w:rsidRDefault="00B46D60" w:rsidP="00130A42">
      <w:pPr>
        <w:pStyle w:val="Prrafodelista"/>
        <w:numPr>
          <w:ilvl w:val="0"/>
          <w:numId w:val="35"/>
        </w:numPr>
        <w:autoSpaceDE w:val="0"/>
        <w:autoSpaceDN w:val="0"/>
        <w:adjustRightInd w:val="0"/>
        <w:spacing w:line="259" w:lineRule="auto"/>
        <w:ind w:left="1134" w:right="900" w:hanging="11"/>
        <w:contextualSpacing/>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La indicación de los lugares, fechas, horarios y medios electrónicos en que los interesados podrán obtener las bases de la licitación y en su caso, el costo y forma de pago de las mismas;</w:t>
      </w:r>
    </w:p>
    <w:p w14:paraId="0856BF6D" w14:textId="77777777" w:rsidR="00B46D60" w:rsidRPr="00130A42" w:rsidRDefault="00B46D60" w:rsidP="00130A42">
      <w:pPr>
        <w:pStyle w:val="Prrafodelista"/>
        <w:numPr>
          <w:ilvl w:val="0"/>
          <w:numId w:val="35"/>
        </w:numPr>
        <w:autoSpaceDE w:val="0"/>
        <w:autoSpaceDN w:val="0"/>
        <w:adjustRightInd w:val="0"/>
        <w:spacing w:line="259" w:lineRule="auto"/>
        <w:ind w:left="1134" w:right="900" w:hanging="11"/>
        <w:contextualSpacing/>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El lugar, fecha y hora de celebración de los actos relativos a la presentación y apertura de proposiciones y a la vista al sitio de realización de los trabajos;</w:t>
      </w:r>
    </w:p>
    <w:p w14:paraId="02FA7C43" w14:textId="77777777" w:rsidR="00B46D60" w:rsidRPr="00130A42" w:rsidRDefault="00B46D60" w:rsidP="00130A42">
      <w:pPr>
        <w:pStyle w:val="Prrafodelista"/>
        <w:numPr>
          <w:ilvl w:val="0"/>
          <w:numId w:val="35"/>
        </w:numPr>
        <w:autoSpaceDE w:val="0"/>
        <w:autoSpaceDN w:val="0"/>
        <w:adjustRightInd w:val="0"/>
        <w:spacing w:line="259" w:lineRule="auto"/>
        <w:ind w:left="1134" w:right="900" w:hanging="11"/>
        <w:contextualSpacing/>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Plazo de ejecución de los trabajos, indicando la fecha estimada de inicio de los mismos, así como el importe de la primera asignación, en el caso de que dicho plazo comprenda más de un ejercicio;</w:t>
      </w:r>
    </w:p>
    <w:p w14:paraId="5E7DCAA3" w14:textId="77777777" w:rsidR="00B46D60" w:rsidRPr="00130A42" w:rsidRDefault="00B46D60" w:rsidP="00130A42">
      <w:pPr>
        <w:pStyle w:val="Prrafodelista"/>
        <w:numPr>
          <w:ilvl w:val="0"/>
          <w:numId w:val="35"/>
        </w:numPr>
        <w:autoSpaceDE w:val="0"/>
        <w:autoSpaceDN w:val="0"/>
        <w:adjustRightInd w:val="0"/>
        <w:spacing w:line="259" w:lineRule="auto"/>
        <w:ind w:left="1134" w:right="900" w:hanging="11"/>
        <w:contextualSpacing/>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Los porcentajes de los anticipos que, en su caso, se otorgarán;</w:t>
      </w:r>
    </w:p>
    <w:p w14:paraId="1AD3C72E" w14:textId="77777777" w:rsidR="00B46D60" w:rsidRPr="00130A42" w:rsidRDefault="00B46D60" w:rsidP="00130A42">
      <w:pPr>
        <w:pStyle w:val="Prrafodelista"/>
        <w:numPr>
          <w:ilvl w:val="0"/>
          <w:numId w:val="35"/>
        </w:numPr>
        <w:autoSpaceDE w:val="0"/>
        <w:autoSpaceDN w:val="0"/>
        <w:adjustRightInd w:val="0"/>
        <w:spacing w:line="259" w:lineRule="auto"/>
        <w:ind w:left="1134" w:right="900" w:hanging="11"/>
        <w:contextualSpacing/>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La indicación de las personas que estén impedidas a participar, conforme con las disposiciones de este Libro;</w:t>
      </w:r>
    </w:p>
    <w:p w14:paraId="498CF2C6" w14:textId="77777777" w:rsidR="00B46D60" w:rsidRPr="00130A42" w:rsidRDefault="00B46D60" w:rsidP="00130A42">
      <w:pPr>
        <w:pStyle w:val="Prrafodelista"/>
        <w:numPr>
          <w:ilvl w:val="0"/>
          <w:numId w:val="35"/>
        </w:numPr>
        <w:autoSpaceDE w:val="0"/>
        <w:autoSpaceDN w:val="0"/>
        <w:adjustRightInd w:val="0"/>
        <w:spacing w:line="259" w:lineRule="auto"/>
        <w:ind w:left="1134" w:right="900" w:hanging="11"/>
        <w:contextualSpacing/>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 xml:space="preserve">La garantía que deberá otorgarse para asegurar la seriedad de la propuesta; </w:t>
      </w:r>
    </w:p>
    <w:p w14:paraId="3F4A5F36" w14:textId="77777777" w:rsidR="00B46D60" w:rsidRPr="00130A42" w:rsidRDefault="00B46D60" w:rsidP="00130A42">
      <w:pPr>
        <w:pStyle w:val="Prrafodelista"/>
        <w:numPr>
          <w:ilvl w:val="0"/>
          <w:numId w:val="35"/>
        </w:numPr>
        <w:autoSpaceDE w:val="0"/>
        <w:autoSpaceDN w:val="0"/>
        <w:adjustRightInd w:val="0"/>
        <w:spacing w:line="259" w:lineRule="auto"/>
        <w:ind w:left="1134" w:right="900" w:hanging="11"/>
        <w:contextualSpacing/>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Los ejercicios en que deberá pagarse la obra o servicio relacionados con la misma, cuando se trate de pago diferido;</w:t>
      </w:r>
    </w:p>
    <w:p w14:paraId="233366D2" w14:textId="77777777" w:rsidR="00B46D60" w:rsidRPr="00130A42" w:rsidRDefault="00B46D60" w:rsidP="00130A42">
      <w:pPr>
        <w:pStyle w:val="Prrafodelista"/>
        <w:numPr>
          <w:ilvl w:val="0"/>
          <w:numId w:val="35"/>
        </w:numPr>
        <w:autoSpaceDE w:val="0"/>
        <w:autoSpaceDN w:val="0"/>
        <w:adjustRightInd w:val="0"/>
        <w:spacing w:line="259" w:lineRule="auto"/>
        <w:ind w:left="1134" w:right="900" w:hanging="11"/>
        <w:contextualSpacing/>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Los demás requisitos generales que deberán cumplir los interesados, según las características, complejidad y magnitud de los trabajos…”</w:t>
      </w:r>
    </w:p>
    <w:p w14:paraId="05FC55B8" w14:textId="77777777" w:rsidR="00B46D60" w:rsidRDefault="00B46D60" w:rsidP="00B46D60">
      <w:pPr>
        <w:autoSpaceDE w:val="0"/>
        <w:autoSpaceDN w:val="0"/>
        <w:adjustRightInd w:val="0"/>
        <w:spacing w:line="360" w:lineRule="auto"/>
        <w:ind w:right="49"/>
        <w:jc w:val="both"/>
        <w:rPr>
          <w:rFonts w:ascii="Palatino Linotype" w:eastAsiaTheme="minorEastAsia" w:hAnsi="Palatino Linotype" w:cs="Arial"/>
        </w:rPr>
      </w:pPr>
    </w:p>
    <w:p w14:paraId="3C7115A3" w14:textId="77777777" w:rsidR="00B46D60" w:rsidRDefault="00B46D60" w:rsidP="00130A42">
      <w:pPr>
        <w:autoSpaceDE w:val="0"/>
        <w:autoSpaceDN w:val="0"/>
        <w:adjustRightInd w:val="0"/>
        <w:spacing w:before="240" w:after="240" w:line="360" w:lineRule="auto"/>
        <w:ind w:right="51"/>
        <w:jc w:val="both"/>
        <w:rPr>
          <w:rFonts w:ascii="Palatino Linotype" w:eastAsiaTheme="minorEastAsia" w:hAnsi="Palatino Linotype" w:cs="Arial"/>
        </w:rPr>
      </w:pPr>
      <w:r w:rsidRPr="00231EF0">
        <w:rPr>
          <w:rFonts w:ascii="Palatino Linotype" w:eastAsiaTheme="minorEastAsia" w:hAnsi="Palatino Linotype" w:cs="Arial"/>
        </w:rPr>
        <w:lastRenderedPageBreak/>
        <w:t>De la misma manera, el Código de referencia establece el procedimiento a seguir para la realización de la licitación, el cual se describe en seguida: publicada la convocatoria con los elementos señalados con anterioridad, la normatividad establece que se realizará la evaluación de las proporciones únicamente cuando se cumplan con los requisitos establecidos en las bases de la licitación, una vez hecha la evaluación  de las proporciones la convocante emitirá un dictamen que servirá como base para el fallo, en el que se hará constar la reseña cronológica de los actos del procedimiento, el análisis de las proposiciones y las razones para admitirlas o desecharlas</w:t>
      </w:r>
      <w:r>
        <w:rPr>
          <w:rFonts w:ascii="Palatino Linotype" w:eastAsiaTheme="minorEastAsia" w:hAnsi="Palatino Linotype" w:cs="Arial"/>
        </w:rPr>
        <w:t>; e</w:t>
      </w:r>
      <w:r w:rsidRPr="00231EF0">
        <w:rPr>
          <w:rFonts w:ascii="Palatino Linotype" w:eastAsiaTheme="minorEastAsia" w:hAnsi="Palatino Linotype" w:cs="Arial"/>
        </w:rPr>
        <w:t>l contrato se adjudicará de entre los licitantes, a aquel cuya propuesta cumpla con las bases de licitación y resulte idónea por asegurar las mejores condiciones disponibles en cuanto a precio, calidad, financiamiento, oportunidad y d</w:t>
      </w:r>
      <w:r>
        <w:rPr>
          <w:rFonts w:ascii="Palatino Linotype" w:eastAsiaTheme="minorEastAsia" w:hAnsi="Palatino Linotype" w:cs="Arial"/>
        </w:rPr>
        <w:t>emás circunstancias pertinentes, en</w:t>
      </w:r>
      <w:r w:rsidRPr="00231EF0">
        <w:rPr>
          <w:rFonts w:ascii="Palatino Linotype" w:eastAsiaTheme="minorEastAsia" w:hAnsi="Palatino Linotype" w:cs="Arial"/>
        </w:rPr>
        <w:t xml:space="preserve"> junta pública la convocante dará a conocer el fallo de la licitación, a la que libremente podrán asistir los licitantes que hubieren participado en el acto de presentación y apertura de proposiciones, levantándose el acta respectiva, que firmarán los asistentes, a quienes se entregará copia de la misma.</w:t>
      </w:r>
    </w:p>
    <w:p w14:paraId="5957E4FB" w14:textId="77777777" w:rsidR="00B46D60" w:rsidRPr="00231EF0" w:rsidRDefault="00B46D60" w:rsidP="00130A42">
      <w:pPr>
        <w:autoSpaceDE w:val="0"/>
        <w:autoSpaceDN w:val="0"/>
        <w:adjustRightInd w:val="0"/>
        <w:spacing w:before="240" w:after="240" w:line="360" w:lineRule="auto"/>
        <w:ind w:right="51"/>
        <w:jc w:val="both"/>
        <w:rPr>
          <w:rFonts w:ascii="Palatino Linotype" w:eastAsiaTheme="minorEastAsia" w:hAnsi="Palatino Linotype" w:cs="Arial"/>
        </w:rPr>
      </w:pPr>
      <w:r>
        <w:rPr>
          <w:rFonts w:ascii="Palatino Linotype" w:eastAsiaTheme="minorEastAsia" w:hAnsi="Palatino Linotype" w:cs="Arial"/>
        </w:rPr>
        <w:t>Aparte de la licitación pública, el Código determina que se podrán hacer excepciones a la misma, esto es que los ayuntamientos podrán realizar procedimientos de invitación restringida y adjudicación directa, dichos procedimientos se realizaran bajo su responsabilidad y se realizará con personas que cuenten con capacidad de respuesta inmediata así como con los recursos técnicos, financieros y los demás que resulten necesarios de acuerdo con las características, complejidad y magnitud de los trabajos a ejecutar.</w:t>
      </w:r>
    </w:p>
    <w:p w14:paraId="1BF85810" w14:textId="77777777" w:rsidR="00B46D60" w:rsidRPr="00231EF0" w:rsidRDefault="00B46D60" w:rsidP="00B46D60">
      <w:pPr>
        <w:autoSpaceDE w:val="0"/>
        <w:autoSpaceDN w:val="0"/>
        <w:adjustRightInd w:val="0"/>
        <w:spacing w:line="360" w:lineRule="auto"/>
        <w:ind w:right="49"/>
        <w:jc w:val="both"/>
        <w:rPr>
          <w:rFonts w:ascii="Palatino Linotype" w:eastAsiaTheme="minorEastAsia" w:hAnsi="Palatino Linotype" w:cs="Arial"/>
        </w:rPr>
      </w:pPr>
      <w:r w:rsidRPr="00231EF0">
        <w:rPr>
          <w:rFonts w:ascii="Palatino Linotype" w:eastAsiaTheme="minorEastAsia" w:hAnsi="Palatino Linotype" w:cs="Arial"/>
        </w:rPr>
        <w:lastRenderedPageBreak/>
        <w:t xml:space="preserve">Una vez precisado lo anterior, </w:t>
      </w:r>
      <w:r>
        <w:rPr>
          <w:rFonts w:ascii="Palatino Linotype" w:eastAsiaTheme="minorEastAsia" w:hAnsi="Palatino Linotype" w:cs="Arial"/>
        </w:rPr>
        <w:t xml:space="preserve">se advierte </w:t>
      </w:r>
      <w:r w:rsidRPr="00231EF0">
        <w:rPr>
          <w:rFonts w:ascii="Palatino Linotype" w:eastAsiaTheme="minorEastAsia" w:hAnsi="Palatino Linotype" w:cs="Arial"/>
        </w:rPr>
        <w:t>que la adjudicación de una obra y los servicios relacionados con la misma obligan al Municipio a suscribir el contrato respectivo dentro de los diez días hábiles siguientes a dicha adjudicación. Tal y como se observa en el artículo 12.38 del ya referido Código Administrativo; que establece lo siguiente:</w:t>
      </w:r>
    </w:p>
    <w:p w14:paraId="2157205A" w14:textId="77777777" w:rsidR="00B46D60" w:rsidRDefault="00B46D60" w:rsidP="00B46D60">
      <w:pPr>
        <w:autoSpaceDE w:val="0"/>
        <w:autoSpaceDN w:val="0"/>
        <w:adjustRightInd w:val="0"/>
        <w:ind w:right="49"/>
        <w:jc w:val="both"/>
        <w:rPr>
          <w:rFonts w:ascii="Palatino Linotype" w:eastAsiaTheme="minorEastAsia" w:hAnsi="Palatino Linotype" w:cs="Arial"/>
          <w:i/>
        </w:rPr>
      </w:pPr>
    </w:p>
    <w:p w14:paraId="2680DB90" w14:textId="77777777" w:rsidR="00B46D60" w:rsidRPr="00130A42" w:rsidRDefault="00B46D60" w:rsidP="00130A42">
      <w:pPr>
        <w:autoSpaceDE w:val="0"/>
        <w:autoSpaceDN w:val="0"/>
        <w:adjustRightInd w:val="0"/>
        <w:spacing w:after="120"/>
        <w:ind w:left="851" w:right="476"/>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w:t>
      </w:r>
      <w:r w:rsidRPr="00130A42">
        <w:rPr>
          <w:rFonts w:ascii="Palatino Linotype" w:eastAsiaTheme="minorEastAsia" w:hAnsi="Palatino Linotype" w:cs="Arial"/>
          <w:b/>
          <w:i/>
          <w:sz w:val="20"/>
          <w:szCs w:val="20"/>
        </w:rPr>
        <w:t>Artículo 12.38.-</w:t>
      </w:r>
      <w:r w:rsidRPr="00130A42">
        <w:rPr>
          <w:rFonts w:ascii="Palatino Linotype" w:eastAsiaTheme="minorEastAsia" w:hAnsi="Palatino Linotype" w:cs="Arial"/>
          <w:i/>
          <w:sz w:val="20"/>
          <w:szCs w:val="20"/>
        </w:rPr>
        <w:t xml:space="preserve">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14:paraId="3873E600" w14:textId="77777777" w:rsidR="00B46D60" w:rsidRPr="00130A42" w:rsidRDefault="00B46D60" w:rsidP="00130A42">
      <w:pPr>
        <w:autoSpaceDE w:val="0"/>
        <w:autoSpaceDN w:val="0"/>
        <w:adjustRightInd w:val="0"/>
        <w:spacing w:after="120"/>
        <w:ind w:left="851" w:right="476"/>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 xml:space="preserve">Si la dependencia, entidad o ayuntamiento no firmare el contrato dentro del plazo a que se refiere el párrafo anterior, el licitante ganador podrá exigir que se le cubran los gastos que realizo en preparar y elaborar su propuesta." </w:t>
      </w:r>
    </w:p>
    <w:p w14:paraId="514B5ACD" w14:textId="77777777" w:rsidR="00B46D60" w:rsidRPr="002C37F4" w:rsidRDefault="00B46D60" w:rsidP="00130A42">
      <w:pPr>
        <w:autoSpaceDE w:val="0"/>
        <w:autoSpaceDN w:val="0"/>
        <w:adjustRightInd w:val="0"/>
        <w:spacing w:before="240" w:after="240" w:line="360" w:lineRule="auto"/>
        <w:ind w:right="51"/>
        <w:jc w:val="both"/>
        <w:rPr>
          <w:rFonts w:ascii="Palatino Linotype" w:eastAsiaTheme="minorEastAsia" w:hAnsi="Palatino Linotype" w:cs="Arial"/>
        </w:rPr>
      </w:pPr>
      <w:r w:rsidRPr="002C37F4">
        <w:rPr>
          <w:rFonts w:ascii="Palatino Linotype" w:eastAsiaTheme="minorEastAsia" w:hAnsi="Palatino Linotype" w:cs="Arial"/>
        </w:rPr>
        <w:t>Tal y como quedó precisado en el párrafo que antecede, los Municipios están obligados po</w:t>
      </w:r>
      <w:r>
        <w:rPr>
          <w:rFonts w:ascii="Palatino Linotype" w:eastAsiaTheme="minorEastAsia" w:hAnsi="Palatino Linotype" w:cs="Arial"/>
        </w:rPr>
        <w:t>r mandato de ley a celebrar procedimientos de adjudicación para el c</w:t>
      </w:r>
      <w:r w:rsidRPr="002C37F4">
        <w:rPr>
          <w:rFonts w:ascii="Palatino Linotype" w:eastAsiaTheme="minorEastAsia" w:hAnsi="Palatino Linotype" w:cs="Arial"/>
        </w:rPr>
        <w:t xml:space="preserve">ontrato de </w:t>
      </w:r>
      <w:r>
        <w:rPr>
          <w:rFonts w:ascii="Palatino Linotype" w:eastAsiaTheme="minorEastAsia" w:hAnsi="Palatino Linotype" w:cs="Arial"/>
        </w:rPr>
        <w:t>obras públicas o servicios relacionados con la misma</w:t>
      </w:r>
      <w:r w:rsidRPr="002C37F4">
        <w:rPr>
          <w:rFonts w:ascii="Palatino Linotype" w:eastAsiaTheme="minorEastAsia" w:hAnsi="Palatino Linotype" w:cs="Arial"/>
        </w:rPr>
        <w:t xml:space="preserve">, </w:t>
      </w:r>
      <w:r>
        <w:rPr>
          <w:rFonts w:ascii="Palatino Linotype" w:eastAsiaTheme="minorEastAsia" w:hAnsi="Palatino Linotype" w:cs="Arial"/>
        </w:rPr>
        <w:t xml:space="preserve">por lo tanto a fin de dar claridad al Sujeto Obligado </w:t>
      </w:r>
      <w:r w:rsidRPr="002C37F4">
        <w:rPr>
          <w:rFonts w:ascii="Palatino Linotype" w:eastAsiaTheme="minorEastAsia" w:hAnsi="Palatino Linotype" w:cs="Arial"/>
        </w:rPr>
        <w:t xml:space="preserve">en la búsqueda de la información solicitada, </w:t>
      </w:r>
      <w:r>
        <w:rPr>
          <w:rFonts w:ascii="Palatino Linotype" w:eastAsiaTheme="minorEastAsia" w:hAnsi="Palatino Linotype" w:cs="Arial"/>
        </w:rPr>
        <w:t xml:space="preserve">se </w:t>
      </w:r>
      <w:r w:rsidRPr="002C37F4">
        <w:rPr>
          <w:rFonts w:ascii="Palatino Linotype" w:eastAsiaTheme="minorEastAsia" w:hAnsi="Palatino Linotype" w:cs="Arial"/>
        </w:rPr>
        <w:t xml:space="preserve">considera necesario señalar los tres tipos de contratos de </w:t>
      </w:r>
      <w:r>
        <w:rPr>
          <w:rFonts w:ascii="Palatino Linotype" w:eastAsiaTheme="minorEastAsia" w:hAnsi="Palatino Linotype" w:cs="Arial"/>
        </w:rPr>
        <w:t>obra p</w:t>
      </w:r>
      <w:r w:rsidRPr="002C37F4">
        <w:rPr>
          <w:rFonts w:ascii="Palatino Linotype" w:eastAsiaTheme="minorEastAsia" w:hAnsi="Palatino Linotype" w:cs="Arial"/>
        </w:rPr>
        <w:t>ública y servicios relacionados con la misma, que se establecen en la legislación aplicable, los cuales consisten en: (i) Contrato sobre la base de precios unitarios; (ii) Contrato a precio alzado y (iii) Contratos Mixtos, de conformidad con el artículo 12.42 del multicitado Código.</w:t>
      </w:r>
    </w:p>
    <w:p w14:paraId="52E74B47" w14:textId="77777777" w:rsidR="00B46D60" w:rsidRPr="00130A42" w:rsidRDefault="00B46D60" w:rsidP="00130A42">
      <w:pPr>
        <w:autoSpaceDE w:val="0"/>
        <w:autoSpaceDN w:val="0"/>
        <w:adjustRightInd w:val="0"/>
        <w:spacing w:after="120"/>
        <w:ind w:left="851"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w:t>
      </w:r>
      <w:r w:rsidRPr="00130A42">
        <w:rPr>
          <w:rFonts w:ascii="Palatino Linotype" w:eastAsiaTheme="minorEastAsia" w:hAnsi="Palatino Linotype" w:cs="Arial"/>
          <w:b/>
          <w:i/>
          <w:sz w:val="20"/>
          <w:szCs w:val="20"/>
        </w:rPr>
        <w:t>Artículo 12.42.-</w:t>
      </w:r>
      <w:r w:rsidRPr="00130A42">
        <w:rPr>
          <w:rFonts w:ascii="Palatino Linotype" w:eastAsiaTheme="minorEastAsia" w:hAnsi="Palatino Linotype" w:cs="Arial"/>
          <w:i/>
          <w:sz w:val="20"/>
          <w:szCs w:val="20"/>
        </w:rPr>
        <w:t>Los contratos de obra pública o de servicios relacionados con la misma, podrán ser de tres tipos:</w:t>
      </w:r>
    </w:p>
    <w:p w14:paraId="0E3FD6B6" w14:textId="76563719" w:rsidR="00B46D60" w:rsidRPr="00130A42" w:rsidRDefault="00130A42" w:rsidP="00130A42">
      <w:pPr>
        <w:autoSpaceDE w:val="0"/>
        <w:autoSpaceDN w:val="0"/>
        <w:adjustRightInd w:val="0"/>
        <w:spacing w:after="120"/>
        <w:ind w:left="1134" w:right="900"/>
        <w:jc w:val="both"/>
        <w:rPr>
          <w:rFonts w:ascii="Palatino Linotype" w:eastAsiaTheme="minorEastAsia" w:hAnsi="Palatino Linotype" w:cs="Arial"/>
          <w:i/>
          <w:sz w:val="20"/>
          <w:szCs w:val="20"/>
        </w:rPr>
      </w:pPr>
      <w:r>
        <w:rPr>
          <w:rFonts w:ascii="Palatino Linotype" w:eastAsiaTheme="minorEastAsia" w:hAnsi="Palatino Linotype" w:cs="Arial"/>
          <w:i/>
          <w:sz w:val="20"/>
          <w:szCs w:val="20"/>
        </w:rPr>
        <w:t>I</w:t>
      </w:r>
      <w:r w:rsidR="00B46D60" w:rsidRPr="00130A42">
        <w:rPr>
          <w:rFonts w:ascii="Palatino Linotype" w:eastAsiaTheme="minorEastAsia" w:hAnsi="Palatino Linotype" w:cs="Arial"/>
          <w:i/>
          <w:sz w:val="20"/>
          <w:szCs w:val="20"/>
        </w:rPr>
        <w:t>. Sobre la base de precios unitarios, en cuyo caso el pago que deba cubrirse al contratista se hará por unidad de concepto de trabajo terminado;</w:t>
      </w:r>
    </w:p>
    <w:p w14:paraId="421CB785" w14:textId="77777777" w:rsidR="00B46D60" w:rsidRPr="00130A42" w:rsidRDefault="00B46D60" w:rsidP="00130A42">
      <w:pPr>
        <w:autoSpaceDE w:val="0"/>
        <w:autoSpaceDN w:val="0"/>
        <w:adjustRightInd w:val="0"/>
        <w:spacing w:after="120"/>
        <w:ind w:left="1134"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II.</w:t>
      </w:r>
      <w:r w:rsidRPr="00130A42">
        <w:rPr>
          <w:rFonts w:ascii="Palatino Linotype" w:eastAsiaTheme="minorEastAsia" w:hAnsi="Palatino Linotype" w:cs="Arial"/>
          <w:i/>
          <w:sz w:val="20"/>
          <w:szCs w:val="20"/>
        </w:rPr>
        <w:tab/>
        <w:t>A precio alzado, en cuyo caso el pago que deba cubrirse al contratista será por obra completa, desglosado en actividades principales terminadas;</w:t>
      </w:r>
    </w:p>
    <w:p w14:paraId="62B93405" w14:textId="77777777" w:rsidR="00B46D60" w:rsidRPr="00130A42" w:rsidRDefault="00B46D60" w:rsidP="00130A42">
      <w:pPr>
        <w:autoSpaceDE w:val="0"/>
        <w:autoSpaceDN w:val="0"/>
        <w:adjustRightInd w:val="0"/>
        <w:spacing w:after="120"/>
        <w:ind w:left="1134"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III.</w:t>
      </w:r>
      <w:r w:rsidRPr="00130A42">
        <w:rPr>
          <w:rFonts w:ascii="Palatino Linotype" w:eastAsiaTheme="minorEastAsia" w:hAnsi="Palatino Linotype" w:cs="Arial"/>
          <w:i/>
          <w:sz w:val="20"/>
          <w:szCs w:val="20"/>
        </w:rPr>
        <w:tab/>
        <w:t xml:space="preserve">Mixtos, cuando contengan una parte de los trabajos sobre la base de precios unitarios y otra, a precio </w:t>
      </w:r>
      <w:proofErr w:type="gramStart"/>
      <w:r w:rsidRPr="00130A42">
        <w:rPr>
          <w:rFonts w:ascii="Palatino Linotype" w:eastAsiaTheme="minorEastAsia" w:hAnsi="Palatino Linotype" w:cs="Arial"/>
          <w:i/>
          <w:sz w:val="20"/>
          <w:szCs w:val="20"/>
        </w:rPr>
        <w:t>alzado ...</w:t>
      </w:r>
      <w:proofErr w:type="gramEnd"/>
      <w:r w:rsidRPr="00130A42">
        <w:rPr>
          <w:rFonts w:ascii="Palatino Linotype" w:eastAsiaTheme="minorEastAsia" w:hAnsi="Palatino Linotype" w:cs="Arial"/>
          <w:i/>
          <w:sz w:val="20"/>
          <w:szCs w:val="20"/>
        </w:rPr>
        <w:t xml:space="preserve"> "</w:t>
      </w:r>
    </w:p>
    <w:p w14:paraId="760D8153" w14:textId="77777777" w:rsidR="00B46D60" w:rsidRPr="002C37F4" w:rsidRDefault="00B46D60" w:rsidP="00130A42">
      <w:pPr>
        <w:autoSpaceDE w:val="0"/>
        <w:autoSpaceDN w:val="0"/>
        <w:adjustRightInd w:val="0"/>
        <w:spacing w:before="240" w:after="240" w:line="360" w:lineRule="auto"/>
        <w:ind w:right="51"/>
        <w:jc w:val="both"/>
        <w:rPr>
          <w:rFonts w:ascii="Palatino Linotype" w:eastAsiaTheme="minorEastAsia" w:hAnsi="Palatino Linotype" w:cs="Arial"/>
        </w:rPr>
      </w:pPr>
      <w:r w:rsidRPr="002C37F4">
        <w:rPr>
          <w:rFonts w:ascii="Palatino Linotype" w:eastAsiaTheme="minorEastAsia" w:hAnsi="Palatino Linotype" w:cs="Arial"/>
        </w:rPr>
        <w:lastRenderedPageBreak/>
        <w:t xml:space="preserve">Ahora bien, no pasa desapercibido </w:t>
      </w:r>
      <w:r>
        <w:rPr>
          <w:rFonts w:ascii="Palatino Linotype" w:eastAsiaTheme="minorEastAsia" w:hAnsi="Palatino Linotype" w:cs="Arial"/>
        </w:rPr>
        <w:t xml:space="preserve">para este Órgano Garante </w:t>
      </w:r>
      <w:r w:rsidRPr="002C37F4">
        <w:rPr>
          <w:rFonts w:ascii="Palatino Linotype" w:eastAsiaTheme="minorEastAsia" w:hAnsi="Palatino Linotype" w:cs="Arial"/>
        </w:rPr>
        <w:t>que, si durante la vigencia del contrato, hay la necesidad de modificar el monto o plazo de ejecución de los trabajos, el contratante celebrará el convenio correspondiente con las nuevas condiciones y que las modificaciones que se aprueben mediante la celebración de los convenios, se considerarán parte de los contratos, por tal motivo, de existir dichos convenios, también deben ser entregados al solicitante. Lo anterior de conformidad con los artículos 187 y 192 del Reglamento al Libro Décimo Segundo del Código Administrativo del Estado de México que establecen lo siguiente:</w:t>
      </w:r>
    </w:p>
    <w:p w14:paraId="7F27415D" w14:textId="77777777" w:rsidR="00B46D60" w:rsidRPr="00130A42" w:rsidRDefault="00B46D60" w:rsidP="00130A42">
      <w:pPr>
        <w:autoSpaceDE w:val="0"/>
        <w:autoSpaceDN w:val="0"/>
        <w:adjustRightInd w:val="0"/>
        <w:spacing w:after="120"/>
        <w:ind w:left="851" w:right="900"/>
        <w:jc w:val="both"/>
        <w:rPr>
          <w:rFonts w:ascii="Palatino Linotype" w:eastAsiaTheme="minorEastAsia" w:hAnsi="Palatino Linotype" w:cs="Arial"/>
          <w:i/>
          <w:sz w:val="20"/>
          <w:szCs w:val="20"/>
        </w:rPr>
      </w:pPr>
      <w:r w:rsidRPr="00130A42">
        <w:rPr>
          <w:rFonts w:ascii="Palatino Linotype" w:eastAsiaTheme="minorEastAsia" w:hAnsi="Palatino Linotype" w:cs="Arial"/>
          <w:b/>
          <w:i/>
          <w:sz w:val="20"/>
          <w:szCs w:val="20"/>
        </w:rPr>
        <w:t>“Artículo 187.-</w:t>
      </w:r>
      <w:r w:rsidRPr="00130A42">
        <w:rPr>
          <w:rFonts w:ascii="Palatino Linotype" w:eastAsiaTheme="minorEastAsia" w:hAnsi="Palatino Linotype" w:cs="Arial"/>
          <w:i/>
          <w:sz w:val="20"/>
          <w:szCs w:val="20"/>
        </w:rPr>
        <w:t>Si, durante la vigencia del contrato, hay la necesidad de modificar el monto plazo de ejecución de los trabajos, el contratante celebrará el convenio correspondiente con las nuevas condiciones. El residente de obra deberá sustentarlo en un dictamen técnico que funde y motive las causas que lo originan.</w:t>
      </w:r>
    </w:p>
    <w:p w14:paraId="20038280" w14:textId="77777777" w:rsidR="00B46D60" w:rsidRPr="00130A42" w:rsidRDefault="00B46D60" w:rsidP="00130A42">
      <w:pPr>
        <w:autoSpaceDE w:val="0"/>
        <w:autoSpaceDN w:val="0"/>
        <w:adjustRightInd w:val="0"/>
        <w:spacing w:after="120"/>
        <w:ind w:left="851"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Para efectos de este Reglamento, las modificaciones que se aprueben mediante la celebración de los convenios, se considerarán parte del contrato y por lo tanto obligatorias para las partes.</w:t>
      </w:r>
    </w:p>
    <w:p w14:paraId="41B229C3" w14:textId="77777777" w:rsidR="00B46D60" w:rsidRPr="00130A42" w:rsidRDefault="00B46D60" w:rsidP="00130A42">
      <w:pPr>
        <w:autoSpaceDE w:val="0"/>
        <w:autoSpaceDN w:val="0"/>
        <w:adjustRightInd w:val="0"/>
        <w:spacing w:after="120"/>
        <w:ind w:left="851"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 xml:space="preserve">El conjunto de programas de ejecución que se deriven de las modificaciones, integrará el programa de ejecución convenido en el contrato, con el cual se medirá el avance en la ejecución de los trabajos. </w:t>
      </w:r>
    </w:p>
    <w:p w14:paraId="6AF8FFB2" w14:textId="77777777" w:rsidR="00B46D60" w:rsidRPr="00130A42" w:rsidRDefault="00B46D60" w:rsidP="00130A42">
      <w:pPr>
        <w:autoSpaceDE w:val="0"/>
        <w:autoSpaceDN w:val="0"/>
        <w:adjustRightInd w:val="0"/>
        <w:spacing w:after="120"/>
        <w:ind w:left="851" w:right="900"/>
        <w:jc w:val="both"/>
        <w:rPr>
          <w:rFonts w:ascii="Palatino Linotype" w:eastAsiaTheme="minorEastAsia" w:hAnsi="Palatino Linotype" w:cs="Arial"/>
          <w:i/>
          <w:sz w:val="20"/>
          <w:szCs w:val="20"/>
        </w:rPr>
      </w:pPr>
      <w:r w:rsidRPr="00130A42">
        <w:rPr>
          <w:rFonts w:ascii="Palatino Linotype" w:eastAsiaTheme="minorEastAsia" w:hAnsi="Palatino Linotype" w:cs="Arial"/>
          <w:b/>
          <w:i/>
          <w:sz w:val="20"/>
          <w:szCs w:val="20"/>
        </w:rPr>
        <w:t>Artículo 192.-</w:t>
      </w:r>
      <w:r w:rsidRPr="00130A42">
        <w:rPr>
          <w:rFonts w:ascii="Palatino Linotype" w:eastAsiaTheme="minorEastAsia" w:hAnsi="Palatino Linotype" w:cs="Arial"/>
          <w:i/>
          <w:sz w:val="20"/>
          <w:szCs w:val="20"/>
        </w:rPr>
        <w:t>Los convenios deberán contener como mínimo:</w:t>
      </w:r>
    </w:p>
    <w:p w14:paraId="6D76320B" w14:textId="77777777" w:rsidR="00B46D60" w:rsidRPr="00130A42" w:rsidRDefault="00B46D60" w:rsidP="00130A42">
      <w:pPr>
        <w:autoSpaceDE w:val="0"/>
        <w:autoSpaceDN w:val="0"/>
        <w:adjustRightInd w:val="0"/>
        <w:spacing w:after="120"/>
        <w:ind w:left="1276"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l. Identificación del tipo de convenio y de cada una de las partes contratantes y nombre, cargo y acreditación de la personalidad de los representantes;</w:t>
      </w:r>
    </w:p>
    <w:p w14:paraId="6A6ABCDD" w14:textId="77777777" w:rsidR="00B46D60" w:rsidRPr="00130A42" w:rsidRDefault="00B46D60" w:rsidP="00130A42">
      <w:pPr>
        <w:autoSpaceDE w:val="0"/>
        <w:autoSpaceDN w:val="0"/>
        <w:adjustRightInd w:val="0"/>
        <w:spacing w:after="120"/>
        <w:ind w:left="1276"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Il. Objeto y descripción sucinta de las modificaciones;</w:t>
      </w:r>
    </w:p>
    <w:p w14:paraId="1BDC67A5" w14:textId="77777777" w:rsidR="00B46D60" w:rsidRPr="00130A42" w:rsidRDefault="00B46D60" w:rsidP="00130A42">
      <w:pPr>
        <w:autoSpaceDE w:val="0"/>
        <w:autoSpaceDN w:val="0"/>
        <w:adjustRightInd w:val="0"/>
        <w:spacing w:after="120"/>
        <w:ind w:left="1276"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III.</w:t>
      </w:r>
      <w:r w:rsidRPr="00130A42">
        <w:rPr>
          <w:rFonts w:ascii="Palatino Linotype" w:eastAsiaTheme="minorEastAsia" w:hAnsi="Palatino Linotype" w:cs="Arial"/>
          <w:i/>
          <w:sz w:val="20"/>
          <w:szCs w:val="20"/>
        </w:rPr>
        <w:tab/>
        <w:t>Dictamen técnico y documentos que lo soporten;</w:t>
      </w:r>
    </w:p>
    <w:p w14:paraId="7180D3FE" w14:textId="77777777" w:rsidR="00B46D60" w:rsidRPr="00130A42" w:rsidRDefault="00B46D60" w:rsidP="00130A42">
      <w:pPr>
        <w:autoSpaceDE w:val="0"/>
        <w:autoSpaceDN w:val="0"/>
        <w:adjustRightInd w:val="0"/>
        <w:spacing w:after="120"/>
        <w:ind w:left="1276"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IV.</w:t>
      </w:r>
      <w:r w:rsidRPr="00130A42">
        <w:rPr>
          <w:rFonts w:ascii="Palatino Linotype" w:eastAsiaTheme="minorEastAsia" w:hAnsi="Palatino Linotype" w:cs="Arial"/>
          <w:i/>
          <w:sz w:val="20"/>
          <w:szCs w:val="20"/>
        </w:rPr>
        <w:tab/>
        <w:t>Programa de ejecución y presupuesto mensual por concepto de obra;</w:t>
      </w:r>
    </w:p>
    <w:p w14:paraId="7651BA2C" w14:textId="77777777" w:rsidR="00B46D60" w:rsidRPr="00130A42" w:rsidRDefault="00B46D60" w:rsidP="00130A42">
      <w:pPr>
        <w:autoSpaceDE w:val="0"/>
        <w:autoSpaceDN w:val="0"/>
        <w:adjustRightInd w:val="0"/>
        <w:spacing w:after="120"/>
        <w:ind w:left="1276"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V.</w:t>
      </w:r>
      <w:r w:rsidRPr="00130A42">
        <w:rPr>
          <w:rFonts w:ascii="Palatino Linotype" w:eastAsiaTheme="minorEastAsia" w:hAnsi="Palatino Linotype" w:cs="Arial"/>
          <w:i/>
          <w:sz w:val="20"/>
          <w:szCs w:val="20"/>
        </w:rPr>
        <w:tab/>
        <w:t>Acuerdo de las partes de que, con excepción a lo expresamente estipulado en el convenio, regirán las cláusulas del contrato original;</w:t>
      </w:r>
    </w:p>
    <w:p w14:paraId="3860106A" w14:textId="77777777" w:rsidR="00B46D60" w:rsidRPr="00130A42" w:rsidRDefault="00B46D60" w:rsidP="00130A42">
      <w:pPr>
        <w:autoSpaceDE w:val="0"/>
        <w:autoSpaceDN w:val="0"/>
        <w:adjustRightInd w:val="0"/>
        <w:spacing w:after="120"/>
        <w:ind w:left="1276"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VI.</w:t>
      </w:r>
      <w:r w:rsidRPr="00130A42">
        <w:rPr>
          <w:rFonts w:ascii="Palatino Linotype" w:eastAsiaTheme="minorEastAsia" w:hAnsi="Palatino Linotype" w:cs="Arial"/>
          <w:i/>
          <w:sz w:val="20"/>
          <w:szCs w:val="20"/>
        </w:rPr>
        <w:tab/>
        <w:t>Plazo de ejecución para el convenio, cuando implique incremento al originalmente contratado, el porcentaje que representa de éste; y el nuevo programa de ejecución convenido; y</w:t>
      </w:r>
    </w:p>
    <w:p w14:paraId="586271AC" w14:textId="77777777" w:rsidR="00B46D60" w:rsidRPr="00130A42" w:rsidRDefault="00B46D60" w:rsidP="00130A42">
      <w:pPr>
        <w:autoSpaceDE w:val="0"/>
        <w:autoSpaceDN w:val="0"/>
        <w:adjustRightInd w:val="0"/>
        <w:spacing w:after="120"/>
        <w:ind w:left="1276"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VII.</w:t>
      </w:r>
      <w:r w:rsidRPr="00130A42">
        <w:rPr>
          <w:rFonts w:ascii="Palatino Linotype" w:eastAsiaTheme="minorEastAsia" w:hAnsi="Palatino Linotype" w:cs="Arial"/>
          <w:i/>
          <w:sz w:val="20"/>
          <w:szCs w:val="20"/>
        </w:rPr>
        <w:tab/>
        <w:t>Cuando el convenio implique un incremento al monto, deberá contener, además:</w:t>
      </w:r>
    </w:p>
    <w:p w14:paraId="53AFB20B" w14:textId="77777777" w:rsidR="00B46D60" w:rsidRPr="00130A42" w:rsidRDefault="00B46D60" w:rsidP="00130A42">
      <w:pPr>
        <w:autoSpaceDE w:val="0"/>
        <w:autoSpaceDN w:val="0"/>
        <w:adjustRightInd w:val="0"/>
        <w:spacing w:after="120"/>
        <w:ind w:left="1418"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lastRenderedPageBreak/>
        <w:t>a.</w:t>
      </w:r>
      <w:r w:rsidRPr="00130A42">
        <w:rPr>
          <w:rFonts w:ascii="Palatino Linotype" w:eastAsiaTheme="minorEastAsia" w:hAnsi="Palatino Linotype" w:cs="Arial"/>
          <w:i/>
          <w:sz w:val="20"/>
          <w:szCs w:val="20"/>
        </w:rPr>
        <w:tab/>
        <w:t>La autorización presupuesta/ de la Secretaría de Finanzas;</w:t>
      </w:r>
    </w:p>
    <w:p w14:paraId="164E32AE" w14:textId="77777777" w:rsidR="00B46D60" w:rsidRPr="00130A42" w:rsidRDefault="00B46D60" w:rsidP="00130A42">
      <w:pPr>
        <w:autoSpaceDE w:val="0"/>
        <w:autoSpaceDN w:val="0"/>
        <w:adjustRightInd w:val="0"/>
        <w:spacing w:after="120"/>
        <w:ind w:left="1418"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b.</w:t>
      </w:r>
      <w:r w:rsidRPr="00130A42">
        <w:rPr>
          <w:rFonts w:ascii="Palatino Linotype" w:eastAsiaTheme="minorEastAsia" w:hAnsi="Palatino Linotype" w:cs="Arial"/>
          <w:i/>
          <w:sz w:val="20"/>
          <w:szCs w:val="20"/>
        </w:rPr>
        <w:tab/>
        <w:t>El importe del convenio, con número y letra; el importe original contratado más el importe del convenio; y el porcentaje que representa esta suma respecto del monto original;</w:t>
      </w:r>
    </w:p>
    <w:p w14:paraId="50FAF927" w14:textId="77777777" w:rsidR="00B46D60" w:rsidRPr="00130A42" w:rsidRDefault="00B46D60" w:rsidP="00130A42">
      <w:pPr>
        <w:autoSpaceDE w:val="0"/>
        <w:autoSpaceDN w:val="0"/>
        <w:adjustRightInd w:val="0"/>
        <w:spacing w:after="120"/>
        <w:ind w:left="1418"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c.</w:t>
      </w:r>
      <w:r w:rsidRPr="00130A42">
        <w:rPr>
          <w:rFonts w:ascii="Palatino Linotype" w:eastAsiaTheme="minorEastAsia" w:hAnsi="Palatino Linotype" w:cs="Arial"/>
          <w:i/>
          <w:sz w:val="20"/>
          <w:szCs w:val="20"/>
        </w:rPr>
        <w:tab/>
        <w:t>La obligación del contratista de ampliar la garantía de cumplimiento en los términos establecidos para el contrato original, y</w:t>
      </w:r>
    </w:p>
    <w:p w14:paraId="473532FF" w14:textId="77777777" w:rsidR="00B46D60" w:rsidRPr="00130A42" w:rsidRDefault="00B46D60" w:rsidP="00130A42">
      <w:pPr>
        <w:autoSpaceDE w:val="0"/>
        <w:autoSpaceDN w:val="0"/>
        <w:adjustRightInd w:val="0"/>
        <w:spacing w:after="120"/>
        <w:ind w:left="1418" w:right="900"/>
        <w:jc w:val="both"/>
        <w:rPr>
          <w:rFonts w:ascii="Palatino Linotype" w:eastAsiaTheme="minorEastAsia" w:hAnsi="Palatino Linotype" w:cs="Arial"/>
          <w:i/>
          <w:sz w:val="20"/>
          <w:szCs w:val="20"/>
        </w:rPr>
      </w:pPr>
      <w:r w:rsidRPr="00130A42">
        <w:rPr>
          <w:rFonts w:ascii="Palatino Linotype" w:eastAsiaTheme="minorEastAsia" w:hAnsi="Palatino Linotype" w:cs="Arial"/>
          <w:i/>
          <w:sz w:val="20"/>
          <w:szCs w:val="20"/>
        </w:rPr>
        <w:t>d.</w:t>
      </w:r>
      <w:r w:rsidRPr="00130A42">
        <w:rPr>
          <w:rFonts w:ascii="Palatino Linotype" w:eastAsiaTheme="minorEastAsia" w:hAnsi="Palatino Linotype" w:cs="Arial"/>
          <w:i/>
          <w:sz w:val="20"/>
          <w:szCs w:val="20"/>
        </w:rPr>
        <w:tab/>
        <w:t>El catálogo de conceptos valorizado, indicando las cantidades de obra y los precios unitarios."</w:t>
      </w:r>
    </w:p>
    <w:p w14:paraId="5EF234B4" w14:textId="77777777" w:rsidR="00B46D60" w:rsidRPr="00173F22" w:rsidRDefault="00B46D60" w:rsidP="00130A42">
      <w:pPr>
        <w:autoSpaceDE w:val="0"/>
        <w:autoSpaceDN w:val="0"/>
        <w:adjustRightInd w:val="0"/>
        <w:spacing w:before="240" w:after="240" w:line="360" w:lineRule="auto"/>
        <w:ind w:right="51"/>
        <w:jc w:val="both"/>
        <w:rPr>
          <w:rFonts w:ascii="Palatino Linotype" w:eastAsiaTheme="minorEastAsia" w:hAnsi="Palatino Linotype" w:cs="Arial"/>
        </w:rPr>
      </w:pPr>
      <w:r w:rsidRPr="002C37F4">
        <w:rPr>
          <w:rFonts w:ascii="Palatino Linotype" w:eastAsiaTheme="minorEastAsia" w:hAnsi="Palatino Linotype" w:cs="Arial"/>
        </w:rPr>
        <w:t xml:space="preserve">Atento a lo anterior, resulta claro que la información solicitada puede ser satisfecha con los </w:t>
      </w:r>
      <w:r>
        <w:rPr>
          <w:rFonts w:ascii="Palatino Linotype" w:eastAsiaTheme="minorEastAsia" w:hAnsi="Palatino Linotype" w:cs="Arial"/>
        </w:rPr>
        <w:t xml:space="preserve">expedientes de los </w:t>
      </w:r>
      <w:r w:rsidRPr="002C37F4">
        <w:rPr>
          <w:rFonts w:ascii="Palatino Linotype" w:eastAsiaTheme="minorEastAsia" w:hAnsi="Palatino Linotype" w:cs="Arial"/>
        </w:rPr>
        <w:t>procesos de licitación</w:t>
      </w:r>
      <w:r>
        <w:rPr>
          <w:rFonts w:ascii="Palatino Linotype" w:eastAsiaTheme="minorEastAsia" w:hAnsi="Palatino Linotype" w:cs="Arial"/>
        </w:rPr>
        <w:t xml:space="preserve"> pública</w:t>
      </w:r>
      <w:r w:rsidRPr="002C37F4">
        <w:rPr>
          <w:rFonts w:ascii="Palatino Linotype" w:eastAsiaTheme="minorEastAsia" w:hAnsi="Palatino Linotype" w:cs="Arial"/>
        </w:rPr>
        <w:t xml:space="preserve">, invitación restringida o adjudicación directa </w:t>
      </w:r>
      <w:r>
        <w:rPr>
          <w:rFonts w:ascii="Palatino Linotype" w:eastAsiaTheme="minorEastAsia" w:hAnsi="Palatino Linotype" w:cs="Arial"/>
        </w:rPr>
        <w:t>que se hayan generado para la ampliación del sistema de alumbrado público y la modernización del mismo con el fin de generar eficiencia energética en los consumos</w:t>
      </w:r>
      <w:r w:rsidRPr="005F57CD">
        <w:rPr>
          <w:rFonts w:ascii="Palatino Linotype" w:eastAsiaTheme="minorEastAsia" w:hAnsi="Palatino Linotype" w:cs="Arial"/>
        </w:rPr>
        <w:t>; así como, por los contratos y convenios que deriven de éstos, situación que infiere que la información es generada en ejercicio de las atribuciones de</w:t>
      </w:r>
      <w:r>
        <w:rPr>
          <w:rFonts w:ascii="Palatino Linotype" w:eastAsiaTheme="minorEastAsia" w:hAnsi="Palatino Linotype" w:cs="Arial"/>
        </w:rPr>
        <w:t>l Sujeto Obligado</w:t>
      </w:r>
      <w:r w:rsidRPr="005F57CD">
        <w:rPr>
          <w:rFonts w:ascii="Palatino Linotype" w:eastAsiaTheme="minorEastAsia" w:hAnsi="Palatino Linotype" w:cs="Arial"/>
        </w:rPr>
        <w:t xml:space="preserve">, además de ser de naturaleza pública de común, de acuerdo a lo dispuesto por el artículo 92 fracción XXIX de la Ley de </w:t>
      </w:r>
      <w:r w:rsidRPr="00173F22">
        <w:rPr>
          <w:rFonts w:ascii="Palatino Linotype" w:eastAsiaTheme="minorEastAsia" w:hAnsi="Palatino Linotype" w:cs="Arial"/>
        </w:rPr>
        <w:t xml:space="preserve">Transparencia y Acceso a la Información Pública del Estado de México y Municipios y que obra en sus archivos, por lo que se encuentra posibilitado a entregarla, tal y como lo señala el artículos 12 del ordenamiento legal en cita. </w:t>
      </w:r>
    </w:p>
    <w:p w14:paraId="0CDCD5F4" w14:textId="77777777" w:rsidR="00B46D60" w:rsidRDefault="00B46D60" w:rsidP="00130A42">
      <w:pPr>
        <w:autoSpaceDE w:val="0"/>
        <w:autoSpaceDN w:val="0"/>
        <w:adjustRightInd w:val="0"/>
        <w:spacing w:before="240" w:after="240" w:line="360" w:lineRule="auto"/>
        <w:ind w:right="51"/>
        <w:jc w:val="both"/>
        <w:rPr>
          <w:rFonts w:ascii="Palatino Linotype" w:eastAsiaTheme="minorEastAsia" w:hAnsi="Palatino Linotype" w:cs="Arial"/>
        </w:rPr>
      </w:pPr>
      <w:r w:rsidRPr="00173F22">
        <w:rPr>
          <w:rFonts w:ascii="Palatino Linotype" w:eastAsiaTheme="minorEastAsia" w:hAnsi="Palatino Linotype" w:cs="Arial"/>
        </w:rPr>
        <w:t>No obstante lo anterior, de ser el caso que el Sujeto Obligado no haya generado la información requerida en los numerales analizados, por no haberse realizado proyectos de ampliación y modernización del sistema de alumbrado público en alguno de los años del periodo solicitado, bastará con que lo haga del conocimiento del particular al momento de dar cumplimiento a la presente resolución.</w:t>
      </w:r>
    </w:p>
    <w:p w14:paraId="65036126" w14:textId="77777777" w:rsidR="00023BCD" w:rsidRDefault="00023BCD" w:rsidP="00E343DD">
      <w:pPr>
        <w:spacing w:before="240" w:after="240" w:line="360" w:lineRule="auto"/>
        <w:ind w:right="49"/>
        <w:jc w:val="both"/>
        <w:rPr>
          <w:rFonts w:ascii="Palatino Linotype" w:hAnsi="Palatino Linotype"/>
        </w:rPr>
      </w:pPr>
    </w:p>
    <w:p w14:paraId="0D882AAB" w14:textId="3E9BD221" w:rsidR="008672CF" w:rsidRDefault="008672CF" w:rsidP="008672CF">
      <w:pPr>
        <w:spacing w:before="240" w:after="240" w:line="360" w:lineRule="auto"/>
        <w:ind w:right="49"/>
        <w:jc w:val="both"/>
        <w:rPr>
          <w:rFonts w:ascii="Palatino Linotype" w:hAnsi="Palatino Linotype"/>
        </w:rPr>
      </w:pPr>
      <w:r w:rsidRPr="00E70B5C">
        <w:rPr>
          <w:rFonts w:ascii="Palatino Linotype" w:hAnsi="Palatino Linotype"/>
        </w:rPr>
        <w:lastRenderedPageBreak/>
        <w:t>A continuación es</w:t>
      </w:r>
      <w:r>
        <w:rPr>
          <w:rFonts w:ascii="Palatino Linotype" w:hAnsi="Palatino Linotype"/>
        </w:rPr>
        <w:t xml:space="preserve"> procedente analizar lo relativo al </w:t>
      </w:r>
      <w:r>
        <w:rPr>
          <w:rFonts w:ascii="Palatino Linotype" w:hAnsi="Palatino Linotype"/>
          <w:b/>
        </w:rPr>
        <w:t xml:space="preserve">Grupo 5 </w:t>
      </w:r>
      <w:r>
        <w:rPr>
          <w:rFonts w:ascii="Palatino Linotype" w:hAnsi="Palatino Linotype"/>
        </w:rPr>
        <w:t xml:space="preserve">de los requerimientos de información, mediante los cuales el particular </w:t>
      </w:r>
      <w:r w:rsidR="00B44968">
        <w:rPr>
          <w:rFonts w:ascii="Palatino Linotype" w:hAnsi="Palatino Linotype"/>
        </w:rPr>
        <w:t>pidió</w:t>
      </w:r>
      <w:r>
        <w:rPr>
          <w:rFonts w:ascii="Palatino Linotype" w:hAnsi="Palatino Linotype"/>
        </w:rPr>
        <w:t xml:space="preserve"> </w:t>
      </w:r>
      <w:r w:rsidR="00B44968">
        <w:rPr>
          <w:rFonts w:ascii="Palatino Linotype" w:hAnsi="Palatino Linotype"/>
        </w:rPr>
        <w:t>e</w:t>
      </w:r>
      <w:r w:rsidRPr="008672CF">
        <w:rPr>
          <w:rFonts w:ascii="Palatino Linotype" w:hAnsi="Palatino Linotype"/>
        </w:rPr>
        <w:t xml:space="preserve">l número de solicitudes para ampliar el sistema de alumbrado público mediante proyectos de electrificación </w:t>
      </w:r>
      <w:r w:rsidR="00B44968">
        <w:rPr>
          <w:rFonts w:ascii="Palatino Linotype" w:hAnsi="Palatino Linotype"/>
        </w:rPr>
        <w:t>en</w:t>
      </w:r>
      <w:r w:rsidRPr="008672CF">
        <w:rPr>
          <w:rFonts w:ascii="Palatino Linotype" w:hAnsi="Palatino Linotype"/>
        </w:rPr>
        <w:t xml:space="preserve"> los años 2013, 2014, 2015, 2016, 2017 y los meses </w:t>
      </w:r>
      <w:r w:rsidR="00B44968">
        <w:rPr>
          <w:rFonts w:ascii="Palatino Linotype" w:hAnsi="Palatino Linotype"/>
        </w:rPr>
        <w:t>de enero a octubre d</w:t>
      </w:r>
      <w:r w:rsidRPr="008672CF">
        <w:rPr>
          <w:rFonts w:ascii="Palatino Linotype" w:hAnsi="Palatino Linotype"/>
        </w:rPr>
        <w:t>e 2018</w:t>
      </w:r>
      <w:r w:rsidR="00B44968">
        <w:rPr>
          <w:rFonts w:ascii="Palatino Linotype" w:hAnsi="Palatino Linotype"/>
        </w:rPr>
        <w:t>; así como</w:t>
      </w:r>
      <w:r w:rsidR="00173F22">
        <w:rPr>
          <w:rFonts w:ascii="Palatino Linotype" w:hAnsi="Palatino Linotype"/>
        </w:rPr>
        <w:t>,</w:t>
      </w:r>
      <w:r w:rsidR="00B44968">
        <w:rPr>
          <w:rFonts w:ascii="Palatino Linotype" w:hAnsi="Palatino Linotype"/>
        </w:rPr>
        <w:t xml:space="preserve"> el </w:t>
      </w:r>
      <w:r w:rsidRPr="008672CF">
        <w:rPr>
          <w:rFonts w:ascii="Palatino Linotype" w:hAnsi="Palatino Linotype"/>
        </w:rPr>
        <w:t>número de solicitudes qu</w:t>
      </w:r>
      <w:r w:rsidR="00B44968">
        <w:rPr>
          <w:rFonts w:ascii="Palatino Linotype" w:hAnsi="Palatino Linotype"/>
        </w:rPr>
        <w:t>e fueron atendidas y concluidas.</w:t>
      </w:r>
    </w:p>
    <w:p w14:paraId="0DF6840C" w14:textId="7DB8BE85" w:rsidR="00B44968" w:rsidRDefault="00B44968" w:rsidP="008672CF">
      <w:pPr>
        <w:spacing w:before="240" w:after="240" w:line="360" w:lineRule="auto"/>
        <w:ind w:right="49"/>
        <w:jc w:val="both"/>
        <w:rPr>
          <w:rFonts w:ascii="Palatino Linotype" w:hAnsi="Palatino Linotype"/>
        </w:rPr>
      </w:pPr>
      <w:r>
        <w:rPr>
          <w:rFonts w:ascii="Palatino Linotype" w:hAnsi="Palatino Linotype"/>
        </w:rPr>
        <w:t xml:space="preserve">Por ello, a efectos de iniciar nuestro análisis en este punto, cabe recordar que el </w:t>
      </w:r>
      <w:r>
        <w:rPr>
          <w:rFonts w:ascii="Palatino Linotype" w:hAnsi="Palatino Linotype"/>
          <w:b/>
        </w:rPr>
        <w:t xml:space="preserve">Sujeto Obligado </w:t>
      </w:r>
      <w:r>
        <w:rPr>
          <w:rFonts w:ascii="Palatino Linotype" w:hAnsi="Palatino Linotype"/>
        </w:rPr>
        <w:t xml:space="preserve">es responsable de garantizar el derecho fundamental de los gobernados consistente en la iluminación </w:t>
      </w:r>
      <w:r w:rsidRPr="00E6223B">
        <w:rPr>
          <w:rFonts w:ascii="Palatino Linotype" w:hAnsi="Palatino Linotype"/>
        </w:rPr>
        <w:t xml:space="preserve">de las vías públicas, parques </w:t>
      </w:r>
      <w:r w:rsidR="0074394E">
        <w:rPr>
          <w:rFonts w:ascii="Palatino Linotype" w:hAnsi="Palatino Linotype"/>
        </w:rPr>
        <w:t>públicos</w:t>
      </w:r>
      <w:r w:rsidRPr="00E6223B">
        <w:rPr>
          <w:rFonts w:ascii="Palatino Linotype" w:hAnsi="Palatino Linotype"/>
        </w:rPr>
        <w:t xml:space="preserve"> y demás espacios de libre circulación</w:t>
      </w:r>
      <w:r w:rsidR="0074394E">
        <w:rPr>
          <w:rFonts w:ascii="Palatino Linotype" w:hAnsi="Palatino Linotype"/>
        </w:rPr>
        <w:t xml:space="preserve">, el cual se traduce en un servicio público; mismo que se debe prestar de manera eficiente a la población, por ello, cualquier persona tienen derecho </w:t>
      </w:r>
      <w:r w:rsidR="00F35BF1">
        <w:rPr>
          <w:rFonts w:ascii="Palatino Linotype" w:hAnsi="Palatino Linotype"/>
        </w:rPr>
        <w:t xml:space="preserve">a pedir que se </w:t>
      </w:r>
      <w:r w:rsidR="00F35BF1" w:rsidRPr="008672CF">
        <w:rPr>
          <w:rFonts w:ascii="Palatino Linotype" w:hAnsi="Palatino Linotype"/>
        </w:rPr>
        <w:t>ampli</w:t>
      </w:r>
      <w:r w:rsidR="00F35BF1">
        <w:rPr>
          <w:rFonts w:ascii="Palatino Linotype" w:hAnsi="Palatino Linotype"/>
        </w:rPr>
        <w:t xml:space="preserve">é </w:t>
      </w:r>
      <w:r w:rsidR="0074394E" w:rsidRPr="008672CF">
        <w:rPr>
          <w:rFonts w:ascii="Palatino Linotype" w:hAnsi="Palatino Linotype"/>
        </w:rPr>
        <w:t>el sistema de alumbrado público</w:t>
      </w:r>
      <w:r w:rsidR="00F35BF1">
        <w:rPr>
          <w:rFonts w:ascii="Palatino Linotype" w:hAnsi="Palatino Linotype"/>
        </w:rPr>
        <w:t>, como mecanismo de participación ciudadana en los procesos de elaboración, implementación y evaluación de políticas públicas y toma de decisiones.</w:t>
      </w:r>
    </w:p>
    <w:p w14:paraId="3371F2F2" w14:textId="484F896F" w:rsidR="00F35BF1" w:rsidRDefault="00F35BF1" w:rsidP="008672CF">
      <w:pPr>
        <w:spacing w:before="240" w:after="240" w:line="360" w:lineRule="auto"/>
        <w:ind w:right="49"/>
        <w:jc w:val="both"/>
        <w:rPr>
          <w:rFonts w:ascii="Palatino Linotype" w:hAnsi="Palatino Linotype"/>
        </w:rPr>
      </w:pPr>
      <w:r>
        <w:rPr>
          <w:rFonts w:ascii="Palatino Linotype" w:hAnsi="Palatino Linotype"/>
        </w:rPr>
        <w:t xml:space="preserve">Acto que tienen como base o sustento el ejercicio de un derecho de petición, consagrado en el artículo 8 de la Constitución Política de los Estados unidos Mexicanos, bajo el texto, de que </w:t>
      </w:r>
      <w:r>
        <w:rPr>
          <w:rFonts w:ascii="Palatino Linotype" w:hAnsi="Palatino Linotype"/>
          <w:i/>
        </w:rPr>
        <w:t>l</w:t>
      </w:r>
      <w:r w:rsidRPr="00F35BF1">
        <w:rPr>
          <w:rFonts w:ascii="Palatino Linotype" w:hAnsi="Palatino Linotype"/>
          <w:i/>
        </w:rPr>
        <w:t xml:space="preserve">os funcionarios y empleados públicos respetarán el ejercicio del derecho de petición, siempre que ésta se formule por escrito, de manera pacífica y respetuosa; </w:t>
      </w:r>
      <w:r>
        <w:rPr>
          <w:rFonts w:ascii="Palatino Linotype" w:hAnsi="Palatino Linotype"/>
        </w:rPr>
        <w:t xml:space="preserve">a la cual debe </w:t>
      </w:r>
      <w:r w:rsidRPr="00F35BF1">
        <w:rPr>
          <w:rFonts w:ascii="Palatino Linotype" w:hAnsi="Palatino Linotype"/>
        </w:rPr>
        <w:t xml:space="preserve">recaer un acuerdo escrito </w:t>
      </w:r>
      <w:r>
        <w:rPr>
          <w:rFonts w:ascii="Palatino Linotype" w:hAnsi="Palatino Linotype"/>
        </w:rPr>
        <w:t xml:space="preserve">por </w:t>
      </w:r>
      <w:r w:rsidRPr="00F35BF1">
        <w:rPr>
          <w:rFonts w:ascii="Palatino Linotype" w:hAnsi="Palatino Linotype"/>
        </w:rPr>
        <w:t xml:space="preserve">la autoridad </w:t>
      </w:r>
      <w:r>
        <w:rPr>
          <w:rFonts w:ascii="Palatino Linotype" w:hAnsi="Palatino Linotype"/>
        </w:rPr>
        <w:t>que se</w:t>
      </w:r>
      <w:r w:rsidRPr="00F35BF1">
        <w:rPr>
          <w:rFonts w:ascii="Palatino Linotype" w:hAnsi="Palatino Linotype"/>
        </w:rPr>
        <w:t xml:space="preserve"> tiene</w:t>
      </w:r>
      <w:r>
        <w:rPr>
          <w:rFonts w:ascii="Palatino Linotype" w:hAnsi="Palatino Linotype"/>
        </w:rPr>
        <w:t xml:space="preserve"> la</w:t>
      </w:r>
      <w:r w:rsidRPr="00F35BF1">
        <w:rPr>
          <w:rFonts w:ascii="Palatino Linotype" w:hAnsi="Palatino Linotype"/>
        </w:rPr>
        <w:t xml:space="preserve"> obligación de hacer</w:t>
      </w:r>
      <w:r>
        <w:rPr>
          <w:rFonts w:ascii="Palatino Linotype" w:hAnsi="Palatino Linotype"/>
        </w:rPr>
        <w:t xml:space="preserve"> del conocimiento</w:t>
      </w:r>
      <w:r w:rsidRPr="00F35BF1">
        <w:rPr>
          <w:rFonts w:ascii="Palatino Linotype" w:hAnsi="Palatino Linotype"/>
        </w:rPr>
        <w:t xml:space="preserve"> en breve término al peti</w:t>
      </w:r>
      <w:r>
        <w:rPr>
          <w:rFonts w:ascii="Palatino Linotype" w:hAnsi="Palatino Linotype"/>
        </w:rPr>
        <w:t>cionario, que según lo dispuesto en el artículo</w:t>
      </w:r>
      <w:r w:rsidR="00994ED6">
        <w:rPr>
          <w:rFonts w:ascii="Palatino Linotype" w:hAnsi="Palatino Linotype"/>
        </w:rPr>
        <w:t xml:space="preserve"> 135 del Código de Procedimientos Administrativos del Estado de México,</w:t>
      </w:r>
      <w:r>
        <w:rPr>
          <w:rFonts w:ascii="Palatino Linotype" w:hAnsi="Palatino Linotype"/>
        </w:rPr>
        <w:t xml:space="preserve"> es de </w:t>
      </w:r>
      <w:r w:rsidR="00994ED6">
        <w:rPr>
          <w:rFonts w:ascii="Palatino Linotype" w:hAnsi="Palatino Linotype"/>
        </w:rPr>
        <w:t>quince días hábiles posteriores a la fecha de la solicitud, según se puede leer enseguida:</w:t>
      </w:r>
    </w:p>
    <w:p w14:paraId="3F5C0599" w14:textId="4BFA2B48" w:rsidR="00994ED6" w:rsidRDefault="00994ED6" w:rsidP="00994ED6">
      <w:pPr>
        <w:spacing w:after="120"/>
        <w:ind w:left="851" w:right="902"/>
        <w:jc w:val="both"/>
        <w:rPr>
          <w:rFonts w:ascii="Palatino Linotype" w:hAnsi="Palatino Linotype"/>
          <w:i/>
          <w:sz w:val="20"/>
          <w:szCs w:val="20"/>
        </w:rPr>
      </w:pPr>
      <w:r>
        <w:rPr>
          <w:rFonts w:ascii="Palatino Linotype" w:hAnsi="Palatino Linotype"/>
          <w:b/>
          <w:i/>
          <w:sz w:val="20"/>
          <w:szCs w:val="20"/>
        </w:rPr>
        <w:lastRenderedPageBreak/>
        <w:t>“</w:t>
      </w:r>
      <w:r w:rsidRPr="00994ED6">
        <w:rPr>
          <w:rFonts w:ascii="Palatino Linotype" w:hAnsi="Palatino Linotype"/>
          <w:b/>
          <w:i/>
          <w:sz w:val="20"/>
          <w:szCs w:val="20"/>
        </w:rPr>
        <w:t>Artículo 135.-</w:t>
      </w:r>
      <w:r w:rsidRPr="00994ED6">
        <w:rPr>
          <w:rFonts w:ascii="Palatino Linotype" w:hAnsi="Palatino Linotype"/>
          <w:i/>
          <w:sz w:val="20"/>
          <w:szCs w:val="20"/>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r>
        <w:rPr>
          <w:rFonts w:ascii="Palatino Linotype" w:hAnsi="Palatino Linotype"/>
          <w:i/>
          <w:sz w:val="20"/>
          <w:szCs w:val="20"/>
        </w:rPr>
        <w:t>…”</w:t>
      </w:r>
    </w:p>
    <w:p w14:paraId="575B4970" w14:textId="3A6531A0" w:rsidR="00994ED6" w:rsidRDefault="00994ED6" w:rsidP="00994ED6">
      <w:pPr>
        <w:spacing w:before="240" w:after="240" w:line="360" w:lineRule="auto"/>
        <w:ind w:right="49"/>
        <w:jc w:val="both"/>
        <w:rPr>
          <w:rFonts w:ascii="Palatino Linotype" w:hAnsi="Palatino Linotype"/>
        </w:rPr>
      </w:pPr>
      <w:r>
        <w:rPr>
          <w:rFonts w:ascii="Palatino Linotype" w:hAnsi="Palatino Linotype"/>
        </w:rPr>
        <w:t xml:space="preserve">Así las cosas, debe señalarse que es deber de los entes públicos atender las solicitudes de petición en el ejercicio de las atribuciones que tienen encomendadas, en consecuencia, bien pudiera generar una estadística en cumplimiento de sus facultades, </w:t>
      </w:r>
      <w:r w:rsidR="00CE36D3">
        <w:rPr>
          <w:rFonts w:ascii="Palatino Linotype" w:hAnsi="Palatino Linotype"/>
        </w:rPr>
        <w:t>competencia o funciones con el mayor grado de desagregación posible, en el que se contenga la solicitudes de ampliación de alumbrado público, las atendidas y concluidas.</w:t>
      </w:r>
    </w:p>
    <w:p w14:paraId="572DA622" w14:textId="5153D22C" w:rsidR="00CE36D3" w:rsidRDefault="00CE36D3" w:rsidP="00994ED6">
      <w:pPr>
        <w:spacing w:before="240" w:after="240" w:line="360" w:lineRule="auto"/>
        <w:ind w:right="49"/>
        <w:jc w:val="both"/>
        <w:rPr>
          <w:rFonts w:ascii="Palatino Linotype" w:hAnsi="Palatino Linotype"/>
        </w:rPr>
      </w:pPr>
      <w:r>
        <w:rPr>
          <w:rFonts w:ascii="Palatino Linotype" w:hAnsi="Palatino Linotype"/>
        </w:rPr>
        <w:t xml:space="preserve">Las cuales en todo caso, tiene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w:t>
      </w:r>
      <w:r w:rsidRPr="00CE36D3">
        <w:rPr>
          <w:rFonts w:ascii="Palatino Linotype" w:hAnsi="Palatino Linotype"/>
        </w:rPr>
        <w:t>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rPr>
        <w:t>, que en su texto señala lo siguiente:</w:t>
      </w:r>
    </w:p>
    <w:p w14:paraId="62AD8602" w14:textId="20C55784" w:rsidR="00CE36D3" w:rsidRPr="00CE36D3" w:rsidRDefault="00CE36D3" w:rsidP="00CE36D3">
      <w:pPr>
        <w:spacing w:after="120"/>
        <w:ind w:left="851" w:right="902"/>
        <w:jc w:val="both"/>
        <w:rPr>
          <w:rFonts w:ascii="Palatino Linotype" w:hAnsi="Palatino Linotype"/>
          <w:b/>
          <w:i/>
          <w:sz w:val="20"/>
          <w:szCs w:val="20"/>
        </w:rPr>
      </w:pPr>
      <w:r>
        <w:rPr>
          <w:rFonts w:ascii="Palatino Linotype" w:hAnsi="Palatino Linotype"/>
          <w:b/>
          <w:i/>
          <w:sz w:val="20"/>
          <w:szCs w:val="20"/>
        </w:rPr>
        <w:t>“</w:t>
      </w:r>
      <w:r w:rsidRPr="00CE36D3">
        <w:rPr>
          <w:rFonts w:ascii="Palatino Linotype" w:hAnsi="Palatino Linotype"/>
          <w:b/>
          <w:i/>
          <w:sz w:val="20"/>
          <w:szCs w:val="20"/>
        </w:rPr>
        <w:t>XXX. Las estadísticas que generen en cumplimiento de sus facultades, competencias o funciones con la mayor desagregación posible</w:t>
      </w:r>
      <w:r>
        <w:rPr>
          <w:rFonts w:ascii="Palatino Linotype" w:hAnsi="Palatino Linotype"/>
          <w:b/>
          <w:i/>
          <w:sz w:val="20"/>
          <w:szCs w:val="20"/>
        </w:rPr>
        <w:t>.</w:t>
      </w:r>
    </w:p>
    <w:p w14:paraId="4DBB1D52" w14:textId="77777777" w:rsidR="00CE36D3" w:rsidRDefault="00CE36D3" w:rsidP="00CE36D3">
      <w:pPr>
        <w:spacing w:after="120"/>
        <w:ind w:left="851" w:right="902"/>
        <w:jc w:val="both"/>
        <w:rPr>
          <w:rFonts w:ascii="Palatino Linotype" w:hAnsi="Palatino Linotype"/>
          <w:i/>
          <w:sz w:val="20"/>
          <w:szCs w:val="20"/>
        </w:rPr>
      </w:pPr>
      <w:r w:rsidRPr="00CE36D3">
        <w:rPr>
          <w:rFonts w:ascii="Palatino Linotype" w:hAnsi="Palatino Linotype"/>
          <w:i/>
          <w:sz w:val="20"/>
          <w:szCs w:val="20"/>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w:t>
      </w:r>
      <w:r w:rsidRPr="00CE36D3">
        <w:rPr>
          <w:rFonts w:ascii="Palatino Linotype" w:hAnsi="Palatino Linotype"/>
          <w:i/>
          <w:sz w:val="20"/>
          <w:szCs w:val="20"/>
        </w:rPr>
        <w:lastRenderedPageBreak/>
        <w:t xml:space="preserve">respectivos, los cuales deberán ofrecerse en formato abierto, de acuerdo con el concepto establecido en la Ley General, artículo 3, fracción X, que a la letra dice: </w:t>
      </w:r>
    </w:p>
    <w:p w14:paraId="51A47369" w14:textId="77777777" w:rsidR="00CE36D3" w:rsidRDefault="00CE36D3" w:rsidP="00CE36D3">
      <w:pPr>
        <w:spacing w:after="120"/>
        <w:ind w:left="851" w:right="902"/>
        <w:jc w:val="both"/>
        <w:rPr>
          <w:rFonts w:ascii="Palatino Linotype" w:hAnsi="Palatino Linotype"/>
          <w:i/>
          <w:sz w:val="20"/>
          <w:szCs w:val="20"/>
        </w:rPr>
      </w:pPr>
      <w:r w:rsidRPr="00CE36D3">
        <w:rPr>
          <w:rFonts w:ascii="Palatino Linotype" w:hAnsi="Palatino Linotype"/>
          <w:i/>
          <w:sz w:val="20"/>
          <w:szCs w:val="20"/>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14:paraId="03DD3408" w14:textId="77777777" w:rsidR="00CE36D3" w:rsidRDefault="00CE36D3" w:rsidP="00CE36D3">
      <w:pPr>
        <w:spacing w:after="120"/>
        <w:ind w:left="851" w:right="902"/>
        <w:jc w:val="both"/>
        <w:rPr>
          <w:rFonts w:ascii="Palatino Linotype" w:hAnsi="Palatino Linotype"/>
          <w:i/>
          <w:sz w:val="20"/>
          <w:szCs w:val="20"/>
        </w:rPr>
      </w:pPr>
      <w:r w:rsidRPr="00CE36D3">
        <w:rPr>
          <w:rFonts w:ascii="Palatino Linotype" w:hAnsi="Palatino Linotype"/>
          <w:i/>
          <w:sz w:val="20"/>
          <w:szCs w:val="20"/>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14:paraId="7F53EA63" w14:textId="107DC2C3" w:rsidR="00CE36D3" w:rsidRDefault="00CE36D3" w:rsidP="00CE36D3">
      <w:pPr>
        <w:spacing w:after="120"/>
        <w:ind w:left="851" w:right="902"/>
        <w:jc w:val="both"/>
        <w:rPr>
          <w:rFonts w:ascii="Palatino Linotype" w:hAnsi="Palatino Linotype"/>
          <w:i/>
          <w:sz w:val="20"/>
          <w:szCs w:val="20"/>
        </w:rPr>
      </w:pPr>
      <w:r w:rsidRPr="00CE36D3">
        <w:rPr>
          <w:rFonts w:ascii="Palatino Linotype" w:hAnsi="Palatino Linotype"/>
          <w:i/>
          <w:sz w:val="20"/>
          <w:szCs w:val="20"/>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r>
        <w:rPr>
          <w:rFonts w:ascii="Palatino Linotype" w:hAnsi="Palatino Linotype"/>
          <w:i/>
          <w:sz w:val="20"/>
          <w:szCs w:val="20"/>
        </w:rPr>
        <w:t>”</w:t>
      </w:r>
    </w:p>
    <w:p w14:paraId="43A56C9C" w14:textId="6A1301E9" w:rsidR="00CE36D3" w:rsidRDefault="00CE36D3" w:rsidP="00CE36D3">
      <w:pPr>
        <w:spacing w:before="240" w:after="240" w:line="360" w:lineRule="auto"/>
        <w:ind w:right="49"/>
        <w:jc w:val="both"/>
        <w:rPr>
          <w:rFonts w:ascii="Palatino Linotype" w:hAnsi="Palatino Linotype"/>
        </w:rPr>
      </w:pPr>
      <w:r>
        <w:rPr>
          <w:rFonts w:ascii="Palatino Linotype" w:hAnsi="Palatino Linotype"/>
        </w:rPr>
        <w:t xml:space="preserve">Sin que obste, que en todo caso para dar atención a las solitudes de los gobernados para atender el servicio público denominado “Alumbrado </w:t>
      </w:r>
      <w:r w:rsidR="005D23E7">
        <w:rPr>
          <w:rFonts w:ascii="Palatino Linotype" w:hAnsi="Palatino Linotype"/>
        </w:rPr>
        <w:t>Público</w:t>
      </w:r>
      <w:r>
        <w:rPr>
          <w:rFonts w:ascii="Palatino Linotype" w:hAnsi="Palatino Linotype"/>
        </w:rPr>
        <w:t xml:space="preserve">” deberá </w:t>
      </w:r>
      <w:r w:rsidR="005D23E7">
        <w:rPr>
          <w:rFonts w:ascii="Palatino Linotype" w:hAnsi="Palatino Linotype"/>
        </w:rPr>
        <w:t xml:space="preserve">generar un documento que permitir </w:t>
      </w:r>
      <w:r>
        <w:rPr>
          <w:rFonts w:ascii="Palatino Linotype" w:hAnsi="Palatino Linotype"/>
        </w:rPr>
        <w:t xml:space="preserve">registrar </w:t>
      </w:r>
      <w:r w:rsidR="005D23E7">
        <w:rPr>
          <w:rFonts w:ascii="Palatino Linotype" w:hAnsi="Palatino Linotype"/>
        </w:rPr>
        <w:t xml:space="preserve">las solicitudes planteadas y el seguimiento dado a la mismas, en consecuencia en términos del artículo del párrafo segundo del artículo12 de la Ley de la Materia, el </w:t>
      </w:r>
      <w:r w:rsidR="005D23E7">
        <w:rPr>
          <w:rFonts w:ascii="Palatino Linotype" w:hAnsi="Palatino Linotype"/>
          <w:b/>
        </w:rPr>
        <w:t xml:space="preserve">Sujeto Obligado </w:t>
      </w:r>
      <w:r w:rsidR="005D23E7">
        <w:rPr>
          <w:rFonts w:ascii="Palatino Linotype" w:hAnsi="Palatino Linotype"/>
        </w:rPr>
        <w:t>tiene el deber de proporcionar la expresión documental en que consten el requerimiento del particular, misma que no está obligado a proces</w:t>
      </w:r>
      <w:r w:rsidR="00DF5618">
        <w:rPr>
          <w:rFonts w:ascii="Palatino Linotype" w:hAnsi="Palatino Linotype"/>
        </w:rPr>
        <w:t>ar</w:t>
      </w:r>
      <w:r w:rsidR="005D23E7">
        <w:rPr>
          <w:rFonts w:ascii="Palatino Linotype" w:hAnsi="Palatino Linotype"/>
        </w:rPr>
        <w:t xml:space="preserve"> a efectos de dar cumplimiento a lo solicitado.</w:t>
      </w:r>
    </w:p>
    <w:p w14:paraId="763D3AE2" w14:textId="23134221" w:rsidR="00DF5618" w:rsidRDefault="00DF5618" w:rsidP="00CE36D3">
      <w:pPr>
        <w:spacing w:before="240" w:after="240" w:line="360" w:lineRule="auto"/>
        <w:ind w:right="49"/>
        <w:jc w:val="both"/>
        <w:rPr>
          <w:rFonts w:ascii="Palatino Linotype" w:hAnsi="Palatino Linotype"/>
        </w:rPr>
      </w:pPr>
      <w:r>
        <w:rPr>
          <w:rFonts w:ascii="Palatino Linotype" w:hAnsi="Palatino Linotype"/>
        </w:rPr>
        <w:lastRenderedPageBreak/>
        <w:t>Bajo dicha ordenanza, este Órgano Garante no soslaya, que la generación de dicha información, tienen como naturaleza el ejercicio de un derecho de petición</w:t>
      </w:r>
      <w:r w:rsidR="00B72E84">
        <w:rPr>
          <w:rFonts w:ascii="Palatino Linotype" w:hAnsi="Palatino Linotype"/>
        </w:rPr>
        <w:t>,</w:t>
      </w:r>
      <w:r>
        <w:rPr>
          <w:rFonts w:ascii="Palatino Linotype" w:hAnsi="Palatino Linotype"/>
        </w:rPr>
        <w:t xml:space="preserve"> que puede ser o no ejercido por los particulares, </w:t>
      </w:r>
      <w:r w:rsidR="00B72E84">
        <w:rPr>
          <w:rFonts w:ascii="Palatino Linotype" w:hAnsi="Palatino Linotype"/>
        </w:rPr>
        <w:t xml:space="preserve">dicho de otra manera, es una facultad potestativa que ejercer los particulares,  </w:t>
      </w:r>
      <w:r>
        <w:rPr>
          <w:rFonts w:ascii="Palatino Linotype" w:hAnsi="Palatino Linotype"/>
        </w:rPr>
        <w:t xml:space="preserve">por </w:t>
      </w:r>
      <w:r w:rsidR="00B72E84">
        <w:rPr>
          <w:rFonts w:ascii="Palatino Linotype" w:hAnsi="Palatino Linotype"/>
        </w:rPr>
        <w:t>el</w:t>
      </w:r>
      <w:r>
        <w:rPr>
          <w:rFonts w:ascii="Palatino Linotype" w:hAnsi="Palatino Linotype"/>
        </w:rPr>
        <w:t>lo</w:t>
      </w:r>
      <w:r w:rsidR="00B72E84">
        <w:rPr>
          <w:rFonts w:ascii="Palatino Linotype" w:hAnsi="Palatino Linotype"/>
        </w:rPr>
        <w:t>,</w:t>
      </w:r>
      <w:r>
        <w:rPr>
          <w:rFonts w:ascii="Palatino Linotype" w:hAnsi="Palatino Linotype"/>
        </w:rPr>
        <w:t xml:space="preserve"> para el caso de que no obre </w:t>
      </w:r>
      <w:r w:rsidR="00B72E84">
        <w:rPr>
          <w:rFonts w:ascii="Palatino Linotype" w:hAnsi="Palatino Linotype"/>
        </w:rPr>
        <w:t xml:space="preserve">en sus archivos dicha información, por haber registrado solicitudes de ampliación de servicio de alumbrado público, bastara con el solo pronunciamiento del </w:t>
      </w:r>
      <w:r w:rsidR="00B72E84">
        <w:rPr>
          <w:rFonts w:ascii="Palatino Linotype" w:hAnsi="Palatino Linotype"/>
          <w:b/>
        </w:rPr>
        <w:t xml:space="preserve">Sujeto Obligado </w:t>
      </w:r>
      <w:r w:rsidR="00B72E84">
        <w:rPr>
          <w:rFonts w:ascii="Palatino Linotype" w:hAnsi="Palatino Linotype"/>
        </w:rPr>
        <w:t>para tener por colmado el requerimiento de información</w:t>
      </w:r>
      <w:r w:rsidR="00B66AB8">
        <w:rPr>
          <w:rFonts w:ascii="Palatino Linotype" w:hAnsi="Palatino Linotype"/>
        </w:rPr>
        <w:t>.</w:t>
      </w:r>
    </w:p>
    <w:p w14:paraId="7E024335" w14:textId="51BE6E87" w:rsidR="00A7424D" w:rsidRPr="009849F1" w:rsidRDefault="00A7424D" w:rsidP="00A7424D">
      <w:pPr>
        <w:autoSpaceDE w:val="0"/>
        <w:autoSpaceDN w:val="0"/>
        <w:adjustRightInd w:val="0"/>
        <w:spacing w:before="240" w:after="240" w:line="360" w:lineRule="auto"/>
        <w:ind w:right="-141"/>
        <w:jc w:val="both"/>
        <w:rPr>
          <w:rFonts w:ascii="Palatino Linotype" w:eastAsiaTheme="minorEastAsia" w:hAnsi="Palatino Linotype" w:cs="Arial"/>
        </w:rPr>
      </w:pPr>
      <w:r w:rsidRPr="009849F1">
        <w:rPr>
          <w:rFonts w:ascii="Palatino Linotype" w:hAnsi="Palatino Linotype" w:cs="Arial"/>
        </w:rPr>
        <w:t>En relación</w:t>
      </w:r>
      <w:r>
        <w:rPr>
          <w:rFonts w:ascii="Palatino Linotype" w:hAnsi="Palatino Linotype" w:cs="Arial"/>
        </w:rPr>
        <w:t xml:space="preserve"> al </w:t>
      </w:r>
      <w:r>
        <w:rPr>
          <w:rFonts w:ascii="Palatino Linotype" w:hAnsi="Palatino Linotype" w:cs="Arial"/>
          <w:b/>
        </w:rPr>
        <w:t xml:space="preserve">Grupo 6, </w:t>
      </w:r>
      <w:r>
        <w:rPr>
          <w:rFonts w:ascii="Palatino Linotype" w:hAnsi="Palatino Linotype" w:cs="Arial"/>
        </w:rPr>
        <w:t>es este se concentró la información relativa a l</w:t>
      </w:r>
      <w:r w:rsidRPr="009849F1">
        <w:rPr>
          <w:rFonts w:ascii="Palatino Linotype" w:hAnsi="Palatino Linotype" w:cs="Arial"/>
        </w:rPr>
        <w:t xml:space="preserve">os contratos y convenios requeridos por la particular, </w:t>
      </w:r>
      <w:r>
        <w:rPr>
          <w:rFonts w:ascii="Palatino Linotype" w:hAnsi="Palatino Linotype" w:cs="Arial"/>
        </w:rPr>
        <w:t>siendo</w:t>
      </w:r>
      <w:r w:rsidRPr="009849F1">
        <w:rPr>
          <w:rFonts w:ascii="Palatino Linotype" w:hAnsi="Palatino Linotype" w:cs="Arial"/>
        </w:rPr>
        <w:t xml:space="preserve"> importante precisar que </w:t>
      </w:r>
      <w:r w:rsidRPr="009849F1">
        <w:rPr>
          <w:rFonts w:ascii="Palatino Linotype" w:eastAsiaTheme="minorEastAsia" w:hAnsi="Palatino Linotype" w:cs="Arial"/>
          <w:lang w:val="es-MX"/>
        </w:rPr>
        <w:t xml:space="preserve">el artículo 115, fracción III de la Constitución Política de los Estados Unidos Mexicanos indica que los municipios tendrán a su cargo </w:t>
      </w:r>
      <w:r w:rsidRPr="009849F1">
        <w:rPr>
          <w:rFonts w:ascii="Palatino Linotype" w:eastAsiaTheme="minorEastAsia" w:hAnsi="Palatino Linotype" w:cs="Arial"/>
        </w:rPr>
        <w:t xml:space="preserve">la prestación de servicios públicos, entre los que destaca el </w:t>
      </w:r>
      <w:r w:rsidRPr="009849F1">
        <w:rPr>
          <w:rFonts w:ascii="Palatino Linotype" w:eastAsiaTheme="minorEastAsia" w:hAnsi="Palatino Linotype" w:cs="Arial"/>
          <w:lang w:val="es-MX"/>
        </w:rPr>
        <w:t>alumbrado público, el cual</w:t>
      </w:r>
      <w:r w:rsidRPr="009849F1">
        <w:rPr>
          <w:rFonts w:ascii="Palatino Linotype" w:eastAsiaTheme="minorEastAsia" w:hAnsi="Palatino Linotype" w:cs="Arial"/>
        </w:rPr>
        <w:t xml:space="preserve"> conforme a lo dispuesto por el</w:t>
      </w:r>
      <w:r>
        <w:rPr>
          <w:rFonts w:ascii="Palatino Linotype" w:eastAsiaTheme="minorEastAsia" w:hAnsi="Palatino Linotype" w:cs="Arial"/>
        </w:rPr>
        <w:t xml:space="preserve"> artículo</w:t>
      </w:r>
      <w:r w:rsidRPr="009849F1">
        <w:rPr>
          <w:rFonts w:ascii="Palatino Linotype" w:eastAsiaTheme="minorEastAsia" w:hAnsi="Palatino Linotype" w:cs="Arial"/>
          <w:lang w:val="es-MX"/>
        </w:rPr>
        <w:t xml:space="preserve"> 3</w:t>
      </w:r>
      <w:r>
        <w:rPr>
          <w:rFonts w:ascii="Palatino Linotype" w:eastAsiaTheme="minorEastAsia" w:hAnsi="Palatino Linotype" w:cs="Arial"/>
        </w:rPr>
        <w:t>1</w:t>
      </w:r>
      <w:r w:rsidRPr="009849F1">
        <w:rPr>
          <w:rFonts w:ascii="Palatino Linotype" w:eastAsiaTheme="minorEastAsia" w:hAnsi="Palatino Linotype" w:cs="Arial"/>
          <w:lang w:val="es-MX"/>
        </w:rPr>
        <w:t xml:space="preserve"> fracciones II y VII de la Ley Orgánica Municipal</w:t>
      </w:r>
      <w:r w:rsidRPr="009849F1">
        <w:rPr>
          <w:rFonts w:ascii="Palatino Linotype" w:eastAsiaTheme="minorEastAsia" w:hAnsi="Palatino Linotype" w:cs="Arial"/>
        </w:rPr>
        <w:t xml:space="preserve"> del Estado de México, </w:t>
      </w:r>
      <w:r w:rsidRPr="009849F1">
        <w:rPr>
          <w:rFonts w:ascii="Palatino Linotype" w:eastAsiaTheme="minorEastAsia" w:hAnsi="Palatino Linotype" w:cs="Arial"/>
          <w:lang w:val="es-MX"/>
        </w:rPr>
        <w:t xml:space="preserve">podrá prestarse mediante </w:t>
      </w:r>
      <w:proofErr w:type="spellStart"/>
      <w:r w:rsidRPr="009849F1">
        <w:rPr>
          <w:rFonts w:ascii="Palatino Linotype" w:eastAsiaTheme="minorEastAsia" w:hAnsi="Palatino Linotype" w:cs="Arial"/>
          <w:lang w:val="es-MX"/>
        </w:rPr>
        <w:t>conven</w:t>
      </w:r>
      <w:r w:rsidRPr="009849F1">
        <w:rPr>
          <w:rFonts w:ascii="Palatino Linotype" w:eastAsiaTheme="minorEastAsia" w:hAnsi="Palatino Linotype" w:cs="Arial"/>
        </w:rPr>
        <w:t>io</w:t>
      </w:r>
      <w:proofErr w:type="spellEnd"/>
      <w:r w:rsidRPr="009849F1">
        <w:rPr>
          <w:rFonts w:ascii="Palatino Linotype" w:eastAsiaTheme="minorEastAsia" w:hAnsi="Palatino Linotype" w:cs="Arial"/>
        </w:rPr>
        <w:t>, contrato o concesión, como se observa a continuación:</w:t>
      </w:r>
    </w:p>
    <w:p w14:paraId="37D934FA" w14:textId="77777777" w:rsidR="00A7424D" w:rsidRPr="00A7424D" w:rsidRDefault="00A7424D" w:rsidP="00A7424D">
      <w:pPr>
        <w:autoSpaceDE w:val="0"/>
        <w:autoSpaceDN w:val="0"/>
        <w:adjustRightInd w:val="0"/>
        <w:spacing w:after="120"/>
        <w:ind w:left="851" w:right="900"/>
        <w:jc w:val="both"/>
        <w:rPr>
          <w:rFonts w:ascii="Palatino Linotype" w:eastAsiaTheme="minorEastAsia" w:hAnsi="Palatino Linotype" w:cs="Arial"/>
          <w:i/>
          <w:sz w:val="20"/>
          <w:szCs w:val="20"/>
        </w:rPr>
      </w:pPr>
      <w:r>
        <w:rPr>
          <w:rFonts w:ascii="Palatino Linotype" w:eastAsiaTheme="minorEastAsia" w:hAnsi="Palatino Linotype" w:cs="Arial"/>
          <w:b/>
          <w:i/>
        </w:rPr>
        <w:t>“</w:t>
      </w:r>
      <w:r w:rsidRPr="00A7424D">
        <w:rPr>
          <w:rFonts w:ascii="Palatino Linotype" w:eastAsiaTheme="minorEastAsia" w:hAnsi="Palatino Linotype" w:cs="Arial"/>
          <w:b/>
          <w:i/>
          <w:sz w:val="20"/>
          <w:szCs w:val="20"/>
        </w:rPr>
        <w:t>Artículo 31.-</w:t>
      </w:r>
      <w:r w:rsidRPr="00A7424D">
        <w:rPr>
          <w:rFonts w:ascii="Palatino Linotype" w:eastAsiaTheme="minorEastAsia" w:hAnsi="Palatino Linotype" w:cs="Arial"/>
          <w:i/>
          <w:sz w:val="20"/>
          <w:szCs w:val="20"/>
        </w:rPr>
        <w:t xml:space="preserve"> Son atribuciones de los ayuntamientos:</w:t>
      </w:r>
    </w:p>
    <w:p w14:paraId="22D223E1" w14:textId="6A1CD47B" w:rsidR="00A7424D" w:rsidRPr="00A7424D" w:rsidRDefault="00A7424D" w:rsidP="00A7424D">
      <w:pPr>
        <w:autoSpaceDE w:val="0"/>
        <w:autoSpaceDN w:val="0"/>
        <w:adjustRightInd w:val="0"/>
        <w:ind w:left="1134" w:right="900"/>
        <w:jc w:val="both"/>
        <w:rPr>
          <w:rFonts w:ascii="Palatino Linotype" w:eastAsiaTheme="minorEastAsia" w:hAnsi="Palatino Linotype" w:cs="Arial"/>
          <w:i/>
          <w:sz w:val="20"/>
          <w:szCs w:val="20"/>
        </w:rPr>
      </w:pPr>
      <w:r>
        <w:rPr>
          <w:rFonts w:ascii="Palatino Linotype" w:eastAsiaTheme="minorEastAsia" w:hAnsi="Palatino Linotype" w:cs="Arial"/>
          <w:i/>
          <w:sz w:val="20"/>
          <w:szCs w:val="20"/>
        </w:rPr>
        <w:t>(</w:t>
      </w:r>
      <w:r w:rsidRPr="00A7424D">
        <w:rPr>
          <w:rFonts w:ascii="Palatino Linotype" w:eastAsiaTheme="minorEastAsia" w:hAnsi="Palatino Linotype" w:cs="Arial"/>
          <w:i/>
          <w:sz w:val="20"/>
          <w:szCs w:val="20"/>
        </w:rPr>
        <w:t>…</w:t>
      </w:r>
      <w:r>
        <w:rPr>
          <w:rFonts w:ascii="Palatino Linotype" w:eastAsiaTheme="minorEastAsia" w:hAnsi="Palatino Linotype" w:cs="Arial"/>
          <w:i/>
          <w:sz w:val="20"/>
          <w:szCs w:val="20"/>
        </w:rPr>
        <w:t>)</w:t>
      </w:r>
    </w:p>
    <w:p w14:paraId="72B72608" w14:textId="77777777" w:rsidR="00A7424D" w:rsidRPr="00A7424D" w:rsidRDefault="00A7424D" w:rsidP="00A7424D">
      <w:pPr>
        <w:autoSpaceDE w:val="0"/>
        <w:autoSpaceDN w:val="0"/>
        <w:adjustRightInd w:val="0"/>
        <w:ind w:left="1134" w:right="900"/>
        <w:jc w:val="both"/>
        <w:rPr>
          <w:rFonts w:ascii="Palatino Linotype" w:eastAsiaTheme="minorEastAsia" w:hAnsi="Palatino Linotype" w:cs="Arial"/>
          <w:i/>
          <w:sz w:val="20"/>
          <w:szCs w:val="20"/>
        </w:rPr>
      </w:pPr>
      <w:r w:rsidRPr="00A7424D">
        <w:rPr>
          <w:rFonts w:ascii="Palatino Linotype" w:eastAsiaTheme="minorEastAsia" w:hAnsi="Palatino Linotype" w:cs="Arial"/>
          <w:i/>
          <w:sz w:val="20"/>
          <w:szCs w:val="20"/>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14:paraId="773B030E" w14:textId="17940A8D" w:rsidR="00A7424D" w:rsidRPr="00A7424D" w:rsidRDefault="00A7424D" w:rsidP="00A7424D">
      <w:pPr>
        <w:autoSpaceDE w:val="0"/>
        <w:autoSpaceDN w:val="0"/>
        <w:adjustRightInd w:val="0"/>
        <w:ind w:left="1134" w:right="900"/>
        <w:jc w:val="both"/>
        <w:rPr>
          <w:rFonts w:ascii="Palatino Linotype" w:eastAsiaTheme="minorEastAsia" w:hAnsi="Palatino Linotype" w:cs="Arial"/>
          <w:i/>
          <w:sz w:val="20"/>
          <w:szCs w:val="20"/>
        </w:rPr>
      </w:pPr>
      <w:r>
        <w:rPr>
          <w:rFonts w:ascii="Palatino Linotype" w:eastAsiaTheme="minorEastAsia" w:hAnsi="Palatino Linotype" w:cs="Arial"/>
          <w:i/>
          <w:sz w:val="20"/>
          <w:szCs w:val="20"/>
        </w:rPr>
        <w:t>(</w:t>
      </w:r>
      <w:r w:rsidRPr="00A7424D">
        <w:rPr>
          <w:rFonts w:ascii="Palatino Linotype" w:eastAsiaTheme="minorEastAsia" w:hAnsi="Palatino Linotype" w:cs="Arial"/>
          <w:i/>
          <w:sz w:val="20"/>
          <w:szCs w:val="20"/>
        </w:rPr>
        <w:t>…</w:t>
      </w:r>
      <w:r>
        <w:rPr>
          <w:rFonts w:ascii="Palatino Linotype" w:eastAsiaTheme="minorEastAsia" w:hAnsi="Palatino Linotype" w:cs="Arial"/>
          <w:i/>
          <w:sz w:val="20"/>
          <w:szCs w:val="20"/>
        </w:rPr>
        <w:t>)</w:t>
      </w:r>
    </w:p>
    <w:p w14:paraId="2DF11D8F" w14:textId="5ACEA667" w:rsidR="00A7424D" w:rsidRPr="00A7424D" w:rsidRDefault="00A7424D" w:rsidP="00A7424D">
      <w:pPr>
        <w:autoSpaceDE w:val="0"/>
        <w:autoSpaceDN w:val="0"/>
        <w:adjustRightInd w:val="0"/>
        <w:ind w:left="1134" w:right="900"/>
        <w:jc w:val="both"/>
        <w:rPr>
          <w:rFonts w:ascii="Palatino Linotype" w:eastAsiaTheme="minorEastAsia" w:hAnsi="Palatino Linotype" w:cs="Arial"/>
          <w:i/>
          <w:sz w:val="20"/>
          <w:szCs w:val="20"/>
        </w:rPr>
      </w:pPr>
      <w:r w:rsidRPr="00A7424D">
        <w:rPr>
          <w:rFonts w:ascii="Palatino Linotype" w:eastAsiaTheme="minorEastAsia" w:hAnsi="Palatino Linotype" w:cs="Arial"/>
          <w:i/>
          <w:sz w:val="20"/>
          <w:szCs w:val="20"/>
        </w:rPr>
        <w:t>VII. Convenir, contratar o concesionar, en términos de ley, la ejecución de obras y la prestación de servicios públicos, con el Estado, con otros municipios de la entidad o con particulares, recabando, cuando proceda, la autorización de la Legislatura del Estado;</w:t>
      </w:r>
      <w:r>
        <w:rPr>
          <w:rFonts w:ascii="Palatino Linotype" w:eastAsiaTheme="minorEastAsia" w:hAnsi="Palatino Linotype" w:cs="Arial"/>
          <w:i/>
          <w:sz w:val="20"/>
          <w:szCs w:val="20"/>
        </w:rPr>
        <w:t>…</w:t>
      </w:r>
      <w:r w:rsidRPr="00A7424D">
        <w:rPr>
          <w:rFonts w:ascii="Palatino Linotype" w:eastAsiaTheme="minorEastAsia" w:hAnsi="Palatino Linotype" w:cs="Arial"/>
          <w:i/>
          <w:sz w:val="20"/>
          <w:szCs w:val="20"/>
        </w:rPr>
        <w:t>”</w:t>
      </w:r>
    </w:p>
    <w:p w14:paraId="1607B8F7" w14:textId="44D2A040" w:rsidR="00A7424D" w:rsidRDefault="00A7424D" w:rsidP="00A7424D">
      <w:pPr>
        <w:autoSpaceDE w:val="0"/>
        <w:autoSpaceDN w:val="0"/>
        <w:adjustRightInd w:val="0"/>
        <w:spacing w:before="240" w:after="240" w:line="360" w:lineRule="auto"/>
        <w:ind w:right="-141"/>
        <w:jc w:val="both"/>
        <w:rPr>
          <w:rFonts w:ascii="Palatino Linotype" w:hAnsi="Palatino Linotype" w:cs="Arial"/>
        </w:rPr>
      </w:pPr>
      <w:r w:rsidRPr="00F7073D">
        <w:rPr>
          <w:rFonts w:ascii="Palatino Linotype" w:eastAsiaTheme="minorHAnsi" w:hAnsi="Palatino Linotype" w:cs="Arial"/>
        </w:rPr>
        <w:t xml:space="preserve">Vinculado con lo anterior, tenemos que de acuerdo con la Ley de la Comisión Federal de Electricidad, la CFE es una empresa productiva del Estado de propiedad exclusiva </w:t>
      </w:r>
      <w:r w:rsidRPr="00F7073D">
        <w:rPr>
          <w:rFonts w:ascii="Palatino Linotype" w:eastAsiaTheme="minorHAnsi" w:hAnsi="Palatino Linotype" w:cs="Arial"/>
        </w:rPr>
        <w:lastRenderedPageBreak/>
        <w:t>del Gobierno Federal con personalidad jurídica y patrimonio propio</w:t>
      </w:r>
      <w:r>
        <w:rPr>
          <w:rFonts w:ascii="Palatino Linotype" w:eastAsiaTheme="minorHAnsi" w:hAnsi="Palatino Linotype" w:cs="Arial"/>
        </w:rPr>
        <w:t>,</w:t>
      </w:r>
      <w:r w:rsidRPr="00F7073D">
        <w:rPr>
          <w:rFonts w:ascii="Palatino Linotype" w:eastAsiaTheme="minorHAnsi" w:hAnsi="Palatino Linotype" w:cs="Arial"/>
        </w:rPr>
        <w:t xml:space="preserve"> quien además goza de autonomía técnica, operativa y de gestión</w:t>
      </w:r>
      <w:r>
        <w:rPr>
          <w:rStyle w:val="Refdenotaalpie"/>
          <w:rFonts w:ascii="Palatino Linotype" w:hAnsi="Palatino Linotype" w:cs="Arial"/>
        </w:rPr>
        <w:footnoteReference w:id="13"/>
      </w:r>
      <w:r>
        <w:rPr>
          <w:rFonts w:ascii="Palatino Linotype" w:hAnsi="Palatino Linotype" w:cs="Arial"/>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Pr>
          <w:rStyle w:val="Refdenotaalpie"/>
          <w:rFonts w:ascii="Palatino Linotype" w:hAnsi="Palatino Linotype" w:cs="Arial"/>
        </w:rPr>
        <w:footnoteReference w:id="14"/>
      </w:r>
      <w:r>
        <w:rPr>
          <w:rFonts w:ascii="Palatino Linotype" w:hAnsi="Palatino Linotype" w:cs="Arial"/>
        </w:rPr>
        <w:t>, asimismo la Ley en mérito indica que la Comisión Federal de Electricidad podrá realizar actividades, operaciones o servicios necesarios para el cumplimiento de su objeto por sí misma o a través de la celebración de contratos, convenios, alianzas o asociaciones o cualquier acto jurídico con personas física o morales de los sectores público, privado, social, nacional o internacional, como se advierte en los artículos 7 y 8 de su ordenamiento jurídico:</w:t>
      </w:r>
    </w:p>
    <w:p w14:paraId="414F902E" w14:textId="77777777" w:rsidR="00A7424D" w:rsidRPr="00A7424D" w:rsidRDefault="00A7424D" w:rsidP="00A7424D">
      <w:pPr>
        <w:autoSpaceDE w:val="0"/>
        <w:autoSpaceDN w:val="0"/>
        <w:adjustRightInd w:val="0"/>
        <w:spacing w:after="120" w:line="259" w:lineRule="auto"/>
        <w:ind w:left="851" w:right="900"/>
        <w:jc w:val="both"/>
        <w:rPr>
          <w:rFonts w:ascii="Palatino Linotype" w:eastAsiaTheme="minorEastAsia" w:hAnsi="Palatino Linotype" w:cs="Arial"/>
          <w:i/>
          <w:sz w:val="20"/>
          <w:szCs w:val="20"/>
        </w:rPr>
      </w:pPr>
      <w:r w:rsidRPr="00A7424D">
        <w:rPr>
          <w:rFonts w:ascii="Palatino Linotype" w:eastAsiaTheme="minorEastAsia" w:hAnsi="Palatino Linotype" w:cs="Arial"/>
          <w:b/>
          <w:i/>
          <w:sz w:val="20"/>
          <w:szCs w:val="20"/>
        </w:rPr>
        <w:t>“Artículo 7.-</w:t>
      </w:r>
      <w:r w:rsidRPr="00A7424D">
        <w:rPr>
          <w:rFonts w:ascii="Palatino Linotype" w:eastAsiaTheme="minorEastAsia" w:hAnsi="Palatino Linotype" w:cs="Arial"/>
          <w:i/>
          <w:sz w:val="20"/>
          <w:szCs w:val="20"/>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14:paraId="245B143F" w14:textId="77777777" w:rsidR="00A7424D" w:rsidRPr="00A7424D" w:rsidRDefault="00A7424D" w:rsidP="00A7424D">
      <w:pPr>
        <w:autoSpaceDE w:val="0"/>
        <w:autoSpaceDN w:val="0"/>
        <w:adjustRightInd w:val="0"/>
        <w:spacing w:after="120" w:line="259" w:lineRule="auto"/>
        <w:ind w:left="851" w:right="900"/>
        <w:jc w:val="both"/>
        <w:rPr>
          <w:rFonts w:ascii="Palatino Linotype" w:eastAsiaTheme="minorEastAsia" w:hAnsi="Palatino Linotype" w:cs="Arial"/>
          <w:i/>
          <w:sz w:val="20"/>
          <w:szCs w:val="20"/>
        </w:rPr>
      </w:pPr>
      <w:r w:rsidRPr="00A7424D">
        <w:rPr>
          <w:rFonts w:ascii="Palatino Linotype" w:eastAsiaTheme="minorEastAsia" w:hAnsi="Palatino Linotype" w:cs="Arial"/>
          <w:i/>
          <w:sz w:val="20"/>
          <w:szCs w:val="20"/>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14:paraId="55247F11" w14:textId="77777777" w:rsidR="00A7424D" w:rsidRPr="00A7424D" w:rsidRDefault="00A7424D" w:rsidP="00A7424D">
      <w:pPr>
        <w:autoSpaceDE w:val="0"/>
        <w:autoSpaceDN w:val="0"/>
        <w:adjustRightInd w:val="0"/>
        <w:spacing w:after="120"/>
        <w:ind w:left="851" w:right="900"/>
        <w:jc w:val="both"/>
        <w:rPr>
          <w:rFonts w:ascii="Palatino Linotype" w:eastAsiaTheme="minorEastAsia" w:hAnsi="Palatino Linotype" w:cs="Arial"/>
          <w:i/>
          <w:sz w:val="20"/>
          <w:szCs w:val="20"/>
        </w:rPr>
      </w:pPr>
      <w:r w:rsidRPr="00A7424D">
        <w:rPr>
          <w:rFonts w:ascii="Palatino Linotype" w:eastAsiaTheme="minorEastAsia" w:hAnsi="Palatino Linotype" w:cs="Arial"/>
          <w:b/>
          <w:i/>
          <w:sz w:val="20"/>
          <w:szCs w:val="20"/>
        </w:rPr>
        <w:t>Artículo 8.-</w:t>
      </w:r>
      <w:r w:rsidRPr="00A7424D">
        <w:rPr>
          <w:rFonts w:ascii="Palatino Linotype" w:eastAsiaTheme="minorEastAsia" w:hAnsi="Palatino Linotype" w:cs="Arial"/>
          <w:i/>
          <w:sz w:val="20"/>
          <w:szCs w:val="20"/>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14:paraId="742B8245" w14:textId="11C05CB9" w:rsidR="00A7424D" w:rsidRDefault="00A7424D" w:rsidP="00A7424D">
      <w:pPr>
        <w:autoSpaceDE w:val="0"/>
        <w:autoSpaceDN w:val="0"/>
        <w:adjustRightInd w:val="0"/>
        <w:spacing w:before="240" w:after="240" w:line="360" w:lineRule="auto"/>
        <w:ind w:right="-141"/>
        <w:jc w:val="both"/>
        <w:rPr>
          <w:rFonts w:ascii="Palatino Linotype" w:hAnsi="Palatino Linotype" w:cs="Arial"/>
        </w:rPr>
      </w:pPr>
      <w:r w:rsidRPr="00FC58E7">
        <w:rPr>
          <w:rFonts w:ascii="Palatino Linotype" w:eastAsiaTheme="minorHAnsi" w:hAnsi="Palatino Linotype" w:cs="Arial"/>
        </w:rPr>
        <w:lastRenderedPageBreak/>
        <w:t>De la interpretación de los preceptos jurídicos citados con anterioridad, se advierte que tanto los Municipios como la Comisión Federal de Electricidad cuentan con las atribuciones y facultades suficientes para la celebra</w:t>
      </w:r>
      <w:r>
        <w:rPr>
          <w:rFonts w:ascii="Palatino Linotype" w:eastAsiaTheme="minorHAnsi" w:hAnsi="Palatino Linotype" w:cs="Arial"/>
        </w:rPr>
        <w:t>r</w:t>
      </w:r>
      <w:r w:rsidRPr="00FC58E7">
        <w:rPr>
          <w:rFonts w:ascii="Palatino Linotype" w:eastAsiaTheme="minorHAnsi" w:hAnsi="Palatino Linotype" w:cs="Arial"/>
        </w:rPr>
        <w:t xml:space="preserve"> contratos y convenios para la prestación de servicios </w:t>
      </w:r>
      <w:r>
        <w:rPr>
          <w:rFonts w:ascii="Palatino Linotype" w:hAnsi="Palatino Linotype" w:cs="Arial"/>
        </w:rPr>
        <w:t>por concepto de suministro de energía eléctrica, por lo que se considera dable ordenar la entrega</w:t>
      </w:r>
      <w:r w:rsidR="005732E7">
        <w:rPr>
          <w:rFonts w:ascii="Palatino Linotype" w:hAnsi="Palatino Linotype" w:cs="Arial"/>
        </w:rPr>
        <w:t xml:space="preserve"> de los últimos generados a la fecha de la solicitud, esto es al trece de noviembre de dos mil dieciocho</w:t>
      </w:r>
      <w:r>
        <w:rPr>
          <w:rFonts w:ascii="Palatino Linotype" w:hAnsi="Palatino Linotype" w:cs="Arial"/>
        </w:rPr>
        <w:t>.</w:t>
      </w:r>
    </w:p>
    <w:p w14:paraId="3965DADB" w14:textId="1D8B7D4B" w:rsidR="00A7424D" w:rsidRDefault="00A7424D" w:rsidP="00A7424D">
      <w:pPr>
        <w:autoSpaceDE w:val="0"/>
        <w:autoSpaceDN w:val="0"/>
        <w:adjustRightInd w:val="0"/>
        <w:spacing w:before="240" w:after="240" w:line="360" w:lineRule="auto"/>
        <w:ind w:right="-141"/>
        <w:jc w:val="both"/>
        <w:rPr>
          <w:rFonts w:ascii="Palatino Linotype" w:hAnsi="Palatino Linotype" w:cs="Arial"/>
        </w:rPr>
      </w:pPr>
      <w:r>
        <w:rPr>
          <w:rFonts w:ascii="Palatino Linotype" w:hAnsi="Palatino Linotype" w:cs="Arial"/>
        </w:rPr>
        <w:t>En cuanto al siguiente punto, relacionado con el convenio denominado “Peso por Peso”, la Comisión Federal de Electricidad emitió las “Políticas generales para la cancelación de adeudos a cargo de terceros y a favor de la CFE”, dirigidas principalmente para ayudar a los deudores cuando existiera inviabilidad económica o imposibilidad de práctica en el cobro de los deudores, por ende se diseñaron instrumentos para reducir el crecimiento de la cartera vencida de la CFE, entre los cuales el instrumento 5 corresponde a la “Política de peso por peso para gobiernos municipales”.</w:t>
      </w:r>
    </w:p>
    <w:p w14:paraId="1389D66F" w14:textId="77777777" w:rsidR="00A7424D" w:rsidRDefault="00A7424D" w:rsidP="00A7424D">
      <w:pPr>
        <w:autoSpaceDE w:val="0"/>
        <w:autoSpaceDN w:val="0"/>
        <w:adjustRightInd w:val="0"/>
        <w:spacing w:before="240" w:after="240" w:line="360" w:lineRule="auto"/>
        <w:ind w:right="-141"/>
        <w:jc w:val="both"/>
        <w:rPr>
          <w:rFonts w:ascii="Palatino Linotype" w:hAnsi="Palatino Linotype" w:cs="Arial"/>
        </w:rPr>
      </w:pPr>
      <w:r>
        <w:rPr>
          <w:rFonts w:ascii="Palatino Linotype" w:hAnsi="Palatino Linotype" w:cs="Arial"/>
        </w:rPr>
        <w:t>Dicha política consiste en la recuperación de cartera vencida a través de la formulación de convenios con gobiernos municipales, para restructurar por una sola vez los adeudos aplicando un esquema que garantice el pago oportuno de la facturación; en dicha modalidad el Gobierno Federal aportará por conducto de la CFE un peso para cubrir el adeudo histórico</w:t>
      </w:r>
      <w:r>
        <w:rPr>
          <w:rStyle w:val="Refdenotaalpie"/>
          <w:rFonts w:ascii="Palatino Linotype" w:hAnsi="Palatino Linotype" w:cs="Arial"/>
        </w:rPr>
        <w:footnoteReference w:id="15"/>
      </w:r>
      <w:r>
        <w:rPr>
          <w:rFonts w:ascii="Palatino Linotype" w:hAnsi="Palatino Linotype" w:cs="Arial"/>
        </w:rPr>
        <w:t xml:space="preserve">, por cada peso que paguen los municipios </w:t>
      </w:r>
      <w:r>
        <w:rPr>
          <w:rFonts w:ascii="Palatino Linotype" w:hAnsi="Palatino Linotype" w:cs="Arial"/>
        </w:rPr>
        <w:lastRenderedPageBreak/>
        <w:t>de la facturación normal, dichos pagos se podrán garantizar con las participaciones federales que le correspondan a cada municipio que firme el convenio.</w:t>
      </w:r>
    </w:p>
    <w:p w14:paraId="29F40FC1" w14:textId="6B21A9F3" w:rsidR="00A7424D" w:rsidRDefault="00C32BC0" w:rsidP="00A7424D">
      <w:pPr>
        <w:autoSpaceDE w:val="0"/>
        <w:autoSpaceDN w:val="0"/>
        <w:adjustRightInd w:val="0"/>
        <w:spacing w:before="240" w:after="240" w:line="360" w:lineRule="auto"/>
        <w:ind w:right="-141"/>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64384" behindDoc="0" locked="0" layoutInCell="1" allowOverlap="1" wp14:anchorId="4325A8E3" wp14:editId="1FA3CDA7">
            <wp:simplePos x="0" y="0"/>
            <wp:positionH relativeFrom="column">
              <wp:posOffset>681990</wp:posOffset>
            </wp:positionH>
            <wp:positionV relativeFrom="page">
              <wp:posOffset>3609340</wp:posOffset>
            </wp:positionV>
            <wp:extent cx="5612130" cy="2647950"/>
            <wp:effectExtent l="0" t="0" r="762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04.png"/>
                    <pic:cNvPicPr/>
                  </pic:nvPicPr>
                  <pic:blipFill rotWithShape="1">
                    <a:blip r:embed="rId28">
                      <a:extLst>
                        <a:ext uri="{28A0092B-C50C-407E-A947-70E740481C1C}">
                          <a14:useLocalDpi xmlns:a14="http://schemas.microsoft.com/office/drawing/2010/main" val="0"/>
                        </a:ext>
                      </a:extLst>
                    </a:blip>
                    <a:srcRect b="49892"/>
                    <a:stretch/>
                  </pic:blipFill>
                  <pic:spPr bwMode="auto">
                    <a:xfrm>
                      <a:off x="0" y="0"/>
                      <a:ext cx="5612130" cy="2647950"/>
                    </a:xfrm>
                    <a:prstGeom prst="rect">
                      <a:avLst/>
                    </a:prstGeom>
                    <a:ln>
                      <a:noFill/>
                    </a:ln>
                    <a:extLst>
                      <a:ext uri="{53640926-AAD7-44D8-BBD7-CCE9431645EC}">
                        <a14:shadowObscured xmlns:a14="http://schemas.microsoft.com/office/drawing/2010/main"/>
                      </a:ext>
                    </a:extLst>
                  </pic:spPr>
                </pic:pic>
              </a:graphicData>
            </a:graphic>
          </wp:anchor>
        </w:drawing>
      </w:r>
      <w:r w:rsidR="00A7424D">
        <w:rPr>
          <w:rFonts w:ascii="Palatino Linotype" w:hAnsi="Palatino Linotype" w:cs="Arial"/>
        </w:rPr>
        <w:t>Además, en dichos documento se establece que la aplicación de esa política ha resultado efectiva para atender la cartera vencida en entidades como el Estado de México, en donde se han firmado 196 convenios con municipios, como se muestra en el siguiente extracto:</w:t>
      </w:r>
    </w:p>
    <w:p w14:paraId="130D3822" w14:textId="40ADEB1E" w:rsidR="00A7424D" w:rsidRDefault="00A7424D" w:rsidP="002F6DF4">
      <w:pPr>
        <w:autoSpaceDE w:val="0"/>
        <w:autoSpaceDN w:val="0"/>
        <w:adjustRightInd w:val="0"/>
        <w:spacing w:before="240" w:after="240" w:line="360" w:lineRule="auto"/>
        <w:ind w:right="-141"/>
        <w:jc w:val="center"/>
        <w:rPr>
          <w:rFonts w:ascii="Palatino Linotype" w:hAnsi="Palatino Linotype" w:cs="Arial"/>
        </w:rPr>
      </w:pPr>
    </w:p>
    <w:p w14:paraId="799DC80D" w14:textId="77777777" w:rsidR="002F6DF4" w:rsidRDefault="002F6DF4" w:rsidP="00A7424D">
      <w:pPr>
        <w:autoSpaceDE w:val="0"/>
        <w:autoSpaceDN w:val="0"/>
        <w:adjustRightInd w:val="0"/>
        <w:spacing w:before="240" w:after="240" w:line="360" w:lineRule="auto"/>
        <w:ind w:right="-141"/>
        <w:jc w:val="both"/>
        <w:rPr>
          <w:rFonts w:ascii="Palatino Linotype" w:hAnsi="Palatino Linotype" w:cs="Arial"/>
        </w:rPr>
      </w:pPr>
    </w:p>
    <w:p w14:paraId="35109874" w14:textId="77777777" w:rsidR="002F6DF4" w:rsidRDefault="002F6DF4" w:rsidP="00A7424D">
      <w:pPr>
        <w:autoSpaceDE w:val="0"/>
        <w:autoSpaceDN w:val="0"/>
        <w:adjustRightInd w:val="0"/>
        <w:spacing w:before="240" w:after="240" w:line="360" w:lineRule="auto"/>
        <w:ind w:right="-141"/>
        <w:jc w:val="both"/>
        <w:rPr>
          <w:rFonts w:ascii="Palatino Linotype" w:hAnsi="Palatino Linotype" w:cs="Arial"/>
        </w:rPr>
      </w:pPr>
    </w:p>
    <w:p w14:paraId="58B56C30" w14:textId="10FF2025" w:rsidR="002F6DF4" w:rsidRDefault="002F6DF4" w:rsidP="00A7424D">
      <w:pPr>
        <w:autoSpaceDE w:val="0"/>
        <w:autoSpaceDN w:val="0"/>
        <w:adjustRightInd w:val="0"/>
        <w:spacing w:before="240" w:after="240" w:line="360" w:lineRule="auto"/>
        <w:ind w:right="-141"/>
        <w:jc w:val="both"/>
        <w:rPr>
          <w:rFonts w:ascii="Palatino Linotype" w:hAnsi="Palatino Linotype" w:cs="Arial"/>
        </w:rPr>
      </w:pPr>
    </w:p>
    <w:p w14:paraId="4304434E" w14:textId="77777777" w:rsidR="002F6DF4" w:rsidRDefault="002F6DF4" w:rsidP="00A7424D">
      <w:pPr>
        <w:autoSpaceDE w:val="0"/>
        <w:autoSpaceDN w:val="0"/>
        <w:adjustRightInd w:val="0"/>
        <w:spacing w:before="240" w:after="240" w:line="360" w:lineRule="auto"/>
        <w:ind w:right="-141"/>
        <w:jc w:val="both"/>
        <w:rPr>
          <w:rFonts w:ascii="Palatino Linotype" w:hAnsi="Palatino Linotype" w:cs="Arial"/>
        </w:rPr>
      </w:pPr>
    </w:p>
    <w:p w14:paraId="4132C236" w14:textId="77777777" w:rsidR="00C32BC0" w:rsidRDefault="00C32BC0" w:rsidP="00A7424D">
      <w:pPr>
        <w:autoSpaceDE w:val="0"/>
        <w:autoSpaceDN w:val="0"/>
        <w:adjustRightInd w:val="0"/>
        <w:spacing w:before="240" w:after="240" w:line="360" w:lineRule="auto"/>
        <w:ind w:right="-141"/>
        <w:jc w:val="both"/>
        <w:rPr>
          <w:rFonts w:ascii="Palatino Linotype" w:hAnsi="Palatino Linotype" w:cs="Arial"/>
        </w:rPr>
      </w:pPr>
    </w:p>
    <w:p w14:paraId="7D2F1BBB" w14:textId="7C5E7A58" w:rsidR="00A7424D" w:rsidRDefault="00A7424D" w:rsidP="00A7424D">
      <w:pPr>
        <w:autoSpaceDE w:val="0"/>
        <w:autoSpaceDN w:val="0"/>
        <w:adjustRightInd w:val="0"/>
        <w:spacing w:before="240" w:after="240" w:line="360" w:lineRule="auto"/>
        <w:ind w:right="-141"/>
        <w:jc w:val="both"/>
        <w:rPr>
          <w:rFonts w:ascii="Palatino Linotype" w:hAnsi="Palatino Linotype" w:cs="Arial"/>
        </w:rPr>
      </w:pPr>
      <w:r w:rsidRPr="00F65EF4">
        <w:rPr>
          <w:rFonts w:ascii="Palatino Linotype" w:hAnsi="Palatino Linotype" w:cs="Arial"/>
        </w:rPr>
        <w:t xml:space="preserve">Por lo anterior, este Órgano Garante advierte que existe la posibilidad de que el </w:t>
      </w:r>
      <w:r w:rsidRPr="00F65EF4">
        <w:rPr>
          <w:rFonts w:ascii="Palatino Linotype" w:hAnsi="Palatino Linotype" w:cs="Arial"/>
          <w:b/>
        </w:rPr>
        <w:t>Sujeto Obligado</w:t>
      </w:r>
      <w:r w:rsidRPr="00F65EF4">
        <w:rPr>
          <w:rFonts w:ascii="Palatino Linotype" w:hAnsi="Palatino Linotype" w:cs="Arial"/>
        </w:rPr>
        <w:t xml:space="preserve"> haya firmado convenio peso por peso</w:t>
      </w:r>
      <w:r w:rsidR="00DC2582">
        <w:rPr>
          <w:rFonts w:ascii="Palatino Linotype" w:hAnsi="Palatino Linotype" w:cs="Arial"/>
        </w:rPr>
        <w:t>, en el periodo comprendido del primero</w:t>
      </w:r>
      <w:r w:rsidRPr="00F65EF4">
        <w:rPr>
          <w:rFonts w:ascii="Palatino Linotype" w:hAnsi="Palatino Linotype" w:cs="Arial"/>
        </w:rPr>
        <w:t xml:space="preserve"> de enero del año dos mil trece al trece de noviembre del años dos mi dieciocho,</w:t>
      </w:r>
      <w:r w:rsidR="00DC2582">
        <w:rPr>
          <w:rFonts w:ascii="Palatino Linotype" w:hAnsi="Palatino Linotype" w:cs="Arial"/>
        </w:rPr>
        <w:t xml:space="preserve"> por lo que deberá entregar</w:t>
      </w:r>
      <w:r w:rsidRPr="00F65EF4">
        <w:rPr>
          <w:rFonts w:ascii="Palatino Linotype" w:hAnsi="Palatino Linotype" w:cs="Arial"/>
        </w:rPr>
        <w:t xml:space="preserve"> en caso </w:t>
      </w:r>
      <w:r w:rsidR="00DC2582">
        <w:rPr>
          <w:rFonts w:ascii="Palatino Linotype" w:hAnsi="Palatino Linotype" w:cs="Arial"/>
        </w:rPr>
        <w:t>de obrar en su archivos, el último generado al trece de noviembre de dos mil dieciocho,</w:t>
      </w:r>
      <w:r w:rsidRPr="00F65EF4">
        <w:rPr>
          <w:rFonts w:ascii="Palatino Linotype" w:hAnsi="Palatino Linotype" w:cs="Arial"/>
        </w:rPr>
        <w:t xml:space="preserve"> en versión pública en términos del considerando siguiente, sin </w:t>
      </w:r>
      <w:r w:rsidR="00DC2582">
        <w:rPr>
          <w:rFonts w:ascii="Palatino Linotype" w:hAnsi="Palatino Linotype" w:cs="Arial"/>
        </w:rPr>
        <w:t xml:space="preserve">que obste, que de no </w:t>
      </w:r>
      <w:r w:rsidRPr="00F65EF4">
        <w:rPr>
          <w:rFonts w:ascii="Palatino Linotype" w:hAnsi="Palatino Linotype" w:cs="Arial"/>
        </w:rPr>
        <w:t>haberse celebrado convenio bastará que lo haga del conocimiento del particular.</w:t>
      </w:r>
    </w:p>
    <w:p w14:paraId="1347DBA8" w14:textId="77777777" w:rsidR="00A7424D" w:rsidRDefault="00A7424D" w:rsidP="00A7424D">
      <w:pPr>
        <w:autoSpaceDE w:val="0"/>
        <w:autoSpaceDN w:val="0"/>
        <w:adjustRightInd w:val="0"/>
        <w:spacing w:before="240" w:after="240" w:line="360" w:lineRule="auto"/>
        <w:ind w:right="-141"/>
        <w:jc w:val="both"/>
        <w:rPr>
          <w:rFonts w:ascii="Palatino Linotype" w:hAnsi="Palatino Linotype" w:cs="Arial"/>
        </w:rPr>
      </w:pPr>
      <w:r>
        <w:rPr>
          <w:rFonts w:ascii="Palatino Linotype" w:hAnsi="Palatino Linotype" w:cs="Arial"/>
        </w:rPr>
        <w:lastRenderedPageBreak/>
        <w:t>En cuanto hace al convenio para recaudar el Derecho de Alumbrado Público “DAP”, en primer lugar debemos precisar que el DAP es un impuesto a través del cual los municipios reciben ingresos después de celebrar un convenio con la Comisión Federal de Electricidad,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2018, se pudo advertir que se encuentra dentro de las mismas el pago por derechos de servicio de alumbrado público, como se muestra en la siguiente imagen a manera de ejemplo:</w:t>
      </w:r>
    </w:p>
    <w:p w14:paraId="46C28649" w14:textId="77777777" w:rsidR="00A7424D" w:rsidRDefault="00A7424D" w:rsidP="00A7424D">
      <w:pPr>
        <w:autoSpaceDE w:val="0"/>
        <w:autoSpaceDN w:val="0"/>
        <w:adjustRightInd w:val="0"/>
        <w:spacing w:before="240" w:after="240" w:line="360" w:lineRule="auto"/>
        <w:ind w:right="-141"/>
        <w:jc w:val="both"/>
        <w:rPr>
          <w:rFonts w:ascii="Palatino Linotype" w:hAnsi="Palatino Linotype" w:cs="Arial"/>
        </w:rPr>
      </w:pPr>
      <w:bookmarkStart w:id="0" w:name="_GoBack"/>
      <w:r>
        <w:rPr>
          <w:rFonts w:ascii="Palatino Linotype" w:hAnsi="Palatino Linotype" w:cs="Arial"/>
          <w:noProof/>
          <w:lang w:val="es-MX" w:eastAsia="es-MX"/>
        </w:rPr>
        <w:drawing>
          <wp:inline distT="0" distB="0" distL="0" distR="0" wp14:anchorId="6F0C1BE9" wp14:editId="05F12CD3">
            <wp:extent cx="5612130" cy="2219325"/>
            <wp:effectExtent l="0" t="0" r="762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4.jpg"/>
                    <pic:cNvPicPr/>
                  </pic:nvPicPr>
                  <pic:blipFill>
                    <a:blip r:embed="rId29">
                      <a:extLst>
                        <a:ext uri="{28A0092B-C50C-407E-A947-70E740481C1C}">
                          <a14:useLocalDpi xmlns:a14="http://schemas.microsoft.com/office/drawing/2010/main" val="0"/>
                        </a:ext>
                      </a:extLst>
                    </a:blip>
                    <a:stretch>
                      <a:fillRect/>
                    </a:stretch>
                  </pic:blipFill>
                  <pic:spPr>
                    <a:xfrm>
                      <a:off x="0" y="0"/>
                      <a:ext cx="5612130" cy="2219325"/>
                    </a:xfrm>
                    <a:prstGeom prst="rect">
                      <a:avLst/>
                    </a:prstGeom>
                  </pic:spPr>
                </pic:pic>
              </a:graphicData>
            </a:graphic>
          </wp:inline>
        </w:drawing>
      </w:r>
      <w:bookmarkEnd w:id="0"/>
    </w:p>
    <w:p w14:paraId="2FA67896" w14:textId="77777777" w:rsidR="00A7424D" w:rsidRDefault="00A7424D" w:rsidP="00A7424D">
      <w:pPr>
        <w:autoSpaceDE w:val="0"/>
        <w:autoSpaceDN w:val="0"/>
        <w:adjustRightInd w:val="0"/>
        <w:spacing w:before="240" w:after="240" w:line="360" w:lineRule="auto"/>
        <w:ind w:right="-141"/>
        <w:jc w:val="both"/>
        <w:rPr>
          <w:rFonts w:ascii="Palatino Linotype" w:hAnsi="Palatino Linotype" w:cs="Arial"/>
        </w:rPr>
      </w:pPr>
      <w:r>
        <w:rPr>
          <w:rFonts w:ascii="Palatino Linotype" w:hAnsi="Palatino Linotype" w:cs="Arial"/>
        </w:rPr>
        <w:t xml:space="preserve">De la misma manera, el Código Financiero del Estado de México, contempla los derechos por servicio de alumbrado público en sus artículos 161 y 162, indicando que para la prestación de dicho servicio se pagará bimestralmente el 10 % del cargo a cubrir por la recepción del servicio contratado cuando se apliquen tarifas 1,2 3 del acuerdo que autoriza el ajuste de las mismas para el suministro y venta de energía, y el 2% en aquellos casos en que se apliquen las tarifas H-M u O-M y H-S o H-T, mismo </w:t>
      </w:r>
      <w:r>
        <w:rPr>
          <w:rFonts w:ascii="Palatino Linotype" w:hAnsi="Palatino Linotype" w:cs="Arial"/>
        </w:rPr>
        <w:lastRenderedPageBreak/>
        <w:t xml:space="preserve">que no podrá exceder 5 veces el valor diario de la unidad de medida y actualización vigente; asimismo señala que los ayuntamientos podrán acordar la aplicación del derecho en aquellas zonas que no tengan grado relativo de existencia del servicio, a solitud de los habitantes del área específica del municipio, o por convenio expreso entre éstos y el ayuntamiento cuando los importes de su recaudación se detienen a la introducción o ampliación de las redes de alumbrado público faltantes o insuficientes. </w:t>
      </w:r>
    </w:p>
    <w:p w14:paraId="206CD2B5" w14:textId="091A9CFF" w:rsidR="00A7424D" w:rsidRDefault="00A7424D" w:rsidP="00A7424D">
      <w:pPr>
        <w:autoSpaceDE w:val="0"/>
        <w:autoSpaceDN w:val="0"/>
        <w:adjustRightInd w:val="0"/>
        <w:spacing w:before="240" w:after="240" w:line="360" w:lineRule="auto"/>
        <w:ind w:right="-141"/>
        <w:jc w:val="both"/>
        <w:rPr>
          <w:rFonts w:ascii="Palatino Linotype" w:hAnsi="Palatino Linotype" w:cs="Arial"/>
        </w:rPr>
      </w:pPr>
      <w:r>
        <w:rPr>
          <w:rFonts w:ascii="Palatino Linotype" w:hAnsi="Palatino Linotype" w:cs="Arial"/>
        </w:rPr>
        <w:t>Derivado de lo anterior, se advierte que existe la posibilidad de que el municipio a través de la Comisión Federal de Electricidad haya convenido el cobro del derecho de alumbrado público, por lo que resulta procedente ordenar la entrega del o los convenios que se hayan firmado con la CFE así como el monto recaudado por ese derecho a través de la Comisión</w:t>
      </w:r>
      <w:r w:rsidR="000454F9">
        <w:rPr>
          <w:rFonts w:ascii="Palatino Linotype" w:hAnsi="Palatino Linotype" w:cs="Arial"/>
        </w:rPr>
        <w:t>,</w:t>
      </w:r>
      <w:r>
        <w:rPr>
          <w:rFonts w:ascii="Palatino Linotype" w:hAnsi="Palatino Linotype" w:cs="Arial"/>
        </w:rPr>
        <w:t xml:space="preserve"> del periodo del uno de enero de dos mil trece al trece de noviembre de dos mil dieciocho, y para el caso de que no se haya firmado convenio alguno bastará con que lo haga del conocimiento de la recurrente.</w:t>
      </w:r>
    </w:p>
    <w:p w14:paraId="02653D8D" w14:textId="618353A7" w:rsidR="00B72E84" w:rsidRDefault="00B72E84" w:rsidP="00B72E84">
      <w:pPr>
        <w:spacing w:before="240" w:after="240" w:line="360" w:lineRule="auto"/>
        <w:ind w:right="51"/>
        <w:jc w:val="both"/>
        <w:rPr>
          <w:rFonts w:ascii="Palatino Linotype" w:hAnsi="Palatino Linotype"/>
        </w:rPr>
      </w:pPr>
      <w:r w:rsidRPr="00E70B5C">
        <w:rPr>
          <w:rFonts w:ascii="Palatino Linotype" w:hAnsi="Palatino Linotype"/>
        </w:rPr>
        <w:t>En otro punto, toca</w:t>
      </w:r>
      <w:r>
        <w:rPr>
          <w:rFonts w:ascii="Palatino Linotype" w:hAnsi="Palatino Linotype"/>
        </w:rPr>
        <w:t xml:space="preserve"> el momento de analizar lo relativo al </w:t>
      </w:r>
      <w:r w:rsidRPr="00A313C6">
        <w:rPr>
          <w:rFonts w:ascii="Palatino Linotype" w:hAnsi="Palatino Linotype"/>
          <w:b/>
        </w:rPr>
        <w:t>Grupo 7</w:t>
      </w:r>
      <w:r>
        <w:rPr>
          <w:rFonts w:ascii="Palatino Linotype" w:hAnsi="Palatino Linotype"/>
          <w:b/>
        </w:rPr>
        <w:t xml:space="preserve">, </w:t>
      </w:r>
      <w:r>
        <w:rPr>
          <w:rFonts w:ascii="Palatino Linotype" w:hAnsi="Palatino Linotype"/>
        </w:rPr>
        <w:t>en el que agruparon los siguientes requerimientos:</w:t>
      </w:r>
    </w:p>
    <w:p w14:paraId="00F70771" w14:textId="77777777" w:rsidR="00B72E84" w:rsidRPr="00B72E84" w:rsidRDefault="00B72E84" w:rsidP="00B72E84">
      <w:pPr>
        <w:spacing w:before="240" w:after="240" w:line="360" w:lineRule="auto"/>
        <w:ind w:left="567" w:right="51"/>
        <w:jc w:val="both"/>
        <w:rPr>
          <w:rFonts w:ascii="Palatino Linotype" w:hAnsi="Palatino Linotype"/>
          <w:b/>
        </w:rPr>
      </w:pPr>
      <w:r w:rsidRPr="00B72E84">
        <w:rPr>
          <w:rFonts w:ascii="Palatino Linotype" w:hAnsi="Palatino Linotype"/>
          <w:b/>
        </w:rPr>
        <w:t xml:space="preserve">1. El listado y/o número de juicios y controversias promovidos por particulares en contra del municipio por el cobro del Derecho de Alumbrado Público “DAP” durante los años 2013, 2014, 2015, 2016, 2017 y los meses que van de 2018. </w:t>
      </w:r>
    </w:p>
    <w:p w14:paraId="426DFF1A" w14:textId="1FE53CE4" w:rsidR="00B72E84" w:rsidRDefault="00B72E84" w:rsidP="00B72E84">
      <w:pPr>
        <w:spacing w:before="240" w:after="240" w:line="360" w:lineRule="auto"/>
        <w:ind w:left="567" w:right="49"/>
        <w:jc w:val="both"/>
        <w:rPr>
          <w:rFonts w:ascii="Palatino Linotype" w:hAnsi="Palatino Linotype"/>
          <w:b/>
        </w:rPr>
      </w:pPr>
      <w:r w:rsidRPr="00B72E84">
        <w:rPr>
          <w:rFonts w:ascii="Palatino Linotype" w:hAnsi="Palatino Linotype"/>
          <w:b/>
        </w:rPr>
        <w:t xml:space="preserve">2. El listado y/o número de juicios y controversias perdidos y ganados por el ayuntamiento (municipio) ante los particulares que reclaman el pago </w:t>
      </w:r>
      <w:r w:rsidRPr="00B72E84">
        <w:rPr>
          <w:rFonts w:ascii="Palatino Linotype" w:hAnsi="Palatino Linotype"/>
          <w:b/>
        </w:rPr>
        <w:lastRenderedPageBreak/>
        <w:t>indebido del Derecho de Alumbrado Público durante los años 2013, 2014, 2015, 2016, 2017 y los meses que van de 2018.</w:t>
      </w:r>
    </w:p>
    <w:p w14:paraId="18425ABD" w14:textId="1F30F024" w:rsidR="009A4755" w:rsidRDefault="00CF5D49" w:rsidP="00B72E84">
      <w:pPr>
        <w:spacing w:before="240" w:after="240" w:line="360" w:lineRule="auto"/>
        <w:ind w:right="49"/>
        <w:jc w:val="both"/>
        <w:rPr>
          <w:rFonts w:ascii="Palatino Linotype" w:hAnsi="Palatino Linotype"/>
        </w:rPr>
      </w:pPr>
      <w:r w:rsidRPr="00CF5D49">
        <w:rPr>
          <w:rFonts w:ascii="Palatino Linotype" w:hAnsi="Palatino Linotype"/>
        </w:rPr>
        <w:t>Al respecto, es de establecer en primer lugar</w:t>
      </w:r>
      <w:r>
        <w:rPr>
          <w:rFonts w:ascii="Palatino Linotype" w:hAnsi="Palatino Linotype"/>
        </w:rPr>
        <w:t xml:space="preserve"> que el “DAP” o bien denominado “Derecho </w:t>
      </w:r>
      <w:r w:rsidR="009A4755">
        <w:rPr>
          <w:rFonts w:ascii="Palatino Linotype" w:hAnsi="Palatino Linotype"/>
        </w:rPr>
        <w:t xml:space="preserve">de </w:t>
      </w:r>
      <w:r>
        <w:rPr>
          <w:rFonts w:ascii="Palatino Linotype" w:hAnsi="Palatino Linotype"/>
        </w:rPr>
        <w:t xml:space="preserve">Alumbrado Público”, consistente en </w:t>
      </w:r>
      <w:r w:rsidR="009A4755">
        <w:rPr>
          <w:rFonts w:ascii="Palatino Linotype" w:hAnsi="Palatino Linotype"/>
        </w:rPr>
        <w:t>el pago porcentual del total de consumo de un periodo, por tener iluminadas las vialidades, plazas, monumentos, jardines y parques públicos, en donde actúa la CFE como autoridad responsable, cuando auxilia a la autoridad municipal en el cobro de los derechos de alumbrado público, mediante la emisión de un recibo de facturación del servicio de energía eléctrica, que se sustenta en la Ley de Ingresos Municipal previo convenio con el Ayuntamiento, sustenta lo dicho la tesis aislada de los Tribunales Colegiados de Circuito que responde al rubro y texto siguiente:</w:t>
      </w:r>
    </w:p>
    <w:p w14:paraId="3BFB95A6" w14:textId="3A86C7E2" w:rsidR="009A4755" w:rsidRPr="0008299B" w:rsidRDefault="0008299B" w:rsidP="0008299B">
      <w:pPr>
        <w:spacing w:after="120"/>
        <w:ind w:left="851" w:right="902"/>
        <w:jc w:val="both"/>
        <w:rPr>
          <w:rFonts w:ascii="Palatino Linotype" w:hAnsi="Palatino Linotype"/>
          <w:i/>
          <w:sz w:val="20"/>
          <w:szCs w:val="20"/>
        </w:rPr>
      </w:pPr>
      <w:r w:rsidRPr="0008299B">
        <w:rPr>
          <w:rFonts w:ascii="Palatino Linotype" w:hAnsi="Palatino Linotype"/>
          <w:b/>
          <w:i/>
          <w:sz w:val="20"/>
          <w:szCs w:val="20"/>
        </w:rPr>
        <w:t>“</w:t>
      </w:r>
      <w:r w:rsidR="009A4755" w:rsidRPr="0008299B">
        <w:rPr>
          <w:rFonts w:ascii="Palatino Linotype" w:hAnsi="Palatino Linotype"/>
          <w:b/>
          <w:i/>
          <w:sz w:val="20"/>
          <w:szCs w:val="20"/>
        </w:rPr>
        <w:t>COMISIÓN FEDERAL DE ELECTRICIDAD. ACTÚA COMO PARTICULAR ASIMILADA A AUTORIDAD RESPONSABLE, CUANDO MEDIANTE LA EMISIÓN DEL AVISO-RECIBO CORRESPONDIENTE AUXILIA A LA ADMINISTRACIÓN MUNICIPAL EN EL COBRO DE DERECHOS DE ALUMBRADO PÚBLICO (LEGISLACIÓN VIGENTE A PARTIR DEL 3 DE ABRIL DE 2013).</w:t>
      </w:r>
      <w:r>
        <w:rPr>
          <w:rFonts w:ascii="Palatino Linotype" w:hAnsi="Palatino Linotype"/>
          <w:b/>
          <w:i/>
          <w:sz w:val="20"/>
          <w:szCs w:val="20"/>
        </w:rPr>
        <w:t xml:space="preserve"> </w:t>
      </w:r>
      <w:r w:rsidR="009A4755" w:rsidRPr="0008299B">
        <w:rPr>
          <w:rFonts w:ascii="Palatino Linotype" w:hAnsi="Palatino Linotype"/>
          <w:i/>
          <w:sz w:val="20"/>
          <w:szCs w:val="20"/>
        </w:rPr>
        <w:t xml:space="preserve">Conforme al artículo 5o., fracción II, de la Ley de Amparo, el concepto de autoridades responsables comprende las siguientes: i. Autoridades stricto sensu, es decir, los entes públicos con facultades coercitivas que dictan, ordenan, ejecutan o tratan de ejecutar un acto susceptible de crear, modificar o extinguir situaciones jurídicas de forma unilateral y obligatoria, o bien, omiten el acto que crearía, modificaría o extinguiría esas situaciones; y, ii. Los particulares asimilados a autoridades, que son los entes públicos sin facultades coercitivas o las personas privadas que realizan actos equivalentes a los de las autoridades en virtud de una norma general. Ahora bien, la Comisión Federal de Electricidad actúa con este último carácter cuando auxilia a la administración municipal en el cobro de los derechos de alumbrado público mediante la emisión de un recibo de facturación del servicio de energía eléctrica. Efectivamente, ese acto equivale al de una autoridad, pues a través de él se determina y requiere unilateralmente el pago de una contribución, lo que crea una situación jurídica vinculante para el gobernado, al concretar y delimitar su obligación tributaria. Además, esa actuación es efectuada con base en una norma general, es decir, la ley de ingresos municipal que autoriza el cobro del servicio de alumbrado público a través de la mencionada comisión, previo convenio con el Ayuntamiento. Por tanto, cuando se reclame la recaudación del derecho de alumbrado </w:t>
      </w:r>
      <w:r w:rsidR="009A4755" w:rsidRPr="0008299B">
        <w:rPr>
          <w:rFonts w:ascii="Palatino Linotype" w:hAnsi="Palatino Linotype"/>
          <w:i/>
          <w:sz w:val="20"/>
          <w:szCs w:val="20"/>
        </w:rPr>
        <w:lastRenderedPageBreak/>
        <w:t>público contenida en un aviso-recibo del referido organismo descentralizado, deberá considerarse a éste como autoridad responsable por equiparación. No obsta a lo anterior la jurisprudencia 2a</w:t>
      </w:r>
      <w:proofErr w:type="gramStart"/>
      <w:r w:rsidR="009A4755" w:rsidRPr="0008299B">
        <w:rPr>
          <w:rFonts w:ascii="Palatino Linotype" w:hAnsi="Palatino Linotype"/>
          <w:i/>
          <w:sz w:val="20"/>
          <w:szCs w:val="20"/>
        </w:rPr>
        <w:t>./</w:t>
      </w:r>
      <w:proofErr w:type="gramEnd"/>
      <w:r w:rsidR="009A4755" w:rsidRPr="0008299B">
        <w:rPr>
          <w:rFonts w:ascii="Palatino Linotype" w:hAnsi="Palatino Linotype"/>
          <w:i/>
          <w:sz w:val="20"/>
          <w:szCs w:val="20"/>
        </w:rPr>
        <w:t>J. 112/2006 de rubro: "COMISIÓN FEDERAL DE ELECTRICIDAD. ACTÚA COMO PARTICULAR EN AUXILIO DE LA ADMINISTRACIÓN PÚBLICA MUNICIPAL CUANDO DETERMINA Y RECAUDA EL DERECHO POR EL SERVICIO DE ALUMBRADO PÚBLICO.", en la cual la Segunda Sala de la Suprema Corte de Justicia de la Nación determinó que la comisión no actuaba como una autoridad por carecer de facultades coercitivas de cobro; ya que ese criterio se sustentó en el concepto de autoridad contenido en el artículo 11 de la Ley de Amparo, vigente hasta el 2 de abril de 2013, el cual no incluía a los particulares asimilados a autoridades, a diferencia del nuevo concepto de autoridad acuñado en el citado artículo 5o., fracción II.</w:t>
      </w:r>
      <w:r w:rsidRPr="0008299B">
        <w:rPr>
          <w:rFonts w:ascii="Palatino Linotype" w:hAnsi="Palatino Linotype"/>
          <w:i/>
          <w:sz w:val="20"/>
          <w:szCs w:val="20"/>
        </w:rPr>
        <w:t>”</w:t>
      </w:r>
    </w:p>
    <w:p w14:paraId="3DA8D719" w14:textId="24B4A55C" w:rsidR="009A4755" w:rsidRPr="009A4755" w:rsidRDefault="0008299B" w:rsidP="009A4755">
      <w:pPr>
        <w:spacing w:before="240" w:after="240" w:line="360" w:lineRule="auto"/>
        <w:ind w:right="49"/>
        <w:jc w:val="both"/>
        <w:rPr>
          <w:rFonts w:ascii="Palatino Linotype" w:hAnsi="Palatino Linotype"/>
        </w:rPr>
      </w:pPr>
      <w:r>
        <w:rPr>
          <w:rFonts w:ascii="Palatino Linotype" w:hAnsi="Palatino Linotype"/>
        </w:rPr>
        <w:t>Ahora bien, en términos de la Tesis Aislada XXI.4o.14 A de los Tribunales Colegiados de Circuito de la Novena Época, se acredita el interés jurídico para impugnar en amparo el derecho relativo al alumbrado público con el aviso-recibo expedido por la CFE, que en esencia constituye el acto concreto, al encontrarse consignado en el mismo, el monto que corresponde a la tarifica de usuario por el DAP</w:t>
      </w:r>
      <w:r>
        <w:rPr>
          <w:rStyle w:val="Refdenotaalpie"/>
          <w:rFonts w:ascii="Palatino Linotype" w:hAnsi="Palatino Linotype"/>
        </w:rPr>
        <w:footnoteReference w:id="16"/>
      </w:r>
      <w:r>
        <w:rPr>
          <w:rFonts w:ascii="Palatino Linotype" w:hAnsi="Palatino Linotype"/>
        </w:rPr>
        <w:t>.</w:t>
      </w:r>
    </w:p>
    <w:p w14:paraId="2492E5C6" w14:textId="4935B950" w:rsidR="00B72E84" w:rsidRDefault="0008299B" w:rsidP="009A4755">
      <w:pPr>
        <w:spacing w:before="240" w:after="240" w:line="360" w:lineRule="auto"/>
        <w:ind w:right="49"/>
        <w:jc w:val="both"/>
        <w:rPr>
          <w:rFonts w:ascii="Palatino Linotype" w:hAnsi="Palatino Linotype"/>
        </w:rPr>
      </w:pPr>
      <w:r>
        <w:rPr>
          <w:rFonts w:ascii="Palatino Linotype" w:hAnsi="Palatino Linotype"/>
        </w:rPr>
        <w:t xml:space="preserve">Consecuentemente, resulta necesario hacer alusión a </w:t>
      </w:r>
      <w:r w:rsidR="00CF5D49">
        <w:rPr>
          <w:rFonts w:ascii="Palatino Linotype" w:hAnsi="Palatino Linotype"/>
        </w:rPr>
        <w:t>la Ley Orgánica Municipal del Estado de México,</w:t>
      </w:r>
      <w:r>
        <w:rPr>
          <w:rFonts w:ascii="Palatino Linotype" w:hAnsi="Palatino Linotype"/>
        </w:rPr>
        <w:t xml:space="preserve"> que en su</w:t>
      </w:r>
      <w:r w:rsidR="00CF5D49">
        <w:rPr>
          <w:rFonts w:ascii="Palatino Linotype" w:hAnsi="Palatino Linotype"/>
        </w:rPr>
        <w:t xml:space="preserve"> artículo 48 fracción IV</w:t>
      </w:r>
      <w:r>
        <w:rPr>
          <w:rFonts w:ascii="Palatino Linotype" w:hAnsi="Palatino Linotype"/>
        </w:rPr>
        <w:t xml:space="preserve"> dispone, </w:t>
      </w:r>
      <w:r w:rsidR="00CF5D49">
        <w:rPr>
          <w:rFonts w:ascii="Palatino Linotype" w:hAnsi="Palatino Linotype"/>
        </w:rPr>
        <w:t>que</w:t>
      </w:r>
      <w:r w:rsidR="00CF5D49" w:rsidRPr="00CF5D49">
        <w:rPr>
          <w:rFonts w:ascii="Palatino Linotype" w:hAnsi="Palatino Linotype"/>
        </w:rPr>
        <w:t xml:space="preserve"> es </w:t>
      </w:r>
      <w:r w:rsidR="00CF5D49">
        <w:rPr>
          <w:rFonts w:ascii="Palatino Linotype" w:hAnsi="Palatino Linotype"/>
        </w:rPr>
        <w:t xml:space="preserve">una atribución </w:t>
      </w:r>
      <w:r w:rsidR="00CF5D49">
        <w:rPr>
          <w:rFonts w:ascii="Palatino Linotype" w:hAnsi="Palatino Linotype"/>
        </w:rPr>
        <w:lastRenderedPageBreak/>
        <w:t xml:space="preserve">del Presidente Municipal, asumir la representación jurídica del Municipio y del Ayuntamiento, así como de las Dependencias de la Administración Pública Municipal en los litigios </w:t>
      </w:r>
      <w:r w:rsidR="00CF5D49" w:rsidRPr="00CF5D49">
        <w:rPr>
          <w:rFonts w:ascii="Palatino Linotype" w:hAnsi="Palatino Linotype"/>
        </w:rPr>
        <w:t xml:space="preserve"> </w:t>
      </w:r>
      <w:r w:rsidR="00CF5D49">
        <w:rPr>
          <w:rFonts w:ascii="Palatino Linotype" w:hAnsi="Palatino Linotype"/>
        </w:rPr>
        <w:t>en que este sea parte.</w:t>
      </w:r>
    </w:p>
    <w:p w14:paraId="3BA6E966" w14:textId="27A3F9F2" w:rsidR="00F10043" w:rsidRDefault="00F10043" w:rsidP="009A4755">
      <w:pPr>
        <w:spacing w:before="240" w:after="240" w:line="360" w:lineRule="auto"/>
        <w:ind w:right="49"/>
        <w:jc w:val="both"/>
        <w:rPr>
          <w:rFonts w:ascii="Palatino Linotype" w:hAnsi="Palatino Linotype"/>
        </w:rPr>
      </w:pPr>
      <w:r>
        <w:rPr>
          <w:rFonts w:ascii="Palatino Linotype" w:hAnsi="Palatino Linotype"/>
        </w:rPr>
        <w:t xml:space="preserve">Ahora bien, en términos de lo prescrito en el Diccionario de la Real Academia Española, el “litigio” es definido como el </w:t>
      </w:r>
      <w:r>
        <w:rPr>
          <w:rFonts w:ascii="Palatino Linotype" w:hAnsi="Palatino Linotype"/>
          <w:i/>
        </w:rPr>
        <w:t xml:space="preserve">pleito, altercado en juicio, disputa o contienda, </w:t>
      </w:r>
      <w:r>
        <w:rPr>
          <w:rFonts w:ascii="Palatino Linotype" w:hAnsi="Palatino Linotype"/>
        </w:rPr>
        <w:t>por lo que es fuerza concluir, que para aquellos casos en que se susciten litigios entre partes por el derecho relativo al alumbrado público en el municipio, le corresponde al Presidente Municipal  asumir la representación jurídica.</w:t>
      </w:r>
    </w:p>
    <w:p w14:paraId="4D0684A2" w14:textId="69A4942E" w:rsidR="00CF5D49" w:rsidRDefault="00F10043" w:rsidP="00B72E84">
      <w:pPr>
        <w:spacing w:before="240" w:after="240" w:line="360" w:lineRule="auto"/>
        <w:ind w:right="49"/>
        <w:jc w:val="both"/>
        <w:rPr>
          <w:rFonts w:ascii="Palatino Linotype" w:hAnsi="Palatino Linotype"/>
        </w:rPr>
      </w:pPr>
      <w:r>
        <w:rPr>
          <w:rFonts w:ascii="Palatino Linotype" w:hAnsi="Palatino Linotype"/>
        </w:rPr>
        <w:t xml:space="preserve">Bajo dicho contexto, debe generar el soporte documental que le permita conocer los litigios promovidos por particulares por el cobro del DAP, que en su caso contenga el sentido de la resolución, ya sea a favor o en contra del Municipio, por lo que resulta procedente ordenar su entrega al mayor grado de desagregación posible, </w:t>
      </w:r>
      <w:r w:rsidR="00FF766A">
        <w:rPr>
          <w:rFonts w:ascii="Palatino Linotype" w:hAnsi="Palatino Linotype"/>
        </w:rPr>
        <w:t>privilegiando el principio de máxima publicidad previsto en el artículo 4 de la Ley de Transparencia y Acceso a la Información Pública del Estado de México y Municipios. Para el caso, que no obre en sus archivos por no existir controversias judiciales en los añ</w:t>
      </w:r>
      <w:r w:rsidR="00F44093">
        <w:rPr>
          <w:rFonts w:ascii="Palatino Linotype" w:hAnsi="Palatino Linotype"/>
        </w:rPr>
        <w:t>os 2013, 2014, 2015, 2016, 2017 y hasta el 13 de noviembre de 2018,</w:t>
      </w:r>
      <w:r w:rsidR="00FF766A">
        <w:rPr>
          <w:rFonts w:ascii="Palatino Linotype" w:hAnsi="Palatino Linotype"/>
        </w:rPr>
        <w:t xml:space="preserve"> bastara con el solo pronunciamiento del </w:t>
      </w:r>
      <w:r w:rsidR="00FF766A">
        <w:rPr>
          <w:rFonts w:ascii="Palatino Linotype" w:hAnsi="Palatino Linotype"/>
          <w:b/>
        </w:rPr>
        <w:t xml:space="preserve">Sujeto Obligado </w:t>
      </w:r>
      <w:r w:rsidR="00FF766A">
        <w:rPr>
          <w:rFonts w:ascii="Palatino Linotype" w:hAnsi="Palatino Linotype"/>
        </w:rPr>
        <w:t>para tener por colmado el requerimiento de información.</w:t>
      </w:r>
    </w:p>
    <w:p w14:paraId="2651FD2F" w14:textId="2319B95F" w:rsidR="00B91E1A" w:rsidRDefault="00B91E1A" w:rsidP="00B91E1A">
      <w:pPr>
        <w:autoSpaceDE w:val="0"/>
        <w:autoSpaceDN w:val="0"/>
        <w:adjustRightInd w:val="0"/>
        <w:spacing w:before="240" w:after="240" w:line="360" w:lineRule="auto"/>
        <w:ind w:right="-141"/>
        <w:jc w:val="both"/>
        <w:rPr>
          <w:rFonts w:ascii="Palatino Linotype" w:hAnsi="Palatino Linotype" w:cs="Arial"/>
        </w:rPr>
      </w:pPr>
      <w:r>
        <w:rPr>
          <w:rFonts w:ascii="Palatino Linotype" w:hAnsi="Palatino Linotype" w:cs="Arial"/>
        </w:rPr>
        <w:t xml:space="preserve">Por cuanto hace al requerimiento señalado en el </w:t>
      </w:r>
      <w:r>
        <w:rPr>
          <w:rFonts w:ascii="Palatino Linotype" w:hAnsi="Palatino Linotype" w:cs="Arial"/>
          <w:b/>
        </w:rPr>
        <w:t xml:space="preserve">Grupo 8, </w:t>
      </w:r>
      <w:r>
        <w:rPr>
          <w:rFonts w:ascii="Palatino Linotype" w:hAnsi="Palatino Linotype" w:cs="Arial"/>
        </w:rPr>
        <w:t xml:space="preserve">relativo a la normatividad que el municipio sigue para operar y proporcionar el servicio de alumbrado público, debemos recordar que la Ley Orgánica multicitada, estipula que los municipios tienen a su cargo la prestación, explotación, administración y conservación de los servicios públicos, entre ellos el del alumbrado público, para lo cual se debe ayudar el </w:t>
      </w:r>
      <w:r>
        <w:rPr>
          <w:rFonts w:ascii="Palatino Linotype" w:hAnsi="Palatino Linotype" w:cs="Arial"/>
        </w:rPr>
        <w:lastRenderedPageBreak/>
        <w:t>ayuntamiento de sus unidades administrativas y organismos auxiliares, quienes pueden coordinarse con el Estado u otros municipios para la eficacia de su prestación pudiéndose concesionar a terceros con sus excepciones, como lo indican los artículos 125 fracción y 126:</w:t>
      </w:r>
    </w:p>
    <w:p w14:paraId="326AB51D" w14:textId="77777777" w:rsidR="00B91E1A" w:rsidRPr="00B91E1A" w:rsidRDefault="00B91E1A" w:rsidP="00B91E1A">
      <w:pPr>
        <w:autoSpaceDE w:val="0"/>
        <w:autoSpaceDN w:val="0"/>
        <w:adjustRightInd w:val="0"/>
        <w:spacing w:after="120"/>
        <w:ind w:left="851" w:right="1185"/>
        <w:jc w:val="both"/>
        <w:rPr>
          <w:rFonts w:ascii="Palatino Linotype" w:eastAsiaTheme="minorEastAsia" w:hAnsi="Palatino Linotype" w:cs="Arial"/>
          <w:i/>
          <w:sz w:val="20"/>
          <w:szCs w:val="20"/>
        </w:rPr>
      </w:pPr>
      <w:r w:rsidRPr="00B91E1A">
        <w:rPr>
          <w:rFonts w:ascii="Palatino Linotype" w:eastAsiaTheme="minorEastAsia" w:hAnsi="Palatino Linotype" w:cs="Arial"/>
          <w:b/>
          <w:i/>
          <w:sz w:val="20"/>
          <w:szCs w:val="20"/>
        </w:rPr>
        <w:t>“Artículo 125.-</w:t>
      </w:r>
      <w:r w:rsidRPr="00B91E1A">
        <w:rPr>
          <w:rFonts w:ascii="Palatino Linotype" w:eastAsiaTheme="minorEastAsia" w:hAnsi="Palatino Linotype" w:cs="Arial"/>
          <w:i/>
          <w:sz w:val="20"/>
          <w:szCs w:val="20"/>
        </w:rPr>
        <w:t xml:space="preserve"> Los municipios tendrán a su cargo la prestación, explotación, administración y conservación de los servicios públicos municipales, considerándose enunciativa y no limitativamente, los siguientes:</w:t>
      </w:r>
    </w:p>
    <w:p w14:paraId="42B2E67D" w14:textId="01428ED5" w:rsidR="00B91E1A" w:rsidRPr="00B91E1A" w:rsidRDefault="00B91E1A" w:rsidP="00B91E1A">
      <w:pPr>
        <w:autoSpaceDE w:val="0"/>
        <w:autoSpaceDN w:val="0"/>
        <w:adjustRightInd w:val="0"/>
        <w:spacing w:after="120"/>
        <w:ind w:left="1134" w:right="1185"/>
        <w:jc w:val="both"/>
        <w:rPr>
          <w:rFonts w:ascii="Palatino Linotype" w:eastAsiaTheme="minorEastAsia" w:hAnsi="Palatino Linotype" w:cs="Arial"/>
          <w:i/>
          <w:sz w:val="20"/>
          <w:szCs w:val="20"/>
        </w:rPr>
      </w:pPr>
      <w:r>
        <w:rPr>
          <w:rFonts w:ascii="Palatino Linotype" w:eastAsiaTheme="minorEastAsia" w:hAnsi="Palatino Linotype" w:cs="Arial"/>
          <w:i/>
          <w:sz w:val="20"/>
          <w:szCs w:val="20"/>
        </w:rPr>
        <w:t>(</w:t>
      </w:r>
      <w:r w:rsidRPr="00B91E1A">
        <w:rPr>
          <w:rFonts w:ascii="Palatino Linotype" w:eastAsiaTheme="minorEastAsia" w:hAnsi="Palatino Linotype" w:cs="Arial"/>
          <w:i/>
          <w:sz w:val="20"/>
          <w:szCs w:val="20"/>
        </w:rPr>
        <w:t>…</w:t>
      </w:r>
      <w:r>
        <w:rPr>
          <w:rFonts w:ascii="Palatino Linotype" w:eastAsiaTheme="minorEastAsia" w:hAnsi="Palatino Linotype" w:cs="Arial"/>
          <w:i/>
          <w:sz w:val="20"/>
          <w:szCs w:val="20"/>
        </w:rPr>
        <w:t>)</w:t>
      </w:r>
    </w:p>
    <w:p w14:paraId="2F545E0E" w14:textId="716E36A6" w:rsidR="00B91E1A" w:rsidRPr="00B91E1A" w:rsidRDefault="00B91E1A" w:rsidP="00B91E1A">
      <w:pPr>
        <w:autoSpaceDE w:val="0"/>
        <w:autoSpaceDN w:val="0"/>
        <w:adjustRightInd w:val="0"/>
        <w:spacing w:after="120"/>
        <w:ind w:left="1134" w:right="1185"/>
        <w:jc w:val="both"/>
        <w:rPr>
          <w:rFonts w:ascii="Palatino Linotype" w:eastAsiaTheme="minorEastAsia" w:hAnsi="Palatino Linotype" w:cs="Arial"/>
          <w:i/>
          <w:sz w:val="20"/>
          <w:szCs w:val="20"/>
        </w:rPr>
      </w:pPr>
      <w:r w:rsidRPr="00B91E1A">
        <w:rPr>
          <w:rFonts w:ascii="Palatino Linotype" w:eastAsiaTheme="minorEastAsia" w:hAnsi="Palatino Linotype" w:cs="Arial"/>
          <w:i/>
          <w:sz w:val="20"/>
          <w:szCs w:val="20"/>
        </w:rPr>
        <w:t>II. Alumbrado público;…</w:t>
      </w:r>
    </w:p>
    <w:p w14:paraId="52A91999" w14:textId="77777777" w:rsidR="00B91E1A" w:rsidRPr="00B91E1A" w:rsidRDefault="00B91E1A" w:rsidP="00B91E1A">
      <w:pPr>
        <w:autoSpaceDE w:val="0"/>
        <w:autoSpaceDN w:val="0"/>
        <w:adjustRightInd w:val="0"/>
        <w:spacing w:after="120"/>
        <w:ind w:left="851" w:right="1185"/>
        <w:jc w:val="both"/>
        <w:rPr>
          <w:rFonts w:ascii="Palatino Linotype" w:eastAsiaTheme="minorEastAsia" w:hAnsi="Palatino Linotype" w:cs="Arial"/>
          <w:i/>
          <w:sz w:val="20"/>
          <w:szCs w:val="20"/>
        </w:rPr>
      </w:pPr>
      <w:r w:rsidRPr="00B91E1A">
        <w:rPr>
          <w:rFonts w:ascii="Palatino Linotype" w:eastAsiaTheme="minorEastAsia" w:hAnsi="Palatino Linotype" w:cs="Arial"/>
          <w:b/>
          <w:i/>
          <w:sz w:val="20"/>
          <w:szCs w:val="20"/>
        </w:rPr>
        <w:t>Artículo 126.-</w:t>
      </w:r>
      <w:r w:rsidRPr="00B91E1A">
        <w:rPr>
          <w:rFonts w:ascii="Palatino Linotype" w:eastAsiaTheme="minorEastAsia" w:hAnsi="Palatino Linotype" w:cs="Arial"/>
          <w:i/>
          <w:sz w:val="20"/>
          <w:szCs w:val="20"/>
        </w:rPr>
        <w:t xml:space="preserve"> La prestación de los servicios públicos deberá realizarse por los ayuntamientos, sus unidades administrativas y organismos auxiliares,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14:paraId="3C47EC9B" w14:textId="403B5444" w:rsidR="00B91E1A" w:rsidRPr="00091661" w:rsidRDefault="00B91E1A" w:rsidP="00B91E1A">
      <w:pPr>
        <w:autoSpaceDE w:val="0"/>
        <w:autoSpaceDN w:val="0"/>
        <w:adjustRightInd w:val="0"/>
        <w:spacing w:before="240" w:after="240" w:line="360" w:lineRule="auto"/>
        <w:ind w:right="51"/>
        <w:jc w:val="both"/>
        <w:rPr>
          <w:rFonts w:ascii="Palatino Linotype" w:eastAsiaTheme="minorEastAsia" w:hAnsi="Palatino Linotype" w:cs="Arial"/>
          <w:lang w:val="es-MX"/>
        </w:rPr>
      </w:pPr>
      <w:r w:rsidRPr="00091661">
        <w:rPr>
          <w:rFonts w:ascii="Palatino Linotype" w:eastAsiaTheme="minorEastAsia" w:hAnsi="Palatino Linotype" w:cs="Arial"/>
        </w:rPr>
        <w:t>De la misma forma</w:t>
      </w:r>
      <w:r w:rsidRPr="00091661">
        <w:rPr>
          <w:rFonts w:ascii="Palatino Linotype" w:eastAsiaTheme="minorEastAsia" w:hAnsi="Palatino Linotype" w:cs="Arial"/>
          <w:lang w:val="es-MX"/>
        </w:rPr>
        <w:t>, el artículo 1</w:t>
      </w:r>
      <w:r w:rsidRPr="00091661">
        <w:rPr>
          <w:rFonts w:ascii="Palatino Linotype" w:eastAsiaTheme="minorEastAsia" w:hAnsi="Palatino Linotype" w:cs="Arial"/>
        </w:rPr>
        <w:t xml:space="preserve">27 de esa Ley, </w:t>
      </w:r>
      <w:r w:rsidRPr="00091661">
        <w:rPr>
          <w:rFonts w:ascii="Palatino Linotype" w:eastAsiaTheme="minorEastAsia" w:hAnsi="Palatino Linotype" w:cs="Arial"/>
          <w:lang w:val="es-MX"/>
        </w:rPr>
        <w:t xml:space="preserve">establece que cuando los servicios públicos sean prestados directamente por el ayuntamiento, serán supervisados por los regidores o por los órganos municipales respectivos, en la forma que determine esa </w:t>
      </w:r>
      <w:r w:rsidRPr="00091661">
        <w:rPr>
          <w:rFonts w:ascii="Palatino Linotype" w:eastAsiaTheme="minorEastAsia" w:hAnsi="Palatino Linotype" w:cs="Arial"/>
        </w:rPr>
        <w:t>legislación</w:t>
      </w:r>
      <w:r w:rsidRPr="00091661">
        <w:rPr>
          <w:rFonts w:ascii="Palatino Linotype" w:eastAsiaTheme="minorEastAsia" w:hAnsi="Palatino Linotype" w:cs="Arial"/>
          <w:lang w:val="es-MX"/>
        </w:rPr>
        <w:t xml:space="preserve"> y los reglamentos aplicables, en tanto que cuando dicho servicio público sea proporcionado por particulares, se estará a las bases de organización y bajo la dirección del </w:t>
      </w:r>
      <w:r>
        <w:rPr>
          <w:rFonts w:ascii="Palatino Linotype" w:eastAsiaTheme="minorEastAsia" w:hAnsi="Palatino Linotype" w:cs="Arial"/>
        </w:rPr>
        <w:t>A</w:t>
      </w:r>
      <w:proofErr w:type="spellStart"/>
      <w:r w:rsidRPr="00091661">
        <w:rPr>
          <w:rFonts w:ascii="Palatino Linotype" w:eastAsiaTheme="minorEastAsia" w:hAnsi="Palatino Linotype" w:cs="Arial"/>
          <w:lang w:val="es-MX"/>
        </w:rPr>
        <w:t>yuntamiento</w:t>
      </w:r>
      <w:proofErr w:type="spellEnd"/>
      <w:r w:rsidRPr="00091661">
        <w:rPr>
          <w:rFonts w:ascii="Palatino Linotype" w:eastAsiaTheme="minorEastAsia" w:hAnsi="Palatino Linotype" w:cs="Arial"/>
          <w:lang w:val="es-MX"/>
        </w:rPr>
        <w:t xml:space="preserve">. </w:t>
      </w:r>
      <w:r w:rsidRPr="00091661">
        <w:rPr>
          <w:rFonts w:ascii="Palatino Linotype" w:eastAsiaTheme="minorEastAsia" w:hAnsi="Palatino Linotype" w:cs="Arial"/>
        </w:rPr>
        <w:t>Por ende</w:t>
      </w:r>
      <w:r w:rsidRPr="00091661">
        <w:rPr>
          <w:rFonts w:ascii="Palatino Linotype" w:eastAsiaTheme="minorEastAsia" w:hAnsi="Palatino Linotype" w:cs="Arial"/>
          <w:lang w:val="es-MX"/>
        </w:rPr>
        <w:t>, se advierte que</w:t>
      </w:r>
      <w:r>
        <w:rPr>
          <w:rFonts w:ascii="Palatino Linotype" w:eastAsiaTheme="minorEastAsia" w:hAnsi="Palatino Linotype" w:cs="Arial"/>
        </w:rPr>
        <w:t xml:space="preserve"> en ambos casos será el propio </w:t>
      </w:r>
      <w:r>
        <w:rPr>
          <w:rFonts w:ascii="Palatino Linotype" w:eastAsiaTheme="minorEastAsia" w:hAnsi="Palatino Linotype" w:cs="Arial"/>
          <w:b/>
        </w:rPr>
        <w:t>Sujeto Obligado</w:t>
      </w:r>
      <w:r w:rsidRPr="00091661">
        <w:rPr>
          <w:rFonts w:ascii="Palatino Linotype" w:eastAsiaTheme="minorEastAsia" w:hAnsi="Palatino Linotype" w:cs="Arial"/>
          <w:lang w:val="es-MX"/>
        </w:rPr>
        <w:t xml:space="preserve"> quien establezca las normas y lineamientos para la operación y prestación del servicio de alumbrado público. Tal y como se aprecia de la transcripción de </w:t>
      </w:r>
      <w:r>
        <w:rPr>
          <w:rFonts w:ascii="Palatino Linotype" w:eastAsiaTheme="minorEastAsia" w:hAnsi="Palatino Linotype" w:cs="Arial"/>
          <w:lang w:val="es-MX"/>
        </w:rPr>
        <w:t>dispo</w:t>
      </w:r>
      <w:r w:rsidR="00A06B52">
        <w:rPr>
          <w:rFonts w:ascii="Palatino Linotype" w:eastAsiaTheme="minorEastAsia" w:hAnsi="Palatino Linotype" w:cs="Arial"/>
          <w:lang w:val="es-MX"/>
        </w:rPr>
        <w:t>si</w:t>
      </w:r>
      <w:r>
        <w:rPr>
          <w:rFonts w:ascii="Palatino Linotype" w:eastAsiaTheme="minorEastAsia" w:hAnsi="Palatino Linotype" w:cs="Arial"/>
          <w:lang w:val="es-MX"/>
        </w:rPr>
        <w:t>ti</w:t>
      </w:r>
      <w:r w:rsidR="00A06B52">
        <w:rPr>
          <w:rFonts w:ascii="Palatino Linotype" w:eastAsiaTheme="minorEastAsia" w:hAnsi="Palatino Linotype" w:cs="Arial"/>
          <w:lang w:val="es-MX"/>
        </w:rPr>
        <w:t>v</w:t>
      </w:r>
      <w:r>
        <w:rPr>
          <w:rFonts w:ascii="Palatino Linotype" w:eastAsiaTheme="minorEastAsia" w:hAnsi="Palatino Linotype" w:cs="Arial"/>
          <w:lang w:val="es-MX"/>
        </w:rPr>
        <w:t>o jurídico referido</w:t>
      </w:r>
      <w:r w:rsidRPr="00091661">
        <w:rPr>
          <w:rFonts w:ascii="Palatino Linotype" w:eastAsiaTheme="minorEastAsia" w:hAnsi="Palatino Linotype" w:cs="Arial"/>
          <w:lang w:val="es-MX"/>
        </w:rPr>
        <w:t>:</w:t>
      </w:r>
    </w:p>
    <w:p w14:paraId="2D309582" w14:textId="3794FA40" w:rsidR="00B91E1A" w:rsidRPr="00A06B52" w:rsidRDefault="00B91E1A" w:rsidP="00A06B52">
      <w:pPr>
        <w:autoSpaceDE w:val="0"/>
        <w:autoSpaceDN w:val="0"/>
        <w:adjustRightInd w:val="0"/>
        <w:spacing w:after="120"/>
        <w:ind w:left="851" w:right="760"/>
        <w:jc w:val="both"/>
        <w:rPr>
          <w:rFonts w:ascii="Palatino Linotype" w:eastAsiaTheme="minorEastAsia" w:hAnsi="Palatino Linotype" w:cs="Arial"/>
          <w:i/>
          <w:sz w:val="20"/>
          <w:szCs w:val="20"/>
          <w:lang w:val="es-MX"/>
        </w:rPr>
      </w:pPr>
      <w:r w:rsidRPr="00A06B52">
        <w:rPr>
          <w:rFonts w:ascii="Palatino Linotype" w:eastAsiaTheme="minorEastAsia" w:hAnsi="Palatino Linotype" w:cs="Arial"/>
          <w:i/>
          <w:sz w:val="20"/>
          <w:szCs w:val="20"/>
          <w:lang w:val="es-MX"/>
        </w:rPr>
        <w:t>"</w:t>
      </w:r>
      <w:r w:rsidRPr="00A06B52">
        <w:rPr>
          <w:rFonts w:ascii="Palatino Linotype" w:eastAsiaTheme="minorEastAsia" w:hAnsi="Palatino Linotype" w:cs="Arial"/>
          <w:b/>
          <w:i/>
          <w:sz w:val="20"/>
          <w:szCs w:val="20"/>
          <w:lang w:val="es-MX"/>
        </w:rPr>
        <w:t xml:space="preserve">Artículo 127.- </w:t>
      </w:r>
      <w:r w:rsidRPr="00A06B52">
        <w:rPr>
          <w:rFonts w:ascii="Palatino Linotype" w:eastAsiaTheme="minorEastAsia" w:hAnsi="Palatino Linotype" w:cs="Arial"/>
          <w:i/>
          <w:sz w:val="20"/>
          <w:szCs w:val="20"/>
          <w:lang w:val="es-MX"/>
        </w:rPr>
        <w:t xml:space="preserve">Cuando los servicios públicos sean prestados directamente por el ayuntamiento, serán supervisados por los regidores o por los órganos municipales respectivos, en la forma que determine esta Ley y los reglamentos aplicables. </w:t>
      </w:r>
    </w:p>
    <w:p w14:paraId="3BE46E93" w14:textId="77777777" w:rsidR="00B91E1A" w:rsidRPr="00A06B52" w:rsidRDefault="00B91E1A" w:rsidP="00A06B52">
      <w:pPr>
        <w:autoSpaceDE w:val="0"/>
        <w:autoSpaceDN w:val="0"/>
        <w:adjustRightInd w:val="0"/>
        <w:spacing w:after="120"/>
        <w:ind w:left="851" w:right="760"/>
        <w:jc w:val="both"/>
        <w:rPr>
          <w:rFonts w:ascii="Palatino Linotype" w:eastAsiaTheme="minorEastAsia" w:hAnsi="Palatino Linotype" w:cs="Arial"/>
          <w:i/>
          <w:sz w:val="20"/>
          <w:szCs w:val="20"/>
          <w:lang w:val="es-MX"/>
        </w:rPr>
      </w:pPr>
      <w:r w:rsidRPr="00A06B52">
        <w:rPr>
          <w:rFonts w:ascii="Palatino Linotype" w:eastAsiaTheme="minorEastAsia" w:hAnsi="Palatino Linotype" w:cs="Arial"/>
          <w:i/>
          <w:sz w:val="20"/>
          <w:szCs w:val="20"/>
          <w:lang w:val="es-MX"/>
        </w:rPr>
        <w:t xml:space="preserve">Los particulares podrán participar en la prestación de servicios públicos, conforme a las bases de organización y bajo la dirección que acuerden los ayuntamientos." </w:t>
      </w:r>
    </w:p>
    <w:p w14:paraId="4572C8C8" w14:textId="77777777" w:rsidR="00B91E1A" w:rsidRPr="00713632" w:rsidRDefault="00B91E1A" w:rsidP="00B91E1A">
      <w:pPr>
        <w:autoSpaceDE w:val="0"/>
        <w:autoSpaceDN w:val="0"/>
        <w:adjustRightInd w:val="0"/>
        <w:ind w:left="851" w:right="758"/>
        <w:jc w:val="both"/>
        <w:rPr>
          <w:rFonts w:ascii="Palatino Linotype" w:eastAsiaTheme="minorEastAsia" w:hAnsi="Palatino Linotype" w:cs="Arial"/>
          <w:i/>
          <w:sz w:val="22"/>
          <w:szCs w:val="22"/>
          <w:highlight w:val="yellow"/>
          <w:lang w:val="es-MX"/>
        </w:rPr>
      </w:pPr>
    </w:p>
    <w:p w14:paraId="5F8D7027" w14:textId="77777777" w:rsidR="00B91E1A" w:rsidRDefault="00B91E1A" w:rsidP="00B91E1A">
      <w:pPr>
        <w:spacing w:after="160" w:line="360" w:lineRule="auto"/>
        <w:jc w:val="both"/>
        <w:rPr>
          <w:rFonts w:ascii="Palatino Linotype" w:hAnsi="Palatino Linotype"/>
        </w:rPr>
      </w:pPr>
      <w:r>
        <w:rPr>
          <w:rFonts w:ascii="Palatino Linotype" w:hAnsi="Palatino Linotype"/>
        </w:rPr>
        <w:t>Aunado a lo anterior, el mismo marco normativo contempla en la fracción I del artículo 31, que son atribuciones de los ayuntamientos, el expedir y reformar el Bando Municipal, así como los reglamentos, circulares y disposiciones administrativas de observancia general dentro del territorio del municipio, que sean necesarios para su organización, prestación de los servicios públicos y para el cumplimiento de sus atribuciones en general; por lo cual para el caso del alumbrado público resulta dable ordenar la normatividad utilizada por el Sujeto Obligado para operar y proporcionar el servicio de alumbrado público a la fecha de la solicitud de información, ello es el trece de noviembre de dos mil dieciocho.</w:t>
      </w:r>
    </w:p>
    <w:p w14:paraId="01C0E457" w14:textId="77777777" w:rsidR="00A06B52" w:rsidRDefault="00A06B52" w:rsidP="00A06B52">
      <w:pPr>
        <w:spacing w:before="240" w:after="240" w:line="360" w:lineRule="auto"/>
        <w:jc w:val="both"/>
        <w:rPr>
          <w:rFonts w:ascii="Palatino Linotype" w:hAnsi="Palatino Linotype"/>
          <w:color w:val="000000"/>
          <w:lang w:eastAsia="es-MX"/>
        </w:rPr>
      </w:pPr>
      <w:r w:rsidRPr="00891C4E">
        <w:rPr>
          <w:rFonts w:ascii="Palatino Linotype" w:eastAsiaTheme="minorHAnsi" w:hAnsi="Palatino Linotype" w:cs="Arial"/>
          <w:szCs w:val="22"/>
          <w:lang w:val="es-MX" w:eastAsia="en-US"/>
        </w:rPr>
        <w:t xml:space="preserve">Por último, no pasa desapercibido </w:t>
      </w:r>
      <w:r w:rsidRPr="00891C4E">
        <w:rPr>
          <w:rFonts w:ascii="Palatino Linotype" w:hAnsi="Palatino Linotype" w:cs="Arial"/>
        </w:rPr>
        <w:t>para este Instituto Garante</w:t>
      </w:r>
      <w:r w:rsidRPr="00891C4E">
        <w:rPr>
          <w:rFonts w:ascii="Palatino Linotype" w:eastAsiaTheme="minorHAnsi" w:hAnsi="Palatino Linotype" w:cs="Arial"/>
          <w:szCs w:val="22"/>
          <w:lang w:val="es-MX" w:eastAsia="en-US"/>
        </w:rPr>
        <w:t xml:space="preserve"> y como obra en el expediente electrónico del recurso de revisión indicado al rubro, que el Sujeto Obligado trasgredió el derecho de acceso a la información pública del particular no atender la solicitud de referencia conforme a lo establecido en la Ley de Transparencia y Acceso a la Información pública del Estado de México y Municipios, por lo cual </w:t>
      </w:r>
      <w:r w:rsidRPr="00891C4E">
        <w:rPr>
          <w:rFonts w:ascii="Palatino Linotype" w:hAnsi="Palatino Linotype"/>
          <w:color w:val="000000"/>
          <w:lang w:eastAsia="es-MX"/>
        </w:rPr>
        <w:t>de conformidad con el artículo 190, ordena se de vista al Titular de la Contraloría Interna y Órgano de Control y Vigilancia de este Instituto a fin de que en ejercicio de sus funciones determine lo conducente.</w:t>
      </w:r>
    </w:p>
    <w:p w14:paraId="7F83DDD8" w14:textId="77777777" w:rsidR="001E5B31" w:rsidRDefault="001E5B31" w:rsidP="00A06B52">
      <w:pPr>
        <w:spacing w:before="240" w:after="240" w:line="360" w:lineRule="auto"/>
        <w:jc w:val="both"/>
        <w:rPr>
          <w:rFonts w:ascii="Palatino Linotype" w:hAnsi="Palatino Linotype"/>
          <w:b/>
        </w:rPr>
      </w:pPr>
      <w:r w:rsidRPr="001E5B31">
        <w:rPr>
          <w:rFonts w:ascii="Palatino Linotype" w:hAnsi="Palatino Linotype"/>
          <w:b/>
          <w:sz w:val="28"/>
          <w:szCs w:val="28"/>
        </w:rPr>
        <w:t>QUINTO. VERSIÓN PÚBLICA.</w:t>
      </w:r>
      <w:r w:rsidRPr="00D84768">
        <w:rPr>
          <w:rFonts w:ascii="Palatino Linotype" w:hAnsi="Palatino Linotype"/>
          <w:b/>
        </w:rPr>
        <w:t xml:space="preserve"> </w:t>
      </w:r>
    </w:p>
    <w:p w14:paraId="6004A084" w14:textId="00E29CD0" w:rsidR="00A06B52" w:rsidRPr="00D84768" w:rsidRDefault="00A06B52" w:rsidP="00A06B52">
      <w:pPr>
        <w:spacing w:before="240" w:after="240" w:line="360" w:lineRule="auto"/>
        <w:jc w:val="both"/>
        <w:rPr>
          <w:rFonts w:ascii="Palatino Linotype" w:hAnsi="Palatino Linotype" w:cs="Arial"/>
          <w:lang w:val="es-MX" w:eastAsia="es-MX"/>
        </w:rPr>
      </w:pPr>
      <w:r w:rsidRPr="00D84768">
        <w:rPr>
          <w:rFonts w:ascii="Palatino Linotype" w:hAnsi="Palatino Linotype"/>
        </w:rPr>
        <w:t xml:space="preserve">Finalmente, debe señalarse que de ser el caso en que los documentos que vayan a ser entregados por el Ayuntamiento de </w:t>
      </w:r>
      <w:r>
        <w:rPr>
          <w:rFonts w:ascii="Palatino Linotype" w:hAnsi="Palatino Linotype"/>
        </w:rPr>
        <w:t>Tultepec</w:t>
      </w:r>
      <w:r w:rsidRPr="00D84768">
        <w:rPr>
          <w:rFonts w:ascii="Palatino Linotype" w:hAnsi="Palatino Linotype"/>
        </w:rPr>
        <w:t xml:space="preserve">, para dar cumplimiento a la presente resolución, contengan datos que deban ser clasificados, el Sujeto Obligado deberá hacer la elaboración de la versión pública de tales documentos a fin de </w:t>
      </w:r>
      <w:r w:rsidRPr="00D84768">
        <w:rPr>
          <w:rFonts w:ascii="Palatino Linotype" w:hAnsi="Palatino Linotype"/>
        </w:rPr>
        <w:lastRenderedPageBreak/>
        <w:t>satisfacer el derecho de acceso a la información pública de la recurrente sin menoscabo al derecho a la protección de los datos personales de terceros.</w:t>
      </w:r>
    </w:p>
    <w:p w14:paraId="2C8EC9AA" w14:textId="77777777" w:rsidR="00A06B52" w:rsidRPr="00D84768" w:rsidRDefault="00A06B52" w:rsidP="00A06B52">
      <w:pPr>
        <w:autoSpaceDE w:val="0"/>
        <w:autoSpaceDN w:val="0"/>
        <w:adjustRightInd w:val="0"/>
        <w:spacing w:before="240" w:after="240" w:line="360" w:lineRule="auto"/>
        <w:ind w:right="50"/>
        <w:jc w:val="both"/>
        <w:rPr>
          <w:rFonts w:ascii="Palatino Linotype" w:hAnsi="Palatino Linotype" w:cs="Arial"/>
        </w:rPr>
      </w:pPr>
      <w:r w:rsidRPr="00D84768">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7CDB43D7" w14:textId="77777777" w:rsidR="00A06B52" w:rsidRPr="001E5B31" w:rsidRDefault="00A06B52" w:rsidP="001E5B31">
      <w:pPr>
        <w:autoSpaceDE w:val="0"/>
        <w:autoSpaceDN w:val="0"/>
        <w:adjustRightInd w:val="0"/>
        <w:spacing w:after="120"/>
        <w:ind w:left="992" w:right="1043"/>
        <w:jc w:val="both"/>
        <w:rPr>
          <w:rFonts w:ascii="Palatino Linotype" w:hAnsi="Palatino Linotype" w:cs="Arial"/>
          <w:b/>
          <w:i/>
          <w:sz w:val="20"/>
          <w:szCs w:val="20"/>
        </w:rPr>
      </w:pPr>
      <w:r w:rsidRPr="001E5B31">
        <w:rPr>
          <w:rFonts w:ascii="Palatino Linotype" w:hAnsi="Palatino Linotype" w:cs="Arial"/>
          <w:b/>
          <w:i/>
          <w:sz w:val="20"/>
          <w:szCs w:val="20"/>
        </w:rPr>
        <w:t xml:space="preserve"> “Artículo 3. Para los efectos de la presente Ley se entenderá por:</w:t>
      </w:r>
    </w:p>
    <w:p w14:paraId="02C67B15" w14:textId="77777777" w:rsidR="00A06B52" w:rsidRPr="001E5B31" w:rsidRDefault="00A06B52" w:rsidP="001E5B31">
      <w:pPr>
        <w:autoSpaceDE w:val="0"/>
        <w:autoSpaceDN w:val="0"/>
        <w:adjustRightInd w:val="0"/>
        <w:spacing w:after="120"/>
        <w:ind w:left="992" w:right="1043"/>
        <w:jc w:val="both"/>
        <w:rPr>
          <w:rFonts w:ascii="Palatino Linotype" w:hAnsi="Palatino Linotype" w:cs="Arial"/>
          <w:i/>
          <w:sz w:val="20"/>
          <w:szCs w:val="20"/>
        </w:rPr>
      </w:pPr>
      <w:r w:rsidRPr="001E5B31">
        <w:rPr>
          <w:rFonts w:ascii="Palatino Linotype" w:hAnsi="Palatino Linotype" w:cs="Arial"/>
          <w:b/>
          <w:i/>
          <w:sz w:val="20"/>
          <w:szCs w:val="20"/>
        </w:rPr>
        <w:t>IX. Datos personales:</w:t>
      </w:r>
      <w:r w:rsidRPr="001E5B31">
        <w:rPr>
          <w:rFonts w:ascii="Palatino Linotype" w:hAnsi="Palatino Linotype" w:cs="Arial"/>
          <w:i/>
          <w:sz w:val="20"/>
          <w:szCs w:val="20"/>
        </w:rPr>
        <w:t xml:space="preserve"> </w:t>
      </w:r>
      <w:r w:rsidRPr="001E5B31">
        <w:rPr>
          <w:rFonts w:ascii="Palatino Linotype" w:hAnsi="Palatino Linotype" w:cs="Arial"/>
          <w:b/>
          <w:i/>
          <w:sz w:val="20"/>
          <w:szCs w:val="20"/>
        </w:rPr>
        <w:t>La información concerniente a una persona, identificada o identificable</w:t>
      </w:r>
      <w:r w:rsidRPr="001E5B31">
        <w:rPr>
          <w:rFonts w:ascii="Palatino Linotype" w:hAnsi="Palatino Linotype" w:cs="Arial"/>
          <w:i/>
          <w:sz w:val="20"/>
          <w:szCs w:val="20"/>
        </w:rPr>
        <w:t xml:space="preserve"> según lo dispuesto por la Ley de Protección de Datos Personales del Estado de México;</w:t>
      </w:r>
    </w:p>
    <w:p w14:paraId="136C7E5E" w14:textId="77777777" w:rsidR="00A06B52" w:rsidRPr="001E5B31" w:rsidRDefault="00A06B52" w:rsidP="001E5B31">
      <w:pPr>
        <w:autoSpaceDE w:val="0"/>
        <w:autoSpaceDN w:val="0"/>
        <w:adjustRightInd w:val="0"/>
        <w:spacing w:after="120"/>
        <w:ind w:left="992" w:right="1043"/>
        <w:jc w:val="both"/>
        <w:rPr>
          <w:rFonts w:ascii="Palatino Linotype" w:hAnsi="Palatino Linotype" w:cs="Arial"/>
          <w:i/>
          <w:sz w:val="20"/>
          <w:szCs w:val="20"/>
        </w:rPr>
      </w:pPr>
      <w:r w:rsidRPr="001E5B31">
        <w:rPr>
          <w:rFonts w:ascii="Palatino Linotype" w:hAnsi="Palatino Linotype" w:cs="Arial"/>
          <w:b/>
          <w:i/>
          <w:sz w:val="20"/>
          <w:szCs w:val="20"/>
        </w:rPr>
        <w:t>XX. Información clasificada:</w:t>
      </w:r>
      <w:r w:rsidRPr="001E5B31">
        <w:rPr>
          <w:rFonts w:ascii="Palatino Linotype" w:hAnsi="Palatino Linotype" w:cs="Arial"/>
          <w:i/>
          <w:sz w:val="20"/>
          <w:szCs w:val="20"/>
        </w:rPr>
        <w:t xml:space="preserve"> Aquella considerada por la presente Ley como reservada o confidencial;</w:t>
      </w:r>
    </w:p>
    <w:p w14:paraId="4438964C" w14:textId="77777777" w:rsidR="00A06B52" w:rsidRPr="001E5B31" w:rsidRDefault="00A06B52" w:rsidP="001E5B31">
      <w:pPr>
        <w:autoSpaceDE w:val="0"/>
        <w:autoSpaceDN w:val="0"/>
        <w:adjustRightInd w:val="0"/>
        <w:spacing w:after="120"/>
        <w:ind w:left="992" w:right="1043"/>
        <w:jc w:val="both"/>
        <w:rPr>
          <w:rFonts w:ascii="Palatino Linotype" w:hAnsi="Palatino Linotype"/>
          <w:i/>
          <w:sz w:val="20"/>
          <w:szCs w:val="20"/>
        </w:rPr>
      </w:pPr>
      <w:r w:rsidRPr="001E5B31">
        <w:rPr>
          <w:rFonts w:ascii="Palatino Linotype" w:hAnsi="Palatino Linotype"/>
          <w:b/>
          <w:i/>
          <w:sz w:val="20"/>
          <w:szCs w:val="20"/>
        </w:rPr>
        <w:t>XXXII. Protección de Datos Personales:</w:t>
      </w:r>
      <w:r w:rsidRPr="001E5B31">
        <w:rPr>
          <w:rFonts w:ascii="Palatino Linotype" w:hAnsi="Palatino Linotype"/>
          <w:i/>
          <w:sz w:val="20"/>
          <w:szCs w:val="20"/>
        </w:rPr>
        <w:t xml:space="preserve"> Derecho humano que tutela la privacidad de datos personales en poder de los sujetos obligados y sujetos particulares;</w:t>
      </w:r>
    </w:p>
    <w:p w14:paraId="49EAAA4A" w14:textId="77777777" w:rsidR="00A06B52" w:rsidRPr="001E5B31" w:rsidRDefault="00A06B52" w:rsidP="001E5B31">
      <w:pPr>
        <w:autoSpaceDE w:val="0"/>
        <w:autoSpaceDN w:val="0"/>
        <w:adjustRightInd w:val="0"/>
        <w:spacing w:after="120"/>
        <w:ind w:left="992" w:right="1043"/>
        <w:jc w:val="both"/>
        <w:rPr>
          <w:rFonts w:ascii="Palatino Linotype" w:hAnsi="Palatino Linotype" w:cs="Arial"/>
          <w:i/>
          <w:sz w:val="20"/>
          <w:szCs w:val="20"/>
        </w:rPr>
      </w:pPr>
      <w:r w:rsidRPr="001E5B31">
        <w:rPr>
          <w:rFonts w:ascii="Palatino Linotype" w:hAnsi="Palatino Linotype" w:cs="Arial"/>
          <w:b/>
          <w:i/>
          <w:sz w:val="20"/>
          <w:szCs w:val="20"/>
        </w:rPr>
        <w:t>XLV. Versión pública</w:t>
      </w:r>
      <w:r w:rsidRPr="001E5B31">
        <w:rPr>
          <w:rFonts w:ascii="Palatino Linotype" w:hAnsi="Palatino Linotype" w:cs="Arial"/>
          <w:i/>
          <w:sz w:val="20"/>
          <w:szCs w:val="20"/>
        </w:rPr>
        <w:t>: Documento en el que se elimine, suprime o borra la información clasificada como reservada o confidencial para permitir su acceso.”</w:t>
      </w:r>
    </w:p>
    <w:p w14:paraId="4A93BA11" w14:textId="77777777" w:rsidR="00A06B52" w:rsidRPr="001E5B31" w:rsidRDefault="00A06B52" w:rsidP="001E5B31">
      <w:pPr>
        <w:autoSpaceDE w:val="0"/>
        <w:autoSpaceDN w:val="0"/>
        <w:adjustRightInd w:val="0"/>
        <w:spacing w:after="120"/>
        <w:ind w:left="992" w:right="1043"/>
        <w:jc w:val="both"/>
        <w:rPr>
          <w:rFonts w:ascii="Palatino Linotype" w:hAnsi="Palatino Linotype" w:cs="Arial"/>
          <w:i/>
          <w:sz w:val="20"/>
          <w:szCs w:val="20"/>
        </w:rPr>
      </w:pPr>
    </w:p>
    <w:p w14:paraId="2055E835" w14:textId="77777777" w:rsidR="00A06B52" w:rsidRPr="001E5B31" w:rsidRDefault="00A06B52" w:rsidP="001E5B31">
      <w:pPr>
        <w:spacing w:after="120"/>
        <w:ind w:left="992" w:right="1043"/>
        <w:jc w:val="both"/>
        <w:rPr>
          <w:rFonts w:ascii="Palatino Linotype" w:hAnsi="Palatino Linotype"/>
          <w:i/>
          <w:sz w:val="20"/>
          <w:szCs w:val="20"/>
        </w:rPr>
      </w:pPr>
      <w:r w:rsidRPr="001E5B31">
        <w:rPr>
          <w:rFonts w:ascii="Palatino Linotype" w:hAnsi="Palatino Linotype"/>
          <w:b/>
          <w:i/>
          <w:sz w:val="20"/>
          <w:szCs w:val="20"/>
        </w:rPr>
        <w:t>“Artículo 6.</w:t>
      </w:r>
      <w:r w:rsidRPr="001E5B31">
        <w:rPr>
          <w:rFonts w:ascii="Palatino Linotype" w:hAnsi="Palatino Linotype"/>
          <w:i/>
          <w:sz w:val="20"/>
          <w:szCs w:val="2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C61F515" w14:textId="77777777" w:rsidR="00A06B52" w:rsidRPr="001E5B31" w:rsidRDefault="00A06B52" w:rsidP="001E5B31">
      <w:pPr>
        <w:spacing w:after="120"/>
        <w:ind w:left="992" w:right="1043"/>
        <w:jc w:val="both"/>
        <w:rPr>
          <w:rFonts w:ascii="Palatino Linotype" w:hAnsi="Palatino Linotype" w:cs="Arial"/>
          <w:b/>
          <w:bCs/>
          <w:i/>
          <w:noProof/>
          <w:color w:val="FF0000"/>
          <w:sz w:val="20"/>
          <w:szCs w:val="20"/>
        </w:rPr>
      </w:pPr>
      <w:r w:rsidRPr="001E5B31">
        <w:rPr>
          <w:rFonts w:ascii="Palatino Linotype" w:hAnsi="Palatino Linotype"/>
          <w:b/>
          <w:i/>
          <w:sz w:val="20"/>
          <w:szCs w:val="20"/>
        </w:rPr>
        <w:t>“Artículo 137.</w:t>
      </w:r>
      <w:r w:rsidRPr="001E5B31">
        <w:rPr>
          <w:rFonts w:ascii="Palatino Linotype" w:hAnsi="Palatino Linotype"/>
          <w:i/>
          <w:sz w:val="20"/>
          <w:szCs w:val="2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93BE32F" w14:textId="77777777" w:rsidR="00A06B52" w:rsidRPr="001E5B31" w:rsidRDefault="00A06B52" w:rsidP="001E5B31">
      <w:pPr>
        <w:spacing w:after="120"/>
        <w:ind w:left="992" w:right="1043"/>
        <w:jc w:val="both"/>
        <w:rPr>
          <w:rFonts w:ascii="Palatino Linotype" w:hAnsi="Palatino Linotype"/>
          <w:i/>
          <w:sz w:val="20"/>
          <w:szCs w:val="20"/>
        </w:rPr>
      </w:pPr>
      <w:r w:rsidRPr="001E5B31">
        <w:rPr>
          <w:rFonts w:ascii="Palatino Linotype" w:hAnsi="Palatino Linotype"/>
          <w:b/>
          <w:i/>
          <w:sz w:val="20"/>
          <w:szCs w:val="20"/>
        </w:rPr>
        <w:t>“Artículo 143</w:t>
      </w:r>
      <w:r w:rsidRPr="001E5B31">
        <w:rPr>
          <w:rFonts w:ascii="Palatino Linotype" w:hAnsi="Palatino Linotype"/>
          <w:i/>
          <w:sz w:val="20"/>
          <w:szCs w:val="20"/>
        </w:rPr>
        <w:t>. Para los efectos de esta Ley se considera información confidencial, la clasificada como tal, de manera permanente, por su naturaleza, cuando:</w:t>
      </w:r>
    </w:p>
    <w:p w14:paraId="59873B51" w14:textId="77777777" w:rsidR="00A06B52" w:rsidRPr="001E5B31" w:rsidRDefault="00A06B52" w:rsidP="001E5B31">
      <w:pPr>
        <w:spacing w:after="120"/>
        <w:ind w:left="992" w:right="1043"/>
        <w:jc w:val="both"/>
        <w:rPr>
          <w:rFonts w:ascii="Palatino Linotype" w:hAnsi="Palatino Linotype"/>
          <w:i/>
          <w:sz w:val="20"/>
          <w:szCs w:val="20"/>
        </w:rPr>
      </w:pPr>
      <w:r w:rsidRPr="001E5B31">
        <w:rPr>
          <w:rFonts w:ascii="Palatino Linotype" w:hAnsi="Palatino Linotype"/>
          <w:b/>
          <w:i/>
          <w:sz w:val="20"/>
          <w:szCs w:val="20"/>
        </w:rPr>
        <w:t>I.</w:t>
      </w:r>
      <w:r w:rsidRPr="001E5B31">
        <w:rPr>
          <w:rFonts w:ascii="Palatino Linotype" w:hAnsi="Palatino Linotype"/>
          <w:i/>
          <w:sz w:val="20"/>
          <w:szCs w:val="20"/>
        </w:rPr>
        <w:t xml:space="preserve"> </w:t>
      </w:r>
      <w:r w:rsidRPr="001E5B31">
        <w:rPr>
          <w:rFonts w:ascii="Palatino Linotype" w:hAnsi="Palatino Linotype"/>
          <w:b/>
          <w:i/>
          <w:sz w:val="20"/>
          <w:szCs w:val="20"/>
        </w:rPr>
        <w:t>Se refiera a la información privada y los datos personales concernientes a una persona física o jurídico colectiva identificada o identificable</w:t>
      </w:r>
      <w:r w:rsidRPr="001E5B31">
        <w:rPr>
          <w:rFonts w:ascii="Palatino Linotype" w:hAnsi="Palatino Linotype"/>
          <w:i/>
          <w:sz w:val="20"/>
          <w:szCs w:val="20"/>
        </w:rPr>
        <w:t>…”</w:t>
      </w:r>
    </w:p>
    <w:p w14:paraId="33FB89F0" w14:textId="77777777" w:rsidR="00A06B52" w:rsidRPr="00D84768" w:rsidRDefault="00A06B52" w:rsidP="00A06B52">
      <w:pPr>
        <w:autoSpaceDE w:val="0"/>
        <w:autoSpaceDN w:val="0"/>
        <w:adjustRightInd w:val="0"/>
        <w:spacing w:before="240" w:after="240" w:line="360" w:lineRule="auto"/>
        <w:ind w:right="50"/>
        <w:jc w:val="both"/>
        <w:rPr>
          <w:rFonts w:ascii="Palatino Linotype" w:hAnsi="Palatino Linotype" w:cs="Arial"/>
        </w:rPr>
      </w:pPr>
      <w:r w:rsidRPr="00D84768">
        <w:rPr>
          <w:rFonts w:ascii="Palatino Linotype" w:hAnsi="Palatino Linotype" w:cs="Arial"/>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con la Ley de Protección de Datos Personales en Posesión de Sujetos Obligados del Estado de México y Municipios.</w:t>
      </w:r>
    </w:p>
    <w:p w14:paraId="53E78B29" w14:textId="77777777" w:rsidR="00A06B52" w:rsidRPr="00D84768" w:rsidRDefault="00A06B52" w:rsidP="00A06B52">
      <w:pPr>
        <w:autoSpaceDE w:val="0"/>
        <w:autoSpaceDN w:val="0"/>
        <w:adjustRightInd w:val="0"/>
        <w:spacing w:before="240" w:after="240" w:line="360" w:lineRule="auto"/>
        <w:ind w:right="50"/>
        <w:jc w:val="both"/>
        <w:rPr>
          <w:rFonts w:ascii="Palatino Linotype" w:hAnsi="Palatino Linotype" w:cs="Arial"/>
        </w:rPr>
      </w:pPr>
      <w:r w:rsidRPr="00D84768">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4D28EF7" w14:textId="77777777" w:rsidR="00A06B52" w:rsidRPr="00D84768" w:rsidRDefault="00A06B52" w:rsidP="00A06B52">
      <w:pPr>
        <w:autoSpaceDE w:val="0"/>
        <w:autoSpaceDN w:val="0"/>
        <w:adjustRightInd w:val="0"/>
        <w:spacing w:before="240" w:after="240" w:line="360" w:lineRule="auto"/>
        <w:ind w:right="50"/>
        <w:jc w:val="both"/>
        <w:rPr>
          <w:rFonts w:ascii="Palatino Linotype" w:hAnsi="Palatino Linotype" w:cs="Arial"/>
        </w:rPr>
      </w:pPr>
      <w:r w:rsidRPr="00D84768">
        <w:rPr>
          <w:rFonts w:ascii="Palatino Linotype" w:eastAsia="Arial Unicode MS" w:hAnsi="Palatino Linotype" w:cs="Arial"/>
        </w:rPr>
        <w:t>E</w:t>
      </w:r>
      <w:r w:rsidRPr="00D84768">
        <w:rPr>
          <w:rFonts w:ascii="Palatino Linotype" w:hAnsi="Palatino Linotype"/>
        </w:rPr>
        <w:t xml:space="preserve">n el caso específico en los documentos que se ordenan, pudieran obrar datos que son considerados confidenciales, cuyo acceso debe ser restringido, los cuales </w:t>
      </w:r>
      <w:r w:rsidRPr="00D84768">
        <w:rPr>
          <w:rFonts w:ascii="Palatino Linotype" w:hAnsi="Palatino Linotype" w:cs="Arial"/>
        </w:rPr>
        <w:t xml:space="preserve">deben testarse al momento de la elaboración de versiones públicas, como es el caso de la </w:t>
      </w:r>
      <w:r w:rsidRPr="00D84768">
        <w:rPr>
          <w:rFonts w:ascii="Palatino Linotype" w:hAnsi="Palatino Linotype" w:cs="Arial"/>
          <w:b/>
        </w:rPr>
        <w:t>Clave Única de Registro de Población</w:t>
      </w:r>
      <w:r w:rsidRPr="00D84768">
        <w:rPr>
          <w:rFonts w:ascii="Palatino Linotype" w:hAnsi="Palatino Linotype" w:cs="Arial"/>
        </w:rPr>
        <w:t xml:space="preserve"> (CURP), la </w:t>
      </w:r>
      <w:r w:rsidRPr="00D84768">
        <w:rPr>
          <w:rFonts w:ascii="Palatino Linotype" w:hAnsi="Palatino Linotype" w:cs="Arial"/>
          <w:b/>
        </w:rPr>
        <w:t>firma de los</w:t>
      </w:r>
      <w:r w:rsidRPr="00D84768">
        <w:rPr>
          <w:rFonts w:ascii="Palatino Linotype" w:hAnsi="Palatino Linotype" w:cs="Arial"/>
        </w:rPr>
        <w:t xml:space="preserve"> </w:t>
      </w:r>
      <w:r w:rsidRPr="00D84768">
        <w:rPr>
          <w:rFonts w:ascii="Palatino Linotype" w:hAnsi="Palatino Linotype" w:cs="Arial"/>
          <w:b/>
        </w:rPr>
        <w:t>particulares</w:t>
      </w:r>
      <w:r w:rsidRPr="00D84768">
        <w:rPr>
          <w:rFonts w:ascii="Palatino Linotype" w:hAnsi="Palatino Linotype" w:cs="Arial"/>
        </w:rPr>
        <w:t xml:space="preserve"> y cualquier otro dato que por su naturaleza confidencial pudiera conllevar un riesgo grave para la esfera privada de los servidores públicos.</w:t>
      </w:r>
    </w:p>
    <w:p w14:paraId="4CC38939" w14:textId="77777777" w:rsidR="00A06B52" w:rsidRPr="00D84768" w:rsidRDefault="00A06B52" w:rsidP="00A06B52">
      <w:pPr>
        <w:autoSpaceDE w:val="0"/>
        <w:autoSpaceDN w:val="0"/>
        <w:adjustRightInd w:val="0"/>
        <w:spacing w:before="240" w:after="240" w:line="360" w:lineRule="auto"/>
        <w:ind w:right="50"/>
        <w:jc w:val="both"/>
        <w:rPr>
          <w:rFonts w:ascii="Palatino Linotype" w:hAnsi="Palatino Linotype" w:cs="Arial"/>
        </w:rPr>
      </w:pPr>
      <w:r w:rsidRPr="00D84768">
        <w:rPr>
          <w:rFonts w:ascii="Palatino Linotype" w:hAnsi="Palatino Linotype" w:cs="Arial"/>
        </w:rPr>
        <w:lastRenderedPageBreak/>
        <w:t>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04743457" w14:textId="77777777" w:rsidR="00A06B52" w:rsidRPr="00D84768" w:rsidRDefault="00A06B52" w:rsidP="00A06B52">
      <w:pPr>
        <w:autoSpaceDE w:val="0"/>
        <w:autoSpaceDN w:val="0"/>
        <w:adjustRightInd w:val="0"/>
        <w:spacing w:before="240" w:after="240" w:line="360" w:lineRule="auto"/>
        <w:ind w:right="50"/>
        <w:jc w:val="both"/>
        <w:rPr>
          <w:rFonts w:ascii="Palatino Linotype" w:hAnsi="Palatino Linotype" w:cs="Arial"/>
        </w:rPr>
      </w:pPr>
      <w:r w:rsidRPr="00D84768">
        <w:rPr>
          <w:rFonts w:ascii="Palatino Linotype" w:hAnsi="Palatino Linotype" w:cs="Arial"/>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9089EE8" w14:textId="77777777" w:rsidR="00A06B52" w:rsidRPr="00D84768" w:rsidRDefault="00A06B52" w:rsidP="00A06B52">
      <w:pPr>
        <w:autoSpaceDE w:val="0"/>
        <w:autoSpaceDN w:val="0"/>
        <w:adjustRightInd w:val="0"/>
        <w:spacing w:before="240" w:after="240" w:line="360" w:lineRule="auto"/>
        <w:ind w:right="50"/>
        <w:jc w:val="both"/>
        <w:rPr>
          <w:rFonts w:ascii="Palatino Linotype" w:hAnsi="Palatino Linotype" w:cs="Arial"/>
        </w:rPr>
      </w:pPr>
      <w:r w:rsidRPr="00D84768">
        <w:rPr>
          <w:rFonts w:ascii="Palatino Linotype" w:hAnsi="Palatino Linotype" w:cs="Arial"/>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5AC5180D" w14:textId="77777777" w:rsidR="00A06B52" w:rsidRPr="00D84768" w:rsidRDefault="00A06B52" w:rsidP="00A06B52">
      <w:pPr>
        <w:autoSpaceDE w:val="0"/>
        <w:autoSpaceDN w:val="0"/>
        <w:adjustRightInd w:val="0"/>
        <w:spacing w:before="240" w:after="240" w:line="360" w:lineRule="auto"/>
        <w:ind w:right="50"/>
        <w:jc w:val="both"/>
        <w:rPr>
          <w:rFonts w:ascii="Palatino Linotype" w:hAnsi="Palatino Linotype" w:cs="Arial"/>
        </w:rPr>
      </w:pPr>
      <w:r w:rsidRPr="00D84768">
        <w:rPr>
          <w:rFonts w:ascii="Palatino Linotype" w:hAnsi="Palatino Linotype" w:cs="Arial"/>
        </w:rPr>
        <w:t>Argumentación que guarda sustento en lo estipulado por el artículo 23 de la Ley de Transparencia y Acceso a la Información Pública del Estado de México y Municipios vigente en su penúltimo párrafo, mismo que se lee como sigue:</w:t>
      </w:r>
    </w:p>
    <w:p w14:paraId="5638889B" w14:textId="77777777" w:rsidR="00A06B52" w:rsidRPr="001E5B31" w:rsidRDefault="00A06B52" w:rsidP="001E5B31">
      <w:pPr>
        <w:spacing w:after="120"/>
        <w:ind w:left="709" w:right="709"/>
        <w:jc w:val="both"/>
        <w:rPr>
          <w:rFonts w:ascii="Palatino Linotype" w:hAnsi="Palatino Linotype" w:cs="Arial,Bold"/>
          <w:b/>
          <w:bCs/>
          <w:i/>
          <w:sz w:val="20"/>
          <w:szCs w:val="20"/>
          <w:lang w:eastAsia="es-MX"/>
        </w:rPr>
      </w:pPr>
      <w:r w:rsidRPr="001E5B31">
        <w:rPr>
          <w:rFonts w:ascii="Palatino Linotype" w:hAnsi="Palatino Linotype" w:cs="Arial,Bold"/>
          <w:b/>
          <w:bCs/>
          <w:i/>
          <w:sz w:val="20"/>
          <w:szCs w:val="20"/>
          <w:lang w:eastAsia="es-MX"/>
        </w:rPr>
        <w:lastRenderedPageBreak/>
        <w:t>“Artículo 23. </w:t>
      </w:r>
      <w:r w:rsidRPr="001E5B31">
        <w:rPr>
          <w:rFonts w:ascii="Palatino Linotype" w:hAnsi="Palatino Linotype" w:cs="Arial,Bold"/>
          <w:bCs/>
          <w:i/>
          <w:sz w:val="20"/>
          <w:szCs w:val="20"/>
          <w:lang w:eastAsia="es-MX"/>
        </w:rPr>
        <w:t>(…)</w:t>
      </w:r>
    </w:p>
    <w:p w14:paraId="51DD9300" w14:textId="77777777" w:rsidR="00A06B52" w:rsidRPr="001E5B31" w:rsidRDefault="00A06B52" w:rsidP="001E5B31">
      <w:pPr>
        <w:spacing w:after="120"/>
        <w:ind w:left="709" w:right="709"/>
        <w:jc w:val="both"/>
        <w:rPr>
          <w:rFonts w:ascii="Palatino Linotype" w:hAnsi="Palatino Linotype" w:cs="Arial,Bold"/>
          <w:b/>
          <w:bCs/>
          <w:i/>
          <w:sz w:val="20"/>
          <w:szCs w:val="20"/>
          <w:lang w:eastAsia="es-MX"/>
        </w:rPr>
      </w:pPr>
      <w:r w:rsidRPr="001E5B31">
        <w:rPr>
          <w:rFonts w:ascii="Palatino Linotype" w:hAnsi="Palatino Linotype" w:cs="Arial,Bold"/>
          <w:bCs/>
          <w:i/>
          <w:sz w:val="20"/>
          <w:szCs w:val="20"/>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1E5B31">
        <w:rPr>
          <w:rFonts w:ascii="Palatino Linotype" w:hAnsi="Palatino Linotype" w:cs="Arial,Bold"/>
          <w:b/>
          <w:bCs/>
          <w:i/>
          <w:sz w:val="20"/>
          <w:szCs w:val="20"/>
          <w:lang w:eastAsia="es-MX"/>
        </w:rPr>
        <w:t>”</w:t>
      </w:r>
    </w:p>
    <w:p w14:paraId="3C5D4808" w14:textId="77777777" w:rsidR="00A06B52" w:rsidRPr="00D84768" w:rsidRDefault="00A06B52" w:rsidP="00A06B52">
      <w:pPr>
        <w:spacing w:after="240" w:line="360" w:lineRule="auto"/>
        <w:ind w:right="-93"/>
        <w:jc w:val="both"/>
        <w:rPr>
          <w:rFonts w:ascii="Palatino Linotype" w:hAnsi="Palatino Linotype" w:cs="Arial"/>
          <w:lang w:eastAsia="es-MX"/>
        </w:rPr>
      </w:pPr>
      <w:r w:rsidRPr="00D84768">
        <w:rPr>
          <w:rFonts w:ascii="Palatino Linotype" w:hAnsi="Palatino Linotype" w:cs="Arial"/>
          <w:lang w:eastAsia="es-MX"/>
        </w:rPr>
        <w:t xml:space="preserve">Por cuanto hace a la </w:t>
      </w:r>
      <w:r w:rsidRPr="00D84768">
        <w:rPr>
          <w:rFonts w:ascii="Palatino Linotype" w:hAnsi="Palatino Linotype" w:cs="Arial"/>
          <w:b/>
        </w:rPr>
        <w:t xml:space="preserve">Clave Única de Registro de Población, </w:t>
      </w:r>
      <w:r w:rsidRPr="00D84768">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1A13D5C" w14:textId="77777777" w:rsidR="00A06B52" w:rsidRPr="00D84768" w:rsidRDefault="00A06B52" w:rsidP="00A06B52">
      <w:pPr>
        <w:spacing w:line="360" w:lineRule="auto"/>
        <w:ind w:right="-93"/>
        <w:jc w:val="both"/>
        <w:rPr>
          <w:rFonts w:ascii="Palatino Linotype" w:hAnsi="Palatino Linotype" w:cs="Arial"/>
          <w:lang w:eastAsia="es-MX"/>
        </w:rPr>
      </w:pPr>
      <w:r w:rsidRPr="00D84768">
        <w:rPr>
          <w:rFonts w:ascii="Palatino Linotype" w:hAnsi="Palatino Linotype" w:cs="Arial"/>
          <w:lang w:eastAsia="es-MX"/>
        </w:rPr>
        <w:t>Lo anterior, tiene sustento en los artículos 86 y 91 de la Ley General de Población, la cual señala lo siguiente:</w:t>
      </w:r>
    </w:p>
    <w:p w14:paraId="01BBE631" w14:textId="77777777" w:rsidR="00A06B52" w:rsidRPr="001E5B31" w:rsidRDefault="00A06B52" w:rsidP="001E5B31">
      <w:pPr>
        <w:spacing w:after="120"/>
        <w:ind w:left="709" w:right="709"/>
        <w:jc w:val="both"/>
        <w:rPr>
          <w:rFonts w:ascii="Palatino Linotype" w:hAnsi="Palatino Linotype" w:cs="Arial"/>
          <w:i/>
          <w:sz w:val="20"/>
          <w:szCs w:val="20"/>
          <w:lang w:eastAsia="es-MX"/>
        </w:rPr>
      </w:pPr>
      <w:r w:rsidRPr="001E5B31">
        <w:rPr>
          <w:rFonts w:ascii="Palatino Linotype" w:hAnsi="Palatino Linotype" w:cs="Arial,Bold"/>
          <w:b/>
          <w:bCs/>
          <w:i/>
          <w:sz w:val="20"/>
          <w:szCs w:val="20"/>
          <w:lang w:eastAsia="es-MX"/>
        </w:rPr>
        <w:t xml:space="preserve">“Artículo 86. </w:t>
      </w:r>
      <w:r w:rsidRPr="001E5B31">
        <w:rPr>
          <w:rFonts w:ascii="Palatino Linotype" w:hAnsi="Palatino Linotype" w:cs="Arial"/>
          <w:i/>
          <w:sz w:val="20"/>
          <w:szCs w:val="20"/>
          <w:lang w:eastAsia="es-MX"/>
        </w:rPr>
        <w:t xml:space="preserve">El </w:t>
      </w:r>
      <w:r w:rsidRPr="001E5B31">
        <w:rPr>
          <w:rFonts w:ascii="Palatino Linotype" w:hAnsi="Palatino Linotype" w:cs="Arial"/>
          <w:i/>
          <w:sz w:val="20"/>
          <w:szCs w:val="20"/>
        </w:rPr>
        <w:t>Registro</w:t>
      </w:r>
      <w:r w:rsidRPr="001E5B31">
        <w:rPr>
          <w:rFonts w:ascii="Palatino Linotype" w:hAnsi="Palatino Linotype" w:cs="Arial"/>
          <w:i/>
          <w:sz w:val="20"/>
          <w:szCs w:val="20"/>
          <w:lang w:eastAsia="es-MX"/>
        </w:rPr>
        <w:t xml:space="preserve"> Nacional </w:t>
      </w:r>
      <w:r w:rsidRPr="001E5B31">
        <w:rPr>
          <w:rFonts w:ascii="Palatino Linotype" w:hAnsi="Palatino Linotype" w:cs="Arial"/>
          <w:i/>
          <w:sz w:val="20"/>
          <w:szCs w:val="20"/>
        </w:rPr>
        <w:t>de</w:t>
      </w:r>
      <w:r w:rsidRPr="001E5B31">
        <w:rPr>
          <w:rFonts w:ascii="Palatino Linotype" w:hAnsi="Palatino Linotype" w:cs="Arial"/>
          <w:i/>
          <w:sz w:val="20"/>
          <w:szCs w:val="20"/>
          <w:lang w:eastAsia="es-MX"/>
        </w:rPr>
        <w:t xml:space="preserve"> Población tiene como finalidad registrar a cada una de las personas que integran la población del país, con los datos que permitan certificar y acreditar fehacientemente su identidad.</w:t>
      </w:r>
    </w:p>
    <w:p w14:paraId="207A8B44" w14:textId="77777777" w:rsidR="00A06B52" w:rsidRPr="001E5B31" w:rsidRDefault="00A06B52" w:rsidP="001E5B31">
      <w:pPr>
        <w:spacing w:after="120"/>
        <w:ind w:left="709" w:right="709"/>
        <w:jc w:val="both"/>
        <w:rPr>
          <w:rFonts w:ascii="Palatino Linotype" w:hAnsi="Palatino Linotype" w:cs="Arial"/>
          <w:i/>
          <w:sz w:val="20"/>
          <w:szCs w:val="20"/>
          <w:lang w:eastAsia="es-MX"/>
        </w:rPr>
      </w:pPr>
      <w:r w:rsidRPr="001E5B31">
        <w:rPr>
          <w:rFonts w:ascii="Palatino Linotype" w:hAnsi="Palatino Linotype" w:cs="Arial,Bold"/>
          <w:b/>
          <w:bCs/>
          <w:i/>
          <w:sz w:val="20"/>
          <w:szCs w:val="20"/>
          <w:lang w:eastAsia="es-MX"/>
        </w:rPr>
        <w:t xml:space="preserve">Artículo 91. </w:t>
      </w:r>
      <w:r w:rsidRPr="001E5B31">
        <w:rPr>
          <w:rFonts w:ascii="Palatino Linotype" w:hAnsi="Palatino Linotype" w:cs="Arial"/>
          <w:i/>
          <w:sz w:val="20"/>
          <w:szCs w:val="20"/>
          <w:lang w:eastAsia="es-MX"/>
        </w:rPr>
        <w:t xml:space="preserve">Al incorporar a una persona en el Registro Nacional de Población, se le asignará una clave que se denominará </w:t>
      </w:r>
      <w:r w:rsidRPr="001E5B31">
        <w:rPr>
          <w:rFonts w:ascii="Palatino Linotype" w:hAnsi="Palatino Linotype" w:cs="Arial"/>
          <w:i/>
          <w:sz w:val="20"/>
          <w:szCs w:val="20"/>
        </w:rPr>
        <w:t>Clave</w:t>
      </w:r>
      <w:r w:rsidRPr="001E5B31">
        <w:rPr>
          <w:rFonts w:ascii="Palatino Linotype" w:hAnsi="Palatino Linotype" w:cs="Arial"/>
          <w:i/>
          <w:sz w:val="20"/>
          <w:szCs w:val="20"/>
          <w:lang w:eastAsia="es-MX"/>
        </w:rPr>
        <w:t xml:space="preserve"> Única de Registro de Población. Esta servirá para registrarla e identificarla en forma </w:t>
      </w:r>
      <w:r w:rsidRPr="001E5B31">
        <w:rPr>
          <w:rFonts w:ascii="Palatino Linotype" w:hAnsi="Palatino Linotype" w:cs="Arial"/>
          <w:i/>
          <w:sz w:val="20"/>
          <w:szCs w:val="20"/>
        </w:rPr>
        <w:t>individual</w:t>
      </w:r>
      <w:r w:rsidRPr="001E5B31">
        <w:rPr>
          <w:rFonts w:ascii="Palatino Linotype" w:hAnsi="Palatino Linotype" w:cs="Arial"/>
          <w:i/>
          <w:sz w:val="20"/>
          <w:szCs w:val="20"/>
          <w:lang w:eastAsia="es-MX"/>
        </w:rPr>
        <w:t>.”</w:t>
      </w:r>
    </w:p>
    <w:p w14:paraId="183D82A7" w14:textId="77777777" w:rsidR="00A06B52" w:rsidRPr="00D84768" w:rsidRDefault="00A06B52" w:rsidP="00A06B52">
      <w:pPr>
        <w:shd w:val="clear" w:color="auto" w:fill="FFFFFF"/>
        <w:spacing w:line="360" w:lineRule="auto"/>
        <w:jc w:val="both"/>
        <w:rPr>
          <w:rFonts w:ascii="Palatino Linotype" w:hAnsi="Palatino Linotype"/>
          <w:lang w:eastAsia="es-MX"/>
        </w:rPr>
      </w:pPr>
    </w:p>
    <w:p w14:paraId="0ACA0E13" w14:textId="77777777" w:rsidR="00A06B52" w:rsidRPr="00D84768" w:rsidRDefault="00A06B52" w:rsidP="00A06B52">
      <w:pPr>
        <w:shd w:val="clear" w:color="auto" w:fill="FFFFFF"/>
        <w:spacing w:line="360" w:lineRule="auto"/>
        <w:jc w:val="both"/>
        <w:rPr>
          <w:rFonts w:ascii="Palatino Linotype" w:hAnsi="Palatino Linotype"/>
          <w:lang w:eastAsia="es-MX"/>
        </w:rPr>
      </w:pPr>
      <w:r w:rsidRPr="00D84768">
        <w:rPr>
          <w:rFonts w:ascii="Palatino Linotype" w:hAnsi="Palatino Linotype"/>
          <w:lang w:eastAsia="es-MX"/>
        </w:rPr>
        <w:t xml:space="preserve">Por cuanto hace a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D84768">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D84768">
        <w:rPr>
          <w:rFonts w:ascii="Palatino Linotype" w:hAnsi="Palatino Linotype"/>
          <w:lang w:eastAsia="es-MX"/>
        </w:rPr>
        <w:t xml:space="preserve">; sexo; Entidad Federativa o lugar de nacimiento; finalmente una </w:t>
      </w:r>
      <w:proofErr w:type="spellStart"/>
      <w:r w:rsidRPr="00D84768">
        <w:rPr>
          <w:rFonts w:ascii="Palatino Linotype" w:hAnsi="Palatino Linotype"/>
          <w:lang w:eastAsia="es-MX"/>
        </w:rPr>
        <w:t>homoclave</w:t>
      </w:r>
      <w:proofErr w:type="spellEnd"/>
      <w:r w:rsidRPr="00D84768">
        <w:rPr>
          <w:rFonts w:ascii="Palatino Linotype" w:hAnsi="Palatino Linotype"/>
          <w:lang w:eastAsia="es-MX"/>
        </w:rPr>
        <w:t xml:space="preserve"> o digito verificador, compuesto de dos elementos, con el que se evitan duplicaciones en la Clave, identifican el cambio de siglo y garantizan la correcta integración. </w:t>
      </w:r>
    </w:p>
    <w:p w14:paraId="048A945F" w14:textId="77777777" w:rsidR="00A06B52" w:rsidRPr="00D84768" w:rsidRDefault="00A06B52" w:rsidP="00A06B52">
      <w:pPr>
        <w:spacing w:line="360" w:lineRule="auto"/>
        <w:ind w:right="-91"/>
        <w:jc w:val="both"/>
        <w:rPr>
          <w:rFonts w:ascii="Palatino Linotype" w:hAnsi="Palatino Linotype" w:cs="Arial"/>
          <w:lang w:eastAsia="es-MX"/>
        </w:rPr>
      </w:pPr>
      <w:r w:rsidRPr="00D84768">
        <w:rPr>
          <w:rFonts w:ascii="Palatino Linotype" w:hAnsi="Palatino Linotype" w:cs="Arial"/>
          <w:lang w:eastAsia="es-MX"/>
        </w:rPr>
        <w:lastRenderedPageBreak/>
        <w:t>Al respecto, el entonces Instituto Federal de Acceso a la Información Pública y Protección de Datos Personales (IFAI), ahora Instituto Nacional de Transparencia, Acceso a la Información y Protección de Datos Personales (INAI), a través del Criterio 18/17, señala literalmente lo siguiente:</w:t>
      </w:r>
    </w:p>
    <w:p w14:paraId="7D2EA54C" w14:textId="2EEA2C4C" w:rsidR="00A06B52" w:rsidRPr="001E5B31" w:rsidRDefault="00A06B52" w:rsidP="001E5B31">
      <w:pPr>
        <w:ind w:left="709" w:right="709"/>
        <w:jc w:val="both"/>
        <w:rPr>
          <w:rFonts w:ascii="Palatino Linotype" w:hAnsi="Palatino Linotype" w:cs="Arial,Bold"/>
          <w:b/>
          <w:bCs/>
          <w:i/>
          <w:sz w:val="20"/>
          <w:szCs w:val="20"/>
          <w:lang w:eastAsia="es-MX"/>
        </w:rPr>
      </w:pPr>
      <w:r w:rsidRPr="001E5B31">
        <w:rPr>
          <w:rFonts w:ascii="Palatino Linotype" w:hAnsi="Palatino Linotype" w:cs="Arial,Bold"/>
          <w:b/>
          <w:bCs/>
          <w:i/>
          <w:sz w:val="20"/>
          <w:szCs w:val="20"/>
          <w:lang w:eastAsia="es-MX"/>
        </w:rPr>
        <w:t xml:space="preserve">“Clave Única de Registro de Población (CURP). </w:t>
      </w:r>
      <w:r w:rsidRPr="001E5B31">
        <w:rPr>
          <w:rFonts w:ascii="Palatino Linotype" w:hAnsi="Palatino Linotype" w:cs="Arial,Bold"/>
          <w:bCs/>
          <w:i/>
          <w:sz w:val="20"/>
          <w:szCs w:val="20"/>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D84768">
        <w:rPr>
          <w:rFonts w:ascii="Palatino Linotype" w:hAnsi="Palatino Linotype" w:cs="Arial,Bold"/>
          <w:bCs/>
          <w:i/>
          <w:sz w:val="22"/>
          <w:lang w:eastAsia="es-MX"/>
        </w:rPr>
        <w:t>”</w:t>
      </w:r>
    </w:p>
    <w:p w14:paraId="018856D7" w14:textId="77777777" w:rsidR="00A06B52" w:rsidRPr="00D84768" w:rsidRDefault="00A06B52" w:rsidP="00A06B52">
      <w:pPr>
        <w:autoSpaceDE w:val="0"/>
        <w:autoSpaceDN w:val="0"/>
        <w:adjustRightInd w:val="0"/>
        <w:spacing w:before="240" w:after="240" w:line="360" w:lineRule="auto"/>
        <w:ind w:right="50"/>
        <w:jc w:val="both"/>
        <w:rPr>
          <w:rFonts w:ascii="Palatino Linotype" w:hAnsi="Palatino Linotype" w:cs="Arial"/>
        </w:rPr>
      </w:pPr>
      <w:r w:rsidRPr="00D84768">
        <w:rPr>
          <w:rFonts w:ascii="Palatino Linotype" w:hAnsi="Palatino Linotype" w:cs="Arial"/>
        </w:rPr>
        <w:t>Finalmente,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se deberá realizarse en términos de lo que disponen los artículos 49 fracción VIII, 53, fracción X y 59, fracción V, de la Ley en consulta, cuyo sentido literal es el siguiente:</w:t>
      </w:r>
    </w:p>
    <w:p w14:paraId="66781DE4" w14:textId="77777777" w:rsidR="00A06B52" w:rsidRPr="001E5B31" w:rsidRDefault="00A06B52" w:rsidP="001E5B31">
      <w:pPr>
        <w:spacing w:after="120"/>
        <w:ind w:left="992" w:right="1043"/>
        <w:jc w:val="both"/>
        <w:rPr>
          <w:rFonts w:ascii="Palatino Linotype" w:hAnsi="Palatino Linotype"/>
          <w:i/>
          <w:sz w:val="20"/>
          <w:szCs w:val="20"/>
        </w:rPr>
      </w:pPr>
      <w:r w:rsidRPr="001E5B31">
        <w:rPr>
          <w:rFonts w:ascii="Palatino Linotype" w:hAnsi="Palatino Linotype"/>
          <w:b/>
          <w:i/>
          <w:sz w:val="20"/>
          <w:szCs w:val="20"/>
        </w:rPr>
        <w:t>“Artículo 49.</w:t>
      </w:r>
      <w:r w:rsidRPr="001E5B31">
        <w:rPr>
          <w:rFonts w:ascii="Palatino Linotype" w:hAnsi="Palatino Linotype"/>
          <w:i/>
          <w:sz w:val="20"/>
          <w:szCs w:val="20"/>
        </w:rPr>
        <w:t xml:space="preserve"> </w:t>
      </w:r>
      <w:r w:rsidRPr="001E5B31">
        <w:rPr>
          <w:rFonts w:ascii="Palatino Linotype" w:hAnsi="Palatino Linotype"/>
          <w:b/>
          <w:i/>
          <w:sz w:val="20"/>
          <w:szCs w:val="20"/>
        </w:rPr>
        <w:t>Los Comités de Transparencia</w:t>
      </w:r>
      <w:r w:rsidRPr="001E5B31">
        <w:rPr>
          <w:rFonts w:ascii="Palatino Linotype" w:hAnsi="Palatino Linotype"/>
          <w:i/>
          <w:sz w:val="20"/>
          <w:szCs w:val="20"/>
        </w:rPr>
        <w:t xml:space="preserve"> tendrán las siguientes atribuciones:</w:t>
      </w:r>
    </w:p>
    <w:p w14:paraId="291F9EFA" w14:textId="77777777" w:rsidR="00A06B52" w:rsidRPr="001E5B31" w:rsidRDefault="00A06B52" w:rsidP="001E5B31">
      <w:pPr>
        <w:spacing w:after="120"/>
        <w:ind w:left="992" w:right="1043"/>
        <w:jc w:val="both"/>
        <w:rPr>
          <w:rFonts w:ascii="Palatino Linotype" w:hAnsi="Palatino Linotype"/>
          <w:i/>
          <w:sz w:val="20"/>
          <w:szCs w:val="20"/>
        </w:rPr>
      </w:pPr>
      <w:r w:rsidRPr="001E5B31">
        <w:rPr>
          <w:rFonts w:ascii="Palatino Linotype" w:hAnsi="Palatino Linotype"/>
          <w:b/>
          <w:i/>
          <w:sz w:val="20"/>
          <w:szCs w:val="20"/>
        </w:rPr>
        <w:t>VIII. Aprobar, modificar o revocar la clasificación de la información</w:t>
      </w:r>
      <w:r w:rsidRPr="001E5B31">
        <w:rPr>
          <w:rFonts w:ascii="Palatino Linotype" w:hAnsi="Palatino Linotype"/>
          <w:i/>
          <w:sz w:val="20"/>
          <w:szCs w:val="20"/>
        </w:rPr>
        <w:t>…”</w:t>
      </w:r>
    </w:p>
    <w:p w14:paraId="78086017" w14:textId="77777777" w:rsidR="00A06B52" w:rsidRPr="001E5B31" w:rsidRDefault="00A06B52" w:rsidP="001E5B31">
      <w:pPr>
        <w:spacing w:after="120"/>
        <w:ind w:left="992" w:right="1043"/>
        <w:jc w:val="both"/>
        <w:rPr>
          <w:rFonts w:ascii="Palatino Linotype" w:hAnsi="Palatino Linotype"/>
          <w:i/>
          <w:sz w:val="20"/>
          <w:szCs w:val="20"/>
        </w:rPr>
      </w:pPr>
      <w:r w:rsidRPr="001E5B31">
        <w:rPr>
          <w:rFonts w:ascii="Palatino Linotype" w:hAnsi="Palatino Linotype"/>
          <w:i/>
          <w:sz w:val="20"/>
          <w:szCs w:val="20"/>
        </w:rPr>
        <w:t>“</w:t>
      </w:r>
      <w:r w:rsidRPr="001E5B31">
        <w:rPr>
          <w:rFonts w:ascii="Palatino Linotype" w:hAnsi="Palatino Linotype"/>
          <w:b/>
          <w:i/>
          <w:sz w:val="20"/>
          <w:szCs w:val="20"/>
        </w:rPr>
        <w:t>Artículo 53.</w:t>
      </w:r>
      <w:r w:rsidRPr="001E5B31">
        <w:rPr>
          <w:rFonts w:ascii="Palatino Linotype" w:hAnsi="Palatino Linotype"/>
          <w:i/>
          <w:sz w:val="20"/>
          <w:szCs w:val="20"/>
        </w:rPr>
        <w:t xml:space="preserve"> Las </w:t>
      </w:r>
      <w:r w:rsidRPr="001E5B31">
        <w:rPr>
          <w:rFonts w:ascii="Palatino Linotype" w:hAnsi="Palatino Linotype"/>
          <w:b/>
          <w:i/>
          <w:sz w:val="20"/>
          <w:szCs w:val="20"/>
        </w:rPr>
        <w:t>Unidades de Transparencia</w:t>
      </w:r>
      <w:r w:rsidRPr="001E5B31">
        <w:rPr>
          <w:rFonts w:ascii="Palatino Linotype" w:hAnsi="Palatino Linotype"/>
          <w:i/>
          <w:sz w:val="20"/>
          <w:szCs w:val="20"/>
        </w:rPr>
        <w:t xml:space="preserve"> tendrán las siguientes </w:t>
      </w:r>
      <w:r w:rsidRPr="001E5B31">
        <w:rPr>
          <w:rFonts w:ascii="Palatino Linotype" w:hAnsi="Palatino Linotype"/>
          <w:b/>
          <w:i/>
          <w:sz w:val="20"/>
          <w:szCs w:val="20"/>
        </w:rPr>
        <w:t>funciones</w:t>
      </w:r>
      <w:r w:rsidRPr="001E5B31">
        <w:rPr>
          <w:rFonts w:ascii="Palatino Linotype" w:hAnsi="Palatino Linotype"/>
          <w:i/>
          <w:sz w:val="20"/>
          <w:szCs w:val="20"/>
        </w:rPr>
        <w:t>:</w:t>
      </w:r>
    </w:p>
    <w:p w14:paraId="745B400C" w14:textId="77777777" w:rsidR="00A06B52" w:rsidRPr="001E5B31" w:rsidRDefault="00A06B52" w:rsidP="001E5B31">
      <w:pPr>
        <w:spacing w:after="120"/>
        <w:ind w:left="992" w:right="1043"/>
        <w:jc w:val="both"/>
        <w:rPr>
          <w:rFonts w:ascii="Palatino Linotype" w:hAnsi="Palatino Linotype"/>
          <w:i/>
          <w:sz w:val="20"/>
          <w:szCs w:val="20"/>
        </w:rPr>
      </w:pPr>
      <w:r w:rsidRPr="001E5B31">
        <w:rPr>
          <w:rFonts w:ascii="Palatino Linotype" w:hAnsi="Palatino Linotype"/>
          <w:b/>
          <w:i/>
          <w:sz w:val="20"/>
          <w:szCs w:val="20"/>
        </w:rPr>
        <w:t>X. Presentar ante el Comité, el proyecto de clasificación de información</w:t>
      </w:r>
      <w:r w:rsidRPr="001E5B31">
        <w:rPr>
          <w:rFonts w:ascii="Palatino Linotype" w:hAnsi="Palatino Linotype"/>
          <w:i/>
          <w:sz w:val="20"/>
          <w:szCs w:val="20"/>
        </w:rPr>
        <w:t xml:space="preserve">…” </w:t>
      </w:r>
    </w:p>
    <w:p w14:paraId="1B3CC73C" w14:textId="77777777" w:rsidR="00A06B52" w:rsidRPr="001E5B31" w:rsidRDefault="00A06B52" w:rsidP="001E5B31">
      <w:pPr>
        <w:spacing w:after="120"/>
        <w:ind w:left="992" w:right="1043"/>
        <w:jc w:val="both"/>
        <w:rPr>
          <w:rFonts w:ascii="Palatino Linotype" w:hAnsi="Palatino Linotype"/>
          <w:i/>
          <w:sz w:val="20"/>
          <w:szCs w:val="20"/>
        </w:rPr>
      </w:pPr>
      <w:r w:rsidRPr="001E5B31">
        <w:rPr>
          <w:rFonts w:ascii="Palatino Linotype" w:hAnsi="Palatino Linotype"/>
          <w:b/>
          <w:i/>
          <w:sz w:val="20"/>
          <w:szCs w:val="20"/>
        </w:rPr>
        <w:t>“Artículo 59.</w:t>
      </w:r>
      <w:r w:rsidRPr="001E5B31">
        <w:rPr>
          <w:rFonts w:ascii="Palatino Linotype" w:hAnsi="Palatino Linotype"/>
          <w:i/>
          <w:sz w:val="20"/>
          <w:szCs w:val="20"/>
        </w:rPr>
        <w:t xml:space="preserve"> Los </w:t>
      </w:r>
      <w:r w:rsidRPr="001E5B31">
        <w:rPr>
          <w:rFonts w:ascii="Palatino Linotype" w:hAnsi="Palatino Linotype"/>
          <w:b/>
          <w:i/>
          <w:sz w:val="20"/>
          <w:szCs w:val="20"/>
        </w:rPr>
        <w:t>servidores públicos habilitados</w:t>
      </w:r>
      <w:r w:rsidRPr="001E5B31">
        <w:rPr>
          <w:rFonts w:ascii="Palatino Linotype" w:hAnsi="Palatino Linotype"/>
          <w:i/>
          <w:sz w:val="20"/>
          <w:szCs w:val="20"/>
        </w:rPr>
        <w:t xml:space="preserve"> tendrán las </w:t>
      </w:r>
      <w:r w:rsidRPr="001E5B31">
        <w:rPr>
          <w:rFonts w:ascii="Palatino Linotype" w:hAnsi="Palatino Linotype"/>
          <w:b/>
          <w:i/>
          <w:sz w:val="20"/>
          <w:szCs w:val="20"/>
        </w:rPr>
        <w:t>funciones</w:t>
      </w:r>
      <w:r w:rsidRPr="001E5B31">
        <w:rPr>
          <w:rFonts w:ascii="Palatino Linotype" w:hAnsi="Palatino Linotype"/>
          <w:i/>
          <w:sz w:val="20"/>
          <w:szCs w:val="20"/>
        </w:rPr>
        <w:t xml:space="preserve"> siguientes:</w:t>
      </w:r>
    </w:p>
    <w:p w14:paraId="05B40E42" w14:textId="77777777" w:rsidR="00A06B52" w:rsidRPr="001E5B31" w:rsidRDefault="00A06B52" w:rsidP="001E5B31">
      <w:pPr>
        <w:spacing w:after="120"/>
        <w:ind w:left="992" w:right="1043"/>
        <w:jc w:val="both"/>
        <w:rPr>
          <w:rFonts w:ascii="Palatino Linotype" w:hAnsi="Palatino Linotype"/>
          <w:i/>
          <w:sz w:val="20"/>
          <w:szCs w:val="20"/>
        </w:rPr>
      </w:pPr>
      <w:r w:rsidRPr="001E5B31">
        <w:rPr>
          <w:rFonts w:ascii="Palatino Linotype" w:hAnsi="Palatino Linotype"/>
          <w:b/>
          <w:i/>
          <w:sz w:val="20"/>
          <w:szCs w:val="20"/>
        </w:rPr>
        <w:t>V. Integrar y presentar al responsable de la Unidad de Transparencia la propuesta de clasificación de información</w:t>
      </w:r>
      <w:r w:rsidRPr="001E5B31">
        <w:rPr>
          <w:rFonts w:ascii="Palatino Linotype" w:hAnsi="Palatino Linotype"/>
          <w:i/>
          <w:sz w:val="20"/>
          <w:szCs w:val="20"/>
        </w:rPr>
        <w:t>, la cual tendrá los fundamentos y argumentos en que se basa dicha propuesta…”</w:t>
      </w:r>
    </w:p>
    <w:p w14:paraId="6793BC10" w14:textId="77777777" w:rsidR="00A06B52" w:rsidRPr="00D84768" w:rsidRDefault="00A06B52" w:rsidP="00A06B52">
      <w:pPr>
        <w:spacing w:before="240" w:after="240" w:line="360" w:lineRule="auto"/>
        <w:jc w:val="both"/>
        <w:rPr>
          <w:rFonts w:ascii="Palatino Linotype" w:hAnsi="Palatino Linotype" w:cs="Arial"/>
        </w:rPr>
      </w:pPr>
      <w:r w:rsidRPr="00D84768">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sidRPr="00D84768">
        <w:rPr>
          <w:rFonts w:ascii="Palatino Linotype" w:hAnsi="Palatino Linotype" w:cs="Arial"/>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9A29398" w14:textId="77777777" w:rsidR="00A06B52" w:rsidRPr="00D84768" w:rsidRDefault="00A06B52" w:rsidP="00A06B52">
      <w:pPr>
        <w:spacing w:before="240" w:after="240" w:line="360" w:lineRule="auto"/>
        <w:jc w:val="both"/>
        <w:rPr>
          <w:rFonts w:ascii="Palatino Linotype" w:hAnsi="Palatino Linotype"/>
          <w:color w:val="000000"/>
        </w:rPr>
      </w:pPr>
      <w:r w:rsidRPr="00D84768">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5D0509A1" w14:textId="77777777" w:rsidR="00A06B52" w:rsidRPr="001E5B31" w:rsidRDefault="00A06B52" w:rsidP="001E5B31">
      <w:pPr>
        <w:spacing w:after="120"/>
        <w:ind w:left="992" w:right="1043"/>
        <w:jc w:val="both"/>
        <w:rPr>
          <w:rFonts w:ascii="Palatino Linotype" w:hAnsi="Palatino Linotype" w:cs="Arial"/>
          <w:i/>
          <w:sz w:val="20"/>
          <w:szCs w:val="20"/>
        </w:rPr>
      </w:pPr>
      <w:r w:rsidRPr="001E5B31">
        <w:rPr>
          <w:rFonts w:ascii="Palatino Linotype" w:hAnsi="Palatino Linotype"/>
          <w:i/>
          <w:color w:val="000000"/>
          <w:sz w:val="20"/>
          <w:szCs w:val="20"/>
        </w:rPr>
        <w:t>“</w:t>
      </w:r>
      <w:r w:rsidRPr="001E5B31">
        <w:rPr>
          <w:rFonts w:ascii="Palatino Linotype" w:hAnsi="Palatino Linotype"/>
          <w:b/>
          <w:i/>
          <w:sz w:val="20"/>
          <w:szCs w:val="20"/>
        </w:rPr>
        <w:t>Artículo 149.</w:t>
      </w:r>
      <w:r w:rsidRPr="001E5B31">
        <w:rPr>
          <w:rFonts w:ascii="Palatino Linotype" w:hAnsi="Palatino Linotype"/>
          <w:i/>
          <w:sz w:val="20"/>
          <w:szCs w:val="20"/>
        </w:rPr>
        <w:t xml:space="preserve"> El </w:t>
      </w:r>
      <w:r w:rsidRPr="001E5B31">
        <w:rPr>
          <w:rFonts w:ascii="Palatino Linotype" w:hAnsi="Palatino Linotype"/>
          <w:b/>
          <w:i/>
          <w:sz w:val="20"/>
          <w:szCs w:val="20"/>
        </w:rPr>
        <w:t>acuerdo que clasifique la información como confidencial</w:t>
      </w:r>
      <w:r w:rsidRPr="001E5B31">
        <w:rPr>
          <w:rFonts w:ascii="Palatino Linotype" w:hAnsi="Palatino Linotype"/>
          <w:i/>
          <w:sz w:val="20"/>
          <w:szCs w:val="20"/>
        </w:rPr>
        <w:t xml:space="preserve"> deberá contener un razonamiento lógico en el que demuestre que la información se encuentra en alguna o algunas de las hipótesis previstas en la presente Ley.”</w:t>
      </w:r>
    </w:p>
    <w:p w14:paraId="254F5668" w14:textId="77777777" w:rsidR="00A06B52" w:rsidRDefault="00A06B52" w:rsidP="00A06B52">
      <w:pPr>
        <w:spacing w:before="240" w:after="240" w:line="360" w:lineRule="auto"/>
        <w:jc w:val="both"/>
        <w:rPr>
          <w:rFonts w:ascii="Palatino Linotype" w:hAnsi="Palatino Linotype" w:cs="Arial"/>
          <w:lang w:eastAsia="es-CO"/>
        </w:rPr>
      </w:pPr>
      <w:r w:rsidRPr="00D84768">
        <w:rPr>
          <w:rFonts w:ascii="Palatino Linotype" w:hAnsi="Palatino Linotype" w:cs="Arial"/>
          <w:lang w:eastAsia="es-CO"/>
        </w:rPr>
        <w:t>Es decir, el Sujeto Obligado a través de su Comité de Transparencia, de ser el caso;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76FB178B" w14:textId="77777777" w:rsidR="00891C4E" w:rsidRDefault="003B3431" w:rsidP="00891C4E">
      <w:pPr>
        <w:shd w:val="clear" w:color="auto" w:fill="FFFFFF"/>
        <w:spacing w:before="240" w:after="240" w:line="360" w:lineRule="auto"/>
        <w:jc w:val="both"/>
        <w:rPr>
          <w:rFonts w:ascii="Palatino Linotype" w:hAnsi="Palatino Linotype" w:cs="Arial"/>
          <w:lang w:eastAsia="es-MX"/>
        </w:rPr>
      </w:pPr>
      <w:r w:rsidRPr="0040233B">
        <w:rPr>
          <w:rFonts w:ascii="Palatino Linotype" w:hAnsi="Palatino Linotype" w:cs="Arial"/>
          <w:lang w:eastAsia="es-MX"/>
        </w:rPr>
        <w:t xml:space="preserve">Así, con fundamento en lo prescrito en los artículos 5 párrafos </w:t>
      </w:r>
      <w:r>
        <w:rPr>
          <w:rFonts w:ascii="Palatino Linotype" w:hAnsi="Palatino Linotype" w:cs="Arial"/>
          <w:lang w:eastAsia="es-MX"/>
        </w:rPr>
        <w:t>vigésimo, vigésimo primero y vigésimo segundo</w:t>
      </w:r>
      <w:r w:rsidRPr="0040233B">
        <w:rPr>
          <w:rFonts w:ascii="Palatino Linotype" w:hAnsi="Palatino Linotype" w:cs="Arial"/>
          <w:lang w:eastAsia="es-MX"/>
        </w:rPr>
        <w:t xml:space="preserve"> de la Constitución Política del Estado Libre y Soberano de México; 2, fracción II; 29, 36 fracciones I y II; 176, 178, 179, 181</w:t>
      </w:r>
      <w:r>
        <w:rPr>
          <w:rFonts w:ascii="Palatino Linotype" w:hAnsi="Palatino Linotype" w:cs="Arial"/>
          <w:lang w:eastAsia="es-MX"/>
        </w:rPr>
        <w:t xml:space="preserve"> y</w:t>
      </w:r>
      <w:r w:rsidRPr="0040233B">
        <w:rPr>
          <w:rFonts w:ascii="Palatino Linotype" w:hAnsi="Palatino Linotype" w:cs="Arial"/>
          <w:lang w:eastAsia="es-MX"/>
        </w:rPr>
        <w:t xml:space="preserve"> 185 de la Ley de Transparencia y Acceso a la Información Pública del Estado de México y Municipios, </w:t>
      </w:r>
      <w:r w:rsidR="00891C4E" w:rsidRPr="0040233B">
        <w:rPr>
          <w:rFonts w:ascii="Palatino Linotype" w:hAnsi="Palatino Linotype" w:cs="Arial"/>
          <w:lang w:eastAsia="es-MX"/>
        </w:rPr>
        <w:t>este Pleno:</w:t>
      </w:r>
    </w:p>
    <w:p w14:paraId="19C32CDB" w14:textId="77777777" w:rsidR="00891C4E" w:rsidRPr="0040233B" w:rsidRDefault="00891C4E" w:rsidP="00891C4E">
      <w:pPr>
        <w:pStyle w:val="Prrafodelista"/>
        <w:spacing w:before="240" w:after="240" w:line="360" w:lineRule="auto"/>
        <w:ind w:left="0"/>
        <w:jc w:val="center"/>
        <w:rPr>
          <w:rFonts w:ascii="Palatino Linotype" w:hAnsi="Palatino Linotype" w:cs="Arial"/>
          <w:b/>
        </w:rPr>
      </w:pPr>
      <w:r w:rsidRPr="0040233B">
        <w:rPr>
          <w:rFonts w:ascii="Palatino Linotype" w:hAnsi="Palatino Linotype" w:cs="Arial"/>
          <w:b/>
        </w:rPr>
        <w:lastRenderedPageBreak/>
        <w:t>R E S U E L V E</w:t>
      </w:r>
    </w:p>
    <w:p w14:paraId="6837FC69" w14:textId="67076A36" w:rsidR="001E5B31" w:rsidRPr="0040233B" w:rsidRDefault="001E5B31" w:rsidP="001E5B31">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b/>
          <w:bCs/>
          <w:sz w:val="28"/>
          <w:szCs w:val="28"/>
          <w:lang w:eastAsia="es-MX"/>
        </w:rPr>
        <w:t>PRIMER</w:t>
      </w:r>
      <w:r>
        <w:rPr>
          <w:rFonts w:ascii="Palatino Linotype" w:hAnsi="Palatino Linotype"/>
          <w:b/>
          <w:bCs/>
          <w:sz w:val="28"/>
          <w:szCs w:val="28"/>
          <w:lang w:eastAsia="es-MX"/>
        </w:rPr>
        <w:t>O</w:t>
      </w:r>
      <w:r>
        <w:rPr>
          <w:rFonts w:ascii="Palatino Linotype" w:hAnsi="Palatino Linotype"/>
          <w:b/>
          <w:bCs/>
          <w:lang w:eastAsia="es-MX"/>
        </w:rPr>
        <w:t xml:space="preserve">. </w:t>
      </w:r>
      <w:r w:rsidRPr="000000C8">
        <w:rPr>
          <w:rFonts w:ascii="Palatino Linotype" w:hAnsi="Palatino Linotype" w:cs="Arial"/>
          <w:lang w:val="es-MX" w:eastAsia="en-US"/>
        </w:rPr>
        <w:t>Resulta fundado el motivo de inconformidad hecho valer por</w:t>
      </w:r>
      <w:r w:rsidR="008E5A81">
        <w:rPr>
          <w:rFonts w:ascii="Palatino Linotype" w:hAnsi="Palatino Linotype" w:cs="Arial"/>
          <w:lang w:val="es-MX" w:eastAsia="en-US"/>
        </w:rPr>
        <w:t xml:space="preserve"> </w:t>
      </w:r>
      <w:r>
        <w:rPr>
          <w:rFonts w:ascii="Palatino Linotype" w:hAnsi="Palatino Linotype" w:cs="Arial"/>
          <w:lang w:val="es-MX" w:eastAsia="en-US"/>
        </w:rPr>
        <w:t>l</w:t>
      </w:r>
      <w:r w:rsidR="008E5A81">
        <w:rPr>
          <w:rFonts w:ascii="Palatino Linotype" w:hAnsi="Palatino Linotype" w:cs="Arial"/>
          <w:lang w:val="es-MX" w:eastAsia="en-US"/>
        </w:rPr>
        <w:t>a</w:t>
      </w:r>
      <w:r>
        <w:rPr>
          <w:rFonts w:ascii="Palatino Linotype" w:hAnsi="Palatino Linotype" w:cs="Arial"/>
          <w:lang w:val="es-MX" w:eastAsia="en-US"/>
        </w:rPr>
        <w:t xml:space="preserve"> </w:t>
      </w:r>
      <w:r w:rsidRPr="008B240C">
        <w:rPr>
          <w:rFonts w:ascii="Palatino Linotype" w:hAnsi="Palatino Linotype" w:cs="Arial"/>
          <w:b/>
          <w:i/>
          <w:lang w:val="es-MX" w:eastAsia="en-US"/>
        </w:rPr>
        <w:t>R</w:t>
      </w:r>
      <w:r w:rsidR="008B240C" w:rsidRPr="008B240C">
        <w:rPr>
          <w:rFonts w:ascii="Palatino Linotype" w:hAnsi="Palatino Linotype" w:cs="Arial"/>
          <w:b/>
          <w:i/>
          <w:lang w:val="es-MX" w:eastAsia="en-US"/>
        </w:rPr>
        <w:t>ecurrente</w:t>
      </w:r>
      <w:r w:rsidRPr="000000C8">
        <w:rPr>
          <w:rFonts w:ascii="Palatino Linotype" w:hAnsi="Palatino Linotype" w:cs="Arial"/>
          <w:b/>
          <w:lang w:val="es-MX" w:eastAsia="en-US"/>
        </w:rPr>
        <w:t xml:space="preserve">, </w:t>
      </w:r>
      <w:r>
        <w:rPr>
          <w:rFonts w:ascii="Palatino Linotype" w:hAnsi="Palatino Linotype" w:cs="Arial"/>
        </w:rPr>
        <w:t>en términos del Considerando CUARTO de esta resolución.</w:t>
      </w:r>
    </w:p>
    <w:p w14:paraId="6F1011A9" w14:textId="77777777" w:rsidR="00B21885" w:rsidRDefault="001E5B31" w:rsidP="00B21885">
      <w:pPr>
        <w:shd w:val="clear" w:color="auto" w:fill="FFFFFF"/>
        <w:spacing w:before="240" w:after="240" w:line="360" w:lineRule="auto"/>
        <w:jc w:val="both"/>
        <w:rPr>
          <w:color w:val="222222"/>
          <w:lang w:val="es-MX"/>
        </w:rPr>
      </w:pPr>
      <w:r>
        <w:rPr>
          <w:rFonts w:ascii="Palatino Linotype" w:hAnsi="Palatino Linotype" w:cs="Arial"/>
          <w:b/>
          <w:bCs/>
          <w:sz w:val="28"/>
          <w:szCs w:val="28"/>
          <w:lang w:eastAsia="es-MX"/>
        </w:rPr>
        <w:t>SEGUNDO</w:t>
      </w:r>
      <w:r>
        <w:rPr>
          <w:rFonts w:ascii="Palatino Linotype" w:hAnsi="Palatino Linotype"/>
          <w:b/>
          <w:bCs/>
          <w:lang w:eastAsia="es-MX"/>
        </w:rPr>
        <w:t>.</w:t>
      </w:r>
      <w:r>
        <w:rPr>
          <w:rFonts w:ascii="Palatino Linotype" w:hAnsi="Palatino Linotype"/>
          <w:lang w:eastAsia="es-MX"/>
        </w:rPr>
        <w:t xml:space="preserve"> </w:t>
      </w:r>
      <w:r w:rsidRPr="000D40FE">
        <w:rPr>
          <w:rFonts w:ascii="Palatino Linotype" w:hAnsi="Palatino Linotype" w:cs="Arial"/>
        </w:rPr>
        <w:t>Se</w:t>
      </w:r>
      <w:r w:rsidRPr="000D40FE">
        <w:rPr>
          <w:rFonts w:ascii="Palatino Linotype" w:hAnsi="Palatino Linotype" w:cs="Arial"/>
          <w:b/>
        </w:rPr>
        <w:t xml:space="preserve"> </w:t>
      </w:r>
      <w:r>
        <w:rPr>
          <w:rFonts w:ascii="Palatino Linotype" w:hAnsi="Palatino Linotype" w:cs="Arial"/>
          <w:b/>
        </w:rPr>
        <w:t>ORDENA</w:t>
      </w:r>
      <w:r w:rsidRPr="000D40FE">
        <w:rPr>
          <w:rFonts w:ascii="Palatino Linotype" w:hAnsi="Palatino Linotype" w:cs="Arial"/>
          <w:b/>
        </w:rPr>
        <w:t xml:space="preserve"> </w:t>
      </w:r>
      <w:r>
        <w:rPr>
          <w:rFonts w:ascii="Palatino Linotype" w:hAnsi="Palatino Linotype" w:cs="Arial"/>
        </w:rPr>
        <w:t xml:space="preserve">al Sujeto Obligado, atienda la solicitud de información número </w:t>
      </w:r>
      <w:r>
        <w:rPr>
          <w:rFonts w:ascii="Palatino Linotype" w:hAnsi="Palatino Linotype"/>
          <w:bCs/>
        </w:rPr>
        <w:t>00049/TENAAIR/IP/2018</w:t>
      </w:r>
      <w:r>
        <w:rPr>
          <w:rFonts w:ascii="Palatino Linotype" w:hAnsi="Palatino Linotype" w:cs="Arial"/>
        </w:rPr>
        <w:t xml:space="preserve">, </w:t>
      </w:r>
      <w:r w:rsidR="00B21885">
        <w:rPr>
          <w:rFonts w:ascii="Palatino Linotype" w:hAnsi="Palatino Linotype"/>
          <w:color w:val="222222"/>
        </w:rPr>
        <w:t>que en términos de los Considerandos Cuarto y Quinto de esta resolución, haga entrega vía SAIMEX, de ser procedente en versión pública, al mayor grado de desagregación posible, lo siguiente:</w:t>
      </w:r>
    </w:p>
    <w:p w14:paraId="141EA1E9" w14:textId="77777777" w:rsidR="00DD0E7C" w:rsidRPr="000520E0" w:rsidRDefault="00DD0E7C" w:rsidP="00DD0E7C">
      <w:pPr>
        <w:spacing w:after="240" w:line="360" w:lineRule="auto"/>
        <w:jc w:val="both"/>
        <w:rPr>
          <w:rFonts w:ascii="Palatino Linotype" w:hAnsi="Palatino Linotype" w:cs="Arial"/>
          <w:bCs/>
          <w:shd w:val="clear" w:color="auto" w:fill="FFFFFF"/>
        </w:rPr>
      </w:pPr>
      <w:r>
        <w:rPr>
          <w:rFonts w:ascii="Palatino Linotype" w:hAnsi="Palatino Linotype" w:cs="Arial"/>
          <w:bCs/>
          <w:shd w:val="clear" w:color="auto" w:fill="FFFFFF"/>
        </w:rPr>
        <w:t>Del periodo del uno de enero de dos mil trece al trece de noviembre de dos mil dieciocho:</w:t>
      </w:r>
    </w:p>
    <w:p w14:paraId="7636303F"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bCs/>
          <w:shd w:val="clear" w:color="auto" w:fill="FFFFFF"/>
        </w:rPr>
        <w:t>Documento o documentos en donde conste el importe por concepto de alumbrado público facturado por la CFE.</w:t>
      </w:r>
    </w:p>
    <w:p w14:paraId="17E5E177"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rPr>
        <w:t>Soporte documental en donde conste la partida (s) presupuestal (es)  y monto (s) erogado (s) y pagado (s) para cubrir las facturas por concepto de consumo de energía eléctrica y el mantenimiento del sistema de alumbrado público.</w:t>
      </w:r>
    </w:p>
    <w:p w14:paraId="69076061"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rPr>
        <w:t>Documento o documentos en donde conste el número de luminarias sustituidas, arregladas o transformadas así como sus características y lugar de ubicación, derivado del mantenimiento preventivo o correctivo del sistema de alumbrado público.</w:t>
      </w:r>
    </w:p>
    <w:p w14:paraId="5B095462"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bCs/>
          <w:shd w:val="clear" w:color="auto" w:fill="FFFFFF"/>
        </w:rPr>
        <w:t xml:space="preserve">En el supuesto de haberse realizado proyectos de electrificación para ampliar el sistema de alumbrado público, el documento o documentos en </w:t>
      </w:r>
      <w:r w:rsidRPr="00B917B0">
        <w:rPr>
          <w:rFonts w:ascii="Palatino Linotype" w:hAnsi="Palatino Linotype" w:cs="Arial"/>
          <w:b/>
          <w:bCs/>
          <w:shd w:val="clear" w:color="auto" w:fill="FFFFFF"/>
        </w:rPr>
        <w:lastRenderedPageBreak/>
        <w:t>donde conste: el monto total de la inversión, tipo o fuente de financiamiento, cantidad de equipos colocados y/o sustituidos, tipo de equipos, ubicación, fecha de inicio y término de la obra así como la fecha de modificación de nuevo consumo en el sistema de facturación de alumbrado público, el medio de publicación de los proyectos y de ser posible la capacidad instalada.</w:t>
      </w:r>
    </w:p>
    <w:p w14:paraId="0FF72A11"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bCs/>
          <w:shd w:val="clear" w:color="auto" w:fill="FFFFFF"/>
        </w:rPr>
        <w:t>En el supuesto de haberse realizado proyectos de modernización de alumbrado público, el documento o documentos en donde conste: el monto total de la inversión, tipo o fuente de financiamiento, cantidad de equipos colocados y/o sustituidos, tipo de equipos, ubicación, fecha de inicio y término de la obra, la fecha de modificación de nuevo consumo en el sistema de facturación de alumbrado público, tipo de contrato celebrado, número y nombre de empresas concursantes o convocadas, criterios de selección utilizados por el comité de adquisiciones para elegir a la empresa contratada, el acta de cabildo en la que se autoriza el proyecto y de ser posible la capacidad instalada y georreferenciación de cada uno de los puntos de luz del nuevo alumbrado.</w:t>
      </w:r>
    </w:p>
    <w:p w14:paraId="18158853"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bCs/>
          <w:shd w:val="clear" w:color="auto" w:fill="FFFFFF"/>
        </w:rPr>
        <w:t>Documento o documentos donde se desprenda el número de solicitudes para ampliar el sistema de alumbrado público mediante proyectos de electrificación, así como las atendidas y concluidas.</w:t>
      </w:r>
    </w:p>
    <w:p w14:paraId="0D1B89D5"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bCs/>
          <w:shd w:val="clear" w:color="auto" w:fill="FFFFFF"/>
        </w:rPr>
        <w:t>Convenio (s) para recaudar el Derecho de Alumbrado Público celebrado con la Comisión Federal de Electricidad.</w:t>
      </w:r>
    </w:p>
    <w:p w14:paraId="74837443"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bCs/>
          <w:shd w:val="clear" w:color="auto" w:fill="FFFFFF"/>
        </w:rPr>
        <w:lastRenderedPageBreak/>
        <w:t>Soporte documental que contenga el (los)  monto (s) recaudado (s) por la CFE por concepto de DAP a favor del Sujeto Obligado.</w:t>
      </w:r>
    </w:p>
    <w:p w14:paraId="72101DE8"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bCs/>
          <w:shd w:val="clear" w:color="auto" w:fill="FFFFFF"/>
        </w:rPr>
        <w:t>Documento o documentos donde conste el número de juicios y/o controversias promovidos por particulares, por el cobro del Derecho de Alumbrado Público, que en su caso contenga el sentido de la resolución.</w:t>
      </w:r>
    </w:p>
    <w:p w14:paraId="6F5838F3" w14:textId="77777777" w:rsidR="00DD0E7C" w:rsidRPr="00DD0E7C" w:rsidRDefault="00DD0E7C" w:rsidP="00DD0E7C">
      <w:pPr>
        <w:spacing w:after="240" w:line="360" w:lineRule="auto"/>
        <w:jc w:val="both"/>
        <w:rPr>
          <w:rFonts w:ascii="Palatino Linotype" w:hAnsi="Palatino Linotype" w:cs="Arial"/>
          <w:bCs/>
          <w:shd w:val="clear" w:color="auto" w:fill="FFFFFF"/>
        </w:rPr>
      </w:pPr>
      <w:r w:rsidRPr="00DD0E7C">
        <w:rPr>
          <w:rFonts w:ascii="Palatino Linotype" w:hAnsi="Palatino Linotype" w:cs="Arial"/>
          <w:bCs/>
          <w:shd w:val="clear" w:color="auto" w:fill="FFFFFF"/>
        </w:rPr>
        <w:t xml:space="preserve">De los ejercicios 2016, 2017 o el más actualizado al 2018 </w:t>
      </w:r>
    </w:p>
    <w:p w14:paraId="268DC33B"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bCs/>
          <w:shd w:val="clear" w:color="auto" w:fill="FFFFFF"/>
        </w:rPr>
        <w:t>Censo o el documento análogo donde conste el número de luminarias y balastros en el municipio que contenga las instaladas en avenidas principales, así como sus características y lugares de ubicación.</w:t>
      </w:r>
    </w:p>
    <w:p w14:paraId="27877924"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bCs/>
          <w:shd w:val="clear" w:color="auto" w:fill="FFFFFF"/>
        </w:rPr>
        <w:t>Soporte documental de donde se advierta el</w:t>
      </w:r>
      <w:r w:rsidRPr="00B917B0">
        <w:rPr>
          <w:rFonts w:ascii="Palatino Linotype" w:hAnsi="Palatino Linotype"/>
          <w:b/>
        </w:rPr>
        <w:t xml:space="preserve"> Registro Móvil de Usuario (RMU) asignado al servicio de alumbrado público.</w:t>
      </w:r>
    </w:p>
    <w:p w14:paraId="133F113A"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bCs/>
          <w:shd w:val="clear" w:color="auto" w:fill="FFFFFF"/>
        </w:rPr>
        <w:t>Documento en donde conste el monto y fecha del adeudo por concepto de consumo de energía eléctrica en el alumbrado público, actualizado al trece de noviembre de dos mil dieciocho.</w:t>
      </w:r>
    </w:p>
    <w:p w14:paraId="7584ABEB"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bCs/>
          <w:shd w:val="clear" w:color="auto" w:fill="FFFFFF"/>
        </w:rPr>
        <w:t>El (los) último (s) Contrato (s) celebrado (s) con la Comisión Federal de Electricidad por concepto de suministro de energía eléctrica a la fecha de la solicitud.</w:t>
      </w:r>
    </w:p>
    <w:p w14:paraId="7DC44C01"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bCs/>
          <w:shd w:val="clear" w:color="auto" w:fill="FFFFFF"/>
        </w:rPr>
        <w:t>El último convenio denominado “Peso por Peso”, celebrado con la Comisión Federal de Electricidad, a la fecha de la solicitud.</w:t>
      </w:r>
    </w:p>
    <w:p w14:paraId="6EA4C975" w14:textId="77777777" w:rsidR="00DD0E7C" w:rsidRPr="00B917B0" w:rsidRDefault="00DD0E7C" w:rsidP="00DD0E7C">
      <w:pPr>
        <w:pStyle w:val="Prrafodelista"/>
        <w:numPr>
          <w:ilvl w:val="0"/>
          <w:numId w:val="37"/>
        </w:numPr>
        <w:spacing w:after="240" w:line="360" w:lineRule="auto"/>
        <w:jc w:val="both"/>
        <w:rPr>
          <w:rFonts w:ascii="Palatino Linotype" w:hAnsi="Palatino Linotype" w:cs="Arial"/>
          <w:b/>
          <w:bCs/>
          <w:shd w:val="clear" w:color="auto" w:fill="FFFFFF"/>
        </w:rPr>
      </w:pPr>
      <w:r w:rsidRPr="00B917B0">
        <w:rPr>
          <w:rFonts w:ascii="Palatino Linotype" w:hAnsi="Palatino Linotype" w:cs="Arial"/>
          <w:b/>
          <w:bCs/>
          <w:shd w:val="clear" w:color="auto" w:fill="FFFFFF"/>
        </w:rPr>
        <w:lastRenderedPageBreak/>
        <w:t xml:space="preserve">Normatividad vigente al trece de noviembre dos mil dieciocho, </w:t>
      </w:r>
      <w:r w:rsidRPr="00B917B0">
        <w:rPr>
          <w:rFonts w:ascii="Palatino Linotype" w:hAnsi="Palatino Linotype"/>
          <w:b/>
        </w:rPr>
        <w:t>para operar y proporcionar el servicio de alumbrado público.</w:t>
      </w:r>
    </w:p>
    <w:p w14:paraId="69C0BA63" w14:textId="77777777" w:rsidR="00B21885" w:rsidRPr="00B21885" w:rsidRDefault="00B21885" w:rsidP="00B21885">
      <w:pPr>
        <w:shd w:val="clear" w:color="auto" w:fill="FFFFFF"/>
        <w:spacing w:before="240" w:after="240"/>
        <w:jc w:val="both"/>
        <w:rPr>
          <w:i/>
          <w:color w:val="222222"/>
          <w:sz w:val="20"/>
          <w:szCs w:val="20"/>
        </w:rPr>
      </w:pPr>
      <w:r w:rsidRPr="00B21885">
        <w:rPr>
          <w:rFonts w:ascii="Palatino Linotype" w:hAnsi="Palatino Linotype"/>
          <w:i/>
          <w:color w:val="222222"/>
          <w:sz w:val="20"/>
          <w:szCs w:val="20"/>
        </w:rPr>
        <w:t>Para la entrega de la información en versión pública, </w:t>
      </w:r>
      <w:r w:rsidRPr="00B21885">
        <w:rPr>
          <w:rFonts w:ascii="Palatino Linotype" w:hAnsi="Palatino Linotype"/>
          <w:i/>
          <w:color w:val="000000"/>
          <w:sz w:val="20"/>
          <w:szCs w:val="20"/>
        </w:rPr>
        <w:t>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del particular.</w:t>
      </w:r>
    </w:p>
    <w:p w14:paraId="29B5780B" w14:textId="15399E47" w:rsidR="00B21885" w:rsidRPr="00B21885" w:rsidRDefault="00B21885" w:rsidP="00B21885">
      <w:pPr>
        <w:shd w:val="clear" w:color="auto" w:fill="FFFFFF"/>
        <w:spacing w:before="240" w:after="240"/>
        <w:jc w:val="both"/>
        <w:rPr>
          <w:i/>
          <w:color w:val="222222"/>
          <w:sz w:val="20"/>
          <w:szCs w:val="20"/>
        </w:rPr>
      </w:pPr>
      <w:r w:rsidRPr="00B21885">
        <w:rPr>
          <w:rFonts w:ascii="Palatino Linotype" w:hAnsi="Palatino Linotype"/>
          <w:i/>
          <w:color w:val="222222"/>
          <w:sz w:val="20"/>
          <w:szCs w:val="20"/>
        </w:rPr>
        <w:t xml:space="preserve">Para el caso, que la información que se ordena en los numerales </w:t>
      </w:r>
      <w:r w:rsidR="00B917B0" w:rsidRPr="00B917B0">
        <w:rPr>
          <w:rFonts w:ascii="Palatino Linotype" w:hAnsi="Palatino Linotype"/>
          <w:i/>
          <w:sz w:val="20"/>
          <w:szCs w:val="20"/>
        </w:rPr>
        <w:t>4, 5, 6,</w:t>
      </w:r>
      <w:r w:rsidR="00B917B0">
        <w:rPr>
          <w:rFonts w:ascii="Palatino Linotype" w:hAnsi="Palatino Linotype"/>
          <w:i/>
          <w:sz w:val="20"/>
          <w:szCs w:val="20"/>
        </w:rPr>
        <w:t xml:space="preserve"> 7, 8, </w:t>
      </w:r>
      <w:r w:rsidR="00B917B0" w:rsidRPr="00B917B0">
        <w:rPr>
          <w:rFonts w:ascii="Palatino Linotype" w:hAnsi="Palatino Linotype"/>
          <w:i/>
          <w:sz w:val="20"/>
          <w:szCs w:val="20"/>
        </w:rPr>
        <w:t xml:space="preserve"> 9, 12 y</w:t>
      </w:r>
      <w:r w:rsidR="00B917B0">
        <w:rPr>
          <w:rFonts w:ascii="Palatino Linotype" w:hAnsi="Palatino Linotype"/>
          <w:i/>
          <w:sz w:val="20"/>
          <w:szCs w:val="20"/>
        </w:rPr>
        <w:t xml:space="preserve"> </w:t>
      </w:r>
      <w:r w:rsidR="00B917B0" w:rsidRPr="00B917B0">
        <w:rPr>
          <w:rFonts w:ascii="Palatino Linotype" w:hAnsi="Palatino Linotype"/>
          <w:i/>
          <w:sz w:val="20"/>
          <w:szCs w:val="20"/>
        </w:rPr>
        <w:t>14</w:t>
      </w:r>
      <w:r w:rsidR="00B917B0">
        <w:rPr>
          <w:rFonts w:ascii="Palatino Linotype" w:hAnsi="Palatino Linotype"/>
        </w:rPr>
        <w:t xml:space="preserve"> </w:t>
      </w:r>
      <w:r w:rsidR="00B917B0" w:rsidRPr="000520E0">
        <w:rPr>
          <w:rFonts w:ascii="Palatino Linotype" w:hAnsi="Palatino Linotype"/>
        </w:rPr>
        <w:t xml:space="preserve"> </w:t>
      </w:r>
      <w:r w:rsidRPr="00B21885">
        <w:rPr>
          <w:rFonts w:ascii="Palatino Linotype" w:hAnsi="Palatino Linotype"/>
          <w:i/>
          <w:color w:val="222222"/>
          <w:sz w:val="20"/>
          <w:szCs w:val="20"/>
        </w:rPr>
        <w:t>no se haya generado o se encuentre en posesión del Sujeto Obligado bastará con que lo haga del conocimiento de la particular.</w:t>
      </w:r>
    </w:p>
    <w:p w14:paraId="243E9481" w14:textId="77777777" w:rsidR="001E5B31" w:rsidRPr="00597AB5" w:rsidRDefault="001E5B31" w:rsidP="001E5B31">
      <w:pPr>
        <w:tabs>
          <w:tab w:val="left" w:pos="8080"/>
        </w:tabs>
        <w:autoSpaceDE w:val="0"/>
        <w:autoSpaceDN w:val="0"/>
        <w:adjustRightInd w:val="0"/>
        <w:spacing w:before="240" w:after="360" w:line="360" w:lineRule="auto"/>
        <w:jc w:val="both"/>
        <w:rPr>
          <w:rFonts w:ascii="Palatino Linotype" w:hAnsi="Palatino Linotype" w:cs="Arial"/>
          <w:i/>
          <w:sz w:val="20"/>
          <w:szCs w:val="20"/>
        </w:rPr>
      </w:pPr>
      <w:r w:rsidRPr="00597AB5">
        <w:rPr>
          <w:rFonts w:ascii="Palatino Linotype" w:hAnsi="Palatino Linotype" w:cs="Arial"/>
          <w:b/>
          <w:sz w:val="28"/>
          <w:szCs w:val="28"/>
          <w:lang w:val="es-MX" w:eastAsia="es-MX"/>
        </w:rPr>
        <w:t xml:space="preserve">TERCERO. </w:t>
      </w:r>
      <w:r w:rsidRPr="00597AB5">
        <w:rPr>
          <w:rFonts w:ascii="Palatino Linotype" w:hAnsi="Palatino Linotype" w:cs="Arial"/>
          <w:b/>
          <w:lang w:val="es-MX" w:eastAsia="es-MX"/>
        </w:rPr>
        <w:t>Notifíquese,</w:t>
      </w:r>
      <w:r w:rsidRPr="00597AB5">
        <w:rPr>
          <w:rFonts w:ascii="Palatino Linotype" w:hAnsi="Palatino Linotype" w:cs="Arial"/>
          <w:b/>
          <w:sz w:val="28"/>
          <w:szCs w:val="28"/>
          <w:lang w:val="es-MX" w:eastAsia="es-MX"/>
        </w:rPr>
        <w:t xml:space="preserve"> </w:t>
      </w:r>
      <w:r w:rsidRPr="00597AB5">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FD3EA3D" w14:textId="191D30AC" w:rsidR="001E5B31" w:rsidRDefault="001E5B31" w:rsidP="001E5B31">
      <w:pPr>
        <w:autoSpaceDE w:val="0"/>
        <w:autoSpaceDN w:val="0"/>
        <w:adjustRightInd w:val="0"/>
        <w:spacing w:before="240" w:after="240" w:line="360" w:lineRule="auto"/>
        <w:jc w:val="both"/>
        <w:rPr>
          <w:rFonts w:ascii="Palatino Linotype" w:hAnsi="Palatino Linotype"/>
          <w:shd w:val="clear" w:color="auto" w:fill="FFFFFF"/>
        </w:rPr>
      </w:pPr>
      <w:r w:rsidRPr="00DD0FEA">
        <w:rPr>
          <w:rFonts w:ascii="Palatino Linotype" w:hAnsi="Palatino Linotype" w:cs="Arial"/>
          <w:b/>
          <w:sz w:val="28"/>
          <w:szCs w:val="28"/>
          <w:lang w:val="es-MX" w:eastAsia="es-MX"/>
        </w:rPr>
        <w:t xml:space="preserve">CUARTO. </w:t>
      </w:r>
      <w:r w:rsidRPr="00DD0FEA">
        <w:rPr>
          <w:rFonts w:ascii="Palatino Linotype" w:hAnsi="Palatino Linotype" w:cs="Arial"/>
          <w:b/>
          <w:lang w:val="es-MX" w:eastAsia="es-MX"/>
        </w:rPr>
        <w:t>Notifíquese</w:t>
      </w:r>
      <w:r>
        <w:rPr>
          <w:rFonts w:ascii="Palatino Linotype" w:hAnsi="Palatino Linotype" w:cs="Arial"/>
          <w:b/>
          <w:lang w:val="es-MX" w:eastAsia="es-MX"/>
        </w:rPr>
        <w:t>,</w:t>
      </w:r>
      <w:r w:rsidRPr="00DD0FEA">
        <w:rPr>
          <w:rFonts w:ascii="Palatino Linotype" w:hAnsi="Palatino Linotype" w:cs="Arial"/>
          <w:b/>
          <w:lang w:val="es-MX" w:eastAsia="es-MX"/>
        </w:rPr>
        <w:t xml:space="preserve"> </w:t>
      </w:r>
      <w:r w:rsidRPr="00DD0FEA">
        <w:rPr>
          <w:rFonts w:ascii="Palatino Linotype" w:hAnsi="Palatino Linotype" w:cs="Arial"/>
          <w:lang w:val="es-MX" w:eastAsia="es-MX"/>
        </w:rPr>
        <w:t>a</w:t>
      </w:r>
      <w:r w:rsidR="008E5A81">
        <w:rPr>
          <w:rFonts w:ascii="Palatino Linotype" w:hAnsi="Palatino Linotype" w:cs="Arial"/>
          <w:lang w:val="es-MX" w:eastAsia="es-MX"/>
        </w:rPr>
        <w:t xml:space="preserve"> </w:t>
      </w:r>
      <w:r w:rsidRPr="00DD0FEA">
        <w:rPr>
          <w:rFonts w:ascii="Palatino Linotype" w:hAnsi="Palatino Linotype" w:cs="Arial"/>
          <w:lang w:val="es-MX" w:eastAsia="es-MX"/>
        </w:rPr>
        <w:t>l</w:t>
      </w:r>
      <w:r w:rsidR="008E5A81">
        <w:rPr>
          <w:rFonts w:ascii="Palatino Linotype" w:hAnsi="Palatino Linotype" w:cs="Arial"/>
          <w:lang w:val="es-MX" w:eastAsia="es-MX"/>
        </w:rPr>
        <w:t>a</w:t>
      </w:r>
      <w:r>
        <w:rPr>
          <w:rFonts w:ascii="Palatino Linotype" w:hAnsi="Palatino Linotype" w:cs="Arial"/>
          <w:lang w:val="es-MX" w:eastAsia="es-MX"/>
        </w:rPr>
        <w:t xml:space="preserve"> </w:t>
      </w:r>
      <w:r w:rsidRPr="00DD0FEA">
        <w:rPr>
          <w:rFonts w:ascii="Palatino Linotype" w:hAnsi="Palatino Linotype" w:cs="Arial"/>
          <w:lang w:val="es-MX" w:eastAsia="es-MX"/>
        </w:rPr>
        <w:t>recurrente</w:t>
      </w:r>
      <w:r w:rsidRPr="00E44638">
        <w:rPr>
          <w:rFonts w:ascii="Palatino Linotype" w:hAnsi="Palatino Linotype" w:cs="Arial"/>
          <w:lang w:val="es-MX" w:eastAsia="es-MX"/>
        </w:rPr>
        <w:t xml:space="preserve">, </w:t>
      </w:r>
      <w:r>
        <w:rPr>
          <w:rFonts w:ascii="Palatino Linotype" w:hAnsi="Palatino Linotype"/>
          <w:shd w:val="clear" w:color="auto" w:fill="FFFFFF"/>
        </w:rPr>
        <w:t xml:space="preserve">la presente resolución; y </w:t>
      </w:r>
      <w:r w:rsidRPr="00E44638">
        <w:rPr>
          <w:rFonts w:ascii="Palatino Linotype" w:hAnsi="Palatino Linotype"/>
          <w:shd w:val="clear" w:color="auto" w:fill="FFFFFF"/>
        </w:rPr>
        <w:t>que de conformidad con lo establecido en el artículo 196 de la Ley de Transparencia y Acceso a la Información Pública del Estado de México y Municipios, podrá impugnarla vía Juicio de Amparo en los términos de las leyes aplicables.</w:t>
      </w:r>
    </w:p>
    <w:p w14:paraId="4FCDE3AD" w14:textId="77777777" w:rsidR="001E5B31" w:rsidRPr="00942581" w:rsidRDefault="001E5B31" w:rsidP="001E5B31">
      <w:pPr>
        <w:spacing w:before="240" w:after="240" w:line="360" w:lineRule="auto"/>
        <w:jc w:val="both"/>
        <w:rPr>
          <w:rFonts w:ascii="Palatino Linotype" w:hAnsi="Palatino Linotype" w:cs="Arial"/>
        </w:rPr>
      </w:pPr>
      <w:r>
        <w:rPr>
          <w:rFonts w:ascii="Palatino Linotype" w:hAnsi="Palatino Linotype" w:cs="Arial"/>
          <w:b/>
          <w:sz w:val="28"/>
          <w:szCs w:val="28"/>
        </w:rPr>
        <w:t>QUINTO</w:t>
      </w:r>
      <w:r w:rsidRPr="00942581">
        <w:rPr>
          <w:rFonts w:ascii="Palatino Linotype" w:hAnsi="Palatino Linotype" w:cs="Arial"/>
          <w:b/>
          <w:sz w:val="28"/>
          <w:szCs w:val="28"/>
        </w:rPr>
        <w:t xml:space="preserve">. </w:t>
      </w:r>
      <w:r w:rsidRPr="00942581">
        <w:rPr>
          <w:rFonts w:ascii="Palatino Linotype" w:hAnsi="Palatino Linotype" w:cs="Arial"/>
          <w:b/>
          <w:lang w:val="es-ES_tradnl"/>
        </w:rPr>
        <w:t>Gírese</w:t>
      </w:r>
      <w:r w:rsidRPr="00942581">
        <w:rPr>
          <w:rFonts w:ascii="Palatino Linotype" w:hAnsi="Palatino Linotype" w:cs="Arial"/>
          <w:lang w:val="es-ES_tradnl"/>
        </w:rPr>
        <w:t xml:space="preserve"> oficio al </w:t>
      </w:r>
      <w:r w:rsidRPr="00942581">
        <w:rPr>
          <w:rFonts w:ascii="Palatino Linotype" w:hAnsi="Palatino Linotype" w:cs="Arial"/>
        </w:rPr>
        <w:t>Órgano de Control Interno de la instancia competente para que éste inicie, en su caso, el procedimiento de responsabilidad respectivo, cuyo resultado deberá ser informado a este Instituto en términos de la Ley de Transparencia y Acceso a la Información Pública del Estado de México y Municipios.</w:t>
      </w:r>
    </w:p>
    <w:p w14:paraId="28A4428F" w14:textId="77777777" w:rsidR="001E5B31" w:rsidRPr="00ED6743" w:rsidRDefault="001E5B31" w:rsidP="001E5B31"/>
    <w:p w14:paraId="69943085" w14:textId="42CB2E6A" w:rsidR="003B3431" w:rsidRPr="0040233B" w:rsidRDefault="003B3431" w:rsidP="003B3431">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rPr>
        <w:lastRenderedPageBreak/>
        <w:t>ASÍ LO RESUELVE, POR UNANIMIDAD DE VOTOS EL PLENO DEL</w:t>
      </w:r>
      <w:r w:rsidRPr="0040233B">
        <w:rPr>
          <w:rFonts w:ascii="Palatino Linotype" w:eastAsia="Arial Unicode MS" w:hAnsi="Palatino Linotype" w:cs="Arial"/>
        </w:rPr>
        <w:t xml:space="preserve"> INSTITUTO DE TRANSPARENCIA, ACCESO A LA INFORMACIÓN PÚBLICA Y PROTECCIÓN DE DATOS PERSONALES DEL ESTADO DE MÉXICO Y MUNICIPIOS</w:t>
      </w:r>
      <w:r w:rsidRPr="0040233B">
        <w:rPr>
          <w:rFonts w:ascii="Palatino Linotype" w:hAnsi="Palatino Linotype" w:cs="Arial"/>
        </w:rPr>
        <w:t>, CONFORMADO POR LOS COMISIONADOS ZULEMA MARTÍNEZ SÁNCHEZ</w:t>
      </w:r>
      <w:r>
        <w:rPr>
          <w:rFonts w:ascii="Palatino Linotype" w:hAnsi="Palatino Linotype" w:cs="Arial"/>
        </w:rPr>
        <w:t>,</w:t>
      </w:r>
      <w:r w:rsidRPr="0040233B">
        <w:rPr>
          <w:rFonts w:ascii="Palatino Linotype" w:hAnsi="Palatino Linotype" w:cs="Arial"/>
        </w:rPr>
        <w:t xml:space="preserve"> EVA ABAID YAPUR</w:t>
      </w:r>
      <w:r>
        <w:rPr>
          <w:rFonts w:ascii="Palatino Linotype" w:hAnsi="Palatino Linotype" w:cs="Arial"/>
        </w:rPr>
        <w:t>,</w:t>
      </w:r>
      <w:r w:rsidRPr="0040233B">
        <w:rPr>
          <w:rFonts w:ascii="Palatino Linotype" w:hAnsi="Palatino Linotype" w:cs="Arial"/>
        </w:rPr>
        <w:t xml:space="preserve"> JOSÉ GUADALUPE LUNA HERNÁNDEZ</w:t>
      </w:r>
      <w:r w:rsidR="008F49F7">
        <w:rPr>
          <w:rFonts w:ascii="Palatino Linotype" w:hAnsi="Palatino Linotype" w:cs="Arial"/>
        </w:rPr>
        <w:t xml:space="preserve"> CON VOTO PARTICULAR</w:t>
      </w:r>
      <w:r w:rsidR="00862234">
        <w:rPr>
          <w:rFonts w:ascii="Palatino Linotype" w:hAnsi="Palatino Linotype" w:cs="Arial"/>
        </w:rPr>
        <w:t xml:space="preserve">; </w:t>
      </w:r>
      <w:r w:rsidRPr="0040233B">
        <w:rPr>
          <w:rFonts w:ascii="Palatino Linotype" w:hAnsi="Palatino Linotype" w:cs="Arial"/>
        </w:rPr>
        <w:t>JAVIER MARTÍNEZ CRUZ</w:t>
      </w:r>
      <w:r w:rsidR="00862234">
        <w:rPr>
          <w:rFonts w:ascii="Palatino Linotype" w:hAnsi="Palatino Linotype" w:cs="Arial"/>
        </w:rPr>
        <w:t xml:space="preserve"> Y LUIS GUSTAVO PARRA NORIEGA CON </w:t>
      </w:r>
      <w:r w:rsidR="008F49F7">
        <w:rPr>
          <w:rFonts w:ascii="Palatino Linotype" w:hAnsi="Palatino Linotype" w:cs="Arial"/>
        </w:rPr>
        <w:t>AUSENCIA JUSTIFICADA</w:t>
      </w:r>
      <w:r w:rsidRPr="0040233B">
        <w:rPr>
          <w:rFonts w:ascii="Palatino Linotype" w:hAnsi="Palatino Linotype" w:cs="Arial"/>
        </w:rPr>
        <w:t xml:space="preserve">; EN LA </w:t>
      </w:r>
      <w:r w:rsidR="008F49F7">
        <w:rPr>
          <w:rFonts w:ascii="Palatino Linotype" w:hAnsi="Palatino Linotype" w:cs="Arial"/>
        </w:rPr>
        <w:t>SÉPTIMA</w:t>
      </w:r>
      <w:r w:rsidRPr="0040233B">
        <w:rPr>
          <w:rFonts w:ascii="Palatino Linotype" w:hAnsi="Palatino Linotype" w:cs="Arial"/>
        </w:rPr>
        <w:t xml:space="preserve"> SESIÓN ORDINARIA CELEBRADA EL </w:t>
      </w:r>
      <w:r w:rsidR="008F49F7">
        <w:rPr>
          <w:rFonts w:ascii="Palatino Linotype" w:hAnsi="Palatino Linotype" w:cs="Arial"/>
        </w:rPr>
        <w:t>VEINTE DE FEBRERO</w:t>
      </w:r>
      <w:r w:rsidRPr="0040233B">
        <w:rPr>
          <w:rFonts w:ascii="Palatino Linotype" w:hAnsi="Palatino Linotype" w:cs="Arial"/>
        </w:rPr>
        <w:t xml:space="preserve"> DEL DOS MIL DIECI</w:t>
      </w:r>
      <w:r w:rsidR="00862234">
        <w:rPr>
          <w:rFonts w:ascii="Palatino Linotype" w:hAnsi="Palatino Linotype" w:cs="Arial"/>
        </w:rPr>
        <w:t>NUEVE</w:t>
      </w:r>
      <w:r w:rsidRPr="0040233B">
        <w:rPr>
          <w:rFonts w:ascii="Palatino Linotype" w:hAnsi="Palatino Linotype" w:cs="Arial"/>
        </w:rPr>
        <w:t xml:space="preserve">, ANTE </w:t>
      </w:r>
      <w:r w:rsidR="00A940E3">
        <w:rPr>
          <w:rFonts w:ascii="Palatino Linotype" w:hAnsi="Palatino Linotype" w:cs="Arial"/>
        </w:rPr>
        <w:t>EL</w:t>
      </w:r>
      <w:r w:rsidRPr="0040233B">
        <w:rPr>
          <w:rFonts w:ascii="Palatino Linotype" w:hAnsi="Palatino Linotype" w:cs="Arial"/>
        </w:rPr>
        <w:t xml:space="preserve"> SECRETARI</w:t>
      </w:r>
      <w:r w:rsidR="00A940E3">
        <w:rPr>
          <w:rFonts w:ascii="Palatino Linotype" w:hAnsi="Palatino Linotype" w:cs="Arial"/>
        </w:rPr>
        <w:t>O</w:t>
      </w:r>
      <w:r w:rsidRPr="0040233B">
        <w:rPr>
          <w:rFonts w:ascii="Palatino Linotype" w:hAnsi="Palatino Linotype" w:cs="Arial"/>
        </w:rPr>
        <w:t xml:space="preserve"> TÉCNIC</w:t>
      </w:r>
      <w:r w:rsidR="00A940E3">
        <w:rPr>
          <w:rFonts w:ascii="Palatino Linotype" w:hAnsi="Palatino Linotype" w:cs="Arial"/>
        </w:rPr>
        <w:t>O</w:t>
      </w:r>
      <w:r w:rsidRPr="0040233B">
        <w:rPr>
          <w:rFonts w:ascii="Palatino Linotype" w:hAnsi="Palatino Linotype" w:cs="Arial"/>
        </w:rPr>
        <w:t xml:space="preserve"> DEL PLENO, </w:t>
      </w:r>
      <w:r w:rsidR="00A940E3">
        <w:rPr>
          <w:rFonts w:ascii="Palatino Linotype" w:hAnsi="Palatino Linotype" w:cs="Arial"/>
        </w:rPr>
        <w:t>ALEXIS TAPIA RAMÍREZ</w:t>
      </w:r>
      <w:r w:rsidRPr="0040233B">
        <w:rPr>
          <w:rFonts w:ascii="Palatino Linotype" w:hAnsi="Palatino Linotype" w:cs="Arial"/>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3B3431" w:rsidRPr="0040233B" w14:paraId="31BDDE05" w14:textId="77777777" w:rsidTr="006606B2">
        <w:trPr>
          <w:trHeight w:val="793"/>
          <w:jc w:val="center"/>
        </w:trPr>
        <w:tc>
          <w:tcPr>
            <w:tcW w:w="8472" w:type="dxa"/>
          </w:tcPr>
          <w:tbl>
            <w:tblPr>
              <w:tblStyle w:val="Tablaconcuadrcula"/>
              <w:tblW w:w="8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4477"/>
            </w:tblGrid>
            <w:tr w:rsidR="003B3431" w:rsidRPr="00B6174A" w14:paraId="25C4DB85" w14:textId="77777777" w:rsidTr="00862234">
              <w:trPr>
                <w:trHeight w:val="793"/>
                <w:jc w:val="center"/>
              </w:trPr>
              <w:tc>
                <w:tcPr>
                  <w:tcW w:w="8256" w:type="dxa"/>
                  <w:gridSpan w:val="2"/>
                  <w:vAlign w:val="center"/>
                </w:tcPr>
                <w:p w14:paraId="75164C88" w14:textId="77777777" w:rsidR="003B3431" w:rsidRPr="00B6174A" w:rsidRDefault="003B3431" w:rsidP="006606B2">
                  <w:pPr>
                    <w:jc w:val="center"/>
                    <w:rPr>
                      <w:rFonts w:ascii="Palatino Linotype" w:hAnsi="Palatino Linotype" w:cs="Arial"/>
                    </w:rPr>
                  </w:pPr>
                  <w:r w:rsidRPr="00B6174A">
                    <w:rPr>
                      <w:rFonts w:ascii="Palatino Linotype" w:hAnsi="Palatino Linotype" w:cs="Arial"/>
                    </w:rPr>
                    <w:br w:type="page"/>
                  </w:r>
                </w:p>
                <w:p w14:paraId="0464AEB2" w14:textId="77777777" w:rsidR="003B3431" w:rsidRDefault="003B3431" w:rsidP="006606B2">
                  <w:pPr>
                    <w:jc w:val="center"/>
                    <w:rPr>
                      <w:rFonts w:ascii="Palatino Linotype" w:hAnsi="Palatino Linotype" w:cs="Arial"/>
                    </w:rPr>
                  </w:pPr>
                </w:p>
                <w:p w14:paraId="258E8B5A" w14:textId="77777777" w:rsidR="003B3431" w:rsidRDefault="003B3431" w:rsidP="006606B2">
                  <w:pPr>
                    <w:jc w:val="center"/>
                    <w:rPr>
                      <w:rFonts w:ascii="Palatino Linotype" w:hAnsi="Palatino Linotype" w:cs="Arial"/>
                    </w:rPr>
                  </w:pPr>
                </w:p>
                <w:p w14:paraId="48E172E2" w14:textId="77777777" w:rsidR="003B3431" w:rsidRPr="00B6174A" w:rsidRDefault="003B3431" w:rsidP="006606B2">
                  <w:pPr>
                    <w:jc w:val="center"/>
                    <w:rPr>
                      <w:rFonts w:ascii="Palatino Linotype" w:hAnsi="Palatino Linotype" w:cs="Arial"/>
                    </w:rPr>
                  </w:pPr>
                </w:p>
                <w:p w14:paraId="0C012D1C" w14:textId="77777777" w:rsidR="003B3431" w:rsidRPr="00B6174A" w:rsidRDefault="003B3431" w:rsidP="006606B2">
                  <w:pPr>
                    <w:jc w:val="center"/>
                    <w:rPr>
                      <w:rFonts w:ascii="Palatino Linotype" w:hAnsi="Palatino Linotype"/>
                      <w:b/>
                      <w:sz w:val="28"/>
                      <w:szCs w:val="28"/>
                    </w:rPr>
                  </w:pPr>
                  <w:r w:rsidRPr="00B6174A">
                    <w:rPr>
                      <w:rFonts w:ascii="Palatino Linotype" w:hAnsi="Palatino Linotype"/>
                      <w:b/>
                      <w:sz w:val="28"/>
                      <w:szCs w:val="28"/>
                    </w:rPr>
                    <w:t>Zulema Martínez Sánchez</w:t>
                  </w:r>
                </w:p>
                <w:p w14:paraId="242C38F5" w14:textId="77777777" w:rsidR="003B3431" w:rsidRDefault="003B3431" w:rsidP="006606B2">
                  <w:pPr>
                    <w:jc w:val="center"/>
                    <w:rPr>
                      <w:rFonts w:ascii="Palatino Linotype" w:hAnsi="Palatino Linotype"/>
                    </w:rPr>
                  </w:pPr>
                  <w:r w:rsidRPr="00B6174A">
                    <w:rPr>
                      <w:rFonts w:ascii="Palatino Linotype" w:hAnsi="Palatino Linotype"/>
                    </w:rPr>
                    <w:t>Comisionada Presidenta</w:t>
                  </w:r>
                </w:p>
                <w:p w14:paraId="4F91C1CE" w14:textId="77777777" w:rsidR="003B3431" w:rsidRPr="00B6174A" w:rsidRDefault="003B3431" w:rsidP="006606B2">
                  <w:pPr>
                    <w:jc w:val="center"/>
                    <w:rPr>
                      <w:rFonts w:ascii="Palatino Linotype" w:hAnsi="Palatino Linotype"/>
                    </w:rPr>
                  </w:pPr>
                  <w:r>
                    <w:rPr>
                      <w:rFonts w:ascii="Palatino Linotype" w:hAnsi="Palatino Linotype"/>
                    </w:rPr>
                    <w:t>(Rúbrica)</w:t>
                  </w:r>
                </w:p>
              </w:tc>
            </w:tr>
            <w:tr w:rsidR="003B3431" w:rsidRPr="00B6174A" w14:paraId="7335B9FA" w14:textId="77777777" w:rsidTr="00862234">
              <w:trPr>
                <w:trHeight w:val="2063"/>
                <w:jc w:val="center"/>
              </w:trPr>
              <w:tc>
                <w:tcPr>
                  <w:tcW w:w="3779" w:type="dxa"/>
                  <w:vAlign w:val="center"/>
                </w:tcPr>
                <w:p w14:paraId="0C265570" w14:textId="77777777" w:rsidR="003B3431" w:rsidRDefault="003B3431" w:rsidP="006606B2">
                  <w:pPr>
                    <w:jc w:val="center"/>
                    <w:rPr>
                      <w:rFonts w:ascii="Palatino Linotype" w:hAnsi="Palatino Linotype"/>
                      <w:b/>
                      <w:sz w:val="28"/>
                      <w:szCs w:val="28"/>
                    </w:rPr>
                  </w:pPr>
                </w:p>
                <w:p w14:paraId="35A84E2E" w14:textId="77777777" w:rsidR="003B3431" w:rsidRDefault="003B3431" w:rsidP="006606B2">
                  <w:pPr>
                    <w:jc w:val="center"/>
                    <w:rPr>
                      <w:rFonts w:ascii="Palatino Linotype" w:hAnsi="Palatino Linotype"/>
                      <w:b/>
                      <w:sz w:val="28"/>
                      <w:szCs w:val="28"/>
                    </w:rPr>
                  </w:pPr>
                </w:p>
                <w:p w14:paraId="15906774" w14:textId="77777777" w:rsidR="00862234" w:rsidRDefault="00862234" w:rsidP="006606B2">
                  <w:pPr>
                    <w:jc w:val="center"/>
                    <w:rPr>
                      <w:rFonts w:ascii="Palatino Linotype" w:hAnsi="Palatino Linotype"/>
                      <w:b/>
                      <w:sz w:val="28"/>
                      <w:szCs w:val="28"/>
                    </w:rPr>
                  </w:pPr>
                </w:p>
                <w:p w14:paraId="14CBFFCC" w14:textId="77777777" w:rsidR="003B3431" w:rsidRPr="00A940E3" w:rsidRDefault="003B3431" w:rsidP="006606B2">
                  <w:pPr>
                    <w:jc w:val="center"/>
                    <w:rPr>
                      <w:rFonts w:ascii="Palatino Linotype" w:hAnsi="Palatino Linotype"/>
                      <w:b/>
                      <w:sz w:val="12"/>
                      <w:szCs w:val="28"/>
                    </w:rPr>
                  </w:pPr>
                </w:p>
                <w:p w14:paraId="7120FAB7" w14:textId="77777777" w:rsidR="003B3431" w:rsidRPr="00B6174A" w:rsidRDefault="003B3431" w:rsidP="006606B2">
                  <w:pPr>
                    <w:jc w:val="center"/>
                    <w:rPr>
                      <w:rFonts w:ascii="Palatino Linotype" w:hAnsi="Palatino Linotype"/>
                      <w:b/>
                      <w:sz w:val="28"/>
                      <w:szCs w:val="28"/>
                    </w:rPr>
                  </w:pPr>
                  <w:r w:rsidRPr="00B6174A">
                    <w:rPr>
                      <w:rFonts w:ascii="Palatino Linotype" w:hAnsi="Palatino Linotype"/>
                      <w:b/>
                      <w:sz w:val="28"/>
                      <w:szCs w:val="28"/>
                    </w:rPr>
                    <w:t xml:space="preserve">Eva </w:t>
                  </w:r>
                  <w:proofErr w:type="spellStart"/>
                  <w:r w:rsidRPr="00B6174A">
                    <w:rPr>
                      <w:rFonts w:ascii="Palatino Linotype" w:hAnsi="Palatino Linotype"/>
                      <w:b/>
                      <w:sz w:val="28"/>
                      <w:szCs w:val="28"/>
                    </w:rPr>
                    <w:t>Abaid</w:t>
                  </w:r>
                  <w:proofErr w:type="spellEnd"/>
                  <w:r w:rsidRPr="00B6174A">
                    <w:rPr>
                      <w:rFonts w:ascii="Palatino Linotype" w:hAnsi="Palatino Linotype"/>
                      <w:b/>
                      <w:sz w:val="28"/>
                      <w:szCs w:val="28"/>
                    </w:rPr>
                    <w:t xml:space="preserve"> </w:t>
                  </w:r>
                  <w:proofErr w:type="spellStart"/>
                  <w:r w:rsidRPr="00B6174A">
                    <w:rPr>
                      <w:rFonts w:ascii="Palatino Linotype" w:hAnsi="Palatino Linotype"/>
                      <w:b/>
                      <w:sz w:val="28"/>
                      <w:szCs w:val="28"/>
                    </w:rPr>
                    <w:t>Yapur</w:t>
                  </w:r>
                  <w:proofErr w:type="spellEnd"/>
                </w:p>
                <w:p w14:paraId="193F34DF" w14:textId="77777777" w:rsidR="003B3431" w:rsidRPr="00B6174A" w:rsidRDefault="003B3431" w:rsidP="006606B2">
                  <w:pPr>
                    <w:jc w:val="center"/>
                    <w:rPr>
                      <w:rFonts w:ascii="Palatino Linotype" w:hAnsi="Palatino Linotype"/>
                    </w:rPr>
                  </w:pPr>
                  <w:r w:rsidRPr="00B6174A">
                    <w:rPr>
                      <w:rFonts w:ascii="Palatino Linotype" w:hAnsi="Palatino Linotype"/>
                    </w:rPr>
                    <w:t>Comisionada</w:t>
                  </w:r>
                </w:p>
                <w:p w14:paraId="28DC0231" w14:textId="6493E940" w:rsidR="003B3431" w:rsidRPr="00B6174A" w:rsidRDefault="003B3431" w:rsidP="00A940E3">
                  <w:pPr>
                    <w:jc w:val="center"/>
                    <w:rPr>
                      <w:rFonts w:ascii="Palatino Linotype" w:hAnsi="Palatino Linotype"/>
                    </w:rPr>
                  </w:pPr>
                  <w:r>
                    <w:rPr>
                      <w:rFonts w:ascii="Palatino Linotype" w:hAnsi="Palatino Linotype"/>
                    </w:rPr>
                    <w:t>(</w:t>
                  </w:r>
                  <w:r w:rsidR="00A940E3">
                    <w:rPr>
                      <w:rFonts w:ascii="Palatino Linotype" w:hAnsi="Palatino Linotype"/>
                    </w:rPr>
                    <w:t>Rúbrica)</w:t>
                  </w:r>
                </w:p>
              </w:tc>
              <w:tc>
                <w:tcPr>
                  <w:tcW w:w="4477" w:type="dxa"/>
                  <w:vAlign w:val="center"/>
                </w:tcPr>
                <w:p w14:paraId="1B4CC79A" w14:textId="77777777" w:rsidR="003B3431" w:rsidRDefault="003B3431" w:rsidP="006606B2">
                  <w:pPr>
                    <w:jc w:val="center"/>
                    <w:rPr>
                      <w:rFonts w:ascii="Palatino Linotype" w:hAnsi="Palatino Linotype"/>
                      <w:b/>
                    </w:rPr>
                  </w:pPr>
                </w:p>
                <w:p w14:paraId="6B922274" w14:textId="77777777" w:rsidR="003B3431" w:rsidRDefault="003B3431" w:rsidP="006606B2">
                  <w:pPr>
                    <w:jc w:val="center"/>
                    <w:rPr>
                      <w:rFonts w:ascii="Palatino Linotype" w:hAnsi="Palatino Linotype"/>
                      <w:b/>
                    </w:rPr>
                  </w:pPr>
                </w:p>
                <w:p w14:paraId="6040AF3B" w14:textId="77777777" w:rsidR="003B3431" w:rsidRDefault="003B3431" w:rsidP="006606B2">
                  <w:pPr>
                    <w:jc w:val="center"/>
                    <w:rPr>
                      <w:rFonts w:ascii="Palatino Linotype" w:hAnsi="Palatino Linotype"/>
                      <w:b/>
                    </w:rPr>
                  </w:pPr>
                </w:p>
                <w:p w14:paraId="5FDD8CFA" w14:textId="77777777" w:rsidR="00862234" w:rsidRDefault="00862234" w:rsidP="006606B2">
                  <w:pPr>
                    <w:jc w:val="center"/>
                    <w:rPr>
                      <w:rFonts w:ascii="Palatino Linotype" w:hAnsi="Palatino Linotype"/>
                      <w:b/>
                    </w:rPr>
                  </w:pPr>
                </w:p>
                <w:p w14:paraId="65F2D5D5" w14:textId="77777777" w:rsidR="003B3431" w:rsidRPr="00862234" w:rsidRDefault="003B3431" w:rsidP="006606B2">
                  <w:pPr>
                    <w:jc w:val="center"/>
                    <w:rPr>
                      <w:rFonts w:ascii="Palatino Linotype" w:hAnsi="Palatino Linotype"/>
                      <w:b/>
                      <w:sz w:val="22"/>
                    </w:rPr>
                  </w:pPr>
                </w:p>
                <w:p w14:paraId="07C070B4" w14:textId="77777777" w:rsidR="008F49F7" w:rsidRDefault="008F49F7" w:rsidP="006606B2">
                  <w:pPr>
                    <w:jc w:val="center"/>
                    <w:rPr>
                      <w:rFonts w:ascii="Palatino Linotype" w:hAnsi="Palatino Linotype"/>
                      <w:b/>
                      <w:sz w:val="28"/>
                      <w:szCs w:val="28"/>
                    </w:rPr>
                  </w:pPr>
                </w:p>
                <w:p w14:paraId="7CB054D8" w14:textId="77777777" w:rsidR="008F49F7" w:rsidRDefault="008F49F7" w:rsidP="006606B2">
                  <w:pPr>
                    <w:jc w:val="center"/>
                    <w:rPr>
                      <w:rFonts w:ascii="Palatino Linotype" w:hAnsi="Palatino Linotype"/>
                      <w:b/>
                      <w:sz w:val="28"/>
                      <w:szCs w:val="28"/>
                    </w:rPr>
                  </w:pPr>
                </w:p>
                <w:p w14:paraId="618335D8" w14:textId="77777777" w:rsidR="003B3431" w:rsidRPr="00B6174A" w:rsidRDefault="003B3431" w:rsidP="006606B2">
                  <w:pPr>
                    <w:jc w:val="center"/>
                    <w:rPr>
                      <w:rFonts w:ascii="Palatino Linotype" w:hAnsi="Palatino Linotype"/>
                      <w:b/>
                      <w:sz w:val="28"/>
                      <w:szCs w:val="28"/>
                    </w:rPr>
                  </w:pPr>
                  <w:r w:rsidRPr="00B6174A">
                    <w:rPr>
                      <w:rFonts w:ascii="Palatino Linotype" w:hAnsi="Palatino Linotype"/>
                      <w:b/>
                      <w:sz w:val="28"/>
                      <w:szCs w:val="28"/>
                    </w:rPr>
                    <w:t>José Guadalupe Luna Hernández</w:t>
                  </w:r>
                </w:p>
                <w:p w14:paraId="01B591D0" w14:textId="77777777" w:rsidR="003B3431" w:rsidRPr="00B6174A" w:rsidRDefault="003B3431" w:rsidP="006606B2">
                  <w:pPr>
                    <w:jc w:val="center"/>
                    <w:rPr>
                      <w:rFonts w:ascii="Palatino Linotype" w:hAnsi="Palatino Linotype"/>
                    </w:rPr>
                  </w:pPr>
                  <w:r w:rsidRPr="00B6174A">
                    <w:rPr>
                      <w:rFonts w:ascii="Palatino Linotype" w:hAnsi="Palatino Linotype"/>
                    </w:rPr>
                    <w:t>Comisionado</w:t>
                  </w:r>
                </w:p>
                <w:p w14:paraId="2DA79315" w14:textId="77777777" w:rsidR="003B3431" w:rsidRPr="00B6174A" w:rsidRDefault="003B3431" w:rsidP="006606B2">
                  <w:pPr>
                    <w:jc w:val="center"/>
                    <w:rPr>
                      <w:rFonts w:ascii="Palatino Linotype" w:hAnsi="Palatino Linotype"/>
                    </w:rPr>
                  </w:pPr>
                  <w:r>
                    <w:rPr>
                      <w:rFonts w:ascii="Palatino Linotype" w:hAnsi="Palatino Linotype"/>
                    </w:rPr>
                    <w:t>(Rúbrica)</w:t>
                  </w:r>
                </w:p>
                <w:p w14:paraId="10C26127" w14:textId="77777777" w:rsidR="003B3431" w:rsidRPr="00B6174A" w:rsidRDefault="003B3431" w:rsidP="006606B2">
                  <w:pPr>
                    <w:jc w:val="center"/>
                    <w:rPr>
                      <w:rFonts w:ascii="Palatino Linotype" w:hAnsi="Palatino Linotype"/>
                    </w:rPr>
                  </w:pPr>
                </w:p>
                <w:p w14:paraId="0C15DB74" w14:textId="77777777" w:rsidR="003B3431" w:rsidRPr="00B6174A" w:rsidRDefault="003B3431" w:rsidP="006606B2">
                  <w:pPr>
                    <w:jc w:val="center"/>
                    <w:rPr>
                      <w:rFonts w:ascii="Palatino Linotype" w:hAnsi="Palatino Linotype"/>
                    </w:rPr>
                  </w:pPr>
                </w:p>
                <w:p w14:paraId="3D90B327" w14:textId="77777777" w:rsidR="003B3431" w:rsidRPr="00B6174A" w:rsidRDefault="003B3431" w:rsidP="006606B2">
                  <w:pPr>
                    <w:jc w:val="center"/>
                    <w:rPr>
                      <w:rFonts w:ascii="Palatino Linotype" w:hAnsi="Palatino Linotype"/>
                    </w:rPr>
                  </w:pPr>
                </w:p>
              </w:tc>
            </w:tr>
            <w:tr w:rsidR="00862234" w:rsidRPr="00B6174A" w14:paraId="502F807C" w14:textId="77777777" w:rsidTr="00862234">
              <w:trPr>
                <w:trHeight w:val="2063"/>
                <w:jc w:val="center"/>
              </w:trPr>
              <w:tc>
                <w:tcPr>
                  <w:tcW w:w="3779" w:type="dxa"/>
                  <w:vAlign w:val="center"/>
                </w:tcPr>
                <w:p w14:paraId="13B3F029" w14:textId="77777777" w:rsidR="008F49F7" w:rsidRDefault="008F49F7" w:rsidP="00862234">
                  <w:pPr>
                    <w:jc w:val="center"/>
                    <w:rPr>
                      <w:rFonts w:ascii="Palatino Linotype" w:hAnsi="Palatino Linotype"/>
                      <w:b/>
                      <w:sz w:val="28"/>
                      <w:szCs w:val="28"/>
                    </w:rPr>
                  </w:pPr>
                </w:p>
                <w:p w14:paraId="79111AF3" w14:textId="77777777" w:rsidR="008F49F7" w:rsidRDefault="008F49F7" w:rsidP="00862234">
                  <w:pPr>
                    <w:jc w:val="center"/>
                    <w:rPr>
                      <w:rFonts w:ascii="Palatino Linotype" w:hAnsi="Palatino Linotype"/>
                      <w:b/>
                      <w:sz w:val="28"/>
                      <w:szCs w:val="28"/>
                    </w:rPr>
                  </w:pPr>
                </w:p>
                <w:p w14:paraId="2043D61D" w14:textId="77777777" w:rsidR="008F49F7" w:rsidRDefault="008F49F7" w:rsidP="00862234">
                  <w:pPr>
                    <w:jc w:val="center"/>
                    <w:rPr>
                      <w:rFonts w:ascii="Palatino Linotype" w:hAnsi="Palatino Linotype"/>
                      <w:b/>
                      <w:sz w:val="28"/>
                      <w:szCs w:val="28"/>
                    </w:rPr>
                  </w:pPr>
                </w:p>
                <w:p w14:paraId="4960F5EE" w14:textId="77777777" w:rsidR="00862234" w:rsidRPr="00B6174A" w:rsidRDefault="00862234" w:rsidP="00862234">
                  <w:pPr>
                    <w:jc w:val="center"/>
                    <w:rPr>
                      <w:rFonts w:ascii="Palatino Linotype" w:hAnsi="Palatino Linotype"/>
                      <w:b/>
                      <w:sz w:val="28"/>
                      <w:szCs w:val="28"/>
                    </w:rPr>
                  </w:pPr>
                  <w:r w:rsidRPr="00B6174A">
                    <w:rPr>
                      <w:rFonts w:ascii="Palatino Linotype" w:hAnsi="Palatino Linotype"/>
                      <w:b/>
                      <w:sz w:val="28"/>
                      <w:szCs w:val="28"/>
                    </w:rPr>
                    <w:t>Javier Martínez Cruz</w:t>
                  </w:r>
                </w:p>
                <w:p w14:paraId="27C77FFB" w14:textId="77777777" w:rsidR="00862234" w:rsidRPr="00B6174A" w:rsidRDefault="00862234" w:rsidP="00862234">
                  <w:pPr>
                    <w:jc w:val="center"/>
                    <w:rPr>
                      <w:rFonts w:ascii="Palatino Linotype" w:hAnsi="Palatino Linotype"/>
                    </w:rPr>
                  </w:pPr>
                  <w:r w:rsidRPr="00B6174A">
                    <w:rPr>
                      <w:rFonts w:ascii="Palatino Linotype" w:hAnsi="Palatino Linotype"/>
                    </w:rPr>
                    <w:t>Comisionado</w:t>
                  </w:r>
                </w:p>
                <w:p w14:paraId="2B8595D4" w14:textId="77777777" w:rsidR="00862234" w:rsidRPr="00B6174A" w:rsidRDefault="00862234" w:rsidP="00862234">
                  <w:pPr>
                    <w:jc w:val="center"/>
                    <w:rPr>
                      <w:rFonts w:ascii="Palatino Linotype" w:hAnsi="Palatino Linotype"/>
                    </w:rPr>
                  </w:pPr>
                  <w:r>
                    <w:rPr>
                      <w:rFonts w:ascii="Palatino Linotype" w:hAnsi="Palatino Linotype"/>
                    </w:rPr>
                    <w:t>(Rúbrica)</w:t>
                  </w:r>
                </w:p>
                <w:p w14:paraId="683D8CBC" w14:textId="77777777" w:rsidR="00862234" w:rsidRDefault="00862234" w:rsidP="006606B2">
                  <w:pPr>
                    <w:jc w:val="center"/>
                    <w:rPr>
                      <w:rFonts w:ascii="Palatino Linotype" w:hAnsi="Palatino Linotype"/>
                      <w:b/>
                      <w:sz w:val="28"/>
                      <w:szCs w:val="28"/>
                    </w:rPr>
                  </w:pPr>
                </w:p>
              </w:tc>
              <w:tc>
                <w:tcPr>
                  <w:tcW w:w="4477" w:type="dxa"/>
                  <w:vAlign w:val="center"/>
                </w:tcPr>
                <w:p w14:paraId="0E4D0F7D" w14:textId="77777777" w:rsidR="008F49F7" w:rsidRDefault="008F49F7" w:rsidP="00862234">
                  <w:pPr>
                    <w:jc w:val="center"/>
                    <w:rPr>
                      <w:rFonts w:ascii="Palatino Linotype" w:hAnsi="Palatino Linotype"/>
                      <w:b/>
                      <w:sz w:val="28"/>
                      <w:szCs w:val="28"/>
                    </w:rPr>
                  </w:pPr>
                </w:p>
                <w:p w14:paraId="3D57D48D" w14:textId="77777777" w:rsidR="008F49F7" w:rsidRDefault="008F49F7" w:rsidP="00862234">
                  <w:pPr>
                    <w:jc w:val="center"/>
                    <w:rPr>
                      <w:rFonts w:ascii="Palatino Linotype" w:hAnsi="Palatino Linotype"/>
                      <w:b/>
                      <w:sz w:val="28"/>
                      <w:szCs w:val="28"/>
                    </w:rPr>
                  </w:pPr>
                </w:p>
                <w:p w14:paraId="6D81EA27" w14:textId="77777777" w:rsidR="008F49F7" w:rsidRDefault="008F49F7" w:rsidP="00862234">
                  <w:pPr>
                    <w:jc w:val="center"/>
                    <w:rPr>
                      <w:rFonts w:ascii="Palatino Linotype" w:hAnsi="Palatino Linotype"/>
                      <w:b/>
                      <w:sz w:val="28"/>
                      <w:szCs w:val="28"/>
                    </w:rPr>
                  </w:pPr>
                </w:p>
                <w:p w14:paraId="3ED1B118" w14:textId="33FFD635" w:rsidR="00862234" w:rsidRPr="00B6174A" w:rsidRDefault="00862234" w:rsidP="00862234">
                  <w:pPr>
                    <w:jc w:val="center"/>
                    <w:rPr>
                      <w:rFonts w:ascii="Palatino Linotype" w:hAnsi="Palatino Linotype"/>
                      <w:b/>
                      <w:sz w:val="28"/>
                      <w:szCs w:val="28"/>
                    </w:rPr>
                  </w:pPr>
                  <w:r>
                    <w:rPr>
                      <w:rFonts w:ascii="Palatino Linotype" w:hAnsi="Palatino Linotype"/>
                      <w:b/>
                      <w:sz w:val="28"/>
                      <w:szCs w:val="28"/>
                    </w:rPr>
                    <w:t>Luis Gustavo Parra Noriega</w:t>
                  </w:r>
                </w:p>
                <w:p w14:paraId="0D83BFB6" w14:textId="77777777" w:rsidR="00862234" w:rsidRPr="00B6174A" w:rsidRDefault="00862234" w:rsidP="00862234">
                  <w:pPr>
                    <w:jc w:val="center"/>
                    <w:rPr>
                      <w:rFonts w:ascii="Palatino Linotype" w:hAnsi="Palatino Linotype"/>
                    </w:rPr>
                  </w:pPr>
                  <w:r w:rsidRPr="00B6174A">
                    <w:rPr>
                      <w:rFonts w:ascii="Palatino Linotype" w:hAnsi="Palatino Linotype"/>
                    </w:rPr>
                    <w:t>Comisionado</w:t>
                  </w:r>
                </w:p>
                <w:p w14:paraId="125E625E" w14:textId="2B374670" w:rsidR="00862234" w:rsidRPr="00B6174A" w:rsidRDefault="00862234" w:rsidP="00862234">
                  <w:pPr>
                    <w:jc w:val="center"/>
                    <w:rPr>
                      <w:rFonts w:ascii="Palatino Linotype" w:hAnsi="Palatino Linotype"/>
                    </w:rPr>
                  </w:pPr>
                  <w:r>
                    <w:rPr>
                      <w:rFonts w:ascii="Palatino Linotype" w:hAnsi="Palatino Linotype"/>
                    </w:rPr>
                    <w:t>(</w:t>
                  </w:r>
                  <w:r w:rsidR="00E71EF0">
                    <w:rPr>
                      <w:rFonts w:ascii="Palatino Linotype" w:hAnsi="Palatino Linotype"/>
                    </w:rPr>
                    <w:t>Ausencia Justificada</w:t>
                  </w:r>
                  <w:r>
                    <w:rPr>
                      <w:rFonts w:ascii="Palatino Linotype" w:hAnsi="Palatino Linotype"/>
                    </w:rPr>
                    <w:t>)</w:t>
                  </w:r>
                </w:p>
                <w:p w14:paraId="1C4CFA6A" w14:textId="77777777" w:rsidR="00862234" w:rsidRDefault="00862234" w:rsidP="006606B2">
                  <w:pPr>
                    <w:jc w:val="center"/>
                    <w:rPr>
                      <w:rFonts w:ascii="Palatino Linotype" w:hAnsi="Palatino Linotype"/>
                      <w:b/>
                    </w:rPr>
                  </w:pPr>
                </w:p>
              </w:tc>
            </w:tr>
            <w:tr w:rsidR="003B3431" w:rsidRPr="00B6174A" w14:paraId="59E50141" w14:textId="77777777" w:rsidTr="00862234">
              <w:trPr>
                <w:trHeight w:val="1869"/>
                <w:jc w:val="center"/>
              </w:trPr>
              <w:tc>
                <w:tcPr>
                  <w:tcW w:w="8256" w:type="dxa"/>
                  <w:gridSpan w:val="2"/>
                  <w:vAlign w:val="center"/>
                </w:tcPr>
                <w:p w14:paraId="44812A75" w14:textId="77777777" w:rsidR="003B3431" w:rsidRPr="00B6174A" w:rsidRDefault="003B3431" w:rsidP="006606B2">
                  <w:pPr>
                    <w:jc w:val="center"/>
                    <w:rPr>
                      <w:rFonts w:ascii="Palatino Linotype" w:hAnsi="Palatino Linotype"/>
                      <w:b/>
                    </w:rPr>
                  </w:pPr>
                </w:p>
                <w:p w14:paraId="2A46AA0A" w14:textId="77777777" w:rsidR="003B3431" w:rsidRPr="00B6174A" w:rsidRDefault="003B3431" w:rsidP="006606B2">
                  <w:pPr>
                    <w:jc w:val="center"/>
                    <w:rPr>
                      <w:rFonts w:ascii="Palatino Linotype" w:hAnsi="Palatino Linotype"/>
                      <w:b/>
                      <w:sz w:val="28"/>
                      <w:szCs w:val="28"/>
                    </w:rPr>
                  </w:pPr>
                </w:p>
                <w:p w14:paraId="73F60BCF" w14:textId="77777777" w:rsidR="003B3431" w:rsidRDefault="003B3431" w:rsidP="006606B2">
                  <w:pPr>
                    <w:jc w:val="center"/>
                    <w:rPr>
                      <w:rFonts w:ascii="Palatino Linotype" w:hAnsi="Palatino Linotype"/>
                      <w:b/>
                      <w:sz w:val="28"/>
                      <w:szCs w:val="28"/>
                    </w:rPr>
                  </w:pPr>
                </w:p>
                <w:p w14:paraId="2C00DE91" w14:textId="77777777" w:rsidR="008F49F7" w:rsidRDefault="008F49F7" w:rsidP="006606B2">
                  <w:pPr>
                    <w:jc w:val="center"/>
                    <w:rPr>
                      <w:rFonts w:ascii="Palatino Linotype" w:hAnsi="Palatino Linotype"/>
                      <w:b/>
                      <w:sz w:val="28"/>
                      <w:szCs w:val="28"/>
                    </w:rPr>
                  </w:pPr>
                </w:p>
                <w:p w14:paraId="38673904" w14:textId="77777777" w:rsidR="008F49F7" w:rsidRDefault="008F49F7" w:rsidP="006606B2">
                  <w:pPr>
                    <w:jc w:val="center"/>
                    <w:rPr>
                      <w:rFonts w:ascii="Palatino Linotype" w:hAnsi="Palatino Linotype"/>
                      <w:b/>
                      <w:sz w:val="28"/>
                      <w:szCs w:val="28"/>
                    </w:rPr>
                  </w:pPr>
                </w:p>
                <w:p w14:paraId="6B032E36" w14:textId="77777777" w:rsidR="008F49F7" w:rsidRPr="00B6174A" w:rsidRDefault="008F49F7" w:rsidP="006606B2">
                  <w:pPr>
                    <w:jc w:val="center"/>
                    <w:rPr>
                      <w:rFonts w:ascii="Palatino Linotype" w:hAnsi="Palatino Linotype"/>
                      <w:b/>
                      <w:sz w:val="28"/>
                      <w:szCs w:val="28"/>
                    </w:rPr>
                  </w:pPr>
                </w:p>
                <w:p w14:paraId="412FFDA9" w14:textId="5AF59D4E" w:rsidR="003B3431" w:rsidRPr="00B6174A" w:rsidRDefault="00A940E3" w:rsidP="006606B2">
                  <w:pPr>
                    <w:jc w:val="center"/>
                    <w:rPr>
                      <w:rFonts w:ascii="Palatino Linotype" w:hAnsi="Palatino Linotype"/>
                      <w:b/>
                      <w:sz w:val="28"/>
                      <w:szCs w:val="28"/>
                    </w:rPr>
                  </w:pPr>
                  <w:r>
                    <w:rPr>
                      <w:rFonts w:ascii="Palatino Linotype" w:hAnsi="Palatino Linotype"/>
                      <w:b/>
                      <w:sz w:val="28"/>
                      <w:szCs w:val="28"/>
                    </w:rPr>
                    <w:t>Alexis Tapia Ramírez</w:t>
                  </w:r>
                </w:p>
                <w:p w14:paraId="692300CD" w14:textId="435AABFA" w:rsidR="003B3431" w:rsidRPr="00B6174A" w:rsidRDefault="003B3431" w:rsidP="006606B2">
                  <w:pPr>
                    <w:jc w:val="center"/>
                    <w:rPr>
                      <w:rFonts w:ascii="Palatino Linotype" w:hAnsi="Palatino Linotype"/>
                    </w:rPr>
                  </w:pPr>
                  <w:r w:rsidRPr="00B6174A">
                    <w:rPr>
                      <w:rFonts w:ascii="Palatino Linotype" w:hAnsi="Palatino Linotype"/>
                    </w:rPr>
                    <w:t>Secretari</w:t>
                  </w:r>
                  <w:r w:rsidR="00A940E3">
                    <w:rPr>
                      <w:rFonts w:ascii="Palatino Linotype" w:hAnsi="Palatino Linotype"/>
                    </w:rPr>
                    <w:t>o</w:t>
                  </w:r>
                  <w:r w:rsidRPr="00B6174A">
                    <w:rPr>
                      <w:rFonts w:ascii="Palatino Linotype" w:hAnsi="Palatino Linotype"/>
                    </w:rPr>
                    <w:t xml:space="preserve"> Técnic</w:t>
                  </w:r>
                  <w:r w:rsidR="00A940E3">
                    <w:rPr>
                      <w:rFonts w:ascii="Palatino Linotype" w:hAnsi="Palatino Linotype"/>
                    </w:rPr>
                    <w:t>o</w:t>
                  </w:r>
                  <w:r w:rsidRPr="00B6174A">
                    <w:rPr>
                      <w:rFonts w:ascii="Palatino Linotype" w:hAnsi="Palatino Linotype"/>
                    </w:rPr>
                    <w:t xml:space="preserve"> del Pleno</w:t>
                  </w:r>
                </w:p>
                <w:p w14:paraId="7EE2B274" w14:textId="77777777" w:rsidR="003B3431" w:rsidRPr="00B6174A" w:rsidRDefault="003B3431" w:rsidP="006606B2">
                  <w:pPr>
                    <w:jc w:val="center"/>
                    <w:rPr>
                      <w:rFonts w:ascii="Palatino Linotype" w:hAnsi="Palatino Linotype"/>
                    </w:rPr>
                  </w:pPr>
                  <w:r>
                    <w:rPr>
                      <w:rFonts w:ascii="Palatino Linotype" w:hAnsi="Palatino Linotype"/>
                    </w:rPr>
                    <w:t>(Rúbrica)</w:t>
                  </w:r>
                </w:p>
              </w:tc>
            </w:tr>
          </w:tbl>
          <w:p w14:paraId="416DF0DB" w14:textId="77777777" w:rsidR="003B3431" w:rsidRPr="0040233B" w:rsidRDefault="003B3431" w:rsidP="006606B2">
            <w:pPr>
              <w:jc w:val="center"/>
              <w:rPr>
                <w:rFonts w:ascii="Palatino Linotype" w:hAnsi="Palatino Linotype"/>
              </w:rPr>
            </w:pPr>
          </w:p>
        </w:tc>
      </w:tr>
    </w:tbl>
    <w:p w14:paraId="5BFB4533" w14:textId="77777777" w:rsidR="003B3431" w:rsidRDefault="003B3431" w:rsidP="003B3431">
      <w:pPr>
        <w:spacing w:before="240" w:after="240"/>
        <w:jc w:val="both"/>
        <w:rPr>
          <w:rFonts w:ascii="Palatino Linotype" w:hAnsi="Palatino Linotype" w:cs="Arial"/>
          <w:sz w:val="16"/>
        </w:rPr>
      </w:pPr>
    </w:p>
    <w:p w14:paraId="519A9822" w14:textId="23183D08" w:rsidR="003B3431" w:rsidRPr="0040233B" w:rsidRDefault="003B3431" w:rsidP="003B3431">
      <w:pPr>
        <w:spacing w:before="240" w:after="240"/>
        <w:jc w:val="both"/>
        <w:rPr>
          <w:rFonts w:ascii="Palatino Linotype" w:hAnsi="Palatino Linotype" w:cs="Arial"/>
          <w:sz w:val="16"/>
        </w:rPr>
      </w:pPr>
      <w:r w:rsidRPr="0040233B">
        <w:rPr>
          <w:rFonts w:ascii="Palatino Linotype" w:hAnsi="Palatino Linotype" w:cs="Arial"/>
          <w:sz w:val="16"/>
        </w:rPr>
        <w:t xml:space="preserve">Esta hoja corresponde a la resolución de </w:t>
      </w:r>
      <w:r w:rsidR="008F49F7">
        <w:rPr>
          <w:rFonts w:ascii="Palatino Linotype" w:hAnsi="Palatino Linotype" w:cs="Arial"/>
          <w:sz w:val="16"/>
        </w:rPr>
        <w:t>veinte de febrero</w:t>
      </w:r>
      <w:r w:rsidRPr="0040233B">
        <w:rPr>
          <w:rFonts w:ascii="Palatino Linotype" w:hAnsi="Palatino Linotype" w:cs="Arial"/>
          <w:sz w:val="16"/>
        </w:rPr>
        <w:t xml:space="preserve"> del dos mil dieci</w:t>
      </w:r>
      <w:r w:rsidR="00862234">
        <w:rPr>
          <w:rFonts w:ascii="Palatino Linotype" w:hAnsi="Palatino Linotype" w:cs="Arial"/>
          <w:sz w:val="16"/>
        </w:rPr>
        <w:t>nueve</w:t>
      </w:r>
      <w:r w:rsidRPr="0040233B">
        <w:rPr>
          <w:rFonts w:ascii="Palatino Linotype" w:hAnsi="Palatino Linotype" w:cs="Arial"/>
          <w:sz w:val="16"/>
        </w:rPr>
        <w:t xml:space="preserve">, emitida en el recurso de revisión </w:t>
      </w:r>
      <w:r w:rsidR="0008736D">
        <w:rPr>
          <w:rFonts w:ascii="Palatino Linotype" w:hAnsi="Palatino Linotype" w:cs="Arial"/>
          <w:bCs/>
          <w:sz w:val="16"/>
        </w:rPr>
        <w:t>04799/INFOEM</w:t>
      </w:r>
      <w:r>
        <w:rPr>
          <w:rFonts w:ascii="Palatino Linotype" w:hAnsi="Palatino Linotype" w:cs="Arial"/>
          <w:bCs/>
          <w:sz w:val="16"/>
        </w:rPr>
        <w:t>/IP/RR/2018</w:t>
      </w:r>
      <w:r w:rsidRPr="0040233B">
        <w:rPr>
          <w:rFonts w:ascii="Palatino Linotype" w:hAnsi="Palatino Linotype" w:cs="Arial"/>
          <w:sz w:val="16"/>
        </w:rPr>
        <w:t xml:space="preserve">. </w:t>
      </w:r>
    </w:p>
    <w:p w14:paraId="218514E6" w14:textId="77777777" w:rsidR="003B3431" w:rsidRDefault="003B3431" w:rsidP="00634692">
      <w:pPr>
        <w:autoSpaceDE w:val="0"/>
        <w:autoSpaceDN w:val="0"/>
        <w:adjustRightInd w:val="0"/>
        <w:spacing w:before="240" w:after="240" w:line="360" w:lineRule="auto"/>
        <w:ind w:right="49"/>
        <w:jc w:val="both"/>
        <w:rPr>
          <w:rFonts w:ascii="Palatino Linotype" w:hAnsi="Palatino Linotype" w:cs="Arial"/>
          <w:color w:val="222222"/>
        </w:rPr>
      </w:pPr>
    </w:p>
    <w:sectPr w:rsidR="003B3431" w:rsidSect="002B62AF">
      <w:headerReference w:type="default" r:id="rId30"/>
      <w:footerReference w:type="default" r:id="rId31"/>
      <w:headerReference w:type="first" r:id="rId32"/>
      <w:footerReference w:type="first" r:id="rId3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DF713F" w14:textId="77777777" w:rsidR="00B51540" w:rsidRDefault="00B51540" w:rsidP="00C80F8C">
      <w:r>
        <w:separator/>
      </w:r>
    </w:p>
  </w:endnote>
  <w:endnote w:type="continuationSeparator" w:id="0">
    <w:p w14:paraId="50AB0AD6" w14:textId="77777777" w:rsidR="00B51540" w:rsidRDefault="00B5154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DD11A6" w:rsidRDefault="00DD11A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70B5C">
      <w:rPr>
        <w:rFonts w:ascii="Arial" w:hAnsi="Arial" w:cs="Arial"/>
        <w:b/>
        <w:bCs/>
        <w:noProof/>
        <w:sz w:val="20"/>
        <w:szCs w:val="20"/>
      </w:rPr>
      <w:t>83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70B5C">
      <w:rPr>
        <w:rFonts w:ascii="Arial" w:hAnsi="Arial" w:cs="Arial"/>
        <w:b/>
        <w:bCs/>
        <w:noProof/>
        <w:sz w:val="20"/>
        <w:szCs w:val="20"/>
      </w:rPr>
      <w:t>83</w:t>
    </w:r>
    <w:r>
      <w:rPr>
        <w:rFonts w:ascii="Arial" w:hAnsi="Arial" w:cs="Arial"/>
        <w:b/>
        <w:bCs/>
        <w:sz w:val="20"/>
        <w:szCs w:val="20"/>
      </w:rPr>
      <w:fldChar w:fldCharType="end"/>
    </w:r>
  </w:p>
  <w:p w14:paraId="1192A578" w14:textId="77777777" w:rsidR="00DD11A6" w:rsidRDefault="00DD11A6" w:rsidP="00935A0D">
    <w:pPr>
      <w:pStyle w:val="Piedepgina"/>
      <w:rPr>
        <w:rFonts w:ascii="Times New Roman" w:hAnsi="Times New Roman" w:cs="Times New Roman"/>
      </w:rPr>
    </w:pPr>
  </w:p>
  <w:p w14:paraId="14A770F8" w14:textId="77777777" w:rsidR="00DD11A6" w:rsidRDefault="00DD11A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DD11A6" w:rsidRDefault="00DD11A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70B5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70B5C">
      <w:rPr>
        <w:rFonts w:ascii="Arial" w:hAnsi="Arial" w:cs="Arial"/>
        <w:b/>
        <w:bCs/>
        <w:noProof/>
        <w:sz w:val="20"/>
        <w:szCs w:val="20"/>
      </w:rPr>
      <w:t>83</w:t>
    </w:r>
    <w:r>
      <w:rPr>
        <w:rFonts w:ascii="Arial" w:hAnsi="Arial" w:cs="Arial"/>
        <w:b/>
        <w:bCs/>
        <w:sz w:val="20"/>
        <w:szCs w:val="20"/>
      </w:rPr>
      <w:fldChar w:fldCharType="end"/>
    </w:r>
  </w:p>
  <w:p w14:paraId="5D98ABD5" w14:textId="77777777" w:rsidR="00DD11A6" w:rsidRDefault="00DD11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C78E1" w14:textId="77777777" w:rsidR="00B51540" w:rsidRDefault="00B51540" w:rsidP="00C80F8C">
      <w:r>
        <w:separator/>
      </w:r>
    </w:p>
  </w:footnote>
  <w:footnote w:type="continuationSeparator" w:id="0">
    <w:p w14:paraId="3562B7F3" w14:textId="77777777" w:rsidR="00B51540" w:rsidRDefault="00B51540" w:rsidP="00C80F8C">
      <w:r>
        <w:continuationSeparator/>
      </w:r>
    </w:p>
  </w:footnote>
  <w:footnote w:id="1">
    <w:p w14:paraId="3C271336" w14:textId="77777777" w:rsidR="00DD11A6" w:rsidRPr="00891688" w:rsidRDefault="00DD11A6" w:rsidP="00891688">
      <w:pPr>
        <w:spacing w:after="120"/>
        <w:ind w:right="49"/>
        <w:jc w:val="both"/>
        <w:rPr>
          <w:rFonts w:ascii="Palatino Linotype" w:hAnsi="Palatino Linotype" w:cs="Arial"/>
          <w:color w:val="000000" w:themeColor="text1"/>
          <w:sz w:val="16"/>
          <w:szCs w:val="16"/>
        </w:rPr>
      </w:pPr>
      <w:r w:rsidRPr="00891688">
        <w:rPr>
          <w:rStyle w:val="Refdenotaalpie"/>
          <w:sz w:val="16"/>
          <w:szCs w:val="16"/>
        </w:rPr>
        <w:footnoteRef/>
      </w:r>
      <w:r w:rsidRPr="00891688">
        <w:rPr>
          <w:sz w:val="16"/>
          <w:szCs w:val="16"/>
        </w:rPr>
        <w:t xml:space="preserve"> “</w:t>
      </w:r>
      <w:r w:rsidRPr="00891688">
        <w:rPr>
          <w:rFonts w:ascii="Palatino Linotype" w:hAnsi="Palatino Linotype" w:cs="Arial"/>
          <w:b/>
          <w:bCs/>
          <w:i/>
          <w:sz w:val="16"/>
          <w:szCs w:val="16"/>
        </w:rPr>
        <w:t xml:space="preserve">Expresión documental. </w:t>
      </w:r>
      <w:r w:rsidRPr="00891688">
        <w:rPr>
          <w:rFonts w:ascii="Palatino Linotype" w:hAnsi="Palatino Linotype" w:cs="Arial"/>
          <w:bCs/>
          <w:i/>
          <w:sz w:val="16"/>
          <w:szCs w:val="16"/>
        </w:rPr>
        <w:t>Cuando</w:t>
      </w:r>
      <w:r w:rsidRPr="00891688">
        <w:rPr>
          <w:rFonts w:ascii="Palatino Linotype" w:hAnsi="Palatino Linotype" w:cs="Arial"/>
          <w:i/>
          <w:color w:val="000000" w:themeColor="text1"/>
          <w:sz w:val="16"/>
          <w:szCs w:val="16"/>
        </w:rPr>
        <w:t xml:space="preserve"> los particulares presenten solicitudes de acceso a la información sin identificar de forma precisa la documentación que pudiera contener la información de su interés, </w:t>
      </w:r>
      <w:r w:rsidRPr="00891688">
        <w:rPr>
          <w:rFonts w:ascii="Palatino Linotype" w:hAnsi="Palatino Linotype" w:cs="Arial"/>
          <w:i/>
          <w:sz w:val="16"/>
          <w:szCs w:val="16"/>
        </w:rPr>
        <w:t>o bien, la solicitud constituya una consulta,</w:t>
      </w:r>
      <w:r w:rsidRPr="00891688">
        <w:rPr>
          <w:rFonts w:ascii="Palatino Linotype" w:hAnsi="Palatino Linotype" w:cs="Arial"/>
          <w:i/>
          <w:color w:val="000000" w:themeColor="text1"/>
          <w:sz w:val="16"/>
          <w:szCs w:val="16"/>
        </w:rPr>
        <w:t xml:space="preserve"> pero la respuesta pudiera obrar en algún documento en poder de los sujetos obligados, éstos deben dar a dichas solicitudes una interpretación que les otorgue una expresión documental.”</w:t>
      </w:r>
    </w:p>
    <w:p w14:paraId="36DAA445" w14:textId="3B07FAA3" w:rsidR="00DD11A6" w:rsidRPr="00287C71" w:rsidRDefault="00DD11A6">
      <w:pPr>
        <w:pStyle w:val="Textonotapie"/>
        <w:rPr>
          <w:lang w:val="es-ES"/>
        </w:rPr>
      </w:pPr>
    </w:p>
  </w:footnote>
  <w:footnote w:id="2">
    <w:p w14:paraId="36C78590" w14:textId="77777777" w:rsidR="00DD11A6" w:rsidRPr="009137B7" w:rsidRDefault="00DD11A6" w:rsidP="00FF6792">
      <w:pPr>
        <w:ind w:right="51"/>
        <w:jc w:val="both"/>
        <w:rPr>
          <w:rFonts w:ascii="Palatino Linotype" w:hAnsi="Palatino Linotype" w:cs="Arial"/>
          <w:i/>
          <w:color w:val="000000" w:themeColor="text1"/>
          <w:sz w:val="16"/>
          <w:szCs w:val="16"/>
        </w:rPr>
      </w:pPr>
      <w:r w:rsidRPr="009137B7">
        <w:rPr>
          <w:rStyle w:val="Refdenotaalpie"/>
          <w:rFonts w:ascii="Palatino Linotype" w:hAnsi="Palatino Linotype"/>
          <w:sz w:val="16"/>
          <w:szCs w:val="16"/>
        </w:rPr>
        <w:footnoteRef/>
      </w:r>
      <w:r w:rsidRPr="009137B7">
        <w:rPr>
          <w:rFonts w:ascii="Palatino Linotype" w:hAnsi="Palatino Linotype"/>
          <w:sz w:val="16"/>
          <w:szCs w:val="16"/>
        </w:rPr>
        <w:t xml:space="preserve"> </w:t>
      </w:r>
      <w:r w:rsidRPr="009137B7">
        <w:rPr>
          <w:rFonts w:ascii="Palatino Linotype" w:hAnsi="Palatino Linotype" w:cs="Arial"/>
          <w:b/>
          <w:bCs/>
          <w:i/>
          <w:color w:val="000000" w:themeColor="text1"/>
          <w:sz w:val="16"/>
          <w:szCs w:val="16"/>
        </w:rPr>
        <w:t xml:space="preserve">Artículo 3. </w:t>
      </w:r>
      <w:r w:rsidRPr="009137B7">
        <w:rPr>
          <w:rFonts w:ascii="Palatino Linotype" w:hAnsi="Palatino Linotype" w:cs="Arial"/>
          <w:bCs/>
          <w:i/>
          <w:color w:val="000000" w:themeColor="text1"/>
          <w:sz w:val="16"/>
          <w:szCs w:val="16"/>
        </w:rPr>
        <w:t>Para los efectos de la presente Ley se entenderá por:</w:t>
      </w:r>
      <w:r>
        <w:rPr>
          <w:rFonts w:ascii="Palatino Linotype" w:hAnsi="Palatino Linotype" w:cs="Arial"/>
          <w:bCs/>
          <w:i/>
          <w:color w:val="000000" w:themeColor="text1"/>
          <w:sz w:val="16"/>
          <w:szCs w:val="16"/>
        </w:rPr>
        <w:t xml:space="preserve"> </w:t>
      </w:r>
      <w:r w:rsidRPr="009137B7">
        <w:rPr>
          <w:rFonts w:ascii="Palatino Linotype" w:hAnsi="Palatino Linotype" w:cs="Arial"/>
          <w:i/>
          <w:sz w:val="16"/>
          <w:szCs w:val="16"/>
        </w:rPr>
        <w:t>…</w:t>
      </w:r>
      <w:r>
        <w:rPr>
          <w:rFonts w:ascii="Palatino Linotype" w:hAnsi="Palatino Linotype" w:cs="Arial"/>
          <w:i/>
          <w:sz w:val="16"/>
          <w:szCs w:val="16"/>
        </w:rPr>
        <w:t xml:space="preserve"> </w:t>
      </w:r>
      <w:r w:rsidRPr="009137B7">
        <w:rPr>
          <w:rFonts w:ascii="Palatino Linotype" w:hAnsi="Palatino Linotype" w:cs="Arial"/>
          <w:b/>
          <w:bCs/>
          <w:i/>
          <w:color w:val="000000" w:themeColor="text1"/>
          <w:sz w:val="16"/>
          <w:szCs w:val="16"/>
        </w:rPr>
        <w:t xml:space="preserve">XI. Documento: </w:t>
      </w:r>
      <w:r w:rsidRPr="009137B7">
        <w:rPr>
          <w:rFonts w:ascii="Palatino Linotype" w:hAnsi="Palatino Linotype" w:cs="Arial"/>
          <w:i/>
          <w:color w:val="000000" w:themeColor="text1"/>
          <w:sz w:val="16"/>
          <w:szCs w:val="16"/>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hAnsi="Palatino Linotype" w:cs="Arial"/>
          <w:i/>
          <w:color w:val="000000" w:themeColor="text1"/>
          <w:sz w:val="16"/>
          <w:szCs w:val="16"/>
        </w:rPr>
        <w:t xml:space="preserve"> </w:t>
      </w:r>
      <w:r w:rsidRPr="009137B7">
        <w:rPr>
          <w:rFonts w:ascii="Palatino Linotype" w:hAnsi="Palatino Linotype" w:cs="Arial"/>
          <w:b/>
          <w:bCs/>
          <w:i/>
          <w:color w:val="000000" w:themeColor="text1"/>
          <w:sz w:val="16"/>
          <w:szCs w:val="16"/>
        </w:rPr>
        <w:t>XII. Documento electrónico:</w:t>
      </w:r>
      <w:r w:rsidRPr="009137B7">
        <w:rPr>
          <w:rFonts w:ascii="Palatino Linotype" w:hAnsi="Palatino Linotype" w:cs="Arial"/>
          <w:bCs/>
          <w:i/>
          <w:color w:val="000000" w:themeColor="text1"/>
          <w:sz w:val="16"/>
          <w:szCs w:val="16"/>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r w:rsidRPr="009137B7">
        <w:rPr>
          <w:rFonts w:ascii="Palatino Linotype" w:hAnsi="Palatino Linotype" w:cs="Arial"/>
          <w:b/>
          <w:i/>
          <w:color w:val="000000" w:themeColor="text1"/>
          <w:sz w:val="16"/>
          <w:szCs w:val="16"/>
        </w:rPr>
        <w:t>…</w:t>
      </w:r>
    </w:p>
    <w:p w14:paraId="1F5BBB08" w14:textId="77777777" w:rsidR="00DD11A6" w:rsidRPr="009137B7" w:rsidRDefault="00DD11A6" w:rsidP="00FF6792">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4. </w:t>
      </w:r>
      <w:r w:rsidRPr="009137B7">
        <w:rPr>
          <w:rFonts w:ascii="Palatino Linotype" w:hAnsi="Palatino Linotype" w:cs="Arial"/>
          <w:bCs/>
          <w:i/>
          <w:color w:val="000000" w:themeColor="text1"/>
          <w:sz w:val="16"/>
          <w:szCs w:val="16"/>
        </w:rPr>
        <w:t>El derecho humano de acceso a la información pública es la prerrogativa de las personas para buscar, difundir, investigar, recabar, recibir y solicitar información pública, sin necesidad de acreditar personalidad ni interés jurídico.</w:t>
      </w:r>
      <w:r>
        <w:rPr>
          <w:rFonts w:ascii="Palatino Linotype" w:hAnsi="Palatino Linotype" w:cs="Arial"/>
          <w:bCs/>
          <w:i/>
          <w:color w:val="000000" w:themeColor="text1"/>
          <w:sz w:val="16"/>
          <w:szCs w:val="16"/>
        </w:rPr>
        <w:t xml:space="preserve"> </w:t>
      </w:r>
      <w:r w:rsidRPr="009137B7">
        <w:rPr>
          <w:rFonts w:ascii="Palatino Linotype" w:hAnsi="Palatino Linotype" w:cs="Arial"/>
          <w:bCs/>
          <w:i/>
          <w:color w:val="000000" w:themeColor="text1"/>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r w:rsidRPr="009137B7">
        <w:rPr>
          <w:rFonts w:ascii="Palatino Linotype" w:hAnsi="Palatino Linotype" w:cs="Arial"/>
          <w:i/>
          <w:color w:val="000000" w:themeColor="text1"/>
          <w:sz w:val="16"/>
          <w:szCs w:val="16"/>
        </w:rPr>
        <w:t>.</w:t>
      </w:r>
    </w:p>
    <w:p w14:paraId="1D22F3F5" w14:textId="77777777" w:rsidR="00DD11A6" w:rsidRPr="009137B7" w:rsidRDefault="00DD11A6" w:rsidP="00FF6792">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12. </w:t>
      </w:r>
      <w:r w:rsidRPr="009137B7">
        <w:rPr>
          <w:rFonts w:ascii="Palatino Linotype" w:hAnsi="Palatino Linotype" w:cs="Arial"/>
          <w:i/>
          <w:color w:val="000000" w:themeColor="text1"/>
          <w:sz w:val="16"/>
          <w:szCs w:val="16"/>
        </w:rPr>
        <w:t>Quienes generen, recopilen, administren, manejen, procesen, archiven o conserven información pública serán responsables de la misma en los términos de las disposiciones jurídicas aplicables.</w:t>
      </w:r>
      <w:r>
        <w:rPr>
          <w:rFonts w:ascii="Palatino Linotype" w:hAnsi="Palatino Linotype" w:cs="Arial"/>
          <w:i/>
          <w:color w:val="000000" w:themeColor="text1"/>
          <w:sz w:val="16"/>
          <w:szCs w:val="16"/>
        </w:rPr>
        <w:t xml:space="preserve"> </w:t>
      </w:r>
      <w:r w:rsidRPr="009137B7">
        <w:rPr>
          <w:rFonts w:ascii="Palatino Linotype" w:hAnsi="Palatino Linotype" w:cs="Arial"/>
          <w:i/>
          <w:color w:val="000000" w:themeColor="text1"/>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w:t>
      </w:r>
      <w:r>
        <w:rPr>
          <w:rFonts w:ascii="Palatino Linotype" w:hAnsi="Palatino Linotype" w:cs="Arial"/>
          <w:i/>
          <w:color w:val="000000" w:themeColor="text1"/>
          <w:sz w:val="16"/>
          <w:szCs w:val="16"/>
        </w:rPr>
        <w:t>os o practicar investigaciones</w:t>
      </w:r>
      <w:r w:rsidRPr="009137B7">
        <w:rPr>
          <w:rFonts w:ascii="Palatino Linotype" w:hAnsi="Palatino Linotype" w:cs="Arial"/>
          <w:i/>
          <w:color w:val="000000" w:themeColor="text1"/>
          <w:sz w:val="16"/>
          <w:szCs w:val="16"/>
        </w:rPr>
        <w:t>…</w:t>
      </w:r>
    </w:p>
    <w:p w14:paraId="60F5AD82" w14:textId="77777777" w:rsidR="00DD11A6" w:rsidRPr="009137B7" w:rsidRDefault="00DD11A6" w:rsidP="00FF6792">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24. </w:t>
      </w:r>
      <w:r w:rsidRPr="009137B7">
        <w:rPr>
          <w:rFonts w:ascii="Palatino Linotype" w:hAnsi="Palatino Linotype" w:cs="Arial"/>
          <w:i/>
          <w:color w:val="000000" w:themeColor="text1"/>
          <w:sz w:val="16"/>
          <w:szCs w:val="16"/>
        </w:rPr>
        <w:t>Para el cumplimiento de los objetivos de esta Ley, los sujetos obligados deberán cumplir con las siguientes obligaciones, según corresponda, de acuerdo a su naturaleza:</w:t>
      </w:r>
      <w:r>
        <w:rPr>
          <w:rFonts w:ascii="Palatino Linotype" w:hAnsi="Palatino Linotype" w:cs="Arial"/>
          <w:i/>
          <w:color w:val="000000" w:themeColor="text1"/>
          <w:sz w:val="16"/>
          <w:szCs w:val="16"/>
        </w:rPr>
        <w:t xml:space="preserve"> </w:t>
      </w:r>
      <w:r w:rsidRPr="009137B7">
        <w:rPr>
          <w:rFonts w:ascii="Palatino Linotype" w:hAnsi="Palatino Linotype" w:cs="Arial"/>
          <w:b/>
          <w:bCs/>
          <w:i/>
          <w:color w:val="000000" w:themeColor="text1"/>
          <w:sz w:val="16"/>
          <w:szCs w:val="16"/>
        </w:rPr>
        <w:t>…</w:t>
      </w:r>
      <w:r>
        <w:rPr>
          <w:rFonts w:ascii="Palatino Linotype" w:hAnsi="Palatino Linotype" w:cs="Arial"/>
          <w:b/>
          <w:bCs/>
          <w:i/>
          <w:color w:val="000000" w:themeColor="text1"/>
          <w:sz w:val="16"/>
          <w:szCs w:val="16"/>
        </w:rPr>
        <w:t xml:space="preserve"> </w:t>
      </w:r>
      <w:r w:rsidRPr="009137B7">
        <w:rPr>
          <w:rFonts w:ascii="Palatino Linotype" w:hAnsi="Palatino Linotype" w:cs="Arial"/>
          <w:i/>
          <w:color w:val="000000" w:themeColor="text1"/>
          <w:sz w:val="16"/>
          <w:szCs w:val="16"/>
        </w:rPr>
        <w:t>En la administración, gestión y custodia de los archivos de información pública, los sujetos obligados, los servidores públicos habilitados y los servidores públicos en general, se ajustarán a lo establecido por la normatividad aplicable.</w:t>
      </w:r>
    </w:p>
    <w:p w14:paraId="4C0E3436" w14:textId="77777777" w:rsidR="00DD11A6" w:rsidRDefault="00DD11A6" w:rsidP="00FF6792">
      <w:pPr>
        <w:ind w:right="51"/>
        <w:jc w:val="both"/>
      </w:pPr>
      <w:r w:rsidRPr="009137B7">
        <w:rPr>
          <w:rFonts w:ascii="Palatino Linotype" w:hAnsi="Palatino Linotype" w:cs="Arial"/>
          <w:i/>
          <w:color w:val="000000" w:themeColor="text1"/>
          <w:sz w:val="16"/>
          <w:szCs w:val="16"/>
        </w:rPr>
        <w:t>Los sujetos obligados solo proporcionarán la información pública que generen, administren o posean en el ejerc</w:t>
      </w:r>
      <w:r>
        <w:rPr>
          <w:rFonts w:ascii="Palatino Linotype" w:hAnsi="Palatino Linotype" w:cs="Arial"/>
          <w:i/>
          <w:color w:val="000000" w:themeColor="text1"/>
          <w:sz w:val="16"/>
          <w:szCs w:val="16"/>
        </w:rPr>
        <w:t>icio de sus atribuciones.”</w:t>
      </w:r>
    </w:p>
  </w:footnote>
  <w:footnote w:id="3">
    <w:p w14:paraId="200802F0" w14:textId="75457556" w:rsidR="00DD11A6" w:rsidRDefault="00DD11A6">
      <w:pPr>
        <w:pStyle w:val="Textonotapie"/>
      </w:pPr>
      <w:r>
        <w:rPr>
          <w:rStyle w:val="Refdenotaalpie"/>
        </w:rPr>
        <w:footnoteRef/>
      </w:r>
      <w:r w:rsidRPr="001D5E80">
        <w:rPr>
          <w:rFonts w:ascii="Palatino Linotype" w:hAnsi="Palatino Linotype"/>
          <w:sz w:val="16"/>
          <w:szCs w:val="16"/>
        </w:rPr>
        <w:t xml:space="preserve"> </w:t>
      </w:r>
      <w:hyperlink r:id="rId1" w:tgtFrame="_blank" w:history="1">
        <w:r w:rsidRPr="001D5E80">
          <w:rPr>
            <w:rStyle w:val="Hipervnculo"/>
            <w:rFonts w:ascii="Palatino Linotype" w:hAnsi="Palatino Linotype"/>
            <w:color w:val="auto"/>
            <w:sz w:val="16"/>
            <w:szCs w:val="16"/>
            <w:shd w:val="clear" w:color="auto" w:fill="FFFFFF"/>
          </w:rPr>
          <w:t>Programa de modernización  del Alumbrado Público, periodo 2011 - 2017.</w:t>
        </w:r>
      </w:hyperlink>
    </w:p>
  </w:footnote>
  <w:footnote w:id="4">
    <w:p w14:paraId="6899098D" w14:textId="77777777" w:rsidR="00DD11A6" w:rsidRDefault="00DD11A6" w:rsidP="008E53B6">
      <w:pPr>
        <w:pStyle w:val="Textonotapie"/>
      </w:pPr>
      <w:r>
        <w:rPr>
          <w:rStyle w:val="Refdenotaalpie"/>
        </w:rPr>
        <w:footnoteRef/>
      </w:r>
      <w:r>
        <w:t xml:space="preserve"> </w:t>
      </w:r>
      <w:r w:rsidRPr="00BB0975">
        <w:rPr>
          <w:rFonts w:ascii="Palatino Linotype" w:hAnsi="Palatino Linotype"/>
        </w:rPr>
        <w:t xml:space="preserve">Artículo 342 </w:t>
      </w:r>
      <w:r w:rsidRPr="00BB0975">
        <w:rPr>
          <w:rFonts w:ascii="Palatino Linotype" w:eastAsiaTheme="minorEastAsia" w:hAnsi="Palatino Linotype" w:cs="Arial"/>
          <w:szCs w:val="22"/>
        </w:rPr>
        <w:t>del Código Financiero del Estado de México.</w:t>
      </w:r>
    </w:p>
  </w:footnote>
  <w:footnote w:id="5">
    <w:p w14:paraId="5210532B" w14:textId="77777777" w:rsidR="00DD11A6" w:rsidRPr="005422C7" w:rsidRDefault="00DD11A6" w:rsidP="008E53B6">
      <w:pPr>
        <w:pStyle w:val="Textonotapie"/>
        <w:rPr>
          <w:rFonts w:ascii="Palatino Linotype" w:hAnsi="Palatino Linotype"/>
        </w:rPr>
      </w:pPr>
      <w:r w:rsidRPr="005422C7">
        <w:rPr>
          <w:rStyle w:val="Refdenotaalpie"/>
          <w:rFonts w:ascii="Palatino Linotype" w:hAnsi="Palatino Linotype"/>
        </w:rPr>
        <w:footnoteRef/>
      </w:r>
      <w:r w:rsidRPr="005422C7">
        <w:rPr>
          <w:rFonts w:ascii="Palatino Linotype" w:hAnsi="Palatino Linotype"/>
        </w:rPr>
        <w:t xml:space="preserve"> Disponible en: https://www.cfe.mx/Casa/InformacionCliente/Pages/Conoce-tu-recibo.aspx</w:t>
      </w:r>
    </w:p>
  </w:footnote>
  <w:footnote w:id="6">
    <w:p w14:paraId="57537681" w14:textId="77777777" w:rsidR="00DD11A6" w:rsidRPr="00DA47A0" w:rsidRDefault="00DD11A6" w:rsidP="008E53B6">
      <w:pPr>
        <w:pStyle w:val="Textonotapie"/>
        <w:rPr>
          <w:rFonts w:ascii="Palatino Linotype" w:hAnsi="Palatino Linotype"/>
          <w:sz w:val="16"/>
          <w:szCs w:val="16"/>
        </w:rPr>
      </w:pPr>
      <w:r>
        <w:rPr>
          <w:rStyle w:val="Refdenotaalpie"/>
        </w:rPr>
        <w:footnoteRef/>
      </w:r>
      <w:r w:rsidRPr="00DA47A0">
        <w:rPr>
          <w:rFonts w:ascii="Palatino Linotype" w:hAnsi="Palatino Linotype"/>
          <w:sz w:val="16"/>
          <w:szCs w:val="16"/>
        </w:rPr>
        <w:t xml:space="preserve"> Consultable en: http://legislacion.edomex.gob.mx/sites/legislacion.edomex.gob.mx/files/files/pdf/gct/2017/may085.pdf</w:t>
      </w:r>
    </w:p>
    <w:p w14:paraId="37F6238E" w14:textId="77777777" w:rsidR="00DD11A6" w:rsidRPr="00DA47A0" w:rsidRDefault="00DD11A6" w:rsidP="008E53B6">
      <w:pPr>
        <w:pStyle w:val="Textonotapie"/>
        <w:rPr>
          <w:rFonts w:ascii="Palatino Linotype" w:hAnsi="Palatino Linotype"/>
          <w:sz w:val="16"/>
          <w:szCs w:val="16"/>
        </w:rPr>
      </w:pPr>
      <w:r w:rsidRPr="007F2745">
        <w:rPr>
          <w:rFonts w:ascii="Palatino Linotype" w:hAnsi="Palatino Linotype"/>
          <w:sz w:val="16"/>
          <w:szCs w:val="16"/>
        </w:rPr>
        <w:t>http://legislacion.edomex.gob.mx/sites/legislacion.edomex.gob.mx/files/files/pdf/gct/2018/mar124.pdf</w:t>
      </w:r>
    </w:p>
    <w:p w14:paraId="78BEDF9D" w14:textId="77777777" w:rsidR="00DD11A6" w:rsidRPr="00DA47A0" w:rsidRDefault="00DD11A6" w:rsidP="008E53B6">
      <w:pPr>
        <w:pStyle w:val="Textonotapie"/>
        <w:rPr>
          <w:rFonts w:ascii="Palatino Linotype" w:hAnsi="Palatino Linotype"/>
          <w:sz w:val="16"/>
          <w:szCs w:val="16"/>
        </w:rPr>
      </w:pPr>
      <w:r w:rsidRPr="007F2745">
        <w:rPr>
          <w:rFonts w:ascii="Palatino Linotype" w:hAnsi="Palatino Linotype"/>
          <w:sz w:val="16"/>
          <w:szCs w:val="16"/>
        </w:rPr>
        <w:t>https://legislacion.edomex.gob.mx/sites/legislacion.edomex.gob.mx/files/files/pdf/gct/2015/feb244.pdf</w:t>
      </w:r>
    </w:p>
    <w:p w14:paraId="4D9592DB" w14:textId="77777777" w:rsidR="00DD11A6" w:rsidRPr="00DA47A0" w:rsidRDefault="00DD11A6" w:rsidP="008E53B6">
      <w:pPr>
        <w:pStyle w:val="Textonotapie"/>
        <w:rPr>
          <w:rFonts w:ascii="Palatino Linotype" w:hAnsi="Palatino Linotype"/>
          <w:sz w:val="16"/>
          <w:szCs w:val="16"/>
        </w:rPr>
      </w:pPr>
      <w:r w:rsidRPr="007F2745">
        <w:rPr>
          <w:rFonts w:ascii="Palatino Linotype" w:hAnsi="Palatino Linotype"/>
          <w:sz w:val="16"/>
          <w:szCs w:val="16"/>
        </w:rPr>
        <w:t>http://legislacion.edomex.gob.mx/sites/legislacion.edomex.gob.mx/files/files/pdf/gct/2016/may034.pdf</w:t>
      </w:r>
    </w:p>
    <w:p w14:paraId="7E2FA91B" w14:textId="77777777" w:rsidR="00DD11A6" w:rsidRPr="00DA47A0" w:rsidRDefault="00DD11A6" w:rsidP="008E53B6">
      <w:pPr>
        <w:pStyle w:val="Textonotapie"/>
        <w:rPr>
          <w:rFonts w:ascii="Palatino Linotype" w:hAnsi="Palatino Linotype"/>
          <w:sz w:val="16"/>
          <w:szCs w:val="16"/>
        </w:rPr>
      </w:pPr>
      <w:r w:rsidRPr="007F2745">
        <w:rPr>
          <w:rFonts w:ascii="Palatino Linotype" w:hAnsi="Palatino Linotype"/>
          <w:sz w:val="16"/>
          <w:szCs w:val="16"/>
        </w:rPr>
        <w:t>https://legislacion.edomex.gob.mx/sites/legislacion.edomex.gob.mx/files/files/vigentes/ene083.PDF</w:t>
      </w:r>
    </w:p>
    <w:p w14:paraId="057770F1" w14:textId="77777777" w:rsidR="00DD11A6" w:rsidRDefault="00DD11A6" w:rsidP="008E53B6">
      <w:pPr>
        <w:pStyle w:val="Textonotapie"/>
      </w:pPr>
    </w:p>
  </w:footnote>
  <w:footnote w:id="7">
    <w:p w14:paraId="5234720A" w14:textId="77777777" w:rsidR="00DD11A6" w:rsidRPr="009B72A1" w:rsidRDefault="00DD11A6" w:rsidP="008E53B6">
      <w:pPr>
        <w:pStyle w:val="Textonotapie"/>
        <w:rPr>
          <w:rFonts w:ascii="Palatino Linotype" w:hAnsi="Palatino Linotype"/>
          <w:sz w:val="16"/>
          <w:szCs w:val="16"/>
        </w:rPr>
      </w:pPr>
      <w:r>
        <w:rPr>
          <w:rStyle w:val="Refdenotaalpie"/>
        </w:rPr>
        <w:footnoteRef/>
      </w:r>
      <w:r>
        <w:t xml:space="preserve"> </w:t>
      </w:r>
      <w:r w:rsidRPr="009B72A1">
        <w:rPr>
          <w:rFonts w:ascii="Palatino Linotype" w:hAnsi="Palatino Linotype"/>
          <w:sz w:val="16"/>
          <w:szCs w:val="16"/>
        </w:rPr>
        <w:t xml:space="preserve">Disponible en : </w:t>
      </w:r>
      <w:hyperlink r:id="rId2" w:history="1">
        <w:r w:rsidRPr="009B72A1">
          <w:rPr>
            <w:rFonts w:ascii="Palatino Linotype" w:hAnsi="Palatino Linotype"/>
            <w:sz w:val="16"/>
            <w:szCs w:val="16"/>
          </w:rPr>
          <w:t>http://www.osfem.gob.mx/04_Normatividad/Normatividad.html</w:t>
        </w:r>
      </w:hyperlink>
    </w:p>
    <w:p w14:paraId="4107D515" w14:textId="77777777" w:rsidR="00DD11A6" w:rsidRPr="009B72A1" w:rsidRDefault="00DD11A6" w:rsidP="008E53B6">
      <w:pPr>
        <w:pStyle w:val="Textonotapie"/>
        <w:rPr>
          <w:rFonts w:ascii="Palatino Linotype" w:hAnsi="Palatino Linotype"/>
          <w:sz w:val="16"/>
          <w:szCs w:val="16"/>
        </w:rPr>
      </w:pPr>
      <w:r w:rsidRPr="009B72A1">
        <w:rPr>
          <w:rFonts w:ascii="Palatino Linotype" w:hAnsi="Palatino Linotype"/>
          <w:sz w:val="16"/>
          <w:szCs w:val="16"/>
        </w:rPr>
        <w:t>https://www.osfem.gob.mx/04_Normatividad/doc/Normatividad/2013/04_LinIntInfMen13.pdf</w:t>
      </w:r>
    </w:p>
    <w:p w14:paraId="64864C3C" w14:textId="77777777" w:rsidR="00DD11A6" w:rsidRPr="009B72A1" w:rsidRDefault="00DD11A6" w:rsidP="008E53B6">
      <w:pPr>
        <w:pStyle w:val="Textonotapie"/>
        <w:rPr>
          <w:rFonts w:ascii="Palatino Linotype" w:hAnsi="Palatino Linotype"/>
          <w:sz w:val="16"/>
          <w:szCs w:val="16"/>
        </w:rPr>
      </w:pPr>
      <w:r w:rsidRPr="009B72A1">
        <w:rPr>
          <w:rFonts w:ascii="Palatino Linotype" w:hAnsi="Palatino Linotype"/>
          <w:sz w:val="16"/>
          <w:szCs w:val="16"/>
        </w:rPr>
        <w:t>https://www.osfem.gob.mx/04_Normatividad/doc/Normatividad/2016/01_LinIntInfoMen16.pdf</w:t>
      </w:r>
    </w:p>
    <w:p w14:paraId="0F279030" w14:textId="77777777" w:rsidR="00DD11A6" w:rsidRPr="009B72A1" w:rsidRDefault="00DD11A6" w:rsidP="008E53B6">
      <w:pPr>
        <w:pStyle w:val="Textonotapie"/>
        <w:rPr>
          <w:rFonts w:ascii="Palatino Linotype" w:hAnsi="Palatino Linotype"/>
          <w:sz w:val="16"/>
          <w:szCs w:val="16"/>
        </w:rPr>
      </w:pPr>
      <w:r w:rsidRPr="009B72A1">
        <w:rPr>
          <w:rFonts w:ascii="Palatino Linotype" w:hAnsi="Palatino Linotype"/>
          <w:sz w:val="16"/>
          <w:szCs w:val="16"/>
        </w:rPr>
        <w:t>https://www.osfem.gob.mx/04_Normatividad/doc/Normatividad/2015/04_LinGralInt%20InfMensPodPubOrgAutOrgAuxEM15.pdf</w:t>
      </w:r>
    </w:p>
    <w:p w14:paraId="7BD3349C" w14:textId="77777777" w:rsidR="00DD11A6" w:rsidRDefault="00DD11A6" w:rsidP="008E53B6">
      <w:pPr>
        <w:pStyle w:val="Textonotapie"/>
      </w:pPr>
      <w:r w:rsidRPr="009B72A1">
        <w:rPr>
          <w:rFonts w:ascii="Palatino Linotype" w:hAnsi="Palatino Linotype"/>
          <w:sz w:val="16"/>
          <w:szCs w:val="16"/>
        </w:rPr>
        <w:t>https://www.osfem.gob.mx/04_Normatividad/doc/Normatividad/2018/03_LinElabyPresInfoMenMpal18.pdf</w:t>
      </w:r>
    </w:p>
  </w:footnote>
  <w:footnote w:id="8">
    <w:p w14:paraId="70964732" w14:textId="77777777" w:rsidR="00DD11A6" w:rsidRDefault="00DD11A6" w:rsidP="008E53B6">
      <w:pPr>
        <w:pStyle w:val="Textonotapie"/>
      </w:pPr>
      <w:r>
        <w:rPr>
          <w:rStyle w:val="Refdenotaalpie"/>
        </w:rPr>
        <w:footnoteRef/>
      </w:r>
      <w:r>
        <w:t xml:space="preserve"> </w:t>
      </w:r>
      <w:r w:rsidRPr="006B76D7">
        <w:rPr>
          <w:rFonts w:ascii="Palatino Linotype" w:hAnsi="Palatino Linotype"/>
          <w:sz w:val="16"/>
          <w:szCs w:val="16"/>
        </w:rPr>
        <w:t xml:space="preserve">Artículo 344 del </w:t>
      </w:r>
      <w:r w:rsidRPr="006B76D7">
        <w:rPr>
          <w:rFonts w:ascii="Palatino Linotype" w:hAnsi="Palatino Linotype" w:cs="Arial"/>
          <w:sz w:val="16"/>
          <w:szCs w:val="16"/>
        </w:rPr>
        <w:t>Código Financiero del Estado de México y Municipios</w:t>
      </w:r>
    </w:p>
  </w:footnote>
  <w:footnote w:id="9">
    <w:p w14:paraId="0F08AF16" w14:textId="77777777" w:rsidR="00B46D60" w:rsidRPr="005B4C1F" w:rsidRDefault="00B46D60" w:rsidP="00B46D60">
      <w:pPr>
        <w:pStyle w:val="Textonotapie"/>
        <w:rPr>
          <w:rFonts w:ascii="Palatino Linotype" w:hAnsi="Palatino Linotype"/>
        </w:rPr>
      </w:pPr>
      <w:r w:rsidRPr="005B4C1F">
        <w:rPr>
          <w:rStyle w:val="Refdenotaalpie"/>
          <w:rFonts w:ascii="Palatino Linotype" w:hAnsi="Palatino Linotype"/>
          <w:sz w:val="16"/>
        </w:rPr>
        <w:footnoteRef/>
      </w:r>
      <w:r w:rsidRPr="005B4C1F">
        <w:rPr>
          <w:rFonts w:ascii="Palatino Linotype" w:hAnsi="Palatino Linotype"/>
          <w:sz w:val="16"/>
        </w:rPr>
        <w:t xml:space="preserve"> Artículo 12.4 del </w:t>
      </w:r>
      <w:r w:rsidRPr="005B4C1F">
        <w:rPr>
          <w:rFonts w:ascii="Palatino Linotype" w:eastAsiaTheme="minorEastAsia" w:hAnsi="Palatino Linotype" w:cs="Arial"/>
          <w:sz w:val="16"/>
        </w:rPr>
        <w:t>Código Administrativo del Estado de México.</w:t>
      </w:r>
    </w:p>
  </w:footnote>
  <w:footnote w:id="10">
    <w:p w14:paraId="5B31905E" w14:textId="77777777" w:rsidR="00B46D60" w:rsidRPr="005746BB" w:rsidRDefault="00B46D60" w:rsidP="00B46D60">
      <w:pPr>
        <w:pStyle w:val="Textonotapie"/>
        <w:rPr>
          <w:rFonts w:ascii="Palatino Linotype" w:hAnsi="Palatino Linotype"/>
          <w:sz w:val="16"/>
          <w:szCs w:val="16"/>
        </w:rPr>
      </w:pPr>
      <w:r w:rsidRPr="005746BB">
        <w:rPr>
          <w:rStyle w:val="Refdenotaalpie"/>
          <w:rFonts w:ascii="Palatino Linotype" w:hAnsi="Palatino Linotype"/>
          <w:sz w:val="16"/>
          <w:szCs w:val="16"/>
        </w:rPr>
        <w:footnoteRef/>
      </w:r>
      <w:r w:rsidRPr="005746BB">
        <w:rPr>
          <w:rFonts w:ascii="Palatino Linotype" w:hAnsi="Palatino Linotype"/>
          <w:sz w:val="16"/>
          <w:szCs w:val="16"/>
        </w:rPr>
        <w:t xml:space="preserve"> Artículo 12.8, ibídem.</w:t>
      </w:r>
    </w:p>
  </w:footnote>
  <w:footnote w:id="11">
    <w:p w14:paraId="177C5AE4" w14:textId="77777777" w:rsidR="00B46D60" w:rsidRDefault="00B46D60" w:rsidP="00B46D60">
      <w:pPr>
        <w:pStyle w:val="Textonotapie"/>
      </w:pPr>
      <w:r w:rsidRPr="006E3B82">
        <w:rPr>
          <w:rFonts w:ascii="Palatino Linotype" w:hAnsi="Palatino Linotype"/>
          <w:sz w:val="16"/>
          <w:szCs w:val="16"/>
          <w:vertAlign w:val="superscript"/>
        </w:rPr>
        <w:footnoteRef/>
      </w:r>
      <w:r w:rsidRPr="00B12D3B">
        <w:rPr>
          <w:rFonts w:ascii="Palatino Linotype" w:hAnsi="Palatino Linotype"/>
          <w:sz w:val="16"/>
          <w:szCs w:val="16"/>
        </w:rPr>
        <w:t xml:space="preserve"> Artículo 12.15, ibídem.</w:t>
      </w:r>
      <w:r>
        <w:t xml:space="preserve"> </w:t>
      </w:r>
    </w:p>
  </w:footnote>
  <w:footnote w:id="12">
    <w:p w14:paraId="18B79028" w14:textId="77777777" w:rsidR="00B46D60" w:rsidRPr="00BF6AA5" w:rsidRDefault="00B46D60" w:rsidP="00B46D60">
      <w:pPr>
        <w:pStyle w:val="Textonotapie"/>
        <w:rPr>
          <w:rFonts w:ascii="Palatino Linotype" w:hAnsi="Palatino Linotype"/>
          <w:sz w:val="16"/>
          <w:szCs w:val="16"/>
        </w:rPr>
      </w:pPr>
      <w:r w:rsidRPr="00BF6AA5">
        <w:rPr>
          <w:rStyle w:val="Refdenotaalpie"/>
          <w:rFonts w:ascii="Palatino Linotype" w:hAnsi="Palatino Linotype"/>
          <w:sz w:val="16"/>
          <w:szCs w:val="16"/>
        </w:rPr>
        <w:footnoteRef/>
      </w:r>
      <w:r w:rsidRPr="00BF6AA5">
        <w:rPr>
          <w:rFonts w:ascii="Palatino Linotype" w:hAnsi="Palatino Linotype"/>
          <w:sz w:val="16"/>
          <w:szCs w:val="16"/>
        </w:rPr>
        <w:t xml:space="preserve"> Sección Segunda del Libro </w:t>
      </w:r>
      <w:r w:rsidRPr="00BF6AA5">
        <w:rPr>
          <w:rFonts w:ascii="Palatino Linotype" w:eastAsiaTheme="minorEastAsia" w:hAnsi="Palatino Linotype" w:cs="Arial"/>
          <w:sz w:val="16"/>
          <w:szCs w:val="16"/>
        </w:rPr>
        <w:t>Décimo Segundo del Código Administrativo del Estado de México</w:t>
      </w:r>
      <w:r>
        <w:rPr>
          <w:rFonts w:ascii="Palatino Linotype" w:eastAsiaTheme="minorEastAsia" w:hAnsi="Palatino Linotype" w:cs="Arial"/>
          <w:sz w:val="16"/>
          <w:szCs w:val="16"/>
        </w:rPr>
        <w:t>.</w:t>
      </w:r>
    </w:p>
  </w:footnote>
  <w:footnote w:id="13">
    <w:p w14:paraId="5DE9C9C4" w14:textId="77777777" w:rsidR="00A7424D" w:rsidRDefault="00A7424D" w:rsidP="00A7424D">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14">
    <w:p w14:paraId="6CEE5797" w14:textId="77777777" w:rsidR="00A7424D" w:rsidRPr="008B7EFC" w:rsidRDefault="00A7424D" w:rsidP="00A7424D">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 w:id="15">
    <w:p w14:paraId="0EA33192" w14:textId="77777777" w:rsidR="00A7424D" w:rsidRDefault="00A7424D" w:rsidP="00A7424D">
      <w:pPr>
        <w:pStyle w:val="Textonotapie"/>
      </w:pPr>
      <w:r>
        <w:rPr>
          <w:rStyle w:val="Refdenotaalpie"/>
        </w:rPr>
        <w:footnoteRef/>
      </w:r>
      <w:r>
        <w:t xml:space="preserve"> </w:t>
      </w:r>
      <w:r w:rsidRPr="005D22CA">
        <w:rPr>
          <w:rFonts w:ascii="Palatino Linotype" w:hAnsi="Palatino Linotype"/>
          <w:sz w:val="16"/>
        </w:rPr>
        <w:t>Disponible para su consulta en: https://potcorporativo.cfe.mx/I%20Marco%20normativo/Documento%20completo%20de%20cada%20norma/Pol%C3%ADticas%20generales%20para%20la%20Cancelaci%C3%B3n%20de%20Adeudos%20a%20cargo%20de%20terceros%20y%20a%20favor%20de%20la%20CFE.pdf</w:t>
      </w:r>
    </w:p>
  </w:footnote>
  <w:footnote w:id="16">
    <w:p w14:paraId="782FFA11" w14:textId="6DDDBD24" w:rsidR="00DD11A6" w:rsidRPr="0008299B" w:rsidRDefault="00DD11A6" w:rsidP="0008299B">
      <w:pPr>
        <w:pStyle w:val="Textonotapie"/>
        <w:jc w:val="both"/>
        <w:rPr>
          <w:rFonts w:ascii="Palatino Linotype" w:hAnsi="Palatino Linotype"/>
          <w:i/>
          <w:sz w:val="16"/>
          <w:szCs w:val="16"/>
        </w:rPr>
      </w:pPr>
      <w:r>
        <w:rPr>
          <w:rStyle w:val="Refdenotaalpie"/>
        </w:rPr>
        <w:footnoteRef/>
      </w:r>
      <w:r>
        <w:t xml:space="preserve"> </w:t>
      </w:r>
      <w:r w:rsidRPr="0008299B">
        <w:rPr>
          <w:rFonts w:ascii="Palatino Linotype" w:hAnsi="Palatino Linotype"/>
          <w:i/>
          <w:sz w:val="16"/>
          <w:szCs w:val="16"/>
        </w:rPr>
        <w:t xml:space="preserve">ALUMBRADO PÚBLICO. EL INTERÉS JURÍDICO PARA IMPUGNAR EN AMPARO EL DERECHO RELATIVO, SE ACREDITA CON EL AVISO-RECIBO EXPEDIDO POR LA COMISIÓN FEDERAL DE ELECTRICIDAD QUE CONSTITUYE EL ACTO CONCRETO DE APLICACIÓN DE LA LEY DE INGRESOS PARA EL MUNICIPIO DE ACAPULCO DE JUÁREZ, GUERRERO, VIGENTE PARA 2004. El artículo 81 de la citada ley que establece el derecho que por concepto de alumbrado público debe aportarse al Municipio a través de una cuota fija mensual o bimestral que determine la Comisión Federal de Electricidad tiene carácter de una ley </w:t>
      </w:r>
      <w:proofErr w:type="spellStart"/>
      <w:r w:rsidRPr="0008299B">
        <w:rPr>
          <w:rFonts w:ascii="Palatino Linotype" w:hAnsi="Palatino Linotype"/>
          <w:i/>
          <w:sz w:val="16"/>
          <w:szCs w:val="16"/>
        </w:rPr>
        <w:t>heteroaplicativa</w:t>
      </w:r>
      <w:proofErr w:type="spellEnd"/>
      <w:r w:rsidRPr="0008299B">
        <w:rPr>
          <w:rFonts w:ascii="Palatino Linotype" w:hAnsi="Palatino Linotype"/>
          <w:i/>
          <w:sz w:val="16"/>
          <w:szCs w:val="16"/>
        </w:rPr>
        <w:t xml:space="preserve"> que por su sola entrada en vigor no causa perjuicio ni modifica alguna situación jurídica existente, ya que la obligación de contribuir al gasto público ocasionado por ese servicio será exigible cuando el gobernado conozca el monto de esa contribución hasta que la autoridad administrativa, mediante el recibo que para ese efecto emita, efectúe su cobro; acto diverso a la simple expedición de la norma que condiciona su aplicación a la realización de aquel evento, el cual constituye el acto concreto de aplicación. Ahora bien, el hecho de que el monto consignado en el aviso-recibo no corresponda a la tarifa de usuario en que se clasificó a la quejosa, no implica que no se haya aplicado la cuota fija que establecen las disposiciones legales impugnadas, pues su inclusión en el documento de mérito, al especificar en el concepto "DAP" cierta cantidad, no puede tener otro soporte que aquéllas, dado que cuando una norma jurídica no es expresada por la autoridad como el sustento de su actuación, el interés jurídico para impugnarla mediante el juicio de amparo proviene tanto de la disposición legal como de su aplicación. Así, con independencia de que la autoridad someta su actuar a los precisos términos de las disposiciones que debieron aplicarse, debe tenerse en cuenta que dicha documental fue expedida en uso de la facultad que le otorga tanto la Ley del Servicio Público de Energía Eléctrica como la Ley de Ingresos combatida.</w:t>
      </w:r>
    </w:p>
    <w:p w14:paraId="63996292" w14:textId="77777777" w:rsidR="00DD11A6" w:rsidRDefault="00DD11A6" w:rsidP="0008299B">
      <w:pPr>
        <w:pStyle w:val="Textonotapie"/>
      </w:pPr>
    </w:p>
    <w:p w14:paraId="71386C6A" w14:textId="5F633C0D" w:rsidR="00DD11A6" w:rsidRPr="0008299B" w:rsidRDefault="00DD11A6">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DD11A6" w14:paraId="6B4E3B81" w14:textId="77777777" w:rsidTr="009D4854">
      <w:tc>
        <w:tcPr>
          <w:tcW w:w="2553" w:type="dxa"/>
          <w:vAlign w:val="center"/>
          <w:hideMark/>
        </w:tcPr>
        <w:p w14:paraId="0ABBC6C0" w14:textId="77777777" w:rsidR="00DD11A6" w:rsidRDefault="00DD11A6"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5470096D" w:rsidR="00DD11A6" w:rsidRDefault="00DD11A6" w:rsidP="0008736D">
          <w:pPr>
            <w:rPr>
              <w:rFonts w:ascii="Palatino Linotype" w:hAnsi="Palatino Linotype"/>
              <w:b/>
              <w:sz w:val="22"/>
              <w:szCs w:val="22"/>
              <w:lang w:val="es-ES_tradnl"/>
            </w:rPr>
          </w:pPr>
          <w:r w:rsidRPr="004440AC">
            <w:rPr>
              <w:rFonts w:ascii="Palatino Linotype" w:eastAsiaTheme="minorEastAsia" w:hAnsi="Palatino Linotype" w:cs="Arial"/>
              <w:b/>
              <w:bCs/>
              <w:sz w:val="22"/>
              <w:szCs w:val="22"/>
              <w:lang w:val="es-MX"/>
            </w:rPr>
            <w:t>0</w:t>
          </w:r>
          <w:r>
            <w:rPr>
              <w:rFonts w:ascii="Palatino Linotype" w:eastAsiaTheme="minorEastAsia" w:hAnsi="Palatino Linotype" w:cs="Arial"/>
              <w:b/>
              <w:bCs/>
              <w:color w:val="C00000"/>
              <w:sz w:val="22"/>
              <w:szCs w:val="22"/>
              <w:lang w:val="es-MX"/>
            </w:rPr>
            <w:t>4799</w:t>
          </w:r>
          <w:r>
            <w:rPr>
              <w:rFonts w:ascii="Palatino Linotype" w:eastAsiaTheme="minorEastAsia" w:hAnsi="Palatino Linotype" w:cs="Arial"/>
              <w:b/>
              <w:bCs/>
              <w:sz w:val="22"/>
              <w:szCs w:val="22"/>
              <w:lang w:val="es-MX"/>
            </w:rPr>
            <w:t>/INFOEM/IP/RR/2018</w:t>
          </w:r>
        </w:p>
      </w:tc>
    </w:tr>
    <w:tr w:rsidR="00DD11A6" w14:paraId="31CB780F" w14:textId="77777777" w:rsidTr="009D4854">
      <w:trPr>
        <w:trHeight w:val="228"/>
      </w:trPr>
      <w:tc>
        <w:tcPr>
          <w:tcW w:w="2553" w:type="dxa"/>
          <w:vAlign w:val="center"/>
          <w:hideMark/>
        </w:tcPr>
        <w:p w14:paraId="4F49CB4A" w14:textId="6966D32E" w:rsidR="00DD11A6" w:rsidRDefault="00DD11A6"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2EE85BFA" w:rsidR="00DD11A6" w:rsidRDefault="00DD11A6" w:rsidP="007317F8">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Ayuntamiento de Tenango del Aire</w:t>
          </w:r>
        </w:p>
      </w:tc>
    </w:tr>
    <w:tr w:rsidR="00DD11A6" w14:paraId="69050F56" w14:textId="77777777" w:rsidTr="009D4854">
      <w:tc>
        <w:tcPr>
          <w:tcW w:w="2553" w:type="dxa"/>
          <w:vAlign w:val="center"/>
          <w:hideMark/>
        </w:tcPr>
        <w:p w14:paraId="65C9B735" w14:textId="1BD9C7F4" w:rsidR="00DD11A6" w:rsidRDefault="00DD11A6"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2596540D" w:rsidR="00DD11A6" w:rsidRDefault="00DD11A6" w:rsidP="009D4854">
          <w:pPr>
            <w:ind w:right="-533"/>
            <w:rPr>
              <w:rFonts w:ascii="Palatino Linotype" w:hAnsi="Palatino Linotype"/>
              <w:b/>
              <w:sz w:val="22"/>
              <w:szCs w:val="22"/>
              <w:lang w:val="es-ES_tradnl"/>
            </w:rPr>
          </w:pPr>
          <w:r w:rsidRPr="0021764E">
            <w:rPr>
              <w:rFonts w:ascii="Palatino Linotype" w:hAnsi="Palatino Linotype"/>
              <w:b/>
              <w:sz w:val="22"/>
              <w:szCs w:val="22"/>
            </w:rPr>
            <w:t>Javier Martínez Cruz</w:t>
          </w:r>
        </w:p>
      </w:tc>
    </w:tr>
  </w:tbl>
  <w:p w14:paraId="0F9141D0" w14:textId="6BE66C20" w:rsidR="00DD11A6" w:rsidRDefault="00DD11A6" w:rsidP="006F30F8">
    <w:pPr>
      <w:pStyle w:val="Encabezado"/>
      <w:tabs>
        <w:tab w:val="clear" w:pos="4252"/>
        <w:tab w:val="clear" w:pos="8504"/>
        <w:tab w:val="left" w:pos="2326"/>
      </w:tabs>
    </w:pPr>
    <w:r>
      <w:tab/>
    </w:r>
  </w:p>
  <w:p w14:paraId="23403E59" w14:textId="77777777" w:rsidR="00DD11A6" w:rsidRDefault="00DD11A6"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517AB7B5" w:rsidR="00DD11A6" w:rsidRDefault="00DD11A6" w:rsidP="00C47D1B">
    <w:pPr>
      <w:pStyle w:val="Encabezado"/>
      <w:jc w:val="both"/>
    </w:pPr>
    <w:r>
      <w:t xml:space="preserve">                                  </w:t>
    </w:r>
  </w:p>
  <w:tbl>
    <w:tblPr>
      <w:tblW w:w="6240" w:type="dxa"/>
      <w:tblInd w:w="3685" w:type="dxa"/>
      <w:tblLayout w:type="fixed"/>
      <w:tblLook w:val="04A0" w:firstRow="1" w:lastRow="0" w:firstColumn="1" w:lastColumn="0" w:noHBand="0" w:noVBand="1"/>
    </w:tblPr>
    <w:tblGrid>
      <w:gridCol w:w="2553"/>
      <w:gridCol w:w="3687"/>
    </w:tblGrid>
    <w:tr w:rsidR="00DD11A6" w14:paraId="477E149B" w14:textId="77777777" w:rsidTr="00C47D1B">
      <w:tc>
        <w:tcPr>
          <w:tcW w:w="2553" w:type="dxa"/>
          <w:vAlign w:val="center"/>
          <w:hideMark/>
        </w:tcPr>
        <w:p w14:paraId="5C0586E4" w14:textId="77777777" w:rsidR="00DD11A6" w:rsidRDefault="00DD11A6"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54C3CCE7" w:rsidR="00DD11A6" w:rsidRPr="004440AC" w:rsidRDefault="00DD11A6" w:rsidP="0008736D">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w:t>
          </w:r>
          <w:r>
            <w:rPr>
              <w:rFonts w:ascii="Palatino Linotype" w:eastAsiaTheme="minorEastAsia" w:hAnsi="Palatino Linotype" w:cs="Arial"/>
              <w:b/>
              <w:bCs/>
              <w:color w:val="C00000"/>
              <w:sz w:val="22"/>
              <w:szCs w:val="22"/>
              <w:lang w:val="es-MX"/>
            </w:rPr>
            <w:t>4799</w:t>
          </w:r>
          <w:r w:rsidRPr="004440AC">
            <w:rPr>
              <w:rFonts w:ascii="Palatino Linotype" w:eastAsiaTheme="minorEastAsia" w:hAnsi="Palatino Linotype" w:cs="Arial"/>
              <w:b/>
              <w:bCs/>
              <w:sz w:val="22"/>
              <w:szCs w:val="22"/>
              <w:lang w:val="es-MX"/>
            </w:rPr>
            <w:t>/INFOEM/IP/RR/201</w:t>
          </w:r>
          <w:r>
            <w:rPr>
              <w:rFonts w:ascii="Palatino Linotype" w:eastAsiaTheme="minorEastAsia" w:hAnsi="Palatino Linotype" w:cs="Arial"/>
              <w:b/>
              <w:bCs/>
              <w:sz w:val="22"/>
              <w:szCs w:val="22"/>
              <w:lang w:val="es-MX"/>
            </w:rPr>
            <w:t>8</w:t>
          </w:r>
        </w:p>
      </w:tc>
    </w:tr>
    <w:tr w:rsidR="00DD11A6" w14:paraId="5B5BE21C" w14:textId="77777777" w:rsidTr="00C47D1B">
      <w:tc>
        <w:tcPr>
          <w:tcW w:w="2553" w:type="dxa"/>
          <w:vAlign w:val="center"/>
          <w:hideMark/>
        </w:tcPr>
        <w:p w14:paraId="4AE96902" w14:textId="4E063913" w:rsidR="00DD11A6" w:rsidRDefault="00DD11A6"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1625B148" w:rsidR="00DD11A6" w:rsidRPr="004440AC" w:rsidRDefault="00CB72BE" w:rsidP="00CB72BE">
          <w:pPr>
            <w:rPr>
              <w:rFonts w:ascii="Palatino Linotype" w:hAnsi="Palatino Linotype"/>
              <w:b/>
              <w:sz w:val="22"/>
              <w:szCs w:val="22"/>
              <w:lang w:val="es-ES_tradnl"/>
            </w:rPr>
          </w:pPr>
          <w:proofErr w:type="spellStart"/>
          <w:r>
            <w:rPr>
              <w:rFonts w:ascii="Palatino Linotype" w:eastAsiaTheme="minorEastAsia" w:hAnsi="Palatino Linotype" w:cs="Arial"/>
              <w:b/>
              <w:color w:val="C00000"/>
              <w:sz w:val="22"/>
              <w:szCs w:val="22"/>
              <w:lang w:val="es-MX"/>
            </w:rPr>
            <w:t>Xxxxxx</w:t>
          </w:r>
          <w:proofErr w:type="spellEnd"/>
          <w:r>
            <w:rPr>
              <w:rFonts w:ascii="Palatino Linotype" w:eastAsiaTheme="minorEastAsia" w:hAnsi="Palatino Linotype" w:cs="Arial"/>
              <w:b/>
              <w:color w:val="C00000"/>
              <w:sz w:val="22"/>
              <w:szCs w:val="22"/>
              <w:lang w:val="es-MX"/>
            </w:rPr>
            <w:t xml:space="preserve"> </w:t>
          </w:r>
          <w:proofErr w:type="spellStart"/>
          <w:r>
            <w:rPr>
              <w:rFonts w:ascii="Palatino Linotype" w:eastAsiaTheme="minorEastAsia" w:hAnsi="Palatino Linotype" w:cs="Arial"/>
              <w:b/>
              <w:color w:val="C00000"/>
              <w:sz w:val="22"/>
              <w:szCs w:val="22"/>
              <w:lang w:val="es-MX"/>
            </w:rPr>
            <w:t>Xxxxx</w:t>
          </w:r>
          <w:proofErr w:type="spellEnd"/>
        </w:p>
      </w:tc>
    </w:tr>
    <w:tr w:rsidR="00DD11A6" w14:paraId="22601A11" w14:textId="77777777" w:rsidTr="00C47D1B">
      <w:trPr>
        <w:trHeight w:val="228"/>
      </w:trPr>
      <w:tc>
        <w:tcPr>
          <w:tcW w:w="2553" w:type="dxa"/>
          <w:vAlign w:val="center"/>
          <w:hideMark/>
        </w:tcPr>
        <w:p w14:paraId="6EFE221D" w14:textId="49C5F800" w:rsidR="00DD11A6" w:rsidRDefault="00DD11A6"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709D5B7C" w:rsidR="00DD11A6" w:rsidRPr="004440AC" w:rsidRDefault="00DD11A6" w:rsidP="007317F8">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Ayuntamiento de Tenango del Aire</w:t>
          </w:r>
        </w:p>
      </w:tc>
    </w:tr>
    <w:tr w:rsidR="00DD11A6" w14:paraId="2D6C630E" w14:textId="77777777" w:rsidTr="00C47D1B">
      <w:tc>
        <w:tcPr>
          <w:tcW w:w="2553" w:type="dxa"/>
          <w:vAlign w:val="center"/>
          <w:hideMark/>
        </w:tcPr>
        <w:p w14:paraId="5BD4C6DB" w14:textId="0AEF79C2" w:rsidR="00DD11A6" w:rsidRDefault="00DD11A6"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02A85023" w:rsidR="00DD11A6" w:rsidRPr="004440AC" w:rsidRDefault="00DD11A6" w:rsidP="00C47D1B">
          <w:pPr>
            <w:ind w:right="-533"/>
            <w:rPr>
              <w:rFonts w:ascii="Palatino Linotype" w:hAnsi="Palatino Linotype"/>
              <w:b/>
              <w:sz w:val="22"/>
              <w:szCs w:val="22"/>
              <w:lang w:val="es-ES_tradnl"/>
            </w:rPr>
          </w:pPr>
          <w:r w:rsidRPr="004440AC">
            <w:rPr>
              <w:rFonts w:ascii="Palatino Linotype" w:hAnsi="Palatino Linotype"/>
              <w:b/>
              <w:sz w:val="22"/>
              <w:szCs w:val="22"/>
            </w:rPr>
            <w:t>Javier Martínez Cruz</w:t>
          </w:r>
        </w:p>
      </w:tc>
    </w:tr>
  </w:tbl>
  <w:p w14:paraId="59DE3767" w14:textId="6FD10F8D" w:rsidR="00DD11A6" w:rsidRDefault="00DD11A6"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A32EB"/>
    <w:multiLevelType w:val="hybridMultilevel"/>
    <w:tmpl w:val="1AC8C468"/>
    <w:lvl w:ilvl="0" w:tplc="0BCCCBE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D1543"/>
    <w:multiLevelType w:val="hybridMultilevel"/>
    <w:tmpl w:val="CA3C02E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14AA5"/>
    <w:multiLevelType w:val="hybridMultilevel"/>
    <w:tmpl w:val="B9CEA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574E8F"/>
    <w:multiLevelType w:val="hybridMultilevel"/>
    <w:tmpl w:val="18FE07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4E48A1"/>
    <w:multiLevelType w:val="hybridMultilevel"/>
    <w:tmpl w:val="6E0EA8B8"/>
    <w:lvl w:ilvl="0" w:tplc="942E294A">
      <w:start w:val="1"/>
      <w:numFmt w:val="decimal"/>
      <w:lvlText w:val="%1)"/>
      <w:lvlJc w:val="left"/>
      <w:pPr>
        <w:ind w:left="1211"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176346"/>
    <w:multiLevelType w:val="hybridMultilevel"/>
    <w:tmpl w:val="5012131E"/>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DA4F2E"/>
    <w:multiLevelType w:val="hybridMultilevel"/>
    <w:tmpl w:val="C8B07C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6E7098"/>
    <w:multiLevelType w:val="hybridMultilevel"/>
    <w:tmpl w:val="804A3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730551"/>
    <w:multiLevelType w:val="hybridMultilevel"/>
    <w:tmpl w:val="72DE164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221249C7"/>
    <w:multiLevelType w:val="hybridMultilevel"/>
    <w:tmpl w:val="B9CEA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841246"/>
    <w:multiLevelType w:val="hybridMultilevel"/>
    <w:tmpl w:val="64DCAF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AE96E7B"/>
    <w:multiLevelType w:val="hybridMultilevel"/>
    <w:tmpl w:val="5CE09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113752"/>
    <w:multiLevelType w:val="hybridMultilevel"/>
    <w:tmpl w:val="F76A2C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147E2"/>
    <w:multiLevelType w:val="hybridMultilevel"/>
    <w:tmpl w:val="E1B8F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BC1C7C"/>
    <w:multiLevelType w:val="hybridMultilevel"/>
    <w:tmpl w:val="D982EE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D9535C"/>
    <w:multiLevelType w:val="hybridMultilevel"/>
    <w:tmpl w:val="7E7CE852"/>
    <w:lvl w:ilvl="0" w:tplc="3E4A1EFE">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6A11A3"/>
    <w:multiLevelType w:val="multilevel"/>
    <w:tmpl w:val="A508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7968A0"/>
    <w:multiLevelType w:val="hybridMultilevel"/>
    <w:tmpl w:val="85B4E934"/>
    <w:lvl w:ilvl="0" w:tplc="AD6C89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54C4246"/>
    <w:multiLevelType w:val="hybridMultilevel"/>
    <w:tmpl w:val="B9CEA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951347"/>
    <w:multiLevelType w:val="hybridMultilevel"/>
    <w:tmpl w:val="6C649A0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A00262C"/>
    <w:multiLevelType w:val="hybridMultilevel"/>
    <w:tmpl w:val="611E4B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B525BE"/>
    <w:multiLevelType w:val="hybridMultilevel"/>
    <w:tmpl w:val="0BA6577E"/>
    <w:lvl w:ilvl="0" w:tplc="AD286794">
      <w:start w:val="9"/>
      <w:numFmt w:val="bullet"/>
      <w:lvlText w:val="-"/>
      <w:lvlJc w:val="left"/>
      <w:pPr>
        <w:ind w:left="720" w:hanging="360"/>
      </w:pPr>
      <w:rPr>
        <w:rFonts w:ascii="Palatino Linotype" w:eastAsiaTheme="minorEastAsia"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D20988"/>
    <w:multiLevelType w:val="hybridMultilevel"/>
    <w:tmpl w:val="CA3C02E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DC70DA"/>
    <w:multiLevelType w:val="hybridMultilevel"/>
    <w:tmpl w:val="E55E0452"/>
    <w:lvl w:ilvl="0" w:tplc="B78273D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539E0C10"/>
    <w:multiLevelType w:val="hybridMultilevel"/>
    <w:tmpl w:val="5CE09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5F7C7A"/>
    <w:multiLevelType w:val="hybridMultilevel"/>
    <w:tmpl w:val="91B8B9CC"/>
    <w:lvl w:ilvl="0" w:tplc="B73C20D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94D6A"/>
    <w:multiLevelType w:val="hybridMultilevel"/>
    <w:tmpl w:val="5F4665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9C3912"/>
    <w:multiLevelType w:val="hybridMultilevel"/>
    <w:tmpl w:val="2D4C2C1A"/>
    <w:lvl w:ilvl="0" w:tplc="52644142">
      <w:start w:val="1"/>
      <w:numFmt w:val="decimal"/>
      <w:lvlText w:val="%1."/>
      <w:lvlJc w:val="left"/>
      <w:pPr>
        <w:ind w:left="780" w:hanging="360"/>
      </w:pPr>
      <w:rPr>
        <w:rFonts w:hint="default"/>
        <w:b/>
        <w:i w:val="0"/>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1" w15:restartNumberingAfterBreak="0">
    <w:nsid w:val="60D0444A"/>
    <w:multiLevelType w:val="hybridMultilevel"/>
    <w:tmpl w:val="9B349428"/>
    <w:lvl w:ilvl="0" w:tplc="91003BC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637E218F"/>
    <w:multiLevelType w:val="hybridMultilevel"/>
    <w:tmpl w:val="63FAFFF6"/>
    <w:lvl w:ilvl="0" w:tplc="942E294A">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63AA33D4"/>
    <w:multiLevelType w:val="hybridMultilevel"/>
    <w:tmpl w:val="FABA3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EF3BDE"/>
    <w:multiLevelType w:val="hybridMultilevel"/>
    <w:tmpl w:val="C464B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3A1917"/>
    <w:multiLevelType w:val="hybridMultilevel"/>
    <w:tmpl w:val="7FC40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9"/>
  </w:num>
  <w:num w:numId="4">
    <w:abstractNumId w:val="19"/>
  </w:num>
  <w:num w:numId="5">
    <w:abstractNumId w:val="14"/>
  </w:num>
  <w:num w:numId="6">
    <w:abstractNumId w:val="32"/>
  </w:num>
  <w:num w:numId="7">
    <w:abstractNumId w:val="4"/>
  </w:num>
  <w:num w:numId="8">
    <w:abstractNumId w:val="31"/>
  </w:num>
  <w:num w:numId="9">
    <w:abstractNumId w:val="0"/>
  </w:num>
  <w:num w:numId="10">
    <w:abstractNumId w:val="34"/>
  </w:num>
  <w:num w:numId="11">
    <w:abstractNumId w:val="12"/>
  </w:num>
  <w:num w:numId="12">
    <w:abstractNumId w:val="35"/>
  </w:num>
  <w:num w:numId="13">
    <w:abstractNumId w:val="2"/>
  </w:num>
  <w:num w:numId="14">
    <w:abstractNumId w:val="28"/>
  </w:num>
  <w:num w:numId="15">
    <w:abstractNumId w:val="8"/>
  </w:num>
  <w:num w:numId="16">
    <w:abstractNumId w:val="25"/>
  </w:num>
  <w:num w:numId="17">
    <w:abstractNumId w:val="20"/>
  </w:num>
  <w:num w:numId="18">
    <w:abstractNumId w:val="1"/>
  </w:num>
  <w:num w:numId="19">
    <w:abstractNumId w:val="10"/>
  </w:num>
  <w:num w:numId="20">
    <w:abstractNumId w:val="22"/>
  </w:num>
  <w:num w:numId="21">
    <w:abstractNumId w:val="5"/>
  </w:num>
  <w:num w:numId="22">
    <w:abstractNumId w:val="13"/>
  </w:num>
  <w:num w:numId="23">
    <w:abstractNumId w:val="27"/>
  </w:num>
  <w:num w:numId="24">
    <w:abstractNumId w:val="24"/>
  </w:num>
  <w:num w:numId="25">
    <w:abstractNumId w:val="33"/>
  </w:num>
  <w:num w:numId="26">
    <w:abstractNumId w:val="23"/>
  </w:num>
  <w:num w:numId="27">
    <w:abstractNumId w:val="7"/>
  </w:num>
  <w:num w:numId="28">
    <w:abstractNumId w:val="3"/>
  </w:num>
  <w:num w:numId="29">
    <w:abstractNumId w:val="16"/>
  </w:num>
  <w:num w:numId="30">
    <w:abstractNumId w:val="11"/>
  </w:num>
  <w:num w:numId="31">
    <w:abstractNumId w:val="18"/>
  </w:num>
  <w:num w:numId="32">
    <w:abstractNumId w:val="15"/>
  </w:num>
  <w:num w:numId="33">
    <w:abstractNumId w:val="36"/>
  </w:num>
  <w:num w:numId="34">
    <w:abstractNumId w:val="17"/>
  </w:num>
  <w:num w:numId="35">
    <w:abstractNumId w:val="26"/>
  </w:num>
  <w:num w:numId="36">
    <w:abstractNumId w:val="21"/>
  </w:num>
  <w:num w:numId="3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11B5"/>
    <w:rsid w:val="00003255"/>
    <w:rsid w:val="000035AE"/>
    <w:rsid w:val="000045DA"/>
    <w:rsid w:val="0000625E"/>
    <w:rsid w:val="000064FC"/>
    <w:rsid w:val="00007CF3"/>
    <w:rsid w:val="00007D6B"/>
    <w:rsid w:val="00011FE4"/>
    <w:rsid w:val="00012A5F"/>
    <w:rsid w:val="000155F8"/>
    <w:rsid w:val="000163E2"/>
    <w:rsid w:val="00017394"/>
    <w:rsid w:val="00017BE1"/>
    <w:rsid w:val="00020A18"/>
    <w:rsid w:val="00020FBB"/>
    <w:rsid w:val="00021E8D"/>
    <w:rsid w:val="0002371F"/>
    <w:rsid w:val="000239D7"/>
    <w:rsid w:val="00023BCD"/>
    <w:rsid w:val="00023C79"/>
    <w:rsid w:val="000252E9"/>
    <w:rsid w:val="00025FCD"/>
    <w:rsid w:val="00026705"/>
    <w:rsid w:val="00026D94"/>
    <w:rsid w:val="0003385D"/>
    <w:rsid w:val="00035413"/>
    <w:rsid w:val="000354B7"/>
    <w:rsid w:val="000359D8"/>
    <w:rsid w:val="00035B1B"/>
    <w:rsid w:val="00035F2E"/>
    <w:rsid w:val="00036575"/>
    <w:rsid w:val="00036B8A"/>
    <w:rsid w:val="000423C7"/>
    <w:rsid w:val="000425AA"/>
    <w:rsid w:val="0004471E"/>
    <w:rsid w:val="000454F9"/>
    <w:rsid w:val="00045FD8"/>
    <w:rsid w:val="0004750C"/>
    <w:rsid w:val="00047F41"/>
    <w:rsid w:val="00057073"/>
    <w:rsid w:val="00060CD1"/>
    <w:rsid w:val="00061B28"/>
    <w:rsid w:val="00062CC1"/>
    <w:rsid w:val="000646E3"/>
    <w:rsid w:val="000652AD"/>
    <w:rsid w:val="000667E0"/>
    <w:rsid w:val="0006730A"/>
    <w:rsid w:val="0006786B"/>
    <w:rsid w:val="00071462"/>
    <w:rsid w:val="00071A99"/>
    <w:rsid w:val="000752EF"/>
    <w:rsid w:val="00075D7A"/>
    <w:rsid w:val="00077347"/>
    <w:rsid w:val="00077788"/>
    <w:rsid w:val="0008299B"/>
    <w:rsid w:val="0008304C"/>
    <w:rsid w:val="00083058"/>
    <w:rsid w:val="00083113"/>
    <w:rsid w:val="0008387F"/>
    <w:rsid w:val="0008542A"/>
    <w:rsid w:val="00086447"/>
    <w:rsid w:val="0008736D"/>
    <w:rsid w:val="00087498"/>
    <w:rsid w:val="00087514"/>
    <w:rsid w:val="000879EF"/>
    <w:rsid w:val="00090EBA"/>
    <w:rsid w:val="00091682"/>
    <w:rsid w:val="000922D4"/>
    <w:rsid w:val="00094E67"/>
    <w:rsid w:val="00095E37"/>
    <w:rsid w:val="00096DF1"/>
    <w:rsid w:val="00097EF0"/>
    <w:rsid w:val="000A0BA3"/>
    <w:rsid w:val="000A0D0B"/>
    <w:rsid w:val="000A1403"/>
    <w:rsid w:val="000A16A2"/>
    <w:rsid w:val="000A1C9A"/>
    <w:rsid w:val="000A1E1F"/>
    <w:rsid w:val="000A351A"/>
    <w:rsid w:val="000A4EC4"/>
    <w:rsid w:val="000A515A"/>
    <w:rsid w:val="000A577A"/>
    <w:rsid w:val="000A6651"/>
    <w:rsid w:val="000A7C0E"/>
    <w:rsid w:val="000B0C87"/>
    <w:rsid w:val="000B2B61"/>
    <w:rsid w:val="000B2CE3"/>
    <w:rsid w:val="000B2FE2"/>
    <w:rsid w:val="000B3A0B"/>
    <w:rsid w:val="000B3FFD"/>
    <w:rsid w:val="000B5351"/>
    <w:rsid w:val="000B74BA"/>
    <w:rsid w:val="000B7B5A"/>
    <w:rsid w:val="000C057C"/>
    <w:rsid w:val="000C4453"/>
    <w:rsid w:val="000C54A3"/>
    <w:rsid w:val="000C7714"/>
    <w:rsid w:val="000C77C6"/>
    <w:rsid w:val="000C7C04"/>
    <w:rsid w:val="000D03C2"/>
    <w:rsid w:val="000D0980"/>
    <w:rsid w:val="000D7676"/>
    <w:rsid w:val="000E059C"/>
    <w:rsid w:val="000E08B8"/>
    <w:rsid w:val="000E0E8E"/>
    <w:rsid w:val="000F20B4"/>
    <w:rsid w:val="000F71B5"/>
    <w:rsid w:val="000F7FE2"/>
    <w:rsid w:val="0010152C"/>
    <w:rsid w:val="00102498"/>
    <w:rsid w:val="00104E08"/>
    <w:rsid w:val="00107249"/>
    <w:rsid w:val="001073CC"/>
    <w:rsid w:val="00107A49"/>
    <w:rsid w:val="001110FC"/>
    <w:rsid w:val="00112067"/>
    <w:rsid w:val="00112892"/>
    <w:rsid w:val="00114D4B"/>
    <w:rsid w:val="00114DDF"/>
    <w:rsid w:val="00115594"/>
    <w:rsid w:val="00115AAD"/>
    <w:rsid w:val="001201F0"/>
    <w:rsid w:val="00124762"/>
    <w:rsid w:val="00125637"/>
    <w:rsid w:val="00130642"/>
    <w:rsid w:val="001306E4"/>
    <w:rsid w:val="00130A42"/>
    <w:rsid w:val="00130F20"/>
    <w:rsid w:val="001354D6"/>
    <w:rsid w:val="00136083"/>
    <w:rsid w:val="001407EE"/>
    <w:rsid w:val="00141F78"/>
    <w:rsid w:val="00142A63"/>
    <w:rsid w:val="00143967"/>
    <w:rsid w:val="00145D65"/>
    <w:rsid w:val="00147E1D"/>
    <w:rsid w:val="00151D19"/>
    <w:rsid w:val="00152866"/>
    <w:rsid w:val="00154F9F"/>
    <w:rsid w:val="0015575F"/>
    <w:rsid w:val="00155C46"/>
    <w:rsid w:val="00161FC4"/>
    <w:rsid w:val="00163B98"/>
    <w:rsid w:val="00166139"/>
    <w:rsid w:val="001667F0"/>
    <w:rsid w:val="00167F89"/>
    <w:rsid w:val="001701C4"/>
    <w:rsid w:val="00170E0A"/>
    <w:rsid w:val="00170FC7"/>
    <w:rsid w:val="00172089"/>
    <w:rsid w:val="001723BF"/>
    <w:rsid w:val="00173F22"/>
    <w:rsid w:val="0017530C"/>
    <w:rsid w:val="0017555E"/>
    <w:rsid w:val="00175974"/>
    <w:rsid w:val="00175CD2"/>
    <w:rsid w:val="00177A27"/>
    <w:rsid w:val="00181791"/>
    <w:rsid w:val="00183275"/>
    <w:rsid w:val="00184474"/>
    <w:rsid w:val="00184FBA"/>
    <w:rsid w:val="00186B63"/>
    <w:rsid w:val="001905F4"/>
    <w:rsid w:val="001911CC"/>
    <w:rsid w:val="00191232"/>
    <w:rsid w:val="00191780"/>
    <w:rsid w:val="0019308D"/>
    <w:rsid w:val="00197DA4"/>
    <w:rsid w:val="001A0542"/>
    <w:rsid w:val="001A1810"/>
    <w:rsid w:val="001A2131"/>
    <w:rsid w:val="001A21A6"/>
    <w:rsid w:val="001A2A37"/>
    <w:rsid w:val="001A2FF3"/>
    <w:rsid w:val="001A373A"/>
    <w:rsid w:val="001A4C5F"/>
    <w:rsid w:val="001A7913"/>
    <w:rsid w:val="001B3256"/>
    <w:rsid w:val="001B5099"/>
    <w:rsid w:val="001B6BDC"/>
    <w:rsid w:val="001B7BBA"/>
    <w:rsid w:val="001C0C3F"/>
    <w:rsid w:val="001C304B"/>
    <w:rsid w:val="001C4584"/>
    <w:rsid w:val="001C5205"/>
    <w:rsid w:val="001C5E2E"/>
    <w:rsid w:val="001C6065"/>
    <w:rsid w:val="001C775A"/>
    <w:rsid w:val="001D064E"/>
    <w:rsid w:val="001D36C6"/>
    <w:rsid w:val="001D43BD"/>
    <w:rsid w:val="001D54C7"/>
    <w:rsid w:val="001D5E80"/>
    <w:rsid w:val="001D63C6"/>
    <w:rsid w:val="001D78E5"/>
    <w:rsid w:val="001D7A7E"/>
    <w:rsid w:val="001E1C02"/>
    <w:rsid w:val="001E39C4"/>
    <w:rsid w:val="001E5075"/>
    <w:rsid w:val="001E50ED"/>
    <w:rsid w:val="001E5309"/>
    <w:rsid w:val="001E5B31"/>
    <w:rsid w:val="001E64BE"/>
    <w:rsid w:val="001F1B46"/>
    <w:rsid w:val="001F1F7D"/>
    <w:rsid w:val="001F2CA8"/>
    <w:rsid w:val="001F501F"/>
    <w:rsid w:val="001F79BC"/>
    <w:rsid w:val="00200119"/>
    <w:rsid w:val="0020054B"/>
    <w:rsid w:val="00200852"/>
    <w:rsid w:val="00201E21"/>
    <w:rsid w:val="0020460D"/>
    <w:rsid w:val="002048C6"/>
    <w:rsid w:val="00204C2A"/>
    <w:rsid w:val="00205361"/>
    <w:rsid w:val="00211018"/>
    <w:rsid w:val="00211484"/>
    <w:rsid w:val="00212FE4"/>
    <w:rsid w:val="002153F3"/>
    <w:rsid w:val="002155B0"/>
    <w:rsid w:val="00215922"/>
    <w:rsid w:val="00220958"/>
    <w:rsid w:val="00221545"/>
    <w:rsid w:val="00221D2C"/>
    <w:rsid w:val="00222F65"/>
    <w:rsid w:val="00223136"/>
    <w:rsid w:val="00223D0B"/>
    <w:rsid w:val="00230CC7"/>
    <w:rsid w:val="002310DA"/>
    <w:rsid w:val="00232249"/>
    <w:rsid w:val="0023264F"/>
    <w:rsid w:val="0023380E"/>
    <w:rsid w:val="002339A2"/>
    <w:rsid w:val="00233F88"/>
    <w:rsid w:val="00235FB4"/>
    <w:rsid w:val="002440EB"/>
    <w:rsid w:val="00244EEF"/>
    <w:rsid w:val="00247177"/>
    <w:rsid w:val="002473A9"/>
    <w:rsid w:val="00251066"/>
    <w:rsid w:val="00251C63"/>
    <w:rsid w:val="00252664"/>
    <w:rsid w:val="00253E81"/>
    <w:rsid w:val="002556CA"/>
    <w:rsid w:val="00256193"/>
    <w:rsid w:val="002608CE"/>
    <w:rsid w:val="0026164E"/>
    <w:rsid w:val="0026271B"/>
    <w:rsid w:val="002629E7"/>
    <w:rsid w:val="002630EE"/>
    <w:rsid w:val="002657BB"/>
    <w:rsid w:val="0026683E"/>
    <w:rsid w:val="00273D22"/>
    <w:rsid w:val="00273E91"/>
    <w:rsid w:val="00276F2E"/>
    <w:rsid w:val="00281EF2"/>
    <w:rsid w:val="00283308"/>
    <w:rsid w:val="0028416D"/>
    <w:rsid w:val="00285031"/>
    <w:rsid w:val="00287C71"/>
    <w:rsid w:val="00290A2D"/>
    <w:rsid w:val="00290C42"/>
    <w:rsid w:val="002937C6"/>
    <w:rsid w:val="00293DE5"/>
    <w:rsid w:val="002948A1"/>
    <w:rsid w:val="00294E82"/>
    <w:rsid w:val="00295078"/>
    <w:rsid w:val="00295C72"/>
    <w:rsid w:val="00295DE7"/>
    <w:rsid w:val="00297AB0"/>
    <w:rsid w:val="00297FDC"/>
    <w:rsid w:val="002A1583"/>
    <w:rsid w:val="002A4074"/>
    <w:rsid w:val="002A6CC7"/>
    <w:rsid w:val="002B0A1D"/>
    <w:rsid w:val="002B0EF8"/>
    <w:rsid w:val="002B1708"/>
    <w:rsid w:val="002B393B"/>
    <w:rsid w:val="002B4950"/>
    <w:rsid w:val="002B51AB"/>
    <w:rsid w:val="002B5C57"/>
    <w:rsid w:val="002B62AF"/>
    <w:rsid w:val="002B7622"/>
    <w:rsid w:val="002C0C5C"/>
    <w:rsid w:val="002C0C63"/>
    <w:rsid w:val="002C0F5C"/>
    <w:rsid w:val="002C4011"/>
    <w:rsid w:val="002C49B0"/>
    <w:rsid w:val="002C4BC2"/>
    <w:rsid w:val="002C4EBB"/>
    <w:rsid w:val="002C4F45"/>
    <w:rsid w:val="002C6154"/>
    <w:rsid w:val="002C6C4B"/>
    <w:rsid w:val="002D07B6"/>
    <w:rsid w:val="002D23B6"/>
    <w:rsid w:val="002D46BF"/>
    <w:rsid w:val="002D508B"/>
    <w:rsid w:val="002D5F1E"/>
    <w:rsid w:val="002D5FAE"/>
    <w:rsid w:val="002D7FA3"/>
    <w:rsid w:val="002E0EA2"/>
    <w:rsid w:val="002E155E"/>
    <w:rsid w:val="002E374C"/>
    <w:rsid w:val="002E5744"/>
    <w:rsid w:val="002E6172"/>
    <w:rsid w:val="002E6B74"/>
    <w:rsid w:val="002F1C4D"/>
    <w:rsid w:val="002F2315"/>
    <w:rsid w:val="002F2653"/>
    <w:rsid w:val="002F3A84"/>
    <w:rsid w:val="002F411A"/>
    <w:rsid w:val="002F4B70"/>
    <w:rsid w:val="002F5A90"/>
    <w:rsid w:val="002F6DF4"/>
    <w:rsid w:val="002F6F61"/>
    <w:rsid w:val="002F700E"/>
    <w:rsid w:val="00302787"/>
    <w:rsid w:val="00302FBC"/>
    <w:rsid w:val="00306B09"/>
    <w:rsid w:val="0030711C"/>
    <w:rsid w:val="00307205"/>
    <w:rsid w:val="0031046F"/>
    <w:rsid w:val="0031189B"/>
    <w:rsid w:val="00313AFB"/>
    <w:rsid w:val="00313FA6"/>
    <w:rsid w:val="00314023"/>
    <w:rsid w:val="00314587"/>
    <w:rsid w:val="003156AE"/>
    <w:rsid w:val="00321D72"/>
    <w:rsid w:val="00322AE2"/>
    <w:rsid w:val="00323623"/>
    <w:rsid w:val="0033030C"/>
    <w:rsid w:val="0033396B"/>
    <w:rsid w:val="00333C7C"/>
    <w:rsid w:val="003349F4"/>
    <w:rsid w:val="00335047"/>
    <w:rsid w:val="003358DC"/>
    <w:rsid w:val="003404F0"/>
    <w:rsid w:val="00340B86"/>
    <w:rsid w:val="0034164E"/>
    <w:rsid w:val="003420F7"/>
    <w:rsid w:val="003438B7"/>
    <w:rsid w:val="00344708"/>
    <w:rsid w:val="00347274"/>
    <w:rsid w:val="003519B1"/>
    <w:rsid w:val="00351CB7"/>
    <w:rsid w:val="003522A4"/>
    <w:rsid w:val="003537DE"/>
    <w:rsid w:val="00354A9E"/>
    <w:rsid w:val="00355706"/>
    <w:rsid w:val="003557C1"/>
    <w:rsid w:val="003557DA"/>
    <w:rsid w:val="00355909"/>
    <w:rsid w:val="00355B75"/>
    <w:rsid w:val="00355F41"/>
    <w:rsid w:val="0035716F"/>
    <w:rsid w:val="0036086E"/>
    <w:rsid w:val="00362689"/>
    <w:rsid w:val="003633DD"/>
    <w:rsid w:val="00366C6B"/>
    <w:rsid w:val="00367CE5"/>
    <w:rsid w:val="003710D0"/>
    <w:rsid w:val="0037225D"/>
    <w:rsid w:val="003729E8"/>
    <w:rsid w:val="00373B44"/>
    <w:rsid w:val="00373EDE"/>
    <w:rsid w:val="00380791"/>
    <w:rsid w:val="00381E05"/>
    <w:rsid w:val="00382014"/>
    <w:rsid w:val="00386E7A"/>
    <w:rsid w:val="00387B82"/>
    <w:rsid w:val="00391F37"/>
    <w:rsid w:val="00392EE5"/>
    <w:rsid w:val="00393317"/>
    <w:rsid w:val="003A11DD"/>
    <w:rsid w:val="003A1AF1"/>
    <w:rsid w:val="003A2B96"/>
    <w:rsid w:val="003A4399"/>
    <w:rsid w:val="003A5A6E"/>
    <w:rsid w:val="003A6186"/>
    <w:rsid w:val="003A640F"/>
    <w:rsid w:val="003A7A6D"/>
    <w:rsid w:val="003B000A"/>
    <w:rsid w:val="003B0688"/>
    <w:rsid w:val="003B31F9"/>
    <w:rsid w:val="003B3431"/>
    <w:rsid w:val="003B72E9"/>
    <w:rsid w:val="003B7EC1"/>
    <w:rsid w:val="003C4A79"/>
    <w:rsid w:val="003C55F5"/>
    <w:rsid w:val="003C5621"/>
    <w:rsid w:val="003C5A54"/>
    <w:rsid w:val="003C739F"/>
    <w:rsid w:val="003D1883"/>
    <w:rsid w:val="003D18A4"/>
    <w:rsid w:val="003D202C"/>
    <w:rsid w:val="003D48A3"/>
    <w:rsid w:val="003D4D18"/>
    <w:rsid w:val="003D5B72"/>
    <w:rsid w:val="003D5EEB"/>
    <w:rsid w:val="003D61B0"/>
    <w:rsid w:val="003E0A67"/>
    <w:rsid w:val="003E5D23"/>
    <w:rsid w:val="003E5DB7"/>
    <w:rsid w:val="003E6D0E"/>
    <w:rsid w:val="003F09F0"/>
    <w:rsid w:val="003F2039"/>
    <w:rsid w:val="003F2BA9"/>
    <w:rsid w:val="003F52C2"/>
    <w:rsid w:val="003F58C3"/>
    <w:rsid w:val="003F5CBA"/>
    <w:rsid w:val="0040233B"/>
    <w:rsid w:val="004024AC"/>
    <w:rsid w:val="00403236"/>
    <w:rsid w:val="00403F7A"/>
    <w:rsid w:val="004053FB"/>
    <w:rsid w:val="00410650"/>
    <w:rsid w:val="004106C1"/>
    <w:rsid w:val="004126F7"/>
    <w:rsid w:val="00414AE6"/>
    <w:rsid w:val="00414EE8"/>
    <w:rsid w:val="00416BBD"/>
    <w:rsid w:val="0042006D"/>
    <w:rsid w:val="00422852"/>
    <w:rsid w:val="0042327C"/>
    <w:rsid w:val="00423786"/>
    <w:rsid w:val="00424241"/>
    <w:rsid w:val="00425752"/>
    <w:rsid w:val="00431170"/>
    <w:rsid w:val="0043317E"/>
    <w:rsid w:val="00433345"/>
    <w:rsid w:val="00434264"/>
    <w:rsid w:val="004350B4"/>
    <w:rsid w:val="00436503"/>
    <w:rsid w:val="00441BF3"/>
    <w:rsid w:val="004436ED"/>
    <w:rsid w:val="004440AC"/>
    <w:rsid w:val="004443A2"/>
    <w:rsid w:val="00444919"/>
    <w:rsid w:val="0044547C"/>
    <w:rsid w:val="0044590C"/>
    <w:rsid w:val="00446BB3"/>
    <w:rsid w:val="00450869"/>
    <w:rsid w:val="0045197D"/>
    <w:rsid w:val="00451F5B"/>
    <w:rsid w:val="00453028"/>
    <w:rsid w:val="00453918"/>
    <w:rsid w:val="00455768"/>
    <w:rsid w:val="00456E2C"/>
    <w:rsid w:val="00457077"/>
    <w:rsid w:val="00457FC7"/>
    <w:rsid w:val="00462417"/>
    <w:rsid w:val="00464322"/>
    <w:rsid w:val="00464624"/>
    <w:rsid w:val="00465E62"/>
    <w:rsid w:val="0046659B"/>
    <w:rsid w:val="004677F9"/>
    <w:rsid w:val="00471EC2"/>
    <w:rsid w:val="00473B43"/>
    <w:rsid w:val="0047775E"/>
    <w:rsid w:val="00482731"/>
    <w:rsid w:val="0048286C"/>
    <w:rsid w:val="00483A0F"/>
    <w:rsid w:val="00484625"/>
    <w:rsid w:val="0048589D"/>
    <w:rsid w:val="00487282"/>
    <w:rsid w:val="004879E2"/>
    <w:rsid w:val="00487F15"/>
    <w:rsid w:val="004912A0"/>
    <w:rsid w:val="004928DE"/>
    <w:rsid w:val="00493E2F"/>
    <w:rsid w:val="0049576C"/>
    <w:rsid w:val="004A0EA8"/>
    <w:rsid w:val="004A14D9"/>
    <w:rsid w:val="004A21F6"/>
    <w:rsid w:val="004A3B39"/>
    <w:rsid w:val="004A4B61"/>
    <w:rsid w:val="004A6EFE"/>
    <w:rsid w:val="004B1858"/>
    <w:rsid w:val="004B2540"/>
    <w:rsid w:val="004B58C3"/>
    <w:rsid w:val="004B675F"/>
    <w:rsid w:val="004B72C5"/>
    <w:rsid w:val="004B7A1B"/>
    <w:rsid w:val="004C054C"/>
    <w:rsid w:val="004C08BF"/>
    <w:rsid w:val="004C3804"/>
    <w:rsid w:val="004C45A2"/>
    <w:rsid w:val="004C56DE"/>
    <w:rsid w:val="004C7629"/>
    <w:rsid w:val="004C7701"/>
    <w:rsid w:val="004D0A26"/>
    <w:rsid w:val="004D0EE4"/>
    <w:rsid w:val="004D1E91"/>
    <w:rsid w:val="004D25E0"/>
    <w:rsid w:val="004D482C"/>
    <w:rsid w:val="004D5AC0"/>
    <w:rsid w:val="004D5FEF"/>
    <w:rsid w:val="004D764F"/>
    <w:rsid w:val="004D7C73"/>
    <w:rsid w:val="004E1EBF"/>
    <w:rsid w:val="004E25D1"/>
    <w:rsid w:val="004E27AD"/>
    <w:rsid w:val="004E45B8"/>
    <w:rsid w:val="004E4987"/>
    <w:rsid w:val="004E585B"/>
    <w:rsid w:val="004F227C"/>
    <w:rsid w:val="004F3B64"/>
    <w:rsid w:val="004F5243"/>
    <w:rsid w:val="00501044"/>
    <w:rsid w:val="00505B26"/>
    <w:rsid w:val="00507449"/>
    <w:rsid w:val="00511092"/>
    <w:rsid w:val="00511602"/>
    <w:rsid w:val="0051367E"/>
    <w:rsid w:val="005164B6"/>
    <w:rsid w:val="00516E6A"/>
    <w:rsid w:val="00517437"/>
    <w:rsid w:val="005206C8"/>
    <w:rsid w:val="005218EA"/>
    <w:rsid w:val="00521EE1"/>
    <w:rsid w:val="0052414D"/>
    <w:rsid w:val="0052498A"/>
    <w:rsid w:val="00531ABD"/>
    <w:rsid w:val="00535560"/>
    <w:rsid w:val="005368E5"/>
    <w:rsid w:val="005408FA"/>
    <w:rsid w:val="005413A9"/>
    <w:rsid w:val="00542D8A"/>
    <w:rsid w:val="00544117"/>
    <w:rsid w:val="00544E0A"/>
    <w:rsid w:val="00545734"/>
    <w:rsid w:val="00551BA4"/>
    <w:rsid w:val="00552D59"/>
    <w:rsid w:val="00553604"/>
    <w:rsid w:val="00553D6D"/>
    <w:rsid w:val="00556686"/>
    <w:rsid w:val="00557D61"/>
    <w:rsid w:val="005608B3"/>
    <w:rsid w:val="005609B4"/>
    <w:rsid w:val="005639F9"/>
    <w:rsid w:val="0056588E"/>
    <w:rsid w:val="005671CD"/>
    <w:rsid w:val="0056749B"/>
    <w:rsid w:val="00571391"/>
    <w:rsid w:val="005732E7"/>
    <w:rsid w:val="00573949"/>
    <w:rsid w:val="00573ECF"/>
    <w:rsid w:val="005745EE"/>
    <w:rsid w:val="00575B60"/>
    <w:rsid w:val="00577287"/>
    <w:rsid w:val="0058269D"/>
    <w:rsid w:val="0058439D"/>
    <w:rsid w:val="00585149"/>
    <w:rsid w:val="0058544C"/>
    <w:rsid w:val="00585C24"/>
    <w:rsid w:val="00585C6E"/>
    <w:rsid w:val="0058743A"/>
    <w:rsid w:val="005875A9"/>
    <w:rsid w:val="00587E97"/>
    <w:rsid w:val="0059012B"/>
    <w:rsid w:val="0059069B"/>
    <w:rsid w:val="005921E5"/>
    <w:rsid w:val="00592755"/>
    <w:rsid w:val="00593DB7"/>
    <w:rsid w:val="00594366"/>
    <w:rsid w:val="00594BC5"/>
    <w:rsid w:val="005954E9"/>
    <w:rsid w:val="00597AB5"/>
    <w:rsid w:val="005A232E"/>
    <w:rsid w:val="005A3E06"/>
    <w:rsid w:val="005A682E"/>
    <w:rsid w:val="005A6845"/>
    <w:rsid w:val="005A7C3F"/>
    <w:rsid w:val="005B4020"/>
    <w:rsid w:val="005B4623"/>
    <w:rsid w:val="005B6938"/>
    <w:rsid w:val="005B7350"/>
    <w:rsid w:val="005C5799"/>
    <w:rsid w:val="005D1DF5"/>
    <w:rsid w:val="005D23E7"/>
    <w:rsid w:val="005D4472"/>
    <w:rsid w:val="005D45A0"/>
    <w:rsid w:val="005D52E6"/>
    <w:rsid w:val="005D5DED"/>
    <w:rsid w:val="005D6415"/>
    <w:rsid w:val="005D7248"/>
    <w:rsid w:val="005E0300"/>
    <w:rsid w:val="005E15A3"/>
    <w:rsid w:val="005E187B"/>
    <w:rsid w:val="005E35A0"/>
    <w:rsid w:val="005E4A3D"/>
    <w:rsid w:val="005E4F05"/>
    <w:rsid w:val="005E5859"/>
    <w:rsid w:val="005E5DC1"/>
    <w:rsid w:val="005E67EC"/>
    <w:rsid w:val="005E76FC"/>
    <w:rsid w:val="005E7F42"/>
    <w:rsid w:val="005F178D"/>
    <w:rsid w:val="005F391F"/>
    <w:rsid w:val="005F4DCE"/>
    <w:rsid w:val="005F5725"/>
    <w:rsid w:val="005F5ED5"/>
    <w:rsid w:val="00600733"/>
    <w:rsid w:val="006010BF"/>
    <w:rsid w:val="00601296"/>
    <w:rsid w:val="006031FE"/>
    <w:rsid w:val="006047FC"/>
    <w:rsid w:val="006048D2"/>
    <w:rsid w:val="006062AA"/>
    <w:rsid w:val="006077EB"/>
    <w:rsid w:val="006079C9"/>
    <w:rsid w:val="006100A1"/>
    <w:rsid w:val="00611F9E"/>
    <w:rsid w:val="0061663A"/>
    <w:rsid w:val="00616F4A"/>
    <w:rsid w:val="00621CA8"/>
    <w:rsid w:val="006222EA"/>
    <w:rsid w:val="00623EA3"/>
    <w:rsid w:val="00624BDB"/>
    <w:rsid w:val="0062541D"/>
    <w:rsid w:val="00625AFD"/>
    <w:rsid w:val="00625E1B"/>
    <w:rsid w:val="006270B1"/>
    <w:rsid w:val="00627B5D"/>
    <w:rsid w:val="0063130F"/>
    <w:rsid w:val="00633AB7"/>
    <w:rsid w:val="00634485"/>
    <w:rsid w:val="006345A0"/>
    <w:rsid w:val="00634692"/>
    <w:rsid w:val="006354DC"/>
    <w:rsid w:val="00637C16"/>
    <w:rsid w:val="006445D2"/>
    <w:rsid w:val="00647094"/>
    <w:rsid w:val="006473CC"/>
    <w:rsid w:val="0065487B"/>
    <w:rsid w:val="00655B83"/>
    <w:rsid w:val="00655F33"/>
    <w:rsid w:val="006564BD"/>
    <w:rsid w:val="00656C0A"/>
    <w:rsid w:val="00656C59"/>
    <w:rsid w:val="00657D7A"/>
    <w:rsid w:val="00660395"/>
    <w:rsid w:val="006606B2"/>
    <w:rsid w:val="006628C0"/>
    <w:rsid w:val="00662993"/>
    <w:rsid w:val="00664587"/>
    <w:rsid w:val="00666655"/>
    <w:rsid w:val="00666755"/>
    <w:rsid w:val="00670BF0"/>
    <w:rsid w:val="0067119C"/>
    <w:rsid w:val="006747B5"/>
    <w:rsid w:val="00675974"/>
    <w:rsid w:val="006803E8"/>
    <w:rsid w:val="00682656"/>
    <w:rsid w:val="00683EAC"/>
    <w:rsid w:val="00684EF6"/>
    <w:rsid w:val="00686279"/>
    <w:rsid w:val="00686A8A"/>
    <w:rsid w:val="006878A4"/>
    <w:rsid w:val="00690B63"/>
    <w:rsid w:val="006954F2"/>
    <w:rsid w:val="006957B8"/>
    <w:rsid w:val="006A03CD"/>
    <w:rsid w:val="006A06FE"/>
    <w:rsid w:val="006A1C0F"/>
    <w:rsid w:val="006A21FE"/>
    <w:rsid w:val="006A3FF3"/>
    <w:rsid w:val="006A42D4"/>
    <w:rsid w:val="006A4E98"/>
    <w:rsid w:val="006A77F3"/>
    <w:rsid w:val="006A7829"/>
    <w:rsid w:val="006B095F"/>
    <w:rsid w:val="006B2A9B"/>
    <w:rsid w:val="006B2BA6"/>
    <w:rsid w:val="006B49B1"/>
    <w:rsid w:val="006B4A50"/>
    <w:rsid w:val="006B4B65"/>
    <w:rsid w:val="006B537E"/>
    <w:rsid w:val="006B5F48"/>
    <w:rsid w:val="006C24A5"/>
    <w:rsid w:val="006C24CD"/>
    <w:rsid w:val="006C60B5"/>
    <w:rsid w:val="006C7D68"/>
    <w:rsid w:val="006D0BF8"/>
    <w:rsid w:val="006D1044"/>
    <w:rsid w:val="006D1A5E"/>
    <w:rsid w:val="006D2C17"/>
    <w:rsid w:val="006D3F2C"/>
    <w:rsid w:val="006D64F9"/>
    <w:rsid w:val="006D66AF"/>
    <w:rsid w:val="006E1147"/>
    <w:rsid w:val="006E13E8"/>
    <w:rsid w:val="006E34B6"/>
    <w:rsid w:val="006E5832"/>
    <w:rsid w:val="006E6278"/>
    <w:rsid w:val="006E6389"/>
    <w:rsid w:val="006E662E"/>
    <w:rsid w:val="006E689A"/>
    <w:rsid w:val="006E69AA"/>
    <w:rsid w:val="006E7462"/>
    <w:rsid w:val="006F0D84"/>
    <w:rsid w:val="006F1A78"/>
    <w:rsid w:val="006F1B5C"/>
    <w:rsid w:val="006F30F8"/>
    <w:rsid w:val="006F3144"/>
    <w:rsid w:val="006F3CA9"/>
    <w:rsid w:val="006F5B9E"/>
    <w:rsid w:val="006F6E1B"/>
    <w:rsid w:val="00700AB7"/>
    <w:rsid w:val="00700C41"/>
    <w:rsid w:val="00702323"/>
    <w:rsid w:val="007027EB"/>
    <w:rsid w:val="00702CB3"/>
    <w:rsid w:val="00703E92"/>
    <w:rsid w:val="007061DF"/>
    <w:rsid w:val="00710259"/>
    <w:rsid w:val="007112A9"/>
    <w:rsid w:val="00711B09"/>
    <w:rsid w:val="0071646D"/>
    <w:rsid w:val="00716CE1"/>
    <w:rsid w:val="00716D25"/>
    <w:rsid w:val="00721A78"/>
    <w:rsid w:val="00726FA5"/>
    <w:rsid w:val="00730313"/>
    <w:rsid w:val="00730BC4"/>
    <w:rsid w:val="007317F8"/>
    <w:rsid w:val="00731D9B"/>
    <w:rsid w:val="00733CB7"/>
    <w:rsid w:val="00734A8B"/>
    <w:rsid w:val="00735210"/>
    <w:rsid w:val="00735B0D"/>
    <w:rsid w:val="00735D72"/>
    <w:rsid w:val="00736C06"/>
    <w:rsid w:val="007401BB"/>
    <w:rsid w:val="00740E5C"/>
    <w:rsid w:val="00741FEA"/>
    <w:rsid w:val="0074394E"/>
    <w:rsid w:val="007446D8"/>
    <w:rsid w:val="00744736"/>
    <w:rsid w:val="0074533C"/>
    <w:rsid w:val="007463C9"/>
    <w:rsid w:val="007506FB"/>
    <w:rsid w:val="00750F05"/>
    <w:rsid w:val="00751311"/>
    <w:rsid w:val="0075239A"/>
    <w:rsid w:val="0075580F"/>
    <w:rsid w:val="00756C34"/>
    <w:rsid w:val="00757444"/>
    <w:rsid w:val="00757C27"/>
    <w:rsid w:val="00757F23"/>
    <w:rsid w:val="007622E4"/>
    <w:rsid w:val="007645A1"/>
    <w:rsid w:val="00764B6A"/>
    <w:rsid w:val="00765B85"/>
    <w:rsid w:val="007668D6"/>
    <w:rsid w:val="00766A1E"/>
    <w:rsid w:val="007670AA"/>
    <w:rsid w:val="00767196"/>
    <w:rsid w:val="00767912"/>
    <w:rsid w:val="00770E29"/>
    <w:rsid w:val="0077203A"/>
    <w:rsid w:val="0077266E"/>
    <w:rsid w:val="007729C2"/>
    <w:rsid w:val="00773601"/>
    <w:rsid w:val="007753ED"/>
    <w:rsid w:val="00775CB2"/>
    <w:rsid w:val="0077689F"/>
    <w:rsid w:val="00777545"/>
    <w:rsid w:val="00777BBD"/>
    <w:rsid w:val="00782DD9"/>
    <w:rsid w:val="007830E3"/>
    <w:rsid w:val="00783DAE"/>
    <w:rsid w:val="00784C44"/>
    <w:rsid w:val="00787DB5"/>
    <w:rsid w:val="00791EF6"/>
    <w:rsid w:val="00794305"/>
    <w:rsid w:val="0079518F"/>
    <w:rsid w:val="007A02EB"/>
    <w:rsid w:val="007A11F1"/>
    <w:rsid w:val="007A30F8"/>
    <w:rsid w:val="007A35F6"/>
    <w:rsid w:val="007A4155"/>
    <w:rsid w:val="007A4219"/>
    <w:rsid w:val="007A4E83"/>
    <w:rsid w:val="007A5F1A"/>
    <w:rsid w:val="007A7693"/>
    <w:rsid w:val="007B3462"/>
    <w:rsid w:val="007B57F5"/>
    <w:rsid w:val="007B5B76"/>
    <w:rsid w:val="007B755C"/>
    <w:rsid w:val="007C025F"/>
    <w:rsid w:val="007C09AA"/>
    <w:rsid w:val="007C0A83"/>
    <w:rsid w:val="007C0AFD"/>
    <w:rsid w:val="007C20AF"/>
    <w:rsid w:val="007C3D29"/>
    <w:rsid w:val="007C3E67"/>
    <w:rsid w:val="007C5DCE"/>
    <w:rsid w:val="007C6783"/>
    <w:rsid w:val="007C7E5A"/>
    <w:rsid w:val="007D0C6E"/>
    <w:rsid w:val="007D112D"/>
    <w:rsid w:val="007D1598"/>
    <w:rsid w:val="007D5B23"/>
    <w:rsid w:val="007D7334"/>
    <w:rsid w:val="007E07A7"/>
    <w:rsid w:val="007E0CCF"/>
    <w:rsid w:val="007E3963"/>
    <w:rsid w:val="007F18A3"/>
    <w:rsid w:val="007F36DE"/>
    <w:rsid w:val="007F37C5"/>
    <w:rsid w:val="007F444F"/>
    <w:rsid w:val="007F528B"/>
    <w:rsid w:val="007F61DA"/>
    <w:rsid w:val="00800475"/>
    <w:rsid w:val="00800DDC"/>
    <w:rsid w:val="00801648"/>
    <w:rsid w:val="00801D34"/>
    <w:rsid w:val="00805A48"/>
    <w:rsid w:val="008063E2"/>
    <w:rsid w:val="00807739"/>
    <w:rsid w:val="008100C2"/>
    <w:rsid w:val="00811637"/>
    <w:rsid w:val="00814930"/>
    <w:rsid w:val="00815086"/>
    <w:rsid w:val="008177D0"/>
    <w:rsid w:val="008207CA"/>
    <w:rsid w:val="008223A5"/>
    <w:rsid w:val="00823362"/>
    <w:rsid w:val="008235DE"/>
    <w:rsid w:val="008254D3"/>
    <w:rsid w:val="00825915"/>
    <w:rsid w:val="00825CA4"/>
    <w:rsid w:val="008331EF"/>
    <w:rsid w:val="00833271"/>
    <w:rsid w:val="0083402A"/>
    <w:rsid w:val="00835546"/>
    <w:rsid w:val="0083555C"/>
    <w:rsid w:val="00835741"/>
    <w:rsid w:val="008367D9"/>
    <w:rsid w:val="00837520"/>
    <w:rsid w:val="00837CBA"/>
    <w:rsid w:val="008422A0"/>
    <w:rsid w:val="0084270E"/>
    <w:rsid w:val="00842C37"/>
    <w:rsid w:val="00843214"/>
    <w:rsid w:val="008442E6"/>
    <w:rsid w:val="00850839"/>
    <w:rsid w:val="00851A59"/>
    <w:rsid w:val="00851F8C"/>
    <w:rsid w:val="00854691"/>
    <w:rsid w:val="008546D3"/>
    <w:rsid w:val="00856585"/>
    <w:rsid w:val="00856F7A"/>
    <w:rsid w:val="00857279"/>
    <w:rsid w:val="0085736B"/>
    <w:rsid w:val="00857B52"/>
    <w:rsid w:val="00861B32"/>
    <w:rsid w:val="00862234"/>
    <w:rsid w:val="008627B4"/>
    <w:rsid w:val="0086472B"/>
    <w:rsid w:val="00866EF2"/>
    <w:rsid w:val="008672CF"/>
    <w:rsid w:val="0086744A"/>
    <w:rsid w:val="00867C9A"/>
    <w:rsid w:val="008701A1"/>
    <w:rsid w:val="008718F3"/>
    <w:rsid w:val="00874685"/>
    <w:rsid w:val="00874DC9"/>
    <w:rsid w:val="0087561C"/>
    <w:rsid w:val="00876615"/>
    <w:rsid w:val="00877E3C"/>
    <w:rsid w:val="0088137B"/>
    <w:rsid w:val="00882131"/>
    <w:rsid w:val="0088473B"/>
    <w:rsid w:val="0088510A"/>
    <w:rsid w:val="00885CB3"/>
    <w:rsid w:val="008860BB"/>
    <w:rsid w:val="00886BFC"/>
    <w:rsid w:val="00887493"/>
    <w:rsid w:val="008900BC"/>
    <w:rsid w:val="00891688"/>
    <w:rsid w:val="00891C4E"/>
    <w:rsid w:val="00892674"/>
    <w:rsid w:val="00892AFC"/>
    <w:rsid w:val="0089436A"/>
    <w:rsid w:val="00895C62"/>
    <w:rsid w:val="008963A8"/>
    <w:rsid w:val="008A0C05"/>
    <w:rsid w:val="008A1764"/>
    <w:rsid w:val="008A42A4"/>
    <w:rsid w:val="008A42B0"/>
    <w:rsid w:val="008A4982"/>
    <w:rsid w:val="008A6085"/>
    <w:rsid w:val="008A663F"/>
    <w:rsid w:val="008B0803"/>
    <w:rsid w:val="008B1273"/>
    <w:rsid w:val="008B240C"/>
    <w:rsid w:val="008B2EEE"/>
    <w:rsid w:val="008B3151"/>
    <w:rsid w:val="008B36C5"/>
    <w:rsid w:val="008B3A27"/>
    <w:rsid w:val="008B542E"/>
    <w:rsid w:val="008B590E"/>
    <w:rsid w:val="008B5BE2"/>
    <w:rsid w:val="008B74A0"/>
    <w:rsid w:val="008C04B3"/>
    <w:rsid w:val="008C0694"/>
    <w:rsid w:val="008C06D5"/>
    <w:rsid w:val="008C16E9"/>
    <w:rsid w:val="008C2635"/>
    <w:rsid w:val="008C3963"/>
    <w:rsid w:val="008C686F"/>
    <w:rsid w:val="008C7431"/>
    <w:rsid w:val="008D0B33"/>
    <w:rsid w:val="008D0D25"/>
    <w:rsid w:val="008D1526"/>
    <w:rsid w:val="008D2273"/>
    <w:rsid w:val="008D4B2A"/>
    <w:rsid w:val="008D75E7"/>
    <w:rsid w:val="008E094D"/>
    <w:rsid w:val="008E0E7E"/>
    <w:rsid w:val="008E176A"/>
    <w:rsid w:val="008E2822"/>
    <w:rsid w:val="008E2982"/>
    <w:rsid w:val="008E3BC6"/>
    <w:rsid w:val="008E4713"/>
    <w:rsid w:val="008E5043"/>
    <w:rsid w:val="008E53B6"/>
    <w:rsid w:val="008E5A81"/>
    <w:rsid w:val="008E5BC1"/>
    <w:rsid w:val="008E7698"/>
    <w:rsid w:val="008F0F17"/>
    <w:rsid w:val="008F4739"/>
    <w:rsid w:val="008F47CD"/>
    <w:rsid w:val="008F49F7"/>
    <w:rsid w:val="008F4C62"/>
    <w:rsid w:val="008F4FB9"/>
    <w:rsid w:val="008F5E3B"/>
    <w:rsid w:val="008F7D25"/>
    <w:rsid w:val="00900C8D"/>
    <w:rsid w:val="00901088"/>
    <w:rsid w:val="00905A0D"/>
    <w:rsid w:val="0090613B"/>
    <w:rsid w:val="0091025E"/>
    <w:rsid w:val="00911559"/>
    <w:rsid w:val="00911889"/>
    <w:rsid w:val="00914FDF"/>
    <w:rsid w:val="0091599A"/>
    <w:rsid w:val="00916BDE"/>
    <w:rsid w:val="00917EB1"/>
    <w:rsid w:val="00921436"/>
    <w:rsid w:val="009224C9"/>
    <w:rsid w:val="009239BB"/>
    <w:rsid w:val="0092433B"/>
    <w:rsid w:val="00926B57"/>
    <w:rsid w:val="00930F79"/>
    <w:rsid w:val="00931EF0"/>
    <w:rsid w:val="00932CFF"/>
    <w:rsid w:val="00932F08"/>
    <w:rsid w:val="00934D2C"/>
    <w:rsid w:val="00935A0D"/>
    <w:rsid w:val="00936419"/>
    <w:rsid w:val="00937B0E"/>
    <w:rsid w:val="00940FFE"/>
    <w:rsid w:val="009411A0"/>
    <w:rsid w:val="00943B74"/>
    <w:rsid w:val="0094486F"/>
    <w:rsid w:val="00944CA2"/>
    <w:rsid w:val="00945C24"/>
    <w:rsid w:val="00945D23"/>
    <w:rsid w:val="009469E9"/>
    <w:rsid w:val="0094714C"/>
    <w:rsid w:val="009472B3"/>
    <w:rsid w:val="00947905"/>
    <w:rsid w:val="009500DD"/>
    <w:rsid w:val="00950AF2"/>
    <w:rsid w:val="00955DC1"/>
    <w:rsid w:val="009573BD"/>
    <w:rsid w:val="0096089C"/>
    <w:rsid w:val="009614D7"/>
    <w:rsid w:val="00962E4E"/>
    <w:rsid w:val="00964E79"/>
    <w:rsid w:val="00964F37"/>
    <w:rsid w:val="00967C2E"/>
    <w:rsid w:val="00971EA5"/>
    <w:rsid w:val="00974437"/>
    <w:rsid w:val="00975A2A"/>
    <w:rsid w:val="00975EB9"/>
    <w:rsid w:val="009763B8"/>
    <w:rsid w:val="0097711A"/>
    <w:rsid w:val="00981F51"/>
    <w:rsid w:val="009837CB"/>
    <w:rsid w:val="00983C9A"/>
    <w:rsid w:val="009858EF"/>
    <w:rsid w:val="0099075B"/>
    <w:rsid w:val="009909ED"/>
    <w:rsid w:val="00990E7A"/>
    <w:rsid w:val="00991FA7"/>
    <w:rsid w:val="00992009"/>
    <w:rsid w:val="009925EC"/>
    <w:rsid w:val="00994ED6"/>
    <w:rsid w:val="00996390"/>
    <w:rsid w:val="009969DF"/>
    <w:rsid w:val="009976D9"/>
    <w:rsid w:val="009A00BC"/>
    <w:rsid w:val="009A0F6D"/>
    <w:rsid w:val="009A34EE"/>
    <w:rsid w:val="009A3ADA"/>
    <w:rsid w:val="009A423F"/>
    <w:rsid w:val="009A4755"/>
    <w:rsid w:val="009A78A9"/>
    <w:rsid w:val="009B299F"/>
    <w:rsid w:val="009B29BB"/>
    <w:rsid w:val="009B55C4"/>
    <w:rsid w:val="009B6C33"/>
    <w:rsid w:val="009B6EF8"/>
    <w:rsid w:val="009B793E"/>
    <w:rsid w:val="009C3731"/>
    <w:rsid w:val="009C4391"/>
    <w:rsid w:val="009C5252"/>
    <w:rsid w:val="009C6A35"/>
    <w:rsid w:val="009C6A51"/>
    <w:rsid w:val="009D00FC"/>
    <w:rsid w:val="009D1F44"/>
    <w:rsid w:val="009D4854"/>
    <w:rsid w:val="009D5847"/>
    <w:rsid w:val="009D605C"/>
    <w:rsid w:val="009D6900"/>
    <w:rsid w:val="009E03BE"/>
    <w:rsid w:val="009E11BB"/>
    <w:rsid w:val="009E1E5F"/>
    <w:rsid w:val="009E2235"/>
    <w:rsid w:val="009E30D5"/>
    <w:rsid w:val="009E4CAE"/>
    <w:rsid w:val="009E4CF0"/>
    <w:rsid w:val="009E4D74"/>
    <w:rsid w:val="009E6FB3"/>
    <w:rsid w:val="009E7036"/>
    <w:rsid w:val="009F19E6"/>
    <w:rsid w:val="009F704F"/>
    <w:rsid w:val="00A00110"/>
    <w:rsid w:val="00A003DB"/>
    <w:rsid w:val="00A00BC6"/>
    <w:rsid w:val="00A014EE"/>
    <w:rsid w:val="00A037CB"/>
    <w:rsid w:val="00A0469A"/>
    <w:rsid w:val="00A069C3"/>
    <w:rsid w:val="00A06B52"/>
    <w:rsid w:val="00A0772E"/>
    <w:rsid w:val="00A11708"/>
    <w:rsid w:val="00A15663"/>
    <w:rsid w:val="00A20F7B"/>
    <w:rsid w:val="00A25AF8"/>
    <w:rsid w:val="00A313C6"/>
    <w:rsid w:val="00A320AB"/>
    <w:rsid w:val="00A35622"/>
    <w:rsid w:val="00A36ED5"/>
    <w:rsid w:val="00A37066"/>
    <w:rsid w:val="00A37AD0"/>
    <w:rsid w:val="00A41054"/>
    <w:rsid w:val="00A41E44"/>
    <w:rsid w:val="00A42254"/>
    <w:rsid w:val="00A42D27"/>
    <w:rsid w:val="00A43472"/>
    <w:rsid w:val="00A46659"/>
    <w:rsid w:val="00A4679F"/>
    <w:rsid w:val="00A46A52"/>
    <w:rsid w:val="00A50056"/>
    <w:rsid w:val="00A502AA"/>
    <w:rsid w:val="00A51D2C"/>
    <w:rsid w:val="00A52C18"/>
    <w:rsid w:val="00A5404F"/>
    <w:rsid w:val="00A55E21"/>
    <w:rsid w:val="00A57AFC"/>
    <w:rsid w:val="00A60FAB"/>
    <w:rsid w:val="00A6220A"/>
    <w:rsid w:val="00A64380"/>
    <w:rsid w:val="00A657BC"/>
    <w:rsid w:val="00A67754"/>
    <w:rsid w:val="00A717E4"/>
    <w:rsid w:val="00A7424D"/>
    <w:rsid w:val="00A76FB1"/>
    <w:rsid w:val="00A776B4"/>
    <w:rsid w:val="00A80FC0"/>
    <w:rsid w:val="00A81140"/>
    <w:rsid w:val="00A87855"/>
    <w:rsid w:val="00A900E2"/>
    <w:rsid w:val="00A906D5"/>
    <w:rsid w:val="00A92027"/>
    <w:rsid w:val="00A92F62"/>
    <w:rsid w:val="00A932D8"/>
    <w:rsid w:val="00A940E3"/>
    <w:rsid w:val="00A94713"/>
    <w:rsid w:val="00A95947"/>
    <w:rsid w:val="00A96BC3"/>
    <w:rsid w:val="00A96EE6"/>
    <w:rsid w:val="00A97959"/>
    <w:rsid w:val="00AA1180"/>
    <w:rsid w:val="00AA19A7"/>
    <w:rsid w:val="00AA204D"/>
    <w:rsid w:val="00AA2C2B"/>
    <w:rsid w:val="00AA37FC"/>
    <w:rsid w:val="00AA3BCB"/>
    <w:rsid w:val="00AA41F6"/>
    <w:rsid w:val="00AA44B0"/>
    <w:rsid w:val="00AA4B65"/>
    <w:rsid w:val="00AA57EF"/>
    <w:rsid w:val="00AB3ED5"/>
    <w:rsid w:val="00AB3F5E"/>
    <w:rsid w:val="00AB4396"/>
    <w:rsid w:val="00AB6036"/>
    <w:rsid w:val="00AB7491"/>
    <w:rsid w:val="00AC03F2"/>
    <w:rsid w:val="00AC6E31"/>
    <w:rsid w:val="00AD0240"/>
    <w:rsid w:val="00AD1D3D"/>
    <w:rsid w:val="00AD233F"/>
    <w:rsid w:val="00AD5C04"/>
    <w:rsid w:val="00AD5CB3"/>
    <w:rsid w:val="00AD6769"/>
    <w:rsid w:val="00AD7ADF"/>
    <w:rsid w:val="00AE013D"/>
    <w:rsid w:val="00AE34E5"/>
    <w:rsid w:val="00AE457B"/>
    <w:rsid w:val="00AF200E"/>
    <w:rsid w:val="00AF203D"/>
    <w:rsid w:val="00AF299E"/>
    <w:rsid w:val="00AF2AD6"/>
    <w:rsid w:val="00AF3966"/>
    <w:rsid w:val="00AF4015"/>
    <w:rsid w:val="00AF4BD7"/>
    <w:rsid w:val="00AF55A6"/>
    <w:rsid w:val="00AF6D90"/>
    <w:rsid w:val="00B0060F"/>
    <w:rsid w:val="00B006A9"/>
    <w:rsid w:val="00B03CE2"/>
    <w:rsid w:val="00B04A8E"/>
    <w:rsid w:val="00B0682F"/>
    <w:rsid w:val="00B06BA1"/>
    <w:rsid w:val="00B11E6A"/>
    <w:rsid w:val="00B15F9D"/>
    <w:rsid w:val="00B21885"/>
    <w:rsid w:val="00B21982"/>
    <w:rsid w:val="00B22153"/>
    <w:rsid w:val="00B24D09"/>
    <w:rsid w:val="00B2583B"/>
    <w:rsid w:val="00B25866"/>
    <w:rsid w:val="00B25A6F"/>
    <w:rsid w:val="00B33C2F"/>
    <w:rsid w:val="00B35432"/>
    <w:rsid w:val="00B37095"/>
    <w:rsid w:val="00B373AD"/>
    <w:rsid w:val="00B37E6C"/>
    <w:rsid w:val="00B4134E"/>
    <w:rsid w:val="00B42B2D"/>
    <w:rsid w:val="00B44968"/>
    <w:rsid w:val="00B44DA3"/>
    <w:rsid w:val="00B451CE"/>
    <w:rsid w:val="00B45904"/>
    <w:rsid w:val="00B46D60"/>
    <w:rsid w:val="00B5061D"/>
    <w:rsid w:val="00B5114C"/>
    <w:rsid w:val="00B51540"/>
    <w:rsid w:val="00B518F7"/>
    <w:rsid w:val="00B51A2C"/>
    <w:rsid w:val="00B5328A"/>
    <w:rsid w:val="00B5510F"/>
    <w:rsid w:val="00B557B8"/>
    <w:rsid w:val="00B55D96"/>
    <w:rsid w:val="00B623CE"/>
    <w:rsid w:val="00B662AD"/>
    <w:rsid w:val="00B66AB8"/>
    <w:rsid w:val="00B671AA"/>
    <w:rsid w:val="00B70066"/>
    <w:rsid w:val="00B72ACE"/>
    <w:rsid w:val="00B72E84"/>
    <w:rsid w:val="00B73BC0"/>
    <w:rsid w:val="00B77788"/>
    <w:rsid w:val="00B82000"/>
    <w:rsid w:val="00B84265"/>
    <w:rsid w:val="00B867B4"/>
    <w:rsid w:val="00B86E05"/>
    <w:rsid w:val="00B91560"/>
    <w:rsid w:val="00B917B0"/>
    <w:rsid w:val="00B91A02"/>
    <w:rsid w:val="00B91E1A"/>
    <w:rsid w:val="00B92B46"/>
    <w:rsid w:val="00B92E1C"/>
    <w:rsid w:val="00B9454C"/>
    <w:rsid w:val="00B96729"/>
    <w:rsid w:val="00BA00A9"/>
    <w:rsid w:val="00BA0426"/>
    <w:rsid w:val="00BA1B7A"/>
    <w:rsid w:val="00BA1D0F"/>
    <w:rsid w:val="00BA36A5"/>
    <w:rsid w:val="00BA65A5"/>
    <w:rsid w:val="00BA69F4"/>
    <w:rsid w:val="00BB0CC2"/>
    <w:rsid w:val="00BB1A72"/>
    <w:rsid w:val="00BB37FC"/>
    <w:rsid w:val="00BB5012"/>
    <w:rsid w:val="00BB6202"/>
    <w:rsid w:val="00BB64C1"/>
    <w:rsid w:val="00BB7698"/>
    <w:rsid w:val="00BC15AB"/>
    <w:rsid w:val="00BC250E"/>
    <w:rsid w:val="00BC26D1"/>
    <w:rsid w:val="00BC30AA"/>
    <w:rsid w:val="00BC3FE1"/>
    <w:rsid w:val="00BC63BC"/>
    <w:rsid w:val="00BC6991"/>
    <w:rsid w:val="00BC7267"/>
    <w:rsid w:val="00BD000E"/>
    <w:rsid w:val="00BD0947"/>
    <w:rsid w:val="00BD1191"/>
    <w:rsid w:val="00BD1625"/>
    <w:rsid w:val="00BD1BDB"/>
    <w:rsid w:val="00BD24F0"/>
    <w:rsid w:val="00BD2516"/>
    <w:rsid w:val="00BD308E"/>
    <w:rsid w:val="00BD3667"/>
    <w:rsid w:val="00BD3AD2"/>
    <w:rsid w:val="00BD412A"/>
    <w:rsid w:val="00BD428D"/>
    <w:rsid w:val="00BD4548"/>
    <w:rsid w:val="00BD4F79"/>
    <w:rsid w:val="00BD60D0"/>
    <w:rsid w:val="00BD6BED"/>
    <w:rsid w:val="00BD7483"/>
    <w:rsid w:val="00BE0E74"/>
    <w:rsid w:val="00BE226E"/>
    <w:rsid w:val="00BE3B2F"/>
    <w:rsid w:val="00BE3B41"/>
    <w:rsid w:val="00BE67A1"/>
    <w:rsid w:val="00BF0748"/>
    <w:rsid w:val="00BF2DD3"/>
    <w:rsid w:val="00BF6D06"/>
    <w:rsid w:val="00C0130F"/>
    <w:rsid w:val="00C0343A"/>
    <w:rsid w:val="00C0590E"/>
    <w:rsid w:val="00C1122F"/>
    <w:rsid w:val="00C134E5"/>
    <w:rsid w:val="00C13832"/>
    <w:rsid w:val="00C16490"/>
    <w:rsid w:val="00C17535"/>
    <w:rsid w:val="00C20E42"/>
    <w:rsid w:val="00C22635"/>
    <w:rsid w:val="00C22842"/>
    <w:rsid w:val="00C23048"/>
    <w:rsid w:val="00C23621"/>
    <w:rsid w:val="00C2421C"/>
    <w:rsid w:val="00C25515"/>
    <w:rsid w:val="00C265CC"/>
    <w:rsid w:val="00C273AE"/>
    <w:rsid w:val="00C3109F"/>
    <w:rsid w:val="00C31ECA"/>
    <w:rsid w:val="00C324F3"/>
    <w:rsid w:val="00C3292E"/>
    <w:rsid w:val="00C32BC0"/>
    <w:rsid w:val="00C34B07"/>
    <w:rsid w:val="00C359E4"/>
    <w:rsid w:val="00C400E5"/>
    <w:rsid w:val="00C41E21"/>
    <w:rsid w:val="00C4317A"/>
    <w:rsid w:val="00C46981"/>
    <w:rsid w:val="00C472F7"/>
    <w:rsid w:val="00C47D1B"/>
    <w:rsid w:val="00C503FF"/>
    <w:rsid w:val="00C515D8"/>
    <w:rsid w:val="00C51B23"/>
    <w:rsid w:val="00C51DB4"/>
    <w:rsid w:val="00C53782"/>
    <w:rsid w:val="00C53E72"/>
    <w:rsid w:val="00C546A6"/>
    <w:rsid w:val="00C54BE5"/>
    <w:rsid w:val="00C56A45"/>
    <w:rsid w:val="00C57553"/>
    <w:rsid w:val="00C6012D"/>
    <w:rsid w:val="00C61B3E"/>
    <w:rsid w:val="00C61F98"/>
    <w:rsid w:val="00C62190"/>
    <w:rsid w:val="00C636D0"/>
    <w:rsid w:val="00C673D1"/>
    <w:rsid w:val="00C716E5"/>
    <w:rsid w:val="00C71B02"/>
    <w:rsid w:val="00C73CC8"/>
    <w:rsid w:val="00C7460D"/>
    <w:rsid w:val="00C74C5A"/>
    <w:rsid w:val="00C7739C"/>
    <w:rsid w:val="00C77CD0"/>
    <w:rsid w:val="00C8009A"/>
    <w:rsid w:val="00C80153"/>
    <w:rsid w:val="00C8083C"/>
    <w:rsid w:val="00C80F8C"/>
    <w:rsid w:val="00C8162E"/>
    <w:rsid w:val="00C81D68"/>
    <w:rsid w:val="00C828BE"/>
    <w:rsid w:val="00C82C57"/>
    <w:rsid w:val="00C84585"/>
    <w:rsid w:val="00C85168"/>
    <w:rsid w:val="00C87926"/>
    <w:rsid w:val="00C90A72"/>
    <w:rsid w:val="00C9200B"/>
    <w:rsid w:val="00C92091"/>
    <w:rsid w:val="00C92FA3"/>
    <w:rsid w:val="00C946FA"/>
    <w:rsid w:val="00C94DA4"/>
    <w:rsid w:val="00C94EA7"/>
    <w:rsid w:val="00C96A4C"/>
    <w:rsid w:val="00C97E22"/>
    <w:rsid w:val="00C97EF1"/>
    <w:rsid w:val="00CA2AE3"/>
    <w:rsid w:val="00CA30DF"/>
    <w:rsid w:val="00CA456C"/>
    <w:rsid w:val="00CA460D"/>
    <w:rsid w:val="00CA4FB8"/>
    <w:rsid w:val="00CA54B7"/>
    <w:rsid w:val="00CA66DF"/>
    <w:rsid w:val="00CA7476"/>
    <w:rsid w:val="00CA7C1E"/>
    <w:rsid w:val="00CB2A57"/>
    <w:rsid w:val="00CB72BE"/>
    <w:rsid w:val="00CB7F63"/>
    <w:rsid w:val="00CC0C5D"/>
    <w:rsid w:val="00CC0EE1"/>
    <w:rsid w:val="00CC22DD"/>
    <w:rsid w:val="00CC2BF2"/>
    <w:rsid w:val="00CC30A8"/>
    <w:rsid w:val="00CC4090"/>
    <w:rsid w:val="00CC5E23"/>
    <w:rsid w:val="00CC6364"/>
    <w:rsid w:val="00CD2AE3"/>
    <w:rsid w:val="00CD4A97"/>
    <w:rsid w:val="00CD7C46"/>
    <w:rsid w:val="00CE1592"/>
    <w:rsid w:val="00CE36D3"/>
    <w:rsid w:val="00CE46FC"/>
    <w:rsid w:val="00CE4AA8"/>
    <w:rsid w:val="00CE4CC9"/>
    <w:rsid w:val="00CE657B"/>
    <w:rsid w:val="00CE6664"/>
    <w:rsid w:val="00CF0C04"/>
    <w:rsid w:val="00CF27D0"/>
    <w:rsid w:val="00CF4303"/>
    <w:rsid w:val="00CF5D49"/>
    <w:rsid w:val="00CF67F8"/>
    <w:rsid w:val="00CF6971"/>
    <w:rsid w:val="00CF6B0F"/>
    <w:rsid w:val="00D01EDC"/>
    <w:rsid w:val="00D027E3"/>
    <w:rsid w:val="00D035FA"/>
    <w:rsid w:val="00D06512"/>
    <w:rsid w:val="00D073F7"/>
    <w:rsid w:val="00D11209"/>
    <w:rsid w:val="00D11533"/>
    <w:rsid w:val="00D1236B"/>
    <w:rsid w:val="00D12E08"/>
    <w:rsid w:val="00D16EAC"/>
    <w:rsid w:val="00D17DCA"/>
    <w:rsid w:val="00D236C3"/>
    <w:rsid w:val="00D24764"/>
    <w:rsid w:val="00D24A5F"/>
    <w:rsid w:val="00D269B7"/>
    <w:rsid w:val="00D278A7"/>
    <w:rsid w:val="00D31A46"/>
    <w:rsid w:val="00D31B82"/>
    <w:rsid w:val="00D31BFC"/>
    <w:rsid w:val="00D32B38"/>
    <w:rsid w:val="00D33B5C"/>
    <w:rsid w:val="00D34301"/>
    <w:rsid w:val="00D35C16"/>
    <w:rsid w:val="00D36B89"/>
    <w:rsid w:val="00D371C6"/>
    <w:rsid w:val="00D372B2"/>
    <w:rsid w:val="00D4136B"/>
    <w:rsid w:val="00D418A9"/>
    <w:rsid w:val="00D41D70"/>
    <w:rsid w:val="00D42175"/>
    <w:rsid w:val="00D42497"/>
    <w:rsid w:val="00D44F7D"/>
    <w:rsid w:val="00D463BD"/>
    <w:rsid w:val="00D46A09"/>
    <w:rsid w:val="00D47351"/>
    <w:rsid w:val="00D50580"/>
    <w:rsid w:val="00D518E8"/>
    <w:rsid w:val="00D53645"/>
    <w:rsid w:val="00D547F7"/>
    <w:rsid w:val="00D649B8"/>
    <w:rsid w:val="00D66740"/>
    <w:rsid w:val="00D66A2A"/>
    <w:rsid w:val="00D7015C"/>
    <w:rsid w:val="00D70B6F"/>
    <w:rsid w:val="00D71585"/>
    <w:rsid w:val="00D72B26"/>
    <w:rsid w:val="00D75214"/>
    <w:rsid w:val="00D77B71"/>
    <w:rsid w:val="00D83CE5"/>
    <w:rsid w:val="00D90475"/>
    <w:rsid w:val="00D91FB9"/>
    <w:rsid w:val="00D950A6"/>
    <w:rsid w:val="00D95EF8"/>
    <w:rsid w:val="00D9665A"/>
    <w:rsid w:val="00DA0AF6"/>
    <w:rsid w:val="00DA0B77"/>
    <w:rsid w:val="00DA299A"/>
    <w:rsid w:val="00DA460F"/>
    <w:rsid w:val="00DA4C11"/>
    <w:rsid w:val="00DA5F4E"/>
    <w:rsid w:val="00DA613F"/>
    <w:rsid w:val="00DA63C9"/>
    <w:rsid w:val="00DB57CE"/>
    <w:rsid w:val="00DC0953"/>
    <w:rsid w:val="00DC215D"/>
    <w:rsid w:val="00DC2582"/>
    <w:rsid w:val="00DC27D5"/>
    <w:rsid w:val="00DC3B6D"/>
    <w:rsid w:val="00DC3E83"/>
    <w:rsid w:val="00DC59EC"/>
    <w:rsid w:val="00DC70B3"/>
    <w:rsid w:val="00DC752F"/>
    <w:rsid w:val="00DC7CC1"/>
    <w:rsid w:val="00DD0E7C"/>
    <w:rsid w:val="00DD0FEA"/>
    <w:rsid w:val="00DD10D7"/>
    <w:rsid w:val="00DD11A6"/>
    <w:rsid w:val="00DD1B85"/>
    <w:rsid w:val="00DD1D6B"/>
    <w:rsid w:val="00DD324F"/>
    <w:rsid w:val="00DD36E9"/>
    <w:rsid w:val="00DD3C88"/>
    <w:rsid w:val="00DD430C"/>
    <w:rsid w:val="00DD43B7"/>
    <w:rsid w:val="00DD4B66"/>
    <w:rsid w:val="00DD4EA2"/>
    <w:rsid w:val="00DD747F"/>
    <w:rsid w:val="00DE03DC"/>
    <w:rsid w:val="00DE0BC1"/>
    <w:rsid w:val="00DE0D39"/>
    <w:rsid w:val="00DE18CF"/>
    <w:rsid w:val="00DE1D18"/>
    <w:rsid w:val="00DE7F9A"/>
    <w:rsid w:val="00DF0B40"/>
    <w:rsid w:val="00DF0D44"/>
    <w:rsid w:val="00DF1223"/>
    <w:rsid w:val="00DF134A"/>
    <w:rsid w:val="00DF13C0"/>
    <w:rsid w:val="00DF3014"/>
    <w:rsid w:val="00DF3CE0"/>
    <w:rsid w:val="00DF3F63"/>
    <w:rsid w:val="00DF5618"/>
    <w:rsid w:val="00DF58D0"/>
    <w:rsid w:val="00E000A7"/>
    <w:rsid w:val="00E01862"/>
    <w:rsid w:val="00E020A1"/>
    <w:rsid w:val="00E023C9"/>
    <w:rsid w:val="00E02543"/>
    <w:rsid w:val="00E02EC1"/>
    <w:rsid w:val="00E03758"/>
    <w:rsid w:val="00E048A0"/>
    <w:rsid w:val="00E05C70"/>
    <w:rsid w:val="00E10E5D"/>
    <w:rsid w:val="00E13091"/>
    <w:rsid w:val="00E16244"/>
    <w:rsid w:val="00E162C7"/>
    <w:rsid w:val="00E16369"/>
    <w:rsid w:val="00E16AC1"/>
    <w:rsid w:val="00E207FE"/>
    <w:rsid w:val="00E21052"/>
    <w:rsid w:val="00E21C20"/>
    <w:rsid w:val="00E2306B"/>
    <w:rsid w:val="00E24033"/>
    <w:rsid w:val="00E2538E"/>
    <w:rsid w:val="00E261A8"/>
    <w:rsid w:val="00E26B94"/>
    <w:rsid w:val="00E32DD1"/>
    <w:rsid w:val="00E330B2"/>
    <w:rsid w:val="00E33369"/>
    <w:rsid w:val="00E343DD"/>
    <w:rsid w:val="00E34890"/>
    <w:rsid w:val="00E35CAE"/>
    <w:rsid w:val="00E369C3"/>
    <w:rsid w:val="00E4041D"/>
    <w:rsid w:val="00E430A9"/>
    <w:rsid w:val="00E45F6B"/>
    <w:rsid w:val="00E46895"/>
    <w:rsid w:val="00E47425"/>
    <w:rsid w:val="00E53D1B"/>
    <w:rsid w:val="00E5532F"/>
    <w:rsid w:val="00E558B1"/>
    <w:rsid w:val="00E55E95"/>
    <w:rsid w:val="00E55ECE"/>
    <w:rsid w:val="00E56D64"/>
    <w:rsid w:val="00E60472"/>
    <w:rsid w:val="00E61731"/>
    <w:rsid w:val="00E619AC"/>
    <w:rsid w:val="00E6223B"/>
    <w:rsid w:val="00E6267E"/>
    <w:rsid w:val="00E62DB9"/>
    <w:rsid w:val="00E62F48"/>
    <w:rsid w:val="00E640ED"/>
    <w:rsid w:val="00E64143"/>
    <w:rsid w:val="00E6514E"/>
    <w:rsid w:val="00E66AC9"/>
    <w:rsid w:val="00E66CA0"/>
    <w:rsid w:val="00E70607"/>
    <w:rsid w:val="00E70B5C"/>
    <w:rsid w:val="00E71476"/>
    <w:rsid w:val="00E71EF0"/>
    <w:rsid w:val="00E7373D"/>
    <w:rsid w:val="00E73FB2"/>
    <w:rsid w:val="00E744D4"/>
    <w:rsid w:val="00E805C5"/>
    <w:rsid w:val="00E81221"/>
    <w:rsid w:val="00E8169E"/>
    <w:rsid w:val="00E82A53"/>
    <w:rsid w:val="00E86E4F"/>
    <w:rsid w:val="00E87ACA"/>
    <w:rsid w:val="00E945A1"/>
    <w:rsid w:val="00E954B7"/>
    <w:rsid w:val="00E95D22"/>
    <w:rsid w:val="00EA061E"/>
    <w:rsid w:val="00EA4CD3"/>
    <w:rsid w:val="00EA6925"/>
    <w:rsid w:val="00EA699B"/>
    <w:rsid w:val="00EA6D71"/>
    <w:rsid w:val="00EA75AA"/>
    <w:rsid w:val="00EB108B"/>
    <w:rsid w:val="00EB1551"/>
    <w:rsid w:val="00EB17C3"/>
    <w:rsid w:val="00EB1965"/>
    <w:rsid w:val="00EB29D3"/>
    <w:rsid w:val="00EB3E96"/>
    <w:rsid w:val="00EB49F3"/>
    <w:rsid w:val="00EB4AF6"/>
    <w:rsid w:val="00EB57EC"/>
    <w:rsid w:val="00EB5BD5"/>
    <w:rsid w:val="00EB648C"/>
    <w:rsid w:val="00EB69E1"/>
    <w:rsid w:val="00EC0103"/>
    <w:rsid w:val="00EC35B4"/>
    <w:rsid w:val="00EC3967"/>
    <w:rsid w:val="00EC6696"/>
    <w:rsid w:val="00EC7099"/>
    <w:rsid w:val="00ED1375"/>
    <w:rsid w:val="00ED2A18"/>
    <w:rsid w:val="00ED3020"/>
    <w:rsid w:val="00ED39C1"/>
    <w:rsid w:val="00ED4629"/>
    <w:rsid w:val="00ED4E84"/>
    <w:rsid w:val="00ED7C7A"/>
    <w:rsid w:val="00ED7CAF"/>
    <w:rsid w:val="00ED7D9E"/>
    <w:rsid w:val="00EE12AB"/>
    <w:rsid w:val="00EE57A3"/>
    <w:rsid w:val="00EF00D9"/>
    <w:rsid w:val="00EF079E"/>
    <w:rsid w:val="00EF0E89"/>
    <w:rsid w:val="00EF4435"/>
    <w:rsid w:val="00F00AB6"/>
    <w:rsid w:val="00F00D29"/>
    <w:rsid w:val="00F01589"/>
    <w:rsid w:val="00F02049"/>
    <w:rsid w:val="00F04F66"/>
    <w:rsid w:val="00F069F1"/>
    <w:rsid w:val="00F10043"/>
    <w:rsid w:val="00F122A0"/>
    <w:rsid w:val="00F12A0E"/>
    <w:rsid w:val="00F172EE"/>
    <w:rsid w:val="00F179D8"/>
    <w:rsid w:val="00F2098F"/>
    <w:rsid w:val="00F26169"/>
    <w:rsid w:val="00F271DD"/>
    <w:rsid w:val="00F300EF"/>
    <w:rsid w:val="00F302F4"/>
    <w:rsid w:val="00F30A7B"/>
    <w:rsid w:val="00F30EC1"/>
    <w:rsid w:val="00F30F7B"/>
    <w:rsid w:val="00F32BCB"/>
    <w:rsid w:val="00F3329C"/>
    <w:rsid w:val="00F34964"/>
    <w:rsid w:val="00F35BF1"/>
    <w:rsid w:val="00F36CCC"/>
    <w:rsid w:val="00F37637"/>
    <w:rsid w:val="00F41380"/>
    <w:rsid w:val="00F414B3"/>
    <w:rsid w:val="00F44093"/>
    <w:rsid w:val="00F45839"/>
    <w:rsid w:val="00F4715B"/>
    <w:rsid w:val="00F47385"/>
    <w:rsid w:val="00F47EF8"/>
    <w:rsid w:val="00F5164C"/>
    <w:rsid w:val="00F533A1"/>
    <w:rsid w:val="00F552FA"/>
    <w:rsid w:val="00F5530B"/>
    <w:rsid w:val="00F567A8"/>
    <w:rsid w:val="00F5729F"/>
    <w:rsid w:val="00F574F8"/>
    <w:rsid w:val="00F600F2"/>
    <w:rsid w:val="00F6065B"/>
    <w:rsid w:val="00F63C1F"/>
    <w:rsid w:val="00F65EF4"/>
    <w:rsid w:val="00F702B4"/>
    <w:rsid w:val="00F70DBC"/>
    <w:rsid w:val="00F73EDE"/>
    <w:rsid w:val="00F75810"/>
    <w:rsid w:val="00F75E36"/>
    <w:rsid w:val="00F80729"/>
    <w:rsid w:val="00F80996"/>
    <w:rsid w:val="00F82380"/>
    <w:rsid w:val="00F84BAA"/>
    <w:rsid w:val="00F84D35"/>
    <w:rsid w:val="00F86C3E"/>
    <w:rsid w:val="00F8725D"/>
    <w:rsid w:val="00F87384"/>
    <w:rsid w:val="00F878EA"/>
    <w:rsid w:val="00F907B2"/>
    <w:rsid w:val="00F92058"/>
    <w:rsid w:val="00F944D7"/>
    <w:rsid w:val="00F95C1D"/>
    <w:rsid w:val="00F97F78"/>
    <w:rsid w:val="00FA43A4"/>
    <w:rsid w:val="00FA499D"/>
    <w:rsid w:val="00FA5129"/>
    <w:rsid w:val="00FA62D8"/>
    <w:rsid w:val="00FA7B5A"/>
    <w:rsid w:val="00FA7B91"/>
    <w:rsid w:val="00FA7FF8"/>
    <w:rsid w:val="00FB1D39"/>
    <w:rsid w:val="00FB2122"/>
    <w:rsid w:val="00FB40AA"/>
    <w:rsid w:val="00FB48D6"/>
    <w:rsid w:val="00FB59B6"/>
    <w:rsid w:val="00FC3122"/>
    <w:rsid w:val="00FC3695"/>
    <w:rsid w:val="00FC5C77"/>
    <w:rsid w:val="00FC6CDB"/>
    <w:rsid w:val="00FD1DE6"/>
    <w:rsid w:val="00FD64C4"/>
    <w:rsid w:val="00FD6EAB"/>
    <w:rsid w:val="00FD7CD2"/>
    <w:rsid w:val="00FE021A"/>
    <w:rsid w:val="00FE0A5E"/>
    <w:rsid w:val="00FE1A69"/>
    <w:rsid w:val="00FE1B57"/>
    <w:rsid w:val="00FE1F79"/>
    <w:rsid w:val="00FE2C96"/>
    <w:rsid w:val="00FE43BA"/>
    <w:rsid w:val="00FE5006"/>
    <w:rsid w:val="00FE5219"/>
    <w:rsid w:val="00FE56B4"/>
    <w:rsid w:val="00FE6C02"/>
    <w:rsid w:val="00FE71F9"/>
    <w:rsid w:val="00FE7747"/>
    <w:rsid w:val="00FF0383"/>
    <w:rsid w:val="00FF3CDA"/>
    <w:rsid w:val="00FF607A"/>
    <w:rsid w:val="00FF6792"/>
    <w:rsid w:val="00FF766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F14805D-73AA-4E40-AC49-05403952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table" w:styleId="Tabladecuadrcula4-nfasis1">
    <w:name w:val="Grid Table 4 Accent 1"/>
    <w:basedOn w:val="Tablanormal"/>
    <w:uiPriority w:val="49"/>
    <w:rsid w:val="00AA3BC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1">
    <w:name w:val="Grid Table 6 Colorful Accent 1"/>
    <w:basedOn w:val="Tablanormal"/>
    <w:uiPriority w:val="51"/>
    <w:rsid w:val="007B57F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
    <w:name w:val="Grid Table 6 Colorful"/>
    <w:basedOn w:val="Tablanormal"/>
    <w:uiPriority w:val="51"/>
    <w:rsid w:val="007B57F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5342884158486229419gmail-msolistparagraph">
    <w:name w:val="m_5342884158486229419gmail-msolistparagraph"/>
    <w:basedOn w:val="Normal"/>
    <w:rsid w:val="00B21885"/>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5712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63178757">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8189922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3940100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www.ipomex.org.mx/ipo/lgt/indice/tenangodelaire.web"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www.saimex.org.mx/saimex/solicitud/downloadAttach/606520.pag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osfem.gob.mx/04_Normatividad/Normatividad.html" TargetMode="External"/><Relationship Id="rId1" Type="http://schemas.openxmlformats.org/officeDocument/2006/relationships/hyperlink" Target="http://obrapublica.edomex.gob.mx/sites/infraestructura.edomex.gob.mx/files/files/Administracion_y_Construccion/pdf/DGE/A-Public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E801A-CF69-4F85-A3C9-043E784F6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3175</TotalTime>
  <Pages>83</Pages>
  <Words>20946</Words>
  <Characters>115207</Characters>
  <Application>Microsoft Office Word</Application>
  <DocSecurity>0</DocSecurity>
  <Lines>960</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163</cp:revision>
  <cp:lastPrinted>2019-02-21T15:34:00Z</cp:lastPrinted>
  <dcterms:created xsi:type="dcterms:W3CDTF">2017-03-31T00:22:00Z</dcterms:created>
  <dcterms:modified xsi:type="dcterms:W3CDTF">2019-03-15T20:21:00Z</dcterms:modified>
</cp:coreProperties>
</file>