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E68" w:rsidRPr="006B7327" w:rsidRDefault="009F7E68" w:rsidP="009F7E68">
      <w:pPr>
        <w:spacing w:before="240" w:after="240" w:line="360" w:lineRule="auto"/>
        <w:rPr>
          <w:rFonts w:ascii="Palatino Linotype" w:eastAsia="MS Mincho" w:hAnsi="Palatino Linotype" w:cs="Times New Roman"/>
          <w:b/>
          <w:sz w:val="24"/>
          <w:szCs w:val="24"/>
          <w:lang w:val="es-ES_tradnl" w:eastAsia="es-ES"/>
        </w:rPr>
      </w:pPr>
      <w:r w:rsidRPr="006B7327">
        <w:rPr>
          <w:rFonts w:ascii="Palatino Linotype" w:eastAsia="MS Mincho" w:hAnsi="Palatino Linotype" w:cs="Times New Roman"/>
          <w:b/>
          <w:sz w:val="24"/>
          <w:szCs w:val="24"/>
          <w:lang w:val="es-ES_tradnl" w:eastAsia="es-ES"/>
        </w:rPr>
        <w:t>LÍNEAS ARGUMENTATIVAS.</w:t>
      </w:r>
    </w:p>
    <w:p w:rsidR="00D00D5A" w:rsidRPr="006B7327" w:rsidRDefault="00D00D5A" w:rsidP="00D00D5A">
      <w:pPr>
        <w:spacing w:before="240" w:after="360" w:line="360" w:lineRule="auto"/>
        <w:contextualSpacing/>
        <w:jc w:val="both"/>
        <w:rPr>
          <w:rFonts w:ascii="Palatino Linotype" w:eastAsia="Times New Roman" w:hAnsi="Palatino Linotype"/>
          <w:sz w:val="23"/>
          <w:szCs w:val="23"/>
        </w:rPr>
      </w:pPr>
      <w:r w:rsidRPr="006B7327">
        <w:rPr>
          <w:rFonts w:ascii="Palatino Linotype" w:eastAsia="Times New Roman" w:hAnsi="Palatino Linotype"/>
          <w:b/>
          <w:sz w:val="23"/>
          <w:szCs w:val="23"/>
        </w:rPr>
        <w:t>DEBERES DE LAS AUTORIDADES.</w:t>
      </w:r>
      <w:r w:rsidRPr="006B7327">
        <w:rPr>
          <w:rFonts w:ascii="Palatino Linotype" w:eastAsia="Times New Roman" w:hAnsi="Palatino Linotype"/>
          <w:sz w:val="23"/>
          <w:szCs w:val="23"/>
        </w:rPr>
        <w:t xml:space="preserve"> El derecho humano de </w:t>
      </w:r>
      <w:r w:rsidRPr="006B7327">
        <w:rPr>
          <w:rFonts w:ascii="Palatino Linotype" w:eastAsia="Calibri" w:hAnsi="Palatino Linotype" w:cs="Arial"/>
          <w:sz w:val="24"/>
          <w:szCs w:val="24"/>
          <w:lang w:val="es-ES" w:eastAsia="es-ES"/>
        </w:rPr>
        <w:t xml:space="preserve">Acceso, Rectificación, Cancelación y Oposición de Datos Personales </w:t>
      </w:r>
      <w:r w:rsidRPr="006B7327">
        <w:rPr>
          <w:rFonts w:ascii="Palatino Linotype" w:eastAsia="Times New Roman" w:hAnsi="Palatino Linotype"/>
          <w:sz w:val="23"/>
          <w:szCs w:val="23"/>
        </w:rPr>
        <w:t>es un derecho humano constitucionalmente reconocido, en consecuencia todas las autoridades en el ámbito de sus competencias tienen la obligación de respetarlo, protegerlo y garantizarlo.</w:t>
      </w:r>
    </w:p>
    <w:p w:rsidR="00D00D5A" w:rsidRPr="006B7327" w:rsidRDefault="00D00D5A" w:rsidP="00D00D5A">
      <w:pPr>
        <w:spacing w:before="240" w:after="360" w:line="360" w:lineRule="auto"/>
        <w:contextualSpacing/>
        <w:jc w:val="both"/>
        <w:rPr>
          <w:rFonts w:ascii="Palatino Linotype" w:eastAsia="Times New Roman" w:hAnsi="Palatino Linotype"/>
          <w:sz w:val="23"/>
          <w:szCs w:val="23"/>
        </w:rPr>
      </w:pPr>
    </w:p>
    <w:p w:rsidR="00D00D5A" w:rsidRPr="006B7327" w:rsidRDefault="00D00D5A" w:rsidP="00D00D5A">
      <w:pPr>
        <w:spacing w:after="0" w:line="360" w:lineRule="auto"/>
        <w:jc w:val="both"/>
        <w:rPr>
          <w:rFonts w:ascii="Palatino Linotype" w:eastAsia="MS Mincho" w:hAnsi="Palatino Linotype" w:cs="Arial"/>
          <w:sz w:val="24"/>
          <w:szCs w:val="24"/>
          <w:lang w:val="es-ES_tradnl" w:eastAsia="es-ES"/>
        </w:rPr>
      </w:pPr>
      <w:bookmarkStart w:id="0" w:name="_Toc476570274"/>
      <w:r w:rsidRPr="006B7327">
        <w:rPr>
          <w:rFonts w:ascii="Palatino Linotype" w:eastAsia="Times New Roman" w:hAnsi="Palatino Linotype"/>
          <w:b/>
          <w:sz w:val="23"/>
          <w:szCs w:val="23"/>
        </w:rPr>
        <w:t>RESPUESTAS IMPRECISAS O INCOMPLETAS, DEBER DE REPARACIÓN</w:t>
      </w:r>
      <w:bookmarkEnd w:id="0"/>
      <w:r w:rsidRPr="006B7327">
        <w:rPr>
          <w:rFonts w:ascii="Palatino Linotype" w:eastAsia="Times New Roman" w:hAnsi="Palatino Linotype"/>
          <w:b/>
          <w:sz w:val="23"/>
          <w:szCs w:val="23"/>
        </w:rPr>
        <w:t>.</w:t>
      </w:r>
      <w:r w:rsidRPr="006B7327">
        <w:rPr>
          <w:rFonts w:ascii="Palatino Linotype" w:eastAsia="MS Mincho" w:hAnsi="Palatino Linotype" w:cs="Arial"/>
          <w:sz w:val="24"/>
          <w:szCs w:val="24"/>
          <w:lang w:val="es-ES_tradnl" w:eastAsia="es-ES"/>
        </w:rPr>
        <w:t xml:space="preserve"> Es obligación de todas las autoridades, promover, respetar y garantizar los derechos humanos, entre ellos los de </w:t>
      </w:r>
      <w:r w:rsidRPr="006B7327">
        <w:rPr>
          <w:rFonts w:ascii="Palatino Linotype" w:eastAsia="Calibri" w:hAnsi="Palatino Linotype" w:cs="Arial"/>
          <w:sz w:val="24"/>
          <w:szCs w:val="24"/>
          <w:lang w:val="es-ES" w:eastAsia="es-ES"/>
        </w:rPr>
        <w:t>Acceso, Rectificación, Cancelación y Oposición de Datos Personales</w:t>
      </w:r>
      <w:r w:rsidRPr="006B7327">
        <w:rPr>
          <w:rFonts w:ascii="Palatino Linotype" w:eastAsia="MS Mincho" w:hAnsi="Palatino Linotype" w:cs="Arial"/>
          <w:sz w:val="24"/>
          <w:szCs w:val="24"/>
          <w:lang w:val="es-ES_tradnl" w:eastAsia="es-ES"/>
        </w:rPr>
        <w:t>, por lo que las respuestas imprecisas o incompletas generan una afectación inicial susceptible de ser reparada mediante el recurso de revisión.</w:t>
      </w:r>
    </w:p>
    <w:p w:rsidR="00D00D5A" w:rsidRPr="006B7327" w:rsidRDefault="008C201C" w:rsidP="009F7E68">
      <w:pPr>
        <w:spacing w:before="240" w:after="240" w:line="360" w:lineRule="auto"/>
        <w:jc w:val="center"/>
        <w:rPr>
          <w:rFonts w:ascii="Palatino Linotype" w:eastAsia="MS Mincho" w:hAnsi="Palatino Linotype" w:cs="Times New Roman"/>
          <w:b/>
          <w:sz w:val="24"/>
          <w:szCs w:val="24"/>
          <w:lang w:val="es-ES_tradnl" w:eastAsia="es-ES"/>
        </w:rPr>
      </w:pPr>
      <w:r>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165735</wp:posOffset>
                </wp:positionV>
                <wp:extent cx="5486400" cy="33718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486400" cy="3371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BB114"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05pt" to="435.4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" strokecolor="#5b9bd5 [3204]" strokeweight=".5pt">
                <v:stroke joinstyle="miter"/>
              </v:line>
            </w:pict>
          </mc:Fallback>
        </mc:AlternateContent>
      </w:r>
    </w:p>
    <w:p w:rsidR="00180852" w:rsidRPr="006B7327" w:rsidRDefault="00180852" w:rsidP="009F7E68">
      <w:pPr>
        <w:spacing w:before="240" w:after="240" w:line="360" w:lineRule="auto"/>
        <w:jc w:val="center"/>
        <w:rPr>
          <w:rFonts w:ascii="Palatino Linotype" w:eastAsia="MS Mincho" w:hAnsi="Palatino Linotype" w:cs="Times New Roman"/>
          <w:b/>
          <w:sz w:val="24"/>
          <w:szCs w:val="24"/>
          <w:lang w:val="es-ES_tradnl" w:eastAsia="es-ES"/>
        </w:rPr>
      </w:pPr>
    </w:p>
    <w:p w:rsidR="00A1339F" w:rsidRPr="006B7327" w:rsidRDefault="00A1339F" w:rsidP="009F7E68">
      <w:pPr>
        <w:spacing w:before="240" w:after="240" w:line="360" w:lineRule="auto"/>
        <w:jc w:val="center"/>
        <w:rPr>
          <w:rFonts w:ascii="Palatino Linotype" w:eastAsia="MS Mincho" w:hAnsi="Palatino Linotype" w:cs="Times New Roman"/>
          <w:b/>
          <w:sz w:val="24"/>
          <w:szCs w:val="24"/>
          <w:lang w:val="es-ES_tradnl" w:eastAsia="es-ES"/>
        </w:rPr>
      </w:pPr>
    </w:p>
    <w:p w:rsidR="009F7E68" w:rsidRPr="006B7327" w:rsidRDefault="009F7E68" w:rsidP="009F7E68">
      <w:pPr>
        <w:spacing w:before="240" w:after="240" w:line="360" w:lineRule="auto"/>
        <w:jc w:val="center"/>
        <w:rPr>
          <w:rFonts w:ascii="Palatino Linotype" w:eastAsia="MS Mincho" w:hAnsi="Palatino Linotype" w:cs="Times New Roman"/>
          <w:b/>
          <w:sz w:val="24"/>
          <w:szCs w:val="24"/>
          <w:lang w:val="es-ES_tradnl" w:eastAsia="es-ES"/>
        </w:rPr>
      </w:pPr>
    </w:p>
    <w:p w:rsidR="005E3A3C" w:rsidRPr="006B7327" w:rsidRDefault="005E3A3C" w:rsidP="009F7E68">
      <w:pPr>
        <w:spacing w:before="240" w:after="240" w:line="360" w:lineRule="auto"/>
        <w:jc w:val="center"/>
        <w:rPr>
          <w:rFonts w:ascii="Palatino Linotype" w:eastAsia="MS Mincho" w:hAnsi="Palatino Linotype" w:cs="Times New Roman"/>
          <w:b/>
          <w:sz w:val="24"/>
          <w:szCs w:val="24"/>
          <w:lang w:val="es-ES_tradnl" w:eastAsia="es-ES"/>
        </w:rPr>
      </w:pPr>
    </w:p>
    <w:p w:rsidR="005E3A3C" w:rsidRPr="006B7327" w:rsidRDefault="005E3A3C" w:rsidP="009F7E68">
      <w:pPr>
        <w:spacing w:before="240" w:after="240" w:line="360" w:lineRule="auto"/>
        <w:jc w:val="center"/>
        <w:rPr>
          <w:rFonts w:ascii="Palatino Linotype" w:eastAsia="MS Mincho" w:hAnsi="Palatino Linotype" w:cs="Times New Roman"/>
          <w:b/>
          <w:sz w:val="24"/>
          <w:szCs w:val="24"/>
          <w:lang w:val="es-ES_tradnl" w:eastAsia="es-ES"/>
        </w:rPr>
      </w:pPr>
    </w:p>
    <w:p w:rsidR="009F7E68" w:rsidRPr="006B7327" w:rsidRDefault="009F7E68" w:rsidP="006B7327">
      <w:pPr>
        <w:spacing w:before="240" w:after="240" w:line="360" w:lineRule="auto"/>
        <w:rPr>
          <w:rFonts w:ascii="Palatino Linotype" w:eastAsia="MS Mincho" w:hAnsi="Palatino Linotype" w:cs="Times New Roman"/>
          <w:b/>
          <w:sz w:val="24"/>
          <w:szCs w:val="24"/>
          <w:lang w:val="es-ES_tradnl" w:eastAsia="es-ES"/>
        </w:rPr>
      </w:pPr>
    </w:p>
    <w:p w:rsidR="009F7E68" w:rsidRPr="006B7327" w:rsidRDefault="009F7E68" w:rsidP="006B7327">
      <w:pPr>
        <w:spacing w:before="240" w:after="240" w:line="360" w:lineRule="auto"/>
        <w:rPr>
          <w:rFonts w:ascii="Palatino Linotype" w:eastAsia="MS Mincho" w:hAnsi="Palatino Linotype" w:cs="Times New Roman"/>
          <w:b/>
          <w:sz w:val="24"/>
          <w:szCs w:val="24"/>
          <w:lang w:val="es-ES_tradnl" w:eastAsia="es-ES"/>
        </w:rPr>
      </w:pPr>
    </w:p>
    <w:p w:rsidR="009F7E68" w:rsidRPr="006B7327" w:rsidRDefault="009F7E68" w:rsidP="009F7E68">
      <w:pPr>
        <w:spacing w:before="240" w:after="240" w:line="360" w:lineRule="auto"/>
        <w:jc w:val="center"/>
        <w:rPr>
          <w:rFonts w:ascii="Palatino Linotype" w:eastAsia="MS Mincho" w:hAnsi="Palatino Linotype" w:cs="Times New Roman"/>
          <w:sz w:val="24"/>
          <w:szCs w:val="24"/>
          <w:lang w:val="es-ES_tradnl" w:eastAsia="es-ES"/>
        </w:rPr>
      </w:pPr>
      <w:r w:rsidRPr="006B7327">
        <w:rPr>
          <w:rFonts w:ascii="Palatino Linotype" w:eastAsia="MS Mincho" w:hAnsi="Palatino Linotype" w:cs="Times New Roman"/>
          <w:b/>
          <w:sz w:val="24"/>
          <w:szCs w:val="24"/>
          <w:lang w:val="es-ES_tradnl" w:eastAsia="es-ES"/>
        </w:rPr>
        <w:lastRenderedPageBreak/>
        <w:t>Índice</w:t>
      </w:r>
      <w:r w:rsidRPr="006B7327">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9F7E68" w:rsidRPr="006B7327" w:rsidRDefault="009F7E68" w:rsidP="006B7327">
          <w:pPr>
            <w:keepNext/>
            <w:keepLines/>
            <w:spacing w:before="240" w:after="0" w:line="720" w:lineRule="auto"/>
            <w:rPr>
              <w:rFonts w:asciiTheme="majorHAnsi" w:eastAsiaTheme="majorEastAsia" w:hAnsiTheme="majorHAnsi" w:cstheme="majorBidi"/>
              <w:color w:val="2E74B5" w:themeColor="accent1" w:themeShade="BF"/>
              <w:sz w:val="32"/>
              <w:szCs w:val="32"/>
              <w:lang w:eastAsia="es-MX"/>
            </w:rPr>
          </w:pPr>
        </w:p>
        <w:p w:rsidR="006B7327" w:rsidRPr="006B7327" w:rsidRDefault="009F7E68" w:rsidP="006B7327">
          <w:pPr>
            <w:pStyle w:val="TDC1"/>
            <w:spacing w:line="720" w:lineRule="auto"/>
            <w:rPr>
              <w:rFonts w:eastAsiaTheme="minorEastAsia"/>
              <w:noProof/>
              <w:lang w:eastAsia="es-MX"/>
            </w:rPr>
          </w:pPr>
          <w:r w:rsidRPr="006B7327">
            <w:fldChar w:fldCharType="begin"/>
          </w:r>
          <w:r w:rsidRPr="006B7327">
            <w:instrText xml:space="preserve"> TOC \o "1-3" \h \z \u </w:instrText>
          </w:r>
          <w:r w:rsidRPr="006B7327">
            <w:fldChar w:fldCharType="separate"/>
          </w:r>
          <w:hyperlink w:anchor="_Toc518652214" w:history="1">
            <w:r w:rsidR="006B7327" w:rsidRPr="006B7327">
              <w:rPr>
                <w:rStyle w:val="Hipervnculo"/>
                <w:rFonts w:ascii="Palatino Linotype" w:eastAsia="MS Gothic" w:hAnsi="Palatino Linotype" w:cs="Times New Roman"/>
                <w:b/>
                <w:noProof/>
              </w:rPr>
              <w:t>A N T E C E D E N T E S</w:t>
            </w:r>
            <w:r w:rsidR="006B7327" w:rsidRPr="006B7327">
              <w:rPr>
                <w:noProof/>
                <w:webHidden/>
              </w:rPr>
              <w:tab/>
            </w:r>
            <w:r w:rsidR="006B7327" w:rsidRPr="006B7327">
              <w:rPr>
                <w:noProof/>
                <w:webHidden/>
              </w:rPr>
              <w:fldChar w:fldCharType="begin"/>
            </w:r>
            <w:r w:rsidR="006B7327" w:rsidRPr="006B7327">
              <w:rPr>
                <w:noProof/>
                <w:webHidden/>
              </w:rPr>
              <w:instrText xml:space="preserve"> PAGEREF _Toc518652214 \h </w:instrText>
            </w:r>
            <w:r w:rsidR="006B7327" w:rsidRPr="006B7327">
              <w:rPr>
                <w:noProof/>
                <w:webHidden/>
              </w:rPr>
            </w:r>
            <w:r w:rsidR="006B7327" w:rsidRPr="006B7327">
              <w:rPr>
                <w:noProof/>
                <w:webHidden/>
              </w:rPr>
              <w:fldChar w:fldCharType="separate"/>
            </w:r>
            <w:r w:rsidR="00670D80">
              <w:rPr>
                <w:noProof/>
                <w:webHidden/>
              </w:rPr>
              <w:t>3</w:t>
            </w:r>
            <w:r w:rsidR="006B7327" w:rsidRPr="006B7327">
              <w:rPr>
                <w:noProof/>
                <w:webHidden/>
              </w:rPr>
              <w:fldChar w:fldCharType="end"/>
            </w:r>
          </w:hyperlink>
        </w:p>
        <w:p w:rsidR="006B7327" w:rsidRPr="006B7327" w:rsidRDefault="00347691" w:rsidP="006B7327">
          <w:pPr>
            <w:pStyle w:val="TDC1"/>
            <w:spacing w:line="720" w:lineRule="auto"/>
            <w:rPr>
              <w:rFonts w:eastAsiaTheme="minorEastAsia"/>
              <w:noProof/>
              <w:lang w:eastAsia="es-MX"/>
            </w:rPr>
          </w:pPr>
          <w:hyperlink w:anchor="_Toc518652215" w:history="1">
            <w:r w:rsidR="006B7327" w:rsidRPr="006B7327">
              <w:rPr>
                <w:rStyle w:val="Hipervnculo"/>
                <w:rFonts w:ascii="Palatino Linotype" w:eastAsia="MS Gothic" w:hAnsi="Palatino Linotype" w:cs="Times New Roman"/>
                <w:b/>
                <w:noProof/>
              </w:rPr>
              <w:t>CONSIDERANDO</w:t>
            </w:r>
            <w:r w:rsidR="006B7327" w:rsidRPr="006B7327">
              <w:rPr>
                <w:noProof/>
                <w:webHidden/>
              </w:rPr>
              <w:tab/>
            </w:r>
            <w:r w:rsidR="006B7327" w:rsidRPr="006B7327">
              <w:rPr>
                <w:noProof/>
                <w:webHidden/>
              </w:rPr>
              <w:fldChar w:fldCharType="begin"/>
            </w:r>
            <w:r w:rsidR="006B7327" w:rsidRPr="006B7327">
              <w:rPr>
                <w:noProof/>
                <w:webHidden/>
              </w:rPr>
              <w:instrText xml:space="preserve"> PAGEREF _Toc518652215 \h </w:instrText>
            </w:r>
            <w:r w:rsidR="006B7327" w:rsidRPr="006B7327">
              <w:rPr>
                <w:noProof/>
                <w:webHidden/>
              </w:rPr>
            </w:r>
            <w:r w:rsidR="006B7327" w:rsidRPr="006B7327">
              <w:rPr>
                <w:noProof/>
                <w:webHidden/>
              </w:rPr>
              <w:fldChar w:fldCharType="separate"/>
            </w:r>
            <w:r w:rsidR="00670D80">
              <w:rPr>
                <w:noProof/>
                <w:webHidden/>
              </w:rPr>
              <w:t>10</w:t>
            </w:r>
            <w:r w:rsidR="006B7327" w:rsidRPr="006B7327">
              <w:rPr>
                <w:noProof/>
                <w:webHidden/>
              </w:rPr>
              <w:fldChar w:fldCharType="end"/>
            </w:r>
          </w:hyperlink>
        </w:p>
        <w:p w:rsidR="006B7327" w:rsidRPr="006B7327" w:rsidRDefault="00347691" w:rsidP="006B7327">
          <w:pPr>
            <w:pStyle w:val="TDC2"/>
            <w:tabs>
              <w:tab w:val="right" w:leader="dot" w:pos="8779"/>
            </w:tabs>
            <w:spacing w:line="720" w:lineRule="auto"/>
            <w:ind w:left="0"/>
            <w:rPr>
              <w:rFonts w:eastAsiaTheme="minorEastAsia"/>
              <w:noProof/>
              <w:lang w:eastAsia="es-MX"/>
            </w:rPr>
          </w:pPr>
          <w:hyperlink w:anchor="_Toc518652216" w:history="1">
            <w:r w:rsidR="006B7327" w:rsidRPr="006B7327">
              <w:rPr>
                <w:rStyle w:val="Hipervnculo"/>
                <w:rFonts w:ascii="Palatino Linotype" w:eastAsia="MS Gothic" w:hAnsi="Palatino Linotype" w:cs="Times New Roman"/>
                <w:b/>
                <w:noProof/>
              </w:rPr>
              <w:t>PRIMERO. De la competencia.</w:t>
            </w:r>
            <w:r w:rsidR="006B7327" w:rsidRPr="006B7327">
              <w:rPr>
                <w:noProof/>
                <w:webHidden/>
              </w:rPr>
              <w:tab/>
            </w:r>
            <w:r w:rsidR="006B7327" w:rsidRPr="006B7327">
              <w:rPr>
                <w:noProof/>
                <w:webHidden/>
              </w:rPr>
              <w:fldChar w:fldCharType="begin"/>
            </w:r>
            <w:r w:rsidR="006B7327" w:rsidRPr="006B7327">
              <w:rPr>
                <w:noProof/>
                <w:webHidden/>
              </w:rPr>
              <w:instrText xml:space="preserve"> PAGEREF _Toc518652216 \h </w:instrText>
            </w:r>
            <w:r w:rsidR="006B7327" w:rsidRPr="006B7327">
              <w:rPr>
                <w:noProof/>
                <w:webHidden/>
              </w:rPr>
            </w:r>
            <w:r w:rsidR="006B7327" w:rsidRPr="006B7327">
              <w:rPr>
                <w:noProof/>
                <w:webHidden/>
              </w:rPr>
              <w:fldChar w:fldCharType="separate"/>
            </w:r>
            <w:r w:rsidR="00670D80">
              <w:rPr>
                <w:noProof/>
                <w:webHidden/>
              </w:rPr>
              <w:t>10</w:t>
            </w:r>
            <w:r w:rsidR="006B7327" w:rsidRPr="006B7327">
              <w:rPr>
                <w:noProof/>
                <w:webHidden/>
              </w:rPr>
              <w:fldChar w:fldCharType="end"/>
            </w:r>
          </w:hyperlink>
        </w:p>
        <w:p w:rsidR="006B7327" w:rsidRPr="006B7327" w:rsidRDefault="00347691" w:rsidP="006B7327">
          <w:pPr>
            <w:pStyle w:val="TDC2"/>
            <w:tabs>
              <w:tab w:val="right" w:leader="dot" w:pos="8779"/>
            </w:tabs>
            <w:spacing w:line="720" w:lineRule="auto"/>
            <w:ind w:left="0"/>
            <w:rPr>
              <w:rFonts w:eastAsiaTheme="minorEastAsia"/>
              <w:noProof/>
              <w:lang w:eastAsia="es-MX"/>
            </w:rPr>
          </w:pPr>
          <w:hyperlink w:anchor="_Toc518652217" w:history="1">
            <w:r w:rsidR="006B7327" w:rsidRPr="006B7327">
              <w:rPr>
                <w:rStyle w:val="Hipervnculo"/>
                <w:rFonts w:ascii="Palatino Linotype" w:eastAsia="MS Gothic" w:hAnsi="Palatino Linotype" w:cs="Times New Roman"/>
                <w:b/>
                <w:noProof/>
              </w:rPr>
              <w:t>SEGUNDO. De la oportunidad y procedibilidad.</w:t>
            </w:r>
            <w:r w:rsidR="006B7327" w:rsidRPr="006B7327">
              <w:rPr>
                <w:noProof/>
                <w:webHidden/>
              </w:rPr>
              <w:tab/>
            </w:r>
            <w:r w:rsidR="006B7327" w:rsidRPr="006B7327">
              <w:rPr>
                <w:noProof/>
                <w:webHidden/>
              </w:rPr>
              <w:fldChar w:fldCharType="begin"/>
            </w:r>
            <w:r w:rsidR="006B7327" w:rsidRPr="006B7327">
              <w:rPr>
                <w:noProof/>
                <w:webHidden/>
              </w:rPr>
              <w:instrText xml:space="preserve"> PAGEREF _Toc518652217 \h </w:instrText>
            </w:r>
            <w:r w:rsidR="006B7327" w:rsidRPr="006B7327">
              <w:rPr>
                <w:noProof/>
                <w:webHidden/>
              </w:rPr>
            </w:r>
            <w:r w:rsidR="006B7327" w:rsidRPr="006B7327">
              <w:rPr>
                <w:noProof/>
                <w:webHidden/>
              </w:rPr>
              <w:fldChar w:fldCharType="separate"/>
            </w:r>
            <w:r w:rsidR="00670D80">
              <w:rPr>
                <w:noProof/>
                <w:webHidden/>
              </w:rPr>
              <w:t>10</w:t>
            </w:r>
            <w:r w:rsidR="006B7327" w:rsidRPr="006B7327">
              <w:rPr>
                <w:noProof/>
                <w:webHidden/>
              </w:rPr>
              <w:fldChar w:fldCharType="end"/>
            </w:r>
          </w:hyperlink>
        </w:p>
        <w:p w:rsidR="006B7327" w:rsidRPr="006B7327" w:rsidRDefault="00347691" w:rsidP="006B7327">
          <w:pPr>
            <w:pStyle w:val="TDC2"/>
            <w:tabs>
              <w:tab w:val="right" w:leader="dot" w:pos="8779"/>
            </w:tabs>
            <w:spacing w:line="720" w:lineRule="auto"/>
            <w:ind w:left="0"/>
            <w:rPr>
              <w:rFonts w:eastAsiaTheme="minorEastAsia"/>
              <w:noProof/>
              <w:lang w:eastAsia="es-MX"/>
            </w:rPr>
          </w:pPr>
          <w:hyperlink w:anchor="_Toc518652218" w:history="1">
            <w:r w:rsidR="006B7327" w:rsidRPr="006B7327">
              <w:rPr>
                <w:rStyle w:val="Hipervnculo"/>
                <w:rFonts w:ascii="Palatino Linotype" w:eastAsia="MS Gothic" w:hAnsi="Palatino Linotype" w:cs="Times New Roman"/>
                <w:b/>
                <w:noProof/>
              </w:rPr>
              <w:t>TERCERO</w:t>
            </w:r>
            <w:r w:rsidR="006B7327" w:rsidRPr="006B7327">
              <w:rPr>
                <w:rStyle w:val="Hipervnculo"/>
                <w:rFonts w:ascii="Palatino Linotype" w:eastAsia="MS Mincho" w:hAnsi="Palatino Linotype" w:cstheme="majorBidi"/>
                <w:b/>
                <w:noProof/>
                <w:lang w:val="es-ES_tradnl" w:eastAsia="es-ES"/>
              </w:rPr>
              <w:t>. Del planteamiento de la Litis.</w:t>
            </w:r>
            <w:r w:rsidR="006B7327" w:rsidRPr="006B7327">
              <w:rPr>
                <w:noProof/>
                <w:webHidden/>
              </w:rPr>
              <w:tab/>
            </w:r>
            <w:r w:rsidR="006B7327" w:rsidRPr="006B7327">
              <w:rPr>
                <w:noProof/>
                <w:webHidden/>
              </w:rPr>
              <w:fldChar w:fldCharType="begin"/>
            </w:r>
            <w:r w:rsidR="006B7327" w:rsidRPr="006B7327">
              <w:rPr>
                <w:noProof/>
                <w:webHidden/>
              </w:rPr>
              <w:instrText xml:space="preserve"> PAGEREF _Toc518652218 \h </w:instrText>
            </w:r>
            <w:r w:rsidR="006B7327" w:rsidRPr="006B7327">
              <w:rPr>
                <w:noProof/>
                <w:webHidden/>
              </w:rPr>
            </w:r>
            <w:r w:rsidR="006B7327" w:rsidRPr="006B7327">
              <w:rPr>
                <w:noProof/>
                <w:webHidden/>
              </w:rPr>
              <w:fldChar w:fldCharType="separate"/>
            </w:r>
            <w:r w:rsidR="00670D80">
              <w:rPr>
                <w:noProof/>
                <w:webHidden/>
              </w:rPr>
              <w:t>14</w:t>
            </w:r>
            <w:r w:rsidR="006B7327" w:rsidRPr="006B7327">
              <w:rPr>
                <w:noProof/>
                <w:webHidden/>
              </w:rPr>
              <w:fldChar w:fldCharType="end"/>
            </w:r>
          </w:hyperlink>
        </w:p>
        <w:p w:rsidR="006B7327" w:rsidRPr="006B7327" w:rsidRDefault="00347691" w:rsidP="006B7327">
          <w:pPr>
            <w:pStyle w:val="TDC2"/>
            <w:tabs>
              <w:tab w:val="right" w:leader="dot" w:pos="8779"/>
            </w:tabs>
            <w:spacing w:line="720" w:lineRule="auto"/>
            <w:ind w:left="0"/>
            <w:rPr>
              <w:rFonts w:eastAsiaTheme="minorEastAsia"/>
              <w:noProof/>
              <w:lang w:eastAsia="es-MX"/>
            </w:rPr>
          </w:pPr>
          <w:hyperlink w:anchor="_Toc518652219" w:history="1">
            <w:r w:rsidR="006B7327" w:rsidRPr="006B7327">
              <w:rPr>
                <w:rStyle w:val="Hipervnculo"/>
                <w:rFonts w:ascii="Palatino Linotype" w:eastAsia="MS Gothic" w:hAnsi="Palatino Linotype" w:cs="Times New Roman"/>
                <w:b/>
                <w:noProof/>
              </w:rPr>
              <w:t>CUARTO</w:t>
            </w:r>
            <w:r w:rsidR="006B7327" w:rsidRPr="006B7327">
              <w:rPr>
                <w:rStyle w:val="Hipervnculo"/>
                <w:rFonts w:ascii="Palatino Linotype" w:eastAsia="MS Mincho" w:hAnsi="Palatino Linotype" w:cstheme="majorBidi"/>
                <w:b/>
                <w:noProof/>
                <w:lang w:val="es-ES_tradnl" w:eastAsia="es-ES"/>
              </w:rPr>
              <w:t>. Del estudio y resolución del recurso de revisión.</w:t>
            </w:r>
            <w:r w:rsidR="006B7327" w:rsidRPr="006B7327">
              <w:rPr>
                <w:noProof/>
                <w:webHidden/>
              </w:rPr>
              <w:tab/>
            </w:r>
            <w:r w:rsidR="006B7327" w:rsidRPr="006B7327">
              <w:rPr>
                <w:noProof/>
                <w:webHidden/>
              </w:rPr>
              <w:fldChar w:fldCharType="begin"/>
            </w:r>
            <w:r w:rsidR="006B7327" w:rsidRPr="006B7327">
              <w:rPr>
                <w:noProof/>
                <w:webHidden/>
              </w:rPr>
              <w:instrText xml:space="preserve"> PAGEREF _Toc518652219 \h </w:instrText>
            </w:r>
            <w:r w:rsidR="006B7327" w:rsidRPr="006B7327">
              <w:rPr>
                <w:noProof/>
                <w:webHidden/>
              </w:rPr>
            </w:r>
            <w:r w:rsidR="006B7327" w:rsidRPr="006B7327">
              <w:rPr>
                <w:noProof/>
                <w:webHidden/>
              </w:rPr>
              <w:fldChar w:fldCharType="separate"/>
            </w:r>
            <w:r w:rsidR="00670D80">
              <w:rPr>
                <w:noProof/>
                <w:webHidden/>
              </w:rPr>
              <w:t>17</w:t>
            </w:r>
            <w:r w:rsidR="006B7327" w:rsidRPr="006B7327">
              <w:rPr>
                <w:noProof/>
                <w:webHidden/>
              </w:rPr>
              <w:fldChar w:fldCharType="end"/>
            </w:r>
          </w:hyperlink>
        </w:p>
        <w:p w:rsidR="006B7327" w:rsidRPr="006B7327" w:rsidRDefault="00347691" w:rsidP="006B7327">
          <w:pPr>
            <w:pStyle w:val="TDC1"/>
            <w:spacing w:line="720" w:lineRule="auto"/>
            <w:rPr>
              <w:rFonts w:eastAsiaTheme="minorEastAsia"/>
              <w:noProof/>
              <w:lang w:eastAsia="es-MX"/>
            </w:rPr>
          </w:pPr>
          <w:hyperlink w:anchor="_Toc518652220" w:history="1">
            <w:r w:rsidR="006B7327" w:rsidRPr="006B7327">
              <w:rPr>
                <w:rStyle w:val="Hipervnculo"/>
                <w:rFonts w:ascii="Palatino Linotype" w:eastAsia="Calibri" w:hAnsi="Palatino Linotype" w:cs="Times New Roman"/>
                <w:b/>
                <w:noProof/>
                <w:lang w:val="es-ES" w:eastAsia="es-ES"/>
              </w:rPr>
              <w:t>R E S O L U T I V O S</w:t>
            </w:r>
            <w:r w:rsidR="006B7327" w:rsidRPr="006B7327">
              <w:rPr>
                <w:noProof/>
                <w:webHidden/>
              </w:rPr>
              <w:tab/>
            </w:r>
            <w:r w:rsidR="006B7327" w:rsidRPr="006B7327">
              <w:rPr>
                <w:noProof/>
                <w:webHidden/>
              </w:rPr>
              <w:fldChar w:fldCharType="begin"/>
            </w:r>
            <w:r w:rsidR="006B7327" w:rsidRPr="006B7327">
              <w:rPr>
                <w:noProof/>
                <w:webHidden/>
              </w:rPr>
              <w:instrText xml:space="preserve"> PAGEREF _Toc518652220 \h </w:instrText>
            </w:r>
            <w:r w:rsidR="006B7327" w:rsidRPr="006B7327">
              <w:rPr>
                <w:noProof/>
                <w:webHidden/>
              </w:rPr>
            </w:r>
            <w:r w:rsidR="006B7327" w:rsidRPr="006B7327">
              <w:rPr>
                <w:noProof/>
                <w:webHidden/>
              </w:rPr>
              <w:fldChar w:fldCharType="separate"/>
            </w:r>
            <w:r w:rsidR="00670D80">
              <w:rPr>
                <w:noProof/>
                <w:webHidden/>
              </w:rPr>
              <w:t>41</w:t>
            </w:r>
            <w:r w:rsidR="006B7327" w:rsidRPr="006B7327">
              <w:rPr>
                <w:noProof/>
                <w:webHidden/>
              </w:rPr>
              <w:fldChar w:fldCharType="end"/>
            </w:r>
          </w:hyperlink>
        </w:p>
        <w:p w:rsidR="009F7E68" w:rsidRPr="006B7327" w:rsidRDefault="009F7E68" w:rsidP="006B7327">
          <w:pPr>
            <w:tabs>
              <w:tab w:val="center" w:pos="4394"/>
            </w:tabs>
            <w:spacing w:line="720" w:lineRule="auto"/>
          </w:pPr>
          <w:r w:rsidRPr="006B7327">
            <w:rPr>
              <w:b/>
              <w:bCs/>
              <w:lang w:val="es-ES"/>
            </w:rPr>
            <w:fldChar w:fldCharType="end"/>
          </w:r>
        </w:p>
      </w:sdtContent>
    </w:sdt>
    <w:p w:rsidR="00FF620C" w:rsidRDefault="00FF620C" w:rsidP="006B7327">
      <w:pPr>
        <w:spacing w:before="240" w:after="240" w:line="360" w:lineRule="auto"/>
        <w:rPr>
          <w:rFonts w:ascii="Palatino Linotype" w:eastAsia="MS Mincho" w:hAnsi="Palatino Linotype" w:cs="Times New Roman"/>
          <w:sz w:val="24"/>
          <w:szCs w:val="24"/>
          <w:lang w:val="es-ES_tradnl" w:eastAsia="es-ES"/>
        </w:rPr>
      </w:pPr>
    </w:p>
    <w:p w:rsidR="00670D80" w:rsidRPr="006B7327" w:rsidRDefault="00670D80" w:rsidP="006B7327">
      <w:pPr>
        <w:spacing w:before="240" w:after="240" w:line="360" w:lineRule="auto"/>
        <w:rPr>
          <w:rFonts w:ascii="Palatino Linotype" w:eastAsia="MS Mincho" w:hAnsi="Palatino Linotype" w:cs="Times New Roman"/>
          <w:sz w:val="24"/>
          <w:szCs w:val="24"/>
          <w:lang w:val="es-ES_tradnl" w:eastAsia="es-ES"/>
        </w:rPr>
      </w:pPr>
    </w:p>
    <w:p w:rsidR="009F7E68" w:rsidRPr="006B7327" w:rsidRDefault="009F7E68" w:rsidP="009F7E68">
      <w:pPr>
        <w:spacing w:before="240" w:after="240" w:line="360" w:lineRule="auto"/>
        <w:jc w:val="both"/>
        <w:rPr>
          <w:rFonts w:ascii="Palatino Linotype" w:eastAsia="MS Mincho" w:hAnsi="Palatino Linotype" w:cs="Times New Roman"/>
          <w:sz w:val="24"/>
          <w:szCs w:val="24"/>
          <w:lang w:val="es-ES_tradnl" w:eastAsia="es-ES"/>
        </w:rPr>
      </w:pPr>
      <w:r w:rsidRPr="006B7327">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6B7327" w:rsidRPr="006B7327">
        <w:rPr>
          <w:rFonts w:ascii="Palatino Linotype" w:eastAsia="MS Mincho" w:hAnsi="Palatino Linotype" w:cs="Times New Roman"/>
          <w:sz w:val="24"/>
          <w:szCs w:val="24"/>
          <w:lang w:val="es-ES_tradnl" w:eastAsia="es-ES"/>
        </w:rPr>
        <w:t>cuatro (04)</w:t>
      </w:r>
      <w:r w:rsidR="00A762BF" w:rsidRPr="006B7327">
        <w:rPr>
          <w:rFonts w:ascii="Palatino Linotype" w:eastAsia="MS Mincho" w:hAnsi="Palatino Linotype" w:cs="Times New Roman"/>
          <w:sz w:val="24"/>
          <w:szCs w:val="24"/>
          <w:lang w:val="es-ES_tradnl" w:eastAsia="es-ES"/>
        </w:rPr>
        <w:t xml:space="preserve"> de </w:t>
      </w:r>
      <w:r w:rsidR="006B7327" w:rsidRPr="006B7327">
        <w:rPr>
          <w:rFonts w:ascii="Palatino Linotype" w:eastAsia="MS Mincho" w:hAnsi="Palatino Linotype" w:cs="Times New Roman"/>
          <w:sz w:val="24"/>
          <w:szCs w:val="24"/>
          <w:lang w:val="es-ES_tradnl" w:eastAsia="es-ES"/>
        </w:rPr>
        <w:t>julio</w:t>
      </w:r>
      <w:r w:rsidR="00A762BF" w:rsidRPr="006B7327">
        <w:rPr>
          <w:rFonts w:ascii="Palatino Linotype" w:eastAsia="MS Mincho" w:hAnsi="Palatino Linotype" w:cs="Times New Roman"/>
          <w:sz w:val="24"/>
          <w:szCs w:val="24"/>
          <w:lang w:val="es-ES_tradnl" w:eastAsia="es-ES"/>
        </w:rPr>
        <w:t xml:space="preserve"> </w:t>
      </w:r>
      <w:r w:rsidR="00D66D2D" w:rsidRPr="006B7327">
        <w:rPr>
          <w:rFonts w:ascii="Palatino Linotype" w:eastAsia="MS Mincho" w:hAnsi="Palatino Linotype" w:cs="Times New Roman"/>
          <w:sz w:val="24"/>
          <w:szCs w:val="24"/>
          <w:lang w:val="es-ES_tradnl" w:eastAsia="es-ES"/>
        </w:rPr>
        <w:t>de dos mil dieciocho</w:t>
      </w:r>
      <w:r w:rsidRPr="006B7327">
        <w:rPr>
          <w:rFonts w:ascii="Palatino Linotype" w:eastAsia="MS Mincho" w:hAnsi="Palatino Linotype" w:cs="Times New Roman"/>
          <w:sz w:val="24"/>
          <w:szCs w:val="24"/>
          <w:lang w:val="es-ES_tradnl" w:eastAsia="es-ES"/>
        </w:rPr>
        <w:t>.</w:t>
      </w:r>
    </w:p>
    <w:p w:rsidR="009F7E68" w:rsidRPr="006B7327" w:rsidRDefault="009F7E68" w:rsidP="009F7E68">
      <w:pPr>
        <w:spacing w:before="240" w:after="360" w:line="360" w:lineRule="auto"/>
        <w:jc w:val="both"/>
        <w:rPr>
          <w:rFonts w:ascii="Palatino Linotype" w:hAnsi="Palatino Linotype"/>
          <w:b/>
          <w:sz w:val="24"/>
          <w:szCs w:val="24"/>
        </w:rPr>
      </w:pPr>
      <w:r w:rsidRPr="006B7327">
        <w:rPr>
          <w:rFonts w:ascii="Palatino Linotype" w:eastAsia="MS Mincho" w:hAnsi="Palatino Linotype" w:cs="Times New Roman"/>
          <w:b/>
          <w:sz w:val="24"/>
          <w:szCs w:val="24"/>
          <w:lang w:val="es-ES_tradnl" w:eastAsia="es-ES"/>
        </w:rPr>
        <w:t>VISTO</w:t>
      </w:r>
      <w:r w:rsidRPr="006B7327">
        <w:rPr>
          <w:rFonts w:ascii="Palatino Linotype" w:eastAsia="MS Mincho" w:hAnsi="Palatino Linotype" w:cs="Times New Roman"/>
          <w:sz w:val="24"/>
          <w:szCs w:val="24"/>
          <w:lang w:val="es-ES_tradnl" w:eastAsia="es-ES"/>
        </w:rPr>
        <w:t xml:space="preserve"> el expediente electrónico formado con motivo del recurso de revisión</w:t>
      </w:r>
      <w:r w:rsidRPr="006B7327">
        <w:rPr>
          <w:rFonts w:ascii="Palatino Linotype" w:eastAsia="MS Mincho" w:hAnsi="Palatino Linotype" w:cs="Arial"/>
          <w:b/>
          <w:bCs/>
          <w:sz w:val="24"/>
          <w:szCs w:val="24"/>
          <w:lang w:val="es-ES_tradnl" w:eastAsia="es-ES"/>
        </w:rPr>
        <w:t xml:space="preserve">, </w:t>
      </w:r>
      <w:r w:rsidR="009D65F5" w:rsidRPr="006B7327">
        <w:rPr>
          <w:rFonts w:ascii="Palatino Linotype" w:eastAsia="MS Mincho" w:hAnsi="Palatino Linotype" w:cs="Arial"/>
          <w:b/>
          <w:bCs/>
          <w:sz w:val="24"/>
          <w:szCs w:val="24"/>
          <w:lang w:val="es-ES_tradnl" w:eastAsia="es-ES"/>
        </w:rPr>
        <w:t>00</w:t>
      </w:r>
      <w:r w:rsidR="004C330D" w:rsidRPr="006B7327">
        <w:rPr>
          <w:rFonts w:ascii="Palatino Linotype" w:eastAsia="MS Mincho" w:hAnsi="Palatino Linotype" w:cs="Arial"/>
          <w:b/>
          <w:bCs/>
          <w:sz w:val="24"/>
          <w:szCs w:val="24"/>
          <w:lang w:val="es-ES_tradnl" w:eastAsia="es-ES"/>
        </w:rPr>
        <w:t>853</w:t>
      </w:r>
      <w:r w:rsidR="009D65F5" w:rsidRPr="006B7327">
        <w:rPr>
          <w:rFonts w:ascii="Palatino Linotype" w:eastAsia="MS Mincho" w:hAnsi="Palatino Linotype" w:cs="Arial"/>
          <w:b/>
          <w:bCs/>
          <w:sz w:val="24"/>
          <w:szCs w:val="24"/>
          <w:lang w:val="es-ES_tradnl" w:eastAsia="es-ES"/>
        </w:rPr>
        <w:t>/INFOEM/AD/RR</w:t>
      </w:r>
      <w:r w:rsidRPr="006B7327">
        <w:rPr>
          <w:rFonts w:ascii="Palatino Linotype" w:eastAsia="MS Mincho" w:hAnsi="Palatino Linotype" w:cs="Arial"/>
          <w:b/>
          <w:bCs/>
          <w:sz w:val="24"/>
          <w:szCs w:val="24"/>
          <w:lang w:val="es-ES_tradnl" w:eastAsia="es-ES"/>
        </w:rPr>
        <w:t>/201</w:t>
      </w:r>
      <w:r w:rsidR="009D3172" w:rsidRPr="006B7327">
        <w:rPr>
          <w:rFonts w:ascii="Palatino Linotype" w:eastAsia="MS Mincho" w:hAnsi="Palatino Linotype" w:cs="Arial"/>
          <w:b/>
          <w:bCs/>
          <w:sz w:val="24"/>
          <w:szCs w:val="24"/>
          <w:lang w:val="es-ES_tradnl" w:eastAsia="es-ES"/>
        </w:rPr>
        <w:t>8</w:t>
      </w:r>
      <w:r w:rsidRPr="006B7327">
        <w:rPr>
          <w:rFonts w:ascii="Palatino Linotype" w:eastAsia="MS Mincho" w:hAnsi="Palatino Linotype" w:cs="Arial"/>
          <w:b/>
          <w:bCs/>
          <w:sz w:val="24"/>
          <w:szCs w:val="24"/>
          <w:lang w:val="es-ES_tradnl" w:eastAsia="es-ES"/>
        </w:rPr>
        <w:t xml:space="preserve"> </w:t>
      </w:r>
      <w:r w:rsidRPr="006B7327">
        <w:rPr>
          <w:rFonts w:ascii="Palatino Linotype" w:eastAsia="MS Mincho" w:hAnsi="Palatino Linotype" w:cs="Times New Roman"/>
          <w:sz w:val="24"/>
          <w:szCs w:val="24"/>
          <w:lang w:val="es-ES_tradnl" w:eastAsia="es-ES"/>
        </w:rPr>
        <w:t>promovido por</w:t>
      </w:r>
      <w:r w:rsidR="009D65F5" w:rsidRPr="006B7327">
        <w:rPr>
          <w:rFonts w:ascii="Palatino Linotype" w:hAnsi="Palatino Linotype"/>
          <w:b/>
          <w:sz w:val="24"/>
          <w:szCs w:val="24"/>
        </w:rPr>
        <w:t xml:space="preserve"> </w:t>
      </w:r>
      <w:r w:rsidR="00A42382" w:rsidRPr="00A42382">
        <w:rPr>
          <w:rFonts w:ascii="Palatino Linotype" w:hAnsi="Palatino Linotype"/>
          <w:b/>
          <w:sz w:val="24"/>
          <w:szCs w:val="24"/>
          <w:highlight w:val="black"/>
        </w:rPr>
        <w:t>--------------------------------------</w:t>
      </w:r>
      <w:r w:rsidRPr="006B7327">
        <w:rPr>
          <w:rFonts w:ascii="Palatino Linotype" w:eastAsia="MS Mincho" w:hAnsi="Palatino Linotype" w:cs="Times New Roman"/>
          <w:b/>
          <w:sz w:val="24"/>
          <w:szCs w:val="24"/>
          <w:lang w:val="es-ES_tradnl" w:eastAsia="es-ES"/>
        </w:rPr>
        <w:t xml:space="preserve">, </w:t>
      </w:r>
      <w:r w:rsidRPr="006B7327">
        <w:rPr>
          <w:rFonts w:ascii="Palatino Linotype" w:eastAsia="MS Mincho" w:hAnsi="Palatino Linotype" w:cs="Arial"/>
          <w:sz w:val="24"/>
          <w:szCs w:val="24"/>
          <w:lang w:val="es-ES_tradnl" w:eastAsia="es-ES"/>
        </w:rPr>
        <w:t xml:space="preserve">en su calidad de </w:t>
      </w:r>
      <w:r w:rsidRPr="006B7327">
        <w:rPr>
          <w:rFonts w:ascii="Palatino Linotype" w:eastAsia="MS Mincho" w:hAnsi="Palatino Linotype" w:cs="Arial"/>
          <w:b/>
          <w:sz w:val="24"/>
          <w:szCs w:val="24"/>
          <w:lang w:val="es-ES_tradnl" w:eastAsia="es-ES"/>
        </w:rPr>
        <w:t>RECURRENTE</w:t>
      </w:r>
      <w:r w:rsidRPr="006B7327">
        <w:rPr>
          <w:rFonts w:ascii="Palatino Linotype" w:eastAsia="MS Mincho" w:hAnsi="Palatino Linotype" w:cs="Arial"/>
          <w:sz w:val="24"/>
          <w:szCs w:val="24"/>
          <w:lang w:val="es-ES_tradnl" w:eastAsia="es-ES"/>
        </w:rPr>
        <w:t>, en contra de la</w:t>
      </w:r>
      <w:r w:rsidR="00D66D2D" w:rsidRPr="006B7327">
        <w:rPr>
          <w:rFonts w:ascii="Palatino Linotype" w:eastAsia="MS Mincho" w:hAnsi="Palatino Linotype" w:cs="Arial"/>
          <w:sz w:val="24"/>
          <w:szCs w:val="24"/>
          <w:lang w:val="es-ES_tradnl" w:eastAsia="es-ES"/>
        </w:rPr>
        <w:t xml:space="preserve"> falta de</w:t>
      </w:r>
      <w:r w:rsidRPr="006B7327">
        <w:rPr>
          <w:rFonts w:ascii="Palatino Linotype" w:eastAsia="MS Mincho" w:hAnsi="Palatino Linotype" w:cs="Arial"/>
          <w:sz w:val="24"/>
          <w:szCs w:val="24"/>
          <w:lang w:val="es-ES_tradnl" w:eastAsia="es-ES"/>
        </w:rPr>
        <w:t xml:space="preserve"> respuesta por parte del </w:t>
      </w:r>
      <w:r w:rsidR="00524C4F" w:rsidRPr="006B7327">
        <w:rPr>
          <w:rFonts w:ascii="Palatino Linotype" w:hAnsi="Palatino Linotype"/>
          <w:b/>
          <w:sz w:val="24"/>
          <w:szCs w:val="24"/>
        </w:rPr>
        <w:t>Instituto de Seguridad Social del Estado de México y Municipios</w:t>
      </w:r>
      <w:r w:rsidRPr="006B7327">
        <w:rPr>
          <w:rFonts w:ascii="Palatino Linotype" w:eastAsia="MS Mincho" w:hAnsi="Palatino Linotype" w:cs="Arial"/>
          <w:b/>
          <w:sz w:val="24"/>
          <w:szCs w:val="24"/>
          <w:lang w:val="es-ES_tradnl" w:eastAsia="es-ES"/>
        </w:rPr>
        <w:t>,</w:t>
      </w:r>
      <w:r w:rsidRPr="006B7327">
        <w:rPr>
          <w:rFonts w:ascii="Palatino Linotype" w:eastAsia="MS Mincho" w:hAnsi="Palatino Linotype" w:cs="Times New Roman"/>
          <w:b/>
          <w:sz w:val="24"/>
          <w:szCs w:val="24"/>
          <w:lang w:val="es-ES_tradnl" w:eastAsia="es-ES"/>
        </w:rPr>
        <w:t xml:space="preserve"> </w:t>
      </w:r>
      <w:r w:rsidRPr="006B7327">
        <w:rPr>
          <w:rFonts w:ascii="Palatino Linotype" w:eastAsia="MS Mincho" w:hAnsi="Palatino Linotype" w:cs="Times New Roman"/>
          <w:sz w:val="24"/>
          <w:szCs w:val="24"/>
          <w:lang w:val="es-ES_tradnl" w:eastAsia="es-ES"/>
        </w:rPr>
        <w:t>en lo sucesivo el</w:t>
      </w:r>
      <w:r w:rsidRPr="006B7327">
        <w:rPr>
          <w:rFonts w:ascii="Palatino Linotype" w:eastAsia="MS Mincho" w:hAnsi="Palatino Linotype" w:cs="Times New Roman"/>
          <w:b/>
          <w:sz w:val="24"/>
          <w:szCs w:val="24"/>
          <w:lang w:val="es-ES_tradnl" w:eastAsia="es-ES"/>
        </w:rPr>
        <w:t xml:space="preserve"> SUJETO OBLIGADO, </w:t>
      </w:r>
      <w:r w:rsidRPr="006B7327">
        <w:rPr>
          <w:rFonts w:ascii="Palatino Linotype" w:eastAsia="MS Mincho" w:hAnsi="Palatino Linotype" w:cs="Times New Roman"/>
          <w:sz w:val="24"/>
          <w:szCs w:val="24"/>
          <w:lang w:val="es-ES_tradnl" w:eastAsia="es-ES"/>
        </w:rPr>
        <w:t>se procede a dictar la presente resolución, con base en los siguientes:</w:t>
      </w:r>
    </w:p>
    <w:p w:rsidR="009F7E68" w:rsidRPr="006B7327" w:rsidRDefault="009F7E68" w:rsidP="009F7E68">
      <w:pPr>
        <w:keepNext/>
        <w:keepLines/>
        <w:spacing w:before="240" w:after="0"/>
        <w:jc w:val="center"/>
        <w:outlineLvl w:val="0"/>
        <w:rPr>
          <w:rFonts w:ascii="Palatino Linotype" w:eastAsia="MS Gothic" w:hAnsi="Palatino Linotype" w:cs="Times New Roman"/>
          <w:b/>
          <w:sz w:val="24"/>
          <w:szCs w:val="32"/>
        </w:rPr>
      </w:pPr>
      <w:bookmarkStart w:id="1" w:name="_Toc518652214"/>
      <w:r w:rsidRPr="006B7327">
        <w:rPr>
          <w:rFonts w:ascii="Palatino Linotype" w:eastAsia="MS Gothic" w:hAnsi="Palatino Linotype" w:cs="Times New Roman"/>
          <w:b/>
          <w:sz w:val="24"/>
          <w:szCs w:val="32"/>
        </w:rPr>
        <w:t>A N T E C E D E N T E S</w:t>
      </w:r>
      <w:bookmarkEnd w:id="1"/>
    </w:p>
    <w:p w:rsidR="009F7E68" w:rsidRPr="006B7327" w:rsidRDefault="009F7E68" w:rsidP="00984EBC">
      <w:pPr>
        <w:pStyle w:val="Sinespaciado"/>
      </w:pPr>
    </w:p>
    <w:p w:rsidR="009F7E68" w:rsidRPr="006B7327" w:rsidRDefault="009F7E68" w:rsidP="0032135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6B7327">
        <w:rPr>
          <w:rFonts w:ascii="Palatino Linotype" w:eastAsia="Calibri" w:hAnsi="Palatino Linotype" w:cs="Arial"/>
          <w:sz w:val="24"/>
          <w:szCs w:val="24"/>
          <w:lang w:val="es-ES" w:eastAsia="es-ES"/>
        </w:rPr>
        <w:t xml:space="preserve">El día </w:t>
      </w:r>
      <w:r w:rsidR="00321351" w:rsidRPr="006B7327">
        <w:rPr>
          <w:rFonts w:ascii="Palatino Linotype" w:eastAsia="Times New Roman" w:hAnsi="Palatino Linotype" w:cs="Arial"/>
          <w:sz w:val="24"/>
          <w:szCs w:val="24"/>
          <w:lang w:val="es-ES" w:eastAsia="es-ES"/>
        </w:rPr>
        <w:t>veintiuno (21) de febrero</w:t>
      </w:r>
      <w:r w:rsidR="00D66D2D" w:rsidRPr="006B7327">
        <w:rPr>
          <w:rFonts w:ascii="Palatino Linotype" w:eastAsia="Times New Roman" w:hAnsi="Palatino Linotype" w:cs="Arial"/>
          <w:sz w:val="24"/>
          <w:szCs w:val="24"/>
          <w:lang w:val="es-ES" w:eastAsia="es-ES"/>
        </w:rPr>
        <w:t xml:space="preserve"> de dos mil dieciocho</w:t>
      </w:r>
      <w:r w:rsidRPr="006B7327">
        <w:rPr>
          <w:rFonts w:ascii="Palatino Linotype" w:eastAsia="Calibri" w:hAnsi="Palatino Linotype" w:cs="Arial"/>
          <w:sz w:val="24"/>
          <w:szCs w:val="24"/>
          <w:lang w:val="es-ES" w:eastAsia="es-ES"/>
        </w:rPr>
        <w:t>,</w:t>
      </w:r>
      <w:r w:rsidRPr="006B7327">
        <w:rPr>
          <w:rFonts w:ascii="Palatino Linotype" w:eastAsia="Calibri" w:hAnsi="Palatino Linotype" w:cs="Times New Roman"/>
          <w:sz w:val="24"/>
          <w:szCs w:val="24"/>
          <w:lang w:val="es-ES" w:eastAsia="es-ES"/>
        </w:rPr>
        <w:t xml:space="preserve"> se presentó </w:t>
      </w:r>
      <w:r w:rsidRPr="006B7327">
        <w:rPr>
          <w:rFonts w:ascii="Palatino Linotype" w:eastAsia="Calibri" w:hAnsi="Palatino Linotype" w:cs="Arial"/>
          <w:sz w:val="24"/>
          <w:szCs w:val="24"/>
          <w:lang w:val="es-ES" w:eastAsia="es-ES"/>
        </w:rPr>
        <w:t xml:space="preserve">ante el </w:t>
      </w:r>
      <w:r w:rsidRPr="006B7327">
        <w:rPr>
          <w:rFonts w:ascii="Palatino Linotype" w:eastAsia="Calibri" w:hAnsi="Palatino Linotype" w:cs="Arial"/>
          <w:b/>
          <w:sz w:val="24"/>
          <w:szCs w:val="24"/>
          <w:lang w:val="es-ES" w:eastAsia="es-ES"/>
        </w:rPr>
        <w:t>SUJETO OBLIGADO</w:t>
      </w:r>
      <w:r w:rsidRPr="006B7327">
        <w:rPr>
          <w:rFonts w:ascii="Palatino Linotype" w:eastAsia="Calibri" w:hAnsi="Palatino Linotype" w:cs="Arial"/>
          <w:sz w:val="24"/>
          <w:szCs w:val="24"/>
          <w:lang w:val="es-ES_tradnl" w:eastAsia="es-ES"/>
        </w:rPr>
        <w:t xml:space="preserve"> vía </w:t>
      </w:r>
      <w:r w:rsidRPr="006B7327">
        <w:rPr>
          <w:rFonts w:ascii="Palatino Linotype" w:eastAsia="Calibri" w:hAnsi="Palatino Linotype" w:cs="Arial"/>
          <w:sz w:val="24"/>
          <w:szCs w:val="24"/>
          <w:lang w:val="es-ES" w:eastAsia="es-ES"/>
        </w:rPr>
        <w:t>Sistema de Acceso</w:t>
      </w:r>
      <w:r w:rsidR="009D65F5" w:rsidRPr="006B7327">
        <w:rPr>
          <w:rFonts w:ascii="Palatino Linotype" w:eastAsia="Calibri" w:hAnsi="Palatino Linotype" w:cs="Arial"/>
          <w:sz w:val="24"/>
          <w:szCs w:val="24"/>
          <w:lang w:val="es-ES" w:eastAsia="es-ES"/>
        </w:rPr>
        <w:t xml:space="preserve">, Rectificación, Cancelación y Oposición de Datos Personales del Estado de México, </w:t>
      </w:r>
      <w:r w:rsidR="009D65F5" w:rsidRPr="006B7327">
        <w:rPr>
          <w:rFonts w:ascii="Palatino Linotype" w:eastAsia="Calibri" w:hAnsi="Palatino Linotype" w:cs="Arial"/>
          <w:b/>
          <w:sz w:val="24"/>
          <w:szCs w:val="24"/>
          <w:lang w:val="es-ES" w:eastAsia="es-ES"/>
        </w:rPr>
        <w:t>SARCOEM</w:t>
      </w:r>
      <w:r w:rsidRPr="006B7327">
        <w:rPr>
          <w:rFonts w:ascii="Palatino Linotype" w:eastAsia="Calibri" w:hAnsi="Palatino Linotype" w:cs="Arial"/>
          <w:sz w:val="24"/>
          <w:szCs w:val="24"/>
          <w:lang w:val="es-ES" w:eastAsia="es-ES"/>
        </w:rPr>
        <w:t xml:space="preserve">, la solicitud de </w:t>
      </w:r>
      <w:r w:rsidR="00185BFB" w:rsidRPr="006B7327">
        <w:rPr>
          <w:rFonts w:ascii="Palatino Linotype" w:eastAsia="Calibri" w:hAnsi="Palatino Linotype" w:cs="Arial"/>
          <w:sz w:val="24"/>
          <w:szCs w:val="24"/>
          <w:lang w:val="es-ES" w:eastAsia="es-ES"/>
        </w:rPr>
        <w:t xml:space="preserve">Acceso a datos personales, identificada </w:t>
      </w:r>
      <w:r w:rsidRPr="006B7327">
        <w:rPr>
          <w:rFonts w:ascii="Palatino Linotype" w:eastAsia="Calibri" w:hAnsi="Palatino Linotype" w:cs="Arial"/>
          <w:sz w:val="24"/>
          <w:szCs w:val="24"/>
          <w:lang w:val="es-ES" w:eastAsia="es-ES"/>
        </w:rPr>
        <w:t xml:space="preserve">con el número </w:t>
      </w:r>
      <w:r w:rsidR="00321351" w:rsidRPr="006B7327">
        <w:rPr>
          <w:rFonts w:ascii="Palatino Linotype" w:eastAsia="Times New Roman" w:hAnsi="Palatino Linotype" w:cs="Arial"/>
          <w:b/>
          <w:sz w:val="24"/>
          <w:szCs w:val="24"/>
          <w:lang w:val="es-ES" w:eastAsia="es-ES"/>
        </w:rPr>
        <w:t>00076/ISSEMYM/AD/2018</w:t>
      </w:r>
      <w:r w:rsidRPr="006B7327">
        <w:rPr>
          <w:rFonts w:ascii="Palatino Linotype" w:eastAsia="MS Mincho" w:hAnsi="Palatino Linotype" w:cs="Times New Roman"/>
          <w:b/>
          <w:bCs/>
          <w:sz w:val="24"/>
          <w:szCs w:val="24"/>
          <w:lang w:val="es-ES_tradnl" w:eastAsia="es-ES"/>
        </w:rPr>
        <w:t xml:space="preserve">, </w:t>
      </w:r>
      <w:r w:rsidRPr="006B7327">
        <w:rPr>
          <w:rFonts w:ascii="Palatino Linotype" w:eastAsia="Calibri" w:hAnsi="Palatino Linotype" w:cs="Arial"/>
          <w:sz w:val="24"/>
          <w:szCs w:val="24"/>
          <w:lang w:val="es-ES" w:eastAsia="es-ES"/>
        </w:rPr>
        <w:t>mediante la cual solicitó:</w:t>
      </w:r>
    </w:p>
    <w:p w:rsidR="009F7E68" w:rsidRPr="006B7327" w:rsidRDefault="009F7E68" w:rsidP="00670D80">
      <w:pPr>
        <w:spacing w:after="0" w:line="240" w:lineRule="auto"/>
        <w:ind w:left="505" w:right="567"/>
        <w:contextualSpacing/>
        <w:jc w:val="both"/>
        <w:rPr>
          <w:rFonts w:ascii="Palatino Linotype" w:hAnsi="Palatino Linotype"/>
          <w:i/>
          <w:color w:val="000000"/>
        </w:rPr>
      </w:pPr>
      <w:r w:rsidRPr="006B7327">
        <w:rPr>
          <w:rFonts w:ascii="Palatino Linotype" w:hAnsi="Palatino Linotype"/>
          <w:i/>
          <w:color w:val="000000"/>
        </w:rPr>
        <w:t>“</w:t>
      </w:r>
      <w:r w:rsidR="00321351" w:rsidRPr="006B7327">
        <w:rPr>
          <w:rFonts w:ascii="Palatino Linotype" w:hAnsi="Palatino Linotype"/>
          <w:i/>
          <w:color w:val="000000"/>
        </w:rPr>
        <w:t xml:space="preserve">SOLICITO COPIA CERTIFICADAS DE LOS EXPEDIENTES CLÍNICOS DE MI ESPOSO QUIEN FALLECIÓ EN 2017, LOS CUALES SE ENCUENTRAN EN CENTRO MÉDICO LIC. ARTURO MONTIEL ROJAS Y EN EL HOSPITAL REGIONAL ATLACOMULCO. SU </w:t>
      </w:r>
      <w:r w:rsidR="00321351" w:rsidRPr="001225BB">
        <w:rPr>
          <w:rFonts w:ascii="Palatino Linotype" w:hAnsi="Palatino Linotype"/>
          <w:i/>
          <w:color w:val="000000"/>
        </w:rPr>
        <w:t xml:space="preserve">CLAVE </w:t>
      </w:r>
      <w:r w:rsidR="00A42382" w:rsidRPr="001225BB">
        <w:rPr>
          <w:rFonts w:ascii="Palatino Linotype" w:hAnsi="Palatino Linotype"/>
          <w:i/>
          <w:color w:val="000000"/>
          <w:highlight w:val="black"/>
        </w:rPr>
        <w:t>-------------------------------</w:t>
      </w:r>
      <w:r w:rsidRPr="001225BB">
        <w:rPr>
          <w:rFonts w:ascii="Palatino Linotype" w:hAnsi="Palatino Linotype"/>
          <w:i/>
          <w:color w:val="000000"/>
        </w:rPr>
        <w:t>”</w:t>
      </w:r>
      <w:r w:rsidRPr="006B7327">
        <w:rPr>
          <w:rFonts w:ascii="Palatino Linotype" w:hAnsi="Palatino Linotype"/>
          <w:i/>
          <w:color w:val="000000"/>
        </w:rPr>
        <w:t xml:space="preserve"> (Sic)</w:t>
      </w:r>
    </w:p>
    <w:p w:rsidR="009F7E68" w:rsidRPr="006B7327" w:rsidRDefault="009F7E68" w:rsidP="009F7E68">
      <w:pPr>
        <w:spacing w:after="0" w:line="360" w:lineRule="auto"/>
        <w:ind w:left="502"/>
        <w:contextualSpacing/>
        <w:jc w:val="both"/>
        <w:rPr>
          <w:rFonts w:ascii="Palatino Linotype" w:eastAsia="Times New Roman" w:hAnsi="Palatino Linotype" w:cs="Arial"/>
          <w:lang w:val="es-ES" w:eastAsia="es-ES"/>
        </w:rPr>
      </w:pPr>
    </w:p>
    <w:p w:rsidR="00321351" w:rsidRPr="006B7327" w:rsidRDefault="009F7E68" w:rsidP="00321351">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sz w:val="24"/>
          <w:szCs w:val="24"/>
          <w:lang w:val="es-ES" w:eastAsia="es-ES"/>
        </w:rPr>
        <w:t>Señaló como modalidad de entrega de la información</w:t>
      </w:r>
      <w:r w:rsidRPr="006B7327">
        <w:rPr>
          <w:rFonts w:ascii="Palatino Linotype" w:eastAsia="Times New Roman" w:hAnsi="Palatino Linotype" w:cs="Arial"/>
          <w:b/>
          <w:sz w:val="24"/>
          <w:szCs w:val="24"/>
          <w:lang w:val="es-ES" w:eastAsia="es-ES"/>
        </w:rPr>
        <w:t>:</w:t>
      </w:r>
      <w:r w:rsidRPr="006B7327">
        <w:rPr>
          <w:rFonts w:ascii="Palatino Linotype" w:eastAsia="Times New Roman" w:hAnsi="Palatino Linotype" w:cs="Arial"/>
          <w:sz w:val="24"/>
          <w:szCs w:val="24"/>
          <w:lang w:val="es-ES" w:eastAsia="es-ES"/>
        </w:rPr>
        <w:t xml:space="preserve"> </w:t>
      </w:r>
      <w:r w:rsidR="00321351" w:rsidRPr="006B7327">
        <w:rPr>
          <w:rFonts w:ascii="Palatino Linotype" w:eastAsia="Times New Roman" w:hAnsi="Palatino Linotype" w:cs="Arial"/>
          <w:b/>
          <w:sz w:val="24"/>
          <w:szCs w:val="24"/>
          <w:lang w:val="es-ES" w:eastAsia="es-ES"/>
        </w:rPr>
        <w:t>a través de Copias certificadas.</w:t>
      </w:r>
    </w:p>
    <w:p w:rsidR="009F7E68" w:rsidRPr="006B7327" w:rsidRDefault="009F7E68" w:rsidP="009F7E68">
      <w:pPr>
        <w:spacing w:after="0" w:line="240" w:lineRule="auto"/>
        <w:ind w:left="720"/>
        <w:contextualSpacing/>
        <w:rPr>
          <w:rFonts w:ascii="Palatino Linotype" w:eastAsia="Times New Roman" w:hAnsi="Palatino Linotype" w:cs="Arial"/>
          <w:sz w:val="24"/>
          <w:szCs w:val="24"/>
          <w:lang w:val="es-ES" w:eastAsia="es-ES"/>
        </w:rPr>
      </w:pPr>
    </w:p>
    <w:p w:rsidR="00321351" w:rsidRPr="006B7327" w:rsidRDefault="00321351" w:rsidP="007F261E">
      <w:pPr>
        <w:numPr>
          <w:ilvl w:val="0"/>
          <w:numId w:val="2"/>
        </w:numPr>
        <w:spacing w:after="0" w:line="360" w:lineRule="auto"/>
        <w:contextualSpacing/>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sz w:val="24"/>
          <w:szCs w:val="24"/>
          <w:lang w:val="es-ES" w:eastAsia="es-ES"/>
        </w:rPr>
        <w:lastRenderedPageBreak/>
        <w:t xml:space="preserve">Asimismo, anexo los documentos denominados: </w:t>
      </w:r>
      <w:hyperlink r:id="rId8" w:tgtFrame="_blank" w:history="1">
        <w:r w:rsidRPr="006B7327">
          <w:rPr>
            <w:rFonts w:ascii="Palatino Linotype" w:eastAsia="Times New Roman" w:hAnsi="Palatino Linotype"/>
            <w:sz w:val="24"/>
            <w:szCs w:val="24"/>
            <w:lang w:val="es-ES" w:eastAsia="es-ES"/>
          </w:rPr>
          <w:t>IMG-20180221-WA0002.jpg</w:t>
        </w:r>
      </w:hyperlink>
      <w:r w:rsidRPr="006B7327">
        <w:rPr>
          <w:rFonts w:ascii="Palatino Linotype" w:eastAsia="Times New Roman" w:hAnsi="Palatino Linotype" w:cs="Arial"/>
          <w:sz w:val="24"/>
          <w:szCs w:val="24"/>
          <w:lang w:val="es-ES" w:eastAsia="es-ES"/>
        </w:rPr>
        <w:t xml:space="preserve"> y </w:t>
      </w:r>
      <w:hyperlink r:id="rId9" w:tgtFrame="_blank" w:history="1">
        <w:r w:rsidRPr="006B7327">
          <w:rPr>
            <w:rFonts w:ascii="Palatino Linotype" w:eastAsia="Times New Roman" w:hAnsi="Palatino Linotype"/>
            <w:sz w:val="24"/>
            <w:szCs w:val="24"/>
            <w:lang w:val="es-ES" w:eastAsia="es-ES"/>
          </w:rPr>
          <w:t>IMG_20180221_0001.pdf</w:t>
        </w:r>
      </w:hyperlink>
      <w:r w:rsidRPr="006B7327">
        <w:rPr>
          <w:rFonts w:ascii="Palatino Linotype" w:eastAsia="Times New Roman" w:hAnsi="Palatino Linotype" w:cs="Arial"/>
          <w:sz w:val="24"/>
          <w:szCs w:val="24"/>
          <w:lang w:val="es-ES" w:eastAsia="es-ES"/>
        </w:rPr>
        <w:t xml:space="preserve">; consistentes en la </w:t>
      </w:r>
      <w:r w:rsidR="00D44934" w:rsidRPr="006B7327">
        <w:rPr>
          <w:rFonts w:ascii="Palatino Linotype" w:eastAsia="Times New Roman" w:hAnsi="Palatino Linotype" w:cs="Arial"/>
          <w:b/>
          <w:sz w:val="24"/>
          <w:szCs w:val="24"/>
          <w:lang w:val="es-ES" w:eastAsia="es-ES"/>
        </w:rPr>
        <w:t>c</w:t>
      </w:r>
      <w:r w:rsidR="007F261E" w:rsidRPr="006B7327">
        <w:rPr>
          <w:rFonts w:ascii="Palatino Linotype" w:eastAsia="Times New Roman" w:hAnsi="Palatino Linotype" w:cs="Arial"/>
          <w:b/>
          <w:sz w:val="24"/>
          <w:szCs w:val="24"/>
          <w:lang w:val="es-ES" w:eastAsia="es-ES"/>
        </w:rPr>
        <w:t>redencial</w:t>
      </w:r>
      <w:r w:rsidR="007F261E" w:rsidRPr="006B7327">
        <w:rPr>
          <w:rFonts w:ascii="Palatino Linotype" w:eastAsia="Times New Roman" w:hAnsi="Palatino Linotype" w:cs="Arial"/>
          <w:sz w:val="24"/>
          <w:szCs w:val="24"/>
          <w:lang w:val="es-ES" w:eastAsia="es-ES"/>
        </w:rPr>
        <w:t xml:space="preserve"> por el lado frontal de la ahora </w:t>
      </w:r>
      <w:r w:rsidR="007F261E" w:rsidRPr="006B7327">
        <w:rPr>
          <w:rFonts w:ascii="Palatino Linotype" w:eastAsia="Times New Roman" w:hAnsi="Palatino Linotype" w:cs="Arial"/>
          <w:b/>
          <w:sz w:val="24"/>
          <w:szCs w:val="24"/>
          <w:lang w:val="es-ES" w:eastAsia="es-ES"/>
        </w:rPr>
        <w:t>RECURRENTE</w:t>
      </w:r>
      <w:r w:rsidR="007F261E" w:rsidRPr="006B7327">
        <w:rPr>
          <w:rFonts w:ascii="Palatino Linotype" w:eastAsia="Times New Roman" w:hAnsi="Palatino Linotype" w:cs="Arial"/>
          <w:sz w:val="24"/>
          <w:szCs w:val="24"/>
          <w:lang w:val="es-ES" w:eastAsia="es-ES"/>
        </w:rPr>
        <w:t xml:space="preserve"> emitida</w:t>
      </w:r>
      <w:r w:rsidRPr="006B7327">
        <w:rPr>
          <w:rFonts w:ascii="Palatino Linotype" w:eastAsia="Times New Roman" w:hAnsi="Palatino Linotype" w:cs="Arial"/>
          <w:sz w:val="24"/>
          <w:szCs w:val="24"/>
          <w:lang w:val="es-ES" w:eastAsia="es-ES"/>
        </w:rPr>
        <w:t xml:space="preserve"> por el </w:t>
      </w:r>
      <w:r w:rsidRPr="006B7327">
        <w:rPr>
          <w:rFonts w:ascii="Palatino Linotype" w:eastAsia="Times New Roman" w:hAnsi="Palatino Linotype" w:cs="Arial"/>
          <w:b/>
          <w:sz w:val="24"/>
          <w:szCs w:val="24"/>
          <w:lang w:val="es-ES" w:eastAsia="es-ES"/>
        </w:rPr>
        <w:t>Instituto Federal Electoral</w:t>
      </w:r>
      <w:r w:rsidRPr="006B7327">
        <w:rPr>
          <w:rFonts w:ascii="Palatino Linotype" w:eastAsia="Times New Roman" w:hAnsi="Palatino Linotype" w:cs="Arial"/>
          <w:sz w:val="24"/>
          <w:szCs w:val="24"/>
          <w:lang w:val="es-ES" w:eastAsia="es-ES"/>
        </w:rPr>
        <w:t xml:space="preserve"> </w:t>
      </w:r>
      <w:r w:rsidR="007F261E" w:rsidRPr="006B7327">
        <w:rPr>
          <w:rFonts w:ascii="Palatino Linotype" w:eastAsia="Times New Roman" w:hAnsi="Palatino Linotype" w:cs="Arial"/>
          <w:sz w:val="24"/>
          <w:szCs w:val="24"/>
          <w:lang w:val="es-ES" w:eastAsia="es-ES"/>
        </w:rPr>
        <w:t xml:space="preserve">y la </w:t>
      </w:r>
      <w:r w:rsidR="007F261E" w:rsidRPr="006B7327">
        <w:rPr>
          <w:rFonts w:ascii="Palatino Linotype" w:eastAsia="Times New Roman" w:hAnsi="Palatino Linotype" w:cs="Arial"/>
          <w:b/>
          <w:sz w:val="24"/>
          <w:szCs w:val="24"/>
          <w:lang w:val="es-ES" w:eastAsia="es-ES"/>
        </w:rPr>
        <w:t xml:space="preserve">credencial </w:t>
      </w:r>
      <w:r w:rsidR="007F261E" w:rsidRPr="006B7327">
        <w:rPr>
          <w:rFonts w:ascii="Palatino Linotype" w:eastAsia="Times New Roman" w:hAnsi="Palatino Linotype" w:cs="Arial"/>
          <w:sz w:val="24"/>
          <w:szCs w:val="24"/>
          <w:lang w:val="es-ES" w:eastAsia="es-ES"/>
        </w:rPr>
        <w:t xml:space="preserve">por </w:t>
      </w:r>
      <w:r w:rsidR="00CF61FF" w:rsidRPr="006B7327">
        <w:rPr>
          <w:rFonts w:ascii="Palatino Linotype" w:eastAsia="Times New Roman" w:hAnsi="Palatino Linotype" w:cs="Arial"/>
          <w:sz w:val="24"/>
          <w:szCs w:val="24"/>
          <w:lang w:val="es-ES" w:eastAsia="es-ES"/>
        </w:rPr>
        <w:t xml:space="preserve">el lado frontal </w:t>
      </w:r>
      <w:r w:rsidR="00CF61FF" w:rsidRPr="006B7327">
        <w:rPr>
          <w:rFonts w:ascii="Palatino Linotype" w:eastAsia="Times New Roman" w:hAnsi="Palatino Linotype" w:cs="Arial"/>
          <w:b/>
          <w:sz w:val="24"/>
          <w:szCs w:val="24"/>
          <w:lang w:val="es-ES" w:eastAsia="es-ES"/>
        </w:rPr>
        <w:t xml:space="preserve">emitida por el </w:t>
      </w:r>
      <w:r w:rsidR="007F261E" w:rsidRPr="006B7327">
        <w:rPr>
          <w:rFonts w:ascii="Palatino Linotype" w:eastAsia="Times New Roman" w:hAnsi="Palatino Linotype" w:cs="Arial"/>
          <w:b/>
          <w:sz w:val="24"/>
          <w:szCs w:val="24"/>
          <w:lang w:val="es-ES" w:eastAsia="es-ES"/>
        </w:rPr>
        <w:t>Instituto de Seguridad Social del Estado de México y Municipios</w:t>
      </w:r>
      <w:r w:rsidR="00CF61FF" w:rsidRPr="006B7327">
        <w:rPr>
          <w:rFonts w:ascii="Palatino Linotype" w:eastAsia="Times New Roman" w:hAnsi="Palatino Linotype" w:cs="Arial"/>
          <w:sz w:val="24"/>
          <w:szCs w:val="24"/>
          <w:lang w:val="es-ES" w:eastAsia="es-ES"/>
        </w:rPr>
        <w:t xml:space="preserve"> de la persona que se presume requieren los datos personales. </w:t>
      </w:r>
    </w:p>
    <w:p w:rsidR="00321351" w:rsidRPr="006B7327" w:rsidRDefault="00321351" w:rsidP="00321351">
      <w:pPr>
        <w:spacing w:after="0" w:line="360" w:lineRule="auto"/>
        <w:contextualSpacing/>
        <w:jc w:val="both"/>
        <w:rPr>
          <w:rFonts w:ascii="Palatino Linotype" w:eastAsia="Times New Roman" w:hAnsi="Palatino Linotype" w:cs="Arial"/>
          <w:sz w:val="24"/>
          <w:szCs w:val="24"/>
          <w:lang w:val="es-ES" w:eastAsia="es-ES"/>
        </w:rPr>
      </w:pPr>
    </w:p>
    <w:p w:rsidR="00EF1C5F" w:rsidRPr="006B7327" w:rsidRDefault="004F4DFC" w:rsidP="004F4DFC">
      <w:pPr>
        <w:numPr>
          <w:ilvl w:val="0"/>
          <w:numId w:val="2"/>
        </w:numPr>
        <w:spacing w:after="0" w:line="360" w:lineRule="auto"/>
        <w:ind w:left="426" w:hanging="426"/>
        <w:contextualSpacing/>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sz w:val="24"/>
          <w:szCs w:val="24"/>
          <w:lang w:val="es-ES" w:eastAsia="es-ES"/>
        </w:rPr>
        <w:t xml:space="preserve">De las constancias que obran en el expediente electrónico del </w:t>
      </w:r>
      <w:r w:rsidRPr="006B7327">
        <w:rPr>
          <w:rFonts w:ascii="Palatino Linotype" w:eastAsia="Times New Roman" w:hAnsi="Palatino Linotype" w:cs="Arial"/>
          <w:b/>
          <w:sz w:val="24"/>
          <w:szCs w:val="24"/>
          <w:lang w:val="es-ES" w:eastAsia="es-ES"/>
        </w:rPr>
        <w:t>SARCOEM</w:t>
      </w:r>
      <w:r w:rsidRPr="006B7327">
        <w:rPr>
          <w:rFonts w:ascii="Palatino Linotype" w:eastAsia="Times New Roman" w:hAnsi="Palatino Linotype" w:cs="Arial"/>
          <w:sz w:val="24"/>
          <w:szCs w:val="24"/>
          <w:lang w:val="es-ES" w:eastAsia="es-ES"/>
        </w:rPr>
        <w:t>, se advierte</w:t>
      </w:r>
      <w:r w:rsidR="00EF1C5F" w:rsidRPr="006B7327">
        <w:rPr>
          <w:rFonts w:ascii="Palatino Linotype" w:eastAsia="Times New Roman" w:hAnsi="Palatino Linotype" w:cs="Arial"/>
          <w:sz w:val="24"/>
          <w:szCs w:val="24"/>
          <w:lang w:val="es-ES" w:eastAsia="es-ES"/>
        </w:rPr>
        <w:t xml:space="preserve"> que en fecha veintiséis (26) de febrero del año en curso el </w:t>
      </w:r>
      <w:r w:rsidR="00EF1C5F" w:rsidRPr="006B7327">
        <w:rPr>
          <w:rFonts w:ascii="Palatino Linotype" w:eastAsia="Times New Roman" w:hAnsi="Palatino Linotype" w:cs="Arial"/>
          <w:b/>
          <w:sz w:val="24"/>
          <w:szCs w:val="24"/>
          <w:lang w:val="es-ES" w:eastAsia="es-ES"/>
        </w:rPr>
        <w:t xml:space="preserve">SUJETO OBLIGADO </w:t>
      </w:r>
      <w:r w:rsidR="00EF1C5F" w:rsidRPr="006B7327">
        <w:rPr>
          <w:rFonts w:ascii="Palatino Linotype" w:hAnsi="Palatino Linotype"/>
          <w:color w:val="000000"/>
          <w:sz w:val="24"/>
          <w:szCs w:val="24"/>
        </w:rPr>
        <w:t>solicitó a</w:t>
      </w:r>
      <w:r w:rsidR="00F17995" w:rsidRPr="006B7327">
        <w:rPr>
          <w:rFonts w:ascii="Palatino Linotype" w:hAnsi="Palatino Linotype"/>
          <w:color w:val="000000"/>
          <w:sz w:val="24"/>
          <w:szCs w:val="24"/>
        </w:rPr>
        <w:t xml:space="preserve"> </w:t>
      </w:r>
      <w:r w:rsidR="00EF1C5F" w:rsidRPr="006B7327">
        <w:rPr>
          <w:rFonts w:ascii="Palatino Linotype" w:hAnsi="Palatino Linotype"/>
          <w:color w:val="000000"/>
          <w:sz w:val="24"/>
          <w:szCs w:val="24"/>
        </w:rPr>
        <w:t>l</w:t>
      </w:r>
      <w:r w:rsidR="00F17995" w:rsidRPr="006B7327">
        <w:rPr>
          <w:rFonts w:ascii="Palatino Linotype" w:hAnsi="Palatino Linotype"/>
          <w:color w:val="000000"/>
          <w:sz w:val="24"/>
          <w:szCs w:val="24"/>
        </w:rPr>
        <w:t>a</w:t>
      </w:r>
      <w:r w:rsidR="00EF1C5F" w:rsidRPr="006B7327">
        <w:rPr>
          <w:rFonts w:ascii="Palatino Linotype" w:hAnsi="Palatino Linotype"/>
          <w:color w:val="000000"/>
          <w:sz w:val="24"/>
          <w:szCs w:val="24"/>
        </w:rPr>
        <w:t xml:space="preserve"> </w:t>
      </w:r>
      <w:r w:rsidR="00EF1C5F" w:rsidRPr="006B7327">
        <w:rPr>
          <w:rFonts w:ascii="Palatino Linotype" w:hAnsi="Palatino Linotype"/>
          <w:b/>
          <w:color w:val="000000"/>
          <w:sz w:val="24"/>
          <w:szCs w:val="24"/>
        </w:rPr>
        <w:t>RECURRENTE</w:t>
      </w:r>
      <w:r w:rsidR="00EF1C5F" w:rsidRPr="006B7327">
        <w:rPr>
          <w:rFonts w:ascii="Palatino Linotype" w:eastAsia="Times New Roman" w:hAnsi="Palatino Linotype" w:cs="Arial"/>
          <w:b/>
          <w:sz w:val="24"/>
          <w:szCs w:val="24"/>
          <w:lang w:val="es-ES" w:eastAsia="es-ES"/>
        </w:rPr>
        <w:t xml:space="preserve">  </w:t>
      </w:r>
      <w:r w:rsidR="00EF1C5F" w:rsidRPr="006B7327">
        <w:rPr>
          <w:rFonts w:ascii="Palatino Linotype" w:hAnsi="Palatino Linotype"/>
          <w:color w:val="000000"/>
          <w:sz w:val="24"/>
          <w:szCs w:val="24"/>
        </w:rPr>
        <w:t xml:space="preserve">una aclaración para estar en condiciones de emitir una contestación, </w:t>
      </w:r>
      <w:r w:rsidR="00DE0A6A" w:rsidRPr="006B7327">
        <w:rPr>
          <w:rFonts w:ascii="Palatino Linotype" w:hAnsi="Palatino Linotype"/>
          <w:color w:val="000000"/>
          <w:sz w:val="24"/>
          <w:szCs w:val="24"/>
        </w:rPr>
        <w:t xml:space="preserve">de manera medular </w:t>
      </w:r>
      <w:r w:rsidR="00EF1C5F" w:rsidRPr="006B7327">
        <w:rPr>
          <w:rFonts w:ascii="Palatino Linotype" w:hAnsi="Palatino Linotype"/>
          <w:sz w:val="24"/>
          <w:szCs w:val="24"/>
        </w:rPr>
        <w:t>en los siguientes términos:</w:t>
      </w:r>
    </w:p>
    <w:p w:rsidR="00DE0A6A" w:rsidRPr="006B7327" w:rsidRDefault="00DE0A6A" w:rsidP="00DE0A6A">
      <w:pPr>
        <w:pStyle w:val="Prrafodelista"/>
        <w:ind w:left="0"/>
        <w:rPr>
          <w:rFonts w:ascii="Palatino Linotype" w:eastAsia="Times New Roman" w:hAnsi="Palatino Linotype" w:cs="Arial"/>
          <w:sz w:val="24"/>
          <w:szCs w:val="24"/>
          <w:lang w:val="es-ES" w:eastAsia="es-ES"/>
        </w:rPr>
      </w:pPr>
      <w:r w:rsidRPr="006B7327">
        <w:rPr>
          <w:noProof/>
          <w:lang w:eastAsia="es-MX"/>
        </w:rPr>
        <w:drawing>
          <wp:inline distT="0" distB="0" distL="0" distR="0" wp14:anchorId="1A80DD31" wp14:editId="1725465B">
            <wp:extent cx="5925760" cy="8666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09" t="40017" r="29896" b="49090"/>
                    <a:stretch/>
                  </pic:blipFill>
                  <pic:spPr bwMode="auto">
                    <a:xfrm>
                      <a:off x="0" y="0"/>
                      <a:ext cx="5985104" cy="875372"/>
                    </a:xfrm>
                    <a:prstGeom prst="rect">
                      <a:avLst/>
                    </a:prstGeom>
                    <a:ln>
                      <a:noFill/>
                    </a:ln>
                    <a:extLst>
                      <a:ext uri="{53640926-AAD7-44D8-BBD7-CCE9431645EC}">
                        <a14:shadowObscured xmlns:a14="http://schemas.microsoft.com/office/drawing/2010/main"/>
                      </a:ext>
                    </a:extLst>
                  </pic:spPr>
                </pic:pic>
              </a:graphicData>
            </a:graphic>
          </wp:inline>
        </w:drawing>
      </w:r>
    </w:p>
    <w:p w:rsidR="00A027E8" w:rsidRPr="006B7327" w:rsidRDefault="00D23293" w:rsidP="00F17995">
      <w:pPr>
        <w:numPr>
          <w:ilvl w:val="0"/>
          <w:numId w:val="2"/>
        </w:numPr>
        <w:spacing w:after="0" w:line="360" w:lineRule="auto"/>
        <w:ind w:left="426" w:hanging="426"/>
        <w:contextualSpacing/>
        <w:jc w:val="both"/>
        <w:rPr>
          <w:rFonts w:ascii="Palatino Linotype" w:eastAsia="Times New Roman" w:hAnsi="Palatino Linotype" w:cs="Arial"/>
          <w:b/>
          <w:sz w:val="24"/>
          <w:szCs w:val="24"/>
          <w:lang w:val="es-ES" w:eastAsia="es-ES"/>
        </w:rPr>
      </w:pPr>
      <w:r w:rsidRPr="006B7327">
        <w:rPr>
          <w:rFonts w:ascii="Palatino Linotype" w:eastAsia="Times New Roman" w:hAnsi="Palatino Linotype" w:cs="Arial"/>
          <w:sz w:val="24"/>
          <w:szCs w:val="24"/>
          <w:lang w:val="es-ES" w:eastAsia="es-ES"/>
        </w:rPr>
        <w:t xml:space="preserve">En fecha </w:t>
      </w:r>
      <w:r w:rsidR="00A027E8" w:rsidRPr="006B7327">
        <w:rPr>
          <w:rFonts w:ascii="Palatino Linotype" w:eastAsia="Times New Roman" w:hAnsi="Palatino Linotype" w:cs="Arial"/>
          <w:sz w:val="24"/>
          <w:szCs w:val="24"/>
          <w:lang w:val="es-ES" w:eastAsia="es-ES"/>
        </w:rPr>
        <w:t>catorce</w:t>
      </w:r>
      <w:r w:rsidRPr="006B7327">
        <w:rPr>
          <w:rFonts w:ascii="Palatino Linotype" w:eastAsia="Times New Roman" w:hAnsi="Palatino Linotype" w:cs="Arial"/>
          <w:sz w:val="24"/>
          <w:szCs w:val="24"/>
          <w:lang w:val="es-ES" w:eastAsia="es-ES"/>
        </w:rPr>
        <w:t xml:space="preserve"> (14) d</w:t>
      </w:r>
      <w:r w:rsidR="00A027E8" w:rsidRPr="006B7327">
        <w:rPr>
          <w:rFonts w:ascii="Palatino Linotype" w:eastAsia="Times New Roman" w:hAnsi="Palatino Linotype" w:cs="Arial"/>
          <w:sz w:val="24"/>
          <w:szCs w:val="24"/>
          <w:lang w:val="es-ES" w:eastAsia="es-ES"/>
        </w:rPr>
        <w:t xml:space="preserve">e marzo de dos mil dieciocho se aprecia en el expediente electrónico del </w:t>
      </w:r>
      <w:r w:rsidR="00A027E8" w:rsidRPr="006B7327">
        <w:rPr>
          <w:rFonts w:ascii="Palatino Linotype" w:eastAsia="Times New Roman" w:hAnsi="Palatino Linotype" w:cs="Arial"/>
          <w:b/>
          <w:sz w:val="24"/>
          <w:szCs w:val="24"/>
          <w:lang w:val="es-ES" w:eastAsia="es-ES"/>
        </w:rPr>
        <w:t xml:space="preserve">SARCOEM </w:t>
      </w:r>
      <w:r w:rsidR="00A027E8" w:rsidRPr="006B7327">
        <w:rPr>
          <w:rFonts w:ascii="Palatino Linotype" w:eastAsia="Times New Roman" w:hAnsi="Palatino Linotype" w:cs="Arial"/>
          <w:sz w:val="24"/>
          <w:szCs w:val="24"/>
          <w:lang w:val="es-ES" w:eastAsia="es-ES"/>
        </w:rPr>
        <w:t>lo siguiente:</w:t>
      </w:r>
      <w:r w:rsidR="00A027E8" w:rsidRPr="006B7327">
        <w:rPr>
          <w:rFonts w:ascii="Palatino Linotype" w:eastAsia="Times New Roman" w:hAnsi="Palatino Linotype" w:cs="Arial"/>
          <w:b/>
          <w:sz w:val="24"/>
          <w:szCs w:val="24"/>
          <w:lang w:val="es-ES" w:eastAsia="es-ES"/>
        </w:rPr>
        <w:t xml:space="preserve"> </w:t>
      </w:r>
    </w:p>
    <w:p w:rsidR="001D7E8A" w:rsidRPr="006B7327" w:rsidRDefault="001D7E8A" w:rsidP="00A027E8">
      <w:pPr>
        <w:spacing w:after="0" w:line="360" w:lineRule="auto"/>
        <w:ind w:left="502" w:right="567"/>
        <w:contextualSpacing/>
        <w:jc w:val="both"/>
        <w:rPr>
          <w:rFonts w:ascii="Palatino Linotype" w:hAnsi="Palatino Linotype"/>
          <w:i/>
          <w:color w:val="000000"/>
        </w:rPr>
      </w:pPr>
    </w:p>
    <w:p w:rsidR="00A027E8" w:rsidRPr="006B7327" w:rsidRDefault="001D7E8A" w:rsidP="004D6E14">
      <w:pPr>
        <w:spacing w:after="0" w:line="360" w:lineRule="auto"/>
        <w:ind w:left="502" w:right="567"/>
        <w:contextualSpacing/>
        <w:jc w:val="both"/>
        <w:rPr>
          <w:rFonts w:ascii="Palatino Linotype" w:hAnsi="Palatino Linotype"/>
          <w:i/>
          <w:color w:val="000000"/>
        </w:rPr>
      </w:pPr>
      <w:r w:rsidRPr="006B7327">
        <w:rPr>
          <w:rFonts w:ascii="Palatino Linotype" w:hAnsi="Palatino Linotype"/>
          <w:i/>
          <w:color w:val="000000"/>
        </w:rPr>
        <w:t>“</w:t>
      </w:r>
      <w:r w:rsidR="00A027E8" w:rsidRPr="006B7327">
        <w:rPr>
          <w:rFonts w:ascii="Palatino Linotype" w:hAnsi="Palatino Linotype"/>
          <w:i/>
          <w:color w:val="000000"/>
        </w:rPr>
        <w:t xml:space="preserve">Con fundamento en el </w:t>
      </w:r>
      <w:proofErr w:type="spellStart"/>
      <w:r w:rsidR="00A027E8" w:rsidRPr="006B7327">
        <w:rPr>
          <w:rFonts w:ascii="Palatino Linotype" w:hAnsi="Palatino Linotype"/>
          <w:i/>
          <w:color w:val="000000"/>
        </w:rPr>
        <w:t>articulo</w:t>
      </w:r>
      <w:proofErr w:type="spellEnd"/>
      <w:r w:rsidR="00A027E8" w:rsidRPr="006B7327">
        <w:rPr>
          <w:rFonts w:ascii="Palatino Linotype" w:hAnsi="Palatino Linotype"/>
          <w:i/>
          <w:color w:val="000000"/>
        </w:rPr>
        <w:t xml:space="preserve"> 159, tercer párrafo de la Ley de Transparencia y Acceso a la Información Pública del Estado de México y Municipios, se le hace de su conocimiento que se tiene por no presentada la solicitud de aclaración citada al rubro, en virtud de que</w:t>
      </w:r>
      <w:r w:rsidR="004D6E14" w:rsidRPr="006B7327">
        <w:rPr>
          <w:rFonts w:ascii="Palatino Linotype" w:hAnsi="Palatino Linotype"/>
          <w:i/>
          <w:color w:val="000000"/>
        </w:rPr>
        <w:t xml:space="preserve"> </w:t>
      </w:r>
      <w:r w:rsidR="00A027E8" w:rsidRPr="006B7327">
        <w:rPr>
          <w:rFonts w:ascii="Palatino Linotype" w:hAnsi="Palatino Linotype"/>
          <w:i/>
          <w:color w:val="000000"/>
        </w:rPr>
        <w:t xml:space="preserve">quedando a salvo sus derechos para volverla a presentar. En virtud de lo anterior, se archiva la presente solicitud como concluida Se hace de su conocimiento que tiene derecho de interponer recurso de revisión dentro del plazo de 15 días hábiles </w:t>
      </w:r>
      <w:r w:rsidR="00A027E8" w:rsidRPr="006B7327">
        <w:rPr>
          <w:rFonts w:ascii="Palatino Linotype" w:hAnsi="Palatino Linotype"/>
          <w:i/>
          <w:color w:val="000000"/>
        </w:rPr>
        <w:lastRenderedPageBreak/>
        <w:t>contados a partir de la fecha en que se realice la notificación vía electrónica, a través del SAIMEX</w:t>
      </w:r>
      <w:r w:rsidRPr="006B7327">
        <w:rPr>
          <w:rFonts w:ascii="Palatino Linotype" w:hAnsi="Palatino Linotype"/>
          <w:i/>
          <w:color w:val="000000"/>
        </w:rPr>
        <w:t>”</w:t>
      </w:r>
    </w:p>
    <w:p w:rsidR="00A027E8" w:rsidRPr="006B7327" w:rsidRDefault="00A027E8" w:rsidP="00A027E8">
      <w:pPr>
        <w:spacing w:after="0" w:line="360" w:lineRule="auto"/>
        <w:contextualSpacing/>
        <w:jc w:val="both"/>
        <w:rPr>
          <w:rFonts w:ascii="Palatino Linotype" w:eastAsia="Times New Roman" w:hAnsi="Palatino Linotype" w:cs="Arial"/>
          <w:sz w:val="24"/>
          <w:szCs w:val="24"/>
          <w:lang w:eastAsia="es-ES"/>
        </w:rPr>
      </w:pPr>
    </w:p>
    <w:p w:rsidR="009F7E68" w:rsidRPr="006B7327" w:rsidRDefault="002D5348" w:rsidP="009F7E68">
      <w:pPr>
        <w:numPr>
          <w:ilvl w:val="0"/>
          <w:numId w:val="2"/>
        </w:numPr>
        <w:spacing w:after="0" w:line="360" w:lineRule="auto"/>
        <w:ind w:left="426" w:hanging="426"/>
        <w:contextualSpacing/>
        <w:jc w:val="both"/>
        <w:rPr>
          <w:rFonts w:ascii="Palatino Linotype" w:eastAsia="MS Mincho" w:hAnsi="Palatino Linotype" w:cs="Arial"/>
          <w:i/>
          <w:lang w:val="es-ES_tradnl" w:eastAsia="es-ES"/>
        </w:rPr>
      </w:pPr>
      <w:r w:rsidRPr="006B7327">
        <w:rPr>
          <w:rFonts w:ascii="Palatino Linotype" w:eastAsia="Times New Roman" w:hAnsi="Palatino Linotype" w:cs="Arial"/>
          <w:sz w:val="24"/>
          <w:szCs w:val="24"/>
          <w:lang w:val="es-ES" w:eastAsia="es-ES"/>
        </w:rPr>
        <w:t xml:space="preserve">El día </w:t>
      </w:r>
      <w:r w:rsidR="001D7E8A" w:rsidRPr="006B7327">
        <w:rPr>
          <w:rFonts w:ascii="Palatino Linotype" w:eastAsia="Times New Roman" w:hAnsi="Palatino Linotype" w:cs="Arial"/>
          <w:sz w:val="24"/>
          <w:szCs w:val="24"/>
          <w:lang w:val="es-ES" w:eastAsia="es-ES"/>
        </w:rPr>
        <w:t>dieciséis (16) de marzo</w:t>
      </w:r>
      <w:r w:rsidR="00430523" w:rsidRPr="006B7327">
        <w:rPr>
          <w:rFonts w:ascii="Palatino Linotype" w:eastAsia="Times New Roman" w:hAnsi="Palatino Linotype" w:cs="Arial"/>
          <w:sz w:val="24"/>
          <w:szCs w:val="24"/>
          <w:lang w:val="es-ES" w:eastAsia="es-ES"/>
        </w:rPr>
        <w:t xml:space="preserve"> de dos mil dieciocho</w:t>
      </w:r>
      <w:r w:rsidR="009F7E68" w:rsidRPr="006B7327">
        <w:rPr>
          <w:rFonts w:ascii="Palatino Linotype" w:eastAsia="Times New Roman" w:hAnsi="Palatino Linotype" w:cs="Arial"/>
          <w:sz w:val="24"/>
          <w:szCs w:val="24"/>
          <w:lang w:val="es-ES" w:eastAsia="es-ES"/>
        </w:rPr>
        <w:t>,</w:t>
      </w:r>
      <w:r w:rsidR="007778A3" w:rsidRPr="006B7327">
        <w:rPr>
          <w:rFonts w:ascii="Palatino Linotype" w:eastAsia="Times New Roman" w:hAnsi="Palatino Linotype" w:cs="Arial"/>
          <w:sz w:val="24"/>
          <w:szCs w:val="24"/>
          <w:lang w:val="es-ES" w:eastAsia="es-ES"/>
        </w:rPr>
        <w:t xml:space="preserve"> </w:t>
      </w:r>
      <w:r w:rsidR="00F17995" w:rsidRPr="006B7327">
        <w:rPr>
          <w:rFonts w:ascii="Palatino Linotype" w:eastAsia="Times New Roman" w:hAnsi="Palatino Linotype" w:cs="Arial"/>
          <w:sz w:val="24"/>
          <w:szCs w:val="24"/>
          <w:lang w:val="es-ES" w:eastAsia="es-ES"/>
        </w:rPr>
        <w:t xml:space="preserve">la </w:t>
      </w:r>
      <w:r w:rsidR="007778A3" w:rsidRPr="006B7327">
        <w:rPr>
          <w:rFonts w:ascii="Palatino Linotype" w:eastAsia="Times New Roman" w:hAnsi="Palatino Linotype" w:cs="Arial"/>
          <w:sz w:val="24"/>
          <w:szCs w:val="24"/>
          <w:lang w:val="es-ES" w:eastAsia="es-ES"/>
        </w:rPr>
        <w:t xml:space="preserve"> </w:t>
      </w:r>
      <w:r w:rsidR="007778A3" w:rsidRPr="006B7327">
        <w:rPr>
          <w:rFonts w:ascii="Palatino Linotype" w:eastAsia="Times New Roman" w:hAnsi="Palatino Linotype" w:cs="Arial"/>
          <w:b/>
          <w:sz w:val="24"/>
          <w:szCs w:val="24"/>
          <w:lang w:val="es-ES" w:eastAsia="es-ES"/>
        </w:rPr>
        <w:t>RECURRENTE</w:t>
      </w:r>
      <w:r w:rsidR="007778A3" w:rsidRPr="006B7327">
        <w:rPr>
          <w:rFonts w:ascii="Palatino Linotype" w:eastAsia="Times New Roman" w:hAnsi="Palatino Linotype" w:cs="Arial"/>
          <w:sz w:val="24"/>
          <w:szCs w:val="24"/>
          <w:lang w:val="es-ES" w:eastAsia="es-ES"/>
        </w:rPr>
        <w:t xml:space="preserve"> </w:t>
      </w:r>
      <w:r w:rsidR="009F7E68" w:rsidRPr="006B7327">
        <w:rPr>
          <w:rFonts w:ascii="Palatino Linotype" w:eastAsia="Times New Roman" w:hAnsi="Palatino Linotype" w:cs="Arial"/>
          <w:sz w:val="24"/>
          <w:szCs w:val="24"/>
          <w:lang w:val="es-ES" w:eastAsia="es-ES"/>
        </w:rPr>
        <w:t>interpuso el recurso de revisión, en contra de la de respuesta, señalando lo siguiente:</w:t>
      </w:r>
    </w:p>
    <w:p w:rsidR="009F7E68" w:rsidRPr="006B7327" w:rsidRDefault="002D5348" w:rsidP="002D5348">
      <w:pPr>
        <w:tabs>
          <w:tab w:val="left" w:pos="3496"/>
        </w:tabs>
        <w:spacing w:after="0" w:line="360" w:lineRule="auto"/>
        <w:ind w:left="426"/>
        <w:contextualSpacing/>
        <w:jc w:val="both"/>
        <w:rPr>
          <w:rFonts w:ascii="Palatino Linotype" w:eastAsia="MS Mincho" w:hAnsi="Palatino Linotype" w:cs="Arial"/>
          <w:b/>
          <w:bCs/>
          <w:sz w:val="24"/>
          <w:szCs w:val="24"/>
          <w:lang w:val="es-ES_tradnl" w:eastAsia="es-ES"/>
        </w:rPr>
      </w:pPr>
      <w:r w:rsidRPr="006B7327">
        <w:rPr>
          <w:rFonts w:ascii="Palatino Linotype" w:eastAsia="MS Mincho" w:hAnsi="Palatino Linotype" w:cs="Arial"/>
          <w:b/>
          <w:bCs/>
          <w:sz w:val="24"/>
          <w:szCs w:val="24"/>
          <w:lang w:val="es-ES_tradnl" w:eastAsia="es-ES"/>
        </w:rPr>
        <w:tab/>
      </w:r>
    </w:p>
    <w:p w:rsidR="009F7E68" w:rsidRPr="006B7327" w:rsidRDefault="009F7E68" w:rsidP="001D7E8A">
      <w:pPr>
        <w:numPr>
          <w:ilvl w:val="0"/>
          <w:numId w:val="4"/>
        </w:numPr>
        <w:spacing w:after="0" w:line="360" w:lineRule="auto"/>
        <w:contextualSpacing/>
        <w:jc w:val="both"/>
        <w:rPr>
          <w:rFonts w:ascii="Palatino Linotype" w:eastAsia="MS Mincho" w:hAnsi="Palatino Linotype" w:cs="Times New Roman"/>
          <w:i/>
          <w:lang w:val="es-ES_tradnl" w:eastAsia="es-ES"/>
        </w:rPr>
      </w:pPr>
      <w:r w:rsidRPr="006B7327">
        <w:rPr>
          <w:rFonts w:ascii="Palatino Linotype" w:eastAsia="MS Gothic" w:hAnsi="Palatino Linotype" w:cs="Times New Roman"/>
          <w:b/>
          <w:sz w:val="24"/>
          <w:szCs w:val="26"/>
          <w:lang w:val="es-ES"/>
        </w:rPr>
        <w:t>Acto impugnado</w:t>
      </w:r>
      <w:r w:rsidRPr="006B7327">
        <w:rPr>
          <w:rFonts w:ascii="Palatino Linotype" w:eastAsia="MS Mincho" w:hAnsi="Palatino Linotype" w:cs="Times New Roman"/>
          <w:i/>
          <w:lang w:val="es-ES_tradnl" w:eastAsia="es-ES"/>
        </w:rPr>
        <w:t>: “</w:t>
      </w:r>
      <w:r w:rsidR="001D7E8A" w:rsidRPr="006B7327">
        <w:rPr>
          <w:rFonts w:ascii="Palatino Linotype" w:eastAsia="MS Mincho" w:hAnsi="Palatino Linotype" w:cs="Times New Roman"/>
          <w:i/>
          <w:lang w:eastAsia="es-ES"/>
        </w:rPr>
        <w:t>RESOLUCIÓN DE FECHA 23 DE FEBRERO DE 2016 EN DONDE SE REQUIERE QUE ACREDITE LA REPRESENTACIÓN DE MI ESPOSO FALLECIDO, ASI COMO SU CONSENTIMIENTO PARA PODER ACCEDER A SUS EXPEDIENTES CLÍNICOS QUE REQUIERO PARA TRAMITAR MI PENSIÓN ANTE EL ISSEMYM que incluso me solicita la Unidad Jurídica y Consultiva del ISSEMYM</w:t>
      </w:r>
      <w:r w:rsidRPr="006B7327">
        <w:rPr>
          <w:rFonts w:ascii="Palatino Linotype" w:eastAsia="MS Mincho" w:hAnsi="Palatino Linotype" w:cs="Times New Roman"/>
          <w:i/>
          <w:lang w:val="es-ES_tradnl" w:eastAsia="es-ES"/>
        </w:rPr>
        <w:t>”(Sic)</w:t>
      </w:r>
    </w:p>
    <w:p w:rsidR="009F7E68" w:rsidRPr="006B7327" w:rsidRDefault="009F7E68" w:rsidP="009F7E68">
      <w:pPr>
        <w:spacing w:after="0" w:line="360" w:lineRule="auto"/>
        <w:ind w:left="720"/>
        <w:contextualSpacing/>
        <w:jc w:val="both"/>
        <w:rPr>
          <w:rFonts w:ascii="Palatino Linotype" w:eastAsia="MS Mincho" w:hAnsi="Palatino Linotype" w:cs="Times New Roman"/>
          <w:i/>
          <w:lang w:val="es-ES_tradnl" w:eastAsia="es-ES"/>
        </w:rPr>
      </w:pPr>
    </w:p>
    <w:p w:rsidR="009F7E68" w:rsidRPr="006B7327" w:rsidRDefault="009F7E68" w:rsidP="003645DC">
      <w:pPr>
        <w:numPr>
          <w:ilvl w:val="0"/>
          <w:numId w:val="4"/>
        </w:numPr>
        <w:spacing w:after="0" w:line="360" w:lineRule="auto"/>
        <w:contextualSpacing/>
        <w:jc w:val="both"/>
        <w:rPr>
          <w:rFonts w:ascii="Palatino Linotype" w:eastAsia="MS Mincho" w:hAnsi="Palatino Linotype" w:cs="Times New Roman"/>
          <w:i/>
          <w:lang w:val="es-ES_tradnl" w:eastAsia="es-ES"/>
        </w:rPr>
      </w:pPr>
      <w:r w:rsidRPr="006B7327">
        <w:rPr>
          <w:rFonts w:ascii="Palatino Linotype" w:eastAsia="MS Gothic" w:hAnsi="Palatino Linotype" w:cs="Times New Roman"/>
          <w:b/>
          <w:sz w:val="24"/>
          <w:szCs w:val="26"/>
          <w:lang w:val="es-ES"/>
        </w:rPr>
        <w:t>Razones o Motivos de inconformidad</w:t>
      </w:r>
      <w:r w:rsidRPr="006B7327">
        <w:rPr>
          <w:rFonts w:ascii="Palatino Linotype" w:eastAsia="MS Mincho" w:hAnsi="Palatino Linotype" w:cs="Times New Roman"/>
          <w:i/>
          <w:lang w:val="es-ES_tradnl" w:eastAsia="es-ES"/>
        </w:rPr>
        <w:t>: “</w:t>
      </w:r>
      <w:r w:rsidR="003645DC" w:rsidRPr="006B7327">
        <w:rPr>
          <w:rFonts w:ascii="Palatino Linotype" w:eastAsia="MS Mincho" w:hAnsi="Palatino Linotype" w:cs="Times New Roman"/>
          <w:i/>
          <w:lang w:eastAsia="es-ES"/>
        </w:rPr>
        <w:t xml:space="preserve">Lo que me solicita el instituto es excesivo, toda vez que si bien es cierto que el artículo 106 de la Ley de Protección de Datos del Estado de México, señala como requisito que mediante testamento se puede señalar representante para acceso a datos personales, también lo es que mi esposo no realizó testamento, el murió el 09 de junio de 2017, sin embargo, desconocíamos la ley y dada las complicaciones médicas no estaba en posibilidad de señalar su consentimiento o un representante. Asimismo, acreditó tener interés jurídico al ser su familiar directo, ya que en todo caso tendría que enfrentar un juicio de sucesión para acceder al expediente clínico de mi familiar, cuando tengo acreditado que se trata de mi familiar directo, y es claro que dichos requisitos afectan mis derechos para poder acceder a una pensión. Además, que los datos personales a que quiero acceder son para ejercer mi derecho a la pensión, siendo ésta la relación jurídica que tengo con mi fallecido esposo. Aunado a lo anterior, es contradictorio que en el requerimiento de transparencia, me pidan esos </w:t>
      </w:r>
      <w:r w:rsidR="003645DC" w:rsidRPr="006B7327">
        <w:rPr>
          <w:rFonts w:ascii="Palatino Linotype" w:eastAsia="MS Mincho" w:hAnsi="Palatino Linotype" w:cs="Times New Roman"/>
          <w:i/>
          <w:lang w:eastAsia="es-ES"/>
        </w:rPr>
        <w:lastRenderedPageBreak/>
        <w:t xml:space="preserve">requisitos que no puedo cumplir y por otro lado la Unidad Jurídica del propio </w:t>
      </w:r>
      <w:proofErr w:type="spellStart"/>
      <w:r w:rsidR="003645DC" w:rsidRPr="006B7327">
        <w:rPr>
          <w:rFonts w:ascii="Palatino Linotype" w:eastAsia="MS Mincho" w:hAnsi="Palatino Linotype" w:cs="Times New Roman"/>
          <w:i/>
          <w:lang w:eastAsia="es-ES"/>
        </w:rPr>
        <w:t>ISSEMyM</w:t>
      </w:r>
      <w:proofErr w:type="spellEnd"/>
      <w:r w:rsidR="003645DC" w:rsidRPr="006B7327">
        <w:rPr>
          <w:rFonts w:ascii="Palatino Linotype" w:eastAsia="MS Mincho" w:hAnsi="Palatino Linotype" w:cs="Times New Roman"/>
          <w:i/>
          <w:lang w:eastAsia="es-ES"/>
        </w:rPr>
        <w:t xml:space="preserve"> me los requiere como se ve del archivo que adjunto de dicho oficio.</w:t>
      </w:r>
      <w:r w:rsidRPr="006B7327">
        <w:rPr>
          <w:rFonts w:ascii="Palatino Linotype" w:eastAsia="MS Mincho" w:hAnsi="Palatino Linotype" w:cs="Times New Roman"/>
          <w:i/>
          <w:lang w:eastAsia="es-ES"/>
        </w:rPr>
        <w:t>”</w:t>
      </w:r>
      <w:r w:rsidRPr="006B7327">
        <w:rPr>
          <w:rFonts w:ascii="Palatino Linotype" w:eastAsia="MS Mincho" w:hAnsi="Palatino Linotype" w:cs="Times New Roman"/>
          <w:i/>
          <w:lang w:val="es-ES_tradnl" w:eastAsia="es-ES"/>
        </w:rPr>
        <w:t xml:space="preserve"> (Sic)</w:t>
      </w:r>
    </w:p>
    <w:p w:rsidR="007778A3" w:rsidRPr="006B7327" w:rsidRDefault="007778A3" w:rsidP="007778A3">
      <w:pPr>
        <w:pStyle w:val="Prrafodelista"/>
        <w:rPr>
          <w:rFonts w:ascii="Palatino Linotype" w:eastAsia="MS Mincho" w:hAnsi="Palatino Linotype" w:cs="Times New Roman"/>
          <w:i/>
          <w:lang w:val="es-ES_tradnl" w:eastAsia="es-ES"/>
        </w:rPr>
      </w:pPr>
    </w:p>
    <w:p w:rsidR="009F7E68" w:rsidRPr="006B7327" w:rsidRDefault="009F7E68" w:rsidP="007778A3">
      <w:pPr>
        <w:numPr>
          <w:ilvl w:val="0"/>
          <w:numId w:val="2"/>
        </w:numPr>
        <w:spacing w:before="240" w:after="240" w:line="360" w:lineRule="auto"/>
        <w:ind w:left="426" w:hanging="426"/>
        <w:contextualSpacing/>
        <w:jc w:val="both"/>
        <w:rPr>
          <w:rFonts w:ascii="Palatino Linotype" w:eastAsia="Times New Roman" w:hAnsi="Palatino Linotype" w:cs="Arial"/>
          <w:i/>
          <w:sz w:val="24"/>
          <w:szCs w:val="24"/>
          <w:lang w:val="es-ES_tradnl" w:eastAsia="es-ES"/>
        </w:rPr>
      </w:pPr>
      <w:r w:rsidRPr="006B7327">
        <w:rPr>
          <w:rFonts w:ascii="Palatino Linotype" w:eastAsia="Times New Roman" w:hAnsi="Palatino Linotype" w:cs="Arial"/>
          <w:sz w:val="24"/>
          <w:szCs w:val="24"/>
          <w:lang w:val="es-ES" w:eastAsia="es-ES"/>
        </w:rPr>
        <w:t xml:space="preserve">Se registró bajo el número de expediente el recurso de revisión al rubro indicado, </w:t>
      </w:r>
      <w:r w:rsidRPr="006B7327">
        <w:rPr>
          <w:rFonts w:ascii="Palatino Linotype" w:eastAsia="MS Mincho" w:hAnsi="Palatino Linotype" w:cs="Arial"/>
          <w:bCs/>
          <w:sz w:val="24"/>
          <w:szCs w:val="24"/>
          <w:lang w:val="es-ES_tradnl" w:eastAsia="es-ES"/>
        </w:rPr>
        <w:t xml:space="preserve">con fundamento en lo dispuesto por </w:t>
      </w:r>
      <w:r w:rsidR="00357738" w:rsidRPr="006B7327">
        <w:rPr>
          <w:rFonts w:ascii="Palatino Linotype" w:hAnsi="Palatino Linotype" w:cs="Arial"/>
          <w:sz w:val="24"/>
          <w:szCs w:val="24"/>
          <w:lang w:val="es-ES_tradnl"/>
        </w:rPr>
        <w:t xml:space="preserve">los artículos 11 y 127 Ley de Protección de Datos Personales en Posesión de Sujetos Obligados del Estado de México y Municipios y </w:t>
      </w:r>
      <w:r w:rsidR="005E7721" w:rsidRPr="006B7327">
        <w:rPr>
          <w:rFonts w:ascii="Palatino Linotype" w:hAnsi="Palatino Linotype" w:cs="Arial"/>
          <w:sz w:val="24"/>
          <w:szCs w:val="24"/>
          <w:lang w:val="es-ES_tradnl"/>
        </w:rPr>
        <w:t xml:space="preserve">el artículo </w:t>
      </w:r>
      <w:r w:rsidR="00357738" w:rsidRPr="006B7327">
        <w:rPr>
          <w:rFonts w:ascii="Palatino Linotype" w:hAnsi="Palatino Linotype" w:cs="Arial"/>
          <w:sz w:val="24"/>
          <w:szCs w:val="24"/>
          <w:lang w:val="es-ES_tradnl"/>
        </w:rPr>
        <w:t xml:space="preserve">185 fracción I de la </w:t>
      </w:r>
      <w:r w:rsidR="00357738" w:rsidRPr="006B7327">
        <w:rPr>
          <w:rFonts w:ascii="Palatino Linotype" w:hAnsi="Palatino Linotype"/>
          <w:sz w:val="24"/>
          <w:szCs w:val="24"/>
        </w:rPr>
        <w:t>Ley de Transparencia y Acceso a la Información Pública del Estado de México y Municipios de aplicación supletoria,</w:t>
      </w:r>
      <w:r w:rsidRPr="006B7327">
        <w:rPr>
          <w:rFonts w:ascii="Palatino Linotype" w:eastAsia="Calibri" w:hAnsi="Palatino Linotype" w:cs="Arial"/>
          <w:b/>
          <w:sz w:val="24"/>
          <w:szCs w:val="24"/>
          <w:lang w:val="es-ES" w:eastAsia="es-ES"/>
        </w:rPr>
        <w:t xml:space="preserve"> </w:t>
      </w:r>
      <w:r w:rsidRPr="006B7327">
        <w:rPr>
          <w:rFonts w:ascii="Palatino Linotype" w:eastAsia="Times New Roman" w:hAnsi="Palatino Linotype" w:cs="Arial"/>
          <w:sz w:val="24"/>
          <w:szCs w:val="24"/>
          <w:lang w:val="es-ES" w:eastAsia="es-ES"/>
        </w:rPr>
        <w:t xml:space="preserve">se turnó al </w:t>
      </w:r>
      <w:r w:rsidRPr="006B7327">
        <w:rPr>
          <w:rFonts w:ascii="Palatino Linotype" w:eastAsia="Times New Roman" w:hAnsi="Palatino Linotype" w:cs="Arial"/>
          <w:b/>
          <w:sz w:val="24"/>
          <w:szCs w:val="24"/>
          <w:lang w:val="es-ES" w:eastAsia="es-ES"/>
        </w:rPr>
        <w:t xml:space="preserve">Comisionado José Guadalupe Luna Hernández, </w:t>
      </w:r>
      <w:r w:rsidRPr="006B7327">
        <w:rPr>
          <w:rFonts w:ascii="Palatino Linotype" w:eastAsia="Times New Roman" w:hAnsi="Palatino Linotype" w:cs="Arial"/>
          <w:sz w:val="24"/>
          <w:szCs w:val="24"/>
          <w:lang w:val="es-ES" w:eastAsia="es-ES"/>
        </w:rPr>
        <w:t xml:space="preserve">con el objeto de </w:t>
      </w:r>
      <w:r w:rsidRPr="006B7327">
        <w:rPr>
          <w:rFonts w:ascii="Palatino Linotype" w:eastAsia="Times New Roman" w:hAnsi="Palatino Linotype" w:cs="Arial"/>
          <w:sz w:val="24"/>
          <w:szCs w:val="24"/>
          <w:lang w:eastAsia="es-ES"/>
        </w:rPr>
        <w:t>su análisis</w:t>
      </w:r>
      <w:r w:rsidRPr="006B7327">
        <w:rPr>
          <w:rFonts w:ascii="Palatino Linotype" w:eastAsia="Times New Roman" w:hAnsi="Palatino Linotype" w:cs="Arial"/>
          <w:sz w:val="24"/>
          <w:szCs w:val="24"/>
        </w:rPr>
        <w:t xml:space="preserve">. </w:t>
      </w:r>
    </w:p>
    <w:p w:rsidR="003645DC" w:rsidRPr="006B7327" w:rsidRDefault="003645DC" w:rsidP="003645DC">
      <w:pPr>
        <w:spacing w:before="240" w:after="240" w:line="360" w:lineRule="auto"/>
        <w:ind w:left="426"/>
        <w:contextualSpacing/>
        <w:jc w:val="both"/>
        <w:rPr>
          <w:rFonts w:ascii="Palatino Linotype" w:eastAsia="Times New Roman" w:hAnsi="Palatino Linotype" w:cs="Arial"/>
          <w:i/>
          <w:sz w:val="24"/>
          <w:szCs w:val="24"/>
          <w:lang w:val="es-ES_tradnl" w:eastAsia="es-ES"/>
        </w:rPr>
      </w:pPr>
    </w:p>
    <w:p w:rsidR="00375424" w:rsidRPr="006B7327" w:rsidRDefault="004D4A3F" w:rsidP="003645DC">
      <w:pPr>
        <w:numPr>
          <w:ilvl w:val="0"/>
          <w:numId w:val="2"/>
        </w:numPr>
        <w:spacing w:after="0" w:line="360" w:lineRule="auto"/>
        <w:ind w:left="426" w:hanging="426"/>
        <w:contextualSpacing/>
        <w:jc w:val="both"/>
        <w:rPr>
          <w:rFonts w:ascii="Palatino Linotype" w:eastAsia="MS Mincho" w:hAnsi="Palatino Linotype" w:cs="Times New Roman"/>
          <w:i/>
          <w:color w:val="000000"/>
          <w:lang w:val="es-ES_tradnl" w:eastAsia="es-ES"/>
        </w:rPr>
      </w:pPr>
      <w:r w:rsidRPr="006B7327">
        <w:rPr>
          <w:rFonts w:ascii="Palatino Linotype" w:eastAsia="MS Mincho" w:hAnsi="Palatino Linotype" w:cs="Arial"/>
          <w:bCs/>
          <w:sz w:val="24"/>
          <w:szCs w:val="24"/>
          <w:lang w:val="es-ES_tradnl" w:eastAsia="es-ES"/>
        </w:rPr>
        <w:t xml:space="preserve">Posteriormente, el </w:t>
      </w:r>
      <w:r w:rsidRPr="006B7327">
        <w:rPr>
          <w:rFonts w:ascii="Palatino Linotype" w:eastAsia="Calibri" w:hAnsi="Palatino Linotype" w:cs="Arial"/>
          <w:sz w:val="24"/>
          <w:szCs w:val="24"/>
          <w:lang w:val="es-ES" w:eastAsia="es-ES"/>
        </w:rPr>
        <w:t xml:space="preserve">Comisionado Ponente con fundamento </w:t>
      </w:r>
      <w:r w:rsidR="007B46BB" w:rsidRPr="006B7327">
        <w:rPr>
          <w:rFonts w:ascii="Palatino Linotype" w:eastAsia="MS Mincho" w:hAnsi="Palatino Linotype" w:cs="Arial"/>
          <w:bCs/>
          <w:sz w:val="24"/>
          <w:szCs w:val="24"/>
          <w:lang w:val="es-ES_tradnl" w:eastAsia="es-ES"/>
        </w:rPr>
        <w:t xml:space="preserve">por </w:t>
      </w:r>
      <w:r w:rsidR="007B46BB" w:rsidRPr="006B7327">
        <w:rPr>
          <w:rFonts w:ascii="Palatino Linotype" w:hAnsi="Palatino Linotype" w:cs="Arial"/>
          <w:sz w:val="24"/>
          <w:szCs w:val="24"/>
          <w:lang w:val="es-ES_tradnl"/>
        </w:rPr>
        <w:t>los artículos 11 y 127 Ley de Protección de Datos Personales en Posesión de Sujetos Obligados del Estado de México y Municipios</w:t>
      </w:r>
      <w:r w:rsidR="005E7721" w:rsidRPr="006B7327">
        <w:rPr>
          <w:rFonts w:ascii="Palatino Linotype" w:hAnsi="Palatino Linotype" w:cs="Arial"/>
          <w:sz w:val="24"/>
          <w:szCs w:val="24"/>
          <w:lang w:val="es-ES_tradnl"/>
        </w:rPr>
        <w:t xml:space="preserve"> y el artículo</w:t>
      </w:r>
      <w:r w:rsidR="007B46BB" w:rsidRPr="006B7327">
        <w:rPr>
          <w:rFonts w:ascii="Palatino Linotype" w:hAnsi="Palatino Linotype" w:cs="Arial"/>
          <w:sz w:val="24"/>
          <w:szCs w:val="24"/>
          <w:lang w:val="es-ES_tradnl"/>
        </w:rPr>
        <w:t xml:space="preserve"> 185 fracción II de la </w:t>
      </w:r>
      <w:r w:rsidR="007B46BB" w:rsidRPr="006B7327">
        <w:rPr>
          <w:rFonts w:ascii="Palatino Linotype" w:hAnsi="Palatino Linotype"/>
          <w:sz w:val="24"/>
          <w:szCs w:val="24"/>
        </w:rPr>
        <w:t>Ley de Transparencia y Acceso a la Información Pública del Estado de México y Municipios de aplicación supletoria</w:t>
      </w:r>
      <w:r w:rsidR="009F7E68" w:rsidRPr="006B7327">
        <w:rPr>
          <w:rFonts w:ascii="Palatino Linotype" w:eastAsia="Calibri" w:hAnsi="Palatino Linotype" w:cs="Arial"/>
          <w:sz w:val="24"/>
          <w:szCs w:val="24"/>
          <w:lang w:val="es-ES" w:eastAsia="es-ES"/>
        </w:rPr>
        <w:t>,</w:t>
      </w:r>
      <w:r w:rsidRPr="006B7327">
        <w:rPr>
          <w:rFonts w:ascii="Palatino Linotype" w:eastAsia="Calibri" w:hAnsi="Palatino Linotype" w:cs="Arial"/>
          <w:sz w:val="24"/>
          <w:szCs w:val="24"/>
          <w:lang w:val="es-ES" w:eastAsia="es-ES"/>
        </w:rPr>
        <w:t xml:space="preserve"> admitió el presente recurso de revisión</w:t>
      </w:r>
      <w:r w:rsidR="009F7E68" w:rsidRPr="006B7327">
        <w:rPr>
          <w:rFonts w:ascii="Palatino Linotype" w:eastAsia="Calibri" w:hAnsi="Palatino Linotype" w:cs="Arial"/>
          <w:sz w:val="24"/>
          <w:szCs w:val="24"/>
          <w:lang w:val="es-ES" w:eastAsia="es-ES"/>
        </w:rPr>
        <w:t xml:space="preserve"> a través del acuerdo </w:t>
      </w:r>
      <w:r w:rsidR="00B56DD4" w:rsidRPr="006B7327">
        <w:rPr>
          <w:rFonts w:ascii="Palatino Linotype" w:eastAsia="Calibri" w:hAnsi="Palatino Linotype" w:cs="Arial"/>
          <w:sz w:val="24"/>
          <w:szCs w:val="24"/>
          <w:lang w:val="es-ES" w:eastAsia="es-ES"/>
        </w:rPr>
        <w:t xml:space="preserve">de admisión de fecha </w:t>
      </w:r>
      <w:r w:rsidR="003645DC" w:rsidRPr="006B7327">
        <w:rPr>
          <w:rFonts w:ascii="Palatino Linotype" w:eastAsia="Calibri" w:hAnsi="Palatino Linotype" w:cs="Arial"/>
          <w:sz w:val="24"/>
          <w:szCs w:val="24"/>
          <w:lang w:val="es-ES" w:eastAsia="es-ES"/>
        </w:rPr>
        <w:t xml:space="preserve">vientres (23) de marzo del año en curso; además, </w:t>
      </w:r>
      <w:r w:rsidRPr="006B7327">
        <w:rPr>
          <w:rFonts w:ascii="Palatino Linotype" w:eastAsia="Calibri" w:hAnsi="Palatino Linotype" w:cs="Arial"/>
          <w:sz w:val="24"/>
          <w:szCs w:val="24"/>
          <w:lang w:val="es-ES" w:eastAsia="es-ES"/>
        </w:rPr>
        <w:t>con fundamento</w:t>
      </w:r>
      <w:r w:rsidR="00044504" w:rsidRPr="006B7327">
        <w:rPr>
          <w:rFonts w:ascii="Palatino Linotype" w:eastAsia="Calibri" w:hAnsi="Palatino Linotype" w:cs="Arial"/>
          <w:sz w:val="24"/>
          <w:szCs w:val="24"/>
          <w:lang w:val="es-ES" w:eastAsia="es-ES"/>
        </w:rPr>
        <w:t xml:space="preserve"> en </w:t>
      </w:r>
      <w:r w:rsidR="00375424" w:rsidRPr="006B7327">
        <w:rPr>
          <w:rFonts w:ascii="Palatino Linotype" w:eastAsia="Calibri" w:hAnsi="Palatino Linotype" w:cs="Arial"/>
          <w:sz w:val="24"/>
          <w:szCs w:val="24"/>
          <w:lang w:val="es-ES" w:eastAsia="es-ES"/>
        </w:rPr>
        <w:t>los</w:t>
      </w:r>
      <w:r w:rsidR="00044504" w:rsidRPr="006B7327">
        <w:rPr>
          <w:rFonts w:ascii="Palatino Linotype" w:eastAsia="Calibri" w:hAnsi="Palatino Linotype" w:cs="Arial"/>
          <w:sz w:val="24"/>
          <w:szCs w:val="24"/>
          <w:lang w:val="es-ES" w:eastAsia="es-ES"/>
        </w:rPr>
        <w:t xml:space="preserve"> artículo</w:t>
      </w:r>
      <w:r w:rsidR="00375424" w:rsidRPr="006B7327">
        <w:rPr>
          <w:rFonts w:ascii="Palatino Linotype" w:eastAsia="Calibri" w:hAnsi="Palatino Linotype" w:cs="Arial"/>
          <w:sz w:val="24"/>
          <w:szCs w:val="24"/>
          <w:lang w:val="es-ES" w:eastAsia="es-ES"/>
        </w:rPr>
        <w:t>s</w:t>
      </w:r>
      <w:r w:rsidR="00044504" w:rsidRPr="006B7327">
        <w:rPr>
          <w:rFonts w:ascii="Palatino Linotype" w:eastAsia="Calibri" w:hAnsi="Palatino Linotype" w:cs="Arial"/>
          <w:sz w:val="24"/>
          <w:szCs w:val="24"/>
          <w:lang w:val="es-ES" w:eastAsia="es-ES"/>
        </w:rPr>
        <w:t xml:space="preserve"> 131</w:t>
      </w:r>
      <w:r w:rsidR="00375424" w:rsidRPr="006B7327">
        <w:rPr>
          <w:rFonts w:ascii="Palatino Linotype" w:eastAsia="Calibri" w:hAnsi="Palatino Linotype" w:cs="Arial"/>
          <w:sz w:val="24"/>
          <w:szCs w:val="24"/>
          <w:lang w:val="es-ES" w:eastAsia="es-ES"/>
        </w:rPr>
        <w:t xml:space="preserve"> y 132</w:t>
      </w:r>
      <w:r w:rsidR="00044504" w:rsidRPr="006B7327">
        <w:rPr>
          <w:rFonts w:ascii="Palatino Linotype" w:eastAsia="Calibri" w:hAnsi="Palatino Linotype" w:cs="Arial"/>
          <w:sz w:val="24"/>
          <w:szCs w:val="24"/>
          <w:lang w:val="es-ES" w:eastAsia="es-ES"/>
        </w:rPr>
        <w:t xml:space="preserve"> de la  </w:t>
      </w:r>
      <w:r w:rsidR="00044504" w:rsidRPr="006B7327">
        <w:rPr>
          <w:rFonts w:ascii="Palatino Linotype" w:hAnsi="Palatino Linotype" w:cs="Arial"/>
          <w:sz w:val="24"/>
          <w:szCs w:val="24"/>
          <w:lang w:val="es-ES_tradnl"/>
        </w:rPr>
        <w:t>Ley de Protección de Datos Personales en Posesión de Sujetos Obligados del Estado de México y Municipios</w:t>
      </w:r>
      <w:r w:rsidR="00375424" w:rsidRPr="006B7327">
        <w:rPr>
          <w:rFonts w:ascii="Palatino Linotype" w:hAnsi="Palatino Linotype" w:cs="Arial"/>
          <w:sz w:val="24"/>
          <w:szCs w:val="24"/>
          <w:lang w:val="es-ES_tradnl"/>
        </w:rPr>
        <w:t>,</w:t>
      </w:r>
      <w:r w:rsidR="009F7E68" w:rsidRPr="006B7327">
        <w:rPr>
          <w:rFonts w:ascii="Palatino Linotype" w:eastAsia="Calibri" w:hAnsi="Palatino Linotype" w:cs="Arial"/>
          <w:sz w:val="24"/>
          <w:szCs w:val="24"/>
          <w:lang w:val="es-ES" w:eastAsia="es-ES"/>
        </w:rPr>
        <w:t xml:space="preserve"> puso a disposición de las partes</w:t>
      </w:r>
      <w:r w:rsidR="00375424" w:rsidRPr="006B7327">
        <w:rPr>
          <w:rFonts w:ascii="Palatino Linotype" w:eastAsia="Calibri" w:hAnsi="Palatino Linotype" w:cs="Arial"/>
          <w:sz w:val="24"/>
          <w:szCs w:val="24"/>
          <w:lang w:val="es-ES" w:eastAsia="es-ES"/>
        </w:rPr>
        <w:t xml:space="preserve"> el procedimiento de conciliación. </w:t>
      </w:r>
    </w:p>
    <w:p w:rsidR="008A7D39" w:rsidRPr="006B7327" w:rsidRDefault="008A7D39" w:rsidP="008A7D39">
      <w:pPr>
        <w:numPr>
          <w:ilvl w:val="0"/>
          <w:numId w:val="2"/>
        </w:numPr>
        <w:spacing w:after="0" w:line="360" w:lineRule="auto"/>
        <w:ind w:left="426" w:hanging="426"/>
        <w:contextualSpacing/>
        <w:jc w:val="both"/>
        <w:rPr>
          <w:rFonts w:ascii="Palatino Linotype" w:eastAsia="MS Mincho" w:hAnsi="Palatino Linotype" w:cs="Times New Roman"/>
          <w:i/>
          <w:color w:val="000000"/>
          <w:sz w:val="24"/>
          <w:szCs w:val="24"/>
          <w:lang w:val="es-ES_tradnl" w:eastAsia="es-ES"/>
        </w:rPr>
      </w:pPr>
      <w:r w:rsidRPr="006B7327">
        <w:rPr>
          <w:rFonts w:ascii="Palatino Linotype" w:hAnsi="Palatino Linotype" w:cs="Arial"/>
          <w:sz w:val="24"/>
          <w:szCs w:val="24"/>
          <w:lang w:val="es-ES_tradnl"/>
        </w:rPr>
        <w:t xml:space="preserve">El </w:t>
      </w:r>
      <w:r w:rsidR="0085069D" w:rsidRPr="006B7327">
        <w:rPr>
          <w:rFonts w:ascii="Palatino Linotype" w:hAnsi="Palatino Linotype" w:cs="Arial"/>
          <w:sz w:val="24"/>
          <w:szCs w:val="24"/>
          <w:lang w:val="es-ES_tradnl"/>
        </w:rPr>
        <w:t>dieciséis (16</w:t>
      </w:r>
      <w:r w:rsidRPr="006B7327">
        <w:rPr>
          <w:rFonts w:ascii="Palatino Linotype" w:hAnsi="Palatino Linotype" w:cs="Arial"/>
          <w:sz w:val="24"/>
          <w:szCs w:val="24"/>
          <w:lang w:val="es-ES_tradnl"/>
        </w:rPr>
        <w:t xml:space="preserve">) de abril de dos mil dieciocho, </w:t>
      </w:r>
      <w:r w:rsidRPr="006B7327">
        <w:rPr>
          <w:rFonts w:ascii="Palatino Linotype" w:hAnsi="Palatino Linotype" w:cs="Arial"/>
          <w:sz w:val="24"/>
          <w:szCs w:val="24"/>
        </w:rPr>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w:t>
      </w:r>
      <w:r w:rsidRPr="006B7327">
        <w:rPr>
          <w:rFonts w:ascii="Palatino Linotype" w:hAnsi="Palatino Linotype" w:cs="Arial"/>
          <w:sz w:val="24"/>
          <w:szCs w:val="24"/>
        </w:rPr>
        <w:lastRenderedPageBreak/>
        <w:t xml:space="preserve">México y Municipios de aplicación supletoria, </w:t>
      </w:r>
      <w:r w:rsidRPr="006B7327">
        <w:rPr>
          <w:rFonts w:ascii="Palatino Linotype" w:hAnsi="Palatino Linotype"/>
          <w:sz w:val="24"/>
          <w:szCs w:val="24"/>
        </w:rPr>
        <w:t>se a</w:t>
      </w:r>
      <w:r w:rsidRPr="006B7327">
        <w:rPr>
          <w:rFonts w:ascii="Palatino Linotype" w:hAnsi="Palatino Linotype" w:cs="Arial"/>
          <w:sz w:val="24"/>
          <w:szCs w:val="24"/>
        </w:rPr>
        <w:t xml:space="preserve">cordó la integración del expediente a fin de ponerlo a disposición de las partes a efecto de que </w:t>
      </w:r>
      <w:r w:rsidRPr="006B7327">
        <w:rPr>
          <w:rFonts w:ascii="Palatino Linotype" w:hAnsi="Palatino Linotype" w:cs="Arial"/>
          <w:sz w:val="24"/>
          <w:szCs w:val="24"/>
          <w:lang w:val="es-ES_tradnl"/>
        </w:rPr>
        <w:t xml:space="preserve">ofrecieran pruebas, </w:t>
      </w:r>
      <w:r w:rsidR="00C414BE" w:rsidRPr="006B7327">
        <w:rPr>
          <w:rFonts w:ascii="Palatino Linotype" w:hAnsi="Palatino Linotype" w:cs="Arial"/>
          <w:sz w:val="24"/>
          <w:szCs w:val="24"/>
          <w:lang w:val="es-ES_tradnl"/>
        </w:rPr>
        <w:t>el</w:t>
      </w:r>
      <w:r w:rsidR="00C414BE" w:rsidRPr="006B7327">
        <w:rPr>
          <w:rFonts w:ascii="Palatino Linotype" w:hAnsi="Palatino Linotype" w:cs="Arial"/>
          <w:b/>
          <w:sz w:val="24"/>
          <w:szCs w:val="24"/>
          <w:lang w:val="es-ES_tradnl"/>
        </w:rPr>
        <w:t xml:space="preserve"> </w:t>
      </w:r>
      <w:r w:rsidRPr="006B7327">
        <w:rPr>
          <w:rFonts w:ascii="Palatino Linotype" w:hAnsi="Palatino Linotype" w:cs="Arial"/>
          <w:b/>
          <w:sz w:val="24"/>
          <w:szCs w:val="24"/>
          <w:lang w:val="es-ES_tradnl"/>
        </w:rPr>
        <w:t>SUJETO OBLIGADO</w:t>
      </w:r>
      <w:r w:rsidRPr="006B7327">
        <w:rPr>
          <w:rFonts w:ascii="Palatino Linotype" w:hAnsi="Palatino Linotype" w:cs="Arial"/>
          <w:sz w:val="24"/>
          <w:szCs w:val="24"/>
          <w:lang w:val="es-ES_tradnl"/>
        </w:rPr>
        <w:t xml:space="preserve"> rindiera el Informe Justificado, o bien </w:t>
      </w:r>
      <w:r w:rsidR="002F4D75" w:rsidRPr="006B7327">
        <w:rPr>
          <w:rFonts w:ascii="Palatino Linotype" w:hAnsi="Palatino Linotype" w:cs="Arial"/>
          <w:sz w:val="24"/>
          <w:szCs w:val="24"/>
          <w:lang w:val="es-ES_tradnl"/>
        </w:rPr>
        <w:t>la</w:t>
      </w:r>
      <w:r w:rsidR="00C414BE" w:rsidRPr="006B7327">
        <w:rPr>
          <w:rFonts w:ascii="Palatino Linotype" w:hAnsi="Palatino Linotype" w:cs="Arial"/>
          <w:b/>
          <w:sz w:val="24"/>
          <w:szCs w:val="24"/>
          <w:lang w:val="es-ES_tradnl"/>
        </w:rPr>
        <w:t xml:space="preserve"> </w:t>
      </w:r>
      <w:r w:rsidRPr="006B7327">
        <w:rPr>
          <w:rFonts w:ascii="Palatino Linotype" w:hAnsi="Palatino Linotype" w:cs="Arial"/>
          <w:b/>
          <w:sz w:val="24"/>
          <w:szCs w:val="24"/>
          <w:lang w:val="es-ES_tradnl"/>
        </w:rPr>
        <w:t>RECURRENTE</w:t>
      </w:r>
      <w:r w:rsidRPr="006B7327">
        <w:rPr>
          <w:rFonts w:ascii="Palatino Linotype" w:hAnsi="Palatino Linotype" w:cs="Arial"/>
          <w:sz w:val="24"/>
          <w:szCs w:val="24"/>
          <w:lang w:val="es-ES_tradnl"/>
        </w:rPr>
        <w:t xml:space="preserve"> emitiera sus manifestaciones y alegatos</w:t>
      </w:r>
      <w:r w:rsidRPr="006B7327">
        <w:rPr>
          <w:rFonts w:ascii="Palatino Linotype" w:hAnsi="Palatino Linotype" w:cs="Arial"/>
          <w:sz w:val="24"/>
          <w:szCs w:val="24"/>
        </w:rPr>
        <w:t>, 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rsidR="00C8008B" w:rsidRPr="006B7327" w:rsidRDefault="00C8008B" w:rsidP="008A7D39">
      <w:pPr>
        <w:pStyle w:val="Prrafodelista"/>
        <w:rPr>
          <w:rFonts w:ascii="Palatino Linotype" w:hAnsi="Palatino Linotype" w:cs="Arial"/>
        </w:rPr>
      </w:pPr>
    </w:p>
    <w:p w:rsidR="00C8008B" w:rsidRPr="006B7327" w:rsidRDefault="008A7D39" w:rsidP="000A07B7">
      <w:pPr>
        <w:numPr>
          <w:ilvl w:val="0"/>
          <w:numId w:val="2"/>
        </w:numPr>
        <w:spacing w:after="0" w:line="360" w:lineRule="auto"/>
        <w:contextualSpacing/>
        <w:jc w:val="both"/>
        <w:rPr>
          <w:rFonts w:ascii="Palatino Linotype" w:eastAsia="MS Mincho" w:hAnsi="Palatino Linotype" w:cs="Times New Roman"/>
          <w:i/>
          <w:color w:val="000000"/>
          <w:sz w:val="24"/>
          <w:szCs w:val="24"/>
          <w:lang w:val="es-ES_tradnl" w:eastAsia="es-ES"/>
        </w:rPr>
      </w:pPr>
      <w:r w:rsidRPr="006B7327">
        <w:rPr>
          <w:rFonts w:ascii="Palatino Linotype" w:hAnsi="Palatino Linotype" w:cs="Arial"/>
          <w:sz w:val="24"/>
          <w:szCs w:val="24"/>
        </w:rPr>
        <w:t>De</w:t>
      </w:r>
      <w:r w:rsidRPr="006B7327">
        <w:rPr>
          <w:rFonts w:ascii="Palatino Linotype" w:hAnsi="Palatino Linotype" w:cs="Arial"/>
          <w:sz w:val="24"/>
          <w:szCs w:val="24"/>
          <w:lang w:val="es-ES_tradnl"/>
        </w:rPr>
        <w:t xml:space="preserve"> las </w:t>
      </w:r>
      <w:r w:rsidRPr="006B7327">
        <w:rPr>
          <w:rFonts w:ascii="Palatino Linotype" w:hAnsi="Palatino Linotype"/>
          <w:sz w:val="24"/>
          <w:szCs w:val="24"/>
        </w:rPr>
        <w:t>constancias</w:t>
      </w:r>
      <w:r w:rsidRPr="006B7327">
        <w:rPr>
          <w:rFonts w:ascii="Palatino Linotype" w:hAnsi="Palatino Linotype" w:cs="Arial"/>
          <w:sz w:val="24"/>
          <w:szCs w:val="24"/>
          <w:lang w:val="es-ES_tradnl"/>
        </w:rPr>
        <w:t xml:space="preserve"> que obran en el </w:t>
      </w:r>
      <w:r w:rsidRPr="006B7327">
        <w:rPr>
          <w:rFonts w:ascii="Palatino Linotype" w:hAnsi="Palatino Linotype" w:cs="Arial"/>
          <w:b/>
          <w:sz w:val="24"/>
          <w:szCs w:val="24"/>
          <w:lang w:val="es-ES_tradnl"/>
        </w:rPr>
        <w:t>SARCOEM</w:t>
      </w:r>
      <w:r w:rsidRPr="006B7327">
        <w:rPr>
          <w:rFonts w:ascii="Palatino Linotype" w:hAnsi="Palatino Linotype" w:cs="Arial"/>
          <w:sz w:val="24"/>
          <w:szCs w:val="24"/>
          <w:lang w:val="es-ES_tradnl"/>
        </w:rPr>
        <w:t>, se advierte que</w:t>
      </w:r>
      <w:r w:rsidRPr="006B7327">
        <w:rPr>
          <w:rFonts w:ascii="Palatino Linotype" w:hAnsi="Palatino Linotype" w:cs="Arial"/>
          <w:b/>
          <w:sz w:val="24"/>
          <w:szCs w:val="24"/>
          <w:lang w:val="es-ES_tradnl"/>
        </w:rPr>
        <w:t xml:space="preserve"> </w:t>
      </w:r>
      <w:r w:rsidRPr="006B7327">
        <w:rPr>
          <w:rFonts w:ascii="Palatino Linotype" w:hAnsi="Palatino Linotype" w:cs="Arial"/>
          <w:sz w:val="24"/>
          <w:szCs w:val="24"/>
          <w:lang w:val="es-ES_tradnl"/>
        </w:rPr>
        <w:t>el</w:t>
      </w:r>
      <w:r w:rsidRPr="006B7327">
        <w:rPr>
          <w:rFonts w:ascii="Palatino Linotype" w:hAnsi="Palatino Linotype" w:cs="Arial"/>
          <w:b/>
          <w:sz w:val="24"/>
          <w:szCs w:val="24"/>
          <w:lang w:val="es-ES_tradnl"/>
        </w:rPr>
        <w:t xml:space="preserve"> SUJETO OBLIGADO</w:t>
      </w:r>
      <w:r w:rsidRPr="006B7327">
        <w:rPr>
          <w:rFonts w:ascii="Palatino Linotype" w:hAnsi="Palatino Linotype" w:cs="Arial"/>
          <w:sz w:val="24"/>
          <w:szCs w:val="24"/>
          <w:lang w:val="es-ES_tradnl"/>
        </w:rPr>
        <w:t xml:space="preserve">  en fecha </w:t>
      </w:r>
      <w:r w:rsidR="00C8008B" w:rsidRPr="006B7327">
        <w:rPr>
          <w:rFonts w:ascii="Palatino Linotype" w:hAnsi="Palatino Linotype" w:cs="Arial"/>
          <w:sz w:val="24"/>
          <w:szCs w:val="24"/>
          <w:lang w:val="es-ES_tradnl"/>
        </w:rPr>
        <w:t>diecinueve (19</w:t>
      </w:r>
      <w:r w:rsidRPr="006B7327">
        <w:rPr>
          <w:rFonts w:ascii="Palatino Linotype" w:hAnsi="Palatino Linotype" w:cs="Arial"/>
          <w:sz w:val="24"/>
          <w:szCs w:val="24"/>
          <w:lang w:val="es-ES_tradnl"/>
        </w:rPr>
        <w:t xml:space="preserve">) de abril de dos mil dieciocho, exhibió el Informe Justificado, </w:t>
      </w:r>
      <w:r w:rsidR="00C8008B" w:rsidRPr="006B7327">
        <w:rPr>
          <w:rFonts w:ascii="Palatino Linotype" w:hAnsi="Palatino Linotype"/>
          <w:color w:val="000000"/>
          <w:sz w:val="24"/>
          <w:szCs w:val="24"/>
          <w:shd w:val="clear" w:color="auto" w:fill="FFFFFF"/>
          <w:lang w:val="es-ES"/>
        </w:rPr>
        <w:t xml:space="preserve">para manifestar lo que a su derecho le asistiera y conviniera </w:t>
      </w:r>
      <w:r w:rsidRPr="006B7327">
        <w:rPr>
          <w:rFonts w:ascii="Palatino Linotype" w:hAnsi="Palatino Linotype" w:cs="Arial"/>
          <w:sz w:val="24"/>
          <w:szCs w:val="24"/>
          <w:lang w:val="es-ES_tradnl"/>
        </w:rPr>
        <w:t>adjuntando los archivos electrónicos denominados</w:t>
      </w:r>
      <w:r w:rsidR="00C8008B" w:rsidRPr="006B7327">
        <w:rPr>
          <w:rFonts w:ascii="Palatino Linotype" w:hAnsi="Palatino Linotype" w:cs="Arial"/>
          <w:sz w:val="24"/>
          <w:szCs w:val="24"/>
          <w:lang w:val="es-ES_tradnl"/>
        </w:rPr>
        <w:t xml:space="preserve"> </w:t>
      </w:r>
      <w:r w:rsidR="00C8008B" w:rsidRPr="006B7327">
        <w:rPr>
          <w:rFonts w:ascii="Palatino Linotype" w:hAnsi="Palatino Linotype" w:cs="Arial"/>
          <w:i/>
          <w:sz w:val="24"/>
          <w:szCs w:val="24"/>
          <w:lang w:val="es-ES_tradnl"/>
        </w:rPr>
        <w:t xml:space="preserve">RECURSO 76.AD.pdf,  </w:t>
      </w:r>
      <w:r w:rsidRPr="006B7327">
        <w:rPr>
          <w:rFonts w:ascii="Palatino Linotype" w:hAnsi="Palatino Linotype" w:cs="Arial"/>
          <w:i/>
          <w:sz w:val="24"/>
          <w:szCs w:val="24"/>
          <w:lang w:val="es-ES_tradnl"/>
        </w:rPr>
        <w:t xml:space="preserve"> </w:t>
      </w:r>
      <w:r w:rsidR="00C8008B" w:rsidRPr="006B7327">
        <w:rPr>
          <w:rFonts w:ascii="Palatino Linotype" w:hAnsi="Palatino Linotype" w:cs="Arial"/>
          <w:i/>
          <w:sz w:val="24"/>
          <w:szCs w:val="24"/>
          <w:lang w:val="es-ES_tradnl"/>
        </w:rPr>
        <w:t>76.AD (1).</w:t>
      </w:r>
      <w:proofErr w:type="spellStart"/>
      <w:r w:rsidR="00C8008B" w:rsidRPr="006B7327">
        <w:rPr>
          <w:rFonts w:ascii="Palatino Linotype" w:hAnsi="Palatino Linotype" w:cs="Arial"/>
          <w:i/>
          <w:sz w:val="24"/>
          <w:szCs w:val="24"/>
          <w:lang w:val="es-ES_tradnl"/>
        </w:rPr>
        <w:t>pdf</w:t>
      </w:r>
      <w:proofErr w:type="spellEnd"/>
      <w:r w:rsidR="00C8008B" w:rsidRPr="006B7327">
        <w:rPr>
          <w:rFonts w:ascii="Palatino Linotype" w:hAnsi="Palatino Linotype" w:cs="Arial"/>
          <w:i/>
          <w:sz w:val="24"/>
          <w:szCs w:val="24"/>
          <w:lang w:val="es-ES_tradnl"/>
        </w:rPr>
        <w:t xml:space="preserve">, </w:t>
      </w:r>
      <w:r w:rsidR="000A07B7" w:rsidRPr="006B7327">
        <w:rPr>
          <w:rFonts w:ascii="Palatino Linotype" w:hAnsi="Palatino Linotype" w:cs="Arial"/>
          <w:i/>
          <w:sz w:val="24"/>
          <w:szCs w:val="24"/>
          <w:lang w:val="es-ES_tradnl"/>
        </w:rPr>
        <w:t>RECURSO 76.AD.pdf y acuse 76.AD</w:t>
      </w:r>
      <w:r w:rsidR="00B71FA3" w:rsidRPr="006B7327">
        <w:rPr>
          <w:rFonts w:ascii="Palatino Linotype" w:hAnsi="Palatino Linotype" w:cs="Arial"/>
          <w:i/>
          <w:sz w:val="24"/>
          <w:szCs w:val="24"/>
          <w:lang w:val="es-ES_tradnl"/>
        </w:rPr>
        <w:t>,</w:t>
      </w:r>
      <w:r w:rsidR="00825CD8" w:rsidRPr="006B7327">
        <w:rPr>
          <w:rFonts w:ascii="Palatino Linotype" w:hAnsi="Palatino Linotype" w:cs="Arial"/>
          <w:i/>
          <w:sz w:val="24"/>
          <w:szCs w:val="24"/>
          <w:lang w:val="es-ES_tradnl"/>
        </w:rPr>
        <w:t xml:space="preserve"> </w:t>
      </w:r>
      <w:r w:rsidR="00C8008B" w:rsidRPr="006B7327">
        <w:rPr>
          <w:rFonts w:ascii="Palatino Linotype" w:hAnsi="Palatino Linotype"/>
          <w:color w:val="000000"/>
          <w:sz w:val="24"/>
          <w:szCs w:val="24"/>
          <w:shd w:val="clear" w:color="auto" w:fill="FFFFFF"/>
          <w:lang w:val="es-ES"/>
        </w:rPr>
        <w:t>contenido no fue puesto a disposición toda vez que no modifica su respuesta inicial, sin embargo se inserta en su parte medular a continuación a fin de que no exista opacidad, toda vez que será del conocimiento de</w:t>
      </w:r>
      <w:r w:rsidR="00E523E3" w:rsidRPr="006B7327">
        <w:rPr>
          <w:rFonts w:ascii="Palatino Linotype" w:hAnsi="Palatino Linotype"/>
          <w:color w:val="000000"/>
          <w:sz w:val="24"/>
          <w:szCs w:val="24"/>
          <w:shd w:val="clear" w:color="auto" w:fill="FFFFFF"/>
          <w:lang w:val="es-ES"/>
        </w:rPr>
        <w:t xml:space="preserve"> </w:t>
      </w:r>
      <w:r w:rsidR="00C8008B" w:rsidRPr="006B7327">
        <w:rPr>
          <w:rFonts w:ascii="Palatino Linotype" w:hAnsi="Palatino Linotype"/>
          <w:color w:val="000000"/>
          <w:sz w:val="24"/>
          <w:szCs w:val="24"/>
          <w:shd w:val="clear" w:color="auto" w:fill="FFFFFF"/>
          <w:lang w:val="es-ES"/>
        </w:rPr>
        <w:t>l</w:t>
      </w:r>
      <w:r w:rsidR="00E523E3" w:rsidRPr="006B7327">
        <w:rPr>
          <w:rFonts w:ascii="Palatino Linotype" w:hAnsi="Palatino Linotype"/>
          <w:color w:val="000000"/>
          <w:sz w:val="24"/>
          <w:szCs w:val="24"/>
          <w:shd w:val="clear" w:color="auto" w:fill="FFFFFF"/>
          <w:lang w:val="es-ES"/>
        </w:rPr>
        <w:t>a</w:t>
      </w:r>
      <w:r w:rsidR="00C8008B" w:rsidRPr="006B7327">
        <w:rPr>
          <w:rFonts w:ascii="Palatino Linotype" w:hAnsi="Palatino Linotype"/>
          <w:color w:val="000000"/>
          <w:sz w:val="24"/>
          <w:szCs w:val="24"/>
          <w:shd w:val="clear" w:color="auto" w:fill="FFFFFF"/>
          <w:lang w:val="es-ES"/>
        </w:rPr>
        <w:t xml:space="preserve"> particular en su totalidad al momento de notificar la presente resolución:</w:t>
      </w:r>
    </w:p>
    <w:p w:rsidR="00C8008B" w:rsidRPr="006B7327" w:rsidRDefault="00C8008B" w:rsidP="00E523E3">
      <w:pPr>
        <w:spacing w:after="0" w:line="240" w:lineRule="auto"/>
        <w:contextualSpacing/>
        <w:jc w:val="center"/>
        <w:rPr>
          <w:rFonts w:ascii="Palatino Linotype" w:eastAsia="MS Mincho" w:hAnsi="Palatino Linotype" w:cs="Times New Roman"/>
          <w:i/>
          <w:color w:val="000000"/>
          <w:sz w:val="24"/>
          <w:szCs w:val="24"/>
          <w:lang w:val="es-ES_tradnl" w:eastAsia="es-ES"/>
        </w:rPr>
      </w:pPr>
      <w:r w:rsidRPr="006B7327">
        <w:rPr>
          <w:noProof/>
          <w:lang w:eastAsia="es-MX"/>
        </w:rPr>
        <w:lastRenderedPageBreak/>
        <w:drawing>
          <wp:inline distT="0" distB="0" distL="0" distR="0" wp14:anchorId="464D568F" wp14:editId="04156B8D">
            <wp:extent cx="5340096" cy="230391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363" t="35882" r="24475" b="22234"/>
                    <a:stretch/>
                  </pic:blipFill>
                  <pic:spPr bwMode="auto">
                    <a:xfrm>
                      <a:off x="0" y="0"/>
                      <a:ext cx="5428015" cy="2341842"/>
                    </a:xfrm>
                    <a:prstGeom prst="rect">
                      <a:avLst/>
                    </a:prstGeom>
                    <a:ln>
                      <a:noFill/>
                    </a:ln>
                    <a:extLst>
                      <a:ext uri="{53640926-AAD7-44D8-BBD7-CCE9431645EC}">
                        <a14:shadowObscured xmlns:a14="http://schemas.microsoft.com/office/drawing/2010/main"/>
                      </a:ext>
                    </a:extLst>
                  </pic:spPr>
                </pic:pic>
              </a:graphicData>
            </a:graphic>
          </wp:inline>
        </w:drawing>
      </w:r>
    </w:p>
    <w:p w:rsidR="00091964" w:rsidRPr="006B7327" w:rsidRDefault="009F7E68" w:rsidP="009F7E68">
      <w:pPr>
        <w:numPr>
          <w:ilvl w:val="0"/>
          <w:numId w:val="2"/>
        </w:numPr>
        <w:spacing w:after="0" w:line="360" w:lineRule="auto"/>
        <w:ind w:left="426" w:hanging="426"/>
        <w:contextualSpacing/>
        <w:jc w:val="both"/>
        <w:rPr>
          <w:rFonts w:ascii="Palatino Linotype" w:hAnsi="Palatino Linotype" w:cs="Arial"/>
          <w:sz w:val="24"/>
          <w:szCs w:val="24"/>
        </w:rPr>
      </w:pPr>
      <w:r w:rsidRPr="006B7327">
        <w:rPr>
          <w:rFonts w:ascii="Palatino Linotype" w:eastAsia="MS Mincho" w:hAnsi="Palatino Linotype" w:cs="Times New Roman"/>
          <w:sz w:val="24"/>
          <w:szCs w:val="24"/>
          <w:lang w:val="es-ES_tradnl" w:eastAsia="es-ES"/>
        </w:rPr>
        <w:t>El Comisionado Ponente decretó los cierre de instrucción</w:t>
      </w:r>
      <w:r w:rsidRPr="006B7327">
        <w:rPr>
          <w:rFonts w:ascii="Palatino Linotype" w:eastAsia="MS Mincho" w:hAnsi="Palatino Linotype" w:cs="Arial"/>
          <w:sz w:val="24"/>
          <w:szCs w:val="24"/>
          <w:lang w:val="es-ES_tradnl" w:eastAsia="es-ES"/>
        </w:rPr>
        <w:t xml:space="preserve"> </w:t>
      </w:r>
      <w:r w:rsidRPr="006B7327">
        <w:rPr>
          <w:rFonts w:ascii="Palatino Linotype" w:eastAsia="MS Mincho" w:hAnsi="Palatino Linotype" w:cs="Times New Roman"/>
          <w:sz w:val="24"/>
          <w:szCs w:val="24"/>
          <w:lang w:val="es-ES_tradnl" w:eastAsia="es-ES"/>
        </w:rPr>
        <w:t>mediante a</w:t>
      </w:r>
      <w:r w:rsidR="00396E06" w:rsidRPr="006B7327">
        <w:rPr>
          <w:rFonts w:ascii="Palatino Linotype" w:eastAsia="MS Mincho" w:hAnsi="Palatino Linotype" w:cs="Times New Roman"/>
          <w:sz w:val="24"/>
          <w:szCs w:val="24"/>
          <w:lang w:val="es-ES_tradnl" w:eastAsia="es-ES"/>
        </w:rPr>
        <w:t xml:space="preserve">cuerdo de fecha </w:t>
      </w:r>
      <w:r w:rsidR="001A73E7" w:rsidRPr="006B7327">
        <w:rPr>
          <w:rFonts w:ascii="Palatino Linotype" w:eastAsia="MS Mincho" w:hAnsi="Palatino Linotype" w:cs="Times New Roman"/>
          <w:sz w:val="24"/>
          <w:szCs w:val="24"/>
          <w:lang w:val="es-ES_tradnl" w:eastAsia="es-ES"/>
        </w:rPr>
        <w:t>veintiséis (26</w:t>
      </w:r>
      <w:r w:rsidR="00C037DF" w:rsidRPr="006B7327">
        <w:rPr>
          <w:rFonts w:ascii="Palatino Linotype" w:eastAsia="MS Mincho" w:hAnsi="Palatino Linotype" w:cs="Times New Roman"/>
          <w:sz w:val="24"/>
          <w:szCs w:val="24"/>
          <w:lang w:val="es-ES_tradnl" w:eastAsia="es-ES"/>
        </w:rPr>
        <w:t>) de abril de dos mil dieciocho</w:t>
      </w:r>
      <w:r w:rsidRPr="006B7327">
        <w:rPr>
          <w:rFonts w:ascii="Palatino Linotype" w:eastAsia="MS Mincho" w:hAnsi="Palatino Linotype" w:cs="Times New Roman"/>
          <w:sz w:val="24"/>
          <w:szCs w:val="24"/>
          <w:lang w:val="es-ES_tradnl" w:eastAsia="es-ES"/>
        </w:rPr>
        <w:t>,</w:t>
      </w:r>
      <w:r w:rsidRPr="006B7327">
        <w:rPr>
          <w:rFonts w:ascii="Palatino Linotype" w:hAnsi="Palatino Linotype"/>
          <w:sz w:val="24"/>
          <w:szCs w:val="24"/>
        </w:rPr>
        <w:t xml:space="preserve"> por</w:t>
      </w:r>
      <w:r w:rsidRPr="006B7327">
        <w:rPr>
          <w:rFonts w:ascii="Palatino Linotype" w:hAnsi="Palatino Linotype" w:cs="Arial"/>
          <w:sz w:val="24"/>
          <w:szCs w:val="24"/>
        </w:rPr>
        <w:t xml:space="preserve"> lo que, ordenó tu</w:t>
      </w:r>
      <w:r w:rsidR="00091964" w:rsidRPr="006B7327">
        <w:rPr>
          <w:rFonts w:ascii="Palatino Linotype" w:hAnsi="Palatino Linotype" w:cs="Arial"/>
          <w:sz w:val="24"/>
          <w:szCs w:val="24"/>
        </w:rPr>
        <w:t>rnar el expediente a resolución.</w:t>
      </w:r>
    </w:p>
    <w:p w:rsidR="00233F3F" w:rsidRPr="006B7327" w:rsidRDefault="00233F3F" w:rsidP="00233F3F">
      <w:pPr>
        <w:spacing w:after="0" w:line="360" w:lineRule="auto"/>
        <w:ind w:left="426"/>
        <w:contextualSpacing/>
        <w:jc w:val="both"/>
        <w:rPr>
          <w:rFonts w:ascii="Palatino Linotype" w:hAnsi="Palatino Linotype" w:cs="Arial"/>
          <w:sz w:val="24"/>
          <w:szCs w:val="24"/>
        </w:rPr>
      </w:pPr>
    </w:p>
    <w:p w:rsidR="00294D2F" w:rsidRPr="006B7327" w:rsidRDefault="00294D2F" w:rsidP="0032420B">
      <w:pPr>
        <w:numPr>
          <w:ilvl w:val="0"/>
          <w:numId w:val="2"/>
        </w:numPr>
        <w:spacing w:after="0" w:line="360" w:lineRule="auto"/>
        <w:ind w:left="426" w:hanging="426"/>
        <w:contextualSpacing/>
        <w:jc w:val="both"/>
        <w:rPr>
          <w:rFonts w:ascii="Palatino Linotype" w:hAnsi="Palatino Linotype" w:cs="Arial"/>
          <w:sz w:val="24"/>
          <w:szCs w:val="24"/>
        </w:rPr>
      </w:pPr>
      <w:r w:rsidRPr="006B7327">
        <w:rPr>
          <w:rFonts w:ascii="Palatino Linotype" w:hAnsi="Palatino Linotype" w:cs="Arial"/>
          <w:sz w:val="24"/>
          <w:szCs w:val="24"/>
        </w:rPr>
        <w:t xml:space="preserve">El </w:t>
      </w:r>
      <w:r w:rsidR="00233F3F" w:rsidRPr="006B7327">
        <w:rPr>
          <w:rFonts w:ascii="Palatino Linotype" w:hAnsi="Palatino Linotype" w:cs="Arial"/>
          <w:sz w:val="24"/>
          <w:szCs w:val="24"/>
        </w:rPr>
        <w:t>día</w:t>
      </w:r>
      <w:r w:rsidRPr="006B7327">
        <w:rPr>
          <w:rFonts w:ascii="Palatino Linotype" w:hAnsi="Palatino Linotype" w:cs="Arial"/>
          <w:sz w:val="24"/>
          <w:szCs w:val="24"/>
        </w:rPr>
        <w:t xml:space="preserve"> quince (15) de mayo de dos mil dieciocho y con </w:t>
      </w:r>
      <w:r w:rsidR="00233F3F" w:rsidRPr="006B7327">
        <w:rPr>
          <w:rFonts w:ascii="Palatino Linotype" w:hAnsi="Palatino Linotype" w:cs="Arial"/>
          <w:sz w:val="24"/>
          <w:szCs w:val="24"/>
        </w:rPr>
        <w:t>fundamento</w:t>
      </w:r>
      <w:r w:rsidRPr="006B7327">
        <w:rPr>
          <w:rFonts w:ascii="Palatino Linotype" w:hAnsi="Palatino Linotype" w:cs="Arial"/>
          <w:sz w:val="24"/>
          <w:szCs w:val="24"/>
        </w:rPr>
        <w:t xml:space="preserve"> en el </w:t>
      </w:r>
      <w:r w:rsidR="00233F3F" w:rsidRPr="006B7327">
        <w:rPr>
          <w:rFonts w:ascii="Palatino Linotype" w:hAnsi="Palatino Linotype" w:cs="Arial"/>
          <w:sz w:val="24"/>
          <w:szCs w:val="24"/>
        </w:rPr>
        <w:t>artículo</w:t>
      </w:r>
      <w:r w:rsidRPr="006B7327">
        <w:rPr>
          <w:rFonts w:ascii="Palatino Linotype" w:hAnsi="Palatino Linotype" w:cs="Arial"/>
          <w:sz w:val="24"/>
          <w:szCs w:val="24"/>
        </w:rPr>
        <w:t xml:space="preserve"> 133 de la Ley de Protección de Datos Personales en Posesión de Sujetos Obligados del Estado de México y Municipios, se </w:t>
      </w:r>
      <w:r w:rsidR="00233F3F" w:rsidRPr="006B7327">
        <w:rPr>
          <w:rFonts w:ascii="Palatino Linotype" w:hAnsi="Palatino Linotype" w:cs="Arial"/>
          <w:sz w:val="24"/>
          <w:szCs w:val="24"/>
        </w:rPr>
        <w:t>notificó</w:t>
      </w:r>
      <w:r w:rsidRPr="006B7327">
        <w:rPr>
          <w:rFonts w:ascii="Palatino Linotype" w:hAnsi="Palatino Linotype" w:cs="Arial"/>
          <w:sz w:val="24"/>
          <w:szCs w:val="24"/>
        </w:rPr>
        <w:t xml:space="preserve"> que el plazo de 40 </w:t>
      </w:r>
      <w:r w:rsidR="00233F3F" w:rsidRPr="006B7327">
        <w:rPr>
          <w:rFonts w:ascii="Palatino Linotype" w:hAnsi="Palatino Linotype" w:cs="Arial"/>
          <w:sz w:val="24"/>
          <w:szCs w:val="24"/>
        </w:rPr>
        <w:t>días para resolver el r</w:t>
      </w:r>
      <w:r w:rsidRPr="006B7327">
        <w:rPr>
          <w:rFonts w:ascii="Palatino Linotype" w:hAnsi="Palatino Linotype" w:cs="Arial"/>
          <w:sz w:val="24"/>
          <w:szCs w:val="24"/>
        </w:rPr>
        <w:t xml:space="preserve">ecurso de </w:t>
      </w:r>
      <w:r w:rsidR="00233F3F" w:rsidRPr="006B7327">
        <w:rPr>
          <w:rFonts w:ascii="Palatino Linotype" w:hAnsi="Palatino Linotype" w:cs="Arial"/>
          <w:sz w:val="24"/>
          <w:szCs w:val="24"/>
        </w:rPr>
        <w:t>r</w:t>
      </w:r>
      <w:r w:rsidRPr="006B7327">
        <w:rPr>
          <w:rFonts w:ascii="Palatino Linotype" w:hAnsi="Palatino Linotype" w:cs="Arial"/>
          <w:sz w:val="24"/>
          <w:szCs w:val="24"/>
        </w:rPr>
        <w:t xml:space="preserve">evisión, </w:t>
      </w:r>
      <w:r w:rsidR="00233F3F" w:rsidRPr="006B7327">
        <w:rPr>
          <w:rFonts w:ascii="Palatino Linotype" w:hAnsi="Palatino Linotype" w:cs="Arial"/>
          <w:sz w:val="24"/>
          <w:szCs w:val="24"/>
        </w:rPr>
        <w:t xml:space="preserve"> seria ampliado por el plazo de </w:t>
      </w:r>
      <w:r w:rsidRPr="006B7327">
        <w:rPr>
          <w:rFonts w:ascii="Palatino Linotype" w:hAnsi="Palatino Linotype" w:cs="Arial"/>
          <w:sz w:val="24"/>
          <w:szCs w:val="24"/>
        </w:rPr>
        <w:t>20 días hábiles adici</w:t>
      </w:r>
      <w:r w:rsidR="00233F3F" w:rsidRPr="006B7327">
        <w:rPr>
          <w:rFonts w:ascii="Palatino Linotype" w:hAnsi="Palatino Linotype" w:cs="Arial"/>
          <w:sz w:val="24"/>
          <w:szCs w:val="24"/>
        </w:rPr>
        <w:t>onales; lo anterior, en razón de l</w:t>
      </w:r>
      <w:r w:rsidRPr="006B7327">
        <w:rPr>
          <w:rFonts w:ascii="Palatino Linotype" w:hAnsi="Palatino Linotype" w:cs="Arial"/>
          <w:sz w:val="24"/>
          <w:szCs w:val="24"/>
        </w:rPr>
        <w:t>a complejidad del asunto lo amerita y para mejor proveer y bajo el principio de objetividad, eficacia y cert</w:t>
      </w:r>
      <w:r w:rsidR="00233F3F" w:rsidRPr="006B7327">
        <w:rPr>
          <w:rFonts w:ascii="Palatino Linotype" w:hAnsi="Palatino Linotype" w:cs="Arial"/>
          <w:sz w:val="24"/>
          <w:szCs w:val="24"/>
        </w:rPr>
        <w:t>eza que rigen a éste Instituto.</w:t>
      </w:r>
    </w:p>
    <w:p w:rsidR="00294D2F" w:rsidRPr="006B7327" w:rsidRDefault="00294D2F" w:rsidP="00294D2F">
      <w:pPr>
        <w:spacing w:after="0" w:line="360" w:lineRule="auto"/>
        <w:contextualSpacing/>
        <w:jc w:val="both"/>
        <w:rPr>
          <w:rFonts w:ascii="Palatino Linotype" w:hAnsi="Palatino Linotype" w:cs="Arial"/>
          <w:sz w:val="24"/>
          <w:szCs w:val="24"/>
        </w:rPr>
      </w:pPr>
    </w:p>
    <w:p w:rsidR="0058258A" w:rsidRPr="006B7327" w:rsidRDefault="00091964" w:rsidP="00C751A6">
      <w:pPr>
        <w:numPr>
          <w:ilvl w:val="0"/>
          <w:numId w:val="2"/>
        </w:numPr>
        <w:spacing w:after="0" w:line="360" w:lineRule="auto"/>
        <w:ind w:left="426" w:hanging="426"/>
        <w:contextualSpacing/>
        <w:jc w:val="both"/>
        <w:rPr>
          <w:rFonts w:ascii="Palatino Linotype" w:hAnsi="Palatino Linotype" w:cs="Arial"/>
          <w:sz w:val="24"/>
          <w:szCs w:val="24"/>
        </w:rPr>
      </w:pPr>
      <w:r w:rsidRPr="006B7327">
        <w:rPr>
          <w:rFonts w:ascii="Palatino Linotype" w:hAnsi="Palatino Linotype" w:cs="Arial"/>
          <w:sz w:val="24"/>
          <w:szCs w:val="24"/>
        </w:rPr>
        <w:t>En fecha</w:t>
      </w:r>
      <w:r w:rsidR="0058258A" w:rsidRPr="006B7327">
        <w:rPr>
          <w:rFonts w:ascii="Palatino Linotype" w:hAnsi="Palatino Linotype" w:cs="Arial"/>
          <w:sz w:val="24"/>
          <w:szCs w:val="24"/>
        </w:rPr>
        <w:t xml:space="preserve"> </w:t>
      </w:r>
      <w:r w:rsidR="00F73140" w:rsidRPr="006B7327">
        <w:rPr>
          <w:rFonts w:ascii="Palatino Linotype" w:hAnsi="Palatino Linotype" w:cs="Arial"/>
          <w:sz w:val="24"/>
          <w:szCs w:val="24"/>
        </w:rPr>
        <w:t>veintisiete (27</w:t>
      </w:r>
      <w:r w:rsidR="0058258A" w:rsidRPr="006B7327">
        <w:rPr>
          <w:rFonts w:ascii="Palatino Linotype" w:hAnsi="Palatino Linotype" w:cs="Arial"/>
          <w:sz w:val="24"/>
          <w:szCs w:val="24"/>
        </w:rPr>
        <w:t xml:space="preserve">) de junio del año en curso,  el Sujeto Obligado envío al correo institucional de esta Ponencia un alcance al Informe Justificado, adjuntando </w:t>
      </w:r>
      <w:r w:rsidR="00C751A6" w:rsidRPr="006B7327">
        <w:rPr>
          <w:rFonts w:ascii="Palatino Linotype" w:hAnsi="Palatino Linotype" w:cs="Arial"/>
          <w:sz w:val="24"/>
          <w:szCs w:val="24"/>
        </w:rPr>
        <w:t>un archivo</w:t>
      </w:r>
      <w:r w:rsidR="0058258A" w:rsidRPr="006B7327">
        <w:rPr>
          <w:rFonts w:ascii="Palatino Linotype" w:hAnsi="Palatino Linotype" w:cs="Arial"/>
          <w:sz w:val="24"/>
          <w:szCs w:val="24"/>
        </w:rPr>
        <w:t xml:space="preserve"> denominado</w:t>
      </w:r>
      <w:r w:rsidR="00C751A6" w:rsidRPr="006B7327">
        <w:rPr>
          <w:rFonts w:ascii="Palatino Linotype" w:hAnsi="Palatino Linotype" w:cs="Arial"/>
          <w:sz w:val="24"/>
          <w:szCs w:val="24"/>
        </w:rPr>
        <w:t xml:space="preserve"> </w:t>
      </w:r>
      <w:r w:rsidR="009C60CE" w:rsidRPr="006B7327">
        <w:rPr>
          <w:rFonts w:ascii="Palatino Linotype" w:hAnsi="Palatino Linotype" w:cs="Arial"/>
          <w:i/>
          <w:sz w:val="24"/>
          <w:szCs w:val="24"/>
        </w:rPr>
        <w:t>OFICIO RECURSO INFOEM.pdf</w:t>
      </w:r>
      <w:r w:rsidR="00C751A6" w:rsidRPr="006B7327">
        <w:rPr>
          <w:rFonts w:ascii="Palatino Linotype" w:hAnsi="Palatino Linotype" w:cs="Arial"/>
          <w:sz w:val="24"/>
          <w:szCs w:val="24"/>
        </w:rPr>
        <w:t xml:space="preserve"> </w:t>
      </w:r>
      <w:r w:rsidR="0058258A" w:rsidRPr="006B7327">
        <w:rPr>
          <w:rFonts w:ascii="Palatino Linotype" w:hAnsi="Palatino Linotype" w:cs="Arial"/>
          <w:sz w:val="24"/>
          <w:szCs w:val="24"/>
        </w:rPr>
        <w:lastRenderedPageBreak/>
        <w:t xml:space="preserve">consistente </w:t>
      </w:r>
      <w:r w:rsidR="00121E5B" w:rsidRPr="006B7327">
        <w:rPr>
          <w:rFonts w:ascii="Palatino Linotype" w:hAnsi="Palatino Linotype" w:cs="Arial"/>
          <w:sz w:val="24"/>
          <w:szCs w:val="24"/>
        </w:rPr>
        <w:t xml:space="preserve">en el oficio número </w:t>
      </w:r>
      <w:r w:rsidR="00347691" w:rsidRPr="00347691">
        <w:rPr>
          <w:rFonts w:ascii="Palatino Linotype" w:hAnsi="Palatino Linotype" w:cs="Arial"/>
          <w:sz w:val="24"/>
          <w:szCs w:val="24"/>
          <w:highlight w:val="black"/>
        </w:rPr>
        <w:t>--------------</w:t>
      </w:r>
      <w:r w:rsidR="00121E5B" w:rsidRPr="00347691">
        <w:rPr>
          <w:rFonts w:ascii="Palatino Linotype" w:hAnsi="Palatino Linotype" w:cs="Arial"/>
          <w:sz w:val="24"/>
          <w:szCs w:val="24"/>
          <w:highlight w:val="black"/>
        </w:rPr>
        <w:t>/</w:t>
      </w:r>
      <w:r w:rsidR="00347691" w:rsidRPr="00347691">
        <w:rPr>
          <w:rFonts w:ascii="Palatino Linotype" w:hAnsi="Palatino Linotype" w:cs="Arial"/>
          <w:sz w:val="24"/>
          <w:szCs w:val="24"/>
          <w:highlight w:val="black"/>
        </w:rPr>
        <w:t>---</w:t>
      </w:r>
      <w:r w:rsidR="00121E5B" w:rsidRPr="00347691">
        <w:rPr>
          <w:rFonts w:ascii="Palatino Linotype" w:hAnsi="Palatino Linotype" w:cs="Arial"/>
          <w:sz w:val="24"/>
          <w:szCs w:val="24"/>
          <w:highlight w:val="black"/>
        </w:rPr>
        <w:t>/</w:t>
      </w:r>
      <w:r w:rsidR="00347691" w:rsidRPr="00347691">
        <w:rPr>
          <w:rFonts w:ascii="Palatino Linotype" w:hAnsi="Palatino Linotype" w:cs="Arial"/>
          <w:sz w:val="24"/>
          <w:szCs w:val="24"/>
          <w:highlight w:val="black"/>
        </w:rPr>
        <w:t>----</w:t>
      </w:r>
      <w:r w:rsidR="00121E5B" w:rsidRPr="00347691">
        <w:rPr>
          <w:rFonts w:ascii="Palatino Linotype" w:hAnsi="Palatino Linotype" w:cs="Arial"/>
          <w:sz w:val="24"/>
          <w:szCs w:val="24"/>
          <w:highlight w:val="black"/>
        </w:rPr>
        <w:t>/</w:t>
      </w:r>
      <w:r w:rsidR="00347691" w:rsidRPr="00347691">
        <w:rPr>
          <w:rFonts w:ascii="Palatino Linotype" w:hAnsi="Palatino Linotype" w:cs="Arial"/>
          <w:sz w:val="24"/>
          <w:szCs w:val="24"/>
          <w:highlight w:val="black"/>
        </w:rPr>
        <w:t>----</w:t>
      </w:r>
      <w:r w:rsidR="00121E5B" w:rsidRPr="006B7327">
        <w:rPr>
          <w:rFonts w:ascii="Palatino Linotype" w:hAnsi="Palatino Linotype" w:cs="Arial"/>
          <w:sz w:val="24"/>
          <w:szCs w:val="24"/>
        </w:rPr>
        <w:t xml:space="preserve"> que </w:t>
      </w:r>
      <w:r w:rsidR="0058258A" w:rsidRPr="006B7327">
        <w:rPr>
          <w:rFonts w:ascii="Palatino Linotype" w:hAnsi="Palatino Linotype" w:cs="Arial"/>
          <w:sz w:val="24"/>
          <w:szCs w:val="24"/>
        </w:rPr>
        <w:t>medularmente</w:t>
      </w:r>
      <w:r w:rsidR="00121E5B" w:rsidRPr="006B7327">
        <w:rPr>
          <w:rFonts w:ascii="Palatino Linotype" w:hAnsi="Palatino Linotype" w:cs="Arial"/>
          <w:sz w:val="24"/>
          <w:szCs w:val="24"/>
        </w:rPr>
        <w:t xml:space="preserve"> indica</w:t>
      </w:r>
      <w:r w:rsidR="0058258A" w:rsidRPr="006B7327">
        <w:rPr>
          <w:rFonts w:ascii="Palatino Linotype" w:hAnsi="Palatino Linotype" w:cs="Arial"/>
          <w:sz w:val="24"/>
          <w:szCs w:val="24"/>
        </w:rPr>
        <w:t xml:space="preserve"> lo siguiente:</w:t>
      </w:r>
    </w:p>
    <w:p w:rsidR="003C7FCF" w:rsidRPr="006B7327" w:rsidRDefault="003C7FCF" w:rsidP="003C7FCF">
      <w:pPr>
        <w:pStyle w:val="Prrafodelista"/>
        <w:jc w:val="center"/>
        <w:rPr>
          <w:rFonts w:ascii="Palatino Linotype" w:hAnsi="Palatino Linotype" w:cs="Arial"/>
          <w:sz w:val="24"/>
          <w:szCs w:val="24"/>
        </w:rPr>
      </w:pPr>
    </w:p>
    <w:p w:rsidR="003C7FCF" w:rsidRPr="006B7327" w:rsidRDefault="00347691" w:rsidP="003C7FCF">
      <w:pPr>
        <w:pStyle w:val="Prrafodelista"/>
        <w:rPr>
          <w:rFonts w:ascii="Palatino Linotype" w:hAnsi="Palatino Linotype" w:cs="Arial"/>
          <w:sz w:val="24"/>
          <w:szCs w:val="24"/>
        </w:rPr>
      </w:pPr>
      <w:r w:rsidRPr="00347691">
        <w:rPr>
          <w:rFonts w:ascii="Palatino Linotype" w:hAnsi="Palatino Linotype" w:cs="Arial"/>
          <w:noProof/>
          <w:sz w:val="24"/>
          <w:szCs w:val="24"/>
          <w:lang w:eastAsia="es-MX"/>
        </w:rPr>
        <w:drawing>
          <wp:inline distT="0" distB="0" distL="0" distR="0">
            <wp:extent cx="5581015" cy="480086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4800861"/>
                    </a:xfrm>
                    <a:prstGeom prst="rect">
                      <a:avLst/>
                    </a:prstGeom>
                    <a:noFill/>
                    <a:ln>
                      <a:noFill/>
                    </a:ln>
                  </pic:spPr>
                </pic:pic>
              </a:graphicData>
            </a:graphic>
          </wp:inline>
        </w:drawing>
      </w:r>
      <w:bookmarkStart w:id="2" w:name="_GoBack"/>
      <w:bookmarkEnd w:id="2"/>
    </w:p>
    <w:p w:rsidR="00C751A6" w:rsidRPr="006B7327" w:rsidRDefault="003C7FCF" w:rsidP="00C751A6">
      <w:pPr>
        <w:spacing w:after="0" w:line="360" w:lineRule="auto"/>
        <w:ind w:left="426"/>
        <w:contextualSpacing/>
        <w:jc w:val="both"/>
        <w:rPr>
          <w:rFonts w:ascii="Palatino Linotype" w:hAnsi="Palatino Linotype" w:cs="Arial"/>
          <w:sz w:val="24"/>
          <w:szCs w:val="24"/>
        </w:rPr>
      </w:pPr>
      <w:r w:rsidRPr="006B7327">
        <w:rPr>
          <w:rFonts w:ascii="Palatino Linotype" w:hAnsi="Palatino Linotype" w:cs="Arial"/>
          <w:sz w:val="24"/>
          <w:szCs w:val="24"/>
        </w:rPr>
        <w:t>N</w:t>
      </w:r>
      <w:r w:rsidR="00C751A6" w:rsidRPr="006B7327">
        <w:rPr>
          <w:rFonts w:ascii="Palatino Linotype" w:hAnsi="Palatino Linotype" w:cs="Arial"/>
          <w:sz w:val="24"/>
          <w:szCs w:val="24"/>
        </w:rPr>
        <w:t>o es óbice para esta Ponencia que dicho alcance fue presentado fuera del p</w:t>
      </w:r>
      <w:r w:rsidR="00D00D5A" w:rsidRPr="006B7327">
        <w:rPr>
          <w:rFonts w:ascii="Palatino Linotype" w:hAnsi="Palatino Linotype" w:cs="Arial"/>
          <w:sz w:val="24"/>
          <w:szCs w:val="24"/>
        </w:rPr>
        <w:t>l</w:t>
      </w:r>
      <w:r w:rsidR="00C751A6" w:rsidRPr="006B7327">
        <w:rPr>
          <w:rFonts w:ascii="Palatino Linotype" w:hAnsi="Palatino Linotype" w:cs="Arial"/>
          <w:sz w:val="24"/>
          <w:szCs w:val="24"/>
        </w:rPr>
        <w:t xml:space="preserve">azo </w:t>
      </w:r>
      <w:proofErr w:type="gramStart"/>
      <w:r w:rsidR="00C751A6" w:rsidRPr="006B7327">
        <w:rPr>
          <w:rFonts w:ascii="Palatino Linotype" w:hAnsi="Palatino Linotype" w:cs="Arial"/>
          <w:sz w:val="24"/>
          <w:szCs w:val="24"/>
        </w:rPr>
        <w:t>de</w:t>
      </w:r>
      <w:proofErr w:type="gramEnd"/>
      <w:r w:rsidR="00C751A6" w:rsidRPr="006B7327">
        <w:rPr>
          <w:rFonts w:ascii="Palatino Linotype" w:hAnsi="Palatino Linotype" w:cs="Arial"/>
          <w:sz w:val="24"/>
          <w:szCs w:val="24"/>
        </w:rPr>
        <w:t xml:space="preserve"> siete días hables señalado; no obstante, considerando su contenido, formará parte del análisis y estudio respectivo en el Considerando Cuarto del presente instrumento revisor. </w:t>
      </w:r>
    </w:p>
    <w:p w:rsidR="00C751A6" w:rsidRPr="006B7327" w:rsidRDefault="00C751A6" w:rsidP="00C751A6">
      <w:pPr>
        <w:spacing w:after="0" w:line="360" w:lineRule="auto"/>
        <w:ind w:left="426"/>
        <w:contextualSpacing/>
        <w:jc w:val="both"/>
        <w:rPr>
          <w:rFonts w:ascii="Palatino Linotype" w:hAnsi="Palatino Linotype" w:cs="Arial"/>
          <w:sz w:val="24"/>
          <w:szCs w:val="24"/>
        </w:rPr>
      </w:pPr>
    </w:p>
    <w:p w:rsidR="00C751A6" w:rsidRPr="006B7327" w:rsidRDefault="00C751A6" w:rsidP="00C751A6">
      <w:pPr>
        <w:spacing w:after="0" w:line="360" w:lineRule="auto"/>
        <w:ind w:left="426"/>
        <w:contextualSpacing/>
        <w:jc w:val="both"/>
        <w:rPr>
          <w:rFonts w:ascii="Palatino Linotype" w:hAnsi="Palatino Linotype" w:cs="Arial"/>
          <w:sz w:val="24"/>
          <w:szCs w:val="24"/>
        </w:rPr>
      </w:pPr>
      <w:r w:rsidRPr="006B7327">
        <w:rPr>
          <w:rFonts w:ascii="Palatino Linotype" w:hAnsi="Palatino Linotype" w:cs="Arial"/>
          <w:sz w:val="24"/>
          <w:szCs w:val="24"/>
        </w:rPr>
        <w:lastRenderedPageBreak/>
        <w:t xml:space="preserve">Cabe precisar que dicho documento se hará del conocimiento de la recurrente al momento de dar cumplimiento a la presente resolución. </w:t>
      </w:r>
    </w:p>
    <w:p w:rsidR="009F7E68" w:rsidRPr="006B7327" w:rsidRDefault="009F7E68" w:rsidP="009F7E68">
      <w:pPr>
        <w:keepNext/>
        <w:keepLines/>
        <w:spacing w:before="240" w:after="0"/>
        <w:jc w:val="center"/>
        <w:outlineLvl w:val="0"/>
        <w:rPr>
          <w:rFonts w:ascii="Palatino Linotype" w:eastAsia="MS Gothic" w:hAnsi="Palatino Linotype" w:cs="Times New Roman"/>
          <w:b/>
          <w:sz w:val="24"/>
          <w:szCs w:val="24"/>
        </w:rPr>
      </w:pPr>
      <w:bookmarkStart w:id="3" w:name="_Toc518652215"/>
      <w:r w:rsidRPr="006B7327">
        <w:rPr>
          <w:rFonts w:ascii="Palatino Linotype" w:eastAsia="MS Gothic" w:hAnsi="Palatino Linotype" w:cs="Times New Roman"/>
          <w:b/>
          <w:sz w:val="24"/>
          <w:szCs w:val="24"/>
        </w:rPr>
        <w:t>CONSIDERANDO</w:t>
      </w:r>
      <w:bookmarkEnd w:id="3"/>
    </w:p>
    <w:p w:rsidR="009F7E68" w:rsidRPr="006B7327" w:rsidRDefault="009F7E68" w:rsidP="009F7E68">
      <w:pPr>
        <w:spacing w:after="0" w:line="240" w:lineRule="auto"/>
        <w:rPr>
          <w:rFonts w:ascii="Palatino Linotype" w:eastAsia="MS Mincho" w:hAnsi="Palatino Linotype" w:cs="Times New Roman"/>
          <w:sz w:val="24"/>
          <w:szCs w:val="24"/>
        </w:rPr>
      </w:pPr>
    </w:p>
    <w:p w:rsidR="009F7E68" w:rsidRPr="006B7327" w:rsidRDefault="009F7E68" w:rsidP="009F7E68">
      <w:pPr>
        <w:keepNext/>
        <w:keepLines/>
        <w:spacing w:before="40" w:after="0"/>
        <w:outlineLvl w:val="1"/>
        <w:rPr>
          <w:rFonts w:ascii="Palatino Linotype" w:eastAsia="MS Gothic" w:hAnsi="Palatino Linotype" w:cs="Times New Roman"/>
          <w:b/>
          <w:sz w:val="24"/>
          <w:szCs w:val="26"/>
        </w:rPr>
      </w:pPr>
      <w:bookmarkStart w:id="4" w:name="_Toc518652216"/>
      <w:r w:rsidRPr="006B7327">
        <w:rPr>
          <w:rFonts w:ascii="Palatino Linotype" w:eastAsia="MS Gothic" w:hAnsi="Palatino Linotype" w:cs="Times New Roman"/>
          <w:b/>
          <w:sz w:val="24"/>
          <w:szCs w:val="26"/>
        </w:rPr>
        <w:t>PRIMERO. De la competencia.</w:t>
      </w:r>
      <w:bookmarkEnd w:id="4"/>
    </w:p>
    <w:p w:rsidR="009F7E68" w:rsidRPr="006B7327" w:rsidRDefault="009F7E68" w:rsidP="00984EBC"/>
    <w:p w:rsidR="008C4695" w:rsidRPr="006B7327" w:rsidRDefault="008C4695" w:rsidP="008C4695">
      <w:pPr>
        <w:numPr>
          <w:ilvl w:val="0"/>
          <w:numId w:val="2"/>
        </w:numPr>
        <w:spacing w:after="0" w:line="360" w:lineRule="auto"/>
        <w:ind w:left="426" w:hanging="426"/>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9F7E68" w:rsidRPr="006B7327" w:rsidRDefault="009F7E68" w:rsidP="009F7E68">
      <w:pPr>
        <w:spacing w:before="240" w:after="240" w:line="360" w:lineRule="auto"/>
        <w:contextualSpacing/>
        <w:jc w:val="both"/>
        <w:rPr>
          <w:rFonts w:ascii="Palatino Linotype" w:eastAsia="MS Mincho" w:hAnsi="Palatino Linotype" w:cs="Times New Roman"/>
          <w:sz w:val="24"/>
          <w:szCs w:val="24"/>
          <w:lang w:val="es-ES_tradnl" w:eastAsia="es-ES"/>
        </w:rPr>
      </w:pPr>
    </w:p>
    <w:p w:rsidR="009F7E68" w:rsidRPr="006B7327" w:rsidRDefault="009F7E68" w:rsidP="009F7E68">
      <w:pPr>
        <w:keepNext/>
        <w:keepLines/>
        <w:spacing w:before="40" w:after="0"/>
        <w:outlineLvl w:val="1"/>
        <w:rPr>
          <w:rFonts w:ascii="Palatino Linotype" w:eastAsia="MS Gothic" w:hAnsi="Palatino Linotype" w:cs="Times New Roman"/>
          <w:b/>
          <w:sz w:val="24"/>
          <w:szCs w:val="26"/>
        </w:rPr>
      </w:pPr>
      <w:bookmarkStart w:id="5" w:name="_Toc518652217"/>
      <w:r w:rsidRPr="006B7327">
        <w:rPr>
          <w:rFonts w:ascii="Palatino Linotype" w:eastAsia="MS Gothic" w:hAnsi="Palatino Linotype" w:cs="Times New Roman"/>
          <w:b/>
          <w:sz w:val="24"/>
          <w:szCs w:val="26"/>
        </w:rPr>
        <w:t xml:space="preserve">SEGUNDO. De la oportunidad y </w:t>
      </w:r>
      <w:proofErr w:type="spellStart"/>
      <w:r w:rsidRPr="006B7327">
        <w:rPr>
          <w:rFonts w:ascii="Palatino Linotype" w:eastAsia="MS Gothic" w:hAnsi="Palatino Linotype" w:cs="Times New Roman"/>
          <w:b/>
          <w:sz w:val="24"/>
          <w:szCs w:val="26"/>
        </w:rPr>
        <w:t>procedibilidad</w:t>
      </w:r>
      <w:proofErr w:type="spellEnd"/>
      <w:r w:rsidRPr="006B7327">
        <w:rPr>
          <w:rFonts w:ascii="Palatino Linotype" w:eastAsia="MS Gothic" w:hAnsi="Palatino Linotype" w:cs="Times New Roman"/>
          <w:b/>
          <w:sz w:val="24"/>
          <w:szCs w:val="26"/>
        </w:rPr>
        <w:t>.</w:t>
      </w:r>
      <w:bookmarkEnd w:id="5"/>
    </w:p>
    <w:p w:rsidR="009F7E68" w:rsidRPr="006B7327" w:rsidRDefault="009F7E68" w:rsidP="009F7E68">
      <w:pPr>
        <w:spacing w:after="0" w:line="240" w:lineRule="auto"/>
        <w:rPr>
          <w:rFonts w:ascii="Cambria" w:eastAsia="MS Mincho" w:hAnsi="Cambria" w:cs="Times New Roman"/>
          <w:sz w:val="24"/>
          <w:szCs w:val="24"/>
        </w:rPr>
      </w:pPr>
    </w:p>
    <w:p w:rsidR="00CF089F" w:rsidRPr="006B7327" w:rsidRDefault="009F7E68" w:rsidP="00242001">
      <w:pPr>
        <w:numPr>
          <w:ilvl w:val="0"/>
          <w:numId w:val="2"/>
        </w:numPr>
        <w:spacing w:before="240" w:line="360" w:lineRule="auto"/>
        <w:ind w:left="426" w:hanging="426"/>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 xml:space="preserve">El medio de impugnación fue presentado a través del </w:t>
      </w:r>
      <w:r w:rsidR="008123CD" w:rsidRPr="006B7327">
        <w:rPr>
          <w:rFonts w:ascii="Palatino Linotype" w:eastAsia="Calibri" w:hAnsi="Palatino Linotype" w:cs="Arial"/>
          <w:b/>
          <w:sz w:val="24"/>
          <w:szCs w:val="24"/>
          <w:lang w:val="es-ES_tradnl" w:eastAsia="es-ES"/>
        </w:rPr>
        <w:t>SARCOEM</w:t>
      </w:r>
      <w:r w:rsidRPr="006B7327">
        <w:rPr>
          <w:rFonts w:ascii="Palatino Linotype" w:eastAsia="Calibri" w:hAnsi="Palatino Linotype" w:cs="Arial"/>
          <w:b/>
          <w:sz w:val="24"/>
          <w:szCs w:val="24"/>
          <w:lang w:val="es-ES_tradnl" w:eastAsia="es-ES"/>
        </w:rPr>
        <w:t>,</w:t>
      </w:r>
      <w:r w:rsidRPr="006B7327">
        <w:rPr>
          <w:rFonts w:ascii="Palatino Linotype" w:eastAsia="Calibri" w:hAnsi="Palatino Linotype" w:cs="Arial"/>
          <w:sz w:val="24"/>
          <w:szCs w:val="24"/>
          <w:lang w:val="es-ES_tradnl" w:eastAsia="es-ES"/>
        </w:rPr>
        <w:t xml:space="preserve"> en el formato previamente aprobado para tal efecto</w:t>
      </w:r>
      <w:r w:rsidR="00CF089F" w:rsidRPr="006B7327">
        <w:rPr>
          <w:rFonts w:ascii="Palatino Linotype" w:eastAsia="Calibri" w:hAnsi="Palatino Linotype" w:cs="Arial"/>
          <w:sz w:val="24"/>
          <w:szCs w:val="24"/>
          <w:lang w:val="es-ES_tradnl" w:eastAsia="es-ES"/>
        </w:rPr>
        <w:t>, sin embargo, previo al estudio del fondo del asunto, se procede</w:t>
      </w:r>
      <w:r w:rsidR="00242001" w:rsidRPr="006B7327">
        <w:rPr>
          <w:rFonts w:ascii="Palatino Linotype" w:eastAsia="Calibri" w:hAnsi="Palatino Linotype" w:cs="Arial"/>
          <w:sz w:val="24"/>
          <w:szCs w:val="24"/>
          <w:lang w:val="es-ES_tradnl" w:eastAsia="es-ES"/>
        </w:rPr>
        <w:t xml:space="preserve"> a señalar lo siguiente: para </w:t>
      </w:r>
      <w:r w:rsidR="00CF089F" w:rsidRPr="006B7327">
        <w:rPr>
          <w:rFonts w:ascii="Palatino Linotype" w:eastAsia="Calibri" w:hAnsi="Palatino Linotype" w:cs="Arial"/>
          <w:sz w:val="24"/>
          <w:szCs w:val="24"/>
          <w:lang w:val="es-ES_tradnl" w:eastAsia="es-ES"/>
        </w:rPr>
        <w:t xml:space="preserve">establecer la recepción y </w:t>
      </w:r>
      <w:r w:rsidR="00CF089F" w:rsidRPr="006B7327">
        <w:rPr>
          <w:rFonts w:ascii="Palatino Linotype" w:eastAsia="Calibri" w:hAnsi="Palatino Linotype" w:cs="Arial"/>
          <w:sz w:val="24"/>
          <w:szCs w:val="24"/>
          <w:lang w:val="es-ES_tradnl" w:eastAsia="es-ES"/>
        </w:rPr>
        <w:lastRenderedPageBreak/>
        <w:t>trámite de las solicitudes para el ejercicio de los derechos ARCO, de portabilidad  de los datos y limitación del tratamiento se sujetará al procedimiento establecido en el Título décimo de la Ley de Protección de Datos Personales en Posesión de Sujetos Obligados del Estado de México y Municipios, como se desprende del párrafo primero del numeral 106 de la ley citada, el cual señala:</w:t>
      </w:r>
    </w:p>
    <w:p w:rsidR="00242001" w:rsidRPr="006B7327" w:rsidRDefault="00242001" w:rsidP="00242001">
      <w:pPr>
        <w:spacing w:after="0" w:line="240" w:lineRule="auto"/>
        <w:ind w:left="426"/>
        <w:contextualSpacing/>
        <w:jc w:val="both"/>
        <w:rPr>
          <w:rFonts w:ascii="Palatino Linotype" w:eastAsia="Calibri" w:hAnsi="Palatino Linotype" w:cs="Arial"/>
          <w:sz w:val="24"/>
          <w:szCs w:val="24"/>
          <w:lang w:val="es-ES_tradnl" w:eastAsia="es-ES"/>
        </w:rPr>
      </w:pPr>
    </w:p>
    <w:p w:rsidR="00CF089F" w:rsidRPr="006B7327" w:rsidRDefault="00CF089F" w:rsidP="00242001">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t>“</w:t>
      </w:r>
      <w:r w:rsidRPr="006B7327">
        <w:rPr>
          <w:rFonts w:ascii="Palatino Linotype" w:eastAsia="MS Mincho" w:hAnsi="Palatino Linotype" w:cs="Times New Roman"/>
          <w:b/>
          <w:i/>
          <w:lang w:eastAsia="es-ES"/>
        </w:rPr>
        <w:t>Artículo 106</w:t>
      </w:r>
      <w:r w:rsidRPr="006B7327">
        <w:rPr>
          <w:rFonts w:ascii="Palatino Linotype" w:eastAsia="MS Mincho" w:hAnsi="Palatino Linotype" w:cs="Times New Roman"/>
          <w:i/>
          <w:lang w:eastAsia="es-ES"/>
        </w:rPr>
        <w:t>.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00242001" w:rsidRPr="006B7327">
        <w:rPr>
          <w:rFonts w:ascii="Palatino Linotype" w:eastAsia="MS Mincho" w:hAnsi="Palatino Linotype" w:cs="Times New Roman"/>
          <w:i/>
          <w:lang w:eastAsia="es-ES"/>
        </w:rPr>
        <w:t>”</w:t>
      </w:r>
    </w:p>
    <w:p w:rsidR="00242001" w:rsidRPr="006B7327" w:rsidRDefault="00242001" w:rsidP="00242001">
      <w:pPr>
        <w:spacing w:after="0" w:line="240" w:lineRule="auto"/>
        <w:ind w:left="1080"/>
        <w:contextualSpacing/>
        <w:jc w:val="both"/>
        <w:rPr>
          <w:rFonts w:ascii="Palatino Linotype" w:eastAsia="MS Mincho" w:hAnsi="Palatino Linotype" w:cs="Times New Roman"/>
          <w:i/>
          <w:lang w:eastAsia="es-ES"/>
        </w:rPr>
      </w:pPr>
    </w:p>
    <w:p w:rsidR="00CF089F" w:rsidRPr="006B7327" w:rsidRDefault="00CF089F" w:rsidP="00242001">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De tal dispositivo normativo, se desprende que para el trámite de los derechos ARCO, así como la atención de las solicitudes de la materia, se estará a lo dispuesto a dicho título, encontrándose regulado el plazo para emitir una respuesta a las solicitudes, el cual no podrá exceder de veinte días, en términos de lo dispuesto por el artículo 108 de la Ley de Protección de Datos Personales en Posesión de Sujetos Obligados del Estado de México y Municipios, que establece:</w:t>
      </w:r>
    </w:p>
    <w:p w:rsidR="00CF089F" w:rsidRPr="006B7327" w:rsidRDefault="00CF089F" w:rsidP="00242001">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t>"</w:t>
      </w:r>
      <w:r w:rsidRPr="006B7327">
        <w:rPr>
          <w:rFonts w:ascii="Palatino Linotype" w:eastAsia="MS Mincho" w:hAnsi="Palatino Linotype" w:cs="Times New Roman"/>
          <w:b/>
          <w:i/>
          <w:lang w:eastAsia="es-ES"/>
        </w:rPr>
        <w:t>Artículo 108.</w:t>
      </w:r>
      <w:r w:rsidRPr="006B7327">
        <w:rPr>
          <w:rFonts w:ascii="Palatino Linotype" w:eastAsia="MS Mincho" w:hAnsi="Palatino Linotype" w:cs="Times New Roman"/>
          <w:i/>
          <w:lang w:eastAsia="es-ES"/>
        </w:rPr>
        <w:t xml:space="preserve"> </w:t>
      </w:r>
      <w:r w:rsidRPr="006B7327">
        <w:rPr>
          <w:rFonts w:ascii="Palatino Linotype" w:eastAsia="MS Mincho" w:hAnsi="Palatino Linotype" w:cs="Times New Roman"/>
          <w:i/>
          <w:u w:val="single"/>
          <w:lang w:eastAsia="es-ES"/>
        </w:rPr>
        <w:t>El responsable deberá establecer procedimientos sencillos que permitan el ejercicio de los derechos ARCO, privilegiando los mecanismos que faciliten su ejercicio de una manera breve y ágil. El plazo de respuesta no deberá exceder de veinte días contados a partir del día siguiente a la recepción de la solicitud</w:t>
      </w:r>
      <w:r w:rsidRPr="006B7327">
        <w:rPr>
          <w:rFonts w:ascii="Palatino Linotype" w:eastAsia="MS Mincho" w:hAnsi="Palatino Linotype" w:cs="Times New Roman"/>
          <w:i/>
          <w:lang w:eastAsia="es-ES"/>
        </w:rPr>
        <w:t xml:space="preserve">. </w:t>
      </w:r>
    </w:p>
    <w:p w:rsidR="00CF089F" w:rsidRPr="006B7327" w:rsidRDefault="00CF089F" w:rsidP="00242001">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t xml:space="preserve"> El plazo referido en el párrafo anterior podrá ser ampliado por una sola vez hasta por diez días cuando así lo justifiquen las circunstancias y siempre y cuando se le notifique al titular dentro del plazo de respuesta. </w:t>
      </w:r>
    </w:p>
    <w:p w:rsidR="00CF089F" w:rsidRPr="006B7327" w:rsidRDefault="00CF089F" w:rsidP="00242001">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lastRenderedPageBreak/>
        <w:t xml:space="preserve"> En caso de resultar procedente el ejercicio de los derechos ARCO, el responsable deberá hacerlo efectivo en un plazo que no podrá exceder de quince días contados a partir del día siguiente en que se haya notificado la respuesta al titular. </w:t>
      </w:r>
    </w:p>
    <w:p w:rsidR="00CF089F" w:rsidRPr="006B7327" w:rsidRDefault="00CF089F" w:rsidP="00242001">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t xml:space="preserve"> En caso que el responsable no emita respuesta a la solicitud de ejercicio de derechos ARCO se entenderá que la respuesta es negativa. "</w:t>
      </w:r>
    </w:p>
    <w:p w:rsidR="005E7BE3" w:rsidRPr="006B7327" w:rsidRDefault="005E7BE3" w:rsidP="00242001">
      <w:pPr>
        <w:spacing w:before="240" w:line="360" w:lineRule="auto"/>
        <w:ind w:left="1080"/>
        <w:contextualSpacing/>
        <w:jc w:val="both"/>
        <w:rPr>
          <w:rFonts w:ascii="Palatino Linotype" w:eastAsia="MS Mincho" w:hAnsi="Palatino Linotype" w:cs="Times New Roman"/>
          <w:i/>
          <w:lang w:eastAsia="es-ES"/>
        </w:rPr>
      </w:pPr>
    </w:p>
    <w:p w:rsidR="00CF089F" w:rsidRPr="006B7327" w:rsidRDefault="00CF089F" w:rsidP="00C20E04">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 xml:space="preserve">El artículo transcrito establece expresamente que cuando </w:t>
      </w:r>
      <w:r w:rsidR="00C20E04" w:rsidRPr="006B7327">
        <w:rPr>
          <w:rFonts w:ascii="Palatino Linotype" w:eastAsia="Calibri" w:hAnsi="Palatino Linotype" w:cs="Arial"/>
          <w:sz w:val="24"/>
          <w:szCs w:val="24"/>
          <w:lang w:val="es-ES_tradnl" w:eastAsia="es-ES"/>
        </w:rPr>
        <w:t>el</w:t>
      </w:r>
      <w:r w:rsidRPr="006B7327">
        <w:rPr>
          <w:rFonts w:ascii="Palatino Linotype" w:eastAsia="Calibri" w:hAnsi="Palatino Linotype" w:cs="Arial"/>
          <w:sz w:val="24"/>
          <w:szCs w:val="24"/>
          <w:lang w:val="es-ES_tradnl" w:eastAsia="es-ES"/>
        </w:rPr>
        <w:t xml:space="preserve"> </w:t>
      </w:r>
      <w:r w:rsidRPr="006B7327">
        <w:rPr>
          <w:rFonts w:ascii="Palatino Linotype" w:eastAsia="Calibri" w:hAnsi="Palatino Linotype" w:cs="Arial"/>
          <w:b/>
          <w:sz w:val="24"/>
          <w:szCs w:val="24"/>
          <w:lang w:val="es-ES_tradnl" w:eastAsia="es-ES"/>
        </w:rPr>
        <w:t xml:space="preserve">SUJETO OBLIGADO </w:t>
      </w:r>
      <w:r w:rsidRPr="006B7327">
        <w:rPr>
          <w:rFonts w:ascii="Palatino Linotype" w:eastAsia="Calibri" w:hAnsi="Palatino Linotype" w:cs="Arial"/>
          <w:sz w:val="24"/>
          <w:szCs w:val="24"/>
          <w:lang w:val="es-ES_tradnl" w:eastAsia="es-ES"/>
        </w:rPr>
        <w:t>no entregue la respuesta a la solicitud propuesta por el particular en el término legal previsto en el artículo 108 de la ley de la materia (veinte días que podrá ampliarse por diez días), la solicitud se entenderá negada y el solicitante podrá impugn</w:t>
      </w:r>
      <w:r w:rsidR="005E7BE3" w:rsidRPr="006B7327">
        <w:rPr>
          <w:rFonts w:ascii="Palatino Linotype" w:eastAsia="Calibri" w:hAnsi="Palatino Linotype" w:cs="Arial"/>
          <w:sz w:val="24"/>
          <w:szCs w:val="24"/>
          <w:lang w:val="es-ES_tradnl" w:eastAsia="es-ES"/>
        </w:rPr>
        <w:t>arla vía el recurso de revisión, además, de resultar procedente el ejercicio de los derechos ARCO, el responsable deberá hacerlo efectivo en un plazo que no podrá exceder de quince días contados a partir del día siguiente en que se haya notificado la respuesta al titular.</w:t>
      </w:r>
    </w:p>
    <w:p w:rsidR="002746DC" w:rsidRPr="006B7327" w:rsidRDefault="002746DC" w:rsidP="002746DC">
      <w:pPr>
        <w:spacing w:before="240" w:after="0" w:line="360" w:lineRule="auto"/>
        <w:ind w:left="426"/>
        <w:contextualSpacing/>
        <w:jc w:val="both"/>
        <w:rPr>
          <w:rFonts w:ascii="Palatino Linotype" w:eastAsia="Calibri" w:hAnsi="Palatino Linotype" w:cs="Arial"/>
          <w:sz w:val="24"/>
          <w:szCs w:val="24"/>
          <w:lang w:val="es-ES_tradnl" w:eastAsia="es-ES"/>
        </w:rPr>
      </w:pPr>
    </w:p>
    <w:p w:rsidR="002746DC" w:rsidRPr="006B7327" w:rsidRDefault="002746DC" w:rsidP="00C20E04">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 xml:space="preserve">Sin embargo, el </w:t>
      </w:r>
      <w:r w:rsidR="008271C0" w:rsidRPr="006B7327">
        <w:rPr>
          <w:rFonts w:ascii="Palatino Linotype" w:eastAsia="Calibri" w:hAnsi="Palatino Linotype" w:cs="Arial"/>
          <w:sz w:val="24"/>
          <w:szCs w:val="24"/>
          <w:lang w:val="es-ES_tradnl" w:eastAsia="es-ES"/>
        </w:rPr>
        <w:t>artículo</w:t>
      </w:r>
      <w:r w:rsidRPr="006B7327">
        <w:rPr>
          <w:rFonts w:ascii="Palatino Linotype" w:eastAsia="Calibri" w:hAnsi="Palatino Linotype" w:cs="Arial"/>
          <w:sz w:val="24"/>
          <w:szCs w:val="24"/>
          <w:lang w:val="es-ES_tradnl" w:eastAsia="es-ES"/>
        </w:rPr>
        <w:t xml:space="preserve"> 111 de la Ley en cita establece que </w:t>
      </w:r>
      <w:r w:rsidR="008271C0" w:rsidRPr="006B7327">
        <w:rPr>
          <w:rFonts w:ascii="Palatino Linotype" w:eastAsia="Calibri" w:hAnsi="Palatino Linotype" w:cs="Arial"/>
          <w:sz w:val="24"/>
          <w:szCs w:val="24"/>
          <w:lang w:val="es-ES_tradnl" w:eastAsia="es-ES"/>
        </w:rPr>
        <w:t xml:space="preserve">se prevendrá al titular de los datos o a su representante para que subsane las omisiones dentro de un plazo de diez días contados a partir del día siguiente al de la notificación, como a la letra se lee: </w:t>
      </w:r>
    </w:p>
    <w:p w:rsidR="008271C0" w:rsidRPr="006B7327" w:rsidRDefault="002746DC" w:rsidP="002746DC">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t xml:space="preserve">Artículo 111. En caso que la solicitud no satisfaga alguno de los requisitos a que se refiere el artículo anterior y el responsable no cuente con elementos para subsanarla, se prevendrá al titular de los datos o a su representante </w:t>
      </w:r>
      <w:r w:rsidRPr="006B7327">
        <w:rPr>
          <w:rFonts w:ascii="Palatino Linotype" w:eastAsia="MS Mincho" w:hAnsi="Palatino Linotype" w:cs="Times New Roman"/>
          <w:i/>
          <w:u w:val="single"/>
          <w:lang w:eastAsia="es-ES"/>
        </w:rPr>
        <w:t>dentro de los cinco días siguientes a la presentación de la solicitud de ejercicio de derechos ARCO, por una sola ocasión, para que subsane las omisiones dentro de un plazo de diez días contados a partir del día siguiente al de la notificación</w:t>
      </w:r>
      <w:r w:rsidRPr="006B7327">
        <w:rPr>
          <w:rFonts w:ascii="Palatino Linotype" w:eastAsia="MS Mincho" w:hAnsi="Palatino Linotype" w:cs="Times New Roman"/>
          <w:i/>
          <w:lang w:eastAsia="es-ES"/>
        </w:rPr>
        <w:t xml:space="preserve">. </w:t>
      </w:r>
    </w:p>
    <w:p w:rsidR="002746DC" w:rsidRPr="006B7327" w:rsidRDefault="002746DC" w:rsidP="002746DC">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lastRenderedPageBreak/>
        <w:t xml:space="preserve">Transcurrido el plazo sin desahogar la prevención se tendrá </w:t>
      </w:r>
      <w:r w:rsidRPr="006B7327">
        <w:rPr>
          <w:rFonts w:ascii="Palatino Linotype" w:eastAsia="MS Mincho" w:hAnsi="Palatino Linotype" w:cs="Times New Roman"/>
          <w:i/>
          <w:u w:val="single"/>
          <w:lang w:eastAsia="es-ES"/>
        </w:rPr>
        <w:t>por no presentada</w:t>
      </w:r>
      <w:r w:rsidRPr="006B7327">
        <w:rPr>
          <w:rFonts w:ascii="Palatino Linotype" w:eastAsia="MS Mincho" w:hAnsi="Palatino Linotype" w:cs="Times New Roman"/>
          <w:i/>
          <w:lang w:eastAsia="es-ES"/>
        </w:rPr>
        <w:t xml:space="preserve"> la solicitud de ejercicio</w:t>
      </w:r>
      <w:r w:rsidR="008271C0" w:rsidRPr="006B7327">
        <w:rPr>
          <w:rFonts w:ascii="Palatino Linotype" w:eastAsia="MS Mincho" w:hAnsi="Palatino Linotype" w:cs="Times New Roman"/>
          <w:i/>
          <w:lang w:eastAsia="es-ES"/>
        </w:rPr>
        <w:t xml:space="preserve"> </w:t>
      </w:r>
      <w:r w:rsidRPr="006B7327">
        <w:rPr>
          <w:rFonts w:ascii="Palatino Linotype" w:eastAsia="MS Mincho" w:hAnsi="Palatino Linotype" w:cs="Times New Roman"/>
          <w:i/>
          <w:lang w:eastAsia="es-ES"/>
        </w:rPr>
        <w:t>de derechos ARCO.</w:t>
      </w:r>
    </w:p>
    <w:p w:rsidR="002746DC" w:rsidRPr="006B7327" w:rsidRDefault="002746DC" w:rsidP="002746DC">
      <w:pPr>
        <w:spacing w:before="240" w:line="360" w:lineRule="auto"/>
        <w:ind w:left="1080"/>
        <w:contextualSpacing/>
        <w:jc w:val="both"/>
        <w:rPr>
          <w:rFonts w:ascii="Palatino Linotype" w:eastAsia="MS Mincho" w:hAnsi="Palatino Linotype" w:cs="Times New Roman"/>
          <w:i/>
          <w:lang w:eastAsia="es-ES"/>
        </w:rPr>
      </w:pPr>
      <w:r w:rsidRPr="006B7327">
        <w:rPr>
          <w:rFonts w:ascii="Palatino Linotype" w:eastAsia="MS Mincho" w:hAnsi="Palatino Linotype" w:cs="Times New Roman"/>
          <w:i/>
          <w:lang w:eastAsia="es-ES"/>
        </w:rPr>
        <w:t>La prevención tendrá el efecto de interrumpir el plazo que tiene el responsable para dar respuesta a la</w:t>
      </w:r>
      <w:r w:rsidR="008271C0" w:rsidRPr="006B7327">
        <w:rPr>
          <w:rFonts w:ascii="Palatino Linotype" w:eastAsia="MS Mincho" w:hAnsi="Palatino Linotype" w:cs="Times New Roman"/>
          <w:i/>
          <w:lang w:eastAsia="es-ES"/>
        </w:rPr>
        <w:t xml:space="preserve"> </w:t>
      </w:r>
      <w:r w:rsidRPr="006B7327">
        <w:rPr>
          <w:rFonts w:ascii="Palatino Linotype" w:eastAsia="MS Mincho" w:hAnsi="Palatino Linotype" w:cs="Times New Roman"/>
          <w:i/>
          <w:lang w:eastAsia="es-ES"/>
        </w:rPr>
        <w:t>solicitud de ejercicio de los derechos ARCO.</w:t>
      </w:r>
    </w:p>
    <w:p w:rsidR="002746DC" w:rsidRPr="006B7327" w:rsidRDefault="002746DC" w:rsidP="002746DC">
      <w:pPr>
        <w:spacing w:before="240" w:after="0" w:line="360" w:lineRule="auto"/>
        <w:contextualSpacing/>
        <w:jc w:val="both"/>
        <w:rPr>
          <w:rFonts w:ascii="Palatino Linotype" w:eastAsia="Calibri" w:hAnsi="Palatino Linotype" w:cs="Arial"/>
          <w:sz w:val="24"/>
          <w:szCs w:val="24"/>
          <w:lang w:eastAsia="es-ES"/>
        </w:rPr>
      </w:pPr>
    </w:p>
    <w:p w:rsidR="00663711" w:rsidRDefault="005E7BE3" w:rsidP="004D6E14">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Así pues</w:t>
      </w:r>
      <w:r w:rsidR="00CF089F" w:rsidRPr="006B7327">
        <w:rPr>
          <w:rFonts w:ascii="Palatino Linotype" w:eastAsia="Calibri" w:hAnsi="Palatino Linotype" w:cs="Arial"/>
          <w:sz w:val="24"/>
          <w:szCs w:val="24"/>
          <w:lang w:val="es-ES_tradnl" w:eastAsia="es-ES"/>
        </w:rPr>
        <w:t xml:space="preserve">, </w:t>
      </w:r>
      <w:r w:rsidR="008271C0" w:rsidRPr="006B7327">
        <w:rPr>
          <w:rFonts w:ascii="Palatino Linotype" w:eastAsia="Calibri" w:hAnsi="Palatino Linotype" w:cs="Arial"/>
          <w:sz w:val="24"/>
          <w:szCs w:val="24"/>
          <w:lang w:val="es-ES_tradnl" w:eastAsia="es-ES"/>
        </w:rPr>
        <w:t xml:space="preserve">al solicitar la aclaración por parte del </w:t>
      </w:r>
      <w:r w:rsidR="008271C0" w:rsidRPr="006B7327">
        <w:rPr>
          <w:rFonts w:ascii="Palatino Linotype" w:eastAsia="Calibri" w:hAnsi="Palatino Linotype" w:cs="Arial"/>
          <w:b/>
          <w:sz w:val="24"/>
          <w:szCs w:val="24"/>
          <w:lang w:val="es-ES_tradnl" w:eastAsia="es-ES"/>
        </w:rPr>
        <w:t xml:space="preserve">SUJETO OBLIGADO </w:t>
      </w:r>
      <w:r w:rsidR="008271C0" w:rsidRPr="006B7327">
        <w:rPr>
          <w:rFonts w:ascii="Palatino Linotype" w:eastAsia="Calibri" w:hAnsi="Palatino Linotype" w:cs="Arial"/>
          <w:sz w:val="24"/>
          <w:szCs w:val="24"/>
          <w:lang w:val="es-ES_tradnl" w:eastAsia="es-ES"/>
        </w:rPr>
        <w:t xml:space="preserve">dentro de los cinco días siguientes a la presentación de la solicitud de ejercicio de derechos ARCO, esto es, del </w:t>
      </w:r>
      <w:r w:rsidR="00663711" w:rsidRPr="006B7327">
        <w:rPr>
          <w:rFonts w:ascii="Palatino Linotype" w:eastAsia="Calibri" w:hAnsi="Palatino Linotype" w:cs="Arial"/>
          <w:sz w:val="24"/>
          <w:szCs w:val="24"/>
          <w:lang w:val="es-ES_tradnl" w:eastAsia="es-ES"/>
        </w:rPr>
        <w:t xml:space="preserve">veintidós (22) al </w:t>
      </w:r>
      <w:r w:rsidR="004D6E14" w:rsidRPr="006B7327">
        <w:rPr>
          <w:rFonts w:ascii="Palatino Linotype" w:eastAsia="Calibri" w:hAnsi="Palatino Linotype" w:cs="Arial"/>
          <w:sz w:val="24"/>
          <w:szCs w:val="24"/>
          <w:lang w:val="es-ES_tradnl" w:eastAsia="es-ES"/>
        </w:rPr>
        <w:t xml:space="preserve"> veintiocho (</w:t>
      </w:r>
      <w:r w:rsidR="00663711" w:rsidRPr="006B7327">
        <w:rPr>
          <w:rFonts w:ascii="Palatino Linotype" w:eastAsia="Calibri" w:hAnsi="Palatino Linotype" w:cs="Arial"/>
          <w:sz w:val="24"/>
          <w:szCs w:val="24"/>
          <w:lang w:val="es-ES_tradnl" w:eastAsia="es-ES"/>
        </w:rPr>
        <w:t>28</w:t>
      </w:r>
      <w:r w:rsidR="004D6E14" w:rsidRPr="006B7327">
        <w:rPr>
          <w:rFonts w:ascii="Palatino Linotype" w:eastAsia="Calibri" w:hAnsi="Palatino Linotype" w:cs="Arial"/>
          <w:sz w:val="24"/>
          <w:szCs w:val="24"/>
          <w:lang w:val="es-ES_tradnl" w:eastAsia="es-ES"/>
        </w:rPr>
        <w:t>)</w:t>
      </w:r>
      <w:r w:rsidR="00663711" w:rsidRPr="006B7327">
        <w:rPr>
          <w:rFonts w:ascii="Palatino Linotype" w:eastAsia="Calibri" w:hAnsi="Palatino Linotype" w:cs="Arial"/>
          <w:sz w:val="24"/>
          <w:szCs w:val="24"/>
          <w:lang w:val="es-ES_tradnl" w:eastAsia="es-ES"/>
        </w:rPr>
        <w:t xml:space="preserve"> de febrero de dos mil dieciocho y toda vez que el </w:t>
      </w:r>
      <w:r w:rsidR="00663711" w:rsidRPr="006B7327">
        <w:rPr>
          <w:rFonts w:ascii="Palatino Linotype" w:eastAsia="Calibri" w:hAnsi="Palatino Linotype" w:cs="Arial"/>
          <w:b/>
          <w:sz w:val="24"/>
          <w:szCs w:val="24"/>
          <w:lang w:val="es-ES_tradnl" w:eastAsia="es-ES"/>
        </w:rPr>
        <w:t xml:space="preserve">SUJETO OBLIGADO </w:t>
      </w:r>
      <w:r w:rsidR="004D6E14" w:rsidRPr="006B7327">
        <w:rPr>
          <w:rFonts w:ascii="Palatino Linotype" w:eastAsia="Calibri" w:hAnsi="Palatino Linotype" w:cs="Arial"/>
          <w:sz w:val="24"/>
          <w:szCs w:val="24"/>
          <w:lang w:val="es-ES_tradnl" w:eastAsia="es-ES"/>
        </w:rPr>
        <w:t>la solicitó</w:t>
      </w:r>
      <w:r w:rsidR="00663711" w:rsidRPr="006B7327">
        <w:rPr>
          <w:rFonts w:ascii="Palatino Linotype" w:eastAsia="Calibri" w:hAnsi="Palatino Linotype" w:cs="Arial"/>
          <w:sz w:val="24"/>
          <w:szCs w:val="24"/>
          <w:lang w:val="es-ES_tradnl" w:eastAsia="es-ES"/>
        </w:rPr>
        <w:t xml:space="preserve"> </w:t>
      </w:r>
      <w:r w:rsidR="008271C0" w:rsidRPr="006B7327">
        <w:rPr>
          <w:rFonts w:ascii="Palatino Linotype" w:eastAsia="Calibri" w:hAnsi="Palatino Linotype" w:cs="Arial"/>
          <w:sz w:val="24"/>
          <w:szCs w:val="24"/>
          <w:lang w:val="es-ES_tradnl" w:eastAsia="es-ES"/>
        </w:rPr>
        <w:t xml:space="preserve">en fecha </w:t>
      </w:r>
      <w:r w:rsidR="00663711" w:rsidRPr="006B7327">
        <w:rPr>
          <w:rFonts w:ascii="Palatino Linotype" w:eastAsia="Calibri" w:hAnsi="Palatino Linotype" w:cs="Arial"/>
          <w:sz w:val="24"/>
          <w:szCs w:val="24"/>
          <w:lang w:val="es-ES_tradnl" w:eastAsia="es-ES"/>
        </w:rPr>
        <w:t>veintiséis</w:t>
      </w:r>
      <w:r w:rsidR="008271C0" w:rsidRPr="006B7327">
        <w:rPr>
          <w:rFonts w:ascii="Palatino Linotype" w:eastAsia="Calibri" w:hAnsi="Palatino Linotype" w:cs="Arial"/>
          <w:sz w:val="24"/>
          <w:szCs w:val="24"/>
          <w:lang w:val="es-ES_tradnl" w:eastAsia="es-ES"/>
        </w:rPr>
        <w:t xml:space="preserve"> (26) de febrero de dos mil </w:t>
      </w:r>
      <w:r w:rsidR="002A4F13" w:rsidRPr="006B7327">
        <w:rPr>
          <w:rFonts w:ascii="Palatino Linotype" w:eastAsia="Calibri" w:hAnsi="Palatino Linotype" w:cs="Arial"/>
          <w:sz w:val="24"/>
          <w:szCs w:val="24"/>
          <w:lang w:val="es-ES_tradnl" w:eastAsia="es-ES"/>
        </w:rPr>
        <w:t>dieciocho, el plazo para di</w:t>
      </w:r>
      <w:r w:rsidR="00663711" w:rsidRPr="006B7327">
        <w:rPr>
          <w:rFonts w:ascii="Palatino Linotype" w:eastAsia="Calibri" w:hAnsi="Palatino Linotype" w:cs="Arial"/>
          <w:sz w:val="24"/>
          <w:szCs w:val="24"/>
          <w:lang w:val="es-ES_tradnl" w:eastAsia="es-ES"/>
        </w:rPr>
        <w:t>cha aclaración se encuentra dentro del término establecido por la Ley en la materia.</w:t>
      </w:r>
    </w:p>
    <w:p w:rsidR="008C201C" w:rsidRPr="006B7327" w:rsidRDefault="008C201C" w:rsidP="008C201C">
      <w:pPr>
        <w:spacing w:before="240" w:after="0" w:line="360" w:lineRule="auto"/>
        <w:ind w:left="426"/>
        <w:contextualSpacing/>
        <w:jc w:val="both"/>
        <w:rPr>
          <w:rFonts w:ascii="Palatino Linotype" w:eastAsia="Calibri" w:hAnsi="Palatino Linotype" w:cs="Arial"/>
          <w:sz w:val="24"/>
          <w:szCs w:val="24"/>
          <w:lang w:val="es-ES_tradnl" w:eastAsia="es-ES"/>
        </w:rPr>
      </w:pPr>
    </w:p>
    <w:p w:rsidR="008271C0" w:rsidRPr="006B7327" w:rsidRDefault="00663711" w:rsidP="00F17995">
      <w:pPr>
        <w:numPr>
          <w:ilvl w:val="0"/>
          <w:numId w:val="2"/>
        </w:numPr>
        <w:spacing w:before="240" w:after="0" w:line="360" w:lineRule="auto"/>
        <w:ind w:left="426" w:hanging="426"/>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 xml:space="preserve">Por consiguiente, </w:t>
      </w:r>
      <w:r w:rsidR="008271C0" w:rsidRPr="006B7327">
        <w:rPr>
          <w:rFonts w:ascii="Palatino Linotype" w:eastAsia="Calibri" w:hAnsi="Palatino Linotype" w:cs="Arial"/>
          <w:sz w:val="24"/>
          <w:szCs w:val="24"/>
          <w:lang w:val="es-ES_tradnl" w:eastAsia="es-ES"/>
        </w:rPr>
        <w:t xml:space="preserve">la </w:t>
      </w:r>
      <w:r w:rsidRPr="006B7327">
        <w:rPr>
          <w:rFonts w:ascii="Palatino Linotype" w:eastAsia="Calibri" w:hAnsi="Palatino Linotype" w:cs="Arial"/>
          <w:b/>
          <w:sz w:val="24"/>
          <w:szCs w:val="24"/>
          <w:lang w:val="es-ES_tradnl" w:eastAsia="es-ES"/>
        </w:rPr>
        <w:t>RECURRENTE</w:t>
      </w:r>
      <w:r w:rsidRPr="006B7327">
        <w:rPr>
          <w:rFonts w:ascii="Palatino Linotype" w:eastAsia="Calibri" w:hAnsi="Palatino Linotype" w:cs="Arial"/>
          <w:sz w:val="24"/>
          <w:szCs w:val="24"/>
          <w:lang w:val="es-ES_tradnl" w:eastAsia="es-ES"/>
        </w:rPr>
        <w:t xml:space="preserve"> </w:t>
      </w:r>
      <w:r w:rsidR="008271C0" w:rsidRPr="006B7327">
        <w:rPr>
          <w:rFonts w:ascii="Palatino Linotype" w:eastAsia="Calibri" w:hAnsi="Palatino Linotype" w:cs="Arial"/>
          <w:sz w:val="24"/>
          <w:szCs w:val="24"/>
          <w:lang w:val="es-ES_tradnl" w:eastAsia="es-ES"/>
        </w:rPr>
        <w:t>contaba con el plazo</w:t>
      </w:r>
      <w:r w:rsidRPr="006B7327">
        <w:rPr>
          <w:rFonts w:ascii="Palatino Linotype" w:eastAsia="Calibri" w:hAnsi="Palatino Linotype" w:cs="Arial"/>
          <w:sz w:val="24"/>
          <w:szCs w:val="24"/>
          <w:lang w:val="es-ES_tradnl" w:eastAsia="es-ES"/>
        </w:rPr>
        <w:t xml:space="preserve"> de diez días contados a partir del día siguiente al de la notificación, esto es, del</w:t>
      </w:r>
      <w:r w:rsidR="008271C0" w:rsidRPr="006B7327">
        <w:rPr>
          <w:rFonts w:ascii="Palatino Linotype" w:eastAsia="Calibri" w:hAnsi="Palatino Linotype" w:cs="Arial"/>
          <w:sz w:val="24"/>
          <w:szCs w:val="24"/>
          <w:lang w:val="es-ES_tradnl" w:eastAsia="es-ES"/>
        </w:rPr>
        <w:t xml:space="preserve"> </w:t>
      </w:r>
      <w:r w:rsidRPr="006B7327">
        <w:rPr>
          <w:rFonts w:ascii="Palatino Linotype" w:eastAsia="Calibri" w:hAnsi="Palatino Linotype" w:cs="Arial"/>
          <w:sz w:val="24"/>
          <w:szCs w:val="24"/>
          <w:u w:val="single"/>
          <w:lang w:val="es-ES_tradnl" w:eastAsia="es-ES"/>
        </w:rPr>
        <w:t>veintisiete</w:t>
      </w:r>
      <w:r w:rsidR="008271C0" w:rsidRPr="006B7327">
        <w:rPr>
          <w:rFonts w:ascii="Palatino Linotype" w:eastAsia="Calibri" w:hAnsi="Palatino Linotype" w:cs="Arial"/>
          <w:sz w:val="24"/>
          <w:szCs w:val="24"/>
          <w:u w:val="single"/>
          <w:lang w:val="es-ES_tradnl" w:eastAsia="es-ES"/>
        </w:rPr>
        <w:t xml:space="preserve"> (27) de febrero </w:t>
      </w:r>
      <w:r w:rsidRPr="006B7327">
        <w:rPr>
          <w:rFonts w:ascii="Palatino Linotype" w:eastAsia="Calibri" w:hAnsi="Palatino Linotype" w:cs="Arial"/>
          <w:sz w:val="24"/>
          <w:szCs w:val="24"/>
          <w:u w:val="single"/>
          <w:lang w:val="es-ES_tradnl" w:eastAsia="es-ES"/>
        </w:rPr>
        <w:t>al trece (13) de marzo de dos mil dieciocho</w:t>
      </w:r>
      <w:r w:rsidRPr="006B7327">
        <w:rPr>
          <w:rFonts w:ascii="Palatino Linotype" w:eastAsia="Calibri" w:hAnsi="Palatino Linotype" w:cs="Arial"/>
          <w:sz w:val="24"/>
          <w:szCs w:val="24"/>
          <w:lang w:val="es-ES_tradnl" w:eastAsia="es-ES"/>
        </w:rPr>
        <w:t xml:space="preserve">; por lo tanto, al no presentar respuesta dicha aclaración se </w:t>
      </w:r>
      <w:r w:rsidR="002A4F13" w:rsidRPr="006B7327">
        <w:rPr>
          <w:rFonts w:ascii="Palatino Linotype" w:eastAsia="Calibri" w:hAnsi="Palatino Linotype" w:cs="Arial"/>
          <w:sz w:val="24"/>
          <w:szCs w:val="24"/>
          <w:lang w:val="es-ES_tradnl" w:eastAsia="es-ES"/>
        </w:rPr>
        <w:t>tuvo</w:t>
      </w:r>
      <w:r w:rsidRPr="006B7327">
        <w:rPr>
          <w:rFonts w:ascii="Palatino Linotype" w:eastAsia="Calibri" w:hAnsi="Palatino Linotype" w:cs="Arial"/>
          <w:sz w:val="24"/>
          <w:szCs w:val="24"/>
          <w:lang w:val="es-ES_tradnl" w:eastAsia="es-ES"/>
        </w:rPr>
        <w:t xml:space="preserve"> por no presentada la solicitu</w:t>
      </w:r>
      <w:r w:rsidR="002A4F13" w:rsidRPr="006B7327">
        <w:rPr>
          <w:rFonts w:ascii="Palatino Linotype" w:eastAsia="Calibri" w:hAnsi="Palatino Linotype" w:cs="Arial"/>
          <w:sz w:val="24"/>
          <w:szCs w:val="24"/>
          <w:lang w:val="es-ES_tradnl" w:eastAsia="es-ES"/>
        </w:rPr>
        <w:t xml:space="preserve">d de ejercicio de derechos ARCO, para lo cual el </w:t>
      </w:r>
      <w:r w:rsidR="002A4F13" w:rsidRPr="006B7327">
        <w:rPr>
          <w:rFonts w:ascii="Palatino Linotype" w:eastAsia="Calibri" w:hAnsi="Palatino Linotype" w:cs="Arial"/>
          <w:b/>
          <w:sz w:val="24"/>
          <w:szCs w:val="24"/>
          <w:lang w:val="es-ES_tradnl" w:eastAsia="es-ES"/>
        </w:rPr>
        <w:t>SUJETO OBLIGADO</w:t>
      </w:r>
      <w:r w:rsidR="002A4F13" w:rsidRPr="006B7327">
        <w:rPr>
          <w:rFonts w:ascii="Palatino Linotype" w:eastAsia="Calibri" w:hAnsi="Palatino Linotype" w:cs="Arial"/>
          <w:sz w:val="24"/>
          <w:szCs w:val="24"/>
          <w:lang w:val="es-ES_tradnl" w:eastAsia="es-ES"/>
        </w:rPr>
        <w:t xml:space="preserve"> hace de su conocimiento que,  debido a que no se realizó la aclaración dejan </w:t>
      </w:r>
      <w:r w:rsidR="002A4F13" w:rsidRPr="006B7327">
        <w:rPr>
          <w:rFonts w:ascii="Palatino Linotype" w:eastAsia="Calibri" w:hAnsi="Palatino Linotype" w:cs="Arial"/>
          <w:sz w:val="24"/>
          <w:szCs w:val="24"/>
          <w:lang w:eastAsia="es-ES"/>
        </w:rPr>
        <w:t>a salvo sus derechos para volverla a presentar una nueva solicitud.</w:t>
      </w:r>
    </w:p>
    <w:p w:rsidR="00663711" w:rsidRPr="006B7327" w:rsidRDefault="00663711" w:rsidP="00663711">
      <w:pPr>
        <w:spacing w:before="240" w:after="0" w:line="360" w:lineRule="auto"/>
        <w:ind w:left="426"/>
        <w:contextualSpacing/>
        <w:jc w:val="both"/>
        <w:rPr>
          <w:rFonts w:ascii="Palatino Linotype" w:eastAsia="Calibri" w:hAnsi="Palatino Linotype" w:cs="Arial"/>
          <w:sz w:val="24"/>
          <w:szCs w:val="24"/>
          <w:lang w:val="es-ES_tradnl" w:eastAsia="es-ES"/>
        </w:rPr>
      </w:pPr>
    </w:p>
    <w:p w:rsidR="00DA2052" w:rsidRPr="006B7327" w:rsidRDefault="00663711" w:rsidP="00DE18E0">
      <w:pPr>
        <w:numPr>
          <w:ilvl w:val="0"/>
          <w:numId w:val="2"/>
        </w:numPr>
        <w:autoSpaceDE w:val="0"/>
        <w:autoSpaceDN w:val="0"/>
        <w:adjustRightInd w:val="0"/>
        <w:spacing w:before="240" w:after="0" w:line="360" w:lineRule="auto"/>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 xml:space="preserve">Finalmente, al presentar su recurso de revisión la ahora </w:t>
      </w:r>
      <w:r w:rsidR="00943BAA" w:rsidRPr="006B7327">
        <w:rPr>
          <w:rFonts w:ascii="Palatino Linotype" w:eastAsia="Calibri" w:hAnsi="Palatino Linotype" w:cs="Arial"/>
          <w:sz w:val="24"/>
          <w:szCs w:val="24"/>
          <w:lang w:val="es-ES_tradnl" w:eastAsia="es-ES"/>
        </w:rPr>
        <w:t xml:space="preserve"> </w:t>
      </w:r>
      <w:r w:rsidR="00943BAA" w:rsidRPr="006B7327">
        <w:rPr>
          <w:rFonts w:ascii="Palatino Linotype" w:eastAsia="Calibri" w:hAnsi="Palatino Linotype" w:cs="Arial"/>
          <w:b/>
          <w:sz w:val="24"/>
          <w:szCs w:val="24"/>
          <w:lang w:val="es-ES_tradnl" w:eastAsia="es-ES"/>
        </w:rPr>
        <w:t>RECURRENTE</w:t>
      </w:r>
      <w:r w:rsidR="00943BAA" w:rsidRPr="006B7327">
        <w:rPr>
          <w:rFonts w:ascii="Palatino Linotype" w:eastAsia="Calibri" w:hAnsi="Palatino Linotype" w:cs="Arial"/>
          <w:sz w:val="24"/>
          <w:szCs w:val="24"/>
          <w:lang w:val="es-ES_tradnl" w:eastAsia="es-ES"/>
        </w:rPr>
        <w:t xml:space="preserve"> en fecha dieciséis (16) de marzo del año en curso,</w:t>
      </w:r>
      <w:r w:rsidR="00E11CA1" w:rsidRPr="006B7327">
        <w:rPr>
          <w:rFonts w:ascii="Palatino Linotype" w:eastAsia="Calibri" w:hAnsi="Palatino Linotype" w:cs="Arial"/>
          <w:sz w:val="24"/>
          <w:szCs w:val="24"/>
          <w:lang w:val="es-ES_tradnl" w:eastAsia="es-ES"/>
        </w:rPr>
        <w:t xml:space="preserve"> señaló que requería dicha información para tramitar su pensión ante el Sujeto Obligado, además de que es solicitada </w:t>
      </w:r>
      <w:r w:rsidR="00E11CA1" w:rsidRPr="006B7327">
        <w:rPr>
          <w:rFonts w:ascii="Palatino Linotype" w:eastAsia="Calibri" w:hAnsi="Palatino Linotype" w:cs="Arial"/>
          <w:sz w:val="24"/>
          <w:szCs w:val="24"/>
          <w:lang w:val="es-ES_tradnl" w:eastAsia="es-ES"/>
        </w:rPr>
        <w:lastRenderedPageBreak/>
        <w:t xml:space="preserve">por la Unidad Jurídica y consultiva el Sujeto Obligado, </w:t>
      </w:r>
      <w:r w:rsidR="00722659" w:rsidRPr="006B7327">
        <w:rPr>
          <w:rFonts w:ascii="Palatino Linotype" w:eastAsia="Calibri" w:hAnsi="Palatino Linotype" w:cs="Arial"/>
          <w:sz w:val="24"/>
          <w:szCs w:val="24"/>
          <w:lang w:val="es-ES_tradnl" w:eastAsia="es-ES"/>
        </w:rPr>
        <w:t xml:space="preserve">acreditando su interés jurídico al ser su familiar directo. </w:t>
      </w:r>
    </w:p>
    <w:p w:rsidR="00266576" w:rsidRPr="006B7327" w:rsidRDefault="00266576" w:rsidP="00266576">
      <w:pPr>
        <w:autoSpaceDE w:val="0"/>
        <w:autoSpaceDN w:val="0"/>
        <w:adjustRightInd w:val="0"/>
        <w:spacing w:before="240" w:after="0" w:line="360" w:lineRule="auto"/>
        <w:ind w:left="360"/>
        <w:contextualSpacing/>
        <w:jc w:val="both"/>
        <w:rPr>
          <w:rFonts w:ascii="Palatino Linotype" w:eastAsia="Calibri" w:hAnsi="Palatino Linotype" w:cs="Arial"/>
          <w:sz w:val="24"/>
          <w:szCs w:val="24"/>
          <w:lang w:val="es-ES_tradnl" w:eastAsia="es-ES"/>
        </w:rPr>
      </w:pPr>
    </w:p>
    <w:p w:rsidR="00AB5B1A" w:rsidRPr="006B7327" w:rsidRDefault="00AB5B1A" w:rsidP="00DE18E0">
      <w:pPr>
        <w:numPr>
          <w:ilvl w:val="0"/>
          <w:numId w:val="2"/>
        </w:numPr>
        <w:autoSpaceDE w:val="0"/>
        <w:autoSpaceDN w:val="0"/>
        <w:adjustRightInd w:val="0"/>
        <w:spacing w:before="240" w:after="0" w:line="360" w:lineRule="auto"/>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Cabe señalar, que es procedente desestimar el argumento del Sujeto Obligado, con base en lo señalado en la  Ley de Amparo</w:t>
      </w:r>
      <w:r w:rsidR="00F95011" w:rsidRPr="006B7327">
        <w:rPr>
          <w:rStyle w:val="Refdenotaalpie"/>
          <w:rFonts w:ascii="Palatino Linotype" w:eastAsia="Calibri" w:hAnsi="Palatino Linotype" w:cs="Arial"/>
          <w:sz w:val="24"/>
          <w:szCs w:val="24"/>
          <w:lang w:val="es-ES_tradnl" w:eastAsia="es-ES"/>
        </w:rPr>
        <w:footnoteReference w:id="1"/>
      </w:r>
      <w:r w:rsidRPr="006B7327">
        <w:rPr>
          <w:rFonts w:ascii="Palatino Linotype" w:eastAsia="Calibri" w:hAnsi="Palatino Linotype" w:cs="Arial"/>
          <w:sz w:val="24"/>
          <w:szCs w:val="24"/>
          <w:lang w:val="es-ES_tradnl" w:eastAsia="es-ES"/>
        </w:rPr>
        <w:t xml:space="preserve">  en su de artículo 61, fracción XII de la, existen dos reglas para acudir al cuido de amparo, la primera establece que el juicio se seguirá siempre a instante de parte agraviada teniendo tal carácter quien alega ser titular de un derecho (interés jurídico) y la segunda, siempre que se alegue que el acto reclamado viola los derechos reconocidos por la Constitución Federal, y con ello, se afecte su esfera justicia ya sea de manera directa (interés jurídico) o a virtud de su especial frente al orden jurídico (interés legítimo), mismos que se abordaran en líneas subsecuentes. </w:t>
      </w:r>
    </w:p>
    <w:p w:rsidR="00722659" w:rsidRPr="006B7327" w:rsidRDefault="00722659" w:rsidP="00617F59">
      <w:pPr>
        <w:autoSpaceDE w:val="0"/>
        <w:autoSpaceDN w:val="0"/>
        <w:adjustRightInd w:val="0"/>
        <w:spacing w:before="240" w:after="0" w:line="360" w:lineRule="auto"/>
        <w:ind w:left="360"/>
        <w:contextualSpacing/>
        <w:jc w:val="both"/>
        <w:rPr>
          <w:rFonts w:ascii="Palatino Linotype" w:eastAsia="Calibri" w:hAnsi="Palatino Linotype" w:cs="Arial"/>
          <w:sz w:val="24"/>
          <w:szCs w:val="24"/>
          <w:lang w:val="es-ES_tradnl" w:eastAsia="es-ES"/>
        </w:rPr>
      </w:pPr>
    </w:p>
    <w:p w:rsidR="00722659" w:rsidRPr="006B7327" w:rsidRDefault="00722659" w:rsidP="00DE18E0">
      <w:pPr>
        <w:numPr>
          <w:ilvl w:val="0"/>
          <w:numId w:val="2"/>
        </w:numPr>
        <w:autoSpaceDE w:val="0"/>
        <w:autoSpaceDN w:val="0"/>
        <w:adjustRightInd w:val="0"/>
        <w:spacing w:before="240" w:after="0" w:line="360" w:lineRule="auto"/>
        <w:contextualSpacing/>
        <w:jc w:val="both"/>
        <w:rPr>
          <w:rFonts w:ascii="Palatino Linotype" w:eastAsia="Calibri" w:hAnsi="Palatino Linotype" w:cs="Arial"/>
          <w:sz w:val="24"/>
          <w:szCs w:val="24"/>
          <w:lang w:val="es-ES_tradnl" w:eastAsia="es-ES"/>
        </w:rPr>
      </w:pPr>
      <w:r w:rsidRPr="006B7327">
        <w:rPr>
          <w:rFonts w:ascii="Palatino Linotype" w:eastAsia="Calibri" w:hAnsi="Palatino Linotype" w:cs="Arial"/>
          <w:sz w:val="24"/>
          <w:szCs w:val="24"/>
          <w:lang w:val="es-ES_tradnl" w:eastAsia="es-ES"/>
        </w:rPr>
        <w:t xml:space="preserve">Es </w:t>
      </w:r>
      <w:r w:rsidR="00617F59" w:rsidRPr="006B7327">
        <w:rPr>
          <w:rFonts w:ascii="Palatino Linotype" w:eastAsia="Calibri" w:hAnsi="Palatino Linotype" w:cs="Arial"/>
          <w:sz w:val="24"/>
          <w:szCs w:val="24"/>
          <w:lang w:val="es-ES_tradnl" w:eastAsia="es-ES"/>
        </w:rPr>
        <w:t>así</w:t>
      </w:r>
      <w:r w:rsidRPr="006B7327">
        <w:rPr>
          <w:rFonts w:ascii="Palatino Linotype" w:eastAsia="Calibri" w:hAnsi="Palatino Linotype" w:cs="Arial"/>
          <w:sz w:val="24"/>
          <w:szCs w:val="24"/>
          <w:lang w:val="es-ES_tradnl" w:eastAsia="es-ES"/>
        </w:rPr>
        <w:t xml:space="preserve">, como ante la </w:t>
      </w:r>
      <w:r w:rsidR="00617F59" w:rsidRPr="006B7327">
        <w:rPr>
          <w:rFonts w:ascii="Palatino Linotype" w:eastAsia="Calibri" w:hAnsi="Palatino Linotype" w:cs="Arial"/>
          <w:sz w:val="24"/>
          <w:szCs w:val="24"/>
          <w:lang w:val="es-ES_tradnl" w:eastAsia="es-ES"/>
        </w:rPr>
        <w:t>incertidumbre</w:t>
      </w:r>
      <w:r w:rsidRPr="006B7327">
        <w:rPr>
          <w:rFonts w:ascii="Palatino Linotype" w:eastAsia="Calibri" w:hAnsi="Palatino Linotype" w:cs="Arial"/>
          <w:sz w:val="24"/>
          <w:szCs w:val="24"/>
          <w:lang w:val="es-ES_tradnl" w:eastAsia="es-ES"/>
        </w:rPr>
        <w:t xml:space="preserve"> que le aqueja a este Institut</w:t>
      </w:r>
      <w:r w:rsidR="00617F59" w:rsidRPr="006B7327">
        <w:rPr>
          <w:rFonts w:ascii="Palatino Linotype" w:eastAsia="Calibri" w:hAnsi="Palatino Linotype" w:cs="Arial"/>
          <w:sz w:val="24"/>
          <w:szCs w:val="24"/>
          <w:lang w:val="es-ES_tradnl" w:eastAsia="es-ES"/>
        </w:rPr>
        <w:t xml:space="preserve">o es dable su admisión para así llevar a cabo las respectivas diligencias para esclarecer dicho recurso de revisión. </w:t>
      </w:r>
    </w:p>
    <w:p w:rsidR="00056DC7" w:rsidRPr="006B7327" w:rsidRDefault="00056DC7" w:rsidP="00617F59">
      <w:pPr>
        <w:pStyle w:val="Prrafodelista"/>
        <w:rPr>
          <w:rFonts w:ascii="Palatino Linotype" w:eastAsia="Calibri" w:hAnsi="Palatino Linotype" w:cs="Arial"/>
          <w:sz w:val="24"/>
          <w:szCs w:val="24"/>
          <w:lang w:val="es-ES_tradnl" w:eastAsia="es-ES"/>
        </w:rPr>
      </w:pPr>
    </w:p>
    <w:p w:rsidR="00B67CD5" w:rsidRPr="006B7327" w:rsidRDefault="00B67CD5" w:rsidP="00B67CD5">
      <w:pPr>
        <w:keepNext/>
        <w:keepLines/>
        <w:spacing w:before="40" w:after="0"/>
        <w:outlineLvl w:val="1"/>
        <w:rPr>
          <w:rFonts w:ascii="Palatino Linotype" w:eastAsia="MS Mincho" w:hAnsi="Palatino Linotype" w:cstheme="majorBidi"/>
          <w:b/>
          <w:sz w:val="24"/>
          <w:szCs w:val="24"/>
          <w:lang w:val="es-ES_tradnl" w:eastAsia="es-ES"/>
        </w:rPr>
      </w:pPr>
      <w:bookmarkStart w:id="6" w:name="_Toc454390714"/>
      <w:bookmarkStart w:id="7" w:name="_Toc494363877"/>
      <w:bookmarkStart w:id="8" w:name="_Toc495490300"/>
      <w:bookmarkStart w:id="9" w:name="_Toc496100160"/>
      <w:bookmarkStart w:id="10" w:name="_Toc499835863"/>
      <w:bookmarkStart w:id="11" w:name="_Toc506483763"/>
      <w:bookmarkStart w:id="12" w:name="_Toc518652218"/>
      <w:r w:rsidRPr="006B7327">
        <w:rPr>
          <w:rFonts w:ascii="Palatino Linotype" w:eastAsia="MS Gothic" w:hAnsi="Palatino Linotype" w:cs="Times New Roman"/>
          <w:b/>
          <w:sz w:val="24"/>
          <w:szCs w:val="26"/>
        </w:rPr>
        <w:t>TERCERO</w:t>
      </w:r>
      <w:r w:rsidRPr="006B7327">
        <w:rPr>
          <w:rFonts w:ascii="Palatino Linotype" w:eastAsia="MS Mincho" w:hAnsi="Palatino Linotype" w:cstheme="majorBidi"/>
          <w:b/>
          <w:sz w:val="24"/>
          <w:szCs w:val="24"/>
          <w:lang w:val="es-ES_tradnl" w:eastAsia="es-ES"/>
        </w:rPr>
        <w:t xml:space="preserve">. </w:t>
      </w:r>
      <w:bookmarkEnd w:id="6"/>
      <w:r w:rsidRPr="006B7327">
        <w:rPr>
          <w:rFonts w:ascii="Palatino Linotype" w:eastAsia="MS Mincho" w:hAnsi="Palatino Linotype" w:cstheme="majorBidi"/>
          <w:b/>
          <w:sz w:val="24"/>
          <w:szCs w:val="24"/>
          <w:lang w:val="es-ES_tradnl" w:eastAsia="es-ES"/>
        </w:rPr>
        <w:t>Del planteamiento de la Litis.</w:t>
      </w:r>
      <w:bookmarkEnd w:id="7"/>
      <w:bookmarkEnd w:id="8"/>
      <w:bookmarkEnd w:id="9"/>
      <w:bookmarkEnd w:id="10"/>
      <w:bookmarkEnd w:id="11"/>
      <w:bookmarkEnd w:id="12"/>
    </w:p>
    <w:p w:rsidR="00B67CD5" w:rsidRPr="006B7327" w:rsidRDefault="00B67CD5" w:rsidP="00B67CD5">
      <w:pPr>
        <w:spacing w:after="0"/>
        <w:contextualSpacing/>
        <w:rPr>
          <w:rFonts w:ascii="Palatino Linotype" w:eastAsia="Calibri" w:hAnsi="Palatino Linotype" w:cs="Arial"/>
          <w:sz w:val="24"/>
          <w:szCs w:val="24"/>
          <w:lang w:eastAsia="es-ES"/>
        </w:rPr>
      </w:pPr>
    </w:p>
    <w:p w:rsidR="00B67CD5" w:rsidRPr="006B7327" w:rsidRDefault="00AA7048" w:rsidP="00B67CD5">
      <w:pPr>
        <w:pStyle w:val="Prrafodelista"/>
        <w:numPr>
          <w:ilvl w:val="0"/>
          <w:numId w:val="2"/>
        </w:numPr>
        <w:spacing w:before="240" w:after="240" w:line="360" w:lineRule="auto"/>
        <w:ind w:left="426" w:hanging="426"/>
        <w:jc w:val="both"/>
        <w:rPr>
          <w:rFonts w:ascii="Palatino Linotype" w:hAnsi="Palatino Linotype" w:cs="Arial"/>
          <w:i/>
          <w:sz w:val="24"/>
          <w:szCs w:val="24"/>
        </w:rPr>
      </w:pPr>
      <w:r w:rsidRPr="006B7327">
        <w:rPr>
          <w:rFonts w:ascii="Palatino Linotype" w:hAnsi="Palatino Linotype" w:cs="Arial"/>
          <w:sz w:val="24"/>
          <w:szCs w:val="24"/>
        </w:rPr>
        <w:lastRenderedPageBreak/>
        <w:t xml:space="preserve">Es así, como derivado del </w:t>
      </w:r>
      <w:r w:rsidR="00B67CD5" w:rsidRPr="006B7327">
        <w:rPr>
          <w:rFonts w:ascii="Palatino Linotype" w:hAnsi="Palatino Linotype" w:cs="Arial"/>
          <w:sz w:val="24"/>
          <w:szCs w:val="24"/>
        </w:rPr>
        <w:t>contenido íntegro de las actuaciones que obr</w:t>
      </w:r>
      <w:r w:rsidRPr="006B7327">
        <w:rPr>
          <w:rFonts w:ascii="Palatino Linotype" w:hAnsi="Palatino Linotype" w:cs="Arial"/>
          <w:sz w:val="24"/>
          <w:szCs w:val="24"/>
        </w:rPr>
        <w:t xml:space="preserve">an en el expediente electrónico </w:t>
      </w:r>
      <w:r w:rsidR="00B67CD5" w:rsidRPr="006B7327">
        <w:rPr>
          <w:rFonts w:ascii="Palatino Linotype" w:hAnsi="Palatino Linotype" w:cs="Arial"/>
          <w:sz w:val="24"/>
          <w:szCs w:val="24"/>
        </w:rPr>
        <w:t>este Órgano Garante</w:t>
      </w:r>
      <w:r w:rsidRPr="006B7327">
        <w:rPr>
          <w:rFonts w:ascii="Palatino Linotype" w:hAnsi="Palatino Linotype" w:cs="Arial"/>
          <w:sz w:val="24"/>
          <w:szCs w:val="24"/>
        </w:rPr>
        <w:t xml:space="preserve"> deberá</w:t>
      </w:r>
      <w:r w:rsidR="00B67CD5" w:rsidRPr="006B7327">
        <w:rPr>
          <w:rFonts w:ascii="Palatino Linotype" w:hAnsi="Palatino Linotype" w:cs="Arial"/>
          <w:sz w:val="24"/>
          <w:szCs w:val="24"/>
        </w:rPr>
        <w:t xml:space="preserve"> dictar la resolución correspondiente, tomando en consideración los elementos aportados por las partes y apegándose en todo momento a</w:t>
      </w:r>
      <w:r w:rsidRPr="006B7327">
        <w:rPr>
          <w:rFonts w:ascii="Palatino Linotype" w:hAnsi="Palatino Linotype" w:cs="Arial"/>
          <w:sz w:val="24"/>
          <w:szCs w:val="24"/>
        </w:rPr>
        <w:t xml:space="preserve"> </w:t>
      </w:r>
      <w:r w:rsidR="00B67CD5" w:rsidRPr="006B7327">
        <w:rPr>
          <w:rFonts w:ascii="Palatino Linotype" w:hAnsi="Palatino Linotype" w:cs="Arial"/>
          <w:sz w:val="24"/>
          <w:szCs w:val="24"/>
        </w:rPr>
        <w:t>l</w:t>
      </w:r>
      <w:r w:rsidRPr="006B7327">
        <w:rPr>
          <w:rFonts w:ascii="Palatino Linotype" w:hAnsi="Palatino Linotype" w:cs="Arial"/>
          <w:sz w:val="24"/>
          <w:szCs w:val="24"/>
        </w:rPr>
        <w:t>os</w:t>
      </w:r>
      <w:r w:rsidR="00B67CD5" w:rsidRPr="006B7327">
        <w:rPr>
          <w:rFonts w:ascii="Palatino Linotype" w:hAnsi="Palatino Linotype" w:cs="Arial"/>
          <w:sz w:val="24"/>
          <w:szCs w:val="24"/>
        </w:rPr>
        <w:t xml:space="preserve"> principio</w:t>
      </w:r>
      <w:r w:rsidRPr="006B7327">
        <w:rPr>
          <w:rFonts w:ascii="Palatino Linotype" w:hAnsi="Palatino Linotype" w:cs="Arial"/>
          <w:sz w:val="24"/>
          <w:szCs w:val="24"/>
        </w:rPr>
        <w:t>s</w:t>
      </w:r>
      <w:r w:rsidR="00B67CD5" w:rsidRPr="006B7327">
        <w:rPr>
          <w:rFonts w:ascii="Palatino Linotype" w:hAnsi="Palatino Linotype" w:cs="Arial"/>
          <w:sz w:val="24"/>
          <w:szCs w:val="24"/>
        </w:rPr>
        <w:t xml:space="preserve"> establecido</w:t>
      </w:r>
      <w:r w:rsidRPr="006B7327">
        <w:rPr>
          <w:rFonts w:ascii="Palatino Linotype" w:hAnsi="Palatino Linotype" w:cs="Arial"/>
          <w:sz w:val="24"/>
          <w:szCs w:val="24"/>
        </w:rPr>
        <w:t>s</w:t>
      </w:r>
      <w:r w:rsidRPr="006B7327">
        <w:rPr>
          <w:rFonts w:ascii="Palatino Linotype" w:eastAsia="Calibri" w:hAnsi="Palatino Linotype" w:cs="Arial"/>
          <w:sz w:val="24"/>
          <w:szCs w:val="24"/>
          <w:lang w:val="es-ES_tradnl" w:eastAsia="es-ES"/>
        </w:rPr>
        <w:t xml:space="preserve"> la Ley de Protección de Datos Personales en Posesión de Sujetos Obligados del Estado de México y Municipios</w:t>
      </w:r>
    </w:p>
    <w:p w:rsidR="00B67CD5" w:rsidRPr="006B7327" w:rsidRDefault="00B67CD5" w:rsidP="00B67CD5">
      <w:pPr>
        <w:pStyle w:val="Prrafodelista"/>
        <w:spacing w:before="240" w:after="240" w:line="360" w:lineRule="auto"/>
        <w:ind w:left="426"/>
        <w:jc w:val="both"/>
        <w:rPr>
          <w:rFonts w:ascii="Palatino Linotype" w:hAnsi="Palatino Linotype" w:cs="Arial"/>
          <w:i/>
          <w:sz w:val="24"/>
          <w:szCs w:val="24"/>
        </w:rPr>
      </w:pPr>
    </w:p>
    <w:p w:rsidR="00B67CD5" w:rsidRPr="006B7327" w:rsidRDefault="00F956B7" w:rsidP="00B67CD5">
      <w:pPr>
        <w:pStyle w:val="Prrafodelista"/>
        <w:numPr>
          <w:ilvl w:val="0"/>
          <w:numId w:val="2"/>
        </w:numPr>
        <w:spacing w:before="240" w:after="240" w:line="360" w:lineRule="auto"/>
        <w:ind w:left="426" w:hanging="426"/>
        <w:jc w:val="both"/>
        <w:rPr>
          <w:rFonts w:ascii="Palatino Linotype" w:hAnsi="Palatino Linotype" w:cs="Arial"/>
          <w:i/>
          <w:sz w:val="24"/>
          <w:szCs w:val="24"/>
        </w:rPr>
      </w:pPr>
      <w:r w:rsidRPr="006B7327">
        <w:rPr>
          <w:rFonts w:ascii="Palatino Linotype" w:eastAsia="Times New Roman" w:hAnsi="Palatino Linotype" w:cs="Arial"/>
          <w:sz w:val="24"/>
          <w:szCs w:val="24"/>
          <w:lang w:val="es-ES" w:eastAsia="es-MX"/>
        </w:rPr>
        <w:t>La</w:t>
      </w:r>
      <w:r w:rsidR="00B67CD5" w:rsidRPr="006B7327">
        <w:rPr>
          <w:rFonts w:ascii="Palatino Linotype" w:eastAsia="Times New Roman" w:hAnsi="Palatino Linotype" w:cs="Arial"/>
          <w:sz w:val="24"/>
          <w:szCs w:val="24"/>
          <w:lang w:val="es-ES" w:eastAsia="es-MX"/>
        </w:rPr>
        <w:t xml:space="preserve"> ahora recurrente solicito conocer del </w:t>
      </w:r>
      <w:r w:rsidR="00B67CD5" w:rsidRPr="006B7327">
        <w:rPr>
          <w:rFonts w:ascii="Palatino Linotype" w:eastAsia="MS Mincho" w:hAnsi="Palatino Linotype" w:cs="Times New Roman"/>
          <w:b/>
          <w:sz w:val="24"/>
          <w:szCs w:val="24"/>
          <w:lang w:val="es-ES_tradnl" w:eastAsia="es-ES"/>
        </w:rPr>
        <w:t>SUJETO OBLIGADO</w:t>
      </w:r>
      <w:r w:rsidR="00B67CD5" w:rsidRPr="006B7327">
        <w:rPr>
          <w:rFonts w:ascii="Palatino Linotype" w:eastAsia="MS Mincho" w:hAnsi="Palatino Linotype" w:cs="Times New Roman"/>
          <w:sz w:val="24"/>
          <w:szCs w:val="24"/>
          <w:lang w:val="es-ES_tradnl" w:eastAsia="es-ES"/>
        </w:rPr>
        <w:t xml:space="preserve"> </w:t>
      </w:r>
      <w:r w:rsidR="00B67CD5" w:rsidRPr="006B7327">
        <w:rPr>
          <w:rFonts w:ascii="Palatino Linotype" w:eastAsia="Times New Roman" w:hAnsi="Palatino Linotype" w:cs="Arial"/>
          <w:sz w:val="24"/>
          <w:szCs w:val="24"/>
          <w:lang w:val="es-ES" w:eastAsia="es-MX"/>
        </w:rPr>
        <w:t xml:space="preserve">lo siguiente: </w:t>
      </w:r>
    </w:p>
    <w:p w:rsidR="00B67CD5" w:rsidRPr="006B7327" w:rsidRDefault="00F956B7" w:rsidP="00F956B7">
      <w:pPr>
        <w:pStyle w:val="Prrafodelista"/>
        <w:tabs>
          <w:tab w:val="left" w:pos="6156"/>
        </w:tabs>
        <w:rPr>
          <w:rFonts w:ascii="Palatino Linotype" w:eastAsia="MS Mincho" w:hAnsi="Palatino Linotype" w:cs="Times New Roman"/>
          <w:color w:val="000000"/>
          <w:sz w:val="24"/>
          <w:szCs w:val="24"/>
        </w:rPr>
      </w:pPr>
      <w:r w:rsidRPr="006B7327">
        <w:rPr>
          <w:rFonts w:ascii="Palatino Linotype" w:eastAsia="MS Mincho" w:hAnsi="Palatino Linotype" w:cs="Times New Roman"/>
          <w:color w:val="000000"/>
          <w:sz w:val="24"/>
          <w:szCs w:val="24"/>
        </w:rPr>
        <w:tab/>
      </w:r>
    </w:p>
    <w:p w:rsidR="00F956B7" w:rsidRPr="006B7327" w:rsidRDefault="00FF620C" w:rsidP="00C934CC">
      <w:pPr>
        <w:pStyle w:val="Prrafodelista"/>
        <w:numPr>
          <w:ilvl w:val="0"/>
          <w:numId w:val="15"/>
        </w:numPr>
        <w:spacing w:before="240" w:after="240" w:line="360" w:lineRule="auto"/>
        <w:jc w:val="both"/>
        <w:rPr>
          <w:rFonts w:ascii="Palatino Linotype" w:eastAsia="Times New Roman" w:hAnsi="Palatino Linotype" w:cs="Arial"/>
          <w:sz w:val="24"/>
          <w:szCs w:val="24"/>
          <w:lang w:val="es-ES" w:eastAsia="es-MX"/>
        </w:rPr>
      </w:pPr>
      <w:r w:rsidRPr="006B7327">
        <w:rPr>
          <w:rFonts w:ascii="Palatino Linotype" w:eastAsia="Times New Roman" w:hAnsi="Palatino Linotype" w:cs="Arial"/>
          <w:sz w:val="24"/>
          <w:szCs w:val="24"/>
          <w:lang w:eastAsia="es-MX"/>
        </w:rPr>
        <w:t xml:space="preserve">El </w:t>
      </w:r>
      <w:r w:rsidR="00013095" w:rsidRPr="006B7327">
        <w:rPr>
          <w:rFonts w:ascii="Palatino Linotype" w:eastAsia="Times New Roman" w:hAnsi="Palatino Linotype" w:cs="Arial"/>
          <w:sz w:val="24"/>
          <w:szCs w:val="24"/>
          <w:lang w:val="es-ES" w:eastAsia="es-MX"/>
        </w:rPr>
        <w:t>expediente clínico de la persona señalada en la solicitud de información</w:t>
      </w:r>
      <w:r w:rsidRPr="006B7327">
        <w:rPr>
          <w:rFonts w:ascii="Palatino Linotype" w:eastAsia="Times New Roman" w:hAnsi="Palatino Linotype" w:cs="Arial"/>
          <w:sz w:val="24"/>
          <w:szCs w:val="24"/>
          <w:lang w:val="es-ES" w:eastAsia="es-MX"/>
        </w:rPr>
        <w:t>.</w:t>
      </w:r>
    </w:p>
    <w:p w:rsidR="00007141" w:rsidRPr="006B7327" w:rsidRDefault="00B67CD5" w:rsidP="00007141">
      <w:pPr>
        <w:numPr>
          <w:ilvl w:val="0"/>
          <w:numId w:val="2"/>
        </w:numPr>
        <w:shd w:val="clear" w:color="auto" w:fill="FFFFFF"/>
        <w:spacing w:after="200" w:line="360" w:lineRule="auto"/>
        <w:ind w:left="426" w:hanging="426"/>
        <w:contextualSpacing/>
        <w:jc w:val="both"/>
        <w:rPr>
          <w:rFonts w:ascii="Palatino Linotype" w:hAnsi="Palatino Linotype"/>
          <w:sz w:val="24"/>
          <w:szCs w:val="24"/>
        </w:rPr>
      </w:pPr>
      <w:r w:rsidRPr="006B7327">
        <w:rPr>
          <w:rFonts w:ascii="Palatino Linotype" w:hAnsi="Palatino Linotype" w:cs="Arial"/>
          <w:color w:val="000000"/>
          <w:sz w:val="24"/>
          <w:szCs w:val="24"/>
        </w:rPr>
        <w:t xml:space="preserve">Ahora </w:t>
      </w:r>
      <w:r w:rsidRPr="006B7327">
        <w:rPr>
          <w:rFonts w:ascii="Palatino Linotype" w:hAnsi="Palatino Linotype"/>
          <w:color w:val="000000" w:themeColor="text1"/>
          <w:sz w:val="24"/>
          <w:szCs w:val="24"/>
        </w:rPr>
        <w:t>bien, por cuanto hace a la información materia de la solicitud de información en comentó, se observa</w:t>
      </w:r>
      <w:r w:rsidR="00C934CC" w:rsidRPr="006B7327">
        <w:rPr>
          <w:rFonts w:ascii="Palatino Linotype" w:hAnsi="Palatino Linotype"/>
          <w:color w:val="000000" w:themeColor="text1"/>
          <w:sz w:val="24"/>
          <w:szCs w:val="24"/>
        </w:rPr>
        <w:t xml:space="preserve"> que el </w:t>
      </w:r>
      <w:r w:rsidR="00C934CC" w:rsidRPr="006B7327">
        <w:rPr>
          <w:rFonts w:ascii="Palatino Linotype" w:hAnsi="Palatino Linotype"/>
          <w:b/>
          <w:color w:val="000000" w:themeColor="text1"/>
          <w:sz w:val="24"/>
          <w:szCs w:val="24"/>
        </w:rPr>
        <w:t>SUJETO OBLIGADO</w:t>
      </w:r>
      <w:r w:rsidR="00C934CC" w:rsidRPr="006B7327">
        <w:rPr>
          <w:rFonts w:ascii="Palatino Linotype" w:hAnsi="Palatino Linotype"/>
          <w:color w:val="000000" w:themeColor="text1"/>
          <w:sz w:val="24"/>
          <w:szCs w:val="24"/>
        </w:rPr>
        <w:t xml:space="preserve"> al solicitar una </w:t>
      </w:r>
      <w:r w:rsidR="00007141" w:rsidRPr="006B7327">
        <w:rPr>
          <w:rFonts w:ascii="Palatino Linotype" w:hAnsi="Palatino Linotype"/>
          <w:color w:val="000000" w:themeColor="text1"/>
          <w:sz w:val="24"/>
          <w:szCs w:val="24"/>
        </w:rPr>
        <w:t>aclaración</w:t>
      </w:r>
      <w:r w:rsidR="00C934CC" w:rsidRPr="006B7327">
        <w:rPr>
          <w:rFonts w:ascii="Palatino Linotype" w:hAnsi="Palatino Linotype"/>
          <w:color w:val="000000" w:themeColor="text1"/>
          <w:sz w:val="24"/>
          <w:szCs w:val="24"/>
        </w:rPr>
        <w:t xml:space="preserve">, por parte de la </w:t>
      </w:r>
      <w:r w:rsidR="00007141" w:rsidRPr="006B7327">
        <w:rPr>
          <w:rFonts w:ascii="Palatino Linotype" w:hAnsi="Palatino Linotype"/>
          <w:color w:val="000000" w:themeColor="text1"/>
          <w:sz w:val="24"/>
          <w:szCs w:val="24"/>
        </w:rPr>
        <w:t>solicitante</w:t>
      </w:r>
      <w:r w:rsidR="00C934CC" w:rsidRPr="006B7327">
        <w:rPr>
          <w:rFonts w:ascii="Palatino Linotype" w:hAnsi="Palatino Linotype"/>
          <w:color w:val="000000" w:themeColor="text1"/>
          <w:sz w:val="24"/>
          <w:szCs w:val="24"/>
        </w:rPr>
        <w:t xml:space="preserve">, se aprecia que lo que solicita </w:t>
      </w:r>
      <w:r w:rsidR="00007141" w:rsidRPr="006B7327">
        <w:rPr>
          <w:rFonts w:ascii="Palatino Linotype" w:hAnsi="Palatino Linotype"/>
          <w:color w:val="000000" w:themeColor="text1"/>
          <w:sz w:val="24"/>
          <w:szCs w:val="24"/>
        </w:rPr>
        <w:t xml:space="preserve">el documento </w:t>
      </w:r>
      <w:r w:rsidR="008C3785" w:rsidRPr="006B7327">
        <w:rPr>
          <w:rFonts w:ascii="Palatino Linotype" w:hAnsi="Palatino Linotype"/>
          <w:sz w:val="24"/>
          <w:szCs w:val="24"/>
        </w:rPr>
        <w:t xml:space="preserve"> mediante el cual acredite su personalidad </w:t>
      </w:r>
      <w:r w:rsidR="00007141" w:rsidRPr="006B7327">
        <w:rPr>
          <w:rFonts w:ascii="Palatino Linotype" w:hAnsi="Palatino Linotype"/>
          <w:sz w:val="24"/>
          <w:szCs w:val="24"/>
        </w:rPr>
        <w:t xml:space="preserve"> en representación de la persona señala, toda vez que tratándose de datos personales concernientes a personas fallecidas o de quienes hayan sido declaradas judicialmente su presunción de muerte, la persona que acredite tener legalmente la representación de conformidad con las leyes aplicables, podrá ejercer los derechos ARCO; siempre que el titular de los derechos hubiere expresado fehacientemente su voluntad, en tal sentido, que exista un mandato judicial para dicho efecto, o que el titular haya autorizado dentro de una cláusula del testamento a las personas que podrán ejercer sus derechos AR</w:t>
      </w:r>
      <w:r w:rsidR="00297630" w:rsidRPr="006B7327">
        <w:rPr>
          <w:rFonts w:ascii="Palatino Linotype" w:hAnsi="Palatino Linotype"/>
          <w:sz w:val="24"/>
          <w:szCs w:val="24"/>
        </w:rPr>
        <w:t xml:space="preserve">CO al momento del fallecimiento, </w:t>
      </w:r>
      <w:r w:rsidR="007420BB" w:rsidRPr="006B7327">
        <w:rPr>
          <w:rFonts w:ascii="Palatino Linotype" w:hAnsi="Palatino Linotype"/>
          <w:sz w:val="24"/>
          <w:szCs w:val="24"/>
        </w:rPr>
        <w:t>señalando</w:t>
      </w:r>
      <w:r w:rsidR="00297630" w:rsidRPr="006B7327">
        <w:rPr>
          <w:rFonts w:ascii="Palatino Linotype" w:hAnsi="Palatino Linotype"/>
          <w:sz w:val="24"/>
          <w:szCs w:val="24"/>
        </w:rPr>
        <w:t xml:space="preserve"> el </w:t>
      </w:r>
      <w:r w:rsidR="007420BB" w:rsidRPr="006B7327">
        <w:rPr>
          <w:rFonts w:ascii="Palatino Linotype" w:hAnsi="Palatino Linotype"/>
          <w:sz w:val="24"/>
          <w:szCs w:val="24"/>
        </w:rPr>
        <w:t>artículo</w:t>
      </w:r>
      <w:r w:rsidR="00297630" w:rsidRPr="006B7327">
        <w:rPr>
          <w:rFonts w:ascii="Palatino Linotype" w:hAnsi="Palatino Linotype"/>
          <w:sz w:val="24"/>
          <w:szCs w:val="24"/>
        </w:rPr>
        <w:t xml:space="preserve"> 106 de la citada Ley en la Materia. </w:t>
      </w:r>
    </w:p>
    <w:p w:rsidR="007420BB" w:rsidRPr="006B7327" w:rsidRDefault="007420BB" w:rsidP="007420BB">
      <w:pPr>
        <w:shd w:val="clear" w:color="auto" w:fill="FFFFFF"/>
        <w:spacing w:after="200" w:line="360" w:lineRule="auto"/>
        <w:ind w:left="426"/>
        <w:contextualSpacing/>
        <w:jc w:val="both"/>
        <w:rPr>
          <w:rFonts w:ascii="Palatino Linotype" w:hAnsi="Palatino Linotype"/>
          <w:sz w:val="24"/>
          <w:szCs w:val="24"/>
        </w:rPr>
      </w:pPr>
    </w:p>
    <w:p w:rsidR="00363AE4" w:rsidRPr="006B7327" w:rsidRDefault="00297630" w:rsidP="00363AE4">
      <w:pPr>
        <w:numPr>
          <w:ilvl w:val="0"/>
          <w:numId w:val="2"/>
        </w:numPr>
        <w:shd w:val="clear" w:color="auto" w:fill="FFFFFF"/>
        <w:spacing w:after="0" w:line="360" w:lineRule="auto"/>
        <w:ind w:left="426" w:hanging="426"/>
        <w:contextualSpacing/>
        <w:jc w:val="both"/>
        <w:rPr>
          <w:rFonts w:ascii="Palatino Linotype" w:hAnsi="Palatino Linotype"/>
          <w:sz w:val="24"/>
          <w:szCs w:val="24"/>
        </w:rPr>
      </w:pPr>
      <w:r w:rsidRPr="006B7327">
        <w:rPr>
          <w:rFonts w:ascii="Palatino Linotype" w:hAnsi="Palatino Linotype"/>
          <w:sz w:val="24"/>
          <w:szCs w:val="24"/>
        </w:rPr>
        <w:t xml:space="preserve">Por </w:t>
      </w:r>
      <w:r w:rsidR="007420BB" w:rsidRPr="006B7327">
        <w:rPr>
          <w:rFonts w:ascii="Palatino Linotype" w:hAnsi="Palatino Linotype"/>
          <w:sz w:val="24"/>
          <w:szCs w:val="24"/>
        </w:rPr>
        <w:t xml:space="preserve">otro lado, señaló que una vez que sean desahogados los requerimientos anteriormente mencionados, y de encontrarse la información solicitada en los archivos del Instituto de Seguridad Social del Estado de México y Municipios y cuando la Unidad de Transparencia notifique la disponibilidad de la información,  deberá de deberá presentarse con su identificación oficial vigente con fotografía, así como con los documentos antes señalados, ante el Módulo de Acceso del Sujeto Obligado, esto, con base en el </w:t>
      </w:r>
      <w:r w:rsidR="00007141" w:rsidRPr="006B7327">
        <w:rPr>
          <w:rFonts w:ascii="Palatino Linotype" w:hAnsi="Palatino Linotype"/>
          <w:sz w:val="24"/>
          <w:szCs w:val="24"/>
        </w:rPr>
        <w:t>artículo 107 de la Ley de Protección de Datos Personales en Posesión de Sujetos Obligados del Estado de México y Municipios</w:t>
      </w:r>
      <w:r w:rsidR="007420BB" w:rsidRPr="006B7327">
        <w:rPr>
          <w:rFonts w:ascii="Palatino Linotype" w:hAnsi="Palatino Linotype"/>
          <w:sz w:val="24"/>
          <w:szCs w:val="24"/>
        </w:rPr>
        <w:t>.</w:t>
      </w:r>
    </w:p>
    <w:p w:rsidR="00363AE4" w:rsidRPr="006B7327" w:rsidRDefault="00363AE4" w:rsidP="00363AE4">
      <w:pPr>
        <w:pStyle w:val="Prrafodelista"/>
        <w:spacing w:after="0" w:line="240" w:lineRule="auto"/>
        <w:rPr>
          <w:rFonts w:ascii="Palatino Linotype" w:hAnsi="Palatino Linotype"/>
          <w:sz w:val="24"/>
          <w:szCs w:val="24"/>
        </w:rPr>
      </w:pPr>
    </w:p>
    <w:p w:rsidR="007420BB" w:rsidRPr="006B7327" w:rsidRDefault="00363AE4" w:rsidP="00DE18E0">
      <w:pPr>
        <w:numPr>
          <w:ilvl w:val="0"/>
          <w:numId w:val="2"/>
        </w:numPr>
        <w:shd w:val="clear" w:color="auto" w:fill="FFFFFF"/>
        <w:spacing w:after="200" w:line="360" w:lineRule="auto"/>
        <w:ind w:left="426" w:hanging="426"/>
        <w:contextualSpacing/>
        <w:jc w:val="both"/>
        <w:rPr>
          <w:rFonts w:ascii="Palatino Linotype" w:hAnsi="Palatino Linotype"/>
          <w:sz w:val="24"/>
          <w:szCs w:val="24"/>
        </w:rPr>
      </w:pPr>
      <w:r w:rsidRPr="006B7327">
        <w:rPr>
          <w:rFonts w:ascii="Palatino Linotype" w:hAnsi="Palatino Linotype"/>
          <w:sz w:val="24"/>
          <w:szCs w:val="24"/>
        </w:rPr>
        <w:t>Derivado de lo anterior</w:t>
      </w:r>
      <w:r w:rsidR="00A05E5B" w:rsidRPr="006B7327">
        <w:rPr>
          <w:rFonts w:ascii="Palatino Linotype" w:hAnsi="Palatino Linotype"/>
          <w:sz w:val="24"/>
          <w:szCs w:val="24"/>
        </w:rPr>
        <w:t xml:space="preserve">, se aprecia que el Sujeto Obligado no niega ni acepta contar con la información solicitada, por lo cual, el estudio versaría en primer término, el supuesto de acreditación de la solicitante y en segundo término, si el Sujeto Obligado cuenta con las atribuciones para </w:t>
      </w:r>
      <w:r w:rsidR="00F33EE7" w:rsidRPr="006B7327">
        <w:rPr>
          <w:rFonts w:ascii="Palatino Linotype" w:hAnsi="Palatino Linotype"/>
          <w:sz w:val="24"/>
          <w:szCs w:val="24"/>
        </w:rPr>
        <w:t xml:space="preserve">administrar y generar  </w:t>
      </w:r>
      <w:r w:rsidR="00A05E5B" w:rsidRPr="006B7327">
        <w:rPr>
          <w:rFonts w:ascii="Palatino Linotype" w:hAnsi="Palatino Linotype"/>
          <w:sz w:val="24"/>
          <w:szCs w:val="24"/>
        </w:rPr>
        <w:t xml:space="preserve">la información solicitada.  </w:t>
      </w:r>
    </w:p>
    <w:p w:rsidR="00B45757" w:rsidRPr="006B7327" w:rsidRDefault="00B45757" w:rsidP="00B45757">
      <w:pPr>
        <w:shd w:val="clear" w:color="auto" w:fill="FFFFFF"/>
        <w:spacing w:after="200" w:line="360" w:lineRule="auto"/>
        <w:ind w:left="426"/>
        <w:contextualSpacing/>
        <w:jc w:val="both"/>
        <w:rPr>
          <w:rFonts w:ascii="Palatino Linotype" w:hAnsi="Palatino Linotype"/>
          <w:sz w:val="24"/>
          <w:szCs w:val="24"/>
        </w:rPr>
      </w:pPr>
    </w:p>
    <w:p w:rsidR="00926197" w:rsidRPr="006B7327" w:rsidRDefault="00DB623C" w:rsidP="00A01149">
      <w:pPr>
        <w:numPr>
          <w:ilvl w:val="0"/>
          <w:numId w:val="2"/>
        </w:numPr>
        <w:shd w:val="clear" w:color="auto" w:fill="FFFFFF"/>
        <w:spacing w:after="200" w:line="360" w:lineRule="auto"/>
        <w:ind w:left="426" w:hanging="426"/>
        <w:contextualSpacing/>
        <w:jc w:val="both"/>
        <w:rPr>
          <w:rFonts w:ascii="Palatino Linotype" w:hAnsi="Palatino Linotype"/>
          <w:sz w:val="24"/>
          <w:szCs w:val="24"/>
        </w:rPr>
      </w:pPr>
      <w:r w:rsidRPr="006B7327">
        <w:rPr>
          <w:rFonts w:ascii="Palatino Linotype" w:hAnsi="Palatino Linotype"/>
          <w:sz w:val="24"/>
          <w:szCs w:val="24"/>
        </w:rPr>
        <w:t xml:space="preserve">Finalmente, en alcance remite a esta Ponencia </w:t>
      </w:r>
      <w:proofErr w:type="spellStart"/>
      <w:r w:rsidRPr="006B7327">
        <w:rPr>
          <w:rFonts w:ascii="Palatino Linotype" w:hAnsi="Palatino Linotype"/>
          <w:sz w:val="24"/>
          <w:szCs w:val="24"/>
        </w:rPr>
        <w:t>resolutora</w:t>
      </w:r>
      <w:proofErr w:type="spellEnd"/>
      <w:r w:rsidRPr="006B7327">
        <w:rPr>
          <w:rFonts w:ascii="Palatino Linotype" w:hAnsi="Palatino Linotype"/>
          <w:sz w:val="24"/>
          <w:szCs w:val="24"/>
        </w:rPr>
        <w:t xml:space="preserve"> </w:t>
      </w:r>
      <w:r w:rsidR="00A01149" w:rsidRPr="006B7327">
        <w:rPr>
          <w:rFonts w:ascii="Palatino Linotype" w:hAnsi="Palatino Linotype"/>
          <w:sz w:val="24"/>
          <w:szCs w:val="24"/>
        </w:rPr>
        <w:t xml:space="preserve">un oficio girado al Jefe de la Unidad Jurídica y Consultiva donde señal que derivado del recurso de revisión presentado remite copia certificada de dos expedientes clínicos integrados en el Hospital Regional Atlacomulco y Centro Médico Toluca, del C. </w:t>
      </w:r>
      <w:r w:rsidR="00A42382" w:rsidRPr="00A42382">
        <w:rPr>
          <w:rFonts w:ascii="Palatino Linotype" w:hAnsi="Palatino Linotype"/>
          <w:sz w:val="24"/>
          <w:szCs w:val="24"/>
          <w:highlight w:val="black"/>
        </w:rPr>
        <w:t>------------------------------</w:t>
      </w:r>
      <w:r w:rsidR="00A01149" w:rsidRPr="006B7327">
        <w:rPr>
          <w:rFonts w:ascii="Palatino Linotype" w:hAnsi="Palatino Linotype"/>
          <w:sz w:val="24"/>
          <w:szCs w:val="24"/>
        </w:rPr>
        <w:t xml:space="preserve">, clave ISSSEMYM </w:t>
      </w:r>
      <w:r w:rsidR="00A42382" w:rsidRPr="00A42382">
        <w:rPr>
          <w:rFonts w:ascii="Palatino Linotype" w:hAnsi="Palatino Linotype"/>
          <w:sz w:val="24"/>
          <w:szCs w:val="24"/>
          <w:highlight w:val="black"/>
        </w:rPr>
        <w:t>------------------</w:t>
      </w:r>
      <w:r w:rsidR="00A01149" w:rsidRPr="006B7327">
        <w:rPr>
          <w:rFonts w:ascii="Palatino Linotype" w:hAnsi="Palatino Linotype"/>
          <w:sz w:val="24"/>
          <w:szCs w:val="24"/>
        </w:rPr>
        <w:t>, a fin de que se continúe con el trámite de pensión solicitado por la C.</w:t>
      </w:r>
      <w:r w:rsidR="00F46469" w:rsidRPr="006B7327">
        <w:rPr>
          <w:rFonts w:ascii="Palatino Linotype" w:hAnsi="Palatino Linotype"/>
          <w:sz w:val="24"/>
          <w:szCs w:val="24"/>
        </w:rPr>
        <w:t xml:space="preserve"> </w:t>
      </w:r>
      <w:r w:rsidR="00A42382" w:rsidRPr="00A42382">
        <w:rPr>
          <w:rFonts w:ascii="Palatino Linotype" w:hAnsi="Palatino Linotype"/>
          <w:sz w:val="24"/>
          <w:szCs w:val="24"/>
          <w:highlight w:val="black"/>
        </w:rPr>
        <w:t>---------------------------</w:t>
      </w:r>
      <w:r w:rsidR="00A01149" w:rsidRPr="006B7327">
        <w:rPr>
          <w:rFonts w:ascii="Palatino Linotype" w:hAnsi="Palatino Linotype"/>
          <w:sz w:val="24"/>
          <w:szCs w:val="24"/>
        </w:rPr>
        <w:t>.</w:t>
      </w:r>
    </w:p>
    <w:p w:rsidR="00926197" w:rsidRPr="006B7327" w:rsidRDefault="00926197" w:rsidP="00926197">
      <w:pPr>
        <w:shd w:val="clear" w:color="auto" w:fill="FFFFFF"/>
        <w:spacing w:after="200" w:line="360" w:lineRule="auto"/>
        <w:ind w:left="426"/>
        <w:contextualSpacing/>
        <w:jc w:val="both"/>
        <w:rPr>
          <w:rFonts w:ascii="Palatino Linotype" w:hAnsi="Palatino Linotype"/>
          <w:sz w:val="24"/>
          <w:szCs w:val="24"/>
        </w:rPr>
      </w:pPr>
    </w:p>
    <w:p w:rsidR="00B67CD5" w:rsidRPr="006B7327" w:rsidRDefault="00B67CD5" w:rsidP="00A05E5B">
      <w:pPr>
        <w:keepNext/>
        <w:keepLines/>
        <w:spacing w:before="40" w:after="0"/>
        <w:outlineLvl w:val="1"/>
        <w:rPr>
          <w:rFonts w:ascii="Palatino Linotype" w:eastAsia="MS Mincho" w:hAnsi="Palatino Linotype" w:cstheme="majorBidi"/>
          <w:b/>
          <w:sz w:val="24"/>
          <w:szCs w:val="24"/>
          <w:lang w:val="es-ES_tradnl" w:eastAsia="es-ES"/>
        </w:rPr>
      </w:pPr>
      <w:r w:rsidRPr="006B7327">
        <w:rPr>
          <w:rFonts w:ascii="Palatino Linotype" w:hAnsi="Palatino Linotype"/>
          <w:color w:val="000000" w:themeColor="text1"/>
          <w:sz w:val="24"/>
          <w:szCs w:val="24"/>
        </w:rPr>
        <w:lastRenderedPageBreak/>
        <w:t xml:space="preserve"> </w:t>
      </w:r>
      <w:bookmarkStart w:id="13" w:name="_Toc494219915"/>
      <w:bookmarkStart w:id="14" w:name="_Toc506483764"/>
      <w:bookmarkStart w:id="15" w:name="_Toc518652219"/>
      <w:r w:rsidRPr="006B7327">
        <w:rPr>
          <w:rFonts w:ascii="Palatino Linotype" w:eastAsia="MS Gothic" w:hAnsi="Palatino Linotype" w:cs="Times New Roman"/>
          <w:b/>
          <w:sz w:val="24"/>
          <w:szCs w:val="26"/>
        </w:rPr>
        <w:t>CUARTO</w:t>
      </w:r>
      <w:r w:rsidRPr="006B7327">
        <w:rPr>
          <w:rFonts w:ascii="Palatino Linotype" w:eastAsia="MS Mincho" w:hAnsi="Palatino Linotype" w:cstheme="majorBidi"/>
          <w:b/>
          <w:sz w:val="24"/>
          <w:szCs w:val="24"/>
          <w:lang w:val="es-ES_tradnl" w:eastAsia="es-ES"/>
        </w:rPr>
        <w:t>. Del estudio y resolución del recurso de revisión.</w:t>
      </w:r>
      <w:bookmarkEnd w:id="13"/>
      <w:bookmarkEnd w:id="14"/>
      <w:bookmarkEnd w:id="15"/>
    </w:p>
    <w:p w:rsidR="00B67CD5" w:rsidRPr="006B7327" w:rsidRDefault="00B67CD5" w:rsidP="00B67CD5">
      <w:pPr>
        <w:rPr>
          <w:lang w:val="es-ES_tradnl" w:eastAsia="es-ES"/>
        </w:rPr>
      </w:pPr>
    </w:p>
    <w:p w:rsidR="00262BB2" w:rsidRPr="006B7327" w:rsidRDefault="00B67CD5" w:rsidP="0032420B">
      <w:pPr>
        <w:pStyle w:val="Prrafodelista"/>
        <w:numPr>
          <w:ilvl w:val="0"/>
          <w:numId w:val="2"/>
        </w:numPr>
        <w:spacing w:after="0" w:line="360" w:lineRule="auto"/>
        <w:ind w:left="426" w:right="142"/>
        <w:jc w:val="both"/>
        <w:rPr>
          <w:rFonts w:ascii="Palatino Linotype" w:eastAsia="Calibri" w:hAnsi="Palatino Linotype" w:cs="Arial"/>
          <w:sz w:val="24"/>
          <w:szCs w:val="24"/>
          <w:lang w:val="es-ES_tradnl" w:eastAsia="es-ES"/>
        </w:rPr>
      </w:pPr>
      <w:r w:rsidRPr="006B7327">
        <w:rPr>
          <w:rFonts w:ascii="Palatino Linotype" w:hAnsi="Palatino Linotype" w:cs="Arial"/>
          <w:sz w:val="24"/>
          <w:szCs w:val="24"/>
        </w:rPr>
        <w:t xml:space="preserve">Expuesto lo anterior, se procede al análisis de la totalidad de las constancias que integran los expedientes electrónicos del </w:t>
      </w:r>
      <w:r w:rsidR="00F33EE7" w:rsidRPr="006B7327">
        <w:rPr>
          <w:rFonts w:ascii="Palatino Linotype" w:hAnsi="Palatino Linotype" w:cs="Arial"/>
          <w:sz w:val="24"/>
          <w:szCs w:val="24"/>
        </w:rPr>
        <w:t>SARCOEM</w:t>
      </w:r>
      <w:r w:rsidRPr="006B7327">
        <w:rPr>
          <w:rFonts w:ascii="Palatino Linotype" w:hAnsi="Palatino Linotype" w:cs="Arial"/>
          <w:sz w:val="24"/>
          <w:szCs w:val="24"/>
        </w:rPr>
        <w:t xml:space="preserve">, a efecto de determinar </w:t>
      </w:r>
      <w:r w:rsidR="005D011C" w:rsidRPr="006B7327">
        <w:rPr>
          <w:rFonts w:ascii="Palatino Linotype" w:hAnsi="Palatino Linotype" w:cs="Arial"/>
          <w:sz w:val="24"/>
          <w:szCs w:val="24"/>
        </w:rPr>
        <w:t xml:space="preserve">si con la información remitida se cumple o no con el derecho de acceso a los datos personales. </w:t>
      </w:r>
    </w:p>
    <w:p w:rsidR="005D011C" w:rsidRPr="006B7327" w:rsidRDefault="005D011C" w:rsidP="00F901BD">
      <w:pPr>
        <w:pStyle w:val="Prrafodelista"/>
        <w:spacing w:after="0" w:line="360" w:lineRule="auto"/>
        <w:ind w:left="426" w:right="142"/>
        <w:jc w:val="both"/>
        <w:rPr>
          <w:rFonts w:ascii="Palatino Linotype" w:eastAsia="Calibri" w:hAnsi="Palatino Linotype" w:cs="Arial"/>
          <w:sz w:val="24"/>
          <w:szCs w:val="24"/>
          <w:lang w:val="es-ES_tradnl" w:eastAsia="es-ES"/>
        </w:rPr>
      </w:pPr>
    </w:p>
    <w:p w:rsidR="00262BB2" w:rsidRPr="006B7327" w:rsidRDefault="00262BB2" w:rsidP="00262BB2">
      <w:pPr>
        <w:numPr>
          <w:ilvl w:val="0"/>
          <w:numId w:val="2"/>
        </w:numPr>
        <w:spacing w:after="0" w:line="360" w:lineRule="auto"/>
        <w:contextualSpacing/>
        <w:jc w:val="both"/>
        <w:rPr>
          <w:rFonts w:ascii="Palatino Linotype" w:hAnsi="Palatino Linotype" w:cs="Arial"/>
          <w:sz w:val="24"/>
          <w:szCs w:val="24"/>
          <w:lang w:val="es-ES_tradnl"/>
        </w:rPr>
      </w:pPr>
      <w:r w:rsidRPr="006B7327">
        <w:rPr>
          <w:rFonts w:ascii="Palatino Linotype" w:eastAsia="Calibri" w:hAnsi="Palatino Linotype" w:cs="Arial"/>
          <w:sz w:val="24"/>
          <w:szCs w:val="24"/>
        </w:rPr>
        <w:t>En relación a lo anterior, conviene precisar que es dable aplicar la suplencia de la queja a favor de</w:t>
      </w:r>
      <w:r w:rsidR="00F901BD" w:rsidRPr="006B7327">
        <w:rPr>
          <w:rFonts w:ascii="Palatino Linotype" w:eastAsia="Calibri" w:hAnsi="Palatino Linotype" w:cs="Arial"/>
          <w:sz w:val="24"/>
          <w:szCs w:val="24"/>
        </w:rPr>
        <w:t xml:space="preserve"> </w:t>
      </w:r>
      <w:r w:rsidRPr="006B7327">
        <w:rPr>
          <w:rFonts w:ascii="Palatino Linotype" w:eastAsia="Calibri" w:hAnsi="Palatino Linotype" w:cs="Arial"/>
          <w:sz w:val="24"/>
          <w:szCs w:val="24"/>
        </w:rPr>
        <w:t>l</w:t>
      </w:r>
      <w:r w:rsidR="00F901BD" w:rsidRPr="006B7327">
        <w:rPr>
          <w:rFonts w:ascii="Palatino Linotype" w:eastAsia="Calibri" w:hAnsi="Palatino Linotype" w:cs="Arial"/>
          <w:sz w:val="24"/>
          <w:szCs w:val="24"/>
        </w:rPr>
        <w:t>a</w:t>
      </w:r>
      <w:r w:rsidRPr="006B7327">
        <w:rPr>
          <w:rFonts w:ascii="Palatino Linotype" w:eastAsia="Calibri" w:hAnsi="Palatino Linotype" w:cs="Arial"/>
          <w:sz w:val="24"/>
          <w:szCs w:val="24"/>
        </w:rPr>
        <w:t xml:space="preserve"> particular, toda vez que se aprecia que se puede tratar de una violación del derecho de la ahora recurrente, por lo cual, con base en lo citado por el </w:t>
      </w:r>
      <w:r w:rsidRPr="006B7327">
        <w:rPr>
          <w:rFonts w:ascii="Palatino Linotype" w:hAnsi="Palatino Linotype" w:cs="Arial"/>
          <w:sz w:val="24"/>
          <w:szCs w:val="24"/>
        </w:rPr>
        <w:t>Poder Judicial de la Federación a través de las Tesis y Jurisprudencias con números de registro 2013866, 2009084 y 2011430  de la</w:t>
      </w:r>
      <w:r w:rsidRPr="006B7327">
        <w:rPr>
          <w:rFonts w:ascii="Palatino Linotype" w:hAnsi="Palatino Linotype" w:cs="Arial"/>
          <w:sz w:val="24"/>
          <w:szCs w:val="24"/>
          <w:lang w:eastAsia="es-MX"/>
        </w:rPr>
        <w:t xml:space="preserve"> Décima Épocas, sustentadas por la Primera Sala de la Suprema Corte de Justicia de la Nación</w:t>
      </w:r>
      <w:r w:rsidRPr="006B7327">
        <w:rPr>
          <w:rStyle w:val="Refdenotaalpie"/>
          <w:rFonts w:ascii="Palatino Linotype" w:hAnsi="Palatino Linotype" w:cs="Arial"/>
          <w:sz w:val="24"/>
          <w:szCs w:val="24"/>
          <w:lang w:eastAsia="es-MX"/>
        </w:rPr>
        <w:footnoteReference w:id="2"/>
      </w:r>
      <w:r w:rsidRPr="006B7327">
        <w:rPr>
          <w:rFonts w:ascii="Palatino Linotype" w:hAnsi="Palatino Linotype" w:cs="Arial"/>
          <w:sz w:val="24"/>
          <w:szCs w:val="24"/>
          <w:lang w:eastAsia="es-MX"/>
        </w:rPr>
        <w:t>, se han pronunciado en cuanto a juzgar con perspectiva de género  en los términos siguientes:</w:t>
      </w:r>
    </w:p>
    <w:p w:rsidR="00262BB2" w:rsidRPr="006B7327" w:rsidRDefault="00262BB2" w:rsidP="00262BB2">
      <w:pPr>
        <w:spacing w:before="240" w:after="240"/>
        <w:ind w:left="567" w:right="51"/>
        <w:jc w:val="both"/>
        <w:rPr>
          <w:rFonts w:ascii="Palatino Linotype" w:hAnsi="Palatino Linotype" w:cs="Bookman Old Style"/>
          <w:b/>
          <w:i/>
          <w:sz w:val="24"/>
          <w:szCs w:val="24"/>
        </w:rPr>
      </w:pPr>
      <w:r w:rsidRPr="006B7327">
        <w:rPr>
          <w:rFonts w:ascii="Palatino Linotype" w:hAnsi="Palatino Linotype" w:cs="Bookman Old Style"/>
          <w:b/>
          <w:i/>
          <w:sz w:val="24"/>
          <w:szCs w:val="24"/>
        </w:rPr>
        <w:lastRenderedPageBreak/>
        <w:t>JUZGAR CON PERSPECTIVA DE GÉNERO. CONCEPTO, APLICABILIDAD Y METODOLOGÍA PARA CUMPLIR DICHA OBLIGACIÓN.</w:t>
      </w:r>
    </w:p>
    <w:p w:rsidR="00262BB2" w:rsidRPr="006B7327" w:rsidRDefault="00262BB2" w:rsidP="00262BB2">
      <w:pPr>
        <w:spacing w:before="240" w:after="240"/>
        <w:ind w:left="567" w:right="51"/>
        <w:jc w:val="both"/>
        <w:rPr>
          <w:rFonts w:ascii="Palatino Linotype" w:hAnsi="Palatino Linotype" w:cs="Bookman Old Style"/>
          <w:i/>
          <w:sz w:val="24"/>
          <w:szCs w:val="24"/>
        </w:rPr>
      </w:pPr>
      <w:r w:rsidRPr="006B7327">
        <w:rPr>
          <w:rFonts w:ascii="Palatino Linotype" w:hAnsi="Palatino Linotype" w:cs="Bookman Old Style"/>
          <w:i/>
          <w:sz w:val="24"/>
          <w:szCs w:val="24"/>
        </w:rPr>
        <w:t xml:space="preserve">De acuerdo con la doctrina de la Primera Sala de la Suprema Corte de Justicia de la Nación sobre el tema, la </w:t>
      </w:r>
      <w:r w:rsidRPr="006B7327">
        <w:rPr>
          <w:rFonts w:ascii="Palatino Linotype" w:hAnsi="Palatino Linotype" w:cs="Bookman Old Style"/>
          <w:i/>
          <w:sz w:val="24"/>
          <w:szCs w:val="24"/>
          <w:u w:val="single"/>
        </w:rPr>
        <w:t>perspectiva de género constituye una categoría analítica -concepto</w:t>
      </w:r>
      <w:r w:rsidRPr="006B7327">
        <w:rPr>
          <w:rFonts w:ascii="Palatino Linotype" w:hAnsi="Palatino Linotype" w:cs="Bookman Old Style"/>
          <w:i/>
          <w:sz w:val="24"/>
          <w:szCs w:val="24"/>
        </w:rPr>
        <w:t xml:space="preserve">- que acoge las metodologías y mecanismos destinados al estudio de las construcciones culturales y sociales entendidas como propias para hombres y mujeres, es decir, lo que histórica, social y culturalmente se ha entendido como "lo femenino" y "lo masculino". En estos términos, </w:t>
      </w:r>
      <w:r w:rsidRPr="006B7327">
        <w:rPr>
          <w:rFonts w:ascii="Palatino Linotype" w:hAnsi="Palatino Linotype" w:cs="Bookman Old Style"/>
          <w:i/>
          <w:sz w:val="24"/>
          <w:szCs w:val="24"/>
          <w:u w:val="single"/>
        </w:rPr>
        <w:t>la obligación de las y los operadores de justicia de juzgar con perspectiva de género puede resumirse en su deber de impartir justicia sobre la base del reconocimiento de la particular situación de desventaja en la cual históricamente se han encontrado las mujeres</w:t>
      </w:r>
      <w:r w:rsidRPr="006B7327">
        <w:rPr>
          <w:rFonts w:ascii="Palatino Linotype" w:hAnsi="Palatino Linotype" w:cs="Bookman Old Style"/>
          <w:i/>
          <w:sz w:val="24"/>
          <w:szCs w:val="24"/>
        </w:rPr>
        <w:t xml:space="preserve"> -pero que no necesariamente está presente en cada caso-, como consecuencia de la construcción que socioculturalmente se ha desarrollado en torno a la posición y al rol que debieran asumir, como un corolario inevitable de su sexo. La importancia de este reconocimiento estriba en que </w:t>
      </w:r>
      <w:r w:rsidRPr="006B7327">
        <w:rPr>
          <w:rFonts w:ascii="Palatino Linotype" w:hAnsi="Palatino Linotype" w:cs="Bookman Old Style"/>
          <w:i/>
          <w:sz w:val="24"/>
          <w:szCs w:val="24"/>
          <w:u w:val="single"/>
        </w:rPr>
        <w:t>de él surgirá la posibilidad de que quienes tengan encomendada la función de impartir justicia, puedan identificar las discriminaciones que de derecho o de hecho pueden sufrir hombres y mujeres, ya sea directa o indirectamente, con motivo de la aplicación del marco normativo e institucional mexicano</w:t>
      </w:r>
      <w:r w:rsidRPr="006B7327">
        <w:rPr>
          <w:rFonts w:ascii="Palatino Linotype" w:hAnsi="Palatino Linotype" w:cs="Bookman Old Style"/>
          <w:i/>
          <w:sz w:val="24"/>
          <w:szCs w:val="24"/>
        </w:rPr>
        <w:t xml:space="preserve">. </w:t>
      </w:r>
      <w:r w:rsidRPr="006B7327">
        <w:rPr>
          <w:rFonts w:ascii="Palatino Linotype" w:hAnsi="Palatino Linotype" w:cs="Bookman Old Style"/>
          <w:i/>
          <w:sz w:val="24"/>
          <w:szCs w:val="24"/>
          <w:u w:val="single"/>
        </w:rPr>
        <w:t>Dicho de otra manera, la obligación de juzgar con perspectiva de género exige a quienes imparten justicia que actúen remediando los potenciales efectos discriminatorios que el ordenamiento jurídico y las prácticas institucionales pueden tener en detrimento de las personas, principalmente de las mujeres.</w:t>
      </w:r>
      <w:r w:rsidRPr="006B7327">
        <w:rPr>
          <w:rFonts w:ascii="Palatino Linotype" w:hAnsi="Palatino Linotype" w:cs="Bookman Old Style"/>
          <w:i/>
          <w:sz w:val="24"/>
          <w:szCs w:val="24"/>
        </w:rPr>
        <w:t xml:space="preserve"> En estos términos, el contenido de la obligación en comento pueden resumirse de la siguiente forma: 1) Aplicabilidad: es intrínseca a la labor jurisdiccional, de modo que no debe mediar petición de parte, la cual comprende obligaciones específicas en casos graves de violencia contra las mujeres, y se refuerza aún más en el marco de contextos de violencia contra éstas; y, 2) Metodología: exige cumplir los seis pasos mencionados en la tesis de jurisprudencia 1a./J. 22/2016 (10a.), de rubro: "</w:t>
      </w:r>
      <w:hyperlink r:id="rId13" w:tgtFrame="_popup" w:history="1">
        <w:r w:rsidRPr="006B7327">
          <w:rPr>
            <w:rFonts w:ascii="Palatino Linotype" w:hAnsi="Palatino Linotype" w:cs="Bookman Old Style"/>
            <w:i/>
            <w:sz w:val="24"/>
            <w:szCs w:val="24"/>
          </w:rPr>
          <w:t>ACCESO A LA JUSTICIA EN CONDICIONES DE IGUALDAD. ELEMENTOS PARA JUZGAR CON PERSPECTIVA DE GÉNERO</w:t>
        </w:r>
      </w:hyperlink>
      <w:r w:rsidRPr="006B7327">
        <w:rPr>
          <w:rFonts w:ascii="Palatino Linotype" w:hAnsi="Palatino Linotype" w:cs="Bookman Old Style"/>
          <w:i/>
          <w:sz w:val="24"/>
          <w:szCs w:val="24"/>
        </w:rPr>
        <w:t xml:space="preserve">.", que pueden resumirse en la necesidad de detectar posibles -mas no necesariamente presentes- situaciones de desequilibrio de poder entre las partes como consecuencia de su género, </w:t>
      </w:r>
      <w:r w:rsidRPr="006B7327">
        <w:rPr>
          <w:rFonts w:ascii="Palatino Linotype" w:hAnsi="Palatino Linotype" w:cs="Bookman Old Style"/>
          <w:i/>
          <w:sz w:val="24"/>
          <w:szCs w:val="24"/>
        </w:rPr>
        <w:lastRenderedPageBreak/>
        <w:t>seguida de un deber de cuestionar la neutralidad de las pruebas y el marco normativo aplicable, así como de recopilar las pruebas necesarias para visualizar el contexto de violencia o discriminación, y finalmente resolver los casos prescindiendo de cualesquiera cargas estereotipadas que resulten en detrimento de mujeres u hombres.</w:t>
      </w:r>
    </w:p>
    <w:p w:rsidR="00262BB2" w:rsidRPr="006B7327" w:rsidRDefault="00262BB2" w:rsidP="00262BB2">
      <w:pPr>
        <w:spacing w:before="240" w:after="240"/>
        <w:ind w:left="567" w:right="51"/>
        <w:jc w:val="both"/>
        <w:rPr>
          <w:rFonts w:ascii="Palatino Linotype" w:hAnsi="Palatino Linotype" w:cs="Bookman Old Style"/>
          <w:b/>
          <w:i/>
          <w:sz w:val="24"/>
          <w:szCs w:val="24"/>
        </w:rPr>
      </w:pPr>
      <w:r w:rsidRPr="006B7327">
        <w:rPr>
          <w:rFonts w:ascii="Palatino Linotype" w:hAnsi="Palatino Linotype" w:cs="Bookman Old Style"/>
          <w:b/>
          <w:i/>
          <w:sz w:val="24"/>
          <w:szCs w:val="24"/>
        </w:rPr>
        <w:t>DERECHO DE LA MUJER A UNA VIDA LIBRE DE DISCRIMINACIÓN Y VIOLENCIA. LAS AUTORIDADES SE ENCUENTRAN OBLIGADAS A ADOPTAR MEDIDAS INTEGRALES CON PERSPECTIVA DE GÉNERO PARA CUMPLIR CON LA DEBIDA DILIGENCIA EN SU ACTUACIÓN.</w:t>
      </w:r>
    </w:p>
    <w:p w:rsidR="00262BB2" w:rsidRPr="006B7327" w:rsidRDefault="00262BB2" w:rsidP="00262BB2">
      <w:pPr>
        <w:spacing w:before="240" w:after="240"/>
        <w:ind w:left="567" w:right="51"/>
        <w:jc w:val="both"/>
        <w:rPr>
          <w:rFonts w:ascii="Palatino Linotype" w:hAnsi="Palatino Linotype" w:cs="Bookman Old Style"/>
          <w:i/>
          <w:sz w:val="24"/>
          <w:szCs w:val="24"/>
        </w:rPr>
      </w:pPr>
      <w:r w:rsidRPr="006B7327">
        <w:rPr>
          <w:rFonts w:ascii="Palatino Linotype" w:hAnsi="Palatino Linotype" w:cs="Bookman Old Style"/>
          <w:i/>
          <w:sz w:val="24"/>
          <w:szCs w:val="24"/>
        </w:rPr>
        <w:t xml:space="preserve">El derecho de la mujer a una vida libre de discriminación y de violencia se traduce en </w:t>
      </w:r>
      <w:r w:rsidRPr="006B7327">
        <w:rPr>
          <w:rFonts w:ascii="Palatino Linotype" w:hAnsi="Palatino Linotype" w:cs="Bookman Old Style"/>
          <w:i/>
          <w:sz w:val="24"/>
          <w:szCs w:val="24"/>
          <w:u w:val="single"/>
        </w:rPr>
        <w:t>la obligación de toda autoridad de actuar con perspectiva de género, lo cual pretende combatir argumentos estereotipados e indiferentes para el pleno y efectivo ejercicio del derecho a la igualdad</w:t>
      </w:r>
      <w:r w:rsidRPr="006B7327">
        <w:rPr>
          <w:rFonts w:ascii="Palatino Linotype" w:hAnsi="Palatino Linotype" w:cs="Bookman Old Style"/>
          <w:i/>
          <w:sz w:val="24"/>
          <w:szCs w:val="24"/>
        </w:rPr>
        <w:t xml:space="preserve">. De conformidad con el artículo 1o. constitucional y el parámetro de regularidad constitucional, la obligación de todas las autoridades de actuar con la debida diligencia adquiere una connotación especial en casos de violencia contra las mujeres. En dichos casos, el deber de investigar efectivamente tiene alcances adicionales. En los casos de violencia contra las mujeres, las autoridades estatales deben adoptar medidas integrales con perspectiva de género para cumplir con la debida diligencia. Estas medidas incluyen un adecuado marco jurídico de protección, una aplicación efectiva del mismo, así como políticas de prevención y prácticas para actuar eficazmente ante las denuncias. Incumplir con esa obligación desde los órganos investigadores y los impartidores de justicia puede condicionar el acceso a la justicia de las mujeres por </w:t>
      </w:r>
      <w:proofErr w:type="spellStart"/>
      <w:r w:rsidRPr="006B7327">
        <w:rPr>
          <w:rFonts w:ascii="Palatino Linotype" w:hAnsi="Palatino Linotype" w:cs="Bookman Old Style"/>
          <w:i/>
          <w:sz w:val="24"/>
          <w:szCs w:val="24"/>
        </w:rPr>
        <w:t>invisibilizar</w:t>
      </w:r>
      <w:proofErr w:type="spellEnd"/>
      <w:r w:rsidRPr="006B7327">
        <w:rPr>
          <w:rFonts w:ascii="Palatino Linotype" w:hAnsi="Palatino Linotype" w:cs="Bookman Old Style"/>
          <w:i/>
          <w:sz w:val="24"/>
          <w:szCs w:val="24"/>
        </w:rPr>
        <w:t xml:space="preserve"> su situación particular.</w:t>
      </w:r>
    </w:p>
    <w:p w:rsidR="00262BB2" w:rsidRPr="006B7327" w:rsidRDefault="00262BB2" w:rsidP="00262BB2">
      <w:pPr>
        <w:spacing w:before="240" w:after="240"/>
        <w:ind w:left="567" w:right="51"/>
        <w:jc w:val="both"/>
        <w:rPr>
          <w:rFonts w:ascii="Palatino Linotype" w:hAnsi="Palatino Linotype" w:cs="Bookman Old Style"/>
          <w:b/>
          <w:i/>
          <w:sz w:val="24"/>
          <w:szCs w:val="24"/>
        </w:rPr>
      </w:pPr>
      <w:r w:rsidRPr="006B7327">
        <w:rPr>
          <w:rFonts w:ascii="Palatino Linotype" w:hAnsi="Palatino Linotype" w:cs="Bookman Old Style"/>
          <w:b/>
          <w:i/>
          <w:sz w:val="24"/>
          <w:szCs w:val="24"/>
        </w:rPr>
        <w:t>ACCESO A LA JUSTICIA EN CONDICIONES DE IGUALDAD. ELEMENTOS PARA JUZGAR CON PERSPECTIVA DE GÉNERO.</w:t>
      </w:r>
    </w:p>
    <w:p w:rsidR="00262BB2" w:rsidRPr="006B7327" w:rsidRDefault="00262BB2" w:rsidP="00262BB2">
      <w:pPr>
        <w:spacing w:before="240" w:after="240"/>
        <w:ind w:left="567" w:right="51"/>
        <w:jc w:val="both"/>
        <w:rPr>
          <w:rFonts w:ascii="Palatino Linotype" w:hAnsi="Palatino Linotype" w:cs="Bookman Old Style"/>
          <w:i/>
          <w:sz w:val="24"/>
          <w:szCs w:val="24"/>
        </w:rPr>
      </w:pPr>
      <w:r w:rsidRPr="006B7327">
        <w:rPr>
          <w:rFonts w:ascii="Palatino Linotype" w:hAnsi="Palatino Linotype" w:cs="Bookman Old Style"/>
          <w:i/>
          <w:sz w:val="24"/>
          <w:szCs w:val="24"/>
        </w:rPr>
        <w:t xml:space="preserve">Del </w:t>
      </w:r>
      <w:r w:rsidRPr="006B7327">
        <w:rPr>
          <w:rFonts w:ascii="Palatino Linotype" w:hAnsi="Palatino Linotype" w:cs="Bookman Old Style"/>
          <w:i/>
          <w:sz w:val="24"/>
          <w:szCs w:val="24"/>
          <w:u w:val="single"/>
        </w:rPr>
        <w:t>reconocimiento de los derechos humanos a la igualdad y a la no discriminación por razones de género, deriva que todo órgano jurisdiccional debe impartir justicia con base en una perspectiva de género, para lo cual, debe implementarse un método en toda controversia judicial, aun cuando las partes no lo soliciten</w:t>
      </w:r>
      <w:r w:rsidRPr="006B7327">
        <w:rPr>
          <w:rFonts w:ascii="Palatino Linotype" w:hAnsi="Palatino Linotype" w:cs="Bookman Old Style"/>
          <w:i/>
          <w:sz w:val="24"/>
          <w:szCs w:val="24"/>
        </w:rPr>
        <w:t xml:space="preserve">, a fin de verificar si existe una situación de violencia o vulnerabilidad que, por cuestiones de género, impida impartir justicia de manera completa e igualitaria. Para ello, el juzgador debe </w:t>
      </w:r>
      <w:r w:rsidRPr="006B7327">
        <w:rPr>
          <w:rFonts w:ascii="Palatino Linotype" w:hAnsi="Palatino Linotype" w:cs="Bookman Old Style"/>
          <w:i/>
          <w:sz w:val="24"/>
          <w:szCs w:val="24"/>
        </w:rPr>
        <w:lastRenderedPageBreak/>
        <w:t>tomar en cuenta lo siguiente: i) identificar primeramente si existen situaciones de poder que por cuestiones de género den cuenta de un desequilibrio entre las partes de la controversia; ii) cuestionar los hechos y valorar las pruebas desechando cualquier estereotipo o prejuicio de género, a fin de visualizar las situaciones de desventaja provocadas por condiciones de sexo o género; iii) en caso de que el material probatorio no sea suficiente para aclarar la situación de violencia, vulnerabilidad o discriminación por razones de género, ordenar las pruebas necesarias para visibilizar dichas situaciones; iv) de detectarse 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v) para ello debe aplicar los estándares de derechos humanos de todas las personas involucradas, especialmente de los niños y niñas; y, vi) considerar que el método exige que, en todo momento, se evite el uso del lenguaje basado en estereotipos o prejuicios, por lo que debe procurarse un lenguaje incluyente con el objeto de asegurar un acceso a la justicia sin discriminación por motivos de género.</w:t>
      </w:r>
    </w:p>
    <w:p w:rsidR="00262BB2" w:rsidRPr="006B7327" w:rsidRDefault="00262BB2" w:rsidP="00262BB2">
      <w:pPr>
        <w:spacing w:after="0" w:line="240" w:lineRule="auto"/>
        <w:ind w:left="426"/>
        <w:contextualSpacing/>
        <w:jc w:val="both"/>
        <w:rPr>
          <w:rFonts w:ascii="Palatino Linotype" w:hAnsi="Palatino Linotype" w:cs="Arial"/>
          <w:sz w:val="24"/>
          <w:szCs w:val="24"/>
          <w:lang w:val="es-ES_tradnl"/>
        </w:rPr>
      </w:pPr>
    </w:p>
    <w:p w:rsidR="00262BB2" w:rsidRPr="006B7327" w:rsidRDefault="00262BB2" w:rsidP="00262BB2">
      <w:pPr>
        <w:numPr>
          <w:ilvl w:val="0"/>
          <w:numId w:val="2"/>
        </w:numPr>
        <w:spacing w:after="0" w:line="360" w:lineRule="auto"/>
        <w:ind w:left="426" w:hanging="426"/>
        <w:contextualSpacing/>
        <w:jc w:val="both"/>
        <w:rPr>
          <w:rFonts w:ascii="Palatino Linotype" w:eastAsia="Calibri" w:hAnsi="Palatino Linotype" w:cs="Arial"/>
          <w:sz w:val="24"/>
          <w:szCs w:val="24"/>
          <w:lang w:val="es-ES_tradnl"/>
        </w:rPr>
      </w:pPr>
      <w:r w:rsidRPr="006B7327">
        <w:rPr>
          <w:rFonts w:ascii="Palatino Linotype" w:eastAsia="Calibri" w:hAnsi="Palatino Linotype" w:cs="Arial"/>
          <w:sz w:val="24"/>
          <w:szCs w:val="24"/>
          <w:lang w:val="es-ES_tradnl"/>
        </w:rPr>
        <w:t xml:space="preserve">Además, no debemos de perder de vista que la ahora recurrente es parte de un grupo vulnerable en virtud de ser considerada como adulta mayor por su condición de edad, para lo cual, </w:t>
      </w:r>
      <w:r w:rsidRPr="006B7327">
        <w:rPr>
          <w:rFonts w:ascii="Palatino Linotype" w:eastAsia="Calibri" w:hAnsi="Palatino Linotype" w:cs="Arial"/>
          <w:sz w:val="24"/>
          <w:szCs w:val="24"/>
        </w:rPr>
        <w:t xml:space="preserve">el </w:t>
      </w:r>
      <w:r w:rsidRPr="006B7327">
        <w:rPr>
          <w:rFonts w:ascii="Palatino Linotype" w:hAnsi="Palatino Linotype" w:cs="Arial"/>
          <w:sz w:val="24"/>
          <w:szCs w:val="24"/>
        </w:rPr>
        <w:t>Poder Judicial de la Federación a través de las Tesis y Jurisprudencias con números de registro 2014880, 2009452    de la Décima Épocas, sustentadas por el Tercer Tribunal Colegiado del Vigésimo</w:t>
      </w:r>
      <w:r w:rsidRPr="006B7327">
        <w:rPr>
          <w:rFonts w:ascii="Palatino Linotype" w:hAnsi="Palatino Linotype" w:cs="Arial"/>
          <w:sz w:val="24"/>
          <w:szCs w:val="24"/>
          <w:lang w:eastAsia="es-MX"/>
        </w:rPr>
        <w:t xml:space="preserve"> Séptimo Circuito y por la Primera Sala de la Suprema Corte de Justicia de la Nación</w:t>
      </w:r>
      <w:r w:rsidRPr="006B7327">
        <w:rPr>
          <w:rStyle w:val="Refdenotaalpie"/>
          <w:rFonts w:ascii="Palatino Linotype" w:hAnsi="Palatino Linotype" w:cs="Arial"/>
          <w:sz w:val="24"/>
          <w:szCs w:val="24"/>
          <w:lang w:eastAsia="es-MX"/>
        </w:rPr>
        <w:footnoteReference w:id="3"/>
      </w:r>
      <w:r w:rsidRPr="006B7327">
        <w:rPr>
          <w:rFonts w:ascii="Palatino Linotype" w:hAnsi="Palatino Linotype" w:cs="Arial"/>
          <w:sz w:val="24"/>
          <w:szCs w:val="24"/>
          <w:lang w:eastAsia="es-MX"/>
        </w:rPr>
        <w:t xml:space="preserve">, se han pronunciado en cuanto que los adultos mayores pertenecen a </w:t>
      </w:r>
      <w:r w:rsidRPr="006B7327">
        <w:rPr>
          <w:rFonts w:ascii="Palatino Linotype" w:hAnsi="Palatino Linotype" w:cs="Arial"/>
          <w:sz w:val="24"/>
          <w:szCs w:val="24"/>
          <w:lang w:eastAsia="es-MX"/>
        </w:rPr>
        <w:lastRenderedPageBreak/>
        <w:t>un grupo vulnerable por lo cual, opera en su favor la suplencia de la queja en los términos siguientes:</w:t>
      </w:r>
    </w:p>
    <w:p w:rsidR="00262BB2" w:rsidRPr="006B7327" w:rsidRDefault="00262BB2" w:rsidP="00262BB2">
      <w:pPr>
        <w:spacing w:before="240" w:after="240"/>
        <w:ind w:left="567" w:right="51"/>
        <w:jc w:val="both"/>
        <w:rPr>
          <w:rFonts w:ascii="Palatino Linotype" w:hAnsi="Palatino Linotype" w:cs="Bookman Old Style"/>
          <w:b/>
          <w:i/>
          <w:sz w:val="24"/>
          <w:szCs w:val="24"/>
        </w:rPr>
      </w:pPr>
      <w:r w:rsidRPr="006B7327">
        <w:rPr>
          <w:rFonts w:ascii="Palatino Linotype" w:hAnsi="Palatino Linotype" w:cs="Bookman Old Style"/>
          <w:b/>
          <w:i/>
          <w:sz w:val="24"/>
          <w:szCs w:val="24"/>
        </w:rPr>
        <w:t>ADULTOS MAYORES. AL PERTENECER A UN GRUPO VULNERABLE QUE LOS INCLUYE EN UNA CATEGORÍA SOSPECHOSA, OPERA EN SU FAVOR LA SUPLENCIA DE LA QUEJA DEFICIENTE CONFORME AL ARTÍCULO 79, FRACCIONES VI Y VII, DE LA LEY DE AMPARO.</w:t>
      </w:r>
    </w:p>
    <w:p w:rsidR="00262BB2" w:rsidRPr="006B7327" w:rsidRDefault="00262BB2" w:rsidP="00262BB2">
      <w:pPr>
        <w:spacing w:before="240" w:after="240"/>
        <w:ind w:left="567" w:right="51"/>
        <w:jc w:val="both"/>
        <w:rPr>
          <w:rFonts w:ascii="Palatino Linotype" w:hAnsi="Palatino Linotype" w:cs="Bookman Old Style"/>
          <w:i/>
          <w:sz w:val="24"/>
          <w:szCs w:val="24"/>
        </w:rPr>
      </w:pPr>
      <w:r w:rsidRPr="006B7327">
        <w:rPr>
          <w:rFonts w:ascii="Palatino Linotype" w:hAnsi="Palatino Linotype" w:cs="Bookman Old Style"/>
          <w:i/>
          <w:sz w:val="24"/>
          <w:szCs w:val="24"/>
        </w:rPr>
        <w:t>Conforme a los artículos </w:t>
      </w:r>
      <w:hyperlink r:id="rId14" w:history="1">
        <w:r w:rsidRPr="006B7327">
          <w:rPr>
            <w:rFonts w:ascii="Palatino Linotype" w:hAnsi="Palatino Linotype" w:cs="Bookman Old Style"/>
            <w:i/>
            <w:sz w:val="24"/>
            <w:szCs w:val="24"/>
          </w:rPr>
          <w:t>25, numeral 1, de la Declaración Universal de los Derechos Humanos</w:t>
        </w:r>
      </w:hyperlink>
      <w:r w:rsidRPr="006B7327">
        <w:rPr>
          <w:rFonts w:ascii="Palatino Linotype" w:hAnsi="Palatino Linotype" w:cs="Bookman Old Style"/>
          <w:i/>
          <w:sz w:val="24"/>
          <w:szCs w:val="24"/>
        </w:rPr>
        <w:t>, 17 del Protocolo Adicional a la Convención Americana sobre Derechos Humanos en Materia de Derechos Económicos, Sociales y Culturales "Protocolo de San Salvador" y </w:t>
      </w:r>
      <w:hyperlink r:id="rId15" w:history="1">
        <w:r w:rsidRPr="006B7327">
          <w:rPr>
            <w:rFonts w:ascii="Palatino Linotype" w:hAnsi="Palatino Linotype" w:cs="Bookman Old Style"/>
            <w:i/>
            <w:sz w:val="24"/>
            <w:szCs w:val="24"/>
          </w:rPr>
          <w:t>5o. de la Ley de los Derechos de las Personas Adultas Mayores</w:t>
        </w:r>
      </w:hyperlink>
      <w:r w:rsidRPr="006B7327">
        <w:rPr>
          <w:rFonts w:ascii="Palatino Linotype" w:hAnsi="Palatino Linotype" w:cs="Bookman Old Style"/>
          <w:i/>
          <w:sz w:val="24"/>
          <w:szCs w:val="24"/>
        </w:rPr>
        <w:t xml:space="preserve">, la simple pertenencia a ese grupo los incluye en una categoría sospechosa. Ello es así, dado que el sistema de producción y reproducción jurídica utiliza parámetros basados indefectiblemente en el paradigma de la persona joven, lo que coloca a los adultos </w:t>
      </w:r>
      <w:r w:rsidRPr="006B7327">
        <w:rPr>
          <w:rFonts w:ascii="Palatino Linotype" w:hAnsi="Palatino Linotype" w:cs="Bookman Old Style"/>
          <w:i/>
          <w:sz w:val="24"/>
          <w:szCs w:val="24"/>
          <w:u w:val="single"/>
        </w:rPr>
        <w:t>mayores en un estado de predisposición natural de marginación social y eventual pobreza.</w:t>
      </w:r>
      <w:r w:rsidRPr="006B7327">
        <w:rPr>
          <w:rFonts w:ascii="Palatino Linotype" w:hAnsi="Palatino Linotype" w:cs="Bookman Old Style"/>
          <w:i/>
          <w:sz w:val="24"/>
          <w:szCs w:val="24"/>
        </w:rPr>
        <w:t xml:space="preserve"> Así, al </w:t>
      </w:r>
      <w:r w:rsidRPr="006B7327">
        <w:rPr>
          <w:rFonts w:ascii="Palatino Linotype" w:hAnsi="Palatino Linotype" w:cs="Bookman Old Style"/>
          <w:i/>
          <w:sz w:val="24"/>
          <w:szCs w:val="24"/>
          <w:u w:val="single"/>
        </w:rPr>
        <w:t>colocarse por virtud de su avanzada edad, en situaciones</w:t>
      </w:r>
      <w:r w:rsidRPr="006B7327">
        <w:rPr>
          <w:rFonts w:ascii="Palatino Linotype" w:hAnsi="Palatino Linotype" w:cs="Bookman Old Style"/>
          <w:i/>
          <w:sz w:val="24"/>
          <w:szCs w:val="24"/>
        </w:rPr>
        <w:t xml:space="preserve"> de dependencia, </w:t>
      </w:r>
      <w:r w:rsidRPr="006B7327">
        <w:rPr>
          <w:rFonts w:ascii="Palatino Linotype" w:hAnsi="Palatino Linotype" w:cs="Bookman Old Style"/>
          <w:i/>
          <w:sz w:val="24"/>
          <w:szCs w:val="24"/>
          <w:u w:val="single"/>
        </w:rPr>
        <w:t>discriminación</w:t>
      </w:r>
      <w:r w:rsidRPr="006B7327">
        <w:rPr>
          <w:rFonts w:ascii="Palatino Linotype" w:hAnsi="Palatino Linotype" w:cs="Bookman Old Style"/>
          <w:i/>
          <w:sz w:val="24"/>
          <w:szCs w:val="24"/>
        </w:rPr>
        <w:t xml:space="preserve"> e, incluso, abandono familiar, se muestra indefectible que las obligaciones estatales de protección y defensa de sus derechos fundamentales devengan permanentes por parte del Estado. De ahí que, en el contexto mencionado, de conformidad con el artículo </w:t>
      </w:r>
      <w:hyperlink r:id="rId16" w:history="1">
        <w:r w:rsidRPr="006B7327">
          <w:rPr>
            <w:rFonts w:ascii="Palatino Linotype" w:hAnsi="Palatino Linotype" w:cs="Bookman Old Style"/>
            <w:i/>
            <w:sz w:val="24"/>
            <w:szCs w:val="24"/>
          </w:rPr>
          <w:t>79, fracciones VI y VII, de la Ley de Amparo</w:t>
        </w:r>
      </w:hyperlink>
      <w:r w:rsidRPr="006B7327">
        <w:rPr>
          <w:rFonts w:ascii="Palatino Linotype" w:hAnsi="Palatino Linotype" w:cs="Bookman Old Style"/>
          <w:i/>
          <w:sz w:val="24"/>
          <w:szCs w:val="24"/>
        </w:rPr>
        <w:t xml:space="preserve">, al verificarse una violación que dejó sin defensa al quejoso, </w:t>
      </w:r>
      <w:r w:rsidRPr="006B7327">
        <w:rPr>
          <w:rFonts w:ascii="Palatino Linotype" w:hAnsi="Palatino Linotype" w:cs="Bookman Old Style"/>
          <w:i/>
          <w:sz w:val="24"/>
          <w:szCs w:val="24"/>
          <w:u w:val="single"/>
        </w:rPr>
        <w:t>se torna necesario suplir la deficiencia de la queja a su favor en los casos en que resulte probado que pertenece a esa categoría sospechosa y grupo vulnerable</w:t>
      </w:r>
      <w:r w:rsidRPr="006B7327">
        <w:rPr>
          <w:rFonts w:ascii="Palatino Linotype" w:hAnsi="Palatino Linotype" w:cs="Bookman Old Style"/>
          <w:i/>
          <w:sz w:val="24"/>
          <w:szCs w:val="24"/>
        </w:rPr>
        <w:t>, dadas las citadas predisposiciones naturales de marginación social y eventual pobreza en que se encuentra.</w:t>
      </w:r>
    </w:p>
    <w:p w:rsidR="00262BB2" w:rsidRPr="006B7327" w:rsidRDefault="00262BB2" w:rsidP="00262BB2">
      <w:pPr>
        <w:spacing w:before="240" w:after="240"/>
        <w:ind w:left="567" w:right="51"/>
        <w:jc w:val="both"/>
        <w:rPr>
          <w:rFonts w:ascii="Palatino Linotype" w:hAnsi="Palatino Linotype" w:cs="Bookman Old Style"/>
          <w:b/>
          <w:bCs/>
          <w:i/>
          <w:sz w:val="24"/>
          <w:szCs w:val="24"/>
        </w:rPr>
      </w:pPr>
      <w:r w:rsidRPr="006B7327">
        <w:rPr>
          <w:rFonts w:ascii="Palatino Linotype" w:hAnsi="Palatino Linotype" w:cs="Bookman Old Style"/>
          <w:b/>
          <w:bCs/>
          <w:i/>
          <w:sz w:val="24"/>
          <w:szCs w:val="24"/>
        </w:rPr>
        <w:t>ADULTOS MAYORES. AL CONSTITUIR UN GRUPO VULNERABLE MERECEN UNA ESPECIAL PROTECCIÓN POR PARTE DE LOS ÓRGANOS DEL ESTADO.</w:t>
      </w:r>
    </w:p>
    <w:p w:rsidR="00262BB2" w:rsidRPr="006B7327" w:rsidRDefault="00262BB2" w:rsidP="00262BB2">
      <w:pPr>
        <w:spacing w:before="240" w:after="240"/>
        <w:ind w:left="567" w:right="51"/>
        <w:jc w:val="both"/>
        <w:rPr>
          <w:rFonts w:ascii="Palatino Linotype" w:hAnsi="Palatino Linotype" w:cs="Bookman Old Style"/>
          <w:i/>
          <w:sz w:val="24"/>
          <w:szCs w:val="24"/>
        </w:rPr>
      </w:pPr>
      <w:r w:rsidRPr="006B7327">
        <w:rPr>
          <w:rFonts w:ascii="Palatino Linotype" w:hAnsi="Palatino Linotype" w:cs="Bookman Old Style"/>
          <w:i/>
          <w:sz w:val="24"/>
          <w:szCs w:val="24"/>
        </w:rPr>
        <w:t>Del contenido de los artículos </w:t>
      </w:r>
      <w:hyperlink r:id="rId17" w:history="1">
        <w:r w:rsidRPr="006B7327">
          <w:rPr>
            <w:rFonts w:ascii="Palatino Linotype" w:hAnsi="Palatino Linotype" w:cs="Bookman Old Style"/>
            <w:i/>
            <w:sz w:val="24"/>
            <w:szCs w:val="24"/>
          </w:rPr>
          <w:t>25, párrafo 1, de la Declaración Universal de Derechos Humanos</w:t>
        </w:r>
      </w:hyperlink>
      <w:r w:rsidRPr="006B7327">
        <w:rPr>
          <w:rFonts w:ascii="Palatino Linotype" w:hAnsi="Palatino Linotype" w:cs="Bookman Old Style"/>
          <w:i/>
          <w:sz w:val="24"/>
          <w:szCs w:val="24"/>
        </w:rPr>
        <w:t>; así como del artículo </w:t>
      </w:r>
      <w:hyperlink r:id="rId18" w:history="1">
        <w:r w:rsidRPr="006B7327">
          <w:rPr>
            <w:rFonts w:ascii="Palatino Linotype" w:hAnsi="Palatino Linotype" w:cs="Bookman Old Style"/>
            <w:i/>
            <w:sz w:val="24"/>
            <w:szCs w:val="24"/>
          </w:rPr>
          <w:t xml:space="preserve">17 del Protocolo Adicional a la Convención Americana sobre Derechos Humanos en Materia de los Derechos Económicos, Sociales </w:t>
        </w:r>
        <w:r w:rsidRPr="006B7327">
          <w:rPr>
            <w:rFonts w:ascii="Palatino Linotype" w:hAnsi="Palatino Linotype" w:cs="Bookman Old Style"/>
            <w:i/>
            <w:sz w:val="24"/>
            <w:szCs w:val="24"/>
          </w:rPr>
          <w:lastRenderedPageBreak/>
          <w:t>y Culturales, "Protocolo de San Salvador</w:t>
        </w:r>
      </w:hyperlink>
      <w:r w:rsidRPr="006B7327">
        <w:rPr>
          <w:rFonts w:ascii="Palatino Linotype" w:hAnsi="Palatino Linotype" w:cs="Bookman Old Style"/>
          <w:i/>
          <w:sz w:val="24"/>
          <w:szCs w:val="24"/>
        </w:rPr>
        <w:t>", se desprende la especial protección de los derechos de las personas mayores. Por su parte, las declaraciones y compromisos internacionales como los Principios de las Naciones Unidas a Favor de las Personas de Edad, adoptado por la Asamblea General de las Naciones Unidas el 16 de diciembre de 1991 en la Resolución 46/91; la Declaración sobre los Derechos y Responsabilidades de las Personas de Edad, adoptada por la Asamblea General de las Naciones Unidas de 1992 o los debates y conclusiones en foros como la Asamblea Mundial del Envejecimiento en Viena en 1982, la Conferencia Mundial sobre Derechos Humanos en 1993 (de la que emanó la Declaración citada), la Conferencia Mundial sobre Población de El Cairo en 1994, y la Cumbre Mundial sobre Desarrollo Social de Copenhague en 1995, llevan a concluir que los adultos mayores constituyen un grupo vulnerable que merece especial protección por parte de los órganos del Estado, ya que su avanzada edad los coloca con frecuencia en una situación de dependencia familiar, discriminación e incluso abandono. Lo anterior no implica, sin embargo, que en todos los casos en los que intervengan deba suplirse la deficiencia de la queja.</w:t>
      </w:r>
    </w:p>
    <w:p w:rsidR="00262BB2" w:rsidRPr="006B7327" w:rsidRDefault="00262BB2" w:rsidP="00262BB2">
      <w:pPr>
        <w:numPr>
          <w:ilvl w:val="0"/>
          <w:numId w:val="2"/>
        </w:numPr>
        <w:spacing w:after="0" w:line="360" w:lineRule="auto"/>
        <w:ind w:left="426" w:hanging="426"/>
        <w:contextualSpacing/>
        <w:jc w:val="both"/>
        <w:rPr>
          <w:rFonts w:ascii="Palatino Linotype" w:hAnsi="Palatino Linotype" w:cs="Arial"/>
          <w:sz w:val="24"/>
          <w:szCs w:val="24"/>
          <w:lang w:val="es-ES_tradnl"/>
        </w:rPr>
      </w:pPr>
      <w:r w:rsidRPr="006B7327">
        <w:rPr>
          <w:rFonts w:ascii="Palatino Linotype" w:eastAsia="Calibri" w:hAnsi="Palatino Linotype" w:cs="Arial"/>
          <w:sz w:val="24"/>
          <w:szCs w:val="24"/>
          <w:lang w:val="es-ES_tradnl"/>
        </w:rPr>
        <w:t xml:space="preserve">Ante tal situación, este Pleno, señala que al contar con indicios como lo es, presentar la credencial del derecho habiente que se presume su esposo y al resolver dicho recurso con perspectiva de género y considerando que la recurrente se encuentra dentro de un grupo vulnerable, se podrá atender cabalmente la solicitud planteada sin menoscabar el derecho de acceso de la particular, se realizan los siguientes señalamientos. </w:t>
      </w:r>
    </w:p>
    <w:p w:rsidR="00262BB2" w:rsidRPr="006B7327" w:rsidRDefault="00262BB2" w:rsidP="00262BB2">
      <w:pPr>
        <w:spacing w:after="0" w:line="360" w:lineRule="auto"/>
        <w:ind w:left="426"/>
        <w:contextualSpacing/>
        <w:jc w:val="both"/>
        <w:rPr>
          <w:rFonts w:ascii="Palatino Linotype" w:hAnsi="Palatino Linotype" w:cs="Arial"/>
          <w:sz w:val="24"/>
          <w:szCs w:val="24"/>
          <w:lang w:val="es-ES_tradnl"/>
        </w:rPr>
      </w:pPr>
    </w:p>
    <w:p w:rsidR="00262BB2" w:rsidRPr="006B7327" w:rsidRDefault="00262BB2" w:rsidP="00262BB2">
      <w:pPr>
        <w:numPr>
          <w:ilvl w:val="0"/>
          <w:numId w:val="2"/>
        </w:numPr>
        <w:spacing w:after="0" w:line="360" w:lineRule="auto"/>
        <w:ind w:left="426" w:hanging="426"/>
        <w:contextualSpacing/>
        <w:jc w:val="both"/>
        <w:rPr>
          <w:rFonts w:ascii="Palatino Linotype" w:hAnsi="Palatino Linotype" w:cs="Arial"/>
        </w:rPr>
      </w:pPr>
      <w:r w:rsidRPr="006B7327">
        <w:rPr>
          <w:rFonts w:ascii="Palatino Linotype" w:eastAsia="Calibri" w:hAnsi="Palatino Linotype" w:cs="Arial"/>
          <w:sz w:val="24"/>
          <w:szCs w:val="24"/>
          <w:lang w:val="es-ES_tradnl"/>
        </w:rPr>
        <w:t xml:space="preserve">En primer lugar, el </w:t>
      </w:r>
      <w:r w:rsidRPr="006B7327">
        <w:rPr>
          <w:rFonts w:ascii="Palatino Linotype" w:eastAsia="Calibri" w:hAnsi="Palatino Linotype" w:cs="Arial"/>
          <w:sz w:val="24"/>
          <w:szCs w:val="24"/>
          <w:lang w:val="es-ES" w:eastAsia="es-ES"/>
        </w:rPr>
        <w:t xml:space="preserve">Sistema de Acceso, Rectificación, Cancelación y Oposición de Datos Personales del Estado de México (SARCOEM), es un sistema amigable con las personas, esto es, que sin conocer la ley, las personas pueden acceder, rectificar, cancelar u oponerse a sus datos personales, toda vez que el SARCOEM, los guía paso a paso para complementar cada una de las etapas del proceso y con ello atender lo peticionado. </w:t>
      </w:r>
    </w:p>
    <w:p w:rsidR="00262BB2" w:rsidRPr="006B7327" w:rsidRDefault="00262BB2" w:rsidP="00262BB2">
      <w:pPr>
        <w:spacing w:after="0" w:line="360" w:lineRule="auto"/>
        <w:ind w:left="426"/>
        <w:contextualSpacing/>
        <w:jc w:val="both"/>
        <w:rPr>
          <w:rFonts w:ascii="Palatino Linotype" w:hAnsi="Palatino Linotype" w:cs="Arial"/>
        </w:rPr>
      </w:pPr>
    </w:p>
    <w:p w:rsidR="00262BB2" w:rsidRPr="006B7327" w:rsidRDefault="00262BB2" w:rsidP="00262BB2">
      <w:pPr>
        <w:numPr>
          <w:ilvl w:val="0"/>
          <w:numId w:val="2"/>
        </w:numPr>
        <w:spacing w:after="0" w:line="360" w:lineRule="auto"/>
        <w:ind w:left="426" w:hanging="426"/>
        <w:contextualSpacing/>
        <w:jc w:val="both"/>
        <w:rPr>
          <w:rFonts w:ascii="Palatino Linotype" w:hAnsi="Palatino Linotype" w:cs="Arial"/>
        </w:rPr>
      </w:pPr>
      <w:r w:rsidRPr="006B7327">
        <w:rPr>
          <w:rFonts w:ascii="Palatino Linotype" w:eastAsia="Calibri" w:hAnsi="Palatino Linotype" w:cs="Arial"/>
          <w:sz w:val="24"/>
          <w:szCs w:val="24"/>
          <w:lang w:val="es-ES" w:eastAsia="es-ES"/>
        </w:rPr>
        <w:t xml:space="preserve">En consecuencia, al presumir de la existencia de la identidad entre el solicitante en el expediente 00076/ISSEMYM/AD/2018y la parte recurrente del expediente del recurso de revisión indicado en la epígrafe, existe legitimación en el presente procedimiento, llamada por la doctrina legitimación </w:t>
      </w:r>
      <w:r w:rsidRPr="006B7327">
        <w:rPr>
          <w:rFonts w:ascii="Palatino Linotype" w:eastAsia="Calibri" w:hAnsi="Palatino Linotype" w:cs="Arial"/>
          <w:i/>
          <w:sz w:val="24"/>
          <w:szCs w:val="24"/>
          <w:lang w:val="es-ES" w:eastAsia="es-ES"/>
        </w:rPr>
        <w:t xml:space="preserve">ad </w:t>
      </w:r>
      <w:proofErr w:type="spellStart"/>
      <w:r w:rsidRPr="006B7327">
        <w:rPr>
          <w:rFonts w:ascii="Palatino Linotype" w:eastAsia="Calibri" w:hAnsi="Palatino Linotype" w:cs="Arial"/>
          <w:i/>
          <w:sz w:val="24"/>
          <w:szCs w:val="24"/>
          <w:lang w:val="es-ES" w:eastAsia="es-ES"/>
        </w:rPr>
        <w:t>procesum</w:t>
      </w:r>
      <w:proofErr w:type="spellEnd"/>
      <w:r w:rsidRPr="006B7327">
        <w:rPr>
          <w:rFonts w:ascii="Palatino Linotype" w:eastAsia="Calibri" w:hAnsi="Palatino Linotype" w:cs="Arial"/>
          <w:sz w:val="24"/>
          <w:szCs w:val="24"/>
          <w:lang w:val="es-ES" w:eastAsia="es-ES"/>
        </w:rPr>
        <w:t xml:space="preserve">, por parte del recurrente, a fin de que se lleve a cabo el estudio del fondo del asunto, en el cual se analizará el interés jurídico o legítimo, como parte de la </w:t>
      </w:r>
      <w:r w:rsidRPr="006B7327">
        <w:rPr>
          <w:rFonts w:ascii="Palatino Linotype" w:eastAsia="Calibri" w:hAnsi="Palatino Linotype" w:cs="Arial"/>
          <w:i/>
          <w:sz w:val="24"/>
          <w:szCs w:val="24"/>
          <w:lang w:val="es-ES" w:eastAsia="es-ES"/>
        </w:rPr>
        <w:t xml:space="preserve">legitimación ad </w:t>
      </w:r>
      <w:proofErr w:type="spellStart"/>
      <w:r w:rsidRPr="006B7327">
        <w:rPr>
          <w:rFonts w:ascii="Palatino Linotype" w:eastAsia="Calibri" w:hAnsi="Palatino Linotype" w:cs="Arial"/>
          <w:i/>
          <w:sz w:val="24"/>
          <w:szCs w:val="24"/>
          <w:lang w:val="es-ES" w:eastAsia="es-ES"/>
        </w:rPr>
        <w:t>causam</w:t>
      </w:r>
      <w:proofErr w:type="spellEnd"/>
      <w:r w:rsidRPr="006B7327">
        <w:rPr>
          <w:rFonts w:ascii="Palatino Linotype" w:eastAsia="Calibri" w:hAnsi="Palatino Linotype" w:cs="Arial"/>
          <w:i/>
          <w:sz w:val="24"/>
          <w:szCs w:val="24"/>
          <w:lang w:val="es-ES" w:eastAsia="es-ES"/>
        </w:rPr>
        <w:t>.</w:t>
      </w:r>
    </w:p>
    <w:p w:rsidR="00262BB2" w:rsidRPr="006B7327" w:rsidRDefault="00262BB2" w:rsidP="00262BB2">
      <w:pPr>
        <w:spacing w:after="0" w:line="360" w:lineRule="auto"/>
        <w:ind w:left="426"/>
        <w:contextualSpacing/>
        <w:jc w:val="both"/>
        <w:rPr>
          <w:rFonts w:ascii="Palatino Linotype" w:hAnsi="Palatino Linotype" w:cs="Arial"/>
        </w:rPr>
      </w:pPr>
    </w:p>
    <w:p w:rsidR="00262BB2" w:rsidRPr="006B7327" w:rsidRDefault="00262BB2" w:rsidP="00262BB2">
      <w:pPr>
        <w:numPr>
          <w:ilvl w:val="0"/>
          <w:numId w:val="2"/>
        </w:numPr>
        <w:spacing w:after="0" w:line="360" w:lineRule="auto"/>
        <w:ind w:left="426" w:hanging="426"/>
        <w:contextualSpacing/>
        <w:jc w:val="both"/>
        <w:rPr>
          <w:rFonts w:ascii="Palatino Linotype" w:hAnsi="Palatino Linotype" w:cs="Arial"/>
          <w:sz w:val="24"/>
          <w:szCs w:val="24"/>
        </w:rPr>
      </w:pPr>
      <w:r w:rsidRPr="006B7327">
        <w:rPr>
          <w:rFonts w:ascii="Palatino Linotype" w:eastAsia="Calibri" w:hAnsi="Palatino Linotype" w:cs="Arial"/>
          <w:sz w:val="24"/>
          <w:szCs w:val="24"/>
          <w:lang w:val="es-ES" w:eastAsia="es-ES"/>
        </w:rPr>
        <w:t>Esto</w:t>
      </w:r>
      <w:r w:rsidRPr="006B7327">
        <w:rPr>
          <w:rFonts w:ascii="Palatino Linotype" w:hAnsi="Palatino Linotype" w:cs="Arial"/>
          <w:sz w:val="24"/>
          <w:szCs w:val="24"/>
        </w:rPr>
        <w:t xml:space="preserve"> es así, puesto que en el caso particular, tratándose de personas fallecidas, el análisis relativo a la existencia de interés jurídico o legítimo forma parte del estudio de fondo, como atribución exclusiva del Pleno de este Instituto en términos del artículo 122 de la Ley de Protección de Datos Personales en Posesión de Sujetos Obligados del Estado de México y Municipios dentro del recurso de revisión, el cual resulta procedente una vez que se ha advertido la procedencia por parte del solicitante, con independencia de que sea el titular o no de los datos, e incluso, de que cuente con la representación que ostenta, ante la disposición relativa al estudio del interés legítimo en el presente medio de impugnación.</w:t>
      </w:r>
    </w:p>
    <w:p w:rsidR="00262BB2" w:rsidRPr="006B7327" w:rsidRDefault="00262BB2" w:rsidP="00262BB2">
      <w:pPr>
        <w:spacing w:after="0" w:line="360" w:lineRule="auto"/>
        <w:ind w:left="426"/>
        <w:contextualSpacing/>
        <w:jc w:val="both"/>
        <w:rPr>
          <w:rFonts w:ascii="Palatino Linotype" w:hAnsi="Palatino Linotype" w:cs="Arial"/>
        </w:rPr>
      </w:pPr>
    </w:p>
    <w:p w:rsidR="00262BB2" w:rsidRPr="006B7327" w:rsidRDefault="00262BB2" w:rsidP="00262BB2">
      <w:pPr>
        <w:numPr>
          <w:ilvl w:val="0"/>
          <w:numId w:val="2"/>
        </w:numPr>
        <w:spacing w:after="0" w:line="360" w:lineRule="auto"/>
        <w:ind w:left="426" w:hanging="426"/>
        <w:contextualSpacing/>
        <w:jc w:val="both"/>
        <w:rPr>
          <w:rFonts w:ascii="Palatino Linotype" w:hAnsi="Palatino Linotype" w:cs="Arial"/>
          <w:sz w:val="24"/>
          <w:szCs w:val="24"/>
        </w:rPr>
      </w:pPr>
      <w:r w:rsidRPr="006B7327">
        <w:rPr>
          <w:rFonts w:ascii="Palatino Linotype" w:hAnsi="Palatino Linotype" w:cs="Arial"/>
          <w:sz w:val="24"/>
        </w:rPr>
        <w:t xml:space="preserve">Esto es así, puesto que la legitimación </w:t>
      </w:r>
      <w:r w:rsidRPr="006B7327">
        <w:rPr>
          <w:rFonts w:ascii="Palatino Linotype" w:hAnsi="Palatino Linotype" w:cs="Arial"/>
          <w:i/>
          <w:sz w:val="24"/>
        </w:rPr>
        <w:t>ad </w:t>
      </w:r>
      <w:proofErr w:type="spellStart"/>
      <w:r w:rsidRPr="006B7327">
        <w:rPr>
          <w:rFonts w:ascii="Palatino Linotype" w:hAnsi="Palatino Linotype" w:cs="Arial"/>
          <w:i/>
          <w:sz w:val="24"/>
        </w:rPr>
        <w:t>causam</w:t>
      </w:r>
      <w:proofErr w:type="spellEnd"/>
      <w:r w:rsidRPr="006B7327">
        <w:rPr>
          <w:rFonts w:ascii="Palatino Linotype" w:hAnsi="Palatino Linotype" w:cs="Arial"/>
          <w:sz w:val="24"/>
        </w:rPr>
        <w:t xml:space="preserve"> no es un presupuesto procesal, porque lejos de referirse al procedimiento o al válido ejercicio de la acción, contempla la relación sustancial con relación al interés perseguido en el procedimiento, por lo que es entonces, una cuestión sustancial y no procesal o, mejor dicho, un </w:t>
      </w:r>
      <w:r w:rsidRPr="006B7327">
        <w:rPr>
          <w:rFonts w:ascii="Palatino Linotype" w:hAnsi="Palatino Linotype" w:cs="Arial"/>
          <w:sz w:val="24"/>
          <w:szCs w:val="24"/>
        </w:rPr>
        <w:t xml:space="preserve">presupuesto de la pretensión para la decisión de fondo. </w:t>
      </w:r>
    </w:p>
    <w:p w:rsidR="00262BB2" w:rsidRPr="006B7327" w:rsidRDefault="00262BB2" w:rsidP="00262BB2">
      <w:pPr>
        <w:spacing w:after="0" w:line="360" w:lineRule="auto"/>
        <w:ind w:left="426"/>
        <w:contextualSpacing/>
        <w:jc w:val="both"/>
        <w:rPr>
          <w:rFonts w:ascii="Palatino Linotype" w:hAnsi="Palatino Linotype" w:cs="Arial"/>
          <w:sz w:val="24"/>
          <w:szCs w:val="24"/>
        </w:rPr>
      </w:pPr>
    </w:p>
    <w:p w:rsidR="00262BB2" w:rsidRPr="006B7327" w:rsidRDefault="00262BB2" w:rsidP="00262BB2">
      <w:pPr>
        <w:numPr>
          <w:ilvl w:val="0"/>
          <w:numId w:val="2"/>
        </w:numPr>
        <w:spacing w:after="0" w:line="360" w:lineRule="auto"/>
        <w:ind w:left="426" w:hanging="426"/>
        <w:contextualSpacing/>
        <w:jc w:val="both"/>
        <w:rPr>
          <w:rFonts w:ascii="Palatino Linotype" w:hAnsi="Palatino Linotype" w:cs="Arial"/>
        </w:rPr>
      </w:pPr>
      <w:r w:rsidRPr="006B7327">
        <w:rPr>
          <w:rFonts w:ascii="Palatino Linotype" w:hAnsi="Palatino Linotype" w:cs="Arial"/>
          <w:sz w:val="24"/>
          <w:szCs w:val="24"/>
        </w:rPr>
        <w:t xml:space="preserve">En cambio, la legitimación </w:t>
      </w:r>
      <w:r w:rsidRPr="006B7327">
        <w:rPr>
          <w:rFonts w:ascii="Palatino Linotype" w:hAnsi="Palatino Linotype" w:cs="Arial"/>
          <w:i/>
          <w:sz w:val="24"/>
          <w:szCs w:val="24"/>
        </w:rPr>
        <w:t>ad </w:t>
      </w:r>
      <w:proofErr w:type="spellStart"/>
      <w:r w:rsidRPr="006B7327">
        <w:rPr>
          <w:rFonts w:ascii="Palatino Linotype" w:hAnsi="Palatino Linotype" w:cs="Arial"/>
          <w:i/>
          <w:sz w:val="24"/>
          <w:szCs w:val="24"/>
        </w:rPr>
        <w:t>procesum</w:t>
      </w:r>
      <w:proofErr w:type="spellEnd"/>
      <w:r w:rsidRPr="006B7327">
        <w:rPr>
          <w:rFonts w:ascii="Palatino Linotype" w:hAnsi="Palatino Linotype" w:cs="Arial"/>
          <w:sz w:val="24"/>
          <w:szCs w:val="24"/>
        </w:rPr>
        <w:t> sí es un presupuesto procesal pues refiere a la capacidad de la parte recurrente para presentar el recurso</w:t>
      </w:r>
      <w:r w:rsidRPr="006B7327">
        <w:rPr>
          <w:rFonts w:ascii="Palatino Linotype" w:hAnsi="Palatino Linotype" w:cs="Arial"/>
        </w:rPr>
        <w:t xml:space="preserve"> de revisión, por tanto, es condición para su procedencia a trámite.</w:t>
      </w:r>
    </w:p>
    <w:p w:rsidR="00262BB2" w:rsidRPr="006B7327" w:rsidRDefault="00262BB2" w:rsidP="00262BB2">
      <w:pPr>
        <w:spacing w:after="0" w:line="360" w:lineRule="auto"/>
        <w:ind w:left="426"/>
        <w:contextualSpacing/>
        <w:jc w:val="both"/>
        <w:rPr>
          <w:rFonts w:ascii="Palatino Linotype" w:hAnsi="Palatino Linotype" w:cs="Arial"/>
        </w:rPr>
      </w:pPr>
    </w:p>
    <w:p w:rsidR="00262BB2" w:rsidRPr="006B7327" w:rsidRDefault="00262BB2" w:rsidP="00262BB2">
      <w:pPr>
        <w:numPr>
          <w:ilvl w:val="0"/>
          <w:numId w:val="2"/>
        </w:numPr>
        <w:spacing w:after="0" w:line="360" w:lineRule="auto"/>
        <w:ind w:left="426" w:hanging="426"/>
        <w:contextualSpacing/>
        <w:jc w:val="both"/>
        <w:rPr>
          <w:rFonts w:ascii="Palatino Linotype" w:hAnsi="Palatino Linotype" w:cs="Arial"/>
          <w:sz w:val="24"/>
          <w:szCs w:val="24"/>
        </w:rPr>
      </w:pPr>
      <w:r w:rsidRPr="006B7327">
        <w:rPr>
          <w:rFonts w:ascii="Palatino Linotype" w:hAnsi="Palatino Linotype" w:cs="Arial"/>
          <w:sz w:val="24"/>
          <w:szCs w:val="24"/>
        </w:rPr>
        <w:t xml:space="preserve">Consideración que se sustenta por analogía en el criterio establecido en la jurisprudencia VI.3o.C. J/67, con número de registro 169271, de rubro: </w:t>
      </w:r>
      <w:r w:rsidRPr="006B7327">
        <w:rPr>
          <w:rFonts w:ascii="Palatino Linotype" w:hAnsi="Palatino Linotype" w:cs="Arial"/>
          <w:i/>
          <w:sz w:val="24"/>
          <w:szCs w:val="24"/>
        </w:rPr>
        <w:t>“LEGITIMACIÓN EN LA CAUSA. SÓLO PUEDE ESTUDIARSE EN LA SENTENCIA DEFINITIVA”</w:t>
      </w:r>
      <w:r w:rsidRPr="006B7327">
        <w:rPr>
          <w:rFonts w:ascii="Palatino Linotype" w:hAnsi="Palatino Linotype" w:cs="Arial"/>
          <w:sz w:val="24"/>
          <w:szCs w:val="24"/>
        </w:rPr>
        <w:t>, por lo que el análisis relativo a la existencia de interés jurídico o legítimo se llevará a cabo de manera separada en el Considerando siguiente, por constituir parte del análisis de fondo de la presente resolución, al tratarse de acceso a datos personales concernientes a personas fallecidas, lo cual conlleva un supuesto especial de procedencia, que no se limita al titular de los datos personales o su representante.</w:t>
      </w:r>
    </w:p>
    <w:p w:rsidR="00A9211F" w:rsidRPr="006B7327" w:rsidRDefault="00A9211F" w:rsidP="00A9211F">
      <w:pPr>
        <w:pStyle w:val="Prrafodelista"/>
        <w:rPr>
          <w:rFonts w:ascii="Palatino Linotype" w:hAnsi="Palatino Linotype" w:cs="Arial"/>
          <w:sz w:val="24"/>
          <w:szCs w:val="24"/>
        </w:rPr>
      </w:pPr>
    </w:p>
    <w:p w:rsidR="00A9211F" w:rsidRPr="006B7327" w:rsidRDefault="00A9211F" w:rsidP="00A9211F">
      <w:pPr>
        <w:numPr>
          <w:ilvl w:val="0"/>
          <w:numId w:val="2"/>
        </w:numPr>
        <w:spacing w:after="0" w:line="360" w:lineRule="auto"/>
        <w:ind w:left="426" w:hanging="426"/>
        <w:contextualSpacing/>
        <w:jc w:val="both"/>
        <w:rPr>
          <w:rFonts w:ascii="Palatino Linotype" w:eastAsia="Times New Roman" w:hAnsi="Palatino Linotype" w:cs="Arial"/>
          <w:i/>
          <w:sz w:val="24"/>
          <w:szCs w:val="24"/>
          <w:lang w:val="es-ES" w:eastAsia="es-ES"/>
        </w:rPr>
      </w:pPr>
      <w:r w:rsidRPr="006B7327">
        <w:rPr>
          <w:rFonts w:ascii="Palatino Linotype" w:eastAsia="Times New Roman" w:hAnsi="Palatino Linotype" w:cs="Arial"/>
          <w:sz w:val="24"/>
          <w:szCs w:val="24"/>
          <w:lang w:val="es-ES" w:eastAsia="es-ES"/>
        </w:rPr>
        <w:t>Resulta necesario hacer énfasis a los derechos ARCO  el cual se encuentra regulado en el artículo 6 apartado A y 16 segundo párrafo de la Constitución Política de los Estados Unidos Mexicanos el cual establece que “…</w:t>
      </w:r>
      <w:r w:rsidRPr="006B7327">
        <w:rPr>
          <w:rFonts w:ascii="Palatino Linotype" w:eastAsia="Times New Roman" w:hAnsi="Palatino Linotype" w:cs="Arial"/>
          <w:i/>
          <w:sz w:val="24"/>
          <w:szCs w:val="24"/>
          <w:lang w:eastAsia="es-ES"/>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Pr="006B7327">
        <w:rPr>
          <w:rFonts w:ascii="Palatino Linotype" w:eastAsia="Times New Roman" w:hAnsi="Palatino Linotype" w:cs="Arial"/>
          <w:i/>
          <w:sz w:val="24"/>
          <w:szCs w:val="24"/>
          <w:lang w:val="es-ES" w:eastAsia="es-ES"/>
        </w:rPr>
        <w:t>”</w:t>
      </w:r>
      <w:r w:rsidRPr="006B7327">
        <w:rPr>
          <w:rFonts w:ascii="Palatino Linotype" w:eastAsia="Times New Roman" w:hAnsi="Palatino Linotype" w:cs="Arial"/>
          <w:sz w:val="24"/>
          <w:szCs w:val="24"/>
          <w:lang w:val="es-ES" w:eastAsia="es-ES"/>
        </w:rPr>
        <w:t>.</w:t>
      </w:r>
    </w:p>
    <w:p w:rsidR="00A9211F" w:rsidRPr="006B7327" w:rsidRDefault="00A9211F" w:rsidP="00A9211F">
      <w:pPr>
        <w:spacing w:after="0" w:line="360" w:lineRule="auto"/>
        <w:ind w:left="426"/>
        <w:contextualSpacing/>
        <w:jc w:val="both"/>
        <w:rPr>
          <w:rFonts w:ascii="Palatino Linotype" w:eastAsia="Times New Roman" w:hAnsi="Palatino Linotype" w:cs="Arial"/>
          <w:sz w:val="24"/>
          <w:szCs w:val="24"/>
          <w:lang w:val="es-ES" w:eastAsia="es-ES"/>
        </w:rPr>
      </w:pPr>
    </w:p>
    <w:p w:rsidR="00A9211F" w:rsidRPr="006B7327" w:rsidRDefault="00A9211F" w:rsidP="00A9211F">
      <w:pPr>
        <w:numPr>
          <w:ilvl w:val="0"/>
          <w:numId w:val="2"/>
        </w:numPr>
        <w:spacing w:after="0" w:line="360" w:lineRule="auto"/>
        <w:ind w:left="426" w:hanging="426"/>
        <w:contextualSpacing/>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sz w:val="24"/>
          <w:szCs w:val="24"/>
          <w:lang w:val="es-ES_tradnl" w:eastAsia="es-ES"/>
        </w:rPr>
        <w:lastRenderedPageBreak/>
        <w:t>Los derechos ARCO derecho humano con que cuenta una persona para la protección de sus datos personales, en posesión de Sujetos Obligados, el tratamiento de los mismo deberán de sujetarse a los principios licitud, finalidad, lealtad, consentimiento, calidad, proporcionalidad, información y responsabilidad.</w:t>
      </w:r>
    </w:p>
    <w:p w:rsidR="00A9211F" w:rsidRPr="006B7327" w:rsidRDefault="00A9211F" w:rsidP="00A9211F">
      <w:pPr>
        <w:pStyle w:val="Prrafodelista"/>
        <w:rPr>
          <w:rFonts w:ascii="Palatino Linotype" w:eastAsia="Times New Roman" w:hAnsi="Palatino Linotype" w:cs="Arial"/>
          <w:sz w:val="24"/>
          <w:szCs w:val="24"/>
          <w:lang w:val="es-ES" w:eastAsia="es-ES"/>
        </w:rPr>
      </w:pPr>
    </w:p>
    <w:p w:rsidR="00A9211F" w:rsidRPr="006B7327" w:rsidRDefault="00A9211F" w:rsidP="00A9211F">
      <w:pPr>
        <w:numPr>
          <w:ilvl w:val="0"/>
          <w:numId w:val="2"/>
        </w:numPr>
        <w:spacing w:after="0" w:line="360" w:lineRule="auto"/>
        <w:ind w:left="426" w:hanging="426"/>
        <w:contextualSpacing/>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sz w:val="24"/>
          <w:szCs w:val="24"/>
          <w:lang w:val="es-ES" w:eastAsia="es-ES"/>
        </w:rPr>
        <w:t xml:space="preserve">Es así, como la finalidad de los derechos ARCO consiste en que en los que sus  titulares puedan solicitar al responsable del manejo de los mismos, el acceso, rectificación, cancelación u oposición al tratamiento de sus datos personales que le conciernen de conformidad con lo señalado por la normatividad aplicable, también lo es, que en el caso que nos acontece, los  </w:t>
      </w:r>
      <w:r w:rsidRPr="006B7327">
        <w:rPr>
          <w:rFonts w:ascii="Palatino Linotype" w:hAnsi="Palatino Linotype" w:cs="Arial"/>
          <w:sz w:val="24"/>
          <w:szCs w:val="24"/>
        </w:rPr>
        <w:t xml:space="preserve">los artículos 122, 128 y 129 fracciones VI, XII y XIII de la Ley de Protección de Datos Personales en Posesión de Sujetos Obligados del Estado de México y Municipios, establecen como supuesto de procedencia </w:t>
      </w:r>
      <w:r w:rsidRPr="006B7327">
        <w:rPr>
          <w:rFonts w:ascii="Palatino Linotype" w:hAnsi="Palatino Linotype" w:cs="Arial"/>
          <w:b/>
          <w:sz w:val="24"/>
          <w:szCs w:val="24"/>
        </w:rPr>
        <w:t>la presentación del recurso por parte del titular o su representante y ante la negativa de acceso a los datos de personas fallecidas lo podrá realizarla la persona que acredite tener un interés jurídico o legítimo,</w:t>
      </w:r>
      <w:r w:rsidRPr="006B7327">
        <w:rPr>
          <w:rFonts w:ascii="Palatino Linotype" w:hAnsi="Palatino Linotype" w:cs="Arial"/>
          <w:sz w:val="24"/>
          <w:szCs w:val="24"/>
        </w:rPr>
        <w:t xml:space="preserve"> en el cual la parte recurrente aduce la titularidad de un interés legítimo sustentado en la presentación de la </w:t>
      </w:r>
      <w:r w:rsidRPr="006B7327">
        <w:rPr>
          <w:rFonts w:ascii="Palatino Linotype" w:eastAsia="Times New Roman" w:hAnsi="Palatino Linotype" w:cs="Arial"/>
          <w:sz w:val="24"/>
          <w:szCs w:val="24"/>
          <w:lang w:val="es-ES" w:eastAsia="es-ES"/>
        </w:rPr>
        <w:t xml:space="preserve">credencial por el lado frontal emitida por el Instituto de Seguridad Social del Estado de México y Municipios de la persona que se presume se requieren los datos personales, misma que será abordada en párrafos subsecuentes. </w:t>
      </w:r>
    </w:p>
    <w:p w:rsidR="00A9211F" w:rsidRPr="006B7327" w:rsidRDefault="00A9211F" w:rsidP="00A9211F">
      <w:pPr>
        <w:pStyle w:val="Prrafodelista"/>
        <w:rPr>
          <w:rFonts w:ascii="Palatino Linotype" w:eastAsia="Times New Roman" w:hAnsi="Palatino Linotype" w:cs="Arial"/>
          <w:sz w:val="24"/>
          <w:szCs w:val="24"/>
          <w:lang w:val="es-ES" w:eastAsia="es-ES"/>
        </w:rPr>
      </w:pPr>
    </w:p>
    <w:p w:rsidR="00A9211F" w:rsidRPr="006B7327" w:rsidRDefault="00A9211F" w:rsidP="00A9211F">
      <w:pPr>
        <w:numPr>
          <w:ilvl w:val="0"/>
          <w:numId w:val="2"/>
        </w:numPr>
        <w:spacing w:after="0" w:line="360" w:lineRule="auto"/>
        <w:ind w:left="426" w:hanging="426"/>
        <w:contextualSpacing/>
        <w:jc w:val="both"/>
        <w:rPr>
          <w:rFonts w:ascii="Palatino Linotype" w:eastAsia="Times New Roman" w:hAnsi="Palatino Linotype" w:cs="Arial"/>
          <w:sz w:val="24"/>
          <w:szCs w:val="24"/>
          <w:lang w:val="es-ES" w:eastAsia="es-ES"/>
        </w:rPr>
      </w:pPr>
      <w:r w:rsidRPr="006B7327">
        <w:rPr>
          <w:rFonts w:ascii="Palatino Linotype" w:hAnsi="Palatino Linotype" w:cs="Arial"/>
          <w:sz w:val="24"/>
          <w:szCs w:val="24"/>
        </w:rPr>
        <w:t xml:space="preserve">Esto es así, puesto que en el caso particular, tratándose de personas fallecidas, </w:t>
      </w:r>
      <w:r w:rsidRPr="006B7327">
        <w:rPr>
          <w:rFonts w:ascii="Palatino Linotype" w:eastAsia="Times New Roman" w:hAnsi="Palatino Linotype" w:cs="Arial"/>
          <w:sz w:val="24"/>
          <w:szCs w:val="24"/>
          <w:lang w:val="es-ES" w:eastAsia="es-ES"/>
        </w:rPr>
        <w:t xml:space="preserve">la legitimación para ejerces los derechos ARCOS se encuentra sujeta a lo </w:t>
      </w:r>
      <w:r w:rsidRPr="006B7327">
        <w:rPr>
          <w:rFonts w:ascii="Palatino Linotype" w:eastAsia="Times New Roman" w:hAnsi="Palatino Linotype" w:cs="Arial"/>
          <w:sz w:val="24"/>
          <w:szCs w:val="24"/>
          <w:lang w:val="es-ES" w:eastAsia="es-ES"/>
        </w:rPr>
        <w:lastRenderedPageBreak/>
        <w:t>estipulado en el artículo 106 párrafos cuarto, quinto y sexto de la Ley de Protección de Datos Personales en Posesión de Sujetos Obligados del Estado de México y Municipios, que a la letra señala:</w:t>
      </w:r>
    </w:p>
    <w:p w:rsidR="00A9211F" w:rsidRPr="006B7327" w:rsidRDefault="00A9211F" w:rsidP="00A9211F">
      <w:pPr>
        <w:pStyle w:val="Prrafodelista"/>
        <w:widowControl w:val="0"/>
        <w:autoSpaceDE w:val="0"/>
        <w:autoSpaceDN w:val="0"/>
        <w:adjustRightInd w:val="0"/>
        <w:spacing w:before="240" w:after="240"/>
        <w:ind w:left="709" w:right="49"/>
        <w:contextualSpacing w:val="0"/>
        <w:jc w:val="both"/>
        <w:rPr>
          <w:rFonts w:ascii="Palatino Linotype" w:hAnsi="Palatino Linotype" w:cs="Arial"/>
          <w:b/>
          <w:i/>
          <w:sz w:val="24"/>
          <w:szCs w:val="24"/>
        </w:rPr>
      </w:pPr>
      <w:r w:rsidRPr="006B7327">
        <w:rPr>
          <w:rFonts w:ascii="Palatino Linotype" w:hAnsi="Palatino Linotype" w:cs="Arial"/>
          <w:b/>
          <w:i/>
          <w:sz w:val="24"/>
          <w:szCs w:val="24"/>
        </w:rPr>
        <w:t xml:space="preserve">“Legitimación para Ejercer los Derechos ARCO </w:t>
      </w:r>
    </w:p>
    <w:p w:rsidR="00A9211F" w:rsidRPr="006B7327" w:rsidRDefault="00A9211F" w:rsidP="00A9211F">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6B7327">
        <w:rPr>
          <w:rFonts w:ascii="Palatino Linotype" w:hAnsi="Palatino Linotype" w:cs="Arial"/>
          <w:b/>
          <w:i/>
          <w:sz w:val="24"/>
          <w:szCs w:val="24"/>
        </w:rPr>
        <w:t>Artículo 106.</w:t>
      </w:r>
      <w:r w:rsidRPr="006B7327">
        <w:rPr>
          <w:rFonts w:ascii="Palatino Linotype" w:hAnsi="Palatino Linotype" w:cs="Arial"/>
          <w:i/>
          <w:sz w:val="24"/>
          <w:szCs w:val="24"/>
        </w:rPr>
        <w:t xml:space="preserve"> …</w:t>
      </w:r>
    </w:p>
    <w:p w:rsidR="00A9211F" w:rsidRPr="006B7327" w:rsidRDefault="00A9211F" w:rsidP="00A9211F">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6B7327">
        <w:rPr>
          <w:rFonts w:ascii="Palatino Linotype" w:hAnsi="Palatino Linotype" w:cs="Arial"/>
          <w:i/>
          <w:sz w:val="24"/>
          <w:szCs w:val="24"/>
        </w:rPr>
        <w:t>…</w:t>
      </w:r>
    </w:p>
    <w:p w:rsidR="00A9211F" w:rsidRPr="006B7327" w:rsidRDefault="00A9211F" w:rsidP="00A9211F">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6B7327">
        <w:rPr>
          <w:rFonts w:ascii="Palatino Linotype" w:hAnsi="Palatino Linotype" w:cs="Arial"/>
          <w:i/>
          <w:sz w:val="24"/>
          <w:szCs w:val="24"/>
          <w:u w:val="single"/>
        </w:rPr>
        <w:t>Tratándose de datos personales concernientes a personas fallecidas o de quienes haya sido declarada judicialmente su presunción de muerte, la persona que acredite tener un interés jurídico</w:t>
      </w:r>
      <w:r w:rsidRPr="006B7327">
        <w:rPr>
          <w:rFonts w:ascii="Palatino Linotype" w:hAnsi="Palatino Linotype" w:cs="Arial"/>
          <w:i/>
          <w:sz w:val="24"/>
          <w:szCs w:val="24"/>
        </w:rPr>
        <w:t xml:space="preserve"> de conformidad con las leyes aplicables, podrá ejercer los derechos que le confiere el presente capítulo, siempre que el titular de los derechos hubiere expresado fehacientemente su voluntad en tal sentido, o que exista un mandato judicial para dicho efecto.</w:t>
      </w:r>
    </w:p>
    <w:p w:rsidR="00A9211F" w:rsidRPr="006B7327" w:rsidRDefault="00A9211F" w:rsidP="00A9211F">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6B7327">
        <w:rPr>
          <w:rFonts w:ascii="Palatino Linotype" w:hAnsi="Palatino Linotype" w:cs="Arial"/>
          <w:i/>
          <w:sz w:val="24"/>
          <w:szCs w:val="24"/>
        </w:rPr>
        <w:t xml:space="preserve">El titular podrá autorizar dentro de una cláusula del testamento a las personas que podrán ejercer sus derechos ARCO al momento del fallecimiento. </w:t>
      </w:r>
    </w:p>
    <w:p w:rsidR="00A9211F" w:rsidRPr="006B7327" w:rsidRDefault="00A9211F" w:rsidP="00A9211F">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6B7327">
        <w:rPr>
          <w:rFonts w:ascii="Palatino Linotype" w:hAnsi="Palatino Linotype" w:cs="Arial"/>
          <w:i/>
          <w:sz w:val="24"/>
          <w:szCs w:val="24"/>
        </w:rPr>
        <w:t>El ejercicio de los derechos ARCO por persona distinta a su titular o a su representante, será posible, excepcionalmente, en aquellos supuestos previstos por disposición legal, o en su caso, por mandato judicial.”</w:t>
      </w:r>
    </w:p>
    <w:p w:rsidR="00A9211F" w:rsidRPr="006B7327" w:rsidRDefault="00A9211F" w:rsidP="00A9211F">
      <w:pPr>
        <w:pStyle w:val="Prrafodelista"/>
        <w:widowControl w:val="0"/>
        <w:autoSpaceDE w:val="0"/>
        <w:autoSpaceDN w:val="0"/>
        <w:adjustRightInd w:val="0"/>
        <w:spacing w:before="240" w:after="240"/>
        <w:ind w:left="709" w:right="49"/>
        <w:contextualSpacing w:val="0"/>
        <w:jc w:val="both"/>
        <w:rPr>
          <w:rFonts w:ascii="Palatino Linotype" w:hAnsi="Palatino Linotype" w:cs="Arial"/>
          <w:i/>
          <w:sz w:val="24"/>
          <w:szCs w:val="24"/>
        </w:rPr>
      </w:pPr>
      <w:r w:rsidRPr="006B7327">
        <w:rPr>
          <w:rFonts w:ascii="Palatino Linotype" w:hAnsi="Palatino Linotype" w:cs="Arial"/>
          <w:i/>
          <w:sz w:val="24"/>
          <w:szCs w:val="24"/>
        </w:rPr>
        <w:t>(Énfasis añadido)</w:t>
      </w:r>
    </w:p>
    <w:p w:rsidR="00A9211F" w:rsidRPr="006B7327" w:rsidRDefault="00A9211F" w:rsidP="00A9211F">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cs="Arial"/>
          <w:sz w:val="24"/>
          <w:szCs w:val="24"/>
          <w:lang w:val="es-ES" w:eastAsia="es-ES"/>
        </w:rPr>
      </w:pPr>
      <w:r w:rsidRPr="006B7327">
        <w:rPr>
          <w:rFonts w:ascii="Palatino Linotype" w:hAnsi="Palatino Linotype" w:cs="Arial"/>
          <w:sz w:val="24"/>
          <w:szCs w:val="24"/>
        </w:rPr>
        <w:t>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6B7327">
        <w:rPr>
          <w:rFonts w:ascii="Palatino Linotype" w:eastAsia="Times New Roman" w:hAnsi="Palatino Linotype" w:cs="Arial"/>
          <w:sz w:val="24"/>
          <w:szCs w:val="24"/>
          <w:lang w:val="es-ES" w:eastAsia="es-ES"/>
        </w:rPr>
        <w:t xml:space="preserve"> a los derechos de </w:t>
      </w:r>
      <w:r w:rsidRPr="006B7327">
        <w:rPr>
          <w:rFonts w:ascii="Palatino Linotype" w:eastAsia="Times New Roman" w:hAnsi="Palatino Linotype" w:cs="Arial"/>
          <w:sz w:val="24"/>
          <w:szCs w:val="24"/>
          <w:lang w:val="es-ES" w:eastAsia="es-ES"/>
        </w:rPr>
        <w:lastRenderedPageBreak/>
        <w:t>acceso, rectificación, cancelación y oposición al tratamiento de datos personales.</w:t>
      </w:r>
    </w:p>
    <w:p w:rsidR="00A9211F" w:rsidRPr="006B7327" w:rsidRDefault="00A9211F" w:rsidP="00A9211F">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sz w:val="24"/>
          <w:szCs w:val="24"/>
          <w:lang w:val="es-ES" w:eastAsia="es-ES"/>
        </w:rPr>
        <w:t xml:space="preserve">Ordenamiento al cual se encuentran sujetos los titulares de las unidades de transparencia de los Sujetos Obligados,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6B7327">
        <w:rPr>
          <w:rFonts w:ascii="Palatino Linotype" w:eastAsia="Times New Roman" w:hAnsi="Palatino Linotype" w:cs="Arial"/>
          <w:sz w:val="24"/>
          <w:szCs w:val="24"/>
          <w:u w:val="single"/>
          <w:lang w:val="es-ES" w:eastAsia="es-ES"/>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6B7327">
        <w:rPr>
          <w:rFonts w:ascii="Palatino Linotype" w:eastAsia="Times New Roman" w:hAnsi="Palatino Linotype" w:cs="Arial"/>
          <w:sz w:val="24"/>
          <w:szCs w:val="24"/>
          <w:lang w:val="es-ES" w:eastAsia="es-ES"/>
        </w:rPr>
        <w:t>, para lo cual la Ley reconoce expresamente ese interés jurídico sobre quienes el titular de los derechos hubiere expresado fehacientemente su voluntad en tal sentido, incluyendo la cláusula testamentaria o que exista un mandato judicial para dicho efecto.</w:t>
      </w:r>
    </w:p>
    <w:p w:rsidR="00A9211F" w:rsidRPr="006B7327" w:rsidRDefault="00A9211F" w:rsidP="00A9211F">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cs="Arial"/>
          <w:sz w:val="24"/>
          <w:szCs w:val="24"/>
          <w:lang w:val="es-ES" w:eastAsia="es-ES"/>
        </w:rPr>
      </w:pPr>
      <w:r w:rsidRPr="006B7327">
        <w:rPr>
          <w:rFonts w:ascii="Palatino Linotype" w:eastAsia="Times New Roman" w:hAnsi="Palatino Linotype"/>
          <w:sz w:val="24"/>
          <w:szCs w:val="24"/>
          <w:lang w:eastAsia="es-MX"/>
        </w:rPr>
        <w:t xml:space="preserve">Para una mayor referencia, conviene señalar que </w:t>
      </w:r>
      <w:r w:rsidRPr="006B7327">
        <w:rPr>
          <w:rFonts w:ascii="Palatino Linotype" w:hAnsi="Palatino Linotype" w:cs="Arial"/>
          <w:sz w:val="24"/>
          <w:szCs w:val="24"/>
        </w:rPr>
        <w:t xml:space="preserve">el Poder Judicial de la Federación a través de </w:t>
      </w:r>
      <w:r w:rsidRPr="006B7327">
        <w:rPr>
          <w:rFonts w:ascii="Palatino Linotype" w:hAnsi="Palatino Linotype" w:cs="Arial"/>
          <w:sz w:val="24"/>
          <w:szCs w:val="24"/>
          <w:lang w:eastAsia="es-MX"/>
        </w:rPr>
        <w:t>las Tesis y Jurisprudencias con números de registro 181719, 170500 de la Novena y Décima Épocas, sustentadas por el Segundo Tribunal Colegiado en Materia Civil del Segundo Circuito, y por la Primera y Segunda Salas de la Suprema Corte de Justicia de la Nación</w:t>
      </w:r>
      <w:r w:rsidRPr="006B7327">
        <w:rPr>
          <w:rStyle w:val="Refdenotaalpie"/>
          <w:rFonts w:ascii="Palatino Linotype" w:hAnsi="Palatino Linotype" w:cs="Arial"/>
          <w:sz w:val="24"/>
          <w:szCs w:val="24"/>
          <w:lang w:eastAsia="es-MX"/>
        </w:rPr>
        <w:footnoteReference w:id="4"/>
      </w:r>
      <w:r w:rsidRPr="006B7327">
        <w:rPr>
          <w:rFonts w:ascii="Palatino Linotype" w:hAnsi="Palatino Linotype" w:cs="Arial"/>
          <w:sz w:val="24"/>
          <w:szCs w:val="24"/>
          <w:lang w:eastAsia="es-MX"/>
        </w:rPr>
        <w:t xml:space="preserve">, se han pronunciado en cuanto a los intereses jurídico y legítimo en los términos </w:t>
      </w:r>
      <w:r w:rsidRPr="006B7327">
        <w:rPr>
          <w:rFonts w:ascii="Palatino Linotype" w:hAnsi="Palatino Linotype" w:cs="Arial"/>
          <w:sz w:val="24"/>
          <w:szCs w:val="24"/>
          <w:lang w:eastAsia="es-MX"/>
        </w:rPr>
        <w:lastRenderedPageBreak/>
        <w:t>siguientes:</w:t>
      </w:r>
    </w:p>
    <w:p w:rsidR="00A9211F" w:rsidRPr="006B7327" w:rsidRDefault="00A9211F" w:rsidP="00A9211F">
      <w:pPr>
        <w:spacing w:before="240" w:after="240"/>
        <w:ind w:left="567" w:right="51"/>
        <w:jc w:val="both"/>
        <w:rPr>
          <w:rFonts w:ascii="Palatino Linotype" w:hAnsi="Palatino Linotype" w:cs="Bookman Old Style"/>
          <w:i/>
          <w:sz w:val="24"/>
          <w:szCs w:val="24"/>
        </w:rPr>
      </w:pPr>
      <w:r w:rsidRPr="006B7327">
        <w:rPr>
          <w:rFonts w:ascii="Palatino Linotype" w:hAnsi="Palatino Linotype" w:cs="Bookman Old Style"/>
          <w:i/>
          <w:sz w:val="24"/>
          <w:szCs w:val="24"/>
        </w:rPr>
        <w:t>“</w:t>
      </w:r>
      <w:r w:rsidRPr="006B7327">
        <w:rPr>
          <w:rFonts w:ascii="Palatino Linotype" w:hAnsi="Palatino Linotype" w:cs="Bookman Old Style"/>
          <w:b/>
          <w:i/>
          <w:sz w:val="24"/>
          <w:szCs w:val="24"/>
          <w:u w:val="single"/>
        </w:rPr>
        <w:t>INTERÉS JURÍDICO, CONCEPTO DE</w:t>
      </w:r>
      <w:r w:rsidRPr="006B7327">
        <w:rPr>
          <w:rFonts w:ascii="Palatino Linotype" w:hAnsi="Palatino Linotype" w:cs="Bookman Old Style"/>
          <w:i/>
          <w:sz w:val="24"/>
          <w:szCs w:val="24"/>
        </w:rPr>
        <w:t xml:space="preserve">. Tratándose del juicio de garantías, </w:t>
      </w:r>
      <w:r w:rsidRPr="006B7327">
        <w:rPr>
          <w:rFonts w:ascii="Palatino Linotype" w:hAnsi="Palatino Linotype" w:cs="Bookman Old Style"/>
          <w:b/>
          <w:i/>
          <w:sz w:val="24"/>
          <w:szCs w:val="24"/>
          <w:u w:val="single"/>
        </w:rPr>
        <w:t>el interés jurídico</w:t>
      </w:r>
      <w:r w:rsidRPr="006B7327">
        <w:rPr>
          <w:rFonts w:ascii="Palatino Linotype" w:hAnsi="Palatino Linotype" w:cs="Bookman Old Style"/>
          <w:i/>
          <w:sz w:val="24"/>
          <w:szCs w:val="24"/>
        </w:rPr>
        <w:t xml:space="preserve"> como noción fundamental </w:t>
      </w:r>
      <w:r w:rsidRPr="006B7327">
        <w:rPr>
          <w:rFonts w:ascii="Palatino Linotype" w:hAnsi="Palatino Linotype" w:cs="Bookman Old Style"/>
          <w:b/>
          <w:i/>
          <w:sz w:val="24"/>
          <w:szCs w:val="24"/>
          <w:u w:val="single"/>
        </w:rPr>
        <w:t>lo constituye la existencia o actualización de un derecho subjetivo jurídicamente tutelado que puede afectarse</w:t>
      </w:r>
      <w:r w:rsidRPr="006B7327">
        <w:rPr>
          <w:rFonts w:ascii="Palatino Linotype" w:hAnsi="Palatino Linotype" w:cs="Bookman Old Style"/>
          <w:i/>
          <w:sz w:val="24"/>
          <w:szCs w:val="24"/>
        </w:rPr>
        <w:t xml:space="preserve">, ya sea por la violación de ese derecho, o bien, por el desconocimiento del mismo </w:t>
      </w:r>
      <w:r w:rsidRPr="006B7327">
        <w:rPr>
          <w:rFonts w:ascii="Palatino Linotype" w:hAnsi="Palatino Linotype" w:cs="Bookman Old Style"/>
          <w:b/>
          <w:i/>
          <w:sz w:val="24"/>
          <w:szCs w:val="24"/>
          <w:u w:val="single"/>
        </w:rPr>
        <w:t>por virtud de un acto de autoridad, de ahí que sólo el titular de algún derecho legítimamente protegible pueda acudir ante el órgano jurisdiccional</w:t>
      </w:r>
      <w:r w:rsidRPr="006B7327">
        <w:rPr>
          <w:rFonts w:ascii="Palatino Linotype" w:hAnsi="Palatino Linotype" w:cs="Bookman Old Style"/>
          <w:i/>
          <w:sz w:val="24"/>
          <w:szCs w:val="24"/>
        </w:rPr>
        <w:t xml:space="preserve"> de amparo en demanda de que cese esa situación </w:t>
      </w:r>
      <w:r w:rsidRPr="006B7327">
        <w:rPr>
          <w:rFonts w:ascii="Palatino Linotype" w:hAnsi="Palatino Linotype" w:cs="Bookman Old Style"/>
          <w:i/>
          <w:sz w:val="24"/>
          <w:szCs w:val="24"/>
          <w:u w:val="single"/>
        </w:rPr>
        <w:t>cuando se transgreda, por la actuación de cierta autoridad,</w:t>
      </w:r>
      <w:r w:rsidRPr="006B7327">
        <w:rPr>
          <w:rFonts w:ascii="Palatino Linotype" w:hAnsi="Palatino Linotype" w:cs="Bookman Old Style"/>
          <w:i/>
          <w:sz w:val="24"/>
          <w:szCs w:val="24"/>
        </w:rPr>
        <w:t xml:space="preserve"> determinada garantía.”</w:t>
      </w:r>
    </w:p>
    <w:p w:rsidR="00A9211F" w:rsidRPr="006B7327" w:rsidRDefault="00A9211F" w:rsidP="00A9211F">
      <w:pPr>
        <w:spacing w:before="240" w:after="0"/>
        <w:ind w:left="567" w:right="51"/>
        <w:jc w:val="both"/>
        <w:rPr>
          <w:rFonts w:ascii="Palatino Linotype" w:hAnsi="Palatino Linotype" w:cs="Bookman Old Style"/>
          <w:i/>
          <w:sz w:val="24"/>
          <w:szCs w:val="24"/>
        </w:rPr>
      </w:pPr>
      <w:r w:rsidRPr="006B7327">
        <w:rPr>
          <w:rFonts w:ascii="Palatino Linotype" w:hAnsi="Palatino Linotype" w:cs="Bookman Old Style"/>
          <w:i/>
          <w:sz w:val="24"/>
          <w:szCs w:val="24"/>
        </w:rPr>
        <w:t>“</w:t>
      </w:r>
      <w:r w:rsidRPr="006B7327">
        <w:rPr>
          <w:rFonts w:ascii="Palatino Linotype" w:hAnsi="Palatino Linotype" w:cs="Bookman Old Style"/>
          <w:b/>
          <w:i/>
          <w:sz w:val="24"/>
          <w:szCs w:val="24"/>
        </w:rPr>
        <w:t>INTERÉS JURÍDICO EN EL AMPARO. ELEMENTOS CONSTITUTIVOS</w:t>
      </w:r>
      <w:r w:rsidRPr="006B7327">
        <w:rPr>
          <w:rFonts w:ascii="Palatino Linotype" w:hAnsi="Palatino Linotype" w:cs="Bookman Old Style"/>
          <w:i/>
          <w:sz w:val="24"/>
          <w:szCs w:val="24"/>
        </w:rPr>
        <w:t xml:space="preserve">. </w:t>
      </w:r>
      <w:r w:rsidRPr="006B7327">
        <w:rPr>
          <w:rFonts w:ascii="Palatino Linotype" w:hAnsi="Palatino Linotype" w:cs="Bookman Old Style"/>
          <w:b/>
          <w:i/>
          <w:sz w:val="24"/>
          <w:szCs w:val="24"/>
          <w:u w:val="single"/>
        </w:rPr>
        <w:t>El artículo 4o. de la Ley de Amparo contempla, para la procedencia del juicio de garantías</w:t>
      </w:r>
      <w:r w:rsidRPr="006B7327">
        <w:rPr>
          <w:rFonts w:ascii="Palatino Linotype" w:hAnsi="Palatino Linotype" w:cs="Bookman Old Style"/>
          <w:i/>
          <w:sz w:val="24"/>
          <w:szCs w:val="24"/>
        </w:rPr>
        <w:t xml:space="preserve">, </w:t>
      </w:r>
      <w:r w:rsidRPr="006B7327">
        <w:rPr>
          <w:rFonts w:ascii="Palatino Linotype" w:hAnsi="Palatino Linotype" w:cs="Bookman Old Style"/>
          <w:b/>
          <w:i/>
          <w:sz w:val="24"/>
          <w:szCs w:val="24"/>
          <w:u w:val="single"/>
        </w:rPr>
        <w:t>que el acto reclamado cause un perjuicio a la persona física o moral que se estime afectada, lo que ocurre cuando ese acto lesiona sus intereses jurídicos</w:t>
      </w:r>
      <w:r w:rsidRPr="006B7327">
        <w:rPr>
          <w:rFonts w:ascii="Palatino Linotype" w:hAnsi="Palatino Linotype" w:cs="Bookman Old Style"/>
          <w:i/>
          <w:sz w:val="24"/>
          <w:szCs w:val="24"/>
        </w:rPr>
        <w:t xml:space="preserve">, en su persona o en su patrimonio, y que de manera concomitante es lo que provoca la génesis de la acción constitucional. Así, como </w:t>
      </w:r>
      <w:r w:rsidRPr="006B7327">
        <w:rPr>
          <w:rFonts w:ascii="Palatino Linotype" w:hAnsi="Palatino Linotype" w:cs="Bookman Old Style"/>
          <w:b/>
          <w:i/>
          <w:sz w:val="24"/>
          <w:szCs w:val="24"/>
          <w:u w:val="single"/>
        </w:rPr>
        <w:t>la tutela del derecho sólo comprende a bienes jurídicos reales y objetivos</w:t>
      </w:r>
      <w:r w:rsidRPr="006B7327">
        <w:rPr>
          <w:rFonts w:ascii="Palatino Linotype" w:hAnsi="Palatino Linotype" w:cs="Bookman Old Style"/>
          <w:i/>
          <w:sz w:val="24"/>
          <w:szCs w:val="24"/>
        </w:rPr>
        <w:t xml:space="preserve">, las afectaciones deben igualmente ser </w:t>
      </w:r>
      <w:r w:rsidRPr="006B7327">
        <w:rPr>
          <w:rFonts w:ascii="Palatino Linotype" w:hAnsi="Palatino Linotype" w:cs="Bookman Old Style"/>
          <w:b/>
          <w:i/>
          <w:sz w:val="24"/>
          <w:szCs w:val="24"/>
          <w:u w:val="single"/>
        </w:rPr>
        <w:t>susceptibles de apreciarse en forma objetiva</w:t>
      </w:r>
      <w:r w:rsidRPr="006B7327">
        <w:rPr>
          <w:rFonts w:ascii="Palatino Linotype" w:hAnsi="Palatino Linotype" w:cs="Bookman Old Style"/>
          <w:i/>
          <w:sz w:val="24"/>
          <w:szCs w:val="24"/>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6B7327">
        <w:rPr>
          <w:rFonts w:ascii="Palatino Linotype" w:hAnsi="Palatino Linotype" w:cs="Bookman Old Style"/>
          <w:b/>
          <w:i/>
          <w:sz w:val="24"/>
          <w:szCs w:val="24"/>
          <w:u w:val="single"/>
        </w:rPr>
        <w:t>sin que pueda hablarse entonces de agravio cuando los daños o perjuicios que una persona puede sufrir, no afecten real y efectivamente sus bienes jurídicamente amparados</w:t>
      </w:r>
      <w:r w:rsidRPr="006B7327">
        <w:rPr>
          <w:rFonts w:ascii="Palatino Linotype" w:hAnsi="Palatino Linotype" w:cs="Bookman Old Style"/>
          <w:i/>
          <w:sz w:val="24"/>
          <w:szCs w:val="24"/>
        </w:rPr>
        <w:t>.</w:t>
      </w:r>
    </w:p>
    <w:p w:rsidR="00B04A84" w:rsidRPr="006B7327" w:rsidRDefault="00B04A84" w:rsidP="00A9211F">
      <w:pPr>
        <w:spacing w:before="240" w:after="0"/>
        <w:ind w:left="567" w:right="51"/>
        <w:jc w:val="both"/>
        <w:rPr>
          <w:rFonts w:ascii="Palatino Linotype" w:hAnsi="Palatino Linotype" w:cs="Bookman Old Style"/>
          <w:i/>
          <w:sz w:val="24"/>
          <w:szCs w:val="24"/>
        </w:rPr>
      </w:pPr>
    </w:p>
    <w:p w:rsidR="00A9211F" w:rsidRPr="006B7327" w:rsidRDefault="00A9211F" w:rsidP="00A9211F">
      <w:pPr>
        <w:pStyle w:val="Prrafodelista"/>
        <w:widowControl w:val="0"/>
        <w:numPr>
          <w:ilvl w:val="0"/>
          <w:numId w:val="2"/>
        </w:numPr>
        <w:autoSpaceDE w:val="0"/>
        <w:autoSpaceDN w:val="0"/>
        <w:adjustRightInd w:val="0"/>
        <w:spacing w:after="240" w:line="360" w:lineRule="auto"/>
        <w:ind w:right="49"/>
        <w:contextualSpacing w:val="0"/>
        <w:jc w:val="both"/>
        <w:rPr>
          <w:rFonts w:ascii="Palatino Linotype" w:hAnsi="Palatino Linotype" w:cs="Arial"/>
          <w:sz w:val="24"/>
          <w:szCs w:val="24"/>
        </w:rPr>
      </w:pPr>
      <w:r w:rsidRPr="006B7327">
        <w:rPr>
          <w:rFonts w:ascii="Palatino Linotype" w:hAnsi="Palatino Linotype" w:cs="Arial"/>
          <w:sz w:val="24"/>
          <w:szCs w:val="24"/>
        </w:rPr>
        <w:t xml:space="preserve">En ese sentido, la representación legal de las personas fallecidas, se adquiere una vez denunciada la sucesión, ya sea testamentaria o </w:t>
      </w:r>
      <w:proofErr w:type="spellStart"/>
      <w:r w:rsidRPr="006B7327">
        <w:rPr>
          <w:rFonts w:ascii="Palatino Linotype" w:hAnsi="Palatino Linotype" w:cs="Arial"/>
          <w:sz w:val="24"/>
          <w:szCs w:val="24"/>
        </w:rPr>
        <w:t>intestamentaria</w:t>
      </w:r>
      <w:proofErr w:type="spellEnd"/>
      <w:r w:rsidRPr="006B7327">
        <w:rPr>
          <w:rFonts w:ascii="Palatino Linotype" w:hAnsi="Palatino Linotype" w:cs="Arial"/>
          <w:sz w:val="24"/>
          <w:szCs w:val="24"/>
        </w:rPr>
        <w:t xml:space="preserve">, ante el Juez de lo Familiar, quien a través de su auto declaratorio de herederos y </w:t>
      </w:r>
      <w:r w:rsidRPr="006B7327">
        <w:rPr>
          <w:rFonts w:ascii="Palatino Linotype" w:hAnsi="Palatino Linotype" w:cs="Arial"/>
          <w:sz w:val="24"/>
          <w:szCs w:val="24"/>
        </w:rPr>
        <w:lastRenderedPageBreak/>
        <w:t xml:space="preserve">designación de albacea determinará la persona representante del de </w:t>
      </w:r>
      <w:proofErr w:type="spellStart"/>
      <w:r w:rsidRPr="006B7327">
        <w:rPr>
          <w:rFonts w:ascii="Palatino Linotype" w:hAnsi="Palatino Linotype" w:cs="Arial"/>
          <w:i/>
          <w:sz w:val="24"/>
          <w:szCs w:val="24"/>
        </w:rPr>
        <w:t>cujus</w:t>
      </w:r>
      <w:proofErr w:type="spellEnd"/>
      <w:r w:rsidRPr="006B7327">
        <w:rPr>
          <w:rStyle w:val="Refdenotaalpie"/>
          <w:rFonts w:ascii="Palatino Linotype" w:hAnsi="Palatino Linotype" w:cs="Arial"/>
          <w:i/>
          <w:sz w:val="24"/>
          <w:szCs w:val="24"/>
          <w:lang w:val="es-ES_tradnl"/>
        </w:rPr>
        <w:footnoteReference w:id="5"/>
      </w:r>
      <w:r w:rsidRPr="006B7327">
        <w:rPr>
          <w:rFonts w:ascii="Palatino Linotype" w:hAnsi="Palatino Linotype" w:cs="Arial"/>
          <w:i/>
          <w:sz w:val="24"/>
          <w:szCs w:val="24"/>
          <w:lang w:val="es-ES_tradnl"/>
        </w:rPr>
        <w:t xml:space="preserve">, </w:t>
      </w:r>
      <w:r w:rsidRPr="006B7327">
        <w:rPr>
          <w:rFonts w:ascii="Palatino Linotype" w:hAnsi="Palatino Linotype" w:cs="Arial"/>
          <w:sz w:val="24"/>
          <w:szCs w:val="24"/>
        </w:rPr>
        <w:t>conforme a las formalidades previstas en la normatividad aplicable.</w:t>
      </w:r>
    </w:p>
    <w:p w:rsidR="00962A48" w:rsidRPr="006B7327" w:rsidRDefault="00962A48" w:rsidP="00193FCA">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sz w:val="24"/>
          <w:szCs w:val="24"/>
          <w:lang w:val="es-ES" w:eastAsia="es-ES"/>
        </w:rPr>
        <w:t xml:space="preserve">Sin embargo, la misma Ley en la materia señala que cuando se trate de la interposición de un recurso de revisión </w:t>
      </w:r>
      <w:r w:rsidRPr="006B7327">
        <w:rPr>
          <w:rFonts w:ascii="Palatino Linotype" w:eastAsia="Times New Roman" w:hAnsi="Palatino Linotype" w:cs="Arial"/>
          <w:sz w:val="24"/>
          <w:szCs w:val="24"/>
          <w:lang w:eastAsia="es-ES"/>
        </w:rPr>
        <w:t>de datos personales concernientes a personas fallecidas, podrá realizarla la persona que acredite tener un interés jurídico o legítimo.</w:t>
      </w:r>
      <w:r w:rsidRPr="006B7327">
        <w:rPr>
          <w:rStyle w:val="Refdenotaalpie"/>
          <w:rFonts w:ascii="Palatino Linotype" w:eastAsia="Times New Roman" w:hAnsi="Palatino Linotype" w:cs="Arial"/>
          <w:sz w:val="24"/>
          <w:szCs w:val="24"/>
          <w:lang w:eastAsia="es-ES"/>
        </w:rPr>
        <w:footnoteReference w:id="6"/>
      </w:r>
    </w:p>
    <w:p w:rsidR="00393CC9" w:rsidRPr="006B7327" w:rsidRDefault="00962A48"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eastAsia="Times New Roman" w:hAnsi="Palatino Linotype"/>
          <w:lang w:eastAsia="es-MX"/>
        </w:rPr>
      </w:pPr>
      <w:r w:rsidRPr="006B7327">
        <w:rPr>
          <w:rFonts w:ascii="Palatino Linotype" w:hAnsi="Palatino Linotype" w:cs="Arial"/>
          <w:sz w:val="24"/>
          <w:szCs w:val="24"/>
        </w:rPr>
        <w:t xml:space="preserve">Es </w:t>
      </w:r>
      <w:r w:rsidR="00393CC9" w:rsidRPr="006B7327">
        <w:rPr>
          <w:rFonts w:ascii="Palatino Linotype" w:hAnsi="Palatino Linotype" w:cs="Arial"/>
          <w:sz w:val="24"/>
          <w:szCs w:val="24"/>
        </w:rPr>
        <w:t>así</w:t>
      </w:r>
      <w:r w:rsidRPr="006B7327">
        <w:rPr>
          <w:rFonts w:ascii="Palatino Linotype" w:hAnsi="Palatino Linotype" w:cs="Arial"/>
          <w:sz w:val="24"/>
          <w:szCs w:val="24"/>
        </w:rPr>
        <w:t xml:space="preserve">, </w:t>
      </w:r>
      <w:r w:rsidRPr="006B7327">
        <w:rPr>
          <w:rFonts w:ascii="Palatino Linotype" w:eastAsia="Times New Roman" w:hAnsi="Palatino Linotype" w:cs="Arial"/>
          <w:sz w:val="24"/>
          <w:szCs w:val="24"/>
          <w:lang w:eastAsia="es-ES"/>
        </w:rPr>
        <w:t>como</w:t>
      </w:r>
      <w:r w:rsidRPr="006B7327">
        <w:rPr>
          <w:rFonts w:ascii="Palatino Linotype" w:hAnsi="Palatino Linotype" w:cs="Arial"/>
          <w:sz w:val="24"/>
          <w:szCs w:val="24"/>
        </w:rPr>
        <w:t xml:space="preserve"> se procede al estudio respecto del interés legítimo</w:t>
      </w:r>
      <w:r w:rsidR="00393CC9" w:rsidRPr="006B7327">
        <w:rPr>
          <w:rFonts w:ascii="Palatino Linotype" w:hAnsi="Palatino Linotype" w:cs="Arial"/>
          <w:sz w:val="24"/>
          <w:szCs w:val="24"/>
        </w:rPr>
        <w:t xml:space="preserve">, en cual, la recurrente en su solicitud como en su recurso de revisión, señaló que </w:t>
      </w:r>
      <w:r w:rsidR="00225B61" w:rsidRPr="006B7327">
        <w:rPr>
          <w:rFonts w:ascii="Palatino Linotype" w:hAnsi="Palatino Linotype" w:cs="Arial"/>
          <w:sz w:val="24"/>
          <w:szCs w:val="24"/>
        </w:rPr>
        <w:t>requería</w:t>
      </w:r>
      <w:r w:rsidR="00393CC9" w:rsidRPr="006B7327">
        <w:rPr>
          <w:rFonts w:ascii="Palatino Linotype" w:hAnsi="Palatino Linotype" w:cs="Arial"/>
          <w:sz w:val="24"/>
          <w:szCs w:val="24"/>
        </w:rPr>
        <w:t xml:space="preserve"> del expediente clínico para acceder a su </w:t>
      </w:r>
      <w:r w:rsidR="00225B61" w:rsidRPr="006B7327">
        <w:rPr>
          <w:rFonts w:ascii="Palatino Linotype" w:hAnsi="Palatino Linotype" w:cs="Arial"/>
          <w:sz w:val="24"/>
          <w:szCs w:val="24"/>
        </w:rPr>
        <w:t>pensión</w:t>
      </w:r>
      <w:r w:rsidR="00393CC9" w:rsidRPr="006B7327">
        <w:rPr>
          <w:rFonts w:ascii="Palatino Linotype" w:hAnsi="Palatino Linotype" w:cs="Arial"/>
          <w:sz w:val="24"/>
          <w:szCs w:val="24"/>
        </w:rPr>
        <w:t xml:space="preserve">, situación que </w:t>
      </w:r>
      <w:r w:rsidR="00225B61" w:rsidRPr="006B7327">
        <w:rPr>
          <w:rFonts w:ascii="Palatino Linotype" w:hAnsi="Palatino Linotype" w:cs="Arial"/>
          <w:sz w:val="24"/>
          <w:szCs w:val="24"/>
        </w:rPr>
        <w:t xml:space="preserve">nos permite </w:t>
      </w:r>
      <w:r w:rsidR="00393CC9" w:rsidRPr="006B7327">
        <w:rPr>
          <w:rFonts w:ascii="Palatino Linotype" w:hAnsi="Palatino Linotype" w:cs="Arial"/>
          <w:sz w:val="24"/>
          <w:szCs w:val="24"/>
        </w:rPr>
        <w:t>determinar los alcances del interés legítimo a que alude el artículo 122 de la Ley de Protección de Datos Personales en Posesión de Sujetos Obligados del Estado de México y Municipios, para lo cual se remite a la definición legal prevista por el artículo 231 del Código de Procedimientos Administrativos del Estado de México, de aplicación supletoria a la Ley de Protección de Datos Personales por disposición de su artículo 11; numeral que, para mayor ilustración, se transcribe a continuación:</w:t>
      </w:r>
    </w:p>
    <w:p w:rsidR="00393CC9" w:rsidRPr="006B7327" w:rsidRDefault="00393CC9" w:rsidP="00393CC9">
      <w:pPr>
        <w:pStyle w:val="Prrafodelista"/>
        <w:widowControl w:val="0"/>
        <w:autoSpaceDE w:val="0"/>
        <w:autoSpaceDN w:val="0"/>
        <w:adjustRightInd w:val="0"/>
        <w:spacing w:before="240" w:after="240"/>
        <w:ind w:left="567" w:right="51"/>
        <w:contextualSpacing w:val="0"/>
        <w:jc w:val="both"/>
        <w:rPr>
          <w:rFonts w:ascii="Palatino Linotype" w:hAnsi="Palatino Linotype"/>
          <w:i/>
          <w:u w:val="single"/>
        </w:rPr>
      </w:pPr>
      <w:r w:rsidRPr="006B7327">
        <w:rPr>
          <w:rFonts w:ascii="Palatino Linotype" w:hAnsi="Palatino Linotype"/>
          <w:i/>
        </w:rPr>
        <w:t>“</w:t>
      </w:r>
      <w:r w:rsidRPr="006B7327">
        <w:rPr>
          <w:rFonts w:ascii="Palatino Linotype" w:hAnsi="Palatino Linotype"/>
          <w:b/>
          <w:i/>
        </w:rPr>
        <w:t>Artículo 231</w:t>
      </w:r>
      <w:r w:rsidRPr="006B7327">
        <w:rPr>
          <w:rFonts w:ascii="Palatino Linotype" w:hAnsi="Palatino Linotype"/>
          <w:i/>
        </w:rPr>
        <w:t xml:space="preserve">.- Sólo podrán intervenir en juicio los particulares que tengan un interés jurídico o legítimo que funde su pretensión. </w:t>
      </w:r>
      <w:r w:rsidRPr="006B7327">
        <w:rPr>
          <w:rFonts w:ascii="Palatino Linotype" w:hAnsi="Palatino Linotype"/>
          <w:b/>
          <w:i/>
          <w:u w:val="single"/>
        </w:rPr>
        <w:t>Tienen</w:t>
      </w:r>
      <w:r w:rsidRPr="006B7327">
        <w:rPr>
          <w:rFonts w:ascii="Palatino Linotype" w:hAnsi="Palatino Linotype"/>
          <w:i/>
        </w:rPr>
        <w:t xml:space="preserve"> interés jurídico los titulares de un derecho subjetivo público e </w:t>
      </w:r>
      <w:r w:rsidRPr="006B7327">
        <w:rPr>
          <w:rFonts w:ascii="Palatino Linotype" w:hAnsi="Palatino Linotype"/>
          <w:b/>
          <w:i/>
          <w:u w:val="single"/>
        </w:rPr>
        <w:t xml:space="preserve">interés legítimo quienes invoquen situaciones de hecho protegidas por el orden jurídico, tanto de un sujeto determinado como de los integrantes de un grupo de individuos, diferenciados del conjunto general de la sociedad.” </w:t>
      </w:r>
    </w:p>
    <w:p w:rsidR="00393CC9" w:rsidRPr="006B7327" w:rsidRDefault="00393CC9" w:rsidP="00393CC9">
      <w:pPr>
        <w:pStyle w:val="Prrafodelista"/>
        <w:widowControl w:val="0"/>
        <w:autoSpaceDE w:val="0"/>
        <w:autoSpaceDN w:val="0"/>
        <w:adjustRightInd w:val="0"/>
        <w:spacing w:before="240" w:after="240"/>
        <w:ind w:left="567" w:right="51"/>
        <w:contextualSpacing w:val="0"/>
        <w:jc w:val="both"/>
        <w:rPr>
          <w:rFonts w:ascii="Palatino Linotype" w:eastAsia="Times New Roman" w:hAnsi="Palatino Linotype"/>
          <w:i/>
          <w:lang w:eastAsia="es-MX"/>
        </w:rPr>
      </w:pPr>
      <w:r w:rsidRPr="006B7327">
        <w:rPr>
          <w:rFonts w:ascii="Palatino Linotype" w:hAnsi="Palatino Linotype"/>
          <w:i/>
        </w:rPr>
        <w:lastRenderedPageBreak/>
        <w:t>(Énfasis añadido)</w:t>
      </w:r>
    </w:p>
    <w:p w:rsidR="00225B61" w:rsidRPr="006B7327" w:rsidRDefault="00225B61"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sz w:val="24"/>
          <w:szCs w:val="24"/>
        </w:rPr>
      </w:pPr>
      <w:r w:rsidRPr="006B7327">
        <w:rPr>
          <w:rFonts w:ascii="Palatino Linotype" w:hAnsi="Palatino Linotype" w:cs="Arial"/>
          <w:sz w:val="24"/>
          <w:szCs w:val="24"/>
        </w:rPr>
        <w:t xml:space="preserve">Es así que </w:t>
      </w:r>
      <w:r w:rsidR="00393CC9" w:rsidRPr="006B7327">
        <w:rPr>
          <w:rFonts w:ascii="Palatino Linotype" w:hAnsi="Palatino Linotype" w:cs="Arial"/>
          <w:sz w:val="24"/>
          <w:szCs w:val="24"/>
        </w:rPr>
        <w:t>los elementos que</w:t>
      </w:r>
      <w:r w:rsidRPr="006B7327">
        <w:rPr>
          <w:rFonts w:ascii="Palatino Linotype" w:hAnsi="Palatino Linotype" w:cs="Arial"/>
          <w:sz w:val="24"/>
          <w:szCs w:val="24"/>
        </w:rPr>
        <w:t xml:space="preserve"> diferencian el interés jurídico del interés jurídico son los siguientes: </w:t>
      </w:r>
    </w:p>
    <w:tbl>
      <w:tblPr>
        <w:tblStyle w:val="Tablaconcuadrcula"/>
        <w:tblW w:w="8788" w:type="dxa"/>
        <w:jc w:val="center"/>
        <w:tblLook w:val="04A0" w:firstRow="1" w:lastRow="0" w:firstColumn="1" w:lastColumn="0" w:noHBand="0" w:noVBand="1"/>
      </w:tblPr>
      <w:tblGrid>
        <w:gridCol w:w="3543"/>
        <w:gridCol w:w="5245"/>
      </w:tblGrid>
      <w:tr w:rsidR="00225B61" w:rsidRPr="006B7327" w:rsidTr="00225B61">
        <w:trPr>
          <w:jc w:val="center"/>
        </w:trPr>
        <w:tc>
          <w:tcPr>
            <w:tcW w:w="3543" w:type="dxa"/>
          </w:tcPr>
          <w:p w:rsidR="00225B61" w:rsidRPr="006B7327" w:rsidRDefault="00225B61" w:rsidP="00225B61">
            <w:pPr>
              <w:pStyle w:val="Prrafodelista"/>
              <w:widowControl w:val="0"/>
              <w:autoSpaceDE w:val="0"/>
              <w:autoSpaceDN w:val="0"/>
              <w:adjustRightInd w:val="0"/>
              <w:ind w:left="0" w:right="51"/>
              <w:contextualSpacing w:val="0"/>
              <w:jc w:val="center"/>
              <w:rPr>
                <w:rFonts w:ascii="Palatino Linotype" w:hAnsi="Palatino Linotype"/>
              </w:rPr>
            </w:pPr>
            <w:r w:rsidRPr="006B7327">
              <w:rPr>
                <w:rFonts w:ascii="Palatino Linotype" w:hAnsi="Palatino Linotype"/>
              </w:rPr>
              <w:t>Interés jurídico</w:t>
            </w:r>
          </w:p>
        </w:tc>
        <w:tc>
          <w:tcPr>
            <w:tcW w:w="5245" w:type="dxa"/>
          </w:tcPr>
          <w:p w:rsidR="00225B61" w:rsidRPr="006B7327" w:rsidRDefault="00225B61" w:rsidP="00225B61">
            <w:pPr>
              <w:pStyle w:val="Prrafodelista"/>
              <w:widowControl w:val="0"/>
              <w:autoSpaceDE w:val="0"/>
              <w:autoSpaceDN w:val="0"/>
              <w:adjustRightInd w:val="0"/>
              <w:ind w:left="0" w:right="51"/>
              <w:contextualSpacing w:val="0"/>
              <w:jc w:val="center"/>
              <w:rPr>
                <w:rFonts w:ascii="Palatino Linotype" w:hAnsi="Palatino Linotype"/>
              </w:rPr>
            </w:pPr>
            <w:r w:rsidRPr="006B7327">
              <w:rPr>
                <w:rFonts w:ascii="Palatino Linotype" w:hAnsi="Palatino Linotype"/>
              </w:rPr>
              <w:t>Interés legítimo</w:t>
            </w:r>
          </w:p>
        </w:tc>
      </w:tr>
      <w:tr w:rsidR="00225B61" w:rsidRPr="006B7327" w:rsidTr="00225B61">
        <w:trPr>
          <w:jc w:val="center"/>
        </w:trPr>
        <w:tc>
          <w:tcPr>
            <w:tcW w:w="3543" w:type="dxa"/>
          </w:tcPr>
          <w:p w:rsidR="00225B61" w:rsidRPr="006B7327" w:rsidRDefault="00225B61" w:rsidP="00225B61">
            <w:pPr>
              <w:pStyle w:val="Prrafodelista"/>
              <w:widowControl w:val="0"/>
              <w:numPr>
                <w:ilvl w:val="0"/>
                <w:numId w:val="18"/>
              </w:numPr>
              <w:autoSpaceDE w:val="0"/>
              <w:autoSpaceDN w:val="0"/>
              <w:adjustRightInd w:val="0"/>
              <w:ind w:left="313" w:right="51"/>
              <w:jc w:val="both"/>
              <w:rPr>
                <w:rFonts w:ascii="Palatino Linotype" w:hAnsi="Palatino Linotype"/>
              </w:rPr>
            </w:pPr>
            <w:r w:rsidRPr="006B7327">
              <w:rPr>
                <w:rFonts w:ascii="Palatino Linotype" w:hAnsi="Palatino Linotype"/>
              </w:rPr>
              <w:t>Titular de un derecho subjetivo público</w:t>
            </w:r>
          </w:p>
        </w:tc>
        <w:tc>
          <w:tcPr>
            <w:tcW w:w="5245" w:type="dxa"/>
          </w:tcPr>
          <w:p w:rsidR="00C036C8" w:rsidRPr="006B7327" w:rsidRDefault="00225B61" w:rsidP="00C036C8">
            <w:pPr>
              <w:pStyle w:val="Prrafodelista"/>
              <w:widowControl w:val="0"/>
              <w:numPr>
                <w:ilvl w:val="0"/>
                <w:numId w:val="17"/>
              </w:numPr>
              <w:autoSpaceDE w:val="0"/>
              <w:autoSpaceDN w:val="0"/>
              <w:adjustRightInd w:val="0"/>
              <w:ind w:left="318" w:right="51"/>
              <w:jc w:val="both"/>
              <w:rPr>
                <w:rFonts w:ascii="Palatino Linotype" w:hAnsi="Palatino Linotype"/>
              </w:rPr>
            </w:pPr>
            <w:r w:rsidRPr="006B7327">
              <w:rPr>
                <w:rFonts w:ascii="Palatino Linotype" w:hAnsi="Palatino Linotype"/>
              </w:rPr>
              <w:t>Cualquier persona que invoque situaciones de hecho</w:t>
            </w:r>
          </w:p>
          <w:p w:rsidR="00225B61" w:rsidRPr="006B7327" w:rsidRDefault="00225B61" w:rsidP="00C036C8">
            <w:pPr>
              <w:pStyle w:val="Prrafodelista"/>
              <w:widowControl w:val="0"/>
              <w:numPr>
                <w:ilvl w:val="0"/>
                <w:numId w:val="17"/>
              </w:numPr>
              <w:autoSpaceDE w:val="0"/>
              <w:autoSpaceDN w:val="0"/>
              <w:adjustRightInd w:val="0"/>
              <w:ind w:left="318" w:right="51"/>
              <w:jc w:val="both"/>
              <w:rPr>
                <w:rFonts w:ascii="Palatino Linotype" w:hAnsi="Palatino Linotype"/>
              </w:rPr>
            </w:pPr>
            <w:r w:rsidRPr="006B7327">
              <w:rPr>
                <w:rFonts w:ascii="Palatino Linotype" w:hAnsi="Palatino Linotype"/>
              </w:rPr>
              <w:t>La situación debe estar protegida en el orden jurídico</w:t>
            </w:r>
          </w:p>
        </w:tc>
      </w:tr>
    </w:tbl>
    <w:p w:rsidR="00393CC9" w:rsidRPr="006B7327" w:rsidRDefault="00393CC9"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sz w:val="24"/>
          <w:szCs w:val="24"/>
        </w:rPr>
      </w:pPr>
      <w:r w:rsidRPr="006B7327">
        <w:rPr>
          <w:rFonts w:ascii="Palatino Linotype" w:hAnsi="Palatino Linotype" w:cs="Arial"/>
          <w:sz w:val="24"/>
          <w:szCs w:val="24"/>
        </w:rPr>
        <w:t>Aunado a ello, cabe mencionar que de acuerdo al dictamen de las Comisiones Unidas de Justicia, Gobernación y Estudios Legislativos Segunda del Senado de la República, por el que se aprueban las modificaciones y adiciones hechas por la Cámara de Diputados a la Minuta con Proyecto de Decreto, por el que se expide la Ley de Amparo, Reglamentaria de los artículos 103 y 107 de la Constitución Política de los Estados Unidos Mexicanos, el interés legítimo tiene como finalidad ampliar la cantidad de gobernados que pueden acceder a un procedimiento para defender sus intereses, atendiendo a que pueden existir actos de autoridad que resulten violatorios de los derechos fundamentales, pero que en virtud de la exigencia de un interés jurídico queden sin ser juzgados y sancionados.</w:t>
      </w:r>
    </w:p>
    <w:p w:rsidR="00393CC9" w:rsidRPr="006B7327" w:rsidRDefault="00393CC9"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sz w:val="24"/>
          <w:szCs w:val="24"/>
        </w:rPr>
      </w:pPr>
      <w:r w:rsidRPr="006B7327">
        <w:rPr>
          <w:rFonts w:ascii="Palatino Linotype" w:hAnsi="Palatino Linotype" w:cs="Arial"/>
          <w:sz w:val="24"/>
          <w:szCs w:val="24"/>
        </w:rPr>
        <w:t xml:space="preserve">Por otra parte, las Comisiones Unidas del Senado en el Dictamen de mérito consideraron dentro de los alcances del interés legítimo lo siguiente: </w:t>
      </w:r>
    </w:p>
    <w:p w:rsidR="00393CC9" w:rsidRPr="006B7327" w:rsidRDefault="00393CC9" w:rsidP="00393CC9">
      <w:pPr>
        <w:pStyle w:val="Prrafodelista"/>
        <w:widowControl w:val="0"/>
        <w:autoSpaceDE w:val="0"/>
        <w:autoSpaceDN w:val="0"/>
        <w:adjustRightInd w:val="0"/>
        <w:spacing w:before="240" w:after="240"/>
        <w:ind w:left="567" w:right="51"/>
        <w:contextualSpacing w:val="0"/>
        <w:jc w:val="both"/>
        <w:rPr>
          <w:rFonts w:ascii="Palatino Linotype" w:hAnsi="Palatino Linotype"/>
          <w:i/>
        </w:rPr>
      </w:pPr>
      <w:r w:rsidRPr="006B7327">
        <w:rPr>
          <w:rFonts w:ascii="Palatino Linotype" w:hAnsi="Palatino Linotype"/>
          <w:i/>
        </w:rPr>
        <w:t xml:space="preserve">“el interés legítimo permite constituir como quejoso en el amparo a aquella persona que resulte afectada por un acto por virtud de la afectación directa a un derecho reconocido por el orden jurídico –interés jurídico- o, cuando el acto de autoridad no afecte ese derecho pero sí la </w:t>
      </w:r>
      <w:r w:rsidRPr="006B7327">
        <w:rPr>
          <w:rFonts w:ascii="Palatino Linotype" w:hAnsi="Palatino Linotype"/>
          <w:i/>
        </w:rPr>
        <w:lastRenderedPageBreak/>
        <w:t xml:space="preserve">situación jurídica derivada del propio orden jurídico.  </w:t>
      </w:r>
    </w:p>
    <w:p w:rsidR="00393CC9" w:rsidRPr="006B7327" w:rsidRDefault="00393CC9" w:rsidP="00393CC9">
      <w:pPr>
        <w:pStyle w:val="Prrafodelista"/>
        <w:widowControl w:val="0"/>
        <w:autoSpaceDE w:val="0"/>
        <w:autoSpaceDN w:val="0"/>
        <w:adjustRightInd w:val="0"/>
        <w:spacing w:before="240" w:after="240"/>
        <w:ind w:left="567" w:right="51"/>
        <w:contextualSpacing w:val="0"/>
        <w:jc w:val="both"/>
        <w:rPr>
          <w:rFonts w:ascii="Palatino Linotype" w:hAnsi="Palatino Linotype"/>
          <w:i/>
        </w:rPr>
      </w:pPr>
      <w:r w:rsidRPr="006B7327">
        <w:rPr>
          <w:rFonts w:ascii="Palatino Linotype" w:hAnsi="Palatino Linotype"/>
          <w:i/>
        </w:rPr>
        <w:t xml:space="preserve">… </w:t>
      </w:r>
    </w:p>
    <w:p w:rsidR="00393CC9" w:rsidRPr="006B7327" w:rsidRDefault="00393CC9" w:rsidP="00393CC9">
      <w:pPr>
        <w:pStyle w:val="Prrafodelista"/>
        <w:widowControl w:val="0"/>
        <w:autoSpaceDE w:val="0"/>
        <w:autoSpaceDN w:val="0"/>
        <w:adjustRightInd w:val="0"/>
        <w:spacing w:before="240" w:after="240"/>
        <w:ind w:left="567" w:right="51"/>
        <w:contextualSpacing w:val="0"/>
        <w:jc w:val="both"/>
        <w:rPr>
          <w:rFonts w:ascii="Palatino Linotype" w:hAnsi="Palatino Linotype"/>
          <w:i/>
        </w:rPr>
      </w:pPr>
      <w:r w:rsidRPr="006B7327">
        <w:rPr>
          <w:rFonts w:ascii="Palatino Linotype" w:hAnsi="Palatino Linotype"/>
          <w:i/>
          <w:u w:val="single"/>
        </w:rPr>
        <w:t>El interés legítimo no requiere de la afectación de un derecho subjetivo, aunque si a la esfera jurídica</w:t>
      </w:r>
      <w:r w:rsidRPr="006B7327">
        <w:rPr>
          <w:rFonts w:ascii="Palatino Linotype" w:hAnsi="Palatino Linotype"/>
          <w:i/>
        </w:rPr>
        <w:t xml:space="preserve"> entendida en sentido amplio.</w:t>
      </w:r>
    </w:p>
    <w:p w:rsidR="00393CC9" w:rsidRPr="006B7327" w:rsidRDefault="00393CC9" w:rsidP="00393CC9">
      <w:pPr>
        <w:pStyle w:val="Prrafodelista"/>
        <w:widowControl w:val="0"/>
        <w:autoSpaceDE w:val="0"/>
        <w:autoSpaceDN w:val="0"/>
        <w:adjustRightInd w:val="0"/>
        <w:spacing w:before="240" w:after="240"/>
        <w:ind w:left="567" w:right="51"/>
        <w:contextualSpacing w:val="0"/>
        <w:jc w:val="both"/>
        <w:rPr>
          <w:rFonts w:ascii="Palatino Linotype" w:hAnsi="Palatino Linotype"/>
          <w:i/>
        </w:rPr>
      </w:pPr>
      <w:r w:rsidRPr="006B7327">
        <w:rPr>
          <w:rFonts w:ascii="Palatino Linotype" w:hAnsi="Palatino Linotype"/>
          <w:i/>
          <w:u w:val="single"/>
        </w:rPr>
        <w:t>El interés legítimo incorporado en la ley es un concepto abierto, para que los jueces decidan en cada caso concreto</w:t>
      </w:r>
      <w:r w:rsidRPr="006B7327">
        <w:rPr>
          <w:rFonts w:ascii="Palatino Linotype" w:hAnsi="Palatino Linotype"/>
          <w:i/>
        </w:rPr>
        <w:t xml:space="preserve"> si se está o no en presencia de un acto de autoridad que implique una violación constitucional o a los derechos humanos referidos en el artículo primero de la ley y, en consecuencia, acreditar o no la legitimación en el juicio de amparo.</w:t>
      </w:r>
    </w:p>
    <w:p w:rsidR="00393CC9" w:rsidRPr="006B7327" w:rsidRDefault="00393CC9" w:rsidP="00393CC9">
      <w:pPr>
        <w:pStyle w:val="Prrafodelista"/>
        <w:widowControl w:val="0"/>
        <w:autoSpaceDE w:val="0"/>
        <w:autoSpaceDN w:val="0"/>
        <w:adjustRightInd w:val="0"/>
        <w:spacing w:before="240" w:after="240"/>
        <w:ind w:left="567" w:right="51"/>
        <w:contextualSpacing w:val="0"/>
        <w:jc w:val="both"/>
        <w:rPr>
          <w:rFonts w:ascii="Palatino Linotype" w:hAnsi="Palatino Linotype"/>
          <w:i/>
        </w:rPr>
      </w:pPr>
      <w:r w:rsidRPr="006B7327">
        <w:rPr>
          <w:rFonts w:ascii="Palatino Linotype" w:hAnsi="Palatino Linotype"/>
          <w:i/>
        </w:rPr>
        <w:t>En cualquier caso, es importante puntualizar algunos aspectos que dibujen los elementos del concepto en cuestión.</w:t>
      </w:r>
    </w:p>
    <w:p w:rsidR="00393CC9" w:rsidRPr="006B7327" w:rsidRDefault="00393CC9" w:rsidP="00393CC9">
      <w:pPr>
        <w:pStyle w:val="Prrafodelista"/>
        <w:widowControl w:val="0"/>
        <w:numPr>
          <w:ilvl w:val="0"/>
          <w:numId w:val="16"/>
        </w:numPr>
        <w:autoSpaceDE w:val="0"/>
        <w:autoSpaceDN w:val="0"/>
        <w:adjustRightInd w:val="0"/>
        <w:spacing w:before="240" w:after="240" w:line="240" w:lineRule="auto"/>
        <w:ind w:right="51"/>
        <w:contextualSpacing w:val="0"/>
        <w:jc w:val="both"/>
        <w:rPr>
          <w:rFonts w:ascii="Palatino Linotype" w:hAnsi="Palatino Linotype"/>
        </w:rPr>
      </w:pPr>
      <w:r w:rsidRPr="006B7327">
        <w:rPr>
          <w:rFonts w:ascii="Palatino Linotype" w:hAnsi="Palatino Linotype"/>
          <w:i/>
          <w:u w:val="single"/>
        </w:rPr>
        <w:t>No es un mero</w:t>
      </w:r>
      <w:r w:rsidRPr="006B7327">
        <w:rPr>
          <w:rFonts w:ascii="Palatino Linotype" w:hAnsi="Palatino Linotype"/>
          <w:b/>
          <w:i/>
          <w:u w:val="single"/>
        </w:rPr>
        <w:t xml:space="preserve"> interés por la legalidad de la actuación de la autoridad</w:t>
      </w:r>
      <w:r w:rsidRPr="006B7327">
        <w:rPr>
          <w:rFonts w:ascii="Palatino Linotype" w:hAnsi="Palatino Linotype"/>
          <w:i/>
        </w:rPr>
        <w:t xml:space="preserve">; </w:t>
      </w:r>
      <w:r w:rsidRPr="006B7327">
        <w:rPr>
          <w:rFonts w:ascii="Palatino Linotype" w:hAnsi="Palatino Linotype"/>
          <w:u w:val="single"/>
        </w:rPr>
        <w:t>requiere de la existencia de un interés personal,</w:t>
      </w:r>
      <w:r w:rsidRPr="006B7327">
        <w:rPr>
          <w:rFonts w:ascii="Palatino Linotype" w:hAnsi="Palatino Linotype"/>
          <w:i/>
        </w:rPr>
        <w:t xml:space="preserve"> individual o colectivo, que de prosperar la acción se </w:t>
      </w:r>
      <w:r w:rsidRPr="006B7327">
        <w:rPr>
          <w:rFonts w:ascii="Palatino Linotype" w:hAnsi="Palatino Linotype"/>
          <w:b/>
          <w:i/>
        </w:rPr>
        <w:t>traduce en un beneficio jurídico a favor del accionante</w:t>
      </w:r>
      <w:r w:rsidRPr="006B7327">
        <w:rPr>
          <w:rFonts w:ascii="Palatino Linotype" w:hAnsi="Palatino Linotype"/>
          <w:i/>
        </w:rPr>
        <w:t>.</w:t>
      </w:r>
    </w:p>
    <w:p w:rsidR="00393CC9" w:rsidRPr="006B7327" w:rsidRDefault="00393CC9" w:rsidP="00393CC9">
      <w:pPr>
        <w:pStyle w:val="Prrafodelista"/>
        <w:widowControl w:val="0"/>
        <w:numPr>
          <w:ilvl w:val="0"/>
          <w:numId w:val="16"/>
        </w:numPr>
        <w:autoSpaceDE w:val="0"/>
        <w:autoSpaceDN w:val="0"/>
        <w:adjustRightInd w:val="0"/>
        <w:spacing w:before="240" w:after="240" w:line="240" w:lineRule="auto"/>
        <w:ind w:right="51"/>
        <w:contextualSpacing w:val="0"/>
        <w:jc w:val="both"/>
        <w:rPr>
          <w:rFonts w:ascii="Palatino Linotype" w:hAnsi="Palatino Linotype"/>
        </w:rPr>
      </w:pPr>
      <w:r w:rsidRPr="006B7327">
        <w:rPr>
          <w:rFonts w:ascii="Palatino Linotype" w:hAnsi="Palatino Linotype"/>
          <w:i/>
        </w:rPr>
        <w:t>Está garantizado por el derecho objetivo, pero no da lugar a un derecho subjetivo, no hay potestad frente a otro.</w:t>
      </w:r>
    </w:p>
    <w:p w:rsidR="00393CC9" w:rsidRPr="006B7327" w:rsidRDefault="00393CC9" w:rsidP="00393CC9">
      <w:pPr>
        <w:pStyle w:val="Prrafodelista"/>
        <w:widowControl w:val="0"/>
        <w:numPr>
          <w:ilvl w:val="0"/>
          <w:numId w:val="16"/>
        </w:numPr>
        <w:autoSpaceDE w:val="0"/>
        <w:autoSpaceDN w:val="0"/>
        <w:adjustRightInd w:val="0"/>
        <w:spacing w:before="240" w:after="240" w:line="240" w:lineRule="auto"/>
        <w:ind w:right="51"/>
        <w:contextualSpacing w:val="0"/>
        <w:jc w:val="both"/>
        <w:rPr>
          <w:rFonts w:ascii="Palatino Linotype" w:hAnsi="Palatino Linotype"/>
        </w:rPr>
      </w:pPr>
      <w:r w:rsidRPr="006B7327">
        <w:rPr>
          <w:rFonts w:ascii="Palatino Linotype" w:hAnsi="Palatino Linotype"/>
          <w:b/>
          <w:i/>
          <w:u w:val="single"/>
        </w:rPr>
        <w:t>Debe haber afectación a la esfera jurídica en sentido amplio, ya sea económica, profesional  o de otra índole</w:t>
      </w:r>
      <w:r w:rsidRPr="006B7327">
        <w:rPr>
          <w:rFonts w:ascii="Palatino Linotype" w:hAnsi="Palatino Linotype"/>
          <w:i/>
        </w:rPr>
        <w:t>. Lo contrario es la acción popular, en la cual no se requiere afectación alguna a la esfera jurídica.</w:t>
      </w:r>
    </w:p>
    <w:p w:rsidR="00393CC9" w:rsidRPr="006B7327" w:rsidRDefault="00393CC9" w:rsidP="00393CC9">
      <w:pPr>
        <w:pStyle w:val="Prrafodelista"/>
        <w:widowControl w:val="0"/>
        <w:numPr>
          <w:ilvl w:val="0"/>
          <w:numId w:val="16"/>
        </w:numPr>
        <w:autoSpaceDE w:val="0"/>
        <w:autoSpaceDN w:val="0"/>
        <w:adjustRightInd w:val="0"/>
        <w:spacing w:before="240" w:after="240" w:line="240" w:lineRule="auto"/>
        <w:ind w:right="51"/>
        <w:contextualSpacing w:val="0"/>
        <w:jc w:val="both"/>
        <w:rPr>
          <w:rFonts w:ascii="Palatino Linotype" w:hAnsi="Palatino Linotype"/>
          <w:u w:val="single"/>
        </w:rPr>
      </w:pPr>
      <w:r w:rsidRPr="006B7327">
        <w:rPr>
          <w:rFonts w:ascii="Palatino Linotype" w:hAnsi="Palatino Linotype"/>
          <w:i/>
          <w:u w:val="single"/>
        </w:rPr>
        <w:t>Los titulares tiene un interés propio</w:t>
      </w:r>
      <w:r w:rsidRPr="006B7327">
        <w:rPr>
          <w:rFonts w:ascii="Palatino Linotype" w:hAnsi="Palatino Linotype"/>
          <w:i/>
        </w:rPr>
        <w:t xml:space="preserve"> distinto del de cualquier otro gobernado, </w:t>
      </w:r>
      <w:r w:rsidRPr="006B7327">
        <w:rPr>
          <w:rFonts w:ascii="Palatino Linotype" w:hAnsi="Palatino Linotype"/>
          <w:i/>
          <w:u w:val="single"/>
        </w:rPr>
        <w:t>consistente en que los poderes públicos actúen de acuerdo con el ordenamiento cuando con motivo de la persecución de fines de carácter general incidan en el ámbito de ese interés propio.</w:t>
      </w:r>
    </w:p>
    <w:p w:rsidR="00393CC9" w:rsidRPr="006B7327" w:rsidRDefault="00393CC9" w:rsidP="00393CC9">
      <w:pPr>
        <w:pStyle w:val="Prrafodelista"/>
        <w:widowControl w:val="0"/>
        <w:numPr>
          <w:ilvl w:val="0"/>
          <w:numId w:val="16"/>
        </w:numPr>
        <w:autoSpaceDE w:val="0"/>
        <w:autoSpaceDN w:val="0"/>
        <w:adjustRightInd w:val="0"/>
        <w:spacing w:before="240" w:after="240" w:line="240" w:lineRule="auto"/>
        <w:ind w:right="51"/>
        <w:contextualSpacing w:val="0"/>
        <w:jc w:val="both"/>
        <w:rPr>
          <w:rFonts w:ascii="Palatino Linotype" w:hAnsi="Palatino Linotype"/>
          <w:b/>
          <w:u w:val="single"/>
        </w:rPr>
      </w:pPr>
      <w:r w:rsidRPr="006B7327">
        <w:rPr>
          <w:rFonts w:ascii="Palatino Linotype" w:hAnsi="Palatino Linotype"/>
          <w:b/>
          <w:i/>
          <w:u w:val="single"/>
        </w:rPr>
        <w:t>Se trata de un interés cualificado, actual y real no potencial o  hipotético. En suma, es un interés jurídicamente relevante.</w:t>
      </w:r>
    </w:p>
    <w:p w:rsidR="00393CC9" w:rsidRPr="006B7327" w:rsidRDefault="00393CC9" w:rsidP="00393CC9">
      <w:pPr>
        <w:pStyle w:val="Prrafodelista"/>
        <w:widowControl w:val="0"/>
        <w:numPr>
          <w:ilvl w:val="0"/>
          <w:numId w:val="16"/>
        </w:numPr>
        <w:autoSpaceDE w:val="0"/>
        <w:autoSpaceDN w:val="0"/>
        <w:adjustRightInd w:val="0"/>
        <w:spacing w:before="240" w:after="240" w:line="240" w:lineRule="auto"/>
        <w:ind w:right="51"/>
        <w:contextualSpacing w:val="0"/>
        <w:jc w:val="both"/>
        <w:rPr>
          <w:rFonts w:ascii="Palatino Linotype" w:hAnsi="Palatino Linotype"/>
        </w:rPr>
      </w:pPr>
      <w:r w:rsidRPr="006B7327">
        <w:rPr>
          <w:rFonts w:ascii="Palatino Linotype" w:hAnsi="Palatino Linotype"/>
          <w:b/>
          <w:i/>
        </w:rPr>
        <w:t>La anulación produce efectos positivos o negativos en la esfera jurídica del gobernado.</w:t>
      </w:r>
      <w:r w:rsidRPr="006B7327">
        <w:rPr>
          <w:rFonts w:ascii="Palatino Linotype" w:hAnsi="Palatino Linotype"/>
          <w:i/>
        </w:rPr>
        <w:t xml:space="preserve"> ” </w:t>
      </w:r>
    </w:p>
    <w:p w:rsidR="00393CC9" w:rsidRPr="006B7327" w:rsidRDefault="00393CC9" w:rsidP="00393CC9">
      <w:pPr>
        <w:pStyle w:val="Prrafodelista"/>
        <w:widowControl w:val="0"/>
        <w:autoSpaceDE w:val="0"/>
        <w:autoSpaceDN w:val="0"/>
        <w:adjustRightInd w:val="0"/>
        <w:spacing w:before="240" w:after="240"/>
        <w:ind w:left="927" w:right="51"/>
        <w:contextualSpacing w:val="0"/>
        <w:jc w:val="both"/>
        <w:rPr>
          <w:rFonts w:ascii="Palatino Linotype" w:hAnsi="Palatino Linotype"/>
        </w:rPr>
      </w:pPr>
      <w:r w:rsidRPr="006B7327">
        <w:rPr>
          <w:rFonts w:ascii="Palatino Linotype" w:hAnsi="Palatino Linotype"/>
        </w:rPr>
        <w:t>(Énfasis añadido)</w:t>
      </w:r>
    </w:p>
    <w:p w:rsidR="00393CC9" w:rsidRPr="006B7327" w:rsidRDefault="00393CC9"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sz w:val="24"/>
          <w:szCs w:val="24"/>
        </w:rPr>
      </w:pPr>
      <w:r w:rsidRPr="006B7327">
        <w:rPr>
          <w:rFonts w:ascii="Palatino Linotype" w:hAnsi="Palatino Linotype" w:cs="Arial"/>
          <w:sz w:val="24"/>
          <w:szCs w:val="24"/>
        </w:rPr>
        <w:t xml:space="preserve">Además de la definición legal y de las consideraciones de las Comisiones Unidas del Senado de la República, el Pleno de este Instituto abordará como </w:t>
      </w:r>
      <w:r w:rsidRPr="006B7327">
        <w:rPr>
          <w:rFonts w:ascii="Palatino Linotype" w:hAnsi="Palatino Linotype" w:cs="Arial"/>
          <w:sz w:val="24"/>
          <w:szCs w:val="24"/>
        </w:rPr>
        <w:lastRenderedPageBreak/>
        <w:t>parte del estudio del interés legítimo, tanto la concepción doctrinaria, como la de la Suprema Corte de Justicia de la Nación.</w:t>
      </w:r>
    </w:p>
    <w:p w:rsidR="00393CC9" w:rsidRPr="006B7327" w:rsidRDefault="00393CC9"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i/>
          <w:sz w:val="24"/>
          <w:szCs w:val="24"/>
        </w:rPr>
      </w:pPr>
      <w:r w:rsidRPr="006B7327">
        <w:rPr>
          <w:rFonts w:ascii="Palatino Linotype" w:hAnsi="Palatino Linotype" w:cs="Arial"/>
          <w:sz w:val="24"/>
          <w:szCs w:val="24"/>
        </w:rPr>
        <w:t>De acuerdo con</w:t>
      </w:r>
      <w:r w:rsidRPr="006B7327">
        <w:rPr>
          <w:rFonts w:ascii="Palatino Linotype" w:hAnsi="Palatino Linotype"/>
          <w:sz w:val="24"/>
          <w:szCs w:val="24"/>
        </w:rPr>
        <w:t xml:space="preserve"> el tratadista Miguel Pérez López</w:t>
      </w:r>
      <w:r w:rsidRPr="006B7327">
        <w:rPr>
          <w:rStyle w:val="Refdenotaalpie"/>
          <w:rFonts w:ascii="Palatino Linotype" w:hAnsi="Palatino Linotype"/>
          <w:sz w:val="24"/>
          <w:szCs w:val="24"/>
        </w:rPr>
        <w:footnoteReference w:id="7"/>
      </w:r>
      <w:r w:rsidRPr="006B7327">
        <w:rPr>
          <w:rFonts w:ascii="Palatino Linotype" w:hAnsi="Palatino Linotype"/>
          <w:sz w:val="24"/>
          <w:szCs w:val="24"/>
        </w:rPr>
        <w:t xml:space="preserve"> </w:t>
      </w:r>
      <w:r w:rsidRPr="006B7327">
        <w:rPr>
          <w:rFonts w:ascii="Palatino Linotype" w:hAnsi="Palatino Linotype"/>
          <w:i/>
          <w:sz w:val="24"/>
          <w:szCs w:val="24"/>
        </w:rPr>
        <w:t xml:space="preserve">el interés legítimo está concebido para las personas integrantes de un grupo definido y calificado legalmente que permite su diferenciación objetiva por la que se vean directamente beneficiadas o perjudicadas con el incumplimiento de ciertas reglas de derecho objetivo, bien porque se vea obstaculizada la posibilidad de alcanzar o consumar ciertas posiciones, estatutos o </w:t>
      </w:r>
      <w:proofErr w:type="spellStart"/>
      <w:r w:rsidRPr="006B7327">
        <w:rPr>
          <w:rFonts w:ascii="Palatino Linotype" w:hAnsi="Palatino Linotype"/>
          <w:i/>
          <w:sz w:val="24"/>
          <w:szCs w:val="24"/>
        </w:rPr>
        <w:t>perrogativas</w:t>
      </w:r>
      <w:proofErr w:type="spellEnd"/>
      <w:r w:rsidRPr="006B7327">
        <w:rPr>
          <w:rFonts w:ascii="Palatino Linotype" w:hAnsi="Palatino Linotype"/>
          <w:i/>
          <w:sz w:val="24"/>
          <w:szCs w:val="24"/>
        </w:rPr>
        <w:t xml:space="preserve">, o bien, porque </w:t>
      </w:r>
      <w:r w:rsidRPr="006B7327">
        <w:rPr>
          <w:rFonts w:ascii="Palatino Linotype" w:hAnsi="Palatino Linotype"/>
          <w:b/>
          <w:i/>
          <w:sz w:val="24"/>
          <w:szCs w:val="24"/>
        </w:rPr>
        <w:t xml:space="preserve">sean privados de las ventajas ya logradas o </w:t>
      </w:r>
      <w:r w:rsidRPr="006B7327">
        <w:rPr>
          <w:rFonts w:ascii="Palatino Linotype" w:hAnsi="Palatino Linotype"/>
          <w:i/>
          <w:sz w:val="24"/>
          <w:szCs w:val="24"/>
        </w:rPr>
        <w:t>que pudieran haber obtenido si la conducta de una autoridad se hubiera realizado dentro del orden jurídico correspondiente, y a pesar de que no sean titulares de derec</w:t>
      </w:r>
      <w:r w:rsidR="00471227" w:rsidRPr="006B7327">
        <w:rPr>
          <w:rFonts w:ascii="Palatino Linotype" w:hAnsi="Palatino Linotype"/>
          <w:i/>
          <w:sz w:val="24"/>
          <w:szCs w:val="24"/>
        </w:rPr>
        <w:t xml:space="preserve">hos subjetivos perfectos.” </w:t>
      </w:r>
    </w:p>
    <w:p w:rsidR="00393CC9" w:rsidRPr="006B7327" w:rsidRDefault="00393CC9"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sz w:val="24"/>
          <w:szCs w:val="24"/>
        </w:rPr>
      </w:pPr>
      <w:r w:rsidRPr="006B7327">
        <w:rPr>
          <w:rFonts w:ascii="Palatino Linotype" w:hAnsi="Palatino Linotype" w:cs="Arial"/>
          <w:sz w:val="24"/>
          <w:szCs w:val="24"/>
        </w:rPr>
        <w:t>De tal manera, que el interés legítimo incluye todos aquellos intereses que sean compatibles con el interés público lesionado o desatendido por la autoridad, y que para que se actualice dicha figura es necesario que se acredite alguna afectación a la esfera jurídica del particular.</w:t>
      </w:r>
    </w:p>
    <w:p w:rsidR="00393CC9" w:rsidRPr="006B7327" w:rsidRDefault="00393CC9"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sz w:val="24"/>
          <w:szCs w:val="24"/>
        </w:rPr>
      </w:pPr>
      <w:r w:rsidRPr="006B7327">
        <w:rPr>
          <w:rFonts w:ascii="Palatino Linotype" w:hAnsi="Palatino Linotype"/>
          <w:sz w:val="24"/>
          <w:szCs w:val="24"/>
        </w:rPr>
        <w:t xml:space="preserve">Por su </w:t>
      </w:r>
      <w:r w:rsidRPr="006B7327">
        <w:rPr>
          <w:rFonts w:ascii="Palatino Linotype" w:hAnsi="Palatino Linotype" w:cs="Arial"/>
          <w:sz w:val="24"/>
          <w:szCs w:val="24"/>
        </w:rPr>
        <w:t>parte</w:t>
      </w:r>
      <w:r w:rsidRPr="006B7327">
        <w:rPr>
          <w:rFonts w:ascii="Palatino Linotype" w:hAnsi="Palatino Linotype"/>
          <w:sz w:val="24"/>
          <w:szCs w:val="24"/>
        </w:rPr>
        <w:t xml:space="preserve">, la Suprema Corte de Justicia de la Nación, a través de la Primera Sala definió al interés legítimo como: </w:t>
      </w:r>
      <w:r w:rsidRPr="006B7327">
        <w:rPr>
          <w:rFonts w:ascii="Palatino Linotype" w:hAnsi="Palatino Linotype"/>
          <w:i/>
          <w:sz w:val="24"/>
          <w:szCs w:val="24"/>
        </w:rPr>
        <w:t>“un interés personal – ya sea individual o colectivo – cualificado, actual, real y jurídicamente relevante, mismo que podría traducirse en un beneficio al quejoso en caso de que se le concediera el amparo”</w:t>
      </w:r>
      <w:r w:rsidRPr="006B7327">
        <w:rPr>
          <w:rFonts w:ascii="Palatino Linotype" w:hAnsi="Palatino Linotype"/>
          <w:sz w:val="24"/>
          <w:szCs w:val="24"/>
        </w:rPr>
        <w:t>.</w:t>
      </w:r>
    </w:p>
    <w:p w:rsidR="00393CC9" w:rsidRPr="006B7327" w:rsidRDefault="00393CC9" w:rsidP="00A84DCD">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sz w:val="24"/>
          <w:szCs w:val="24"/>
        </w:rPr>
      </w:pPr>
      <w:r w:rsidRPr="006B7327">
        <w:rPr>
          <w:rFonts w:ascii="Palatino Linotype" w:hAnsi="Palatino Linotype"/>
          <w:sz w:val="24"/>
          <w:szCs w:val="24"/>
        </w:rPr>
        <w:t xml:space="preserve">En ese mismo orden de ideas, el Pleno de la Suprema Corte de Justicia de la </w:t>
      </w:r>
      <w:r w:rsidRPr="006B7327">
        <w:rPr>
          <w:rFonts w:ascii="Palatino Linotype" w:hAnsi="Palatino Linotype"/>
          <w:sz w:val="24"/>
          <w:szCs w:val="24"/>
        </w:rPr>
        <w:lastRenderedPageBreak/>
        <w:t xml:space="preserve">Nación determinó, en la contradicción de tesis 111/2013, que el interés legítimo requiere sólo una afectación a la esfera jurídica, ya sea porque la violación de derechos es directa, o porque el agravio deriva de una situación particular; de este modo, implica un vínculo entre una persona y una pretensión, situación que conlleva a que el interés legítimo tenga una categoría mucho más amplia que el interés jurídico, al permitir que los tribunales competentes conozcan de aquellos actos que afecten intereses jurídicamente relevantes y protegidos. </w:t>
      </w:r>
    </w:p>
    <w:p w:rsidR="00393CC9" w:rsidRPr="006B7327" w:rsidRDefault="00393CC9" w:rsidP="002D3BF5">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sz w:val="24"/>
          <w:szCs w:val="24"/>
        </w:rPr>
      </w:pPr>
      <w:r w:rsidRPr="006B7327">
        <w:rPr>
          <w:rFonts w:ascii="Palatino Linotype" w:hAnsi="Palatino Linotype"/>
          <w:sz w:val="24"/>
          <w:szCs w:val="24"/>
        </w:rPr>
        <w:t xml:space="preserve">De este modo, en la contradicción de tesis citada, el Pleno de la Corte puntualizó que el criterio contenido por la Primera Sala resultaba acorde con los fines del juicio de amparo a la luz del principio </w:t>
      </w:r>
      <w:proofErr w:type="spellStart"/>
      <w:r w:rsidRPr="006B7327">
        <w:rPr>
          <w:rFonts w:ascii="Palatino Linotype" w:hAnsi="Palatino Linotype"/>
          <w:i/>
          <w:sz w:val="24"/>
          <w:szCs w:val="24"/>
        </w:rPr>
        <w:t>pro</w:t>
      </w:r>
      <w:proofErr w:type="spellEnd"/>
      <w:r w:rsidRPr="006B7327">
        <w:rPr>
          <w:rFonts w:ascii="Palatino Linotype" w:hAnsi="Palatino Linotype"/>
          <w:i/>
          <w:sz w:val="24"/>
          <w:szCs w:val="24"/>
        </w:rPr>
        <w:t xml:space="preserve"> persona</w:t>
      </w:r>
      <w:r w:rsidRPr="006B7327">
        <w:rPr>
          <w:rFonts w:ascii="Palatino Linotype" w:hAnsi="Palatino Linotype"/>
          <w:sz w:val="24"/>
          <w:szCs w:val="24"/>
        </w:rPr>
        <w:t>, dado que existe una ampliación de los derechos fundamentales, al permitir un mayor acceso a dicho juicio.</w:t>
      </w:r>
    </w:p>
    <w:p w:rsidR="00393CC9" w:rsidRPr="006B7327" w:rsidRDefault="00393CC9" w:rsidP="002D3BF5">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sz w:val="24"/>
          <w:szCs w:val="24"/>
        </w:rPr>
      </w:pPr>
      <w:r w:rsidRPr="006B7327">
        <w:rPr>
          <w:rFonts w:ascii="Palatino Linotype" w:hAnsi="Palatino Linotype"/>
          <w:sz w:val="24"/>
          <w:szCs w:val="24"/>
        </w:rPr>
        <w:t xml:space="preserve">Es por ello, que se determinó que cuando el </w:t>
      </w:r>
      <w:r w:rsidRPr="006B7327">
        <w:rPr>
          <w:rFonts w:ascii="Palatino Linotype" w:hAnsi="Palatino Linotype"/>
          <w:b/>
          <w:sz w:val="24"/>
          <w:szCs w:val="24"/>
        </w:rPr>
        <w:t>gobernado sea titular de un interés legítimo</w:t>
      </w:r>
      <w:r w:rsidRPr="006B7327">
        <w:rPr>
          <w:rFonts w:ascii="Palatino Linotype" w:hAnsi="Palatino Linotype"/>
          <w:sz w:val="24"/>
          <w:szCs w:val="24"/>
        </w:rPr>
        <w:t>, se deben considerar los aspectos siguientes:</w:t>
      </w:r>
    </w:p>
    <w:p w:rsidR="00393CC9" w:rsidRPr="006B7327" w:rsidRDefault="00393CC9" w:rsidP="002D3BF5">
      <w:pPr>
        <w:pStyle w:val="Prrafodelista"/>
        <w:widowControl w:val="0"/>
        <w:numPr>
          <w:ilvl w:val="1"/>
          <w:numId w:val="19"/>
        </w:numPr>
        <w:autoSpaceDE w:val="0"/>
        <w:autoSpaceDN w:val="0"/>
        <w:adjustRightInd w:val="0"/>
        <w:spacing w:before="240" w:after="240" w:line="360" w:lineRule="auto"/>
        <w:ind w:left="1134" w:right="51"/>
        <w:contextualSpacing w:val="0"/>
        <w:jc w:val="both"/>
        <w:rPr>
          <w:rFonts w:ascii="Palatino Linotype" w:hAnsi="Palatino Linotype"/>
          <w:sz w:val="24"/>
          <w:szCs w:val="24"/>
        </w:rPr>
      </w:pPr>
      <w:r w:rsidRPr="006B7327">
        <w:rPr>
          <w:rFonts w:ascii="Palatino Linotype" w:hAnsi="Palatino Linotype"/>
          <w:sz w:val="24"/>
          <w:szCs w:val="24"/>
        </w:rPr>
        <w:t>Que sea el titular o portador de un interés, no de un derecho, que reconoce la Constitución o la ley secundaria.</w:t>
      </w:r>
    </w:p>
    <w:p w:rsidR="00393CC9" w:rsidRPr="006B7327" w:rsidRDefault="00393CC9" w:rsidP="002D3BF5">
      <w:pPr>
        <w:pStyle w:val="Prrafodelista"/>
        <w:widowControl w:val="0"/>
        <w:numPr>
          <w:ilvl w:val="1"/>
          <w:numId w:val="19"/>
        </w:numPr>
        <w:autoSpaceDE w:val="0"/>
        <w:autoSpaceDN w:val="0"/>
        <w:adjustRightInd w:val="0"/>
        <w:spacing w:before="240" w:after="240" w:line="360" w:lineRule="auto"/>
        <w:ind w:left="1134" w:right="51"/>
        <w:contextualSpacing w:val="0"/>
        <w:jc w:val="both"/>
        <w:rPr>
          <w:rFonts w:ascii="Palatino Linotype" w:hAnsi="Palatino Linotype"/>
          <w:sz w:val="24"/>
          <w:szCs w:val="24"/>
        </w:rPr>
      </w:pPr>
      <w:r w:rsidRPr="006B7327">
        <w:rPr>
          <w:rFonts w:ascii="Palatino Linotype" w:hAnsi="Palatino Linotype"/>
          <w:sz w:val="24"/>
          <w:szCs w:val="24"/>
        </w:rPr>
        <w:t>Se cause una lesión.</w:t>
      </w:r>
    </w:p>
    <w:p w:rsidR="00393CC9" w:rsidRPr="006B7327" w:rsidRDefault="00393CC9" w:rsidP="002D3BF5">
      <w:pPr>
        <w:pStyle w:val="Prrafodelista"/>
        <w:widowControl w:val="0"/>
        <w:numPr>
          <w:ilvl w:val="1"/>
          <w:numId w:val="19"/>
        </w:numPr>
        <w:autoSpaceDE w:val="0"/>
        <w:autoSpaceDN w:val="0"/>
        <w:adjustRightInd w:val="0"/>
        <w:spacing w:before="240" w:after="240" w:line="360" w:lineRule="auto"/>
        <w:ind w:left="1134" w:right="51"/>
        <w:contextualSpacing w:val="0"/>
        <w:jc w:val="both"/>
        <w:rPr>
          <w:rFonts w:ascii="Palatino Linotype" w:hAnsi="Palatino Linotype"/>
          <w:sz w:val="24"/>
          <w:szCs w:val="24"/>
        </w:rPr>
      </w:pPr>
      <w:r w:rsidRPr="006B7327">
        <w:rPr>
          <w:rFonts w:ascii="Palatino Linotype" w:hAnsi="Palatino Linotype"/>
          <w:sz w:val="24"/>
          <w:szCs w:val="24"/>
        </w:rPr>
        <w:t xml:space="preserve">La anulación del acto traiga como consecuencia y se concrete el resarcimiento de daños y perjuicios, en un beneficio o evitar un perjuicio, adquiriendo un derecho a la legalidad en el actuar de las autoridades. </w:t>
      </w:r>
    </w:p>
    <w:p w:rsidR="00393CC9" w:rsidRPr="006B7327" w:rsidRDefault="00393CC9" w:rsidP="002D3BF5">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sz w:val="24"/>
          <w:szCs w:val="24"/>
        </w:rPr>
      </w:pPr>
      <w:r w:rsidRPr="006B7327">
        <w:rPr>
          <w:rFonts w:ascii="Palatino Linotype" w:hAnsi="Palatino Linotype" w:cs="Arial"/>
          <w:sz w:val="24"/>
          <w:szCs w:val="24"/>
        </w:rPr>
        <w:t xml:space="preserve">Atento a ello, esta </w:t>
      </w:r>
      <w:r w:rsidRPr="006B7327">
        <w:rPr>
          <w:rFonts w:ascii="Palatino Linotype" w:hAnsi="Palatino Linotype"/>
          <w:sz w:val="24"/>
          <w:szCs w:val="24"/>
        </w:rPr>
        <w:t>Ponencia</w:t>
      </w:r>
      <w:r w:rsidRPr="006B7327">
        <w:rPr>
          <w:rFonts w:ascii="Palatino Linotype" w:hAnsi="Palatino Linotype" w:cs="Arial"/>
          <w:sz w:val="24"/>
          <w:szCs w:val="24"/>
        </w:rPr>
        <w:t xml:space="preserve"> </w:t>
      </w:r>
      <w:proofErr w:type="spellStart"/>
      <w:r w:rsidR="002D3BF5" w:rsidRPr="006B7327">
        <w:rPr>
          <w:rFonts w:ascii="Palatino Linotype" w:hAnsi="Palatino Linotype" w:cs="Arial"/>
          <w:sz w:val="24"/>
          <w:szCs w:val="24"/>
        </w:rPr>
        <w:t>resolutora</w:t>
      </w:r>
      <w:proofErr w:type="spellEnd"/>
      <w:r w:rsidR="002D3BF5" w:rsidRPr="006B7327">
        <w:rPr>
          <w:rFonts w:ascii="Palatino Linotype" w:hAnsi="Palatino Linotype" w:cs="Arial"/>
          <w:sz w:val="24"/>
          <w:szCs w:val="24"/>
        </w:rPr>
        <w:t xml:space="preserve"> </w:t>
      </w:r>
      <w:r w:rsidRPr="006B7327">
        <w:rPr>
          <w:rFonts w:ascii="Palatino Linotype" w:hAnsi="Palatino Linotype" w:cs="Arial"/>
          <w:sz w:val="24"/>
          <w:szCs w:val="24"/>
        </w:rPr>
        <w:t xml:space="preserve">considera conveniente señalar </w:t>
      </w:r>
      <w:r w:rsidRPr="006B7327">
        <w:rPr>
          <w:rFonts w:ascii="Palatino Linotype" w:hAnsi="Palatino Linotype"/>
          <w:sz w:val="24"/>
          <w:szCs w:val="24"/>
        </w:rPr>
        <w:t xml:space="preserve">los </w:t>
      </w:r>
      <w:r w:rsidRPr="006B7327">
        <w:rPr>
          <w:rFonts w:ascii="Palatino Linotype" w:hAnsi="Palatino Linotype"/>
          <w:sz w:val="24"/>
          <w:szCs w:val="24"/>
        </w:rPr>
        <w:lastRenderedPageBreak/>
        <w:t xml:space="preserve">criterios relevantes que ha emitido nuestro máximo Tribunal Constitucional en cuanto al interés legítimo, a través de </w:t>
      </w:r>
      <w:r w:rsidRPr="006B7327">
        <w:rPr>
          <w:rFonts w:ascii="Palatino Linotype" w:hAnsi="Palatino Linotype" w:cs="Arial"/>
          <w:sz w:val="24"/>
          <w:szCs w:val="24"/>
          <w:lang w:eastAsia="es-MX"/>
        </w:rPr>
        <w:t xml:space="preserve">las Jurisprudencias y Tesis Aisladas con números de registro </w:t>
      </w:r>
      <w:r w:rsidRPr="006B7327">
        <w:rPr>
          <w:rFonts w:ascii="Palatino Linotype" w:hAnsi="Palatino Linotype"/>
          <w:sz w:val="24"/>
          <w:szCs w:val="24"/>
        </w:rPr>
        <w:t>185376, 185377, 2005078  y 2003608, cuyos textos y sentidos literales son los siguientes:</w:t>
      </w:r>
    </w:p>
    <w:p w:rsidR="00393CC9" w:rsidRPr="006B7327" w:rsidRDefault="00393CC9" w:rsidP="00393CC9">
      <w:pPr>
        <w:ind w:left="567"/>
        <w:jc w:val="both"/>
        <w:rPr>
          <w:rFonts w:ascii="Palatino Linotype" w:hAnsi="Palatino Linotype"/>
          <w:b/>
          <w:i/>
        </w:rPr>
      </w:pPr>
      <w:r w:rsidRPr="006B7327">
        <w:rPr>
          <w:rFonts w:ascii="Palatino Linotype" w:hAnsi="Palatino Linotype"/>
          <w:i/>
        </w:rPr>
        <w:t>“</w:t>
      </w:r>
      <w:r w:rsidRPr="006B7327">
        <w:rPr>
          <w:rFonts w:ascii="Palatino Linotype" w:hAnsi="Palatino Linotype"/>
          <w:b/>
          <w:i/>
        </w:rPr>
        <w:t>INTERÉS LEGÍTIMO, NOCIÓN DE, PARA LA PROCEDENCIA DEL JUICIO ANTE EL TRIBUNAL DE LO CONTENCIOSO ADMINISTRATIVO DEL DISTRITO FEDERAL</w:t>
      </w:r>
      <w:r w:rsidRPr="006B7327">
        <w:rPr>
          <w:rFonts w:ascii="Palatino Linotype" w:hAnsi="Palatino Linotype"/>
          <w:i/>
        </w:rPr>
        <w:t xml:space="preserve">. De acuerdo con los artículos 34 y 72, fracción V, de la Ley del Tribunal de lo Contencioso Administrativo del Distrito Federal, </w:t>
      </w:r>
      <w:r w:rsidRPr="006B7327">
        <w:rPr>
          <w:rFonts w:ascii="Palatino Linotype" w:hAnsi="Palatino Linotype"/>
          <w:i/>
          <w:u w:val="single"/>
        </w:rPr>
        <w:t>para la procedencia del juicio administrativo basta con que el acto de autoridad impugnado afecte la esfera jurídica del actor, para que le asista un interés legítimo para demandar la nulidad de ese acto</w:t>
      </w:r>
      <w:r w:rsidRPr="006B7327">
        <w:rPr>
          <w:rFonts w:ascii="Palatino Linotype" w:hAnsi="Palatino Linotype"/>
          <w:i/>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6B7327">
        <w:rPr>
          <w:rFonts w:ascii="Palatino Linotype" w:hAnsi="Palatino Linotype"/>
          <w:b/>
          <w:i/>
          <w:u w:val="single"/>
        </w:rPr>
        <w:t>En efecto, tales preceptos aluden a la procedencia o improcedencia del juicio administrativo, a los presupuestos de admisibilidad de la acción ante el Tribunal de lo Contencioso Administrativo</w:t>
      </w:r>
      <w:r w:rsidRPr="006B7327">
        <w:rPr>
          <w:rFonts w:ascii="Palatino Linotype" w:hAnsi="Palatino Linotype"/>
          <w:b/>
          <w:i/>
        </w:rPr>
        <w:t xml:space="preserve">; </w:t>
      </w:r>
      <w:r w:rsidRPr="006B7327">
        <w:rPr>
          <w:rFonts w:ascii="Palatino Linotype" w:hAnsi="Palatino Linotype"/>
          <w:b/>
          <w:i/>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6B7327">
        <w:rPr>
          <w:rFonts w:ascii="Palatino Linotype" w:hAnsi="Palatino Linotype"/>
          <w:i/>
        </w:rPr>
        <w:t xml:space="preserve"> </w:t>
      </w:r>
      <w:r w:rsidRPr="006B7327">
        <w:rPr>
          <w:rFonts w:ascii="Palatino Linotype" w:hAnsi="Palatino Linotype"/>
          <w:i/>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6B7327">
        <w:rPr>
          <w:rFonts w:ascii="Palatino Linotype" w:hAnsi="Palatino Linotype"/>
          <w:i/>
        </w:rPr>
        <w:t xml:space="preserve">, de donde se sigue que los preceptos de la ley analizada, </w:t>
      </w:r>
      <w:r w:rsidRPr="006B7327">
        <w:rPr>
          <w:rFonts w:ascii="Palatino Linotype" w:hAnsi="Palatino Linotype"/>
          <w:b/>
          <w:i/>
        </w:rPr>
        <w:t>al requerir un interés legítimo como presupuesto de admisibilidad de la acción correspondiente, también comprende por mayoría de razón al referido interés jurídico, al resultar aquél de mayores alcances que éste.</w:t>
      </w:r>
    </w:p>
    <w:p w:rsidR="00393CC9" w:rsidRPr="006B7327" w:rsidRDefault="00393CC9" w:rsidP="00393CC9">
      <w:pPr>
        <w:ind w:left="567"/>
        <w:jc w:val="both"/>
        <w:rPr>
          <w:rFonts w:ascii="Palatino Linotype" w:hAnsi="Palatino Linotype"/>
          <w:i/>
          <w:sz w:val="16"/>
          <w:szCs w:val="16"/>
        </w:rPr>
      </w:pPr>
    </w:p>
    <w:p w:rsidR="00393CC9" w:rsidRPr="006B7327" w:rsidRDefault="00393CC9" w:rsidP="00393CC9">
      <w:pPr>
        <w:ind w:left="567"/>
        <w:jc w:val="both"/>
        <w:rPr>
          <w:rFonts w:ascii="Palatino Linotype" w:hAnsi="Palatino Linotype"/>
          <w:b/>
          <w:i/>
          <w:u w:val="single"/>
        </w:rPr>
      </w:pPr>
      <w:r w:rsidRPr="006B7327">
        <w:rPr>
          <w:rFonts w:ascii="Palatino Linotype" w:hAnsi="Palatino Linotype"/>
          <w:b/>
          <w:i/>
        </w:rPr>
        <w:t>INTERÉS LEGÍTIMO E INTERÉS JURÍDICO. AMBOS TÉRMINOS TIENEN DIFERENTE CONNOTACIÓN EN EL JUICIO CONTENCIOSO ADMINISTRATIVO</w:t>
      </w:r>
      <w:r w:rsidRPr="006B7327">
        <w:rPr>
          <w:rFonts w:ascii="Palatino Linotype" w:hAnsi="Palatino Linotype"/>
          <w:i/>
        </w:rPr>
        <w:t xml:space="preserve">. 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w:t>
      </w:r>
      <w:r w:rsidRPr="006B7327">
        <w:rPr>
          <w:rFonts w:ascii="Palatino Linotype" w:hAnsi="Palatino Linotype"/>
          <w:i/>
        </w:rPr>
        <w:lastRenderedPageBreak/>
        <w:t xml:space="preserve">correspondientes a los procesos legislativos de mil novecientos ochenta y seis, y mil novecientos noventa y cinco. De hecho, </w:t>
      </w:r>
      <w:r w:rsidRPr="006B7327">
        <w:rPr>
          <w:rFonts w:ascii="Palatino Linotype" w:hAnsi="Palatino Linotype"/>
          <w:b/>
          <w:i/>
          <w:u w:val="single"/>
        </w:rPr>
        <w:t xml:space="preserve">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w:t>
      </w:r>
      <w:proofErr w:type="spellStart"/>
      <w:r w:rsidRPr="006B7327">
        <w:rPr>
          <w:rFonts w:ascii="Palatino Linotype" w:hAnsi="Palatino Linotype"/>
          <w:b/>
          <w:i/>
          <w:u w:val="single"/>
        </w:rPr>
        <w:t>accesar</w:t>
      </w:r>
      <w:proofErr w:type="spellEnd"/>
      <w:r w:rsidRPr="006B7327">
        <w:rPr>
          <w:rFonts w:ascii="Palatino Linotype" w:hAnsi="Palatino Linotype"/>
          <w:b/>
          <w:i/>
          <w:u w:val="single"/>
        </w:rPr>
        <w:t xml:space="preserve"> al procedimiento en defensa de sus intereses</w:t>
      </w:r>
      <w:r w:rsidRPr="006B7327">
        <w:rPr>
          <w:rFonts w:ascii="Palatino Linotype" w:hAnsi="Palatino Linotype"/>
          <w:i/>
        </w:rPr>
        <w:t xml:space="preserve">. Así, el interés jurídico tiene una connotación diversa a la del legítimo, pues mientras el primero requiere que se acredite la afectación a un derecho subjetivo, </w:t>
      </w:r>
      <w:r w:rsidRPr="006B7327">
        <w:rPr>
          <w:rFonts w:ascii="Palatino Linotype" w:hAnsi="Palatino Linotype"/>
          <w:b/>
          <w:i/>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2D3BF5" w:rsidRPr="006B7327" w:rsidRDefault="002D3BF5" w:rsidP="00393CC9">
      <w:pPr>
        <w:ind w:left="567"/>
        <w:jc w:val="both"/>
        <w:rPr>
          <w:rFonts w:ascii="Palatino Linotype" w:hAnsi="Palatino Linotype"/>
          <w:b/>
          <w:i/>
          <w:u w:val="single"/>
        </w:rPr>
      </w:pPr>
    </w:p>
    <w:p w:rsidR="00393CC9" w:rsidRPr="006B7327" w:rsidRDefault="00393CC9" w:rsidP="00393CC9">
      <w:pPr>
        <w:ind w:left="567"/>
        <w:jc w:val="both"/>
        <w:rPr>
          <w:rFonts w:ascii="Palatino Linotype" w:hAnsi="Palatino Linotype"/>
          <w:i/>
        </w:rPr>
      </w:pPr>
      <w:r w:rsidRPr="006B7327">
        <w:rPr>
          <w:rFonts w:ascii="Palatino Linotype" w:hAnsi="Palatino Linotype"/>
          <w:b/>
          <w:i/>
        </w:rPr>
        <w:t xml:space="preserve">INTERÉS LEGÍTIMO EN EL AMPARO. SU ORIGEN Y CARACTERÍSTICAS. </w:t>
      </w:r>
      <w:r w:rsidRPr="006B7327">
        <w:rPr>
          <w:rFonts w:ascii="Palatino Linotype" w:hAnsi="Palatino Linotype"/>
          <w:b/>
          <w:i/>
          <w:u w:val="single"/>
        </w:rPr>
        <w:t>El interés legítimo tiene su origen en las llamadas normas de acción</w:t>
      </w:r>
      <w:r w:rsidRPr="006B7327">
        <w:rPr>
          <w:rFonts w:ascii="Palatino Linotype" w:hAnsi="Palatino Linotype"/>
          <w:i/>
        </w:rPr>
        <w:t xml:space="preserve">, las cuales regulan lo relativo a la organización, contenido y procedimientos que han de regir la actividad administrativa, y </w:t>
      </w:r>
      <w:r w:rsidRPr="006B7327">
        <w:rPr>
          <w:rFonts w:ascii="Palatino Linotype" w:hAnsi="Palatino Linotype"/>
          <w:i/>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6B7327">
        <w:rPr>
          <w:rFonts w:ascii="Palatino Linotype" w:hAnsi="Palatino Linotype"/>
          <w:i/>
        </w:rPr>
        <w:t xml:space="preserve"> En ese contexto, por </w:t>
      </w:r>
      <w:r w:rsidRPr="006B7327">
        <w:rPr>
          <w:rFonts w:ascii="Palatino Linotype" w:hAnsi="Palatino Linotype"/>
          <w:b/>
          <w:i/>
          <w:u w:val="single"/>
        </w:rPr>
        <w:t>el actuar de la administración, un determinado sujeto de derecho puede llegar a tener una ventaja en relación con los demás, o bien, sufrir un daño</w:t>
      </w:r>
      <w:r w:rsidRPr="006B7327">
        <w:rPr>
          <w:rFonts w:ascii="Palatino Linotype" w:hAnsi="Palatino Linotype"/>
          <w:i/>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6B7327">
        <w:rPr>
          <w:rFonts w:ascii="Palatino Linotype" w:hAnsi="Palatino Linotype"/>
          <w:b/>
          <w:i/>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6B7327">
        <w:rPr>
          <w:rFonts w:ascii="Palatino Linotype" w:hAnsi="Palatino Linotype"/>
          <w:i/>
        </w:rPr>
        <w:t xml:space="preserve"> Por tanto, el quejoso debe acreditar que se encuentra en esa especial situación que afecta su esfera jurídica con el acatamiento de las llamadas normas de acción, a fin de demostrar su legitimación para instar la acción de amparo.</w:t>
      </w:r>
    </w:p>
    <w:p w:rsidR="002D3BF5" w:rsidRPr="006B7327" w:rsidRDefault="002D3BF5" w:rsidP="00393CC9">
      <w:pPr>
        <w:ind w:left="567"/>
        <w:jc w:val="both"/>
        <w:rPr>
          <w:rFonts w:ascii="Palatino Linotype" w:hAnsi="Palatino Linotype"/>
          <w:i/>
        </w:rPr>
      </w:pPr>
    </w:p>
    <w:p w:rsidR="00393CC9" w:rsidRPr="006B7327" w:rsidRDefault="00393CC9" w:rsidP="00393CC9">
      <w:pPr>
        <w:ind w:left="567"/>
        <w:jc w:val="both"/>
        <w:rPr>
          <w:rFonts w:ascii="Palatino Linotype" w:hAnsi="Palatino Linotype"/>
          <w:i/>
        </w:rPr>
      </w:pPr>
      <w:r w:rsidRPr="006B7327">
        <w:rPr>
          <w:rFonts w:ascii="Palatino Linotype" w:hAnsi="Palatino Linotype"/>
          <w:i/>
        </w:rPr>
        <w:t>INTERÉS JURÍDICO</w:t>
      </w:r>
      <w:r w:rsidRPr="006B7327">
        <w:rPr>
          <w:rFonts w:ascii="Palatino Linotype" w:hAnsi="Palatino Linotype"/>
          <w:b/>
          <w:i/>
        </w:rPr>
        <w:t xml:space="preserve"> E </w:t>
      </w:r>
      <w:r w:rsidRPr="006B7327">
        <w:rPr>
          <w:rFonts w:ascii="Palatino Linotype" w:hAnsi="Palatino Linotype"/>
          <w:b/>
          <w:i/>
          <w:u w:val="single"/>
        </w:rPr>
        <w:t>INTERÉS LEGÍTIMO</w:t>
      </w:r>
      <w:r w:rsidRPr="006B7327">
        <w:rPr>
          <w:rFonts w:ascii="Palatino Linotype" w:hAnsi="Palatino Linotype"/>
          <w:b/>
          <w:i/>
        </w:rPr>
        <w:t xml:space="preserve"> PARA EFECTOS DE LA PROCEDENCIA DEL JUICIO DE AMPARO CONFORME AL ARTÍCULO 107, FRACCIÓN I, DE LA CONSTITUCIÓN FEDERAL, VIGENTE A PARTIR DEL 4 DE OCTUBRE DE 2011. SUS DIFERENCIAS.</w:t>
      </w:r>
      <w:r w:rsidRPr="006B7327">
        <w:rPr>
          <w:rFonts w:ascii="Palatino Linotype" w:hAnsi="Palatino Linotype"/>
          <w:i/>
        </w:rPr>
        <w:t xml:space="preserve"> Conforme al artículo 107, fracciones I y II, de </w:t>
      </w:r>
      <w:r w:rsidRPr="006B7327">
        <w:rPr>
          <w:rFonts w:ascii="Palatino Linotype" w:hAnsi="Palatino Linotype"/>
          <w:i/>
        </w:rPr>
        <w:lastRenderedPageBreak/>
        <w:t xml:space="preserve">la Constitución Política de los Estados Unidos Mexicanos, vigente a partir del 4 de octubre de 2011, el juicio de amparo podrá promoverse por la parte que resienta el agravio causado por el acto reclamado (interés jurídico) </w:t>
      </w:r>
      <w:r w:rsidRPr="006B7327">
        <w:rPr>
          <w:rFonts w:ascii="Palatino Linotype" w:hAnsi="Palatino Linotype"/>
          <w:b/>
          <w:i/>
          <w:u w:val="single"/>
        </w:rPr>
        <w:t>o, en su caso, por aquella que tenga un interés cualificado respecto de la constitucionalidad de los actos reclamados (interés legítimo),</w:t>
      </w:r>
      <w:r w:rsidRPr="006B7327">
        <w:rPr>
          <w:rFonts w:ascii="Palatino Linotype" w:hAnsi="Palatino Linotype"/>
          <w:i/>
        </w:rPr>
        <w:t xml:space="preserve"> el </w:t>
      </w:r>
      <w:r w:rsidRPr="006B7327">
        <w:rPr>
          <w:rFonts w:ascii="Palatino Linotype" w:hAnsi="Palatino Linotype"/>
          <w:b/>
          <w:i/>
          <w:u w:val="single"/>
        </w:rPr>
        <w:t>cual proviene de la afectación a su esfera jurídica</w:t>
      </w:r>
      <w:r w:rsidRPr="006B7327">
        <w:rPr>
          <w:rFonts w:ascii="Palatino Linotype" w:hAnsi="Palatino Linotype"/>
          <w:i/>
        </w:rPr>
        <w:t>, ya sea directa o derivada de su situación particular respecto del orden jurídico, para que la sentencia que se dicte sólo la proteja a ella, en cumplimiento del principio conocido como de relatividad o particularidad de las sentencias. …”</w:t>
      </w:r>
    </w:p>
    <w:p w:rsidR="00393CC9" w:rsidRPr="006B7327" w:rsidRDefault="00393CC9" w:rsidP="00393CC9">
      <w:pPr>
        <w:ind w:left="567"/>
        <w:jc w:val="both"/>
        <w:rPr>
          <w:rFonts w:ascii="Palatino Linotype" w:hAnsi="Palatino Linotype"/>
          <w:sz w:val="10"/>
          <w:szCs w:val="10"/>
        </w:rPr>
      </w:pPr>
    </w:p>
    <w:p w:rsidR="00393CC9" w:rsidRPr="006B7327" w:rsidRDefault="00393CC9" w:rsidP="00393CC9">
      <w:pPr>
        <w:ind w:left="567"/>
        <w:jc w:val="both"/>
        <w:rPr>
          <w:rFonts w:ascii="Palatino Linotype" w:hAnsi="Palatino Linotype"/>
        </w:rPr>
      </w:pPr>
      <w:r w:rsidRPr="006B7327">
        <w:rPr>
          <w:rFonts w:ascii="Palatino Linotype" w:hAnsi="Palatino Linotype"/>
        </w:rPr>
        <w:t>(Énfasis añadido)</w:t>
      </w:r>
    </w:p>
    <w:p w:rsidR="00B45757" w:rsidRPr="006B7327" w:rsidRDefault="00B45757" w:rsidP="00393CC9">
      <w:pPr>
        <w:ind w:left="567"/>
        <w:jc w:val="both"/>
        <w:rPr>
          <w:rFonts w:ascii="Palatino Linotype" w:hAnsi="Palatino Linotype"/>
        </w:rPr>
      </w:pPr>
    </w:p>
    <w:p w:rsidR="00F46469" w:rsidRPr="006B7327" w:rsidRDefault="00B45757" w:rsidP="00F46469">
      <w:pPr>
        <w:pStyle w:val="Prrafodelista"/>
        <w:widowControl w:val="0"/>
        <w:numPr>
          <w:ilvl w:val="0"/>
          <w:numId w:val="2"/>
        </w:numPr>
        <w:autoSpaceDE w:val="0"/>
        <w:autoSpaceDN w:val="0"/>
        <w:adjustRightInd w:val="0"/>
        <w:spacing w:before="240" w:after="0" w:line="360" w:lineRule="auto"/>
        <w:ind w:right="49"/>
        <w:jc w:val="both"/>
        <w:rPr>
          <w:rFonts w:ascii="Palatino Linotype" w:hAnsi="Palatino Linotype" w:cs="Arial"/>
          <w:color w:val="000000" w:themeColor="text1"/>
          <w:sz w:val="24"/>
          <w:szCs w:val="24"/>
        </w:rPr>
      </w:pPr>
      <w:r w:rsidRPr="006B7327">
        <w:rPr>
          <w:rFonts w:ascii="Palatino Linotype" w:hAnsi="Palatino Linotype" w:cs="Arial"/>
          <w:sz w:val="24"/>
          <w:szCs w:val="24"/>
        </w:rPr>
        <w:t>Por otro lado, c</w:t>
      </w:r>
      <w:r w:rsidR="00916C9D" w:rsidRPr="006B7327">
        <w:rPr>
          <w:rFonts w:ascii="Palatino Linotype" w:hAnsi="Palatino Linotype" w:cs="Arial"/>
          <w:sz w:val="24"/>
          <w:szCs w:val="24"/>
        </w:rPr>
        <w:t xml:space="preserve">abe hacer el señalamiento </w:t>
      </w:r>
      <w:r w:rsidR="00F46469" w:rsidRPr="006B7327">
        <w:rPr>
          <w:rFonts w:ascii="Palatino Linotype" w:hAnsi="Palatino Linotype" w:cs="Arial"/>
          <w:sz w:val="24"/>
          <w:szCs w:val="24"/>
        </w:rPr>
        <w:t>que la ahora recurrente señala como Acto impugnado:</w:t>
      </w:r>
      <w:r w:rsidR="00F46469" w:rsidRPr="006B7327">
        <w:rPr>
          <w:rFonts w:ascii="Palatino Linotype" w:eastAsia="MS Mincho" w:hAnsi="Palatino Linotype" w:cs="Times New Roman"/>
          <w:i/>
          <w:lang w:val="es-ES_tradnl" w:eastAsia="es-ES"/>
        </w:rPr>
        <w:t xml:space="preserve"> “</w:t>
      </w:r>
      <w:r w:rsidR="00F46469" w:rsidRPr="006B7327">
        <w:rPr>
          <w:rFonts w:ascii="Palatino Linotype" w:eastAsia="MS Mincho" w:hAnsi="Palatino Linotype" w:cs="Times New Roman"/>
          <w:i/>
          <w:lang w:eastAsia="es-ES"/>
        </w:rPr>
        <w:t>RESOLUCIÓN DE FECHA 23 DE FEBRERO DE 2016 EN DONDE SE REQUIERE QUE ACREDITE LA REPRESENTACIÓN DE MI ESPOSO FALLECIDO, ASI COMO SU CONSENTIMIENTO PARA PODER ACCEDER A SUS EXPEDIENTES CLÍNICOS QUE REQUIERO PARA TRAMITAR MI PENSIÓN ANTE EL ISSEMYM que incluso me solicita la Unidad Jurídica y Consultiva del ISSEMYM</w:t>
      </w:r>
      <w:r w:rsidR="00F46469" w:rsidRPr="006B7327">
        <w:rPr>
          <w:rFonts w:ascii="Palatino Linotype" w:eastAsia="MS Mincho" w:hAnsi="Palatino Linotype" w:cs="Times New Roman"/>
          <w:i/>
          <w:lang w:val="es-ES_tradnl" w:eastAsia="es-ES"/>
        </w:rPr>
        <w:t xml:space="preserve">”(Sic) </w:t>
      </w:r>
      <w:r w:rsidR="00F46469" w:rsidRPr="006B7327">
        <w:rPr>
          <w:rFonts w:ascii="Palatino Linotype" w:hAnsi="Palatino Linotype" w:cs="Arial"/>
          <w:sz w:val="24"/>
          <w:szCs w:val="24"/>
        </w:rPr>
        <w:t>y como Razones o Motivos de inconformidad:</w:t>
      </w:r>
      <w:r w:rsidR="00F46469" w:rsidRPr="006B7327">
        <w:rPr>
          <w:rFonts w:ascii="Palatino Linotype" w:eastAsia="MS Mincho" w:hAnsi="Palatino Linotype" w:cs="Times New Roman"/>
          <w:i/>
          <w:lang w:val="es-ES_tradnl" w:eastAsia="es-ES"/>
        </w:rPr>
        <w:t xml:space="preserve"> “</w:t>
      </w:r>
      <w:r w:rsidR="00F46469" w:rsidRPr="006B7327">
        <w:rPr>
          <w:rFonts w:ascii="Palatino Linotype" w:eastAsia="MS Mincho" w:hAnsi="Palatino Linotype" w:cs="Times New Roman"/>
          <w:i/>
          <w:lang w:eastAsia="es-ES"/>
        </w:rPr>
        <w:t xml:space="preserve">Lo que me solicita el instituto es excesivo, toda vez que si bien es cierto que el artículo 106 de la Ley de Protección de Datos del Estado de México, señala como requisito que mediante testamento se puede señalar representante para acceso a datos personales, también lo es que mi esposo no realizó testamento, el murió el 09 de junio de 2017, sin embargo, desconocíamos la ley y dada las complicaciones médicas no estaba en posibilidad de señalar su consentimiento o un representante. Asimismo, acreditó tener interés jurídico al ser su familiar directo, ya que en todo caso tendría que enfrentar un juicio de sucesión para acceder al expediente clínico de mi familiar, cuando tengo acreditado que se trata de mi familiar directo, y es claro que dichos requisitos afectan mis derechos para poder acceder a una pensión. Además, que los datos personales a que quiero acceder son para ejercer mi derecho a la pensión, siendo ésta la relación jurídica que tengo con mi fallecido esposo. Aunado a lo anterior, es contradictorio que en el </w:t>
      </w:r>
      <w:r w:rsidR="00F46469" w:rsidRPr="006B7327">
        <w:rPr>
          <w:rFonts w:ascii="Palatino Linotype" w:eastAsia="MS Mincho" w:hAnsi="Palatino Linotype" w:cs="Times New Roman"/>
          <w:i/>
          <w:lang w:eastAsia="es-ES"/>
        </w:rPr>
        <w:lastRenderedPageBreak/>
        <w:t xml:space="preserve">requerimiento de transparencia, me pidan esos requisitos que no puedo cumplir y por otro lado la Unidad Jurídica del propio </w:t>
      </w:r>
      <w:proofErr w:type="spellStart"/>
      <w:r w:rsidR="00F46469" w:rsidRPr="006B7327">
        <w:rPr>
          <w:rFonts w:ascii="Palatino Linotype" w:eastAsia="MS Mincho" w:hAnsi="Palatino Linotype" w:cs="Times New Roman"/>
          <w:i/>
          <w:lang w:eastAsia="es-ES"/>
        </w:rPr>
        <w:t>ISSEMyM</w:t>
      </w:r>
      <w:proofErr w:type="spellEnd"/>
      <w:r w:rsidR="00F46469" w:rsidRPr="006B7327">
        <w:rPr>
          <w:rFonts w:ascii="Palatino Linotype" w:eastAsia="MS Mincho" w:hAnsi="Palatino Linotype" w:cs="Times New Roman"/>
          <w:i/>
          <w:lang w:eastAsia="es-ES"/>
        </w:rPr>
        <w:t xml:space="preserve"> me los requiere como se ve del archivo que adjunto de dicho oficio.”</w:t>
      </w:r>
      <w:r w:rsidR="00F46469" w:rsidRPr="006B7327">
        <w:rPr>
          <w:rFonts w:ascii="Palatino Linotype" w:eastAsia="MS Mincho" w:hAnsi="Palatino Linotype" w:cs="Times New Roman"/>
          <w:i/>
          <w:lang w:val="es-ES_tradnl" w:eastAsia="es-ES"/>
        </w:rPr>
        <w:t xml:space="preserve"> (Sic); </w:t>
      </w:r>
      <w:r w:rsidR="00F46469" w:rsidRPr="006B7327">
        <w:rPr>
          <w:rFonts w:ascii="Palatino Linotype" w:hAnsi="Palatino Linotype" w:cs="Arial"/>
          <w:sz w:val="24"/>
          <w:szCs w:val="24"/>
        </w:rPr>
        <w:t>por lo tanto, se aprecia que la información solicitada atiende a</w:t>
      </w:r>
      <w:r w:rsidRPr="006B7327">
        <w:rPr>
          <w:rFonts w:ascii="Palatino Linotype" w:hAnsi="Palatino Linotype" w:cs="Arial"/>
          <w:sz w:val="24"/>
          <w:szCs w:val="24"/>
        </w:rPr>
        <w:t xml:space="preserve"> un fin específico, esto es, el</w:t>
      </w:r>
      <w:r w:rsidR="00F46469" w:rsidRPr="006B7327">
        <w:rPr>
          <w:rFonts w:ascii="Palatino Linotype" w:hAnsi="Palatino Linotype" w:cs="Arial"/>
          <w:sz w:val="24"/>
          <w:szCs w:val="24"/>
        </w:rPr>
        <w:t xml:space="preserve"> acceder a la pensión que le otorga el Sujeto Obligado</w:t>
      </w:r>
      <w:r w:rsidRPr="006B7327">
        <w:rPr>
          <w:rFonts w:ascii="Palatino Linotype" w:hAnsi="Palatino Linotype" w:cs="Arial"/>
          <w:sz w:val="24"/>
          <w:szCs w:val="24"/>
        </w:rPr>
        <w:t>.</w:t>
      </w:r>
    </w:p>
    <w:p w:rsidR="00B45757" w:rsidRPr="006B7327" w:rsidRDefault="00B45757" w:rsidP="00B45757">
      <w:pPr>
        <w:pStyle w:val="Prrafodelista"/>
        <w:widowControl w:val="0"/>
        <w:autoSpaceDE w:val="0"/>
        <w:autoSpaceDN w:val="0"/>
        <w:adjustRightInd w:val="0"/>
        <w:spacing w:before="240" w:after="0" w:line="360" w:lineRule="auto"/>
        <w:ind w:left="360" w:right="49"/>
        <w:jc w:val="both"/>
        <w:rPr>
          <w:rFonts w:ascii="Palatino Linotype" w:hAnsi="Palatino Linotype" w:cs="Arial"/>
          <w:color w:val="000000" w:themeColor="text1"/>
          <w:sz w:val="24"/>
          <w:szCs w:val="24"/>
        </w:rPr>
      </w:pPr>
    </w:p>
    <w:p w:rsidR="003C00E4" w:rsidRPr="006B7327" w:rsidRDefault="00B45757" w:rsidP="003C00E4">
      <w:pPr>
        <w:pStyle w:val="Prrafodelista"/>
        <w:widowControl w:val="0"/>
        <w:numPr>
          <w:ilvl w:val="0"/>
          <w:numId w:val="2"/>
        </w:numPr>
        <w:autoSpaceDE w:val="0"/>
        <w:autoSpaceDN w:val="0"/>
        <w:adjustRightInd w:val="0"/>
        <w:spacing w:before="240" w:after="0" w:line="360" w:lineRule="auto"/>
        <w:ind w:right="49"/>
        <w:jc w:val="both"/>
      </w:pPr>
      <w:r w:rsidRPr="006B7327">
        <w:rPr>
          <w:rFonts w:ascii="Palatino Linotype" w:hAnsi="Palatino Linotype" w:cs="Arial"/>
          <w:sz w:val="24"/>
          <w:szCs w:val="24"/>
        </w:rPr>
        <w:t xml:space="preserve">Por consecuencia, se advierte que si bien la parte recurrente al realizar su solicitud de acceso a datos personales, no exhibió ante el Sujeto Obligado algún documento idóneo que permitiera reconocerle el interés jurídico para ejercer los derechos ARCO a nombre y representación, también lo es, que el Sujeto Obligado al momento de presentar su alcance al </w:t>
      </w:r>
      <w:r w:rsidR="009C60CE" w:rsidRPr="006B7327">
        <w:rPr>
          <w:rFonts w:ascii="Palatino Linotype" w:hAnsi="Palatino Linotype" w:cs="Arial"/>
          <w:sz w:val="24"/>
          <w:szCs w:val="24"/>
        </w:rPr>
        <w:t>Informe Justificado</w:t>
      </w:r>
      <w:r w:rsidRPr="006B7327">
        <w:rPr>
          <w:rFonts w:ascii="Palatino Linotype" w:hAnsi="Palatino Linotype" w:cs="Arial"/>
          <w:sz w:val="24"/>
          <w:szCs w:val="24"/>
        </w:rPr>
        <w:t>, asume contar con a información en virtud de que dicha</w:t>
      </w:r>
      <w:r w:rsidR="009C60CE" w:rsidRPr="006B7327">
        <w:rPr>
          <w:rFonts w:ascii="Palatino Linotype" w:hAnsi="Palatino Linotype" w:cs="Arial"/>
          <w:sz w:val="24"/>
          <w:szCs w:val="24"/>
        </w:rPr>
        <w:t xml:space="preserve"> información se encuentra dentro de</w:t>
      </w:r>
      <w:r w:rsidRPr="006B7327">
        <w:rPr>
          <w:rFonts w:ascii="Palatino Linotype" w:hAnsi="Palatino Linotype" w:cs="Arial"/>
          <w:sz w:val="24"/>
          <w:szCs w:val="24"/>
        </w:rPr>
        <w:t xml:space="preserve"> su ámbito de competencia y administra dicha información, tan es </w:t>
      </w:r>
      <w:r w:rsidR="009C60CE" w:rsidRPr="006B7327">
        <w:rPr>
          <w:rFonts w:ascii="Palatino Linotype" w:hAnsi="Palatino Linotype" w:cs="Arial"/>
          <w:sz w:val="24"/>
          <w:szCs w:val="24"/>
        </w:rPr>
        <w:t>así</w:t>
      </w:r>
      <w:r w:rsidRPr="006B7327">
        <w:rPr>
          <w:rFonts w:ascii="Palatino Linotype" w:hAnsi="Palatino Linotype" w:cs="Arial"/>
          <w:sz w:val="24"/>
          <w:szCs w:val="24"/>
        </w:rPr>
        <w:t xml:space="preserve">, que mediante oficio se aprecia que la Dirección de Atención a la Salud remite </w:t>
      </w:r>
      <w:r w:rsidRPr="006B7327">
        <w:rPr>
          <w:rFonts w:ascii="Palatino Linotype" w:hAnsi="Palatino Linotype"/>
          <w:sz w:val="24"/>
          <w:szCs w:val="24"/>
        </w:rPr>
        <w:t>copia certificada de dos expedientes clínicos integrados en el Hospital Regional Atlacomulco y Centro Médico Toluca al Jefe de la Unidad Jurídica y Consultiva, a fin de que se continúe con el trámite de pensión solicitado por la ahora recurren</w:t>
      </w:r>
      <w:r w:rsidR="00A33113" w:rsidRPr="006B7327">
        <w:rPr>
          <w:rFonts w:ascii="Palatino Linotype" w:hAnsi="Palatino Linotype"/>
          <w:sz w:val="24"/>
          <w:szCs w:val="24"/>
        </w:rPr>
        <w:t xml:space="preserve">te. </w:t>
      </w:r>
    </w:p>
    <w:p w:rsidR="00D00D5A" w:rsidRPr="006B7327" w:rsidRDefault="00D00D5A" w:rsidP="00D00D5A">
      <w:pPr>
        <w:pStyle w:val="Prrafodelista"/>
      </w:pPr>
    </w:p>
    <w:p w:rsidR="008F2DF1" w:rsidRPr="006B7327" w:rsidRDefault="00D00D5A" w:rsidP="00A82F51">
      <w:pPr>
        <w:pStyle w:val="Prrafodelista"/>
        <w:widowControl w:val="0"/>
        <w:numPr>
          <w:ilvl w:val="0"/>
          <w:numId w:val="2"/>
        </w:numPr>
        <w:autoSpaceDE w:val="0"/>
        <w:autoSpaceDN w:val="0"/>
        <w:adjustRightInd w:val="0"/>
        <w:spacing w:before="240" w:after="0" w:line="360" w:lineRule="auto"/>
        <w:ind w:right="49"/>
        <w:jc w:val="both"/>
        <w:rPr>
          <w:rFonts w:ascii="Palatino Linotype" w:hAnsi="Palatino Linotype"/>
          <w:sz w:val="24"/>
          <w:szCs w:val="24"/>
        </w:rPr>
      </w:pPr>
      <w:r w:rsidRPr="006B7327">
        <w:rPr>
          <w:rFonts w:ascii="Palatino Linotype" w:hAnsi="Palatino Linotype"/>
          <w:sz w:val="24"/>
          <w:szCs w:val="24"/>
        </w:rPr>
        <w:t xml:space="preserve">Es </w:t>
      </w:r>
      <w:r w:rsidR="00333ECD" w:rsidRPr="006B7327">
        <w:rPr>
          <w:rFonts w:ascii="Palatino Linotype" w:hAnsi="Palatino Linotype"/>
          <w:sz w:val="24"/>
          <w:szCs w:val="24"/>
        </w:rPr>
        <w:t>importante</w:t>
      </w:r>
      <w:r w:rsidRPr="006B7327">
        <w:rPr>
          <w:rFonts w:ascii="Palatino Linotype" w:hAnsi="Palatino Linotype"/>
          <w:sz w:val="24"/>
          <w:szCs w:val="24"/>
        </w:rPr>
        <w:t xml:space="preserve"> señalar que la Ley de Datos nos </w:t>
      </w:r>
      <w:r w:rsidR="00B9260B" w:rsidRPr="006B7327">
        <w:rPr>
          <w:rFonts w:ascii="Palatino Linotype" w:hAnsi="Palatino Linotype"/>
          <w:sz w:val="24"/>
          <w:szCs w:val="24"/>
        </w:rPr>
        <w:t>establece</w:t>
      </w:r>
      <w:r w:rsidRPr="006B7327">
        <w:rPr>
          <w:rFonts w:ascii="Palatino Linotype" w:hAnsi="Palatino Linotype"/>
          <w:sz w:val="24"/>
          <w:szCs w:val="24"/>
        </w:rPr>
        <w:t xml:space="preserve"> la figura de </w:t>
      </w:r>
      <w:r w:rsidR="0003680D" w:rsidRPr="006B7327">
        <w:rPr>
          <w:rFonts w:ascii="Palatino Linotype" w:hAnsi="Palatino Linotype"/>
          <w:sz w:val="24"/>
          <w:szCs w:val="24"/>
        </w:rPr>
        <w:t>remisión</w:t>
      </w:r>
      <w:r w:rsidR="00333ECD" w:rsidRPr="006B7327">
        <w:rPr>
          <w:rFonts w:ascii="Palatino Linotype" w:hAnsi="Palatino Linotype"/>
          <w:sz w:val="24"/>
          <w:szCs w:val="24"/>
        </w:rPr>
        <w:t xml:space="preserve"> la cual consiste en la comunicación de datos personales realizada exclusivamente entre el responsable y encargado, dentro o fuera del territorio mexicano</w:t>
      </w:r>
      <w:r w:rsidR="00B9260B" w:rsidRPr="006B7327">
        <w:rPr>
          <w:rStyle w:val="Refdenotaalpie"/>
          <w:rFonts w:ascii="Palatino Linotype" w:hAnsi="Palatino Linotype"/>
          <w:sz w:val="24"/>
          <w:szCs w:val="24"/>
        </w:rPr>
        <w:footnoteReference w:id="8"/>
      </w:r>
      <w:r w:rsidR="00333ECD" w:rsidRPr="006B7327">
        <w:rPr>
          <w:rFonts w:ascii="Palatino Linotype" w:hAnsi="Palatino Linotype"/>
          <w:sz w:val="24"/>
          <w:szCs w:val="24"/>
        </w:rPr>
        <w:t>,</w:t>
      </w:r>
      <w:r w:rsidR="006F2296" w:rsidRPr="006B7327">
        <w:rPr>
          <w:rFonts w:ascii="Palatino Linotype" w:hAnsi="Palatino Linotype"/>
          <w:sz w:val="24"/>
          <w:szCs w:val="24"/>
        </w:rPr>
        <w:t xml:space="preserve"> en ese orden de ideas </w:t>
      </w:r>
      <w:r w:rsidR="00B9260B" w:rsidRPr="006B7327">
        <w:rPr>
          <w:rFonts w:ascii="Palatino Linotype" w:hAnsi="Palatino Linotype"/>
          <w:sz w:val="24"/>
          <w:szCs w:val="24"/>
        </w:rPr>
        <w:t xml:space="preserve">la Ley establece en su Título Quinto de las Transferencias y Remisiones, en su Capítulo Único Disposiciones Aplicables a las Transferencias </w:t>
      </w:r>
      <w:r w:rsidR="00B9260B" w:rsidRPr="006B7327">
        <w:rPr>
          <w:rFonts w:ascii="Palatino Linotype" w:hAnsi="Palatino Linotype"/>
          <w:sz w:val="24"/>
          <w:szCs w:val="24"/>
        </w:rPr>
        <w:lastRenderedPageBreak/>
        <w:t xml:space="preserve">y Remisiones de Datos Personales </w:t>
      </w:r>
      <w:r w:rsidR="004456D5" w:rsidRPr="006B7327">
        <w:rPr>
          <w:rFonts w:ascii="Palatino Linotype" w:hAnsi="Palatino Linotype"/>
          <w:sz w:val="24"/>
          <w:szCs w:val="24"/>
        </w:rPr>
        <w:t xml:space="preserve">como </w:t>
      </w:r>
      <w:r w:rsidR="00A82F51" w:rsidRPr="006B7327">
        <w:rPr>
          <w:rFonts w:ascii="Palatino Linotype" w:hAnsi="Palatino Linotype"/>
          <w:sz w:val="24"/>
          <w:szCs w:val="24"/>
        </w:rPr>
        <w:t>excepción</w:t>
      </w:r>
      <w:r w:rsidR="004456D5" w:rsidRPr="006B7327">
        <w:rPr>
          <w:rFonts w:ascii="Palatino Linotype" w:hAnsi="Palatino Linotype"/>
          <w:sz w:val="24"/>
          <w:szCs w:val="24"/>
        </w:rPr>
        <w:t xml:space="preserve"> al consentimient</w:t>
      </w:r>
      <w:r w:rsidR="00A82F51" w:rsidRPr="006B7327">
        <w:rPr>
          <w:rFonts w:ascii="Palatino Linotype" w:hAnsi="Palatino Linotype"/>
          <w:sz w:val="24"/>
          <w:szCs w:val="24"/>
        </w:rPr>
        <w:t xml:space="preserve">o expreso de transferencia cuando </w:t>
      </w:r>
      <w:r w:rsidR="004456D5" w:rsidRPr="006B7327">
        <w:rPr>
          <w:rFonts w:ascii="Palatino Linotype" w:hAnsi="Palatino Linotype"/>
          <w:sz w:val="24"/>
          <w:szCs w:val="24"/>
        </w:rPr>
        <w:t>la transferencia se realice entre responsables, siempre y cuando los datos personales se utilicen para el ejercicio de facultades propias, compatibles o análogas con la finalidad que motivó el tratamiento de los datos personales</w:t>
      </w:r>
      <w:r w:rsidR="00A82F51" w:rsidRPr="006B7327">
        <w:rPr>
          <w:rStyle w:val="Refdenotaalpie"/>
          <w:rFonts w:ascii="Palatino Linotype" w:hAnsi="Palatino Linotype"/>
          <w:sz w:val="24"/>
          <w:szCs w:val="24"/>
        </w:rPr>
        <w:footnoteReference w:id="9"/>
      </w:r>
      <w:r w:rsidR="00A82F51" w:rsidRPr="006B7327">
        <w:rPr>
          <w:rFonts w:ascii="Palatino Linotype" w:hAnsi="Palatino Linotype"/>
          <w:sz w:val="24"/>
          <w:szCs w:val="24"/>
        </w:rPr>
        <w:t xml:space="preserve">; por lo cual, al ser una transferencia entre el propio Sujeto </w:t>
      </w:r>
      <w:r w:rsidR="004052E5" w:rsidRPr="006B7327">
        <w:rPr>
          <w:rFonts w:ascii="Palatino Linotype" w:hAnsi="Palatino Linotype"/>
          <w:sz w:val="24"/>
          <w:szCs w:val="24"/>
        </w:rPr>
        <w:t>Obligado</w:t>
      </w:r>
      <w:r w:rsidR="00A82F51" w:rsidRPr="006B7327">
        <w:rPr>
          <w:rFonts w:ascii="Palatino Linotype" w:hAnsi="Palatino Linotype"/>
          <w:sz w:val="24"/>
          <w:szCs w:val="24"/>
        </w:rPr>
        <w:t xml:space="preserve"> con la finalidad de atender el tramite especifico de </w:t>
      </w:r>
      <w:r w:rsidR="004052E5" w:rsidRPr="006B7327">
        <w:rPr>
          <w:rFonts w:ascii="Palatino Linotype" w:hAnsi="Palatino Linotype"/>
          <w:sz w:val="24"/>
          <w:szCs w:val="24"/>
        </w:rPr>
        <w:t>pensión</w:t>
      </w:r>
      <w:r w:rsidR="00A82F51" w:rsidRPr="006B7327">
        <w:rPr>
          <w:rFonts w:ascii="Palatino Linotype" w:hAnsi="Palatino Linotype"/>
          <w:sz w:val="24"/>
          <w:szCs w:val="24"/>
        </w:rPr>
        <w:t xml:space="preserve">, esté se encuentra compatible con la </w:t>
      </w:r>
      <w:r w:rsidR="004052E5" w:rsidRPr="006B7327">
        <w:rPr>
          <w:rFonts w:ascii="Palatino Linotype" w:hAnsi="Palatino Linotype"/>
          <w:sz w:val="24"/>
          <w:szCs w:val="24"/>
        </w:rPr>
        <w:t>finalidad</w:t>
      </w:r>
      <w:r w:rsidR="00A82F51" w:rsidRPr="006B7327">
        <w:rPr>
          <w:rFonts w:ascii="Palatino Linotype" w:hAnsi="Palatino Linotype"/>
          <w:sz w:val="24"/>
          <w:szCs w:val="24"/>
        </w:rPr>
        <w:t xml:space="preserve"> del expediente clínico, toda vez que para acceder a la </w:t>
      </w:r>
      <w:r w:rsidR="004052E5" w:rsidRPr="006B7327">
        <w:rPr>
          <w:rFonts w:ascii="Palatino Linotype" w:hAnsi="Palatino Linotype"/>
          <w:sz w:val="24"/>
          <w:szCs w:val="24"/>
        </w:rPr>
        <w:t>pensión</w:t>
      </w:r>
      <w:r w:rsidR="00A82F51" w:rsidRPr="006B7327">
        <w:rPr>
          <w:rFonts w:ascii="Palatino Linotype" w:hAnsi="Palatino Linotype"/>
          <w:sz w:val="24"/>
          <w:szCs w:val="24"/>
        </w:rPr>
        <w:t xml:space="preserve"> se requiere el expediente clínico</w:t>
      </w:r>
      <w:r w:rsidR="00633D73" w:rsidRPr="006B7327">
        <w:rPr>
          <w:rFonts w:ascii="Palatino Linotype" w:hAnsi="Palatino Linotype"/>
          <w:sz w:val="24"/>
          <w:szCs w:val="24"/>
        </w:rPr>
        <w:t>.</w:t>
      </w:r>
    </w:p>
    <w:p w:rsidR="004456D5" w:rsidRPr="006B7327" w:rsidRDefault="004456D5" w:rsidP="008F2DF1">
      <w:pPr>
        <w:pStyle w:val="Prrafodelista"/>
      </w:pPr>
    </w:p>
    <w:p w:rsidR="008F2DF1" w:rsidRPr="006B7327" w:rsidRDefault="008F2DF1" w:rsidP="008F2DF1">
      <w:pPr>
        <w:pStyle w:val="Prrafodelista"/>
      </w:pPr>
    </w:p>
    <w:p w:rsidR="003C00E4" w:rsidRPr="006B7327" w:rsidRDefault="008F2DF1" w:rsidP="00F73140">
      <w:pPr>
        <w:pStyle w:val="Prrafodelista"/>
        <w:widowControl w:val="0"/>
        <w:numPr>
          <w:ilvl w:val="0"/>
          <w:numId w:val="2"/>
        </w:numPr>
        <w:autoSpaceDE w:val="0"/>
        <w:autoSpaceDN w:val="0"/>
        <w:adjustRightInd w:val="0"/>
        <w:spacing w:before="240" w:after="0" w:line="360" w:lineRule="auto"/>
        <w:ind w:right="49"/>
        <w:jc w:val="both"/>
        <w:rPr>
          <w:rFonts w:ascii="Palatino Linotype" w:hAnsi="Palatino Linotype"/>
          <w:sz w:val="24"/>
          <w:szCs w:val="24"/>
        </w:rPr>
      </w:pPr>
      <w:r w:rsidRPr="006B7327">
        <w:rPr>
          <w:rFonts w:ascii="Palatino Linotype" w:hAnsi="Palatino Linotype"/>
          <w:sz w:val="24"/>
          <w:szCs w:val="24"/>
        </w:rPr>
        <w:t xml:space="preserve">Atento a lo anterior </w:t>
      </w:r>
      <w:r w:rsidR="003C00E4" w:rsidRPr="006B7327">
        <w:rPr>
          <w:rFonts w:ascii="Palatino Linotype" w:hAnsi="Palatino Linotype"/>
          <w:sz w:val="24"/>
          <w:szCs w:val="24"/>
        </w:rPr>
        <w:t>se tiene que, al haber existido un pronunciamiento por parte del Sujeto Obligado en su alcance al Informe Justificado, para dar respuesta a la solicitud de información,</w:t>
      </w:r>
      <w:r w:rsidR="00F73140" w:rsidRPr="006B7327">
        <w:rPr>
          <w:rFonts w:ascii="Palatino Linotype" w:hAnsi="Palatino Linotype"/>
          <w:sz w:val="24"/>
          <w:szCs w:val="24"/>
        </w:rPr>
        <w:t xml:space="preserve"> y por ende al haber modificado su respuesta inicial, esto es, al haber remitido el documento donde se aprecia que la información solicitada por la ahora recurrente para realizar el trámite consistente en obtener la pensión por parte de Sujeto Obligado ya se encuentra en el área administrativa que lo requiere, </w:t>
      </w:r>
      <w:r w:rsidR="003C00E4" w:rsidRPr="006B7327">
        <w:rPr>
          <w:rFonts w:ascii="Palatino Linotype" w:hAnsi="Palatino Linotype"/>
          <w:sz w:val="24"/>
          <w:szCs w:val="24"/>
        </w:rPr>
        <w:t xml:space="preserve">este Instituto concluye que se colma el derecho de acceso a la información del recurrente y, por ende, queda sin materia la inconformidad planteada, por lo que, se considera, que se actualiza la causal de sobreseimiento prevista en la fracción IV del artículo 139 de la </w:t>
      </w:r>
      <w:r w:rsidR="003C00E4" w:rsidRPr="006B7327">
        <w:rPr>
          <w:rFonts w:ascii="Palatino Linotype" w:hAnsi="Palatino Linotype" w:cs="Arial"/>
          <w:sz w:val="24"/>
          <w:szCs w:val="24"/>
        </w:rPr>
        <w:t>Ley de Protección de Datos Personales en Posesión de Sujetos Obligados del Estado de México y Municipios</w:t>
      </w:r>
      <w:r w:rsidR="003C00E4" w:rsidRPr="006B7327">
        <w:rPr>
          <w:rFonts w:ascii="Palatino Linotype" w:hAnsi="Palatino Linotype"/>
          <w:sz w:val="24"/>
          <w:szCs w:val="24"/>
        </w:rPr>
        <w:t>, que a la letra dispone:</w:t>
      </w:r>
    </w:p>
    <w:p w:rsidR="003C00E4" w:rsidRPr="006B7327" w:rsidRDefault="003C00E4" w:rsidP="003C00E4">
      <w:pPr>
        <w:autoSpaceDE w:val="0"/>
        <w:autoSpaceDN w:val="0"/>
        <w:adjustRightInd w:val="0"/>
        <w:spacing w:before="240" w:after="240"/>
        <w:ind w:left="567"/>
        <w:jc w:val="both"/>
        <w:rPr>
          <w:rFonts w:ascii="Palatino Linotype" w:hAnsi="Palatino Linotype"/>
          <w:i/>
        </w:rPr>
      </w:pPr>
      <w:r w:rsidRPr="006B7327">
        <w:rPr>
          <w:rFonts w:ascii="Palatino Linotype" w:hAnsi="Palatino Linotype"/>
          <w:i/>
        </w:rPr>
        <w:lastRenderedPageBreak/>
        <w:t>“</w:t>
      </w:r>
      <w:r w:rsidRPr="006B7327">
        <w:rPr>
          <w:rFonts w:ascii="Palatino Linotype" w:hAnsi="Palatino Linotype"/>
          <w:b/>
          <w:bCs/>
          <w:i/>
        </w:rPr>
        <w:t xml:space="preserve">Artículo 139. </w:t>
      </w:r>
      <w:r w:rsidRPr="006B7327">
        <w:rPr>
          <w:rFonts w:ascii="Palatino Linotype" w:hAnsi="Palatino Linotype"/>
          <w:i/>
        </w:rPr>
        <w:t>El recurso de revisión sólo podrá ser sobreseído cuando:</w:t>
      </w:r>
    </w:p>
    <w:p w:rsidR="003C00E4" w:rsidRPr="006B7327" w:rsidRDefault="003C00E4" w:rsidP="003C00E4">
      <w:pPr>
        <w:autoSpaceDE w:val="0"/>
        <w:autoSpaceDN w:val="0"/>
        <w:adjustRightInd w:val="0"/>
        <w:spacing w:before="240" w:after="240"/>
        <w:ind w:left="567"/>
        <w:jc w:val="both"/>
        <w:rPr>
          <w:rFonts w:ascii="Palatino Linotype" w:hAnsi="Palatino Linotype"/>
          <w:i/>
        </w:rPr>
      </w:pPr>
      <w:r w:rsidRPr="006B7327">
        <w:rPr>
          <w:rFonts w:ascii="Palatino Linotype" w:hAnsi="Palatino Linotype"/>
          <w:bCs/>
          <w:i/>
        </w:rPr>
        <w:t xml:space="preserve">I. </w:t>
      </w:r>
      <w:r w:rsidRPr="006B7327">
        <w:rPr>
          <w:rFonts w:ascii="Palatino Linotype" w:hAnsi="Palatino Linotype"/>
          <w:i/>
        </w:rPr>
        <w:t>El recurrente se desista expresamente.</w:t>
      </w:r>
    </w:p>
    <w:p w:rsidR="003C00E4" w:rsidRPr="006B7327" w:rsidRDefault="003C00E4" w:rsidP="003C00E4">
      <w:pPr>
        <w:autoSpaceDE w:val="0"/>
        <w:autoSpaceDN w:val="0"/>
        <w:adjustRightInd w:val="0"/>
        <w:spacing w:before="240" w:after="240"/>
        <w:ind w:left="567"/>
        <w:jc w:val="both"/>
        <w:rPr>
          <w:rFonts w:ascii="Palatino Linotype" w:hAnsi="Palatino Linotype"/>
          <w:i/>
        </w:rPr>
      </w:pPr>
      <w:r w:rsidRPr="006B7327">
        <w:rPr>
          <w:rFonts w:ascii="Palatino Linotype" w:hAnsi="Palatino Linotype"/>
          <w:bCs/>
          <w:i/>
        </w:rPr>
        <w:t xml:space="preserve">II. </w:t>
      </w:r>
      <w:r w:rsidRPr="006B7327">
        <w:rPr>
          <w:rFonts w:ascii="Palatino Linotype" w:hAnsi="Palatino Linotype"/>
          <w:i/>
        </w:rPr>
        <w:t>El recurrente fallezca.</w:t>
      </w:r>
    </w:p>
    <w:p w:rsidR="003C00E4" w:rsidRPr="006B7327" w:rsidRDefault="003C00E4" w:rsidP="003C00E4">
      <w:pPr>
        <w:autoSpaceDE w:val="0"/>
        <w:autoSpaceDN w:val="0"/>
        <w:adjustRightInd w:val="0"/>
        <w:spacing w:before="240" w:after="240"/>
        <w:ind w:left="567"/>
        <w:jc w:val="both"/>
        <w:rPr>
          <w:rFonts w:ascii="Palatino Linotype" w:hAnsi="Palatino Linotype"/>
          <w:i/>
        </w:rPr>
      </w:pPr>
      <w:r w:rsidRPr="006B7327">
        <w:rPr>
          <w:rFonts w:ascii="Palatino Linotype" w:hAnsi="Palatino Linotype"/>
          <w:bCs/>
          <w:i/>
        </w:rPr>
        <w:t xml:space="preserve">III. </w:t>
      </w:r>
      <w:r w:rsidRPr="006B7327">
        <w:rPr>
          <w:rFonts w:ascii="Palatino Linotype" w:hAnsi="Palatino Linotype"/>
          <w:i/>
        </w:rPr>
        <w:t>Admitido el recurso de revisión, se actualice alguna causal de improcedencia en los términos de la presente Ley.</w:t>
      </w:r>
    </w:p>
    <w:p w:rsidR="003C00E4" w:rsidRPr="006B7327" w:rsidRDefault="003C00E4" w:rsidP="003C00E4">
      <w:pPr>
        <w:autoSpaceDE w:val="0"/>
        <w:autoSpaceDN w:val="0"/>
        <w:adjustRightInd w:val="0"/>
        <w:spacing w:before="240" w:after="240"/>
        <w:ind w:left="567"/>
        <w:jc w:val="both"/>
        <w:rPr>
          <w:rFonts w:ascii="Palatino Linotype" w:hAnsi="Palatino Linotype"/>
          <w:b/>
          <w:i/>
        </w:rPr>
      </w:pPr>
      <w:r w:rsidRPr="006B7327">
        <w:rPr>
          <w:rFonts w:ascii="Palatino Linotype" w:hAnsi="Palatino Linotype"/>
          <w:b/>
          <w:bCs/>
          <w:i/>
        </w:rPr>
        <w:t xml:space="preserve">IV. </w:t>
      </w:r>
      <w:r w:rsidRPr="006B7327">
        <w:rPr>
          <w:rFonts w:ascii="Palatino Linotype" w:hAnsi="Palatino Linotype"/>
          <w:b/>
          <w:i/>
        </w:rPr>
        <w:t>El responsable modifique o revoque su respuesta de tal manera que el recurso de revisión quede sin materia.</w:t>
      </w:r>
    </w:p>
    <w:p w:rsidR="003C00E4" w:rsidRPr="006B7327" w:rsidRDefault="003C00E4" w:rsidP="003C00E4">
      <w:pPr>
        <w:autoSpaceDE w:val="0"/>
        <w:autoSpaceDN w:val="0"/>
        <w:adjustRightInd w:val="0"/>
        <w:spacing w:before="240" w:after="240"/>
        <w:ind w:left="567"/>
        <w:jc w:val="both"/>
        <w:rPr>
          <w:rFonts w:ascii="Palatino Linotype" w:hAnsi="Palatino Linotype"/>
          <w:b/>
          <w:i/>
        </w:rPr>
      </w:pPr>
      <w:r w:rsidRPr="006B7327">
        <w:rPr>
          <w:rFonts w:ascii="Palatino Linotype" w:hAnsi="Palatino Linotype"/>
          <w:bCs/>
          <w:i/>
        </w:rPr>
        <w:t xml:space="preserve">V. </w:t>
      </w:r>
      <w:r w:rsidRPr="006B7327">
        <w:rPr>
          <w:rFonts w:ascii="Palatino Linotype" w:hAnsi="Palatino Linotype"/>
          <w:i/>
        </w:rPr>
        <w:t>Quede sin materia el recurso de revisión</w:t>
      </w:r>
      <w:r w:rsidRPr="006B7327">
        <w:rPr>
          <w:rFonts w:ascii="Palatino Linotype" w:hAnsi="Palatino Linotype"/>
          <w:b/>
          <w:i/>
        </w:rPr>
        <w:t xml:space="preserve">. </w:t>
      </w:r>
    </w:p>
    <w:p w:rsidR="003C00E4" w:rsidRPr="006B7327" w:rsidRDefault="003C00E4" w:rsidP="003C00E4">
      <w:pPr>
        <w:autoSpaceDE w:val="0"/>
        <w:autoSpaceDN w:val="0"/>
        <w:adjustRightInd w:val="0"/>
        <w:spacing w:before="240" w:after="240"/>
        <w:ind w:left="567"/>
        <w:jc w:val="both"/>
        <w:rPr>
          <w:rFonts w:ascii="Palatino Linotype" w:hAnsi="Palatino Linotype"/>
        </w:rPr>
      </w:pPr>
      <w:r w:rsidRPr="006B7327">
        <w:rPr>
          <w:rFonts w:ascii="Palatino Linotype" w:hAnsi="Palatino Linotype"/>
        </w:rPr>
        <w:t>(Énfasis añadido)</w:t>
      </w:r>
    </w:p>
    <w:p w:rsidR="00926EB7" w:rsidRPr="006B7327" w:rsidRDefault="00926EB7" w:rsidP="00926EB7">
      <w:pPr>
        <w:autoSpaceDE w:val="0"/>
        <w:autoSpaceDN w:val="0"/>
        <w:adjustRightInd w:val="0"/>
        <w:spacing w:before="240" w:after="0"/>
        <w:ind w:left="567"/>
        <w:jc w:val="both"/>
        <w:rPr>
          <w:rFonts w:ascii="Palatino Linotype" w:hAnsi="Palatino Linotype"/>
        </w:rPr>
      </w:pPr>
    </w:p>
    <w:p w:rsidR="003C00E4" w:rsidRPr="006B7327" w:rsidRDefault="003C00E4" w:rsidP="00926EB7">
      <w:pPr>
        <w:pStyle w:val="Prrafodelista"/>
        <w:widowControl w:val="0"/>
        <w:numPr>
          <w:ilvl w:val="0"/>
          <w:numId w:val="2"/>
        </w:numPr>
        <w:autoSpaceDE w:val="0"/>
        <w:autoSpaceDN w:val="0"/>
        <w:adjustRightInd w:val="0"/>
        <w:spacing w:before="240" w:after="0" w:line="360" w:lineRule="auto"/>
        <w:ind w:right="49"/>
        <w:jc w:val="both"/>
        <w:rPr>
          <w:rFonts w:ascii="Palatino Linotype" w:hAnsi="Palatino Linotype"/>
          <w:sz w:val="24"/>
        </w:rPr>
      </w:pPr>
      <w:r w:rsidRPr="006B7327">
        <w:rPr>
          <w:rFonts w:ascii="Palatino Linotype" w:hAnsi="Palatino Linotype"/>
          <w:sz w:val="24"/>
        </w:rPr>
        <w:t xml:space="preserve">Esto es así, ya que si bien, el Sujeto Obligado en un principio  señaló que la ahora recurrente no acredito su personalidad, también lo es que en su alcance al Informe Justificado indicó que </w:t>
      </w:r>
      <w:r w:rsidR="00926EB7" w:rsidRPr="006B7327">
        <w:rPr>
          <w:rFonts w:ascii="Palatino Linotype" w:hAnsi="Palatino Linotype"/>
          <w:sz w:val="24"/>
        </w:rPr>
        <w:t>el área administrativa, la Unidad Jurídica y Consultiva,  cuenta con la información para poder continuar con el trámite de pensión solicitada</w:t>
      </w:r>
      <w:r w:rsidR="00EF28A1" w:rsidRPr="006B7327">
        <w:rPr>
          <w:rFonts w:ascii="Palatino Linotype" w:hAnsi="Palatino Linotype"/>
          <w:sz w:val="24"/>
        </w:rPr>
        <w:t xml:space="preserve">, </w:t>
      </w:r>
      <w:r w:rsidR="00926EB7" w:rsidRPr="006B7327">
        <w:rPr>
          <w:rFonts w:ascii="Palatino Linotype" w:hAnsi="Palatino Linotype"/>
          <w:sz w:val="24"/>
        </w:rPr>
        <w:t xml:space="preserve"> po</w:t>
      </w:r>
      <w:r w:rsidR="00EF28A1" w:rsidRPr="006B7327">
        <w:rPr>
          <w:rFonts w:ascii="Palatino Linotype" w:hAnsi="Palatino Linotype"/>
          <w:sz w:val="24"/>
        </w:rPr>
        <w:t>r</w:t>
      </w:r>
      <w:r w:rsidR="00926EB7" w:rsidRPr="006B7327">
        <w:rPr>
          <w:rFonts w:ascii="Palatino Linotype" w:hAnsi="Palatino Linotype"/>
          <w:sz w:val="24"/>
        </w:rPr>
        <w:t xml:space="preserve"> lo tanto</w:t>
      </w:r>
      <w:r w:rsidRPr="006B7327">
        <w:rPr>
          <w:rFonts w:ascii="Palatino Linotype" w:hAnsi="Palatino Linotype"/>
          <w:sz w:val="24"/>
        </w:rPr>
        <w:t xml:space="preserve"> se concluye que resulta procedente sobreseer el</w:t>
      </w:r>
      <w:r w:rsidRPr="006B7327">
        <w:rPr>
          <w:rFonts w:ascii="Palatino Linotype" w:hAnsi="Palatino Linotype"/>
          <w:sz w:val="24"/>
          <w:lang w:eastAsia="es-MX"/>
        </w:rPr>
        <w:t xml:space="preserve"> presente recurso de revisión, con fundamento </w:t>
      </w:r>
      <w:r w:rsidR="00EF28A1" w:rsidRPr="006B7327">
        <w:rPr>
          <w:rFonts w:ascii="Palatino Linotype" w:hAnsi="Palatino Linotype"/>
          <w:sz w:val="24"/>
          <w:lang w:eastAsia="es-MX"/>
        </w:rPr>
        <w:t xml:space="preserve">en </w:t>
      </w:r>
      <w:r w:rsidR="00EF28A1" w:rsidRPr="006B7327">
        <w:rPr>
          <w:rFonts w:ascii="Palatino Linotype" w:hAnsi="Palatino Linotype"/>
          <w:sz w:val="24"/>
          <w:szCs w:val="24"/>
        </w:rPr>
        <w:t xml:space="preserve">el artículo 139 fracción IV de la </w:t>
      </w:r>
      <w:r w:rsidR="00EF28A1" w:rsidRPr="006B7327">
        <w:rPr>
          <w:rFonts w:ascii="Palatino Linotype" w:hAnsi="Palatino Linotype" w:cs="Arial"/>
          <w:sz w:val="24"/>
          <w:szCs w:val="24"/>
        </w:rPr>
        <w:t>Ley de Protección de Datos Personales en Posesión de Sujetos Obligados del Estado de México y Municipios</w:t>
      </w:r>
      <w:r w:rsidRPr="006B7327">
        <w:rPr>
          <w:rFonts w:ascii="Palatino Linotype" w:hAnsi="Palatino Linotype"/>
          <w:sz w:val="24"/>
          <w:lang w:eastAsia="es-MX"/>
        </w:rPr>
        <w:t>; toda vez que, se reitera, el medio de impugnación quedó sin materia.​</w:t>
      </w:r>
    </w:p>
    <w:p w:rsidR="00E81AEE" w:rsidRPr="006B7327" w:rsidRDefault="00E81AEE" w:rsidP="00E81AEE">
      <w:pPr>
        <w:pStyle w:val="Prrafodelista"/>
        <w:widowControl w:val="0"/>
        <w:autoSpaceDE w:val="0"/>
        <w:autoSpaceDN w:val="0"/>
        <w:adjustRightInd w:val="0"/>
        <w:spacing w:before="240" w:after="0" w:line="360" w:lineRule="auto"/>
        <w:ind w:left="360" w:right="49"/>
        <w:jc w:val="both"/>
        <w:rPr>
          <w:rFonts w:ascii="Palatino Linotype" w:hAnsi="Palatino Linotype"/>
          <w:sz w:val="24"/>
        </w:rPr>
      </w:pPr>
    </w:p>
    <w:p w:rsidR="003C00E4" w:rsidRPr="006B7327" w:rsidRDefault="00121E5B" w:rsidP="00885B5A">
      <w:pPr>
        <w:pStyle w:val="Prrafodelista"/>
        <w:widowControl w:val="0"/>
        <w:numPr>
          <w:ilvl w:val="0"/>
          <w:numId w:val="2"/>
        </w:numPr>
        <w:autoSpaceDE w:val="0"/>
        <w:autoSpaceDN w:val="0"/>
        <w:adjustRightInd w:val="0"/>
        <w:spacing w:before="240" w:after="0" w:line="360" w:lineRule="auto"/>
        <w:ind w:right="49"/>
        <w:jc w:val="both"/>
        <w:rPr>
          <w:rFonts w:ascii="Palatino Linotype" w:hAnsi="Palatino Linotype"/>
          <w:sz w:val="24"/>
        </w:rPr>
      </w:pPr>
      <w:r w:rsidRPr="006B7327">
        <w:rPr>
          <w:rFonts w:ascii="Palatino Linotype" w:hAnsi="Palatino Linotype"/>
          <w:sz w:val="24"/>
          <w:lang w:eastAsia="es-MX"/>
        </w:rPr>
        <w:t xml:space="preserve">Finalmente, es importante señalar que el oficio </w:t>
      </w:r>
      <w:r w:rsidRPr="006B7327">
        <w:rPr>
          <w:rFonts w:ascii="Palatino Linotype" w:hAnsi="Palatino Linotype" w:cs="Arial"/>
          <w:sz w:val="24"/>
          <w:szCs w:val="24"/>
        </w:rPr>
        <w:t xml:space="preserve">número </w:t>
      </w:r>
      <w:r w:rsidR="001F21DF" w:rsidRPr="001F21DF">
        <w:rPr>
          <w:rFonts w:ascii="Palatino Linotype" w:hAnsi="Palatino Linotype" w:cs="Arial"/>
          <w:sz w:val="24"/>
          <w:szCs w:val="24"/>
          <w:highlight w:val="black"/>
        </w:rPr>
        <w:t>--------</w:t>
      </w:r>
      <w:r w:rsidRPr="001F21DF">
        <w:rPr>
          <w:rFonts w:ascii="Palatino Linotype" w:hAnsi="Palatino Linotype" w:cs="Arial"/>
          <w:sz w:val="24"/>
          <w:szCs w:val="24"/>
          <w:highlight w:val="black"/>
        </w:rPr>
        <w:t>/</w:t>
      </w:r>
      <w:r w:rsidR="001F21DF" w:rsidRPr="001F21DF">
        <w:rPr>
          <w:rFonts w:ascii="Palatino Linotype" w:hAnsi="Palatino Linotype" w:cs="Arial"/>
          <w:sz w:val="24"/>
          <w:szCs w:val="24"/>
          <w:highlight w:val="black"/>
        </w:rPr>
        <w:t>---</w:t>
      </w:r>
      <w:r w:rsidRPr="001F21DF">
        <w:rPr>
          <w:rFonts w:ascii="Palatino Linotype" w:hAnsi="Palatino Linotype" w:cs="Arial"/>
          <w:sz w:val="24"/>
          <w:szCs w:val="24"/>
          <w:highlight w:val="black"/>
        </w:rPr>
        <w:t>/</w:t>
      </w:r>
      <w:r w:rsidR="001F21DF" w:rsidRPr="001F21DF">
        <w:rPr>
          <w:rFonts w:ascii="Palatino Linotype" w:hAnsi="Palatino Linotype" w:cs="Arial"/>
          <w:sz w:val="24"/>
          <w:szCs w:val="24"/>
          <w:highlight w:val="black"/>
        </w:rPr>
        <w:t>----</w:t>
      </w:r>
      <w:r w:rsidRPr="001F21DF">
        <w:rPr>
          <w:rFonts w:ascii="Palatino Linotype" w:hAnsi="Palatino Linotype" w:cs="Arial"/>
          <w:sz w:val="24"/>
          <w:szCs w:val="24"/>
          <w:highlight w:val="black"/>
        </w:rPr>
        <w:t>/</w:t>
      </w:r>
      <w:r w:rsidR="001F21DF" w:rsidRPr="001F21DF">
        <w:rPr>
          <w:rFonts w:ascii="Palatino Linotype" w:hAnsi="Palatino Linotype" w:cs="Arial"/>
          <w:sz w:val="24"/>
          <w:szCs w:val="24"/>
          <w:highlight w:val="black"/>
        </w:rPr>
        <w:t>----</w:t>
      </w:r>
      <w:r w:rsidRPr="006B7327">
        <w:rPr>
          <w:rFonts w:ascii="Palatino Linotype" w:hAnsi="Palatino Linotype" w:cs="Arial"/>
          <w:sz w:val="24"/>
          <w:szCs w:val="24"/>
        </w:rPr>
        <w:t xml:space="preserve"> signado por la Dirección de Atención a la Salud es </w:t>
      </w:r>
      <w:r w:rsidR="00885B5A" w:rsidRPr="006B7327">
        <w:rPr>
          <w:rFonts w:ascii="Palatino Linotype" w:hAnsi="Palatino Linotype" w:cs="Arial"/>
          <w:sz w:val="24"/>
          <w:szCs w:val="24"/>
        </w:rPr>
        <w:t>prueba</w:t>
      </w:r>
      <w:r w:rsidRPr="006B7327">
        <w:rPr>
          <w:rFonts w:ascii="Palatino Linotype" w:hAnsi="Palatino Linotype" w:cs="Arial"/>
          <w:sz w:val="24"/>
          <w:szCs w:val="24"/>
        </w:rPr>
        <w:t xml:space="preserve"> fiel de que se </w:t>
      </w:r>
      <w:r w:rsidR="00885B5A" w:rsidRPr="006B7327">
        <w:rPr>
          <w:rFonts w:ascii="Palatino Linotype" w:hAnsi="Palatino Linotype" w:cs="Arial"/>
          <w:sz w:val="24"/>
          <w:szCs w:val="24"/>
        </w:rPr>
        <w:t>remitió</w:t>
      </w:r>
      <w:r w:rsidRPr="006B7327">
        <w:rPr>
          <w:rFonts w:ascii="Palatino Linotype" w:hAnsi="Palatino Linotype" w:cs="Arial"/>
          <w:sz w:val="24"/>
          <w:szCs w:val="24"/>
        </w:rPr>
        <w:t xml:space="preserve"> </w:t>
      </w:r>
      <w:r w:rsidR="00885B5A" w:rsidRPr="006B7327">
        <w:rPr>
          <w:rFonts w:ascii="Palatino Linotype" w:hAnsi="Palatino Linotype" w:cs="Arial"/>
          <w:sz w:val="24"/>
          <w:szCs w:val="24"/>
        </w:rPr>
        <w:t xml:space="preserve">copia certificada de dos expedientes clínicos integrados en el Hospital Regional </w:t>
      </w:r>
      <w:r w:rsidR="00885B5A" w:rsidRPr="006B7327">
        <w:rPr>
          <w:rFonts w:ascii="Palatino Linotype" w:hAnsi="Palatino Linotype" w:cs="Arial"/>
          <w:sz w:val="24"/>
          <w:szCs w:val="24"/>
        </w:rPr>
        <w:lastRenderedPageBreak/>
        <w:t xml:space="preserve">Atlacomulco y Centro Médico Toluca, del C. </w:t>
      </w:r>
      <w:r w:rsidR="00A519E3" w:rsidRPr="00A519E3">
        <w:rPr>
          <w:rFonts w:ascii="Palatino Linotype" w:hAnsi="Palatino Linotype" w:cs="Arial"/>
          <w:sz w:val="24"/>
          <w:szCs w:val="24"/>
          <w:highlight w:val="black"/>
        </w:rPr>
        <w:t>---------------------------</w:t>
      </w:r>
      <w:r w:rsidR="00885B5A" w:rsidRPr="006B7327">
        <w:rPr>
          <w:rFonts w:ascii="Palatino Linotype" w:hAnsi="Palatino Linotype" w:cs="Arial"/>
          <w:sz w:val="24"/>
          <w:szCs w:val="24"/>
        </w:rPr>
        <w:t xml:space="preserve">, clave ISSSEMYM </w:t>
      </w:r>
      <w:r w:rsidR="00A519E3" w:rsidRPr="00A519E3">
        <w:rPr>
          <w:rFonts w:ascii="Palatino Linotype" w:hAnsi="Palatino Linotype" w:cs="Arial"/>
          <w:sz w:val="24"/>
          <w:szCs w:val="24"/>
          <w:highlight w:val="black"/>
        </w:rPr>
        <w:t>--------------</w:t>
      </w:r>
      <w:r w:rsidR="00885B5A" w:rsidRPr="006B7327">
        <w:rPr>
          <w:rFonts w:ascii="Palatino Linotype" w:hAnsi="Palatino Linotype" w:cs="Arial"/>
          <w:sz w:val="24"/>
          <w:szCs w:val="24"/>
        </w:rPr>
        <w:t xml:space="preserve">, con lo que con dicha documental, la ahora recurrente puede </w:t>
      </w:r>
      <w:r w:rsidR="00E81AEE" w:rsidRPr="006B7327">
        <w:rPr>
          <w:rFonts w:ascii="Palatino Linotype" w:hAnsi="Palatino Linotype" w:cs="Arial"/>
          <w:sz w:val="24"/>
          <w:szCs w:val="24"/>
        </w:rPr>
        <w:t xml:space="preserve">demostrar que se ha cumplido con el requisito y se </w:t>
      </w:r>
      <w:r w:rsidR="00885B5A" w:rsidRPr="006B7327">
        <w:rPr>
          <w:rFonts w:ascii="Palatino Linotype" w:hAnsi="Palatino Linotype" w:cs="Arial"/>
          <w:sz w:val="24"/>
          <w:szCs w:val="24"/>
        </w:rPr>
        <w:t>puede continuar con el trámite de pensión</w:t>
      </w:r>
      <w:r w:rsidR="00D41C06" w:rsidRPr="006B7327">
        <w:rPr>
          <w:rFonts w:ascii="Palatino Linotype" w:hAnsi="Palatino Linotype" w:cs="Arial"/>
          <w:sz w:val="24"/>
          <w:szCs w:val="24"/>
        </w:rPr>
        <w:t>.</w:t>
      </w:r>
    </w:p>
    <w:p w:rsidR="00F46469" w:rsidRPr="006B7327" w:rsidRDefault="00F46469" w:rsidP="00B04A84">
      <w:pPr>
        <w:pStyle w:val="Prrafodelista"/>
        <w:widowControl w:val="0"/>
        <w:autoSpaceDE w:val="0"/>
        <w:autoSpaceDN w:val="0"/>
        <w:adjustRightInd w:val="0"/>
        <w:spacing w:before="240" w:after="0" w:line="360" w:lineRule="auto"/>
        <w:ind w:left="360" w:right="49"/>
        <w:jc w:val="both"/>
        <w:rPr>
          <w:rFonts w:ascii="Palatino Linotype" w:hAnsi="Palatino Linotype" w:cs="Arial"/>
          <w:color w:val="000000" w:themeColor="text1"/>
          <w:sz w:val="24"/>
          <w:szCs w:val="24"/>
        </w:rPr>
      </w:pPr>
    </w:p>
    <w:p w:rsidR="009F7E68" w:rsidRPr="006B7327" w:rsidRDefault="00054577" w:rsidP="0061593D">
      <w:pPr>
        <w:pStyle w:val="Prrafodelista"/>
        <w:widowControl w:val="0"/>
        <w:numPr>
          <w:ilvl w:val="0"/>
          <w:numId w:val="2"/>
        </w:numPr>
        <w:autoSpaceDE w:val="0"/>
        <w:autoSpaceDN w:val="0"/>
        <w:adjustRightInd w:val="0"/>
        <w:spacing w:before="240" w:after="0" w:line="360" w:lineRule="auto"/>
        <w:ind w:right="49"/>
        <w:jc w:val="both"/>
        <w:rPr>
          <w:rFonts w:ascii="Palatino Linotype" w:hAnsi="Palatino Linotype" w:cs="Arial"/>
          <w:sz w:val="24"/>
          <w:szCs w:val="24"/>
        </w:rPr>
      </w:pPr>
      <w:bookmarkStart w:id="16" w:name="_Toc458707290"/>
      <w:bookmarkStart w:id="17" w:name="_Toc458707159"/>
      <w:bookmarkStart w:id="18" w:name="_Toc458537736"/>
      <w:r w:rsidRPr="006B7327">
        <w:rPr>
          <w:rFonts w:ascii="Palatino Linotype" w:eastAsia="Calibri" w:hAnsi="Palatino Linotype" w:cs="Arial"/>
          <w:sz w:val="24"/>
          <w:szCs w:val="24"/>
        </w:rPr>
        <w:t xml:space="preserve">Así, con </w:t>
      </w:r>
      <w:r w:rsidRPr="006B7327">
        <w:rPr>
          <w:rFonts w:ascii="Palatino Linotype" w:hAnsi="Palatino Linotype"/>
          <w:sz w:val="24"/>
          <w:szCs w:val="24"/>
        </w:rPr>
        <w:t>fundamento</w:t>
      </w:r>
      <w:r w:rsidRPr="006B7327">
        <w:rPr>
          <w:rFonts w:ascii="Palatino Linotype" w:eastAsia="Calibri" w:hAnsi="Palatino Linotype" w:cs="Arial"/>
          <w:sz w:val="24"/>
          <w:szCs w:val="24"/>
        </w:rPr>
        <w:t xml:space="preserve"> en lo prescrito en los artículos 5 párrafos vigésimo, vigésimo primero y vigésimo segundo fracciones IV y V de la Constitución Política del Estado Libre y Soberano de México;</w:t>
      </w:r>
      <w:r w:rsidR="00CC5CA7" w:rsidRPr="006B7327">
        <w:rPr>
          <w:rFonts w:ascii="Palatino Linotype" w:eastAsia="Calibri" w:hAnsi="Palatino Linotype" w:cs="Arial"/>
          <w:sz w:val="24"/>
          <w:szCs w:val="24"/>
        </w:rPr>
        <w:t xml:space="preserve"> 1, 81, 82 fracciones I y III, 119, 127, 128, 129, 133 y 137 de la Ley de Protección de Datos Personales en Posesión de Sujetos Obligados del Estado de México y Municipios y </w:t>
      </w:r>
      <w:r w:rsidRPr="006B7327">
        <w:rPr>
          <w:rFonts w:ascii="Palatino Linotype" w:eastAsia="Calibri" w:hAnsi="Palatino Linotype" w:cs="Arial"/>
          <w:sz w:val="24"/>
          <w:szCs w:val="24"/>
        </w:rPr>
        <w:t xml:space="preserve"> 2 fracción II, 29, 36 fracciones I y II, 176, 178, 179, 181, 185 fracción I, 186 y 188 de la Ley de Transparencia y Acceso a la Información Pública del Estado de México y Municipios de aplicación supletoria,</w:t>
      </w:r>
      <w:bookmarkEnd w:id="16"/>
      <w:bookmarkEnd w:id="17"/>
      <w:bookmarkEnd w:id="18"/>
      <w:r w:rsidR="00F71838" w:rsidRPr="006B7327">
        <w:rPr>
          <w:rFonts w:ascii="Palatino Linotype" w:eastAsia="MS Mincho" w:hAnsi="Palatino Linotype" w:cs="Arial"/>
          <w:sz w:val="24"/>
          <w:szCs w:val="24"/>
          <w:lang w:val="es-ES_tradnl" w:eastAsia="es-ES"/>
        </w:rPr>
        <w:t xml:space="preserve"> este </w:t>
      </w:r>
      <w:r w:rsidR="00F71838" w:rsidRPr="006B7327">
        <w:rPr>
          <w:rFonts w:ascii="Palatino Linotype" w:eastAsia="MS Mincho" w:hAnsi="Palatino Linotype" w:cs="Arial"/>
          <w:b/>
          <w:sz w:val="24"/>
          <w:szCs w:val="24"/>
          <w:lang w:val="es-ES_tradnl" w:eastAsia="es-ES"/>
        </w:rPr>
        <w:t>ÓRGANO GARANTE</w:t>
      </w:r>
      <w:r w:rsidR="00F71838" w:rsidRPr="006B7327">
        <w:rPr>
          <w:rFonts w:ascii="Palatino Linotype" w:eastAsia="MS Mincho" w:hAnsi="Palatino Linotype" w:cs="Arial"/>
          <w:sz w:val="24"/>
          <w:szCs w:val="24"/>
          <w:lang w:val="es-ES_tradnl" w:eastAsia="es-ES"/>
        </w:rPr>
        <w:t xml:space="preserve"> emite los siguientes:</w:t>
      </w:r>
    </w:p>
    <w:p w:rsidR="00D41C06" w:rsidRPr="006B7327" w:rsidRDefault="006B7327" w:rsidP="00D41C06">
      <w:pPr>
        <w:pStyle w:val="Prrafodelista"/>
        <w:rPr>
          <w:rFonts w:ascii="Palatino Linotype" w:hAnsi="Palatino Linotype" w:cs="Arial"/>
          <w:sz w:val="24"/>
          <w:szCs w:val="24"/>
        </w:rPr>
      </w:pPr>
      <w:r w:rsidRPr="006B7327">
        <w:rPr>
          <w:rFonts w:ascii="Palatino Linotype"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291465</wp:posOffset>
                </wp:positionH>
                <wp:positionV relativeFrom="paragraph">
                  <wp:posOffset>80009</wp:posOffset>
                </wp:positionV>
                <wp:extent cx="5295900" cy="38004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295900" cy="3800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1C918"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95pt,6.3pt" to="439.9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" strokecolor="#5b9bd5 [3204]" strokeweight=".5pt">
                <v:stroke joinstyle="miter"/>
              </v:line>
            </w:pict>
          </mc:Fallback>
        </mc:AlternateContent>
      </w:r>
    </w:p>
    <w:p w:rsidR="00D41C06" w:rsidRPr="006B7327" w:rsidRDefault="00D41C06" w:rsidP="00D41C06">
      <w:pPr>
        <w:widowControl w:val="0"/>
        <w:autoSpaceDE w:val="0"/>
        <w:autoSpaceDN w:val="0"/>
        <w:adjustRightInd w:val="0"/>
        <w:spacing w:before="240" w:after="0" w:line="360" w:lineRule="auto"/>
        <w:ind w:right="49"/>
        <w:jc w:val="both"/>
        <w:rPr>
          <w:rFonts w:ascii="Palatino Linotype" w:hAnsi="Palatino Linotype" w:cs="Arial"/>
          <w:sz w:val="24"/>
          <w:szCs w:val="24"/>
        </w:rPr>
      </w:pPr>
    </w:p>
    <w:p w:rsidR="00D41C06" w:rsidRPr="006B7327" w:rsidRDefault="00D41C06" w:rsidP="00D41C06">
      <w:pPr>
        <w:widowControl w:val="0"/>
        <w:autoSpaceDE w:val="0"/>
        <w:autoSpaceDN w:val="0"/>
        <w:adjustRightInd w:val="0"/>
        <w:spacing w:before="240" w:after="0" w:line="360" w:lineRule="auto"/>
        <w:ind w:right="49"/>
        <w:jc w:val="both"/>
        <w:rPr>
          <w:rFonts w:ascii="Palatino Linotype" w:hAnsi="Palatino Linotype" w:cs="Arial"/>
          <w:sz w:val="24"/>
          <w:szCs w:val="24"/>
        </w:rPr>
      </w:pPr>
    </w:p>
    <w:p w:rsidR="00D41C06" w:rsidRPr="006B7327" w:rsidRDefault="00D41C06" w:rsidP="00D41C06">
      <w:pPr>
        <w:widowControl w:val="0"/>
        <w:autoSpaceDE w:val="0"/>
        <w:autoSpaceDN w:val="0"/>
        <w:adjustRightInd w:val="0"/>
        <w:spacing w:before="240" w:after="0" w:line="360" w:lineRule="auto"/>
        <w:ind w:right="49"/>
        <w:jc w:val="both"/>
        <w:rPr>
          <w:rFonts w:ascii="Palatino Linotype" w:hAnsi="Palatino Linotype" w:cs="Arial"/>
          <w:sz w:val="24"/>
          <w:szCs w:val="24"/>
        </w:rPr>
      </w:pPr>
    </w:p>
    <w:p w:rsidR="00D41C06" w:rsidRPr="006B7327" w:rsidRDefault="00D41C06" w:rsidP="00D41C06">
      <w:pPr>
        <w:widowControl w:val="0"/>
        <w:autoSpaceDE w:val="0"/>
        <w:autoSpaceDN w:val="0"/>
        <w:adjustRightInd w:val="0"/>
        <w:spacing w:before="240" w:after="0" w:line="360" w:lineRule="auto"/>
        <w:ind w:right="49"/>
        <w:jc w:val="both"/>
        <w:rPr>
          <w:rFonts w:ascii="Palatino Linotype" w:hAnsi="Palatino Linotype" w:cs="Arial"/>
          <w:sz w:val="24"/>
          <w:szCs w:val="24"/>
        </w:rPr>
      </w:pPr>
    </w:p>
    <w:p w:rsidR="00D41C06" w:rsidRPr="006B7327" w:rsidRDefault="00D41C06" w:rsidP="00D41C06">
      <w:pPr>
        <w:widowControl w:val="0"/>
        <w:autoSpaceDE w:val="0"/>
        <w:autoSpaceDN w:val="0"/>
        <w:adjustRightInd w:val="0"/>
        <w:spacing w:before="240" w:after="0" w:line="360" w:lineRule="auto"/>
        <w:ind w:right="49"/>
        <w:jc w:val="both"/>
        <w:rPr>
          <w:rFonts w:ascii="Palatino Linotype" w:hAnsi="Palatino Linotype" w:cs="Arial"/>
          <w:sz w:val="24"/>
          <w:szCs w:val="24"/>
        </w:rPr>
      </w:pPr>
    </w:p>
    <w:p w:rsidR="00D41C06" w:rsidRPr="006B7327" w:rsidRDefault="00D41C06" w:rsidP="00D41C06">
      <w:pPr>
        <w:widowControl w:val="0"/>
        <w:autoSpaceDE w:val="0"/>
        <w:autoSpaceDN w:val="0"/>
        <w:adjustRightInd w:val="0"/>
        <w:spacing w:before="240" w:after="0" w:line="360" w:lineRule="auto"/>
        <w:ind w:right="49"/>
        <w:jc w:val="both"/>
        <w:rPr>
          <w:rFonts w:ascii="Palatino Linotype" w:hAnsi="Palatino Linotype" w:cs="Arial"/>
          <w:sz w:val="24"/>
          <w:szCs w:val="24"/>
        </w:rPr>
      </w:pPr>
    </w:p>
    <w:p w:rsidR="009F7E68" w:rsidRPr="006B7327" w:rsidRDefault="009F7E68" w:rsidP="009F7E68">
      <w:pPr>
        <w:keepNext/>
        <w:keepLines/>
        <w:spacing w:before="240" w:after="0"/>
        <w:jc w:val="center"/>
        <w:outlineLvl w:val="0"/>
        <w:rPr>
          <w:rFonts w:ascii="Palatino Linotype" w:eastAsia="Calibri" w:hAnsi="Palatino Linotype" w:cs="Times New Roman"/>
          <w:b/>
          <w:sz w:val="24"/>
          <w:szCs w:val="24"/>
          <w:lang w:val="es-ES" w:eastAsia="es-ES"/>
        </w:rPr>
      </w:pPr>
      <w:bookmarkStart w:id="19" w:name="_Toc467083028"/>
      <w:bookmarkStart w:id="20" w:name="_Toc518652220"/>
      <w:r w:rsidRPr="006B7327">
        <w:rPr>
          <w:rFonts w:ascii="Palatino Linotype" w:eastAsia="Calibri" w:hAnsi="Palatino Linotype" w:cs="Times New Roman"/>
          <w:b/>
          <w:sz w:val="24"/>
          <w:szCs w:val="24"/>
          <w:lang w:val="es-ES" w:eastAsia="es-ES"/>
        </w:rPr>
        <w:lastRenderedPageBreak/>
        <w:t>R E S O L U T I V O S</w:t>
      </w:r>
      <w:bookmarkEnd w:id="19"/>
      <w:bookmarkEnd w:id="20"/>
    </w:p>
    <w:p w:rsidR="00BE2EA4" w:rsidRPr="006B7327" w:rsidRDefault="0061593D" w:rsidP="0061593D">
      <w:pPr>
        <w:shd w:val="clear" w:color="auto" w:fill="FFFFFF"/>
        <w:spacing w:before="240" w:after="360" w:line="360" w:lineRule="auto"/>
        <w:jc w:val="both"/>
        <w:rPr>
          <w:rFonts w:ascii="Palatino Linotype" w:hAnsi="Palatino Linotype"/>
          <w:sz w:val="24"/>
          <w:szCs w:val="24"/>
        </w:rPr>
      </w:pPr>
      <w:r w:rsidRPr="006B7327">
        <w:rPr>
          <w:rFonts w:ascii="Palatino Linotype" w:eastAsia="MS Mincho" w:hAnsi="Palatino Linotype" w:cs="Times New Roman"/>
          <w:b/>
          <w:color w:val="000000" w:themeColor="text1"/>
          <w:sz w:val="24"/>
          <w:szCs w:val="24"/>
          <w:shd w:val="clear" w:color="auto" w:fill="FFFFFF"/>
        </w:rPr>
        <w:t>PRIMERO</w:t>
      </w:r>
      <w:r w:rsidRPr="006B7327">
        <w:rPr>
          <w:rFonts w:ascii="Palatino Linotype" w:hAnsi="Palatino Linotype"/>
          <w:b/>
          <w:sz w:val="24"/>
          <w:szCs w:val="24"/>
        </w:rPr>
        <w:t xml:space="preserve">. </w:t>
      </w:r>
      <w:r w:rsidRPr="006B7327">
        <w:rPr>
          <w:rFonts w:ascii="Palatino Linotype" w:hAnsi="Palatino Linotype"/>
          <w:sz w:val="24"/>
          <w:szCs w:val="24"/>
        </w:rPr>
        <w:t xml:space="preserve">Se </w:t>
      </w:r>
      <w:r w:rsidRPr="006B7327">
        <w:rPr>
          <w:rFonts w:ascii="Palatino Linotype" w:hAnsi="Palatino Linotype"/>
          <w:b/>
          <w:sz w:val="24"/>
          <w:szCs w:val="24"/>
        </w:rPr>
        <w:t>SOBRESEE</w:t>
      </w:r>
      <w:r w:rsidRPr="006B7327">
        <w:rPr>
          <w:rFonts w:ascii="Palatino Linotype" w:hAnsi="Palatino Linotype"/>
          <w:sz w:val="24"/>
          <w:szCs w:val="24"/>
        </w:rPr>
        <w:t xml:space="preserve"> el recurso de revisión número </w:t>
      </w:r>
      <w:r w:rsidRPr="006B7327">
        <w:rPr>
          <w:rFonts w:ascii="Palatino Linotype" w:hAnsi="Palatino Linotype" w:cs="Arial"/>
          <w:b/>
          <w:bCs/>
          <w:sz w:val="24"/>
          <w:szCs w:val="24"/>
          <w:lang w:eastAsia="es-MX"/>
        </w:rPr>
        <w:t>00853/INFOEM/AD/RR/2018</w:t>
      </w:r>
      <w:r w:rsidRPr="006B7327">
        <w:rPr>
          <w:rFonts w:ascii="Palatino Linotype" w:hAnsi="Palatino Linotype"/>
          <w:sz w:val="24"/>
          <w:szCs w:val="24"/>
        </w:rPr>
        <w:t>, porque al modificar la respuesta</w:t>
      </w:r>
      <w:r w:rsidR="008F2DF1" w:rsidRPr="006B7327">
        <w:rPr>
          <w:rFonts w:ascii="Palatino Linotype" w:hAnsi="Palatino Linotype"/>
          <w:sz w:val="24"/>
          <w:szCs w:val="24"/>
        </w:rPr>
        <w:t>,</w:t>
      </w:r>
      <w:r w:rsidRPr="006B7327">
        <w:rPr>
          <w:rFonts w:ascii="Palatino Linotype" w:hAnsi="Palatino Linotype"/>
          <w:sz w:val="24"/>
          <w:szCs w:val="24"/>
        </w:rPr>
        <w:t xml:space="preserve"> el recurso de revisió</w:t>
      </w:r>
      <w:r w:rsidR="00BE2EA4" w:rsidRPr="006B7327">
        <w:rPr>
          <w:rFonts w:ascii="Palatino Linotype" w:hAnsi="Palatino Linotype"/>
          <w:sz w:val="24"/>
          <w:szCs w:val="24"/>
        </w:rPr>
        <w:t xml:space="preserve">n quedó sin materia en términos del Considerando </w:t>
      </w:r>
      <w:r w:rsidR="00BE2EA4" w:rsidRPr="006B7327">
        <w:rPr>
          <w:rFonts w:ascii="Palatino Linotype" w:hAnsi="Palatino Linotype"/>
          <w:b/>
          <w:sz w:val="24"/>
          <w:szCs w:val="24"/>
        </w:rPr>
        <w:t>CUARTO</w:t>
      </w:r>
      <w:r w:rsidR="00BE2EA4" w:rsidRPr="006B7327">
        <w:rPr>
          <w:rFonts w:ascii="Palatino Linotype" w:hAnsi="Palatino Linotype"/>
          <w:sz w:val="24"/>
          <w:szCs w:val="24"/>
        </w:rPr>
        <w:t xml:space="preserve"> de la presente </w:t>
      </w:r>
      <w:r w:rsidRPr="006B7327">
        <w:rPr>
          <w:rFonts w:ascii="Palatino Linotype" w:hAnsi="Palatino Linotype"/>
          <w:sz w:val="24"/>
          <w:szCs w:val="24"/>
        </w:rPr>
        <w:t>resolución.</w:t>
      </w:r>
    </w:p>
    <w:p w:rsidR="00E81AEE" w:rsidRPr="006B7327" w:rsidRDefault="00E81AEE" w:rsidP="00E81AEE">
      <w:pPr>
        <w:shd w:val="clear" w:color="auto" w:fill="FFFFFF"/>
        <w:spacing w:before="240" w:after="360" w:line="360" w:lineRule="auto"/>
        <w:jc w:val="both"/>
        <w:rPr>
          <w:rStyle w:val="Ttulo2Car"/>
          <w:rFonts w:ascii="Palatino Linotype" w:eastAsia="MS Mincho" w:hAnsi="Palatino Linotype" w:cs="Times New Roman"/>
          <w:color w:val="000000" w:themeColor="text1"/>
          <w:sz w:val="24"/>
          <w:szCs w:val="24"/>
          <w:shd w:val="clear" w:color="auto" w:fill="FFFFFF"/>
        </w:rPr>
      </w:pPr>
      <w:bookmarkStart w:id="21" w:name="_Toc461648590"/>
      <w:bookmarkStart w:id="22" w:name="_Toc461648682"/>
      <w:bookmarkStart w:id="23" w:name="_Toc462228049"/>
      <w:bookmarkStart w:id="24" w:name="_Toc462228129"/>
      <w:bookmarkStart w:id="25" w:name="_Toc496099789"/>
      <w:bookmarkStart w:id="26" w:name="_Toc496100166"/>
      <w:bookmarkStart w:id="27" w:name="_Toc499756977"/>
      <w:bookmarkStart w:id="28" w:name="_Toc499757020"/>
      <w:bookmarkStart w:id="29" w:name="_Toc504377974"/>
      <w:bookmarkStart w:id="30" w:name="_Toc509399037"/>
      <w:bookmarkStart w:id="31" w:name="_Toc518652221"/>
      <w:r w:rsidRPr="006B7327">
        <w:rPr>
          <w:rStyle w:val="Ttulo2Car"/>
          <w:rFonts w:ascii="Palatino Linotype" w:hAnsi="Palatino Linotype"/>
          <w:b/>
          <w:color w:val="000000" w:themeColor="text1"/>
          <w:sz w:val="24"/>
          <w:szCs w:val="24"/>
        </w:rPr>
        <w:t>SEGUNDO.</w:t>
      </w:r>
      <w:bookmarkEnd w:id="21"/>
      <w:bookmarkEnd w:id="22"/>
      <w:bookmarkEnd w:id="23"/>
      <w:bookmarkEnd w:id="24"/>
      <w:bookmarkEnd w:id="25"/>
      <w:bookmarkEnd w:id="26"/>
      <w:bookmarkEnd w:id="27"/>
      <w:bookmarkEnd w:id="28"/>
      <w:bookmarkEnd w:id="29"/>
      <w:bookmarkEnd w:id="30"/>
      <w:bookmarkEnd w:id="31"/>
      <w:r w:rsidRPr="006B7327">
        <w:rPr>
          <w:rStyle w:val="Ttulo2Car"/>
          <w:rFonts w:ascii="Palatino Linotype" w:hAnsi="Palatino Linotype"/>
          <w:b/>
          <w:color w:val="000000" w:themeColor="text1"/>
          <w:sz w:val="24"/>
          <w:szCs w:val="24"/>
        </w:rPr>
        <w:t xml:space="preserve"> </w:t>
      </w:r>
      <w:r w:rsidRPr="006B7327">
        <w:rPr>
          <w:rFonts w:ascii="Palatino Linotype" w:eastAsia="MS Mincho" w:hAnsi="Palatino Linotype" w:cs="Arial"/>
          <w:b/>
          <w:bCs/>
          <w:color w:val="000000" w:themeColor="text1"/>
          <w:sz w:val="24"/>
          <w:szCs w:val="24"/>
          <w:shd w:val="clear" w:color="auto" w:fill="FFFFFF"/>
        </w:rPr>
        <w:t xml:space="preserve">Remítase </w:t>
      </w:r>
      <w:r w:rsidRPr="006B7327">
        <w:rPr>
          <w:rFonts w:ascii="Palatino Linotype" w:eastAsia="MS Mincho" w:hAnsi="Palatino Linotype" w:cs="Times New Roman"/>
          <w:color w:val="000000" w:themeColor="text1"/>
          <w:sz w:val="24"/>
          <w:szCs w:val="24"/>
          <w:shd w:val="clear" w:color="auto" w:fill="FFFFFF"/>
        </w:rPr>
        <w:t>al Titular de la Unidad de Transparencia del</w:t>
      </w:r>
      <w:r w:rsidRPr="006B7327">
        <w:rPr>
          <w:rFonts w:ascii="Palatino Linotype" w:eastAsia="MS Mincho" w:hAnsi="Palatino Linotype" w:cs="Times New Roman"/>
          <w:b/>
          <w:bCs/>
          <w:color w:val="000000" w:themeColor="text1"/>
          <w:sz w:val="24"/>
          <w:szCs w:val="24"/>
          <w:shd w:val="clear" w:color="auto" w:fill="FFFFFF"/>
        </w:rPr>
        <w:t xml:space="preserve"> SUJETO OBLIGADO</w:t>
      </w:r>
      <w:r w:rsidRPr="006B7327">
        <w:rPr>
          <w:rFonts w:ascii="Palatino Linotype" w:eastAsia="MS Mincho" w:hAnsi="Palatino Linotype" w:cs="Times New Roman"/>
          <w:color w:val="000000" w:themeColor="text1"/>
          <w:sz w:val="24"/>
          <w:szCs w:val="24"/>
          <w:shd w:val="clear" w:color="auto" w:fill="FFFFFF"/>
        </w:rPr>
        <w:t xml:space="preserve"> vía</w:t>
      </w:r>
      <w:r w:rsidR="008406FF" w:rsidRPr="006B7327">
        <w:rPr>
          <w:rFonts w:ascii="Palatino Linotype" w:eastAsia="Calibri" w:hAnsi="Palatino Linotype" w:cs="Arial"/>
          <w:sz w:val="24"/>
          <w:szCs w:val="24"/>
          <w:lang w:val="es-ES" w:eastAsia="es-ES"/>
        </w:rPr>
        <w:t xml:space="preserve"> </w:t>
      </w:r>
      <w:r w:rsidR="008406FF" w:rsidRPr="006B7327">
        <w:rPr>
          <w:rFonts w:ascii="Palatino Linotype" w:eastAsia="MS Mincho" w:hAnsi="Palatino Linotype" w:cs="Times New Roman"/>
          <w:color w:val="000000" w:themeColor="text1"/>
          <w:sz w:val="24"/>
          <w:szCs w:val="24"/>
          <w:shd w:val="clear" w:color="auto" w:fill="FFFFFF"/>
          <w:lang w:val="es-ES"/>
        </w:rPr>
        <w:t xml:space="preserve">Sistema de Acceso, Rectificación, Cancelación y Oposición de Datos Personales del Estado de México </w:t>
      </w:r>
      <w:r w:rsidR="008406FF" w:rsidRPr="006B7327">
        <w:rPr>
          <w:rFonts w:ascii="Palatino Linotype" w:eastAsia="MS Mincho" w:hAnsi="Palatino Linotype" w:cs="Times New Roman"/>
          <w:b/>
          <w:color w:val="000000" w:themeColor="text1"/>
          <w:sz w:val="24"/>
          <w:szCs w:val="24"/>
          <w:shd w:val="clear" w:color="auto" w:fill="FFFFFF"/>
          <w:lang w:val="es-ES"/>
        </w:rPr>
        <w:t>(SARCOEM)</w:t>
      </w:r>
      <w:r w:rsidRPr="006B7327">
        <w:rPr>
          <w:rFonts w:ascii="Palatino Linotype" w:eastAsia="MS Mincho" w:hAnsi="Palatino Linotype" w:cs="Times New Roman"/>
          <w:b/>
          <w:color w:val="000000" w:themeColor="text1"/>
          <w:sz w:val="24"/>
          <w:szCs w:val="24"/>
          <w:shd w:val="clear" w:color="auto" w:fill="FFFFFF"/>
        </w:rPr>
        <w:t>,</w:t>
      </w:r>
      <w:r w:rsidRPr="006B7327">
        <w:rPr>
          <w:rFonts w:ascii="Palatino Linotype" w:eastAsia="MS Mincho" w:hAnsi="Palatino Linotype" w:cs="Times New Roman"/>
          <w:color w:val="000000" w:themeColor="text1"/>
          <w:sz w:val="24"/>
          <w:szCs w:val="24"/>
          <w:shd w:val="clear" w:color="auto" w:fill="FFFFFF"/>
        </w:rPr>
        <w:t xml:space="preserve"> la presente resolución.</w:t>
      </w:r>
    </w:p>
    <w:p w:rsidR="001F3D23" w:rsidRPr="006B7327" w:rsidRDefault="00751EFF" w:rsidP="001F3D23">
      <w:pPr>
        <w:spacing w:before="240" w:after="360" w:line="360" w:lineRule="auto"/>
        <w:jc w:val="both"/>
        <w:rPr>
          <w:rFonts w:ascii="Palatino Linotype" w:eastAsia="Times New Roman" w:hAnsi="Palatino Linotype" w:cs="Arial"/>
          <w:sz w:val="24"/>
          <w:szCs w:val="24"/>
          <w:lang w:val="es-ES" w:eastAsia="es-ES"/>
        </w:rPr>
      </w:pPr>
      <w:r w:rsidRPr="006B7327">
        <w:rPr>
          <w:rFonts w:ascii="Palatino Linotype" w:eastAsia="Times New Roman" w:hAnsi="Palatino Linotype" w:cs="Arial"/>
          <w:b/>
          <w:sz w:val="24"/>
          <w:szCs w:val="24"/>
          <w:lang w:val="es-ES_tradnl" w:eastAsia="es-ES"/>
        </w:rPr>
        <w:t>TERCERO</w:t>
      </w:r>
      <w:r w:rsidR="00CB3F04" w:rsidRPr="006B7327">
        <w:rPr>
          <w:rFonts w:ascii="Palatino Linotype" w:eastAsia="Times New Roman" w:hAnsi="Palatino Linotype" w:cs="Arial"/>
          <w:b/>
          <w:sz w:val="24"/>
          <w:szCs w:val="24"/>
          <w:lang w:val="es-ES_tradnl" w:eastAsia="es-ES"/>
        </w:rPr>
        <w:t xml:space="preserve">. </w:t>
      </w:r>
      <w:r w:rsidR="001F3D23" w:rsidRPr="006B7327">
        <w:rPr>
          <w:rFonts w:ascii="Palatino Linotype" w:eastAsia="Times New Roman" w:hAnsi="Palatino Linotype" w:cs="Arial"/>
          <w:b/>
          <w:bCs/>
          <w:sz w:val="24"/>
          <w:szCs w:val="24"/>
          <w:lang w:val="es-ES" w:eastAsia="es-ES"/>
        </w:rPr>
        <w:t xml:space="preserve">Notifíquese </w:t>
      </w:r>
      <w:r w:rsidR="001F3D23" w:rsidRPr="006B7327">
        <w:rPr>
          <w:rFonts w:ascii="Palatino Linotype" w:eastAsia="Times New Roman" w:hAnsi="Palatino Linotype" w:cs="Arial"/>
          <w:bCs/>
          <w:sz w:val="24"/>
          <w:szCs w:val="24"/>
          <w:lang w:val="es-ES" w:eastAsia="es-ES"/>
        </w:rPr>
        <w:t>a</w:t>
      </w:r>
      <w:r w:rsidR="001F3D23" w:rsidRPr="006B7327">
        <w:rPr>
          <w:rFonts w:ascii="Palatino Linotype" w:eastAsia="Times New Roman" w:hAnsi="Palatino Linotype" w:cs="Arial"/>
          <w:b/>
          <w:bCs/>
          <w:sz w:val="24"/>
          <w:szCs w:val="24"/>
          <w:lang w:val="es-ES" w:eastAsia="es-ES"/>
        </w:rPr>
        <w:t xml:space="preserve"> </w:t>
      </w:r>
      <w:r w:rsidR="00A519E3" w:rsidRPr="00A519E3">
        <w:rPr>
          <w:rFonts w:ascii="Palatino Linotype" w:hAnsi="Palatino Linotype"/>
          <w:b/>
          <w:sz w:val="24"/>
          <w:szCs w:val="24"/>
          <w:highlight w:val="black"/>
        </w:rPr>
        <w:t>-------------------------------------</w:t>
      </w:r>
      <w:r w:rsidR="001F3D23" w:rsidRPr="006B7327">
        <w:rPr>
          <w:rFonts w:ascii="Palatino Linotype" w:eastAsia="Times New Roman" w:hAnsi="Palatino Linotype" w:cs="Arial"/>
          <w:b/>
          <w:sz w:val="24"/>
          <w:szCs w:val="24"/>
          <w:lang w:val="es-ES_tradnl" w:eastAsia="es-ES"/>
        </w:rPr>
        <w:t xml:space="preserve"> </w:t>
      </w:r>
      <w:r w:rsidR="001F3D23" w:rsidRPr="006B7327">
        <w:rPr>
          <w:rFonts w:ascii="Palatino Linotype" w:eastAsia="Times New Roman" w:hAnsi="Palatino Linotype" w:cs="Arial"/>
          <w:sz w:val="24"/>
          <w:szCs w:val="24"/>
          <w:lang w:val="es-ES_tradnl" w:eastAsia="es-ES"/>
        </w:rPr>
        <w:t>l</w:t>
      </w:r>
      <w:r w:rsidR="001F3D23" w:rsidRPr="006B7327">
        <w:rPr>
          <w:rFonts w:ascii="Palatino Linotype" w:eastAsia="Times New Roman" w:hAnsi="Palatino Linotype" w:cs="Arial"/>
          <w:sz w:val="24"/>
          <w:szCs w:val="24"/>
          <w:lang w:val="es-ES" w:eastAsia="es-ES"/>
        </w:rPr>
        <w:t>a presente resolución</w:t>
      </w:r>
      <w:r w:rsidR="00C9047E" w:rsidRPr="006B7327">
        <w:rPr>
          <w:rFonts w:ascii="Palatino Linotype" w:eastAsia="Times New Roman" w:hAnsi="Palatino Linotype" w:cs="Arial"/>
          <w:sz w:val="24"/>
          <w:szCs w:val="24"/>
          <w:lang w:val="es-ES" w:eastAsia="es-ES"/>
        </w:rPr>
        <w:t xml:space="preserve"> así como el Informe Justificado </w:t>
      </w:r>
      <w:r w:rsidR="00E81AEE" w:rsidRPr="006B7327">
        <w:rPr>
          <w:rFonts w:ascii="Palatino Linotype" w:eastAsia="Times New Roman" w:hAnsi="Palatino Linotype" w:cs="Arial"/>
          <w:sz w:val="24"/>
          <w:szCs w:val="24"/>
          <w:lang w:val="es-ES" w:eastAsia="es-ES"/>
        </w:rPr>
        <w:t xml:space="preserve">y el alcance al mismo, </w:t>
      </w:r>
      <w:r w:rsidR="00C9047E" w:rsidRPr="006B7327">
        <w:rPr>
          <w:rFonts w:ascii="Palatino Linotype" w:eastAsia="Times New Roman" w:hAnsi="Palatino Linotype" w:cs="Arial"/>
          <w:sz w:val="24"/>
          <w:szCs w:val="24"/>
          <w:lang w:val="es-ES" w:eastAsia="es-ES"/>
        </w:rPr>
        <w:t xml:space="preserve">remitido por el </w:t>
      </w:r>
      <w:r w:rsidR="00C9047E" w:rsidRPr="006B7327">
        <w:rPr>
          <w:rFonts w:ascii="Palatino Linotype" w:eastAsia="Times New Roman" w:hAnsi="Palatino Linotype" w:cs="Arial"/>
          <w:b/>
          <w:sz w:val="24"/>
          <w:szCs w:val="24"/>
          <w:lang w:val="es-ES" w:eastAsia="es-ES"/>
        </w:rPr>
        <w:t>SUJETO OBLIGADO</w:t>
      </w:r>
      <w:r w:rsidR="001F3D23" w:rsidRPr="006B7327">
        <w:rPr>
          <w:rFonts w:ascii="Palatino Linotype" w:eastAsia="Times New Roman" w:hAnsi="Palatino Linotype" w:cs="Arial"/>
          <w:sz w:val="24"/>
          <w:szCs w:val="24"/>
          <w:lang w:val="es-ES" w:eastAsia="es-ES"/>
        </w:rPr>
        <w:t>.</w:t>
      </w:r>
    </w:p>
    <w:p w:rsidR="001F3D23" w:rsidRPr="006B7327" w:rsidRDefault="00751EFF" w:rsidP="001F3D23">
      <w:pPr>
        <w:spacing w:before="240" w:after="240" w:line="360" w:lineRule="auto"/>
        <w:jc w:val="both"/>
        <w:rPr>
          <w:rFonts w:ascii="Palatino Linotype" w:hAnsi="Palatino Linotype"/>
          <w:sz w:val="24"/>
          <w:szCs w:val="24"/>
          <w:lang w:eastAsia="es-ES_tradnl"/>
        </w:rPr>
      </w:pPr>
      <w:r w:rsidRPr="006B7327">
        <w:rPr>
          <w:rFonts w:ascii="Palatino Linotype" w:hAnsi="Palatino Linotype"/>
          <w:b/>
          <w:sz w:val="24"/>
          <w:szCs w:val="24"/>
          <w:lang w:eastAsia="es-ES_tradnl"/>
        </w:rPr>
        <w:t>CUARTO</w:t>
      </w:r>
      <w:r w:rsidR="001F3D23" w:rsidRPr="006B7327">
        <w:rPr>
          <w:rFonts w:ascii="Palatino Linotype" w:hAnsi="Palatino Linotype"/>
          <w:b/>
          <w:sz w:val="24"/>
          <w:szCs w:val="24"/>
          <w:lang w:eastAsia="es-ES_tradnl"/>
        </w:rPr>
        <w:t xml:space="preserve">. </w:t>
      </w:r>
      <w:r w:rsidR="001F3D23" w:rsidRPr="006B7327">
        <w:rPr>
          <w:rFonts w:ascii="Palatino Linotype" w:hAnsi="Palatino Linotype"/>
          <w:sz w:val="24"/>
          <w:szCs w:val="24"/>
          <w:lang w:eastAsia="es-ES_tradnl"/>
        </w:rPr>
        <w:t xml:space="preserve">Hágase del conocimiento a </w:t>
      </w:r>
      <w:r w:rsidR="00A519E3" w:rsidRPr="00A519E3">
        <w:rPr>
          <w:rFonts w:ascii="Palatino Linotype" w:hAnsi="Palatino Linotype"/>
          <w:b/>
          <w:sz w:val="24"/>
          <w:szCs w:val="24"/>
          <w:highlight w:val="black"/>
        </w:rPr>
        <w:t>------------------------------------------</w:t>
      </w:r>
      <w:r w:rsidR="001F3D23" w:rsidRPr="006B7327">
        <w:rPr>
          <w:rFonts w:ascii="Palatino Linotype" w:hAnsi="Palatino Linotype"/>
          <w:sz w:val="24"/>
          <w:szCs w:val="24"/>
          <w:lang w:eastAsia="es-ES_tradnl"/>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p>
    <w:p w:rsidR="00C62A6B" w:rsidRPr="006B7327" w:rsidRDefault="00FC3EEF" w:rsidP="00C62A6B">
      <w:pPr>
        <w:spacing w:before="240" w:after="240" w:line="360" w:lineRule="auto"/>
        <w:ind w:firstLine="1"/>
        <w:jc w:val="both"/>
        <w:rPr>
          <w:rFonts w:ascii="Palatino Linotype" w:hAnsi="Palatino Linotype"/>
        </w:rPr>
      </w:pPr>
      <w:r w:rsidRPr="006B732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6B7327">
        <w:rPr>
          <w:rFonts w:ascii="Palatino Linotype" w:hAnsi="Palatino Linotype"/>
        </w:rPr>
        <w:t xml:space="preserve"> EMITIENDO OPINIÓN PARTICULAR</w:t>
      </w:r>
      <w:r w:rsidRPr="006B7327">
        <w:rPr>
          <w:rFonts w:ascii="Palatino Linotype" w:hAnsi="Palatino Linotype"/>
        </w:rPr>
        <w:t>, JOSÉ GUADALUPE LUNA HERNÁNDEZ Y JAVIER MARTÍNEZ CRUZ</w:t>
      </w:r>
      <w:r w:rsidR="006B7327">
        <w:rPr>
          <w:rFonts w:ascii="Palatino Linotype" w:hAnsi="Palatino Linotype"/>
        </w:rPr>
        <w:t xml:space="preserve"> EMITIENDO VOTO PARTICULAR</w:t>
      </w:r>
      <w:r w:rsidRPr="006B7327">
        <w:rPr>
          <w:rFonts w:ascii="Palatino Linotype" w:hAnsi="Palatino Linotype"/>
        </w:rPr>
        <w:t xml:space="preserve">, EN LA </w:t>
      </w:r>
      <w:r w:rsidR="00751728" w:rsidRPr="006B7327">
        <w:rPr>
          <w:rFonts w:ascii="Palatino Linotype" w:hAnsi="Palatino Linotype"/>
        </w:rPr>
        <w:t>VIGÉSIMO</w:t>
      </w:r>
      <w:r w:rsidR="006B7327">
        <w:rPr>
          <w:rFonts w:ascii="Palatino Linotype" w:hAnsi="Palatino Linotype"/>
        </w:rPr>
        <w:t xml:space="preserve"> QUINTA</w:t>
      </w:r>
      <w:r w:rsidR="00751728" w:rsidRPr="006B7327">
        <w:rPr>
          <w:rFonts w:ascii="Palatino Linotype" w:hAnsi="Palatino Linotype"/>
        </w:rPr>
        <w:t xml:space="preserve"> </w:t>
      </w:r>
      <w:r w:rsidRPr="006B7327">
        <w:rPr>
          <w:rFonts w:ascii="Palatino Linotype" w:hAnsi="Palatino Linotype"/>
        </w:rPr>
        <w:t xml:space="preserve">SESIÓN ORDINARIA CELEBRADA EL DÍA </w:t>
      </w:r>
      <w:r w:rsidR="00D41C06" w:rsidRPr="006B7327">
        <w:rPr>
          <w:rFonts w:ascii="Palatino Linotype" w:hAnsi="Palatino Linotype"/>
        </w:rPr>
        <w:t xml:space="preserve">CUATRO (4) </w:t>
      </w:r>
      <w:r w:rsidRPr="006B7327">
        <w:rPr>
          <w:rFonts w:ascii="Palatino Linotype" w:hAnsi="Palatino Linotype"/>
        </w:rPr>
        <w:t>DE</w:t>
      </w:r>
      <w:r w:rsidR="006B7327">
        <w:rPr>
          <w:rFonts w:ascii="Palatino Linotype" w:hAnsi="Palatino Linotype"/>
        </w:rPr>
        <w:t xml:space="preserve"> JULIO DE</w:t>
      </w:r>
      <w:r w:rsidRPr="006B7327">
        <w:rPr>
          <w:rFonts w:ascii="Palatino Linotype" w:hAnsi="Palatino Linotype"/>
        </w:rPr>
        <w:t xml:space="preserve"> DOS </w:t>
      </w:r>
      <w:r w:rsidRPr="006B7327">
        <w:rPr>
          <w:rFonts w:ascii="Palatino Linotype" w:hAnsi="Palatino Linotype"/>
        </w:rPr>
        <w:lastRenderedPageBreak/>
        <w:t>MIL DIECIOCHO, ANTE</w:t>
      </w:r>
      <w:r w:rsidR="00C62A6B" w:rsidRPr="006B7327">
        <w:rPr>
          <w:rFonts w:ascii="Palatino Linotype" w:hAnsi="Palatino Linotype"/>
        </w:rPr>
        <w:t xml:space="preserve"> EL SECRETARIO TÉCNICO DEL PLENO, ALEXIS TAPIA RAMÍREZ. </w:t>
      </w:r>
    </w:p>
    <w:tbl>
      <w:tblPr>
        <w:tblW w:w="5000" w:type="pct"/>
        <w:jc w:val="center"/>
        <w:tblLook w:val="04A0" w:firstRow="1" w:lastRow="0" w:firstColumn="1" w:lastColumn="0" w:noHBand="0" w:noVBand="1"/>
      </w:tblPr>
      <w:tblGrid>
        <w:gridCol w:w="4192"/>
        <w:gridCol w:w="4597"/>
      </w:tblGrid>
      <w:tr w:rsidR="00C62A6B" w:rsidRPr="006B7327" w:rsidTr="0032420B">
        <w:trPr>
          <w:trHeight w:val="924"/>
          <w:jc w:val="center"/>
        </w:trPr>
        <w:tc>
          <w:tcPr>
            <w:tcW w:w="5000" w:type="pct"/>
            <w:gridSpan w:val="2"/>
            <w:shd w:val="clear" w:color="auto" w:fill="auto"/>
          </w:tcPr>
          <w:p w:rsidR="006B7327" w:rsidRPr="006B7327" w:rsidRDefault="006B7327" w:rsidP="006B7327">
            <w:pPr>
              <w:jc w:val="center"/>
              <w:rPr>
                <w:rFonts w:ascii="Palatino Linotype" w:hAnsi="Palatino Linotype"/>
                <w:b/>
              </w:rPr>
            </w:pPr>
          </w:p>
          <w:p w:rsidR="00C62A6B" w:rsidRPr="006B7327" w:rsidRDefault="00C62A6B" w:rsidP="006B7327">
            <w:pPr>
              <w:jc w:val="center"/>
              <w:rPr>
                <w:rFonts w:ascii="Palatino Linotype" w:hAnsi="Palatino Linotype"/>
                <w:b/>
              </w:rPr>
            </w:pPr>
            <w:r w:rsidRPr="006B7327">
              <w:rPr>
                <w:rFonts w:ascii="Palatino Linotype" w:hAnsi="Palatino Linotype"/>
                <w:b/>
              </w:rPr>
              <w:t>Zulema Martínez Sánchez</w:t>
            </w:r>
          </w:p>
          <w:p w:rsidR="00C62A6B" w:rsidRPr="006B7327" w:rsidRDefault="00C62A6B" w:rsidP="006B7327">
            <w:pPr>
              <w:jc w:val="center"/>
              <w:rPr>
                <w:rFonts w:ascii="Palatino Linotype" w:hAnsi="Palatino Linotype"/>
              </w:rPr>
            </w:pPr>
            <w:r w:rsidRPr="006B7327">
              <w:rPr>
                <w:rFonts w:ascii="Palatino Linotype" w:hAnsi="Palatino Linotype"/>
              </w:rPr>
              <w:t>Comisionada Presidenta</w:t>
            </w:r>
          </w:p>
          <w:p w:rsidR="00C62A6B" w:rsidRPr="006B7327" w:rsidRDefault="00C62A6B" w:rsidP="006B7327">
            <w:pPr>
              <w:tabs>
                <w:tab w:val="left" w:pos="780"/>
                <w:tab w:val="center" w:pos="4499"/>
              </w:tabs>
              <w:jc w:val="center"/>
              <w:rPr>
                <w:rFonts w:ascii="Palatino Linotype" w:hAnsi="Palatino Linotype"/>
              </w:rPr>
            </w:pPr>
            <w:r w:rsidRPr="006B7327">
              <w:rPr>
                <w:rFonts w:ascii="Palatino Linotype" w:hAnsi="Palatino Linotype"/>
              </w:rPr>
              <w:t>(Rúbrica)</w:t>
            </w:r>
          </w:p>
          <w:p w:rsidR="00C62A6B" w:rsidRPr="006B7327" w:rsidRDefault="00C62A6B" w:rsidP="006B7327">
            <w:pPr>
              <w:jc w:val="center"/>
              <w:rPr>
                <w:rFonts w:ascii="Palatino Linotype" w:hAnsi="Palatino Linotype"/>
              </w:rPr>
            </w:pPr>
          </w:p>
        </w:tc>
      </w:tr>
      <w:tr w:rsidR="00C62A6B" w:rsidRPr="006B7327" w:rsidTr="0032420B">
        <w:trPr>
          <w:trHeight w:val="902"/>
          <w:jc w:val="center"/>
        </w:trPr>
        <w:tc>
          <w:tcPr>
            <w:tcW w:w="2385" w:type="pct"/>
            <w:shd w:val="clear" w:color="auto" w:fill="auto"/>
          </w:tcPr>
          <w:p w:rsidR="00C62A6B" w:rsidRPr="006B7327" w:rsidRDefault="00C62A6B" w:rsidP="006B7327">
            <w:pPr>
              <w:jc w:val="center"/>
              <w:rPr>
                <w:rFonts w:ascii="Palatino Linotype" w:hAnsi="Palatino Linotype"/>
                <w:b/>
              </w:rPr>
            </w:pPr>
            <w:r w:rsidRPr="006B7327">
              <w:rPr>
                <w:rFonts w:ascii="Palatino Linotype" w:hAnsi="Palatino Linotype"/>
                <w:b/>
              </w:rPr>
              <w:t xml:space="preserve">Eva </w:t>
            </w:r>
            <w:proofErr w:type="spellStart"/>
            <w:r w:rsidRPr="006B7327">
              <w:rPr>
                <w:rFonts w:ascii="Palatino Linotype" w:hAnsi="Palatino Linotype"/>
                <w:b/>
              </w:rPr>
              <w:t>Abaid</w:t>
            </w:r>
            <w:proofErr w:type="spellEnd"/>
            <w:r w:rsidRPr="006B7327">
              <w:rPr>
                <w:rFonts w:ascii="Palatino Linotype" w:hAnsi="Palatino Linotype"/>
                <w:b/>
              </w:rPr>
              <w:t xml:space="preserve"> </w:t>
            </w:r>
            <w:proofErr w:type="spellStart"/>
            <w:r w:rsidRPr="006B7327">
              <w:rPr>
                <w:rFonts w:ascii="Palatino Linotype" w:hAnsi="Palatino Linotype"/>
                <w:b/>
              </w:rPr>
              <w:t>Yapur</w:t>
            </w:r>
            <w:proofErr w:type="spellEnd"/>
          </w:p>
          <w:p w:rsidR="00C62A6B" w:rsidRPr="006B7327" w:rsidRDefault="00C62A6B" w:rsidP="006B7327">
            <w:pPr>
              <w:jc w:val="center"/>
              <w:rPr>
                <w:rFonts w:ascii="Palatino Linotype" w:hAnsi="Palatino Linotype"/>
              </w:rPr>
            </w:pPr>
            <w:r w:rsidRPr="006B7327">
              <w:rPr>
                <w:rFonts w:ascii="Palatino Linotype" w:hAnsi="Palatino Linotype"/>
              </w:rPr>
              <w:t>Comisionada</w:t>
            </w:r>
          </w:p>
          <w:p w:rsidR="00C62A6B" w:rsidRPr="006B7327" w:rsidRDefault="00C62A6B" w:rsidP="006B7327">
            <w:pPr>
              <w:tabs>
                <w:tab w:val="left" w:pos="780"/>
                <w:tab w:val="center" w:pos="4499"/>
              </w:tabs>
              <w:jc w:val="center"/>
              <w:rPr>
                <w:rFonts w:ascii="Palatino Linotype" w:hAnsi="Palatino Linotype"/>
              </w:rPr>
            </w:pPr>
            <w:r w:rsidRPr="006B7327">
              <w:rPr>
                <w:rFonts w:ascii="Palatino Linotype" w:hAnsi="Palatino Linotype"/>
              </w:rPr>
              <w:t>(Rúbrica)</w:t>
            </w:r>
          </w:p>
          <w:p w:rsidR="00C62A6B" w:rsidRPr="006B7327" w:rsidRDefault="00C62A6B" w:rsidP="006B7327">
            <w:pPr>
              <w:jc w:val="center"/>
              <w:rPr>
                <w:rFonts w:ascii="Palatino Linotype" w:hAnsi="Palatino Linotype"/>
              </w:rPr>
            </w:pPr>
          </w:p>
          <w:p w:rsidR="00C62A6B" w:rsidRPr="006B7327" w:rsidRDefault="00C62A6B" w:rsidP="006B7327">
            <w:pPr>
              <w:spacing w:line="360" w:lineRule="auto"/>
              <w:rPr>
                <w:rFonts w:ascii="Palatino Linotype" w:hAnsi="Palatino Linotype"/>
              </w:rPr>
            </w:pPr>
          </w:p>
        </w:tc>
        <w:tc>
          <w:tcPr>
            <w:tcW w:w="2615" w:type="pct"/>
            <w:shd w:val="clear" w:color="auto" w:fill="auto"/>
          </w:tcPr>
          <w:p w:rsidR="00C62A6B" w:rsidRPr="006B7327" w:rsidRDefault="00C62A6B" w:rsidP="006B7327">
            <w:pPr>
              <w:jc w:val="center"/>
              <w:rPr>
                <w:rFonts w:ascii="Palatino Linotype" w:hAnsi="Palatino Linotype"/>
                <w:b/>
              </w:rPr>
            </w:pPr>
            <w:r w:rsidRPr="006B7327">
              <w:rPr>
                <w:rFonts w:ascii="Palatino Linotype" w:hAnsi="Palatino Linotype"/>
                <w:b/>
              </w:rPr>
              <w:t>José Guadalupe Luna Hernández</w:t>
            </w:r>
          </w:p>
          <w:p w:rsidR="00C62A6B" w:rsidRPr="006B7327" w:rsidRDefault="00C62A6B" w:rsidP="006B7327">
            <w:pPr>
              <w:jc w:val="center"/>
              <w:rPr>
                <w:rFonts w:ascii="Palatino Linotype" w:hAnsi="Palatino Linotype"/>
              </w:rPr>
            </w:pPr>
            <w:r w:rsidRPr="006B7327">
              <w:rPr>
                <w:rFonts w:ascii="Palatino Linotype" w:hAnsi="Palatino Linotype"/>
              </w:rPr>
              <w:t>Comisionado</w:t>
            </w:r>
          </w:p>
          <w:p w:rsidR="00C62A6B" w:rsidRPr="006B7327" w:rsidRDefault="00C62A6B" w:rsidP="006B7327">
            <w:pPr>
              <w:tabs>
                <w:tab w:val="left" w:pos="780"/>
                <w:tab w:val="center" w:pos="4499"/>
              </w:tabs>
              <w:jc w:val="center"/>
              <w:rPr>
                <w:rFonts w:ascii="Palatino Linotype" w:hAnsi="Palatino Linotype"/>
              </w:rPr>
            </w:pPr>
            <w:r w:rsidRPr="006B7327">
              <w:rPr>
                <w:rFonts w:ascii="Palatino Linotype" w:hAnsi="Palatino Linotype"/>
              </w:rPr>
              <w:t>(Rúbrica)</w:t>
            </w:r>
          </w:p>
        </w:tc>
      </w:tr>
      <w:tr w:rsidR="00C62A6B" w:rsidRPr="006B7327" w:rsidTr="0032420B">
        <w:trPr>
          <w:jc w:val="center"/>
        </w:trPr>
        <w:tc>
          <w:tcPr>
            <w:tcW w:w="5000" w:type="pct"/>
            <w:gridSpan w:val="2"/>
            <w:shd w:val="clear" w:color="auto" w:fill="auto"/>
            <w:hideMark/>
          </w:tcPr>
          <w:p w:rsidR="00C62A6B" w:rsidRPr="006B7327" w:rsidRDefault="00C62A6B" w:rsidP="006B7327">
            <w:pPr>
              <w:jc w:val="center"/>
              <w:rPr>
                <w:rFonts w:ascii="Palatino Linotype" w:hAnsi="Palatino Linotype"/>
                <w:b/>
              </w:rPr>
            </w:pPr>
            <w:r w:rsidRPr="006B7327">
              <w:rPr>
                <w:rFonts w:ascii="Palatino Linotype" w:hAnsi="Palatino Linotype"/>
                <w:b/>
              </w:rPr>
              <w:t>Javier Martínez Cruz</w:t>
            </w:r>
          </w:p>
          <w:p w:rsidR="00C62A6B" w:rsidRPr="006B7327" w:rsidRDefault="00C62A6B" w:rsidP="006B7327">
            <w:pPr>
              <w:jc w:val="center"/>
              <w:rPr>
                <w:rFonts w:ascii="Palatino Linotype" w:hAnsi="Palatino Linotype"/>
              </w:rPr>
            </w:pPr>
            <w:r w:rsidRPr="006B7327">
              <w:rPr>
                <w:rFonts w:ascii="Palatino Linotype" w:hAnsi="Palatino Linotype"/>
              </w:rPr>
              <w:t>Comisionado</w:t>
            </w:r>
          </w:p>
          <w:p w:rsidR="00C62A6B" w:rsidRPr="006B7327" w:rsidRDefault="00C62A6B" w:rsidP="006B7327">
            <w:pPr>
              <w:tabs>
                <w:tab w:val="left" w:pos="780"/>
                <w:tab w:val="center" w:pos="4499"/>
              </w:tabs>
              <w:jc w:val="center"/>
              <w:rPr>
                <w:rFonts w:ascii="Palatino Linotype" w:hAnsi="Palatino Linotype"/>
              </w:rPr>
            </w:pPr>
            <w:r w:rsidRPr="006B7327">
              <w:rPr>
                <w:rFonts w:ascii="Palatino Linotype" w:hAnsi="Palatino Linotype"/>
              </w:rPr>
              <w:t>(Rúbrica)</w:t>
            </w:r>
          </w:p>
          <w:p w:rsidR="00C62A6B" w:rsidRPr="006B7327" w:rsidRDefault="00C62A6B" w:rsidP="006B7327">
            <w:pPr>
              <w:jc w:val="center"/>
              <w:rPr>
                <w:rFonts w:ascii="Palatino Linotype" w:hAnsi="Palatino Linotype"/>
              </w:rPr>
            </w:pPr>
          </w:p>
          <w:p w:rsidR="006B7327" w:rsidRDefault="006B7327" w:rsidP="006B7327">
            <w:pPr>
              <w:rPr>
                <w:rFonts w:ascii="Palatino Linotype" w:hAnsi="Palatino Linotype"/>
              </w:rPr>
            </w:pPr>
          </w:p>
          <w:p w:rsidR="006B7327" w:rsidRPr="006B7327" w:rsidRDefault="006B7327" w:rsidP="006B7327">
            <w:pPr>
              <w:rPr>
                <w:rFonts w:ascii="Palatino Linotype" w:hAnsi="Palatino Linotype"/>
              </w:rPr>
            </w:pPr>
          </w:p>
        </w:tc>
      </w:tr>
      <w:tr w:rsidR="00C62A6B" w:rsidRPr="006B7327" w:rsidTr="0032420B">
        <w:trPr>
          <w:jc w:val="center"/>
        </w:trPr>
        <w:tc>
          <w:tcPr>
            <w:tcW w:w="5000" w:type="pct"/>
            <w:gridSpan w:val="2"/>
            <w:shd w:val="clear" w:color="auto" w:fill="auto"/>
          </w:tcPr>
          <w:p w:rsidR="00C62A6B" w:rsidRPr="006B7327" w:rsidRDefault="00C62A6B" w:rsidP="006B7327">
            <w:pPr>
              <w:jc w:val="center"/>
              <w:rPr>
                <w:rFonts w:ascii="Palatino Linotype" w:hAnsi="Palatino Linotype"/>
                <w:b/>
              </w:rPr>
            </w:pPr>
            <w:r w:rsidRPr="006B7327">
              <w:rPr>
                <w:rFonts w:ascii="Palatino Linotype" w:hAnsi="Palatino Linotype"/>
                <w:b/>
              </w:rPr>
              <w:t>Alexis Tapia Ramírez</w:t>
            </w:r>
          </w:p>
          <w:p w:rsidR="00C62A6B" w:rsidRPr="006B7327" w:rsidRDefault="00C62A6B" w:rsidP="006B7327">
            <w:pPr>
              <w:tabs>
                <w:tab w:val="left" w:pos="780"/>
                <w:tab w:val="center" w:pos="4499"/>
              </w:tabs>
              <w:jc w:val="center"/>
              <w:rPr>
                <w:rFonts w:ascii="Palatino Linotype" w:hAnsi="Palatino Linotype"/>
              </w:rPr>
            </w:pPr>
            <w:r w:rsidRPr="006B7327">
              <w:rPr>
                <w:rFonts w:ascii="Palatino Linotype" w:hAnsi="Palatino Linotype"/>
              </w:rPr>
              <w:t>Secretario Técnic</w:t>
            </w:r>
            <w:r w:rsidR="006B7327" w:rsidRPr="006B7327">
              <w:rPr>
                <w:rFonts w:ascii="Palatino Linotype" w:hAnsi="Palatino Linotype"/>
              </w:rPr>
              <w:t>o</w:t>
            </w:r>
            <w:r w:rsidRPr="006B7327">
              <w:rPr>
                <w:rFonts w:ascii="Palatino Linotype" w:hAnsi="Palatino Linotype"/>
              </w:rPr>
              <w:t xml:space="preserve"> del Pleno</w:t>
            </w:r>
          </w:p>
          <w:p w:rsidR="00C62A6B" w:rsidRPr="006B7327" w:rsidRDefault="00C62A6B" w:rsidP="006B7327">
            <w:pPr>
              <w:tabs>
                <w:tab w:val="left" w:pos="780"/>
                <w:tab w:val="center" w:pos="4499"/>
              </w:tabs>
              <w:jc w:val="center"/>
              <w:rPr>
                <w:rFonts w:ascii="Palatino Linotype" w:hAnsi="Palatino Linotype"/>
              </w:rPr>
            </w:pPr>
            <w:r w:rsidRPr="006B7327">
              <w:rPr>
                <w:rFonts w:ascii="Palatino Linotype" w:hAnsi="Palatino Linotype"/>
              </w:rPr>
              <w:t>(Rúbrica)</w:t>
            </w:r>
          </w:p>
        </w:tc>
      </w:tr>
    </w:tbl>
    <w:p w:rsidR="009F7E68" w:rsidRPr="008602B0" w:rsidRDefault="00C62A6B" w:rsidP="00C62A6B">
      <w:pPr>
        <w:jc w:val="both"/>
      </w:pPr>
      <w:r w:rsidRPr="006B7327">
        <w:rPr>
          <w:rFonts w:ascii="Palatino Linotype" w:hAnsi="Palatino Linotype" w:cs="Arial"/>
          <w:sz w:val="18"/>
          <w:szCs w:val="18"/>
        </w:rPr>
        <w:t xml:space="preserve">Esta hoja corresponde a la resolución de fecha </w:t>
      </w:r>
      <w:r w:rsidR="006B7327" w:rsidRPr="006B7327">
        <w:rPr>
          <w:rFonts w:ascii="Palatino Linotype" w:hAnsi="Palatino Linotype" w:cs="Arial"/>
          <w:sz w:val="18"/>
          <w:szCs w:val="18"/>
        </w:rPr>
        <w:t>cuatro</w:t>
      </w:r>
      <w:r w:rsidRPr="006B7327">
        <w:rPr>
          <w:rFonts w:ascii="Palatino Linotype" w:hAnsi="Palatino Linotype" w:cs="Arial"/>
          <w:sz w:val="18"/>
          <w:szCs w:val="18"/>
        </w:rPr>
        <w:t xml:space="preserve"> </w:t>
      </w:r>
      <w:r w:rsidR="006B7327" w:rsidRPr="006B7327">
        <w:rPr>
          <w:rFonts w:ascii="Palatino Linotype" w:hAnsi="Palatino Linotype" w:cs="Arial"/>
          <w:sz w:val="18"/>
          <w:szCs w:val="18"/>
        </w:rPr>
        <w:t xml:space="preserve">(04) </w:t>
      </w:r>
      <w:r w:rsidRPr="006B7327">
        <w:rPr>
          <w:rFonts w:ascii="Palatino Linotype" w:hAnsi="Palatino Linotype" w:cs="Arial"/>
          <w:sz w:val="18"/>
          <w:szCs w:val="18"/>
        </w:rPr>
        <w:t xml:space="preserve">de </w:t>
      </w:r>
      <w:r w:rsidR="006B7327" w:rsidRPr="006B7327">
        <w:rPr>
          <w:rFonts w:ascii="Palatino Linotype" w:hAnsi="Palatino Linotype" w:cs="Arial"/>
          <w:sz w:val="18"/>
          <w:szCs w:val="18"/>
        </w:rPr>
        <w:t>julio</w:t>
      </w:r>
      <w:r w:rsidRPr="006B7327">
        <w:rPr>
          <w:rFonts w:ascii="Palatino Linotype" w:hAnsi="Palatino Linotype" w:cs="Arial"/>
          <w:sz w:val="18"/>
          <w:szCs w:val="18"/>
        </w:rPr>
        <w:t xml:space="preserve"> de dos mil dieciocho, emitida en el recurso de revisión </w:t>
      </w:r>
      <w:r w:rsidRPr="006B7327">
        <w:rPr>
          <w:rFonts w:ascii="Palatino Linotype" w:hAnsi="Palatino Linotype" w:cs="Arial"/>
          <w:bCs/>
          <w:sz w:val="18"/>
          <w:szCs w:val="18"/>
        </w:rPr>
        <w:t>00853/INFOEM/</w:t>
      </w:r>
      <w:r w:rsidR="00982956">
        <w:rPr>
          <w:rFonts w:ascii="Palatino Linotype" w:hAnsi="Palatino Linotype" w:cs="Arial"/>
          <w:bCs/>
          <w:sz w:val="18"/>
          <w:szCs w:val="18"/>
        </w:rPr>
        <w:t>AD</w:t>
      </w:r>
      <w:r w:rsidRPr="006B7327">
        <w:rPr>
          <w:rFonts w:ascii="Palatino Linotype" w:hAnsi="Palatino Linotype" w:cs="Arial"/>
          <w:bCs/>
          <w:sz w:val="18"/>
          <w:szCs w:val="18"/>
        </w:rPr>
        <w:t>/RR/2018.</w:t>
      </w:r>
      <w:r w:rsidRPr="003A2E6A">
        <w:rPr>
          <w:rFonts w:ascii="Palatino Linotype" w:hAnsi="Palatino Linotype" w:cs="Arial"/>
          <w:bCs/>
          <w:sz w:val="18"/>
          <w:szCs w:val="18"/>
        </w:rPr>
        <w:t xml:space="preserve"> </w:t>
      </w:r>
    </w:p>
    <w:sectPr w:rsidR="009F7E68" w:rsidRPr="008602B0" w:rsidSect="00982956">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6A6" w:rsidRDefault="006526A6" w:rsidP="009F7E68">
      <w:pPr>
        <w:spacing w:after="0" w:line="240" w:lineRule="auto"/>
      </w:pPr>
      <w:r>
        <w:separator/>
      </w:r>
    </w:p>
  </w:endnote>
  <w:endnote w:type="continuationSeparator" w:id="0">
    <w:p w:rsidR="006526A6" w:rsidRDefault="006526A6" w:rsidP="009F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2420B" w:rsidRPr="00883450" w:rsidRDefault="0032420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47691">
              <w:rPr>
                <w:rFonts w:ascii="Palatino Linotype" w:hAnsi="Palatino Linotype"/>
                <w:b/>
                <w:bCs/>
                <w:noProof/>
                <w:szCs w:val="20"/>
              </w:rPr>
              <w:t>10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47691">
              <w:rPr>
                <w:rFonts w:ascii="Palatino Linotype" w:hAnsi="Palatino Linotype"/>
                <w:b/>
                <w:bCs/>
                <w:noProof/>
                <w:szCs w:val="20"/>
              </w:rPr>
              <w:t>42</w:t>
            </w:r>
            <w:r w:rsidRPr="00883450">
              <w:rPr>
                <w:rFonts w:ascii="Palatino Linotype" w:hAnsi="Palatino Linotype"/>
                <w:b/>
                <w:bCs/>
                <w:szCs w:val="20"/>
              </w:rPr>
              <w:fldChar w:fldCharType="end"/>
            </w:r>
          </w:p>
        </w:sdtContent>
      </w:sdt>
    </w:sdtContent>
  </w:sdt>
  <w:p w:rsidR="0032420B" w:rsidRDefault="003242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0B" w:rsidRPr="00883450" w:rsidRDefault="0032420B" w:rsidP="00F17995">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347691" w:rsidRPr="0034769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347691" w:rsidRPr="00347691">
      <w:rPr>
        <w:rFonts w:ascii="Palatino Linotype" w:hAnsi="Palatino Linotype"/>
        <w:noProof/>
        <w:lang w:val="es-ES"/>
      </w:rPr>
      <w:t>42</w:t>
    </w:r>
    <w:r w:rsidRPr="00883450">
      <w:rPr>
        <w:rFonts w:ascii="Palatino Linotype" w:hAnsi="Palatino Linotype"/>
      </w:rPr>
      <w:fldChar w:fldCharType="end"/>
    </w:r>
  </w:p>
  <w:p w:rsidR="0032420B" w:rsidRPr="00883450" w:rsidRDefault="0032420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6A6" w:rsidRDefault="006526A6" w:rsidP="009F7E68">
      <w:pPr>
        <w:spacing w:after="0" w:line="240" w:lineRule="auto"/>
      </w:pPr>
      <w:r>
        <w:separator/>
      </w:r>
    </w:p>
  </w:footnote>
  <w:footnote w:type="continuationSeparator" w:id="0">
    <w:p w:rsidR="006526A6" w:rsidRDefault="006526A6" w:rsidP="009F7E68">
      <w:pPr>
        <w:spacing w:after="0" w:line="240" w:lineRule="auto"/>
      </w:pPr>
      <w:r>
        <w:continuationSeparator/>
      </w:r>
    </w:p>
  </w:footnote>
  <w:footnote w:id="1">
    <w:p w:rsidR="0032420B" w:rsidRDefault="0032420B">
      <w:pPr>
        <w:pStyle w:val="Textonotapie"/>
      </w:pPr>
      <w:r>
        <w:rPr>
          <w:rStyle w:val="Refdenotaalpie"/>
        </w:rPr>
        <w:footnoteRef/>
      </w:r>
      <w:r>
        <w:t xml:space="preserve"> </w:t>
      </w:r>
      <w:r w:rsidRPr="00F95011">
        <w:t>Artículo 61. El juicio de amparo es improcedente:</w:t>
      </w:r>
      <w:r>
        <w:t xml:space="preserve"> </w:t>
      </w:r>
    </w:p>
    <w:p w:rsidR="0032420B" w:rsidRDefault="0032420B">
      <w:pPr>
        <w:pStyle w:val="Textonotapie"/>
      </w:pPr>
      <w:r>
        <w:t>…</w:t>
      </w:r>
    </w:p>
    <w:p w:rsidR="0032420B" w:rsidRDefault="0032420B">
      <w:pPr>
        <w:pStyle w:val="Textonotapie"/>
      </w:pPr>
      <w:r w:rsidRPr="00BB4348">
        <w:t>XII. Contra actos que no afecten los intereses jurídicos o legítimos del quejoso, en los términos establecidos en la fracción I del artículo 5o de la presente Ley, y contra normas generales que requieran de un acto de aplicación posterior al inicio de su vigencia;</w:t>
      </w:r>
      <w:r>
        <w:t xml:space="preserve"> </w:t>
      </w:r>
    </w:p>
    <w:p w:rsidR="0032420B" w:rsidRDefault="0032420B">
      <w:pPr>
        <w:pStyle w:val="Textonotapie"/>
      </w:pPr>
      <w:r>
        <w:t>…</w:t>
      </w:r>
    </w:p>
    <w:p w:rsidR="0032420B" w:rsidRDefault="0032420B">
      <w:pPr>
        <w:pStyle w:val="Textonotapie"/>
      </w:pPr>
    </w:p>
  </w:footnote>
  <w:footnote w:id="2">
    <w:p w:rsidR="0032420B" w:rsidRPr="006741D8" w:rsidRDefault="0032420B" w:rsidP="00262BB2">
      <w:pPr>
        <w:pStyle w:val="Textonotapie"/>
        <w:jc w:val="both"/>
        <w:rPr>
          <w:rFonts w:ascii="Palatino Linotype" w:hAnsi="Palatino Linotype"/>
          <w:sz w:val="16"/>
          <w:szCs w:val="16"/>
        </w:rPr>
      </w:pPr>
    </w:p>
    <w:p w:rsidR="0032420B" w:rsidRDefault="0032420B" w:rsidP="00262BB2">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w:t>
      </w:r>
      <w:r w:rsidRPr="004B2060">
        <w:rPr>
          <w:rFonts w:ascii="Palatino Linotype" w:hAnsi="Palatino Linotype"/>
          <w:sz w:val="16"/>
          <w:szCs w:val="16"/>
        </w:rPr>
        <w:t>Amparo directo en revisión 4811/2015. 25 de mayo de 2016. Unanimidad de cuatro votos de los Ministros Arturo Zaldívar Lelo de Larrea, José Ramón Cossío Díaz, Jorge Mario Pardo Rebolledo y Alfredo Gutiérrez Ortiz Mena, quien reservó su derecho para formular voto concurrente. Ausente: Norma Lucía Piña Hernández. Ponente: Arturo Zaldívar Lelo de Larrea. Secretarios: Arturo Guerrero Zazueta y Ana María Ibarra Olguín.</w:t>
      </w:r>
    </w:p>
    <w:p w:rsidR="0032420B" w:rsidRDefault="0032420B" w:rsidP="00262BB2">
      <w:pPr>
        <w:pStyle w:val="Textonotapie"/>
        <w:jc w:val="both"/>
        <w:rPr>
          <w:rFonts w:ascii="Palatino Linotype" w:hAnsi="Palatino Linotype"/>
          <w:sz w:val="16"/>
          <w:szCs w:val="16"/>
        </w:rPr>
      </w:pPr>
      <w:r w:rsidRPr="007D5488">
        <w:rPr>
          <w:rFonts w:ascii="Palatino Linotype" w:hAnsi="Palatino Linotype"/>
          <w:sz w:val="16"/>
          <w:szCs w:val="16"/>
        </w:rPr>
        <w:t>Amparo en revisión 554/2013. 25 de marzo de 2015. Cinco votos de los Ministros Arturo Zaldívar Lelo de Larrea, José Ramón Cossío Díaz, Jorge Mario Pardo Rebolledo, quien formuló voto concurrente, Olga Sánchez Cordero de García Villegas y Alfredo Gutiérrez Ortiz Mena. Ponente: Alfredo Gutiérrez Ortiz Mena. Secretaria: Karla I. Quintana Osuna.</w:t>
      </w:r>
    </w:p>
    <w:p w:rsidR="0032420B" w:rsidRDefault="0032420B" w:rsidP="00262BB2">
      <w:pPr>
        <w:rPr>
          <w:rFonts w:ascii="Palatino Linotype" w:hAnsi="Palatino Linotype"/>
          <w:sz w:val="16"/>
          <w:szCs w:val="16"/>
        </w:rPr>
      </w:pPr>
      <w:r w:rsidRPr="003943BD">
        <w:rPr>
          <w:rFonts w:ascii="Palatino Linotype" w:hAnsi="Palatino Linotype"/>
          <w:sz w:val="16"/>
          <w:szCs w:val="16"/>
        </w:rPr>
        <w:t>Amparo directo en revisión 2655/2013. 6 de noviembre de 2013. Mayoría de cuatro votos de los Ministros Arturo Zaldívar Lelo de Larrea, José Ramón Cossío Díaz, quien reservó su derecho para formular voto concurrente, Alfredo Gutiérrez Ortiz Mena y Olga Sánchez Cordero de García Villegas. Disidente: Jorge Mario Pardo Rebolledo. Ponente: Alfredo Gutiérrez Ortiz Mena. Secre</w:t>
      </w:r>
      <w:r>
        <w:rPr>
          <w:rFonts w:ascii="Palatino Linotype" w:hAnsi="Palatino Linotype"/>
          <w:sz w:val="16"/>
          <w:szCs w:val="16"/>
        </w:rPr>
        <w:t>taria: Cecilia Armengol Alonso.</w:t>
      </w:r>
    </w:p>
    <w:p w:rsidR="0032420B" w:rsidRPr="007D5488" w:rsidRDefault="0032420B" w:rsidP="00262BB2">
      <w:pPr>
        <w:pStyle w:val="Textonotapie"/>
        <w:rPr>
          <w:rFonts w:ascii="Palatino Linotype" w:hAnsi="Palatino Linotype"/>
          <w:sz w:val="16"/>
          <w:szCs w:val="16"/>
        </w:rPr>
      </w:pPr>
    </w:p>
    <w:p w:rsidR="0032420B" w:rsidRPr="006741D8" w:rsidRDefault="0032420B" w:rsidP="00262BB2">
      <w:pPr>
        <w:pStyle w:val="Textonotapie"/>
        <w:jc w:val="both"/>
        <w:rPr>
          <w:rFonts w:ascii="Palatino Linotype" w:hAnsi="Palatino Linotype"/>
          <w:sz w:val="16"/>
          <w:szCs w:val="16"/>
        </w:rPr>
      </w:pPr>
    </w:p>
  </w:footnote>
  <w:footnote w:id="3">
    <w:p w:rsidR="0032420B" w:rsidRPr="006741D8" w:rsidRDefault="0032420B" w:rsidP="00262BB2">
      <w:pPr>
        <w:pStyle w:val="Textonotapie"/>
        <w:jc w:val="both"/>
        <w:rPr>
          <w:rFonts w:ascii="Palatino Linotype" w:hAnsi="Palatino Linotype"/>
          <w:sz w:val="16"/>
          <w:szCs w:val="16"/>
        </w:rPr>
      </w:pPr>
    </w:p>
    <w:p w:rsidR="0032420B" w:rsidRPr="00C363D0" w:rsidRDefault="0032420B" w:rsidP="00262BB2">
      <w:pPr>
        <w:pStyle w:val="Textonotapie"/>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w:t>
      </w:r>
      <w:r w:rsidRPr="00C363D0">
        <w:rPr>
          <w:rFonts w:ascii="Palatino Linotype" w:hAnsi="Palatino Linotype"/>
          <w:sz w:val="16"/>
          <w:szCs w:val="16"/>
        </w:rPr>
        <w:t xml:space="preserve">Amparo directo 28/2017. 6 de abril de 2017. Unanimidad de votos. Ponente: </w:t>
      </w:r>
      <w:proofErr w:type="spellStart"/>
      <w:r w:rsidRPr="00C363D0">
        <w:rPr>
          <w:rFonts w:ascii="Palatino Linotype" w:hAnsi="Palatino Linotype"/>
          <w:sz w:val="16"/>
          <w:szCs w:val="16"/>
        </w:rPr>
        <w:t>Selina</w:t>
      </w:r>
      <w:proofErr w:type="spellEnd"/>
      <w:r w:rsidRPr="00C363D0">
        <w:rPr>
          <w:rFonts w:ascii="Palatino Linotype" w:hAnsi="Palatino Linotype"/>
          <w:sz w:val="16"/>
          <w:szCs w:val="16"/>
        </w:rPr>
        <w:t xml:space="preserve"> </w:t>
      </w:r>
      <w:proofErr w:type="spellStart"/>
      <w:r w:rsidRPr="00C363D0">
        <w:rPr>
          <w:rFonts w:ascii="Palatino Linotype" w:hAnsi="Palatino Linotype"/>
          <w:sz w:val="16"/>
          <w:szCs w:val="16"/>
        </w:rPr>
        <w:t>Haidé</w:t>
      </w:r>
      <w:proofErr w:type="spellEnd"/>
      <w:r w:rsidRPr="00C363D0">
        <w:rPr>
          <w:rFonts w:ascii="Palatino Linotype" w:hAnsi="Palatino Linotype"/>
          <w:sz w:val="16"/>
          <w:szCs w:val="16"/>
        </w:rPr>
        <w:t xml:space="preserve"> Avante Juárez. Secretario: José Francisco Aguilar Ballesteros.</w:t>
      </w:r>
    </w:p>
    <w:p w:rsidR="0032420B" w:rsidRPr="007D5488" w:rsidRDefault="0032420B" w:rsidP="00262BB2">
      <w:pPr>
        <w:pStyle w:val="Textonotapie"/>
        <w:rPr>
          <w:rFonts w:ascii="Palatino Linotype" w:hAnsi="Palatino Linotype"/>
          <w:sz w:val="16"/>
          <w:szCs w:val="16"/>
        </w:rPr>
      </w:pPr>
      <w:r w:rsidRPr="00C363D0">
        <w:rPr>
          <w:rFonts w:ascii="Palatino Linotype" w:hAnsi="Palatino Linotype"/>
          <w:sz w:val="16"/>
          <w:szCs w:val="16"/>
        </w:rPr>
        <w:t>Amparo directo en revisión 4398/2013. 2 de abril de 2014. Cinco votos de los Ministros Arturo Zaldívar Lelo de Larrea, José Ramón Cossío Díaz, quien formuló voto concurrente, Alfredo Gutiérrez Ortiz Mena, Olga Sánchez Cordero de García Villegas y Jorge Mario Pardo Rebolledo. Ponente: Arturo Zaldívar Lelo de Larrea. Secretaria: Ana María Ibarra Olguín.</w:t>
      </w:r>
    </w:p>
    <w:p w:rsidR="0032420B" w:rsidRPr="006741D8" w:rsidRDefault="0032420B" w:rsidP="00262BB2">
      <w:pPr>
        <w:pStyle w:val="Textonotapie"/>
        <w:jc w:val="both"/>
        <w:rPr>
          <w:rFonts w:ascii="Palatino Linotype" w:hAnsi="Palatino Linotype"/>
          <w:sz w:val="16"/>
          <w:szCs w:val="16"/>
        </w:rPr>
      </w:pPr>
    </w:p>
  </w:footnote>
  <w:footnote w:id="4">
    <w:p w:rsidR="0032420B" w:rsidRPr="006741D8" w:rsidRDefault="0032420B" w:rsidP="00A9211F">
      <w:pPr>
        <w:pStyle w:val="Textonotapie"/>
        <w:jc w:val="both"/>
        <w:rPr>
          <w:rFonts w:ascii="Palatino Linotype" w:hAnsi="Palatino Linotype"/>
          <w:sz w:val="16"/>
          <w:szCs w:val="16"/>
        </w:rPr>
      </w:pPr>
    </w:p>
    <w:p w:rsidR="0032420B" w:rsidRPr="006741D8" w:rsidRDefault="0032420B" w:rsidP="00A9211F">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 w:id="5">
    <w:p w:rsidR="0032420B" w:rsidRPr="008D26A7" w:rsidRDefault="0032420B" w:rsidP="00A9211F">
      <w:pPr>
        <w:pStyle w:val="Textonotapie"/>
        <w:jc w:val="both"/>
        <w:rPr>
          <w:rFonts w:ascii="Palatino Linotype" w:hAnsi="Palatino Linotype"/>
        </w:rPr>
      </w:pPr>
      <w:r w:rsidRPr="008D26A7">
        <w:rPr>
          <w:rStyle w:val="Refdenotaalpie"/>
          <w:rFonts w:ascii="Palatino Linotype" w:hAnsi="Palatino Linotype"/>
        </w:rPr>
        <w:footnoteRef/>
      </w:r>
      <w:r w:rsidRPr="008D26A7">
        <w:rPr>
          <w:rFonts w:ascii="Palatino Linotype" w:hAnsi="Palatino Linotype"/>
        </w:rPr>
        <w:t xml:space="preserve"> </w:t>
      </w:r>
      <w:r w:rsidRPr="008D26A7">
        <w:rPr>
          <w:rFonts w:ascii="Palatino Linotype" w:hAnsi="Palatino Linotype"/>
          <w:sz w:val="16"/>
          <w:szCs w:val="16"/>
        </w:rPr>
        <w:t>Autor de la sucesión, en términos del Artículo 6.8 del Código Civil del Estado de México.</w:t>
      </w:r>
    </w:p>
  </w:footnote>
  <w:footnote w:id="6">
    <w:p w:rsidR="0032420B" w:rsidRDefault="0032420B">
      <w:pPr>
        <w:pStyle w:val="Textonotapie"/>
      </w:pPr>
      <w:r>
        <w:rPr>
          <w:rStyle w:val="Refdenotaalpie"/>
        </w:rPr>
        <w:footnoteRef/>
      </w:r>
      <w:r>
        <w:t xml:space="preserve"> </w:t>
      </w:r>
      <w:r w:rsidRPr="00962A48">
        <w:rPr>
          <w:rFonts w:ascii="Palatino Linotype" w:hAnsi="Palatino Linotype"/>
          <w:sz w:val="16"/>
          <w:szCs w:val="16"/>
        </w:rPr>
        <w:t>Artículo 122 de Ley de Protección de Datos Personales en Posesión de Sujetos Obligados del Estado de México y Municipios</w:t>
      </w:r>
    </w:p>
  </w:footnote>
  <w:footnote w:id="7">
    <w:p w:rsidR="0032420B" w:rsidRPr="005731A3" w:rsidRDefault="0032420B" w:rsidP="00393CC9">
      <w:pPr>
        <w:pStyle w:val="Textonotapie"/>
        <w:rPr>
          <w:rFonts w:ascii="Palatino Linotype" w:hAnsi="Palatino Linotype"/>
          <w:sz w:val="16"/>
          <w:szCs w:val="16"/>
        </w:rPr>
      </w:pPr>
      <w:r>
        <w:rPr>
          <w:rStyle w:val="Refdenotaalpie"/>
        </w:rPr>
        <w:footnoteRef/>
      </w:r>
      <w:r>
        <w:t xml:space="preserve"> </w:t>
      </w:r>
      <w:r w:rsidRPr="005731A3">
        <w:rPr>
          <w:rFonts w:ascii="Palatino Linotype" w:hAnsi="Palatino Linotype"/>
          <w:sz w:val="16"/>
          <w:szCs w:val="16"/>
        </w:rPr>
        <w:t>Profesor Investigador de Teoría Constitucional y Derecho Procesal Constitucional Administrativo, Departamento de Derecho de la UAM-A</w:t>
      </w:r>
    </w:p>
  </w:footnote>
  <w:footnote w:id="8">
    <w:p w:rsidR="00B9260B" w:rsidRDefault="00B9260B">
      <w:pPr>
        <w:pStyle w:val="Textonotapie"/>
      </w:pPr>
      <w:r>
        <w:rPr>
          <w:rStyle w:val="Refdenotaalpie"/>
        </w:rPr>
        <w:footnoteRef/>
      </w:r>
      <w:r>
        <w:t xml:space="preserve"> Artículo 4 fracción XL de la  </w:t>
      </w:r>
      <w:r w:rsidRPr="00333ECD">
        <w:t>Ley de Protección de Datos Personales en Posesión de Sujetos Obligados del Estado de México y Municipios</w:t>
      </w:r>
    </w:p>
  </w:footnote>
  <w:footnote w:id="9">
    <w:p w:rsidR="00A82F51" w:rsidRDefault="00A82F51">
      <w:pPr>
        <w:pStyle w:val="Textonotapie"/>
      </w:pPr>
      <w:r>
        <w:rPr>
          <w:rStyle w:val="Refdenotaalpie"/>
        </w:rPr>
        <w:footnoteRef/>
      </w:r>
      <w:r>
        <w:t xml:space="preserve"> Artículo 66 fracción II de la  </w:t>
      </w:r>
      <w:r w:rsidRPr="00333ECD">
        <w:t>Ley de Protección de Datos Personales en Posesión de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0B" w:rsidRDefault="0032420B" w:rsidP="00F17995">
    <w:pPr>
      <w:pStyle w:val="Encabezado"/>
      <w:tabs>
        <w:tab w:val="clear" w:pos="4419"/>
        <w:tab w:val="clear" w:pos="8838"/>
        <w:tab w:val="left" w:pos="7907"/>
      </w:tabs>
    </w:pPr>
    <w:r>
      <w:tab/>
    </w:r>
  </w:p>
  <w:p w:rsidR="0032420B" w:rsidRDefault="0032420B" w:rsidP="00F17995">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2420B" w:rsidRPr="00EF13C1" w:rsidTr="00F17995">
      <w:trPr>
        <w:trHeight w:val="138"/>
        <w:jc w:val="right"/>
      </w:trPr>
      <w:tc>
        <w:tcPr>
          <w:tcW w:w="2552" w:type="dxa"/>
          <w:vAlign w:val="center"/>
        </w:tcPr>
        <w:p w:rsidR="0032420B" w:rsidRPr="00EF13C1" w:rsidRDefault="0032420B" w:rsidP="00F17995">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2420B" w:rsidRPr="00EF13C1" w:rsidRDefault="0032420B" w:rsidP="00524C4F">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00853/INFOEM/AD/RR/2018 </w:t>
          </w:r>
        </w:p>
      </w:tc>
    </w:tr>
    <w:tr w:rsidR="0032420B" w:rsidRPr="00D66D2D" w:rsidTr="00F17995">
      <w:trPr>
        <w:trHeight w:val="321"/>
        <w:jc w:val="right"/>
      </w:trPr>
      <w:tc>
        <w:tcPr>
          <w:tcW w:w="2552" w:type="dxa"/>
          <w:vAlign w:val="center"/>
        </w:tcPr>
        <w:p w:rsidR="0032420B" w:rsidRPr="00EF13C1" w:rsidRDefault="0032420B" w:rsidP="00F17995">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2420B" w:rsidRPr="00D66D2D" w:rsidRDefault="0032420B" w:rsidP="00D66D2D">
          <w:pPr>
            <w:pStyle w:val="Encabezado"/>
            <w:jc w:val="right"/>
            <w:rPr>
              <w:rFonts w:ascii="Palatino Linotype" w:eastAsiaTheme="minorHAnsi" w:hAnsi="Palatino Linotype"/>
              <w:b/>
              <w:sz w:val="22"/>
              <w:szCs w:val="22"/>
              <w:lang w:eastAsia="en-US"/>
            </w:rPr>
          </w:pPr>
          <w:r w:rsidRPr="004C330D">
            <w:rPr>
              <w:rFonts w:ascii="Palatino Linotype" w:eastAsiaTheme="minorHAnsi" w:hAnsi="Palatino Linotype"/>
              <w:b/>
              <w:sz w:val="22"/>
              <w:szCs w:val="22"/>
              <w:lang w:eastAsia="en-US"/>
            </w:rPr>
            <w:t>Instituto de Seguridad Social del Estado de México y Municipios</w:t>
          </w:r>
        </w:p>
      </w:tc>
    </w:tr>
    <w:tr w:rsidR="0032420B" w:rsidRPr="00EF13C1" w:rsidTr="00F17995">
      <w:trPr>
        <w:trHeight w:val="321"/>
        <w:jc w:val="right"/>
      </w:trPr>
      <w:tc>
        <w:tcPr>
          <w:tcW w:w="2552" w:type="dxa"/>
          <w:vAlign w:val="center"/>
        </w:tcPr>
        <w:p w:rsidR="0032420B" w:rsidRPr="00EF13C1" w:rsidRDefault="0032420B" w:rsidP="00F17995">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2420B" w:rsidRPr="00EF13C1" w:rsidRDefault="0032420B" w:rsidP="00F17995">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2420B" w:rsidRDefault="0032420B" w:rsidP="00F1799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0B" w:rsidRDefault="0032420B" w:rsidP="00F17995">
    <w:pPr>
      <w:pStyle w:val="Encabezado"/>
      <w:tabs>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82956" w:rsidRPr="00EF13C1" w:rsidTr="003909E9">
      <w:trPr>
        <w:trHeight w:val="138"/>
        <w:jc w:val="right"/>
      </w:trPr>
      <w:tc>
        <w:tcPr>
          <w:tcW w:w="2552" w:type="dxa"/>
          <w:vAlign w:val="center"/>
        </w:tcPr>
        <w:p w:rsidR="00982956" w:rsidRPr="00EF13C1" w:rsidRDefault="00982956" w:rsidP="00982956">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982956" w:rsidRPr="00EF13C1" w:rsidRDefault="00982956" w:rsidP="00982956">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00853/INFOEM/AD/RR/2018 </w:t>
          </w:r>
        </w:p>
      </w:tc>
    </w:tr>
    <w:tr w:rsidR="00982956" w:rsidRPr="00EF13C1" w:rsidTr="003909E9">
      <w:trPr>
        <w:trHeight w:val="233"/>
        <w:jc w:val="right"/>
      </w:trPr>
      <w:tc>
        <w:tcPr>
          <w:tcW w:w="2552" w:type="dxa"/>
          <w:vAlign w:val="center"/>
        </w:tcPr>
        <w:p w:rsidR="00982956" w:rsidRPr="00EF13C1" w:rsidRDefault="00982956" w:rsidP="00982956">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982956" w:rsidRPr="00EF13C1" w:rsidRDefault="00A42382" w:rsidP="00982956">
          <w:pPr>
            <w:pStyle w:val="Encabezado"/>
            <w:jc w:val="right"/>
            <w:rPr>
              <w:rFonts w:ascii="Palatino Linotype" w:hAnsi="Palatino Linotype"/>
              <w:b/>
              <w:sz w:val="22"/>
              <w:szCs w:val="22"/>
            </w:rPr>
          </w:pPr>
          <w:r w:rsidRPr="00A42382">
            <w:rPr>
              <w:rFonts w:ascii="Palatino Linotype" w:eastAsiaTheme="minorHAnsi" w:hAnsi="Palatino Linotype"/>
              <w:b/>
              <w:sz w:val="22"/>
              <w:szCs w:val="22"/>
              <w:highlight w:val="black"/>
              <w:lang w:eastAsia="en-US"/>
            </w:rPr>
            <w:t>--------------------------------------------</w:t>
          </w:r>
        </w:p>
      </w:tc>
    </w:tr>
    <w:tr w:rsidR="00982956" w:rsidRPr="00D66D2D" w:rsidTr="003909E9">
      <w:trPr>
        <w:trHeight w:val="321"/>
        <w:jc w:val="right"/>
      </w:trPr>
      <w:tc>
        <w:tcPr>
          <w:tcW w:w="2552" w:type="dxa"/>
          <w:vAlign w:val="center"/>
        </w:tcPr>
        <w:p w:rsidR="00982956" w:rsidRPr="00EF13C1" w:rsidRDefault="00982956" w:rsidP="00982956">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982956" w:rsidRPr="00D66D2D" w:rsidRDefault="00982956" w:rsidP="00982956">
          <w:pPr>
            <w:pStyle w:val="Encabezado"/>
            <w:jc w:val="right"/>
            <w:rPr>
              <w:rFonts w:ascii="Palatino Linotype" w:eastAsiaTheme="minorHAnsi" w:hAnsi="Palatino Linotype"/>
              <w:b/>
              <w:sz w:val="22"/>
              <w:szCs w:val="22"/>
              <w:lang w:eastAsia="en-US"/>
            </w:rPr>
          </w:pPr>
          <w:r w:rsidRPr="004C330D">
            <w:rPr>
              <w:rFonts w:ascii="Palatino Linotype" w:eastAsiaTheme="minorHAnsi" w:hAnsi="Palatino Linotype"/>
              <w:b/>
              <w:sz w:val="22"/>
              <w:szCs w:val="22"/>
              <w:lang w:eastAsia="en-US"/>
            </w:rPr>
            <w:t>Instituto de Seguridad Social del Estado de México y Municipios</w:t>
          </w:r>
        </w:p>
      </w:tc>
    </w:tr>
    <w:tr w:rsidR="00982956" w:rsidRPr="00EF13C1" w:rsidTr="003909E9">
      <w:trPr>
        <w:trHeight w:val="321"/>
        <w:jc w:val="right"/>
      </w:trPr>
      <w:tc>
        <w:tcPr>
          <w:tcW w:w="2552" w:type="dxa"/>
          <w:vAlign w:val="center"/>
        </w:tcPr>
        <w:p w:rsidR="00982956" w:rsidRPr="00EF13C1" w:rsidRDefault="00982956" w:rsidP="00982956">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982956" w:rsidRPr="00EF13C1" w:rsidRDefault="00982956" w:rsidP="0098295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2420B" w:rsidRDefault="003242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A0B71"/>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6CD6C1C"/>
    <w:multiLevelType w:val="hybridMultilevel"/>
    <w:tmpl w:val="77242DA8"/>
    <w:lvl w:ilvl="0" w:tplc="03263BF4">
      <w:start w:val="6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9C839E7"/>
    <w:multiLevelType w:val="hybridMultilevel"/>
    <w:tmpl w:val="3AB82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9E19F6"/>
    <w:multiLevelType w:val="hybridMultilevel"/>
    <w:tmpl w:val="57688E84"/>
    <w:lvl w:ilvl="0" w:tplc="080A000F">
      <w:start w:val="1"/>
      <w:numFmt w:val="decimal"/>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B81A8B"/>
    <w:multiLevelType w:val="hybridMultilevel"/>
    <w:tmpl w:val="F57C316A"/>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
    <w:nsid w:val="27977680"/>
    <w:multiLevelType w:val="hybridMultilevel"/>
    <w:tmpl w:val="CE809B28"/>
    <w:lvl w:ilvl="0" w:tplc="D7A2FEE2">
      <w:start w:val="1"/>
      <w:numFmt w:val="upperRoman"/>
      <w:lvlText w:val="%1."/>
      <w:lvlJc w:val="left"/>
      <w:pPr>
        <w:ind w:left="1489" w:hanging="720"/>
      </w:pPr>
      <w:rPr>
        <w:rFonts w:cs="Arial"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6">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9746D762"/>
    <w:lvl w:ilvl="0" w:tplc="50A2BCFA">
      <w:start w:val="1"/>
      <w:numFmt w:val="decimal"/>
      <w:lvlText w:val="%1."/>
      <w:lvlJc w:val="left"/>
      <w:pPr>
        <w:ind w:left="360" w:hanging="360"/>
      </w:pPr>
      <w:rPr>
        <w:rFonts w:ascii="Palatino Linotype" w:hAnsi="Palatino Linotype" w:hint="default"/>
        <w:b/>
        <w:i w:val="0"/>
        <w:sz w:val="24"/>
      </w:rPr>
    </w:lvl>
    <w:lvl w:ilvl="1" w:tplc="537066A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B20A16"/>
    <w:multiLevelType w:val="hybridMultilevel"/>
    <w:tmpl w:val="49F83A9A"/>
    <w:lvl w:ilvl="0" w:tplc="080A001B">
      <w:start w:val="1"/>
      <w:numFmt w:val="lowerRoman"/>
      <w:lvlText w:val="%1."/>
      <w:lvlJc w:val="righ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3B1B2DE8"/>
    <w:multiLevelType w:val="hybridMultilevel"/>
    <w:tmpl w:val="238C112C"/>
    <w:lvl w:ilvl="0" w:tplc="25C44B88">
      <w:start w:val="1"/>
      <w:numFmt w:val="upperRoman"/>
      <w:lvlText w:val="%1."/>
      <w:lvlJc w:val="left"/>
      <w:pPr>
        <w:ind w:left="720" w:hanging="720"/>
      </w:pPr>
      <w:rPr>
        <w:rFonts w:eastAsiaTheme="majorEastAsia" w:cstheme="majorBidi" w:hint="default"/>
        <w:b/>
        <w:i/>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49D70AD1"/>
    <w:multiLevelType w:val="hybridMultilevel"/>
    <w:tmpl w:val="76B8D388"/>
    <w:lvl w:ilvl="0" w:tplc="A76EA990">
      <w:start w:val="1"/>
      <w:numFmt w:val="lowerLetter"/>
      <w:lvlText w:val="%1)"/>
      <w:lvlJc w:val="left"/>
      <w:pPr>
        <w:ind w:left="530" w:hanging="360"/>
      </w:pPr>
      <w:rPr>
        <w:rFonts w:hint="default"/>
        <w:b/>
      </w:r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11">
    <w:nsid w:val="4BEA0A92"/>
    <w:multiLevelType w:val="hybridMultilevel"/>
    <w:tmpl w:val="824E8520"/>
    <w:lvl w:ilvl="0" w:tplc="5C42ADE4">
      <w:start w:val="1"/>
      <w:numFmt w:val="lowerLetter"/>
      <w:lvlText w:val="%1)"/>
      <w:lvlJc w:val="left"/>
      <w:pPr>
        <w:ind w:left="786" w:hanging="360"/>
      </w:pPr>
      <w:rPr>
        <w:rFonts w:hint="default"/>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4F554185"/>
    <w:multiLevelType w:val="hybridMultilevel"/>
    <w:tmpl w:val="FFC25730"/>
    <w:lvl w:ilvl="0" w:tplc="263AFE1C">
      <w:start w:val="1"/>
      <w:numFmt w:val="decimal"/>
      <w:lvlText w:val="%1."/>
      <w:lvlJc w:val="left"/>
      <w:pPr>
        <w:ind w:left="720" w:hanging="360"/>
      </w:pPr>
      <w:rPr>
        <w:rFonts w:ascii="Palatino Linotype" w:eastAsia="MS Mincho" w:hAnsi="Palatino Linotype"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5F4682"/>
    <w:multiLevelType w:val="hybridMultilevel"/>
    <w:tmpl w:val="6C5CA482"/>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nsid w:val="50A647EA"/>
    <w:multiLevelType w:val="hybridMultilevel"/>
    <w:tmpl w:val="A0848446"/>
    <w:lvl w:ilvl="0" w:tplc="0082E15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577202FA"/>
    <w:multiLevelType w:val="hybridMultilevel"/>
    <w:tmpl w:val="4B380CA8"/>
    <w:lvl w:ilvl="0" w:tplc="FE360A36">
      <w:start w:val="1"/>
      <w:numFmt w:val="decimal"/>
      <w:lvlText w:val="%1."/>
      <w:lvlJc w:val="left"/>
      <w:pPr>
        <w:ind w:left="360" w:hanging="360"/>
      </w:pPr>
      <w:rPr>
        <w:rFonts w:eastAsia="Times New Roman"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C6C535A"/>
    <w:multiLevelType w:val="hybridMultilevel"/>
    <w:tmpl w:val="025A93EC"/>
    <w:lvl w:ilvl="0" w:tplc="7D1E6B5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629C453C"/>
    <w:multiLevelType w:val="hybridMultilevel"/>
    <w:tmpl w:val="9746D762"/>
    <w:lvl w:ilvl="0" w:tplc="50A2BCFA">
      <w:start w:val="1"/>
      <w:numFmt w:val="decimal"/>
      <w:lvlText w:val="%1."/>
      <w:lvlJc w:val="left"/>
      <w:pPr>
        <w:ind w:left="360" w:hanging="360"/>
      </w:pPr>
      <w:rPr>
        <w:rFonts w:ascii="Palatino Linotype" w:hAnsi="Palatino Linotype" w:hint="default"/>
        <w:b/>
        <w:i w:val="0"/>
        <w:sz w:val="24"/>
      </w:rPr>
    </w:lvl>
    <w:lvl w:ilvl="1" w:tplc="537066A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CE428A"/>
    <w:multiLevelType w:val="hybridMultilevel"/>
    <w:tmpl w:val="9746D762"/>
    <w:lvl w:ilvl="0" w:tplc="50A2BCFA">
      <w:start w:val="1"/>
      <w:numFmt w:val="decimal"/>
      <w:lvlText w:val="%1."/>
      <w:lvlJc w:val="left"/>
      <w:pPr>
        <w:ind w:left="360" w:hanging="360"/>
      </w:pPr>
      <w:rPr>
        <w:rFonts w:ascii="Palatino Linotype" w:hAnsi="Palatino Linotype" w:hint="default"/>
        <w:b/>
        <w:i w:val="0"/>
        <w:sz w:val="24"/>
      </w:rPr>
    </w:lvl>
    <w:lvl w:ilvl="1" w:tplc="537066A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BD5DB0"/>
    <w:multiLevelType w:val="hybridMultilevel"/>
    <w:tmpl w:val="51906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A40145"/>
    <w:multiLevelType w:val="hybridMultilevel"/>
    <w:tmpl w:val="A914E30C"/>
    <w:lvl w:ilvl="0" w:tplc="1460E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95A5431"/>
    <w:multiLevelType w:val="multilevel"/>
    <w:tmpl w:val="575E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D22D4F"/>
    <w:multiLevelType w:val="hybridMultilevel"/>
    <w:tmpl w:val="7F2A138E"/>
    <w:lvl w:ilvl="0" w:tplc="E1E241E6">
      <w:start w:val="1"/>
      <w:numFmt w:val="lowerLetter"/>
      <w:lvlText w:val="%1)"/>
      <w:lvlJc w:val="left"/>
      <w:pPr>
        <w:ind w:left="927" w:hanging="360"/>
      </w:pPr>
      <w:rPr>
        <w:rFonts w:hint="default"/>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7"/>
  </w:num>
  <w:num w:numId="3">
    <w:abstractNumId w:val="9"/>
  </w:num>
  <w:num w:numId="4">
    <w:abstractNumId w:val="17"/>
  </w:num>
  <w:num w:numId="5">
    <w:abstractNumId w:val="11"/>
  </w:num>
  <w:num w:numId="6">
    <w:abstractNumId w:val="10"/>
  </w:num>
  <w:num w:numId="7">
    <w:abstractNumId w:val="1"/>
  </w:num>
  <w:num w:numId="8">
    <w:abstractNumId w:val="14"/>
  </w:num>
  <w:num w:numId="9">
    <w:abstractNumId w:val="16"/>
  </w:num>
  <w:num w:numId="10">
    <w:abstractNumId w:val="15"/>
  </w:num>
  <w:num w:numId="11">
    <w:abstractNumId w:val="5"/>
  </w:num>
  <w:num w:numId="12">
    <w:abstractNumId w:val="22"/>
  </w:num>
  <w:num w:numId="13">
    <w:abstractNumId w:val="2"/>
  </w:num>
  <w:num w:numId="14">
    <w:abstractNumId w:val="13"/>
  </w:num>
  <w:num w:numId="15">
    <w:abstractNumId w:val="4"/>
  </w:num>
  <w:num w:numId="16">
    <w:abstractNumId w:val="23"/>
  </w:num>
  <w:num w:numId="17">
    <w:abstractNumId w:val="12"/>
  </w:num>
  <w:num w:numId="18">
    <w:abstractNumId w:val="20"/>
  </w:num>
  <w:num w:numId="19">
    <w:abstractNumId w:val="8"/>
  </w:num>
  <w:num w:numId="20">
    <w:abstractNumId w:val="19"/>
  </w:num>
  <w:num w:numId="21">
    <w:abstractNumId w:val="6"/>
  </w:num>
  <w:num w:numId="22">
    <w:abstractNumId w:val="21"/>
  </w:num>
  <w:num w:numId="23">
    <w:abstractNumId w:val="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E68"/>
    <w:rsid w:val="00007141"/>
    <w:rsid w:val="00013095"/>
    <w:rsid w:val="0003680D"/>
    <w:rsid w:val="00044504"/>
    <w:rsid w:val="0004457D"/>
    <w:rsid w:val="00054577"/>
    <w:rsid w:val="00056DC7"/>
    <w:rsid w:val="00057DB0"/>
    <w:rsid w:val="00075201"/>
    <w:rsid w:val="00091964"/>
    <w:rsid w:val="000A07B7"/>
    <w:rsid w:val="000C54FA"/>
    <w:rsid w:val="000D4168"/>
    <w:rsid w:val="000F41A9"/>
    <w:rsid w:val="000F7FFC"/>
    <w:rsid w:val="00103623"/>
    <w:rsid w:val="0011755F"/>
    <w:rsid w:val="00121E5B"/>
    <w:rsid w:val="001225BB"/>
    <w:rsid w:val="001305AE"/>
    <w:rsid w:val="00132910"/>
    <w:rsid w:val="0013469B"/>
    <w:rsid w:val="00151672"/>
    <w:rsid w:val="00153C5D"/>
    <w:rsid w:val="00155C22"/>
    <w:rsid w:val="00170731"/>
    <w:rsid w:val="00171DCE"/>
    <w:rsid w:val="00180852"/>
    <w:rsid w:val="00185BFB"/>
    <w:rsid w:val="00193FCA"/>
    <w:rsid w:val="001A73E7"/>
    <w:rsid w:val="001C4ED1"/>
    <w:rsid w:val="001D4BC7"/>
    <w:rsid w:val="001D5647"/>
    <w:rsid w:val="001D64FF"/>
    <w:rsid w:val="001D7E8A"/>
    <w:rsid w:val="001F0789"/>
    <w:rsid w:val="001F0E95"/>
    <w:rsid w:val="001F21DF"/>
    <w:rsid w:val="001F3D23"/>
    <w:rsid w:val="001F3F3E"/>
    <w:rsid w:val="002042BE"/>
    <w:rsid w:val="00205BFB"/>
    <w:rsid w:val="002151EE"/>
    <w:rsid w:val="002166AF"/>
    <w:rsid w:val="0022038D"/>
    <w:rsid w:val="00220776"/>
    <w:rsid w:val="00225B61"/>
    <w:rsid w:val="00232730"/>
    <w:rsid w:val="00233F3F"/>
    <w:rsid w:val="00240588"/>
    <w:rsid w:val="00242001"/>
    <w:rsid w:val="0025363C"/>
    <w:rsid w:val="00262BB2"/>
    <w:rsid w:val="00266576"/>
    <w:rsid w:val="00266EB2"/>
    <w:rsid w:val="002746DC"/>
    <w:rsid w:val="00291E2A"/>
    <w:rsid w:val="00294D2F"/>
    <w:rsid w:val="00297630"/>
    <w:rsid w:val="002A4F13"/>
    <w:rsid w:val="002B2F2D"/>
    <w:rsid w:val="002D14A8"/>
    <w:rsid w:val="002D3BF5"/>
    <w:rsid w:val="002D5348"/>
    <w:rsid w:val="002F4D75"/>
    <w:rsid w:val="002F5041"/>
    <w:rsid w:val="00321351"/>
    <w:rsid w:val="0032420B"/>
    <w:rsid w:val="0032603A"/>
    <w:rsid w:val="00333ECD"/>
    <w:rsid w:val="003356A6"/>
    <w:rsid w:val="00342739"/>
    <w:rsid w:val="00345DBD"/>
    <w:rsid w:val="00345F92"/>
    <w:rsid w:val="00347691"/>
    <w:rsid w:val="003557C9"/>
    <w:rsid w:val="003570E9"/>
    <w:rsid w:val="00357738"/>
    <w:rsid w:val="00360AAE"/>
    <w:rsid w:val="00363AE4"/>
    <w:rsid w:val="003645DC"/>
    <w:rsid w:val="00375424"/>
    <w:rsid w:val="00393CC9"/>
    <w:rsid w:val="003943BD"/>
    <w:rsid w:val="00395427"/>
    <w:rsid w:val="00396E06"/>
    <w:rsid w:val="003A2FA3"/>
    <w:rsid w:val="003B6944"/>
    <w:rsid w:val="003C00E4"/>
    <w:rsid w:val="003C716D"/>
    <w:rsid w:val="003C7FCF"/>
    <w:rsid w:val="003E36A9"/>
    <w:rsid w:val="004052E5"/>
    <w:rsid w:val="00430523"/>
    <w:rsid w:val="00435D2F"/>
    <w:rsid w:val="004373FE"/>
    <w:rsid w:val="004456D5"/>
    <w:rsid w:val="004636D9"/>
    <w:rsid w:val="004711D6"/>
    <w:rsid w:val="00471227"/>
    <w:rsid w:val="0047281C"/>
    <w:rsid w:val="00473773"/>
    <w:rsid w:val="00495362"/>
    <w:rsid w:val="004B076A"/>
    <w:rsid w:val="004B2060"/>
    <w:rsid w:val="004C330D"/>
    <w:rsid w:val="004D4A3F"/>
    <w:rsid w:val="004D56B9"/>
    <w:rsid w:val="004D6E14"/>
    <w:rsid w:val="004E3685"/>
    <w:rsid w:val="004F0045"/>
    <w:rsid w:val="004F4D47"/>
    <w:rsid w:val="004F4DFC"/>
    <w:rsid w:val="00515CFD"/>
    <w:rsid w:val="00524C4F"/>
    <w:rsid w:val="00526998"/>
    <w:rsid w:val="00536530"/>
    <w:rsid w:val="00537F20"/>
    <w:rsid w:val="005419B7"/>
    <w:rsid w:val="00553855"/>
    <w:rsid w:val="005546F2"/>
    <w:rsid w:val="00561B52"/>
    <w:rsid w:val="005705CB"/>
    <w:rsid w:val="0058258A"/>
    <w:rsid w:val="00584C20"/>
    <w:rsid w:val="00586FDE"/>
    <w:rsid w:val="00592AEF"/>
    <w:rsid w:val="005A1C0C"/>
    <w:rsid w:val="005C11A7"/>
    <w:rsid w:val="005C7373"/>
    <w:rsid w:val="005D011C"/>
    <w:rsid w:val="005E3A3C"/>
    <w:rsid w:val="005E3C52"/>
    <w:rsid w:val="005E7721"/>
    <w:rsid w:val="005E7BE3"/>
    <w:rsid w:val="005F3219"/>
    <w:rsid w:val="005F62B3"/>
    <w:rsid w:val="005F703B"/>
    <w:rsid w:val="00601B16"/>
    <w:rsid w:val="00603A31"/>
    <w:rsid w:val="006050D6"/>
    <w:rsid w:val="00606FCE"/>
    <w:rsid w:val="0061593D"/>
    <w:rsid w:val="00617C1E"/>
    <w:rsid w:val="00617F59"/>
    <w:rsid w:val="00633D73"/>
    <w:rsid w:val="006526A6"/>
    <w:rsid w:val="00654824"/>
    <w:rsid w:val="00663711"/>
    <w:rsid w:val="00670318"/>
    <w:rsid w:val="00670D80"/>
    <w:rsid w:val="00694C61"/>
    <w:rsid w:val="006A10D4"/>
    <w:rsid w:val="006B3657"/>
    <w:rsid w:val="006B7327"/>
    <w:rsid w:val="006C5B5E"/>
    <w:rsid w:val="006D5E5C"/>
    <w:rsid w:val="006E78F1"/>
    <w:rsid w:val="006F2296"/>
    <w:rsid w:val="006F286F"/>
    <w:rsid w:val="00704B09"/>
    <w:rsid w:val="0071141F"/>
    <w:rsid w:val="00717642"/>
    <w:rsid w:val="00722659"/>
    <w:rsid w:val="00722D74"/>
    <w:rsid w:val="007269C6"/>
    <w:rsid w:val="007420BB"/>
    <w:rsid w:val="00751728"/>
    <w:rsid w:val="00751EFF"/>
    <w:rsid w:val="007761C5"/>
    <w:rsid w:val="007768D1"/>
    <w:rsid w:val="007778A3"/>
    <w:rsid w:val="00777D18"/>
    <w:rsid w:val="00780AE1"/>
    <w:rsid w:val="00790CF0"/>
    <w:rsid w:val="007B46BB"/>
    <w:rsid w:val="007B7C04"/>
    <w:rsid w:val="007C177D"/>
    <w:rsid w:val="007C2E32"/>
    <w:rsid w:val="007D5488"/>
    <w:rsid w:val="007E5AAD"/>
    <w:rsid w:val="007F261E"/>
    <w:rsid w:val="00800966"/>
    <w:rsid w:val="008123CD"/>
    <w:rsid w:val="00821D2B"/>
    <w:rsid w:val="008237A2"/>
    <w:rsid w:val="00825CD8"/>
    <w:rsid w:val="008271C0"/>
    <w:rsid w:val="008377F3"/>
    <w:rsid w:val="008406FF"/>
    <w:rsid w:val="0085069D"/>
    <w:rsid w:val="00850777"/>
    <w:rsid w:val="008663F0"/>
    <w:rsid w:val="00875AD7"/>
    <w:rsid w:val="00876A68"/>
    <w:rsid w:val="00885B5A"/>
    <w:rsid w:val="008A7D39"/>
    <w:rsid w:val="008B0DBF"/>
    <w:rsid w:val="008C201C"/>
    <w:rsid w:val="008C3785"/>
    <w:rsid w:val="008C4695"/>
    <w:rsid w:val="008F2DF1"/>
    <w:rsid w:val="00916C9D"/>
    <w:rsid w:val="009257B7"/>
    <w:rsid w:val="00926197"/>
    <w:rsid w:val="00926EB7"/>
    <w:rsid w:val="00931948"/>
    <w:rsid w:val="00932936"/>
    <w:rsid w:val="00943BAA"/>
    <w:rsid w:val="00947D23"/>
    <w:rsid w:val="00957A60"/>
    <w:rsid w:val="00962A48"/>
    <w:rsid w:val="0096571D"/>
    <w:rsid w:val="00972514"/>
    <w:rsid w:val="00982956"/>
    <w:rsid w:val="00984EBC"/>
    <w:rsid w:val="0099669A"/>
    <w:rsid w:val="0099756D"/>
    <w:rsid w:val="009A0983"/>
    <w:rsid w:val="009C60CE"/>
    <w:rsid w:val="009D040A"/>
    <w:rsid w:val="009D2A32"/>
    <w:rsid w:val="009D3172"/>
    <w:rsid w:val="009D65F5"/>
    <w:rsid w:val="009E3EC2"/>
    <w:rsid w:val="009F0A40"/>
    <w:rsid w:val="009F2BB4"/>
    <w:rsid w:val="009F2FB9"/>
    <w:rsid w:val="009F7E68"/>
    <w:rsid w:val="00A01149"/>
    <w:rsid w:val="00A027E8"/>
    <w:rsid w:val="00A030A6"/>
    <w:rsid w:val="00A05E5B"/>
    <w:rsid w:val="00A1339F"/>
    <w:rsid w:val="00A167A3"/>
    <w:rsid w:val="00A259A9"/>
    <w:rsid w:val="00A33113"/>
    <w:rsid w:val="00A42382"/>
    <w:rsid w:val="00A47E46"/>
    <w:rsid w:val="00A47FAE"/>
    <w:rsid w:val="00A519E3"/>
    <w:rsid w:val="00A762BF"/>
    <w:rsid w:val="00A82F51"/>
    <w:rsid w:val="00A84B51"/>
    <w:rsid w:val="00A84DCD"/>
    <w:rsid w:val="00A9211F"/>
    <w:rsid w:val="00AA0CA4"/>
    <w:rsid w:val="00AA7048"/>
    <w:rsid w:val="00AA76FF"/>
    <w:rsid w:val="00AB5B1A"/>
    <w:rsid w:val="00AE0E15"/>
    <w:rsid w:val="00AE2A36"/>
    <w:rsid w:val="00AF6E1F"/>
    <w:rsid w:val="00AF7C1D"/>
    <w:rsid w:val="00B04A84"/>
    <w:rsid w:val="00B251C4"/>
    <w:rsid w:val="00B41224"/>
    <w:rsid w:val="00B43C12"/>
    <w:rsid w:val="00B45757"/>
    <w:rsid w:val="00B5138C"/>
    <w:rsid w:val="00B5384F"/>
    <w:rsid w:val="00B53D5C"/>
    <w:rsid w:val="00B56DD4"/>
    <w:rsid w:val="00B67CD5"/>
    <w:rsid w:val="00B71FA3"/>
    <w:rsid w:val="00B85D28"/>
    <w:rsid w:val="00B9260B"/>
    <w:rsid w:val="00B93166"/>
    <w:rsid w:val="00B97830"/>
    <w:rsid w:val="00BA7288"/>
    <w:rsid w:val="00BB1DAC"/>
    <w:rsid w:val="00BB4348"/>
    <w:rsid w:val="00BB7B39"/>
    <w:rsid w:val="00BC3DE4"/>
    <w:rsid w:val="00BC4A35"/>
    <w:rsid w:val="00BD0362"/>
    <w:rsid w:val="00BE2EA4"/>
    <w:rsid w:val="00BE3FD4"/>
    <w:rsid w:val="00BE7624"/>
    <w:rsid w:val="00C036C8"/>
    <w:rsid w:val="00C037DF"/>
    <w:rsid w:val="00C20E04"/>
    <w:rsid w:val="00C318BC"/>
    <w:rsid w:val="00C363D0"/>
    <w:rsid w:val="00C414BE"/>
    <w:rsid w:val="00C4683F"/>
    <w:rsid w:val="00C6233B"/>
    <w:rsid w:val="00C62A6B"/>
    <w:rsid w:val="00C717B6"/>
    <w:rsid w:val="00C751A6"/>
    <w:rsid w:val="00C8008B"/>
    <w:rsid w:val="00C9047E"/>
    <w:rsid w:val="00C934CC"/>
    <w:rsid w:val="00C97FE8"/>
    <w:rsid w:val="00CB3F04"/>
    <w:rsid w:val="00CB561F"/>
    <w:rsid w:val="00CC5CA7"/>
    <w:rsid w:val="00CD15C7"/>
    <w:rsid w:val="00CD7804"/>
    <w:rsid w:val="00CE1638"/>
    <w:rsid w:val="00CE690D"/>
    <w:rsid w:val="00CF089F"/>
    <w:rsid w:val="00CF61A6"/>
    <w:rsid w:val="00CF61FF"/>
    <w:rsid w:val="00D00A48"/>
    <w:rsid w:val="00D00BD9"/>
    <w:rsid w:val="00D00D5A"/>
    <w:rsid w:val="00D14A7E"/>
    <w:rsid w:val="00D21EAE"/>
    <w:rsid w:val="00D23293"/>
    <w:rsid w:val="00D37B71"/>
    <w:rsid w:val="00D41C06"/>
    <w:rsid w:val="00D44934"/>
    <w:rsid w:val="00D5673C"/>
    <w:rsid w:val="00D66D2D"/>
    <w:rsid w:val="00D670DA"/>
    <w:rsid w:val="00D70C5F"/>
    <w:rsid w:val="00D75BC6"/>
    <w:rsid w:val="00D774F3"/>
    <w:rsid w:val="00DA2052"/>
    <w:rsid w:val="00DB27C7"/>
    <w:rsid w:val="00DB4756"/>
    <w:rsid w:val="00DB5438"/>
    <w:rsid w:val="00DB5745"/>
    <w:rsid w:val="00DB623C"/>
    <w:rsid w:val="00DB7A02"/>
    <w:rsid w:val="00DE0A6A"/>
    <w:rsid w:val="00DE18E0"/>
    <w:rsid w:val="00DF087E"/>
    <w:rsid w:val="00DF275E"/>
    <w:rsid w:val="00E05A58"/>
    <w:rsid w:val="00E11CA1"/>
    <w:rsid w:val="00E11DDB"/>
    <w:rsid w:val="00E23219"/>
    <w:rsid w:val="00E37BDB"/>
    <w:rsid w:val="00E406BC"/>
    <w:rsid w:val="00E440BA"/>
    <w:rsid w:val="00E523E3"/>
    <w:rsid w:val="00E53D59"/>
    <w:rsid w:val="00E5480A"/>
    <w:rsid w:val="00E54AEF"/>
    <w:rsid w:val="00E54F89"/>
    <w:rsid w:val="00E6299A"/>
    <w:rsid w:val="00E81468"/>
    <w:rsid w:val="00E81AEE"/>
    <w:rsid w:val="00E9476E"/>
    <w:rsid w:val="00E95C1E"/>
    <w:rsid w:val="00E97531"/>
    <w:rsid w:val="00EA3B7C"/>
    <w:rsid w:val="00EB3525"/>
    <w:rsid w:val="00ED1314"/>
    <w:rsid w:val="00ED6B66"/>
    <w:rsid w:val="00EE5A44"/>
    <w:rsid w:val="00EF1930"/>
    <w:rsid w:val="00EF1C5F"/>
    <w:rsid w:val="00EF28A1"/>
    <w:rsid w:val="00F17995"/>
    <w:rsid w:val="00F2534E"/>
    <w:rsid w:val="00F330F3"/>
    <w:rsid w:val="00F33EE7"/>
    <w:rsid w:val="00F34D8E"/>
    <w:rsid w:val="00F36AC3"/>
    <w:rsid w:val="00F372BD"/>
    <w:rsid w:val="00F43CE4"/>
    <w:rsid w:val="00F46469"/>
    <w:rsid w:val="00F70EB3"/>
    <w:rsid w:val="00F71838"/>
    <w:rsid w:val="00F73140"/>
    <w:rsid w:val="00F76B03"/>
    <w:rsid w:val="00F76F14"/>
    <w:rsid w:val="00F816E8"/>
    <w:rsid w:val="00F901BD"/>
    <w:rsid w:val="00F916B3"/>
    <w:rsid w:val="00F95011"/>
    <w:rsid w:val="00F956B7"/>
    <w:rsid w:val="00FA1719"/>
    <w:rsid w:val="00FA64AB"/>
    <w:rsid w:val="00FC3EEF"/>
    <w:rsid w:val="00FD1A4F"/>
    <w:rsid w:val="00FE22F8"/>
    <w:rsid w:val="00FE3135"/>
    <w:rsid w:val="00FE75BE"/>
    <w:rsid w:val="00FF1D17"/>
    <w:rsid w:val="00FF62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E92E329-9378-4F3C-85E5-06A61B102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E68"/>
  </w:style>
  <w:style w:type="paragraph" w:styleId="Ttulo1">
    <w:name w:val="heading 1"/>
    <w:basedOn w:val="Normal"/>
    <w:next w:val="Normal"/>
    <w:link w:val="Ttulo1Car"/>
    <w:uiPriority w:val="9"/>
    <w:qFormat/>
    <w:rsid w:val="00B67C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91E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7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E68"/>
  </w:style>
  <w:style w:type="paragraph" w:styleId="Piedepgina">
    <w:name w:val="footer"/>
    <w:basedOn w:val="Normal"/>
    <w:link w:val="PiedepginaCar"/>
    <w:uiPriority w:val="99"/>
    <w:unhideWhenUsed/>
    <w:rsid w:val="009F7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E68"/>
  </w:style>
  <w:style w:type="table" w:styleId="Tablaconcuadrcula">
    <w:name w:val="Table Grid"/>
    <w:basedOn w:val="Tablanormal"/>
    <w:uiPriority w:val="39"/>
    <w:rsid w:val="009F7E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9F7E6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F7E68"/>
    <w:pPr>
      <w:ind w:left="720"/>
      <w:contextualSpacing/>
    </w:pPr>
  </w:style>
  <w:style w:type="table" w:customStyle="1" w:styleId="Tablaconcuadrcula1">
    <w:name w:val="Tabla con cuadrícula1"/>
    <w:basedOn w:val="Tablanormal"/>
    <w:next w:val="Tablaconcuadrcula"/>
    <w:uiPriority w:val="39"/>
    <w:rsid w:val="009F7E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7E68"/>
  </w:style>
  <w:style w:type="paragraph" w:styleId="TDC1">
    <w:name w:val="toc 1"/>
    <w:basedOn w:val="Normal"/>
    <w:next w:val="Normal"/>
    <w:autoRedefine/>
    <w:uiPriority w:val="39"/>
    <w:unhideWhenUsed/>
    <w:rsid w:val="00694C61"/>
    <w:pPr>
      <w:tabs>
        <w:tab w:val="right" w:leader="dot" w:pos="8779"/>
      </w:tabs>
      <w:spacing w:after="100" w:line="480" w:lineRule="auto"/>
    </w:pPr>
  </w:style>
  <w:style w:type="paragraph" w:styleId="TDC2">
    <w:name w:val="toc 2"/>
    <w:basedOn w:val="Normal"/>
    <w:next w:val="Normal"/>
    <w:autoRedefine/>
    <w:uiPriority w:val="39"/>
    <w:unhideWhenUsed/>
    <w:rsid w:val="009F7E68"/>
    <w:pPr>
      <w:spacing w:after="100"/>
      <w:ind w:left="220"/>
    </w:pPr>
  </w:style>
  <w:style w:type="character" w:styleId="Hipervnculo">
    <w:name w:val="Hyperlink"/>
    <w:basedOn w:val="Fuentedeprrafopredeter"/>
    <w:uiPriority w:val="99"/>
    <w:unhideWhenUsed/>
    <w:rsid w:val="009F7E68"/>
    <w:rPr>
      <w:color w:val="0563C1" w:themeColor="hyperlink"/>
      <w:u w:val="single"/>
    </w:rPr>
  </w:style>
  <w:style w:type="paragraph" w:styleId="Textodeglobo">
    <w:name w:val="Balloon Text"/>
    <w:basedOn w:val="Normal"/>
    <w:link w:val="TextodegloboCar"/>
    <w:uiPriority w:val="99"/>
    <w:semiHidden/>
    <w:unhideWhenUsed/>
    <w:rsid w:val="004E3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685"/>
    <w:rPr>
      <w:rFonts w:ascii="Segoe UI" w:hAnsi="Segoe UI" w:cs="Segoe UI"/>
      <w:sz w:val="18"/>
      <w:szCs w:val="18"/>
    </w:rPr>
  </w:style>
  <w:style w:type="paragraph" w:styleId="Sinespaciado">
    <w:name w:val="No Spacing"/>
    <w:uiPriority w:val="1"/>
    <w:qFormat/>
    <w:rsid w:val="00984EBC"/>
    <w:pPr>
      <w:spacing w:after="0" w:line="240" w:lineRule="auto"/>
    </w:pPr>
  </w:style>
  <w:style w:type="character" w:customStyle="1" w:styleId="Ttulo2Car">
    <w:name w:val="Título 2 Car"/>
    <w:basedOn w:val="Fuentedeprrafopredeter"/>
    <w:link w:val="Ttulo2"/>
    <w:uiPriority w:val="9"/>
    <w:rsid w:val="00291E2A"/>
    <w:rPr>
      <w:rFonts w:asciiTheme="majorHAnsi" w:eastAsiaTheme="majorEastAsia" w:hAnsiTheme="majorHAnsi" w:cstheme="majorBidi"/>
      <w:color w:val="2E74B5" w:themeColor="accent1" w:themeShade="BF"/>
      <w:sz w:val="26"/>
      <w:szCs w:val="2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75BC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75BC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D75BC6"/>
    <w:rPr>
      <w:vertAlign w:val="superscript"/>
    </w:rPr>
  </w:style>
  <w:style w:type="character" w:customStyle="1" w:styleId="Ttulo1Car">
    <w:name w:val="Título 1 Car"/>
    <w:basedOn w:val="Fuentedeprrafopredeter"/>
    <w:link w:val="Ttulo1"/>
    <w:uiPriority w:val="9"/>
    <w:rsid w:val="00B67CD5"/>
    <w:rPr>
      <w:rFonts w:asciiTheme="majorHAnsi" w:eastAsiaTheme="majorEastAsia" w:hAnsiTheme="majorHAnsi" w:cstheme="majorBidi"/>
      <w:color w:val="2E74B5" w:themeColor="accent1" w:themeShade="BF"/>
      <w:sz w:val="32"/>
      <w:szCs w:val="32"/>
    </w:rPr>
  </w:style>
  <w:style w:type="paragraph" w:customStyle="1" w:styleId="francesa">
    <w:name w:val="francesa"/>
    <w:basedOn w:val="Normal"/>
    <w:rsid w:val="00F76F1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bl-encabezado-negro">
    <w:name w:val="lbl-encabezado-negro"/>
    <w:basedOn w:val="Fuentedeprrafopredeter"/>
    <w:rsid w:val="00C6233B"/>
  </w:style>
  <w:style w:type="character" w:customStyle="1" w:styleId="red">
    <w:name w:val="red"/>
    <w:basedOn w:val="Fuentedeprrafopredeter"/>
    <w:rsid w:val="00C363D0"/>
  </w:style>
  <w:style w:type="character" w:styleId="Refdecomentario">
    <w:name w:val="annotation reference"/>
    <w:basedOn w:val="Fuentedeprrafopredeter"/>
    <w:uiPriority w:val="99"/>
    <w:semiHidden/>
    <w:unhideWhenUsed/>
    <w:rsid w:val="0061593D"/>
    <w:rPr>
      <w:sz w:val="16"/>
      <w:szCs w:val="16"/>
    </w:rPr>
  </w:style>
  <w:style w:type="paragraph" w:styleId="Textocomentario">
    <w:name w:val="annotation text"/>
    <w:basedOn w:val="Normal"/>
    <w:link w:val="TextocomentarioCar"/>
    <w:uiPriority w:val="99"/>
    <w:semiHidden/>
    <w:unhideWhenUsed/>
    <w:rsid w:val="0061593D"/>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61593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1593D"/>
    <w:pPr>
      <w:spacing w:after="16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61593D"/>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8069">
      <w:bodyDiv w:val="1"/>
      <w:marLeft w:val="0"/>
      <w:marRight w:val="0"/>
      <w:marTop w:val="0"/>
      <w:marBottom w:val="0"/>
      <w:divBdr>
        <w:top w:val="none" w:sz="0" w:space="0" w:color="auto"/>
        <w:left w:val="none" w:sz="0" w:space="0" w:color="auto"/>
        <w:bottom w:val="none" w:sz="0" w:space="0" w:color="auto"/>
        <w:right w:val="none" w:sz="0" w:space="0" w:color="auto"/>
      </w:divBdr>
    </w:div>
    <w:div w:id="150757258">
      <w:bodyDiv w:val="1"/>
      <w:marLeft w:val="0"/>
      <w:marRight w:val="0"/>
      <w:marTop w:val="0"/>
      <w:marBottom w:val="0"/>
      <w:divBdr>
        <w:top w:val="none" w:sz="0" w:space="0" w:color="auto"/>
        <w:left w:val="none" w:sz="0" w:space="0" w:color="auto"/>
        <w:bottom w:val="none" w:sz="0" w:space="0" w:color="auto"/>
        <w:right w:val="none" w:sz="0" w:space="0" w:color="auto"/>
      </w:divBdr>
    </w:div>
    <w:div w:id="195042055">
      <w:bodyDiv w:val="1"/>
      <w:marLeft w:val="0"/>
      <w:marRight w:val="0"/>
      <w:marTop w:val="0"/>
      <w:marBottom w:val="0"/>
      <w:divBdr>
        <w:top w:val="none" w:sz="0" w:space="0" w:color="auto"/>
        <w:left w:val="none" w:sz="0" w:space="0" w:color="auto"/>
        <w:bottom w:val="none" w:sz="0" w:space="0" w:color="auto"/>
        <w:right w:val="none" w:sz="0" w:space="0" w:color="auto"/>
      </w:divBdr>
      <w:divsChild>
        <w:div w:id="1972830790">
          <w:marLeft w:val="0"/>
          <w:marRight w:val="0"/>
          <w:marTop w:val="0"/>
          <w:marBottom w:val="0"/>
          <w:divBdr>
            <w:top w:val="none" w:sz="0" w:space="0" w:color="auto"/>
            <w:left w:val="none" w:sz="0" w:space="0" w:color="auto"/>
            <w:bottom w:val="none" w:sz="0" w:space="0" w:color="auto"/>
            <w:right w:val="none" w:sz="0" w:space="0" w:color="auto"/>
          </w:divBdr>
        </w:div>
        <w:div w:id="1119445736">
          <w:marLeft w:val="0"/>
          <w:marRight w:val="0"/>
          <w:marTop w:val="0"/>
          <w:marBottom w:val="0"/>
          <w:divBdr>
            <w:top w:val="none" w:sz="0" w:space="0" w:color="auto"/>
            <w:left w:val="none" w:sz="0" w:space="0" w:color="auto"/>
            <w:bottom w:val="none" w:sz="0" w:space="0" w:color="auto"/>
            <w:right w:val="none" w:sz="0" w:space="0" w:color="auto"/>
          </w:divBdr>
          <w:divsChild>
            <w:div w:id="12395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208">
      <w:bodyDiv w:val="1"/>
      <w:marLeft w:val="0"/>
      <w:marRight w:val="0"/>
      <w:marTop w:val="0"/>
      <w:marBottom w:val="0"/>
      <w:divBdr>
        <w:top w:val="none" w:sz="0" w:space="0" w:color="auto"/>
        <w:left w:val="none" w:sz="0" w:space="0" w:color="auto"/>
        <w:bottom w:val="none" w:sz="0" w:space="0" w:color="auto"/>
        <w:right w:val="none" w:sz="0" w:space="0" w:color="auto"/>
      </w:divBdr>
      <w:divsChild>
        <w:div w:id="450591766">
          <w:marLeft w:val="0"/>
          <w:marRight w:val="0"/>
          <w:marTop w:val="0"/>
          <w:marBottom w:val="0"/>
          <w:divBdr>
            <w:top w:val="none" w:sz="0" w:space="0" w:color="auto"/>
            <w:left w:val="none" w:sz="0" w:space="0" w:color="auto"/>
            <w:bottom w:val="none" w:sz="0" w:space="0" w:color="auto"/>
            <w:right w:val="none" w:sz="0" w:space="0" w:color="auto"/>
          </w:divBdr>
        </w:div>
      </w:divsChild>
    </w:div>
    <w:div w:id="349189808">
      <w:bodyDiv w:val="1"/>
      <w:marLeft w:val="0"/>
      <w:marRight w:val="0"/>
      <w:marTop w:val="0"/>
      <w:marBottom w:val="0"/>
      <w:divBdr>
        <w:top w:val="none" w:sz="0" w:space="0" w:color="auto"/>
        <w:left w:val="none" w:sz="0" w:space="0" w:color="auto"/>
        <w:bottom w:val="none" w:sz="0" w:space="0" w:color="auto"/>
        <w:right w:val="none" w:sz="0" w:space="0" w:color="auto"/>
      </w:divBdr>
    </w:div>
    <w:div w:id="490487605">
      <w:bodyDiv w:val="1"/>
      <w:marLeft w:val="0"/>
      <w:marRight w:val="0"/>
      <w:marTop w:val="0"/>
      <w:marBottom w:val="0"/>
      <w:divBdr>
        <w:top w:val="none" w:sz="0" w:space="0" w:color="auto"/>
        <w:left w:val="none" w:sz="0" w:space="0" w:color="auto"/>
        <w:bottom w:val="none" w:sz="0" w:space="0" w:color="auto"/>
        <w:right w:val="none" w:sz="0" w:space="0" w:color="auto"/>
      </w:divBdr>
    </w:div>
    <w:div w:id="495845635">
      <w:bodyDiv w:val="1"/>
      <w:marLeft w:val="0"/>
      <w:marRight w:val="0"/>
      <w:marTop w:val="0"/>
      <w:marBottom w:val="0"/>
      <w:divBdr>
        <w:top w:val="none" w:sz="0" w:space="0" w:color="auto"/>
        <w:left w:val="none" w:sz="0" w:space="0" w:color="auto"/>
        <w:bottom w:val="none" w:sz="0" w:space="0" w:color="auto"/>
        <w:right w:val="none" w:sz="0" w:space="0" w:color="auto"/>
      </w:divBdr>
    </w:div>
    <w:div w:id="768045618">
      <w:bodyDiv w:val="1"/>
      <w:marLeft w:val="0"/>
      <w:marRight w:val="0"/>
      <w:marTop w:val="0"/>
      <w:marBottom w:val="0"/>
      <w:divBdr>
        <w:top w:val="none" w:sz="0" w:space="0" w:color="auto"/>
        <w:left w:val="none" w:sz="0" w:space="0" w:color="auto"/>
        <w:bottom w:val="none" w:sz="0" w:space="0" w:color="auto"/>
        <w:right w:val="none" w:sz="0" w:space="0" w:color="auto"/>
      </w:divBdr>
    </w:div>
    <w:div w:id="1096825787">
      <w:bodyDiv w:val="1"/>
      <w:marLeft w:val="0"/>
      <w:marRight w:val="0"/>
      <w:marTop w:val="0"/>
      <w:marBottom w:val="0"/>
      <w:divBdr>
        <w:top w:val="none" w:sz="0" w:space="0" w:color="auto"/>
        <w:left w:val="none" w:sz="0" w:space="0" w:color="auto"/>
        <w:bottom w:val="none" w:sz="0" w:space="0" w:color="auto"/>
        <w:right w:val="none" w:sz="0" w:space="0" w:color="auto"/>
      </w:divBdr>
    </w:div>
    <w:div w:id="1328753611">
      <w:bodyDiv w:val="1"/>
      <w:marLeft w:val="0"/>
      <w:marRight w:val="0"/>
      <w:marTop w:val="0"/>
      <w:marBottom w:val="0"/>
      <w:divBdr>
        <w:top w:val="none" w:sz="0" w:space="0" w:color="auto"/>
        <w:left w:val="none" w:sz="0" w:space="0" w:color="auto"/>
        <w:bottom w:val="none" w:sz="0" w:space="0" w:color="auto"/>
        <w:right w:val="none" w:sz="0" w:space="0" w:color="auto"/>
      </w:divBdr>
    </w:div>
    <w:div w:id="1603225357">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2071034672">
      <w:bodyDiv w:val="1"/>
      <w:marLeft w:val="0"/>
      <w:marRight w:val="0"/>
      <w:marTop w:val="0"/>
      <w:marBottom w:val="0"/>
      <w:divBdr>
        <w:top w:val="none" w:sz="0" w:space="0" w:color="auto"/>
        <w:left w:val="none" w:sz="0" w:space="0" w:color="auto"/>
        <w:bottom w:val="none" w:sz="0" w:space="0" w:color="auto"/>
        <w:right w:val="none" w:sz="0" w:space="0" w:color="auto"/>
      </w:divBdr>
    </w:div>
    <w:div w:id="2112317286">
      <w:bodyDiv w:val="1"/>
      <w:marLeft w:val="0"/>
      <w:marRight w:val="0"/>
      <w:marTop w:val="0"/>
      <w:marBottom w:val="0"/>
      <w:divBdr>
        <w:top w:val="none" w:sz="0" w:space="0" w:color="auto"/>
        <w:left w:val="none" w:sz="0" w:space="0" w:color="auto"/>
        <w:bottom w:val="none" w:sz="0" w:space="0" w:color="auto"/>
        <w:right w:val="none" w:sz="0" w:space="0" w:color="auto"/>
      </w:divBdr>
    </w:div>
    <w:div w:id="2115589033">
      <w:bodyDiv w:val="1"/>
      <w:marLeft w:val="0"/>
      <w:marRight w:val="0"/>
      <w:marTop w:val="0"/>
      <w:marBottom w:val="0"/>
      <w:divBdr>
        <w:top w:val="none" w:sz="0" w:space="0" w:color="auto"/>
        <w:left w:val="none" w:sz="0" w:space="0" w:color="auto"/>
        <w:bottom w:val="none" w:sz="0" w:space="0" w:color="auto"/>
        <w:right w:val="none" w:sz="0" w:space="0" w:color="auto"/>
      </w:divBdr>
      <w:divsChild>
        <w:div w:id="1009483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rcoem.org.mx/sarcoem/solicitud/descarga/504172/000762018014145507001/204597.page" TargetMode="External"/><Relationship Id="rId13" Type="http://schemas.openxmlformats.org/officeDocument/2006/relationships/hyperlink" Target="https://sjf.scjn.gob.mx/SJFSist/paginas/DetalleGeneralV2.aspx?id=2011430&amp;Clase=DetalleTesisBL" TargetMode="External"/><Relationship Id="rId18" Type="http://schemas.openxmlformats.org/officeDocument/2006/relationships/hyperlink" Target="javascript:AbrirModal(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javascript:AbrirModal(2)" TargetMode="External"/><Relationship Id="rId2" Type="http://schemas.openxmlformats.org/officeDocument/2006/relationships/numbering" Target="numbering.xml"/><Relationship Id="rId16" Type="http://schemas.openxmlformats.org/officeDocument/2006/relationships/hyperlink" Target="javascript:AbrirModal(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AbrirModal(3)"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rcoem.org.mx/sarcoem/solicitud/descarga/504173/000762018014145507001/204597.page" TargetMode="External"/><Relationship Id="rId14" Type="http://schemas.openxmlformats.org/officeDocument/2006/relationships/hyperlink" Target="javascript:AbrirModal(1)"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DE4EF-F8F4-4E81-9EC1-9771EB47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42</Pages>
  <Words>9976</Words>
  <Characters>54869</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2018-07-09T22:50:00Z</cp:lastPrinted>
  <dcterms:created xsi:type="dcterms:W3CDTF">2018-06-28T20:27:00Z</dcterms:created>
  <dcterms:modified xsi:type="dcterms:W3CDTF">2018-08-06T17:41:00Z</dcterms:modified>
</cp:coreProperties>
</file>