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EC765F" w:rsidRDefault="006168E4" w:rsidP="00844569">
      <w:pPr>
        <w:shd w:val="clear" w:color="auto" w:fill="FFFFFF"/>
        <w:spacing w:before="240" w:line="360" w:lineRule="auto"/>
        <w:jc w:val="both"/>
        <w:rPr>
          <w:rFonts w:ascii="Palatino Linotype" w:eastAsia="Times New Roman" w:hAnsi="Palatino Linotype" w:cs="Arial"/>
          <w:sz w:val="24"/>
          <w:szCs w:val="24"/>
          <w:lang w:eastAsia="es-MX"/>
        </w:rPr>
      </w:pPr>
      <w:r w:rsidRPr="00897D3F">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E6437" w:rsidRPr="00897D3F">
        <w:rPr>
          <w:rFonts w:ascii="Palatino Linotype" w:eastAsia="Times New Roman" w:hAnsi="Palatino Linotype" w:cs="Arial"/>
          <w:sz w:val="24"/>
          <w:szCs w:val="24"/>
          <w:lang w:eastAsia="es-MX"/>
        </w:rPr>
        <w:t>veinticuatro</w:t>
      </w:r>
      <w:r w:rsidR="00C23A93" w:rsidRPr="00897D3F">
        <w:rPr>
          <w:rFonts w:ascii="Palatino Linotype" w:eastAsia="Times New Roman" w:hAnsi="Palatino Linotype" w:cs="Arial"/>
          <w:sz w:val="24"/>
          <w:szCs w:val="24"/>
          <w:lang w:eastAsia="es-MX"/>
        </w:rPr>
        <w:t xml:space="preserve"> de abril de dos mil diecinueve.</w:t>
      </w:r>
      <w:r w:rsidR="00C23A93">
        <w:rPr>
          <w:rFonts w:ascii="Palatino Linotype" w:eastAsia="Times New Roman" w:hAnsi="Palatino Linotype" w:cs="Arial"/>
          <w:sz w:val="24"/>
          <w:szCs w:val="24"/>
          <w:lang w:eastAsia="es-MX"/>
        </w:rPr>
        <w:t xml:space="preserve"> </w:t>
      </w:r>
    </w:p>
    <w:p w:rsidR="000F21D2" w:rsidRPr="000F21D2" w:rsidRDefault="000F21D2" w:rsidP="000F21D2">
      <w:pPr>
        <w:spacing w:before="240" w:after="240" w:line="360" w:lineRule="auto"/>
        <w:jc w:val="both"/>
        <w:rPr>
          <w:rFonts w:ascii="Palatino Linotype" w:hAnsi="Palatino Linotype" w:cs="Arial"/>
        </w:rPr>
      </w:pPr>
      <w:r w:rsidRPr="000E0F96">
        <w:rPr>
          <w:rFonts w:ascii="Palatino Linotype" w:hAnsi="Palatino Linotype" w:cs="Arial"/>
          <w:b/>
        </w:rPr>
        <w:t>VISTO</w:t>
      </w:r>
      <w:r w:rsidRPr="000E0F96">
        <w:rPr>
          <w:rFonts w:ascii="Palatino Linotype" w:hAnsi="Palatino Linotype" w:cs="Arial"/>
        </w:rPr>
        <w:t xml:space="preserve"> el expediente formado con motivo del recurso de revisión </w:t>
      </w:r>
      <w:r w:rsidRPr="000E0F96">
        <w:rPr>
          <w:rFonts w:ascii="Palatino Linotype" w:hAnsi="Palatino Linotype" w:cs="Arial"/>
          <w:b/>
        </w:rPr>
        <w:t>0</w:t>
      </w:r>
      <w:r>
        <w:rPr>
          <w:rFonts w:ascii="Palatino Linotype" w:hAnsi="Palatino Linotype" w:cs="Arial"/>
          <w:b/>
        </w:rPr>
        <w:t>0005</w:t>
      </w:r>
      <w:r w:rsidRPr="000E0F96">
        <w:rPr>
          <w:rFonts w:ascii="Palatino Linotype" w:hAnsi="Palatino Linotype" w:cs="Arial"/>
          <w:b/>
        </w:rPr>
        <w:t>/INFOEM/IP/RR</w:t>
      </w:r>
      <w:r>
        <w:rPr>
          <w:rFonts w:ascii="Palatino Linotype" w:hAnsi="Palatino Linotype" w:cs="Arial"/>
          <w:b/>
        </w:rPr>
        <w:t>-E</w:t>
      </w:r>
      <w:r w:rsidRPr="000E0F96">
        <w:rPr>
          <w:rFonts w:ascii="Palatino Linotype" w:hAnsi="Palatino Linotype" w:cs="Arial"/>
          <w:b/>
        </w:rPr>
        <w:t>/201</w:t>
      </w:r>
      <w:r>
        <w:rPr>
          <w:rFonts w:ascii="Palatino Linotype" w:hAnsi="Palatino Linotype" w:cs="Arial"/>
          <w:b/>
        </w:rPr>
        <w:t>9</w:t>
      </w:r>
      <w:r w:rsidRPr="000E0F96">
        <w:rPr>
          <w:rFonts w:ascii="Palatino Linotype" w:hAnsi="Palatino Linotype" w:cs="Arial"/>
        </w:rPr>
        <w:t xml:space="preserve">, interpuesto por </w:t>
      </w:r>
      <w:r w:rsidR="00450C48">
        <w:rPr>
          <w:rFonts w:ascii="Palatino Linotype" w:hAnsi="Palatino Linotype" w:cs="Arial"/>
        </w:rPr>
        <w:t xml:space="preserve">el </w:t>
      </w:r>
      <w:r w:rsidR="00450C48">
        <w:rPr>
          <w:rFonts w:ascii="Palatino Linotype" w:hAnsi="Palatino Linotype" w:cs="Arial"/>
          <w:b/>
        </w:rPr>
        <w:t xml:space="preserve">C. </w:t>
      </w:r>
      <w:r w:rsidR="00545B6E">
        <w:rPr>
          <w:rFonts w:ascii="Palatino Linotype" w:hAnsi="Palatino Linotype" w:cs="Arial"/>
          <w:b/>
        </w:rPr>
        <w:t>XXXXXXXXXXXXXXXXXXXXXXXXX</w:t>
      </w:r>
      <w:r>
        <w:rPr>
          <w:rFonts w:ascii="Palatino Linotype" w:hAnsi="Palatino Linotype" w:cs="Arial"/>
          <w:b/>
        </w:rPr>
        <w:t xml:space="preserve">, </w:t>
      </w:r>
      <w:r>
        <w:rPr>
          <w:rFonts w:ascii="Palatino Linotype" w:hAnsi="Palatino Linotype" w:cs="Arial"/>
        </w:rPr>
        <w:t xml:space="preserve">en lo sucesivo </w:t>
      </w:r>
      <w:r>
        <w:rPr>
          <w:rFonts w:ascii="Palatino Linotype" w:hAnsi="Palatino Linotype" w:cs="Arial"/>
          <w:b/>
        </w:rPr>
        <w:t xml:space="preserve">El Recurrente, </w:t>
      </w:r>
      <w:r>
        <w:rPr>
          <w:rFonts w:ascii="Palatino Linotype" w:hAnsi="Palatino Linotype" w:cs="Arial"/>
        </w:rPr>
        <w:t xml:space="preserve">en contra de la respuesta del </w:t>
      </w:r>
      <w:r>
        <w:rPr>
          <w:rFonts w:ascii="Palatino Linotype" w:hAnsi="Palatino Linotype" w:cs="Arial"/>
          <w:b/>
        </w:rPr>
        <w:t xml:space="preserve">Ayuntamiento de Toluca, </w:t>
      </w:r>
      <w:r>
        <w:rPr>
          <w:rFonts w:ascii="Palatino Linotype" w:hAnsi="Palatino Linotype" w:cs="Arial"/>
        </w:rPr>
        <w:t xml:space="preserve">en lo sucesivo </w:t>
      </w:r>
      <w:r>
        <w:rPr>
          <w:rFonts w:ascii="Palatino Linotype" w:hAnsi="Palatino Linotype" w:cs="Arial"/>
          <w:b/>
        </w:rPr>
        <w:t xml:space="preserve">El Sujeto Obligado, </w:t>
      </w:r>
      <w:r>
        <w:rPr>
          <w:rFonts w:ascii="Palatino Linotype" w:hAnsi="Palatino Linotype" w:cs="Arial"/>
        </w:rPr>
        <w:t>se procede a dictar la presente resoluci</w:t>
      </w:r>
      <w:r w:rsidR="00450C48">
        <w:rPr>
          <w:rFonts w:ascii="Palatino Linotype" w:hAnsi="Palatino Linotype" w:cs="Arial"/>
        </w:rPr>
        <w:t xml:space="preserve">ón. </w:t>
      </w:r>
    </w:p>
    <w:p w:rsidR="006168E4" w:rsidRPr="00EC765F" w:rsidRDefault="006168E4" w:rsidP="00844569">
      <w:pPr>
        <w:tabs>
          <w:tab w:val="left" w:pos="1701"/>
        </w:tabs>
        <w:spacing w:before="240" w:line="360" w:lineRule="auto"/>
        <w:jc w:val="both"/>
        <w:rPr>
          <w:rFonts w:ascii="Palatino Linotype" w:hAnsi="Palatino Linotype" w:cs="Arial"/>
          <w:sz w:val="24"/>
        </w:rPr>
      </w:pPr>
    </w:p>
    <w:p w:rsidR="006168E4" w:rsidRPr="00EC765F" w:rsidRDefault="006168E4" w:rsidP="00844569">
      <w:pPr>
        <w:spacing w:before="240" w:after="240" w:line="360" w:lineRule="auto"/>
        <w:jc w:val="center"/>
        <w:rPr>
          <w:rFonts w:ascii="Palatino Linotype" w:hAnsi="Palatino Linotype"/>
          <w:b/>
          <w:sz w:val="28"/>
        </w:rPr>
      </w:pPr>
      <w:r w:rsidRPr="00EC765F">
        <w:rPr>
          <w:rFonts w:ascii="Palatino Linotype" w:hAnsi="Palatino Linotype"/>
          <w:b/>
          <w:sz w:val="28"/>
        </w:rPr>
        <w:t>A N T E C E D E N T E S   D E L   A S U N T O</w:t>
      </w:r>
    </w:p>
    <w:p w:rsidR="006168E4" w:rsidRDefault="006168E4" w:rsidP="00844569">
      <w:pPr>
        <w:spacing w:before="240" w:after="240" w:line="360" w:lineRule="auto"/>
        <w:jc w:val="both"/>
        <w:rPr>
          <w:rFonts w:ascii="Palatino Linotype" w:hAnsi="Palatino Linotype"/>
          <w:b/>
          <w:sz w:val="28"/>
          <w:szCs w:val="28"/>
        </w:rPr>
      </w:pPr>
      <w:r w:rsidRPr="00EC765F">
        <w:rPr>
          <w:rFonts w:ascii="Palatino Linotype" w:hAnsi="Palatino Linotype" w:cs="Arial"/>
          <w:b/>
          <w:sz w:val="28"/>
        </w:rPr>
        <w:t>PRIMERO.</w:t>
      </w:r>
      <w:r w:rsidRPr="00EC765F">
        <w:rPr>
          <w:rFonts w:ascii="Palatino Linotype" w:hAnsi="Palatino Linotype" w:cs="Arial"/>
        </w:rPr>
        <w:t xml:space="preserve"> </w:t>
      </w:r>
      <w:r w:rsidR="00450C48" w:rsidRPr="00523CF0">
        <w:rPr>
          <w:rFonts w:ascii="Palatino Linotype" w:hAnsi="Palatino Linotype"/>
          <w:b/>
          <w:sz w:val="28"/>
          <w:szCs w:val="28"/>
        </w:rPr>
        <w:t>De la Solicitud de Información.</w:t>
      </w:r>
    </w:p>
    <w:p w:rsidR="00450C48" w:rsidRPr="00450C48" w:rsidRDefault="00450C48" w:rsidP="00844569">
      <w:pPr>
        <w:spacing w:before="240" w:after="240" w:line="360" w:lineRule="auto"/>
        <w:jc w:val="both"/>
        <w:rPr>
          <w:rFonts w:ascii="Palatino Linotype" w:hAnsi="Palatino Linotype"/>
          <w:sz w:val="24"/>
          <w:szCs w:val="24"/>
        </w:rPr>
      </w:pPr>
      <w:r w:rsidRPr="00450C48">
        <w:rPr>
          <w:rFonts w:ascii="Palatino Linotype" w:hAnsi="Palatino Linotype"/>
          <w:sz w:val="24"/>
          <w:szCs w:val="24"/>
        </w:rPr>
        <w:t xml:space="preserve">Con fecha catorce de diciembre de dos mil dieciocho, </w:t>
      </w:r>
      <w:r w:rsidRPr="00450C48">
        <w:rPr>
          <w:rFonts w:ascii="Palatino Linotype" w:hAnsi="Palatino Linotype"/>
          <w:b/>
          <w:sz w:val="24"/>
          <w:szCs w:val="24"/>
        </w:rPr>
        <w:t xml:space="preserve">El Recurrente </w:t>
      </w:r>
      <w:r w:rsidRPr="00450C48">
        <w:rPr>
          <w:rFonts w:ascii="Palatino Linotype" w:hAnsi="Palatino Linotype"/>
          <w:sz w:val="24"/>
          <w:szCs w:val="24"/>
        </w:rPr>
        <w:t xml:space="preserve">presentó de manera escrita en formato libre ante </w:t>
      </w:r>
      <w:r w:rsidRPr="00450C48">
        <w:rPr>
          <w:rFonts w:ascii="Palatino Linotype" w:hAnsi="Palatino Linotype"/>
          <w:b/>
          <w:sz w:val="24"/>
          <w:szCs w:val="24"/>
        </w:rPr>
        <w:t xml:space="preserve">El Sujeto Obligado, </w:t>
      </w:r>
      <w:r w:rsidRPr="00450C48">
        <w:rPr>
          <w:rFonts w:ascii="Palatino Linotype" w:hAnsi="Palatino Linotype"/>
          <w:sz w:val="24"/>
          <w:szCs w:val="24"/>
        </w:rPr>
        <w:t xml:space="preserve">la solicitud de acceso a la información pública, registrada bajo el número de expediente </w:t>
      </w:r>
      <w:r>
        <w:rPr>
          <w:rFonts w:ascii="Palatino Linotype" w:hAnsi="Palatino Linotype"/>
          <w:b/>
          <w:sz w:val="24"/>
          <w:szCs w:val="24"/>
        </w:rPr>
        <w:t>00596/TOLUCA/IP/2018</w:t>
      </w:r>
      <w:r w:rsidRPr="00450C48">
        <w:rPr>
          <w:rFonts w:ascii="Palatino Linotype" w:hAnsi="Palatino Linotype"/>
          <w:sz w:val="24"/>
          <w:szCs w:val="24"/>
        </w:rPr>
        <w:t xml:space="preserve">, mediante la cual solicitó información en el tenor siguiente: </w:t>
      </w:r>
    </w:p>
    <w:p w:rsidR="00EF31DF" w:rsidRDefault="00450C48" w:rsidP="00450C48">
      <w:pPr>
        <w:spacing w:before="240" w:line="360" w:lineRule="auto"/>
        <w:ind w:left="851" w:right="851"/>
        <w:jc w:val="both"/>
        <w:rPr>
          <w:rFonts w:ascii="Palatino Linotype" w:hAnsi="Palatino Linotype" w:cs="Arial"/>
          <w:i/>
        </w:rPr>
      </w:pPr>
      <w:r>
        <w:rPr>
          <w:rFonts w:ascii="Palatino Linotype" w:hAnsi="Palatino Linotype" w:cs="Arial"/>
          <w:i/>
          <w:sz w:val="24"/>
        </w:rPr>
        <w:t>“</w:t>
      </w:r>
      <w:r w:rsidR="00545B6E">
        <w:rPr>
          <w:rFonts w:ascii="Palatino Linotype" w:hAnsi="Palatino Linotype" w:cs="Arial"/>
          <w:i/>
        </w:rPr>
        <w:t>XXXXXXXXXXXXXXXXXXXXXXXX</w:t>
      </w:r>
      <w:r w:rsidR="00EF31DF">
        <w:rPr>
          <w:rFonts w:ascii="Palatino Linotype" w:hAnsi="Palatino Linotype" w:cs="Arial"/>
          <w:i/>
        </w:rPr>
        <w:t xml:space="preserve">, señalando como domicilio para recibir todo tipo de notificaciones el ubicado en </w:t>
      </w:r>
      <w:r w:rsidR="00545B6E">
        <w:rPr>
          <w:rFonts w:ascii="Palatino Linotype" w:hAnsi="Palatino Linotype" w:cs="Arial"/>
          <w:i/>
        </w:rPr>
        <w:t>XXXXXXXXXXXXXXXXXXXXXXXXXXXXX</w:t>
      </w:r>
      <w:bookmarkStart w:id="0" w:name="_GoBack"/>
      <w:bookmarkEnd w:id="0"/>
      <w:r w:rsidR="00EF31DF">
        <w:rPr>
          <w:rFonts w:ascii="Palatino Linotype" w:hAnsi="Palatino Linotype" w:cs="Arial"/>
          <w:i/>
        </w:rPr>
        <w:t xml:space="preserve"> y con fundamento en los artículos 4, 7, 11, 15, 16, 17, 18, 19, 20, 23 fracción IV, 24 fracción XI, 49 fracción XII, 50, 51, 53 fracciones II, V, VI, 92 fracción XXXII, 150, 151, 152, 155, 160, 162, 163, 173 y demás relativos de la Ley de Transparencia y Acceso a la Información </w:t>
      </w:r>
      <w:r w:rsidR="00EF31DF">
        <w:rPr>
          <w:rFonts w:ascii="Palatino Linotype" w:hAnsi="Palatino Linotype" w:cs="Arial"/>
          <w:i/>
        </w:rPr>
        <w:lastRenderedPageBreak/>
        <w:t>Pública del Estado de México y Municipios acudo ante usted para exponer lo siguiente:</w:t>
      </w:r>
    </w:p>
    <w:p w:rsidR="00EF31DF" w:rsidRDefault="00EF31DF" w:rsidP="00450C48">
      <w:pPr>
        <w:spacing w:before="240" w:line="360" w:lineRule="auto"/>
        <w:ind w:left="851" w:right="851"/>
        <w:jc w:val="both"/>
        <w:rPr>
          <w:rFonts w:ascii="Palatino Linotype" w:hAnsi="Palatino Linotype" w:cs="Arial"/>
          <w:i/>
          <w:sz w:val="24"/>
        </w:rPr>
      </w:pPr>
      <w:r>
        <w:rPr>
          <w:rFonts w:ascii="Palatino Linotype" w:hAnsi="Palatino Linotype" w:cs="Arial"/>
          <w:i/>
          <w:sz w:val="24"/>
        </w:rPr>
        <w:t>En virtud de lo establ</w:t>
      </w:r>
      <w:r w:rsidR="00BF7C52">
        <w:rPr>
          <w:rFonts w:ascii="Palatino Linotype" w:hAnsi="Palatino Linotype" w:cs="Arial"/>
          <w:i/>
          <w:sz w:val="24"/>
        </w:rPr>
        <w:t xml:space="preserve">ecido en los artículos 18.29 y 18.30 del Código Administrativo del Estado de México en relación con el artículo 65 fracción XXIX del Bando Municipal de Toluca así como lo dispuesto por el artículo 3.15 fracción XVII </w:t>
      </w:r>
      <w:r w:rsidR="008C5C82">
        <w:rPr>
          <w:rFonts w:ascii="Palatino Linotype" w:hAnsi="Palatino Linotype" w:cs="Arial"/>
          <w:i/>
          <w:sz w:val="24"/>
        </w:rPr>
        <w:t xml:space="preserve"> </w:t>
      </w:r>
      <w:r w:rsidR="00316C4F">
        <w:rPr>
          <w:rFonts w:ascii="Palatino Linotype" w:hAnsi="Palatino Linotype" w:cs="Arial"/>
          <w:i/>
          <w:sz w:val="24"/>
        </w:rPr>
        <w:t>del Código Reglamentario del Municipio de Toluca solicito respetuosamente a usted, turne la presente solicitud al titular de la Dirección de Desarrollo Urbano y Movilidad al Ayuntamiento de Toluca para que a través de esta Unidad de Transparencia me sea proporcionada la información en su versión pública que a continuación me sirvo describir:</w:t>
      </w:r>
    </w:p>
    <w:p w:rsidR="00316C4F" w:rsidRDefault="00316C4F" w:rsidP="00316C4F">
      <w:pPr>
        <w:pStyle w:val="Prrafodelista"/>
        <w:numPr>
          <w:ilvl w:val="0"/>
          <w:numId w:val="26"/>
        </w:numPr>
        <w:spacing w:before="240" w:line="360" w:lineRule="auto"/>
        <w:ind w:right="851"/>
        <w:jc w:val="both"/>
        <w:rPr>
          <w:rFonts w:ascii="Palatino Linotype" w:hAnsi="Palatino Linotype" w:cs="Arial"/>
          <w:i/>
        </w:rPr>
      </w:pPr>
      <w:r>
        <w:rPr>
          <w:rFonts w:ascii="Palatino Linotype" w:hAnsi="Palatino Linotype" w:cs="Arial"/>
          <w:i/>
        </w:rPr>
        <w:t>Los permisos de obra subterránea para gasoductos en la infraestructura vial local otorgados por la Dirección de Desarrollo Urbano y Movilidad hasta el día trece de diciembre del dos mil dieciocho, acompañados de la siguiente documentación relativa:</w:t>
      </w:r>
    </w:p>
    <w:p w:rsidR="00316C4F" w:rsidRDefault="00316C4F" w:rsidP="00316C4F">
      <w:pPr>
        <w:pStyle w:val="Prrafodelista"/>
        <w:numPr>
          <w:ilvl w:val="0"/>
          <w:numId w:val="27"/>
        </w:numPr>
        <w:spacing w:before="240" w:line="360" w:lineRule="auto"/>
        <w:ind w:right="851"/>
        <w:jc w:val="both"/>
        <w:rPr>
          <w:rFonts w:ascii="Palatino Linotype" w:hAnsi="Palatino Linotype" w:cs="Arial"/>
          <w:i/>
        </w:rPr>
      </w:pPr>
      <w:r>
        <w:rPr>
          <w:rFonts w:ascii="Palatino Linotype" w:hAnsi="Palatino Linotype" w:cs="Arial"/>
          <w:i/>
        </w:rPr>
        <w:t>La solicitud de permiso de obra en la infraestructura vial local</w:t>
      </w:r>
    </w:p>
    <w:p w:rsidR="00316C4F" w:rsidRDefault="00316C4F" w:rsidP="00316C4F">
      <w:pPr>
        <w:pStyle w:val="Prrafodelista"/>
        <w:numPr>
          <w:ilvl w:val="0"/>
          <w:numId w:val="27"/>
        </w:numPr>
        <w:spacing w:before="240" w:line="360" w:lineRule="auto"/>
        <w:ind w:right="851"/>
        <w:jc w:val="both"/>
        <w:rPr>
          <w:rFonts w:ascii="Palatino Linotype" w:hAnsi="Palatino Linotype" w:cs="Arial"/>
          <w:i/>
        </w:rPr>
      </w:pPr>
      <w:r>
        <w:rPr>
          <w:rFonts w:ascii="Palatino Linotype" w:hAnsi="Palatino Linotype" w:cs="Arial"/>
          <w:i/>
        </w:rPr>
        <w:t>Documento que ampara el procedimiento constructivo</w:t>
      </w:r>
    </w:p>
    <w:p w:rsidR="00316C4F" w:rsidRDefault="00316C4F" w:rsidP="00316C4F">
      <w:pPr>
        <w:pStyle w:val="Prrafodelista"/>
        <w:numPr>
          <w:ilvl w:val="0"/>
          <w:numId w:val="27"/>
        </w:numPr>
        <w:spacing w:before="240" w:line="360" w:lineRule="auto"/>
        <w:ind w:right="851"/>
        <w:jc w:val="both"/>
        <w:rPr>
          <w:rFonts w:ascii="Palatino Linotype" w:hAnsi="Palatino Linotype" w:cs="Arial"/>
          <w:i/>
        </w:rPr>
      </w:pPr>
      <w:r>
        <w:rPr>
          <w:rFonts w:ascii="Palatino Linotype" w:hAnsi="Palatino Linotype" w:cs="Arial"/>
          <w:i/>
        </w:rPr>
        <w:t>El reporte fotográfico de la obra</w:t>
      </w:r>
    </w:p>
    <w:p w:rsidR="00316C4F" w:rsidRDefault="00316C4F" w:rsidP="00316C4F">
      <w:pPr>
        <w:pStyle w:val="Prrafodelista"/>
        <w:numPr>
          <w:ilvl w:val="0"/>
          <w:numId w:val="27"/>
        </w:numPr>
        <w:spacing w:before="240" w:line="360" w:lineRule="auto"/>
        <w:ind w:right="851"/>
        <w:jc w:val="both"/>
        <w:rPr>
          <w:rFonts w:ascii="Palatino Linotype" w:hAnsi="Palatino Linotype" w:cs="Arial"/>
          <w:i/>
        </w:rPr>
      </w:pPr>
      <w:r>
        <w:rPr>
          <w:rFonts w:ascii="Palatino Linotype" w:hAnsi="Palatino Linotype" w:cs="Arial"/>
          <w:i/>
        </w:rPr>
        <w:t>El proyecto ejecutivo de la obra permisionada aprobado por la instancia competente.</w:t>
      </w:r>
    </w:p>
    <w:p w:rsidR="00316C4F" w:rsidRDefault="00316C4F" w:rsidP="00316C4F">
      <w:pPr>
        <w:pStyle w:val="Prrafodelista"/>
        <w:numPr>
          <w:ilvl w:val="0"/>
          <w:numId w:val="27"/>
        </w:numPr>
        <w:spacing w:before="240" w:line="360" w:lineRule="auto"/>
        <w:ind w:right="851"/>
        <w:jc w:val="both"/>
        <w:rPr>
          <w:rFonts w:ascii="Palatino Linotype" w:hAnsi="Palatino Linotype" w:cs="Arial"/>
          <w:i/>
        </w:rPr>
      </w:pPr>
      <w:r>
        <w:rPr>
          <w:rFonts w:ascii="Palatino Linotype" w:hAnsi="Palatino Linotype" w:cs="Arial"/>
          <w:i/>
        </w:rPr>
        <w:t>Las autorizaciones federales, estatales o municipales que procedan.</w:t>
      </w:r>
    </w:p>
    <w:p w:rsidR="00316C4F" w:rsidRDefault="00316C4F" w:rsidP="00316C4F">
      <w:pPr>
        <w:pStyle w:val="Prrafodelista"/>
        <w:numPr>
          <w:ilvl w:val="0"/>
          <w:numId w:val="27"/>
        </w:numPr>
        <w:spacing w:before="240" w:line="360" w:lineRule="auto"/>
        <w:ind w:right="851"/>
        <w:jc w:val="both"/>
        <w:rPr>
          <w:rFonts w:ascii="Palatino Linotype" w:hAnsi="Palatino Linotype" w:cs="Arial"/>
          <w:i/>
        </w:rPr>
      </w:pPr>
      <w:r>
        <w:rPr>
          <w:rFonts w:ascii="Palatino Linotype" w:hAnsi="Palatino Linotype" w:cs="Arial"/>
          <w:i/>
        </w:rPr>
        <w:lastRenderedPageBreak/>
        <w:t>El aviso dado por el titular del permiso o el Director de la obra a la autoridad municipal de la terminación de la obra autorizada.</w:t>
      </w:r>
    </w:p>
    <w:p w:rsidR="00316C4F" w:rsidRDefault="00316C4F" w:rsidP="00316C4F">
      <w:pPr>
        <w:pStyle w:val="Prrafodelista"/>
        <w:numPr>
          <w:ilvl w:val="0"/>
          <w:numId w:val="27"/>
        </w:numPr>
        <w:spacing w:before="240" w:line="360" w:lineRule="auto"/>
        <w:ind w:right="851"/>
        <w:jc w:val="both"/>
        <w:rPr>
          <w:rFonts w:ascii="Palatino Linotype" w:hAnsi="Palatino Linotype" w:cs="Arial"/>
          <w:i/>
        </w:rPr>
      </w:pPr>
      <w:r>
        <w:rPr>
          <w:rFonts w:ascii="Palatino Linotype" w:hAnsi="Palatino Linotype" w:cs="Arial"/>
          <w:i/>
        </w:rPr>
        <w:t>La constancia de terminación de obra expedida por la autoridad municipal.</w:t>
      </w:r>
    </w:p>
    <w:p w:rsidR="00316C4F" w:rsidRDefault="00316C4F" w:rsidP="00316C4F">
      <w:pPr>
        <w:pStyle w:val="Prrafodelista"/>
        <w:numPr>
          <w:ilvl w:val="0"/>
          <w:numId w:val="27"/>
        </w:numPr>
        <w:spacing w:before="240" w:line="360" w:lineRule="auto"/>
        <w:ind w:right="851"/>
        <w:jc w:val="both"/>
        <w:rPr>
          <w:rFonts w:ascii="Palatino Linotype" w:hAnsi="Palatino Linotype" w:cs="Arial"/>
          <w:i/>
        </w:rPr>
      </w:pPr>
      <w:r>
        <w:rPr>
          <w:rFonts w:ascii="Palatino Linotype" w:hAnsi="Palatino Linotype" w:cs="Arial"/>
          <w:i/>
        </w:rPr>
        <w:t>En su caso, la constancia de suspensión voluntaria de la obra expedida por la autoridad municipal.</w:t>
      </w:r>
    </w:p>
    <w:p w:rsidR="00316C4F" w:rsidRDefault="00316C4F" w:rsidP="00316C4F">
      <w:pPr>
        <w:pStyle w:val="Prrafodelista"/>
        <w:numPr>
          <w:ilvl w:val="0"/>
          <w:numId w:val="27"/>
        </w:numPr>
        <w:spacing w:before="240" w:line="360" w:lineRule="auto"/>
        <w:ind w:right="851"/>
        <w:jc w:val="both"/>
        <w:rPr>
          <w:rFonts w:ascii="Palatino Linotype" w:hAnsi="Palatino Linotype" w:cs="Arial"/>
          <w:i/>
        </w:rPr>
      </w:pPr>
      <w:r>
        <w:rPr>
          <w:rFonts w:ascii="Palatino Linotype" w:hAnsi="Palatino Linotype" w:cs="Arial"/>
          <w:i/>
        </w:rPr>
        <w:t>Demás documentación relacionada.</w:t>
      </w:r>
    </w:p>
    <w:p w:rsidR="00316C4F" w:rsidRDefault="00316C4F" w:rsidP="00316C4F">
      <w:pPr>
        <w:pStyle w:val="Prrafodelista"/>
        <w:numPr>
          <w:ilvl w:val="0"/>
          <w:numId w:val="26"/>
        </w:numPr>
        <w:spacing w:before="240" w:line="360" w:lineRule="auto"/>
        <w:ind w:right="851"/>
        <w:jc w:val="both"/>
        <w:rPr>
          <w:rFonts w:ascii="Palatino Linotype" w:hAnsi="Palatino Linotype" w:cs="Arial"/>
          <w:i/>
        </w:rPr>
      </w:pPr>
      <w:r>
        <w:rPr>
          <w:rFonts w:ascii="Palatino Linotype" w:hAnsi="Palatino Linotype" w:cs="Arial"/>
          <w:i/>
        </w:rPr>
        <w:t>En el supuesto de que la información solicitada en el numeral 1 se actualice alguna de las causas de clasificación previstas en la Ley de Transparencia y Acceso a la Información Pública del Estado de México y Municipios; la resolución de clasificación emitida por el Comité de Transparencia.</w:t>
      </w:r>
    </w:p>
    <w:p w:rsidR="00316C4F" w:rsidRPr="00316C4F" w:rsidRDefault="00316C4F" w:rsidP="00316C4F">
      <w:pPr>
        <w:pStyle w:val="Prrafodelista"/>
        <w:spacing w:before="240" w:line="360" w:lineRule="auto"/>
        <w:ind w:left="1211" w:right="851"/>
        <w:jc w:val="both"/>
        <w:rPr>
          <w:rFonts w:ascii="Palatino Linotype" w:hAnsi="Palatino Linotype" w:cs="Arial"/>
          <w:b/>
          <w:i/>
        </w:rPr>
      </w:pPr>
      <w:r>
        <w:rPr>
          <w:rFonts w:ascii="Palatino Linotype" w:hAnsi="Palatino Linotype" w:cs="Arial"/>
          <w:i/>
        </w:rPr>
        <w:t>Lo anteriormente peticionado, en términos del artículo 164 de la normativa aplicable</w:t>
      </w:r>
      <w:r w:rsidRPr="002129D4">
        <w:rPr>
          <w:rFonts w:ascii="Palatino Linotype" w:hAnsi="Palatino Linotype" w:cs="Arial"/>
          <w:b/>
          <w:i/>
          <w:u w:val="single"/>
        </w:rPr>
        <w:t>, deberá serme entregado en copias simples en el domicilio plasmado en el proemio del presente escrito para tal efecto.”</w:t>
      </w:r>
      <w:r>
        <w:rPr>
          <w:rFonts w:ascii="Palatino Linotype" w:hAnsi="Palatino Linotype" w:cs="Arial"/>
          <w:i/>
        </w:rPr>
        <w:t xml:space="preserve"> </w:t>
      </w:r>
      <w:r>
        <w:rPr>
          <w:rFonts w:ascii="Palatino Linotype" w:hAnsi="Palatino Linotype" w:cs="Arial"/>
          <w:b/>
          <w:i/>
        </w:rPr>
        <w:t>[Sic]</w:t>
      </w:r>
    </w:p>
    <w:p w:rsidR="00316C4F" w:rsidRDefault="00316C4F" w:rsidP="00316C4F">
      <w:pPr>
        <w:spacing w:before="240" w:line="360" w:lineRule="auto"/>
        <w:ind w:right="851"/>
        <w:jc w:val="both"/>
        <w:rPr>
          <w:rFonts w:ascii="Palatino Linotype" w:hAnsi="Palatino Linotype" w:cs="Arial"/>
          <w:i/>
        </w:rPr>
      </w:pPr>
    </w:p>
    <w:p w:rsidR="006168E4" w:rsidRPr="00316C4F" w:rsidRDefault="00D03414" w:rsidP="00844569">
      <w:pPr>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hAnsi="Palatino Linotype" w:cs="Arial"/>
          <w:b/>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-337185</wp:posOffset>
                </wp:positionH>
                <wp:positionV relativeFrom="paragraph">
                  <wp:posOffset>412749</wp:posOffset>
                </wp:positionV>
                <wp:extent cx="6724650" cy="1095375"/>
                <wp:effectExtent l="0" t="0" r="19050" b="28575"/>
                <wp:wrapNone/>
                <wp:docPr id="11" name="Conector recto 11"/>
                <wp:cNvGraphicFramePr/>
                <a:graphic xmlns:a="http://schemas.openxmlformats.org/drawingml/2006/main">
                  <a:graphicData uri="http://schemas.microsoft.com/office/word/2010/wordprocessingShape">
                    <wps:wsp>
                      <wps:cNvCnPr/>
                      <wps:spPr>
                        <a:xfrm>
                          <a:off x="0" y="0"/>
                          <a:ext cx="6724650" cy="1095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336264A" id="Conector recto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55pt,32.5pt" to="502.9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1DugEAAMcDAAAOAAAAZHJzL2Uyb0RvYy54bWysU8uu0zAQ3SPxD5b3NEmhvRA1vYtewQZB&#10;xeMDfJ1xY8kvjU2T/j1jp81FgIRAbPyaOTNzzox395M17AwYtXcdb1Y1Z+Ck77U7dfzrl7cvXnMW&#10;k3C9MN5Bxy8Q+f3++bPdGFpY+8GbHpBREBfbMXR8SCm0VRXlAFbElQ/gyKg8WpHoiqeqRzFSdGuq&#10;dV1vq9FjH9BLiJFeH2Yj35f4SoFMH5WKkJjpONWWyoplfcxrtd+J9oQiDFpeyxD/UIUV2lHSJdSD&#10;SIJ9Q/1LKKsl+uhVWklvK6+UllA4EJum/onN50EEKFxInBgWmeL/Cys/nI/IdE+9azhzwlKPDtQp&#10;mTwyzBsjA6k0htiS88Ed8XqL4YiZ8qTQ5p3IsKkoe1mUhSkxSY/bu/Wr7YYaIMnW1G82L+82OWr1&#10;BA8Y0zvwluVDx412mbpoxfl9TLPrzYVwuZy5gHJKFwPZ2bhPoIgOpWwKugwSHAyys6AREFKCS4UQ&#10;pS7eGaa0MQuw/jPw6p+hUIbsb8ALomT2Li1gq53H32VP061kNfvfFJh5ZwkefX8prSnS0LQUca+T&#10;ncfxx3uBP/2//XcAAAD//wMAUEsDBBQABgAIAAAAIQARnF/n4wAAAAsBAAAPAAAAZHJzL2Rvd25y&#10;ZXYueG1sTI9RT8IwFIXfTfwPzTXxDVpGhjjXEUJiRBJDQBN8LOt1m663S1vY+PeWJ328uV/O+U6+&#10;GEzLzuh8Y0nCZCyAIZVWN1RJ+Hh/Hs2B+aBIq9YSSrigh0Vxe5OrTNuednjeh4rFEPKZklCH0GWc&#10;+7JGo/zYdkjx92WdUSGeruLaqT6Gm5YnQsy4UQ3Fhlp1uKqx/NmfjIQ3t16vlpvLN20/TX9INoft&#10;6/Ai5f3dsHwCFnAIfzBc9aM6FNHpaE+kPWsljNLpJKISZmncdAWESB+BHSUk04cUeJHz/xuKXwAA&#10;AP//AwBQSwECLQAUAAYACAAAACEAtoM4kv4AAADhAQAAEwAAAAAAAAAAAAAAAAAAAAAAW0NvbnRl&#10;bnRfVHlwZXNdLnhtbFBLAQItABQABgAIAAAAIQA4/SH/1gAAAJQBAAALAAAAAAAAAAAAAAAAAC8B&#10;AABfcmVscy8ucmVsc1BLAQItABQABgAIAAAAIQA3Hb1DugEAAMcDAAAOAAAAAAAAAAAAAAAAAC4C&#10;AABkcnMvZTJvRG9jLnhtbFBLAQItABQABgAIAAAAIQARnF/n4wAAAAsBAAAPAAAAAAAAAAAAAAAA&#10;ABQEAABkcnMvZG93bnJldi54bWxQSwUGAAAAAAQABADzAAAAJAUAAAAA&#10;" strokecolor="#5b9bd5 [3204]" strokeweight=".5pt">
                <v:stroke joinstyle="miter"/>
              </v:line>
            </w:pict>
          </mc:Fallback>
        </mc:AlternateContent>
      </w:r>
      <w:r w:rsidR="00316C4F" w:rsidRPr="002129D4">
        <w:rPr>
          <w:rFonts w:ascii="Palatino Linotype" w:hAnsi="Palatino Linotype" w:cs="Arial"/>
          <w:b/>
          <w:sz w:val="24"/>
          <w:szCs w:val="24"/>
        </w:rPr>
        <w:t>Modalidad de entrega:</w:t>
      </w:r>
      <w:r w:rsidR="00316C4F">
        <w:rPr>
          <w:rFonts w:ascii="Palatino Linotype" w:hAnsi="Palatino Linotype" w:cs="Arial"/>
          <w:sz w:val="24"/>
          <w:szCs w:val="24"/>
        </w:rPr>
        <w:t xml:space="preserve"> </w:t>
      </w:r>
      <w:r w:rsidR="002129D4">
        <w:rPr>
          <w:rFonts w:ascii="Palatino Linotype" w:hAnsi="Palatino Linotype" w:cs="Arial"/>
          <w:sz w:val="24"/>
          <w:szCs w:val="24"/>
        </w:rPr>
        <w:t>Notificación personal</w:t>
      </w:r>
    </w:p>
    <w:p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D03414" w:rsidRPr="00EC765F" w:rsidRDefault="00D03414"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EC765F" w:rsidRDefault="00CA5828" w:rsidP="00844569">
      <w:pPr>
        <w:spacing w:before="240" w:line="360" w:lineRule="auto"/>
        <w:jc w:val="both"/>
        <w:rPr>
          <w:rFonts w:ascii="Palatino Linotype" w:hAnsi="Palatino Linotype" w:cs="Arial"/>
          <w:b/>
          <w:sz w:val="28"/>
        </w:rPr>
      </w:pPr>
      <w:r w:rsidRPr="00EC765F">
        <w:rPr>
          <w:rFonts w:ascii="Palatino Linotype" w:hAnsi="Palatino Linotype" w:cs="Arial"/>
          <w:b/>
          <w:sz w:val="28"/>
        </w:rPr>
        <w:lastRenderedPageBreak/>
        <w:t>SEGUNDO</w:t>
      </w:r>
      <w:r w:rsidR="007A125E" w:rsidRPr="00EC765F">
        <w:rPr>
          <w:rFonts w:ascii="Palatino Linotype" w:hAnsi="Palatino Linotype" w:cs="Arial"/>
          <w:b/>
          <w:sz w:val="28"/>
        </w:rPr>
        <w:t xml:space="preserve">. </w:t>
      </w:r>
      <w:r w:rsidR="006168E4" w:rsidRPr="00EC765F">
        <w:rPr>
          <w:rFonts w:ascii="Palatino Linotype" w:hAnsi="Palatino Linotype" w:cs="Arial"/>
          <w:b/>
          <w:sz w:val="28"/>
          <w:szCs w:val="20"/>
        </w:rPr>
        <w:t>De la respuesta del Sujeto Obligado.</w:t>
      </w:r>
    </w:p>
    <w:p w:rsidR="002129D4" w:rsidRPr="00D9679E" w:rsidRDefault="002129D4" w:rsidP="00F06CBC">
      <w:pPr>
        <w:spacing w:before="240" w:after="240" w:line="360" w:lineRule="auto"/>
        <w:jc w:val="both"/>
        <w:rPr>
          <w:rFonts w:ascii="Palatino Linotype" w:hAnsi="Palatino Linotype" w:cs="Arial"/>
          <w:sz w:val="24"/>
        </w:rPr>
      </w:pPr>
      <w:r>
        <w:rPr>
          <w:rFonts w:ascii="Palatino Linotype" w:hAnsi="Palatino Linotype" w:cs="Arial"/>
          <w:sz w:val="24"/>
        </w:rPr>
        <w:t xml:space="preserve">Con fecha </w:t>
      </w:r>
      <w:r w:rsidR="002033B9">
        <w:rPr>
          <w:rFonts w:ascii="Palatino Linotype" w:hAnsi="Palatino Linotype" w:cs="Arial"/>
          <w:sz w:val="24"/>
        </w:rPr>
        <w:t>veintiocho</w:t>
      </w:r>
      <w:r w:rsidR="00D9679E">
        <w:rPr>
          <w:rFonts w:ascii="Palatino Linotype" w:hAnsi="Palatino Linotype" w:cs="Arial"/>
          <w:sz w:val="24"/>
        </w:rPr>
        <w:t xml:space="preserve"> de enero de dos mil </w:t>
      </w:r>
      <w:r w:rsidR="002033B9">
        <w:rPr>
          <w:rFonts w:ascii="Palatino Linotype" w:hAnsi="Palatino Linotype" w:cs="Arial"/>
          <w:sz w:val="24"/>
        </w:rPr>
        <w:t>diecinueve</w:t>
      </w:r>
      <w:r w:rsidR="00D9679E">
        <w:rPr>
          <w:rFonts w:ascii="Palatino Linotype" w:hAnsi="Palatino Linotype" w:cs="Arial"/>
          <w:sz w:val="24"/>
        </w:rPr>
        <w:t xml:space="preserve">, </w:t>
      </w:r>
      <w:r w:rsidR="00D9679E">
        <w:rPr>
          <w:rFonts w:ascii="Palatino Linotype" w:hAnsi="Palatino Linotype" w:cs="Arial"/>
          <w:b/>
          <w:sz w:val="24"/>
        </w:rPr>
        <w:t xml:space="preserve">El Sujeto Obligado </w:t>
      </w:r>
      <w:r w:rsidR="00D9679E">
        <w:rPr>
          <w:rFonts w:ascii="Palatino Linotype" w:hAnsi="Palatino Linotype" w:cs="Arial"/>
          <w:sz w:val="24"/>
        </w:rPr>
        <w:t xml:space="preserve">dio respuesta a la solicitud de información </w:t>
      </w:r>
      <w:r w:rsidR="00D9679E">
        <w:rPr>
          <w:rFonts w:ascii="Palatino Linotype" w:hAnsi="Palatino Linotype"/>
          <w:b/>
          <w:sz w:val="24"/>
          <w:szCs w:val="24"/>
        </w:rPr>
        <w:t xml:space="preserve">00596/TOLUCA/IP/2018, </w:t>
      </w:r>
      <w:r w:rsidR="00D9679E">
        <w:rPr>
          <w:rFonts w:ascii="Palatino Linotype" w:hAnsi="Palatino Linotype"/>
          <w:sz w:val="24"/>
          <w:szCs w:val="24"/>
        </w:rPr>
        <w:t xml:space="preserve">sirve de sustento la siguiente </w:t>
      </w:r>
      <w:r w:rsidR="00976B2B">
        <w:rPr>
          <w:rFonts w:ascii="Palatino Linotype" w:hAnsi="Palatino Linotype"/>
          <w:sz w:val="24"/>
          <w:szCs w:val="24"/>
        </w:rPr>
        <w:t>imagen</w:t>
      </w:r>
      <w:r w:rsidR="00D9679E">
        <w:rPr>
          <w:rFonts w:ascii="Palatino Linotype" w:hAnsi="Palatino Linotype"/>
          <w:sz w:val="24"/>
          <w:szCs w:val="24"/>
        </w:rPr>
        <w:t xml:space="preserve"> ilustrativa:</w:t>
      </w:r>
    </w:p>
    <w:p w:rsidR="002129D4" w:rsidRDefault="00D03414" w:rsidP="00F06CBC">
      <w:pPr>
        <w:spacing w:before="240" w:after="240" w:line="360" w:lineRule="auto"/>
        <w:jc w:val="both"/>
        <w:rPr>
          <w:rFonts w:ascii="Palatino Linotype" w:hAnsi="Palatino Linotype" w:cs="Arial"/>
          <w:sz w:val="24"/>
        </w:rPr>
      </w:pPr>
      <w:r>
        <w:rPr>
          <w:rFonts w:ascii="Palatino Linotype" w:hAnsi="Palatino Linotype" w:cs="Arial"/>
          <w:noProof/>
          <w:sz w:val="24"/>
          <w:lang w:eastAsia="es-MX"/>
        </w:rPr>
        <w:drawing>
          <wp:anchor distT="0" distB="0" distL="114300" distR="114300" simplePos="0" relativeHeight="251665408" behindDoc="0" locked="0" layoutInCell="1" allowOverlap="1" wp14:anchorId="7C35BF73" wp14:editId="34FE88A7">
            <wp:simplePos x="0" y="0"/>
            <wp:positionH relativeFrom="page">
              <wp:align>center</wp:align>
            </wp:positionH>
            <wp:positionV relativeFrom="paragraph">
              <wp:posOffset>191135</wp:posOffset>
            </wp:positionV>
            <wp:extent cx="4991100" cy="5505450"/>
            <wp:effectExtent l="19050" t="19050" r="19050" b="19050"/>
            <wp:wrapThrough wrapText="bothSides">
              <wp:wrapPolygon edited="0">
                <wp:start x="-82" y="-75"/>
                <wp:lineTo x="-82" y="21600"/>
                <wp:lineTo x="21600" y="21600"/>
                <wp:lineTo x="21600" y="-75"/>
                <wp:lineTo x="-82" y="-75"/>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5505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129D4" w:rsidRDefault="002129D4" w:rsidP="00F06CBC">
      <w:pPr>
        <w:spacing w:before="240" w:after="240" w:line="360" w:lineRule="auto"/>
        <w:jc w:val="both"/>
        <w:rPr>
          <w:rFonts w:ascii="Palatino Linotype" w:hAnsi="Palatino Linotype" w:cs="Arial"/>
          <w:sz w:val="24"/>
        </w:rPr>
      </w:pPr>
    </w:p>
    <w:p w:rsidR="00D9679E" w:rsidRDefault="00D9679E" w:rsidP="00F06CBC">
      <w:pPr>
        <w:spacing w:before="240" w:after="240" w:line="360" w:lineRule="auto"/>
        <w:jc w:val="both"/>
        <w:rPr>
          <w:rFonts w:ascii="Palatino Linotype" w:hAnsi="Palatino Linotype" w:cs="Arial"/>
          <w:sz w:val="24"/>
        </w:rPr>
      </w:pPr>
    </w:p>
    <w:p w:rsidR="00D9679E" w:rsidRDefault="00D9679E" w:rsidP="00F06CBC">
      <w:pPr>
        <w:spacing w:before="240" w:after="240" w:line="360" w:lineRule="auto"/>
        <w:jc w:val="both"/>
        <w:rPr>
          <w:rFonts w:ascii="Palatino Linotype" w:hAnsi="Palatino Linotype" w:cs="Arial"/>
          <w:sz w:val="24"/>
        </w:rPr>
      </w:pPr>
    </w:p>
    <w:p w:rsidR="00D9679E" w:rsidRDefault="00D9679E" w:rsidP="00F06CBC">
      <w:pPr>
        <w:spacing w:before="240" w:after="240" w:line="360" w:lineRule="auto"/>
        <w:jc w:val="both"/>
        <w:rPr>
          <w:rFonts w:ascii="Palatino Linotype" w:hAnsi="Palatino Linotype" w:cs="Arial"/>
          <w:sz w:val="24"/>
        </w:rPr>
      </w:pPr>
    </w:p>
    <w:p w:rsidR="00D9679E" w:rsidRDefault="00D9679E" w:rsidP="00F06CBC">
      <w:pPr>
        <w:spacing w:before="240" w:after="240" w:line="360" w:lineRule="auto"/>
        <w:jc w:val="both"/>
        <w:rPr>
          <w:rFonts w:ascii="Palatino Linotype" w:hAnsi="Palatino Linotype" w:cs="Arial"/>
          <w:sz w:val="24"/>
        </w:rPr>
      </w:pPr>
    </w:p>
    <w:p w:rsidR="00D9679E" w:rsidRDefault="00D9679E" w:rsidP="00F06CBC">
      <w:pPr>
        <w:spacing w:before="240" w:after="240" w:line="360" w:lineRule="auto"/>
        <w:jc w:val="both"/>
        <w:rPr>
          <w:rFonts w:ascii="Palatino Linotype" w:hAnsi="Palatino Linotype" w:cs="Arial"/>
          <w:sz w:val="24"/>
        </w:rPr>
      </w:pPr>
    </w:p>
    <w:p w:rsidR="00D9679E" w:rsidRDefault="00D9679E" w:rsidP="00F06CBC">
      <w:pPr>
        <w:spacing w:before="240" w:after="240" w:line="360" w:lineRule="auto"/>
        <w:jc w:val="both"/>
        <w:rPr>
          <w:rFonts w:ascii="Palatino Linotype" w:hAnsi="Palatino Linotype" w:cs="Arial"/>
          <w:sz w:val="24"/>
        </w:rPr>
      </w:pPr>
    </w:p>
    <w:p w:rsidR="00D9679E" w:rsidRDefault="00D9679E" w:rsidP="00F06CBC">
      <w:pPr>
        <w:spacing w:before="240" w:after="240" w:line="360" w:lineRule="auto"/>
        <w:jc w:val="both"/>
        <w:rPr>
          <w:rFonts w:ascii="Palatino Linotype" w:hAnsi="Palatino Linotype" w:cs="Arial"/>
          <w:sz w:val="24"/>
        </w:rPr>
      </w:pPr>
    </w:p>
    <w:p w:rsidR="00D9679E" w:rsidRDefault="00D9679E" w:rsidP="00F06CBC">
      <w:pPr>
        <w:spacing w:before="240" w:after="240" w:line="360" w:lineRule="auto"/>
        <w:jc w:val="both"/>
        <w:rPr>
          <w:rFonts w:ascii="Palatino Linotype" w:hAnsi="Palatino Linotype" w:cs="Arial"/>
          <w:sz w:val="24"/>
        </w:rPr>
      </w:pPr>
    </w:p>
    <w:p w:rsidR="00D9679E" w:rsidRDefault="00D9679E" w:rsidP="00F06CBC">
      <w:pPr>
        <w:spacing w:before="240" w:after="240" w:line="360" w:lineRule="auto"/>
        <w:jc w:val="both"/>
        <w:rPr>
          <w:rFonts w:ascii="Palatino Linotype" w:hAnsi="Palatino Linotype" w:cs="Arial"/>
          <w:sz w:val="24"/>
        </w:rPr>
      </w:pPr>
    </w:p>
    <w:p w:rsidR="00D9679E" w:rsidRDefault="00D9679E" w:rsidP="00F06CBC">
      <w:pPr>
        <w:spacing w:before="240" w:after="240" w:line="360" w:lineRule="auto"/>
        <w:jc w:val="both"/>
        <w:rPr>
          <w:rFonts w:ascii="Palatino Linotype" w:hAnsi="Palatino Linotype" w:cs="Arial"/>
          <w:sz w:val="24"/>
        </w:rPr>
      </w:pPr>
    </w:p>
    <w:p w:rsidR="00D03414" w:rsidRDefault="00D9679E" w:rsidP="006929B5">
      <w:pPr>
        <w:spacing w:before="240" w:after="240" w:line="360" w:lineRule="auto"/>
        <w:jc w:val="both"/>
        <w:rPr>
          <w:rFonts w:ascii="Palatino Linotype" w:hAnsi="Palatino Linotype" w:cs="Arial"/>
          <w:sz w:val="24"/>
        </w:rPr>
      </w:pPr>
      <w:r>
        <w:rPr>
          <w:rFonts w:ascii="Palatino Linotype" w:hAnsi="Palatino Linotype" w:cs="Arial"/>
          <w:sz w:val="24"/>
        </w:rPr>
        <w:lastRenderedPageBreak/>
        <w:t xml:space="preserve">Adicionalmente, </w:t>
      </w:r>
      <w:r w:rsidR="006929B5">
        <w:rPr>
          <w:rFonts w:ascii="Palatino Linotype" w:hAnsi="Palatino Linotype" w:cs="Arial"/>
          <w:b/>
          <w:sz w:val="24"/>
        </w:rPr>
        <w:t xml:space="preserve">El Sujeto Obligado </w:t>
      </w:r>
      <w:r w:rsidR="006929B5">
        <w:rPr>
          <w:rFonts w:ascii="Palatino Linotype" w:hAnsi="Palatino Linotype" w:cs="Arial"/>
          <w:sz w:val="24"/>
        </w:rPr>
        <w:t xml:space="preserve">adjuntó tres anexos, mismos que se tienen por reproducidos como si a la letra se insertasen, en virtud de que serán materia de análisis en el considerando respectivo. </w:t>
      </w:r>
    </w:p>
    <w:p w:rsidR="006929B5" w:rsidRDefault="006929B5" w:rsidP="006929B5">
      <w:pPr>
        <w:spacing w:before="240" w:after="240" w:line="360" w:lineRule="auto"/>
        <w:jc w:val="both"/>
        <w:rPr>
          <w:rFonts w:ascii="Palatino Linotype" w:hAnsi="Palatino Linotype" w:cs="Arial"/>
          <w:b/>
          <w:sz w:val="28"/>
        </w:rPr>
      </w:pPr>
    </w:p>
    <w:p w:rsidR="006168E4" w:rsidRPr="00EC765F" w:rsidRDefault="00CA5828" w:rsidP="00844569">
      <w:pPr>
        <w:spacing w:before="240" w:line="360" w:lineRule="auto"/>
        <w:jc w:val="both"/>
        <w:rPr>
          <w:rFonts w:ascii="Palatino Linotype" w:hAnsi="Palatino Linotype" w:cs="Arial"/>
          <w:b/>
          <w:sz w:val="28"/>
        </w:rPr>
      </w:pPr>
      <w:r w:rsidRPr="00EC765F">
        <w:rPr>
          <w:rFonts w:ascii="Palatino Linotype" w:hAnsi="Palatino Linotype" w:cs="Arial"/>
          <w:b/>
          <w:sz w:val="28"/>
        </w:rPr>
        <w:t>TERCERO</w:t>
      </w:r>
      <w:r w:rsidR="006168E4" w:rsidRPr="00EC765F">
        <w:rPr>
          <w:rFonts w:ascii="Palatino Linotype" w:hAnsi="Palatino Linotype" w:cs="Arial"/>
          <w:b/>
          <w:sz w:val="28"/>
        </w:rPr>
        <w:t xml:space="preserve">. </w:t>
      </w:r>
      <w:r w:rsidR="006168E4" w:rsidRPr="00EC765F">
        <w:rPr>
          <w:rFonts w:ascii="Palatino Linotype" w:hAnsi="Palatino Linotype"/>
          <w:b/>
          <w:sz w:val="28"/>
        </w:rPr>
        <w:t>Del</w:t>
      </w:r>
      <w:r w:rsidR="00786EE0" w:rsidRPr="00EC765F">
        <w:rPr>
          <w:rFonts w:ascii="Palatino Linotype" w:hAnsi="Palatino Linotype"/>
          <w:b/>
          <w:sz w:val="28"/>
        </w:rPr>
        <w:t xml:space="preserve"> </w:t>
      </w:r>
      <w:r w:rsidR="006168E4" w:rsidRPr="00EC765F">
        <w:rPr>
          <w:rFonts w:ascii="Palatino Linotype" w:hAnsi="Palatino Linotype"/>
          <w:b/>
          <w:sz w:val="28"/>
        </w:rPr>
        <w:t>recurso</w:t>
      </w:r>
      <w:r w:rsidR="00786EE0" w:rsidRPr="00EC765F">
        <w:rPr>
          <w:rFonts w:ascii="Palatino Linotype" w:hAnsi="Palatino Linotype"/>
          <w:b/>
          <w:sz w:val="28"/>
        </w:rPr>
        <w:t xml:space="preserve"> </w:t>
      </w:r>
      <w:r w:rsidR="006168E4" w:rsidRPr="00EC765F">
        <w:rPr>
          <w:rFonts w:ascii="Palatino Linotype" w:hAnsi="Palatino Linotype"/>
          <w:b/>
          <w:sz w:val="28"/>
        </w:rPr>
        <w:t>de revisión.</w:t>
      </w:r>
    </w:p>
    <w:p w:rsidR="00986DEA" w:rsidRDefault="007771BF" w:rsidP="00D064BB">
      <w:pPr>
        <w:spacing w:before="240" w:line="360" w:lineRule="auto"/>
        <w:jc w:val="both"/>
        <w:rPr>
          <w:rFonts w:ascii="Palatino Linotype" w:hAnsi="Palatino Linotype" w:cs="Arial"/>
          <w:sz w:val="24"/>
          <w:szCs w:val="24"/>
        </w:rPr>
      </w:pPr>
      <w:r w:rsidRPr="00EC765F">
        <w:rPr>
          <w:rFonts w:ascii="Palatino Linotype" w:hAnsi="Palatino Linotype" w:cs="Arial"/>
          <w:sz w:val="24"/>
          <w:szCs w:val="24"/>
        </w:rPr>
        <w:t xml:space="preserve">Por lo anterior, en fecha </w:t>
      </w:r>
      <w:r w:rsidR="00986DEA">
        <w:rPr>
          <w:rFonts w:ascii="Palatino Linotype" w:hAnsi="Palatino Linotype" w:cs="Arial"/>
          <w:sz w:val="24"/>
          <w:szCs w:val="24"/>
        </w:rPr>
        <w:t xml:space="preserve">uno de febrero del presente se recibió de manera física el escrito de interposición de recurso de revisión, promovido por </w:t>
      </w:r>
      <w:r w:rsidR="00986DEA">
        <w:rPr>
          <w:rFonts w:ascii="Palatino Linotype" w:hAnsi="Palatino Linotype" w:cs="Arial"/>
          <w:b/>
          <w:sz w:val="24"/>
          <w:szCs w:val="24"/>
        </w:rPr>
        <w:t xml:space="preserve">El Recurrente, </w:t>
      </w:r>
      <w:r w:rsidR="00986DEA">
        <w:rPr>
          <w:rFonts w:ascii="Palatino Linotype" w:hAnsi="Palatino Linotype" w:cs="Arial"/>
          <w:sz w:val="24"/>
          <w:szCs w:val="24"/>
        </w:rPr>
        <w:t xml:space="preserve">en contra de la respuesta otorgada por </w:t>
      </w:r>
      <w:r w:rsidR="00986DEA">
        <w:rPr>
          <w:rFonts w:ascii="Palatino Linotype" w:hAnsi="Palatino Linotype" w:cs="Arial"/>
          <w:b/>
          <w:sz w:val="24"/>
          <w:szCs w:val="24"/>
        </w:rPr>
        <w:t xml:space="preserve">El Sujeto Obligado </w:t>
      </w:r>
      <w:r w:rsidR="00986DEA">
        <w:rPr>
          <w:rFonts w:ascii="Palatino Linotype" w:hAnsi="Palatino Linotype" w:cs="Arial"/>
          <w:sz w:val="24"/>
          <w:szCs w:val="24"/>
        </w:rPr>
        <w:t xml:space="preserve">al cual se le asignó el número de expediente </w:t>
      </w:r>
      <w:r w:rsidR="00986DEA">
        <w:rPr>
          <w:rFonts w:ascii="Palatino Linotype" w:hAnsi="Palatino Linotype" w:cs="Arial"/>
          <w:b/>
          <w:sz w:val="24"/>
          <w:szCs w:val="24"/>
        </w:rPr>
        <w:t xml:space="preserve">00005/INFOEM/IP/RR-E/2019; </w:t>
      </w:r>
      <w:r w:rsidR="00B45A37">
        <w:rPr>
          <w:rFonts w:ascii="Palatino Linotype" w:hAnsi="Palatino Linotype" w:cs="Arial"/>
          <w:sz w:val="24"/>
          <w:szCs w:val="24"/>
        </w:rPr>
        <w:t>resulta de nuestro interés lo siguiente:</w:t>
      </w:r>
    </w:p>
    <w:p w:rsidR="00B45A37" w:rsidRPr="00BA5C2A" w:rsidRDefault="00BA5C2A" w:rsidP="00BA5C2A">
      <w:pPr>
        <w:spacing w:before="240" w:line="360" w:lineRule="auto"/>
        <w:ind w:left="851" w:right="851"/>
        <w:jc w:val="both"/>
        <w:rPr>
          <w:rFonts w:ascii="Palatino Linotype" w:hAnsi="Palatino Linotype" w:cs="Arial"/>
          <w:b/>
          <w:i/>
          <w:sz w:val="24"/>
          <w:szCs w:val="24"/>
        </w:rPr>
      </w:pPr>
      <w:r w:rsidRPr="00BA5C2A">
        <w:rPr>
          <w:rFonts w:ascii="Palatino Linotype" w:hAnsi="Palatino Linotype" w:cs="Arial"/>
          <w:b/>
          <w:i/>
          <w:sz w:val="24"/>
          <w:szCs w:val="24"/>
        </w:rPr>
        <w:t>“</w:t>
      </w:r>
      <w:r w:rsidR="00B45A37" w:rsidRPr="00BA5C2A">
        <w:rPr>
          <w:rFonts w:ascii="Palatino Linotype" w:hAnsi="Palatino Linotype" w:cs="Arial"/>
          <w:b/>
          <w:i/>
          <w:sz w:val="24"/>
          <w:szCs w:val="24"/>
        </w:rPr>
        <w:t>MOTIVOS DE INCONFORMIDAD</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I. Conforme al artículo 20 de la Ley de Transparencia y Acceso a la Información Pública del Estado de México y Municipios, que a la letra dice:</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 xml:space="preserve">El sujeto obligado, en este </w:t>
      </w:r>
      <w:r w:rsidRPr="00BA5C2A">
        <w:rPr>
          <w:rFonts w:ascii="Palatino Linotype" w:hAnsi="Palatino Linotype" w:cs="Arial"/>
          <w:i/>
          <w:sz w:val="24"/>
          <w:szCs w:val="24"/>
          <w:u w:val="single"/>
        </w:rPr>
        <w:t xml:space="preserve">caso </w:t>
      </w:r>
      <w:r w:rsidRPr="00BA5C2A">
        <w:rPr>
          <w:rFonts w:ascii="Palatino Linotype" w:hAnsi="Palatino Linotype" w:cs="Arial"/>
          <w:b/>
          <w:i/>
          <w:sz w:val="24"/>
          <w:szCs w:val="24"/>
          <w:u w:val="single"/>
        </w:rPr>
        <w:t>la Unidad de Transparencia del H. Ayuntamiento de Toluca,</w:t>
      </w:r>
      <w:r w:rsidRPr="00BA5C2A">
        <w:rPr>
          <w:rFonts w:ascii="Palatino Linotype" w:hAnsi="Palatino Linotype" w:cs="Arial"/>
          <w:i/>
          <w:sz w:val="24"/>
          <w:szCs w:val="24"/>
          <w:u w:val="single"/>
        </w:rPr>
        <w:t xml:space="preserve"> </w:t>
      </w:r>
      <w:r w:rsidRPr="00BA5C2A">
        <w:rPr>
          <w:rFonts w:ascii="Palatino Linotype" w:hAnsi="Palatino Linotype" w:cs="Arial"/>
          <w:i/>
          <w:sz w:val="24"/>
          <w:szCs w:val="24"/>
        </w:rPr>
        <w:t>debió</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demostrar que la información solicitada está prevista en alguna de las excepciones contenidas en</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 xml:space="preserve">los artículos 140 y </w:t>
      </w:r>
      <w:r w:rsidRPr="00BA5C2A">
        <w:rPr>
          <w:rFonts w:ascii="Palatino Linotype" w:hAnsi="Palatino Linotype" w:cs="Arial"/>
          <w:i/>
          <w:sz w:val="24"/>
          <w:szCs w:val="24"/>
        </w:rPr>
        <w:lastRenderedPageBreak/>
        <w:t>143 de la invocada normativa en concordancia con el artículo 149 de la precitada</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ley que a la letra dice:</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Artículo 149. El acuerdo que clasifique la información como confidencial deberá</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contener un razonamiento lógico en el que demuestre que la información se encuentra</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en alguna o algunas de las hipótesis previstas en la presente Ley.</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Situación que a todas luces no aconteció ya que el sujeto obligado se limitó a decir que “no</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es posible proporcionar, ni enviar los documentos encontrados para su correspondiente</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clasificación” toda vez que el Comité de Transparencia del Ayuntamiento de Toluca “aún no</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se encuentra conformado”, hipótesis que no se encuentra prevista en la ley que rige la</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materia y que evidentemente viola en mi perjuicio el principio de legalidad consagrado en la</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Constitución Política de los Estados Unidos Mexicanos ya que la autoridad se encuentra</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constreñida a actuar únicamente conforme marca la ley, así como también el derecho de</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acceso a la información.</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ll. De conformidad a lo dispuesto en el artículo 92, fracción XXXI! de la multicitada normativa, que a</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la letra dice:</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Artículo 92. Los sujetos obligados deberán poner a disposición del público de manera</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permanente y actualizada de forma sencilla, precisa y entendible, en los respectivos</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medios electrónicos, de acuerdo con sus facultades, atribuciones, funciones u objeto</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 xml:space="preserve">social, según corresponda, la información, </w:t>
      </w:r>
      <w:r w:rsidRPr="00BA5C2A">
        <w:rPr>
          <w:rFonts w:ascii="Palatino Linotype" w:hAnsi="Palatino Linotype" w:cs="Arial"/>
          <w:i/>
          <w:sz w:val="24"/>
          <w:szCs w:val="24"/>
        </w:rPr>
        <w:lastRenderedPageBreak/>
        <w:t>por lo menos, de los temas, documentos y</w:t>
      </w:r>
      <w:r w:rsidR="00162949" w:rsidRPr="00BA5C2A">
        <w:rPr>
          <w:rFonts w:ascii="Palatino Linotype" w:hAnsi="Palatino Linotype" w:cs="Arial"/>
          <w:i/>
          <w:sz w:val="24"/>
          <w:szCs w:val="24"/>
        </w:rPr>
        <w:t xml:space="preserve"> </w:t>
      </w:r>
      <w:r w:rsidRPr="00BA5C2A">
        <w:rPr>
          <w:rFonts w:ascii="Palatino Linotype" w:hAnsi="Palatino Linotype" w:cs="Arial"/>
          <w:i/>
          <w:sz w:val="24"/>
          <w:szCs w:val="24"/>
        </w:rPr>
        <w:t>políticas que a continuación se señalan:</w:t>
      </w:r>
    </w:p>
    <w:p w:rsidR="00162949" w:rsidRPr="00BA5C2A" w:rsidRDefault="00486F96" w:rsidP="00BA5C2A">
      <w:pPr>
        <w:spacing w:before="240" w:line="360" w:lineRule="auto"/>
        <w:ind w:left="851" w:right="851"/>
        <w:jc w:val="both"/>
        <w:rPr>
          <w:rFonts w:ascii="Palatino Linotype" w:hAnsi="Palatino Linotype" w:cs="Arial"/>
          <w:b/>
          <w:i/>
          <w:sz w:val="24"/>
          <w:szCs w:val="24"/>
        </w:rPr>
      </w:pPr>
      <w:r>
        <w:rPr>
          <w:rFonts w:ascii="Palatino Linotype" w:hAnsi="Palatino Linotype" w:cs="Arial"/>
          <w:b/>
          <w:i/>
          <w:sz w:val="24"/>
          <w:szCs w:val="24"/>
        </w:rPr>
        <w:t>(</w:t>
      </w:r>
      <w:r w:rsidR="00162949" w:rsidRPr="00BA5C2A">
        <w:rPr>
          <w:rFonts w:ascii="Palatino Linotype" w:hAnsi="Palatino Linotype" w:cs="Arial"/>
          <w:b/>
          <w:i/>
          <w:sz w:val="24"/>
          <w:szCs w:val="24"/>
        </w:rPr>
        <w:t>…</w:t>
      </w:r>
      <w:r>
        <w:rPr>
          <w:rFonts w:ascii="Palatino Linotype" w:hAnsi="Palatino Linotype" w:cs="Arial"/>
          <w:b/>
          <w:i/>
          <w:sz w:val="24"/>
          <w:szCs w:val="24"/>
        </w:rPr>
        <w:t>)</w:t>
      </w:r>
    </w:p>
    <w:p w:rsidR="00B45A37" w:rsidRPr="00BA5C2A" w:rsidRDefault="00162949"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XXXII.</w:t>
      </w:r>
      <w:r w:rsidR="00906B51" w:rsidRPr="00BA5C2A">
        <w:rPr>
          <w:rFonts w:ascii="Palatino Linotype" w:hAnsi="Palatino Linotype" w:cs="Arial"/>
          <w:i/>
          <w:sz w:val="24"/>
          <w:szCs w:val="24"/>
        </w:rPr>
        <w:t xml:space="preserve"> </w:t>
      </w:r>
      <w:r w:rsidR="00B45A37" w:rsidRPr="00BA5C2A">
        <w:rPr>
          <w:rFonts w:ascii="Palatino Linotype" w:hAnsi="Palatino Linotype" w:cs="Arial"/>
          <w:i/>
          <w:sz w:val="24"/>
          <w:szCs w:val="24"/>
        </w:rPr>
        <w:t xml:space="preserve"> Las concesiones, contratos, convenios, permisos, licencias o autorizaciones</w:t>
      </w:r>
      <w:r w:rsidR="00906B51" w:rsidRPr="00BA5C2A">
        <w:rPr>
          <w:rFonts w:ascii="Palatino Linotype" w:hAnsi="Palatino Linotype" w:cs="Arial"/>
          <w:i/>
          <w:sz w:val="24"/>
          <w:szCs w:val="24"/>
        </w:rPr>
        <w:t xml:space="preserve"> </w:t>
      </w:r>
      <w:r w:rsidR="00B45A37" w:rsidRPr="00BA5C2A">
        <w:rPr>
          <w:rFonts w:ascii="Palatino Linotype" w:hAnsi="Palatino Linotype" w:cs="Arial"/>
          <w:i/>
          <w:sz w:val="24"/>
          <w:szCs w:val="24"/>
        </w:rPr>
        <w:t>otorgados, especificando los titulares de aquéllos, debiendo publicarse su objeto,</w:t>
      </w:r>
      <w:r w:rsidR="00906B51" w:rsidRPr="00BA5C2A">
        <w:rPr>
          <w:rFonts w:ascii="Palatino Linotype" w:hAnsi="Palatino Linotype" w:cs="Arial"/>
          <w:i/>
          <w:sz w:val="24"/>
          <w:szCs w:val="24"/>
        </w:rPr>
        <w:t xml:space="preserve"> </w:t>
      </w:r>
      <w:r w:rsidR="00B45A37" w:rsidRPr="00BA5C2A">
        <w:rPr>
          <w:rFonts w:ascii="Palatino Linotype" w:hAnsi="Palatino Linotype" w:cs="Arial"/>
          <w:i/>
          <w:sz w:val="24"/>
          <w:szCs w:val="24"/>
        </w:rPr>
        <w:t>nombre o razón social del titular, vigencia, tipo, términos, condiciones, monto y</w:t>
      </w:r>
      <w:r w:rsidR="00906B51" w:rsidRPr="00BA5C2A">
        <w:rPr>
          <w:rFonts w:ascii="Palatino Linotype" w:hAnsi="Palatino Linotype" w:cs="Arial"/>
          <w:i/>
          <w:sz w:val="24"/>
          <w:szCs w:val="24"/>
        </w:rPr>
        <w:t xml:space="preserve"> </w:t>
      </w:r>
      <w:r w:rsidR="00B45A37" w:rsidRPr="00BA5C2A">
        <w:rPr>
          <w:rFonts w:ascii="Palatino Linotype" w:hAnsi="Palatino Linotype" w:cs="Arial"/>
          <w:i/>
          <w:sz w:val="24"/>
          <w:szCs w:val="24"/>
        </w:rPr>
        <w:t>modificaciones, así como si el procedimiento involucra el aprovechamiento de bienes,</w:t>
      </w:r>
      <w:r w:rsidR="00BA5C2A">
        <w:rPr>
          <w:rFonts w:ascii="Palatino Linotype" w:hAnsi="Palatino Linotype" w:cs="Arial"/>
          <w:i/>
          <w:sz w:val="24"/>
          <w:szCs w:val="24"/>
        </w:rPr>
        <w:t xml:space="preserve"> </w:t>
      </w:r>
      <w:r w:rsidR="00B45A37" w:rsidRPr="00BA5C2A">
        <w:rPr>
          <w:rFonts w:ascii="Palatino Linotype" w:hAnsi="Palatino Linotype" w:cs="Arial"/>
          <w:i/>
          <w:sz w:val="24"/>
          <w:szCs w:val="24"/>
        </w:rPr>
        <w:t>servicios y/o recursos públicos;</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Y atendiendo al principio de máxima publicidad de la información así como a la interpretación de la</w:t>
      </w:r>
      <w:r w:rsidR="00906B51" w:rsidRPr="00BA5C2A">
        <w:rPr>
          <w:rFonts w:ascii="Palatino Linotype" w:hAnsi="Palatino Linotype" w:cs="Arial"/>
          <w:i/>
          <w:sz w:val="24"/>
          <w:szCs w:val="24"/>
        </w:rPr>
        <w:t xml:space="preserve">  </w:t>
      </w:r>
      <w:r w:rsidRPr="00BA5C2A">
        <w:rPr>
          <w:rFonts w:ascii="Palatino Linotype" w:hAnsi="Palatino Linotype" w:cs="Arial"/>
          <w:i/>
          <w:sz w:val="24"/>
          <w:szCs w:val="24"/>
        </w:rPr>
        <w:t xml:space="preserve">ley conforme al principio </w:t>
      </w:r>
      <w:proofErr w:type="spellStart"/>
      <w:r w:rsidRPr="00BA5C2A">
        <w:rPr>
          <w:rFonts w:ascii="Palatino Linotype" w:hAnsi="Palatino Linotype" w:cs="Arial"/>
          <w:i/>
          <w:sz w:val="24"/>
          <w:szCs w:val="24"/>
        </w:rPr>
        <w:t>pro</w:t>
      </w:r>
      <w:proofErr w:type="spellEnd"/>
      <w:r w:rsidRPr="00BA5C2A">
        <w:rPr>
          <w:rFonts w:ascii="Palatino Linotype" w:hAnsi="Palatino Linotype" w:cs="Arial"/>
          <w:i/>
          <w:sz w:val="24"/>
          <w:szCs w:val="24"/>
        </w:rPr>
        <w:t xml:space="preserve"> persona, consagrados en los artículos 4 y 8 respectivamente de la ley</w:t>
      </w:r>
      <w:r w:rsidR="00906B51" w:rsidRPr="00BA5C2A">
        <w:rPr>
          <w:rFonts w:ascii="Palatino Linotype" w:hAnsi="Palatino Linotype" w:cs="Arial"/>
          <w:i/>
          <w:sz w:val="24"/>
          <w:szCs w:val="24"/>
        </w:rPr>
        <w:t xml:space="preserve"> </w:t>
      </w:r>
      <w:r w:rsidRPr="00BA5C2A">
        <w:rPr>
          <w:rFonts w:ascii="Palatino Linotype" w:hAnsi="Palatino Linotype" w:cs="Arial"/>
          <w:i/>
          <w:sz w:val="24"/>
          <w:szCs w:val="24"/>
        </w:rPr>
        <w:t>que nos compete, así como en el párrafo segundo del artículo 1 de la Constitución Política de los</w:t>
      </w:r>
      <w:r w:rsidR="00906B51" w:rsidRPr="00BA5C2A">
        <w:rPr>
          <w:rFonts w:ascii="Palatino Linotype" w:hAnsi="Palatino Linotype" w:cs="Arial"/>
          <w:i/>
          <w:sz w:val="24"/>
          <w:szCs w:val="24"/>
        </w:rPr>
        <w:t xml:space="preserve"> </w:t>
      </w:r>
      <w:r w:rsidRPr="00BA5C2A">
        <w:rPr>
          <w:rFonts w:ascii="Palatino Linotype" w:hAnsi="Palatino Linotype" w:cs="Arial"/>
          <w:i/>
          <w:sz w:val="24"/>
          <w:szCs w:val="24"/>
        </w:rPr>
        <w:t>Estados Unidos Mexicanos, el obligado debió haber proporcionado la información solicitada toda</w:t>
      </w:r>
      <w:r w:rsidR="00906B51" w:rsidRPr="00BA5C2A">
        <w:rPr>
          <w:rFonts w:ascii="Palatino Linotype" w:hAnsi="Palatino Linotype" w:cs="Arial"/>
          <w:i/>
          <w:sz w:val="24"/>
          <w:szCs w:val="24"/>
        </w:rPr>
        <w:t xml:space="preserve"> </w:t>
      </w:r>
      <w:r w:rsidRPr="00BA5C2A">
        <w:rPr>
          <w:rFonts w:ascii="Palatino Linotype" w:hAnsi="Palatino Linotype" w:cs="Arial"/>
          <w:i/>
          <w:sz w:val="24"/>
          <w:szCs w:val="24"/>
        </w:rPr>
        <w:t xml:space="preserve">vez que </w:t>
      </w:r>
      <w:r w:rsidRPr="00BA5C2A">
        <w:rPr>
          <w:rFonts w:ascii="Palatino Linotype" w:hAnsi="Palatino Linotype" w:cs="Arial"/>
          <w:b/>
          <w:i/>
          <w:sz w:val="24"/>
          <w:szCs w:val="24"/>
          <w:u w:val="single"/>
        </w:rPr>
        <w:t>los permisos, licencias o autorizaciones otorgados por la Dirección de Desarrollo Urbano</w:t>
      </w:r>
      <w:r w:rsidR="00906B51" w:rsidRPr="00BA5C2A">
        <w:rPr>
          <w:rFonts w:ascii="Palatino Linotype" w:hAnsi="Palatino Linotype" w:cs="Arial"/>
          <w:b/>
          <w:i/>
          <w:sz w:val="24"/>
          <w:szCs w:val="24"/>
          <w:u w:val="single"/>
        </w:rPr>
        <w:t xml:space="preserve"> y </w:t>
      </w:r>
      <w:r w:rsidRPr="00BA5C2A">
        <w:rPr>
          <w:rFonts w:ascii="Palatino Linotype" w:hAnsi="Palatino Linotype" w:cs="Arial"/>
          <w:b/>
          <w:i/>
          <w:sz w:val="24"/>
          <w:szCs w:val="24"/>
          <w:u w:val="single"/>
        </w:rPr>
        <w:t>Movilidad deben ser puestos a disposición del público</w:t>
      </w:r>
      <w:r w:rsidRPr="00BA5C2A">
        <w:rPr>
          <w:rFonts w:ascii="Palatino Linotype" w:hAnsi="Palatino Linotype" w:cs="Arial"/>
          <w:i/>
          <w:sz w:val="24"/>
          <w:szCs w:val="24"/>
        </w:rPr>
        <w:t xml:space="preserve"> en los respectivos medios electrónicos y por</w:t>
      </w:r>
      <w:r w:rsidR="00906B51" w:rsidRPr="00BA5C2A">
        <w:rPr>
          <w:rFonts w:ascii="Palatino Linotype" w:hAnsi="Palatino Linotype" w:cs="Arial"/>
          <w:i/>
          <w:sz w:val="24"/>
          <w:szCs w:val="24"/>
        </w:rPr>
        <w:t xml:space="preserve"> </w:t>
      </w:r>
      <w:r w:rsidRPr="00BA5C2A">
        <w:rPr>
          <w:rFonts w:ascii="Palatino Linotype" w:hAnsi="Palatino Linotype" w:cs="Arial"/>
          <w:i/>
          <w:sz w:val="24"/>
          <w:szCs w:val="24"/>
        </w:rPr>
        <w:t>ende, con mayor razón deben ponerse a disposición de un particular si este lo solicita de manera ex</w:t>
      </w:r>
      <w:r w:rsidR="004C474E" w:rsidRPr="00BA5C2A">
        <w:rPr>
          <w:rFonts w:ascii="Palatino Linotype" w:hAnsi="Palatino Linotype" w:cs="Arial"/>
          <w:i/>
          <w:sz w:val="24"/>
          <w:szCs w:val="24"/>
        </w:rPr>
        <w:t xml:space="preserve"> </w:t>
      </w:r>
      <w:r w:rsidRPr="00BA5C2A">
        <w:rPr>
          <w:rFonts w:ascii="Palatino Linotype" w:hAnsi="Palatino Linotype" w:cs="Arial"/>
          <w:i/>
          <w:sz w:val="24"/>
          <w:szCs w:val="24"/>
        </w:rPr>
        <w:t>profeso a dicha autoridad.</w:t>
      </w:r>
    </w:p>
    <w:p w:rsidR="00B45A37" w:rsidRPr="00BA5C2A" w:rsidRDefault="00BA5C2A"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III</w:t>
      </w:r>
      <w:r w:rsidR="00B45A37" w:rsidRPr="00BA5C2A">
        <w:rPr>
          <w:rFonts w:ascii="Palatino Linotype" w:hAnsi="Palatino Linotype" w:cs="Arial"/>
          <w:i/>
          <w:sz w:val="24"/>
          <w:szCs w:val="24"/>
        </w:rPr>
        <w:t>. De conformidad con lo establecido en el artículo 52 de la Ley de Transparencia y Acceso a la</w:t>
      </w:r>
      <w:r w:rsidRPr="00BA5C2A">
        <w:rPr>
          <w:rFonts w:ascii="Palatino Linotype" w:hAnsi="Palatino Linotype" w:cs="Arial"/>
          <w:i/>
          <w:sz w:val="24"/>
          <w:szCs w:val="24"/>
        </w:rPr>
        <w:t xml:space="preserve"> </w:t>
      </w:r>
      <w:r w:rsidR="00B45A37" w:rsidRPr="00BA5C2A">
        <w:rPr>
          <w:rFonts w:ascii="Palatino Linotype" w:hAnsi="Palatino Linotype" w:cs="Arial"/>
          <w:i/>
          <w:sz w:val="24"/>
          <w:szCs w:val="24"/>
        </w:rPr>
        <w:t>Información Pública del Estado de México y Municipios, que a la letra dice:</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lastRenderedPageBreak/>
        <w:t>Artículo 52. Las solicitudes de acceso a la información y las respuestas que se les</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dé, incluyendo, en su caso, la información entregada, así como las resoluciones</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a los recursos que en su caso se promuevan serán públicas, y de ser el caso que</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contenga datos personales que deban ser protegidos se podrá dar su acceso en</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su versión pública, siempre y cuando la resolución de referencia se someta a un</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proceso de disociación, es decir, no haga identificable al titular de tales datos</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personales.</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El sujeto obligado incurrió en una violación de tal precepto toda vez que suponiendo sin conceder</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que la información solicitada por el suscrito (ya que no existe un acuerdo emitido por el Comité de</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Transparencia donde así se determine) sea clasificada en razón de la protección de datos personales</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de particulares, éste debió hacerme entrega de la versión pública de los documentos solicitados, sin</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embargo, una vez más el sujeto obligado fue omiso de este precepto.</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IV. Otro motivo de inconformidad lo constituye la omisión de lo establecido en el artículo 137 de la Ley</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relativa a la materia, que textualmente dice:</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Artículo 137. Cuando un mismo medio, impreso o electrónico, contenga información</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pública y reservada o confidencial, la Unidad de Transparencia para efectos de</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atender una solicitud de información, deberán elaborar una versión pública en la</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que se testen las partes o secciones clasificadas, indicando su contenido de manera</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genérica y fundando y motivando su clasificación.</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lastRenderedPageBreak/>
        <w:t>Toda vez que si es cierto lo manifestado por el sujeto obligado (situación que no consta en ningún</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acuerdo emitido por el Comité de Transparencia) este debió testar las partes o secciones</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clasificadas, situación que no aconteció violando en mi perjuicio el derecho de acceso a la</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información.</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V. Aunado a lo anterior y de conformidad con el artículo 126 de la Ley de Transparencia y Acceso a</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la Información Pública del Estado de México y Municipios, la información solicitada y negada por el</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obligado no se encuentra listada en el índice de expedientes clasificados como reservados, por lo</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tanto, el obligado violó el derecho humano a la información consagrado en la Constitución Federal</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y en diversos Tratados Internacionales de los que México forma parte.</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Por lo anteriormente expuesto solicito a usted:</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PRIMERO. Se me tenga por presentado en tiempo y forma el recurso interpuesto.</w:t>
      </w:r>
    </w:p>
    <w:p w:rsidR="00B45A37" w:rsidRPr="00BA5C2A" w:rsidRDefault="00B45A37" w:rsidP="00BA5C2A">
      <w:pPr>
        <w:spacing w:before="240" w:line="360" w:lineRule="auto"/>
        <w:ind w:left="851" w:right="851"/>
        <w:jc w:val="both"/>
        <w:rPr>
          <w:rFonts w:ascii="Palatino Linotype" w:hAnsi="Palatino Linotype" w:cs="Arial"/>
          <w:i/>
          <w:sz w:val="24"/>
          <w:szCs w:val="24"/>
        </w:rPr>
      </w:pPr>
      <w:r w:rsidRPr="00BA5C2A">
        <w:rPr>
          <w:rFonts w:ascii="Palatino Linotype" w:hAnsi="Palatino Linotype" w:cs="Arial"/>
          <w:i/>
          <w:sz w:val="24"/>
          <w:szCs w:val="24"/>
        </w:rPr>
        <w:t>SEGUNDO. Se obligue a la Unidad de Transparencia del Ayuntamiento de Toluca a proporcionarme</w:t>
      </w:r>
      <w:r w:rsidR="00BA5C2A" w:rsidRPr="00BA5C2A">
        <w:rPr>
          <w:rFonts w:ascii="Palatino Linotype" w:hAnsi="Palatino Linotype" w:cs="Arial"/>
          <w:i/>
          <w:sz w:val="24"/>
          <w:szCs w:val="24"/>
        </w:rPr>
        <w:t xml:space="preserve"> </w:t>
      </w:r>
      <w:r w:rsidRPr="00BA5C2A">
        <w:rPr>
          <w:rFonts w:ascii="Palatino Linotype" w:hAnsi="Palatino Linotype" w:cs="Arial"/>
          <w:i/>
          <w:sz w:val="24"/>
          <w:szCs w:val="24"/>
        </w:rPr>
        <w:t>en formato digital así como en copias simples la información solicitada.</w:t>
      </w:r>
    </w:p>
    <w:p w:rsidR="00B45A37" w:rsidRPr="00BA5C2A" w:rsidRDefault="00B45A37" w:rsidP="00BA5C2A">
      <w:pPr>
        <w:spacing w:before="240" w:line="360" w:lineRule="auto"/>
        <w:ind w:left="851" w:right="851"/>
        <w:jc w:val="both"/>
        <w:rPr>
          <w:rFonts w:ascii="Palatino Linotype" w:hAnsi="Palatino Linotype" w:cs="Arial"/>
          <w:b/>
          <w:i/>
          <w:sz w:val="24"/>
          <w:szCs w:val="24"/>
        </w:rPr>
      </w:pPr>
      <w:r w:rsidRPr="00BA5C2A">
        <w:rPr>
          <w:rFonts w:ascii="Palatino Linotype" w:hAnsi="Palatino Linotype" w:cs="Arial"/>
          <w:i/>
          <w:sz w:val="24"/>
          <w:szCs w:val="24"/>
        </w:rPr>
        <w:t>TERCERO. Se aplique la suplencia de la queja a favor del suscrito.</w:t>
      </w:r>
      <w:r w:rsidR="00BA5C2A" w:rsidRPr="00BA5C2A">
        <w:rPr>
          <w:rFonts w:ascii="Palatino Linotype" w:hAnsi="Palatino Linotype" w:cs="Arial"/>
          <w:i/>
          <w:sz w:val="24"/>
          <w:szCs w:val="24"/>
        </w:rPr>
        <w:t>”</w:t>
      </w:r>
      <w:r w:rsidR="00BA5C2A">
        <w:rPr>
          <w:rFonts w:ascii="Palatino Linotype" w:hAnsi="Palatino Linotype" w:cs="Arial"/>
          <w:i/>
          <w:sz w:val="24"/>
          <w:szCs w:val="24"/>
        </w:rPr>
        <w:t xml:space="preserve"> </w:t>
      </w:r>
      <w:r w:rsidR="00BA5C2A">
        <w:rPr>
          <w:rFonts w:ascii="Palatino Linotype" w:hAnsi="Palatino Linotype" w:cs="Arial"/>
          <w:b/>
          <w:i/>
          <w:sz w:val="24"/>
          <w:szCs w:val="24"/>
        </w:rPr>
        <w:t>[Sic]</w:t>
      </w:r>
    </w:p>
    <w:p w:rsidR="00BA5C2A" w:rsidRDefault="006929B5" w:rsidP="00844569">
      <w:pPr>
        <w:spacing w:before="240" w:line="360" w:lineRule="auto"/>
        <w:jc w:val="both"/>
        <w:rPr>
          <w:rFonts w:ascii="Palatino Linotype" w:hAnsi="Palatino Linotype" w:cs="Arial"/>
          <w:b/>
          <w:sz w:val="28"/>
        </w:rPr>
      </w:pPr>
      <w:r>
        <w:rPr>
          <w:rFonts w:ascii="Palatino Linotype" w:hAnsi="Palatino Linotype" w:cs="Arial"/>
          <w:b/>
          <w:noProof/>
          <w:sz w:val="28"/>
          <w:lang w:eastAsia="es-MX"/>
        </w:rPr>
        <mc:AlternateContent>
          <mc:Choice Requires="wps">
            <w:drawing>
              <wp:anchor distT="0" distB="0" distL="114300" distR="114300" simplePos="0" relativeHeight="251668480" behindDoc="0" locked="0" layoutInCell="1" allowOverlap="1">
                <wp:simplePos x="0" y="0"/>
                <wp:positionH relativeFrom="column">
                  <wp:posOffset>-260986</wp:posOffset>
                </wp:positionH>
                <wp:positionV relativeFrom="paragraph">
                  <wp:posOffset>193040</wp:posOffset>
                </wp:positionV>
                <wp:extent cx="6257925" cy="10287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6257925" cy="1028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DB02D2" id="Conector recto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55pt,15.2pt" to="472.2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CBugEAAMUDAAAOAAAAZHJzL2Uyb0RvYy54bWysU8luGzEMvRfIPwi617MAWTrwOAcHzaVo&#10;jbb5AEVDeQRoA6V6xn9fSrYnRROgaNGLJEp8JN8jtb6frWEHwKi963mzqjkDJ/2g3b7nT98/vr/j&#10;LCbhBmG8g54fIfL7zdW79RQ6aP3ozQDIKIiL3RR6PqYUuqqKcgQr4soHcPSoPFqRyMR9NaCYKLo1&#10;VVvXN9XkcQjoJcRItw+nR74p8ZUCmb4oFSEx03OqLZUVy/qc12qzFt0eRRi1PJch/qEKK7SjpEuo&#10;B5EE+4H6VSirJfroVVpJbyuvlJZQOBCbpv6NzbdRBChcSJwYFpni/wsrPx92yPRAvePMCUst2lKj&#10;ZPLIMG+syRpNIXbkunU7PFsx7DATnhXavBMVNhddj4uuMCcm6fKmvb790F5zJumtqdu727ooX73A&#10;A8b0CN6yfOi50S4TF504fIqJUpLrxYWMXM6pgHJKRwPZ2bivoIgMpWwKuowRbA2yg6ABEFKCS4UQ&#10;xSveGaa0MQuw/jPw7J+hUEbsb8ALomT2Li1gq53Ht7Kn+VKyOvlfFDjxzhI8++FYWlOkoVkpip3n&#10;Og/jr3aBv/y+zU8AAAD//wMAUEsDBBQABgAIAAAAIQBqOiVu4QAAAAoBAAAPAAAAZHJzL2Rvd25y&#10;ZXYueG1sTI9RS8MwEMffBb9DOMG3LW0N4rqmYwzEOZDhFLbHrIlttbmUJFu7b+/tSd/uuB//+/2L&#10;xWg7djY+tA4lpNMEmMHK6RZrCZ8fz5MnYCEq1KpzaCRcTIBFeXtTqFy7Ad/NeRdrRiEYciWhibHP&#10;OQ9VY6wKU9cbpNuX81ZFWn3NtVcDhduOZ0nyyK1qkT40qjerxlQ/u5OV8ObX69Vyc/nG7cEO+2yz&#10;376OL1Le343LObBoxvgHw1Wf1KEkp6M7oQ6skzARaUqohIdEACNgJgQNRyJnmQBeFvx/hfIXAAD/&#10;/wMAUEsBAi0AFAAGAAgAAAAhALaDOJL+AAAA4QEAABMAAAAAAAAAAAAAAAAAAAAAAFtDb250ZW50&#10;X1R5cGVzXS54bWxQSwECLQAUAAYACAAAACEAOP0h/9YAAACUAQAACwAAAAAAAAAAAAAAAAAvAQAA&#10;X3JlbHMvLnJlbHNQSwECLQAUAAYACAAAACEAg8CAgboBAADFAwAADgAAAAAAAAAAAAAAAAAuAgAA&#10;ZHJzL2Uyb0RvYy54bWxQSwECLQAUAAYACAAAACEAajolbuEAAAAKAQAADwAAAAAAAAAAAAAAAAAU&#10;BAAAZHJzL2Rvd25yZXYueG1sUEsFBgAAAAAEAAQA8wAAACIFAAAAAA==&#10;" strokecolor="#5b9bd5 [3204]" strokeweight=".5pt">
                <v:stroke joinstyle="miter"/>
              </v:line>
            </w:pict>
          </mc:Fallback>
        </mc:AlternateContent>
      </w:r>
    </w:p>
    <w:p w:rsidR="006929B5" w:rsidRDefault="006929B5" w:rsidP="00844569">
      <w:pPr>
        <w:spacing w:before="240" w:line="360" w:lineRule="auto"/>
        <w:jc w:val="both"/>
        <w:rPr>
          <w:rFonts w:ascii="Palatino Linotype" w:hAnsi="Palatino Linotype" w:cs="Arial"/>
          <w:b/>
          <w:sz w:val="28"/>
        </w:rPr>
      </w:pPr>
    </w:p>
    <w:p w:rsidR="006168E4" w:rsidRDefault="00E01452" w:rsidP="00844569">
      <w:pPr>
        <w:spacing w:before="240" w:line="360" w:lineRule="auto"/>
        <w:jc w:val="both"/>
        <w:rPr>
          <w:rFonts w:ascii="Palatino Linotype" w:hAnsi="Palatino Linotype" w:cs="Arial"/>
          <w:b/>
          <w:sz w:val="28"/>
          <w:szCs w:val="28"/>
        </w:rPr>
      </w:pPr>
      <w:r w:rsidRPr="00EC765F">
        <w:rPr>
          <w:rFonts w:ascii="Palatino Linotype" w:hAnsi="Palatino Linotype" w:cs="Arial"/>
          <w:b/>
          <w:sz w:val="28"/>
        </w:rPr>
        <w:lastRenderedPageBreak/>
        <w:t>CUARTO</w:t>
      </w:r>
      <w:r w:rsidR="006168E4" w:rsidRPr="00EC765F">
        <w:rPr>
          <w:rFonts w:ascii="Palatino Linotype" w:hAnsi="Palatino Linotype" w:cs="Arial"/>
          <w:b/>
          <w:sz w:val="24"/>
          <w:szCs w:val="24"/>
        </w:rPr>
        <w:t xml:space="preserve">. </w:t>
      </w:r>
      <w:r w:rsidR="006168E4" w:rsidRPr="00EC765F">
        <w:rPr>
          <w:rFonts w:ascii="Palatino Linotype" w:hAnsi="Palatino Linotype" w:cs="Arial"/>
          <w:b/>
          <w:sz w:val="28"/>
          <w:szCs w:val="28"/>
        </w:rPr>
        <w:t>Del turno del recurso de revisión.</w:t>
      </w:r>
    </w:p>
    <w:p w:rsidR="00BA5C2A" w:rsidRPr="000777DE" w:rsidRDefault="00BA5C2A" w:rsidP="00BA5C2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D03414">
        <w:rPr>
          <w:rFonts w:ascii="Palatino Linotype" w:hAnsi="Palatino Linotype" w:cs="Arial"/>
          <w:sz w:val="24"/>
          <w:szCs w:val="24"/>
        </w:rPr>
        <w:t xml:space="preserve">a la Comisionada </w:t>
      </w:r>
      <w:r w:rsidR="00D03414">
        <w:rPr>
          <w:rFonts w:ascii="Palatino Linotype" w:hAnsi="Palatino Linotype" w:cs="Arial"/>
          <w:b/>
          <w:sz w:val="24"/>
          <w:szCs w:val="24"/>
        </w:rPr>
        <w:t xml:space="preserve">Zulema Martínez Sánchez, </w:t>
      </w:r>
      <w:r w:rsidR="00AB719E">
        <w:rPr>
          <w:rFonts w:ascii="Palatino Linotype" w:hAnsi="Palatino Linotype" w:cs="Arial"/>
          <w:sz w:val="24"/>
          <w:szCs w:val="24"/>
        </w:rPr>
        <w:t xml:space="preserve">mediante oficio </w:t>
      </w:r>
      <w:r w:rsidR="001F36E8">
        <w:rPr>
          <w:rFonts w:ascii="Palatino Linotype" w:hAnsi="Palatino Linotype" w:cs="Arial"/>
          <w:sz w:val="24"/>
          <w:szCs w:val="24"/>
        </w:rPr>
        <w:t xml:space="preserve">número </w:t>
      </w:r>
      <w:r w:rsidR="001F36E8">
        <w:rPr>
          <w:rFonts w:ascii="Palatino Linotype" w:hAnsi="Palatino Linotype" w:cs="Arial"/>
          <w:b/>
          <w:sz w:val="24"/>
          <w:szCs w:val="24"/>
        </w:rPr>
        <w:t xml:space="preserve">INFOEM/SP/034/2019, </w:t>
      </w:r>
      <w:r w:rsidR="000777DE">
        <w:rPr>
          <w:rFonts w:ascii="Palatino Linotype" w:hAnsi="Palatino Linotype" w:cs="Arial"/>
          <w:sz w:val="24"/>
          <w:szCs w:val="24"/>
        </w:rPr>
        <w:t xml:space="preserve">en términos del arábigo 185 fracción I de la Ley de Transparencia y Acceso a la Información Pública del Estado de México y Municipios, del cual recayó acuerdo de admisión en fecha once de febrero de dos mil diecinueve, </w:t>
      </w:r>
      <w:r w:rsidR="00FD4F4B">
        <w:rPr>
          <w:rFonts w:ascii="Palatino Linotype" w:hAnsi="Palatino Linotype" w:cs="Arial"/>
          <w:sz w:val="24"/>
          <w:szCs w:val="24"/>
        </w:rPr>
        <w:t xml:space="preserve">determinándose en </w:t>
      </w:r>
      <w:r w:rsidR="004E588C">
        <w:rPr>
          <w:rFonts w:ascii="Palatino Linotype" w:hAnsi="Palatino Linotype" w:cs="Arial"/>
          <w:sz w:val="24"/>
          <w:szCs w:val="24"/>
        </w:rPr>
        <w:t xml:space="preserve">él, un plazo de siete días para que las partes manifestaran lo que a su derecho corresponda en términos del numeral ya citado. </w:t>
      </w:r>
    </w:p>
    <w:p w:rsidR="00D03414" w:rsidRDefault="00D03414" w:rsidP="00BA5C2A">
      <w:pPr>
        <w:spacing w:before="240" w:line="360" w:lineRule="auto"/>
        <w:jc w:val="both"/>
        <w:rPr>
          <w:rFonts w:ascii="Palatino Linotype" w:hAnsi="Palatino Linotype" w:cs="Arial"/>
          <w:b/>
          <w:sz w:val="24"/>
          <w:szCs w:val="24"/>
        </w:rPr>
      </w:pPr>
    </w:p>
    <w:p w:rsidR="006168E4" w:rsidRPr="00EC765F" w:rsidRDefault="00B502C5" w:rsidP="00844569">
      <w:pPr>
        <w:spacing w:before="240" w:line="360" w:lineRule="auto"/>
        <w:jc w:val="both"/>
        <w:rPr>
          <w:rFonts w:ascii="Palatino Linotype" w:hAnsi="Palatino Linotype" w:cs="Arial"/>
          <w:b/>
          <w:sz w:val="24"/>
          <w:szCs w:val="24"/>
        </w:rPr>
      </w:pPr>
      <w:r w:rsidRPr="00EC765F">
        <w:rPr>
          <w:rFonts w:ascii="Palatino Linotype" w:hAnsi="Palatino Linotype" w:cs="Arial"/>
          <w:b/>
          <w:sz w:val="28"/>
        </w:rPr>
        <w:t>QUINT</w:t>
      </w:r>
      <w:r w:rsidR="00E01452" w:rsidRPr="00EC765F">
        <w:rPr>
          <w:rFonts w:ascii="Palatino Linotype" w:hAnsi="Palatino Linotype" w:cs="Arial"/>
          <w:b/>
          <w:sz w:val="28"/>
        </w:rPr>
        <w:t>O</w:t>
      </w:r>
      <w:r w:rsidR="006168E4" w:rsidRPr="00EC765F">
        <w:rPr>
          <w:rFonts w:ascii="Palatino Linotype" w:hAnsi="Palatino Linotype" w:cs="Arial"/>
          <w:b/>
          <w:sz w:val="24"/>
          <w:szCs w:val="24"/>
        </w:rPr>
        <w:t xml:space="preserve">. </w:t>
      </w:r>
      <w:r w:rsidR="006168E4" w:rsidRPr="00EC765F">
        <w:rPr>
          <w:rFonts w:ascii="Palatino Linotype" w:hAnsi="Palatino Linotype" w:cs="Arial"/>
          <w:b/>
          <w:sz w:val="28"/>
          <w:szCs w:val="28"/>
        </w:rPr>
        <w:t>De la etapa de instrucción.</w:t>
      </w:r>
    </w:p>
    <w:p w:rsidR="00FD4F4B" w:rsidRDefault="00FD4F4B" w:rsidP="00FD4F4B">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 xml:space="preserve">Así, </w:t>
      </w:r>
      <w:r>
        <w:rPr>
          <w:rFonts w:ascii="Palatino Linotype" w:hAnsi="Palatino Linotype" w:cs="Arial"/>
          <w:sz w:val="24"/>
          <w:szCs w:val="24"/>
        </w:rPr>
        <w:t xml:space="preserve">en la etapa de instrucción, de las constancias que obran en el expediente electrónico se advierte que </w:t>
      </w:r>
      <w:r>
        <w:rPr>
          <w:rFonts w:ascii="Palatino Linotype" w:hAnsi="Palatino Linotype" w:cs="Arial"/>
          <w:b/>
          <w:sz w:val="24"/>
          <w:szCs w:val="24"/>
        </w:rPr>
        <w:t xml:space="preserve">El Sujeto Obligado </w:t>
      </w:r>
      <w:r>
        <w:rPr>
          <w:rFonts w:ascii="Palatino Linotype" w:hAnsi="Palatino Linotype" w:cs="Arial"/>
          <w:sz w:val="24"/>
          <w:szCs w:val="24"/>
        </w:rPr>
        <w:t>rindió su informe justificado en fecha veintiuno de febrero</w:t>
      </w:r>
      <w:r w:rsidR="004E588C">
        <w:rPr>
          <w:rFonts w:ascii="Palatino Linotype" w:hAnsi="Palatino Linotype" w:cs="Arial"/>
          <w:sz w:val="24"/>
          <w:szCs w:val="24"/>
        </w:rPr>
        <w:t xml:space="preserve">, </w:t>
      </w:r>
      <w:r>
        <w:rPr>
          <w:rFonts w:ascii="Palatino Linotype" w:hAnsi="Palatino Linotype" w:cs="Arial"/>
          <w:sz w:val="24"/>
          <w:szCs w:val="24"/>
        </w:rPr>
        <w:t xml:space="preserve">mismo que se puso a la vista del </w:t>
      </w:r>
      <w:r>
        <w:rPr>
          <w:rFonts w:ascii="Palatino Linotype" w:hAnsi="Palatino Linotype" w:cs="Arial"/>
          <w:b/>
          <w:sz w:val="24"/>
          <w:szCs w:val="24"/>
        </w:rPr>
        <w:t xml:space="preserve">Recurrente </w:t>
      </w:r>
      <w:r>
        <w:rPr>
          <w:rFonts w:ascii="Palatino Linotype" w:hAnsi="Palatino Linotype" w:cs="Arial"/>
          <w:sz w:val="24"/>
          <w:szCs w:val="24"/>
        </w:rPr>
        <w:t xml:space="preserve">el </w:t>
      </w:r>
      <w:r w:rsidR="004E588C">
        <w:rPr>
          <w:rFonts w:ascii="Palatino Linotype" w:hAnsi="Palatino Linotype" w:cs="Arial"/>
          <w:sz w:val="24"/>
          <w:szCs w:val="24"/>
        </w:rPr>
        <w:t xml:space="preserve">veintisiete de febrero, ambos de dos mil diecinueve. </w:t>
      </w:r>
    </w:p>
    <w:p w:rsidR="00A25565" w:rsidRPr="00A25565" w:rsidRDefault="00A25565" w:rsidP="00FD4F4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su parte, </w:t>
      </w:r>
      <w:r>
        <w:rPr>
          <w:rFonts w:ascii="Palatino Linotype" w:hAnsi="Palatino Linotype" w:cs="Arial"/>
          <w:b/>
          <w:sz w:val="24"/>
          <w:szCs w:val="24"/>
        </w:rPr>
        <w:t xml:space="preserve">El Recurrente </w:t>
      </w:r>
      <w:r w:rsidR="00F37A37">
        <w:rPr>
          <w:rFonts w:ascii="Palatino Linotype" w:hAnsi="Palatino Linotype" w:cs="Arial"/>
          <w:sz w:val="24"/>
          <w:szCs w:val="24"/>
        </w:rPr>
        <w:t xml:space="preserve">externó las manifestaciones consideradas pertinentes mediante proveído de fecha cuatro de marzo de los corrientes, lo anterior con fundamento en la fracción </w:t>
      </w:r>
      <w:r w:rsidR="00802E70">
        <w:rPr>
          <w:rFonts w:ascii="Palatino Linotype" w:hAnsi="Palatino Linotype" w:cs="Arial"/>
          <w:sz w:val="24"/>
          <w:szCs w:val="24"/>
        </w:rPr>
        <w:t>III del artículo 185 de la Ley de Transparencia local.</w:t>
      </w:r>
    </w:p>
    <w:p w:rsidR="004E588C" w:rsidRDefault="004E588C" w:rsidP="00FD4F4B">
      <w:pPr>
        <w:spacing w:before="240" w:line="360" w:lineRule="auto"/>
        <w:jc w:val="both"/>
        <w:rPr>
          <w:rFonts w:ascii="Palatino Linotype" w:hAnsi="Palatino Linotype" w:cs="Arial"/>
          <w:sz w:val="24"/>
          <w:szCs w:val="24"/>
        </w:rPr>
      </w:pPr>
      <w:r>
        <w:rPr>
          <w:rFonts w:ascii="Palatino Linotype" w:hAnsi="Palatino Linotype" w:cs="Arial"/>
          <w:sz w:val="24"/>
          <w:szCs w:val="24"/>
        </w:rPr>
        <w:t>Por lo que una vez transcurrido el plazo establecido para que las partes manifestaran lo que a su derecho conviniera, en fecha trece de marzo del año en curso se decretó el cierre de instrucción en términos del artículo 185 fracción VI de la Ley de Transparencia y Acceso a la Información Pública del Estado de México y Municipios, iniciando el término legal para resolución definitiva del asunto.</w:t>
      </w:r>
    </w:p>
    <w:p w:rsidR="004E588C" w:rsidRDefault="004E588C" w:rsidP="00FD4F4B">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en fecha veintinueve de marzo de dos mil diecinueve, se amplió el plazo para dictar resolución, en términos del artículo 181 de la Ley de Transparencia y Acceso a la Información Pública del Estado de México y Municipios. </w:t>
      </w:r>
    </w:p>
    <w:p w:rsidR="00FD4F4B" w:rsidRDefault="00FD4F4B" w:rsidP="00FD4F4B">
      <w:pPr>
        <w:spacing w:before="240" w:line="360" w:lineRule="auto"/>
        <w:jc w:val="both"/>
        <w:rPr>
          <w:rFonts w:ascii="Palatino Linotype" w:hAnsi="Palatino Linotype" w:cs="Arial"/>
          <w:sz w:val="24"/>
          <w:szCs w:val="24"/>
        </w:rPr>
      </w:pPr>
    </w:p>
    <w:p w:rsidR="006168E4" w:rsidRPr="00EC765F" w:rsidRDefault="006168E4" w:rsidP="00844569">
      <w:pPr>
        <w:spacing w:before="240" w:line="360" w:lineRule="auto"/>
        <w:jc w:val="center"/>
        <w:rPr>
          <w:rFonts w:ascii="Palatino Linotype" w:hAnsi="Palatino Linotype" w:cs="Arial"/>
          <w:b/>
          <w:sz w:val="24"/>
        </w:rPr>
      </w:pPr>
      <w:r w:rsidRPr="00EC765F">
        <w:rPr>
          <w:rFonts w:ascii="Palatino Linotype" w:hAnsi="Palatino Linotype" w:cs="Arial"/>
          <w:b/>
          <w:sz w:val="24"/>
        </w:rPr>
        <w:t xml:space="preserve">C O N S I D E R A N D O </w:t>
      </w:r>
    </w:p>
    <w:p w:rsidR="006168E4" w:rsidRPr="00EC765F" w:rsidRDefault="006168E4" w:rsidP="00844569">
      <w:pPr>
        <w:spacing w:before="240" w:line="360" w:lineRule="auto"/>
        <w:jc w:val="both"/>
        <w:rPr>
          <w:rFonts w:ascii="Palatino Linotype" w:hAnsi="Palatino Linotype" w:cs="Arial"/>
          <w:sz w:val="24"/>
        </w:rPr>
      </w:pPr>
      <w:r w:rsidRPr="00EC765F">
        <w:rPr>
          <w:rFonts w:ascii="Palatino Linotype" w:hAnsi="Palatino Linotype" w:cs="Arial"/>
          <w:b/>
          <w:sz w:val="28"/>
        </w:rPr>
        <w:t>PRIMERO.</w:t>
      </w:r>
      <w:r w:rsidRPr="00EC765F">
        <w:rPr>
          <w:rFonts w:ascii="Palatino Linotype" w:hAnsi="Palatino Linotype" w:cs="Arial"/>
          <w:b/>
        </w:rPr>
        <w:t xml:space="preserve"> </w:t>
      </w:r>
      <w:r w:rsidRPr="00EC765F">
        <w:rPr>
          <w:rFonts w:ascii="Palatino Linotype" w:hAnsi="Palatino Linotype" w:cs="Arial"/>
          <w:b/>
          <w:sz w:val="28"/>
          <w:szCs w:val="28"/>
        </w:rPr>
        <w:t>De la competencia</w:t>
      </w:r>
      <w:r w:rsidRPr="00EC765F">
        <w:rPr>
          <w:rFonts w:ascii="Palatino Linotype" w:hAnsi="Palatino Linotype" w:cs="Arial"/>
          <w:sz w:val="28"/>
          <w:szCs w:val="28"/>
        </w:rPr>
        <w:t>.</w:t>
      </w:r>
    </w:p>
    <w:p w:rsidR="006168E4" w:rsidRDefault="006168E4" w:rsidP="00844569">
      <w:pPr>
        <w:spacing w:before="240" w:line="360" w:lineRule="auto"/>
        <w:jc w:val="both"/>
        <w:rPr>
          <w:rFonts w:ascii="Palatino Linotype" w:hAnsi="Palatino Linotype" w:cs="Arial"/>
          <w:sz w:val="24"/>
        </w:rPr>
      </w:pPr>
      <w:r w:rsidRPr="00EC765F">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100C88" w:rsidRPr="00EC765F">
        <w:rPr>
          <w:rFonts w:ascii="Palatino Linotype" w:hAnsi="Palatino Linotype" w:cs="Arial"/>
          <w:sz w:val="24"/>
        </w:rPr>
        <w:t>los</w:t>
      </w:r>
      <w:r w:rsidRPr="00EC765F">
        <w:rPr>
          <w:rFonts w:ascii="Palatino Linotype" w:hAnsi="Palatino Linotype" w:cs="Arial"/>
          <w:sz w:val="24"/>
        </w:rPr>
        <w:t xml:space="preserve"> presente</w:t>
      </w:r>
      <w:r w:rsidR="00100C88" w:rsidRPr="00EC765F">
        <w:rPr>
          <w:rFonts w:ascii="Palatino Linotype" w:hAnsi="Palatino Linotype" w:cs="Arial"/>
          <w:sz w:val="24"/>
        </w:rPr>
        <w:t>s</w:t>
      </w:r>
      <w:r w:rsidRPr="00EC765F">
        <w:rPr>
          <w:rFonts w:ascii="Palatino Linotype" w:hAnsi="Palatino Linotype" w:cs="Arial"/>
          <w:sz w:val="24"/>
        </w:rPr>
        <w:t xml:space="preserve"> recurso</w:t>
      </w:r>
      <w:r w:rsidR="00100C88" w:rsidRPr="00EC765F">
        <w:rPr>
          <w:rFonts w:ascii="Palatino Linotype" w:hAnsi="Palatino Linotype" w:cs="Arial"/>
          <w:sz w:val="24"/>
        </w:rPr>
        <w:t>s</w:t>
      </w:r>
      <w:r w:rsidRPr="00EC765F">
        <w:rPr>
          <w:rFonts w:ascii="Palatino Linotype" w:hAnsi="Palatino Linotype" w:cs="Arial"/>
          <w:sz w:val="24"/>
        </w:rPr>
        <w:t xml:space="preserve"> de revisión interpuesto</w:t>
      </w:r>
      <w:r w:rsidR="00100C88" w:rsidRPr="00EC765F">
        <w:rPr>
          <w:rFonts w:ascii="Palatino Linotype" w:hAnsi="Palatino Linotype" w:cs="Arial"/>
          <w:sz w:val="24"/>
        </w:rPr>
        <w:t>s</w:t>
      </w:r>
      <w:r w:rsidRPr="00EC765F">
        <w:rPr>
          <w:rFonts w:ascii="Palatino Linotype" w:hAnsi="Palatino Linotype" w:cs="Arial"/>
          <w:sz w:val="24"/>
        </w:rPr>
        <w:t xml:space="preserve"> por </w:t>
      </w:r>
      <w:r w:rsidR="004E588C" w:rsidRPr="004E588C">
        <w:rPr>
          <w:rFonts w:ascii="Palatino Linotype" w:hAnsi="Palatino Linotype" w:cs="Arial"/>
          <w:b/>
          <w:sz w:val="24"/>
        </w:rPr>
        <w:t>El</w:t>
      </w:r>
      <w:r w:rsidRPr="004E588C">
        <w:rPr>
          <w:rFonts w:ascii="Palatino Linotype" w:hAnsi="Palatino Linotype" w:cs="Arial"/>
          <w:b/>
          <w:sz w:val="24"/>
        </w:rPr>
        <w:t xml:space="preserve"> Recurrente</w:t>
      </w:r>
      <w:r w:rsidRPr="00EC765F">
        <w:rPr>
          <w:rFonts w:ascii="Palatino Linotype" w:hAnsi="Palatino Linotype" w:cs="Arial"/>
          <w:b/>
          <w:sz w:val="24"/>
          <w:szCs w:val="24"/>
        </w:rPr>
        <w:t xml:space="preserve"> </w:t>
      </w:r>
      <w:r w:rsidRPr="00EC765F">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EC765F">
        <w:rPr>
          <w:rFonts w:ascii="Palatino Linotype" w:hAnsi="Palatino Linotype" w:cs="Arial"/>
          <w:sz w:val="24"/>
        </w:rPr>
        <w:t xml:space="preserve">vigésimo, vigésimo primero y vigésimo segundo </w:t>
      </w:r>
      <w:r w:rsidRPr="00EC765F">
        <w:rPr>
          <w:rFonts w:ascii="Palatino Linotype" w:hAnsi="Palatino Linotype" w:cs="Arial"/>
          <w:sz w:val="24"/>
        </w:rPr>
        <w:t xml:space="preserve">fracción IV de la Constitución Política del Estado Libre y Soberano de México, </w:t>
      </w:r>
      <w:r w:rsidRPr="00EC765F">
        <w:rPr>
          <w:rFonts w:ascii="Palatino Linotype" w:hAnsi="Palatino Linotype" w:cs="Arial"/>
          <w:sz w:val="24"/>
          <w:szCs w:val="24"/>
        </w:rPr>
        <w:t xml:space="preserve">1, 2 fracción II, 13, 29, 36 fracciones II y III, 176, 178, 179 fracción I, 181 párrafo tercero, 182, 185, 188 y 194 </w:t>
      </w:r>
      <w:r w:rsidRPr="00EC765F">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E588C" w:rsidRPr="00EC765F" w:rsidRDefault="004E588C" w:rsidP="00844569">
      <w:pPr>
        <w:spacing w:before="240" w:line="360" w:lineRule="auto"/>
        <w:jc w:val="both"/>
        <w:rPr>
          <w:rFonts w:ascii="Palatino Linotype" w:hAnsi="Palatino Linotype" w:cs="Arial"/>
          <w:sz w:val="24"/>
        </w:rPr>
      </w:pPr>
    </w:p>
    <w:p w:rsidR="006168E4" w:rsidRPr="00EC765F" w:rsidRDefault="004E588C" w:rsidP="00844569">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6168E4" w:rsidRPr="00EC765F">
        <w:rPr>
          <w:rFonts w:ascii="Palatino Linotype" w:hAnsi="Palatino Linotype" w:cs="Arial"/>
          <w:b/>
        </w:rPr>
        <w:t xml:space="preserve">. </w:t>
      </w:r>
      <w:r w:rsidR="006168E4" w:rsidRPr="00EC765F">
        <w:rPr>
          <w:rFonts w:ascii="Palatino Linotype" w:hAnsi="Palatino Linotype" w:cs="Arial"/>
          <w:b/>
          <w:sz w:val="28"/>
          <w:szCs w:val="28"/>
        </w:rPr>
        <w:t>Sobre los alcances del recurso de revisión.</w:t>
      </w:r>
      <w:r w:rsidR="006168E4" w:rsidRPr="00EC765F">
        <w:rPr>
          <w:rFonts w:ascii="Palatino Linotype" w:hAnsi="Palatino Linotype" w:cs="Arial"/>
          <w:b/>
        </w:rPr>
        <w:t xml:space="preserve"> </w:t>
      </w:r>
    </w:p>
    <w:p w:rsidR="006168E4" w:rsidRPr="00EC765F"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EC765F">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510DB" w:rsidRPr="00EC765F" w:rsidRDefault="00F510DB" w:rsidP="00661753">
      <w:pPr>
        <w:tabs>
          <w:tab w:val="left" w:pos="709"/>
        </w:tabs>
        <w:spacing w:before="240" w:line="360" w:lineRule="auto"/>
        <w:ind w:right="51"/>
        <w:jc w:val="both"/>
        <w:rPr>
          <w:rFonts w:ascii="Palatino Linotype" w:hAnsi="Palatino Linotype"/>
          <w:sz w:val="24"/>
          <w:szCs w:val="24"/>
        </w:rPr>
      </w:pPr>
    </w:p>
    <w:p w:rsidR="00D82BC6" w:rsidRPr="00EC765F" w:rsidRDefault="006929B5" w:rsidP="00D82BC6">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D82BC6" w:rsidRPr="00EC765F">
        <w:rPr>
          <w:rFonts w:ascii="Palatino Linotype" w:hAnsi="Palatino Linotype" w:cs="Arial"/>
          <w:b/>
        </w:rPr>
        <w:t xml:space="preserve">. </w:t>
      </w:r>
      <w:r w:rsidR="00D82BC6" w:rsidRPr="00EC765F">
        <w:rPr>
          <w:rFonts w:ascii="Palatino Linotype" w:hAnsi="Palatino Linotype" w:cs="Arial"/>
          <w:b/>
          <w:sz w:val="28"/>
          <w:szCs w:val="28"/>
        </w:rPr>
        <w:t>De las causas de improcedencia.</w:t>
      </w:r>
    </w:p>
    <w:p w:rsidR="00D82BC6" w:rsidRPr="00EC765F" w:rsidRDefault="00D82BC6" w:rsidP="00D82BC6">
      <w:pPr>
        <w:pStyle w:val="Prrafodelista"/>
        <w:autoSpaceDE w:val="0"/>
        <w:autoSpaceDN w:val="0"/>
        <w:adjustRightInd w:val="0"/>
        <w:spacing w:before="240" w:after="160" w:line="360" w:lineRule="auto"/>
        <w:ind w:left="0"/>
        <w:jc w:val="both"/>
        <w:rPr>
          <w:rFonts w:ascii="Palatino Linotype" w:hAnsi="Palatino Linotype" w:cs="Arial"/>
        </w:rPr>
      </w:pPr>
      <w:r w:rsidRPr="00EC765F">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D82BC6" w:rsidRPr="00EC765F" w:rsidRDefault="00D82BC6" w:rsidP="00D82BC6">
      <w:pPr>
        <w:pStyle w:val="Prrafodelista"/>
        <w:autoSpaceDE w:val="0"/>
        <w:autoSpaceDN w:val="0"/>
        <w:adjustRightInd w:val="0"/>
        <w:spacing w:before="240" w:after="160" w:line="360" w:lineRule="auto"/>
        <w:ind w:left="0"/>
        <w:jc w:val="both"/>
        <w:rPr>
          <w:rFonts w:ascii="Palatino Linotype" w:hAnsi="Palatino Linotype" w:cs="Arial"/>
        </w:rPr>
      </w:pPr>
      <w:r w:rsidRPr="00EC765F">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w:t>
      </w:r>
      <w:r w:rsidRPr="00EC765F">
        <w:rPr>
          <w:rFonts w:ascii="Palatino Linotype" w:hAnsi="Palatino Linotype" w:cs="Arial"/>
        </w:rPr>
        <w:lastRenderedPageBreak/>
        <w:t>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EC765F">
        <w:rPr>
          <w:rStyle w:val="Refdenotaalpie"/>
          <w:rFonts w:ascii="Palatino Linotype" w:hAnsi="Palatino Linotype" w:cs="Arial"/>
        </w:rPr>
        <w:footnoteReference w:id="1"/>
      </w:r>
      <w:r w:rsidRPr="00EC765F">
        <w:rPr>
          <w:rFonts w:ascii="Palatino Linotype" w:hAnsi="Palatino Linotype" w:cs="Arial"/>
        </w:rPr>
        <w:t>.</w:t>
      </w:r>
    </w:p>
    <w:p w:rsidR="00D82BC6" w:rsidRPr="00EC765F" w:rsidRDefault="00D82BC6" w:rsidP="00D82BC6">
      <w:pPr>
        <w:pStyle w:val="Prrafodelista"/>
        <w:autoSpaceDE w:val="0"/>
        <w:autoSpaceDN w:val="0"/>
        <w:adjustRightInd w:val="0"/>
        <w:spacing w:before="240" w:after="160" w:line="360" w:lineRule="auto"/>
        <w:ind w:left="0"/>
        <w:jc w:val="both"/>
        <w:rPr>
          <w:rFonts w:ascii="Palatino Linotype" w:hAnsi="Palatino Linotype" w:cs="Arial"/>
        </w:rPr>
      </w:pPr>
      <w:r w:rsidRPr="00EC765F">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D82BC6" w:rsidRPr="00EC765F" w:rsidRDefault="00D82BC6" w:rsidP="00D82BC6">
      <w:pPr>
        <w:tabs>
          <w:tab w:val="left" w:pos="709"/>
        </w:tabs>
        <w:spacing w:before="240" w:line="360" w:lineRule="auto"/>
        <w:ind w:right="51"/>
        <w:jc w:val="both"/>
        <w:rPr>
          <w:rFonts w:ascii="Palatino Linotype" w:hAnsi="Palatino Linotype"/>
          <w:sz w:val="24"/>
          <w:szCs w:val="24"/>
          <w:lang w:val="es-ES"/>
        </w:rPr>
      </w:pPr>
    </w:p>
    <w:p w:rsidR="00D82BC6" w:rsidRPr="00EC765F" w:rsidRDefault="00423AF2" w:rsidP="00D82BC6">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D82BC6" w:rsidRPr="00EC765F">
        <w:rPr>
          <w:rFonts w:ascii="Palatino Linotype" w:hAnsi="Palatino Linotype" w:cs="Arial"/>
          <w:b/>
          <w:sz w:val="28"/>
          <w:szCs w:val="28"/>
        </w:rPr>
        <w:t>.</w:t>
      </w:r>
      <w:r w:rsidR="00D82BC6" w:rsidRPr="00EC765F">
        <w:rPr>
          <w:rFonts w:ascii="Palatino Linotype" w:hAnsi="Palatino Linotype" w:cs="Arial"/>
          <w:sz w:val="28"/>
          <w:szCs w:val="28"/>
        </w:rPr>
        <w:t xml:space="preserve"> </w:t>
      </w:r>
      <w:r w:rsidR="00D82BC6" w:rsidRPr="00EC765F">
        <w:rPr>
          <w:rFonts w:ascii="Palatino Linotype" w:hAnsi="Palatino Linotype" w:cs="Arial"/>
          <w:b/>
          <w:sz w:val="28"/>
        </w:rPr>
        <w:t>Estudio y resolución del asunto</w:t>
      </w:r>
      <w:r w:rsidR="00D82BC6" w:rsidRPr="00EC765F">
        <w:rPr>
          <w:rFonts w:ascii="Palatino Linotype" w:hAnsi="Palatino Linotype" w:cs="Arial"/>
          <w:b/>
        </w:rPr>
        <w:t>.</w:t>
      </w:r>
    </w:p>
    <w:p w:rsidR="00D82BC6" w:rsidRPr="00EC765F" w:rsidRDefault="00D82BC6" w:rsidP="00D82BC6">
      <w:pPr>
        <w:pStyle w:val="Prrafodelista"/>
        <w:autoSpaceDE w:val="0"/>
        <w:autoSpaceDN w:val="0"/>
        <w:adjustRightInd w:val="0"/>
        <w:spacing w:before="240" w:after="160" w:line="360" w:lineRule="auto"/>
        <w:ind w:left="0"/>
        <w:jc w:val="both"/>
        <w:rPr>
          <w:rFonts w:ascii="Palatino Linotype" w:hAnsi="Palatino Linotype" w:cs="Arial"/>
        </w:rPr>
      </w:pPr>
      <w:r w:rsidRPr="00EC765F">
        <w:rPr>
          <w:rFonts w:ascii="Palatino Linotype" w:hAnsi="Palatino Linotype" w:cs="Arial"/>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D037AE" w:rsidRDefault="00D037AE" w:rsidP="00D037A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un primer plano es necesario retomar y delimitar los requerimientos del ahora </w:t>
      </w:r>
      <w:r>
        <w:rPr>
          <w:rFonts w:ascii="Palatino Linotype" w:hAnsi="Palatino Linotype"/>
          <w:b/>
          <w:sz w:val="24"/>
          <w:szCs w:val="24"/>
        </w:rPr>
        <w:t xml:space="preserve">Recurrente, </w:t>
      </w:r>
      <w:r>
        <w:rPr>
          <w:rFonts w:ascii="Palatino Linotype" w:hAnsi="Palatino Linotype"/>
          <w:sz w:val="24"/>
          <w:szCs w:val="24"/>
        </w:rPr>
        <w:t>los cuales de manera objetiva versan específicamente en conocer la siguiente información:</w:t>
      </w:r>
    </w:p>
    <w:p w:rsidR="00D037AE" w:rsidRDefault="006E1587" w:rsidP="00D037AE">
      <w:pPr>
        <w:pStyle w:val="Prrafodelista"/>
        <w:numPr>
          <w:ilvl w:val="0"/>
          <w:numId w:val="29"/>
        </w:numPr>
        <w:tabs>
          <w:tab w:val="left" w:pos="709"/>
        </w:tabs>
        <w:spacing w:before="240" w:line="360" w:lineRule="auto"/>
        <w:ind w:right="51"/>
        <w:jc w:val="both"/>
        <w:rPr>
          <w:rFonts w:ascii="Palatino Linotype" w:hAnsi="Palatino Linotype"/>
        </w:rPr>
      </w:pPr>
      <w:r>
        <w:rPr>
          <w:rFonts w:ascii="Palatino Linotype" w:hAnsi="Palatino Linotype"/>
        </w:rPr>
        <w:t xml:space="preserve">Permisos de obra subterránea para gasoductos </w:t>
      </w:r>
      <w:r w:rsidR="00AA309A">
        <w:rPr>
          <w:rFonts w:ascii="Palatino Linotype" w:hAnsi="Palatino Linotype"/>
        </w:rPr>
        <w:t>en la infraestructura vial local otorgados por la Dirección de Desarrollo Urbano y Movilidad, al trece de diciembre de dos mil dieciocho, acompañados de la siguiente documentación:</w:t>
      </w:r>
    </w:p>
    <w:p w:rsidR="00AA309A" w:rsidRDefault="00AA309A" w:rsidP="00AA309A">
      <w:pPr>
        <w:pStyle w:val="Prrafodelista"/>
        <w:numPr>
          <w:ilvl w:val="0"/>
          <w:numId w:val="30"/>
        </w:numPr>
        <w:tabs>
          <w:tab w:val="left" w:pos="709"/>
        </w:tabs>
        <w:spacing w:before="240" w:line="360" w:lineRule="auto"/>
        <w:ind w:right="51"/>
        <w:jc w:val="both"/>
        <w:rPr>
          <w:rFonts w:ascii="Palatino Linotype" w:hAnsi="Palatino Linotype"/>
        </w:rPr>
      </w:pPr>
      <w:r>
        <w:rPr>
          <w:rFonts w:ascii="Palatino Linotype" w:hAnsi="Palatino Linotype"/>
        </w:rPr>
        <w:t>Solicitud de permiso de obra en la infraestructura vial local.</w:t>
      </w:r>
    </w:p>
    <w:p w:rsidR="00AA309A" w:rsidRDefault="00AA309A" w:rsidP="00AA309A">
      <w:pPr>
        <w:pStyle w:val="Prrafodelista"/>
        <w:numPr>
          <w:ilvl w:val="0"/>
          <w:numId w:val="30"/>
        </w:numPr>
        <w:tabs>
          <w:tab w:val="left" w:pos="709"/>
        </w:tabs>
        <w:spacing w:before="240" w:line="360" w:lineRule="auto"/>
        <w:ind w:right="51"/>
        <w:jc w:val="both"/>
        <w:rPr>
          <w:rFonts w:ascii="Palatino Linotype" w:hAnsi="Palatino Linotype"/>
        </w:rPr>
      </w:pPr>
      <w:r>
        <w:rPr>
          <w:rFonts w:ascii="Palatino Linotype" w:hAnsi="Palatino Linotype"/>
        </w:rPr>
        <w:t>Documento que ampare el procedimiento constructivo.</w:t>
      </w:r>
    </w:p>
    <w:p w:rsidR="00AA309A" w:rsidRDefault="00AA309A" w:rsidP="00AA309A">
      <w:pPr>
        <w:pStyle w:val="Prrafodelista"/>
        <w:numPr>
          <w:ilvl w:val="0"/>
          <w:numId w:val="30"/>
        </w:numPr>
        <w:tabs>
          <w:tab w:val="left" w:pos="709"/>
        </w:tabs>
        <w:spacing w:before="240" w:line="360" w:lineRule="auto"/>
        <w:ind w:right="51"/>
        <w:jc w:val="both"/>
        <w:rPr>
          <w:rFonts w:ascii="Palatino Linotype" w:hAnsi="Palatino Linotype"/>
        </w:rPr>
      </w:pPr>
      <w:r>
        <w:rPr>
          <w:rFonts w:ascii="Palatino Linotype" w:hAnsi="Palatino Linotype"/>
        </w:rPr>
        <w:t>Reporte fotográfico de la obra.</w:t>
      </w:r>
    </w:p>
    <w:p w:rsidR="00AA309A" w:rsidRDefault="00AA309A" w:rsidP="00AA309A">
      <w:pPr>
        <w:pStyle w:val="Prrafodelista"/>
        <w:numPr>
          <w:ilvl w:val="0"/>
          <w:numId w:val="30"/>
        </w:numPr>
        <w:tabs>
          <w:tab w:val="left" w:pos="709"/>
        </w:tabs>
        <w:spacing w:before="240" w:line="360" w:lineRule="auto"/>
        <w:ind w:right="51"/>
        <w:jc w:val="both"/>
        <w:rPr>
          <w:rFonts w:ascii="Palatino Linotype" w:hAnsi="Palatino Linotype"/>
        </w:rPr>
      </w:pPr>
      <w:r>
        <w:rPr>
          <w:rFonts w:ascii="Palatino Linotype" w:hAnsi="Palatino Linotype"/>
        </w:rPr>
        <w:t>Proyecto ejecutivo de la obra permisionada, aprobado por la instancia competente.</w:t>
      </w:r>
    </w:p>
    <w:p w:rsidR="00AA309A" w:rsidRDefault="00AA309A" w:rsidP="00AA309A">
      <w:pPr>
        <w:pStyle w:val="Prrafodelista"/>
        <w:numPr>
          <w:ilvl w:val="0"/>
          <w:numId w:val="30"/>
        </w:numPr>
        <w:tabs>
          <w:tab w:val="left" w:pos="709"/>
        </w:tabs>
        <w:spacing w:before="240" w:line="360" w:lineRule="auto"/>
        <w:ind w:right="51"/>
        <w:jc w:val="both"/>
        <w:rPr>
          <w:rFonts w:ascii="Palatino Linotype" w:hAnsi="Palatino Linotype"/>
        </w:rPr>
      </w:pPr>
      <w:r>
        <w:rPr>
          <w:rFonts w:ascii="Palatino Linotype" w:hAnsi="Palatino Linotype"/>
        </w:rPr>
        <w:t>Autorizaciones federales, estatales o municipales, según sea el caso.</w:t>
      </w:r>
    </w:p>
    <w:p w:rsidR="00AA309A" w:rsidRDefault="00AA309A" w:rsidP="00AA309A">
      <w:pPr>
        <w:pStyle w:val="Prrafodelista"/>
        <w:numPr>
          <w:ilvl w:val="0"/>
          <w:numId w:val="30"/>
        </w:numPr>
        <w:tabs>
          <w:tab w:val="left" w:pos="709"/>
        </w:tabs>
        <w:spacing w:before="240" w:line="360" w:lineRule="auto"/>
        <w:ind w:right="51"/>
        <w:jc w:val="both"/>
        <w:rPr>
          <w:rFonts w:ascii="Palatino Linotype" w:hAnsi="Palatino Linotype"/>
        </w:rPr>
      </w:pPr>
      <w:r>
        <w:rPr>
          <w:rFonts w:ascii="Palatino Linotype" w:hAnsi="Palatino Linotype"/>
        </w:rPr>
        <w:lastRenderedPageBreak/>
        <w:t xml:space="preserve">Aviso de terminación de obra, dado por el titular del permiso a la autoridad municipal. </w:t>
      </w:r>
    </w:p>
    <w:p w:rsidR="00AA309A" w:rsidRDefault="00AA309A" w:rsidP="00AA309A">
      <w:pPr>
        <w:pStyle w:val="Prrafodelista"/>
        <w:numPr>
          <w:ilvl w:val="0"/>
          <w:numId w:val="30"/>
        </w:numPr>
        <w:tabs>
          <w:tab w:val="left" w:pos="709"/>
        </w:tabs>
        <w:spacing w:before="240" w:line="360" w:lineRule="auto"/>
        <w:ind w:right="51"/>
        <w:jc w:val="both"/>
        <w:rPr>
          <w:rFonts w:ascii="Palatino Linotype" w:hAnsi="Palatino Linotype"/>
        </w:rPr>
      </w:pPr>
      <w:r>
        <w:rPr>
          <w:rFonts w:ascii="Palatino Linotype" w:hAnsi="Palatino Linotype"/>
        </w:rPr>
        <w:t>Constancia de terminación de obra expedida por autoridad municipal.</w:t>
      </w:r>
    </w:p>
    <w:p w:rsidR="00AA309A" w:rsidRDefault="00AA309A" w:rsidP="00AA309A">
      <w:pPr>
        <w:pStyle w:val="Prrafodelista"/>
        <w:numPr>
          <w:ilvl w:val="0"/>
          <w:numId w:val="30"/>
        </w:numPr>
        <w:tabs>
          <w:tab w:val="left" w:pos="709"/>
        </w:tabs>
        <w:spacing w:before="240" w:line="360" w:lineRule="auto"/>
        <w:ind w:right="51"/>
        <w:jc w:val="both"/>
        <w:rPr>
          <w:rFonts w:ascii="Palatino Linotype" w:hAnsi="Palatino Linotype"/>
        </w:rPr>
      </w:pPr>
      <w:r>
        <w:rPr>
          <w:rFonts w:ascii="Palatino Linotype" w:hAnsi="Palatino Linotype"/>
        </w:rPr>
        <w:t>En su caso, constancia de suspensión voluntaria de la obra, expedida por la autoridad municipal.</w:t>
      </w:r>
    </w:p>
    <w:p w:rsidR="00AA309A" w:rsidRPr="00AA309A" w:rsidRDefault="00AA309A" w:rsidP="00AA309A">
      <w:pPr>
        <w:pStyle w:val="Prrafodelista"/>
        <w:numPr>
          <w:ilvl w:val="0"/>
          <w:numId w:val="30"/>
        </w:numPr>
        <w:tabs>
          <w:tab w:val="left" w:pos="709"/>
        </w:tabs>
        <w:spacing w:before="240" w:line="360" w:lineRule="auto"/>
        <w:ind w:right="51"/>
        <w:jc w:val="both"/>
        <w:rPr>
          <w:rFonts w:ascii="Palatino Linotype" w:hAnsi="Palatino Linotype"/>
          <w:b/>
          <w:u w:val="single"/>
        </w:rPr>
      </w:pPr>
      <w:r w:rsidRPr="00AA309A">
        <w:rPr>
          <w:rFonts w:ascii="Palatino Linotype" w:hAnsi="Palatino Linotype"/>
          <w:b/>
          <w:u w:val="single"/>
        </w:rPr>
        <w:t>Demás documentación relacionada.</w:t>
      </w:r>
    </w:p>
    <w:p w:rsidR="00AA309A" w:rsidRPr="00D037AE" w:rsidRDefault="00AA309A" w:rsidP="00D037AE">
      <w:pPr>
        <w:pStyle w:val="Prrafodelista"/>
        <w:numPr>
          <w:ilvl w:val="0"/>
          <w:numId w:val="29"/>
        </w:numPr>
        <w:tabs>
          <w:tab w:val="left" w:pos="709"/>
        </w:tabs>
        <w:spacing w:before="240" w:line="360" w:lineRule="auto"/>
        <w:ind w:right="51"/>
        <w:jc w:val="both"/>
        <w:rPr>
          <w:rFonts w:ascii="Palatino Linotype" w:hAnsi="Palatino Linotype"/>
        </w:rPr>
      </w:pPr>
      <w:r>
        <w:rPr>
          <w:rFonts w:ascii="Palatino Linotype" w:hAnsi="Palatino Linotype"/>
        </w:rPr>
        <w:t>En alusión al requerimiento identificado con el numeral 1, de actualizarse alguna de las causales de procedencia de clasificación de la información</w:t>
      </w:r>
      <w:r w:rsidR="00976B2B">
        <w:rPr>
          <w:rFonts w:ascii="Palatino Linotype" w:hAnsi="Palatino Linotype"/>
        </w:rPr>
        <w:t xml:space="preserve">, el acuerdo emitido por el Comité de Transparencia. </w:t>
      </w:r>
    </w:p>
    <w:p w:rsidR="00C87B66" w:rsidRDefault="00C87B66" w:rsidP="00F75B49">
      <w:pPr>
        <w:spacing w:before="240" w:line="360" w:lineRule="auto"/>
        <w:jc w:val="both"/>
        <w:rPr>
          <w:rFonts w:ascii="Palatino Linotype" w:hAnsi="Palatino Linotype" w:cs="Arial"/>
          <w:sz w:val="24"/>
          <w:szCs w:val="24"/>
        </w:rPr>
      </w:pPr>
    </w:p>
    <w:p w:rsidR="007B7AF6" w:rsidRDefault="007B7AF6" w:rsidP="00F75B4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sentido, resulta oportuno traer a colación </w:t>
      </w:r>
      <w:r w:rsidR="00545FB2">
        <w:rPr>
          <w:rFonts w:ascii="Palatino Linotype" w:hAnsi="Palatino Linotype" w:cs="Arial"/>
          <w:sz w:val="24"/>
          <w:szCs w:val="24"/>
        </w:rPr>
        <w:t xml:space="preserve">los artículos </w:t>
      </w:r>
      <w:r w:rsidR="008F10E9">
        <w:rPr>
          <w:rFonts w:ascii="Palatino Linotype" w:hAnsi="Palatino Linotype" w:cs="Arial"/>
          <w:sz w:val="24"/>
          <w:szCs w:val="24"/>
        </w:rPr>
        <w:t xml:space="preserve">22 y 23 del Bando Municipal  del </w:t>
      </w:r>
      <w:r w:rsidR="008F10E9">
        <w:rPr>
          <w:rFonts w:ascii="Palatino Linotype" w:hAnsi="Palatino Linotype" w:cs="Arial"/>
          <w:b/>
          <w:sz w:val="24"/>
          <w:szCs w:val="24"/>
        </w:rPr>
        <w:t xml:space="preserve">Sujeto Obligado, </w:t>
      </w:r>
      <w:r w:rsidR="008F10E9">
        <w:rPr>
          <w:rFonts w:ascii="Palatino Linotype" w:hAnsi="Palatino Linotype" w:cs="Arial"/>
          <w:sz w:val="24"/>
          <w:szCs w:val="24"/>
        </w:rPr>
        <w:t xml:space="preserve">disposiciones de carácter normativo que señalan a la literalidad: </w:t>
      </w:r>
    </w:p>
    <w:p w:rsidR="008F10E9" w:rsidRPr="008F10E9" w:rsidRDefault="008F10E9" w:rsidP="008F10E9">
      <w:pPr>
        <w:spacing w:before="240" w:line="360" w:lineRule="auto"/>
        <w:ind w:left="851" w:right="851"/>
        <w:jc w:val="both"/>
        <w:rPr>
          <w:rFonts w:ascii="Palatino Linotype" w:hAnsi="Palatino Linotype"/>
          <w:i/>
        </w:rPr>
      </w:pPr>
      <w:r>
        <w:t>“</w:t>
      </w:r>
      <w:r w:rsidRPr="0028256B">
        <w:t>A</w:t>
      </w:r>
      <w:r w:rsidRPr="008F10E9">
        <w:rPr>
          <w:rFonts w:ascii="Palatino Linotype" w:hAnsi="Palatino Linotype"/>
          <w:i/>
        </w:rPr>
        <w:t>rtículo 22. La administración pública municipal será centralizada, desconcentrada, descentralizada y autónoma. Su organiza</w:t>
      </w:r>
      <w:r w:rsidR="00E40578">
        <w:rPr>
          <w:rFonts w:ascii="Palatino Linotype" w:hAnsi="Palatino Linotype"/>
          <w:i/>
        </w:rPr>
        <w:t>ción y funcionamiento se regirá</w:t>
      </w:r>
      <w:r w:rsidRPr="008F10E9">
        <w:rPr>
          <w:rFonts w:ascii="Palatino Linotype" w:hAnsi="Palatino Linotype"/>
          <w:i/>
        </w:rPr>
        <w:t xml:space="preserve"> por la Ley Orgánica Municipal</w:t>
      </w:r>
      <w:r w:rsidR="00E40578">
        <w:rPr>
          <w:rFonts w:ascii="Palatino Linotype" w:hAnsi="Palatino Linotype"/>
          <w:i/>
        </w:rPr>
        <w:t xml:space="preserve"> del Estado de México</w:t>
      </w:r>
      <w:r w:rsidRPr="008F10E9">
        <w:rPr>
          <w:rFonts w:ascii="Palatino Linotype" w:hAnsi="Palatino Linotype"/>
          <w:i/>
        </w:rPr>
        <w:t xml:space="preserve">, este Bando Municipal, el Código Reglamentario Municipal y otras normas jurídicas aplicables. </w:t>
      </w:r>
    </w:p>
    <w:p w:rsidR="008F10E9" w:rsidRPr="008F10E9" w:rsidRDefault="008F10E9" w:rsidP="008F10E9">
      <w:pPr>
        <w:spacing w:before="240" w:line="360" w:lineRule="auto"/>
        <w:ind w:left="851" w:right="851"/>
        <w:jc w:val="both"/>
        <w:rPr>
          <w:rFonts w:ascii="Palatino Linotype" w:hAnsi="Palatino Linotype"/>
          <w:b/>
          <w:i/>
          <w:u w:val="single"/>
        </w:rPr>
      </w:pPr>
      <w:r w:rsidRPr="008F10E9">
        <w:rPr>
          <w:rFonts w:ascii="Palatino Linotype" w:hAnsi="Palatino Linotype"/>
          <w:b/>
          <w:i/>
          <w:u w:val="single"/>
        </w:rPr>
        <w:t xml:space="preserve">Artículo 23. Para la consulta, estudio, planeación y despacho de los asuntos en los diversos ramos de la administración pública municipal, la o el Presidente Municipal se auxiliará </w:t>
      </w:r>
      <w:r w:rsidR="00E40578">
        <w:rPr>
          <w:rFonts w:ascii="Palatino Linotype" w:hAnsi="Palatino Linotype"/>
          <w:b/>
          <w:i/>
          <w:u w:val="single"/>
        </w:rPr>
        <w:t>de la Secretaría del Ayuntamiento y de las siguientes:</w:t>
      </w:r>
      <w:r w:rsidRPr="008F10E9">
        <w:rPr>
          <w:rFonts w:ascii="Palatino Linotype" w:hAnsi="Palatino Linotype"/>
          <w:b/>
          <w:i/>
          <w:u w:val="single"/>
        </w:rPr>
        <w:t xml:space="preserve"> </w:t>
      </w:r>
    </w:p>
    <w:p w:rsidR="008F10E9" w:rsidRPr="00802E70" w:rsidRDefault="008F10E9" w:rsidP="008F10E9">
      <w:pPr>
        <w:spacing w:before="240" w:line="360" w:lineRule="auto"/>
        <w:ind w:left="851" w:right="851"/>
        <w:jc w:val="both"/>
        <w:rPr>
          <w:rFonts w:ascii="Palatino Linotype" w:hAnsi="Palatino Linotype"/>
          <w:b/>
          <w:i/>
        </w:rPr>
      </w:pPr>
      <w:r w:rsidRPr="00802E70">
        <w:rPr>
          <w:rFonts w:ascii="Palatino Linotype" w:hAnsi="Palatino Linotype"/>
          <w:b/>
          <w:i/>
        </w:rPr>
        <w:lastRenderedPageBreak/>
        <w:t xml:space="preserve">I. DEPENDENCIAS </w:t>
      </w:r>
    </w:p>
    <w:p w:rsidR="008F10E9" w:rsidRDefault="008F10E9" w:rsidP="00E40578">
      <w:pPr>
        <w:spacing w:before="240" w:line="360" w:lineRule="auto"/>
        <w:ind w:left="851" w:right="851"/>
        <w:jc w:val="both"/>
        <w:rPr>
          <w:rFonts w:ascii="Palatino Linotype" w:hAnsi="Palatino Linotype"/>
          <w:i/>
        </w:rPr>
      </w:pPr>
      <w:r w:rsidRPr="008F10E9">
        <w:rPr>
          <w:rFonts w:ascii="Palatino Linotype" w:hAnsi="Palatino Linotype"/>
          <w:i/>
        </w:rPr>
        <w:t xml:space="preserve">1. </w:t>
      </w:r>
      <w:r w:rsidR="00E40578">
        <w:rPr>
          <w:rFonts w:ascii="Palatino Linotype" w:hAnsi="Palatino Linotype"/>
          <w:i/>
        </w:rPr>
        <w:t>Tesorería Municipal;</w:t>
      </w:r>
    </w:p>
    <w:p w:rsidR="00E40578" w:rsidRDefault="00E40578" w:rsidP="00E40578">
      <w:pPr>
        <w:spacing w:before="240" w:line="360" w:lineRule="auto"/>
        <w:ind w:left="851" w:right="851"/>
        <w:jc w:val="both"/>
        <w:rPr>
          <w:rFonts w:ascii="Palatino Linotype" w:hAnsi="Palatino Linotype"/>
          <w:i/>
        </w:rPr>
      </w:pPr>
      <w:r>
        <w:rPr>
          <w:rFonts w:ascii="Palatino Linotype" w:hAnsi="Palatino Linotype"/>
          <w:i/>
        </w:rPr>
        <w:t>2. Contraloría;</w:t>
      </w:r>
    </w:p>
    <w:p w:rsidR="00E40578" w:rsidRDefault="00E40578" w:rsidP="00E40578">
      <w:pPr>
        <w:spacing w:before="240" w:line="360" w:lineRule="auto"/>
        <w:ind w:left="851" w:right="851"/>
        <w:jc w:val="both"/>
        <w:rPr>
          <w:rFonts w:ascii="Palatino Linotype" w:hAnsi="Palatino Linotype"/>
          <w:i/>
        </w:rPr>
      </w:pPr>
      <w:r>
        <w:rPr>
          <w:rFonts w:ascii="Palatino Linotype" w:hAnsi="Palatino Linotype"/>
          <w:i/>
        </w:rPr>
        <w:t>3. Dirección General de Gobierno;</w:t>
      </w:r>
    </w:p>
    <w:p w:rsidR="00E40578" w:rsidRDefault="00E40578" w:rsidP="00E40578">
      <w:pPr>
        <w:spacing w:before="240" w:line="360" w:lineRule="auto"/>
        <w:ind w:left="851" w:right="851"/>
        <w:jc w:val="both"/>
        <w:rPr>
          <w:rFonts w:ascii="Palatino Linotype" w:hAnsi="Palatino Linotype"/>
          <w:i/>
        </w:rPr>
      </w:pPr>
      <w:r>
        <w:rPr>
          <w:rFonts w:ascii="Palatino Linotype" w:hAnsi="Palatino Linotype"/>
          <w:i/>
        </w:rPr>
        <w:t>4. Dirección General de Seguridad Pública;</w:t>
      </w:r>
    </w:p>
    <w:p w:rsidR="00E40578" w:rsidRDefault="00E40578" w:rsidP="00E40578">
      <w:pPr>
        <w:spacing w:before="240" w:line="360" w:lineRule="auto"/>
        <w:ind w:left="851" w:right="851"/>
        <w:jc w:val="both"/>
        <w:rPr>
          <w:rFonts w:ascii="Palatino Linotype" w:hAnsi="Palatino Linotype"/>
          <w:i/>
        </w:rPr>
      </w:pPr>
      <w:r>
        <w:rPr>
          <w:rFonts w:ascii="Palatino Linotype" w:hAnsi="Palatino Linotype"/>
          <w:i/>
        </w:rPr>
        <w:t>5. Dirección General de Administración;</w:t>
      </w:r>
    </w:p>
    <w:p w:rsidR="00E40578" w:rsidRDefault="00E40578" w:rsidP="00E40578">
      <w:pPr>
        <w:spacing w:before="240" w:line="360" w:lineRule="auto"/>
        <w:ind w:left="851" w:right="851"/>
        <w:jc w:val="both"/>
        <w:rPr>
          <w:rFonts w:ascii="Palatino Linotype" w:hAnsi="Palatino Linotype"/>
          <w:i/>
        </w:rPr>
      </w:pPr>
      <w:r>
        <w:rPr>
          <w:rFonts w:ascii="Palatino Linotype" w:hAnsi="Palatino Linotype"/>
          <w:i/>
        </w:rPr>
        <w:t>6. Dirección General de Medio Ambiente;</w:t>
      </w:r>
    </w:p>
    <w:p w:rsidR="00E40578" w:rsidRDefault="00E40578" w:rsidP="00E40578">
      <w:pPr>
        <w:spacing w:before="240" w:line="360" w:lineRule="auto"/>
        <w:ind w:left="851" w:right="851"/>
        <w:jc w:val="both"/>
        <w:rPr>
          <w:rFonts w:ascii="Palatino Linotype" w:hAnsi="Palatino Linotype"/>
          <w:i/>
        </w:rPr>
      </w:pPr>
      <w:r>
        <w:rPr>
          <w:rFonts w:ascii="Palatino Linotype" w:hAnsi="Palatino Linotype"/>
          <w:i/>
        </w:rPr>
        <w:t>7. Dirección General de Servicios Públicos;</w:t>
      </w:r>
    </w:p>
    <w:p w:rsidR="00E40578" w:rsidRPr="001656DA" w:rsidRDefault="00E40578" w:rsidP="00E40578">
      <w:pPr>
        <w:spacing w:before="240" w:line="360" w:lineRule="auto"/>
        <w:ind w:left="851" w:right="851"/>
        <w:jc w:val="both"/>
        <w:rPr>
          <w:rFonts w:ascii="Palatino Linotype" w:hAnsi="Palatino Linotype"/>
          <w:b/>
          <w:i/>
          <w:u w:val="single"/>
        </w:rPr>
      </w:pPr>
      <w:r w:rsidRPr="001656DA">
        <w:rPr>
          <w:rFonts w:ascii="Palatino Linotype" w:hAnsi="Palatino Linotype"/>
          <w:b/>
          <w:i/>
          <w:u w:val="single"/>
        </w:rPr>
        <w:t>8. Dirección General de Desarrollo Urbano y Obra Pública;</w:t>
      </w:r>
    </w:p>
    <w:p w:rsidR="00E40578" w:rsidRDefault="00E40578" w:rsidP="00E40578">
      <w:pPr>
        <w:spacing w:before="240" w:line="360" w:lineRule="auto"/>
        <w:ind w:left="851" w:right="851"/>
        <w:jc w:val="both"/>
        <w:rPr>
          <w:rFonts w:ascii="Palatino Linotype" w:hAnsi="Palatino Linotype"/>
          <w:i/>
        </w:rPr>
      </w:pPr>
      <w:r>
        <w:rPr>
          <w:rFonts w:ascii="Palatino Linotype" w:hAnsi="Palatino Linotype"/>
          <w:i/>
        </w:rPr>
        <w:t>9. Dirección General de Desarrollo Económico y</w:t>
      </w:r>
    </w:p>
    <w:p w:rsidR="00E40578" w:rsidRPr="008F10E9" w:rsidRDefault="00E40578" w:rsidP="00E40578">
      <w:pPr>
        <w:spacing w:before="240" w:line="360" w:lineRule="auto"/>
        <w:ind w:left="851" w:right="851"/>
        <w:jc w:val="both"/>
        <w:rPr>
          <w:rFonts w:ascii="Palatino Linotype" w:hAnsi="Palatino Linotype"/>
          <w:i/>
        </w:rPr>
      </w:pPr>
      <w:r>
        <w:rPr>
          <w:rFonts w:ascii="Palatino Linotype" w:hAnsi="Palatino Linotype"/>
          <w:i/>
        </w:rPr>
        <w:t>10. Dirección General de Bienestar Social</w:t>
      </w:r>
    </w:p>
    <w:p w:rsidR="008F10E9" w:rsidRPr="00802E70" w:rsidRDefault="008F10E9" w:rsidP="008F10E9">
      <w:pPr>
        <w:spacing w:before="240" w:line="360" w:lineRule="auto"/>
        <w:ind w:left="851" w:right="851"/>
        <w:jc w:val="both"/>
        <w:rPr>
          <w:rFonts w:ascii="Palatino Linotype" w:hAnsi="Palatino Linotype"/>
          <w:b/>
          <w:i/>
        </w:rPr>
      </w:pPr>
      <w:r w:rsidRPr="00802E70">
        <w:rPr>
          <w:rFonts w:ascii="Palatino Linotype" w:hAnsi="Palatino Linotype"/>
          <w:b/>
          <w:i/>
        </w:rPr>
        <w:t>(…)</w:t>
      </w:r>
    </w:p>
    <w:p w:rsidR="001656DA" w:rsidRDefault="001656DA" w:rsidP="008F10E9">
      <w:pPr>
        <w:spacing w:before="240" w:line="360" w:lineRule="auto"/>
        <w:ind w:left="851" w:right="851"/>
        <w:jc w:val="both"/>
        <w:rPr>
          <w:rFonts w:ascii="Palatino Linotype" w:hAnsi="Palatino Linotype"/>
          <w:i/>
        </w:rPr>
      </w:pPr>
      <w:r>
        <w:rPr>
          <w:rFonts w:ascii="Palatino Linotype" w:hAnsi="Palatino Linotype"/>
          <w:i/>
        </w:rPr>
        <w:t>Artículo 66. Son atribuciones de las autoridades municipales en materia de obra pública las siguientes:</w:t>
      </w:r>
    </w:p>
    <w:p w:rsidR="001656DA" w:rsidRPr="001656DA" w:rsidRDefault="001656DA" w:rsidP="001656DA">
      <w:pPr>
        <w:pStyle w:val="Prrafodelista"/>
        <w:numPr>
          <w:ilvl w:val="0"/>
          <w:numId w:val="43"/>
        </w:numPr>
        <w:spacing w:before="240" w:line="360" w:lineRule="auto"/>
        <w:ind w:right="851"/>
        <w:jc w:val="both"/>
        <w:rPr>
          <w:rFonts w:ascii="Palatino Linotype" w:hAnsi="Palatino Linotype"/>
          <w:b/>
          <w:i/>
        </w:rPr>
      </w:pPr>
      <w:r>
        <w:rPr>
          <w:rFonts w:ascii="Palatino Linotype" w:hAnsi="Palatino Linotype"/>
          <w:i/>
        </w:rPr>
        <w:t xml:space="preserve">Preparar y ejecutar el programa de obra pública, en términos de lo establecido en el Plan de Desarrollo Municipal, el Plan Municipal de Desarrollo Urbano y demás instrumentos legales aplicables, atendiendo a las prioridades socialmente demandadas y aquellas que </w:t>
      </w:r>
      <w:r>
        <w:rPr>
          <w:rFonts w:ascii="Palatino Linotype" w:hAnsi="Palatino Linotype"/>
          <w:i/>
        </w:rPr>
        <w:lastRenderedPageBreak/>
        <w:t>contribuyan al desarrollo económico y al bienestar social del municipio;</w:t>
      </w:r>
    </w:p>
    <w:p w:rsidR="001656DA" w:rsidRPr="001E1B63" w:rsidRDefault="001E1B63" w:rsidP="001656DA">
      <w:pPr>
        <w:pStyle w:val="Prrafodelista"/>
        <w:numPr>
          <w:ilvl w:val="0"/>
          <w:numId w:val="43"/>
        </w:numPr>
        <w:spacing w:before="240" w:line="360" w:lineRule="auto"/>
        <w:ind w:right="851"/>
        <w:jc w:val="both"/>
        <w:rPr>
          <w:rFonts w:ascii="Palatino Linotype" w:hAnsi="Palatino Linotype"/>
          <w:b/>
          <w:i/>
          <w:u w:val="single"/>
        </w:rPr>
      </w:pPr>
      <w:r w:rsidRPr="001E1B63">
        <w:rPr>
          <w:rFonts w:ascii="Palatino Linotype" w:hAnsi="Palatino Linotype"/>
          <w:b/>
          <w:i/>
          <w:u w:val="single"/>
        </w:rPr>
        <w:t>Ejecutar</w:t>
      </w:r>
      <w:r w:rsidR="001656DA" w:rsidRPr="001E1B63">
        <w:rPr>
          <w:rFonts w:ascii="Palatino Linotype" w:hAnsi="Palatino Linotype"/>
          <w:b/>
          <w:i/>
          <w:u w:val="single"/>
        </w:rPr>
        <w:t xml:space="preserve"> las obras públicas que aumenten y mantengan la infraestructura municipal y que estén consideradas en los planes y programas respectivos;</w:t>
      </w:r>
    </w:p>
    <w:p w:rsidR="001656DA" w:rsidRPr="001656DA" w:rsidRDefault="001656DA" w:rsidP="001656DA">
      <w:pPr>
        <w:pStyle w:val="Prrafodelista"/>
        <w:numPr>
          <w:ilvl w:val="0"/>
          <w:numId w:val="43"/>
        </w:numPr>
        <w:spacing w:before="240" w:line="360" w:lineRule="auto"/>
        <w:ind w:right="851"/>
        <w:jc w:val="both"/>
        <w:rPr>
          <w:rFonts w:ascii="Palatino Linotype" w:hAnsi="Palatino Linotype"/>
          <w:b/>
          <w:i/>
        </w:rPr>
      </w:pPr>
      <w:r>
        <w:rPr>
          <w:rFonts w:ascii="Palatino Linotype" w:hAnsi="Palatino Linotype"/>
          <w:i/>
        </w:rPr>
        <w:t>Promover la integración de Comités Ciudadanos de Control y Vigilancia, encargados de supervisar la obra pública municipal;</w:t>
      </w:r>
    </w:p>
    <w:p w:rsidR="001656DA" w:rsidRPr="001E1B63" w:rsidRDefault="001E1B63" w:rsidP="001656DA">
      <w:pPr>
        <w:pStyle w:val="Prrafodelista"/>
        <w:numPr>
          <w:ilvl w:val="0"/>
          <w:numId w:val="43"/>
        </w:numPr>
        <w:spacing w:before="240" w:line="360" w:lineRule="auto"/>
        <w:ind w:right="851"/>
        <w:jc w:val="both"/>
        <w:rPr>
          <w:rFonts w:ascii="Palatino Linotype" w:hAnsi="Palatino Linotype"/>
          <w:b/>
          <w:i/>
        </w:rPr>
      </w:pPr>
      <w:r>
        <w:rPr>
          <w:rFonts w:ascii="Palatino Linotype" w:hAnsi="Palatino Linotype"/>
          <w:i/>
        </w:rPr>
        <w:t xml:space="preserve">Promover la participación de testigos sociales en los procedimientos de contratación que estimen convenientes, de acuerdo con los criterios y disposiciones establecidas en las leyes de la materia, </w:t>
      </w:r>
      <w:r w:rsidRPr="001E1B63">
        <w:rPr>
          <w:rFonts w:ascii="Palatino Linotype" w:hAnsi="Palatino Linotype"/>
          <w:b/>
          <w:i/>
          <w:u w:val="single"/>
        </w:rPr>
        <w:t>y publicar en la página web del Ayuntamiento las convocatorias, actas y puntos resolutivos de los procesos de adjudicación de la obra pública;</w:t>
      </w:r>
    </w:p>
    <w:p w:rsidR="001E1B63" w:rsidRPr="001E1B63" w:rsidRDefault="001E1B63" w:rsidP="001656DA">
      <w:pPr>
        <w:pStyle w:val="Prrafodelista"/>
        <w:numPr>
          <w:ilvl w:val="0"/>
          <w:numId w:val="43"/>
        </w:numPr>
        <w:spacing w:before="240" w:line="360" w:lineRule="auto"/>
        <w:ind w:right="851"/>
        <w:jc w:val="both"/>
        <w:rPr>
          <w:rFonts w:ascii="Palatino Linotype" w:hAnsi="Palatino Linotype"/>
          <w:b/>
          <w:i/>
        </w:rPr>
      </w:pPr>
      <w:r>
        <w:rPr>
          <w:rFonts w:ascii="Palatino Linotype" w:hAnsi="Palatino Linotype"/>
          <w:i/>
        </w:rPr>
        <w:t>Procurar que la ejecución de la obra pública se lleve a cabo bajo el esquema de cooperación con la comunidad, de acuerdo con lo previsto en las disposiciones federales, estatales y municipales aplicables;</w:t>
      </w:r>
    </w:p>
    <w:p w:rsidR="001E1B63" w:rsidRPr="001E1B63" w:rsidRDefault="001E1B63" w:rsidP="001656DA">
      <w:pPr>
        <w:pStyle w:val="Prrafodelista"/>
        <w:numPr>
          <w:ilvl w:val="0"/>
          <w:numId w:val="43"/>
        </w:numPr>
        <w:spacing w:before="240" w:line="360" w:lineRule="auto"/>
        <w:ind w:right="851"/>
        <w:jc w:val="both"/>
        <w:rPr>
          <w:rFonts w:ascii="Palatino Linotype" w:hAnsi="Palatino Linotype"/>
          <w:b/>
          <w:i/>
        </w:rPr>
      </w:pPr>
      <w:r>
        <w:rPr>
          <w:rFonts w:ascii="Palatino Linotype" w:hAnsi="Palatino Linotype"/>
          <w:i/>
        </w:rPr>
        <w:t xml:space="preserve">Coordinarse con los sectores público y privado en la realización de proyectos de obra pública relacionada con la infraestructura terrestre, priorizando el desarrollo sustentable e integral de la misma obra; procurando en todo momento que su ejecución contemple rampas para personas con discapacidad, nomenclatura y señalética vial como </w:t>
      </w:r>
      <w:r>
        <w:rPr>
          <w:rFonts w:ascii="Palatino Linotype" w:hAnsi="Palatino Linotype"/>
          <w:i/>
        </w:rPr>
        <w:lastRenderedPageBreak/>
        <w:t>elementos básicos, así como la siembra de árboles o flora que armonicen con la infraestructura, y;</w:t>
      </w:r>
    </w:p>
    <w:p w:rsidR="001E1B63" w:rsidRPr="001656DA" w:rsidRDefault="001E1B63" w:rsidP="001656DA">
      <w:pPr>
        <w:pStyle w:val="Prrafodelista"/>
        <w:numPr>
          <w:ilvl w:val="0"/>
          <w:numId w:val="43"/>
        </w:numPr>
        <w:spacing w:before="240" w:line="360" w:lineRule="auto"/>
        <w:ind w:right="851"/>
        <w:jc w:val="both"/>
        <w:rPr>
          <w:rFonts w:ascii="Palatino Linotype" w:hAnsi="Palatino Linotype"/>
          <w:b/>
          <w:i/>
        </w:rPr>
      </w:pPr>
      <w:r>
        <w:rPr>
          <w:rFonts w:ascii="Palatino Linotype" w:hAnsi="Palatino Linotype"/>
          <w:i/>
        </w:rPr>
        <w:t xml:space="preserve">Las demás que dispongan otros ordenamientos aplicables” </w:t>
      </w:r>
      <w:r>
        <w:rPr>
          <w:rFonts w:ascii="Palatino Linotype" w:hAnsi="Palatino Linotype"/>
          <w:b/>
          <w:i/>
        </w:rPr>
        <w:t>[Sic]</w:t>
      </w:r>
    </w:p>
    <w:p w:rsidR="00545FB2" w:rsidRDefault="00545FB2" w:rsidP="00D36D4B">
      <w:pPr>
        <w:spacing w:before="240" w:line="360" w:lineRule="auto"/>
        <w:jc w:val="both"/>
        <w:rPr>
          <w:rFonts w:ascii="Palatino Linotype" w:hAnsi="Palatino Linotype"/>
          <w:sz w:val="24"/>
          <w:szCs w:val="24"/>
        </w:rPr>
      </w:pPr>
    </w:p>
    <w:p w:rsidR="006929B5" w:rsidRPr="00244E09" w:rsidRDefault="008F10E9" w:rsidP="001656DA">
      <w:pPr>
        <w:spacing w:before="240" w:line="360" w:lineRule="auto"/>
        <w:jc w:val="both"/>
        <w:rPr>
          <w:rFonts w:ascii="Palatino Linotype" w:hAnsi="Palatino Linotype"/>
          <w:b/>
          <w:i/>
        </w:rPr>
      </w:pPr>
      <w:r>
        <w:rPr>
          <w:rFonts w:ascii="Palatino Linotype" w:hAnsi="Palatino Linotype"/>
          <w:sz w:val="24"/>
          <w:szCs w:val="24"/>
        </w:rPr>
        <w:t xml:space="preserve">Del análisis sistemático y armónico de la normatividad previamente plasmada se desprende que </w:t>
      </w:r>
      <w:r>
        <w:rPr>
          <w:rFonts w:ascii="Palatino Linotype" w:hAnsi="Palatino Linotype"/>
          <w:b/>
          <w:sz w:val="24"/>
          <w:szCs w:val="24"/>
        </w:rPr>
        <w:t xml:space="preserve">El Sujeto Obligado </w:t>
      </w:r>
      <w:r>
        <w:rPr>
          <w:rFonts w:ascii="Palatino Linotype" w:hAnsi="Palatino Linotype"/>
          <w:sz w:val="24"/>
          <w:szCs w:val="24"/>
        </w:rPr>
        <w:t xml:space="preserve">cuenta con diversas unidades administrativas y departamentos para cumplir con sus fines y objetivos, resultando de nuestro interés la Dirección </w:t>
      </w:r>
      <w:r w:rsidR="001656DA">
        <w:rPr>
          <w:rFonts w:ascii="Palatino Linotype" w:hAnsi="Palatino Linotype"/>
          <w:sz w:val="24"/>
          <w:szCs w:val="24"/>
        </w:rPr>
        <w:t>General de Desarrollo Urbano y</w:t>
      </w:r>
      <w:r>
        <w:rPr>
          <w:rFonts w:ascii="Palatino Linotype" w:hAnsi="Palatino Linotype"/>
          <w:sz w:val="24"/>
          <w:szCs w:val="24"/>
        </w:rPr>
        <w:t xml:space="preserve"> Obra Pública. </w:t>
      </w:r>
    </w:p>
    <w:p w:rsidR="006929B5" w:rsidRDefault="00CE6437" w:rsidP="00223ADA">
      <w:pPr>
        <w:spacing w:before="240" w:line="360" w:lineRule="auto"/>
        <w:ind w:right="141"/>
        <w:jc w:val="both"/>
        <w:rPr>
          <w:rFonts w:ascii="Palatino Linotype" w:hAnsi="Palatino Linotype" w:cs="Arial"/>
          <w:sz w:val="24"/>
        </w:rPr>
      </w:pPr>
      <w:r>
        <w:rPr>
          <w:rFonts w:ascii="Palatino Linotype" w:hAnsi="Palatino Linotype"/>
          <w:noProof/>
          <w:sz w:val="24"/>
          <w:szCs w:val="24"/>
          <w:lang w:eastAsia="es-MX"/>
        </w:rPr>
        <mc:AlternateContent>
          <mc:Choice Requires="wps">
            <w:drawing>
              <wp:anchor distT="0" distB="0" distL="114300" distR="114300" simplePos="0" relativeHeight="251681792" behindDoc="0" locked="0" layoutInCell="1" allowOverlap="1">
                <wp:simplePos x="0" y="0"/>
                <wp:positionH relativeFrom="column">
                  <wp:posOffset>-413385</wp:posOffset>
                </wp:positionH>
                <wp:positionV relativeFrom="paragraph">
                  <wp:posOffset>2972435</wp:posOffset>
                </wp:positionV>
                <wp:extent cx="6915150" cy="154305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6915150" cy="154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D4F78" id="Conector recto 1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2.55pt,234.05pt" to="511.95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HmuAEAAMcDAAAOAAAAZHJzL2Uyb0RvYy54bWysU9uO1DAMfUfiH6K8M213mRVU09mHWcEL&#10;ghGXD8imzjRSbnLCtPP3OGmniwAJgfYlqWMf2+fY3d1P1rAzYNTedbzZ1JyBk77X7tTxb1/fvXrD&#10;WUzC9cJ4Bx2/QOT3+5cvdmNo4cYP3vSAjJK42I6h40NKoa2qKAewIm58AEdO5dGKRCaeqh7FSNmt&#10;qW7q+q4aPfYBvYQY6fVhdvJ9ya8UyPRJqQiJmY5Tb6mcWM7HfFb7nWhPKMKg5dKG+I8urNCOiq6p&#10;HkQS7Dvq31JZLdFHr9JGelt5pbSEwoHYNPUvbL4MIkDhQuLEsMoUny+t/Hg+ItM9zY7kccLSjA40&#10;KZk8MswXIwepNIbYUvDBHXGxYjhipjwptPkmMmwqyl5WZWFKTNLj3dtm22ypgiRfs319W5NBeaon&#10;eMCY3oO3LH903GiXqYtWnD/ENIdeQwiX25kbKF/pYiAHG/cZFNGhkk1Bl0WCg0F2FrQCQkpwqVlK&#10;l+gMU9qYFVj/HbjEZyiUJfsX8Ioolb1LK9hq5/FP1dN0bVnN8VcFZt5ZgkffX8poijS0LUXcZbPz&#10;Ov5sF/jT/7f/AQAA//8DAFBLAwQUAAYACAAAACEAGqiQneQAAAAMAQAADwAAAGRycy9kb3ducmV2&#10;LnhtbEyPUUvDMBDH3wW/QzjBty1N1Tprr2MMxDmQ4RTmY9bEttpcSpKt3bc3e9K3O+7H/37/Yj6a&#10;jh21860lBDFNgGmqrGqpRvh4f5rMgPkgScnOkkY4aQ/z8vKikLmyA73p4zbULIaQzyVCE0Kfc+6r&#10;Rhvpp7bXFG9f1hkZ4upqrpwcYrjpeJokGTeypfihkb1eNrr62R4MwqtbrZaL9embNp9m2KXr3eZl&#10;fEa8vhoXj8CCHsMfDGf9qA5ldNrbAynPOoRJdiciinCbzeJwJpL05gHYHuFeCAG8LPj/EuUvAAAA&#10;//8DAFBLAQItABQABgAIAAAAIQC2gziS/gAAAOEBAAATAAAAAAAAAAAAAAAAAAAAAABbQ29udGVu&#10;dF9UeXBlc10ueG1sUEsBAi0AFAAGAAgAAAAhADj9If/WAAAAlAEAAAsAAAAAAAAAAAAAAAAALwEA&#10;AF9yZWxzLy5yZWxzUEsBAi0AFAAGAAgAAAAhAOQu4ea4AQAAxwMAAA4AAAAAAAAAAAAAAAAALgIA&#10;AGRycy9lMm9Eb2MueG1sUEsBAi0AFAAGAAgAAAAhABqokJ3kAAAADAEAAA8AAAAAAAAAAAAAAAAA&#10;EgQAAGRycy9kb3ducmV2LnhtbFBLBQYAAAAABAAEAPMAAAAjBQAAAAA=&#10;" strokecolor="#5b9bd5 [3204]" strokeweight=".5pt">
                <v:stroke joinstyle="miter"/>
              </v:line>
            </w:pict>
          </mc:Fallback>
        </mc:AlternateContent>
      </w:r>
      <w:r w:rsidR="006929B5">
        <w:rPr>
          <w:rFonts w:ascii="Palatino Linotype" w:hAnsi="Palatino Linotype"/>
          <w:sz w:val="24"/>
          <w:szCs w:val="24"/>
        </w:rPr>
        <w:t>En este orden de ideas, con base en la normatividad previamente plasmada</w:t>
      </w:r>
      <w:r w:rsidR="006929B5">
        <w:rPr>
          <w:rFonts w:ascii="Palatino Linotype" w:hAnsi="Palatino Linotype"/>
          <w:b/>
          <w:sz w:val="24"/>
          <w:szCs w:val="24"/>
        </w:rPr>
        <w:t xml:space="preserve"> </w:t>
      </w:r>
      <w:r w:rsidR="006929B5">
        <w:rPr>
          <w:rFonts w:ascii="Palatino Linotype" w:hAnsi="Palatino Linotype"/>
          <w:sz w:val="24"/>
          <w:szCs w:val="24"/>
        </w:rPr>
        <w:t xml:space="preserve">resulta inconcuso que la información que resulta de interés al ciudadano es generada, poseída o administrada </w:t>
      </w:r>
      <w:r w:rsidR="00223ADA">
        <w:rPr>
          <w:rFonts w:ascii="Palatino Linotype" w:hAnsi="Palatino Linotype"/>
          <w:sz w:val="24"/>
          <w:szCs w:val="24"/>
        </w:rPr>
        <w:t xml:space="preserve">por </w:t>
      </w:r>
      <w:r w:rsidR="00223ADA">
        <w:rPr>
          <w:rFonts w:ascii="Palatino Linotype" w:hAnsi="Palatino Linotype"/>
          <w:b/>
          <w:sz w:val="24"/>
          <w:szCs w:val="24"/>
        </w:rPr>
        <w:t xml:space="preserve">El Sujeto Obligado. </w:t>
      </w:r>
      <w:r w:rsidR="00223ADA">
        <w:rPr>
          <w:rFonts w:ascii="Palatino Linotype" w:hAnsi="Palatino Linotype"/>
          <w:sz w:val="24"/>
          <w:szCs w:val="24"/>
        </w:rPr>
        <w:t xml:space="preserve">A mayor abundamiento, es menester señalar que mediante su respuesta </w:t>
      </w:r>
      <w:r w:rsidR="00223ADA">
        <w:rPr>
          <w:rFonts w:ascii="Palatino Linotype" w:hAnsi="Palatino Linotype"/>
          <w:b/>
          <w:sz w:val="24"/>
          <w:szCs w:val="24"/>
        </w:rPr>
        <w:t xml:space="preserve">El Sujeto Obligado </w:t>
      </w:r>
      <w:r w:rsidR="00223ADA">
        <w:rPr>
          <w:rFonts w:ascii="Palatino Linotype" w:hAnsi="Palatino Linotype"/>
          <w:sz w:val="24"/>
          <w:szCs w:val="24"/>
        </w:rPr>
        <w:t xml:space="preserve">adjuntó tres documentos mediante los cuales se compilan los permisos para obra en la </w:t>
      </w:r>
      <w:r w:rsidR="006929B5">
        <w:rPr>
          <w:rFonts w:ascii="Palatino Linotype" w:hAnsi="Palatino Linotype" w:cs="Arial"/>
          <w:sz w:val="24"/>
        </w:rPr>
        <w:t xml:space="preserve">infraestructura vial local, obras o instalaciones de redes subterráneas, ruptura o corte de pavimento, otorgados en los ejercicios fiscales dos mil dieciséis </w:t>
      </w:r>
      <w:r w:rsidR="006929B5">
        <w:rPr>
          <w:rFonts w:ascii="Palatino Linotype" w:hAnsi="Palatino Linotype" w:cs="Arial"/>
          <w:b/>
          <w:sz w:val="24"/>
        </w:rPr>
        <w:t>–dos fojas-</w:t>
      </w:r>
      <w:r w:rsidR="006929B5">
        <w:rPr>
          <w:rFonts w:ascii="Palatino Linotype" w:hAnsi="Palatino Linotype" w:cs="Arial"/>
          <w:sz w:val="24"/>
        </w:rPr>
        <w:t xml:space="preserve">, dos mil diecisiete </w:t>
      </w:r>
      <w:r w:rsidR="006929B5">
        <w:rPr>
          <w:rFonts w:ascii="Palatino Linotype" w:hAnsi="Palatino Linotype" w:cs="Arial"/>
          <w:b/>
          <w:sz w:val="24"/>
        </w:rPr>
        <w:t xml:space="preserve">–cuatro fojas- </w:t>
      </w:r>
      <w:r w:rsidR="006929B5">
        <w:rPr>
          <w:rFonts w:ascii="Palatino Linotype" w:hAnsi="Palatino Linotype" w:cs="Arial"/>
          <w:sz w:val="24"/>
        </w:rPr>
        <w:t xml:space="preserve">y dos mil dieciocho </w:t>
      </w:r>
      <w:r w:rsidR="006929B5">
        <w:rPr>
          <w:rFonts w:ascii="Palatino Linotype" w:hAnsi="Palatino Linotype" w:cs="Arial"/>
          <w:b/>
          <w:sz w:val="24"/>
        </w:rPr>
        <w:t xml:space="preserve">–cuatro fojas-. </w:t>
      </w:r>
      <w:r w:rsidR="006929B5">
        <w:rPr>
          <w:rFonts w:ascii="Palatino Linotype" w:hAnsi="Palatino Linotype" w:cs="Arial"/>
          <w:sz w:val="24"/>
        </w:rPr>
        <w:t xml:space="preserve"> Sirve de sustento la siguiente imagen ilustrativa: </w:t>
      </w:r>
    </w:p>
    <w:p w:rsidR="006929B5" w:rsidRDefault="006929B5" w:rsidP="006929B5">
      <w:pPr>
        <w:spacing w:before="240" w:after="240" w:line="360" w:lineRule="auto"/>
        <w:jc w:val="both"/>
        <w:rPr>
          <w:rFonts w:ascii="Palatino Linotype" w:hAnsi="Palatino Linotype" w:cs="Arial"/>
          <w:sz w:val="24"/>
        </w:rPr>
      </w:pPr>
      <w:r>
        <w:rPr>
          <w:rFonts w:ascii="Palatino Linotype" w:hAnsi="Palatino Linotype" w:cs="Arial"/>
          <w:noProof/>
          <w:sz w:val="24"/>
          <w:lang w:eastAsia="es-MX"/>
        </w:rPr>
        <w:lastRenderedPageBreak/>
        <w:drawing>
          <wp:anchor distT="0" distB="0" distL="114300" distR="114300" simplePos="0" relativeHeight="251670528" behindDoc="0" locked="0" layoutInCell="1" allowOverlap="1" wp14:anchorId="43598F71" wp14:editId="5DE0A9C1">
            <wp:simplePos x="0" y="0"/>
            <wp:positionH relativeFrom="margin">
              <wp:align>center</wp:align>
            </wp:positionH>
            <wp:positionV relativeFrom="paragraph">
              <wp:posOffset>73660</wp:posOffset>
            </wp:positionV>
            <wp:extent cx="6053455" cy="6610350"/>
            <wp:effectExtent l="19050" t="19050" r="23495" b="19050"/>
            <wp:wrapThrough wrapText="bothSides">
              <wp:wrapPolygon edited="0">
                <wp:start x="-68" y="-62"/>
                <wp:lineTo x="-68" y="21600"/>
                <wp:lineTo x="21616" y="21600"/>
                <wp:lineTo x="21616" y="-62"/>
                <wp:lineTo x="-68" y="-62"/>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3455" cy="6610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B7AF6" w:rsidRDefault="00223ADA" w:rsidP="00F75B4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este sentido, se advierte que </w:t>
      </w:r>
      <w:r w:rsidR="004B6CE1" w:rsidRPr="004B6CE1">
        <w:rPr>
          <w:rFonts w:ascii="Palatino Linotype" w:hAnsi="Palatino Linotype" w:cs="Arial"/>
          <w:b/>
          <w:sz w:val="24"/>
          <w:szCs w:val="24"/>
        </w:rPr>
        <w:t xml:space="preserve">El </w:t>
      </w:r>
      <w:r w:rsidR="004B6CE1">
        <w:rPr>
          <w:rFonts w:ascii="Palatino Linotype" w:hAnsi="Palatino Linotype" w:cs="Arial"/>
          <w:b/>
          <w:sz w:val="24"/>
          <w:szCs w:val="24"/>
        </w:rPr>
        <w:t xml:space="preserve">Sujeto Obligado </w:t>
      </w:r>
      <w:r>
        <w:rPr>
          <w:rFonts w:ascii="Palatino Linotype" w:hAnsi="Palatino Linotype" w:cs="Arial"/>
          <w:sz w:val="24"/>
          <w:szCs w:val="24"/>
        </w:rPr>
        <w:t xml:space="preserve">colmó de manera parcial el requerimiento identificado con el numeral </w:t>
      </w:r>
      <w:r>
        <w:rPr>
          <w:rFonts w:ascii="Palatino Linotype" w:hAnsi="Palatino Linotype" w:cs="Arial"/>
          <w:b/>
          <w:sz w:val="24"/>
          <w:szCs w:val="24"/>
        </w:rPr>
        <w:t xml:space="preserve">1, </w:t>
      </w:r>
      <w:r>
        <w:rPr>
          <w:rFonts w:ascii="Palatino Linotype" w:hAnsi="Palatino Linotype" w:cs="Arial"/>
          <w:sz w:val="24"/>
          <w:szCs w:val="24"/>
        </w:rPr>
        <w:t xml:space="preserve">al haber remitido </w:t>
      </w:r>
      <w:r w:rsidR="004B6CE1">
        <w:rPr>
          <w:rFonts w:ascii="Palatino Linotype" w:hAnsi="Palatino Linotype" w:cs="Arial"/>
          <w:sz w:val="24"/>
          <w:szCs w:val="24"/>
        </w:rPr>
        <w:t xml:space="preserve">los permisos de obra en la infraestructura vial local; obras o instalaciones de redes subterráneas, así como de ruptura o corte de pavimento,  todos ellos correspondientes a los ejercicios fiscales dos mil dieciséis, dos mil diecisiete y dos mil dieciocho. </w:t>
      </w:r>
    </w:p>
    <w:p w:rsidR="0064503A" w:rsidRDefault="00976B2B" w:rsidP="00976B2B">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sz w:val="24"/>
          <w:szCs w:val="24"/>
        </w:rPr>
        <w:t xml:space="preserve">Sujeto Obligado, </w:t>
      </w:r>
      <w:r w:rsidR="0064503A">
        <w:rPr>
          <w:rFonts w:ascii="Palatino Linotype" w:hAnsi="Palatino Linotype"/>
          <w:b/>
          <w:sz w:val="24"/>
          <w:szCs w:val="24"/>
        </w:rPr>
        <w:t xml:space="preserve">El Recurrente </w:t>
      </w:r>
      <w:r w:rsidR="0064503A">
        <w:rPr>
          <w:rFonts w:ascii="Palatino Linotype" w:hAnsi="Palatino Linotype"/>
          <w:sz w:val="24"/>
          <w:szCs w:val="24"/>
        </w:rPr>
        <w:t>interpuso de manera física el recurso de revisión en fecha uno de febrero, admitiéndose el once de febrero, ambos del año dos mil diecinueve. Señalando múltiples razones o motivos de inconformidad</w:t>
      </w:r>
      <w:r w:rsidR="00E378B8">
        <w:rPr>
          <w:rFonts w:ascii="Palatino Linotype" w:hAnsi="Palatino Linotype"/>
          <w:sz w:val="24"/>
          <w:szCs w:val="24"/>
        </w:rPr>
        <w:t xml:space="preserve">, mismos </w:t>
      </w:r>
      <w:r w:rsidR="0064503A">
        <w:rPr>
          <w:rFonts w:ascii="Palatino Linotype" w:hAnsi="Palatino Linotype"/>
          <w:sz w:val="24"/>
          <w:szCs w:val="24"/>
        </w:rPr>
        <w:t>que se tienen por reproducid</w:t>
      </w:r>
      <w:r w:rsidR="00E378B8">
        <w:rPr>
          <w:rFonts w:ascii="Palatino Linotype" w:hAnsi="Palatino Linotype"/>
          <w:sz w:val="24"/>
          <w:szCs w:val="24"/>
        </w:rPr>
        <w:t>o</w:t>
      </w:r>
      <w:r w:rsidR="0064503A">
        <w:rPr>
          <w:rFonts w:ascii="Palatino Linotype" w:hAnsi="Palatino Linotype"/>
          <w:sz w:val="24"/>
          <w:szCs w:val="24"/>
        </w:rPr>
        <w:t>s, en virtud de que han sido materia d</w:t>
      </w:r>
      <w:r w:rsidR="00E378B8">
        <w:rPr>
          <w:rFonts w:ascii="Palatino Linotype" w:hAnsi="Palatino Linotype"/>
          <w:sz w:val="24"/>
          <w:szCs w:val="24"/>
        </w:rPr>
        <w:t xml:space="preserve">e análisis del antecedente tercero. </w:t>
      </w:r>
    </w:p>
    <w:p w:rsidR="00E378B8" w:rsidRDefault="00E378B8" w:rsidP="00976B2B">
      <w:pPr>
        <w:spacing w:before="240" w:line="360" w:lineRule="auto"/>
        <w:jc w:val="both"/>
        <w:rPr>
          <w:rFonts w:ascii="Palatino Linotype" w:hAnsi="Palatino Linotype"/>
          <w:sz w:val="24"/>
          <w:szCs w:val="24"/>
        </w:rPr>
      </w:pPr>
      <w:r>
        <w:rPr>
          <w:rFonts w:ascii="Palatino Linotype" w:hAnsi="Palatino Linotype"/>
          <w:sz w:val="24"/>
          <w:szCs w:val="24"/>
        </w:rPr>
        <w:t>Por otra parte, como fue mencionado en el antecedente quinto, una vez abierta la etapa de instrucción se puntualiza que esta Ponencia Resolutora se allegó de lo siguiente:</w:t>
      </w:r>
    </w:p>
    <w:p w:rsidR="00A3121D" w:rsidRDefault="00F06C8C" w:rsidP="00E378B8">
      <w:pPr>
        <w:pStyle w:val="Prrafodelista"/>
        <w:numPr>
          <w:ilvl w:val="0"/>
          <w:numId w:val="31"/>
        </w:numPr>
        <w:spacing w:before="240" w:line="360" w:lineRule="auto"/>
        <w:jc w:val="both"/>
        <w:rPr>
          <w:rFonts w:ascii="Palatino Linotype" w:hAnsi="Palatino Linotype"/>
        </w:rPr>
      </w:pPr>
      <w:r>
        <w:rPr>
          <w:rFonts w:ascii="Palatino Linotype" w:hAnsi="Palatino Linotype"/>
          <w:b/>
        </w:rPr>
        <w:t xml:space="preserve"> </w:t>
      </w:r>
      <w:r w:rsidR="00433F89">
        <w:rPr>
          <w:rFonts w:ascii="Palatino Linotype" w:hAnsi="Palatino Linotype"/>
          <w:b/>
        </w:rPr>
        <w:t xml:space="preserve">“R </w:t>
      </w:r>
      <w:proofErr w:type="spellStart"/>
      <w:r w:rsidR="00433F89">
        <w:rPr>
          <w:rFonts w:ascii="Palatino Linotype" w:hAnsi="Palatino Linotype"/>
          <w:b/>
        </w:rPr>
        <w:t>R</w:t>
      </w:r>
      <w:proofErr w:type="spellEnd"/>
      <w:r w:rsidR="00433F89">
        <w:rPr>
          <w:rFonts w:ascii="Palatino Linotype" w:hAnsi="Palatino Linotype"/>
          <w:b/>
        </w:rPr>
        <w:t xml:space="preserve"> 0005  ANEXO 1.pdf”: </w:t>
      </w:r>
      <w:r w:rsidR="00433F89">
        <w:rPr>
          <w:rFonts w:ascii="Palatino Linotype" w:hAnsi="Palatino Linotype"/>
        </w:rPr>
        <w:t xml:space="preserve">Escrito libre signado por el ciudadano y dirigido a la Titular de la Unidad de Transparencia, mediante el cual se ejerce el derecho de acceso a la información pública, formulando diversos requerimientos; de fecha trece de diciembre, con sello plasmado el día catorce de diciembre, ambos del año dos mil dieciocho. </w:t>
      </w:r>
    </w:p>
    <w:p w:rsidR="00E378B8" w:rsidRDefault="00AE52E0" w:rsidP="00E378B8">
      <w:pPr>
        <w:pStyle w:val="Prrafodelista"/>
        <w:numPr>
          <w:ilvl w:val="0"/>
          <w:numId w:val="31"/>
        </w:numPr>
        <w:spacing w:before="240" w:line="360" w:lineRule="auto"/>
        <w:jc w:val="both"/>
        <w:rPr>
          <w:rFonts w:ascii="Palatino Linotype" w:hAnsi="Palatino Linotype"/>
        </w:rPr>
      </w:pPr>
      <w:r>
        <w:rPr>
          <w:rFonts w:ascii="Palatino Linotype" w:hAnsi="Palatino Linotype"/>
        </w:rPr>
        <w:t xml:space="preserve"> </w:t>
      </w:r>
      <w:r w:rsidR="00C714E9">
        <w:rPr>
          <w:rFonts w:ascii="Palatino Linotype" w:hAnsi="Palatino Linotype"/>
          <w:b/>
        </w:rPr>
        <w:t xml:space="preserve">“RR 0005 ANEXO 2.pdf”: </w:t>
      </w:r>
      <w:r w:rsidR="00612D10">
        <w:rPr>
          <w:rFonts w:ascii="Palatino Linotype" w:hAnsi="Palatino Linotype"/>
        </w:rPr>
        <w:t xml:space="preserve">Oficio </w:t>
      </w:r>
      <w:r w:rsidR="004D2ADF">
        <w:rPr>
          <w:rFonts w:ascii="Palatino Linotype" w:hAnsi="Palatino Linotype"/>
        </w:rPr>
        <w:t xml:space="preserve">número </w:t>
      </w:r>
      <w:r w:rsidR="00612D10">
        <w:rPr>
          <w:rFonts w:ascii="Palatino Linotype" w:hAnsi="Palatino Linotype"/>
          <w:b/>
        </w:rPr>
        <w:t xml:space="preserve">DGDUYOP/113/2019 </w:t>
      </w:r>
      <w:r w:rsidR="00612D10">
        <w:rPr>
          <w:rFonts w:ascii="Palatino Linotype" w:hAnsi="Palatino Linotype"/>
        </w:rPr>
        <w:t xml:space="preserve">signado por el Director General de Desarrollo Urbano y Obra Pública, manifiesta remitir lista que contiene folio, fecha de ingreso y nombre de la empresa, respecto de los permisos de obra en la infraestructura vial local, obras o instalaciones de redes subterráneas, ruptura o corte de pavimento, otorgados durante los ejercicios </w:t>
      </w:r>
      <w:r w:rsidR="00612D10">
        <w:rPr>
          <w:rFonts w:ascii="Palatino Linotype" w:hAnsi="Palatino Linotype"/>
        </w:rPr>
        <w:lastRenderedPageBreak/>
        <w:t xml:space="preserve">fiscales dos mil dieciséis, dos mil diecisiete y dos mil dieciocho. Asimismo, precisa que el Comité de Transparencia no ha sido debidamente integrado; de fecha dieciocho de enero de dos mil diecinueve. </w:t>
      </w:r>
    </w:p>
    <w:p w:rsidR="00612D10" w:rsidRDefault="00612D10" w:rsidP="00E378B8">
      <w:pPr>
        <w:pStyle w:val="Prrafodelista"/>
        <w:numPr>
          <w:ilvl w:val="0"/>
          <w:numId w:val="31"/>
        </w:numPr>
        <w:spacing w:before="240" w:line="360" w:lineRule="auto"/>
        <w:jc w:val="both"/>
        <w:rPr>
          <w:rFonts w:ascii="Palatino Linotype" w:hAnsi="Palatino Linotype"/>
        </w:rPr>
      </w:pPr>
      <w:r>
        <w:rPr>
          <w:rFonts w:ascii="Palatino Linotype" w:hAnsi="Palatino Linotype"/>
          <w:b/>
        </w:rPr>
        <w:t xml:space="preserve">“RR 0005 ANEXO 3.pdf”: </w:t>
      </w:r>
      <w:r>
        <w:rPr>
          <w:rFonts w:ascii="Palatino Linotype" w:hAnsi="Palatino Linotype"/>
        </w:rPr>
        <w:t xml:space="preserve">Oficio </w:t>
      </w:r>
      <w:r w:rsidR="004D2ADF">
        <w:rPr>
          <w:rFonts w:ascii="Palatino Linotype" w:hAnsi="Palatino Linotype"/>
        </w:rPr>
        <w:t xml:space="preserve">número </w:t>
      </w:r>
      <w:r>
        <w:rPr>
          <w:rFonts w:ascii="Palatino Linotype" w:hAnsi="Palatino Linotype"/>
          <w:b/>
        </w:rPr>
        <w:t xml:space="preserve">UT/113/2019 </w:t>
      </w:r>
      <w:r>
        <w:rPr>
          <w:rFonts w:ascii="Palatino Linotype" w:hAnsi="Palatino Linotype"/>
        </w:rPr>
        <w:t xml:space="preserve">signado por la Titular de la Unidad de Transparencia y dirigido al Comisionado en turno, manifiesta remitir recurso de revisión interpuesto de manera física y consistente en tres fojas escritas por uno de sus lados, así como </w:t>
      </w:r>
      <w:r w:rsidRPr="00612D10">
        <w:rPr>
          <w:rFonts w:ascii="Palatino Linotype" w:hAnsi="Palatino Linotype"/>
          <w:b/>
        </w:rPr>
        <w:t>12</w:t>
      </w:r>
      <w:r>
        <w:rPr>
          <w:rFonts w:ascii="Palatino Linotype" w:hAnsi="Palatino Linotype"/>
        </w:rPr>
        <w:t xml:space="preserve"> (doce) anexos; de fecha uno de febrero de dos mil diecinueve. </w:t>
      </w:r>
    </w:p>
    <w:p w:rsidR="00612D10" w:rsidRDefault="00612D10" w:rsidP="00E378B8">
      <w:pPr>
        <w:pStyle w:val="Prrafodelista"/>
        <w:numPr>
          <w:ilvl w:val="0"/>
          <w:numId w:val="31"/>
        </w:numPr>
        <w:spacing w:before="240" w:line="360" w:lineRule="auto"/>
        <w:jc w:val="both"/>
        <w:rPr>
          <w:rFonts w:ascii="Palatino Linotype" w:hAnsi="Palatino Linotype"/>
        </w:rPr>
      </w:pPr>
      <w:r>
        <w:rPr>
          <w:rFonts w:ascii="Palatino Linotype" w:hAnsi="Palatino Linotype"/>
          <w:b/>
        </w:rPr>
        <w:t xml:space="preserve">“RR 00005 ANEXO 4.pdf”: </w:t>
      </w:r>
      <w:r>
        <w:rPr>
          <w:rFonts w:ascii="Palatino Linotype" w:hAnsi="Palatino Linotype"/>
        </w:rPr>
        <w:t xml:space="preserve">Oficio </w:t>
      </w:r>
      <w:r w:rsidR="004D2ADF">
        <w:rPr>
          <w:rFonts w:ascii="Palatino Linotype" w:hAnsi="Palatino Linotype"/>
        </w:rPr>
        <w:t xml:space="preserve">número </w:t>
      </w:r>
      <w:r>
        <w:rPr>
          <w:rFonts w:ascii="Palatino Linotype" w:hAnsi="Palatino Linotype"/>
          <w:b/>
        </w:rPr>
        <w:t xml:space="preserve">UT/172/2019 </w:t>
      </w:r>
      <w:r>
        <w:rPr>
          <w:rFonts w:ascii="Palatino Linotype" w:hAnsi="Palatino Linotype"/>
        </w:rPr>
        <w:t>signado por la Titular de la Unidad de Transparencia y dirigido al Director General de Desarrollo Urbano y Obra Pública, manifiesta requerir las manifestaciones estimadas pertinentes con el objetivo de integrar el informe justificado, en un plazo m</w:t>
      </w:r>
      <w:r w:rsidR="004D2ADF">
        <w:rPr>
          <w:rFonts w:ascii="Palatino Linotype" w:hAnsi="Palatino Linotype"/>
        </w:rPr>
        <w:t>áximo de tres días hábiles; de fecha trece de febrero de dos mil diecinueve.</w:t>
      </w:r>
    </w:p>
    <w:p w:rsidR="004D2ADF" w:rsidRDefault="004D2ADF" w:rsidP="00E378B8">
      <w:pPr>
        <w:pStyle w:val="Prrafodelista"/>
        <w:numPr>
          <w:ilvl w:val="0"/>
          <w:numId w:val="31"/>
        </w:numPr>
        <w:spacing w:before="240" w:line="360" w:lineRule="auto"/>
        <w:jc w:val="both"/>
        <w:rPr>
          <w:rFonts w:ascii="Palatino Linotype" w:hAnsi="Palatino Linotype"/>
        </w:rPr>
      </w:pPr>
      <w:r>
        <w:rPr>
          <w:rFonts w:ascii="Palatino Linotype" w:hAnsi="Palatino Linotype"/>
          <w:b/>
        </w:rPr>
        <w:t xml:space="preserve">“RR 00005 ANEXO 5.pdf”: </w:t>
      </w:r>
      <w:r>
        <w:rPr>
          <w:rFonts w:ascii="Palatino Linotype" w:hAnsi="Palatino Linotype"/>
        </w:rPr>
        <w:t xml:space="preserve">Oficio número </w:t>
      </w:r>
      <w:r>
        <w:rPr>
          <w:rFonts w:ascii="Palatino Linotype" w:hAnsi="Palatino Linotype"/>
          <w:b/>
        </w:rPr>
        <w:t xml:space="preserve">D.G.D.U.Y.O.P./857/2019 </w:t>
      </w:r>
      <w:r>
        <w:rPr>
          <w:rFonts w:ascii="Palatino Linotype" w:hAnsi="Palatino Linotype"/>
        </w:rPr>
        <w:t xml:space="preserve">signado por el Director General de Desarrollo Urbano y Obra Pública y dirigido a la Titular de la Unidad de Transparencia, manifiesta que la información </w:t>
      </w:r>
      <w:r w:rsidR="00B90770">
        <w:rPr>
          <w:rFonts w:ascii="Palatino Linotype" w:hAnsi="Palatino Linotype"/>
        </w:rPr>
        <w:t>requerida</w:t>
      </w:r>
      <w:r>
        <w:rPr>
          <w:rFonts w:ascii="Palatino Linotype" w:hAnsi="Palatino Linotype"/>
        </w:rPr>
        <w:t xml:space="preserve"> fue clasificada como información reservada por un periodo de cinco años mediante la segunda sesión extraordinaria de fecha dieciocho de febrero del año en curso con número de acuerdo </w:t>
      </w:r>
      <w:r>
        <w:rPr>
          <w:rFonts w:ascii="Palatino Linotype" w:hAnsi="Palatino Linotype"/>
          <w:b/>
        </w:rPr>
        <w:t xml:space="preserve">CT/SE/02/05/2019; </w:t>
      </w:r>
      <w:r>
        <w:rPr>
          <w:rFonts w:ascii="Palatino Linotype" w:hAnsi="Palatino Linotype"/>
        </w:rPr>
        <w:t>de fecha dieciocho de febrero del dos mil diecinueve.</w:t>
      </w:r>
    </w:p>
    <w:p w:rsidR="00AE52E0" w:rsidRDefault="004D2ADF" w:rsidP="00E378B8">
      <w:pPr>
        <w:pStyle w:val="Prrafodelista"/>
        <w:numPr>
          <w:ilvl w:val="0"/>
          <w:numId w:val="31"/>
        </w:numPr>
        <w:spacing w:before="240" w:line="360" w:lineRule="auto"/>
        <w:jc w:val="both"/>
        <w:rPr>
          <w:rFonts w:ascii="Palatino Linotype" w:hAnsi="Palatino Linotype"/>
        </w:rPr>
      </w:pPr>
      <w:r>
        <w:rPr>
          <w:rFonts w:ascii="Palatino Linotype" w:hAnsi="Palatino Linotype"/>
          <w:b/>
        </w:rPr>
        <w:t>“</w:t>
      </w:r>
      <w:r w:rsidR="00B90770">
        <w:rPr>
          <w:rFonts w:ascii="Palatino Linotype" w:hAnsi="Palatino Linotype"/>
          <w:b/>
        </w:rPr>
        <w:t xml:space="preserve">RR 00005 ANEXO 6.pdf”: </w:t>
      </w:r>
      <w:r w:rsidR="009712B7">
        <w:rPr>
          <w:rFonts w:ascii="Palatino Linotype" w:hAnsi="Palatino Linotype"/>
        </w:rPr>
        <w:t>Compila la siguiente información:</w:t>
      </w:r>
    </w:p>
    <w:p w:rsidR="009712B7" w:rsidRDefault="009712B7" w:rsidP="009712B7">
      <w:pPr>
        <w:pStyle w:val="Prrafodelista"/>
        <w:numPr>
          <w:ilvl w:val="0"/>
          <w:numId w:val="32"/>
        </w:numPr>
        <w:spacing w:before="240" w:line="360" w:lineRule="auto"/>
        <w:jc w:val="both"/>
        <w:rPr>
          <w:rFonts w:ascii="Palatino Linotype" w:hAnsi="Palatino Linotype"/>
        </w:rPr>
      </w:pPr>
      <w:r>
        <w:rPr>
          <w:rFonts w:ascii="Palatino Linotype" w:hAnsi="Palatino Linotype"/>
        </w:rPr>
        <w:lastRenderedPageBreak/>
        <w:t xml:space="preserve">Oficio número </w:t>
      </w:r>
      <w:proofErr w:type="spellStart"/>
      <w:r>
        <w:rPr>
          <w:rFonts w:ascii="Palatino Linotype" w:hAnsi="Palatino Linotype"/>
          <w:b/>
        </w:rPr>
        <w:t>DGDUyOP</w:t>
      </w:r>
      <w:proofErr w:type="spellEnd"/>
      <w:r>
        <w:rPr>
          <w:rFonts w:ascii="Palatino Linotype" w:hAnsi="Palatino Linotype"/>
          <w:b/>
        </w:rPr>
        <w:t xml:space="preserve">/CAT/003/2019:  </w:t>
      </w:r>
      <w:r>
        <w:rPr>
          <w:rFonts w:ascii="Palatino Linotype" w:hAnsi="Palatino Linotype"/>
        </w:rPr>
        <w:t>Signado por el Coordinador de Apoyo Técnico y Servidor Público Habilitado Suplente y dirigido a la Titular de la Unidad de Transparencia, propone la clasificación de la información requerida como reservada, asimismo, manifiesta adjuntar la prueba de daño, a efecto de que su propuesta sea sometida al Comité de Transparencia; de fecha quince de febrero de dos mil diecinueve.</w:t>
      </w:r>
    </w:p>
    <w:p w:rsidR="009712B7" w:rsidRDefault="009712B7" w:rsidP="009712B7">
      <w:pPr>
        <w:pStyle w:val="Prrafodelista"/>
        <w:numPr>
          <w:ilvl w:val="0"/>
          <w:numId w:val="32"/>
        </w:numPr>
        <w:spacing w:before="240" w:line="360" w:lineRule="auto"/>
        <w:jc w:val="both"/>
        <w:rPr>
          <w:rFonts w:ascii="Palatino Linotype" w:hAnsi="Palatino Linotype"/>
        </w:rPr>
      </w:pPr>
      <w:r>
        <w:rPr>
          <w:rFonts w:ascii="Palatino Linotype" w:hAnsi="Palatino Linotype"/>
        </w:rPr>
        <w:t xml:space="preserve">Propuesta de clasificación de información: Contiene diversos datos tales como datos de la unidad administrativa, datos de la información a clasificar, fundamentación, motivación, entre otros; de fecha quince de febrero de dos mil diecinueve. </w:t>
      </w:r>
    </w:p>
    <w:p w:rsidR="009712B7" w:rsidRDefault="009712B7" w:rsidP="009712B7">
      <w:pPr>
        <w:pStyle w:val="Prrafodelista"/>
        <w:numPr>
          <w:ilvl w:val="0"/>
          <w:numId w:val="32"/>
        </w:numPr>
        <w:spacing w:before="240" w:line="360" w:lineRule="auto"/>
        <w:jc w:val="both"/>
        <w:rPr>
          <w:rFonts w:ascii="Palatino Linotype" w:hAnsi="Palatino Linotype"/>
        </w:rPr>
      </w:pPr>
      <w:r>
        <w:rPr>
          <w:rFonts w:ascii="Palatino Linotype" w:hAnsi="Palatino Linotype"/>
        </w:rPr>
        <w:t xml:space="preserve">Prueba de daño: Contiene diversos datos tales como fundamento legal, interés en conflicto, daño probable y daño especifico. </w:t>
      </w:r>
    </w:p>
    <w:p w:rsidR="009712B7" w:rsidRDefault="009712B7" w:rsidP="009712B7">
      <w:pPr>
        <w:pStyle w:val="Prrafodelista"/>
        <w:numPr>
          <w:ilvl w:val="0"/>
          <w:numId w:val="31"/>
        </w:numPr>
        <w:spacing w:before="240" w:line="360" w:lineRule="auto"/>
        <w:jc w:val="both"/>
        <w:rPr>
          <w:rFonts w:ascii="Palatino Linotype" w:hAnsi="Palatino Linotype"/>
        </w:rPr>
      </w:pPr>
      <w:r>
        <w:rPr>
          <w:rFonts w:ascii="Palatino Linotype" w:hAnsi="Palatino Linotype"/>
          <w:b/>
        </w:rPr>
        <w:t xml:space="preserve">“CTSE0219 acta.pdf”: </w:t>
      </w:r>
      <w:r>
        <w:rPr>
          <w:rFonts w:ascii="Palatino Linotype" w:hAnsi="Palatino Linotype"/>
        </w:rPr>
        <w:t xml:space="preserve">Acta del Comité de Transparencia correspondiente a la sesión extraordinaria número </w:t>
      </w:r>
      <w:r>
        <w:rPr>
          <w:rFonts w:ascii="Palatino Linotype" w:hAnsi="Palatino Linotype"/>
          <w:b/>
        </w:rPr>
        <w:t>CT/SE/02/2019</w:t>
      </w:r>
      <w:r>
        <w:rPr>
          <w:rFonts w:ascii="Palatino Linotype" w:hAnsi="Palatino Linotype"/>
        </w:rPr>
        <w:t xml:space="preserve">, en el punto número </w:t>
      </w:r>
      <w:r>
        <w:rPr>
          <w:rFonts w:ascii="Palatino Linotype" w:hAnsi="Palatino Linotype"/>
          <w:b/>
        </w:rPr>
        <w:t xml:space="preserve">7, </w:t>
      </w:r>
      <w:r>
        <w:rPr>
          <w:rFonts w:ascii="Palatino Linotype" w:hAnsi="Palatino Linotype"/>
        </w:rPr>
        <w:t xml:space="preserve">apartado </w:t>
      </w:r>
      <w:r w:rsidRPr="001772D5">
        <w:rPr>
          <w:rFonts w:ascii="Palatino Linotype" w:hAnsi="Palatino Linotype"/>
          <w:b/>
        </w:rPr>
        <w:t>A</w:t>
      </w:r>
      <w:r>
        <w:rPr>
          <w:rFonts w:ascii="Palatino Linotype" w:hAnsi="Palatino Linotype"/>
        </w:rPr>
        <w:t xml:space="preserve"> del orden del día se aprueba la clasificación como reservada de la información contenida en los expedientes de los permisos de obra en la infraestructura vial local; de fecha dieciocho de febrero de dos mil diecinueve. </w:t>
      </w:r>
    </w:p>
    <w:p w:rsidR="00F06C8C" w:rsidRDefault="009712B7" w:rsidP="009712B7">
      <w:pPr>
        <w:pStyle w:val="Prrafodelista"/>
        <w:numPr>
          <w:ilvl w:val="0"/>
          <w:numId w:val="31"/>
        </w:numPr>
        <w:spacing w:before="240" w:line="360" w:lineRule="auto"/>
        <w:jc w:val="both"/>
        <w:rPr>
          <w:rFonts w:ascii="Palatino Linotype" w:hAnsi="Palatino Linotype"/>
        </w:rPr>
      </w:pPr>
      <w:r>
        <w:rPr>
          <w:rFonts w:ascii="Palatino Linotype" w:hAnsi="Palatino Linotype"/>
        </w:rPr>
        <w:t xml:space="preserve"> </w:t>
      </w:r>
      <w:r w:rsidR="00F06C8C">
        <w:rPr>
          <w:rFonts w:ascii="Palatino Linotype" w:hAnsi="Palatino Linotype"/>
          <w:b/>
        </w:rPr>
        <w:t>“</w:t>
      </w:r>
      <w:proofErr w:type="spellStart"/>
      <w:r w:rsidR="00F06C8C">
        <w:rPr>
          <w:rFonts w:ascii="Palatino Linotype" w:hAnsi="Palatino Linotype"/>
          <w:b/>
        </w:rPr>
        <w:t>EscaneoINFOR</w:t>
      </w:r>
      <w:proofErr w:type="spellEnd"/>
      <w:r w:rsidR="00F06C8C">
        <w:rPr>
          <w:rFonts w:ascii="Palatino Linotype" w:hAnsi="Palatino Linotype"/>
          <w:b/>
        </w:rPr>
        <w:t xml:space="preserve"> JUST 05.pdf”: </w:t>
      </w:r>
      <w:r w:rsidR="00F06C8C">
        <w:rPr>
          <w:rFonts w:ascii="Palatino Linotype" w:hAnsi="Palatino Linotype"/>
        </w:rPr>
        <w:t xml:space="preserve">Informe justificado signado por la Titular de la Unidad de Transparencia y dirigido a la Comisionada Ponente, expone diversos antecedentes, manifiesta remitir diversos anexos y precisa que su informe justificado se encuentra encauzado a modificar la respuesta primigenia </w:t>
      </w:r>
      <w:r w:rsidR="00F06C8C">
        <w:rPr>
          <w:rFonts w:ascii="Palatino Linotype" w:hAnsi="Palatino Linotype"/>
        </w:rPr>
        <w:lastRenderedPageBreak/>
        <w:t xml:space="preserve">al tratarse de información que por su propia naturaleza debe de ser clasificada como reservada; de veintinueve de febrero de dos mil diecinueve. </w:t>
      </w:r>
    </w:p>
    <w:p w:rsidR="004030D8" w:rsidRDefault="004030D8" w:rsidP="00976B2B">
      <w:pPr>
        <w:spacing w:before="240" w:line="360" w:lineRule="auto"/>
        <w:jc w:val="both"/>
        <w:rPr>
          <w:rFonts w:ascii="Palatino Linotype" w:hAnsi="Palatino Linotype"/>
          <w:sz w:val="24"/>
          <w:szCs w:val="24"/>
        </w:rPr>
      </w:pPr>
    </w:p>
    <w:p w:rsidR="0036127E" w:rsidRDefault="004030D8" w:rsidP="00976B2B">
      <w:pPr>
        <w:spacing w:before="240" w:line="360" w:lineRule="auto"/>
        <w:jc w:val="both"/>
        <w:rPr>
          <w:rFonts w:ascii="Palatino Linotype" w:hAnsi="Palatino Linotype"/>
          <w:sz w:val="24"/>
          <w:szCs w:val="24"/>
        </w:rPr>
      </w:pPr>
      <w:r>
        <w:rPr>
          <w:rFonts w:ascii="Palatino Linotype" w:hAnsi="Palatino Linotype"/>
          <w:sz w:val="24"/>
          <w:szCs w:val="24"/>
        </w:rPr>
        <w:t xml:space="preserve">Por otra parte, no resulta desapercibido para este Órgano Garante que </w:t>
      </w:r>
      <w:r w:rsidR="0036127E">
        <w:rPr>
          <w:rFonts w:ascii="Palatino Linotype" w:hAnsi="Palatino Linotype"/>
          <w:sz w:val="24"/>
          <w:szCs w:val="24"/>
        </w:rPr>
        <w:t xml:space="preserve">el cuatro de marzo de los corrientes, </w:t>
      </w:r>
      <w:r w:rsidR="0036127E">
        <w:rPr>
          <w:rFonts w:ascii="Palatino Linotype" w:hAnsi="Palatino Linotype"/>
          <w:b/>
          <w:sz w:val="24"/>
          <w:szCs w:val="24"/>
        </w:rPr>
        <w:t xml:space="preserve">El Recurrente </w:t>
      </w:r>
      <w:r w:rsidR="0036127E">
        <w:rPr>
          <w:rFonts w:ascii="Palatino Linotype" w:hAnsi="Palatino Linotype"/>
          <w:sz w:val="24"/>
          <w:szCs w:val="24"/>
        </w:rPr>
        <w:t>rindi</w:t>
      </w:r>
      <w:r w:rsidR="00143961">
        <w:rPr>
          <w:rFonts w:ascii="Palatino Linotype" w:hAnsi="Palatino Linotype"/>
          <w:sz w:val="24"/>
          <w:szCs w:val="24"/>
        </w:rPr>
        <w:t>ó</w:t>
      </w:r>
      <w:r w:rsidR="0036127E">
        <w:rPr>
          <w:rFonts w:ascii="Palatino Linotype" w:hAnsi="Palatino Linotype"/>
          <w:sz w:val="24"/>
          <w:szCs w:val="24"/>
        </w:rPr>
        <w:t xml:space="preserve"> múltiples manifestaciones, </w:t>
      </w:r>
      <w:r w:rsidR="00244E09">
        <w:rPr>
          <w:rFonts w:ascii="Palatino Linotype" w:hAnsi="Palatino Linotype"/>
          <w:sz w:val="24"/>
          <w:szCs w:val="24"/>
        </w:rPr>
        <w:t>mismas que se exponen de forma sintetizada a continuación:</w:t>
      </w:r>
    </w:p>
    <w:p w:rsidR="004030D8" w:rsidRDefault="0036127E" w:rsidP="0036127E">
      <w:pPr>
        <w:pStyle w:val="Prrafodelista"/>
        <w:numPr>
          <w:ilvl w:val="0"/>
          <w:numId w:val="33"/>
        </w:numPr>
        <w:spacing w:before="240" w:line="360" w:lineRule="auto"/>
        <w:jc w:val="both"/>
        <w:rPr>
          <w:rFonts w:ascii="Palatino Linotype" w:hAnsi="Palatino Linotype"/>
        </w:rPr>
      </w:pPr>
      <w:r>
        <w:rPr>
          <w:rFonts w:ascii="Palatino Linotype" w:hAnsi="Palatino Linotype"/>
        </w:rPr>
        <w:t xml:space="preserve">El acuerdo hace referencia a un informe justificado perteneciente distinto al del presente </w:t>
      </w:r>
      <w:r w:rsidR="007B7AF6">
        <w:rPr>
          <w:rFonts w:ascii="Palatino Linotype" w:hAnsi="Palatino Linotype"/>
        </w:rPr>
        <w:t>recurso, por tanto no debe ser tomado en cuenta.</w:t>
      </w:r>
    </w:p>
    <w:p w:rsidR="007B7AF6" w:rsidRDefault="007B7AF6" w:rsidP="0036127E">
      <w:pPr>
        <w:pStyle w:val="Prrafodelista"/>
        <w:numPr>
          <w:ilvl w:val="0"/>
          <w:numId w:val="33"/>
        </w:numPr>
        <w:spacing w:before="240" w:line="360" w:lineRule="auto"/>
        <w:jc w:val="both"/>
        <w:rPr>
          <w:rFonts w:ascii="Palatino Linotype" w:hAnsi="Palatino Linotype"/>
        </w:rPr>
      </w:pPr>
      <w:r>
        <w:rPr>
          <w:rFonts w:ascii="Palatino Linotype" w:hAnsi="Palatino Linotype"/>
        </w:rPr>
        <w:t xml:space="preserve">El acta del Comité de Transparencia remitida por </w:t>
      </w:r>
      <w:r>
        <w:rPr>
          <w:rFonts w:ascii="Palatino Linotype" w:hAnsi="Palatino Linotype"/>
          <w:b/>
        </w:rPr>
        <w:t xml:space="preserve">El Sujeto Obligado </w:t>
      </w:r>
      <w:r>
        <w:rPr>
          <w:rFonts w:ascii="Palatino Linotype" w:hAnsi="Palatino Linotype"/>
        </w:rPr>
        <w:t>carece de firmas autógrafas.</w:t>
      </w:r>
    </w:p>
    <w:p w:rsidR="007B7AF6" w:rsidRDefault="007B7AF6" w:rsidP="0036127E">
      <w:pPr>
        <w:pStyle w:val="Prrafodelista"/>
        <w:numPr>
          <w:ilvl w:val="0"/>
          <w:numId w:val="33"/>
        </w:numPr>
        <w:spacing w:before="240" w:line="360" w:lineRule="auto"/>
        <w:jc w:val="both"/>
        <w:rPr>
          <w:rFonts w:ascii="Palatino Linotype" w:hAnsi="Palatino Linotype"/>
        </w:rPr>
      </w:pPr>
      <w:r>
        <w:rPr>
          <w:rFonts w:ascii="Palatino Linotype" w:hAnsi="Palatino Linotype"/>
          <w:b/>
        </w:rPr>
        <w:t xml:space="preserve">El Sujeto Obligado </w:t>
      </w:r>
      <w:r>
        <w:rPr>
          <w:rFonts w:ascii="Palatino Linotype" w:hAnsi="Palatino Linotype"/>
        </w:rPr>
        <w:t xml:space="preserve">debió de fundar y motivar la clasificación de la información, siendo lo más congruente y exhaustivo posible. </w:t>
      </w:r>
    </w:p>
    <w:p w:rsidR="007B7AF6" w:rsidRDefault="007B7AF6" w:rsidP="007B7AF6">
      <w:pPr>
        <w:spacing w:before="240" w:line="360" w:lineRule="auto"/>
        <w:jc w:val="both"/>
        <w:rPr>
          <w:rFonts w:ascii="Palatino Linotype" w:hAnsi="Palatino Linotype"/>
        </w:rPr>
      </w:pPr>
    </w:p>
    <w:p w:rsidR="00221C42" w:rsidRPr="00143961" w:rsidRDefault="007B7AF6" w:rsidP="007B7AF6">
      <w:pPr>
        <w:spacing w:before="240" w:line="360" w:lineRule="auto"/>
        <w:jc w:val="both"/>
        <w:rPr>
          <w:rFonts w:ascii="Palatino Linotype" w:hAnsi="Palatino Linotype"/>
          <w:sz w:val="24"/>
          <w:szCs w:val="24"/>
        </w:rPr>
      </w:pPr>
      <w:r w:rsidRPr="007B7AF6">
        <w:rPr>
          <w:rFonts w:ascii="Palatino Linotype" w:hAnsi="Palatino Linotype"/>
          <w:sz w:val="24"/>
          <w:szCs w:val="24"/>
        </w:rPr>
        <w:t xml:space="preserve">Una vez sentado lo anterior, </w:t>
      </w:r>
      <w:r w:rsidR="00221C42">
        <w:rPr>
          <w:rFonts w:ascii="Palatino Linotype" w:hAnsi="Palatino Linotype"/>
          <w:sz w:val="24"/>
          <w:szCs w:val="24"/>
        </w:rPr>
        <w:t xml:space="preserve">resulta oportuno mencionar que la ejecución de obras subterráneas, englobando lo relativo a la instalación, mantenimiento o retiro de gasoductos deberán de ser aprobados mediante  el permiso de obra correspondiente, </w:t>
      </w:r>
      <w:r w:rsidR="00221C42" w:rsidRPr="00143961">
        <w:rPr>
          <w:rFonts w:ascii="Palatino Linotype" w:hAnsi="Palatino Linotype"/>
          <w:sz w:val="24"/>
          <w:szCs w:val="24"/>
        </w:rPr>
        <w:t>mismo que será expedido previa presentación de proyecto ejecutivo, así como de las autorizaciones federales, estatales y municipales correspondientes.</w:t>
      </w:r>
    </w:p>
    <w:p w:rsidR="00143961" w:rsidRDefault="00221C42" w:rsidP="007B7AF6">
      <w:pPr>
        <w:spacing w:before="240" w:line="360" w:lineRule="auto"/>
        <w:jc w:val="both"/>
        <w:rPr>
          <w:rFonts w:ascii="Palatino Linotype" w:hAnsi="Palatino Linotype"/>
          <w:sz w:val="24"/>
          <w:szCs w:val="24"/>
        </w:rPr>
      </w:pPr>
      <w:r w:rsidRPr="00143961">
        <w:rPr>
          <w:rFonts w:ascii="Palatino Linotype" w:hAnsi="Palatino Linotype"/>
          <w:sz w:val="24"/>
          <w:szCs w:val="24"/>
        </w:rPr>
        <w:t xml:space="preserve">Asimismo, es óbice mencionar que </w:t>
      </w:r>
      <w:r w:rsidR="00143961" w:rsidRPr="00143961">
        <w:rPr>
          <w:rFonts w:ascii="Palatino Linotype" w:hAnsi="Palatino Linotype"/>
          <w:sz w:val="24"/>
          <w:szCs w:val="24"/>
        </w:rPr>
        <w:t xml:space="preserve">la persona física o moral beneficiada podrá solicitar la suspensión del plazo concedido para la ejecución de la obra, misma que no podrá </w:t>
      </w:r>
      <w:r w:rsidR="00143961" w:rsidRPr="00143961">
        <w:rPr>
          <w:rFonts w:ascii="Palatino Linotype" w:hAnsi="Palatino Linotype"/>
          <w:sz w:val="24"/>
          <w:szCs w:val="24"/>
        </w:rPr>
        <w:lastRenderedPageBreak/>
        <w:t xml:space="preserve">exceder de un año. Por otra parte, </w:t>
      </w:r>
      <w:r w:rsidR="00143961">
        <w:rPr>
          <w:rFonts w:ascii="Palatino Linotype" w:hAnsi="Palatino Linotype"/>
          <w:sz w:val="24"/>
          <w:szCs w:val="24"/>
        </w:rPr>
        <w:t xml:space="preserve">una vez concluida la obra, el titular o director deberá de dar aviso por escrito o electrónicamente a la autoridad municipal dentro de los </w:t>
      </w:r>
      <w:r w:rsidR="00143961" w:rsidRPr="006F1C07">
        <w:rPr>
          <w:rFonts w:ascii="Palatino Linotype" w:hAnsi="Palatino Linotype"/>
          <w:b/>
          <w:sz w:val="24"/>
          <w:szCs w:val="24"/>
        </w:rPr>
        <w:t xml:space="preserve">30 </w:t>
      </w:r>
      <w:r w:rsidR="00143961">
        <w:rPr>
          <w:rFonts w:ascii="Palatino Linotype" w:hAnsi="Palatino Linotype"/>
          <w:sz w:val="24"/>
          <w:szCs w:val="24"/>
        </w:rPr>
        <w:t>(treinta) días hábiles posteriores a su conclusión, a efecto de expedir la constancia de terminación de obra conducente. Sirven de sustento los artículos 5.35, fracción II, 18.29, 18.30, 18.31, 18.33 y 18.34 del Código Administrativo del Estado de México, numerales que a la letra rezan:</w:t>
      </w:r>
    </w:p>
    <w:p w:rsidR="00221C42" w:rsidRPr="00143961" w:rsidRDefault="00143961" w:rsidP="00143961">
      <w:pPr>
        <w:spacing w:before="240" w:line="360" w:lineRule="auto"/>
        <w:ind w:left="851" w:right="851"/>
        <w:jc w:val="both"/>
        <w:rPr>
          <w:rFonts w:ascii="Palatino Linotype" w:hAnsi="Palatino Linotype"/>
          <w:i/>
        </w:rPr>
      </w:pPr>
      <w:r w:rsidRPr="00143961">
        <w:rPr>
          <w:rFonts w:ascii="Palatino Linotype" w:hAnsi="Palatino Linotype"/>
          <w:i/>
        </w:rPr>
        <w:t>“</w:t>
      </w:r>
      <w:r w:rsidR="00221C42" w:rsidRPr="00143961">
        <w:rPr>
          <w:rFonts w:ascii="Palatino Linotype" w:hAnsi="Palatino Linotype"/>
          <w:i/>
        </w:rPr>
        <w:t>Artículo 5.35.- La evaluación técnica de factibilidad de impacto urbano es un requisito para la emisión del Dictamen Único de Factibilidad, en los siguientes casos:</w:t>
      </w:r>
    </w:p>
    <w:p w:rsidR="00221C42" w:rsidRPr="00143961" w:rsidRDefault="00221C42" w:rsidP="00143961">
      <w:pPr>
        <w:spacing w:before="240" w:line="360" w:lineRule="auto"/>
        <w:ind w:left="851" w:right="851"/>
        <w:jc w:val="both"/>
        <w:rPr>
          <w:rFonts w:ascii="Palatino Linotype" w:hAnsi="Palatino Linotype"/>
          <w:i/>
        </w:rPr>
      </w:pPr>
      <w:r w:rsidRPr="00143961">
        <w:rPr>
          <w:rFonts w:ascii="Palatino Linotype" w:hAnsi="Palatino Linotype"/>
          <w:i/>
        </w:rPr>
        <w:t>(…)</w:t>
      </w:r>
    </w:p>
    <w:p w:rsidR="00221C42" w:rsidRPr="00143961" w:rsidRDefault="00221C42" w:rsidP="00143961">
      <w:pPr>
        <w:spacing w:before="240" w:line="360" w:lineRule="auto"/>
        <w:ind w:left="851" w:right="851"/>
        <w:jc w:val="both"/>
        <w:rPr>
          <w:rFonts w:ascii="Palatino Linotype" w:hAnsi="Palatino Linotype"/>
          <w:i/>
        </w:rPr>
      </w:pPr>
      <w:r w:rsidRPr="00143961">
        <w:rPr>
          <w:rFonts w:ascii="Palatino Linotype" w:hAnsi="Palatino Linotype"/>
          <w:i/>
        </w:rPr>
        <w:t xml:space="preserve">II. Gaseras, </w:t>
      </w:r>
      <w:proofErr w:type="spellStart"/>
      <w:r w:rsidRPr="00143961">
        <w:rPr>
          <w:rFonts w:ascii="Palatino Linotype" w:hAnsi="Palatino Linotype"/>
          <w:i/>
        </w:rPr>
        <w:t>gasoneras</w:t>
      </w:r>
      <w:proofErr w:type="spellEnd"/>
      <w:r w:rsidRPr="00143961">
        <w:rPr>
          <w:rFonts w:ascii="Palatino Linotype" w:hAnsi="Palatino Linotype"/>
          <w:i/>
        </w:rPr>
        <w:t>, gasolineras y otras plantas para el almacenamiento, procesamiento o distribución de combustibles</w:t>
      </w:r>
    </w:p>
    <w:p w:rsidR="00221C42" w:rsidRPr="00143961" w:rsidRDefault="00143961" w:rsidP="00143961">
      <w:pPr>
        <w:spacing w:before="240" w:line="360" w:lineRule="auto"/>
        <w:ind w:left="851" w:right="851"/>
        <w:jc w:val="both"/>
        <w:rPr>
          <w:rFonts w:ascii="Palatino Linotype" w:hAnsi="Palatino Linotype"/>
          <w:i/>
        </w:rPr>
      </w:pPr>
      <w:r w:rsidRPr="00143961">
        <w:rPr>
          <w:rFonts w:ascii="Palatino Linotype" w:hAnsi="Palatino Linotype"/>
          <w:i/>
        </w:rPr>
        <w:t>(…)</w:t>
      </w:r>
    </w:p>
    <w:p w:rsidR="00221C42" w:rsidRPr="00143961" w:rsidRDefault="00221C42" w:rsidP="00143961">
      <w:pPr>
        <w:spacing w:before="240" w:line="360" w:lineRule="auto"/>
        <w:ind w:left="851" w:right="851"/>
        <w:jc w:val="both"/>
        <w:rPr>
          <w:rFonts w:ascii="Palatino Linotype" w:hAnsi="Palatino Linotype"/>
          <w:i/>
        </w:rPr>
      </w:pPr>
      <w:r w:rsidRPr="00143961">
        <w:rPr>
          <w:rFonts w:ascii="Palatino Linotype" w:hAnsi="Palatino Linotype"/>
          <w:i/>
        </w:rPr>
        <w:t xml:space="preserve"> Artículo 18.29.- </w:t>
      </w:r>
      <w:r w:rsidRPr="00143961">
        <w:rPr>
          <w:rFonts w:ascii="Palatino Linotype" w:hAnsi="Palatino Linotype"/>
          <w:b/>
          <w:i/>
          <w:u w:val="single"/>
        </w:rPr>
        <w:t>La ejecución de obras subterráneas</w:t>
      </w:r>
      <w:r w:rsidRPr="00143961">
        <w:rPr>
          <w:rFonts w:ascii="Palatino Linotype" w:hAnsi="Palatino Linotype"/>
          <w:i/>
        </w:rPr>
        <w:t xml:space="preserve"> o aéreas en la vía pública, para la instalación, mantenimiento o retiro de ductos o líneas para la conducción de energía eléctrica, telefonía inalámbrica, telecomunicaciones, </w:t>
      </w:r>
      <w:r w:rsidRPr="00143961">
        <w:rPr>
          <w:rFonts w:ascii="Palatino Linotype" w:hAnsi="Palatino Linotype"/>
          <w:b/>
          <w:i/>
          <w:u w:val="single"/>
        </w:rPr>
        <w:t xml:space="preserve">gasoductos, </w:t>
      </w:r>
      <w:r w:rsidRPr="00143961">
        <w:rPr>
          <w:rFonts w:ascii="Palatino Linotype" w:hAnsi="Palatino Linotype"/>
          <w:i/>
        </w:rPr>
        <w:t xml:space="preserve">oleoductos, televisión por cable y demás fluidos, así como para la instalación de anuncios publicitarios que requieran de elementos estructurales, </w:t>
      </w:r>
      <w:r w:rsidRPr="00143961">
        <w:rPr>
          <w:rFonts w:ascii="Palatino Linotype" w:hAnsi="Palatino Linotype"/>
          <w:b/>
          <w:i/>
          <w:u w:val="single"/>
        </w:rPr>
        <w:t xml:space="preserve">deberá ser autorizada mediante el permiso de obra correspondiente. </w:t>
      </w:r>
    </w:p>
    <w:p w:rsidR="00221C42" w:rsidRPr="00143961" w:rsidRDefault="00221C42" w:rsidP="00143961">
      <w:pPr>
        <w:spacing w:before="240" w:line="360" w:lineRule="auto"/>
        <w:ind w:left="851" w:right="851"/>
        <w:jc w:val="both"/>
        <w:rPr>
          <w:rFonts w:ascii="Palatino Linotype" w:hAnsi="Palatino Linotype"/>
          <w:i/>
        </w:rPr>
      </w:pPr>
      <w:r w:rsidRPr="00143961">
        <w:rPr>
          <w:rFonts w:ascii="Palatino Linotype" w:hAnsi="Palatino Linotype"/>
          <w:i/>
        </w:rPr>
        <w:t xml:space="preserve"> Los permisos de obra en la infraestructura vial primaria, se otorgarán por la autoridad estatal competente de conformidad con lo que establece el Libro Séptimo del Código y su reglamento. </w:t>
      </w:r>
    </w:p>
    <w:p w:rsidR="00221C42" w:rsidRPr="00143961" w:rsidRDefault="00221C42" w:rsidP="00143961">
      <w:pPr>
        <w:spacing w:before="240" w:line="360" w:lineRule="auto"/>
        <w:ind w:left="851" w:right="851"/>
        <w:jc w:val="both"/>
        <w:rPr>
          <w:rFonts w:ascii="Palatino Linotype" w:hAnsi="Palatino Linotype"/>
          <w:i/>
        </w:rPr>
      </w:pPr>
      <w:r w:rsidRPr="00143961">
        <w:rPr>
          <w:rFonts w:ascii="Palatino Linotype" w:hAnsi="Palatino Linotype"/>
          <w:i/>
        </w:rPr>
        <w:lastRenderedPageBreak/>
        <w:t xml:space="preserve"> Los permisos de obra en la infraestructura vial local, se otorgarán por la autoridad municipal competente de acuerdo con lo establecido en el presente Libro, las Normas Técnicas y demás disposiciones jurídicas aplicables. </w:t>
      </w:r>
    </w:p>
    <w:p w:rsidR="00221C42" w:rsidRPr="00240C13" w:rsidRDefault="00221C42" w:rsidP="00143961">
      <w:pPr>
        <w:spacing w:before="240" w:line="360" w:lineRule="auto"/>
        <w:ind w:left="851" w:right="851"/>
        <w:jc w:val="both"/>
        <w:rPr>
          <w:rFonts w:ascii="Palatino Linotype" w:hAnsi="Palatino Linotype"/>
          <w:b/>
          <w:i/>
          <w:u w:val="single"/>
        </w:rPr>
      </w:pPr>
      <w:r w:rsidRPr="00240C13">
        <w:rPr>
          <w:rFonts w:ascii="Palatino Linotype" w:hAnsi="Palatino Linotype"/>
          <w:b/>
          <w:i/>
          <w:u w:val="single"/>
        </w:rPr>
        <w:t xml:space="preserve">Artículo 18.30.- Los permisos de obra de la autoridad municipal tendrán por objeto autorizar: </w:t>
      </w:r>
    </w:p>
    <w:p w:rsidR="00221C42" w:rsidRPr="00143961" w:rsidRDefault="00221C42" w:rsidP="00143961">
      <w:pPr>
        <w:pStyle w:val="Prrafodelista"/>
        <w:numPr>
          <w:ilvl w:val="0"/>
          <w:numId w:val="35"/>
        </w:numPr>
        <w:spacing w:before="240" w:after="160" w:line="360" w:lineRule="auto"/>
        <w:ind w:left="851" w:right="851" w:firstLine="0"/>
        <w:contextualSpacing/>
        <w:jc w:val="both"/>
        <w:rPr>
          <w:rFonts w:ascii="Palatino Linotype" w:hAnsi="Palatino Linotype"/>
          <w:i/>
          <w:sz w:val="22"/>
          <w:szCs w:val="22"/>
        </w:rPr>
      </w:pPr>
      <w:r w:rsidRPr="00143961">
        <w:rPr>
          <w:rFonts w:ascii="Palatino Linotype" w:hAnsi="Palatino Linotype"/>
          <w:i/>
          <w:sz w:val="22"/>
          <w:szCs w:val="22"/>
        </w:rPr>
        <w:t xml:space="preserve">Obras o instalaciones de redes subterráneas o aéreas en la vía pública; </w:t>
      </w:r>
    </w:p>
    <w:p w:rsidR="00221C42" w:rsidRPr="00143961" w:rsidRDefault="00221C42" w:rsidP="00143961">
      <w:pPr>
        <w:pStyle w:val="Prrafodelista"/>
        <w:numPr>
          <w:ilvl w:val="0"/>
          <w:numId w:val="35"/>
        </w:numPr>
        <w:spacing w:before="240" w:after="160" w:line="360" w:lineRule="auto"/>
        <w:ind w:left="851" w:right="851" w:firstLine="0"/>
        <w:contextualSpacing/>
        <w:jc w:val="both"/>
        <w:rPr>
          <w:rFonts w:ascii="Palatino Linotype" w:hAnsi="Palatino Linotype"/>
          <w:i/>
          <w:sz w:val="22"/>
          <w:szCs w:val="22"/>
        </w:rPr>
      </w:pPr>
      <w:r w:rsidRPr="00143961">
        <w:rPr>
          <w:rFonts w:ascii="Palatino Linotype" w:hAnsi="Palatino Linotype"/>
          <w:i/>
          <w:sz w:val="22"/>
          <w:szCs w:val="22"/>
        </w:rPr>
        <w:t xml:space="preserve">La ruptura del pavimento en su caso, así como la realización de cortes en las banquetas y guarniciones de la vía pública para la ejecución de las obras o instalaciones autorizadas; y </w:t>
      </w:r>
    </w:p>
    <w:p w:rsidR="00221C42" w:rsidRPr="00143961" w:rsidRDefault="00221C42" w:rsidP="00143961">
      <w:pPr>
        <w:pStyle w:val="Prrafodelista"/>
        <w:numPr>
          <w:ilvl w:val="0"/>
          <w:numId w:val="35"/>
        </w:numPr>
        <w:spacing w:before="240" w:after="160" w:line="360" w:lineRule="auto"/>
        <w:ind w:left="851" w:right="851" w:firstLine="0"/>
        <w:contextualSpacing/>
        <w:jc w:val="both"/>
        <w:rPr>
          <w:rFonts w:ascii="Palatino Linotype" w:hAnsi="Palatino Linotype"/>
          <w:i/>
          <w:sz w:val="22"/>
          <w:szCs w:val="22"/>
        </w:rPr>
      </w:pPr>
      <w:r w:rsidRPr="00143961">
        <w:rPr>
          <w:rFonts w:ascii="Palatino Linotype" w:hAnsi="Palatino Linotype"/>
          <w:i/>
          <w:sz w:val="22"/>
          <w:szCs w:val="22"/>
        </w:rPr>
        <w:t xml:space="preserve">El uso y aprovechamiento del derecho de vía, en el caso de los anuncios publicitarios. </w:t>
      </w:r>
    </w:p>
    <w:p w:rsidR="00221C42" w:rsidRPr="00143961" w:rsidRDefault="00221C42" w:rsidP="00143961">
      <w:pPr>
        <w:spacing w:before="240" w:line="360" w:lineRule="auto"/>
        <w:ind w:left="851" w:right="851"/>
        <w:jc w:val="both"/>
        <w:rPr>
          <w:rFonts w:ascii="Palatino Linotype" w:hAnsi="Palatino Linotype"/>
          <w:i/>
        </w:rPr>
      </w:pPr>
      <w:r w:rsidRPr="00143961">
        <w:rPr>
          <w:rFonts w:ascii="Palatino Linotype" w:hAnsi="Palatino Linotype"/>
          <w:i/>
        </w:rPr>
        <w:t>(…)</w:t>
      </w:r>
    </w:p>
    <w:p w:rsidR="00221C42" w:rsidRPr="00240C13" w:rsidRDefault="00221C42" w:rsidP="00143961">
      <w:pPr>
        <w:spacing w:before="240" w:line="360" w:lineRule="auto"/>
        <w:ind w:left="851" w:right="851"/>
        <w:jc w:val="both"/>
        <w:rPr>
          <w:rFonts w:ascii="Palatino Linotype" w:hAnsi="Palatino Linotype"/>
          <w:b/>
          <w:i/>
          <w:u w:val="single"/>
        </w:rPr>
      </w:pPr>
      <w:r w:rsidRPr="00240C13">
        <w:rPr>
          <w:rFonts w:ascii="Palatino Linotype" w:hAnsi="Palatino Linotype"/>
          <w:b/>
          <w:i/>
          <w:u w:val="single"/>
        </w:rPr>
        <w:t xml:space="preserve">Artículo 18.31.- La solicitud de permiso de obra se acompañará de:  </w:t>
      </w:r>
    </w:p>
    <w:p w:rsidR="00221C42" w:rsidRPr="00143961" w:rsidRDefault="00221C42" w:rsidP="00143961">
      <w:pPr>
        <w:pStyle w:val="Prrafodelista"/>
        <w:numPr>
          <w:ilvl w:val="0"/>
          <w:numId w:val="36"/>
        </w:numPr>
        <w:spacing w:before="240" w:after="160" w:line="360" w:lineRule="auto"/>
        <w:ind w:left="851" w:right="851" w:firstLine="0"/>
        <w:contextualSpacing/>
        <w:jc w:val="both"/>
        <w:rPr>
          <w:rFonts w:ascii="Palatino Linotype" w:hAnsi="Palatino Linotype"/>
          <w:i/>
          <w:sz w:val="22"/>
          <w:szCs w:val="22"/>
        </w:rPr>
      </w:pPr>
      <w:r w:rsidRPr="00240C13">
        <w:rPr>
          <w:rFonts w:ascii="Palatino Linotype" w:hAnsi="Palatino Linotype"/>
          <w:b/>
          <w:i/>
          <w:sz w:val="22"/>
          <w:szCs w:val="22"/>
          <w:u w:val="single"/>
        </w:rPr>
        <w:t>Proyecto ejecutivo</w:t>
      </w:r>
      <w:r w:rsidRPr="00143961">
        <w:rPr>
          <w:rFonts w:ascii="Palatino Linotype" w:hAnsi="Palatino Linotype"/>
          <w:i/>
          <w:sz w:val="22"/>
          <w:szCs w:val="22"/>
        </w:rPr>
        <w:t xml:space="preserve"> de la obra aprobado por la instancia competente en la materia de que se trate, en el cual se defina el procedimiento constructivo y, en su caso, los lugares en que por razones técnicas tengan que realizarse con sistemas especiales; </w:t>
      </w:r>
    </w:p>
    <w:p w:rsidR="00221C42" w:rsidRPr="00240C13" w:rsidRDefault="00221C42" w:rsidP="00143961">
      <w:pPr>
        <w:pStyle w:val="Prrafodelista"/>
        <w:numPr>
          <w:ilvl w:val="0"/>
          <w:numId w:val="36"/>
        </w:numPr>
        <w:spacing w:before="240" w:after="160" w:line="360" w:lineRule="auto"/>
        <w:ind w:left="851" w:right="851" w:firstLine="0"/>
        <w:contextualSpacing/>
        <w:jc w:val="both"/>
        <w:rPr>
          <w:rFonts w:ascii="Palatino Linotype" w:hAnsi="Palatino Linotype"/>
          <w:b/>
          <w:i/>
          <w:sz w:val="22"/>
          <w:szCs w:val="22"/>
          <w:u w:val="single"/>
        </w:rPr>
      </w:pPr>
      <w:r w:rsidRPr="00240C13">
        <w:rPr>
          <w:rFonts w:ascii="Palatino Linotype" w:hAnsi="Palatino Linotype"/>
          <w:b/>
          <w:i/>
          <w:sz w:val="22"/>
          <w:szCs w:val="22"/>
          <w:u w:val="single"/>
        </w:rPr>
        <w:t>Las autorizaciones federales, estatales o municipales que procedan</w:t>
      </w:r>
    </w:p>
    <w:p w:rsidR="00221C42" w:rsidRPr="00143961" w:rsidRDefault="00221C42" w:rsidP="00143961">
      <w:pPr>
        <w:spacing w:before="240" w:line="360" w:lineRule="auto"/>
        <w:ind w:left="851" w:right="851"/>
        <w:jc w:val="both"/>
        <w:rPr>
          <w:rFonts w:ascii="Palatino Linotype" w:hAnsi="Palatino Linotype"/>
          <w:i/>
        </w:rPr>
      </w:pPr>
      <w:r w:rsidRPr="00240C13">
        <w:rPr>
          <w:rFonts w:ascii="Palatino Linotype" w:hAnsi="Palatino Linotype"/>
          <w:b/>
          <w:i/>
          <w:u w:val="single"/>
        </w:rPr>
        <w:t xml:space="preserve">Artículo 18.33.- El titular de la licencia o permiso de construcción o el Director responsable de la obra, deberá dar aviso </w:t>
      </w:r>
      <w:r w:rsidRPr="00143961">
        <w:rPr>
          <w:rFonts w:ascii="Palatino Linotype" w:hAnsi="Palatino Linotype"/>
          <w:i/>
        </w:rPr>
        <w:t xml:space="preserve">por escrito o vía electrónica a la autoridad municipal, </w:t>
      </w:r>
      <w:r w:rsidRPr="00240C13">
        <w:rPr>
          <w:rFonts w:ascii="Palatino Linotype" w:hAnsi="Palatino Linotype"/>
          <w:b/>
          <w:i/>
          <w:u w:val="single"/>
        </w:rPr>
        <w:t>de la terminación de las obras autorizadas</w:t>
      </w:r>
      <w:r w:rsidRPr="00143961">
        <w:rPr>
          <w:rFonts w:ascii="Palatino Linotype" w:hAnsi="Palatino Linotype"/>
          <w:i/>
        </w:rPr>
        <w:t xml:space="preserve">, dentro de los treinta días hábiles posteriores a su conclusión, a efecto de expedir la constancia de terminación de obra. </w:t>
      </w:r>
    </w:p>
    <w:p w:rsidR="00221C42" w:rsidRPr="00143961" w:rsidRDefault="00221C42" w:rsidP="00143961">
      <w:pPr>
        <w:spacing w:before="240" w:line="360" w:lineRule="auto"/>
        <w:ind w:left="851" w:right="851"/>
        <w:jc w:val="both"/>
        <w:rPr>
          <w:rFonts w:ascii="Palatino Linotype" w:hAnsi="Palatino Linotype"/>
          <w:i/>
        </w:rPr>
      </w:pPr>
      <w:r w:rsidRPr="00143961">
        <w:rPr>
          <w:rFonts w:ascii="Palatino Linotype" w:hAnsi="Palatino Linotype"/>
          <w:i/>
        </w:rPr>
        <w:lastRenderedPageBreak/>
        <w:t xml:space="preserve"> La autoridad municipal extenderá la constancia solicitada, previa inspección que realice para comprobar que la obra, edificación o instalación se ejecutó de acuerdo al proyecto autorizado y que por lo tanto, es apta para su ocupación o para el fin señalado en la licencia o permiso de construcción.</w:t>
      </w:r>
    </w:p>
    <w:p w:rsidR="00221C42" w:rsidRPr="00143961" w:rsidRDefault="00221C42" w:rsidP="00143961">
      <w:pPr>
        <w:spacing w:before="240" w:line="360" w:lineRule="auto"/>
        <w:ind w:left="851" w:right="851"/>
        <w:jc w:val="both"/>
        <w:rPr>
          <w:rFonts w:ascii="Palatino Linotype" w:hAnsi="Palatino Linotype"/>
          <w:i/>
        </w:rPr>
      </w:pPr>
      <w:r w:rsidRPr="00143961">
        <w:rPr>
          <w:rFonts w:ascii="Palatino Linotype" w:hAnsi="Palatino Linotype"/>
          <w:i/>
        </w:rPr>
        <w:t>(…)</w:t>
      </w:r>
    </w:p>
    <w:p w:rsidR="00221C42" w:rsidRPr="00143961" w:rsidRDefault="00221C42" w:rsidP="00143961">
      <w:pPr>
        <w:spacing w:before="240" w:line="360" w:lineRule="auto"/>
        <w:ind w:left="851" w:right="851"/>
        <w:jc w:val="both"/>
        <w:rPr>
          <w:rFonts w:ascii="Palatino Linotype" w:hAnsi="Palatino Linotype"/>
          <w:i/>
        </w:rPr>
      </w:pPr>
      <w:r w:rsidRPr="006F1C07">
        <w:rPr>
          <w:rFonts w:ascii="Palatino Linotype" w:hAnsi="Palatino Linotype"/>
          <w:b/>
          <w:i/>
          <w:u w:val="single"/>
        </w:rPr>
        <w:t>Artículo 18.34.- A solicitud expresa del titular y durante el periodo de vigencia de la licencia o permiso de construcción o su prórroga, los Municipios podrán otorgar la suspensión del plazo concedido,</w:t>
      </w:r>
      <w:r w:rsidRPr="00143961">
        <w:rPr>
          <w:rFonts w:ascii="Palatino Linotype" w:hAnsi="Palatino Linotype"/>
          <w:i/>
        </w:rPr>
        <w:t xml:space="preserve"> por una sola vez y por un tiempo máximo de un año. Al término del periodo de suspensión, continuará transcurriendo el plazo concedido para la ejecución de la obra sin necesidad de aviso alguno. </w:t>
      </w:r>
    </w:p>
    <w:p w:rsidR="00221C42" w:rsidRPr="00143961" w:rsidRDefault="00221C42" w:rsidP="00143961">
      <w:pPr>
        <w:spacing w:before="240" w:line="360" w:lineRule="auto"/>
        <w:ind w:left="851" w:right="851"/>
        <w:jc w:val="both"/>
        <w:rPr>
          <w:rFonts w:ascii="Palatino Linotype" w:hAnsi="Palatino Linotype"/>
          <w:b/>
          <w:i/>
        </w:rPr>
      </w:pPr>
      <w:r w:rsidRPr="00143961">
        <w:rPr>
          <w:rFonts w:ascii="Palatino Linotype" w:hAnsi="Palatino Linotype"/>
          <w:i/>
        </w:rPr>
        <w:t xml:space="preserve"> Los Municipios expedirán la constancia de suspensión voluntaria de la obra, para lo cual bastará con que en la solicitud se indiquen los datos de la licencia de construcción o su prorroga otorgada y el plazo de suspensión requerido” </w:t>
      </w:r>
      <w:r w:rsidRPr="00143961">
        <w:rPr>
          <w:rFonts w:ascii="Palatino Linotype" w:hAnsi="Palatino Linotype"/>
          <w:b/>
          <w:i/>
        </w:rPr>
        <w:t>[Sic]</w:t>
      </w:r>
    </w:p>
    <w:p w:rsidR="007B7AF6" w:rsidRDefault="007B7AF6" w:rsidP="007B7AF6">
      <w:pPr>
        <w:spacing w:before="240" w:line="360" w:lineRule="auto"/>
        <w:jc w:val="both"/>
        <w:rPr>
          <w:rFonts w:ascii="Palatino Linotype" w:hAnsi="Palatino Linotype"/>
        </w:rPr>
      </w:pPr>
    </w:p>
    <w:p w:rsidR="007B7AF6" w:rsidRPr="00240C13" w:rsidRDefault="00240C13" w:rsidP="007B7AF6">
      <w:pPr>
        <w:spacing w:before="240" w:line="360" w:lineRule="auto"/>
        <w:jc w:val="both"/>
        <w:rPr>
          <w:rFonts w:ascii="Palatino Linotype" w:hAnsi="Palatino Linotype"/>
          <w:sz w:val="24"/>
          <w:szCs w:val="24"/>
        </w:rPr>
      </w:pPr>
      <w:r w:rsidRPr="00240C13">
        <w:rPr>
          <w:rFonts w:ascii="Palatino Linotype" w:hAnsi="Palatino Linotype"/>
          <w:sz w:val="24"/>
          <w:szCs w:val="24"/>
        </w:rPr>
        <w:t xml:space="preserve">Hasta aquí lo expuesto, se desprenden las siguientes consideraciones: </w:t>
      </w:r>
    </w:p>
    <w:p w:rsidR="0036127E" w:rsidRPr="00240C13" w:rsidRDefault="00240C13" w:rsidP="00240C13">
      <w:pPr>
        <w:pStyle w:val="Prrafodelista"/>
        <w:numPr>
          <w:ilvl w:val="0"/>
          <w:numId w:val="38"/>
        </w:numPr>
        <w:spacing w:before="240" w:line="360" w:lineRule="auto"/>
        <w:jc w:val="both"/>
        <w:rPr>
          <w:rFonts w:ascii="Palatino Linotype" w:hAnsi="Palatino Linotype"/>
          <w:b/>
        </w:rPr>
      </w:pPr>
      <w:r w:rsidRPr="00240C13">
        <w:rPr>
          <w:rFonts w:ascii="Palatino Linotype" w:hAnsi="Palatino Linotype"/>
          <w:b/>
        </w:rPr>
        <w:t xml:space="preserve">El Sujeto Obligado </w:t>
      </w:r>
      <w:r>
        <w:rPr>
          <w:rFonts w:ascii="Palatino Linotype" w:hAnsi="Palatino Linotype"/>
        </w:rPr>
        <w:t xml:space="preserve">funge como la autoridad competente que genera, posee o administra la información que resulta de interés al ciudadano. </w:t>
      </w:r>
    </w:p>
    <w:p w:rsidR="00C908C8" w:rsidRPr="00C908C8" w:rsidRDefault="00240C13" w:rsidP="00240C13">
      <w:pPr>
        <w:pStyle w:val="Prrafodelista"/>
        <w:numPr>
          <w:ilvl w:val="0"/>
          <w:numId w:val="38"/>
        </w:numPr>
        <w:spacing w:before="240" w:line="360" w:lineRule="auto"/>
        <w:jc w:val="both"/>
        <w:rPr>
          <w:rFonts w:ascii="Palatino Linotype" w:hAnsi="Palatino Linotype"/>
          <w:b/>
        </w:rPr>
      </w:pPr>
      <w:r>
        <w:rPr>
          <w:rFonts w:ascii="Palatino Linotype" w:hAnsi="Palatino Linotype"/>
        </w:rPr>
        <w:t xml:space="preserve">Mediante respuesta, </w:t>
      </w:r>
      <w:r>
        <w:rPr>
          <w:rFonts w:ascii="Palatino Linotype" w:hAnsi="Palatino Linotype"/>
          <w:b/>
        </w:rPr>
        <w:t xml:space="preserve">El Sujeto Obligado </w:t>
      </w:r>
      <w:r>
        <w:rPr>
          <w:rFonts w:ascii="Palatino Linotype" w:hAnsi="Palatino Linotype"/>
        </w:rPr>
        <w:t xml:space="preserve">remitió tres documentos que compilan los permisos para obra en la infraestructura vial local, obras o instalaciones de redes subterráneas, ruptura o corte de pavimento, todos ellos otorgados </w:t>
      </w:r>
      <w:r>
        <w:rPr>
          <w:rFonts w:ascii="Palatino Linotype" w:hAnsi="Palatino Linotype"/>
        </w:rPr>
        <w:lastRenderedPageBreak/>
        <w:t>durante los ejercicios fiscales dos mil dieciséis</w:t>
      </w:r>
      <w:r w:rsidR="00802E70">
        <w:rPr>
          <w:rFonts w:ascii="Palatino Linotype" w:hAnsi="Palatino Linotype"/>
        </w:rPr>
        <w:t xml:space="preserve">, dos mil diecisiete y dos mil dieciocho. </w:t>
      </w:r>
    </w:p>
    <w:p w:rsidR="00240C13" w:rsidRPr="00C908C8" w:rsidRDefault="00C908C8" w:rsidP="00240C13">
      <w:pPr>
        <w:pStyle w:val="Prrafodelista"/>
        <w:numPr>
          <w:ilvl w:val="0"/>
          <w:numId w:val="38"/>
        </w:numPr>
        <w:spacing w:before="240" w:line="360" w:lineRule="auto"/>
        <w:jc w:val="both"/>
        <w:rPr>
          <w:rFonts w:ascii="Palatino Linotype" w:hAnsi="Palatino Linotype"/>
          <w:b/>
        </w:rPr>
      </w:pPr>
      <w:r>
        <w:rPr>
          <w:rFonts w:ascii="Palatino Linotype" w:hAnsi="Palatino Linotype"/>
        </w:rPr>
        <w:t>A</w:t>
      </w:r>
      <w:r w:rsidR="00240C13">
        <w:rPr>
          <w:rFonts w:ascii="Palatino Linotype" w:hAnsi="Palatino Linotype"/>
        </w:rPr>
        <w:t xml:space="preserve">l momento de rendir su informe justificado, </w:t>
      </w:r>
      <w:r w:rsidR="00240C13">
        <w:rPr>
          <w:rFonts w:ascii="Palatino Linotype" w:hAnsi="Palatino Linotype"/>
          <w:b/>
        </w:rPr>
        <w:t xml:space="preserve">El Sujeto Obligado </w:t>
      </w:r>
      <w:r w:rsidR="00240C13">
        <w:rPr>
          <w:rFonts w:ascii="Palatino Linotype" w:hAnsi="Palatino Linotype"/>
        </w:rPr>
        <w:t xml:space="preserve">determinó </w:t>
      </w:r>
      <w:r w:rsidR="00240C13" w:rsidRPr="00C908C8">
        <w:rPr>
          <w:rFonts w:ascii="Palatino Linotype" w:hAnsi="Palatino Linotype"/>
          <w:b/>
          <w:u w:val="single"/>
        </w:rPr>
        <w:t>modificar su respuesta</w:t>
      </w:r>
      <w:r w:rsidRPr="00C908C8">
        <w:rPr>
          <w:rFonts w:ascii="Palatino Linotype" w:hAnsi="Palatino Linotype"/>
          <w:b/>
          <w:u w:val="single"/>
        </w:rPr>
        <w:t>,</w:t>
      </w:r>
      <w:r w:rsidR="00240C13">
        <w:rPr>
          <w:rFonts w:ascii="Palatino Linotype" w:hAnsi="Palatino Linotype"/>
        </w:rPr>
        <w:t xml:space="preserve"> remitiendo </w:t>
      </w:r>
      <w:r>
        <w:rPr>
          <w:rFonts w:ascii="Palatino Linotype" w:hAnsi="Palatino Linotype"/>
        </w:rPr>
        <w:t>múltiples</w:t>
      </w:r>
      <w:r w:rsidR="00240C13">
        <w:rPr>
          <w:rFonts w:ascii="Palatino Linotype" w:hAnsi="Palatino Linotype"/>
        </w:rPr>
        <w:t xml:space="preserve"> anexos encauzados a sustentar la clasificación de la información como reservada, lo anterior, en </w:t>
      </w:r>
      <w:r>
        <w:rPr>
          <w:rFonts w:ascii="Palatino Linotype" w:hAnsi="Palatino Linotype"/>
        </w:rPr>
        <w:t>términos</w:t>
      </w:r>
      <w:r w:rsidR="00240C13">
        <w:rPr>
          <w:rFonts w:ascii="Palatino Linotype" w:hAnsi="Palatino Linotype"/>
        </w:rPr>
        <w:t xml:space="preserve"> del artículo 185, fracción </w:t>
      </w:r>
      <w:r>
        <w:rPr>
          <w:rFonts w:ascii="Palatino Linotype" w:hAnsi="Palatino Linotype"/>
        </w:rPr>
        <w:t xml:space="preserve">III de la Ley de Transparencia y Acceso a la Información Pública del Estado de México y Municipios. </w:t>
      </w:r>
    </w:p>
    <w:p w:rsidR="00C908C8" w:rsidRPr="000E293D" w:rsidRDefault="00C908C8" w:rsidP="00240C13">
      <w:pPr>
        <w:pStyle w:val="Prrafodelista"/>
        <w:numPr>
          <w:ilvl w:val="0"/>
          <w:numId w:val="38"/>
        </w:numPr>
        <w:spacing w:before="240" w:line="360" w:lineRule="auto"/>
        <w:jc w:val="both"/>
        <w:rPr>
          <w:rFonts w:ascii="Palatino Linotype" w:hAnsi="Palatino Linotype"/>
          <w:b/>
        </w:rPr>
      </w:pPr>
      <w:r>
        <w:rPr>
          <w:rFonts w:ascii="Palatino Linotype" w:hAnsi="Palatino Linotype"/>
        </w:rPr>
        <w:t xml:space="preserve">La clasificación de la información </w:t>
      </w:r>
      <w:r w:rsidR="00562469">
        <w:rPr>
          <w:rFonts w:ascii="Palatino Linotype" w:hAnsi="Palatino Linotype"/>
        </w:rPr>
        <w:t xml:space="preserve">es el proceso mediante el cual los </w:t>
      </w:r>
      <w:r w:rsidR="00562469">
        <w:rPr>
          <w:rFonts w:ascii="Palatino Linotype" w:hAnsi="Palatino Linotype"/>
          <w:b/>
        </w:rPr>
        <w:t xml:space="preserve">Sujetos Obligados </w:t>
      </w:r>
      <w:r w:rsidR="00562469">
        <w:rPr>
          <w:rFonts w:ascii="Palatino Linotype" w:hAnsi="Palatino Linotype"/>
        </w:rPr>
        <w:t xml:space="preserve">determinan que la información requerida actualiza alguno de los supuestos de confidencialidad </w:t>
      </w:r>
      <w:r w:rsidR="00562469">
        <w:rPr>
          <w:rFonts w:ascii="Palatino Linotype" w:hAnsi="Palatino Linotype"/>
          <w:b/>
        </w:rPr>
        <w:t xml:space="preserve">o </w:t>
      </w:r>
      <w:r w:rsidR="00562469" w:rsidRPr="000E293D">
        <w:rPr>
          <w:rFonts w:ascii="Palatino Linotype" w:hAnsi="Palatino Linotype"/>
          <w:b/>
          <w:u w:val="single"/>
        </w:rPr>
        <w:t>reserva,</w:t>
      </w:r>
      <w:r w:rsidR="00562469">
        <w:rPr>
          <w:rFonts w:ascii="Palatino Linotype" w:hAnsi="Palatino Linotype"/>
          <w:b/>
        </w:rPr>
        <w:t xml:space="preserve"> </w:t>
      </w:r>
      <w:r w:rsidR="00562469">
        <w:rPr>
          <w:rFonts w:ascii="Palatino Linotype" w:hAnsi="Palatino Linotype"/>
        </w:rPr>
        <w:t xml:space="preserve">de acuerdo con las bases y los principios inmersos en la normatividad aplicable. </w:t>
      </w:r>
    </w:p>
    <w:p w:rsidR="000E293D" w:rsidRPr="00C47311" w:rsidRDefault="000E293D" w:rsidP="00240C13">
      <w:pPr>
        <w:pStyle w:val="Prrafodelista"/>
        <w:numPr>
          <w:ilvl w:val="0"/>
          <w:numId w:val="38"/>
        </w:numPr>
        <w:spacing w:before="240" w:line="360" w:lineRule="auto"/>
        <w:jc w:val="both"/>
        <w:rPr>
          <w:rFonts w:ascii="Palatino Linotype" w:hAnsi="Palatino Linotype"/>
          <w:b/>
        </w:rPr>
      </w:pPr>
      <w:r>
        <w:rPr>
          <w:rFonts w:ascii="Palatino Linotype" w:hAnsi="Palatino Linotype"/>
        </w:rPr>
        <w:t>El artículo 140 de la Ley de Transparencia y Acceso a la Información del Estado de México y Municipios enlista de manera estricta y limitativa las causales de procedencia para clasificar soportes documentales como información reservada.</w:t>
      </w:r>
    </w:p>
    <w:p w:rsidR="00C47311" w:rsidRPr="00897D3F" w:rsidRDefault="00C47311" w:rsidP="00240C13">
      <w:pPr>
        <w:pStyle w:val="Prrafodelista"/>
        <w:numPr>
          <w:ilvl w:val="0"/>
          <w:numId w:val="38"/>
        </w:numPr>
        <w:spacing w:before="240" w:line="360" w:lineRule="auto"/>
        <w:jc w:val="both"/>
        <w:rPr>
          <w:rFonts w:ascii="Palatino Linotype" w:hAnsi="Palatino Linotype"/>
          <w:b/>
        </w:rPr>
      </w:pPr>
      <w:r>
        <w:rPr>
          <w:rFonts w:ascii="Palatino Linotype" w:hAnsi="Palatino Linotype"/>
        </w:rPr>
        <w:t xml:space="preserve">Para realizar la reserva la información, no basta con invocar alguna de las causales previstas en la Ley de transparencia local. En sentido contrario, dicha valoración debe realizarse a través de lo que se conoce como </w:t>
      </w:r>
      <w:r>
        <w:rPr>
          <w:rFonts w:ascii="Palatino Linotype" w:hAnsi="Palatino Linotype"/>
          <w:b/>
          <w:i/>
        </w:rPr>
        <w:t xml:space="preserve">“prueba de daño”, </w:t>
      </w:r>
      <w:r>
        <w:rPr>
          <w:rFonts w:ascii="Palatino Linotype" w:hAnsi="Palatino Linotype"/>
        </w:rPr>
        <w:t xml:space="preserve">que consiste en exponer </w:t>
      </w:r>
      <w:r w:rsidRPr="009D0295">
        <w:rPr>
          <w:rFonts w:ascii="Palatino Linotype" w:hAnsi="Palatino Linotype"/>
        </w:rPr>
        <w:t xml:space="preserve">los argumentos y razones, basados en elementos objetivos o verificables, a partir de los cuales se derive que la divulgación de información, en particular, puede afectar, poner en riesgo o dañar el interés </w:t>
      </w:r>
      <w:r w:rsidRPr="009D0295">
        <w:rPr>
          <w:rFonts w:ascii="Palatino Linotype" w:hAnsi="Palatino Linotype"/>
        </w:rPr>
        <w:lastRenderedPageBreak/>
        <w:t>protegido</w:t>
      </w:r>
      <w:r w:rsidRPr="009D0295">
        <w:rPr>
          <w:rFonts w:ascii="Palatino Linotype" w:hAnsi="Palatino Linotype"/>
          <w:vertAlign w:val="superscript"/>
        </w:rPr>
        <w:footnoteReference w:id="2"/>
      </w:r>
      <w:r w:rsidRPr="009D0295">
        <w:rPr>
          <w:rFonts w:ascii="Palatino Linotype" w:hAnsi="Palatino Linotype"/>
        </w:rPr>
        <w:t>. Asimismo, ésta no debe basarse en meras especulaciones o suposiciones, sino en elementos objetivos que deban evaluar que existe un riego actual e inminente</w:t>
      </w:r>
      <w:r w:rsidRPr="009D0295">
        <w:rPr>
          <w:rFonts w:ascii="Palatino Linotype" w:hAnsi="Palatino Linotype"/>
          <w:vertAlign w:val="superscript"/>
        </w:rPr>
        <w:footnoteReference w:id="3"/>
      </w:r>
      <w:r w:rsidRPr="009D0295">
        <w:rPr>
          <w:rFonts w:ascii="Palatino Linotype" w:hAnsi="Palatino Linotype"/>
        </w:rPr>
        <w:t>.</w:t>
      </w:r>
    </w:p>
    <w:p w:rsidR="00897D3F" w:rsidRDefault="00897D3F" w:rsidP="00897D3F">
      <w:pPr>
        <w:spacing w:line="360" w:lineRule="auto"/>
        <w:ind w:left="709" w:hanging="1"/>
        <w:jc w:val="both"/>
        <w:rPr>
          <w:rFonts w:ascii="Palatino Linotype" w:hAnsi="Palatino Linotype"/>
          <w:color w:val="000000" w:themeColor="text1"/>
          <w:sz w:val="24"/>
          <w:szCs w:val="24"/>
        </w:rPr>
      </w:pPr>
      <w:r w:rsidRPr="00E01285">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E01285">
        <w:rPr>
          <w:rFonts w:ascii="Palatino Linotype" w:hAnsi="Palatino Linotype"/>
          <w:b/>
          <w:color w:val="000000" w:themeColor="text1"/>
          <w:sz w:val="24"/>
          <w:szCs w:val="24"/>
          <w:u w:val="single"/>
        </w:rPr>
        <w:t>sino de cada uno de los documentos que lo integran</w:t>
      </w:r>
      <w:r w:rsidRPr="00E01285">
        <w:rPr>
          <w:rFonts w:ascii="Palatino Linotype" w:hAnsi="Palatino Linotype"/>
          <w:color w:val="000000" w:themeColor="text1"/>
          <w:sz w:val="24"/>
          <w:szCs w:val="24"/>
        </w:rPr>
        <w:t>.</w:t>
      </w:r>
    </w:p>
    <w:p w:rsidR="00897D3F" w:rsidRDefault="00897D3F" w:rsidP="00897D3F">
      <w:pPr>
        <w:spacing w:line="360" w:lineRule="auto"/>
        <w:ind w:left="709" w:hanging="1"/>
        <w:jc w:val="both"/>
        <w:rPr>
          <w:rFonts w:ascii="Palatino Linotype" w:hAnsi="Palatino Linotype"/>
          <w:color w:val="000000" w:themeColor="text1"/>
          <w:sz w:val="24"/>
          <w:szCs w:val="24"/>
        </w:rPr>
      </w:pPr>
      <w:r>
        <w:rPr>
          <w:rFonts w:ascii="Palatino Linotype" w:hAnsi="Palatino Linotype"/>
          <w:color w:val="000000" w:themeColor="text1"/>
          <w:sz w:val="24"/>
          <w:szCs w:val="24"/>
        </w:rPr>
        <w:t xml:space="preserve">Por lo que es importante enfatizar, que el </w:t>
      </w:r>
      <w:r>
        <w:rPr>
          <w:rFonts w:ascii="Palatino Linotype" w:hAnsi="Palatino Linotype"/>
          <w:b/>
          <w:color w:val="000000" w:themeColor="text1"/>
          <w:sz w:val="24"/>
          <w:szCs w:val="24"/>
        </w:rPr>
        <w:t xml:space="preserve">SUJETO OBLIGADO </w:t>
      </w:r>
      <w:r>
        <w:rPr>
          <w:rFonts w:ascii="Palatino Linotype" w:hAnsi="Palatino Linotype"/>
          <w:color w:val="000000" w:themeColor="text1"/>
          <w:sz w:val="24"/>
          <w:szCs w:val="24"/>
        </w:rPr>
        <w:t xml:space="preserve">al momento emitir el Acuerdo del Comité de Transparencia que clasifique como información reservada las documentales que sustentan la emisión de permisos de obra subterránea para gasoductos en la estructura vial local otorgados por la Dirección General de Desarrollo Urbano y Obra deberá realizar la prueba de daño de cada uno de los documentos, no así de la totalidad de la información que integra el expediente, es decir, deberá de realizar la prueba de daño, en </w:t>
      </w:r>
      <w:r>
        <w:rPr>
          <w:rFonts w:ascii="Palatino Linotype" w:hAnsi="Palatino Linotype"/>
          <w:color w:val="000000" w:themeColor="text1"/>
          <w:sz w:val="24"/>
          <w:szCs w:val="24"/>
        </w:rPr>
        <w:lastRenderedPageBreak/>
        <w:t xml:space="preserve">donde se describa de manera puntual de las siguientes documentales las causas por las cuales son pueden ser proporcionadas: </w:t>
      </w:r>
    </w:p>
    <w:p w:rsidR="00897D3F" w:rsidRDefault="00897D3F" w:rsidP="00897D3F">
      <w:pPr>
        <w:pStyle w:val="Prrafodelista"/>
        <w:numPr>
          <w:ilvl w:val="0"/>
          <w:numId w:val="45"/>
        </w:numPr>
        <w:spacing w:before="240" w:line="360" w:lineRule="auto"/>
        <w:ind w:right="851"/>
        <w:jc w:val="both"/>
        <w:rPr>
          <w:rFonts w:ascii="Palatino Linotype" w:hAnsi="Palatino Linotype" w:cs="Arial"/>
          <w:i/>
        </w:rPr>
      </w:pPr>
      <w:r>
        <w:rPr>
          <w:rFonts w:ascii="Palatino Linotype" w:hAnsi="Palatino Linotype" w:cs="Arial"/>
          <w:i/>
        </w:rPr>
        <w:t>La solicitud de permiso de obra en la infraestructura vial local;</w:t>
      </w:r>
    </w:p>
    <w:p w:rsidR="00897D3F" w:rsidRDefault="00897D3F" w:rsidP="00897D3F">
      <w:pPr>
        <w:pStyle w:val="Prrafodelista"/>
        <w:numPr>
          <w:ilvl w:val="0"/>
          <w:numId w:val="45"/>
        </w:numPr>
        <w:spacing w:before="240" w:line="360" w:lineRule="auto"/>
        <w:ind w:right="851"/>
        <w:jc w:val="both"/>
        <w:rPr>
          <w:rFonts w:ascii="Palatino Linotype" w:hAnsi="Palatino Linotype" w:cs="Arial"/>
          <w:i/>
        </w:rPr>
      </w:pPr>
      <w:r>
        <w:rPr>
          <w:rFonts w:ascii="Palatino Linotype" w:hAnsi="Palatino Linotype" w:cs="Arial"/>
          <w:i/>
        </w:rPr>
        <w:t>Documento que ampara el procedimiento constructivo;</w:t>
      </w:r>
    </w:p>
    <w:p w:rsidR="00897D3F" w:rsidRDefault="00897D3F" w:rsidP="00897D3F">
      <w:pPr>
        <w:pStyle w:val="Prrafodelista"/>
        <w:numPr>
          <w:ilvl w:val="0"/>
          <w:numId w:val="45"/>
        </w:numPr>
        <w:spacing w:before="240" w:line="360" w:lineRule="auto"/>
        <w:ind w:right="851"/>
        <w:jc w:val="both"/>
        <w:rPr>
          <w:rFonts w:ascii="Palatino Linotype" w:hAnsi="Palatino Linotype" w:cs="Arial"/>
          <w:i/>
        </w:rPr>
      </w:pPr>
      <w:r>
        <w:rPr>
          <w:rFonts w:ascii="Palatino Linotype" w:hAnsi="Palatino Linotype" w:cs="Arial"/>
          <w:i/>
        </w:rPr>
        <w:t>El reporte fotográfico de la obra;</w:t>
      </w:r>
    </w:p>
    <w:p w:rsidR="00897D3F" w:rsidRDefault="00897D3F" w:rsidP="00897D3F">
      <w:pPr>
        <w:pStyle w:val="Prrafodelista"/>
        <w:numPr>
          <w:ilvl w:val="0"/>
          <w:numId w:val="45"/>
        </w:numPr>
        <w:spacing w:before="240" w:line="360" w:lineRule="auto"/>
        <w:ind w:right="851"/>
        <w:jc w:val="both"/>
        <w:rPr>
          <w:rFonts w:ascii="Palatino Linotype" w:hAnsi="Palatino Linotype" w:cs="Arial"/>
          <w:i/>
        </w:rPr>
      </w:pPr>
      <w:r>
        <w:rPr>
          <w:rFonts w:ascii="Palatino Linotype" w:hAnsi="Palatino Linotype" w:cs="Arial"/>
          <w:i/>
        </w:rPr>
        <w:t xml:space="preserve">El proyecto ejecutivo de la obra </w:t>
      </w:r>
      <w:proofErr w:type="spellStart"/>
      <w:r>
        <w:rPr>
          <w:rFonts w:ascii="Palatino Linotype" w:hAnsi="Palatino Linotype" w:cs="Arial"/>
          <w:i/>
        </w:rPr>
        <w:t>permisionada</w:t>
      </w:r>
      <w:proofErr w:type="spellEnd"/>
      <w:r>
        <w:rPr>
          <w:rFonts w:ascii="Palatino Linotype" w:hAnsi="Palatino Linotype" w:cs="Arial"/>
          <w:i/>
        </w:rPr>
        <w:t xml:space="preserve"> aprobado por la instancia competente;</w:t>
      </w:r>
    </w:p>
    <w:p w:rsidR="00897D3F" w:rsidRDefault="00897D3F" w:rsidP="00897D3F">
      <w:pPr>
        <w:pStyle w:val="Prrafodelista"/>
        <w:numPr>
          <w:ilvl w:val="0"/>
          <w:numId w:val="45"/>
        </w:numPr>
        <w:spacing w:before="240" w:line="360" w:lineRule="auto"/>
        <w:ind w:right="851"/>
        <w:jc w:val="both"/>
        <w:rPr>
          <w:rFonts w:ascii="Palatino Linotype" w:hAnsi="Palatino Linotype" w:cs="Arial"/>
          <w:i/>
        </w:rPr>
      </w:pPr>
      <w:r>
        <w:rPr>
          <w:rFonts w:ascii="Palatino Linotype" w:hAnsi="Palatino Linotype" w:cs="Arial"/>
          <w:i/>
        </w:rPr>
        <w:t>Las autorizaciones federales, estatales o municipales que procedan;</w:t>
      </w:r>
    </w:p>
    <w:p w:rsidR="00897D3F" w:rsidRDefault="00897D3F" w:rsidP="00897D3F">
      <w:pPr>
        <w:pStyle w:val="Prrafodelista"/>
        <w:numPr>
          <w:ilvl w:val="0"/>
          <w:numId w:val="45"/>
        </w:numPr>
        <w:spacing w:before="240" w:line="360" w:lineRule="auto"/>
        <w:ind w:right="851"/>
        <w:jc w:val="both"/>
        <w:rPr>
          <w:rFonts w:ascii="Palatino Linotype" w:hAnsi="Palatino Linotype" w:cs="Arial"/>
          <w:i/>
        </w:rPr>
      </w:pPr>
      <w:r>
        <w:rPr>
          <w:rFonts w:ascii="Palatino Linotype" w:hAnsi="Palatino Linotype" w:cs="Arial"/>
          <w:i/>
        </w:rPr>
        <w:t>El aviso dado por el titular del permiso o el Director de la obra a la autoridad municipal de la terminación de la obra autorizada;</w:t>
      </w:r>
    </w:p>
    <w:p w:rsidR="00897D3F" w:rsidRDefault="00897D3F" w:rsidP="00897D3F">
      <w:pPr>
        <w:pStyle w:val="Prrafodelista"/>
        <w:numPr>
          <w:ilvl w:val="0"/>
          <w:numId w:val="45"/>
        </w:numPr>
        <w:spacing w:before="240" w:line="360" w:lineRule="auto"/>
        <w:ind w:right="851"/>
        <w:jc w:val="both"/>
        <w:rPr>
          <w:rFonts w:ascii="Palatino Linotype" w:hAnsi="Palatino Linotype" w:cs="Arial"/>
          <w:i/>
        </w:rPr>
      </w:pPr>
      <w:r>
        <w:rPr>
          <w:rFonts w:ascii="Palatino Linotype" w:hAnsi="Palatino Linotype" w:cs="Arial"/>
          <w:i/>
        </w:rPr>
        <w:t>La constancia de terminación de obra expedida por la autoridad municipal;</w:t>
      </w:r>
    </w:p>
    <w:p w:rsidR="00897D3F" w:rsidRDefault="00897D3F" w:rsidP="00897D3F">
      <w:pPr>
        <w:pStyle w:val="Prrafodelista"/>
        <w:numPr>
          <w:ilvl w:val="0"/>
          <w:numId w:val="45"/>
        </w:numPr>
        <w:spacing w:before="240" w:line="360" w:lineRule="auto"/>
        <w:ind w:right="851"/>
        <w:jc w:val="both"/>
        <w:rPr>
          <w:rFonts w:ascii="Palatino Linotype" w:hAnsi="Palatino Linotype" w:cs="Arial"/>
          <w:i/>
        </w:rPr>
      </w:pPr>
      <w:r>
        <w:rPr>
          <w:rFonts w:ascii="Palatino Linotype" w:hAnsi="Palatino Linotype" w:cs="Arial"/>
          <w:i/>
        </w:rPr>
        <w:t>En su caso, la constancia de suspensión voluntaria de la obra expedida por la autoridad municipal; y,</w:t>
      </w:r>
    </w:p>
    <w:p w:rsidR="00897D3F" w:rsidRDefault="00897D3F" w:rsidP="00897D3F">
      <w:pPr>
        <w:pStyle w:val="Prrafodelista"/>
        <w:numPr>
          <w:ilvl w:val="0"/>
          <w:numId w:val="45"/>
        </w:numPr>
        <w:spacing w:before="240" w:line="360" w:lineRule="auto"/>
        <w:ind w:right="851"/>
        <w:jc w:val="both"/>
        <w:rPr>
          <w:rFonts w:ascii="Palatino Linotype" w:hAnsi="Palatino Linotype" w:cs="Arial"/>
          <w:i/>
        </w:rPr>
      </w:pPr>
      <w:r>
        <w:rPr>
          <w:rFonts w:ascii="Palatino Linotype" w:hAnsi="Palatino Linotype" w:cs="Arial"/>
          <w:i/>
        </w:rPr>
        <w:t>Demás documentación relacionada.</w:t>
      </w:r>
    </w:p>
    <w:p w:rsidR="00897D3F" w:rsidRPr="00375453" w:rsidRDefault="00897D3F" w:rsidP="00897D3F">
      <w:pPr>
        <w:spacing w:line="360" w:lineRule="auto"/>
        <w:jc w:val="both"/>
        <w:rPr>
          <w:rFonts w:ascii="Palatino Linotype" w:hAnsi="Palatino Linotype"/>
          <w:color w:val="000000" w:themeColor="text1"/>
          <w:sz w:val="24"/>
          <w:szCs w:val="24"/>
        </w:rPr>
      </w:pPr>
    </w:p>
    <w:p w:rsidR="00897D3F" w:rsidRPr="00774B2D" w:rsidRDefault="00897D3F" w:rsidP="00897D3F">
      <w:pPr>
        <w:pStyle w:val="Prrafodelista"/>
        <w:spacing w:line="360" w:lineRule="auto"/>
        <w:ind w:left="360"/>
        <w:jc w:val="both"/>
        <w:rPr>
          <w:rFonts w:ascii="Palatino Linotype" w:hAnsi="Palatino Linotype"/>
          <w:color w:val="000000" w:themeColor="text1"/>
        </w:rPr>
      </w:pPr>
    </w:p>
    <w:p w:rsidR="00897D3F" w:rsidRPr="00E01285" w:rsidRDefault="00897D3F" w:rsidP="00897D3F">
      <w:pPr>
        <w:spacing w:line="360" w:lineRule="auto"/>
        <w:ind w:left="708"/>
        <w:jc w:val="both"/>
        <w:rPr>
          <w:rFonts w:ascii="Palatino Linotype" w:hAnsi="Palatino Linotype"/>
          <w:color w:val="000000" w:themeColor="text1"/>
          <w:sz w:val="24"/>
          <w:szCs w:val="24"/>
        </w:rPr>
      </w:pPr>
      <w:r w:rsidRPr="00E01285">
        <w:rPr>
          <w:rFonts w:ascii="Palatino Linotype" w:hAnsi="Palatino Linotype"/>
          <w:color w:val="000000" w:themeColor="text1"/>
          <w:sz w:val="24"/>
          <w:szCs w:val="24"/>
        </w:rPr>
        <w:t>Para aplicar la prueba de daño, se deberán de precisar la</w:t>
      </w:r>
      <w:r>
        <w:rPr>
          <w:rFonts w:ascii="Palatino Linotype" w:hAnsi="Palatino Linotype"/>
          <w:color w:val="000000" w:themeColor="text1"/>
          <w:sz w:val="24"/>
          <w:szCs w:val="24"/>
        </w:rPr>
        <w:t>s</w:t>
      </w:r>
      <w:r w:rsidRPr="00E01285">
        <w:rPr>
          <w:rFonts w:ascii="Palatino Linotype" w:hAnsi="Palatino Linotype"/>
          <w:color w:val="000000" w:themeColor="text1"/>
          <w:sz w:val="24"/>
          <w:szCs w:val="24"/>
        </w:rPr>
        <w:t xml:space="preserve"> razones objetivas por las que la apertura genera una afectación, acreditando que:</w:t>
      </w:r>
    </w:p>
    <w:p w:rsidR="00897D3F" w:rsidRPr="00774B2D" w:rsidRDefault="00897D3F" w:rsidP="00897D3F">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774B2D">
        <w:rPr>
          <w:rFonts w:ascii="Palatino Linotype" w:hAnsi="Palatino Linotype" w:cs="Bookman Old Style"/>
          <w:bCs/>
          <w:color w:val="000000" w:themeColor="text1"/>
          <w:sz w:val="24"/>
          <w:szCs w:val="24"/>
          <w:lang w:val="es-ES_tradnl"/>
        </w:rPr>
        <w:lastRenderedPageBreak/>
        <w:t xml:space="preserve">I. </w:t>
      </w:r>
      <w:r w:rsidRPr="00774B2D">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rsidR="00897D3F" w:rsidRPr="00774B2D" w:rsidRDefault="00897D3F" w:rsidP="00897D3F">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774B2D">
        <w:rPr>
          <w:rFonts w:ascii="Palatino Linotype" w:hAnsi="Palatino Linotype" w:cs="Bookman Old Style"/>
          <w:bCs/>
          <w:color w:val="000000" w:themeColor="text1"/>
          <w:sz w:val="24"/>
          <w:szCs w:val="24"/>
          <w:lang w:val="es-ES_tradnl"/>
        </w:rPr>
        <w:t xml:space="preserve">II. </w:t>
      </w:r>
      <w:r w:rsidRPr="00774B2D">
        <w:rPr>
          <w:rFonts w:ascii="Palatino Linotype" w:hAnsi="Palatino Linotype" w:cs="Bookman Old Style"/>
          <w:color w:val="000000" w:themeColor="text1"/>
          <w:sz w:val="24"/>
          <w:szCs w:val="24"/>
          <w:lang w:val="es-ES_tradnl"/>
        </w:rPr>
        <w:t xml:space="preserve">El riesgo de perjuicio que supondría la divulgación supera el interés público general de que se difunda; y </w:t>
      </w:r>
    </w:p>
    <w:p w:rsidR="00897D3F" w:rsidRPr="00774B2D" w:rsidRDefault="00897D3F" w:rsidP="00897D3F">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774B2D">
        <w:rPr>
          <w:rFonts w:ascii="Palatino Linotype" w:hAnsi="Palatino Linotype" w:cs="Bookman Old Style"/>
          <w:bCs/>
          <w:color w:val="000000" w:themeColor="text1"/>
          <w:sz w:val="24"/>
          <w:szCs w:val="24"/>
          <w:lang w:val="es-ES_tradnl"/>
        </w:rPr>
        <w:t xml:space="preserve">III. </w:t>
      </w:r>
      <w:r w:rsidRPr="00774B2D">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rsidR="00897D3F" w:rsidRPr="00037704" w:rsidRDefault="00897D3F" w:rsidP="00897D3F">
      <w:pPr>
        <w:pStyle w:val="j"/>
        <w:shd w:val="clear" w:color="auto" w:fill="FFFFFF"/>
        <w:suppressAutoHyphens/>
        <w:spacing w:line="360" w:lineRule="auto"/>
        <w:ind w:left="426"/>
        <w:jc w:val="both"/>
        <w:textAlignment w:val="baseline"/>
        <w:rPr>
          <w:rFonts w:ascii="Palatino Linotype" w:hAnsi="Palatino Linotype"/>
          <w:color w:val="000000" w:themeColor="text1"/>
        </w:rPr>
      </w:pPr>
      <w:r w:rsidRPr="00774B2D">
        <w:rPr>
          <w:rFonts w:ascii="Palatino Linotype" w:hAnsi="Palatino Linotype"/>
          <w:color w:val="000000" w:themeColor="text1"/>
        </w:rPr>
        <w:t>Sobre el primer supuesto consideremos que según el diccionario del español jurídico, por riesgo podemos entender “la contingencia o proximidad de un daño”,</w:t>
      </w:r>
      <w:r w:rsidRPr="00774B2D">
        <w:rPr>
          <w:rStyle w:val="Refdenotaalpie"/>
          <w:rFonts w:ascii="Palatino Linotype" w:hAnsi="Palatino Linotype"/>
          <w:color w:val="000000" w:themeColor="text1"/>
        </w:rPr>
        <w:footnoteReference w:id="4"/>
      </w:r>
      <w:r w:rsidRPr="00774B2D">
        <w:rPr>
          <w:rFonts w:ascii="Palatino Linotype" w:hAnsi="Palatino Linotype"/>
          <w:color w:val="000000" w:themeColor="text1"/>
        </w:rPr>
        <w:t xml:space="preserve"> mientras que el daño es considerado como un “perjuicio o lesión”</w:t>
      </w:r>
      <w:r w:rsidRPr="00774B2D">
        <w:rPr>
          <w:rStyle w:val="Refdenotaalpie"/>
          <w:rFonts w:ascii="Palatino Linotype" w:hAnsi="Palatino Linotype"/>
          <w:color w:val="000000" w:themeColor="text1"/>
        </w:rPr>
        <w:footnoteReference w:id="5"/>
      </w:r>
      <w:r w:rsidRPr="00774B2D">
        <w:rPr>
          <w:rFonts w:ascii="Palatino Linotype" w:hAnsi="Palatino Linotype"/>
          <w:color w:val="000000" w:themeColor="text1"/>
        </w:rPr>
        <w:t>, mientras que según el Diccionario de la Lengua Española, lo real es</w:t>
      </w:r>
      <w:r w:rsidRPr="00774B2D">
        <w:rPr>
          <w:rFonts w:ascii="Palatino Linotype" w:eastAsia="Arial Unicode MS" w:hAnsi="Palatino Linotype" w:cs="Arial Unicode MS"/>
          <w:color w:val="000000" w:themeColor="text1"/>
          <w:spacing w:val="4"/>
          <w:shd w:val="clear" w:color="auto" w:fill="FFFFFF"/>
        </w:rPr>
        <w:t> lo “</w:t>
      </w:r>
      <w:r w:rsidRPr="00774B2D">
        <w:rPr>
          <w:rFonts w:ascii="Palatino Linotype" w:eastAsia="Times New Roman" w:hAnsi="Palatino Linotype"/>
          <w:color w:val="000000" w:themeColor="text1"/>
        </w:rPr>
        <w:t>(q</w:t>
      </w:r>
      <w:proofErr w:type="gramStart"/>
      <w:r w:rsidRPr="00774B2D">
        <w:rPr>
          <w:rFonts w:ascii="Palatino Linotype" w:eastAsia="Times New Roman" w:hAnsi="Palatino Linotype"/>
          <w:color w:val="000000" w:themeColor="text1"/>
        </w:rPr>
        <w:t>)</w:t>
      </w:r>
      <w:proofErr w:type="spellStart"/>
      <w:r w:rsidRPr="00774B2D">
        <w:rPr>
          <w:rFonts w:ascii="Palatino Linotype" w:eastAsia="Times New Roman" w:hAnsi="Palatino Linotype"/>
          <w:color w:val="000000" w:themeColor="text1"/>
        </w:rPr>
        <w:t>ue</w:t>
      </w:r>
      <w:proofErr w:type="spellEnd"/>
      <w:proofErr w:type="gramEnd"/>
      <w:r w:rsidRPr="00774B2D">
        <w:rPr>
          <w:rFonts w:ascii="Palatino Linotype" w:eastAsia="Arial Unicode MS" w:hAnsi="Palatino Linotype" w:cs="Arial Unicode MS"/>
          <w:color w:val="000000" w:themeColor="text1"/>
          <w:spacing w:val="4"/>
          <w:shd w:val="clear" w:color="auto" w:fill="FFFFFF"/>
        </w:rPr>
        <w:t> </w:t>
      </w:r>
      <w:r w:rsidRPr="00774B2D">
        <w:rPr>
          <w:rFonts w:ascii="Palatino Linotype" w:eastAsia="Times New Roman" w:hAnsi="Palatino Linotype"/>
          <w:color w:val="000000" w:themeColor="text1"/>
        </w:rPr>
        <w:t>tiene</w:t>
      </w:r>
      <w:r w:rsidRPr="00774B2D">
        <w:rPr>
          <w:rFonts w:ascii="Palatino Linotype" w:eastAsia="Arial Unicode MS" w:hAnsi="Palatino Linotype" w:cs="Arial Unicode MS"/>
          <w:color w:val="000000" w:themeColor="text1"/>
          <w:spacing w:val="4"/>
          <w:shd w:val="clear" w:color="auto" w:fill="FFFFFF"/>
        </w:rPr>
        <w:t> </w:t>
      </w:r>
      <w:r w:rsidRPr="00774B2D">
        <w:rPr>
          <w:rFonts w:ascii="Palatino Linotype" w:eastAsia="Times New Roman" w:hAnsi="Palatino Linotype"/>
          <w:color w:val="000000" w:themeColor="text1"/>
        </w:rPr>
        <w:t>existencia</w:t>
      </w:r>
      <w:r w:rsidRPr="00774B2D">
        <w:rPr>
          <w:rFonts w:ascii="Palatino Linotype" w:eastAsia="Arial Unicode MS" w:hAnsi="Palatino Linotype" w:cs="Arial Unicode MS"/>
          <w:color w:val="000000" w:themeColor="text1"/>
          <w:spacing w:val="4"/>
          <w:shd w:val="clear" w:color="auto" w:fill="FFFFFF"/>
        </w:rPr>
        <w:t> </w:t>
      </w:r>
      <w:r w:rsidRPr="00774B2D">
        <w:rPr>
          <w:rFonts w:ascii="Palatino Linotype" w:eastAsia="Times New Roman" w:hAnsi="Palatino Linotype"/>
          <w:color w:val="000000" w:themeColor="text1"/>
        </w:rPr>
        <w:t>objetiva”,</w:t>
      </w:r>
      <w:r w:rsidRPr="00774B2D">
        <w:rPr>
          <w:rStyle w:val="Refdenotaalpie"/>
          <w:rFonts w:ascii="Palatino Linotype" w:eastAsia="Times New Roman" w:hAnsi="Palatino Linotype"/>
          <w:color w:val="000000" w:themeColor="text1"/>
        </w:rPr>
        <w:footnoteReference w:id="6"/>
      </w:r>
      <w:r w:rsidRPr="00774B2D">
        <w:rPr>
          <w:rFonts w:ascii="Palatino Linotype" w:eastAsia="Times New Roman" w:hAnsi="Palatino Linotype"/>
          <w:color w:val="000000" w:themeColor="text1"/>
        </w:rPr>
        <w:t xml:space="preserve"> </w:t>
      </w:r>
      <w:r w:rsidRPr="00774B2D">
        <w:rPr>
          <w:rFonts w:ascii="Palatino Linotype" w:eastAsia="Arial Unicode MS" w:hAnsi="Palatino Linotype" w:cs="Arial Unicode MS"/>
          <w:color w:val="000000" w:themeColor="text1"/>
          <w:spacing w:val="4"/>
          <w:shd w:val="clear" w:color="auto" w:fill="FFFFFF"/>
        </w:rPr>
        <w:t>mientras que lo demostrables es, según la misma fuente, aquello que se puede demostrar,</w:t>
      </w:r>
      <w:r w:rsidRPr="00774B2D">
        <w:rPr>
          <w:rStyle w:val="Refdenotaalpie"/>
          <w:rFonts w:ascii="Palatino Linotype" w:eastAsia="Arial Unicode MS" w:hAnsi="Palatino Linotype" w:cs="Arial Unicode MS"/>
          <w:color w:val="000000" w:themeColor="text1"/>
          <w:spacing w:val="4"/>
          <w:shd w:val="clear" w:color="auto" w:fill="FFFFFF"/>
        </w:rPr>
        <w:footnoteReference w:id="7"/>
      </w:r>
      <w:r w:rsidRPr="00774B2D">
        <w:rPr>
          <w:rFonts w:ascii="Palatino Linotype" w:eastAsia="Arial Unicode MS" w:hAnsi="Palatino Linotype" w:cs="Arial Unicode MS"/>
          <w:color w:val="000000" w:themeColor="text1"/>
          <w:spacing w:val="4"/>
          <w:shd w:val="clear" w:color="auto" w:fill="FFFFFF"/>
        </w:rPr>
        <w:t xml:space="preserve"> es decir, </w:t>
      </w:r>
      <w:r w:rsidRPr="00774B2D">
        <w:rPr>
          <w:rFonts w:ascii="Palatino Linotype" w:hAnsi="Palatino Linotype" w:cstheme="minorBidi"/>
          <w:color w:val="000000" w:themeColor="text1"/>
          <w:lang w:val="es-MX" w:eastAsia="en-US"/>
        </w:rPr>
        <w:t>“(m)anifestar, declarar. Probar, sirviéndose de cualquier género de demostración, </w:t>
      </w:r>
      <w:hyperlink r:id="rId10" w:anchor="6nAyKjE" w:history="1">
        <w:r w:rsidRPr="00774B2D">
          <w:rPr>
            <w:rFonts w:ascii="Palatino Linotype" w:hAnsi="Palatino Linotype" w:cstheme="minorBidi"/>
            <w:color w:val="000000" w:themeColor="text1"/>
            <w:lang w:val="es-MX" w:eastAsia="en-US"/>
          </w:rPr>
          <w:t>enseñar</w:t>
        </w:r>
      </w:hyperlink>
      <w:r w:rsidRPr="00774B2D">
        <w:rPr>
          <w:rFonts w:ascii="Palatino Linotype" w:hAnsi="Palatino Linotype" w:cstheme="minorBidi"/>
          <w:color w:val="000000" w:themeColor="text1"/>
          <w:lang w:val="es-MX" w:eastAsia="en-US"/>
        </w:rPr>
        <w:t> mostrar o exponer algo)”.</w:t>
      </w:r>
      <w:r w:rsidRPr="00774B2D">
        <w:rPr>
          <w:rStyle w:val="Refdenotaalpie"/>
          <w:rFonts w:ascii="Palatino Linotype" w:hAnsi="Palatino Linotype" w:cstheme="minorBidi"/>
          <w:color w:val="000000" w:themeColor="text1"/>
          <w:lang w:val="es-MX" w:eastAsia="en-US"/>
        </w:rPr>
        <w:footnoteReference w:id="8"/>
      </w:r>
      <w:r w:rsidRPr="00774B2D">
        <w:rPr>
          <w:rFonts w:ascii="Palatino Linotype" w:hAnsi="Palatino Linotype" w:cstheme="minorBidi"/>
          <w:color w:val="000000" w:themeColor="text1"/>
          <w:lang w:val="es-MX" w:eastAsia="en-US"/>
        </w:rPr>
        <w:t xml:space="preserve"> Mientras que lo identificable es lo que puede ser identificado,</w:t>
      </w:r>
      <w:r w:rsidRPr="00774B2D">
        <w:rPr>
          <w:rStyle w:val="Refdenotaalpie"/>
          <w:rFonts w:ascii="Palatino Linotype" w:hAnsi="Palatino Linotype" w:cstheme="minorBidi"/>
          <w:color w:val="000000" w:themeColor="text1"/>
          <w:lang w:val="es-MX" w:eastAsia="en-US"/>
        </w:rPr>
        <w:footnoteReference w:id="9"/>
      </w:r>
      <w:r w:rsidRPr="00774B2D">
        <w:rPr>
          <w:rFonts w:ascii="Palatino Linotype" w:hAnsi="Palatino Linotype" w:cstheme="minorBidi"/>
          <w:color w:val="000000" w:themeColor="text1"/>
          <w:lang w:val="es-MX" w:eastAsia="en-US"/>
        </w:rPr>
        <w:t xml:space="preserve"> esto es,</w:t>
      </w:r>
      <w:r w:rsidRPr="00774B2D">
        <w:rPr>
          <w:rFonts w:ascii="Palatino Linotype" w:hAnsi="Palatino Linotype" w:cstheme="minorBidi"/>
          <w:color w:val="000000" w:themeColor="text1"/>
        </w:rPr>
        <w:t>  “(d</w:t>
      </w:r>
      <w:proofErr w:type="gramStart"/>
      <w:r w:rsidRPr="00774B2D">
        <w:rPr>
          <w:rFonts w:ascii="Palatino Linotype" w:hAnsi="Palatino Linotype" w:cstheme="minorBidi"/>
          <w:color w:val="000000" w:themeColor="text1"/>
        </w:rPr>
        <w:t>)</w:t>
      </w:r>
      <w:proofErr w:type="spellStart"/>
      <w:r w:rsidRPr="00774B2D">
        <w:rPr>
          <w:rFonts w:ascii="Palatino Linotype" w:hAnsi="Palatino Linotype" w:cstheme="minorBidi"/>
          <w:color w:val="000000" w:themeColor="text1"/>
        </w:rPr>
        <w:t>ar</w:t>
      </w:r>
      <w:proofErr w:type="spellEnd"/>
      <w:proofErr w:type="gramEnd"/>
      <w:r w:rsidRPr="00774B2D">
        <w:rPr>
          <w:rFonts w:ascii="Palatino Linotype" w:hAnsi="Palatino Linotype" w:cstheme="minorBidi"/>
          <w:color w:val="000000" w:themeColor="text1"/>
        </w:rPr>
        <w:t> los datos necesarios para ser reconocido”.</w:t>
      </w:r>
      <w:r w:rsidRPr="00774B2D">
        <w:rPr>
          <w:rStyle w:val="Refdenotaalpie"/>
          <w:rFonts w:ascii="Palatino Linotype" w:hAnsi="Palatino Linotype" w:cstheme="minorBidi"/>
          <w:color w:val="000000" w:themeColor="text1"/>
        </w:rPr>
        <w:footnoteReference w:id="10"/>
      </w:r>
    </w:p>
    <w:p w:rsidR="00897D3F" w:rsidRDefault="00897D3F" w:rsidP="00897D3F">
      <w:pPr>
        <w:pStyle w:val="Prrafodelista"/>
        <w:spacing w:line="360" w:lineRule="auto"/>
        <w:ind w:left="426"/>
        <w:jc w:val="both"/>
        <w:rPr>
          <w:rFonts w:ascii="Palatino Linotype" w:hAnsi="Palatino Linotype"/>
          <w:color w:val="000000" w:themeColor="text1"/>
        </w:rPr>
      </w:pPr>
    </w:p>
    <w:p w:rsidR="00897D3F" w:rsidRDefault="00897D3F" w:rsidP="00897D3F">
      <w:pPr>
        <w:spacing w:line="360" w:lineRule="auto"/>
        <w:ind w:left="426"/>
        <w:jc w:val="both"/>
        <w:rPr>
          <w:rFonts w:ascii="Palatino Linotype" w:hAnsi="Palatino Linotype"/>
          <w:color w:val="000000" w:themeColor="text1"/>
          <w:sz w:val="24"/>
          <w:szCs w:val="24"/>
        </w:rPr>
      </w:pPr>
      <w:r w:rsidRPr="00E01285">
        <w:rPr>
          <w:rFonts w:ascii="Palatino Linotype" w:hAnsi="Palatino Linotype"/>
          <w:color w:val="000000" w:themeColor="text1"/>
          <w:sz w:val="24"/>
          <w:szCs w:val="24"/>
        </w:rPr>
        <w:lastRenderedPageBreak/>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897D3F" w:rsidRPr="00E01285" w:rsidRDefault="00897D3F" w:rsidP="00897D3F">
      <w:pPr>
        <w:spacing w:line="360" w:lineRule="auto"/>
        <w:ind w:left="426"/>
        <w:jc w:val="both"/>
        <w:rPr>
          <w:rFonts w:ascii="Palatino Linotype" w:hAnsi="Palatino Linotype"/>
          <w:color w:val="000000" w:themeColor="text1"/>
          <w:sz w:val="24"/>
          <w:szCs w:val="24"/>
        </w:rPr>
      </w:pPr>
      <w:r w:rsidRPr="00E01285">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rsidR="00897D3F" w:rsidRDefault="00897D3F" w:rsidP="00897D3F">
      <w:pPr>
        <w:spacing w:line="360" w:lineRule="auto"/>
        <w:ind w:left="426"/>
        <w:jc w:val="both"/>
        <w:rPr>
          <w:rFonts w:ascii="Palatino Linotype" w:hAnsi="Palatino Linotype"/>
          <w:color w:val="000000" w:themeColor="text1"/>
          <w:sz w:val="24"/>
          <w:szCs w:val="24"/>
        </w:rPr>
      </w:pPr>
      <w:r w:rsidRPr="00E01285">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774B2D">
        <w:rPr>
          <w:rStyle w:val="Refdenotaalpie"/>
          <w:rFonts w:ascii="Palatino Linotype" w:hAnsi="Palatino Linotype"/>
          <w:color w:val="000000" w:themeColor="text1"/>
        </w:rPr>
        <w:footnoteReference w:id="11"/>
      </w:r>
      <w:r w:rsidRPr="00E01285">
        <w:rPr>
          <w:rFonts w:ascii="Palatino Linotype" w:hAnsi="Palatino Linotype"/>
          <w:color w:val="000000" w:themeColor="text1"/>
          <w:sz w:val="24"/>
          <w:szCs w:val="24"/>
        </w:rPr>
        <w:t>, siguiendo el principio de ponderación propuesto por el Tribunal Constitucional Alemán,</w:t>
      </w:r>
      <w:r w:rsidRPr="00774B2D">
        <w:rPr>
          <w:rStyle w:val="Refdenotaalpie"/>
          <w:rFonts w:ascii="Palatino Linotype" w:hAnsi="Palatino Linotype"/>
          <w:color w:val="000000" w:themeColor="text1"/>
        </w:rPr>
        <w:footnoteReference w:id="12"/>
      </w:r>
      <w:r w:rsidRPr="00E01285">
        <w:rPr>
          <w:rFonts w:ascii="Palatino Linotype" w:hAnsi="Palatino Linotype"/>
          <w:color w:val="000000" w:themeColor="text1"/>
          <w:sz w:val="24"/>
          <w:szCs w:val="24"/>
        </w:rPr>
        <w:t xml:space="preserve"> el juicio de idoneidad, que la medida adoptada sea la </w:t>
      </w:r>
      <w:r w:rsidRPr="00E01285">
        <w:rPr>
          <w:rFonts w:ascii="Palatino Linotype" w:hAnsi="Palatino Linotype"/>
          <w:color w:val="000000" w:themeColor="text1"/>
          <w:sz w:val="24"/>
          <w:szCs w:val="24"/>
        </w:rPr>
        <w:lastRenderedPageBreak/>
        <w:t>idónea para el ejercicio del derecho; de necesidad, que sea necearía para que el derecho que prevalece se ejerza y el de estricta proporcionalidad esto es, que el derecho que prevalezca sea en la dimensión estrictamente proporcional al derecho que retrocede.</w:t>
      </w:r>
    </w:p>
    <w:p w:rsidR="00897D3F" w:rsidRPr="00E01285" w:rsidRDefault="00897D3F" w:rsidP="00897D3F">
      <w:pPr>
        <w:spacing w:line="360" w:lineRule="auto"/>
        <w:ind w:left="426"/>
        <w:jc w:val="both"/>
        <w:rPr>
          <w:rFonts w:ascii="Palatino Linotype" w:hAnsi="Palatino Linotype"/>
          <w:color w:val="000000" w:themeColor="text1"/>
          <w:sz w:val="24"/>
          <w:szCs w:val="24"/>
        </w:rPr>
      </w:pPr>
      <w:r>
        <w:rPr>
          <w:rFonts w:ascii="Palatino Linotype" w:hAnsi="Palatino Linotype"/>
          <w:color w:val="000000" w:themeColor="text1"/>
          <w:sz w:val="24"/>
          <w:szCs w:val="24"/>
        </w:rPr>
        <w:t xml:space="preserve">Es así, que al configurarse tales requisitos, se otorga certidumbre jurídica y se protege la esfera más íntima del derecho humano constitucional y convencionalmente reconocido. </w:t>
      </w:r>
    </w:p>
    <w:p w:rsidR="000E293D" w:rsidRPr="001C023D" w:rsidRDefault="000E293D" w:rsidP="00240C13">
      <w:pPr>
        <w:pStyle w:val="Prrafodelista"/>
        <w:numPr>
          <w:ilvl w:val="0"/>
          <w:numId w:val="38"/>
        </w:numPr>
        <w:spacing w:before="240" w:line="360" w:lineRule="auto"/>
        <w:jc w:val="both"/>
        <w:rPr>
          <w:rFonts w:ascii="Palatino Linotype" w:hAnsi="Palatino Linotype"/>
          <w:b/>
        </w:rPr>
      </w:pPr>
      <w:r>
        <w:rPr>
          <w:rFonts w:ascii="Palatino Linotype" w:hAnsi="Palatino Linotype"/>
        </w:rPr>
        <w:t xml:space="preserve">Mediante la segunda sesión extraordinaria de fecha dieciocho de febrero del año en curso, el Comité de Transparencia del </w:t>
      </w:r>
      <w:r>
        <w:rPr>
          <w:rFonts w:ascii="Palatino Linotype" w:hAnsi="Palatino Linotype"/>
          <w:b/>
        </w:rPr>
        <w:t xml:space="preserve">Sujeto Obligado </w:t>
      </w:r>
      <w:r>
        <w:rPr>
          <w:rFonts w:ascii="Palatino Linotype" w:hAnsi="Palatino Linotype"/>
        </w:rPr>
        <w:t xml:space="preserve">aprobó la clasificación de la información requerida por un periodo de 5 (cinco) años, fundamentando su determinación en los artículos 113, fracciones I y V de la Ley General de Transparencia y Acceso a la Información Pública; </w:t>
      </w:r>
      <w:r w:rsidR="00206E2B" w:rsidRPr="00263F0B">
        <w:rPr>
          <w:rFonts w:ascii="Palatino Linotype" w:hAnsi="Palatino Linotype"/>
        </w:rPr>
        <w:t>129, fracciones I y II,</w:t>
      </w:r>
      <w:r w:rsidR="00206E2B">
        <w:rPr>
          <w:rFonts w:ascii="Palatino Linotype" w:hAnsi="Palatino Linotype"/>
        </w:rPr>
        <w:t xml:space="preserve"> 140, fracciones I y IV de la Ley de Transparencia y Acceso a la Información Pública del Estado de México y Municipios; </w:t>
      </w:r>
      <w:r w:rsidR="00206E2B" w:rsidRPr="00263F0B">
        <w:rPr>
          <w:rFonts w:ascii="Palatino Linotype" w:hAnsi="Palatino Linotype"/>
          <w:b/>
          <w:u w:val="single"/>
        </w:rPr>
        <w:t>así como el artículo 88 de la Ley de Protección Civil del Estado Libre y Soberano de México;</w:t>
      </w:r>
      <w:r w:rsidR="00206E2B">
        <w:rPr>
          <w:rFonts w:ascii="Palatino Linotype" w:hAnsi="Palatino Linotype"/>
        </w:rPr>
        <w:t xml:space="preserve"> normatividad que señala a la literalidad:</w:t>
      </w:r>
    </w:p>
    <w:p w:rsidR="001C023D" w:rsidRPr="00263F0B" w:rsidRDefault="00263F0B" w:rsidP="00263F0B">
      <w:pPr>
        <w:pStyle w:val="Prrafodelista"/>
        <w:spacing w:before="240" w:after="160" w:line="360" w:lineRule="auto"/>
        <w:ind w:left="851" w:right="851"/>
        <w:jc w:val="center"/>
        <w:rPr>
          <w:rFonts w:ascii="Palatino Linotype" w:hAnsi="Palatino Linotype"/>
          <w:b/>
          <w:i/>
          <w:sz w:val="22"/>
          <w:szCs w:val="22"/>
        </w:rPr>
      </w:pPr>
      <w:r w:rsidRPr="00263F0B">
        <w:rPr>
          <w:rFonts w:ascii="Palatino Linotype" w:hAnsi="Palatino Linotype"/>
          <w:b/>
          <w:i/>
          <w:sz w:val="22"/>
          <w:szCs w:val="22"/>
        </w:rPr>
        <w:t>“</w:t>
      </w:r>
      <w:r w:rsidR="001C023D" w:rsidRPr="00263F0B">
        <w:rPr>
          <w:rFonts w:ascii="Palatino Linotype" w:hAnsi="Palatino Linotype"/>
          <w:b/>
          <w:i/>
          <w:sz w:val="22"/>
          <w:szCs w:val="22"/>
        </w:rPr>
        <w:t>Ley General de Transparencia y Acceso a la Información Pública</w:t>
      </w:r>
    </w:p>
    <w:p w:rsidR="00263F0B" w:rsidRDefault="001C023D" w:rsidP="00263F0B">
      <w:pPr>
        <w:pStyle w:val="Prrafodelista"/>
        <w:spacing w:before="240" w:after="160" w:line="360" w:lineRule="auto"/>
        <w:ind w:left="851" w:right="851"/>
        <w:jc w:val="both"/>
        <w:rPr>
          <w:rFonts w:ascii="Palatino Linotype" w:hAnsi="Palatino Linotype"/>
          <w:i/>
          <w:sz w:val="22"/>
          <w:szCs w:val="22"/>
        </w:rPr>
      </w:pPr>
      <w:r w:rsidRPr="00263F0B">
        <w:rPr>
          <w:rFonts w:ascii="Palatino Linotype" w:hAnsi="Palatino Linotype"/>
          <w:i/>
          <w:sz w:val="22"/>
          <w:szCs w:val="22"/>
        </w:rPr>
        <w:t xml:space="preserve">Artículo 113. Como información reservada podrá clasificarse aquella cuya publicación: </w:t>
      </w:r>
    </w:p>
    <w:p w:rsidR="001C023D" w:rsidRPr="00263F0B" w:rsidRDefault="001C023D" w:rsidP="00263F0B">
      <w:pPr>
        <w:pStyle w:val="Prrafodelista"/>
        <w:spacing w:before="240" w:after="160" w:line="360" w:lineRule="auto"/>
        <w:ind w:left="851" w:right="851"/>
        <w:jc w:val="both"/>
        <w:rPr>
          <w:rFonts w:ascii="Palatino Linotype" w:hAnsi="Palatino Linotype"/>
          <w:i/>
          <w:sz w:val="22"/>
          <w:szCs w:val="22"/>
        </w:rPr>
      </w:pPr>
      <w:r w:rsidRPr="00263F0B">
        <w:rPr>
          <w:rFonts w:ascii="Palatino Linotype" w:hAnsi="Palatino Linotype"/>
          <w:i/>
          <w:sz w:val="22"/>
          <w:szCs w:val="22"/>
        </w:rPr>
        <w:t>I. Comprometa la seguridad nacional, la seguridad pública o la defensa nacional y cuente con un propósito genuino y un efecto demostrable;</w:t>
      </w:r>
    </w:p>
    <w:p w:rsidR="001C023D" w:rsidRPr="00263F0B" w:rsidRDefault="001C023D" w:rsidP="00263F0B">
      <w:pPr>
        <w:pStyle w:val="Prrafodelista"/>
        <w:spacing w:before="240" w:after="160" w:line="360" w:lineRule="auto"/>
        <w:ind w:left="851" w:right="851"/>
        <w:jc w:val="both"/>
        <w:rPr>
          <w:rFonts w:ascii="Palatino Linotype" w:hAnsi="Palatino Linotype"/>
          <w:i/>
          <w:sz w:val="22"/>
          <w:szCs w:val="22"/>
        </w:rPr>
      </w:pPr>
      <w:r w:rsidRPr="00263F0B">
        <w:rPr>
          <w:rFonts w:ascii="Palatino Linotype" w:hAnsi="Palatino Linotype"/>
          <w:i/>
          <w:sz w:val="22"/>
          <w:szCs w:val="22"/>
        </w:rPr>
        <w:t>(…)</w:t>
      </w:r>
    </w:p>
    <w:p w:rsidR="001C023D" w:rsidRPr="00263F0B" w:rsidRDefault="001C023D" w:rsidP="00263F0B">
      <w:pPr>
        <w:pStyle w:val="Prrafodelista"/>
        <w:spacing w:before="240" w:after="160" w:line="360" w:lineRule="auto"/>
        <w:ind w:left="851" w:right="851"/>
        <w:jc w:val="both"/>
        <w:rPr>
          <w:rFonts w:ascii="Palatino Linotype" w:hAnsi="Palatino Linotype"/>
          <w:i/>
          <w:sz w:val="22"/>
          <w:szCs w:val="22"/>
        </w:rPr>
      </w:pPr>
      <w:r w:rsidRPr="00263F0B">
        <w:rPr>
          <w:rFonts w:ascii="Palatino Linotype" w:hAnsi="Palatino Linotype"/>
          <w:i/>
          <w:sz w:val="22"/>
          <w:szCs w:val="22"/>
        </w:rPr>
        <w:lastRenderedPageBreak/>
        <w:t>V. Pueda poner en riesgo la vida, seguridad o salud de una persona física;</w:t>
      </w:r>
    </w:p>
    <w:p w:rsidR="001C023D" w:rsidRDefault="001C023D" w:rsidP="00263F0B">
      <w:pPr>
        <w:pStyle w:val="Prrafodelista"/>
        <w:spacing w:before="240" w:after="160" w:line="360" w:lineRule="auto"/>
        <w:ind w:left="851" w:right="851"/>
        <w:jc w:val="both"/>
        <w:rPr>
          <w:rFonts w:ascii="Palatino Linotype" w:hAnsi="Palatino Linotype"/>
          <w:i/>
          <w:sz w:val="22"/>
          <w:szCs w:val="22"/>
        </w:rPr>
      </w:pPr>
      <w:r w:rsidRPr="00263F0B">
        <w:rPr>
          <w:rFonts w:ascii="Palatino Linotype" w:hAnsi="Palatino Linotype"/>
          <w:i/>
          <w:sz w:val="22"/>
          <w:szCs w:val="22"/>
        </w:rPr>
        <w:t>(…)</w:t>
      </w:r>
    </w:p>
    <w:p w:rsidR="00802E70" w:rsidRPr="00263F0B" w:rsidRDefault="00802E70" w:rsidP="00263F0B">
      <w:pPr>
        <w:pStyle w:val="Prrafodelista"/>
        <w:spacing w:before="240" w:after="160" w:line="360" w:lineRule="auto"/>
        <w:ind w:left="851" w:right="851"/>
        <w:jc w:val="both"/>
        <w:rPr>
          <w:rFonts w:ascii="Palatino Linotype" w:hAnsi="Palatino Linotype"/>
          <w:i/>
          <w:sz w:val="22"/>
          <w:szCs w:val="22"/>
        </w:rPr>
      </w:pPr>
    </w:p>
    <w:p w:rsidR="001C023D" w:rsidRPr="00263F0B" w:rsidRDefault="00CE6437" w:rsidP="00263F0B">
      <w:pPr>
        <w:pStyle w:val="Prrafodelista"/>
        <w:spacing w:before="240" w:after="160" w:line="360" w:lineRule="auto"/>
        <w:ind w:left="851" w:right="851"/>
        <w:jc w:val="center"/>
        <w:rPr>
          <w:rFonts w:ascii="Palatino Linotype" w:hAnsi="Palatino Linotype"/>
          <w:b/>
          <w:i/>
          <w:sz w:val="22"/>
          <w:szCs w:val="22"/>
        </w:rPr>
      </w:pPr>
      <w:r>
        <w:rPr>
          <w:rFonts w:ascii="Palatino Linotype" w:hAnsi="Palatino Linotype"/>
          <w:b/>
          <w:i/>
          <w:sz w:val="22"/>
          <w:szCs w:val="22"/>
        </w:rPr>
        <w:t>Ley de T</w:t>
      </w:r>
      <w:r w:rsidR="001C023D" w:rsidRPr="00263F0B">
        <w:rPr>
          <w:rFonts w:ascii="Palatino Linotype" w:hAnsi="Palatino Linotype"/>
          <w:b/>
          <w:i/>
          <w:sz w:val="22"/>
          <w:szCs w:val="22"/>
        </w:rPr>
        <w:t>ransparencia y Acceso a la Información Pública del Estado de México y Municipios</w:t>
      </w:r>
    </w:p>
    <w:p w:rsidR="001C023D" w:rsidRPr="00263F0B" w:rsidRDefault="001C023D" w:rsidP="00263F0B">
      <w:pPr>
        <w:pStyle w:val="Prrafodelista"/>
        <w:spacing w:before="240" w:after="160" w:line="360" w:lineRule="auto"/>
        <w:ind w:left="851" w:right="851"/>
        <w:jc w:val="both"/>
        <w:rPr>
          <w:rFonts w:ascii="Palatino Linotype" w:hAnsi="Palatino Linotype"/>
          <w:i/>
          <w:sz w:val="22"/>
          <w:szCs w:val="22"/>
        </w:rPr>
      </w:pPr>
      <w:r w:rsidRPr="00263F0B">
        <w:rPr>
          <w:rFonts w:ascii="Palatino Linotype" w:hAnsi="Palatino Linotype"/>
          <w:i/>
          <w:sz w:val="22"/>
          <w:szCs w:val="22"/>
        </w:rPr>
        <w:t xml:space="preserve">Artículo 129. En la aplicación de la prueba de daño, el sujeto obligado deberá precisar las razones objetivas por las que la apertura de la información generaría una afectación, justificando que: </w:t>
      </w:r>
    </w:p>
    <w:p w:rsidR="001C023D" w:rsidRPr="00263F0B" w:rsidRDefault="001C023D" w:rsidP="00263F0B">
      <w:pPr>
        <w:pStyle w:val="Prrafodelista"/>
        <w:numPr>
          <w:ilvl w:val="0"/>
          <w:numId w:val="40"/>
        </w:numPr>
        <w:spacing w:before="240" w:after="160" w:line="360" w:lineRule="auto"/>
        <w:ind w:left="851" w:right="851" w:firstLine="0"/>
        <w:jc w:val="both"/>
        <w:rPr>
          <w:rFonts w:ascii="Palatino Linotype" w:hAnsi="Palatino Linotype"/>
          <w:i/>
          <w:sz w:val="22"/>
          <w:szCs w:val="22"/>
        </w:rPr>
      </w:pPr>
      <w:r w:rsidRPr="00263F0B">
        <w:rPr>
          <w:rFonts w:ascii="Palatino Linotype" w:hAnsi="Palatino Linotype"/>
          <w:i/>
          <w:sz w:val="22"/>
          <w:szCs w:val="22"/>
        </w:rPr>
        <w:t xml:space="preserve">La divulgación de la información representa un riesgo real, demostrable e identificable del perjuicio significativo al interés público o a la seguridad pública; </w:t>
      </w:r>
    </w:p>
    <w:p w:rsidR="001C023D" w:rsidRPr="00263F0B" w:rsidRDefault="001C023D" w:rsidP="00263F0B">
      <w:pPr>
        <w:pStyle w:val="Prrafodelista"/>
        <w:numPr>
          <w:ilvl w:val="0"/>
          <w:numId w:val="40"/>
        </w:numPr>
        <w:spacing w:before="240" w:after="160" w:line="360" w:lineRule="auto"/>
        <w:ind w:left="851" w:right="851" w:firstLine="0"/>
        <w:jc w:val="both"/>
        <w:rPr>
          <w:rFonts w:ascii="Palatino Linotype" w:hAnsi="Palatino Linotype"/>
          <w:i/>
          <w:sz w:val="22"/>
          <w:szCs w:val="22"/>
        </w:rPr>
      </w:pPr>
      <w:r w:rsidRPr="00263F0B">
        <w:rPr>
          <w:rFonts w:ascii="Palatino Linotype" w:hAnsi="Palatino Linotype"/>
          <w:i/>
          <w:sz w:val="22"/>
          <w:szCs w:val="22"/>
        </w:rPr>
        <w:t xml:space="preserve">El riesgo de perjuicio que supondría la divulgación supera el interés público general de que se difunda; </w:t>
      </w:r>
    </w:p>
    <w:p w:rsidR="001C023D" w:rsidRPr="00263F0B" w:rsidRDefault="001C023D" w:rsidP="00263F0B">
      <w:pPr>
        <w:pStyle w:val="Prrafodelista"/>
        <w:spacing w:before="240" w:after="160" w:line="360" w:lineRule="auto"/>
        <w:ind w:left="851" w:right="851"/>
        <w:jc w:val="both"/>
        <w:rPr>
          <w:rFonts w:ascii="Palatino Linotype" w:hAnsi="Palatino Linotype"/>
          <w:i/>
          <w:sz w:val="22"/>
          <w:szCs w:val="22"/>
        </w:rPr>
      </w:pPr>
      <w:r w:rsidRPr="00263F0B">
        <w:rPr>
          <w:rFonts w:ascii="Palatino Linotype" w:hAnsi="Palatino Linotype"/>
          <w:i/>
          <w:sz w:val="22"/>
          <w:szCs w:val="22"/>
        </w:rPr>
        <w:t>(…)</w:t>
      </w:r>
      <w:r w:rsidR="00263F0B">
        <w:rPr>
          <w:rFonts w:ascii="Palatino Linotype" w:hAnsi="Palatino Linotype"/>
          <w:i/>
          <w:sz w:val="22"/>
          <w:szCs w:val="22"/>
        </w:rPr>
        <w:t xml:space="preserve"> </w:t>
      </w:r>
    </w:p>
    <w:p w:rsidR="001C023D" w:rsidRPr="00263F0B" w:rsidRDefault="001C023D" w:rsidP="00263F0B">
      <w:pPr>
        <w:pStyle w:val="Prrafodelista"/>
        <w:spacing w:before="240" w:after="160" w:line="360" w:lineRule="auto"/>
        <w:ind w:left="851" w:right="851"/>
        <w:jc w:val="both"/>
        <w:rPr>
          <w:rFonts w:ascii="Palatino Linotype" w:hAnsi="Palatino Linotype"/>
          <w:i/>
          <w:sz w:val="22"/>
          <w:szCs w:val="22"/>
        </w:rPr>
      </w:pPr>
      <w:r w:rsidRPr="00263F0B">
        <w:rPr>
          <w:rFonts w:ascii="Palatino Linotype" w:hAnsi="Palatino Linotype"/>
          <w:i/>
          <w:sz w:val="22"/>
          <w:szCs w:val="22"/>
        </w:rPr>
        <w:t>Artículo 140. El acceso a la información pública será restringido excepcionalmente, cuando por razones de interés público, ésta sea clasificada como reservada, conforme a los criterios siguientes:</w:t>
      </w:r>
    </w:p>
    <w:p w:rsidR="001C023D" w:rsidRPr="00263F0B" w:rsidRDefault="001C023D" w:rsidP="00263F0B">
      <w:pPr>
        <w:pStyle w:val="Prrafodelista"/>
        <w:numPr>
          <w:ilvl w:val="0"/>
          <w:numId w:val="39"/>
        </w:numPr>
        <w:spacing w:before="240" w:after="160" w:line="360" w:lineRule="auto"/>
        <w:ind w:left="851" w:right="851" w:firstLine="0"/>
        <w:jc w:val="both"/>
        <w:rPr>
          <w:rFonts w:ascii="Palatino Linotype" w:hAnsi="Palatino Linotype"/>
          <w:i/>
          <w:sz w:val="22"/>
          <w:szCs w:val="22"/>
        </w:rPr>
      </w:pPr>
      <w:r w:rsidRPr="00263F0B">
        <w:rPr>
          <w:rFonts w:ascii="Palatino Linotype" w:hAnsi="Palatino Linotype"/>
          <w:i/>
          <w:sz w:val="22"/>
          <w:szCs w:val="22"/>
        </w:rPr>
        <w:t>Comprometa la seguridad pública y cuente con un propósito genuino y un efecto demostrable;</w:t>
      </w:r>
    </w:p>
    <w:p w:rsidR="001C023D" w:rsidRPr="00263F0B" w:rsidRDefault="001C023D" w:rsidP="00263F0B">
      <w:pPr>
        <w:spacing w:before="240" w:line="360" w:lineRule="auto"/>
        <w:ind w:left="851" w:right="851"/>
        <w:jc w:val="both"/>
        <w:rPr>
          <w:rFonts w:ascii="Palatino Linotype" w:hAnsi="Palatino Linotype"/>
          <w:i/>
        </w:rPr>
      </w:pPr>
      <w:r w:rsidRPr="00263F0B">
        <w:rPr>
          <w:rFonts w:ascii="Palatino Linotype" w:hAnsi="Palatino Linotype"/>
          <w:i/>
        </w:rPr>
        <w:t>(…)</w:t>
      </w:r>
    </w:p>
    <w:p w:rsidR="001C023D" w:rsidRPr="00263F0B" w:rsidRDefault="00263F0B" w:rsidP="00263F0B">
      <w:pPr>
        <w:spacing w:before="240" w:line="360" w:lineRule="auto"/>
        <w:ind w:left="851" w:right="851"/>
        <w:jc w:val="both"/>
        <w:rPr>
          <w:rFonts w:ascii="Palatino Linotype" w:hAnsi="Palatino Linotype"/>
          <w:i/>
        </w:rPr>
      </w:pPr>
      <w:r w:rsidRPr="00263F0B">
        <w:rPr>
          <w:rFonts w:ascii="Palatino Linotype" w:hAnsi="Palatino Linotype"/>
          <w:i/>
        </w:rPr>
        <w:t>IV.  Ponga en riesgo la vida, la seguridad o la salud de una persona física;</w:t>
      </w:r>
    </w:p>
    <w:p w:rsidR="00CE6437" w:rsidRDefault="00CE6437" w:rsidP="00263F0B">
      <w:pPr>
        <w:spacing w:before="240" w:line="360" w:lineRule="auto"/>
        <w:ind w:left="851" w:right="851"/>
        <w:jc w:val="center"/>
        <w:rPr>
          <w:rFonts w:ascii="Palatino Linotype" w:hAnsi="Palatino Linotype"/>
          <w:b/>
          <w:i/>
        </w:rPr>
      </w:pPr>
    </w:p>
    <w:p w:rsidR="001C023D" w:rsidRPr="00263F0B" w:rsidRDefault="001C023D" w:rsidP="00263F0B">
      <w:pPr>
        <w:spacing w:before="240" w:line="360" w:lineRule="auto"/>
        <w:ind w:left="851" w:right="851"/>
        <w:jc w:val="center"/>
        <w:rPr>
          <w:rFonts w:ascii="Palatino Linotype" w:hAnsi="Palatino Linotype"/>
          <w:b/>
          <w:i/>
        </w:rPr>
      </w:pPr>
      <w:r w:rsidRPr="00263F0B">
        <w:rPr>
          <w:rFonts w:ascii="Palatino Linotype" w:hAnsi="Palatino Linotype"/>
          <w:b/>
          <w:i/>
        </w:rPr>
        <w:t>Ley de Protección Civil del Estado Libre y Soberano de México</w:t>
      </w:r>
    </w:p>
    <w:p w:rsidR="001C023D" w:rsidRPr="00263F0B" w:rsidRDefault="001C023D" w:rsidP="00263F0B">
      <w:pPr>
        <w:spacing w:before="240" w:line="360" w:lineRule="auto"/>
        <w:ind w:left="851" w:right="851"/>
        <w:jc w:val="both"/>
        <w:rPr>
          <w:rFonts w:ascii="Palatino Linotype" w:hAnsi="Palatino Linotype"/>
          <w:b/>
          <w:i/>
        </w:rPr>
      </w:pPr>
      <w:r w:rsidRPr="00263F0B">
        <w:rPr>
          <w:rFonts w:ascii="Palatino Linotype" w:hAnsi="Palatino Linotype"/>
          <w:i/>
        </w:rPr>
        <w:t>Artículo 88.- Las autoridades que esta Ley define, adoptarán y ejecutarán las medidas de seguridad y protección encaminadas a evitar los daños que se puedan causar a la población, a las instalaciones, construcciones o bienes de interés general, las que tiendan a garantizar el normal funcionamiento de los servicios esenciales para la comunidad e impedir cualquier situación que afecte la seguridad o salud pública. Las medidas de seguridad se aplicarán sin perjuicio de las sanciones que en su caso correspondan.</w:t>
      </w:r>
      <w:r w:rsidR="00263F0B" w:rsidRPr="00263F0B">
        <w:rPr>
          <w:rFonts w:ascii="Palatino Linotype" w:hAnsi="Palatino Linotype"/>
          <w:i/>
        </w:rPr>
        <w:t xml:space="preserve">” </w:t>
      </w:r>
      <w:r w:rsidR="00263F0B" w:rsidRPr="00263F0B">
        <w:rPr>
          <w:rFonts w:ascii="Palatino Linotype" w:hAnsi="Palatino Linotype"/>
          <w:b/>
          <w:i/>
        </w:rPr>
        <w:t>[Sic]</w:t>
      </w:r>
    </w:p>
    <w:p w:rsidR="001C023D" w:rsidRDefault="001C023D" w:rsidP="001C023D">
      <w:pPr>
        <w:pStyle w:val="Prrafodelista"/>
        <w:spacing w:before="240" w:line="360" w:lineRule="auto"/>
        <w:ind w:left="720"/>
        <w:jc w:val="both"/>
      </w:pPr>
      <w:r w:rsidRPr="00263F0B">
        <w:rPr>
          <w:rFonts w:ascii="Palatino Linotype" w:hAnsi="Palatino Linotype"/>
        </w:rPr>
        <w:t xml:space="preserve">Al respecto, vale la pena mencionar que la Ley de Protección Civil del Estado Libre y Soberano de México fue abrogada mediante el decreto número 40, transitorio tercero, publicado en el </w:t>
      </w:r>
      <w:r w:rsidR="00263F0B" w:rsidRPr="00263F0B">
        <w:rPr>
          <w:rFonts w:ascii="Palatino Linotype" w:hAnsi="Palatino Linotype"/>
        </w:rPr>
        <w:t>Periódico</w:t>
      </w:r>
      <w:r w:rsidRPr="00263F0B">
        <w:rPr>
          <w:rFonts w:ascii="Palatino Linotype" w:hAnsi="Palatino Linotype"/>
        </w:rPr>
        <w:t xml:space="preserve"> Oficial “Gaceta del Gobierno del Estado de México”, de fecha diecinueve de diciembre de dos mil doce, misma que puede ser consultada en la siguiente dirección electrónica:</w:t>
      </w:r>
      <w:r>
        <w:rPr>
          <w:rFonts w:ascii="Palatino Linotype" w:hAnsi="Palatino Linotype"/>
          <w:b/>
        </w:rPr>
        <w:t xml:space="preserve"> </w:t>
      </w:r>
      <w:hyperlink r:id="rId11" w:history="1">
        <w:r>
          <w:rPr>
            <w:rStyle w:val="Hipervnculo"/>
          </w:rPr>
          <w:t>http://legislacion.edomex.gob.mx/sites/legislacion.edomex.gob.mx/files/files/pdf/gct/2012/dic196.PDF</w:t>
        </w:r>
      </w:hyperlink>
    </w:p>
    <w:p w:rsidR="001C023D" w:rsidRPr="009C1A6C" w:rsidRDefault="00897D3F" w:rsidP="001C023D">
      <w:pPr>
        <w:pStyle w:val="Prrafodelista"/>
        <w:spacing w:before="240" w:line="360" w:lineRule="auto"/>
        <w:ind w:left="72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84864" behindDoc="0" locked="0" layoutInCell="1" allowOverlap="1">
                <wp:simplePos x="0" y="0"/>
                <wp:positionH relativeFrom="column">
                  <wp:posOffset>-338264</wp:posOffset>
                </wp:positionH>
                <wp:positionV relativeFrom="paragraph">
                  <wp:posOffset>794516</wp:posOffset>
                </wp:positionV>
                <wp:extent cx="6461185" cy="1725283"/>
                <wp:effectExtent l="0" t="0" r="34925" b="27940"/>
                <wp:wrapNone/>
                <wp:docPr id="12" name="Conector recto 12"/>
                <wp:cNvGraphicFramePr/>
                <a:graphic xmlns:a="http://schemas.openxmlformats.org/drawingml/2006/main">
                  <a:graphicData uri="http://schemas.microsoft.com/office/word/2010/wordprocessingShape">
                    <wps:wsp>
                      <wps:cNvCnPr/>
                      <wps:spPr>
                        <a:xfrm>
                          <a:off x="0" y="0"/>
                          <a:ext cx="6461185" cy="17252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BC8DC1" id="Conector recto 1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6.65pt,62.55pt" to="482.1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fuuQEAAMcDAAAOAAAAZHJzL2Uyb0RvYy54bWysU9uOEzEMfUfiH6K807nAlmrU6T50BS8I&#10;Klg+IJtxOpFykxM607/HSdtZBEgIxEtu9rF9jp3t/WwNOwFG7V3Pm1XNGTjpB+2OPf/6+O7VhrOY&#10;hBuE8Q56fobI73cvX2yn0EHrR28GQEZBXOym0PMxpdBVVZQjWBFXPoAjo/JoRaIrHqsBxUTRrana&#10;ul5Xk8choJcQI70+XIx8V+IrBTJ9UipCYqbnVFsqK5b1Ka/Vbiu6I4owanktQ/xDFVZoR0mXUA8i&#10;CfYN9S+hrJboo1dpJb2tvFJaQuFAbJr6JzZfRhGgcCFxYlhkiv8vrPx4OiDTA/Wu5cwJSz3aU6dk&#10;8sgwb4wMpNIUYkfOe3fA6y2GA2bKs0KbdyLD5qLseVEW5sQkPa7frJtmc8eZJFvztr1rN69z1OoZ&#10;HjCm9+Aty4eeG+0yddGJ04eYLq43F8Llci4FlFM6G8jOxn0GRXQoZVPQZZBgb5CdBI2AkBJcaq6p&#10;i3eGKW3MAqz/DLz6ZyiUIfsb8IIomb1LC9hq5/F32dN8K1ld/G8KXHhnCZ78cC6tKdLQtBRxr5Od&#10;x/HHe4E//7/ddwAAAP//AwBQSwMEFAAGAAgAAAAhAL2H2k/jAAAACwEAAA8AAABkcnMvZG93bnJl&#10;di54bWxMj1FrwjAUhd8H+w/hDvamqe0s2jUVEcacIDIV3GNs7tpuzU1Joq3/ftnT9ng5H+d8N18M&#10;umVXtK4xJGAyjoAhlUY1VAk4Hl5GM2DOS1KyNYQCbuhgUdzf5TJTpqd3vO59xUIJuUwKqL3vMs5d&#10;WaOWbmw6pJB9GqulD6etuLKyD+W65XEUpVzLhsJCLTtc1Vh+7y9awNau16vl5vZFuw/dn+LNafc2&#10;vArx+DAsn4F5HPwfDL/6QR2K4HQ2F1KOtQJG0yQJaAji6QRYIObpUwzsLCCZpzPgRc7//1D8AAAA&#10;//8DAFBLAQItABQABgAIAAAAIQC2gziS/gAAAOEBAAATAAAAAAAAAAAAAAAAAAAAAABbQ29udGVu&#10;dF9UeXBlc10ueG1sUEsBAi0AFAAGAAgAAAAhADj9If/WAAAAlAEAAAsAAAAAAAAAAAAAAAAALwEA&#10;AF9yZWxzLy5yZWxzUEsBAi0AFAAGAAgAAAAhAMe0p+65AQAAxwMAAA4AAAAAAAAAAAAAAAAALgIA&#10;AGRycy9lMm9Eb2MueG1sUEsBAi0AFAAGAAgAAAAhAL2H2k/jAAAACwEAAA8AAAAAAAAAAAAAAAAA&#10;EwQAAGRycy9kb3ducmV2LnhtbFBLBQYAAAAABAAEAPMAAAAjBQAAAAA=&#10;" strokecolor="#5b9bd5 [3204]" strokeweight=".5pt">
                <v:stroke joinstyle="miter"/>
              </v:line>
            </w:pict>
          </mc:Fallback>
        </mc:AlternateContent>
      </w:r>
      <w:r w:rsidR="001C023D" w:rsidRPr="009C1A6C">
        <w:rPr>
          <w:rFonts w:ascii="Palatino Linotype" w:hAnsi="Palatino Linotype"/>
        </w:rPr>
        <w:t xml:space="preserve">Sirven de sustento las siguientes imágenes ilustrativas: </w:t>
      </w:r>
    </w:p>
    <w:p w:rsidR="001C023D" w:rsidRDefault="001C023D" w:rsidP="001C023D">
      <w:pPr>
        <w:pStyle w:val="Prrafodelista"/>
        <w:spacing w:before="240" w:line="360" w:lineRule="auto"/>
        <w:ind w:left="720"/>
        <w:jc w:val="both"/>
        <w:rPr>
          <w:rFonts w:ascii="Palatino Linotype" w:hAnsi="Palatino Linotype"/>
          <w:b/>
        </w:rPr>
      </w:pPr>
      <w:r>
        <w:rPr>
          <w:rFonts w:ascii="Palatino Linotype" w:hAnsi="Palatino Linotype"/>
          <w:b/>
          <w:noProof/>
          <w:lang w:val="es-MX" w:eastAsia="es-MX"/>
        </w:rPr>
        <w:lastRenderedPageBreak/>
        <w:drawing>
          <wp:inline distT="0" distB="0" distL="0" distR="0">
            <wp:extent cx="5303520" cy="6858000"/>
            <wp:effectExtent l="19050" t="19050" r="1143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3520" cy="6858000"/>
                    </a:xfrm>
                    <a:prstGeom prst="rect">
                      <a:avLst/>
                    </a:prstGeom>
                    <a:noFill/>
                    <a:ln>
                      <a:solidFill>
                        <a:schemeClr val="tx1"/>
                      </a:solidFill>
                    </a:ln>
                  </pic:spPr>
                </pic:pic>
              </a:graphicData>
            </a:graphic>
          </wp:inline>
        </w:drawing>
      </w:r>
    </w:p>
    <w:p w:rsidR="001C023D" w:rsidRDefault="001C023D" w:rsidP="001C023D">
      <w:pPr>
        <w:pStyle w:val="Prrafodelista"/>
        <w:spacing w:before="240" w:line="360" w:lineRule="auto"/>
        <w:ind w:left="720"/>
        <w:jc w:val="both"/>
        <w:rPr>
          <w:rFonts w:ascii="Palatino Linotype" w:hAnsi="Palatino Linotype"/>
          <w:b/>
        </w:rPr>
      </w:pPr>
      <w:r>
        <w:rPr>
          <w:rFonts w:ascii="Palatino Linotype" w:hAnsi="Palatino Linotype"/>
          <w:b/>
          <w:noProof/>
          <w:lang w:val="es-MX" w:eastAsia="es-MX"/>
        </w:rPr>
        <w:lastRenderedPageBreak/>
        <w:drawing>
          <wp:inline distT="0" distB="0" distL="0" distR="0">
            <wp:extent cx="5229225" cy="675322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6753225"/>
                    </a:xfrm>
                    <a:prstGeom prst="rect">
                      <a:avLst/>
                    </a:prstGeom>
                    <a:noFill/>
                    <a:ln>
                      <a:solidFill>
                        <a:schemeClr val="tx1"/>
                      </a:solidFill>
                    </a:ln>
                  </pic:spPr>
                </pic:pic>
              </a:graphicData>
            </a:graphic>
          </wp:inline>
        </w:drawing>
      </w:r>
    </w:p>
    <w:p w:rsidR="001C023D" w:rsidRDefault="001C023D" w:rsidP="001C023D">
      <w:pPr>
        <w:pStyle w:val="Prrafodelista"/>
        <w:spacing w:before="240" w:line="360" w:lineRule="auto"/>
        <w:ind w:left="720"/>
        <w:jc w:val="both"/>
        <w:rPr>
          <w:rFonts w:ascii="Palatino Linotype" w:hAnsi="Palatino Linotype"/>
          <w:b/>
        </w:rPr>
      </w:pPr>
      <w:r>
        <w:rPr>
          <w:rFonts w:ascii="Palatino Linotype" w:hAnsi="Palatino Linotype"/>
          <w:b/>
          <w:noProof/>
          <w:lang w:val="es-MX" w:eastAsia="es-MX"/>
        </w:rPr>
        <w:lastRenderedPageBreak/>
        <w:drawing>
          <wp:inline distT="0" distB="0" distL="0" distR="0">
            <wp:extent cx="5248275" cy="6829425"/>
            <wp:effectExtent l="19050" t="19050" r="285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6829425"/>
                    </a:xfrm>
                    <a:prstGeom prst="rect">
                      <a:avLst/>
                    </a:prstGeom>
                    <a:noFill/>
                    <a:ln>
                      <a:solidFill>
                        <a:schemeClr val="tx1"/>
                      </a:solidFill>
                    </a:ln>
                  </pic:spPr>
                </pic:pic>
              </a:graphicData>
            </a:graphic>
          </wp:inline>
        </w:drawing>
      </w:r>
    </w:p>
    <w:p w:rsidR="001C023D" w:rsidRDefault="001C023D" w:rsidP="001C023D">
      <w:pPr>
        <w:pStyle w:val="Prrafodelista"/>
        <w:spacing w:before="240" w:line="360" w:lineRule="auto"/>
        <w:ind w:left="720"/>
        <w:jc w:val="both"/>
        <w:rPr>
          <w:rFonts w:ascii="Palatino Linotype" w:hAnsi="Palatino Linotype"/>
          <w:b/>
        </w:rPr>
      </w:pPr>
    </w:p>
    <w:p w:rsidR="001C023D" w:rsidRPr="009C1A6C" w:rsidRDefault="006B35E6" w:rsidP="001C023D">
      <w:pPr>
        <w:pStyle w:val="Prrafodelista"/>
        <w:spacing w:before="240" w:line="360" w:lineRule="auto"/>
        <w:ind w:left="720"/>
        <w:jc w:val="both"/>
        <w:rPr>
          <w:rFonts w:ascii="Palatino Linotype" w:hAnsi="Palatino Linotype"/>
        </w:rPr>
      </w:pPr>
      <w:r w:rsidRPr="009C1A6C">
        <w:rPr>
          <w:rFonts w:ascii="Palatino Linotype" w:hAnsi="Palatino Linotype"/>
        </w:rPr>
        <w:lastRenderedPageBreak/>
        <w:t xml:space="preserve">Al respecto, </w:t>
      </w:r>
      <w:r w:rsidR="004A0F1C" w:rsidRPr="009C1A6C">
        <w:rPr>
          <w:rFonts w:ascii="Palatino Linotype" w:hAnsi="Palatino Linotype"/>
        </w:rPr>
        <w:t xml:space="preserve">resulta aplicable la jurisprudencia </w:t>
      </w:r>
      <w:r w:rsidR="009C1A6C" w:rsidRPr="009C1A6C">
        <w:rPr>
          <w:rFonts w:ascii="Palatino Linotype" w:hAnsi="Palatino Linotype"/>
        </w:rPr>
        <w:t xml:space="preserve">emitida por el Sexto Tribunal Colegiado en Materia Civil del Primer Circuito, </w:t>
      </w:r>
      <w:r w:rsidR="004A0F1C" w:rsidRPr="009C1A6C">
        <w:rPr>
          <w:rFonts w:ascii="Palatino Linotype" w:hAnsi="Palatino Linotype"/>
        </w:rPr>
        <w:t xml:space="preserve">con número de registro </w:t>
      </w:r>
      <w:r w:rsidR="004A0F1C" w:rsidRPr="00AC4E0F">
        <w:rPr>
          <w:rFonts w:ascii="Palatino Linotype" w:hAnsi="Palatino Linotype"/>
          <w:b/>
        </w:rPr>
        <w:t>173565,</w:t>
      </w:r>
      <w:r w:rsidR="004A0F1C" w:rsidRPr="009C1A6C">
        <w:rPr>
          <w:rFonts w:ascii="Palatino Linotype" w:hAnsi="Palatino Linotype"/>
        </w:rPr>
        <w:t xml:space="preserve"> cuyo contenido es el siguiente:</w:t>
      </w:r>
    </w:p>
    <w:p w:rsidR="004A0F1C" w:rsidRPr="009C1A6C" w:rsidRDefault="009C1A6C" w:rsidP="009C1A6C">
      <w:pPr>
        <w:pStyle w:val="Prrafodelista"/>
        <w:spacing w:before="240" w:after="160" w:line="360" w:lineRule="auto"/>
        <w:ind w:left="851" w:right="851"/>
        <w:jc w:val="both"/>
        <w:rPr>
          <w:rFonts w:ascii="Palatino Linotype" w:hAnsi="Palatino Linotype"/>
          <w:i/>
          <w:sz w:val="22"/>
          <w:szCs w:val="22"/>
        </w:rPr>
      </w:pPr>
      <w:r w:rsidRPr="009C1A6C">
        <w:rPr>
          <w:rFonts w:ascii="Palatino Linotype" w:hAnsi="Palatino Linotype"/>
          <w:i/>
          <w:sz w:val="22"/>
          <w:szCs w:val="22"/>
        </w:rPr>
        <w:t>“</w:t>
      </w:r>
      <w:r w:rsidR="004A0F1C" w:rsidRPr="009C1A6C">
        <w:rPr>
          <w:rFonts w:ascii="Palatino Linotype" w:hAnsi="Palatino Linotype"/>
          <w:i/>
          <w:sz w:val="22"/>
          <w:szCs w:val="22"/>
        </w:rPr>
        <w:t>Época: Novena</w:t>
      </w:r>
    </w:p>
    <w:p w:rsidR="004A0F1C" w:rsidRPr="009C1A6C" w:rsidRDefault="004A0F1C" w:rsidP="009C1A6C">
      <w:pPr>
        <w:pStyle w:val="Prrafodelista"/>
        <w:spacing w:before="240" w:after="160" w:line="360" w:lineRule="auto"/>
        <w:ind w:left="851" w:right="851"/>
        <w:jc w:val="both"/>
        <w:rPr>
          <w:rFonts w:ascii="Palatino Linotype" w:hAnsi="Palatino Linotype"/>
          <w:i/>
          <w:sz w:val="22"/>
          <w:szCs w:val="22"/>
        </w:rPr>
      </w:pPr>
      <w:r w:rsidRPr="009C1A6C">
        <w:rPr>
          <w:rFonts w:ascii="Palatino Linotype" w:hAnsi="Palatino Linotype"/>
          <w:i/>
          <w:sz w:val="22"/>
          <w:szCs w:val="22"/>
        </w:rPr>
        <w:t>Registro: 173565</w:t>
      </w:r>
    </w:p>
    <w:p w:rsidR="004A0F1C" w:rsidRPr="009C1A6C" w:rsidRDefault="004A0F1C" w:rsidP="009C1A6C">
      <w:pPr>
        <w:pStyle w:val="Prrafodelista"/>
        <w:spacing w:before="240" w:after="160" w:line="360" w:lineRule="auto"/>
        <w:ind w:left="851" w:right="851"/>
        <w:jc w:val="both"/>
        <w:rPr>
          <w:rFonts w:ascii="Palatino Linotype" w:hAnsi="Palatino Linotype"/>
          <w:i/>
          <w:sz w:val="22"/>
          <w:szCs w:val="22"/>
        </w:rPr>
      </w:pPr>
      <w:r w:rsidRPr="009C1A6C">
        <w:rPr>
          <w:rFonts w:ascii="Palatino Linotype" w:hAnsi="Palatino Linotype"/>
          <w:i/>
          <w:sz w:val="22"/>
          <w:szCs w:val="22"/>
        </w:rPr>
        <w:t>Tipo de tesis: Jurisprudencia</w:t>
      </w:r>
    </w:p>
    <w:p w:rsidR="004A0F1C" w:rsidRPr="009C1A6C" w:rsidRDefault="004A0F1C" w:rsidP="009C1A6C">
      <w:pPr>
        <w:pStyle w:val="Prrafodelista"/>
        <w:spacing w:before="240" w:after="160" w:line="360" w:lineRule="auto"/>
        <w:ind w:left="851" w:right="851"/>
        <w:jc w:val="both"/>
        <w:rPr>
          <w:rFonts w:ascii="Palatino Linotype" w:hAnsi="Palatino Linotype"/>
          <w:i/>
          <w:sz w:val="22"/>
          <w:szCs w:val="22"/>
        </w:rPr>
      </w:pPr>
      <w:r w:rsidRPr="009C1A6C">
        <w:rPr>
          <w:rFonts w:ascii="Palatino Linotype" w:hAnsi="Palatino Linotype"/>
          <w:i/>
          <w:sz w:val="22"/>
          <w:szCs w:val="22"/>
        </w:rPr>
        <w:t>Fuente: Semanario judicial de la federación y su gaceta</w:t>
      </w:r>
    </w:p>
    <w:p w:rsidR="004A0F1C" w:rsidRPr="009C1A6C" w:rsidRDefault="004A0F1C" w:rsidP="009C1A6C">
      <w:pPr>
        <w:pStyle w:val="Prrafodelista"/>
        <w:spacing w:before="240" w:after="160" w:line="360" w:lineRule="auto"/>
        <w:ind w:left="851" w:right="851"/>
        <w:jc w:val="both"/>
        <w:rPr>
          <w:rFonts w:ascii="Palatino Linotype" w:hAnsi="Palatino Linotype"/>
          <w:i/>
          <w:sz w:val="22"/>
          <w:szCs w:val="22"/>
        </w:rPr>
      </w:pPr>
      <w:r w:rsidRPr="009C1A6C">
        <w:rPr>
          <w:rFonts w:ascii="Palatino Linotype" w:hAnsi="Palatino Linotype"/>
          <w:i/>
          <w:sz w:val="22"/>
          <w:szCs w:val="22"/>
        </w:rPr>
        <w:t xml:space="preserve">Tomo XXV, Enero de 2007 </w:t>
      </w:r>
    </w:p>
    <w:p w:rsidR="004A0F1C" w:rsidRPr="009C1A6C" w:rsidRDefault="004A0F1C" w:rsidP="009C1A6C">
      <w:pPr>
        <w:pStyle w:val="Prrafodelista"/>
        <w:spacing w:before="240" w:after="160" w:line="360" w:lineRule="auto"/>
        <w:ind w:left="851" w:right="851"/>
        <w:jc w:val="both"/>
        <w:rPr>
          <w:rFonts w:ascii="Palatino Linotype" w:hAnsi="Palatino Linotype"/>
          <w:i/>
          <w:sz w:val="22"/>
          <w:szCs w:val="22"/>
        </w:rPr>
      </w:pPr>
      <w:r w:rsidRPr="009C1A6C">
        <w:rPr>
          <w:rFonts w:ascii="Palatino Linotype" w:hAnsi="Palatino Linotype"/>
          <w:i/>
          <w:sz w:val="22"/>
          <w:szCs w:val="22"/>
        </w:rPr>
        <w:t>Materia (s): Común</w:t>
      </w:r>
    </w:p>
    <w:p w:rsidR="004A0F1C" w:rsidRPr="009C1A6C" w:rsidRDefault="004A0F1C" w:rsidP="009C1A6C">
      <w:pPr>
        <w:pStyle w:val="Prrafodelista"/>
        <w:spacing w:before="240" w:after="160" w:line="360" w:lineRule="auto"/>
        <w:ind w:left="851" w:right="851"/>
        <w:jc w:val="both"/>
        <w:rPr>
          <w:rFonts w:ascii="Palatino Linotype" w:hAnsi="Palatino Linotype"/>
          <w:i/>
          <w:sz w:val="22"/>
          <w:szCs w:val="22"/>
        </w:rPr>
      </w:pPr>
      <w:r w:rsidRPr="009C1A6C">
        <w:rPr>
          <w:rFonts w:ascii="Palatino Linotype" w:hAnsi="Palatino Linotype"/>
          <w:i/>
          <w:sz w:val="22"/>
          <w:szCs w:val="22"/>
        </w:rPr>
        <w:t>Tesis: I.6o.C. J/52</w:t>
      </w:r>
    </w:p>
    <w:p w:rsidR="004A0F1C" w:rsidRPr="009C1A6C" w:rsidRDefault="004A0F1C" w:rsidP="009C1A6C">
      <w:pPr>
        <w:pStyle w:val="Prrafodelista"/>
        <w:spacing w:before="240" w:after="160" w:line="360" w:lineRule="auto"/>
        <w:ind w:left="851" w:right="851"/>
        <w:jc w:val="both"/>
        <w:rPr>
          <w:rFonts w:ascii="Palatino Linotype" w:hAnsi="Palatino Linotype"/>
          <w:i/>
          <w:sz w:val="22"/>
          <w:szCs w:val="22"/>
        </w:rPr>
      </w:pPr>
      <w:r w:rsidRPr="009C1A6C">
        <w:rPr>
          <w:rFonts w:ascii="Palatino Linotype" w:hAnsi="Palatino Linotype"/>
          <w:i/>
          <w:sz w:val="22"/>
          <w:szCs w:val="22"/>
        </w:rPr>
        <w:t>Página: 2127</w:t>
      </w:r>
    </w:p>
    <w:p w:rsidR="004A0F1C" w:rsidRPr="009C1A6C" w:rsidRDefault="009C1A6C" w:rsidP="009C1A6C">
      <w:pPr>
        <w:spacing w:before="240" w:line="360" w:lineRule="auto"/>
        <w:ind w:left="851" w:right="851"/>
        <w:jc w:val="both"/>
        <w:rPr>
          <w:rFonts w:ascii="Palatino Linotype" w:eastAsia="Times New Roman" w:hAnsi="Palatino Linotype" w:cs="Times New Roman"/>
          <w:b/>
          <w:bCs/>
          <w:i/>
          <w:color w:val="000000"/>
          <w:lang w:eastAsia="es-MX"/>
        </w:rPr>
      </w:pPr>
      <w:r w:rsidRPr="009C1A6C">
        <w:rPr>
          <w:rFonts w:ascii="Palatino Linotype" w:eastAsia="Times New Roman" w:hAnsi="Palatino Linotype" w:cs="Times New Roman"/>
          <w:b/>
          <w:bCs/>
          <w:i/>
          <w:color w:val="000000"/>
          <w:lang w:eastAsia="es-MX"/>
        </w:rPr>
        <w:t xml:space="preserve">FUNDAMENTACIÓN </w:t>
      </w:r>
      <w:r w:rsidR="004A0F1C" w:rsidRPr="009C1A6C">
        <w:rPr>
          <w:rFonts w:ascii="Palatino Linotype" w:eastAsia="Times New Roman" w:hAnsi="Palatino Linotype" w:cs="Times New Roman"/>
          <w:b/>
          <w:bCs/>
          <w:i/>
          <w:color w:val="000000"/>
          <w:lang w:eastAsia="es-MX"/>
        </w:rPr>
        <w:t>Y MOTIVACIÓN. SU DISTINCIÓN ENTRE SU FALTA Y CUANDO ES</w:t>
      </w:r>
      <w:r w:rsidRPr="009C1A6C">
        <w:rPr>
          <w:rFonts w:ascii="Palatino Linotype" w:eastAsia="Times New Roman" w:hAnsi="Palatino Linotype" w:cs="Times New Roman"/>
          <w:b/>
          <w:bCs/>
          <w:i/>
          <w:color w:val="000000"/>
          <w:lang w:eastAsia="es-MX"/>
        </w:rPr>
        <w:t xml:space="preserve"> INDEBIDA.</w:t>
      </w:r>
    </w:p>
    <w:p w:rsidR="009C1A6C" w:rsidRDefault="004A0F1C" w:rsidP="009C1A6C">
      <w:pPr>
        <w:spacing w:before="240" w:line="360" w:lineRule="auto"/>
        <w:ind w:left="851" w:right="851"/>
        <w:jc w:val="both"/>
        <w:rPr>
          <w:rFonts w:ascii="Palatino Linotype" w:eastAsia="Times New Roman" w:hAnsi="Palatino Linotype" w:cs="Times New Roman"/>
          <w:i/>
          <w:color w:val="000000"/>
          <w:lang w:eastAsia="es-MX"/>
        </w:rPr>
      </w:pPr>
      <w:r w:rsidRPr="009C1A6C">
        <w:rPr>
          <w:rFonts w:ascii="Palatino Linotype" w:eastAsia="Times New Roman" w:hAnsi="Palatino Linotype" w:cs="Times New Roman"/>
          <w:i/>
          <w:color w:val="000000"/>
          <w:lang w:eastAsia="es-MX"/>
        </w:rPr>
        <w:t xml:space="preserve">Debe </w:t>
      </w:r>
      <w:r w:rsidR="009C1A6C" w:rsidRPr="009C1A6C">
        <w:rPr>
          <w:rFonts w:ascii="Palatino Linotype" w:eastAsia="Times New Roman" w:hAnsi="Palatino Linotype" w:cs="Times New Roman"/>
          <w:i/>
          <w:color w:val="000000"/>
          <w:lang w:eastAsia="es-MX"/>
        </w:rPr>
        <w:t xml:space="preserve">distinguirse entre la falta y la indebida fundamentación </w:t>
      </w:r>
      <w:r w:rsidRPr="009C1A6C">
        <w:rPr>
          <w:rFonts w:ascii="Palatino Linotype" w:eastAsia="Times New Roman" w:hAnsi="Palatino Linotype" w:cs="Times New Roman"/>
          <w:i/>
          <w:color w:val="000000"/>
          <w:lang w:eastAsia="es-MX"/>
        </w:rPr>
        <w:t> </w:t>
      </w:r>
      <w:r w:rsidR="009C1A6C" w:rsidRPr="009C1A6C">
        <w:rPr>
          <w:rFonts w:ascii="Palatino Linotype" w:eastAsia="Times New Roman" w:hAnsi="Palatino Linotype" w:cs="Times New Roman"/>
          <w:i/>
          <w:color w:val="000000"/>
          <w:lang w:eastAsia="es-MX"/>
        </w:rPr>
        <w:t xml:space="preserve"> </w:t>
      </w:r>
      <w:r w:rsidRPr="009C1A6C">
        <w:rPr>
          <w:rFonts w:ascii="Palatino Linotype" w:eastAsia="Times New Roman" w:hAnsi="Palatino Linotype" w:cs="Times New Roman"/>
          <w:i/>
          <w:color w:val="000000"/>
          <w:lang w:eastAsia="es-MX"/>
        </w:rPr>
        <w:t xml:space="preserve">y motivación; toda vez que por lo primero se entiende la ausencia total de la cita de la norma en que se apoya una resolución y de las circunstancias especiales o razones particulares que se tuvieron en cuenta para su emisión; </w:t>
      </w:r>
      <w:r w:rsidRPr="00CE6437">
        <w:rPr>
          <w:rFonts w:ascii="Palatino Linotype" w:eastAsia="Times New Roman" w:hAnsi="Palatino Linotype" w:cs="Times New Roman"/>
          <w:b/>
          <w:i/>
          <w:color w:val="000000"/>
          <w:u w:val="single"/>
          <w:lang w:eastAsia="es-MX"/>
        </w:rPr>
        <w:t>mientras que la diversa hipótesis se actualiza cuando en la sentencia o acto se citan preceptos legales, pero no son aplicables al caso concreto y se exponen las razones que la autoridad tuvo para dictar la resolución, pero no corresponden al caso específico,</w:t>
      </w:r>
      <w:r w:rsidRPr="009C1A6C">
        <w:rPr>
          <w:rFonts w:ascii="Palatino Linotype" w:eastAsia="Times New Roman" w:hAnsi="Palatino Linotype" w:cs="Times New Roman"/>
          <w:i/>
          <w:color w:val="000000"/>
          <w:lang w:eastAsia="es-MX"/>
        </w:rPr>
        <w:t xml:space="preserve"> objeto </w:t>
      </w:r>
      <w:r w:rsidRPr="009C1A6C">
        <w:rPr>
          <w:rFonts w:ascii="Palatino Linotype" w:eastAsia="Times New Roman" w:hAnsi="Palatino Linotype" w:cs="Times New Roman"/>
          <w:i/>
          <w:color w:val="000000"/>
          <w:lang w:eastAsia="es-MX"/>
        </w:rPr>
        <w:lastRenderedPageBreak/>
        <w:t>de decisión, o bien, cuando no existe adecuación entre los motivos invocados en el acto de autoridad y las normas aplicables a éste.</w:t>
      </w:r>
    </w:p>
    <w:p w:rsidR="004A0F1C" w:rsidRPr="009C1A6C" w:rsidRDefault="004A0F1C" w:rsidP="009C1A6C">
      <w:pPr>
        <w:spacing w:before="240" w:line="360" w:lineRule="auto"/>
        <w:ind w:left="851" w:right="851"/>
        <w:jc w:val="both"/>
        <w:rPr>
          <w:rFonts w:ascii="Palatino Linotype" w:eastAsia="Times New Roman" w:hAnsi="Palatino Linotype" w:cs="Times New Roman"/>
          <w:b/>
          <w:i/>
          <w:color w:val="000000"/>
          <w:lang w:eastAsia="es-MX"/>
        </w:rPr>
      </w:pPr>
      <w:r w:rsidRPr="009C1A6C">
        <w:rPr>
          <w:rFonts w:ascii="Palatino Linotype" w:eastAsia="Times New Roman" w:hAnsi="Palatino Linotype" w:cs="Times New Roman"/>
          <w:i/>
          <w:color w:val="000000"/>
          <w:lang w:eastAsia="es-MX"/>
        </w:rPr>
        <w:t>SEXTO TRIBUNAL COLEGIADO EN MATERIA CIVIL DEL PRIMER CIRCUITO.</w:t>
      </w:r>
      <w:r w:rsidR="009C1A6C" w:rsidRPr="009C1A6C">
        <w:rPr>
          <w:rFonts w:ascii="Palatino Linotype" w:eastAsia="Times New Roman" w:hAnsi="Palatino Linotype" w:cs="Times New Roman"/>
          <w:i/>
          <w:color w:val="000000"/>
          <w:lang w:eastAsia="es-MX"/>
        </w:rPr>
        <w:t xml:space="preserve">” </w:t>
      </w:r>
      <w:r w:rsidR="00CE6437">
        <w:rPr>
          <w:rFonts w:ascii="Palatino Linotype" w:eastAsia="Times New Roman" w:hAnsi="Palatino Linotype" w:cs="Times New Roman"/>
          <w:b/>
          <w:i/>
          <w:color w:val="000000"/>
          <w:lang w:eastAsia="es-MX"/>
        </w:rPr>
        <w:t>[Sic]</w:t>
      </w:r>
    </w:p>
    <w:p w:rsidR="004A0F1C" w:rsidRDefault="004A0F1C" w:rsidP="009C1A6C">
      <w:pPr>
        <w:spacing w:before="240" w:line="360" w:lineRule="auto"/>
        <w:ind w:left="851" w:right="851"/>
        <w:jc w:val="both"/>
        <w:rPr>
          <w:rFonts w:ascii="Calibri" w:eastAsia="Times New Roman" w:hAnsi="Calibri" w:cs="Times New Roman"/>
          <w:color w:val="444444"/>
          <w:sz w:val="26"/>
          <w:szCs w:val="26"/>
          <w:lang w:eastAsia="es-MX"/>
        </w:rPr>
      </w:pPr>
    </w:p>
    <w:p w:rsidR="004A0F1C" w:rsidRDefault="009C1A6C" w:rsidP="009C1A6C">
      <w:pPr>
        <w:spacing w:before="240" w:line="360" w:lineRule="auto"/>
        <w:ind w:left="708"/>
        <w:jc w:val="both"/>
        <w:rPr>
          <w:rFonts w:ascii="Palatino Linotype" w:hAnsi="Palatino Linotype"/>
          <w:b/>
        </w:rPr>
      </w:pPr>
      <w:r w:rsidRPr="009C1A6C">
        <w:rPr>
          <w:rFonts w:ascii="Palatino Linotype" w:hAnsi="Palatino Linotype"/>
          <w:sz w:val="24"/>
          <w:szCs w:val="24"/>
        </w:rPr>
        <w:t>Bajo estas</w:t>
      </w:r>
      <w:r>
        <w:rPr>
          <w:rFonts w:ascii="Palatino Linotype" w:hAnsi="Palatino Linotype"/>
          <w:sz w:val="24"/>
          <w:szCs w:val="24"/>
        </w:rPr>
        <w:t xml:space="preserve"> líneas argumentativas, a toda luz se desprende que el Acuerdo número </w:t>
      </w:r>
      <w:r>
        <w:rPr>
          <w:rFonts w:ascii="Palatino Linotype" w:hAnsi="Palatino Linotype"/>
          <w:b/>
          <w:sz w:val="24"/>
          <w:szCs w:val="24"/>
        </w:rPr>
        <w:t xml:space="preserve">CT/SE/02/05/2019 </w:t>
      </w:r>
      <w:r>
        <w:rPr>
          <w:rFonts w:ascii="Palatino Linotype" w:hAnsi="Palatino Linotype"/>
          <w:sz w:val="24"/>
          <w:szCs w:val="24"/>
        </w:rPr>
        <w:t>emitido en referencia a la segunda sesión extraordinaria</w:t>
      </w:r>
      <w:r w:rsidR="005F2564">
        <w:rPr>
          <w:rFonts w:ascii="Palatino Linotype" w:hAnsi="Palatino Linotype"/>
          <w:sz w:val="24"/>
          <w:szCs w:val="24"/>
        </w:rPr>
        <w:t xml:space="preserve"> del Comité de Transparencia</w:t>
      </w:r>
      <w:r>
        <w:rPr>
          <w:rFonts w:ascii="Palatino Linotype" w:hAnsi="Palatino Linotype"/>
          <w:sz w:val="24"/>
          <w:szCs w:val="24"/>
        </w:rPr>
        <w:t>, de fecha dieciocho de febrero del año en curso, fue fundamentado indebidamente, toda vez que la normatividad citada no resulta aplicable al caso concreto</w:t>
      </w:r>
      <w:r w:rsidR="00AC4E0F">
        <w:rPr>
          <w:rFonts w:ascii="Palatino Linotype" w:hAnsi="Palatino Linotype"/>
          <w:sz w:val="24"/>
          <w:szCs w:val="24"/>
        </w:rPr>
        <w:t xml:space="preserve">, al haber perdido su vigencia. </w:t>
      </w:r>
    </w:p>
    <w:p w:rsidR="001C023D" w:rsidRPr="009C1A6C" w:rsidRDefault="00CE6437" w:rsidP="00240C13">
      <w:pPr>
        <w:pStyle w:val="Prrafodelista"/>
        <w:numPr>
          <w:ilvl w:val="0"/>
          <w:numId w:val="38"/>
        </w:numPr>
        <w:spacing w:before="240" w:line="360" w:lineRule="auto"/>
        <w:jc w:val="both"/>
        <w:rPr>
          <w:rFonts w:ascii="Palatino Linotype" w:hAnsi="Palatino Linotype"/>
        </w:rPr>
      </w:pPr>
      <w:r>
        <w:rPr>
          <w:rFonts w:ascii="Palatino Linotype" w:hAnsi="Palatino Linotype"/>
        </w:rPr>
        <w:t>Adicionalmente</w:t>
      </w:r>
      <w:r w:rsidR="001C023D">
        <w:rPr>
          <w:rFonts w:ascii="Palatino Linotype" w:hAnsi="Palatino Linotype"/>
        </w:rPr>
        <w:t xml:space="preserve">, es menester señalar </w:t>
      </w:r>
      <w:r w:rsidR="00573D05">
        <w:rPr>
          <w:rFonts w:ascii="Palatino Linotype" w:hAnsi="Palatino Linotype"/>
        </w:rPr>
        <w:t xml:space="preserve">que los acuerdos que clasifican información como confidencial </w:t>
      </w:r>
      <w:r w:rsidR="00573D05" w:rsidRPr="00802E70">
        <w:rPr>
          <w:rFonts w:ascii="Palatino Linotype" w:hAnsi="Palatino Linotype"/>
          <w:b/>
          <w:u w:val="single"/>
        </w:rPr>
        <w:t>o reservada</w:t>
      </w:r>
      <w:r w:rsidR="00573D05">
        <w:rPr>
          <w:rFonts w:ascii="Palatino Linotype" w:hAnsi="Palatino Linotype"/>
        </w:rPr>
        <w:t xml:space="preserve"> deben de ser elaborados con estricta observancia a diversas formalidades, en este sentido, no resulta desapercibido para este </w:t>
      </w:r>
      <w:r w:rsidR="00802E70">
        <w:rPr>
          <w:rFonts w:ascii="Palatino Linotype" w:hAnsi="Palatino Linotype"/>
        </w:rPr>
        <w:t>Ó</w:t>
      </w:r>
      <w:r w:rsidR="00573D05">
        <w:rPr>
          <w:rFonts w:ascii="Palatino Linotype" w:hAnsi="Palatino Linotype"/>
        </w:rPr>
        <w:t xml:space="preserve">rgano </w:t>
      </w:r>
      <w:proofErr w:type="spellStart"/>
      <w:r w:rsidR="00802E70">
        <w:rPr>
          <w:rFonts w:ascii="Palatino Linotype" w:hAnsi="Palatino Linotype"/>
        </w:rPr>
        <w:t>R</w:t>
      </w:r>
      <w:r w:rsidR="00195B32">
        <w:rPr>
          <w:rFonts w:ascii="Palatino Linotype" w:hAnsi="Palatino Linotype"/>
        </w:rPr>
        <w:t>esolutor</w:t>
      </w:r>
      <w:proofErr w:type="spellEnd"/>
      <w:r w:rsidR="00195B32">
        <w:rPr>
          <w:rFonts w:ascii="Palatino Linotype" w:hAnsi="Palatino Linotype"/>
        </w:rPr>
        <w:t xml:space="preserve"> que en el</w:t>
      </w:r>
      <w:r w:rsidR="00573D05">
        <w:rPr>
          <w:rFonts w:ascii="Palatino Linotype" w:hAnsi="Palatino Linotype"/>
        </w:rPr>
        <w:t xml:space="preserve"> acuerdo número </w:t>
      </w:r>
      <w:r w:rsidR="00573D05">
        <w:rPr>
          <w:rFonts w:ascii="Palatino Linotype" w:hAnsi="Palatino Linotype"/>
          <w:b/>
        </w:rPr>
        <w:t>CT/SE/02/05/2019</w:t>
      </w:r>
      <w:r w:rsidR="00195B32">
        <w:rPr>
          <w:rFonts w:ascii="Palatino Linotype" w:hAnsi="Palatino Linotype"/>
          <w:b/>
        </w:rPr>
        <w:t xml:space="preserve"> </w:t>
      </w:r>
      <w:r w:rsidR="00195B32" w:rsidRPr="009C1A6C">
        <w:rPr>
          <w:rFonts w:ascii="Palatino Linotype" w:hAnsi="Palatino Linotype"/>
        </w:rPr>
        <w:t xml:space="preserve">se omitieron las firmas autógrafas de los servidores públicos que integran el Comité de Transparencia, constituyendo en consecuencia, una ausencia de validez. </w:t>
      </w:r>
    </w:p>
    <w:p w:rsidR="00195B32" w:rsidRPr="009C1A6C" w:rsidRDefault="00195B32" w:rsidP="00195B32">
      <w:pPr>
        <w:pStyle w:val="Prrafodelista"/>
        <w:spacing w:before="240" w:line="360" w:lineRule="auto"/>
        <w:ind w:left="720"/>
        <w:jc w:val="both"/>
        <w:rPr>
          <w:rFonts w:ascii="Palatino Linotype" w:hAnsi="Palatino Linotype"/>
        </w:rPr>
      </w:pPr>
      <w:r w:rsidRPr="009C1A6C">
        <w:rPr>
          <w:rFonts w:ascii="Palatino Linotype" w:hAnsi="Palatino Linotype"/>
        </w:rPr>
        <w:t xml:space="preserve">A mayor abundamiento, resulta aplicable el criterio </w:t>
      </w:r>
      <w:r w:rsidRPr="00802E70">
        <w:rPr>
          <w:rFonts w:ascii="Palatino Linotype" w:hAnsi="Palatino Linotype"/>
          <w:b/>
        </w:rPr>
        <w:t>04/17</w:t>
      </w:r>
      <w:r w:rsidRPr="009C1A6C">
        <w:rPr>
          <w:rFonts w:ascii="Palatino Linotype" w:hAnsi="Palatino Linotype"/>
        </w:rPr>
        <w:t xml:space="preserve"> emitido por el Instituto Nacional de Transparencia, Acceso a la Información Pública y Protección de Datos Personales “INAI”, el cual señala a la literalidad:</w:t>
      </w:r>
    </w:p>
    <w:p w:rsidR="00195B32" w:rsidRDefault="00195B32" w:rsidP="00195B32">
      <w:pPr>
        <w:pStyle w:val="Prrafodelista"/>
        <w:spacing w:before="240" w:line="360" w:lineRule="auto"/>
        <w:ind w:left="720"/>
        <w:jc w:val="both"/>
        <w:rPr>
          <w:rFonts w:ascii="Palatino Linotype" w:hAnsi="Palatino Linotype"/>
          <w:b/>
        </w:rPr>
      </w:pPr>
    </w:p>
    <w:p w:rsidR="009C1A6C" w:rsidRDefault="00AC4E0F" w:rsidP="009C1A6C">
      <w:pPr>
        <w:spacing w:before="240" w:line="360" w:lineRule="auto"/>
        <w:ind w:left="851" w:right="851"/>
        <w:jc w:val="both"/>
        <w:rPr>
          <w:rFonts w:ascii="Palatino Linotype" w:eastAsia="Arial Unicode MS" w:hAnsi="Palatino Linotype" w:cs="Arial"/>
          <w:b/>
          <w:i/>
        </w:rPr>
      </w:pPr>
      <w:r>
        <w:rPr>
          <w:rFonts w:ascii="Palatino Linotype" w:eastAsia="Arial Unicode MS" w:hAnsi="Palatino Linotype" w:cs="Arial"/>
          <w:b/>
          <w:i/>
        </w:rPr>
        <w:lastRenderedPageBreak/>
        <w:t>“</w:t>
      </w:r>
      <w:r w:rsidR="00802E70" w:rsidRPr="009C1A6C">
        <w:rPr>
          <w:rFonts w:ascii="Palatino Linotype" w:eastAsia="Arial Unicode MS" w:hAnsi="Palatino Linotype" w:cs="Arial"/>
          <w:b/>
          <w:i/>
        </w:rPr>
        <w:t xml:space="preserve">RESOLUCIONES DEL COMITÉ DE TRANSPARENCIA, GOZAN DE VALIDEZ SIEMPRE QUE CONTENGAN LA FIRMA DE QUIEN LOS EMITE. </w:t>
      </w:r>
    </w:p>
    <w:p w:rsidR="00195B32" w:rsidRDefault="00195B32" w:rsidP="009C1A6C">
      <w:pPr>
        <w:spacing w:before="240" w:line="360" w:lineRule="auto"/>
        <w:ind w:left="851" w:right="851"/>
        <w:jc w:val="both"/>
        <w:rPr>
          <w:rFonts w:ascii="Palatino Linotype" w:hAnsi="Palatino Linotype" w:cs="Arial"/>
          <w:i/>
          <w:lang w:val="es-ES"/>
        </w:rPr>
      </w:pPr>
      <w:r w:rsidRPr="009C1A6C">
        <w:rPr>
          <w:rFonts w:ascii="Palatino Linotype" w:eastAsia="Arial Unicode MS" w:hAnsi="Palatino Linotype" w:cs="Arial"/>
          <w:i/>
        </w:rPr>
        <w:t xml:space="preserve">En términos de lo dispuesto en la fracción IV del artículo 3 de la Ley Federal de Procedimiento Administrativo, supletoria de la Ley Federal de Transparencia y Acceso a la Información Pública, uno de los elementos de validez del acto administrativo es </w:t>
      </w:r>
      <w:r w:rsidRPr="009C1A6C">
        <w:rPr>
          <w:rFonts w:ascii="Palatino Linotype" w:eastAsia="Arial Unicode MS" w:hAnsi="Palatino Linotype" w:cs="Arial"/>
          <w:i/>
          <w:lang w:val="es-ES"/>
        </w:rPr>
        <w:t xml:space="preserve">la firma autógrafa de la autoridad que lo expida; en consecuencia, </w:t>
      </w:r>
      <w:r w:rsidRPr="009C1A6C">
        <w:rPr>
          <w:rFonts w:ascii="Palatino Linotype" w:eastAsia="Arial Unicode MS" w:hAnsi="Palatino Linotype" w:cs="Arial"/>
          <w:i/>
        </w:rPr>
        <w:t xml:space="preserve">las resoluciones del Comité de Transparencia del sujeto obligado, deberán contener la firma autógrafa de los integrantes que la emitan, ya que </w:t>
      </w:r>
      <w:r w:rsidRPr="009C1A6C">
        <w:rPr>
          <w:rFonts w:ascii="Palatino Linotype" w:hAnsi="Palatino Linotype" w:cs="Arial"/>
          <w:i/>
          <w:lang w:val="es-ES"/>
        </w:rPr>
        <w:t>dicho signo gráfico otorga validez a la resolución decretada y, al mismo tiempo, constituye la forma en que el particular tiene la certeza de que fue emitida por la autoridad respectiva y su contenido representa la voluntad manifestada por ésta.</w:t>
      </w:r>
    </w:p>
    <w:p w:rsidR="00AC4E0F" w:rsidRPr="00AC4E0F" w:rsidRDefault="00AC4E0F" w:rsidP="00AC4E0F">
      <w:pPr>
        <w:spacing w:before="240" w:line="360" w:lineRule="auto"/>
        <w:ind w:left="851" w:right="851"/>
        <w:jc w:val="both"/>
        <w:rPr>
          <w:rFonts w:ascii="Palatino Linotype" w:eastAsia="Arial Unicode MS" w:hAnsi="Palatino Linotype" w:cs="Arial"/>
          <w:b/>
          <w:i/>
        </w:rPr>
      </w:pPr>
      <w:r w:rsidRPr="00AC4E0F">
        <w:rPr>
          <w:rFonts w:ascii="Palatino Linotype" w:eastAsia="Arial Unicode MS" w:hAnsi="Palatino Linotype" w:cs="Arial"/>
          <w:b/>
          <w:i/>
        </w:rPr>
        <w:t>Resoluciones:</w:t>
      </w:r>
    </w:p>
    <w:p w:rsidR="00AC4E0F" w:rsidRPr="00AC4E0F" w:rsidRDefault="00AC4E0F" w:rsidP="00AC4E0F">
      <w:pPr>
        <w:pStyle w:val="Prrafodelista"/>
        <w:numPr>
          <w:ilvl w:val="0"/>
          <w:numId w:val="44"/>
        </w:numPr>
        <w:spacing w:before="240" w:after="160" w:line="360" w:lineRule="auto"/>
        <w:ind w:left="851" w:right="851" w:hanging="357"/>
        <w:jc w:val="both"/>
        <w:rPr>
          <w:rFonts w:ascii="Palatino Linotype" w:eastAsia="Arial Unicode MS" w:hAnsi="Palatino Linotype" w:cs="Arial"/>
          <w:i/>
          <w:sz w:val="22"/>
          <w:szCs w:val="22"/>
        </w:rPr>
      </w:pPr>
      <w:r w:rsidRPr="00AC4E0F">
        <w:rPr>
          <w:rFonts w:ascii="Palatino Linotype" w:eastAsia="Arial Unicode MS" w:hAnsi="Palatino Linotype" w:cs="Arial"/>
          <w:b/>
          <w:i/>
          <w:sz w:val="22"/>
          <w:szCs w:val="22"/>
        </w:rPr>
        <w:t>RRA 1588/16.</w:t>
      </w:r>
      <w:r w:rsidRPr="00AC4E0F">
        <w:rPr>
          <w:rFonts w:ascii="Palatino Linotype" w:eastAsia="Arial Unicode MS" w:hAnsi="Palatino Linotype" w:cs="Arial"/>
          <w:i/>
          <w:sz w:val="22"/>
          <w:szCs w:val="22"/>
        </w:rPr>
        <w:t xml:space="preserve"> </w:t>
      </w:r>
      <w:r w:rsidRPr="00AC4E0F">
        <w:rPr>
          <w:rFonts w:ascii="Palatino Linotype" w:hAnsi="Palatino Linotype" w:cs="Arial"/>
          <w:i/>
          <w:sz w:val="22"/>
          <w:szCs w:val="22"/>
        </w:rPr>
        <w:t>Comisión Nacional de Áreas Naturales Protegidas</w:t>
      </w:r>
      <w:r w:rsidRPr="00AC4E0F">
        <w:rPr>
          <w:rFonts w:ascii="Palatino Linotype" w:eastAsia="Arial Unicode MS" w:hAnsi="Palatino Linotype" w:cs="Arial"/>
          <w:i/>
          <w:sz w:val="22"/>
          <w:szCs w:val="22"/>
        </w:rPr>
        <w:t>. 27 de septiembre de 2016. Por unanimidad. Comisionada Ponente Ximena Puente de la Mora.</w:t>
      </w:r>
      <w:r w:rsidRPr="00AC4E0F">
        <w:rPr>
          <w:rFonts w:ascii="Palatino Linotype" w:eastAsia="Arial Unicode MS" w:hAnsi="Palatino Linotype" w:cs="Arial"/>
          <w:b/>
          <w:i/>
          <w:sz w:val="22"/>
          <w:szCs w:val="22"/>
        </w:rPr>
        <w:t xml:space="preserve"> </w:t>
      </w:r>
    </w:p>
    <w:p w:rsidR="00AC4E0F" w:rsidRPr="00AC4E0F" w:rsidRDefault="00AC4E0F" w:rsidP="00AC4E0F">
      <w:pPr>
        <w:pStyle w:val="Prrafodelista"/>
        <w:numPr>
          <w:ilvl w:val="0"/>
          <w:numId w:val="44"/>
        </w:numPr>
        <w:spacing w:before="240" w:after="160" w:line="360" w:lineRule="auto"/>
        <w:ind w:left="851" w:right="851"/>
        <w:jc w:val="both"/>
        <w:rPr>
          <w:rFonts w:ascii="Palatino Linotype" w:eastAsia="Arial Unicode MS" w:hAnsi="Palatino Linotype" w:cs="Arial"/>
          <w:i/>
          <w:sz w:val="22"/>
          <w:szCs w:val="22"/>
        </w:rPr>
      </w:pPr>
      <w:r w:rsidRPr="00AC4E0F">
        <w:rPr>
          <w:rFonts w:ascii="Palatino Linotype" w:eastAsia="Arial Unicode MS" w:hAnsi="Palatino Linotype" w:cs="Arial"/>
          <w:b/>
          <w:i/>
          <w:sz w:val="22"/>
          <w:szCs w:val="22"/>
        </w:rPr>
        <w:t xml:space="preserve">RRA 2410/16. </w:t>
      </w:r>
      <w:r w:rsidRPr="00AC4E0F">
        <w:rPr>
          <w:rFonts w:ascii="Palatino Linotype" w:eastAsia="Arial Unicode MS" w:hAnsi="Palatino Linotype" w:cs="Arial"/>
          <w:i/>
          <w:sz w:val="22"/>
          <w:szCs w:val="22"/>
        </w:rPr>
        <w:t>Instituto Nacional de Migración. 25 de octubre de 2016. Por unanimidad. Comisionada Ponente Areli Cano Guadiana.</w:t>
      </w:r>
    </w:p>
    <w:p w:rsidR="00AC4E0F" w:rsidRPr="00AC4E0F" w:rsidRDefault="00AC4E0F" w:rsidP="00AC4E0F">
      <w:pPr>
        <w:pStyle w:val="Prrafodelista"/>
        <w:numPr>
          <w:ilvl w:val="0"/>
          <w:numId w:val="44"/>
        </w:numPr>
        <w:tabs>
          <w:tab w:val="left" w:pos="7830"/>
        </w:tabs>
        <w:spacing w:before="240" w:after="160" w:line="360" w:lineRule="auto"/>
        <w:ind w:left="851" w:right="851"/>
        <w:jc w:val="both"/>
        <w:rPr>
          <w:rFonts w:ascii="Palatino Linotype" w:eastAsia="Arial Unicode MS" w:hAnsi="Palatino Linotype" w:cs="Arial"/>
          <w:i/>
          <w:sz w:val="22"/>
          <w:szCs w:val="22"/>
        </w:rPr>
      </w:pPr>
      <w:r w:rsidRPr="00AC4E0F">
        <w:rPr>
          <w:rFonts w:ascii="Palatino Linotype" w:eastAsia="Arial Unicode MS" w:hAnsi="Palatino Linotype" w:cs="Arial"/>
          <w:b/>
          <w:i/>
          <w:sz w:val="22"/>
          <w:szCs w:val="22"/>
        </w:rPr>
        <w:t>RRA 3763/16.</w:t>
      </w:r>
      <w:r w:rsidRPr="00AC4E0F">
        <w:rPr>
          <w:rFonts w:ascii="Palatino Linotype" w:eastAsia="Arial Unicode MS" w:hAnsi="Palatino Linotype" w:cs="Arial"/>
          <w:i/>
          <w:sz w:val="22"/>
          <w:szCs w:val="22"/>
        </w:rPr>
        <w:t xml:space="preserve"> </w:t>
      </w:r>
      <w:r w:rsidRPr="00AC4E0F">
        <w:rPr>
          <w:rFonts w:ascii="Palatino Linotype" w:hAnsi="Palatino Linotype" w:cs="Arial"/>
          <w:i/>
          <w:sz w:val="22"/>
          <w:szCs w:val="22"/>
        </w:rPr>
        <w:t>Secretaría de Relaciones Exteriores</w:t>
      </w:r>
      <w:r w:rsidRPr="00AC4E0F">
        <w:rPr>
          <w:rFonts w:ascii="Palatino Linotype" w:eastAsia="Arial Unicode MS" w:hAnsi="Palatino Linotype" w:cs="Arial"/>
          <w:i/>
          <w:sz w:val="22"/>
          <w:szCs w:val="22"/>
        </w:rPr>
        <w:t xml:space="preserve">. 07 de diciembre de 2016. Por unanimidad. Comisionada Ponente María Patricia </w:t>
      </w:r>
      <w:proofErr w:type="spellStart"/>
      <w:r w:rsidRPr="00AC4E0F">
        <w:rPr>
          <w:rFonts w:ascii="Palatino Linotype" w:eastAsia="Arial Unicode MS" w:hAnsi="Palatino Linotype" w:cs="Arial"/>
          <w:i/>
          <w:sz w:val="22"/>
          <w:szCs w:val="22"/>
        </w:rPr>
        <w:t>Kurczyn</w:t>
      </w:r>
      <w:proofErr w:type="spellEnd"/>
      <w:r w:rsidRPr="00AC4E0F">
        <w:rPr>
          <w:rFonts w:ascii="Palatino Linotype" w:eastAsia="Arial Unicode MS" w:hAnsi="Palatino Linotype" w:cs="Arial"/>
          <w:i/>
          <w:sz w:val="22"/>
          <w:szCs w:val="22"/>
        </w:rPr>
        <w:t xml:space="preserve"> Villalobos.</w:t>
      </w:r>
      <w:r>
        <w:rPr>
          <w:rFonts w:ascii="Palatino Linotype" w:eastAsia="Arial Unicode MS" w:hAnsi="Palatino Linotype" w:cs="Arial"/>
          <w:i/>
          <w:sz w:val="22"/>
          <w:szCs w:val="22"/>
        </w:rPr>
        <w:t xml:space="preserve">” </w:t>
      </w:r>
      <w:r>
        <w:rPr>
          <w:rFonts w:ascii="Palatino Linotype" w:eastAsia="Arial Unicode MS" w:hAnsi="Palatino Linotype" w:cs="Arial"/>
          <w:b/>
          <w:i/>
          <w:sz w:val="22"/>
          <w:szCs w:val="22"/>
        </w:rPr>
        <w:t>[Sic]</w:t>
      </w:r>
    </w:p>
    <w:p w:rsidR="00AC4E0F" w:rsidRDefault="00AC4E0F" w:rsidP="009C1A6C">
      <w:pPr>
        <w:spacing w:before="240" w:line="360" w:lineRule="auto"/>
        <w:ind w:left="851" w:right="851"/>
        <w:jc w:val="both"/>
        <w:rPr>
          <w:rFonts w:ascii="Palatino Linotype" w:hAnsi="Palatino Linotype" w:cs="Arial"/>
          <w:b/>
          <w:i/>
          <w:lang w:val="es-ES"/>
        </w:rPr>
      </w:pPr>
    </w:p>
    <w:p w:rsidR="00195B32" w:rsidRPr="009C1A6C" w:rsidRDefault="00195B32" w:rsidP="009C1A6C">
      <w:pPr>
        <w:pStyle w:val="Prrafodelista"/>
        <w:spacing w:before="240" w:line="360" w:lineRule="auto"/>
        <w:ind w:left="720"/>
        <w:jc w:val="both"/>
        <w:rPr>
          <w:rFonts w:ascii="Palatino Linotype" w:hAnsi="Palatino Linotype"/>
        </w:rPr>
      </w:pPr>
      <w:r w:rsidRPr="009C1A6C">
        <w:rPr>
          <w:rFonts w:ascii="Palatino Linotype" w:hAnsi="Palatino Linotype"/>
        </w:rPr>
        <w:t>Adicionalmente, es menester señalar que resulta aplicable</w:t>
      </w:r>
      <w:r w:rsidR="00F6088A">
        <w:rPr>
          <w:rFonts w:ascii="Palatino Linotype" w:hAnsi="Palatino Linotype"/>
        </w:rPr>
        <w:t xml:space="preserve"> por analogía</w:t>
      </w:r>
      <w:r w:rsidRPr="009C1A6C">
        <w:rPr>
          <w:rFonts w:ascii="Palatino Linotype" w:hAnsi="Palatino Linotype"/>
        </w:rPr>
        <w:t xml:space="preserve"> la tesis aislada con número de registro </w:t>
      </w:r>
      <w:r w:rsidRPr="00F6088A">
        <w:rPr>
          <w:rFonts w:ascii="Palatino Linotype" w:hAnsi="Palatino Linotype"/>
          <w:b/>
        </w:rPr>
        <w:t>2008382,</w:t>
      </w:r>
      <w:r w:rsidRPr="009C1A6C">
        <w:rPr>
          <w:rFonts w:ascii="Palatino Linotype" w:hAnsi="Palatino Linotype"/>
        </w:rPr>
        <w:t xml:space="preserve"> la cual dispone a la literalidad:</w:t>
      </w:r>
    </w:p>
    <w:p w:rsidR="00C47311" w:rsidRPr="00F6088A" w:rsidRDefault="00177B1A" w:rsidP="00F6088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lastRenderedPageBreak/>
        <w:t>“Época: Décima</w:t>
      </w:r>
    </w:p>
    <w:p w:rsidR="00C47311" w:rsidRPr="00F6088A" w:rsidRDefault="00177B1A" w:rsidP="00F6088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2008382</w:t>
      </w:r>
    </w:p>
    <w:p w:rsidR="00C47311" w:rsidRPr="00F6088A" w:rsidRDefault="00C47311" w:rsidP="00F6088A">
      <w:pPr>
        <w:pStyle w:val="Prrafodelista"/>
        <w:spacing w:before="240" w:after="160" w:line="360" w:lineRule="auto"/>
        <w:ind w:left="851" w:right="851"/>
        <w:jc w:val="both"/>
        <w:rPr>
          <w:rFonts w:ascii="Palatino Linotype" w:hAnsi="Palatino Linotype"/>
          <w:i/>
          <w:sz w:val="22"/>
          <w:szCs w:val="22"/>
        </w:rPr>
      </w:pPr>
      <w:r w:rsidRPr="00F6088A">
        <w:rPr>
          <w:rFonts w:ascii="Palatino Linotype" w:hAnsi="Palatino Linotype"/>
          <w:i/>
          <w:sz w:val="22"/>
          <w:szCs w:val="22"/>
        </w:rPr>
        <w:t xml:space="preserve">Tipo de tesis: </w:t>
      </w:r>
      <w:r w:rsidR="00177B1A">
        <w:rPr>
          <w:rFonts w:ascii="Palatino Linotype" w:hAnsi="Palatino Linotype"/>
          <w:i/>
          <w:sz w:val="22"/>
          <w:szCs w:val="22"/>
        </w:rPr>
        <w:t>Tesis aislada</w:t>
      </w:r>
    </w:p>
    <w:p w:rsidR="00C47311" w:rsidRPr="00F6088A" w:rsidRDefault="00C47311" w:rsidP="00F6088A">
      <w:pPr>
        <w:pStyle w:val="Prrafodelista"/>
        <w:spacing w:before="240" w:after="160" w:line="360" w:lineRule="auto"/>
        <w:ind w:left="851" w:right="851"/>
        <w:jc w:val="both"/>
        <w:rPr>
          <w:rFonts w:ascii="Palatino Linotype" w:hAnsi="Palatino Linotype"/>
          <w:i/>
          <w:sz w:val="22"/>
          <w:szCs w:val="22"/>
        </w:rPr>
      </w:pPr>
      <w:r w:rsidRPr="00F6088A">
        <w:rPr>
          <w:rFonts w:ascii="Palatino Linotype" w:hAnsi="Palatino Linotype"/>
          <w:i/>
          <w:sz w:val="22"/>
          <w:szCs w:val="22"/>
        </w:rPr>
        <w:t xml:space="preserve">Fuente: </w:t>
      </w:r>
      <w:r w:rsidR="00177B1A">
        <w:rPr>
          <w:rFonts w:ascii="Palatino Linotype" w:hAnsi="Palatino Linotype"/>
          <w:i/>
          <w:sz w:val="22"/>
          <w:szCs w:val="22"/>
        </w:rPr>
        <w:t>Gaceta del Semanario Judicial de la Federación</w:t>
      </w:r>
    </w:p>
    <w:p w:rsidR="00C47311" w:rsidRPr="00F6088A" w:rsidRDefault="00177B1A" w:rsidP="00F6088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Libro 15, Febrero de 2015, Tomo III</w:t>
      </w:r>
    </w:p>
    <w:p w:rsidR="00C47311" w:rsidRPr="00F6088A" w:rsidRDefault="00C47311" w:rsidP="00F6088A">
      <w:pPr>
        <w:pStyle w:val="Prrafodelista"/>
        <w:spacing w:before="240" w:after="160" w:line="360" w:lineRule="auto"/>
        <w:ind w:left="851" w:right="851"/>
        <w:jc w:val="both"/>
        <w:rPr>
          <w:rFonts w:ascii="Palatino Linotype" w:hAnsi="Palatino Linotype"/>
          <w:i/>
          <w:sz w:val="22"/>
          <w:szCs w:val="22"/>
        </w:rPr>
      </w:pPr>
      <w:r w:rsidRPr="00F6088A">
        <w:rPr>
          <w:rFonts w:ascii="Palatino Linotype" w:hAnsi="Palatino Linotype"/>
          <w:i/>
          <w:sz w:val="22"/>
          <w:szCs w:val="22"/>
        </w:rPr>
        <w:t>Materia (s): Común</w:t>
      </w:r>
    </w:p>
    <w:p w:rsidR="00C47311" w:rsidRPr="00F6088A" w:rsidRDefault="00177B1A" w:rsidP="00F6088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I.6o.T.122 L (10a.)</w:t>
      </w:r>
    </w:p>
    <w:p w:rsidR="00C47311" w:rsidRPr="00F6088A" w:rsidRDefault="00177B1A" w:rsidP="00F6088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2543</w:t>
      </w:r>
    </w:p>
    <w:p w:rsidR="009C1A6C" w:rsidRPr="00802E70" w:rsidRDefault="00195B32" w:rsidP="00F6088A">
      <w:pPr>
        <w:spacing w:before="240" w:line="360" w:lineRule="auto"/>
        <w:ind w:left="851" w:right="851"/>
        <w:jc w:val="both"/>
        <w:rPr>
          <w:rFonts w:ascii="Palatino Linotype" w:hAnsi="Palatino Linotype"/>
          <w:b/>
          <w:bCs/>
          <w:i/>
          <w:color w:val="000000"/>
        </w:rPr>
      </w:pPr>
      <w:r w:rsidRPr="00802E70">
        <w:rPr>
          <w:rFonts w:ascii="Palatino Linotype" w:hAnsi="Palatino Linotype"/>
          <w:b/>
          <w:bCs/>
          <w:i/>
          <w:color w:val="000000"/>
        </w:rPr>
        <w:t>CONCEPTOS DE VIOLACIÓN. DISTINCIÓN ENTRE</w:t>
      </w:r>
      <w:r w:rsidR="009C1A6C" w:rsidRPr="00802E70">
        <w:rPr>
          <w:rFonts w:ascii="Palatino Linotype" w:hAnsi="Palatino Linotype"/>
          <w:b/>
          <w:bCs/>
          <w:i/>
          <w:color w:val="000000"/>
        </w:rPr>
        <w:t xml:space="preserve"> VIOLACIONES DE CARÁCTER PROCESAL, FORMAL Y DE FONDO. </w:t>
      </w:r>
      <w:r w:rsidRPr="00802E70">
        <w:rPr>
          <w:rFonts w:ascii="Palatino Linotype" w:hAnsi="Palatino Linotype"/>
          <w:b/>
          <w:bCs/>
          <w:i/>
          <w:color w:val="000000"/>
        </w:rPr>
        <w:t> </w:t>
      </w:r>
    </w:p>
    <w:p w:rsidR="00802E70" w:rsidRDefault="00195B32" w:rsidP="00F6088A">
      <w:pPr>
        <w:spacing w:before="240" w:line="360" w:lineRule="auto"/>
        <w:ind w:left="851" w:right="851"/>
        <w:jc w:val="both"/>
        <w:rPr>
          <w:rFonts w:ascii="Palatino Linotype" w:hAnsi="Palatino Linotype"/>
          <w:i/>
          <w:color w:val="000000"/>
        </w:rPr>
      </w:pPr>
      <w:r w:rsidRPr="00F6088A">
        <w:rPr>
          <w:rFonts w:ascii="Palatino Linotype" w:hAnsi="Palatino Linotype"/>
          <w:i/>
          <w:color w:val="000000"/>
        </w:rPr>
        <w:t>En la demanda de amparo directo pueden alegarse diversas</w:t>
      </w:r>
      <w:r w:rsidR="009C1A6C" w:rsidRPr="00F6088A">
        <w:rPr>
          <w:rFonts w:ascii="Palatino Linotype" w:hAnsi="Palatino Linotype"/>
          <w:i/>
          <w:color w:val="000000"/>
        </w:rPr>
        <w:t xml:space="preserve"> violaciones </w:t>
      </w:r>
      <w:r w:rsidRPr="00F6088A">
        <w:rPr>
          <w:rFonts w:ascii="Palatino Linotype" w:hAnsi="Palatino Linotype"/>
          <w:i/>
          <w:color w:val="000000"/>
        </w:rPr>
        <w:t>en contra del laudo dictado por la autoridad laboral, que se clasifican en</w:t>
      </w:r>
      <w:r w:rsidR="009C1A6C" w:rsidRPr="00F6088A">
        <w:rPr>
          <w:rFonts w:ascii="Palatino Linotype" w:hAnsi="Palatino Linotype"/>
          <w:i/>
          <w:color w:val="000000"/>
        </w:rPr>
        <w:t xml:space="preserve"> procesales, formales y de fondo. Las violaciones procesales son</w:t>
      </w:r>
      <w:r w:rsidRPr="00F6088A">
        <w:rPr>
          <w:rFonts w:ascii="Palatino Linotype" w:hAnsi="Palatino Linotype"/>
          <w:i/>
          <w:color w:val="000000"/>
        </w:rPr>
        <w:t xml:space="preserve"> aquellas relacionadas con la ausencia de presupuestos</w:t>
      </w:r>
      <w:r w:rsidR="009C1A6C" w:rsidRPr="00F6088A">
        <w:rPr>
          <w:rFonts w:ascii="Palatino Linotype" w:hAnsi="Palatino Linotype"/>
          <w:i/>
          <w:color w:val="000000"/>
        </w:rPr>
        <w:t xml:space="preserve"> procesales</w:t>
      </w:r>
      <w:r w:rsidRPr="00F6088A">
        <w:rPr>
          <w:rFonts w:ascii="Palatino Linotype" w:hAnsi="Palatino Linotype"/>
          <w:i/>
          <w:color w:val="000000"/>
        </w:rPr>
        <w:t xml:space="preserve">, o bien, infracciones de carácter adjetivo que se cometieron durante la sustanciación del procedimiento del que derivó el acto reclamado, en contravención a las normas que lo regulan, que afectan las defensas de la parte quejosa. </w:t>
      </w:r>
      <w:r w:rsidRPr="00F6088A">
        <w:rPr>
          <w:rFonts w:ascii="Palatino Linotype" w:hAnsi="Palatino Linotype"/>
          <w:b/>
          <w:i/>
          <w:color w:val="000000"/>
          <w:u w:val="single"/>
        </w:rPr>
        <w:t>Por su parte, las</w:t>
      </w:r>
      <w:r w:rsidR="009C1A6C" w:rsidRPr="00F6088A">
        <w:rPr>
          <w:rFonts w:ascii="Palatino Linotype" w:hAnsi="Palatino Linotype"/>
          <w:b/>
          <w:i/>
          <w:color w:val="000000"/>
          <w:u w:val="single"/>
        </w:rPr>
        <w:t xml:space="preserve"> violaciones formales</w:t>
      </w:r>
      <w:r w:rsidRPr="00F6088A">
        <w:rPr>
          <w:rFonts w:ascii="Palatino Linotype" w:hAnsi="Palatino Linotype"/>
          <w:b/>
          <w:i/>
          <w:color w:val="000000"/>
          <w:u w:val="single"/>
        </w:rPr>
        <w:t> se refieren a las infracciones legales de índole adjetiva, cometidas en todos los casos, al momento de pronunciarse la sentencia definitiva, laudo o resolución que puso fin al juicio, transgresiones que no atañen en forma directa a cuestiones sustanciales o de</w:t>
      </w:r>
      <w:r w:rsidR="00F6088A" w:rsidRPr="00F6088A">
        <w:rPr>
          <w:rFonts w:ascii="Palatino Linotype" w:hAnsi="Palatino Linotype"/>
          <w:b/>
          <w:i/>
          <w:color w:val="000000"/>
          <w:u w:val="single"/>
        </w:rPr>
        <w:t xml:space="preserve"> fondo,</w:t>
      </w:r>
      <w:r w:rsidRPr="00F6088A">
        <w:rPr>
          <w:rFonts w:ascii="Palatino Linotype" w:hAnsi="Palatino Linotype"/>
          <w:b/>
          <w:i/>
          <w:color w:val="000000"/>
          <w:u w:val="single"/>
        </w:rPr>
        <w:t>  ni tampoco a los presupuestos</w:t>
      </w:r>
      <w:r w:rsidR="00F6088A" w:rsidRPr="00F6088A">
        <w:rPr>
          <w:rFonts w:ascii="Palatino Linotype" w:hAnsi="Palatino Linotype"/>
          <w:b/>
          <w:i/>
          <w:color w:val="000000"/>
          <w:u w:val="single"/>
        </w:rPr>
        <w:t xml:space="preserve"> procesales</w:t>
      </w:r>
      <w:r w:rsidRPr="00F6088A">
        <w:rPr>
          <w:rFonts w:ascii="Palatino Linotype" w:hAnsi="Palatino Linotype"/>
          <w:b/>
          <w:i/>
          <w:color w:val="000000"/>
          <w:u w:val="single"/>
        </w:rPr>
        <w:t xml:space="preserve"> o </w:t>
      </w:r>
      <w:r w:rsidRPr="00F6088A">
        <w:rPr>
          <w:rFonts w:ascii="Palatino Linotype" w:hAnsi="Palatino Linotype"/>
          <w:b/>
          <w:i/>
          <w:color w:val="000000"/>
          <w:u w:val="single"/>
        </w:rPr>
        <w:lastRenderedPageBreak/>
        <w:t xml:space="preserve">infracciones cometidas durante el desarrollo del procedimiento relativo, como cuando no se respeta la garantía de previa audiencia, cuando el laudo está incompleto, cuando carece de firma de alguno de los integrantes de la Junta, la falta de valoración de alguna prueba o del examen de uno o varios puntos litigiosos, que se traduce en incongruencia del acto reclamado, </w:t>
      </w:r>
      <w:r w:rsidRPr="00F6088A">
        <w:rPr>
          <w:rFonts w:ascii="Palatino Linotype" w:hAnsi="Palatino Linotype"/>
          <w:i/>
          <w:color w:val="000000"/>
        </w:rPr>
        <w:t>contraviniendo los artículos 841 y 842 de la Ley Federal del Trabajo. Finalmente, las</w:t>
      </w:r>
      <w:r w:rsidR="00F6088A" w:rsidRPr="00F6088A">
        <w:rPr>
          <w:rFonts w:ascii="Palatino Linotype" w:hAnsi="Palatino Linotype"/>
          <w:i/>
          <w:color w:val="000000"/>
        </w:rPr>
        <w:t xml:space="preserve"> violaciones de fondo</w:t>
      </w:r>
      <w:r w:rsidRPr="00F6088A">
        <w:rPr>
          <w:rFonts w:ascii="Palatino Linotype" w:hAnsi="Palatino Linotype"/>
          <w:i/>
          <w:color w:val="000000"/>
        </w:rPr>
        <w:t> </w:t>
      </w:r>
      <w:r w:rsidR="00F6088A" w:rsidRPr="00F6088A">
        <w:rPr>
          <w:rFonts w:ascii="Palatino Linotype" w:hAnsi="Palatino Linotype"/>
          <w:i/>
          <w:color w:val="000000"/>
        </w:rPr>
        <w:t xml:space="preserve"> </w:t>
      </w:r>
      <w:r w:rsidRPr="00F6088A">
        <w:rPr>
          <w:rFonts w:ascii="Palatino Linotype" w:hAnsi="Palatino Linotype"/>
          <w:i/>
          <w:color w:val="000000"/>
        </w:rPr>
        <w:t>son aquellas mediante las cuales se impugnan las consideraciones del acto reclamado vinculadas directamente con los aspectos sustanciales, objeto y materia de la controversia.</w:t>
      </w:r>
    </w:p>
    <w:p w:rsidR="00F6088A" w:rsidRDefault="00195B32" w:rsidP="00F6088A">
      <w:pPr>
        <w:spacing w:before="240" w:line="360" w:lineRule="auto"/>
        <w:ind w:left="851" w:right="851"/>
        <w:jc w:val="both"/>
        <w:rPr>
          <w:rFonts w:ascii="Palatino Linotype" w:hAnsi="Palatino Linotype"/>
          <w:i/>
          <w:color w:val="000000"/>
        </w:rPr>
      </w:pPr>
      <w:r w:rsidRPr="00F6088A">
        <w:rPr>
          <w:rFonts w:ascii="Palatino Linotype" w:hAnsi="Palatino Linotype"/>
          <w:i/>
          <w:color w:val="000000"/>
        </w:rPr>
        <w:t>SEXTO TRIBUNAL COLEGIADO EN MATERIA DE TRABAJO DEL PRIMER CIRCUITO.</w:t>
      </w:r>
    </w:p>
    <w:p w:rsidR="00195B32" w:rsidRPr="00F6088A" w:rsidRDefault="00195B32" w:rsidP="00F6088A">
      <w:pPr>
        <w:pStyle w:val="francesa"/>
        <w:spacing w:before="240" w:beforeAutospacing="0" w:after="160" w:afterAutospacing="0" w:line="360" w:lineRule="auto"/>
        <w:ind w:left="851" w:right="851"/>
        <w:jc w:val="both"/>
        <w:rPr>
          <w:rFonts w:ascii="Palatino Linotype" w:hAnsi="Palatino Linotype"/>
          <w:b/>
          <w:i/>
          <w:color w:val="444444"/>
          <w:sz w:val="22"/>
          <w:szCs w:val="22"/>
        </w:rPr>
      </w:pPr>
      <w:r w:rsidRPr="00F6088A">
        <w:rPr>
          <w:rFonts w:ascii="Palatino Linotype" w:hAnsi="Palatino Linotype"/>
          <w:i/>
          <w:color w:val="444444"/>
          <w:sz w:val="22"/>
          <w:szCs w:val="22"/>
        </w:rPr>
        <w:t>Amparo directo 1148/2014. Isauro Amador Alvarado Ordóñez. 4 de diciembre de 2014. Unanimidad de votos. Ponente: Genaro Rivera. Secretaria: Claudia Gabriela Soto Calleja.</w:t>
      </w:r>
      <w:r w:rsidR="00F6088A">
        <w:rPr>
          <w:rFonts w:ascii="Palatino Linotype" w:hAnsi="Palatino Linotype"/>
          <w:i/>
          <w:color w:val="444444"/>
          <w:sz w:val="22"/>
          <w:szCs w:val="22"/>
        </w:rPr>
        <w:t xml:space="preserve">” </w:t>
      </w:r>
      <w:r w:rsidR="00F6088A">
        <w:rPr>
          <w:rFonts w:ascii="Palatino Linotype" w:hAnsi="Palatino Linotype"/>
          <w:b/>
          <w:i/>
          <w:color w:val="444444"/>
          <w:sz w:val="22"/>
          <w:szCs w:val="22"/>
        </w:rPr>
        <w:t>[Sic]</w:t>
      </w:r>
    </w:p>
    <w:p w:rsidR="00195B32" w:rsidRDefault="00195B32" w:rsidP="00195B32">
      <w:pPr>
        <w:pStyle w:val="Prrafodelista"/>
        <w:spacing w:before="240" w:line="360" w:lineRule="auto"/>
        <w:ind w:left="720"/>
        <w:jc w:val="both"/>
        <w:rPr>
          <w:rFonts w:ascii="Palatino Linotype" w:hAnsi="Palatino Linotype"/>
          <w:b/>
        </w:rPr>
      </w:pPr>
    </w:p>
    <w:p w:rsidR="00195B32" w:rsidRPr="00F6088A" w:rsidRDefault="00195B32" w:rsidP="00195B32">
      <w:pPr>
        <w:spacing w:before="240" w:line="360" w:lineRule="auto"/>
        <w:jc w:val="both"/>
        <w:rPr>
          <w:rFonts w:ascii="Palatino Linotype" w:hAnsi="Palatino Linotype"/>
          <w:b/>
          <w:sz w:val="24"/>
          <w:szCs w:val="24"/>
        </w:rPr>
      </w:pPr>
      <w:r w:rsidRPr="00F6088A">
        <w:rPr>
          <w:rFonts w:ascii="Palatino Linotype" w:hAnsi="Palatino Linotype"/>
          <w:sz w:val="24"/>
          <w:szCs w:val="24"/>
        </w:rPr>
        <w:t xml:space="preserve">Por lo anteriormente expuesto, si bien es cierto que la información requerida por el ciudadano es susceptible de ser clasificada como reservada, lo cierto también es que existen múltiples </w:t>
      </w:r>
      <w:r w:rsidR="00802E70">
        <w:rPr>
          <w:rFonts w:ascii="Palatino Linotype" w:hAnsi="Palatino Linotype"/>
          <w:sz w:val="24"/>
          <w:szCs w:val="24"/>
        </w:rPr>
        <w:t>argumentos</w:t>
      </w:r>
      <w:r w:rsidRPr="00F6088A">
        <w:rPr>
          <w:rFonts w:ascii="Palatino Linotype" w:hAnsi="Palatino Linotype"/>
          <w:sz w:val="24"/>
          <w:szCs w:val="24"/>
        </w:rPr>
        <w:t xml:space="preserve"> </w:t>
      </w:r>
      <w:r w:rsidR="00802E70">
        <w:rPr>
          <w:rFonts w:ascii="Palatino Linotype" w:hAnsi="Palatino Linotype"/>
          <w:sz w:val="24"/>
          <w:szCs w:val="24"/>
        </w:rPr>
        <w:t>encauzados a</w:t>
      </w:r>
      <w:r w:rsidRPr="00F6088A">
        <w:rPr>
          <w:rFonts w:ascii="Palatino Linotype" w:hAnsi="Palatino Linotype"/>
          <w:sz w:val="24"/>
          <w:szCs w:val="24"/>
        </w:rPr>
        <w:t xml:space="preserve"> desvirtuar el acuerdo remitido por </w:t>
      </w:r>
      <w:r w:rsidRPr="00F6088A">
        <w:rPr>
          <w:rFonts w:ascii="Palatino Linotype" w:hAnsi="Palatino Linotype"/>
          <w:b/>
          <w:sz w:val="24"/>
          <w:szCs w:val="24"/>
        </w:rPr>
        <w:t>El Sujeto Obligado</w:t>
      </w:r>
      <w:r w:rsidRPr="00F6088A">
        <w:rPr>
          <w:rFonts w:ascii="Palatino Linotype" w:hAnsi="Palatino Linotype"/>
          <w:sz w:val="24"/>
          <w:szCs w:val="24"/>
        </w:rPr>
        <w:t xml:space="preserve"> al momento de rendir su informe justificado, por ello, resulta procedente ordenar un nu</w:t>
      </w:r>
      <w:r w:rsidR="00263F0B" w:rsidRPr="00F6088A">
        <w:rPr>
          <w:rFonts w:ascii="Palatino Linotype" w:hAnsi="Palatino Linotype"/>
          <w:sz w:val="24"/>
          <w:szCs w:val="24"/>
        </w:rPr>
        <w:t>evo acuerdo que sustente</w:t>
      </w:r>
      <w:r w:rsidRPr="00F6088A">
        <w:rPr>
          <w:rFonts w:ascii="Palatino Linotype" w:hAnsi="Palatino Linotype"/>
          <w:sz w:val="24"/>
          <w:szCs w:val="24"/>
        </w:rPr>
        <w:t xml:space="preserve"> la clasificación como información reservada de los requerimientos formulados por el particular mediante la solicitud de información </w:t>
      </w:r>
      <w:r w:rsidRPr="00F6088A">
        <w:rPr>
          <w:rFonts w:ascii="Palatino Linotype" w:hAnsi="Palatino Linotype"/>
          <w:b/>
          <w:sz w:val="24"/>
          <w:szCs w:val="24"/>
        </w:rPr>
        <w:t>00596/TOLUCA/IP/2018</w:t>
      </w:r>
      <w:r w:rsidR="00263F0B" w:rsidRPr="00F6088A">
        <w:rPr>
          <w:rFonts w:ascii="Palatino Linotype" w:hAnsi="Palatino Linotype"/>
          <w:b/>
          <w:sz w:val="24"/>
          <w:szCs w:val="24"/>
        </w:rPr>
        <w:t xml:space="preserve">, </w:t>
      </w:r>
      <w:r w:rsidR="00263F0B" w:rsidRPr="00F6088A">
        <w:rPr>
          <w:rFonts w:ascii="Palatino Linotype" w:hAnsi="Palatino Linotype"/>
          <w:sz w:val="24"/>
          <w:szCs w:val="24"/>
        </w:rPr>
        <w:t>mismo que deberá de ser elaborado con estricta observancia a la normatividad aplicable.</w:t>
      </w:r>
      <w:r w:rsidR="00263F0B" w:rsidRPr="00F6088A">
        <w:rPr>
          <w:rFonts w:ascii="Palatino Linotype" w:hAnsi="Palatino Linotype"/>
          <w:b/>
          <w:sz w:val="24"/>
          <w:szCs w:val="24"/>
        </w:rPr>
        <w:t xml:space="preserve"> </w:t>
      </w:r>
    </w:p>
    <w:p w:rsidR="00C47311" w:rsidRPr="00E644F4" w:rsidRDefault="00C47311" w:rsidP="00C47311">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lastRenderedPageBreak/>
        <w:t xml:space="preserve">Finalmente, en mérito de lo expuesto en líneas anteriores, resultan parcialmente fundados los motivos de inconformidad vertidos por </w:t>
      </w:r>
      <w:r w:rsidRPr="00E644F4">
        <w:rPr>
          <w:rFonts w:ascii="Palatino Linotype" w:hAnsi="Palatino Linotype"/>
          <w:b/>
          <w:sz w:val="24"/>
          <w:szCs w:val="24"/>
        </w:rPr>
        <w:t xml:space="preserve">El Recurrente, </w:t>
      </w:r>
      <w:r w:rsidRPr="00E644F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E644F4">
        <w:rPr>
          <w:rFonts w:ascii="Palatino Linotype" w:hAnsi="Palatino Linotype"/>
          <w:b/>
          <w:sz w:val="24"/>
          <w:szCs w:val="24"/>
        </w:rPr>
        <w:t xml:space="preserve">MODIFICA </w:t>
      </w:r>
      <w:r w:rsidRPr="00E644F4">
        <w:rPr>
          <w:rFonts w:ascii="Palatino Linotype" w:hAnsi="Palatino Linotype"/>
          <w:sz w:val="24"/>
          <w:szCs w:val="24"/>
        </w:rPr>
        <w:t xml:space="preserve">la respuesta a la solicitud de información </w:t>
      </w:r>
      <w:r w:rsidR="00F6088A" w:rsidRPr="00F6088A">
        <w:rPr>
          <w:rFonts w:ascii="Palatino Linotype" w:hAnsi="Palatino Linotype"/>
          <w:b/>
          <w:sz w:val="24"/>
          <w:szCs w:val="24"/>
        </w:rPr>
        <w:t>00596/TOLUCA/IP/2018</w:t>
      </w:r>
      <w:r w:rsidR="00F6088A">
        <w:rPr>
          <w:rFonts w:ascii="Palatino Linotype" w:hAnsi="Palatino Linotype"/>
          <w:b/>
          <w:sz w:val="24"/>
          <w:szCs w:val="24"/>
        </w:rPr>
        <w:t xml:space="preserve">, </w:t>
      </w:r>
      <w:r w:rsidRPr="00E644F4">
        <w:rPr>
          <w:rFonts w:ascii="Palatino Linotype" w:hAnsi="Palatino Linotype"/>
          <w:sz w:val="24"/>
          <w:szCs w:val="24"/>
        </w:rPr>
        <w:t xml:space="preserve">que ha sido materia del presente fallo. </w:t>
      </w:r>
    </w:p>
    <w:p w:rsidR="00C47311" w:rsidRPr="00E644F4" w:rsidRDefault="00C47311" w:rsidP="00C47311">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Por lo antes expuesto y fundado es de resolverse y;</w:t>
      </w:r>
    </w:p>
    <w:p w:rsidR="00C47311" w:rsidRDefault="00C47311" w:rsidP="00C47311">
      <w:pPr>
        <w:spacing w:line="360" w:lineRule="auto"/>
        <w:jc w:val="both"/>
        <w:rPr>
          <w:rFonts w:ascii="Palatino Linotype" w:hAnsi="Palatino Linotype"/>
          <w:sz w:val="24"/>
          <w:szCs w:val="24"/>
        </w:rPr>
      </w:pPr>
    </w:p>
    <w:p w:rsidR="00C61653" w:rsidRPr="00D05C83" w:rsidRDefault="00C61653" w:rsidP="00C61653">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rsidR="00C61653" w:rsidRDefault="00C61653" w:rsidP="00C61653">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w:t>
      </w:r>
      <w:r w:rsidR="0094106A">
        <w:rPr>
          <w:rFonts w:ascii="Palatino Linotype" w:hAnsi="Palatino Linotype" w:cs="Arial"/>
          <w:sz w:val="24"/>
          <w:szCs w:val="24"/>
        </w:rPr>
        <w:t xml:space="preserve">información </w:t>
      </w:r>
      <w:r>
        <w:rPr>
          <w:rFonts w:ascii="Palatino Linotype" w:hAnsi="Palatino Linotype" w:cs="Arial"/>
          <w:sz w:val="24"/>
          <w:szCs w:val="24"/>
        </w:rPr>
        <w:t xml:space="preserve">número </w:t>
      </w:r>
      <w:r w:rsidR="00F6088A" w:rsidRPr="00F6088A">
        <w:rPr>
          <w:rFonts w:ascii="Palatino Linotype" w:hAnsi="Palatino Linotype"/>
          <w:b/>
          <w:sz w:val="24"/>
          <w:szCs w:val="24"/>
        </w:rPr>
        <w:t>00596/TOLUCA/IP/2018</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sidR="00F6088A">
        <w:rPr>
          <w:rFonts w:ascii="Palatino Linotype" w:hAnsi="Palatino Linotype" w:cs="Arial"/>
          <w:b/>
          <w:sz w:val="24"/>
        </w:rPr>
        <w:t>EL</w:t>
      </w:r>
      <w:r>
        <w:rPr>
          <w:rFonts w:ascii="Palatino Linotype" w:hAnsi="Palatino Linotype" w:cs="Arial"/>
          <w:b/>
          <w:sz w:val="24"/>
        </w:rPr>
        <w:t xml:space="preserve"> RECURRENTE, </w:t>
      </w:r>
      <w:r>
        <w:rPr>
          <w:rFonts w:ascii="Palatino Linotype" w:hAnsi="Palatino Linotype" w:cs="Arial"/>
          <w:sz w:val="24"/>
        </w:rPr>
        <w:t xml:space="preserve">en términos del </w:t>
      </w:r>
      <w:r w:rsidRPr="0012305B">
        <w:rPr>
          <w:rFonts w:ascii="Palatino Linotype" w:hAnsi="Palatino Linotype" w:cs="Arial"/>
          <w:b/>
          <w:sz w:val="24"/>
        </w:rPr>
        <w:t>Considerando Cuarto</w:t>
      </w:r>
      <w:r>
        <w:rPr>
          <w:rFonts w:ascii="Palatino Linotype" w:hAnsi="Palatino Linotype" w:cs="Arial"/>
          <w:sz w:val="24"/>
        </w:rPr>
        <w:t xml:space="preserve"> de la presente resolución. </w:t>
      </w:r>
    </w:p>
    <w:p w:rsidR="00C61653" w:rsidRDefault="00C61653" w:rsidP="00C61653">
      <w:pPr>
        <w:tabs>
          <w:tab w:val="left" w:pos="709"/>
        </w:tabs>
        <w:spacing w:line="360" w:lineRule="auto"/>
        <w:jc w:val="both"/>
        <w:rPr>
          <w:rFonts w:ascii="Palatino Linotype" w:hAnsi="Palatino Linotype" w:cs="Arial"/>
          <w:sz w:val="24"/>
          <w:szCs w:val="24"/>
        </w:rPr>
      </w:pPr>
    </w:p>
    <w:p w:rsidR="00C61653" w:rsidRDefault="00C61653" w:rsidP="00C61653">
      <w:pPr>
        <w:spacing w:before="240" w:line="360" w:lineRule="auto"/>
        <w:jc w:val="both"/>
        <w:rPr>
          <w:rFonts w:ascii="Palatino Linotype" w:hAnsi="Palatino Linotype" w:cs="Arial"/>
          <w:sz w:val="24"/>
          <w:szCs w:val="24"/>
        </w:rPr>
      </w:pPr>
      <w:r w:rsidRPr="00B4188E">
        <w:rPr>
          <w:rFonts w:ascii="Palatino Linotype" w:hAnsi="Palatino Linotype" w:cs="Arial"/>
          <w:b/>
          <w:sz w:val="24"/>
          <w:szCs w:val="24"/>
        </w:rPr>
        <w:t xml:space="preserve">SEGUNDO. </w:t>
      </w:r>
      <w:r>
        <w:rPr>
          <w:rFonts w:ascii="Palatino Linotype" w:hAnsi="Palatino Linotype" w:cs="Arial"/>
          <w:sz w:val="24"/>
          <w:szCs w:val="24"/>
        </w:rPr>
        <w:t xml:space="preserve">Se </w:t>
      </w:r>
      <w:r w:rsidRPr="003050C0">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 xml:space="preserve">SUJETO OBLIGADO </w:t>
      </w:r>
      <w:r w:rsidR="0094106A">
        <w:rPr>
          <w:rFonts w:ascii="Palatino Linotype" w:hAnsi="Palatino Linotype" w:cs="Arial"/>
          <w:sz w:val="24"/>
          <w:szCs w:val="24"/>
        </w:rPr>
        <w:t>haga entrega al</w:t>
      </w:r>
      <w:r>
        <w:rPr>
          <w:rFonts w:ascii="Palatino Linotype" w:hAnsi="Palatino Linotype" w:cs="Arial"/>
          <w:sz w:val="24"/>
          <w:szCs w:val="24"/>
        </w:rPr>
        <w:t xml:space="preserve"> </w:t>
      </w:r>
      <w:r>
        <w:rPr>
          <w:rFonts w:ascii="Palatino Linotype" w:hAnsi="Palatino Linotype" w:cs="Arial"/>
          <w:b/>
          <w:sz w:val="24"/>
          <w:szCs w:val="24"/>
        </w:rPr>
        <w:t xml:space="preserve">RECURRENTE, </w:t>
      </w:r>
      <w:r w:rsidR="0094106A">
        <w:rPr>
          <w:rFonts w:ascii="Palatino Linotype" w:hAnsi="Palatino Linotype" w:cs="Arial"/>
          <w:sz w:val="24"/>
          <w:szCs w:val="24"/>
        </w:rPr>
        <w:t xml:space="preserve">en el domicilio proporcionado </w:t>
      </w:r>
      <w:r w:rsidR="0094106A" w:rsidRPr="0094106A">
        <w:rPr>
          <w:rFonts w:ascii="Palatino Linotype" w:hAnsi="Palatino Linotype" w:cs="Arial"/>
          <w:sz w:val="24"/>
          <w:szCs w:val="24"/>
        </w:rPr>
        <w:t xml:space="preserve">y </w:t>
      </w:r>
      <w:r w:rsidRPr="0094106A">
        <w:rPr>
          <w:rFonts w:ascii="Palatino Linotype" w:hAnsi="Palatino Linotype" w:cs="Arial"/>
          <w:sz w:val="24"/>
          <w:szCs w:val="24"/>
        </w:rPr>
        <w:t xml:space="preserve">vía </w:t>
      </w:r>
      <w:r w:rsidR="0094106A" w:rsidRPr="0094106A">
        <w:rPr>
          <w:rFonts w:ascii="Palatino Linotype" w:hAnsi="Palatino Linotype" w:cs="Arial"/>
          <w:sz w:val="24"/>
          <w:szCs w:val="24"/>
        </w:rPr>
        <w:t>correo electrónico</w:t>
      </w:r>
      <w:r>
        <w:rPr>
          <w:rFonts w:ascii="Palatino Linotype" w:hAnsi="Palatino Linotype" w:cs="Arial"/>
          <w:b/>
          <w:sz w:val="24"/>
          <w:szCs w:val="24"/>
        </w:rPr>
        <w:t xml:space="preserve">, </w:t>
      </w:r>
      <w:r>
        <w:rPr>
          <w:rFonts w:ascii="Palatino Linotype" w:hAnsi="Palatino Linotype" w:cs="Arial"/>
          <w:sz w:val="24"/>
          <w:szCs w:val="24"/>
        </w:rPr>
        <w:t>de lo siguiente:</w:t>
      </w:r>
    </w:p>
    <w:p w:rsidR="00C61653" w:rsidRPr="00CE6437" w:rsidRDefault="00C61653" w:rsidP="0094106A">
      <w:pPr>
        <w:pStyle w:val="Prrafodelista"/>
        <w:numPr>
          <w:ilvl w:val="0"/>
          <w:numId w:val="42"/>
        </w:numPr>
        <w:spacing w:before="240" w:line="360" w:lineRule="auto"/>
        <w:ind w:right="851"/>
        <w:jc w:val="both"/>
        <w:rPr>
          <w:rFonts w:ascii="Palatino Linotype" w:hAnsi="Palatino Linotype" w:cs="Arial"/>
        </w:rPr>
      </w:pPr>
      <w:r w:rsidRPr="00CE6437">
        <w:rPr>
          <w:rFonts w:ascii="Palatino Linotype" w:hAnsi="Palatino Linotype" w:cs="Arial"/>
        </w:rPr>
        <w:t xml:space="preserve">Acuerdo de clasificación como información reservada de </w:t>
      </w:r>
      <w:r w:rsidR="00D35CFF" w:rsidRPr="00CE6437">
        <w:rPr>
          <w:rFonts w:ascii="Palatino Linotype" w:hAnsi="Palatino Linotype" w:cs="Arial"/>
        </w:rPr>
        <w:t xml:space="preserve">todas </w:t>
      </w:r>
      <w:r w:rsidRPr="00CE6437">
        <w:rPr>
          <w:rFonts w:ascii="Palatino Linotype" w:hAnsi="Palatino Linotype" w:cs="Arial"/>
        </w:rPr>
        <w:t xml:space="preserve">las documentales que </w:t>
      </w:r>
      <w:r w:rsidR="00D35CFF" w:rsidRPr="00CE6437">
        <w:rPr>
          <w:rFonts w:ascii="Palatino Linotype" w:hAnsi="Palatino Linotype" w:cs="Arial"/>
        </w:rPr>
        <w:t>sustenten la emisión de permisos de obra subterránea para gasoductos en la estructura vial local otorgados por la Dirección General de Desarrollo Urbano y Obra Pública</w:t>
      </w:r>
      <w:r w:rsidR="00E40578" w:rsidRPr="00CE6437">
        <w:rPr>
          <w:rFonts w:ascii="Palatino Linotype" w:hAnsi="Palatino Linotype" w:cs="Arial"/>
        </w:rPr>
        <w:t>.</w:t>
      </w:r>
    </w:p>
    <w:p w:rsidR="00C61653" w:rsidRDefault="00C61653" w:rsidP="00C6165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TERCERO.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o del plazo de diez días hábiles, debiendo informar a este Instituto en un plazo de tres días hábiles siguientes sobre el cumplimiento dado a la presente resolución.</w:t>
      </w:r>
    </w:p>
    <w:p w:rsidR="00C61653" w:rsidRPr="00D05C83" w:rsidRDefault="00C61653" w:rsidP="00C61653">
      <w:pPr>
        <w:autoSpaceDE w:val="0"/>
        <w:autoSpaceDN w:val="0"/>
        <w:adjustRightInd w:val="0"/>
        <w:spacing w:before="240" w:line="360" w:lineRule="auto"/>
        <w:jc w:val="both"/>
        <w:rPr>
          <w:rFonts w:ascii="Palatino Linotype" w:hAnsi="Palatino Linotype" w:cs="Arial"/>
          <w:sz w:val="24"/>
          <w:szCs w:val="24"/>
        </w:rPr>
      </w:pPr>
    </w:p>
    <w:p w:rsidR="00C61653" w:rsidRDefault="00C61653" w:rsidP="00C6165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la presente resolución</w:t>
      </w:r>
      <w:r w:rsidR="00F6088A">
        <w:rPr>
          <w:rFonts w:ascii="Palatino Linotype" w:hAnsi="Palatino Linotype" w:cs="Arial"/>
          <w:sz w:val="24"/>
          <w:szCs w:val="24"/>
        </w:rPr>
        <w:t xml:space="preserve"> al</w:t>
      </w:r>
      <w:r>
        <w:rPr>
          <w:rFonts w:ascii="Palatino Linotype" w:hAnsi="Palatino Linotype" w:cs="Arial"/>
          <w:sz w:val="24"/>
          <w:szCs w:val="24"/>
        </w:rPr>
        <w:t xml:space="preserve"> </w:t>
      </w:r>
      <w:r>
        <w:rPr>
          <w:rFonts w:ascii="Palatino Linotype" w:hAnsi="Palatino Linotype" w:cs="Arial"/>
          <w:b/>
          <w:sz w:val="24"/>
          <w:szCs w:val="24"/>
        </w:rPr>
        <w:t xml:space="preserve">RECURRENTE </w:t>
      </w:r>
      <w:r w:rsidR="00F6088A">
        <w:rPr>
          <w:rFonts w:ascii="Palatino Linotype" w:hAnsi="Palatino Linotype" w:cs="Arial"/>
          <w:sz w:val="24"/>
          <w:szCs w:val="24"/>
        </w:rPr>
        <w:t xml:space="preserve">en el domicilio proporcionado y </w:t>
      </w:r>
      <w:r w:rsidR="0094106A">
        <w:rPr>
          <w:rFonts w:ascii="Palatino Linotype" w:hAnsi="Palatino Linotype" w:cs="Arial"/>
          <w:sz w:val="24"/>
          <w:szCs w:val="24"/>
        </w:rPr>
        <w:t>vía</w:t>
      </w:r>
      <w:r w:rsidR="00F6088A">
        <w:rPr>
          <w:rFonts w:ascii="Palatino Linotype" w:hAnsi="Palatino Linotype" w:cs="Arial"/>
          <w:sz w:val="24"/>
          <w:szCs w:val="24"/>
        </w:rPr>
        <w:t xml:space="preserve"> correo electrónico. </w:t>
      </w:r>
      <w:r>
        <w:rPr>
          <w:rFonts w:ascii="Palatino Linotype" w:hAnsi="Palatino Linotype" w:cs="Arial"/>
          <w:sz w:val="24"/>
          <w:szCs w:val="24"/>
        </w:rPr>
        <w:t xml:space="preserve"> </w:t>
      </w:r>
    </w:p>
    <w:p w:rsidR="00C61653" w:rsidRDefault="00C61653" w:rsidP="00C61653">
      <w:pPr>
        <w:autoSpaceDE w:val="0"/>
        <w:autoSpaceDN w:val="0"/>
        <w:adjustRightInd w:val="0"/>
        <w:spacing w:before="240" w:line="360" w:lineRule="auto"/>
        <w:jc w:val="both"/>
        <w:rPr>
          <w:rFonts w:ascii="Palatino Linotype" w:hAnsi="Palatino Linotype" w:cs="Arial"/>
          <w:sz w:val="24"/>
          <w:szCs w:val="24"/>
        </w:rPr>
      </w:pPr>
    </w:p>
    <w:p w:rsidR="00C61653" w:rsidRDefault="00C61653" w:rsidP="00C6165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QUINTO</w:t>
      </w:r>
      <w:r w:rsidRPr="00D05C83">
        <w:rPr>
          <w:rFonts w:ascii="Palatino Linotype" w:hAnsi="Palatino Linotype" w:cs="Arial"/>
          <w:sz w:val="24"/>
          <w:szCs w:val="24"/>
        </w:rPr>
        <w:t xml:space="preserve">. </w:t>
      </w:r>
      <w:r w:rsidR="00CE6437">
        <w:rPr>
          <w:rFonts w:ascii="Palatino Linotype" w:hAnsi="Palatino Linotype" w:cs="Arial"/>
          <w:bCs/>
          <w:color w:val="222222"/>
          <w:sz w:val="24"/>
          <w:szCs w:val="24"/>
          <w:shd w:val="clear" w:color="auto" w:fill="FFFFFF"/>
          <w:lang w:val="es-ES"/>
        </w:rPr>
        <w:t>Se hace del conocimiento del</w:t>
      </w:r>
      <w:r>
        <w:rPr>
          <w:rFonts w:ascii="Palatino Linotype" w:hAnsi="Palatino Linotype" w:cs="Arial"/>
          <w:bCs/>
          <w:color w:val="222222"/>
          <w:sz w:val="24"/>
          <w:szCs w:val="24"/>
          <w:shd w:val="clear" w:color="auto" w:fill="FFFFFF"/>
          <w:lang w:val="es-ES"/>
        </w:rPr>
        <w:t xml:space="preserve"> </w:t>
      </w:r>
      <w:r>
        <w:rPr>
          <w:rFonts w:ascii="Palatino Linotype" w:hAnsi="Palatino Linotype" w:cs="Arial"/>
          <w:b/>
          <w:bCs/>
          <w:color w:val="222222"/>
          <w:sz w:val="24"/>
          <w:szCs w:val="24"/>
          <w:shd w:val="clear" w:color="auto" w:fill="FFFFFF"/>
          <w:lang w:val="es-ES"/>
        </w:rPr>
        <w:t>RECURRENTE</w:t>
      </w:r>
      <w:r>
        <w:rPr>
          <w:rFonts w:ascii="Palatino Linotype" w:hAnsi="Palatino Linotype" w:cs="Arial"/>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r>
        <w:rPr>
          <w:rFonts w:ascii="Palatino Linotype" w:hAnsi="Palatino Linotype" w:cs="Arial"/>
          <w:sz w:val="24"/>
          <w:szCs w:val="24"/>
        </w:rPr>
        <w:tab/>
      </w:r>
    </w:p>
    <w:p w:rsidR="00CE6437" w:rsidRDefault="00CE6437" w:rsidP="00C47311">
      <w:pPr>
        <w:spacing w:before="240" w:line="360" w:lineRule="auto"/>
        <w:jc w:val="both"/>
        <w:rPr>
          <w:rFonts w:ascii="Palatino Linotype" w:hAnsi="Palatino Linotype" w:cs="Arial"/>
          <w:sz w:val="24"/>
          <w:szCs w:val="24"/>
        </w:rPr>
      </w:pPr>
    </w:p>
    <w:p w:rsidR="00C47311" w:rsidRDefault="00C47311" w:rsidP="00C47311">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8720" behindDoc="0" locked="0" layoutInCell="1" allowOverlap="1" wp14:anchorId="30DD3214" wp14:editId="30D70341">
                <wp:simplePos x="0" y="0"/>
                <wp:positionH relativeFrom="column">
                  <wp:posOffset>-260984</wp:posOffset>
                </wp:positionH>
                <wp:positionV relativeFrom="paragraph">
                  <wp:posOffset>2930525</wp:posOffset>
                </wp:positionV>
                <wp:extent cx="6653530" cy="1097280"/>
                <wp:effectExtent l="0" t="0" r="33020" b="26670"/>
                <wp:wrapNone/>
                <wp:docPr id="5" name="Conector recto 5"/>
                <wp:cNvGraphicFramePr/>
                <a:graphic xmlns:a="http://schemas.openxmlformats.org/drawingml/2006/main">
                  <a:graphicData uri="http://schemas.microsoft.com/office/word/2010/wordprocessingShape">
                    <wps:wsp>
                      <wps:cNvCnPr/>
                      <wps:spPr>
                        <a:xfrm>
                          <a:off x="0" y="0"/>
                          <a:ext cx="6653530" cy="1097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D1752" id="Conector recto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230.75pt" to="503.35pt,3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FJuwEAAMUDAAAOAAAAZHJzL2Uyb0RvYy54bWysU8tu2zAQvBfoPxC815Ic2E0Fyzk4SC9F&#10;Y/TxAQy1tAjwhSVryX+fJW0rRVqgaNELqSV3ZneGq83dZA07AkbtXcebRc0ZOOl77Q4d//7t4d0t&#10;ZzEJ1wvjHXT8BJHfbd++2YyhhaUfvOkBGZG42I6h40NKoa2qKAewIi58AEeXyqMViUI8VD2Kkdit&#10;qZZ1va5Gj31ALyFGOr0/X/Jt4VcKZHpUKkJipuPUWyorlvUpr9V2I9oDijBoeWlD/EMXVmhHRWeq&#10;e5EE+4H6FyqrJfroVVpIbyuvlJZQNJCapn6l5usgAhQtZE4Ms03x/9HKz8c9Mt13fMWZE5aeaEcP&#10;JZNHhnljq+zRGGJLqTu3x0sUwx6z4EmhzTtJYVPx9TT7ClNikg7X69XN6obsl3TX1B/eL2+L89UL&#10;PGBMH8Fblj86brTLwkUrjp9iopKUek2hILdzbqB8pZOBnGzcF1Akhko2BV3GCHYG2VHQAAgpwaUm&#10;CyK+kp1hShszA+s/Ay/5GQplxP4GPCNKZe/SDLbaefxd9TRdW1bn/KsDZ93Zgiffn8rTFGtoVorC&#10;y1znYfw5LvCXv2/7DAAA//8DAFBLAwQUAAYACAAAACEAdModSuMAAAAMAQAADwAAAGRycy9kb3du&#10;cmV2LnhtbEyPQUvDQBCF74L/YRnBW7tJG6PETEopiLUgxSrU4zY7JtHsbMhum/Tfuz3pcXgf732T&#10;L0bTihP1rrGMEE8jEMSl1Q1XCB/vT5MHEM4r1qq1TAhncrAorq9ylWk78Buddr4SoYRdphBq77tM&#10;SlfWZJSb2o44ZF+2N8qHs6+k7tUQyk0rZ1GUSqMaDgu16mhVU/mzOxqE1369Xi0352/efpphP9vs&#10;ty/jM+Ltzbh8BOFp9H8wXPSDOhTB6WCPrJ1oESZJHAcUIUnjOxAXIuzdgzggpPNkDrLI5f8nil8A&#10;AAD//wMAUEsBAi0AFAAGAAgAAAAhALaDOJL+AAAA4QEAABMAAAAAAAAAAAAAAAAAAAAAAFtDb250&#10;ZW50X1R5cGVzXS54bWxQSwECLQAUAAYACAAAACEAOP0h/9YAAACUAQAACwAAAAAAAAAAAAAAAAAv&#10;AQAAX3JlbHMvLnJlbHNQSwECLQAUAAYACAAAACEA8SOhSbsBAADFAwAADgAAAAAAAAAAAAAAAAAu&#10;AgAAZHJzL2Uyb0RvYy54bWxQSwECLQAUAAYACAAAACEAdModSuMAAAAMAQAADwAAAAAAAAAAAAAA&#10;AAAVBAAAZHJzL2Rvd25yZXYueG1sUEsFBgAAAAAEAAQA8wAAACUFAAAAAA==&#10;" strokecolor="#5b9bd5 [3204]" strokeweight=".5pt">
                <v:stroke joinstyle="miter"/>
              </v:line>
            </w:pict>
          </mc:Fallback>
        </mc:AlternateContent>
      </w: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xml:space="preserve">, </w:t>
      </w:r>
      <w:r w:rsidRPr="00BB7E9B">
        <w:rPr>
          <w:rFonts w:ascii="Palatino Linotype" w:hAnsi="Palatino Linotype" w:cs="Arial"/>
          <w:sz w:val="24"/>
          <w:szCs w:val="24"/>
        </w:rPr>
        <w:t>CONFORMADO POR LOS COMISIONADOS ZULEMA MARTÍNEZ SÁNCHEZ, EVA ABAID YAPUR</w:t>
      </w:r>
      <w:r w:rsidR="00897D3F">
        <w:rPr>
          <w:rFonts w:ascii="Palatino Linotype" w:hAnsi="Palatino Linotype" w:cs="Arial"/>
          <w:sz w:val="24"/>
          <w:szCs w:val="24"/>
        </w:rPr>
        <w:t xml:space="preserve"> (VOTO PARTICULAR)</w:t>
      </w:r>
      <w:r w:rsidR="00CE6437">
        <w:rPr>
          <w:rFonts w:ascii="Palatino Linotype" w:hAnsi="Palatino Linotype" w:cs="Arial"/>
          <w:sz w:val="24"/>
          <w:szCs w:val="24"/>
        </w:rPr>
        <w:t xml:space="preserve">, </w:t>
      </w:r>
      <w:r w:rsidRPr="00BB7E9B">
        <w:rPr>
          <w:rFonts w:ascii="Palatino Linotype" w:hAnsi="Palatino Linotype" w:cs="Arial"/>
          <w:sz w:val="24"/>
          <w:szCs w:val="24"/>
        </w:rPr>
        <w:t xml:space="preserve">JOSÉ GUADALUPE LUNA </w:t>
      </w:r>
      <w:r w:rsidRPr="00BB7E9B">
        <w:rPr>
          <w:rFonts w:ascii="Palatino Linotype" w:hAnsi="Palatino Linotype" w:cs="Arial"/>
          <w:sz w:val="24"/>
          <w:szCs w:val="24"/>
        </w:rPr>
        <w:lastRenderedPageBreak/>
        <w:t xml:space="preserve">HERNÁNDEZ, JAVIER MARTÍNEZ CRUZ Y LUIS GUSTAVO PARRA NORIEGA </w:t>
      </w:r>
      <w:r w:rsidR="00897D3F">
        <w:rPr>
          <w:rFonts w:ascii="Palatino Linotype" w:hAnsi="Palatino Linotype" w:cs="Arial"/>
          <w:sz w:val="24"/>
          <w:szCs w:val="24"/>
        </w:rPr>
        <w:t xml:space="preserve">(VOTO PARTICULAR) </w:t>
      </w:r>
      <w:r w:rsidRPr="00BB7E9B">
        <w:rPr>
          <w:rFonts w:ascii="Palatino Linotype" w:hAnsi="Palatino Linotype" w:cs="Arial"/>
          <w:sz w:val="24"/>
          <w:szCs w:val="24"/>
        </w:rPr>
        <w:t xml:space="preserve">EN LA DÉCIMA </w:t>
      </w:r>
      <w:r w:rsidR="00CE6437">
        <w:rPr>
          <w:rFonts w:ascii="Palatino Linotype" w:hAnsi="Palatino Linotype" w:cs="Arial"/>
          <w:sz w:val="24"/>
          <w:szCs w:val="24"/>
        </w:rPr>
        <w:t>QUINTA</w:t>
      </w:r>
      <w:r w:rsidRPr="00BB7E9B">
        <w:rPr>
          <w:rFonts w:ascii="Palatino Linotype" w:hAnsi="Palatino Linotype" w:cs="Arial"/>
          <w:sz w:val="24"/>
          <w:szCs w:val="24"/>
        </w:rPr>
        <w:t xml:space="preserve"> SESIÓN ORDINARIA CELEBRADA EL </w:t>
      </w:r>
      <w:r w:rsidR="00CE6437">
        <w:rPr>
          <w:rFonts w:ascii="Palatino Linotype" w:hAnsi="Palatino Linotype" w:cs="Arial"/>
          <w:sz w:val="24"/>
          <w:szCs w:val="24"/>
        </w:rPr>
        <w:t>VEINTICUATRO DE ABRIL</w:t>
      </w:r>
      <w:r w:rsidRPr="00BB7E9B">
        <w:rPr>
          <w:rFonts w:ascii="Palatino Linotype" w:hAnsi="Palatino Linotype" w:cs="Arial"/>
          <w:sz w:val="24"/>
          <w:szCs w:val="24"/>
        </w:rPr>
        <w:t xml:space="preserve"> DE DOS MIL DIECINUEVE, ANTE EL SECRETARIO TÉCNICO DEL PLENO, ALEXIS TAPIA </w:t>
      </w:r>
      <w:r w:rsidR="00177B1A">
        <w:rPr>
          <w:rFonts w:ascii="Palatino Linotype" w:hAnsi="Palatino Linotype" w:cs="Arial"/>
          <w:noProof/>
          <w:sz w:val="24"/>
          <w:szCs w:val="24"/>
          <w:lang w:eastAsia="es-MX"/>
        </w:rPr>
        <mc:AlternateContent>
          <mc:Choice Requires="wps">
            <w:drawing>
              <wp:anchor distT="0" distB="0" distL="114300" distR="114300" simplePos="0" relativeHeight="251683840" behindDoc="0" locked="0" layoutInCell="1" allowOverlap="1">
                <wp:simplePos x="0" y="0"/>
                <wp:positionH relativeFrom="column">
                  <wp:posOffset>-365760</wp:posOffset>
                </wp:positionH>
                <wp:positionV relativeFrom="paragraph">
                  <wp:posOffset>1505585</wp:posOffset>
                </wp:positionV>
                <wp:extent cx="6581775" cy="60102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6581775" cy="6010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68B91" id="Conector recto 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118.55pt" to="489.45pt,5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cttwEAAMUDAAAOAAAAZHJzL2Uyb0RvYy54bWysU8uO2zAMvBfoPwi6N7YDbDYw4uwhi91L&#10;0QZ9fIBWpmIBeoFSE+fvS8mOt2gLFC16kUSJQ3KG1O5htIadAaP2ruPNquYMnPS9dqeOf/3y9G7L&#10;WUzC9cJ4Bx2/QuQP+7dvdpfQwtoP3vSAjIK42F5Cx4eUQltVUQ5gRVz5AI4elUcrEpl4qnoUF4pu&#10;TbWu60118dgH9BJipNvH6ZHvS3ylQKaPSkVIzHScaktlxbK+5LXa70R7QhEGLecyxD9UYYV2lHQJ&#10;9SiSYN9Q/xLKaok+epVW0tvKK6UlFA7Epql/YvN5EAEKFxInhkWm+P/Cyg/nIzLdd5wa5YSlFh2o&#10;UTJ5ZJg3ts0aXUJsyfXgjjhbMRwxEx4V2rwTFTYWXa+LrjAmJulyc7dt7u/vOJP0tiGeazIoTvUK&#10;DxjTM3jL8qHjRrtMXLTi/D6myfXmQrhczlRAOaWrgexs3CdQRIZSNgVdxggOBtlZ0AAIKcGlZk5d&#10;vDNMaWMWYP1n4OyfoVBG7G/AC6Jk9i4tYKudx99lT+OtZDX53xSYeGcJXnx/La0p0tCsFHHnuc7D&#10;+KNd4K+/b/8dAAD//wMAUEsDBBQABgAIAAAAIQBP+4Z55AAAAAwBAAAPAAAAZHJzL2Rvd25yZXYu&#10;eG1sTI9Ba8JAEIXvhf6HZQq96SaRJjHNRkQotYJIVbDHNbtN0mZnQ3Y18d93emqPw/t475t8MZqW&#10;XXXvGosCwmkATGNpVYOVgOPhZZICc16ikq1FLeCmHSyK+7tcZsoO+K6ve18xKkGXSQG1913GuStr&#10;baSb2k4jZZ+2N9LT2Vdc9XKgctPyKAhibmSDtFDLTq9qXX7vL0bAtl+vV8vN7Qt3H2Y4RZvT7m18&#10;FeLxYVw+A/N69H8w/OqTOhTkdLYXVI61AiZPSUyogGiWhMCImCfpHNiZ0DCdxcCLnP9/ovgBAAD/&#10;/wMAUEsBAi0AFAAGAAgAAAAhALaDOJL+AAAA4QEAABMAAAAAAAAAAAAAAAAAAAAAAFtDb250ZW50&#10;X1R5cGVzXS54bWxQSwECLQAUAAYACAAAACEAOP0h/9YAAACUAQAACwAAAAAAAAAAAAAAAAAvAQAA&#10;X3JlbHMvLnJlbHNQSwECLQAUAAYACAAAACEAu40nLbcBAADFAwAADgAAAAAAAAAAAAAAAAAuAgAA&#10;ZHJzL2Uyb0RvYy54bWxQSwECLQAUAAYACAAAACEAT/uGeeQAAAAMAQAADwAAAAAAAAAAAAAAAAAR&#10;BAAAZHJzL2Rvd25yZXYueG1sUEsFBgAAAAAEAAQA8wAAACIFAAAAAA==&#10;" strokecolor="#5b9bd5 [3204]" strokeweight=".5pt">
                <v:stroke joinstyle="miter"/>
              </v:line>
            </w:pict>
          </mc:Fallback>
        </mc:AlternateContent>
      </w:r>
      <w:r w:rsidRPr="00BB7E9B">
        <w:rPr>
          <w:rFonts w:ascii="Palatino Linotype" w:hAnsi="Palatino Linotype" w:cs="Arial"/>
          <w:sz w:val="24"/>
          <w:szCs w:val="24"/>
        </w:rPr>
        <w:t>RAMÍREZ.</w:t>
      </w:r>
      <w:r>
        <w:rPr>
          <w:rFonts w:ascii="Palatino Linotype" w:hAnsi="Palatino Linotype" w:cs="Arial"/>
          <w:sz w:val="24"/>
          <w:szCs w:val="24"/>
        </w:rPr>
        <w:t xml:space="preserve">  </w:t>
      </w:r>
      <w:r>
        <w:rPr>
          <w:rFonts w:ascii="Palatino Linotype" w:hAnsi="Palatino Linotype" w:cs="Arial"/>
          <w:sz w:val="24"/>
          <w:szCs w:val="24"/>
        </w:rPr>
        <w:br w:type="page"/>
      </w:r>
      <w:r>
        <w:rPr>
          <w:rFonts w:ascii="Palatino Linotype" w:hAnsi="Palatino Linotype" w:cs="Arial"/>
          <w:sz w:val="24"/>
          <w:szCs w:val="24"/>
        </w:rPr>
        <w:lastRenderedPageBreak/>
        <w:t xml:space="preserve"> </w:t>
      </w:r>
    </w:p>
    <w:p w:rsidR="00C47311" w:rsidRDefault="00C47311" w:rsidP="00C47311">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1EA70389" wp14:editId="083F637C">
                <wp:simplePos x="0" y="0"/>
                <wp:positionH relativeFrom="page">
                  <wp:align>center</wp:align>
                </wp:positionH>
                <wp:positionV relativeFrom="paragraph">
                  <wp:posOffset>417195</wp:posOffset>
                </wp:positionV>
                <wp:extent cx="2551430" cy="854015"/>
                <wp:effectExtent l="0" t="0" r="20320" b="22860"/>
                <wp:wrapNone/>
                <wp:docPr id="31" name="Cuadro de texto 31"/>
                <wp:cNvGraphicFramePr/>
                <a:graphic xmlns:a="http://schemas.openxmlformats.org/drawingml/2006/main">
                  <a:graphicData uri="http://schemas.microsoft.com/office/word/2010/wordprocessingShape">
                    <wps:wsp>
                      <wps:cNvSpPr txBox="1"/>
                      <wps:spPr>
                        <a:xfrm>
                          <a:off x="0" y="0"/>
                          <a:ext cx="2551430" cy="8540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47311" w:rsidRPr="00EF2FC0" w:rsidRDefault="00C47311" w:rsidP="00C47311">
                            <w:pPr>
                              <w:jc w:val="center"/>
                              <w:rPr>
                                <w:rFonts w:ascii="Palatino Linotype" w:hAnsi="Palatino Linotype"/>
                              </w:rPr>
                            </w:pPr>
                            <w:r w:rsidRPr="00EF2FC0">
                              <w:rPr>
                                <w:rFonts w:ascii="Palatino Linotype" w:hAnsi="Palatino Linotype"/>
                                <w:b/>
                              </w:rPr>
                              <w:t>Zulema Martínez Sánchez</w:t>
                            </w:r>
                          </w:p>
                          <w:p w:rsidR="00C47311" w:rsidRDefault="00C47311" w:rsidP="00C47311">
                            <w:pPr>
                              <w:jc w:val="center"/>
                              <w:rPr>
                                <w:rFonts w:ascii="Palatino Linotype" w:hAnsi="Palatino Linotype"/>
                              </w:rPr>
                            </w:pPr>
                            <w:r>
                              <w:rPr>
                                <w:rFonts w:ascii="Palatino Linotype" w:hAnsi="Palatino Linotype"/>
                              </w:rPr>
                              <w:t>Comisionada Presidenta</w:t>
                            </w:r>
                          </w:p>
                          <w:p w:rsidR="00C47311" w:rsidRDefault="00C47311" w:rsidP="00C47311">
                            <w:pPr>
                              <w:jc w:val="center"/>
                              <w:rPr>
                                <w:rFonts w:ascii="Palatino Linotype" w:hAnsi="Palatino Linotype"/>
                                <w:b/>
                              </w:rPr>
                            </w:pPr>
                            <w:r>
                              <w:rPr>
                                <w:rFonts w:ascii="Palatino Linotype" w:hAnsi="Palatino Linotype"/>
                                <w:b/>
                              </w:rPr>
                              <w:t>(Rúbrica).</w:t>
                            </w:r>
                          </w:p>
                          <w:p w:rsidR="00C47311" w:rsidRPr="00016AF3" w:rsidRDefault="00C47311" w:rsidP="00C47311">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70389" id="_x0000_t202" coordsize="21600,21600" o:spt="202" path="m,l,21600r21600,l21600,xe">
                <v:stroke joinstyle="miter"/>
                <v:path gradientshapeok="t" o:connecttype="rect"/>
              </v:shapetype>
              <v:shape id="Cuadro de texto 31" o:spid="_x0000_s1026" type="#_x0000_t202" style="position:absolute;left:0;text-align:left;margin-left:0;margin-top:32.85pt;width:200.9pt;height:67.2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s3lgIAALsFAAAOAAAAZHJzL2Uyb0RvYy54bWysVE1vGyEQvVfqf0Dc67UdO02trCPXkatK&#10;URI1qXLGLNiowFDA3nV/fQZ2/ZE0l1S97ALzeMy8+bi8aowmW+GDAlvSQa9PibAcKmVXJf35uPh0&#10;QUmIzFZMgxUl3YlAr6YfP1zWbiKGsAZdCU+QxIZJ7Uq6jtFNiiLwtTAs9MAJi0YJ3rCIW78qKs9q&#10;ZDe6GPb750UNvnIeuAgBT69bI51mfikFj3dSBhGJLin6FvPX5+8yfYvpJZusPHNrxTs32D94YZiy&#10;+OiB6ppFRjZe/UVlFPcQQMYeB1OAlIqLHANGM+i/iuZhzZzIsaA4wR1kCv+Plt9u7z1RVUnPBpRY&#10;ZjBH8w2rPJBKkCiaCAQtKFPtwgTRDw7xsfkKDaZ7fx7wMEXfSG/SH+MiaEfBdweRkYpwPByOx4PR&#10;GZo42i7Go/5gnGiK423nQ/wmwJC0KKnHJGZt2fYmxBa6h6THAmhVLZTWeZMKR8y1J1uGKdcx+4jk&#10;L1Dakrqk52fjfiZ+Yculd2RYrt5gQD5t03Mil1jnVlKoVSKv4k6LhNH2h5AocRbkDR8Z58Ie/Mzo&#10;hJIY0XsudvijV++53MaBN/LLYOPhslEWfKvSS2mrX3thZIvHHJ7EnZaxWTZd5Syh2mHheGg7MDi+&#10;UJjdGxbiPfPYclgQOEbiHX6kBswOdCtK1uD/vHWe8NgJaKWkxhYuafi9YV5Qor9b7JEvg9Eo9Xze&#10;jMafh7jxp5blqcVuzBywZLAN0Lu8TPio90vpwTzhtJmlV9HELMe3Sxr3y3lsBwtOKy5mswzCLncs&#10;3tgHxxN1kjfV7mPzxLzrCjx12S3sm51NXtV5i003Lcw2EaTKTZAEblXthMcJkduom2ZpBJ3uM+o4&#10;c6fPAAAA//8DAFBLAwQUAAYACAAAACEAkMxgC9wAAAAHAQAADwAAAGRycy9kb3ducmV2LnhtbEyP&#10;UUvDQBCE3wX/w7GCb/bSGmuJ2ZSgiKAFsfri2zZZk2BuL+SubfrvXZ/0cZhh5pt8PbneHHgMnReE&#10;+SwBw1L5upMG4eP98WoFJkSSmnovjHDiAOvi/CynrPZHeePDNjZGSyRkhNDGOGTWhqplR2HmBxb1&#10;vvzoKKocG1uPdNRy19tFkiyto050oaWB71uuvrd7h/CcftLDdXzhU5TptSyfVkMaNoiXF1N5Byby&#10;FP/C8Iuv6FAo087vpQ6mR9AjEWF5cwtG3TSZ65Edgo4uwBa5/c9f/AAAAP//AwBQSwECLQAUAAYA&#10;CAAAACEAtoM4kv4AAADhAQAAEwAAAAAAAAAAAAAAAAAAAAAAW0NvbnRlbnRfVHlwZXNdLnhtbFBL&#10;AQItABQABgAIAAAAIQA4/SH/1gAAAJQBAAALAAAAAAAAAAAAAAAAAC8BAABfcmVscy8ucmVsc1BL&#10;AQItABQABgAIAAAAIQCdL0s3lgIAALsFAAAOAAAAAAAAAAAAAAAAAC4CAABkcnMvZTJvRG9jLnht&#10;bFBLAQItABQABgAIAAAAIQCQzGAL3AAAAAcBAAAPAAAAAAAAAAAAAAAAAPAEAABkcnMvZG93bnJl&#10;di54bWxQSwUGAAAAAAQABADzAAAA+QUAAAAA&#10;" fillcolor="white [3201]" strokecolor="white [3212]" strokeweight=".5pt">
                <v:textbox>
                  <w:txbxContent>
                    <w:p w:rsidR="00C47311" w:rsidRPr="00EF2FC0" w:rsidRDefault="00C47311" w:rsidP="00C47311">
                      <w:pPr>
                        <w:jc w:val="center"/>
                        <w:rPr>
                          <w:rFonts w:ascii="Palatino Linotype" w:hAnsi="Palatino Linotype"/>
                        </w:rPr>
                      </w:pPr>
                      <w:r w:rsidRPr="00EF2FC0">
                        <w:rPr>
                          <w:rFonts w:ascii="Palatino Linotype" w:hAnsi="Palatino Linotype"/>
                          <w:b/>
                        </w:rPr>
                        <w:t>Zulema Martínez Sánchez</w:t>
                      </w:r>
                    </w:p>
                    <w:p w:rsidR="00C47311" w:rsidRDefault="00C47311" w:rsidP="00C47311">
                      <w:pPr>
                        <w:jc w:val="center"/>
                        <w:rPr>
                          <w:rFonts w:ascii="Palatino Linotype" w:hAnsi="Palatino Linotype"/>
                        </w:rPr>
                      </w:pPr>
                      <w:r>
                        <w:rPr>
                          <w:rFonts w:ascii="Palatino Linotype" w:hAnsi="Palatino Linotype"/>
                        </w:rPr>
                        <w:t>Comisionada Presidenta</w:t>
                      </w:r>
                    </w:p>
                    <w:p w:rsidR="00C47311" w:rsidRDefault="00C47311" w:rsidP="00C47311">
                      <w:pPr>
                        <w:jc w:val="center"/>
                        <w:rPr>
                          <w:rFonts w:ascii="Palatino Linotype" w:hAnsi="Palatino Linotype"/>
                          <w:b/>
                        </w:rPr>
                      </w:pPr>
                      <w:r>
                        <w:rPr>
                          <w:rFonts w:ascii="Palatino Linotype" w:hAnsi="Palatino Linotype"/>
                          <w:b/>
                        </w:rPr>
                        <w:t>(Rúbrica).</w:t>
                      </w:r>
                    </w:p>
                    <w:p w:rsidR="00C47311" w:rsidRPr="00016AF3" w:rsidRDefault="00C47311" w:rsidP="00C47311">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rsidR="00C47311" w:rsidRDefault="00C47311" w:rsidP="00C47311">
      <w:pPr>
        <w:autoSpaceDE w:val="0"/>
        <w:autoSpaceDN w:val="0"/>
        <w:adjustRightInd w:val="0"/>
        <w:spacing w:before="240" w:line="480" w:lineRule="auto"/>
        <w:jc w:val="both"/>
        <w:rPr>
          <w:rFonts w:ascii="Palatino Linotype" w:hAnsi="Palatino Linotype" w:cs="Arial"/>
          <w:sz w:val="24"/>
          <w:szCs w:val="24"/>
        </w:rPr>
      </w:pPr>
    </w:p>
    <w:p w:rsidR="00C47311" w:rsidRDefault="00C47311" w:rsidP="00C47311">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02D82ED1" wp14:editId="3A88C631">
                <wp:simplePos x="0" y="0"/>
                <wp:positionH relativeFrom="margin">
                  <wp:posOffset>3560876</wp:posOffset>
                </wp:positionH>
                <wp:positionV relativeFrom="paragraph">
                  <wp:posOffset>475627</wp:posOffset>
                </wp:positionV>
                <wp:extent cx="2543175" cy="948906"/>
                <wp:effectExtent l="0" t="0" r="28575" b="22860"/>
                <wp:wrapNone/>
                <wp:docPr id="33" name="Cuadro de texto 33"/>
                <wp:cNvGraphicFramePr/>
                <a:graphic xmlns:a="http://schemas.openxmlformats.org/drawingml/2006/main">
                  <a:graphicData uri="http://schemas.microsoft.com/office/word/2010/wordprocessingShape">
                    <wps:wsp>
                      <wps:cNvSpPr txBox="1"/>
                      <wps:spPr>
                        <a:xfrm>
                          <a:off x="0" y="0"/>
                          <a:ext cx="2543175" cy="9489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47311" w:rsidRPr="00EF2FC0" w:rsidRDefault="00C47311" w:rsidP="00C47311">
                            <w:pPr>
                              <w:jc w:val="center"/>
                              <w:rPr>
                                <w:rFonts w:ascii="Palatino Linotype" w:hAnsi="Palatino Linotype"/>
                              </w:rPr>
                            </w:pPr>
                            <w:r>
                              <w:rPr>
                                <w:rFonts w:ascii="Palatino Linotype" w:hAnsi="Palatino Linotype"/>
                                <w:b/>
                              </w:rPr>
                              <w:t>José Guadalupe Luna Hernández</w:t>
                            </w:r>
                          </w:p>
                          <w:p w:rsidR="00C47311" w:rsidRDefault="00C47311" w:rsidP="00C47311">
                            <w:pPr>
                              <w:jc w:val="center"/>
                              <w:rPr>
                                <w:rFonts w:ascii="Palatino Linotype" w:hAnsi="Palatino Linotype"/>
                              </w:rPr>
                            </w:pPr>
                            <w:r w:rsidRPr="00EF2FC0">
                              <w:rPr>
                                <w:rFonts w:ascii="Palatino Linotype" w:hAnsi="Palatino Linotype"/>
                              </w:rPr>
                              <w:t>Comisionado</w:t>
                            </w:r>
                          </w:p>
                          <w:p w:rsidR="00C47311" w:rsidRPr="009234AD" w:rsidRDefault="00C47311" w:rsidP="00C47311">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82ED1" id="Cuadro de texto 33" o:spid="_x0000_s1027" type="#_x0000_t202" style="position:absolute;left:0;text-align:left;margin-left:280.4pt;margin-top:37.45pt;width:200.25pt;height:74.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bumQIAAMI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mKZ&#10;wRzN16zyQCpBomgiELSgTLULE0Q/OsTH5is0mO7decDDFH0jvUl/jIugHQXf7kVGKsLxcDAeDftn&#10;Y0o42i5G5xe900RTHG47H+I3AYakRUk9JjFryza3IbbQHSQ9FkCr6kZpnTepcMRce7JhmHIds49I&#10;/gqlLalLejoc9zLxK1suvQPDYvkOA/Jpm54TucQ6t5JCrRJ5FbdaJIy2P4REibMg7/jIOBd272dG&#10;J5TEiD5yscMfvPrI5TYOvJFfBhv3l42y4FuVXktb/doJI1s85vAo7rSMzaLJtbUvlAVUW6wfD20j&#10;BsdvFCb5loX4wDx2HpYMTpN4jx+pAZME3YqSFfg/750nPDYEWimpsZNLGn6vmReU6O8WW+WiPxql&#10;1s+b0fhsgBt/bFkcW+zazAErp49zy/G8TPiod0vpwTzj0JmlV9HELMe3Sxp3y3ls5wsOLS5mswzC&#10;Zncs3tpHxxN1UjmV8FPzzLzr6jw12x3sep5N3pR7i003LczWEaTKvZB0blXt9MdBkbupG2ppEh3v&#10;M+oweqcvAAAA//8DAFBLAwQUAAYACAAAACEAr8CKqeAAAAAKAQAADwAAAGRycy9kb3ducmV2Lnht&#10;bEyPQUvDQBSE74L/YXmCN7tpEmMbsylBEUEFsXrx9po8k2D2bci+tum/dz3pcZhh5ptiM9tBHWjy&#10;vWMDy0UEirh2Tc+tgY/3h6sVKC/IDQ6OycCJPGzK87MC88Yd+Y0OW2lVKGGfo4FOZMy19nVHFv3C&#10;jcTB+3KTRQlyanUz4TGU20HHUZRpiz2HhQ5Huuuo/t7urYGn9BPvE3mmk/D8WlWPqzH1L8ZcXszV&#10;LSihWf7C8Isf0KEMTDu358arwcB1FgV0MXCTrkGFwDpbJqB2BuI4TUCXhf5/ofwBAAD//wMAUEsB&#10;Ai0AFAAGAAgAAAAhALaDOJL+AAAA4QEAABMAAAAAAAAAAAAAAAAAAAAAAFtDb250ZW50X1R5cGVz&#10;XS54bWxQSwECLQAUAAYACAAAACEAOP0h/9YAAACUAQAACwAAAAAAAAAAAAAAAAAvAQAAX3JlbHMv&#10;LnJlbHNQSwECLQAUAAYACAAAACEAiND27pkCAADCBQAADgAAAAAAAAAAAAAAAAAuAgAAZHJzL2Uy&#10;b0RvYy54bWxQSwECLQAUAAYACAAAACEAr8CKqeAAAAAKAQAADwAAAAAAAAAAAAAAAADzBAAAZHJz&#10;L2Rvd25yZXYueG1sUEsFBgAAAAAEAAQA8wAAAAAGAAAAAA==&#10;" fillcolor="white [3201]" strokecolor="white [3212]" strokeweight=".5pt">
                <v:textbox>
                  <w:txbxContent>
                    <w:p w:rsidR="00C47311" w:rsidRPr="00EF2FC0" w:rsidRDefault="00C47311" w:rsidP="00C47311">
                      <w:pPr>
                        <w:jc w:val="center"/>
                        <w:rPr>
                          <w:rFonts w:ascii="Palatino Linotype" w:hAnsi="Palatino Linotype"/>
                        </w:rPr>
                      </w:pPr>
                      <w:r>
                        <w:rPr>
                          <w:rFonts w:ascii="Palatino Linotype" w:hAnsi="Palatino Linotype"/>
                          <w:b/>
                        </w:rPr>
                        <w:t>José Guadalupe Luna Hernández</w:t>
                      </w:r>
                    </w:p>
                    <w:p w:rsidR="00C47311" w:rsidRDefault="00C47311" w:rsidP="00C47311">
                      <w:pPr>
                        <w:jc w:val="center"/>
                        <w:rPr>
                          <w:rFonts w:ascii="Palatino Linotype" w:hAnsi="Palatino Linotype"/>
                        </w:rPr>
                      </w:pPr>
                      <w:r w:rsidRPr="00EF2FC0">
                        <w:rPr>
                          <w:rFonts w:ascii="Palatino Linotype" w:hAnsi="Palatino Linotype"/>
                        </w:rPr>
                        <w:t>Comisionado</w:t>
                      </w:r>
                    </w:p>
                    <w:p w:rsidR="00C47311" w:rsidRPr="009234AD" w:rsidRDefault="00C47311" w:rsidP="00C47311">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2C281D79" wp14:editId="19FF6302">
                <wp:simplePos x="0" y="0"/>
                <wp:positionH relativeFrom="margin">
                  <wp:posOffset>-338263</wp:posOffset>
                </wp:positionH>
                <wp:positionV relativeFrom="paragraph">
                  <wp:posOffset>449748</wp:posOffset>
                </wp:positionV>
                <wp:extent cx="2486025" cy="905773"/>
                <wp:effectExtent l="0" t="0" r="28575" b="27940"/>
                <wp:wrapNone/>
                <wp:docPr id="32" name="Cuadro de texto 32"/>
                <wp:cNvGraphicFramePr/>
                <a:graphic xmlns:a="http://schemas.openxmlformats.org/drawingml/2006/main">
                  <a:graphicData uri="http://schemas.microsoft.com/office/word/2010/wordprocessingShape">
                    <wps:wsp>
                      <wps:cNvSpPr txBox="1"/>
                      <wps:spPr>
                        <a:xfrm>
                          <a:off x="0" y="0"/>
                          <a:ext cx="2486025" cy="90577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47311" w:rsidRPr="00EF2FC0" w:rsidRDefault="00C47311" w:rsidP="00C47311">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C47311" w:rsidRPr="00EF2FC0" w:rsidRDefault="00C47311" w:rsidP="00C47311">
                            <w:pPr>
                              <w:jc w:val="center"/>
                              <w:rPr>
                                <w:rFonts w:ascii="Palatino Linotype" w:hAnsi="Palatino Linotype"/>
                              </w:rPr>
                            </w:pPr>
                            <w:r w:rsidRPr="00EF2FC0">
                              <w:rPr>
                                <w:rFonts w:ascii="Palatino Linotype" w:hAnsi="Palatino Linotype"/>
                              </w:rPr>
                              <w:t>Comisionada</w:t>
                            </w:r>
                          </w:p>
                          <w:p w:rsidR="00C47311" w:rsidRDefault="00C47311" w:rsidP="00C47311">
                            <w:pPr>
                              <w:jc w:val="center"/>
                              <w:rPr>
                                <w:rFonts w:ascii="Palatino Linotype" w:hAnsi="Palatino Linotype"/>
                                <w:b/>
                              </w:rPr>
                            </w:pPr>
                            <w:r>
                              <w:rPr>
                                <w:rFonts w:ascii="Palatino Linotype" w:hAnsi="Palatino Linotype"/>
                                <w:b/>
                              </w:rPr>
                              <w:t>(Rúbrica).</w:t>
                            </w:r>
                          </w:p>
                          <w:p w:rsidR="00C47311" w:rsidRDefault="00C47311" w:rsidP="00C473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81D79" id="Cuadro de texto 32" o:spid="_x0000_s1028" type="#_x0000_t202" style="position:absolute;left:0;text-align:left;margin-left:-26.65pt;margin-top:35.4pt;width:195.75pt;height:71.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ammgIAAMIFAAAOAAAAZHJzL2Uyb0RvYy54bWysVNtuGyEQfa/Uf0C8N7t27FysrCPXUapK&#10;URM1qfKMWbBRgaGAvet+fQd2fUmal1R92QXmcJg5c7m6bo0mG+GDAlvRwUlJibAcamWXFf3xdPvp&#10;gpIQma2ZBisquhWBXk8/frhq3EQMYQW6Fp4giQ2TxlV0FaObFEXgK2FYOAEnLBoleMMibv2yqD1r&#10;kN3oYliWZ0UDvnYeuAgBT286I51mfikFj/dSBhGJrij6FvPX5+8ifYvpFZssPXMrxXs32D94YZiy&#10;+Oie6oZFRtZe/UVlFPcQQMYTDqYAKRUXOQaMZlC+iuZxxZzIsaA4we1lCv+Pln/bPHii6oqeDimx&#10;zGCO5mtWeyC1IFG0EQhaUKbGhQmiHx3iY/sZWkz37jzgYYq+ld6kP8ZF0I6Cb/ciIxXheDgcXZyV&#10;wzElHG2X5fj8/DTRFIfbzof4RYAhaVFRj0nM2rLNXYgddAdJjwXQqr5VWudNKhwx155sGKZcx+wj&#10;kr9AaUuaip6djstM/MKWS+/AsFi+wYB82qbnRC6x3q2kUKdEXsWtFgmj7XchUeIsyBs+Ms6F3fuZ&#10;0QklMaL3XOzxB6/ec7mLA2/kl8HG/WWjLPhOpZfS1j93wsgOjzk8ijstY7toc23tC2gB9Rbrx0PX&#10;iMHxW4VJvmMhPjCPnYclg9Mk3uNHasAkQb+iZAX+91vnCY8NgVZKGuzkioZfa+YFJfqrxVa5HIxG&#10;qfXzZjQ+H+LGH1sWxxa7NnPAyhng3HI8LxM+6t1SejDPOHRm6VU0Mcvx7YrG3XIeu/mCQ4uL2SyD&#10;sNkdi3f20fFEnVROJfzUPjPv+jpPzfYNdj3PJq/KvcOmmxZm6whS5V5IOneq9vrjoMjd1A+1NImO&#10;9xl1GL3TPwAAAP//AwBQSwMEFAAGAAgAAAAhAJKjLYrgAAAACgEAAA8AAABkcnMvZG93bnJldi54&#10;bWxMj0FLw0AQhe+C/2EZwVu7aTZqiJmUoIigglh76W2bHZNgdjZkt236711Pehzm473vlevZDuJI&#10;k+8dI6yWCQjixpmeW4Tt59MiB+GDZqMHx4RwJg/r6vKi1IVxJ/6g4ya0IoawLzRCF8JYSOmbjqz2&#10;SzcSx9+Xm6wO8ZxaaSZ9iuF2kGmS3Eqre44NnR7poaPme3OwCC/ZTj+q8ErnwPN7XT/nY+bfEK+v&#10;5voeRKA5/MHwqx/VoYpOe3dg48WAsLhRKqIId0mcEAGl8hTEHiFdqQxkVcr/E6ofAAAA//8DAFBL&#10;AQItABQABgAIAAAAIQC2gziS/gAAAOEBAAATAAAAAAAAAAAAAAAAAAAAAABbQ29udGVudF9UeXBl&#10;c10ueG1sUEsBAi0AFAAGAAgAAAAhADj9If/WAAAAlAEAAAsAAAAAAAAAAAAAAAAALwEAAF9yZWxz&#10;Ly5yZWxzUEsBAi0AFAAGAAgAAAAhAByL1qaaAgAAwgUAAA4AAAAAAAAAAAAAAAAALgIAAGRycy9l&#10;Mm9Eb2MueG1sUEsBAi0AFAAGAAgAAAAhAJKjLYrgAAAACgEAAA8AAAAAAAAAAAAAAAAA9AQAAGRy&#10;cy9kb3ducmV2LnhtbFBLBQYAAAAABAAEAPMAAAABBgAAAAA=&#10;" fillcolor="white [3201]" strokecolor="white [3212]" strokeweight=".5pt">
                <v:textbox>
                  <w:txbxContent>
                    <w:p w:rsidR="00C47311" w:rsidRPr="00EF2FC0" w:rsidRDefault="00C47311" w:rsidP="00C47311">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C47311" w:rsidRPr="00EF2FC0" w:rsidRDefault="00C47311" w:rsidP="00C47311">
                      <w:pPr>
                        <w:jc w:val="center"/>
                        <w:rPr>
                          <w:rFonts w:ascii="Palatino Linotype" w:hAnsi="Palatino Linotype"/>
                        </w:rPr>
                      </w:pPr>
                      <w:r w:rsidRPr="00EF2FC0">
                        <w:rPr>
                          <w:rFonts w:ascii="Palatino Linotype" w:hAnsi="Palatino Linotype"/>
                        </w:rPr>
                        <w:t>Comisionada</w:t>
                      </w:r>
                    </w:p>
                    <w:p w:rsidR="00C47311" w:rsidRDefault="00C47311" w:rsidP="00C47311">
                      <w:pPr>
                        <w:jc w:val="center"/>
                        <w:rPr>
                          <w:rFonts w:ascii="Palatino Linotype" w:hAnsi="Palatino Linotype"/>
                          <w:b/>
                        </w:rPr>
                      </w:pPr>
                      <w:r>
                        <w:rPr>
                          <w:rFonts w:ascii="Palatino Linotype" w:hAnsi="Palatino Linotype"/>
                          <w:b/>
                        </w:rPr>
                        <w:t>(Rúbrica).</w:t>
                      </w:r>
                    </w:p>
                    <w:p w:rsidR="00C47311" w:rsidRDefault="00C47311" w:rsidP="00C47311">
                      <w:pPr>
                        <w:jc w:val="center"/>
                      </w:pPr>
                    </w:p>
                  </w:txbxContent>
                </v:textbox>
                <w10:wrap anchorx="margin"/>
              </v:shape>
            </w:pict>
          </mc:Fallback>
        </mc:AlternateContent>
      </w:r>
      <w:r>
        <w:rPr>
          <w:rFonts w:ascii="Palatino Linotype" w:hAnsi="Palatino Linotype" w:cs="Arial"/>
          <w:sz w:val="24"/>
          <w:szCs w:val="24"/>
        </w:rPr>
        <w:t xml:space="preserve"> </w:t>
      </w:r>
    </w:p>
    <w:p w:rsidR="00C47311" w:rsidRPr="00D54B7D" w:rsidRDefault="00C47311" w:rsidP="00C47311">
      <w:pPr>
        <w:spacing w:before="240" w:line="480" w:lineRule="auto"/>
        <w:jc w:val="both"/>
        <w:rPr>
          <w:rFonts w:ascii="Palatino Linotype" w:hAnsi="Palatino Linotype"/>
        </w:rPr>
      </w:pPr>
    </w:p>
    <w:p w:rsidR="00C47311" w:rsidRPr="00D54B7D" w:rsidRDefault="00C47311" w:rsidP="00C47311">
      <w:pPr>
        <w:spacing w:before="240" w:line="480" w:lineRule="auto"/>
        <w:jc w:val="center"/>
        <w:rPr>
          <w:rFonts w:ascii="Palatino Linotype" w:hAnsi="Palatino Linotype"/>
        </w:rPr>
      </w:pPr>
    </w:p>
    <w:p w:rsidR="00C47311" w:rsidRDefault="00C47311" w:rsidP="00C47311">
      <w:pPr>
        <w:spacing w:before="240" w:line="480" w:lineRule="auto"/>
        <w:rPr>
          <w:rFonts w:ascii="Palatino Linotype" w:hAnsi="Palatino Linotype"/>
          <w:b/>
        </w:rPr>
      </w:pPr>
    </w:p>
    <w:p w:rsidR="00C47311" w:rsidRDefault="00C47311" w:rsidP="00C47311">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7696" behindDoc="0" locked="0" layoutInCell="1" allowOverlap="1" wp14:anchorId="7585F21B" wp14:editId="2EA5E05C">
                <wp:simplePos x="0" y="0"/>
                <wp:positionH relativeFrom="margin">
                  <wp:posOffset>-295131</wp:posOffset>
                </wp:positionH>
                <wp:positionV relativeFrom="paragraph">
                  <wp:posOffset>238460</wp:posOffset>
                </wp:positionV>
                <wp:extent cx="2486025" cy="897148"/>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2486025" cy="8971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311" w:rsidRPr="00EF2FC0" w:rsidRDefault="00C47311" w:rsidP="00C47311">
                            <w:pPr>
                              <w:jc w:val="center"/>
                              <w:rPr>
                                <w:rFonts w:ascii="Palatino Linotype" w:hAnsi="Palatino Linotype"/>
                              </w:rPr>
                            </w:pPr>
                            <w:r w:rsidRPr="00EF2FC0">
                              <w:rPr>
                                <w:rFonts w:ascii="Palatino Linotype" w:hAnsi="Palatino Linotype"/>
                                <w:b/>
                              </w:rPr>
                              <w:t>Javier Martínez Cruz</w:t>
                            </w:r>
                          </w:p>
                          <w:p w:rsidR="00C47311" w:rsidRDefault="00C47311" w:rsidP="00C47311">
                            <w:pPr>
                              <w:jc w:val="center"/>
                              <w:rPr>
                                <w:rFonts w:ascii="Palatino Linotype" w:hAnsi="Palatino Linotype"/>
                              </w:rPr>
                            </w:pPr>
                            <w:r w:rsidRPr="00EF2FC0">
                              <w:rPr>
                                <w:rFonts w:ascii="Palatino Linotype" w:hAnsi="Palatino Linotype"/>
                              </w:rPr>
                              <w:t>Comisionado</w:t>
                            </w:r>
                          </w:p>
                          <w:p w:rsidR="00C47311" w:rsidRPr="00F55D03" w:rsidRDefault="00C47311" w:rsidP="00C47311">
                            <w:pPr>
                              <w:jc w:val="center"/>
                              <w:rPr>
                                <w:rFonts w:ascii="Palatino Linotype" w:hAnsi="Palatino Linotype"/>
                                <w:b/>
                              </w:rPr>
                            </w:pPr>
                            <w:r>
                              <w:rPr>
                                <w:rFonts w:ascii="Palatino Linotype" w:hAnsi="Palatino Linotype"/>
                                <w:b/>
                              </w:rPr>
                              <w:t>(Rúbrica).</w:t>
                            </w:r>
                          </w:p>
                          <w:p w:rsidR="00C47311" w:rsidRDefault="00C47311" w:rsidP="00C47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5F21B" id="Cuadro de texto 17" o:spid="_x0000_s1029" type="#_x0000_t202" style="position:absolute;margin-left:-23.25pt;margin-top:18.8pt;width:195.75pt;height:70.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gWlAIAAJoFAAAOAAAAZHJzL2Uyb0RvYy54bWysVE1PGzEQvVfqf7B8L5uEACFig9IgqkoI&#10;UEPF2fHaxKrtcW0nu+mv79i7m6SUC1Uvu2PPmxnPm4+r68ZoshU+KLAlHZ4MKBGWQ6XsS0m/P91+&#10;mlASIrMV02BFSXci0OvZxw9XtZuKEaxBV8ITdGLDtHYlXcfopkUR+FoYFk7ACYtKCd6wiEf/UlSe&#10;1ejd6GI0GJwXNfjKeeAiBLy9aZV0lv1LKXh8kDKISHRJ8W0xf33+rtK3mF2x6Ytnbq149wz2D68w&#10;TFkMund1wyIjG6/+cmUU9xBAxhMOpgApFRc5B8xmOHiVzXLNnMi5IDnB7WkK/88tv98+eqIqrN0F&#10;JZYZrNFiwyoPpBIkiiYCQQ3SVLswRfTSIT42n6FBk/4+4GXKvpHepD/mRVCPhO/2JKMrwvFyNJ6c&#10;D0ZnlHDUTS4vhuNJclMcrJ0P8YsAQ5JQUo9FzNyy7V2ILbSHpGABtKpuldb5kBpHLLQnW4Yl1zG/&#10;EZ3/gdKW1CU9Pz0bZMcWknnrWdvkRuTW6cKlzNsMsxR3WiSMtt+EROpyom/EZpwLu4+f0QklMdR7&#10;DDv84VXvMW7zQIscGWzcGxtlwefs86wdKKt+9JTJFo+1Oco7ibFZNblnTvsGWEG1w77w0A5YcPxW&#10;YfHuWIiPzONEYSvglogP+JEakHzoJErW4H+9dZ/w2OiopaTGCS1p+LlhXlCiv1ocgcvheJxGOh/G&#10;ZxcjPPhjzepYYzdmAdgRQ9xHjmcx4aPuRenBPOMymaeoqGKWY+ySxl5cxHZv4DLiYj7PIBxix+Kd&#10;XTqeXCeWU2s+Nc/Mu65/0xDdQz/LbPqqjVtssrQw30SQKvd44rllteMfF0Cekm5ZpQ1zfM6ow0qd&#10;/QYAAP//AwBQSwMEFAAGAAgAAAAhAFLEz0rhAAAACgEAAA8AAABkcnMvZG93bnJldi54bWxMj01P&#10;g0AQhu8m/ofNmHgx7aKUUpGlMUZt4s3iR7xt2RGI7Cxht4D/3vGkx8k8ed/nzbez7cSIg28dKbhc&#10;RiCQKmdaqhW8lA+LDQgfNBndOUIF3+hhW5ye5DozbqJnHPehFhxCPtMKmhD6TEpfNWi1X7oeiX+f&#10;brA68DnU0gx64nDbyasoWkurW+KGRvd412D1tT9aBR8X9fuTnx9fpziJ+/vdWKZvplTq/Gy+vQER&#10;cA5/MPzqszoU7HRwRzJedAoWq3XCqII4XYNgIF4lPO7AZLq5Blnk8v+E4gcAAP//AwBQSwECLQAU&#10;AAYACAAAACEAtoM4kv4AAADhAQAAEwAAAAAAAAAAAAAAAAAAAAAAW0NvbnRlbnRfVHlwZXNdLnht&#10;bFBLAQItABQABgAIAAAAIQA4/SH/1gAAAJQBAAALAAAAAAAAAAAAAAAAAC8BAABfcmVscy8ucmVs&#10;c1BLAQItABQABgAIAAAAIQB4oXgWlAIAAJoFAAAOAAAAAAAAAAAAAAAAAC4CAABkcnMvZTJvRG9j&#10;LnhtbFBLAQItABQABgAIAAAAIQBSxM9K4QAAAAoBAAAPAAAAAAAAAAAAAAAAAO4EAABkcnMvZG93&#10;bnJldi54bWxQSwUGAAAAAAQABADzAAAA/AUAAAAA&#10;" fillcolor="white [3201]" stroked="f" strokeweight=".5pt">
                <v:textbox>
                  <w:txbxContent>
                    <w:p w:rsidR="00C47311" w:rsidRPr="00EF2FC0" w:rsidRDefault="00C47311" w:rsidP="00C47311">
                      <w:pPr>
                        <w:jc w:val="center"/>
                        <w:rPr>
                          <w:rFonts w:ascii="Palatino Linotype" w:hAnsi="Palatino Linotype"/>
                        </w:rPr>
                      </w:pPr>
                      <w:r w:rsidRPr="00EF2FC0">
                        <w:rPr>
                          <w:rFonts w:ascii="Palatino Linotype" w:hAnsi="Palatino Linotype"/>
                          <w:b/>
                        </w:rPr>
                        <w:t>Javier Martínez Cruz</w:t>
                      </w:r>
                    </w:p>
                    <w:p w:rsidR="00C47311" w:rsidRDefault="00C47311" w:rsidP="00C47311">
                      <w:pPr>
                        <w:jc w:val="center"/>
                        <w:rPr>
                          <w:rFonts w:ascii="Palatino Linotype" w:hAnsi="Palatino Linotype"/>
                        </w:rPr>
                      </w:pPr>
                      <w:r w:rsidRPr="00EF2FC0">
                        <w:rPr>
                          <w:rFonts w:ascii="Palatino Linotype" w:hAnsi="Palatino Linotype"/>
                        </w:rPr>
                        <w:t>Comisionado</w:t>
                      </w:r>
                    </w:p>
                    <w:p w:rsidR="00C47311" w:rsidRPr="00F55D03" w:rsidRDefault="00C47311" w:rsidP="00C47311">
                      <w:pPr>
                        <w:jc w:val="center"/>
                        <w:rPr>
                          <w:rFonts w:ascii="Palatino Linotype" w:hAnsi="Palatino Linotype"/>
                          <w:b/>
                        </w:rPr>
                      </w:pPr>
                      <w:r>
                        <w:rPr>
                          <w:rFonts w:ascii="Palatino Linotype" w:hAnsi="Palatino Linotype"/>
                          <w:b/>
                        </w:rPr>
                        <w:t>(Rúbrica).</w:t>
                      </w:r>
                    </w:p>
                    <w:p w:rsidR="00C47311" w:rsidRDefault="00C47311" w:rsidP="00C47311"/>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2C9CE84A" wp14:editId="1A882192">
                <wp:simplePos x="0" y="0"/>
                <wp:positionH relativeFrom="margin">
                  <wp:posOffset>3578129</wp:posOffset>
                </wp:positionH>
                <wp:positionV relativeFrom="paragraph">
                  <wp:posOffset>238460</wp:posOffset>
                </wp:positionV>
                <wp:extent cx="2543175" cy="871268"/>
                <wp:effectExtent l="0" t="0" r="28575" b="24130"/>
                <wp:wrapNone/>
                <wp:docPr id="34" name="Cuadro de texto 34"/>
                <wp:cNvGraphicFramePr/>
                <a:graphic xmlns:a="http://schemas.openxmlformats.org/drawingml/2006/main">
                  <a:graphicData uri="http://schemas.microsoft.com/office/word/2010/wordprocessingShape">
                    <wps:wsp>
                      <wps:cNvSpPr txBox="1"/>
                      <wps:spPr>
                        <a:xfrm>
                          <a:off x="0" y="0"/>
                          <a:ext cx="2543175" cy="8712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47311" w:rsidRPr="00EF2FC0" w:rsidRDefault="00C47311" w:rsidP="00C47311">
                            <w:pPr>
                              <w:jc w:val="center"/>
                              <w:rPr>
                                <w:rFonts w:ascii="Palatino Linotype" w:hAnsi="Palatino Linotype"/>
                              </w:rPr>
                            </w:pPr>
                            <w:r>
                              <w:rPr>
                                <w:rFonts w:ascii="Palatino Linotype" w:hAnsi="Palatino Linotype"/>
                                <w:b/>
                              </w:rPr>
                              <w:t>Luis Gustavo Parra Noriega</w:t>
                            </w:r>
                          </w:p>
                          <w:p w:rsidR="00C47311" w:rsidRDefault="00C47311" w:rsidP="00C47311">
                            <w:pPr>
                              <w:jc w:val="center"/>
                              <w:rPr>
                                <w:rFonts w:ascii="Palatino Linotype" w:hAnsi="Palatino Linotype"/>
                              </w:rPr>
                            </w:pPr>
                            <w:r w:rsidRPr="00EF2FC0">
                              <w:rPr>
                                <w:rFonts w:ascii="Palatino Linotype" w:hAnsi="Palatino Linotype"/>
                              </w:rPr>
                              <w:t>Comisionado</w:t>
                            </w:r>
                          </w:p>
                          <w:p w:rsidR="00C47311" w:rsidRPr="00F55D03" w:rsidRDefault="00C47311" w:rsidP="00C47311">
                            <w:pPr>
                              <w:jc w:val="center"/>
                              <w:rPr>
                                <w:rFonts w:ascii="Palatino Linotype" w:hAnsi="Palatino Linotype"/>
                                <w:b/>
                              </w:rPr>
                            </w:pPr>
                            <w:r>
                              <w:rPr>
                                <w:rFonts w:ascii="Palatino Linotype" w:hAnsi="Palatino Linotype"/>
                                <w:b/>
                              </w:rPr>
                              <w:t>(Rúbrica).</w:t>
                            </w:r>
                          </w:p>
                          <w:p w:rsidR="00C47311" w:rsidRDefault="00C47311" w:rsidP="00C47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CE84A" id="Cuadro de texto 34" o:spid="_x0000_s1030" type="#_x0000_t202" style="position:absolute;margin-left:281.75pt;margin-top:18.8pt;width:200.25pt;height:68.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mQIAAMIFAAAOAAAAZHJzL2Uyb0RvYy54bWysVNtuGyEQfa/Uf0C8N+trklpZR66jVJWi&#10;JGpS5RmzYKMCQwF71/36Duz6ktQvqfqyC8zhMHPmcnXdGE02wgcFtqT9sx4lwnKolF2W9Mfz7adL&#10;SkJktmIarCjpVgR6Pf344ap2EzGAFehKeIIkNkxqV9JVjG5SFIGvhGHhDJywaJTgDYu49cui8qxG&#10;dqOLQa93XtTgK+eBixDw9KY10mnml1Lw+CBlEJHokqJvMX99/i7St5hescnSM7dSvHOD/YMXhimL&#10;j+6pblhkZO3VX1RGcQ8BZDzjYAqQUnGRY8Bo+r030TytmBM5FhQnuL1M4f/R8vvNoyeqKulwRIll&#10;BnM0X7PKA6kEiaKJQNCCMtUuTBD95BAfmy/QYLp35wEPU/SN9Cb9MS6CdhR8uxcZqQjHw8F4NOxf&#10;jCnhaLu86A/OLxNNcbjtfIhfBRiSFiX1mMSsLdvchdhCd5D0WACtqluldd6kwhFz7cmGYcp1zD4i&#10;+SuUtqQu6flw3MvEr2y59A4Mi+UJBuTTNj0ncol1biWFWiXyKm61SBhtvwuJEmdBTvjIOBd272dG&#10;J5TEiN5zscMfvHrP5TYOvJFfBhv3l42y4FuVXktb/dwJI1s85vAo7rSMzaLJtbUvoAVUW6wfD20j&#10;BsdvFSb5joX4yDx2HpYMTpP4gB+pAZME3YqSFfjfp84THhsCrZTU2MklDb/WzAtK9DeLrfK5Pxql&#10;1s+b0fhigBt/bFkcW+zazAErp49zy/G8TPiod0vpwbzg0JmlV9HELMe3Sxp3y3ls5wsOLS5mswzC&#10;Zncs3tknxxN1UjmV8HPzwrzr6jw12z3sep5N3pR7i003LczWEaTKvZB0blXt9MdBkbupG2ppEh3v&#10;M+oweqd/AAAA//8DAFBLAwQUAAYACAAAACEAul9ZGd8AAAAKAQAADwAAAGRycy9kb3ducmV2Lnht&#10;bEyPQU+DQBCF7yb+h82YeLOLQikiS0M0xsSaGKsXb1MYgcjOEnbb0n/veNLjZL68971iPdtBHWjy&#10;vWMD14sIFHHtmp5bAx/vj1cZKB+QGxwck4ETeViX52cF5o078hsdtqFVEsI+RwNdCGOuta87sugX&#10;biSW35ebLAY5p1Y3Ex4l3A76JopSbbFnaehwpPuO6u/t3hp4Tj7xIQ4bOgWeX6vqKRsT/2LM5cVc&#10;3YEKNIc/GH71RR1Kcdq5PTdeDQaWabwU1EC8SkEJcJsmMm4n5CrJQJeF/j+h/AEAAP//AwBQSwEC&#10;LQAUAAYACAAAACEAtoM4kv4AAADhAQAAEwAAAAAAAAAAAAAAAAAAAAAAW0NvbnRlbnRfVHlwZXNd&#10;LnhtbFBLAQItABQABgAIAAAAIQA4/SH/1gAAAJQBAAALAAAAAAAAAAAAAAAAAC8BAABfcmVscy8u&#10;cmVsc1BLAQItABQABgAIAAAAIQC/Ma/CmQIAAMIFAAAOAAAAAAAAAAAAAAAAAC4CAABkcnMvZTJv&#10;RG9jLnhtbFBLAQItABQABgAIAAAAIQC6X1kZ3wAAAAoBAAAPAAAAAAAAAAAAAAAAAPMEAABkcnMv&#10;ZG93bnJldi54bWxQSwUGAAAAAAQABADzAAAA/wUAAAAA&#10;" fillcolor="white [3201]" strokecolor="white [3212]" strokeweight=".5pt">
                <v:textbox>
                  <w:txbxContent>
                    <w:p w:rsidR="00C47311" w:rsidRPr="00EF2FC0" w:rsidRDefault="00C47311" w:rsidP="00C47311">
                      <w:pPr>
                        <w:jc w:val="center"/>
                        <w:rPr>
                          <w:rFonts w:ascii="Palatino Linotype" w:hAnsi="Palatino Linotype"/>
                        </w:rPr>
                      </w:pPr>
                      <w:r>
                        <w:rPr>
                          <w:rFonts w:ascii="Palatino Linotype" w:hAnsi="Palatino Linotype"/>
                          <w:b/>
                        </w:rPr>
                        <w:t>Luis Gustavo Parra Noriega</w:t>
                      </w:r>
                    </w:p>
                    <w:p w:rsidR="00C47311" w:rsidRDefault="00C47311" w:rsidP="00C47311">
                      <w:pPr>
                        <w:jc w:val="center"/>
                        <w:rPr>
                          <w:rFonts w:ascii="Palatino Linotype" w:hAnsi="Palatino Linotype"/>
                        </w:rPr>
                      </w:pPr>
                      <w:r w:rsidRPr="00EF2FC0">
                        <w:rPr>
                          <w:rFonts w:ascii="Palatino Linotype" w:hAnsi="Palatino Linotype"/>
                        </w:rPr>
                        <w:t>Comisionado</w:t>
                      </w:r>
                    </w:p>
                    <w:p w:rsidR="00C47311" w:rsidRPr="00F55D03" w:rsidRDefault="00C47311" w:rsidP="00C47311">
                      <w:pPr>
                        <w:jc w:val="center"/>
                        <w:rPr>
                          <w:rFonts w:ascii="Palatino Linotype" w:hAnsi="Palatino Linotype"/>
                          <w:b/>
                        </w:rPr>
                      </w:pPr>
                      <w:r>
                        <w:rPr>
                          <w:rFonts w:ascii="Palatino Linotype" w:hAnsi="Palatino Linotype"/>
                          <w:b/>
                        </w:rPr>
                        <w:t>(Rúbrica).</w:t>
                      </w:r>
                    </w:p>
                    <w:p w:rsidR="00C47311" w:rsidRDefault="00C47311" w:rsidP="00C47311"/>
                  </w:txbxContent>
                </v:textbox>
                <w10:wrap anchorx="margin"/>
              </v:shape>
            </w:pict>
          </mc:Fallback>
        </mc:AlternateContent>
      </w:r>
    </w:p>
    <w:p w:rsidR="00C47311" w:rsidRDefault="00C47311" w:rsidP="00C47311">
      <w:pPr>
        <w:spacing w:before="240" w:line="480" w:lineRule="auto"/>
        <w:rPr>
          <w:rFonts w:ascii="Palatino Linotype" w:hAnsi="Palatino Linotype"/>
          <w:b/>
        </w:rPr>
      </w:pPr>
    </w:p>
    <w:p w:rsidR="00C47311" w:rsidRDefault="00C47311" w:rsidP="00C47311">
      <w:pPr>
        <w:spacing w:before="240" w:line="480" w:lineRule="auto"/>
        <w:rPr>
          <w:rFonts w:ascii="Palatino Linotype" w:hAnsi="Palatino Linotype"/>
          <w:b/>
        </w:rPr>
      </w:pPr>
    </w:p>
    <w:p w:rsidR="00C47311" w:rsidRPr="00D54B7D" w:rsidRDefault="00C47311" w:rsidP="00C47311">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737CAAD6" wp14:editId="10B2DAEB">
                <wp:simplePos x="0" y="0"/>
                <wp:positionH relativeFrom="margin">
                  <wp:posOffset>1292129</wp:posOffset>
                </wp:positionH>
                <wp:positionV relativeFrom="paragraph">
                  <wp:posOffset>39813</wp:posOffset>
                </wp:positionV>
                <wp:extent cx="3152775" cy="966159"/>
                <wp:effectExtent l="0" t="0" r="28575" b="24765"/>
                <wp:wrapNone/>
                <wp:docPr id="35" name="Cuadro de texto 35"/>
                <wp:cNvGraphicFramePr/>
                <a:graphic xmlns:a="http://schemas.openxmlformats.org/drawingml/2006/main">
                  <a:graphicData uri="http://schemas.microsoft.com/office/word/2010/wordprocessingShape">
                    <wps:wsp>
                      <wps:cNvSpPr txBox="1"/>
                      <wps:spPr>
                        <a:xfrm>
                          <a:off x="0" y="0"/>
                          <a:ext cx="3152775" cy="9661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47311" w:rsidRPr="007F6133" w:rsidRDefault="00C47311" w:rsidP="00C47311">
                            <w:pPr>
                              <w:jc w:val="center"/>
                              <w:rPr>
                                <w:rFonts w:ascii="Palatino Linotype" w:hAnsi="Palatino Linotype"/>
                                <w:b/>
                              </w:rPr>
                            </w:pPr>
                            <w:r>
                              <w:rPr>
                                <w:rFonts w:ascii="Palatino Linotype" w:hAnsi="Palatino Linotype"/>
                                <w:b/>
                              </w:rPr>
                              <w:t xml:space="preserve">Alexis Tapia Ramírez </w:t>
                            </w:r>
                          </w:p>
                          <w:p w:rsidR="00C47311" w:rsidRDefault="00C47311" w:rsidP="00C47311">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47311" w:rsidRDefault="00C47311" w:rsidP="00C47311">
                            <w:pPr>
                              <w:jc w:val="center"/>
                              <w:rPr>
                                <w:rFonts w:ascii="Palatino Linotype" w:hAnsi="Palatino Linotype"/>
                                <w:b/>
                              </w:rPr>
                            </w:pPr>
                            <w:r>
                              <w:rPr>
                                <w:rFonts w:ascii="Palatino Linotype" w:hAnsi="Palatino Linotype"/>
                                <w:b/>
                              </w:rPr>
                              <w:t>(Rúbrica).</w:t>
                            </w:r>
                          </w:p>
                          <w:p w:rsidR="00C47311" w:rsidRDefault="00C47311" w:rsidP="00C47311">
                            <w:pPr>
                              <w:jc w:val="center"/>
                              <w:rPr>
                                <w:rFonts w:ascii="Palatino Linotype" w:hAnsi="Palatino Linotype"/>
                              </w:rPr>
                            </w:pPr>
                          </w:p>
                          <w:p w:rsidR="00C47311" w:rsidRPr="00EF2FC0" w:rsidRDefault="00C47311" w:rsidP="00C47311">
                            <w:pPr>
                              <w:jc w:val="center"/>
                              <w:rPr>
                                <w:rFonts w:ascii="Palatino Linotype" w:hAnsi="Palatino Linotype"/>
                              </w:rPr>
                            </w:pPr>
                          </w:p>
                          <w:p w:rsidR="00C47311" w:rsidRDefault="00C47311" w:rsidP="00C47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CAAD6" id="Cuadro de texto 35" o:spid="_x0000_s1031" type="#_x0000_t202" style="position:absolute;margin-left:101.75pt;margin-top:3.15pt;width:248.25pt;height:76.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GLmQIAAMIFAAAOAAAAZHJzL2Uyb0RvYy54bWysVEtvGyEQvlfqf0Dcm/Ujdhor68h1lKpS&#10;lERNqpwxCzYqMBSwd91f34FdP5L6kqqX3YH5mMc3j6vrxmiyET4osCXtn/UoEZZDpeyypD+ebz99&#10;piREZiumwYqSbkWg19OPH65qNxEDWIGuhCdoxIZJ7Uq6itFNiiLwlTAsnIETFpUSvGERj35ZVJ7V&#10;aN3oYtDrjYsafOU8cBEC3t60SjrN9qUUPD5IGUQkuqQYW8xfn7+L9C2mV2yy9MytFO/CYP8QhWHK&#10;otO9qRsWGVl79Zcpo7iHADKecTAFSKm4yDlgNv3em2yeVsyJnAuSE9yepvD/zPL7zaMnqirpcESJ&#10;ZQZrNF+zygOpBImiiUBQgzTVLkwQ/eQQH5sv0GC5d/cBL1P2jfQm/TEvgnokfLsnGU0RjpfD/mhw&#10;cYHOOOoux+P+6DKZKQ6vnQ/xqwBDklBSj0XM3LLNXYgtdAdJzgJoVd0qrfMhNY6Ya082DEuuY44R&#10;jb9CaUvqko6Ho142/EqXW+9gYbE8YQHtaZvcidxiXViJoZaJLMWtFgmj7XchkeJMyIkYGefC7uPM&#10;6ISSmNF7Hnb4Q1TvedzmgS+yZ7Bx/9goC75l6TW11c8dMbLFYw2P8k5ibBZN7q19Ay2g2mL/eGgH&#10;MTh+q7DIdyzER+Zx8rBlcJvEB/xIDVgk6CRKVuB/n7pPeBwI1FJS4ySXNPxaMy8o0d8sjspl//w8&#10;jX4+nI8uBnjwx5rFscauzRywc/q4txzPYsJHvROlB/OCS2eWvKKKWY6+Sxp34jy2+wWXFhezWQbh&#10;sDsW7+yT48l0Yjm18HPzwrzr+jwN2z3sZp5N3rR7i00vLczWEaTKs5B4blnt+MdFkaepW2ppEx2f&#10;M+qweqd/AAAA//8DAFBLAwQUAAYACAAAACEACuw0Yd4AAAAJAQAADwAAAGRycy9kb3ducmV2Lnht&#10;bEyPQUvDQBCF74L/YRnBm921aWqI2ZSgiKCCWL14myZjEszOhuy2Tf+940mPw/t4871iM7tBHWgK&#10;vWcL1wsDirj2Tc+thY/3h6sMVIjIDQ6eycKJAmzK87MC88Yf+Y0O29gqKeGQo4UuxjHXOtQdOQwL&#10;PxJL9uUnh1HOqdXNhEcpd4NeGrPWDnuWDx2OdNdR/b3dOwtPq0+8T+IznSLPr1X1mI2r8GLt5cVc&#10;3YKKNMc/GH71RR1Kcdr5PTdBDRaWJkkFtbBOQEl+Y4xs2wmYZinostD/F5Q/AAAA//8DAFBLAQIt&#10;ABQABgAIAAAAIQC2gziS/gAAAOEBAAATAAAAAAAAAAAAAAAAAAAAAABbQ29udGVudF9UeXBlc10u&#10;eG1sUEsBAi0AFAAGAAgAAAAhADj9If/WAAAAlAEAAAsAAAAAAAAAAAAAAAAALwEAAF9yZWxzLy5y&#10;ZWxzUEsBAi0AFAAGAAgAAAAhADZlQYuZAgAAwgUAAA4AAAAAAAAAAAAAAAAALgIAAGRycy9lMm9E&#10;b2MueG1sUEsBAi0AFAAGAAgAAAAhAArsNGHeAAAACQEAAA8AAAAAAAAAAAAAAAAA8wQAAGRycy9k&#10;b3ducmV2LnhtbFBLBQYAAAAABAAEAPMAAAD+BQAAAAA=&#10;" fillcolor="white [3201]" strokecolor="white [3212]" strokeweight=".5pt">
                <v:textbox>
                  <w:txbxContent>
                    <w:p w:rsidR="00C47311" w:rsidRPr="007F6133" w:rsidRDefault="00C47311" w:rsidP="00C47311">
                      <w:pPr>
                        <w:jc w:val="center"/>
                        <w:rPr>
                          <w:rFonts w:ascii="Palatino Linotype" w:hAnsi="Palatino Linotype"/>
                          <w:b/>
                        </w:rPr>
                      </w:pPr>
                      <w:r>
                        <w:rPr>
                          <w:rFonts w:ascii="Palatino Linotype" w:hAnsi="Palatino Linotype"/>
                          <w:b/>
                        </w:rPr>
                        <w:t xml:space="preserve">Alexis Tapia Ramírez </w:t>
                      </w:r>
                    </w:p>
                    <w:p w:rsidR="00C47311" w:rsidRDefault="00C47311" w:rsidP="00C47311">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47311" w:rsidRDefault="00C47311" w:rsidP="00C47311">
                      <w:pPr>
                        <w:jc w:val="center"/>
                        <w:rPr>
                          <w:rFonts w:ascii="Palatino Linotype" w:hAnsi="Palatino Linotype"/>
                          <w:b/>
                        </w:rPr>
                      </w:pPr>
                      <w:r>
                        <w:rPr>
                          <w:rFonts w:ascii="Palatino Linotype" w:hAnsi="Palatino Linotype"/>
                          <w:b/>
                        </w:rPr>
                        <w:t>(Rúbrica).</w:t>
                      </w:r>
                    </w:p>
                    <w:p w:rsidR="00C47311" w:rsidRDefault="00C47311" w:rsidP="00C47311">
                      <w:pPr>
                        <w:jc w:val="center"/>
                        <w:rPr>
                          <w:rFonts w:ascii="Palatino Linotype" w:hAnsi="Palatino Linotype"/>
                        </w:rPr>
                      </w:pPr>
                    </w:p>
                    <w:p w:rsidR="00C47311" w:rsidRPr="00EF2FC0" w:rsidRDefault="00C47311" w:rsidP="00C47311">
                      <w:pPr>
                        <w:jc w:val="center"/>
                        <w:rPr>
                          <w:rFonts w:ascii="Palatino Linotype" w:hAnsi="Palatino Linotype"/>
                        </w:rPr>
                      </w:pPr>
                    </w:p>
                    <w:p w:rsidR="00C47311" w:rsidRDefault="00C47311" w:rsidP="00C47311"/>
                  </w:txbxContent>
                </v:textbox>
                <w10:wrap anchorx="margin"/>
              </v:shape>
            </w:pict>
          </mc:Fallback>
        </mc:AlternateContent>
      </w:r>
    </w:p>
    <w:p w:rsidR="00C47311" w:rsidRDefault="00C47311" w:rsidP="00C47311">
      <w:pPr>
        <w:tabs>
          <w:tab w:val="left" w:pos="709"/>
        </w:tabs>
        <w:spacing w:before="240" w:line="360" w:lineRule="auto"/>
        <w:ind w:right="51"/>
        <w:jc w:val="both"/>
        <w:rPr>
          <w:rFonts w:ascii="Palatino Linotype" w:hAnsi="Palatino Linotype"/>
          <w:sz w:val="24"/>
          <w:szCs w:val="24"/>
        </w:rPr>
      </w:pPr>
    </w:p>
    <w:p w:rsidR="00C47311" w:rsidRDefault="00C47311" w:rsidP="00C47311">
      <w:pPr>
        <w:tabs>
          <w:tab w:val="left" w:pos="5415"/>
        </w:tabs>
        <w:spacing w:before="240" w:line="360" w:lineRule="auto"/>
        <w:ind w:right="51"/>
        <w:jc w:val="both"/>
        <w:rPr>
          <w:rFonts w:ascii="Palatino Linotype" w:hAnsi="Palatino Linotype" w:cs="Arial"/>
          <w:sz w:val="16"/>
          <w:szCs w:val="16"/>
        </w:rPr>
      </w:pPr>
    </w:p>
    <w:p w:rsidR="00C47311" w:rsidRDefault="00C47311" w:rsidP="00C47311">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CE6437">
        <w:rPr>
          <w:rFonts w:ascii="Palatino Linotype" w:hAnsi="Palatino Linotype" w:cs="Arial"/>
          <w:sz w:val="16"/>
          <w:szCs w:val="16"/>
        </w:rPr>
        <w:t>veinticuatro de abril</w:t>
      </w:r>
      <w:r>
        <w:rPr>
          <w:rFonts w:ascii="Palatino Linotype" w:hAnsi="Palatino Linotype" w:cs="Arial"/>
          <w:sz w:val="16"/>
          <w:szCs w:val="16"/>
        </w:rPr>
        <w:t xml:space="preserve">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CE6437">
        <w:rPr>
          <w:rFonts w:ascii="Palatino Linotype" w:hAnsi="Palatino Linotype" w:cs="Arial"/>
          <w:bCs/>
          <w:sz w:val="16"/>
          <w:szCs w:val="16"/>
          <w:lang w:eastAsia="es-MX"/>
        </w:rPr>
        <w:t>00005/INFOEM/IP/RR-E/2019</w:t>
      </w:r>
      <w:r>
        <w:rPr>
          <w:rFonts w:ascii="Palatino Linotype" w:hAnsi="Palatino Linotype" w:cs="Arial"/>
          <w:bCs/>
          <w:sz w:val="16"/>
          <w:szCs w:val="16"/>
          <w:lang w:eastAsia="es-MX"/>
        </w:rPr>
        <w:t xml:space="preserve">   </w:t>
      </w:r>
    </w:p>
    <w:p w:rsidR="001C023D" w:rsidRDefault="00C47311" w:rsidP="00CE6437">
      <w:pPr>
        <w:spacing w:before="240"/>
        <w:jc w:val="both"/>
        <w:rPr>
          <w:rFonts w:ascii="Palatino Linotype" w:hAnsi="Palatino Linotype"/>
          <w:sz w:val="24"/>
          <w:szCs w:val="24"/>
        </w:rPr>
      </w:pPr>
      <w:r>
        <w:rPr>
          <w:rFonts w:ascii="Palatino Linotype" w:hAnsi="Palatino Linotype" w:cs="Arial"/>
          <w:bCs/>
          <w:sz w:val="16"/>
          <w:szCs w:val="16"/>
          <w:lang w:eastAsia="es-MX"/>
        </w:rPr>
        <w:t xml:space="preserve">OSAM/JCMA   </w:t>
      </w:r>
    </w:p>
    <w:sectPr w:rsidR="001C023D"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F61" w:rsidRDefault="000A0F61" w:rsidP="006168E4">
      <w:pPr>
        <w:spacing w:after="0" w:line="240" w:lineRule="auto"/>
      </w:pPr>
      <w:r>
        <w:separator/>
      </w:r>
    </w:p>
  </w:endnote>
  <w:endnote w:type="continuationSeparator" w:id="0">
    <w:p w:rsidR="000A0F61" w:rsidRDefault="000A0F6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F1C" w:rsidRPr="000B69FA" w:rsidRDefault="004A0F1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2C2D">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2C2D">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F1C" w:rsidRPr="000B69FA" w:rsidRDefault="004A0F1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5B6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45B6E">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F61" w:rsidRDefault="000A0F61" w:rsidP="006168E4">
      <w:pPr>
        <w:spacing w:after="0" w:line="240" w:lineRule="auto"/>
      </w:pPr>
      <w:r>
        <w:separator/>
      </w:r>
    </w:p>
  </w:footnote>
  <w:footnote w:type="continuationSeparator" w:id="0">
    <w:p w:rsidR="000A0F61" w:rsidRDefault="000A0F61" w:rsidP="006168E4">
      <w:pPr>
        <w:spacing w:after="0" w:line="240" w:lineRule="auto"/>
      </w:pPr>
      <w:r>
        <w:continuationSeparator/>
      </w:r>
    </w:p>
  </w:footnote>
  <w:footnote w:id="1">
    <w:p w:rsidR="004A0F1C" w:rsidRPr="00EE06B0" w:rsidRDefault="004A0F1C" w:rsidP="00D82BC6">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4A0F1C" w:rsidRPr="00EE06B0" w:rsidRDefault="004A0F1C" w:rsidP="00D82BC6">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C47311" w:rsidRDefault="00C47311" w:rsidP="00C47311">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rsidR="00C47311" w:rsidRDefault="00C47311" w:rsidP="00C47311">
      <w:pPr>
        <w:pStyle w:val="Textonotapie"/>
        <w:jc w:val="both"/>
      </w:pPr>
      <w:r>
        <w:rPr>
          <w:rStyle w:val="Refdenotaalpie"/>
        </w:rPr>
        <w:footnoteRef/>
      </w:r>
      <w:r>
        <w:t xml:space="preserve"> </w:t>
      </w:r>
      <w:r w:rsidRPr="003F34E5">
        <w:rPr>
          <w:sz w:val="16"/>
          <w:szCs w:val="16"/>
        </w:rPr>
        <w:t xml:space="preserve">Sergio López </w:t>
      </w:r>
      <w:proofErr w:type="spellStart"/>
      <w:r w:rsidRPr="003F34E5">
        <w:rPr>
          <w:sz w:val="16"/>
          <w:szCs w:val="16"/>
        </w:rPr>
        <w:t>Ayllón</w:t>
      </w:r>
      <w:proofErr w:type="spellEnd"/>
      <w:r w:rsidRPr="003F34E5">
        <w:rPr>
          <w:sz w:val="16"/>
          <w:szCs w:val="16"/>
        </w:rPr>
        <w:t xml:space="preserve"> y Alejandro Posadas. “Las pruebas de Daño e Interés Público en materia de acceso a la información. Una perspectiva comparada” en Derecho comparada de la Información, enero-junio de 2007.</w:t>
      </w:r>
    </w:p>
  </w:footnote>
  <w:footnote w:id="4">
    <w:p w:rsidR="00897D3F" w:rsidRPr="000553F9" w:rsidRDefault="00897D3F" w:rsidP="00897D3F">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3"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5">
    <w:p w:rsidR="00897D3F" w:rsidRPr="000553F9" w:rsidRDefault="00897D3F" w:rsidP="00897D3F">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4"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6">
    <w:p w:rsidR="00897D3F" w:rsidRPr="000553F9" w:rsidRDefault="00897D3F" w:rsidP="00897D3F">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http://dle.rae.es/?id=VGqyuLj|VGtxgAo|VGuc9Wg</w:t>
        </w:r>
      </w:hyperlink>
      <w:r w:rsidRPr="000553F9">
        <w:rPr>
          <w:color w:val="000000" w:themeColor="text1"/>
        </w:rPr>
        <w:t xml:space="preserve"> </w:t>
      </w:r>
    </w:p>
  </w:footnote>
  <w:footnote w:id="7">
    <w:p w:rsidR="00897D3F" w:rsidRPr="000553F9" w:rsidRDefault="00897D3F" w:rsidP="00897D3F">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http://dle.rae.es/?id=CAjNzMR</w:t>
        </w:r>
      </w:hyperlink>
      <w:r w:rsidRPr="000553F9">
        <w:rPr>
          <w:color w:val="000000" w:themeColor="text1"/>
        </w:rPr>
        <w:t xml:space="preserve"> </w:t>
      </w:r>
    </w:p>
  </w:footnote>
  <w:footnote w:id="8">
    <w:p w:rsidR="00897D3F" w:rsidRPr="000553F9" w:rsidRDefault="00897D3F" w:rsidP="00897D3F">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http://dle.rae.es/?id=CAqWkEB</w:t>
        </w:r>
      </w:hyperlink>
      <w:r w:rsidRPr="000553F9">
        <w:rPr>
          <w:color w:val="000000" w:themeColor="text1"/>
        </w:rPr>
        <w:t xml:space="preserve"> </w:t>
      </w:r>
    </w:p>
  </w:footnote>
  <w:footnote w:id="9">
    <w:p w:rsidR="00897D3F" w:rsidRPr="000553F9" w:rsidRDefault="00897D3F" w:rsidP="00897D3F">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http://dle.rae.es/?id=KtnHLLd</w:t>
        </w:r>
      </w:hyperlink>
      <w:r w:rsidRPr="000553F9">
        <w:rPr>
          <w:color w:val="000000" w:themeColor="text1"/>
        </w:rPr>
        <w:t xml:space="preserve"> </w:t>
      </w:r>
    </w:p>
  </w:footnote>
  <w:footnote w:id="10">
    <w:p w:rsidR="00897D3F" w:rsidRPr="000406A4" w:rsidRDefault="00897D3F" w:rsidP="00897D3F">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9" w:history="1">
        <w:r w:rsidRPr="000553F9">
          <w:rPr>
            <w:rStyle w:val="Hipervnculo"/>
            <w:color w:val="000000" w:themeColor="text1"/>
          </w:rPr>
          <w:t>http://dle.rae.es/?id=KtpfgjV</w:t>
        </w:r>
      </w:hyperlink>
      <w:r w:rsidRPr="000553F9">
        <w:rPr>
          <w:color w:val="000000" w:themeColor="text1"/>
        </w:rPr>
        <w:t xml:space="preserve"> </w:t>
      </w:r>
    </w:p>
  </w:footnote>
  <w:footnote w:id="11">
    <w:p w:rsidR="00897D3F" w:rsidRPr="00D75A73" w:rsidRDefault="00897D3F" w:rsidP="00897D3F">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75A73">
        <w:rPr>
          <w:rFonts w:ascii="Palatino Linotype" w:eastAsia="Times New Roman" w:hAnsi="Palatino Linotype" w:cs="Arial"/>
          <w:color w:val="000000" w:themeColor="text1"/>
          <w:sz w:val="16"/>
          <w:szCs w:val="16"/>
          <w:lang w:val="es-ES_tradnl" w:eastAsia="es-ES_tradnl"/>
        </w:rPr>
        <w:t>tests</w:t>
      </w:r>
      <w:proofErr w:type="spellEnd"/>
      <w:r w:rsidRPr="00D75A73">
        <w:rPr>
          <w:rFonts w:ascii="Palatino Linotype" w:eastAsia="Times New Roman" w:hAnsi="Palatino Linotype" w:cs="Arial"/>
          <w:color w:val="000000" w:themeColor="text1"/>
          <w:sz w:val="16"/>
          <w:szCs w:val="16"/>
          <w:lang w:val="es-ES_tradnl"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75A73">
        <w:rPr>
          <w:rFonts w:ascii="Palatino Linotype" w:eastAsia="Times New Roman" w:hAnsi="Palatino Linotype" w:cs="Arial"/>
          <w:color w:val="000000" w:themeColor="text1"/>
          <w:sz w:val="16"/>
          <w:szCs w:val="16"/>
          <w:lang w:val="es-ES_tradnl" w:eastAsia="es-ES_tradnl"/>
        </w:rPr>
        <w:t>Lluy</w:t>
      </w:r>
      <w:proofErr w:type="spellEnd"/>
      <w:r w:rsidRPr="00D75A73">
        <w:rPr>
          <w:rFonts w:ascii="Palatino Linotype" w:eastAsia="Times New Roman" w:hAnsi="Palatino Linotype" w:cs="Arial"/>
          <w:color w:val="000000" w:themeColor="text1"/>
          <w:sz w:val="16"/>
          <w:szCs w:val="16"/>
          <w:lang w:val="es-ES_tradnl" w:eastAsia="es-ES_tradnl"/>
        </w:rPr>
        <w:t xml:space="preserve"> y otros contra Ecuador. Excepciones preliminares, fondo, reparaciones y costas. Sentencia del 01 de septiembre de 2015. Párr. 256.  </w:t>
      </w:r>
    </w:p>
  </w:footnote>
  <w:footnote w:id="12">
    <w:p w:rsidR="00897D3F" w:rsidRPr="00D75A73" w:rsidRDefault="00897D3F" w:rsidP="00897D3F">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w:t>
      </w:r>
      <w:proofErr w:type="spellStart"/>
      <w:r w:rsidRPr="00D75A73">
        <w:rPr>
          <w:rFonts w:ascii="Palatino Linotype" w:hAnsi="Palatino Linotype"/>
          <w:color w:val="000000" w:themeColor="text1"/>
          <w:sz w:val="16"/>
          <w:szCs w:val="16"/>
          <w:lang w:val="es-ES"/>
        </w:rPr>
        <w:t>BVerfGE</w:t>
      </w:r>
      <w:proofErr w:type="spellEnd"/>
      <w:r w:rsidRPr="00D75A73">
        <w:rPr>
          <w:rFonts w:ascii="Palatino Linotype" w:hAnsi="Palatino Linotype"/>
          <w:color w:val="000000" w:themeColor="text1"/>
          <w:sz w:val="16"/>
          <w:szCs w:val="16"/>
          <w:lang w:val="es-ES"/>
        </w:rPr>
        <w:t xml:space="preserve"> 93, 266). En ALÁEZ CORRAL, Benito y ÁLVAREZ </w:t>
      </w:r>
      <w:proofErr w:type="spellStart"/>
      <w:r w:rsidRPr="00D75A73">
        <w:rPr>
          <w:rFonts w:ascii="Palatino Linotype" w:hAnsi="Palatino Linotype"/>
          <w:color w:val="000000" w:themeColor="text1"/>
          <w:sz w:val="16"/>
          <w:szCs w:val="16"/>
          <w:lang w:val="es-ES"/>
        </w:rPr>
        <w:t>ÁLVAREZ</w:t>
      </w:r>
      <w:proofErr w:type="spellEnd"/>
      <w:r w:rsidRPr="00D75A73">
        <w:rPr>
          <w:rFonts w:ascii="Palatino Linotype" w:hAnsi="Palatino Linotype"/>
          <w:color w:val="000000" w:themeColor="text1"/>
          <w:sz w:val="16"/>
          <w:szCs w:val="16"/>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F1C" w:rsidRDefault="004A0F1C">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4A0F1C" w:rsidTr="001F78A6">
      <w:trPr>
        <w:trHeight w:val="227"/>
      </w:trPr>
      <w:tc>
        <w:tcPr>
          <w:tcW w:w="5529" w:type="dxa"/>
          <w:hideMark/>
        </w:tcPr>
        <w:p w:rsidR="004A0F1C" w:rsidRDefault="004A0F1C" w:rsidP="00E27FF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4A0F1C" w:rsidRPr="00B4142F" w:rsidRDefault="004A0F1C" w:rsidP="00D0341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00005/INFOEM/IP/RR-E/2019</w:t>
          </w:r>
        </w:p>
      </w:tc>
    </w:tr>
    <w:tr w:rsidR="004A0F1C" w:rsidTr="001F78A6">
      <w:trPr>
        <w:trHeight w:val="242"/>
      </w:trPr>
      <w:tc>
        <w:tcPr>
          <w:tcW w:w="5529" w:type="dxa"/>
          <w:hideMark/>
        </w:tcPr>
        <w:p w:rsidR="004A0F1C" w:rsidRDefault="004A0F1C" w:rsidP="00E27FF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4A0F1C" w:rsidRPr="00F06FED" w:rsidRDefault="004A0F1C" w:rsidP="00E27FF7">
          <w:pPr>
            <w:spacing w:after="120" w:line="256" w:lineRule="auto"/>
            <w:ind w:left="639" w:right="214"/>
            <w:jc w:val="both"/>
            <w:rPr>
              <w:rFonts w:ascii="Palatino Linotype" w:hAnsi="Palatino Linotype" w:cs="Arial"/>
            </w:rPr>
          </w:pPr>
          <w:r>
            <w:rPr>
              <w:rFonts w:ascii="Palatino Linotype" w:hAnsi="Palatino Linotype" w:cs="Arial"/>
            </w:rPr>
            <w:t>Ayuntamiento de Toluca</w:t>
          </w:r>
        </w:p>
      </w:tc>
    </w:tr>
    <w:tr w:rsidR="004A0F1C" w:rsidTr="001F78A6">
      <w:trPr>
        <w:trHeight w:val="342"/>
      </w:trPr>
      <w:tc>
        <w:tcPr>
          <w:tcW w:w="5529" w:type="dxa"/>
          <w:hideMark/>
        </w:tcPr>
        <w:p w:rsidR="004A0F1C" w:rsidRDefault="004A0F1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4A0F1C" w:rsidRDefault="004A0F1C"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4A0F1C" w:rsidRDefault="004A0F1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4A0F1C" w:rsidTr="001F78A6">
      <w:trPr>
        <w:trHeight w:val="227"/>
      </w:trPr>
      <w:tc>
        <w:tcPr>
          <w:tcW w:w="5529" w:type="dxa"/>
          <w:hideMark/>
        </w:tcPr>
        <w:p w:rsidR="004A0F1C" w:rsidRDefault="004A0F1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4A0F1C" w:rsidRPr="00B4142F" w:rsidRDefault="004A0F1C" w:rsidP="00E27FF7">
          <w:pPr>
            <w:spacing w:after="120" w:line="256" w:lineRule="auto"/>
            <w:ind w:left="639" w:right="214"/>
            <w:jc w:val="both"/>
            <w:rPr>
              <w:rFonts w:ascii="Palatino Linotype" w:hAnsi="Palatino Linotype" w:cs="Arial"/>
              <w:szCs w:val="20"/>
            </w:rPr>
          </w:pPr>
          <w:r w:rsidRPr="00E27FF7">
            <w:rPr>
              <w:rFonts w:ascii="Palatino Linotype" w:hAnsi="Palatino Linotype" w:cs="Arial"/>
              <w:bCs/>
              <w:sz w:val="24"/>
              <w:lang w:eastAsia="es-MX"/>
            </w:rPr>
            <w:t>000</w:t>
          </w:r>
          <w:r>
            <w:rPr>
              <w:rFonts w:ascii="Palatino Linotype" w:hAnsi="Palatino Linotype" w:cs="Arial"/>
              <w:bCs/>
              <w:sz w:val="24"/>
              <w:lang w:eastAsia="es-MX"/>
            </w:rPr>
            <w:t>05</w:t>
          </w:r>
          <w:r w:rsidRPr="00E27FF7">
            <w:rPr>
              <w:rFonts w:ascii="Palatino Linotype" w:hAnsi="Palatino Linotype" w:cs="Arial"/>
              <w:bCs/>
              <w:sz w:val="24"/>
              <w:lang w:eastAsia="es-MX"/>
            </w:rPr>
            <w:t>/INFOEM/IP/RR-E/201</w:t>
          </w:r>
          <w:r>
            <w:rPr>
              <w:rFonts w:ascii="Palatino Linotype" w:hAnsi="Palatino Linotype" w:cs="Arial"/>
              <w:bCs/>
              <w:sz w:val="24"/>
              <w:lang w:eastAsia="es-MX"/>
            </w:rPr>
            <w:t>9</w:t>
          </w:r>
        </w:p>
      </w:tc>
    </w:tr>
    <w:tr w:rsidR="004A0F1C" w:rsidTr="001F78A6">
      <w:trPr>
        <w:trHeight w:val="196"/>
      </w:trPr>
      <w:tc>
        <w:tcPr>
          <w:tcW w:w="5529" w:type="dxa"/>
          <w:hideMark/>
        </w:tcPr>
        <w:p w:rsidR="004A0F1C" w:rsidRDefault="004A0F1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rsidR="004A0F1C" w:rsidRPr="00F06FED" w:rsidRDefault="007E3ADA" w:rsidP="00772D0D">
          <w:pPr>
            <w:spacing w:after="120" w:line="256" w:lineRule="auto"/>
            <w:ind w:left="639" w:right="214"/>
            <w:jc w:val="both"/>
            <w:rPr>
              <w:rFonts w:ascii="Palatino Linotype" w:hAnsi="Palatino Linotype" w:cs="Arial"/>
            </w:rPr>
          </w:pPr>
          <w:r>
            <w:rPr>
              <w:rFonts w:ascii="Palatino Linotype" w:hAnsi="Palatino Linotype" w:cs="Arial"/>
            </w:rPr>
            <w:t>XXXXXXXXXXXXXXXXXXXXXXXXXXXXXXXX</w:t>
          </w:r>
        </w:p>
      </w:tc>
    </w:tr>
    <w:tr w:rsidR="004A0F1C" w:rsidTr="001F78A6">
      <w:trPr>
        <w:trHeight w:val="242"/>
      </w:trPr>
      <w:tc>
        <w:tcPr>
          <w:tcW w:w="5529" w:type="dxa"/>
          <w:hideMark/>
        </w:tcPr>
        <w:p w:rsidR="004A0F1C" w:rsidRDefault="004A0F1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tcPr>
        <w:p w:rsidR="004A0F1C" w:rsidRDefault="004A0F1C" w:rsidP="002C3A04">
          <w:pPr>
            <w:spacing w:after="120" w:line="256" w:lineRule="auto"/>
            <w:ind w:left="639" w:right="214"/>
            <w:jc w:val="both"/>
            <w:rPr>
              <w:rFonts w:ascii="Palatino Linotype" w:hAnsi="Palatino Linotype" w:cs="Arial"/>
              <w:szCs w:val="20"/>
            </w:rPr>
          </w:pPr>
          <w:r>
            <w:rPr>
              <w:rFonts w:ascii="Palatino Linotype" w:hAnsi="Palatino Linotype" w:cs="Arial"/>
            </w:rPr>
            <w:t>Ayuntamiento de Toluca</w:t>
          </w:r>
        </w:p>
      </w:tc>
    </w:tr>
    <w:tr w:rsidR="004A0F1C" w:rsidTr="001F78A6">
      <w:trPr>
        <w:trHeight w:val="342"/>
      </w:trPr>
      <w:tc>
        <w:tcPr>
          <w:tcW w:w="5529" w:type="dxa"/>
          <w:hideMark/>
        </w:tcPr>
        <w:p w:rsidR="004A0F1C" w:rsidRDefault="004A0F1C"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4A0F1C" w:rsidRDefault="004A0F1C"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4A0F1C" w:rsidRDefault="004A0F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15:restartNumberingAfterBreak="0">
    <w:nsid w:val="058F7E48"/>
    <w:multiLevelType w:val="hybridMultilevel"/>
    <w:tmpl w:val="07CED56E"/>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C42931"/>
    <w:multiLevelType w:val="hybridMultilevel"/>
    <w:tmpl w:val="6A664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904935"/>
    <w:multiLevelType w:val="hybridMultilevel"/>
    <w:tmpl w:val="B1E0745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1C506D"/>
    <w:multiLevelType w:val="hybridMultilevel"/>
    <w:tmpl w:val="49801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8563E4"/>
    <w:multiLevelType w:val="hybridMultilevel"/>
    <w:tmpl w:val="CCD249F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12C66A0F"/>
    <w:multiLevelType w:val="hybridMultilevel"/>
    <w:tmpl w:val="AD9237A8"/>
    <w:lvl w:ilvl="0" w:tplc="DA5473EC">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574843"/>
    <w:multiLevelType w:val="hybridMultilevel"/>
    <w:tmpl w:val="8FB6D7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974471"/>
    <w:multiLevelType w:val="hybridMultilevel"/>
    <w:tmpl w:val="D03874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CE7FB8"/>
    <w:multiLevelType w:val="hybridMultilevel"/>
    <w:tmpl w:val="07CED56E"/>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2" w15:restartNumberingAfterBreak="0">
    <w:nsid w:val="1A2C4EE1"/>
    <w:multiLevelType w:val="hybridMultilevel"/>
    <w:tmpl w:val="AD9237A8"/>
    <w:lvl w:ilvl="0" w:tplc="DA5473EC">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1A5744C8"/>
    <w:multiLevelType w:val="hybridMultilevel"/>
    <w:tmpl w:val="3C90F1E0"/>
    <w:lvl w:ilvl="0" w:tplc="57C6D4F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4"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123394"/>
    <w:multiLevelType w:val="hybridMultilevel"/>
    <w:tmpl w:val="771CEE82"/>
    <w:lvl w:ilvl="0" w:tplc="F2AC59C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284649D4"/>
    <w:multiLevelType w:val="hybridMultilevel"/>
    <w:tmpl w:val="F7AAD184"/>
    <w:lvl w:ilvl="0" w:tplc="E7B82AC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336575"/>
    <w:multiLevelType w:val="hybridMultilevel"/>
    <w:tmpl w:val="E7C8772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30AB5EB0"/>
    <w:multiLevelType w:val="hybridMultilevel"/>
    <w:tmpl w:val="85802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317490"/>
    <w:multiLevelType w:val="hybridMultilevel"/>
    <w:tmpl w:val="56546B4A"/>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552225"/>
    <w:multiLevelType w:val="hybridMultilevel"/>
    <w:tmpl w:val="A37C36B2"/>
    <w:lvl w:ilvl="0" w:tplc="815632A0">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36B0326F"/>
    <w:multiLevelType w:val="hybridMultilevel"/>
    <w:tmpl w:val="5D446D6C"/>
    <w:lvl w:ilvl="0" w:tplc="30660A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71D0F98"/>
    <w:multiLevelType w:val="hybridMultilevel"/>
    <w:tmpl w:val="1310ACAA"/>
    <w:lvl w:ilvl="0" w:tplc="31247E48">
      <w:start w:val="1"/>
      <w:numFmt w:val="bullet"/>
      <w:lvlText w:val="-"/>
      <w:lvlJc w:val="left"/>
      <w:pPr>
        <w:ind w:left="1080" w:hanging="360"/>
      </w:pPr>
      <w:rPr>
        <w:rFonts w:ascii="Palatino Linotype" w:eastAsia="Times New Roman" w:hAnsi="Palatino Linotype" w:cs="Times New Roman"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45935546"/>
    <w:multiLevelType w:val="hybridMultilevel"/>
    <w:tmpl w:val="8FB6D7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13788B"/>
    <w:multiLevelType w:val="hybridMultilevel"/>
    <w:tmpl w:val="53B6C522"/>
    <w:lvl w:ilvl="0" w:tplc="5D90D7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7F21CA"/>
    <w:multiLevelType w:val="hybridMultilevel"/>
    <w:tmpl w:val="43F45778"/>
    <w:lvl w:ilvl="0" w:tplc="0C9E7C8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F20BBA"/>
    <w:multiLevelType w:val="hybridMultilevel"/>
    <w:tmpl w:val="FB940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E361B4"/>
    <w:multiLevelType w:val="hybridMultilevel"/>
    <w:tmpl w:val="9550ADB0"/>
    <w:lvl w:ilvl="0" w:tplc="186683B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4D7B354C"/>
    <w:multiLevelType w:val="hybridMultilevel"/>
    <w:tmpl w:val="C79C65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805F19"/>
    <w:multiLevelType w:val="hybridMultilevel"/>
    <w:tmpl w:val="83CA57D0"/>
    <w:lvl w:ilvl="0" w:tplc="873CA6C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15:restartNumberingAfterBreak="0">
    <w:nsid w:val="56B113C2"/>
    <w:multiLevelType w:val="hybridMultilevel"/>
    <w:tmpl w:val="620E19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537B5E"/>
    <w:multiLevelType w:val="hybridMultilevel"/>
    <w:tmpl w:val="FAF89FC2"/>
    <w:lvl w:ilvl="0" w:tplc="0C1E22CA">
      <w:start w:val="1"/>
      <w:numFmt w:val="decimal"/>
      <w:lvlText w:val="%1."/>
      <w:lvlJc w:val="left"/>
      <w:pPr>
        <w:ind w:left="1211" w:hanging="360"/>
      </w:pPr>
      <w:rPr>
        <w:rFonts w:hint="default"/>
        <w:sz w:val="24"/>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5AC168A5"/>
    <w:multiLevelType w:val="hybridMultilevel"/>
    <w:tmpl w:val="93E89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935FD1"/>
    <w:multiLevelType w:val="hybridMultilevel"/>
    <w:tmpl w:val="E162ED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2769DB"/>
    <w:multiLevelType w:val="hybridMultilevel"/>
    <w:tmpl w:val="2A264FA4"/>
    <w:lvl w:ilvl="0" w:tplc="DFB23AB2">
      <w:start w:val="1"/>
      <w:numFmt w:val="upperRoman"/>
      <w:lvlText w:val="%1."/>
      <w:lvlJc w:val="left"/>
      <w:pPr>
        <w:ind w:left="1440" w:hanging="720"/>
      </w:pPr>
      <w:rPr>
        <w:rFonts w:ascii="Times New Roman" w:hAnsi="Times New Roman"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2CD0E35"/>
    <w:multiLevelType w:val="hybridMultilevel"/>
    <w:tmpl w:val="583671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96780B"/>
    <w:multiLevelType w:val="hybridMultilevel"/>
    <w:tmpl w:val="3B62A77C"/>
    <w:lvl w:ilvl="0" w:tplc="269A6166">
      <w:start w:val="1"/>
      <w:numFmt w:val="decimal"/>
      <w:lvlText w:val="%1."/>
      <w:lvlJc w:val="left"/>
      <w:pPr>
        <w:ind w:left="1637"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15:restartNumberingAfterBreak="0">
    <w:nsid w:val="69A95310"/>
    <w:multiLevelType w:val="hybridMultilevel"/>
    <w:tmpl w:val="50E011F0"/>
    <w:lvl w:ilvl="0" w:tplc="B3D0E4A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9" w15:restartNumberingAfterBreak="0">
    <w:nsid w:val="6A2C7533"/>
    <w:multiLevelType w:val="hybridMultilevel"/>
    <w:tmpl w:val="33E2D506"/>
    <w:lvl w:ilvl="0" w:tplc="2BA475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1" w15:restartNumberingAfterBreak="0">
    <w:nsid w:val="7B4D7910"/>
    <w:multiLevelType w:val="hybridMultilevel"/>
    <w:tmpl w:val="F0AE0A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C440192"/>
    <w:multiLevelType w:val="hybridMultilevel"/>
    <w:tmpl w:val="815E9984"/>
    <w:lvl w:ilvl="0" w:tplc="2854795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A308DE"/>
    <w:multiLevelType w:val="hybridMultilevel"/>
    <w:tmpl w:val="6A34E28A"/>
    <w:lvl w:ilvl="0" w:tplc="D9A4E9FC">
      <w:start w:val="1"/>
      <w:numFmt w:val="upperRoman"/>
      <w:lvlText w:val="%1."/>
      <w:lvlJc w:val="left"/>
      <w:pPr>
        <w:ind w:left="720" w:hanging="360"/>
      </w:pPr>
      <w:rPr>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8"/>
  </w:num>
  <w:num w:numId="2">
    <w:abstractNumId w:val="40"/>
  </w:num>
  <w:num w:numId="3">
    <w:abstractNumId w:val="2"/>
  </w:num>
  <w:num w:numId="4">
    <w:abstractNumId w:val="14"/>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1"/>
  </w:num>
  <w:num w:numId="8">
    <w:abstractNumId w:val="1"/>
  </w:num>
  <w:num w:numId="9">
    <w:abstractNumId w:val="29"/>
  </w:num>
  <w:num w:numId="10">
    <w:abstractNumId w:val="4"/>
  </w:num>
  <w:num w:numId="11">
    <w:abstractNumId w:val="39"/>
  </w:num>
  <w:num w:numId="12">
    <w:abstractNumId w:val="34"/>
  </w:num>
  <w:num w:numId="13">
    <w:abstractNumId w:val="24"/>
  </w:num>
  <w:num w:numId="14">
    <w:abstractNumId w:val="38"/>
  </w:num>
  <w:num w:numId="15">
    <w:abstractNumId w:val="30"/>
  </w:num>
  <w:num w:numId="16">
    <w:abstractNumId w:val="9"/>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6"/>
  </w:num>
  <w:num w:numId="20">
    <w:abstractNumId w:val="20"/>
  </w:num>
  <w:num w:numId="21">
    <w:abstractNumId w:val="37"/>
  </w:num>
  <w:num w:numId="22">
    <w:abstractNumId w:val="26"/>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17"/>
  </w:num>
  <w:num w:numId="26">
    <w:abstractNumId w:val="32"/>
  </w:num>
  <w:num w:numId="27">
    <w:abstractNumId w:val="12"/>
  </w:num>
  <w:num w:numId="28">
    <w:abstractNumId w:val="31"/>
  </w:num>
  <w:num w:numId="29">
    <w:abstractNumId w:val="27"/>
  </w:num>
  <w:num w:numId="30">
    <w:abstractNumId w:val="22"/>
  </w:num>
  <w:num w:numId="31">
    <w:abstractNumId w:val="42"/>
  </w:num>
  <w:num w:numId="32">
    <w:abstractNumId w:val="23"/>
  </w:num>
  <w:num w:numId="33">
    <w:abstractNumId w:val="18"/>
  </w:num>
  <w:num w:numId="34">
    <w:abstractNumId w:val="16"/>
  </w:num>
  <w:num w:numId="35">
    <w:abstractNumId w:val="13"/>
  </w:num>
  <w:num w:numId="36">
    <w:abstractNumId w:val="25"/>
  </w:num>
  <w:num w:numId="37">
    <w:abstractNumId w:val="19"/>
  </w:num>
  <w:num w:numId="38">
    <w:abstractNumId w:val="10"/>
  </w:num>
  <w:num w:numId="39">
    <w:abstractNumId w:val="35"/>
  </w:num>
  <w:num w:numId="40">
    <w:abstractNumId w:val="28"/>
  </w:num>
  <w:num w:numId="41">
    <w:abstractNumId w:val="5"/>
  </w:num>
  <w:num w:numId="42">
    <w:abstractNumId w:val="15"/>
  </w:num>
  <w:num w:numId="43">
    <w:abstractNumId w:val="21"/>
  </w:num>
  <w:num w:numId="44">
    <w:abstractNumId w:val="0"/>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D02"/>
    <w:rsid w:val="00004D7E"/>
    <w:rsid w:val="00026409"/>
    <w:rsid w:val="00026F95"/>
    <w:rsid w:val="000306A7"/>
    <w:rsid w:val="0003104E"/>
    <w:rsid w:val="000333E7"/>
    <w:rsid w:val="0003481D"/>
    <w:rsid w:val="00044C46"/>
    <w:rsid w:val="00045379"/>
    <w:rsid w:val="0005097A"/>
    <w:rsid w:val="00050ED4"/>
    <w:rsid w:val="00051E73"/>
    <w:rsid w:val="00052603"/>
    <w:rsid w:val="00052EFE"/>
    <w:rsid w:val="00055224"/>
    <w:rsid w:val="00057F44"/>
    <w:rsid w:val="0006149A"/>
    <w:rsid w:val="00061821"/>
    <w:rsid w:val="000623F9"/>
    <w:rsid w:val="00063A10"/>
    <w:rsid w:val="000662F8"/>
    <w:rsid w:val="00066558"/>
    <w:rsid w:val="0007219B"/>
    <w:rsid w:val="00073E78"/>
    <w:rsid w:val="000777DE"/>
    <w:rsid w:val="00083389"/>
    <w:rsid w:val="00084766"/>
    <w:rsid w:val="00091552"/>
    <w:rsid w:val="00091C3A"/>
    <w:rsid w:val="00092A82"/>
    <w:rsid w:val="00094503"/>
    <w:rsid w:val="000A0F61"/>
    <w:rsid w:val="000A3277"/>
    <w:rsid w:val="000A3486"/>
    <w:rsid w:val="000A6CE3"/>
    <w:rsid w:val="000A79DA"/>
    <w:rsid w:val="000B3398"/>
    <w:rsid w:val="000B3C48"/>
    <w:rsid w:val="000B4B51"/>
    <w:rsid w:val="000B607C"/>
    <w:rsid w:val="000B7158"/>
    <w:rsid w:val="000C0E5E"/>
    <w:rsid w:val="000C1173"/>
    <w:rsid w:val="000C5B8B"/>
    <w:rsid w:val="000D1B55"/>
    <w:rsid w:val="000D3C75"/>
    <w:rsid w:val="000D7A68"/>
    <w:rsid w:val="000E0F6E"/>
    <w:rsid w:val="000E293D"/>
    <w:rsid w:val="000E66FB"/>
    <w:rsid w:val="000E686B"/>
    <w:rsid w:val="000E6930"/>
    <w:rsid w:val="000F21D2"/>
    <w:rsid w:val="000F4C78"/>
    <w:rsid w:val="000F5665"/>
    <w:rsid w:val="0010039B"/>
    <w:rsid w:val="00100C88"/>
    <w:rsid w:val="0010171C"/>
    <w:rsid w:val="0010777E"/>
    <w:rsid w:val="00111DCD"/>
    <w:rsid w:val="00114CF9"/>
    <w:rsid w:val="001160AD"/>
    <w:rsid w:val="00120439"/>
    <w:rsid w:val="00122FA0"/>
    <w:rsid w:val="00124855"/>
    <w:rsid w:val="001254F5"/>
    <w:rsid w:val="00126BDE"/>
    <w:rsid w:val="0013223F"/>
    <w:rsid w:val="00133DB2"/>
    <w:rsid w:val="00136FAD"/>
    <w:rsid w:val="00143961"/>
    <w:rsid w:val="00146F0A"/>
    <w:rsid w:val="00152C2B"/>
    <w:rsid w:val="00153D2A"/>
    <w:rsid w:val="00162949"/>
    <w:rsid w:val="00164B8E"/>
    <w:rsid w:val="001656DA"/>
    <w:rsid w:val="0017256F"/>
    <w:rsid w:val="00175897"/>
    <w:rsid w:val="001762B8"/>
    <w:rsid w:val="001772D5"/>
    <w:rsid w:val="00177B1A"/>
    <w:rsid w:val="00180B9F"/>
    <w:rsid w:val="00181CC5"/>
    <w:rsid w:val="00183502"/>
    <w:rsid w:val="00183D64"/>
    <w:rsid w:val="00186207"/>
    <w:rsid w:val="0019299C"/>
    <w:rsid w:val="00193784"/>
    <w:rsid w:val="00194754"/>
    <w:rsid w:val="00195B32"/>
    <w:rsid w:val="00197931"/>
    <w:rsid w:val="00197CC6"/>
    <w:rsid w:val="001A02EC"/>
    <w:rsid w:val="001A577E"/>
    <w:rsid w:val="001A7C9B"/>
    <w:rsid w:val="001B05B9"/>
    <w:rsid w:val="001B5899"/>
    <w:rsid w:val="001B7B88"/>
    <w:rsid w:val="001B7D69"/>
    <w:rsid w:val="001C023D"/>
    <w:rsid w:val="001C7319"/>
    <w:rsid w:val="001C7D87"/>
    <w:rsid w:val="001D0115"/>
    <w:rsid w:val="001D0E5D"/>
    <w:rsid w:val="001D3E87"/>
    <w:rsid w:val="001D4A20"/>
    <w:rsid w:val="001E1B63"/>
    <w:rsid w:val="001E3547"/>
    <w:rsid w:val="001E51B0"/>
    <w:rsid w:val="001E64B6"/>
    <w:rsid w:val="001F11BE"/>
    <w:rsid w:val="001F36E8"/>
    <w:rsid w:val="001F3EF7"/>
    <w:rsid w:val="001F78A6"/>
    <w:rsid w:val="001F79E6"/>
    <w:rsid w:val="002033B9"/>
    <w:rsid w:val="00206E2B"/>
    <w:rsid w:val="002129D4"/>
    <w:rsid w:val="0021501E"/>
    <w:rsid w:val="002171D5"/>
    <w:rsid w:val="00217EDD"/>
    <w:rsid w:val="002205C0"/>
    <w:rsid w:val="00221B94"/>
    <w:rsid w:val="00221C42"/>
    <w:rsid w:val="00223ADA"/>
    <w:rsid w:val="0022539E"/>
    <w:rsid w:val="00230AF8"/>
    <w:rsid w:val="00232193"/>
    <w:rsid w:val="002329D6"/>
    <w:rsid w:val="0023373D"/>
    <w:rsid w:val="0023423C"/>
    <w:rsid w:val="00240C13"/>
    <w:rsid w:val="00242828"/>
    <w:rsid w:val="00244E09"/>
    <w:rsid w:val="002566D1"/>
    <w:rsid w:val="002567A3"/>
    <w:rsid w:val="002577FE"/>
    <w:rsid w:val="002578BB"/>
    <w:rsid w:val="002613DA"/>
    <w:rsid w:val="00263F0B"/>
    <w:rsid w:val="00270013"/>
    <w:rsid w:val="0027210D"/>
    <w:rsid w:val="00273D0E"/>
    <w:rsid w:val="00275D9E"/>
    <w:rsid w:val="00275F23"/>
    <w:rsid w:val="00277141"/>
    <w:rsid w:val="00282AF7"/>
    <w:rsid w:val="00284E32"/>
    <w:rsid w:val="002909B3"/>
    <w:rsid w:val="00292F9C"/>
    <w:rsid w:val="002A2034"/>
    <w:rsid w:val="002A24F4"/>
    <w:rsid w:val="002A38BF"/>
    <w:rsid w:val="002A597E"/>
    <w:rsid w:val="002B107F"/>
    <w:rsid w:val="002B42BF"/>
    <w:rsid w:val="002B5DBD"/>
    <w:rsid w:val="002B7ECB"/>
    <w:rsid w:val="002C3A04"/>
    <w:rsid w:val="002C3ADB"/>
    <w:rsid w:val="002C72D2"/>
    <w:rsid w:val="002D7DD5"/>
    <w:rsid w:val="002E1525"/>
    <w:rsid w:val="002E1EA9"/>
    <w:rsid w:val="002E2C2D"/>
    <w:rsid w:val="002E2D7B"/>
    <w:rsid w:val="002E5E6A"/>
    <w:rsid w:val="002F35BB"/>
    <w:rsid w:val="002F37BE"/>
    <w:rsid w:val="002F7BB1"/>
    <w:rsid w:val="00300D0B"/>
    <w:rsid w:val="00301359"/>
    <w:rsid w:val="003018AE"/>
    <w:rsid w:val="00301B66"/>
    <w:rsid w:val="00306096"/>
    <w:rsid w:val="00306BF9"/>
    <w:rsid w:val="0031645D"/>
    <w:rsid w:val="00316C4F"/>
    <w:rsid w:val="00317A5D"/>
    <w:rsid w:val="003205BB"/>
    <w:rsid w:val="00320A67"/>
    <w:rsid w:val="003272FB"/>
    <w:rsid w:val="003403EB"/>
    <w:rsid w:val="00340A5C"/>
    <w:rsid w:val="00346551"/>
    <w:rsid w:val="0035190F"/>
    <w:rsid w:val="00354050"/>
    <w:rsid w:val="00354EAB"/>
    <w:rsid w:val="00357E4F"/>
    <w:rsid w:val="0036127E"/>
    <w:rsid w:val="00361B9C"/>
    <w:rsid w:val="003632EB"/>
    <w:rsid w:val="00366962"/>
    <w:rsid w:val="003676E0"/>
    <w:rsid w:val="0037383E"/>
    <w:rsid w:val="00376CEC"/>
    <w:rsid w:val="00376F2A"/>
    <w:rsid w:val="00380758"/>
    <w:rsid w:val="00385B9D"/>
    <w:rsid w:val="00394A1E"/>
    <w:rsid w:val="003A61F9"/>
    <w:rsid w:val="003B1E88"/>
    <w:rsid w:val="003D2372"/>
    <w:rsid w:val="003E0F90"/>
    <w:rsid w:val="003E16E1"/>
    <w:rsid w:val="003F1C47"/>
    <w:rsid w:val="003F70DA"/>
    <w:rsid w:val="003F7EA4"/>
    <w:rsid w:val="004012CF"/>
    <w:rsid w:val="00402FF3"/>
    <w:rsid w:val="004030D8"/>
    <w:rsid w:val="004069EB"/>
    <w:rsid w:val="00411C70"/>
    <w:rsid w:val="00412FC2"/>
    <w:rsid w:val="004217A5"/>
    <w:rsid w:val="00423213"/>
    <w:rsid w:val="00423AF2"/>
    <w:rsid w:val="0042416D"/>
    <w:rsid w:val="00427137"/>
    <w:rsid w:val="0043137C"/>
    <w:rsid w:val="00433F89"/>
    <w:rsid w:val="0044068E"/>
    <w:rsid w:val="00442F64"/>
    <w:rsid w:val="00445661"/>
    <w:rsid w:val="00447B09"/>
    <w:rsid w:val="00450C48"/>
    <w:rsid w:val="004516EB"/>
    <w:rsid w:val="004529B6"/>
    <w:rsid w:val="00453DBD"/>
    <w:rsid w:val="00454A5F"/>
    <w:rsid w:val="00454CE6"/>
    <w:rsid w:val="00455F85"/>
    <w:rsid w:val="00455FB5"/>
    <w:rsid w:val="00462881"/>
    <w:rsid w:val="00475F48"/>
    <w:rsid w:val="00475FAD"/>
    <w:rsid w:val="00477CC2"/>
    <w:rsid w:val="0048180A"/>
    <w:rsid w:val="00481C7A"/>
    <w:rsid w:val="00485BCD"/>
    <w:rsid w:val="00486F96"/>
    <w:rsid w:val="004906C8"/>
    <w:rsid w:val="004909A7"/>
    <w:rsid w:val="004936C9"/>
    <w:rsid w:val="004967E2"/>
    <w:rsid w:val="004A0F1C"/>
    <w:rsid w:val="004A290F"/>
    <w:rsid w:val="004A4BBF"/>
    <w:rsid w:val="004A5FFD"/>
    <w:rsid w:val="004A7CE2"/>
    <w:rsid w:val="004B1AC0"/>
    <w:rsid w:val="004B65EF"/>
    <w:rsid w:val="004B6CE1"/>
    <w:rsid w:val="004C474E"/>
    <w:rsid w:val="004D08EB"/>
    <w:rsid w:val="004D2ADF"/>
    <w:rsid w:val="004D7F4F"/>
    <w:rsid w:val="004E2371"/>
    <w:rsid w:val="004E2C03"/>
    <w:rsid w:val="004E46C1"/>
    <w:rsid w:val="004E5291"/>
    <w:rsid w:val="004E553F"/>
    <w:rsid w:val="004E588C"/>
    <w:rsid w:val="004E6BE9"/>
    <w:rsid w:val="004F2621"/>
    <w:rsid w:val="004F2658"/>
    <w:rsid w:val="00501BB3"/>
    <w:rsid w:val="00501F6E"/>
    <w:rsid w:val="00502D2A"/>
    <w:rsid w:val="00503655"/>
    <w:rsid w:val="00515090"/>
    <w:rsid w:val="00520F84"/>
    <w:rsid w:val="00521E57"/>
    <w:rsid w:val="00523883"/>
    <w:rsid w:val="005305EA"/>
    <w:rsid w:val="00531229"/>
    <w:rsid w:val="00534684"/>
    <w:rsid w:val="005352A7"/>
    <w:rsid w:val="005371E7"/>
    <w:rsid w:val="00540538"/>
    <w:rsid w:val="00540E8D"/>
    <w:rsid w:val="00545B6E"/>
    <w:rsid w:val="00545E6B"/>
    <w:rsid w:val="00545FB2"/>
    <w:rsid w:val="005502E6"/>
    <w:rsid w:val="005520FE"/>
    <w:rsid w:val="00553343"/>
    <w:rsid w:val="00556513"/>
    <w:rsid w:val="00562469"/>
    <w:rsid w:val="00562653"/>
    <w:rsid w:val="005700C4"/>
    <w:rsid w:val="005720A7"/>
    <w:rsid w:val="005733EB"/>
    <w:rsid w:val="00573BD1"/>
    <w:rsid w:val="00573D05"/>
    <w:rsid w:val="00576F29"/>
    <w:rsid w:val="00580802"/>
    <w:rsid w:val="00581A22"/>
    <w:rsid w:val="00593E91"/>
    <w:rsid w:val="00594788"/>
    <w:rsid w:val="00597E0E"/>
    <w:rsid w:val="005A0B49"/>
    <w:rsid w:val="005A0FD7"/>
    <w:rsid w:val="005A6D57"/>
    <w:rsid w:val="005A6FF6"/>
    <w:rsid w:val="005A78A9"/>
    <w:rsid w:val="005A7A4B"/>
    <w:rsid w:val="005B0007"/>
    <w:rsid w:val="005B2CB0"/>
    <w:rsid w:val="005B3A2E"/>
    <w:rsid w:val="005B5B70"/>
    <w:rsid w:val="005B5F05"/>
    <w:rsid w:val="005C22C4"/>
    <w:rsid w:val="005C6982"/>
    <w:rsid w:val="005C71D1"/>
    <w:rsid w:val="005D2B59"/>
    <w:rsid w:val="005D362F"/>
    <w:rsid w:val="005D370F"/>
    <w:rsid w:val="005D49BF"/>
    <w:rsid w:val="005D53DB"/>
    <w:rsid w:val="005E0B00"/>
    <w:rsid w:val="005E4D7C"/>
    <w:rsid w:val="005F048E"/>
    <w:rsid w:val="005F06D2"/>
    <w:rsid w:val="005F2564"/>
    <w:rsid w:val="005F57F0"/>
    <w:rsid w:val="006047E8"/>
    <w:rsid w:val="0061042F"/>
    <w:rsid w:val="00612D10"/>
    <w:rsid w:val="006135C6"/>
    <w:rsid w:val="006168E4"/>
    <w:rsid w:val="006243C9"/>
    <w:rsid w:val="00630ADF"/>
    <w:rsid w:val="00635637"/>
    <w:rsid w:val="00637512"/>
    <w:rsid w:val="00640EE4"/>
    <w:rsid w:val="0064503A"/>
    <w:rsid w:val="006461FB"/>
    <w:rsid w:val="00646537"/>
    <w:rsid w:val="006466F5"/>
    <w:rsid w:val="00647203"/>
    <w:rsid w:val="006564BE"/>
    <w:rsid w:val="00661753"/>
    <w:rsid w:val="006621B4"/>
    <w:rsid w:val="006657D8"/>
    <w:rsid w:val="00666457"/>
    <w:rsid w:val="00673416"/>
    <w:rsid w:val="0067494A"/>
    <w:rsid w:val="00675037"/>
    <w:rsid w:val="006848B7"/>
    <w:rsid w:val="00687AD4"/>
    <w:rsid w:val="00691A6D"/>
    <w:rsid w:val="006929B5"/>
    <w:rsid w:val="006963EA"/>
    <w:rsid w:val="006971CF"/>
    <w:rsid w:val="006B1953"/>
    <w:rsid w:val="006B1BF1"/>
    <w:rsid w:val="006B26E3"/>
    <w:rsid w:val="006B35E6"/>
    <w:rsid w:val="006B3BDB"/>
    <w:rsid w:val="006B73CF"/>
    <w:rsid w:val="006B7444"/>
    <w:rsid w:val="006C5EF9"/>
    <w:rsid w:val="006D23FC"/>
    <w:rsid w:val="006E1587"/>
    <w:rsid w:val="006E3EFE"/>
    <w:rsid w:val="006E53D8"/>
    <w:rsid w:val="006F1C07"/>
    <w:rsid w:val="00701033"/>
    <w:rsid w:val="00711450"/>
    <w:rsid w:val="00712F41"/>
    <w:rsid w:val="00714EC6"/>
    <w:rsid w:val="00715E04"/>
    <w:rsid w:val="00717F0E"/>
    <w:rsid w:val="007246AF"/>
    <w:rsid w:val="00732F12"/>
    <w:rsid w:val="007330E7"/>
    <w:rsid w:val="00744EEF"/>
    <w:rsid w:val="00754CAE"/>
    <w:rsid w:val="00756C03"/>
    <w:rsid w:val="00771B2B"/>
    <w:rsid w:val="00772AA0"/>
    <w:rsid w:val="00772D0D"/>
    <w:rsid w:val="007771BF"/>
    <w:rsid w:val="00784499"/>
    <w:rsid w:val="007851D5"/>
    <w:rsid w:val="00786EE0"/>
    <w:rsid w:val="00787721"/>
    <w:rsid w:val="0079486A"/>
    <w:rsid w:val="00794F80"/>
    <w:rsid w:val="007A0426"/>
    <w:rsid w:val="007A125E"/>
    <w:rsid w:val="007A1C9E"/>
    <w:rsid w:val="007A69D4"/>
    <w:rsid w:val="007A74A7"/>
    <w:rsid w:val="007B17CC"/>
    <w:rsid w:val="007B2C77"/>
    <w:rsid w:val="007B7AF6"/>
    <w:rsid w:val="007B7F12"/>
    <w:rsid w:val="007C3BDD"/>
    <w:rsid w:val="007D1A27"/>
    <w:rsid w:val="007D1B24"/>
    <w:rsid w:val="007D1F15"/>
    <w:rsid w:val="007D25B1"/>
    <w:rsid w:val="007D2878"/>
    <w:rsid w:val="007E3ADA"/>
    <w:rsid w:val="007E621C"/>
    <w:rsid w:val="007E69F0"/>
    <w:rsid w:val="007E7702"/>
    <w:rsid w:val="007E7BAB"/>
    <w:rsid w:val="007E7C35"/>
    <w:rsid w:val="007E7DCE"/>
    <w:rsid w:val="007F1CD5"/>
    <w:rsid w:val="007F20AC"/>
    <w:rsid w:val="007F4966"/>
    <w:rsid w:val="007F79B5"/>
    <w:rsid w:val="00802C56"/>
    <w:rsid w:val="00802E70"/>
    <w:rsid w:val="00803A47"/>
    <w:rsid w:val="00811205"/>
    <w:rsid w:val="00812C48"/>
    <w:rsid w:val="0081375E"/>
    <w:rsid w:val="008146F9"/>
    <w:rsid w:val="00814A24"/>
    <w:rsid w:val="0081643F"/>
    <w:rsid w:val="008204A0"/>
    <w:rsid w:val="00821A2E"/>
    <w:rsid w:val="00821A8E"/>
    <w:rsid w:val="00824DCD"/>
    <w:rsid w:val="00841EFA"/>
    <w:rsid w:val="00844569"/>
    <w:rsid w:val="00844E05"/>
    <w:rsid w:val="00845E2E"/>
    <w:rsid w:val="00847D23"/>
    <w:rsid w:val="00851B90"/>
    <w:rsid w:val="00863327"/>
    <w:rsid w:val="00870F44"/>
    <w:rsid w:val="00881411"/>
    <w:rsid w:val="00884054"/>
    <w:rsid w:val="00884487"/>
    <w:rsid w:val="008848F0"/>
    <w:rsid w:val="00884DF9"/>
    <w:rsid w:val="00893FBD"/>
    <w:rsid w:val="00895089"/>
    <w:rsid w:val="008951ED"/>
    <w:rsid w:val="00897D3F"/>
    <w:rsid w:val="008A2559"/>
    <w:rsid w:val="008A75BE"/>
    <w:rsid w:val="008B12FD"/>
    <w:rsid w:val="008B20A2"/>
    <w:rsid w:val="008B4884"/>
    <w:rsid w:val="008B5B0E"/>
    <w:rsid w:val="008C31EF"/>
    <w:rsid w:val="008C32A8"/>
    <w:rsid w:val="008C55A3"/>
    <w:rsid w:val="008C5C82"/>
    <w:rsid w:val="008C5DD7"/>
    <w:rsid w:val="008C6C7B"/>
    <w:rsid w:val="008D646A"/>
    <w:rsid w:val="008D76E7"/>
    <w:rsid w:val="008E0D38"/>
    <w:rsid w:val="008E4688"/>
    <w:rsid w:val="008E6375"/>
    <w:rsid w:val="008F10E9"/>
    <w:rsid w:val="008F4C65"/>
    <w:rsid w:val="00900BE9"/>
    <w:rsid w:val="00905422"/>
    <w:rsid w:val="00906B51"/>
    <w:rsid w:val="00910B1D"/>
    <w:rsid w:val="00913133"/>
    <w:rsid w:val="009173EE"/>
    <w:rsid w:val="0091786D"/>
    <w:rsid w:val="00921DB9"/>
    <w:rsid w:val="0092403D"/>
    <w:rsid w:val="009352A6"/>
    <w:rsid w:val="00935765"/>
    <w:rsid w:val="009402DB"/>
    <w:rsid w:val="0094106A"/>
    <w:rsid w:val="0094329D"/>
    <w:rsid w:val="009449B8"/>
    <w:rsid w:val="00944DC9"/>
    <w:rsid w:val="00960D7E"/>
    <w:rsid w:val="009611E0"/>
    <w:rsid w:val="00965FEE"/>
    <w:rsid w:val="0096643B"/>
    <w:rsid w:val="00967E80"/>
    <w:rsid w:val="009706B5"/>
    <w:rsid w:val="009712B7"/>
    <w:rsid w:val="00972BDF"/>
    <w:rsid w:val="00976B2B"/>
    <w:rsid w:val="00977A9E"/>
    <w:rsid w:val="0098182D"/>
    <w:rsid w:val="00986DEA"/>
    <w:rsid w:val="00992C1F"/>
    <w:rsid w:val="009A686F"/>
    <w:rsid w:val="009A7AC2"/>
    <w:rsid w:val="009B1A4D"/>
    <w:rsid w:val="009B33A8"/>
    <w:rsid w:val="009B3487"/>
    <w:rsid w:val="009B7C61"/>
    <w:rsid w:val="009C1A6C"/>
    <w:rsid w:val="009C1B57"/>
    <w:rsid w:val="009C3793"/>
    <w:rsid w:val="009C58F6"/>
    <w:rsid w:val="009C70CB"/>
    <w:rsid w:val="009C730D"/>
    <w:rsid w:val="009D5FD2"/>
    <w:rsid w:val="009E1411"/>
    <w:rsid w:val="009E2FF0"/>
    <w:rsid w:val="009E4FA6"/>
    <w:rsid w:val="009E52F2"/>
    <w:rsid w:val="009F0B76"/>
    <w:rsid w:val="009F26A6"/>
    <w:rsid w:val="009F3C1F"/>
    <w:rsid w:val="009F614E"/>
    <w:rsid w:val="009F762B"/>
    <w:rsid w:val="00A01785"/>
    <w:rsid w:val="00A02047"/>
    <w:rsid w:val="00A036BE"/>
    <w:rsid w:val="00A0458A"/>
    <w:rsid w:val="00A07741"/>
    <w:rsid w:val="00A12205"/>
    <w:rsid w:val="00A145A2"/>
    <w:rsid w:val="00A227BA"/>
    <w:rsid w:val="00A25565"/>
    <w:rsid w:val="00A3121D"/>
    <w:rsid w:val="00A314DF"/>
    <w:rsid w:val="00A33D49"/>
    <w:rsid w:val="00A33D8F"/>
    <w:rsid w:val="00A36C88"/>
    <w:rsid w:val="00A453DC"/>
    <w:rsid w:val="00A5050D"/>
    <w:rsid w:val="00A53D41"/>
    <w:rsid w:val="00A56ED7"/>
    <w:rsid w:val="00A625E2"/>
    <w:rsid w:val="00A72465"/>
    <w:rsid w:val="00A80C92"/>
    <w:rsid w:val="00A82461"/>
    <w:rsid w:val="00A851D8"/>
    <w:rsid w:val="00A953BA"/>
    <w:rsid w:val="00A96741"/>
    <w:rsid w:val="00A96D55"/>
    <w:rsid w:val="00A97A6C"/>
    <w:rsid w:val="00AA040F"/>
    <w:rsid w:val="00AA1E95"/>
    <w:rsid w:val="00AA309A"/>
    <w:rsid w:val="00AA5D62"/>
    <w:rsid w:val="00AB3710"/>
    <w:rsid w:val="00AB4B0F"/>
    <w:rsid w:val="00AB6C3B"/>
    <w:rsid w:val="00AB719E"/>
    <w:rsid w:val="00AC4E0F"/>
    <w:rsid w:val="00AD118D"/>
    <w:rsid w:val="00AD3992"/>
    <w:rsid w:val="00AD5BE6"/>
    <w:rsid w:val="00AE008F"/>
    <w:rsid w:val="00AE52E0"/>
    <w:rsid w:val="00AE68BB"/>
    <w:rsid w:val="00AF2EE3"/>
    <w:rsid w:val="00AF4B92"/>
    <w:rsid w:val="00AF4D75"/>
    <w:rsid w:val="00B00668"/>
    <w:rsid w:val="00B00F3E"/>
    <w:rsid w:val="00B10BC5"/>
    <w:rsid w:val="00B11E08"/>
    <w:rsid w:val="00B272CD"/>
    <w:rsid w:val="00B32CD3"/>
    <w:rsid w:val="00B33E7B"/>
    <w:rsid w:val="00B35A93"/>
    <w:rsid w:val="00B3672D"/>
    <w:rsid w:val="00B3730C"/>
    <w:rsid w:val="00B42A77"/>
    <w:rsid w:val="00B45A37"/>
    <w:rsid w:val="00B4745C"/>
    <w:rsid w:val="00B502C5"/>
    <w:rsid w:val="00B53BB9"/>
    <w:rsid w:val="00B608A5"/>
    <w:rsid w:val="00B711A5"/>
    <w:rsid w:val="00B729C9"/>
    <w:rsid w:val="00B815E2"/>
    <w:rsid w:val="00B82CB9"/>
    <w:rsid w:val="00B90770"/>
    <w:rsid w:val="00B9223B"/>
    <w:rsid w:val="00BA4D1F"/>
    <w:rsid w:val="00BA5C2A"/>
    <w:rsid w:val="00BA7AD1"/>
    <w:rsid w:val="00BB2250"/>
    <w:rsid w:val="00BC0FDD"/>
    <w:rsid w:val="00BC22E0"/>
    <w:rsid w:val="00BC4985"/>
    <w:rsid w:val="00BC7AD6"/>
    <w:rsid w:val="00BD05B3"/>
    <w:rsid w:val="00BD4B2F"/>
    <w:rsid w:val="00BE1C47"/>
    <w:rsid w:val="00BE28ED"/>
    <w:rsid w:val="00BE6A62"/>
    <w:rsid w:val="00BF1770"/>
    <w:rsid w:val="00BF1825"/>
    <w:rsid w:val="00BF5ED9"/>
    <w:rsid w:val="00BF69EF"/>
    <w:rsid w:val="00BF7C52"/>
    <w:rsid w:val="00C0362C"/>
    <w:rsid w:val="00C17931"/>
    <w:rsid w:val="00C23A93"/>
    <w:rsid w:val="00C25012"/>
    <w:rsid w:val="00C25084"/>
    <w:rsid w:val="00C25ED8"/>
    <w:rsid w:val="00C324B7"/>
    <w:rsid w:val="00C33039"/>
    <w:rsid w:val="00C3338D"/>
    <w:rsid w:val="00C37C98"/>
    <w:rsid w:val="00C42A93"/>
    <w:rsid w:val="00C47311"/>
    <w:rsid w:val="00C542D9"/>
    <w:rsid w:val="00C61653"/>
    <w:rsid w:val="00C714E9"/>
    <w:rsid w:val="00C71CD1"/>
    <w:rsid w:val="00C73143"/>
    <w:rsid w:val="00C73208"/>
    <w:rsid w:val="00C77685"/>
    <w:rsid w:val="00C77815"/>
    <w:rsid w:val="00C80429"/>
    <w:rsid w:val="00C82496"/>
    <w:rsid w:val="00C82845"/>
    <w:rsid w:val="00C85378"/>
    <w:rsid w:val="00C87B66"/>
    <w:rsid w:val="00C908C8"/>
    <w:rsid w:val="00C9297C"/>
    <w:rsid w:val="00C959F0"/>
    <w:rsid w:val="00C96CC0"/>
    <w:rsid w:val="00CA3EDE"/>
    <w:rsid w:val="00CA52B7"/>
    <w:rsid w:val="00CA5828"/>
    <w:rsid w:val="00CA6FDA"/>
    <w:rsid w:val="00CB3B6F"/>
    <w:rsid w:val="00CB3EB7"/>
    <w:rsid w:val="00CC0C5F"/>
    <w:rsid w:val="00CC1058"/>
    <w:rsid w:val="00CC24C8"/>
    <w:rsid w:val="00CC2F3D"/>
    <w:rsid w:val="00CC3960"/>
    <w:rsid w:val="00CC5FF3"/>
    <w:rsid w:val="00CD01A8"/>
    <w:rsid w:val="00CD2B73"/>
    <w:rsid w:val="00CD76ED"/>
    <w:rsid w:val="00CE2095"/>
    <w:rsid w:val="00CE2ADF"/>
    <w:rsid w:val="00CE6437"/>
    <w:rsid w:val="00CF1D7D"/>
    <w:rsid w:val="00CF2171"/>
    <w:rsid w:val="00CF37DB"/>
    <w:rsid w:val="00CF45D3"/>
    <w:rsid w:val="00CF6949"/>
    <w:rsid w:val="00CF6B6C"/>
    <w:rsid w:val="00D00348"/>
    <w:rsid w:val="00D03414"/>
    <w:rsid w:val="00D03435"/>
    <w:rsid w:val="00D037AE"/>
    <w:rsid w:val="00D04179"/>
    <w:rsid w:val="00D042BB"/>
    <w:rsid w:val="00D064BB"/>
    <w:rsid w:val="00D06CA0"/>
    <w:rsid w:val="00D125B2"/>
    <w:rsid w:val="00D17789"/>
    <w:rsid w:val="00D21565"/>
    <w:rsid w:val="00D2331C"/>
    <w:rsid w:val="00D2737E"/>
    <w:rsid w:val="00D274A9"/>
    <w:rsid w:val="00D30F25"/>
    <w:rsid w:val="00D32644"/>
    <w:rsid w:val="00D33619"/>
    <w:rsid w:val="00D34F59"/>
    <w:rsid w:val="00D35CFF"/>
    <w:rsid w:val="00D36D4B"/>
    <w:rsid w:val="00D52AC7"/>
    <w:rsid w:val="00D54CA9"/>
    <w:rsid w:val="00D61F2E"/>
    <w:rsid w:val="00D6340F"/>
    <w:rsid w:val="00D6672F"/>
    <w:rsid w:val="00D72732"/>
    <w:rsid w:val="00D72D16"/>
    <w:rsid w:val="00D7720C"/>
    <w:rsid w:val="00D8195B"/>
    <w:rsid w:val="00D82BC6"/>
    <w:rsid w:val="00D8445C"/>
    <w:rsid w:val="00D8543F"/>
    <w:rsid w:val="00D8619F"/>
    <w:rsid w:val="00D86764"/>
    <w:rsid w:val="00D9679E"/>
    <w:rsid w:val="00DA22F1"/>
    <w:rsid w:val="00DA25BE"/>
    <w:rsid w:val="00DA59A4"/>
    <w:rsid w:val="00DB042B"/>
    <w:rsid w:val="00DB3348"/>
    <w:rsid w:val="00DB55A0"/>
    <w:rsid w:val="00DB5C0A"/>
    <w:rsid w:val="00DB71B7"/>
    <w:rsid w:val="00DC136A"/>
    <w:rsid w:val="00DC339E"/>
    <w:rsid w:val="00DD13E2"/>
    <w:rsid w:val="00DD7922"/>
    <w:rsid w:val="00DE05F2"/>
    <w:rsid w:val="00DE60B5"/>
    <w:rsid w:val="00DF003C"/>
    <w:rsid w:val="00DF4501"/>
    <w:rsid w:val="00DF5E41"/>
    <w:rsid w:val="00DF78AE"/>
    <w:rsid w:val="00E01452"/>
    <w:rsid w:val="00E0160F"/>
    <w:rsid w:val="00E01641"/>
    <w:rsid w:val="00E03A2B"/>
    <w:rsid w:val="00E11E2E"/>
    <w:rsid w:val="00E11F05"/>
    <w:rsid w:val="00E16F39"/>
    <w:rsid w:val="00E17BB3"/>
    <w:rsid w:val="00E2491F"/>
    <w:rsid w:val="00E25139"/>
    <w:rsid w:val="00E27FF7"/>
    <w:rsid w:val="00E3296E"/>
    <w:rsid w:val="00E371EC"/>
    <w:rsid w:val="00E378B8"/>
    <w:rsid w:val="00E40578"/>
    <w:rsid w:val="00E41219"/>
    <w:rsid w:val="00E45ED5"/>
    <w:rsid w:val="00E46378"/>
    <w:rsid w:val="00E521C4"/>
    <w:rsid w:val="00E70E35"/>
    <w:rsid w:val="00E72AE3"/>
    <w:rsid w:val="00E73B51"/>
    <w:rsid w:val="00E740A3"/>
    <w:rsid w:val="00E74E62"/>
    <w:rsid w:val="00E753C9"/>
    <w:rsid w:val="00E87B82"/>
    <w:rsid w:val="00E97287"/>
    <w:rsid w:val="00E97390"/>
    <w:rsid w:val="00EA0873"/>
    <w:rsid w:val="00EA1F89"/>
    <w:rsid w:val="00EA64CB"/>
    <w:rsid w:val="00EA7B24"/>
    <w:rsid w:val="00EB117B"/>
    <w:rsid w:val="00EB40D6"/>
    <w:rsid w:val="00EB5F75"/>
    <w:rsid w:val="00EB6056"/>
    <w:rsid w:val="00EB6371"/>
    <w:rsid w:val="00EB79CD"/>
    <w:rsid w:val="00EC765F"/>
    <w:rsid w:val="00ED7967"/>
    <w:rsid w:val="00EE083A"/>
    <w:rsid w:val="00EE0F2E"/>
    <w:rsid w:val="00EE2A41"/>
    <w:rsid w:val="00EE3F48"/>
    <w:rsid w:val="00EE50AB"/>
    <w:rsid w:val="00EE6DF4"/>
    <w:rsid w:val="00EF09FB"/>
    <w:rsid w:val="00EF31DF"/>
    <w:rsid w:val="00EF6161"/>
    <w:rsid w:val="00F02923"/>
    <w:rsid w:val="00F0351B"/>
    <w:rsid w:val="00F06472"/>
    <w:rsid w:val="00F06C8C"/>
    <w:rsid w:val="00F06CBC"/>
    <w:rsid w:val="00F111CD"/>
    <w:rsid w:val="00F155CC"/>
    <w:rsid w:val="00F2036C"/>
    <w:rsid w:val="00F22566"/>
    <w:rsid w:val="00F22963"/>
    <w:rsid w:val="00F2481B"/>
    <w:rsid w:val="00F30608"/>
    <w:rsid w:val="00F3168A"/>
    <w:rsid w:val="00F31807"/>
    <w:rsid w:val="00F32876"/>
    <w:rsid w:val="00F36644"/>
    <w:rsid w:val="00F366BB"/>
    <w:rsid w:val="00F36B32"/>
    <w:rsid w:val="00F37A37"/>
    <w:rsid w:val="00F403EA"/>
    <w:rsid w:val="00F42753"/>
    <w:rsid w:val="00F42F92"/>
    <w:rsid w:val="00F510DB"/>
    <w:rsid w:val="00F520B4"/>
    <w:rsid w:val="00F570B9"/>
    <w:rsid w:val="00F6088A"/>
    <w:rsid w:val="00F642C2"/>
    <w:rsid w:val="00F7109B"/>
    <w:rsid w:val="00F727B0"/>
    <w:rsid w:val="00F72A16"/>
    <w:rsid w:val="00F75A7F"/>
    <w:rsid w:val="00F75B49"/>
    <w:rsid w:val="00F822F7"/>
    <w:rsid w:val="00F82CFF"/>
    <w:rsid w:val="00F86B92"/>
    <w:rsid w:val="00FA21CE"/>
    <w:rsid w:val="00FA2545"/>
    <w:rsid w:val="00FB4AAD"/>
    <w:rsid w:val="00FB4E3D"/>
    <w:rsid w:val="00FB5F2A"/>
    <w:rsid w:val="00FC07A5"/>
    <w:rsid w:val="00FC3A22"/>
    <w:rsid w:val="00FC4F9B"/>
    <w:rsid w:val="00FC59F0"/>
    <w:rsid w:val="00FD4599"/>
    <w:rsid w:val="00FD4784"/>
    <w:rsid w:val="00FD4F4B"/>
    <w:rsid w:val="00FD65FE"/>
    <w:rsid w:val="00FE0130"/>
    <w:rsid w:val="00FE45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644"/>
  </w:style>
  <w:style w:type="paragraph" w:styleId="Ttulo3">
    <w:name w:val="heading 3"/>
    <w:basedOn w:val="Normal"/>
    <w:link w:val="Ttulo3Car"/>
    <w:uiPriority w:val="9"/>
    <w:semiHidden/>
    <w:unhideWhenUsed/>
    <w:qFormat/>
    <w:rsid w:val="00B42A7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Ttulo3Car">
    <w:name w:val="Título 3 Car"/>
    <w:basedOn w:val="Fuentedeprrafopredeter"/>
    <w:link w:val="Ttulo3"/>
    <w:uiPriority w:val="9"/>
    <w:semiHidden/>
    <w:rsid w:val="00B42A77"/>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B42A7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rsid w:val="00DA59A4"/>
    <w:pPr>
      <w:spacing w:after="101" w:line="216" w:lineRule="exact"/>
      <w:ind w:firstLine="288"/>
      <w:jc w:val="both"/>
    </w:pPr>
    <w:rPr>
      <w:rFonts w:ascii="Arial" w:eastAsia="Times New Roman" w:hAnsi="Arial" w:cs="Arial"/>
      <w:sz w:val="18"/>
      <w:szCs w:val="18"/>
      <w:lang w:eastAsia="es-ES"/>
    </w:rPr>
  </w:style>
  <w:style w:type="character" w:customStyle="1" w:styleId="red">
    <w:name w:val="red"/>
    <w:basedOn w:val="Fuentedeprrafopredeter"/>
    <w:rsid w:val="004A0F1C"/>
  </w:style>
  <w:style w:type="paragraph" w:customStyle="1" w:styleId="francesa">
    <w:name w:val="francesa"/>
    <w:basedOn w:val="Normal"/>
    <w:rsid w:val="004A0F1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897D3F"/>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4983">
      <w:bodyDiv w:val="1"/>
      <w:marLeft w:val="0"/>
      <w:marRight w:val="0"/>
      <w:marTop w:val="0"/>
      <w:marBottom w:val="0"/>
      <w:divBdr>
        <w:top w:val="none" w:sz="0" w:space="0" w:color="auto"/>
        <w:left w:val="none" w:sz="0" w:space="0" w:color="auto"/>
        <w:bottom w:val="none" w:sz="0" w:space="0" w:color="auto"/>
        <w:right w:val="none" w:sz="0" w:space="0" w:color="auto"/>
      </w:divBdr>
    </w:div>
    <w:div w:id="38239367">
      <w:bodyDiv w:val="1"/>
      <w:marLeft w:val="0"/>
      <w:marRight w:val="0"/>
      <w:marTop w:val="0"/>
      <w:marBottom w:val="0"/>
      <w:divBdr>
        <w:top w:val="none" w:sz="0" w:space="0" w:color="auto"/>
        <w:left w:val="none" w:sz="0" w:space="0" w:color="auto"/>
        <w:bottom w:val="none" w:sz="0" w:space="0" w:color="auto"/>
        <w:right w:val="none" w:sz="0" w:space="0" w:color="auto"/>
      </w:divBdr>
    </w:div>
    <w:div w:id="48311044">
      <w:bodyDiv w:val="1"/>
      <w:marLeft w:val="0"/>
      <w:marRight w:val="0"/>
      <w:marTop w:val="0"/>
      <w:marBottom w:val="0"/>
      <w:divBdr>
        <w:top w:val="none" w:sz="0" w:space="0" w:color="auto"/>
        <w:left w:val="none" w:sz="0" w:space="0" w:color="auto"/>
        <w:bottom w:val="none" w:sz="0" w:space="0" w:color="auto"/>
        <w:right w:val="none" w:sz="0" w:space="0" w:color="auto"/>
      </w:divBdr>
    </w:div>
    <w:div w:id="157111648">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89219997">
      <w:bodyDiv w:val="1"/>
      <w:marLeft w:val="0"/>
      <w:marRight w:val="0"/>
      <w:marTop w:val="0"/>
      <w:marBottom w:val="0"/>
      <w:divBdr>
        <w:top w:val="none" w:sz="0" w:space="0" w:color="auto"/>
        <w:left w:val="none" w:sz="0" w:space="0" w:color="auto"/>
        <w:bottom w:val="none" w:sz="0" w:space="0" w:color="auto"/>
        <w:right w:val="none" w:sz="0" w:space="0" w:color="auto"/>
      </w:divBdr>
    </w:div>
    <w:div w:id="196549555">
      <w:bodyDiv w:val="1"/>
      <w:marLeft w:val="0"/>
      <w:marRight w:val="0"/>
      <w:marTop w:val="0"/>
      <w:marBottom w:val="0"/>
      <w:divBdr>
        <w:top w:val="none" w:sz="0" w:space="0" w:color="auto"/>
        <w:left w:val="none" w:sz="0" w:space="0" w:color="auto"/>
        <w:bottom w:val="none" w:sz="0" w:space="0" w:color="auto"/>
        <w:right w:val="none" w:sz="0" w:space="0" w:color="auto"/>
      </w:divBdr>
    </w:div>
    <w:div w:id="203913017">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51158925">
      <w:bodyDiv w:val="1"/>
      <w:marLeft w:val="0"/>
      <w:marRight w:val="0"/>
      <w:marTop w:val="0"/>
      <w:marBottom w:val="0"/>
      <w:divBdr>
        <w:top w:val="none" w:sz="0" w:space="0" w:color="auto"/>
        <w:left w:val="none" w:sz="0" w:space="0" w:color="auto"/>
        <w:bottom w:val="none" w:sz="0" w:space="0" w:color="auto"/>
        <w:right w:val="none" w:sz="0" w:space="0" w:color="auto"/>
      </w:divBdr>
    </w:div>
    <w:div w:id="289215685">
      <w:bodyDiv w:val="1"/>
      <w:marLeft w:val="0"/>
      <w:marRight w:val="0"/>
      <w:marTop w:val="0"/>
      <w:marBottom w:val="0"/>
      <w:divBdr>
        <w:top w:val="none" w:sz="0" w:space="0" w:color="auto"/>
        <w:left w:val="none" w:sz="0" w:space="0" w:color="auto"/>
        <w:bottom w:val="none" w:sz="0" w:space="0" w:color="auto"/>
        <w:right w:val="none" w:sz="0" w:space="0" w:color="auto"/>
      </w:divBdr>
    </w:div>
    <w:div w:id="323046826">
      <w:bodyDiv w:val="1"/>
      <w:marLeft w:val="0"/>
      <w:marRight w:val="0"/>
      <w:marTop w:val="0"/>
      <w:marBottom w:val="0"/>
      <w:divBdr>
        <w:top w:val="none" w:sz="0" w:space="0" w:color="auto"/>
        <w:left w:val="none" w:sz="0" w:space="0" w:color="auto"/>
        <w:bottom w:val="none" w:sz="0" w:space="0" w:color="auto"/>
        <w:right w:val="none" w:sz="0" w:space="0" w:color="auto"/>
      </w:divBdr>
      <w:divsChild>
        <w:div w:id="841706168">
          <w:marLeft w:val="0"/>
          <w:marRight w:val="0"/>
          <w:marTop w:val="0"/>
          <w:marBottom w:val="0"/>
          <w:divBdr>
            <w:top w:val="none" w:sz="0" w:space="0" w:color="auto"/>
            <w:left w:val="none" w:sz="0" w:space="0" w:color="auto"/>
            <w:bottom w:val="none" w:sz="0" w:space="0" w:color="auto"/>
            <w:right w:val="none" w:sz="0" w:space="0" w:color="auto"/>
          </w:divBdr>
        </w:div>
        <w:div w:id="1437409099">
          <w:marLeft w:val="0"/>
          <w:marRight w:val="0"/>
          <w:marTop w:val="0"/>
          <w:marBottom w:val="0"/>
          <w:divBdr>
            <w:top w:val="none" w:sz="0" w:space="0" w:color="auto"/>
            <w:left w:val="none" w:sz="0" w:space="0" w:color="auto"/>
            <w:bottom w:val="none" w:sz="0" w:space="0" w:color="auto"/>
            <w:right w:val="none" w:sz="0" w:space="0" w:color="auto"/>
          </w:divBdr>
          <w:divsChild>
            <w:div w:id="10145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44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19107331">
      <w:bodyDiv w:val="1"/>
      <w:marLeft w:val="0"/>
      <w:marRight w:val="0"/>
      <w:marTop w:val="0"/>
      <w:marBottom w:val="0"/>
      <w:divBdr>
        <w:top w:val="none" w:sz="0" w:space="0" w:color="auto"/>
        <w:left w:val="none" w:sz="0" w:space="0" w:color="auto"/>
        <w:bottom w:val="none" w:sz="0" w:space="0" w:color="auto"/>
        <w:right w:val="none" w:sz="0" w:space="0" w:color="auto"/>
      </w:divBdr>
    </w:div>
    <w:div w:id="421756681">
      <w:bodyDiv w:val="1"/>
      <w:marLeft w:val="0"/>
      <w:marRight w:val="0"/>
      <w:marTop w:val="0"/>
      <w:marBottom w:val="0"/>
      <w:divBdr>
        <w:top w:val="none" w:sz="0" w:space="0" w:color="auto"/>
        <w:left w:val="none" w:sz="0" w:space="0" w:color="auto"/>
        <w:bottom w:val="none" w:sz="0" w:space="0" w:color="auto"/>
        <w:right w:val="none" w:sz="0" w:space="0" w:color="auto"/>
      </w:divBdr>
    </w:div>
    <w:div w:id="454451707">
      <w:bodyDiv w:val="1"/>
      <w:marLeft w:val="0"/>
      <w:marRight w:val="0"/>
      <w:marTop w:val="0"/>
      <w:marBottom w:val="0"/>
      <w:divBdr>
        <w:top w:val="none" w:sz="0" w:space="0" w:color="auto"/>
        <w:left w:val="none" w:sz="0" w:space="0" w:color="auto"/>
        <w:bottom w:val="none" w:sz="0" w:space="0" w:color="auto"/>
        <w:right w:val="none" w:sz="0" w:space="0" w:color="auto"/>
      </w:divBdr>
    </w:div>
    <w:div w:id="455176482">
      <w:bodyDiv w:val="1"/>
      <w:marLeft w:val="0"/>
      <w:marRight w:val="0"/>
      <w:marTop w:val="0"/>
      <w:marBottom w:val="0"/>
      <w:divBdr>
        <w:top w:val="none" w:sz="0" w:space="0" w:color="auto"/>
        <w:left w:val="none" w:sz="0" w:space="0" w:color="auto"/>
        <w:bottom w:val="none" w:sz="0" w:space="0" w:color="auto"/>
        <w:right w:val="none" w:sz="0" w:space="0" w:color="auto"/>
      </w:divBdr>
    </w:div>
    <w:div w:id="45949697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0775774">
      <w:bodyDiv w:val="1"/>
      <w:marLeft w:val="0"/>
      <w:marRight w:val="0"/>
      <w:marTop w:val="0"/>
      <w:marBottom w:val="0"/>
      <w:divBdr>
        <w:top w:val="none" w:sz="0" w:space="0" w:color="auto"/>
        <w:left w:val="none" w:sz="0" w:space="0" w:color="auto"/>
        <w:bottom w:val="none" w:sz="0" w:space="0" w:color="auto"/>
        <w:right w:val="none" w:sz="0" w:space="0" w:color="auto"/>
      </w:divBdr>
    </w:div>
    <w:div w:id="503714720">
      <w:bodyDiv w:val="1"/>
      <w:marLeft w:val="0"/>
      <w:marRight w:val="0"/>
      <w:marTop w:val="0"/>
      <w:marBottom w:val="0"/>
      <w:divBdr>
        <w:top w:val="none" w:sz="0" w:space="0" w:color="auto"/>
        <w:left w:val="none" w:sz="0" w:space="0" w:color="auto"/>
        <w:bottom w:val="none" w:sz="0" w:space="0" w:color="auto"/>
        <w:right w:val="none" w:sz="0" w:space="0" w:color="auto"/>
      </w:divBdr>
    </w:div>
    <w:div w:id="506754436">
      <w:bodyDiv w:val="1"/>
      <w:marLeft w:val="0"/>
      <w:marRight w:val="0"/>
      <w:marTop w:val="0"/>
      <w:marBottom w:val="0"/>
      <w:divBdr>
        <w:top w:val="none" w:sz="0" w:space="0" w:color="auto"/>
        <w:left w:val="none" w:sz="0" w:space="0" w:color="auto"/>
        <w:bottom w:val="none" w:sz="0" w:space="0" w:color="auto"/>
        <w:right w:val="none" w:sz="0" w:space="0" w:color="auto"/>
      </w:divBdr>
    </w:div>
    <w:div w:id="542985292">
      <w:bodyDiv w:val="1"/>
      <w:marLeft w:val="0"/>
      <w:marRight w:val="0"/>
      <w:marTop w:val="0"/>
      <w:marBottom w:val="0"/>
      <w:divBdr>
        <w:top w:val="none" w:sz="0" w:space="0" w:color="auto"/>
        <w:left w:val="none" w:sz="0" w:space="0" w:color="auto"/>
        <w:bottom w:val="none" w:sz="0" w:space="0" w:color="auto"/>
        <w:right w:val="none" w:sz="0" w:space="0" w:color="auto"/>
      </w:divBdr>
    </w:div>
    <w:div w:id="562132925">
      <w:bodyDiv w:val="1"/>
      <w:marLeft w:val="0"/>
      <w:marRight w:val="0"/>
      <w:marTop w:val="0"/>
      <w:marBottom w:val="0"/>
      <w:divBdr>
        <w:top w:val="none" w:sz="0" w:space="0" w:color="auto"/>
        <w:left w:val="none" w:sz="0" w:space="0" w:color="auto"/>
        <w:bottom w:val="none" w:sz="0" w:space="0" w:color="auto"/>
        <w:right w:val="none" w:sz="0" w:space="0" w:color="auto"/>
      </w:divBdr>
    </w:div>
    <w:div w:id="592711019">
      <w:bodyDiv w:val="1"/>
      <w:marLeft w:val="0"/>
      <w:marRight w:val="0"/>
      <w:marTop w:val="0"/>
      <w:marBottom w:val="0"/>
      <w:divBdr>
        <w:top w:val="none" w:sz="0" w:space="0" w:color="auto"/>
        <w:left w:val="none" w:sz="0" w:space="0" w:color="auto"/>
        <w:bottom w:val="none" w:sz="0" w:space="0" w:color="auto"/>
        <w:right w:val="none" w:sz="0" w:space="0" w:color="auto"/>
      </w:divBdr>
    </w:div>
    <w:div w:id="68347922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2943622">
      <w:bodyDiv w:val="1"/>
      <w:marLeft w:val="0"/>
      <w:marRight w:val="0"/>
      <w:marTop w:val="0"/>
      <w:marBottom w:val="0"/>
      <w:divBdr>
        <w:top w:val="none" w:sz="0" w:space="0" w:color="auto"/>
        <w:left w:val="none" w:sz="0" w:space="0" w:color="auto"/>
        <w:bottom w:val="none" w:sz="0" w:space="0" w:color="auto"/>
        <w:right w:val="none" w:sz="0" w:space="0" w:color="auto"/>
      </w:divBdr>
    </w:div>
    <w:div w:id="795563190">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8280410">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1066440">
      <w:bodyDiv w:val="1"/>
      <w:marLeft w:val="0"/>
      <w:marRight w:val="0"/>
      <w:marTop w:val="0"/>
      <w:marBottom w:val="0"/>
      <w:divBdr>
        <w:top w:val="none" w:sz="0" w:space="0" w:color="auto"/>
        <w:left w:val="none" w:sz="0" w:space="0" w:color="auto"/>
        <w:bottom w:val="none" w:sz="0" w:space="0" w:color="auto"/>
        <w:right w:val="none" w:sz="0" w:space="0" w:color="auto"/>
      </w:divBdr>
    </w:div>
    <w:div w:id="842934748">
      <w:bodyDiv w:val="1"/>
      <w:marLeft w:val="0"/>
      <w:marRight w:val="0"/>
      <w:marTop w:val="0"/>
      <w:marBottom w:val="0"/>
      <w:divBdr>
        <w:top w:val="none" w:sz="0" w:space="0" w:color="auto"/>
        <w:left w:val="none" w:sz="0" w:space="0" w:color="auto"/>
        <w:bottom w:val="none" w:sz="0" w:space="0" w:color="auto"/>
        <w:right w:val="none" w:sz="0" w:space="0" w:color="auto"/>
      </w:divBdr>
    </w:div>
    <w:div w:id="84305715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78787198">
      <w:bodyDiv w:val="1"/>
      <w:marLeft w:val="0"/>
      <w:marRight w:val="0"/>
      <w:marTop w:val="0"/>
      <w:marBottom w:val="0"/>
      <w:divBdr>
        <w:top w:val="none" w:sz="0" w:space="0" w:color="auto"/>
        <w:left w:val="none" w:sz="0" w:space="0" w:color="auto"/>
        <w:bottom w:val="none" w:sz="0" w:space="0" w:color="auto"/>
        <w:right w:val="none" w:sz="0" w:space="0" w:color="auto"/>
      </w:divBdr>
    </w:div>
    <w:div w:id="879829089">
      <w:bodyDiv w:val="1"/>
      <w:marLeft w:val="0"/>
      <w:marRight w:val="0"/>
      <w:marTop w:val="0"/>
      <w:marBottom w:val="0"/>
      <w:divBdr>
        <w:top w:val="none" w:sz="0" w:space="0" w:color="auto"/>
        <w:left w:val="none" w:sz="0" w:space="0" w:color="auto"/>
        <w:bottom w:val="none" w:sz="0" w:space="0" w:color="auto"/>
        <w:right w:val="none" w:sz="0" w:space="0" w:color="auto"/>
      </w:divBdr>
    </w:div>
    <w:div w:id="888807381">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40256958">
      <w:bodyDiv w:val="1"/>
      <w:marLeft w:val="0"/>
      <w:marRight w:val="0"/>
      <w:marTop w:val="0"/>
      <w:marBottom w:val="0"/>
      <w:divBdr>
        <w:top w:val="none" w:sz="0" w:space="0" w:color="auto"/>
        <w:left w:val="none" w:sz="0" w:space="0" w:color="auto"/>
        <w:bottom w:val="none" w:sz="0" w:space="0" w:color="auto"/>
        <w:right w:val="none" w:sz="0" w:space="0" w:color="auto"/>
      </w:divBdr>
    </w:div>
    <w:div w:id="951588602">
      <w:bodyDiv w:val="1"/>
      <w:marLeft w:val="0"/>
      <w:marRight w:val="0"/>
      <w:marTop w:val="0"/>
      <w:marBottom w:val="0"/>
      <w:divBdr>
        <w:top w:val="none" w:sz="0" w:space="0" w:color="auto"/>
        <w:left w:val="none" w:sz="0" w:space="0" w:color="auto"/>
        <w:bottom w:val="none" w:sz="0" w:space="0" w:color="auto"/>
        <w:right w:val="none" w:sz="0" w:space="0" w:color="auto"/>
      </w:divBdr>
    </w:div>
    <w:div w:id="957569690">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74721732">
      <w:bodyDiv w:val="1"/>
      <w:marLeft w:val="0"/>
      <w:marRight w:val="0"/>
      <w:marTop w:val="0"/>
      <w:marBottom w:val="0"/>
      <w:divBdr>
        <w:top w:val="none" w:sz="0" w:space="0" w:color="auto"/>
        <w:left w:val="none" w:sz="0" w:space="0" w:color="auto"/>
        <w:bottom w:val="none" w:sz="0" w:space="0" w:color="auto"/>
        <w:right w:val="none" w:sz="0" w:space="0" w:color="auto"/>
      </w:divBdr>
    </w:div>
    <w:div w:id="986935511">
      <w:bodyDiv w:val="1"/>
      <w:marLeft w:val="0"/>
      <w:marRight w:val="0"/>
      <w:marTop w:val="0"/>
      <w:marBottom w:val="0"/>
      <w:divBdr>
        <w:top w:val="none" w:sz="0" w:space="0" w:color="auto"/>
        <w:left w:val="none" w:sz="0" w:space="0" w:color="auto"/>
        <w:bottom w:val="none" w:sz="0" w:space="0" w:color="auto"/>
        <w:right w:val="none" w:sz="0" w:space="0" w:color="auto"/>
      </w:divBdr>
    </w:div>
    <w:div w:id="1011831653">
      <w:bodyDiv w:val="1"/>
      <w:marLeft w:val="0"/>
      <w:marRight w:val="0"/>
      <w:marTop w:val="0"/>
      <w:marBottom w:val="0"/>
      <w:divBdr>
        <w:top w:val="none" w:sz="0" w:space="0" w:color="auto"/>
        <w:left w:val="none" w:sz="0" w:space="0" w:color="auto"/>
        <w:bottom w:val="none" w:sz="0" w:space="0" w:color="auto"/>
        <w:right w:val="none" w:sz="0" w:space="0" w:color="auto"/>
      </w:divBdr>
    </w:div>
    <w:div w:id="1044479516">
      <w:bodyDiv w:val="1"/>
      <w:marLeft w:val="0"/>
      <w:marRight w:val="0"/>
      <w:marTop w:val="0"/>
      <w:marBottom w:val="0"/>
      <w:divBdr>
        <w:top w:val="none" w:sz="0" w:space="0" w:color="auto"/>
        <w:left w:val="none" w:sz="0" w:space="0" w:color="auto"/>
        <w:bottom w:val="none" w:sz="0" w:space="0" w:color="auto"/>
        <w:right w:val="none" w:sz="0" w:space="0" w:color="auto"/>
      </w:divBdr>
    </w:div>
    <w:div w:id="106286810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4255243">
      <w:bodyDiv w:val="1"/>
      <w:marLeft w:val="0"/>
      <w:marRight w:val="0"/>
      <w:marTop w:val="0"/>
      <w:marBottom w:val="0"/>
      <w:divBdr>
        <w:top w:val="none" w:sz="0" w:space="0" w:color="auto"/>
        <w:left w:val="none" w:sz="0" w:space="0" w:color="auto"/>
        <w:bottom w:val="none" w:sz="0" w:space="0" w:color="auto"/>
        <w:right w:val="none" w:sz="0" w:space="0" w:color="auto"/>
      </w:divBdr>
    </w:div>
    <w:div w:id="1159006548">
      <w:bodyDiv w:val="1"/>
      <w:marLeft w:val="0"/>
      <w:marRight w:val="0"/>
      <w:marTop w:val="0"/>
      <w:marBottom w:val="0"/>
      <w:divBdr>
        <w:top w:val="none" w:sz="0" w:space="0" w:color="auto"/>
        <w:left w:val="none" w:sz="0" w:space="0" w:color="auto"/>
        <w:bottom w:val="none" w:sz="0" w:space="0" w:color="auto"/>
        <w:right w:val="none" w:sz="0" w:space="0" w:color="auto"/>
      </w:divBdr>
    </w:div>
    <w:div w:id="1186097097">
      <w:bodyDiv w:val="1"/>
      <w:marLeft w:val="0"/>
      <w:marRight w:val="0"/>
      <w:marTop w:val="0"/>
      <w:marBottom w:val="0"/>
      <w:divBdr>
        <w:top w:val="none" w:sz="0" w:space="0" w:color="auto"/>
        <w:left w:val="none" w:sz="0" w:space="0" w:color="auto"/>
        <w:bottom w:val="none" w:sz="0" w:space="0" w:color="auto"/>
        <w:right w:val="none" w:sz="0" w:space="0" w:color="auto"/>
      </w:divBdr>
    </w:div>
    <w:div w:id="1186406980">
      <w:bodyDiv w:val="1"/>
      <w:marLeft w:val="0"/>
      <w:marRight w:val="0"/>
      <w:marTop w:val="0"/>
      <w:marBottom w:val="0"/>
      <w:divBdr>
        <w:top w:val="none" w:sz="0" w:space="0" w:color="auto"/>
        <w:left w:val="none" w:sz="0" w:space="0" w:color="auto"/>
        <w:bottom w:val="none" w:sz="0" w:space="0" w:color="auto"/>
        <w:right w:val="none" w:sz="0" w:space="0" w:color="auto"/>
      </w:divBdr>
    </w:div>
    <w:div w:id="119862002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3778424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2954220">
      <w:bodyDiv w:val="1"/>
      <w:marLeft w:val="0"/>
      <w:marRight w:val="0"/>
      <w:marTop w:val="0"/>
      <w:marBottom w:val="0"/>
      <w:divBdr>
        <w:top w:val="none" w:sz="0" w:space="0" w:color="auto"/>
        <w:left w:val="none" w:sz="0" w:space="0" w:color="auto"/>
        <w:bottom w:val="none" w:sz="0" w:space="0" w:color="auto"/>
        <w:right w:val="none" w:sz="0" w:space="0" w:color="auto"/>
      </w:divBdr>
    </w:div>
    <w:div w:id="1329409871">
      <w:bodyDiv w:val="1"/>
      <w:marLeft w:val="0"/>
      <w:marRight w:val="0"/>
      <w:marTop w:val="0"/>
      <w:marBottom w:val="0"/>
      <w:divBdr>
        <w:top w:val="none" w:sz="0" w:space="0" w:color="auto"/>
        <w:left w:val="none" w:sz="0" w:space="0" w:color="auto"/>
        <w:bottom w:val="none" w:sz="0" w:space="0" w:color="auto"/>
        <w:right w:val="none" w:sz="0" w:space="0" w:color="auto"/>
      </w:divBdr>
    </w:div>
    <w:div w:id="1333796075">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79009652">
      <w:bodyDiv w:val="1"/>
      <w:marLeft w:val="0"/>
      <w:marRight w:val="0"/>
      <w:marTop w:val="0"/>
      <w:marBottom w:val="0"/>
      <w:divBdr>
        <w:top w:val="none" w:sz="0" w:space="0" w:color="auto"/>
        <w:left w:val="none" w:sz="0" w:space="0" w:color="auto"/>
        <w:bottom w:val="none" w:sz="0" w:space="0" w:color="auto"/>
        <w:right w:val="none" w:sz="0" w:space="0" w:color="auto"/>
      </w:divBdr>
    </w:div>
    <w:div w:id="1389189475">
      <w:bodyDiv w:val="1"/>
      <w:marLeft w:val="0"/>
      <w:marRight w:val="0"/>
      <w:marTop w:val="0"/>
      <w:marBottom w:val="0"/>
      <w:divBdr>
        <w:top w:val="none" w:sz="0" w:space="0" w:color="auto"/>
        <w:left w:val="none" w:sz="0" w:space="0" w:color="auto"/>
        <w:bottom w:val="none" w:sz="0" w:space="0" w:color="auto"/>
        <w:right w:val="none" w:sz="0" w:space="0" w:color="auto"/>
      </w:divBdr>
    </w:div>
    <w:div w:id="1409498995">
      <w:bodyDiv w:val="1"/>
      <w:marLeft w:val="0"/>
      <w:marRight w:val="0"/>
      <w:marTop w:val="0"/>
      <w:marBottom w:val="0"/>
      <w:divBdr>
        <w:top w:val="none" w:sz="0" w:space="0" w:color="auto"/>
        <w:left w:val="none" w:sz="0" w:space="0" w:color="auto"/>
        <w:bottom w:val="none" w:sz="0" w:space="0" w:color="auto"/>
        <w:right w:val="none" w:sz="0" w:space="0" w:color="auto"/>
      </w:divBdr>
    </w:div>
    <w:div w:id="1416779869">
      <w:bodyDiv w:val="1"/>
      <w:marLeft w:val="0"/>
      <w:marRight w:val="0"/>
      <w:marTop w:val="0"/>
      <w:marBottom w:val="0"/>
      <w:divBdr>
        <w:top w:val="none" w:sz="0" w:space="0" w:color="auto"/>
        <w:left w:val="none" w:sz="0" w:space="0" w:color="auto"/>
        <w:bottom w:val="none" w:sz="0" w:space="0" w:color="auto"/>
        <w:right w:val="none" w:sz="0" w:space="0" w:color="auto"/>
      </w:divBdr>
    </w:div>
    <w:div w:id="1461805022">
      <w:bodyDiv w:val="1"/>
      <w:marLeft w:val="0"/>
      <w:marRight w:val="0"/>
      <w:marTop w:val="0"/>
      <w:marBottom w:val="0"/>
      <w:divBdr>
        <w:top w:val="none" w:sz="0" w:space="0" w:color="auto"/>
        <w:left w:val="none" w:sz="0" w:space="0" w:color="auto"/>
        <w:bottom w:val="none" w:sz="0" w:space="0" w:color="auto"/>
        <w:right w:val="none" w:sz="0" w:space="0" w:color="auto"/>
      </w:divBdr>
    </w:div>
    <w:div w:id="1463494706">
      <w:bodyDiv w:val="1"/>
      <w:marLeft w:val="0"/>
      <w:marRight w:val="0"/>
      <w:marTop w:val="0"/>
      <w:marBottom w:val="0"/>
      <w:divBdr>
        <w:top w:val="none" w:sz="0" w:space="0" w:color="auto"/>
        <w:left w:val="none" w:sz="0" w:space="0" w:color="auto"/>
        <w:bottom w:val="none" w:sz="0" w:space="0" w:color="auto"/>
        <w:right w:val="none" w:sz="0" w:space="0" w:color="auto"/>
      </w:divBdr>
    </w:div>
    <w:div w:id="1472940040">
      <w:bodyDiv w:val="1"/>
      <w:marLeft w:val="0"/>
      <w:marRight w:val="0"/>
      <w:marTop w:val="0"/>
      <w:marBottom w:val="0"/>
      <w:divBdr>
        <w:top w:val="none" w:sz="0" w:space="0" w:color="auto"/>
        <w:left w:val="none" w:sz="0" w:space="0" w:color="auto"/>
        <w:bottom w:val="none" w:sz="0" w:space="0" w:color="auto"/>
        <w:right w:val="none" w:sz="0" w:space="0" w:color="auto"/>
      </w:divBdr>
    </w:div>
    <w:div w:id="1493644529">
      <w:bodyDiv w:val="1"/>
      <w:marLeft w:val="0"/>
      <w:marRight w:val="0"/>
      <w:marTop w:val="0"/>
      <w:marBottom w:val="0"/>
      <w:divBdr>
        <w:top w:val="none" w:sz="0" w:space="0" w:color="auto"/>
        <w:left w:val="none" w:sz="0" w:space="0" w:color="auto"/>
        <w:bottom w:val="none" w:sz="0" w:space="0" w:color="auto"/>
        <w:right w:val="none" w:sz="0" w:space="0" w:color="auto"/>
      </w:divBdr>
    </w:div>
    <w:div w:id="14995439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10867471">
      <w:bodyDiv w:val="1"/>
      <w:marLeft w:val="0"/>
      <w:marRight w:val="0"/>
      <w:marTop w:val="0"/>
      <w:marBottom w:val="0"/>
      <w:divBdr>
        <w:top w:val="none" w:sz="0" w:space="0" w:color="auto"/>
        <w:left w:val="none" w:sz="0" w:space="0" w:color="auto"/>
        <w:bottom w:val="none" w:sz="0" w:space="0" w:color="auto"/>
        <w:right w:val="none" w:sz="0" w:space="0" w:color="auto"/>
      </w:divBdr>
    </w:div>
    <w:div w:id="1523782167">
      <w:bodyDiv w:val="1"/>
      <w:marLeft w:val="0"/>
      <w:marRight w:val="0"/>
      <w:marTop w:val="0"/>
      <w:marBottom w:val="0"/>
      <w:divBdr>
        <w:top w:val="none" w:sz="0" w:space="0" w:color="auto"/>
        <w:left w:val="none" w:sz="0" w:space="0" w:color="auto"/>
        <w:bottom w:val="none" w:sz="0" w:space="0" w:color="auto"/>
        <w:right w:val="none" w:sz="0" w:space="0" w:color="auto"/>
      </w:divBdr>
    </w:div>
    <w:div w:id="1529221122">
      <w:bodyDiv w:val="1"/>
      <w:marLeft w:val="0"/>
      <w:marRight w:val="0"/>
      <w:marTop w:val="0"/>
      <w:marBottom w:val="0"/>
      <w:divBdr>
        <w:top w:val="none" w:sz="0" w:space="0" w:color="auto"/>
        <w:left w:val="none" w:sz="0" w:space="0" w:color="auto"/>
        <w:bottom w:val="none" w:sz="0" w:space="0" w:color="auto"/>
        <w:right w:val="none" w:sz="0" w:space="0" w:color="auto"/>
      </w:divBdr>
    </w:div>
    <w:div w:id="1531911973">
      <w:bodyDiv w:val="1"/>
      <w:marLeft w:val="0"/>
      <w:marRight w:val="0"/>
      <w:marTop w:val="0"/>
      <w:marBottom w:val="0"/>
      <w:divBdr>
        <w:top w:val="none" w:sz="0" w:space="0" w:color="auto"/>
        <w:left w:val="none" w:sz="0" w:space="0" w:color="auto"/>
        <w:bottom w:val="none" w:sz="0" w:space="0" w:color="auto"/>
        <w:right w:val="none" w:sz="0" w:space="0" w:color="auto"/>
      </w:divBdr>
    </w:div>
    <w:div w:id="1533612895">
      <w:bodyDiv w:val="1"/>
      <w:marLeft w:val="0"/>
      <w:marRight w:val="0"/>
      <w:marTop w:val="0"/>
      <w:marBottom w:val="0"/>
      <w:divBdr>
        <w:top w:val="none" w:sz="0" w:space="0" w:color="auto"/>
        <w:left w:val="none" w:sz="0" w:space="0" w:color="auto"/>
        <w:bottom w:val="none" w:sz="0" w:space="0" w:color="auto"/>
        <w:right w:val="none" w:sz="0" w:space="0" w:color="auto"/>
      </w:divBdr>
    </w:div>
    <w:div w:id="1569808152">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0184230">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63661048">
      <w:bodyDiv w:val="1"/>
      <w:marLeft w:val="0"/>
      <w:marRight w:val="0"/>
      <w:marTop w:val="0"/>
      <w:marBottom w:val="0"/>
      <w:divBdr>
        <w:top w:val="none" w:sz="0" w:space="0" w:color="auto"/>
        <w:left w:val="none" w:sz="0" w:space="0" w:color="auto"/>
        <w:bottom w:val="none" w:sz="0" w:space="0" w:color="auto"/>
        <w:right w:val="none" w:sz="0" w:space="0" w:color="auto"/>
      </w:divBdr>
    </w:div>
    <w:div w:id="1683580770">
      <w:bodyDiv w:val="1"/>
      <w:marLeft w:val="0"/>
      <w:marRight w:val="0"/>
      <w:marTop w:val="0"/>
      <w:marBottom w:val="0"/>
      <w:divBdr>
        <w:top w:val="none" w:sz="0" w:space="0" w:color="auto"/>
        <w:left w:val="none" w:sz="0" w:space="0" w:color="auto"/>
        <w:bottom w:val="none" w:sz="0" w:space="0" w:color="auto"/>
        <w:right w:val="none" w:sz="0" w:space="0" w:color="auto"/>
      </w:divBdr>
    </w:div>
    <w:div w:id="1700204337">
      <w:bodyDiv w:val="1"/>
      <w:marLeft w:val="0"/>
      <w:marRight w:val="0"/>
      <w:marTop w:val="0"/>
      <w:marBottom w:val="0"/>
      <w:divBdr>
        <w:top w:val="none" w:sz="0" w:space="0" w:color="auto"/>
        <w:left w:val="none" w:sz="0" w:space="0" w:color="auto"/>
        <w:bottom w:val="none" w:sz="0" w:space="0" w:color="auto"/>
        <w:right w:val="none" w:sz="0" w:space="0" w:color="auto"/>
      </w:divBdr>
    </w:div>
    <w:div w:id="1706059807">
      <w:bodyDiv w:val="1"/>
      <w:marLeft w:val="0"/>
      <w:marRight w:val="0"/>
      <w:marTop w:val="0"/>
      <w:marBottom w:val="0"/>
      <w:divBdr>
        <w:top w:val="none" w:sz="0" w:space="0" w:color="auto"/>
        <w:left w:val="none" w:sz="0" w:space="0" w:color="auto"/>
        <w:bottom w:val="none" w:sz="0" w:space="0" w:color="auto"/>
        <w:right w:val="none" w:sz="0" w:space="0" w:color="auto"/>
      </w:divBdr>
    </w:div>
    <w:div w:id="1738283949">
      <w:bodyDiv w:val="1"/>
      <w:marLeft w:val="0"/>
      <w:marRight w:val="0"/>
      <w:marTop w:val="0"/>
      <w:marBottom w:val="0"/>
      <w:divBdr>
        <w:top w:val="none" w:sz="0" w:space="0" w:color="auto"/>
        <w:left w:val="none" w:sz="0" w:space="0" w:color="auto"/>
        <w:bottom w:val="none" w:sz="0" w:space="0" w:color="auto"/>
        <w:right w:val="none" w:sz="0" w:space="0" w:color="auto"/>
      </w:divBdr>
    </w:div>
    <w:div w:id="175835972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95832675">
      <w:bodyDiv w:val="1"/>
      <w:marLeft w:val="0"/>
      <w:marRight w:val="0"/>
      <w:marTop w:val="0"/>
      <w:marBottom w:val="0"/>
      <w:divBdr>
        <w:top w:val="none" w:sz="0" w:space="0" w:color="auto"/>
        <w:left w:val="none" w:sz="0" w:space="0" w:color="auto"/>
        <w:bottom w:val="none" w:sz="0" w:space="0" w:color="auto"/>
        <w:right w:val="none" w:sz="0" w:space="0" w:color="auto"/>
      </w:divBdr>
    </w:div>
    <w:div w:id="1797597463">
      <w:bodyDiv w:val="1"/>
      <w:marLeft w:val="0"/>
      <w:marRight w:val="0"/>
      <w:marTop w:val="0"/>
      <w:marBottom w:val="0"/>
      <w:divBdr>
        <w:top w:val="none" w:sz="0" w:space="0" w:color="auto"/>
        <w:left w:val="none" w:sz="0" w:space="0" w:color="auto"/>
        <w:bottom w:val="none" w:sz="0" w:space="0" w:color="auto"/>
        <w:right w:val="none" w:sz="0" w:space="0" w:color="auto"/>
      </w:divBdr>
    </w:div>
    <w:div w:id="1800611332">
      <w:bodyDiv w:val="1"/>
      <w:marLeft w:val="0"/>
      <w:marRight w:val="0"/>
      <w:marTop w:val="0"/>
      <w:marBottom w:val="0"/>
      <w:divBdr>
        <w:top w:val="none" w:sz="0" w:space="0" w:color="auto"/>
        <w:left w:val="none" w:sz="0" w:space="0" w:color="auto"/>
        <w:bottom w:val="none" w:sz="0" w:space="0" w:color="auto"/>
        <w:right w:val="none" w:sz="0" w:space="0" w:color="auto"/>
      </w:divBdr>
    </w:div>
    <w:div w:id="1810633301">
      <w:bodyDiv w:val="1"/>
      <w:marLeft w:val="0"/>
      <w:marRight w:val="0"/>
      <w:marTop w:val="0"/>
      <w:marBottom w:val="0"/>
      <w:divBdr>
        <w:top w:val="none" w:sz="0" w:space="0" w:color="auto"/>
        <w:left w:val="none" w:sz="0" w:space="0" w:color="auto"/>
        <w:bottom w:val="none" w:sz="0" w:space="0" w:color="auto"/>
        <w:right w:val="none" w:sz="0" w:space="0" w:color="auto"/>
      </w:divBdr>
    </w:div>
    <w:div w:id="1897083120">
      <w:bodyDiv w:val="1"/>
      <w:marLeft w:val="0"/>
      <w:marRight w:val="0"/>
      <w:marTop w:val="0"/>
      <w:marBottom w:val="0"/>
      <w:divBdr>
        <w:top w:val="none" w:sz="0" w:space="0" w:color="auto"/>
        <w:left w:val="none" w:sz="0" w:space="0" w:color="auto"/>
        <w:bottom w:val="none" w:sz="0" w:space="0" w:color="auto"/>
        <w:right w:val="none" w:sz="0" w:space="0" w:color="auto"/>
      </w:divBdr>
    </w:div>
    <w:div w:id="1904221044">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0087366">
      <w:bodyDiv w:val="1"/>
      <w:marLeft w:val="0"/>
      <w:marRight w:val="0"/>
      <w:marTop w:val="0"/>
      <w:marBottom w:val="0"/>
      <w:divBdr>
        <w:top w:val="none" w:sz="0" w:space="0" w:color="auto"/>
        <w:left w:val="none" w:sz="0" w:space="0" w:color="auto"/>
        <w:bottom w:val="none" w:sz="0" w:space="0" w:color="auto"/>
        <w:right w:val="none" w:sz="0" w:space="0" w:color="auto"/>
      </w:divBdr>
    </w:div>
    <w:div w:id="2008173314">
      <w:bodyDiv w:val="1"/>
      <w:marLeft w:val="0"/>
      <w:marRight w:val="0"/>
      <w:marTop w:val="0"/>
      <w:marBottom w:val="0"/>
      <w:divBdr>
        <w:top w:val="none" w:sz="0" w:space="0" w:color="auto"/>
        <w:left w:val="none" w:sz="0" w:space="0" w:color="auto"/>
        <w:bottom w:val="none" w:sz="0" w:space="0" w:color="auto"/>
        <w:right w:val="none" w:sz="0" w:space="0" w:color="auto"/>
      </w:divBdr>
    </w:div>
    <w:div w:id="2012562516">
      <w:bodyDiv w:val="1"/>
      <w:marLeft w:val="0"/>
      <w:marRight w:val="0"/>
      <w:marTop w:val="0"/>
      <w:marBottom w:val="0"/>
      <w:divBdr>
        <w:top w:val="none" w:sz="0" w:space="0" w:color="auto"/>
        <w:left w:val="none" w:sz="0" w:space="0" w:color="auto"/>
        <w:bottom w:val="none" w:sz="0" w:space="0" w:color="auto"/>
        <w:right w:val="none" w:sz="0" w:space="0" w:color="auto"/>
      </w:divBdr>
    </w:div>
    <w:div w:id="2016953409">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7677769">
      <w:bodyDiv w:val="1"/>
      <w:marLeft w:val="0"/>
      <w:marRight w:val="0"/>
      <w:marTop w:val="0"/>
      <w:marBottom w:val="0"/>
      <w:divBdr>
        <w:top w:val="none" w:sz="0" w:space="0" w:color="auto"/>
        <w:left w:val="none" w:sz="0" w:space="0" w:color="auto"/>
        <w:bottom w:val="none" w:sz="0" w:space="0" w:color="auto"/>
        <w:right w:val="none" w:sz="0" w:space="0" w:color="auto"/>
      </w:divBdr>
      <w:divsChild>
        <w:div w:id="1638879412">
          <w:marLeft w:val="0"/>
          <w:marRight w:val="0"/>
          <w:marTop w:val="0"/>
          <w:marBottom w:val="0"/>
          <w:divBdr>
            <w:top w:val="none" w:sz="0" w:space="0" w:color="auto"/>
            <w:left w:val="none" w:sz="0" w:space="0" w:color="auto"/>
            <w:bottom w:val="none" w:sz="0" w:space="0" w:color="auto"/>
            <w:right w:val="none" w:sz="0" w:space="0" w:color="auto"/>
          </w:divBdr>
        </w:div>
        <w:div w:id="223175850">
          <w:marLeft w:val="0"/>
          <w:marRight w:val="0"/>
          <w:marTop w:val="0"/>
          <w:marBottom w:val="0"/>
          <w:divBdr>
            <w:top w:val="none" w:sz="0" w:space="0" w:color="auto"/>
            <w:left w:val="none" w:sz="0" w:space="0" w:color="auto"/>
            <w:bottom w:val="none" w:sz="0" w:space="0" w:color="auto"/>
            <w:right w:val="none" w:sz="0" w:space="0" w:color="auto"/>
          </w:divBdr>
          <w:divsChild>
            <w:div w:id="5379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880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0183904">
      <w:bodyDiv w:val="1"/>
      <w:marLeft w:val="0"/>
      <w:marRight w:val="0"/>
      <w:marTop w:val="0"/>
      <w:marBottom w:val="0"/>
      <w:divBdr>
        <w:top w:val="none" w:sz="0" w:space="0" w:color="auto"/>
        <w:left w:val="none" w:sz="0" w:space="0" w:color="auto"/>
        <w:bottom w:val="none" w:sz="0" w:space="0" w:color="auto"/>
        <w:right w:val="none" w:sz="0" w:space="0" w:color="auto"/>
      </w:divBdr>
    </w:div>
    <w:div w:id="2086603410">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092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ion.edomex.gob.mx/sites/legislacion.edomex.gob.mx/files/files/pdf/gct/2012/dic196.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dle.rae.es/?id=FdI00O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dle.rae.es/?id=CAjNzMR" TargetMode="External"/><Relationship Id="rId5" Type="http://schemas.openxmlformats.org/officeDocument/2006/relationships/hyperlink" Target="http://dle.rae.es/?id=VGqyuLj|VGtxgAo|VGuc9Wg"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9B388-7196-420C-8528-E22C31091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46</Pages>
  <Words>7618</Words>
  <Characters>41903</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3</cp:revision>
  <cp:lastPrinted>2019-01-17T19:31:00Z</cp:lastPrinted>
  <dcterms:created xsi:type="dcterms:W3CDTF">2019-10-14T17:57:00Z</dcterms:created>
  <dcterms:modified xsi:type="dcterms:W3CDTF">2019-10-14T18:07:00Z</dcterms:modified>
</cp:coreProperties>
</file>