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166" w:rsidRPr="006D1A9A" w:rsidRDefault="00852166" w:rsidP="00BF7F59">
      <w:pPr>
        <w:widowControl w:val="0"/>
        <w:spacing w:line="360" w:lineRule="auto"/>
        <w:jc w:val="both"/>
        <w:rPr>
          <w:rFonts w:ascii="Palatino Linotype" w:hAnsi="Palatino Linotype" w:cs="Arial"/>
          <w:b/>
        </w:rPr>
      </w:pPr>
      <w:r w:rsidRPr="006D1A9A">
        <w:rPr>
          <w:rFonts w:ascii="Palatino Linotype" w:hAnsi="Palatino Linotype" w:cs="Arial"/>
          <w:b/>
        </w:rPr>
        <w:t xml:space="preserve">VOTO DISIDENTE QUE FORMULA LA COMISIONADA EVA ABAID YAPUR, EN RELACIÓN CON LA RESOLUCIÓN DICTADA POR EL PLENO DEL INSTITUTO DE TRANSPARENCIA, ACCESO A LA INFORMACIÓN PÚBLICA Y PROTECCIÓN DE DATOS PERSONALES DEL ESTADO DE MÉXICO Y MUNICIPIOS, EN LA </w:t>
      </w:r>
      <w:r w:rsidR="00713AF2">
        <w:rPr>
          <w:rFonts w:ascii="Palatino Linotype" w:hAnsi="Palatino Linotype" w:cs="Arial"/>
          <w:b/>
        </w:rPr>
        <w:t>CUADRAGÉSIMA PRIMERA</w:t>
      </w:r>
      <w:r w:rsidR="009F77C1">
        <w:rPr>
          <w:rFonts w:ascii="Palatino Linotype" w:hAnsi="Palatino Linotype" w:cs="Arial"/>
          <w:b/>
        </w:rPr>
        <w:t xml:space="preserve"> SES</w:t>
      </w:r>
      <w:r w:rsidR="001B02FC" w:rsidRPr="006D1A9A">
        <w:rPr>
          <w:rFonts w:ascii="Palatino Linotype" w:hAnsi="Palatino Linotype" w:cs="Arial"/>
          <w:b/>
        </w:rPr>
        <w:t xml:space="preserve">IÓN </w:t>
      </w:r>
      <w:r w:rsidRPr="006D1A9A">
        <w:rPr>
          <w:rFonts w:ascii="Palatino Linotype" w:hAnsi="Palatino Linotype" w:cs="Arial"/>
          <w:b/>
        </w:rPr>
        <w:t xml:space="preserve">ORDINARIA DEL </w:t>
      </w:r>
      <w:r w:rsidR="00713AF2">
        <w:rPr>
          <w:rFonts w:ascii="Palatino Linotype" w:hAnsi="Palatino Linotype" w:cs="Arial"/>
          <w:b/>
        </w:rPr>
        <w:t>SEIS DE NOVIEMBRE</w:t>
      </w:r>
      <w:r w:rsidR="009F77C1">
        <w:rPr>
          <w:rFonts w:ascii="Palatino Linotype" w:hAnsi="Palatino Linotype" w:cs="Arial"/>
          <w:b/>
        </w:rPr>
        <w:t xml:space="preserve"> DE DOS MIL DIECINUEVE</w:t>
      </w:r>
      <w:r w:rsidR="0005349F" w:rsidRPr="006D1A9A">
        <w:rPr>
          <w:rFonts w:ascii="Palatino Linotype" w:hAnsi="Palatino Linotype" w:cs="Arial"/>
          <w:b/>
        </w:rPr>
        <w:t>,</w:t>
      </w:r>
      <w:r w:rsidRPr="006D1A9A">
        <w:rPr>
          <w:rFonts w:ascii="Palatino Linotype" w:hAnsi="Palatino Linotype" w:cs="Arial"/>
          <w:b/>
        </w:rPr>
        <w:t xml:space="preserve"> EN </w:t>
      </w:r>
      <w:r w:rsidR="006D1A9A" w:rsidRPr="006D1A9A">
        <w:rPr>
          <w:rFonts w:ascii="Palatino Linotype" w:hAnsi="Palatino Linotype" w:cs="Arial"/>
          <w:b/>
        </w:rPr>
        <w:t>EL</w:t>
      </w:r>
      <w:r w:rsidRPr="006D1A9A">
        <w:rPr>
          <w:rFonts w:ascii="Palatino Linotype" w:hAnsi="Palatino Linotype" w:cs="Arial"/>
          <w:b/>
        </w:rPr>
        <w:t xml:space="preserve"> RECURSO</w:t>
      </w:r>
      <w:r w:rsidR="006D1A9A" w:rsidRPr="006D1A9A">
        <w:rPr>
          <w:rFonts w:ascii="Palatino Linotype" w:hAnsi="Palatino Linotype" w:cs="Arial"/>
          <w:b/>
        </w:rPr>
        <w:t xml:space="preserve"> DE REVISIÓN </w:t>
      </w:r>
      <w:r w:rsidR="00D51466" w:rsidRPr="00D51466">
        <w:rPr>
          <w:rFonts w:ascii="Palatino Linotype" w:hAnsi="Palatino Linotype" w:cs="Arial"/>
          <w:b/>
        </w:rPr>
        <w:t>06849/INFOEM/IP/RR/2019</w:t>
      </w:r>
      <w:r w:rsidR="006D1A9A" w:rsidRPr="006D1A9A">
        <w:rPr>
          <w:rFonts w:ascii="Palatino Linotype" w:hAnsi="Palatino Linotype" w:cs="Arial"/>
          <w:b/>
        </w:rPr>
        <w:t>.</w:t>
      </w:r>
    </w:p>
    <w:p w:rsidR="00852166" w:rsidRPr="006D1A9A" w:rsidRDefault="00852166" w:rsidP="00BF7F59">
      <w:pPr>
        <w:widowControl w:val="0"/>
        <w:spacing w:line="360" w:lineRule="auto"/>
        <w:jc w:val="both"/>
        <w:rPr>
          <w:rFonts w:ascii="Palatino Linotype" w:hAnsi="Palatino Linotype" w:cs="Arial"/>
          <w:b/>
        </w:rPr>
      </w:pPr>
    </w:p>
    <w:p w:rsidR="00852166" w:rsidRPr="006D1A9A" w:rsidRDefault="00852166" w:rsidP="00BF7F59">
      <w:pPr>
        <w:spacing w:line="360" w:lineRule="auto"/>
        <w:jc w:val="both"/>
        <w:rPr>
          <w:rFonts w:ascii="Palatino Linotype" w:hAnsi="Palatino Linotype" w:cs="Arial"/>
        </w:rPr>
      </w:pPr>
      <w:r w:rsidRPr="006D1A9A">
        <w:rPr>
          <w:rFonts w:ascii="Palatino Linotype" w:hAnsi="Palatino Linotype" w:cs="Arial"/>
        </w:rPr>
        <w:t>Con fundamento en lo dispuesto por el artí</w:t>
      </w:r>
      <w:r w:rsidR="00D17F9E" w:rsidRPr="006D1A9A">
        <w:rPr>
          <w:rFonts w:ascii="Palatino Linotype" w:hAnsi="Palatino Linotype" w:cs="Arial"/>
        </w:rPr>
        <w:t xml:space="preserve">culo 14, fracciones X y XI del </w:t>
      </w:r>
      <w:r w:rsidR="009B34A5" w:rsidRPr="006D1A9A">
        <w:rPr>
          <w:rFonts w:ascii="Palatino Linotype" w:hAnsi="Palatino Linotype" w:cs="Arial"/>
        </w:rPr>
        <w:t>R</w:t>
      </w:r>
      <w:r w:rsidRPr="006D1A9A">
        <w:rPr>
          <w:rFonts w:ascii="Palatino Linotype" w:hAnsi="Palatino Linotype" w:cs="Arial"/>
        </w:rPr>
        <w:t>eglamento Interior del Instituto de Transparencia, Acceso a la Información Pública y Protección de Datos Personales del E</w:t>
      </w:r>
      <w:r w:rsidR="00E0508D" w:rsidRPr="006D1A9A">
        <w:rPr>
          <w:rFonts w:ascii="Palatino Linotype" w:hAnsi="Palatino Linotype" w:cs="Arial"/>
        </w:rPr>
        <w:t xml:space="preserve">stado de México y Municipios, </w:t>
      </w:r>
      <w:r w:rsidR="006D1A9A" w:rsidRPr="006D1A9A">
        <w:rPr>
          <w:rFonts w:ascii="Palatino Linotype" w:hAnsi="Palatino Linotype" w:cs="Arial"/>
        </w:rPr>
        <w:t>la</w:t>
      </w:r>
      <w:r w:rsidRPr="006D1A9A">
        <w:rPr>
          <w:rFonts w:ascii="Palatino Linotype" w:hAnsi="Palatino Linotype" w:cs="Arial"/>
        </w:rPr>
        <w:t xml:space="preserve"> que suscribe</w:t>
      </w:r>
      <w:r w:rsidRPr="006D1A9A">
        <w:rPr>
          <w:rFonts w:ascii="Palatino Linotype" w:hAnsi="Palatino Linotype" w:cs="Arial"/>
          <w:b/>
          <w:lang w:val="es-ES_tradnl"/>
        </w:rPr>
        <w:t xml:space="preserve"> </w:t>
      </w:r>
      <w:r w:rsidRPr="006D1A9A">
        <w:rPr>
          <w:rFonts w:ascii="Palatino Linotype" w:hAnsi="Palatino Linotype" w:cs="Arial"/>
          <w:b/>
        </w:rPr>
        <w:t xml:space="preserve">EVA ABAID YAPUR </w:t>
      </w:r>
      <w:r w:rsidRPr="006D1A9A">
        <w:rPr>
          <w:rFonts w:ascii="Palatino Linotype" w:hAnsi="Palatino Linotype" w:cs="Arial"/>
        </w:rPr>
        <w:t xml:space="preserve">emite </w:t>
      </w:r>
      <w:r w:rsidRPr="006D1A9A">
        <w:rPr>
          <w:rFonts w:ascii="Palatino Linotype" w:hAnsi="Palatino Linotype" w:cs="Arial"/>
          <w:b/>
        </w:rPr>
        <w:t>VOTO DISIDENTE</w:t>
      </w:r>
      <w:r w:rsidR="006D1A9A" w:rsidRPr="006D1A9A">
        <w:rPr>
          <w:rFonts w:ascii="Palatino Linotype" w:hAnsi="Palatino Linotype" w:cs="Arial"/>
          <w:b/>
        </w:rPr>
        <w:t xml:space="preserve"> </w:t>
      </w:r>
      <w:r w:rsidRPr="006D1A9A">
        <w:rPr>
          <w:rFonts w:ascii="Palatino Linotype" w:hAnsi="Palatino Linotype" w:cs="Arial"/>
        </w:rPr>
        <w:t xml:space="preserve">respecto de la resolución dictada en </w:t>
      </w:r>
      <w:r w:rsidR="006D1A9A" w:rsidRPr="006D1A9A">
        <w:rPr>
          <w:rFonts w:ascii="Palatino Linotype" w:hAnsi="Palatino Linotype" w:cs="Arial"/>
        </w:rPr>
        <w:t>el</w:t>
      </w:r>
      <w:r w:rsidRPr="006D1A9A">
        <w:rPr>
          <w:rFonts w:ascii="Palatino Linotype" w:hAnsi="Palatino Linotype" w:cs="Arial"/>
        </w:rPr>
        <w:t xml:space="preserve"> recurso de revisión </w:t>
      </w:r>
      <w:r w:rsidR="00D51466" w:rsidRPr="00D51466">
        <w:rPr>
          <w:rFonts w:ascii="Palatino Linotype" w:eastAsia="Calibri" w:hAnsi="Palatino Linotype" w:cs="Arial"/>
          <w:b/>
          <w:color w:val="000000"/>
        </w:rPr>
        <w:t>06849/INFOEM/IP/RR/2019</w:t>
      </w:r>
      <w:r w:rsidRPr="006D1A9A">
        <w:rPr>
          <w:rFonts w:ascii="Palatino Linotype" w:hAnsi="Palatino Linotype" w:cs="Arial"/>
        </w:rPr>
        <w:t>, pronunciada por el Pleno de este Instituto ante el proyecto presentado</w:t>
      </w:r>
      <w:r w:rsidR="00713AF2">
        <w:rPr>
          <w:rFonts w:ascii="Palatino Linotype" w:hAnsi="Palatino Linotype" w:cs="Arial"/>
        </w:rPr>
        <w:t xml:space="preserve"> por </w:t>
      </w:r>
      <w:r w:rsidR="009F77C1">
        <w:rPr>
          <w:rFonts w:ascii="Palatino Linotype" w:hAnsi="Palatino Linotype" w:cs="Arial"/>
        </w:rPr>
        <w:t>el</w:t>
      </w:r>
      <w:r w:rsidRPr="006D1A9A">
        <w:rPr>
          <w:rFonts w:ascii="Palatino Linotype" w:hAnsi="Palatino Linotype" w:cs="Arial"/>
        </w:rPr>
        <w:t xml:space="preserve"> Comisionad</w:t>
      </w:r>
      <w:r w:rsidR="009F77C1">
        <w:rPr>
          <w:rFonts w:ascii="Palatino Linotype" w:hAnsi="Palatino Linotype" w:cs="Arial"/>
        </w:rPr>
        <w:t>o</w:t>
      </w:r>
      <w:r w:rsidR="006D1A9A">
        <w:rPr>
          <w:rFonts w:ascii="Palatino Linotype" w:hAnsi="Palatino Linotype" w:cs="Arial"/>
        </w:rPr>
        <w:t xml:space="preserve"> </w:t>
      </w:r>
      <w:r w:rsidR="00713AF2">
        <w:rPr>
          <w:rFonts w:ascii="Palatino Linotype" w:hAnsi="Palatino Linotype" w:cs="Arial"/>
          <w:b/>
        </w:rPr>
        <w:t>J</w:t>
      </w:r>
      <w:r w:rsidR="00D51466">
        <w:rPr>
          <w:rFonts w:ascii="Palatino Linotype" w:hAnsi="Palatino Linotype" w:cs="Arial"/>
          <w:b/>
        </w:rPr>
        <w:t>AVIER MARTÍNEZ CRUZ</w:t>
      </w:r>
      <w:r w:rsidR="006422EF" w:rsidRPr="006D1A9A">
        <w:rPr>
          <w:rFonts w:ascii="Palatino Linotype" w:hAnsi="Palatino Linotype" w:cs="Arial"/>
        </w:rPr>
        <w:t>, que es del tenor siguiente.</w:t>
      </w:r>
    </w:p>
    <w:p w:rsidR="00852166" w:rsidRPr="006D1A9A" w:rsidRDefault="00852166" w:rsidP="00BF7F59">
      <w:pPr>
        <w:widowControl w:val="0"/>
        <w:spacing w:line="360" w:lineRule="auto"/>
        <w:jc w:val="both"/>
        <w:rPr>
          <w:rFonts w:ascii="Palatino Linotype" w:hAnsi="Palatino Linotype" w:cs="Arial"/>
        </w:rPr>
      </w:pPr>
    </w:p>
    <w:p w:rsidR="00D51466" w:rsidRDefault="0005349F" w:rsidP="00D51466">
      <w:pPr>
        <w:spacing w:line="360" w:lineRule="auto"/>
        <w:jc w:val="both"/>
        <w:rPr>
          <w:rFonts w:ascii="Palatino Linotype" w:hAnsi="Palatino Linotype"/>
        </w:rPr>
      </w:pPr>
      <w:r w:rsidRPr="006D1A9A">
        <w:rPr>
          <w:rFonts w:ascii="Palatino Linotype" w:hAnsi="Palatino Linotype"/>
        </w:rPr>
        <w:t>L</w:t>
      </w:r>
      <w:r w:rsidR="006D1A9A">
        <w:rPr>
          <w:rFonts w:ascii="Palatino Linotype" w:hAnsi="Palatino Linotype"/>
        </w:rPr>
        <w:t>a</w:t>
      </w:r>
      <w:r w:rsidRPr="006D1A9A">
        <w:rPr>
          <w:rFonts w:ascii="Palatino Linotype" w:hAnsi="Palatino Linotype"/>
        </w:rPr>
        <w:t xml:space="preserve"> suscrit</w:t>
      </w:r>
      <w:r w:rsidR="006D1A9A">
        <w:rPr>
          <w:rFonts w:ascii="Palatino Linotype" w:hAnsi="Palatino Linotype"/>
        </w:rPr>
        <w:t>a</w:t>
      </w:r>
      <w:r w:rsidRPr="006D1A9A">
        <w:rPr>
          <w:rFonts w:ascii="Palatino Linotype" w:hAnsi="Palatino Linotype"/>
        </w:rPr>
        <w:t xml:space="preserve"> </w:t>
      </w:r>
      <w:r w:rsidR="00E0508D" w:rsidRPr="006D1A9A">
        <w:rPr>
          <w:rFonts w:ascii="Palatino Linotype" w:hAnsi="Palatino Linotype"/>
        </w:rPr>
        <w:t>discrepa</w:t>
      </w:r>
      <w:r w:rsidR="00D17F9E" w:rsidRPr="006D1A9A">
        <w:rPr>
          <w:rFonts w:ascii="Palatino Linotype" w:hAnsi="Palatino Linotype"/>
        </w:rPr>
        <w:t xml:space="preserve"> </w:t>
      </w:r>
      <w:r w:rsidR="003D243B" w:rsidRPr="006D1A9A">
        <w:rPr>
          <w:rFonts w:ascii="Palatino Linotype" w:hAnsi="Palatino Linotype"/>
        </w:rPr>
        <w:t>tanto</w:t>
      </w:r>
      <w:r w:rsidRPr="006D1A9A">
        <w:rPr>
          <w:rFonts w:ascii="Palatino Linotype" w:hAnsi="Palatino Linotype"/>
        </w:rPr>
        <w:t xml:space="preserve"> </w:t>
      </w:r>
      <w:r w:rsidR="00D17F9E" w:rsidRPr="006D1A9A">
        <w:rPr>
          <w:rFonts w:ascii="Palatino Linotype" w:hAnsi="Palatino Linotype"/>
        </w:rPr>
        <w:t xml:space="preserve">con el análisis </w:t>
      </w:r>
      <w:r w:rsidR="003D243B" w:rsidRPr="006D1A9A">
        <w:rPr>
          <w:rFonts w:ascii="Palatino Linotype" w:hAnsi="Palatino Linotype"/>
        </w:rPr>
        <w:t>como</w:t>
      </w:r>
      <w:r w:rsidRPr="006D1A9A">
        <w:rPr>
          <w:rFonts w:ascii="Palatino Linotype" w:hAnsi="Palatino Linotype"/>
        </w:rPr>
        <w:t xml:space="preserve"> </w:t>
      </w:r>
      <w:r w:rsidR="006D1A9A" w:rsidRPr="006D1A9A">
        <w:rPr>
          <w:rFonts w:ascii="Palatino Linotype" w:hAnsi="Palatino Linotype"/>
        </w:rPr>
        <w:t>con el</w:t>
      </w:r>
      <w:r w:rsidRPr="006D1A9A">
        <w:rPr>
          <w:rFonts w:ascii="Palatino Linotype" w:hAnsi="Palatino Linotype"/>
        </w:rPr>
        <w:t xml:space="preserve"> sentido de la resolución de mérito, a través </w:t>
      </w:r>
      <w:r w:rsidR="003D243B" w:rsidRPr="006D1A9A">
        <w:rPr>
          <w:rFonts w:ascii="Palatino Linotype" w:hAnsi="Palatino Linotype"/>
        </w:rPr>
        <w:t>de la cual la Ponencia determinó</w:t>
      </w:r>
      <w:r w:rsidRPr="006D1A9A">
        <w:rPr>
          <w:rFonts w:ascii="Palatino Linotype" w:hAnsi="Palatino Linotype"/>
        </w:rPr>
        <w:t xml:space="preserve"> </w:t>
      </w:r>
      <w:r w:rsidR="00D51466">
        <w:rPr>
          <w:rFonts w:ascii="Palatino Linotype" w:hAnsi="Palatino Linotype"/>
          <w:b/>
        </w:rPr>
        <w:t xml:space="preserve">MODIFICAR </w:t>
      </w:r>
      <w:r w:rsidR="00713AF2" w:rsidRPr="00713AF2">
        <w:rPr>
          <w:rFonts w:ascii="Palatino Linotype" w:hAnsi="Palatino Linotype"/>
        </w:rPr>
        <w:t>la respuesta del</w:t>
      </w:r>
      <w:r w:rsidR="00713AF2">
        <w:rPr>
          <w:rFonts w:ascii="Palatino Linotype" w:hAnsi="Palatino Linotype"/>
          <w:b/>
        </w:rPr>
        <w:t xml:space="preserve"> </w:t>
      </w:r>
      <w:r w:rsidR="006D1A9A" w:rsidRPr="006D1A9A">
        <w:rPr>
          <w:rFonts w:ascii="Palatino Linotype" w:hAnsi="Palatino Linotype"/>
          <w:b/>
        </w:rPr>
        <w:t xml:space="preserve">SUJETO OBLIGADO </w:t>
      </w:r>
      <w:r w:rsidR="00713AF2" w:rsidRPr="00713AF2">
        <w:rPr>
          <w:rFonts w:ascii="Palatino Linotype" w:hAnsi="Palatino Linotype"/>
        </w:rPr>
        <w:t>ordenándole</w:t>
      </w:r>
      <w:r w:rsidR="00713AF2">
        <w:rPr>
          <w:rFonts w:ascii="Palatino Linotype" w:hAnsi="Palatino Linotype"/>
          <w:b/>
        </w:rPr>
        <w:t xml:space="preserve"> </w:t>
      </w:r>
      <w:r w:rsidR="006D1A9A" w:rsidRPr="006D1A9A">
        <w:rPr>
          <w:rFonts w:ascii="Palatino Linotype" w:hAnsi="Palatino Linotype"/>
        </w:rPr>
        <w:t xml:space="preserve">que </w:t>
      </w:r>
      <w:r w:rsidR="00713AF2">
        <w:rPr>
          <w:rFonts w:ascii="Palatino Linotype" w:hAnsi="Palatino Linotype"/>
        </w:rPr>
        <w:t xml:space="preserve">hiciera entrega, </w:t>
      </w:r>
      <w:r w:rsidR="00D51466" w:rsidRPr="00D51466">
        <w:rPr>
          <w:rFonts w:ascii="Palatino Linotype" w:hAnsi="Palatino Linotype"/>
        </w:rPr>
        <w:t xml:space="preserve">previa acreditación de su identidad, </w:t>
      </w:r>
      <w:r w:rsidR="00D51466">
        <w:rPr>
          <w:rFonts w:ascii="Palatino Linotype" w:hAnsi="Palatino Linotype"/>
        </w:rPr>
        <w:t>de la c</w:t>
      </w:r>
      <w:r w:rsidR="00D51466" w:rsidRPr="00D51466">
        <w:rPr>
          <w:rFonts w:ascii="Palatino Linotype" w:hAnsi="Palatino Linotype"/>
        </w:rPr>
        <w:t>opia del expediente que obra en archivos del Órgano de Control Interno del Sujeto Obligado, respecto a las denuncias interpuestas por la persona referida en la solicitud, por el tema de patrullas, con todas sus oficios generados y recibidos.</w:t>
      </w:r>
    </w:p>
    <w:p w:rsidR="00AC0A19" w:rsidRDefault="0005349F" w:rsidP="00D51466">
      <w:pPr>
        <w:spacing w:line="360" w:lineRule="auto"/>
        <w:jc w:val="both"/>
        <w:rPr>
          <w:rFonts w:ascii="Palatino Linotype" w:hAnsi="Palatino Linotype"/>
        </w:rPr>
      </w:pPr>
      <w:r w:rsidRPr="006D1A9A">
        <w:rPr>
          <w:rFonts w:ascii="Palatino Linotype" w:hAnsi="Palatino Linotype"/>
        </w:rPr>
        <w:lastRenderedPageBreak/>
        <w:t xml:space="preserve">En primer término, </w:t>
      </w:r>
      <w:r w:rsidR="007342FF">
        <w:rPr>
          <w:rFonts w:ascii="Palatino Linotype" w:hAnsi="Palatino Linotype"/>
        </w:rPr>
        <w:t xml:space="preserve">hay que recordar el contenido de </w:t>
      </w:r>
      <w:r w:rsidRPr="006D1A9A">
        <w:rPr>
          <w:rFonts w:ascii="Palatino Linotype" w:hAnsi="Palatino Linotype"/>
        </w:rPr>
        <w:t xml:space="preserve">la solicitud de acceso a la información </w:t>
      </w:r>
      <w:r w:rsidR="003D243B" w:rsidRPr="006D1A9A">
        <w:rPr>
          <w:rFonts w:ascii="Palatino Linotype" w:hAnsi="Palatino Linotype"/>
        </w:rPr>
        <w:t xml:space="preserve">pública </w:t>
      </w:r>
      <w:r w:rsidRPr="006D1A9A">
        <w:rPr>
          <w:rFonts w:ascii="Palatino Linotype" w:hAnsi="Palatino Linotype"/>
        </w:rPr>
        <w:t xml:space="preserve">hecha por </w:t>
      </w:r>
      <w:r w:rsidR="006D1A9A">
        <w:rPr>
          <w:rFonts w:ascii="Palatino Linotype" w:hAnsi="Palatino Linotype"/>
        </w:rPr>
        <w:t>el</w:t>
      </w:r>
      <w:r w:rsidRPr="006D1A9A">
        <w:rPr>
          <w:rFonts w:ascii="Palatino Linotype" w:hAnsi="Palatino Linotype"/>
        </w:rPr>
        <w:t xml:space="preserve"> particular</w:t>
      </w:r>
      <w:r w:rsidR="00153E26" w:rsidRPr="006D1A9A">
        <w:rPr>
          <w:rFonts w:ascii="Palatino Linotype" w:hAnsi="Palatino Linotype"/>
        </w:rPr>
        <w:t xml:space="preserve"> </w:t>
      </w:r>
      <w:r w:rsidRPr="006D1A9A">
        <w:rPr>
          <w:rFonts w:ascii="Palatino Linotype" w:hAnsi="Palatino Linotype"/>
        </w:rPr>
        <w:t>en la que requi</w:t>
      </w:r>
      <w:r w:rsidR="003D243B" w:rsidRPr="006D1A9A">
        <w:rPr>
          <w:rFonts w:ascii="Palatino Linotype" w:hAnsi="Palatino Linotype"/>
        </w:rPr>
        <w:t>ri</w:t>
      </w:r>
      <w:r w:rsidR="006D1A9A">
        <w:rPr>
          <w:rFonts w:ascii="Palatino Linotype" w:hAnsi="Palatino Linotype"/>
        </w:rPr>
        <w:t>ó</w:t>
      </w:r>
      <w:r w:rsidRPr="006D1A9A">
        <w:rPr>
          <w:rFonts w:ascii="Palatino Linotype" w:hAnsi="Palatino Linotype"/>
        </w:rPr>
        <w:t xml:space="preserve"> del </w:t>
      </w:r>
      <w:r w:rsidRPr="006D1A9A">
        <w:rPr>
          <w:rFonts w:ascii="Palatino Linotype" w:hAnsi="Palatino Linotype"/>
          <w:b/>
        </w:rPr>
        <w:t>SUJETO OBLIGADO</w:t>
      </w:r>
      <w:r w:rsidR="00AC0A19" w:rsidRPr="006D1A9A">
        <w:rPr>
          <w:rFonts w:ascii="Palatino Linotype" w:hAnsi="Palatino Linotype"/>
        </w:rPr>
        <w:t xml:space="preserve">, </w:t>
      </w:r>
      <w:r w:rsidR="00D51466">
        <w:rPr>
          <w:rFonts w:ascii="Palatino Linotype" w:hAnsi="Palatino Linotype"/>
        </w:rPr>
        <w:t>las denuncias presentadas ante éste y otros Sujetos Obligados, haciendo una serie de manifestaciones que no resultan atendibles mediante del ejercicio del derecho de acceso a la información pública.</w:t>
      </w:r>
    </w:p>
    <w:p w:rsidR="006D1A9A" w:rsidRPr="006D1A9A" w:rsidRDefault="006D1A9A" w:rsidP="00BF7F59">
      <w:pPr>
        <w:spacing w:line="360" w:lineRule="auto"/>
        <w:jc w:val="both"/>
        <w:rPr>
          <w:rFonts w:ascii="Palatino Linotype" w:hAnsi="Palatino Linotype"/>
        </w:rPr>
      </w:pPr>
    </w:p>
    <w:p w:rsidR="00683D4E" w:rsidRDefault="00AC0A19" w:rsidP="000E2A10">
      <w:pPr>
        <w:spacing w:line="360" w:lineRule="auto"/>
        <w:jc w:val="both"/>
        <w:rPr>
          <w:rFonts w:ascii="Palatino Linotype" w:hAnsi="Palatino Linotype"/>
        </w:rPr>
      </w:pPr>
      <w:r w:rsidRPr="006D1A9A">
        <w:rPr>
          <w:rFonts w:ascii="Palatino Linotype" w:hAnsi="Palatino Linotype"/>
        </w:rPr>
        <w:t xml:space="preserve">Al respecto, </w:t>
      </w:r>
      <w:r w:rsidRPr="006D1A9A">
        <w:rPr>
          <w:rFonts w:ascii="Palatino Linotype" w:hAnsi="Palatino Linotype"/>
          <w:b/>
        </w:rPr>
        <w:t xml:space="preserve">EL SUJETO OBLIGADO </w:t>
      </w:r>
      <w:r w:rsidR="009B1D18" w:rsidRPr="006D1A9A">
        <w:rPr>
          <w:rFonts w:ascii="Palatino Linotype" w:hAnsi="Palatino Linotype"/>
        </w:rPr>
        <w:t xml:space="preserve">en respuesta </w:t>
      </w:r>
      <w:r w:rsidR="009B3E61">
        <w:rPr>
          <w:rFonts w:ascii="Palatino Linotype" w:hAnsi="Palatino Linotype"/>
        </w:rPr>
        <w:t xml:space="preserve">a través </w:t>
      </w:r>
      <w:r w:rsidR="00683D4E">
        <w:rPr>
          <w:rFonts w:ascii="Palatino Linotype" w:hAnsi="Palatino Linotype"/>
        </w:rPr>
        <w:t xml:space="preserve">Titular del </w:t>
      </w:r>
      <w:r w:rsidR="00CA5B82">
        <w:rPr>
          <w:rFonts w:ascii="Palatino Linotype" w:hAnsi="Palatino Linotype"/>
        </w:rPr>
        <w:t>Órgano</w:t>
      </w:r>
      <w:r w:rsidR="00683D4E">
        <w:rPr>
          <w:rFonts w:ascii="Palatino Linotype" w:hAnsi="Palatino Linotype"/>
        </w:rPr>
        <w:t xml:space="preserve"> de Control Interno señaló que los </w:t>
      </w:r>
      <w:r w:rsidR="00683D4E" w:rsidRPr="002767E3">
        <w:rPr>
          <w:rFonts w:ascii="Palatino Linotype" w:hAnsi="Palatino Linotype" w:cs="Arial"/>
          <w:lang w:eastAsia="es-MX"/>
        </w:rPr>
        <w:t>Órganos adscritos a l</w:t>
      </w:r>
      <w:r w:rsidR="00CA5B82">
        <w:rPr>
          <w:rFonts w:ascii="Palatino Linotype" w:hAnsi="Palatino Linotype" w:cs="Arial"/>
          <w:lang w:eastAsia="es-MX"/>
        </w:rPr>
        <w:t>a</w:t>
      </w:r>
      <w:r w:rsidR="00683D4E" w:rsidRPr="002767E3">
        <w:rPr>
          <w:rFonts w:ascii="Palatino Linotype" w:hAnsi="Palatino Linotype" w:cs="Arial"/>
          <w:lang w:eastAsia="es-MX"/>
        </w:rPr>
        <w:t xml:space="preserve">s </w:t>
      </w:r>
      <w:r w:rsidR="00683D4E">
        <w:rPr>
          <w:rFonts w:ascii="Palatino Linotype" w:hAnsi="Palatino Linotype" w:cs="Arial"/>
          <w:lang w:eastAsia="es-MX"/>
        </w:rPr>
        <w:t>Dependencias del Poder Ejecutivo</w:t>
      </w:r>
      <w:r w:rsidR="00683D4E" w:rsidRPr="002767E3">
        <w:rPr>
          <w:rFonts w:ascii="Palatino Linotype" w:hAnsi="Palatino Linotype" w:cs="Arial"/>
          <w:lang w:eastAsia="es-MX"/>
        </w:rPr>
        <w:t>, dependerán jerárquica y funcionalmente de la Secretaría de la Contraloría del Estado de México</w:t>
      </w:r>
      <w:r w:rsidR="00683D4E">
        <w:rPr>
          <w:rFonts w:ascii="Palatino Linotype" w:hAnsi="Palatino Linotype"/>
        </w:rPr>
        <w:t xml:space="preserve">, </w:t>
      </w:r>
      <w:r w:rsidR="00C3480C">
        <w:rPr>
          <w:rFonts w:ascii="Palatino Linotype" w:hAnsi="Palatino Linotype"/>
        </w:rPr>
        <w:t>correspondiendo la competencia a un</w:t>
      </w:r>
      <w:r w:rsidR="00683D4E" w:rsidRPr="00683D4E">
        <w:rPr>
          <w:rFonts w:ascii="Palatino Linotype" w:hAnsi="Palatino Linotype"/>
        </w:rPr>
        <w:t xml:space="preserve"> Sujeto Obligado distinto; </w:t>
      </w:r>
      <w:r w:rsidR="00C3480C">
        <w:rPr>
          <w:rFonts w:ascii="Palatino Linotype" w:hAnsi="Palatino Linotype"/>
        </w:rPr>
        <w:t xml:space="preserve">por lo que </w:t>
      </w:r>
      <w:r w:rsidR="00683D4E" w:rsidRPr="00683D4E">
        <w:rPr>
          <w:rFonts w:ascii="Palatino Linotype" w:hAnsi="Palatino Linotype"/>
        </w:rPr>
        <w:t xml:space="preserve">orientó al particular a dirigir </w:t>
      </w:r>
      <w:r w:rsidR="00683D4E">
        <w:rPr>
          <w:rFonts w:ascii="Palatino Linotype" w:hAnsi="Palatino Linotype"/>
        </w:rPr>
        <w:t>su solicitud a la Dependencia competente.</w:t>
      </w:r>
      <w:r w:rsidR="00683D4E" w:rsidRPr="00683D4E">
        <w:rPr>
          <w:rFonts w:ascii="Palatino Linotype" w:hAnsi="Palatino Linotype"/>
        </w:rPr>
        <w:t xml:space="preserve"> </w:t>
      </w:r>
    </w:p>
    <w:p w:rsidR="00683D4E" w:rsidRDefault="00683D4E" w:rsidP="000E2A10">
      <w:pPr>
        <w:spacing w:line="360" w:lineRule="auto"/>
        <w:jc w:val="both"/>
        <w:rPr>
          <w:rFonts w:ascii="Palatino Linotype" w:hAnsi="Palatino Linotype"/>
        </w:rPr>
      </w:pPr>
    </w:p>
    <w:p w:rsidR="00665DEF" w:rsidRDefault="00665DEF" w:rsidP="000E2A10">
      <w:pPr>
        <w:spacing w:line="360" w:lineRule="auto"/>
        <w:jc w:val="both"/>
        <w:rPr>
          <w:rFonts w:ascii="Palatino Linotype" w:hAnsi="Palatino Linotype" w:cs="Arial"/>
        </w:rPr>
      </w:pPr>
      <w:r>
        <w:rPr>
          <w:rFonts w:ascii="Palatino Linotype" w:hAnsi="Palatino Linotype" w:cs="Arial"/>
        </w:rPr>
        <w:t xml:space="preserve">Inconforme con la respuesta, </w:t>
      </w:r>
      <w:r w:rsidRPr="00CA5B82">
        <w:rPr>
          <w:rFonts w:ascii="Palatino Linotype" w:hAnsi="Palatino Linotype" w:cs="Arial"/>
          <w:b/>
        </w:rPr>
        <w:t>EL</w:t>
      </w:r>
      <w:r>
        <w:rPr>
          <w:rFonts w:ascii="Palatino Linotype" w:hAnsi="Palatino Linotype" w:cs="Arial"/>
        </w:rPr>
        <w:t xml:space="preserve"> </w:t>
      </w:r>
      <w:r w:rsidRPr="00665DEF">
        <w:rPr>
          <w:rFonts w:ascii="Palatino Linotype" w:hAnsi="Palatino Linotype" w:cs="Arial"/>
          <w:b/>
        </w:rPr>
        <w:t>RECURRENTE</w:t>
      </w:r>
      <w:r>
        <w:rPr>
          <w:rFonts w:ascii="Palatino Linotype" w:hAnsi="Palatino Linotype" w:cs="Arial"/>
          <w:b/>
        </w:rPr>
        <w:t xml:space="preserve"> </w:t>
      </w:r>
      <w:r>
        <w:rPr>
          <w:rFonts w:ascii="Palatino Linotype" w:hAnsi="Palatino Linotype" w:cs="Arial"/>
        </w:rPr>
        <w:t xml:space="preserve">procedió a interponer el recurso de revisión; por lo que la Ponencia </w:t>
      </w:r>
      <w:r w:rsidR="00C3480C">
        <w:rPr>
          <w:rFonts w:ascii="Palatino Linotype" w:hAnsi="Palatino Linotype" w:cs="Arial"/>
        </w:rPr>
        <w:t>R</w:t>
      </w:r>
      <w:r w:rsidR="00CA5B82">
        <w:rPr>
          <w:rFonts w:ascii="Palatino Linotype" w:hAnsi="Palatino Linotype" w:cs="Arial"/>
        </w:rPr>
        <w:t>esolutora</w:t>
      </w:r>
      <w:r>
        <w:rPr>
          <w:rFonts w:ascii="Palatino Linotype" w:hAnsi="Palatino Linotype" w:cs="Arial"/>
        </w:rPr>
        <w:t xml:space="preserve"> determinó ordenar la entrega de la información en los términos anteriormente descritos. </w:t>
      </w:r>
    </w:p>
    <w:p w:rsidR="00683D4E" w:rsidRDefault="00683D4E" w:rsidP="000E2A10">
      <w:pPr>
        <w:spacing w:line="360" w:lineRule="auto"/>
        <w:jc w:val="both"/>
        <w:rPr>
          <w:rFonts w:ascii="Palatino Linotype" w:hAnsi="Palatino Linotype" w:cs="Arial"/>
        </w:rPr>
      </w:pPr>
    </w:p>
    <w:p w:rsidR="00683D4E" w:rsidRPr="002767E3" w:rsidRDefault="00665DEF" w:rsidP="00683D4E">
      <w:pPr>
        <w:spacing w:line="360" w:lineRule="auto"/>
        <w:jc w:val="both"/>
        <w:rPr>
          <w:rFonts w:ascii="Palatino Linotype" w:hAnsi="Palatino Linotype" w:cs="Arial"/>
          <w:lang w:eastAsia="es-MX"/>
        </w:rPr>
      </w:pPr>
      <w:r>
        <w:rPr>
          <w:rFonts w:ascii="Palatino Linotype" w:hAnsi="Palatino Linotype" w:cs="Arial"/>
        </w:rPr>
        <w:t xml:space="preserve">Sin embargo, </w:t>
      </w:r>
      <w:r w:rsidR="00C3480C">
        <w:rPr>
          <w:rFonts w:ascii="Palatino Linotype" w:hAnsi="Palatino Linotype" w:cs="Arial"/>
        </w:rPr>
        <w:t xml:space="preserve">se estima que </w:t>
      </w:r>
      <w:r w:rsidR="00683D4E" w:rsidRPr="002767E3">
        <w:rPr>
          <w:rFonts w:ascii="Palatino Linotype" w:hAnsi="Palatino Linotype" w:cs="Arial"/>
          <w:lang w:eastAsia="es-MX"/>
        </w:rPr>
        <w:t xml:space="preserve">de acuerdo con la Ley Orgánica de la Administración Pública del Estado de México, la Secretaría de la Contraloría del Estado de México, es la dependencia encargada de la vigilancia, fiscalización y control de los ingresos, gastos, recursos y </w:t>
      </w:r>
      <w:r w:rsidR="00683D4E" w:rsidRPr="002767E3">
        <w:rPr>
          <w:rFonts w:ascii="Palatino Linotype" w:hAnsi="Palatino Linotype" w:cs="Arial"/>
          <w:b/>
          <w:lang w:eastAsia="es-MX"/>
        </w:rPr>
        <w:t>obligaciones de la administración pública estatal y su sector auxiliar</w:t>
      </w:r>
      <w:r w:rsidR="00683D4E" w:rsidRPr="002767E3">
        <w:rPr>
          <w:rFonts w:ascii="Palatino Linotype" w:hAnsi="Palatino Linotype" w:cs="Arial"/>
          <w:lang w:eastAsia="es-MX"/>
        </w:rPr>
        <w:t>, así como de las responsabilidades de los servidores públicos, en términos de lo que disponga la normatividad aplicable en la materia; señalando en su artículo 38 bis las funciones que ésta dese</w:t>
      </w:r>
      <w:r w:rsidR="00CA5B82">
        <w:rPr>
          <w:rFonts w:ascii="Palatino Linotype" w:hAnsi="Palatino Linotype" w:cs="Arial"/>
          <w:lang w:eastAsia="es-MX"/>
        </w:rPr>
        <w:t>mpeñará</w:t>
      </w:r>
      <w:r w:rsidR="00683D4E" w:rsidRPr="002767E3">
        <w:rPr>
          <w:rFonts w:ascii="Palatino Linotype" w:hAnsi="Palatino Linotype" w:cs="Arial"/>
          <w:lang w:eastAsia="es-MX"/>
        </w:rPr>
        <w:t xml:space="preserve"> siendo las siguientes:</w:t>
      </w:r>
    </w:p>
    <w:p w:rsidR="00683D4E" w:rsidRPr="002767E3" w:rsidRDefault="00683D4E" w:rsidP="00683D4E">
      <w:pPr>
        <w:spacing w:line="360" w:lineRule="auto"/>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lastRenderedPageBreak/>
        <w:t xml:space="preserve">A la propia </w:t>
      </w:r>
      <w:r w:rsidRPr="002767E3">
        <w:rPr>
          <w:rFonts w:ascii="Palatino Linotype" w:hAnsi="Palatino Linotype" w:cs="Arial"/>
          <w:b/>
          <w:i/>
          <w:sz w:val="22"/>
          <w:szCs w:val="22"/>
          <w:lang w:eastAsia="es-MX"/>
        </w:rPr>
        <w:t>Secretaría</w:t>
      </w:r>
      <w:r w:rsidRPr="002767E3">
        <w:rPr>
          <w:rFonts w:ascii="Palatino Linotype" w:hAnsi="Palatino Linotype" w:cs="Arial"/>
          <w:i/>
          <w:sz w:val="22"/>
          <w:szCs w:val="22"/>
          <w:lang w:eastAsia="es-MX"/>
        </w:rPr>
        <w:t>, le corresponde el despacho de los siguientes asuntos:</w:t>
      </w: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683D4E" w:rsidRDefault="00683D4E" w:rsidP="00683D4E">
      <w:pPr>
        <w:ind w:left="709" w:right="757"/>
        <w:jc w:val="both"/>
        <w:rPr>
          <w:rFonts w:ascii="Palatino Linotype" w:hAnsi="Palatino Linotype" w:cs="Arial"/>
          <w:i/>
          <w:sz w:val="22"/>
          <w:szCs w:val="22"/>
          <w:lang w:eastAsia="es-MX"/>
        </w:rPr>
      </w:pPr>
      <w:r w:rsidRPr="00683D4E">
        <w:rPr>
          <w:rFonts w:ascii="Palatino Linotype" w:hAnsi="Palatino Linotype" w:cs="Arial"/>
          <w:i/>
          <w:sz w:val="22"/>
          <w:szCs w:val="22"/>
          <w:lang w:eastAsia="es-MX"/>
        </w:rPr>
        <w:t>II. Fiscalizar e inspeccionar el ejercicio del gasto público estatal y su congruencia con el presupuesto de egresos.</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III. Formular y expedir las normas y criterios que regulen el funcionamiento de los instrumentos, sistemas y procedimientos de control de la administración pública estatal. </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La Secretaría discrecionalmente podrá requerir de las dependencias competentes, la instrumentación de normas complementarias para el ejercicio de sus facultades de control.</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IV. Vigilar y supervisar el cumplimiento de las normas de control y fiscalización, así como </w:t>
      </w:r>
      <w:r w:rsidRPr="002767E3">
        <w:rPr>
          <w:rFonts w:ascii="Palatino Linotype" w:hAnsi="Palatino Linotype" w:cs="Arial"/>
          <w:b/>
          <w:i/>
          <w:sz w:val="22"/>
          <w:szCs w:val="22"/>
          <w:lang w:eastAsia="es-MX"/>
        </w:rPr>
        <w:t>asesorar y apoyar a los órganos de control interno de las dependencias</w:t>
      </w:r>
      <w:r w:rsidRPr="002767E3">
        <w:rPr>
          <w:rFonts w:ascii="Palatino Linotype" w:hAnsi="Palatino Linotype" w:cs="Arial"/>
          <w:i/>
          <w:sz w:val="22"/>
          <w:szCs w:val="22"/>
          <w:lang w:eastAsia="es-MX"/>
        </w:rPr>
        <w:t>, organismos auxiliares y fideicomisos de la administración pública estatal.</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i/>
          <w:sz w:val="22"/>
          <w:szCs w:val="22"/>
          <w:lang w:eastAsia="es-MX"/>
        </w:rPr>
        <w:t xml:space="preserve">V. Establecer y dictar las bases generales para la realización de auditorías e inspecciones en las dependencias, organismos auxiliares y fideicomisos de carácter estatal así como realizar las que se requieran en substitución o </w:t>
      </w:r>
      <w:r w:rsidRPr="002767E3">
        <w:rPr>
          <w:rFonts w:ascii="Palatino Linotype" w:hAnsi="Palatino Linotype" w:cs="Arial"/>
          <w:b/>
          <w:i/>
          <w:sz w:val="22"/>
          <w:szCs w:val="22"/>
          <w:lang w:eastAsia="es-MX"/>
        </w:rPr>
        <w:t>apoyo de sus propios órganos de control</w:t>
      </w:r>
      <w:r w:rsidRPr="002767E3">
        <w:rPr>
          <w:rFonts w:ascii="Palatino Linotype" w:hAnsi="Palatino Linotype" w:cs="Arial"/>
          <w:i/>
          <w:sz w:val="22"/>
          <w:szCs w:val="22"/>
          <w:lang w:eastAsia="es-MX"/>
        </w:rPr>
        <w:t>.</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b/>
          <w:i/>
          <w:sz w:val="22"/>
          <w:szCs w:val="22"/>
          <w:lang w:eastAsia="es-MX"/>
        </w:rPr>
        <w:t>VII. Realizar por sí o a solicitud de parte, auditorías, revisiones y evaluaciones a las dependencias,</w:t>
      </w:r>
      <w:r w:rsidRPr="002767E3">
        <w:rPr>
          <w:rFonts w:ascii="Palatino Linotype" w:hAnsi="Palatino Linotype" w:cs="Arial"/>
          <w:i/>
          <w:sz w:val="22"/>
          <w:szCs w:val="22"/>
          <w:lang w:eastAsia="es-MX"/>
        </w:rPr>
        <w:t xml:space="preserve"> organismos auxiliares y fideicomisos de carácter estatal, con el objeto de controlar, examinar, fiscalizar y promover la eficacia, legalidad y la transparencia en sus operaciones y verificar de acuerdo con su competencia el cumplimiento de los objetivos y metas contenidos en sus programas, de manera trimestral los programas de mejora regulatoria, la actualización del Registro Estatal de Trámites y Servicios, así como a las disposiciones contenidas en la Ley de Gobierno Digital del Estado de México y Municipios y su Reglamento.</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b/>
          <w:i/>
          <w:sz w:val="22"/>
          <w:szCs w:val="22"/>
          <w:lang w:eastAsia="es-MX"/>
        </w:rPr>
      </w:pPr>
      <w:r w:rsidRPr="002767E3">
        <w:rPr>
          <w:rFonts w:ascii="Palatino Linotype" w:hAnsi="Palatino Linotype" w:cs="Arial"/>
          <w:b/>
          <w:i/>
          <w:sz w:val="22"/>
          <w:szCs w:val="22"/>
          <w:lang w:eastAsia="es-MX"/>
        </w:rPr>
        <w:t xml:space="preserve">VIII. Inspeccionar y vigilar directamente o a través de los órganos de control que las dependencias, organismos auxiliares y fideicomisos de la Administración Pública Estatal, cumplan con las normas y disposiciones en materia de: sistema de registro y contabilidad, contratación y pago de personal, contratación de servicios, obra pública, adquisiciones, arrendamientos, </w:t>
      </w:r>
      <w:r w:rsidRPr="002767E3">
        <w:rPr>
          <w:rFonts w:ascii="Palatino Linotype" w:hAnsi="Palatino Linotype" w:cs="Arial"/>
          <w:b/>
          <w:i/>
          <w:sz w:val="22"/>
          <w:szCs w:val="22"/>
          <w:lang w:eastAsia="es-MX"/>
        </w:rPr>
        <w:lastRenderedPageBreak/>
        <w:t>conservación, uso, destino, afectación, enajenación y baja de bienes y demás activos y recursos materiales de la Administración Pública Estatal.</w:t>
      </w:r>
    </w:p>
    <w:p w:rsidR="00683D4E" w:rsidRPr="002767E3"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b/>
          <w:i/>
          <w:sz w:val="22"/>
          <w:szCs w:val="22"/>
          <w:lang w:eastAsia="es-MX"/>
        </w:rPr>
      </w:pPr>
      <w:r w:rsidRPr="002767E3">
        <w:rPr>
          <w:rFonts w:ascii="Palatino Linotype" w:hAnsi="Palatino Linotype" w:cs="Arial"/>
          <w:b/>
          <w:i/>
          <w:sz w:val="22"/>
          <w:szCs w:val="22"/>
          <w:lang w:eastAsia="es-MX"/>
        </w:rPr>
        <w:t>…</w:t>
      </w:r>
    </w:p>
    <w:p w:rsidR="00683D4E" w:rsidRPr="002767E3" w:rsidRDefault="00683D4E" w:rsidP="00683D4E">
      <w:pPr>
        <w:ind w:left="709" w:right="757"/>
        <w:jc w:val="both"/>
        <w:rPr>
          <w:rFonts w:ascii="Palatino Linotype" w:hAnsi="Palatino Linotype" w:cs="Arial"/>
          <w:i/>
          <w:sz w:val="22"/>
          <w:szCs w:val="22"/>
          <w:lang w:eastAsia="es-MX"/>
        </w:rPr>
      </w:pPr>
    </w:p>
    <w:p w:rsidR="00683D4E" w:rsidRDefault="00683D4E" w:rsidP="00683D4E">
      <w:pPr>
        <w:ind w:left="709" w:right="757"/>
        <w:jc w:val="both"/>
        <w:rPr>
          <w:rFonts w:ascii="Palatino Linotype" w:hAnsi="Palatino Linotype" w:cs="Arial"/>
          <w:i/>
          <w:sz w:val="22"/>
          <w:szCs w:val="22"/>
          <w:lang w:eastAsia="es-MX"/>
        </w:rPr>
      </w:pPr>
      <w:r w:rsidRPr="002767E3">
        <w:rPr>
          <w:rFonts w:ascii="Palatino Linotype" w:hAnsi="Palatino Linotype" w:cs="Arial"/>
          <w:b/>
          <w:i/>
          <w:sz w:val="22"/>
          <w:szCs w:val="22"/>
          <w:lang w:eastAsia="es-MX"/>
        </w:rPr>
        <w:t>XIV. Designar y remover a los titulares de los órganos internos de control de las dependencias</w:t>
      </w:r>
      <w:r w:rsidRPr="002767E3">
        <w:rPr>
          <w:rFonts w:ascii="Palatino Linotype" w:hAnsi="Palatino Linotype" w:cs="Arial"/>
          <w:i/>
          <w:sz w:val="22"/>
          <w:szCs w:val="22"/>
          <w:lang w:eastAsia="es-MX"/>
        </w:rPr>
        <w:t xml:space="preserve">, organismos auxiliares, fideicomisos de la administración pública estatal y de las unidades administrativas equivalentes de las empresas de participación estatal, sociedades o asociaciones asimiladas a éstas </w:t>
      </w:r>
      <w:r w:rsidRPr="002767E3">
        <w:rPr>
          <w:rFonts w:ascii="Palatino Linotype" w:hAnsi="Palatino Linotype" w:cs="Arial"/>
          <w:b/>
          <w:i/>
          <w:sz w:val="22"/>
          <w:szCs w:val="22"/>
          <w:lang w:eastAsia="es-MX"/>
        </w:rPr>
        <w:t>quienes dependerán jerárquica y funcionalmente de la Secretaría de la Contraloría del Estado de México</w:t>
      </w:r>
      <w:r w:rsidRPr="002767E3">
        <w:rPr>
          <w:rFonts w:ascii="Palatino Linotype" w:hAnsi="Palatino Linotype" w:cs="Arial"/>
          <w:i/>
          <w:sz w:val="22"/>
          <w:szCs w:val="22"/>
          <w:lang w:eastAsia="es-MX"/>
        </w:rPr>
        <w:t xml:space="preserve"> </w:t>
      </w:r>
      <w:r w:rsidRPr="002767E3">
        <w:rPr>
          <w:rFonts w:ascii="Palatino Linotype" w:hAnsi="Palatino Linotype" w:cs="Arial"/>
          <w:b/>
          <w:i/>
          <w:sz w:val="22"/>
          <w:szCs w:val="22"/>
          <w:lang w:eastAsia="es-MX"/>
        </w:rPr>
        <w:t>y a los titulares de las áreas de auditoría, quejas y responsabilidades de los citados órganos internos de control</w:t>
      </w:r>
      <w:r w:rsidRPr="002767E3">
        <w:rPr>
          <w:rFonts w:ascii="Palatino Linotype" w:hAnsi="Palatino Linotype" w:cs="Arial"/>
          <w:i/>
          <w:sz w:val="22"/>
          <w:szCs w:val="22"/>
          <w:lang w:eastAsia="es-MX"/>
        </w:rPr>
        <w:t>.</w:t>
      </w:r>
    </w:p>
    <w:p w:rsidR="00683D4E" w:rsidRDefault="00683D4E" w:rsidP="00683D4E">
      <w:pPr>
        <w:ind w:left="709" w:right="757"/>
        <w:jc w:val="both"/>
        <w:rPr>
          <w:rFonts w:ascii="Palatino Linotype" w:hAnsi="Palatino Linotype" w:cs="Arial"/>
          <w:i/>
          <w:sz w:val="22"/>
          <w:szCs w:val="22"/>
          <w:lang w:eastAsia="es-MX"/>
        </w:rPr>
      </w:pPr>
    </w:p>
    <w:p w:rsidR="00683D4E" w:rsidRDefault="00683D4E" w:rsidP="00683D4E">
      <w:pPr>
        <w:ind w:left="709" w:right="757"/>
        <w:jc w:val="both"/>
        <w:rPr>
          <w:rFonts w:ascii="Palatino Linotype" w:hAnsi="Palatino Linotype" w:cs="Arial"/>
          <w:i/>
          <w:sz w:val="22"/>
          <w:szCs w:val="22"/>
          <w:lang w:eastAsia="es-MX"/>
        </w:rPr>
      </w:pPr>
      <w:r w:rsidRPr="00683D4E">
        <w:rPr>
          <w:rFonts w:ascii="Palatino Linotype" w:hAnsi="Palatino Linotype" w:cs="Arial"/>
          <w:i/>
          <w:sz w:val="22"/>
          <w:szCs w:val="22"/>
          <w:lang w:eastAsia="es-MX"/>
        </w:rPr>
        <w:t>XVIII. Atender y dar seguimiento a las denuncias y quejas que presenten los particulares con</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motivo de acuerdos, convenios o contratos que celebren con las dependencias, organismos</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auxiliares y fideicomisos de la administración pública estatal, así como de las empresas de</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participación estatal, sociedades o asociaciones asimiladas a éstas.</w:t>
      </w:r>
    </w:p>
    <w:p w:rsidR="00683D4E" w:rsidRDefault="00683D4E" w:rsidP="00683D4E">
      <w:pPr>
        <w:ind w:left="709" w:right="757"/>
        <w:jc w:val="both"/>
        <w:rPr>
          <w:rFonts w:ascii="Palatino Linotype" w:hAnsi="Palatino Linotype" w:cs="Arial"/>
          <w:i/>
          <w:sz w:val="22"/>
          <w:szCs w:val="22"/>
          <w:lang w:eastAsia="es-MX"/>
        </w:rPr>
      </w:pPr>
    </w:p>
    <w:p w:rsidR="00AE69CE" w:rsidRDefault="00AE69CE" w:rsidP="00683D4E">
      <w:pPr>
        <w:ind w:left="709" w:right="757"/>
        <w:jc w:val="both"/>
        <w:rPr>
          <w:rFonts w:ascii="Palatino Linotype" w:hAnsi="Palatino Linotype" w:cs="Arial"/>
          <w:i/>
          <w:sz w:val="22"/>
          <w:szCs w:val="22"/>
          <w:lang w:eastAsia="es-MX"/>
        </w:rPr>
      </w:pPr>
      <w:r>
        <w:rPr>
          <w:rFonts w:ascii="Palatino Linotype" w:hAnsi="Palatino Linotype" w:cs="Arial"/>
          <w:i/>
          <w:sz w:val="22"/>
          <w:szCs w:val="22"/>
          <w:lang w:eastAsia="es-MX"/>
        </w:rPr>
        <w:t>…</w:t>
      </w:r>
    </w:p>
    <w:p w:rsidR="00AE69CE" w:rsidRPr="00683D4E" w:rsidRDefault="00AE69CE" w:rsidP="00683D4E">
      <w:pPr>
        <w:ind w:left="709" w:right="757"/>
        <w:jc w:val="both"/>
        <w:rPr>
          <w:rFonts w:ascii="Palatino Linotype" w:hAnsi="Palatino Linotype" w:cs="Arial"/>
          <w:i/>
          <w:sz w:val="22"/>
          <w:szCs w:val="22"/>
          <w:lang w:eastAsia="es-MX"/>
        </w:rPr>
      </w:pPr>
    </w:p>
    <w:p w:rsidR="00683D4E" w:rsidRDefault="00683D4E" w:rsidP="00683D4E">
      <w:pPr>
        <w:ind w:left="709" w:right="757"/>
        <w:jc w:val="both"/>
        <w:rPr>
          <w:rFonts w:ascii="Palatino Linotype" w:hAnsi="Palatino Linotype" w:cs="Arial"/>
          <w:i/>
          <w:sz w:val="22"/>
          <w:szCs w:val="22"/>
          <w:lang w:eastAsia="es-MX"/>
        </w:rPr>
      </w:pPr>
      <w:r w:rsidRPr="00AE69CE">
        <w:rPr>
          <w:rFonts w:ascii="Palatino Linotype" w:hAnsi="Palatino Linotype" w:cs="Arial"/>
          <w:b/>
          <w:i/>
          <w:sz w:val="22"/>
          <w:szCs w:val="22"/>
          <w:lang w:eastAsia="es-MX"/>
        </w:rPr>
        <w:t>XIX. Conocer e investigar los actos, omisiones o conductas de los servidores públicos que puedan constituir responsabilidades administrativas</w:t>
      </w:r>
      <w:r w:rsidRPr="00683D4E">
        <w:rPr>
          <w:rFonts w:ascii="Palatino Linotype" w:hAnsi="Palatino Linotype" w:cs="Arial"/>
          <w:i/>
          <w:sz w:val="22"/>
          <w:szCs w:val="22"/>
          <w:lang w:eastAsia="es-MX"/>
        </w:rPr>
        <w:t>,</w:t>
      </w:r>
      <w:r>
        <w:rPr>
          <w:rFonts w:ascii="Palatino Linotype" w:hAnsi="Palatino Linotype" w:cs="Arial"/>
          <w:i/>
          <w:sz w:val="22"/>
          <w:szCs w:val="22"/>
          <w:lang w:eastAsia="es-MX"/>
        </w:rPr>
        <w:t xml:space="preserve"> substanciar los procedimientos </w:t>
      </w:r>
      <w:r w:rsidRPr="00683D4E">
        <w:rPr>
          <w:rFonts w:ascii="Palatino Linotype" w:hAnsi="Palatino Linotype" w:cs="Arial"/>
          <w:i/>
          <w:sz w:val="22"/>
          <w:szCs w:val="22"/>
          <w:lang w:eastAsia="es-MX"/>
        </w:rPr>
        <w:t>correspondientes en términos de la Ley de Responsabilidades Administrativas del Estado de</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 xml:space="preserve">México y Municipios, </w:t>
      </w:r>
      <w:r w:rsidRPr="00AE69CE">
        <w:rPr>
          <w:rFonts w:ascii="Palatino Linotype" w:hAnsi="Palatino Linotype" w:cs="Arial"/>
          <w:b/>
          <w:i/>
          <w:sz w:val="22"/>
          <w:szCs w:val="22"/>
          <w:lang w:eastAsia="es-MX"/>
        </w:rPr>
        <w:t xml:space="preserve">por sí, o por conducto de los órganos internos de control que correspondan a cada área de la Administración Pública Estatal </w:t>
      </w:r>
      <w:r w:rsidRPr="00683D4E">
        <w:rPr>
          <w:rFonts w:ascii="Palatino Linotype" w:hAnsi="Palatino Linotype" w:cs="Arial"/>
          <w:i/>
          <w:sz w:val="22"/>
          <w:szCs w:val="22"/>
          <w:lang w:eastAsia="es-MX"/>
        </w:rPr>
        <w:t>aplicando las sanciones en los</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casos que no sean de la competencia del Tribunal de Justicia Administrativa del Estado de</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México y cuando se trate de faltas administrativas graves, ejercer la acción de responsabilidad</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ante ese Tribunal, así como presentar las denuncias correspondientes ante la Fiscalía</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Especializada en Combate a la Corrupción y ante otras autoridades competentes, en términos</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de las disposiciones legales aplicables, así como realizar investigaciones, inspecciones y</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supervisiones, a través de acciones encubiertas y usuario simulado, para verificar la legalidad,</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honradez, eficiencia y oportunidad de la prestación del servicio público.</w:t>
      </w:r>
    </w:p>
    <w:p w:rsidR="00683D4E" w:rsidRPr="00683D4E" w:rsidRDefault="00683D4E" w:rsidP="00683D4E">
      <w:pPr>
        <w:ind w:left="709" w:right="757"/>
        <w:jc w:val="both"/>
        <w:rPr>
          <w:rFonts w:ascii="Palatino Linotype" w:hAnsi="Palatino Linotype" w:cs="Arial"/>
          <w:i/>
          <w:sz w:val="22"/>
          <w:szCs w:val="22"/>
          <w:lang w:eastAsia="es-MX"/>
        </w:rPr>
      </w:pPr>
    </w:p>
    <w:p w:rsidR="00683D4E" w:rsidRPr="002767E3" w:rsidRDefault="00683D4E" w:rsidP="00683D4E">
      <w:pPr>
        <w:ind w:left="709" w:right="757"/>
        <w:jc w:val="both"/>
        <w:rPr>
          <w:rFonts w:ascii="Palatino Linotype" w:hAnsi="Palatino Linotype" w:cs="Arial"/>
          <w:i/>
          <w:sz w:val="22"/>
          <w:szCs w:val="22"/>
          <w:lang w:eastAsia="es-MX"/>
        </w:rPr>
      </w:pPr>
      <w:r w:rsidRPr="00AE69CE">
        <w:rPr>
          <w:rFonts w:ascii="Palatino Linotype" w:hAnsi="Palatino Linotype" w:cs="Arial"/>
          <w:b/>
          <w:i/>
          <w:sz w:val="22"/>
          <w:szCs w:val="22"/>
          <w:lang w:eastAsia="es-MX"/>
        </w:rPr>
        <w:t>XX.</w:t>
      </w:r>
      <w:r w:rsidRPr="00683D4E">
        <w:rPr>
          <w:rFonts w:ascii="Palatino Linotype" w:hAnsi="Palatino Linotype" w:cs="Arial"/>
          <w:i/>
          <w:sz w:val="22"/>
          <w:szCs w:val="22"/>
          <w:lang w:eastAsia="es-MX"/>
        </w:rPr>
        <w:t xml:space="preserve"> Vigilar el cumplimiento de las normas internas de la Secretaría, </w:t>
      </w:r>
      <w:r w:rsidRPr="00AE69CE">
        <w:rPr>
          <w:rFonts w:ascii="Palatino Linotype" w:hAnsi="Palatino Linotype" w:cs="Arial"/>
          <w:b/>
          <w:i/>
          <w:sz w:val="22"/>
          <w:szCs w:val="22"/>
          <w:lang w:eastAsia="es-MX"/>
        </w:rPr>
        <w:t xml:space="preserve">constituir las responsabilidades administrativas de su personal, aplicándoles las </w:t>
      </w:r>
      <w:r w:rsidRPr="00AE69CE">
        <w:rPr>
          <w:rFonts w:ascii="Palatino Linotype" w:hAnsi="Palatino Linotype" w:cs="Arial"/>
          <w:b/>
          <w:i/>
          <w:sz w:val="22"/>
          <w:szCs w:val="22"/>
          <w:lang w:eastAsia="es-MX"/>
        </w:rPr>
        <w:lastRenderedPageBreak/>
        <w:t>correcciones que correspondan</w:t>
      </w:r>
      <w:r w:rsidRPr="00683D4E">
        <w:rPr>
          <w:rFonts w:ascii="Palatino Linotype" w:hAnsi="Palatino Linotype" w:cs="Arial"/>
          <w:i/>
          <w:sz w:val="22"/>
          <w:szCs w:val="22"/>
          <w:lang w:eastAsia="es-MX"/>
        </w:rPr>
        <w:t>, así como formular y presentar las denuncias, querellas, acusaciones o quejas de</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naturaleza administrativa o penal ante la Fiscalía Especializada en Combate a la Corrupción u</w:t>
      </w:r>
      <w:r>
        <w:rPr>
          <w:rFonts w:ascii="Palatino Linotype" w:hAnsi="Palatino Linotype" w:cs="Arial"/>
          <w:i/>
          <w:sz w:val="22"/>
          <w:szCs w:val="22"/>
          <w:lang w:eastAsia="es-MX"/>
        </w:rPr>
        <w:t xml:space="preserve"> </w:t>
      </w:r>
      <w:r w:rsidRPr="00683D4E">
        <w:rPr>
          <w:rFonts w:ascii="Palatino Linotype" w:hAnsi="Palatino Linotype" w:cs="Arial"/>
          <w:i/>
          <w:sz w:val="22"/>
          <w:szCs w:val="22"/>
          <w:lang w:eastAsia="es-MX"/>
        </w:rPr>
        <w:t>otras autoridades competentes respectivamente.</w:t>
      </w:r>
      <w:r w:rsidRPr="002767E3">
        <w:rPr>
          <w:rFonts w:ascii="Palatino Linotype" w:hAnsi="Palatino Linotype" w:cs="Arial"/>
          <w:i/>
          <w:sz w:val="22"/>
          <w:szCs w:val="22"/>
          <w:lang w:eastAsia="es-MX"/>
        </w:rPr>
        <w:t>”</w:t>
      </w:r>
    </w:p>
    <w:p w:rsidR="00683D4E" w:rsidRPr="002767E3" w:rsidRDefault="00683D4E" w:rsidP="00683D4E">
      <w:pPr>
        <w:spacing w:line="360" w:lineRule="auto"/>
        <w:jc w:val="both"/>
        <w:rPr>
          <w:rFonts w:ascii="Palatino Linotype" w:hAnsi="Palatino Linotype" w:cs="Arial"/>
          <w:lang w:eastAsia="es-MX"/>
        </w:rPr>
      </w:pPr>
    </w:p>
    <w:p w:rsidR="00683D4E" w:rsidRPr="002767E3" w:rsidRDefault="00683D4E" w:rsidP="00683D4E">
      <w:pPr>
        <w:spacing w:line="360" w:lineRule="auto"/>
        <w:jc w:val="both"/>
        <w:rPr>
          <w:rFonts w:ascii="Palatino Linotype" w:hAnsi="Palatino Linotype" w:cs="Arial"/>
          <w:lang w:eastAsia="es-MX"/>
        </w:rPr>
      </w:pPr>
      <w:r w:rsidRPr="002767E3">
        <w:rPr>
          <w:rFonts w:ascii="Palatino Linotype" w:hAnsi="Palatino Linotype" w:cs="Arial"/>
          <w:lang w:eastAsia="es-MX"/>
        </w:rPr>
        <w:t>En este sentido</w:t>
      </w:r>
      <w:r w:rsidR="00CA5B82">
        <w:rPr>
          <w:rFonts w:ascii="Palatino Linotype" w:hAnsi="Palatino Linotype" w:cs="Arial"/>
          <w:lang w:eastAsia="es-MX"/>
        </w:rPr>
        <w:t>,</w:t>
      </w:r>
      <w:r w:rsidRPr="002767E3">
        <w:rPr>
          <w:rFonts w:ascii="Palatino Linotype" w:hAnsi="Palatino Linotype" w:cs="Arial"/>
          <w:lang w:eastAsia="es-MX"/>
        </w:rPr>
        <w:t xml:space="preserve"> es de suma importancia recalcar que de acuerdo al fundamento anteriormente invocado</w:t>
      </w:r>
      <w:r w:rsidR="00C3480C">
        <w:rPr>
          <w:rFonts w:ascii="Palatino Linotype" w:hAnsi="Palatino Linotype" w:cs="Arial"/>
          <w:lang w:eastAsia="es-MX"/>
        </w:rPr>
        <w:t>,</w:t>
      </w:r>
      <w:r w:rsidRPr="002767E3">
        <w:rPr>
          <w:rFonts w:ascii="Palatino Linotype" w:hAnsi="Palatino Linotype" w:cs="Arial"/>
          <w:lang w:eastAsia="es-MX"/>
        </w:rPr>
        <w:t xml:space="preserve"> los Órganos de Control Interno adscritos a l</w:t>
      </w:r>
      <w:r w:rsidR="00AE69CE">
        <w:rPr>
          <w:rFonts w:ascii="Palatino Linotype" w:hAnsi="Palatino Linotype" w:cs="Arial"/>
          <w:lang w:eastAsia="es-MX"/>
        </w:rPr>
        <w:t>as Dependencia</w:t>
      </w:r>
      <w:r w:rsidRPr="002767E3">
        <w:rPr>
          <w:rFonts w:ascii="Palatino Linotype" w:hAnsi="Palatino Linotype" w:cs="Arial"/>
          <w:lang w:eastAsia="es-MX"/>
        </w:rPr>
        <w:t xml:space="preserve">, dependerán jerárquica y funcionalmente de la Secretaría de la Contraloría del Estado de México, es decir, que </w:t>
      </w:r>
      <w:r w:rsidRPr="002767E3">
        <w:rPr>
          <w:rFonts w:ascii="Palatino Linotype" w:hAnsi="Palatino Linotype" w:cs="Arial"/>
          <w:b/>
          <w:lang w:eastAsia="es-MX"/>
        </w:rPr>
        <w:t>EL SUJETO OBLIGADO</w:t>
      </w:r>
      <w:r w:rsidRPr="002767E3">
        <w:rPr>
          <w:rFonts w:ascii="Palatino Linotype" w:hAnsi="Palatino Linotype" w:cs="Arial"/>
          <w:lang w:eastAsia="es-MX"/>
        </w:rPr>
        <w:t xml:space="preserve"> en estricto sentido carece de las facultades para requerir la atención de la solicitud de mérito a su Contraloría Interna.</w:t>
      </w:r>
    </w:p>
    <w:p w:rsidR="00683D4E" w:rsidRPr="002767E3" w:rsidRDefault="00683D4E" w:rsidP="00683D4E">
      <w:pPr>
        <w:spacing w:line="360" w:lineRule="auto"/>
        <w:jc w:val="both"/>
        <w:rPr>
          <w:rFonts w:ascii="Palatino Linotype" w:hAnsi="Palatino Linotype" w:cs="Arial"/>
          <w:lang w:eastAsia="es-MX"/>
        </w:rPr>
      </w:pPr>
    </w:p>
    <w:p w:rsidR="00683D4E" w:rsidRDefault="00683D4E" w:rsidP="00683D4E">
      <w:pPr>
        <w:spacing w:line="360" w:lineRule="auto"/>
        <w:jc w:val="both"/>
        <w:rPr>
          <w:rFonts w:ascii="Palatino Linotype" w:eastAsiaTheme="minorEastAsia" w:hAnsi="Palatino Linotype" w:cs="Bookman Old Style"/>
          <w:color w:val="000000"/>
        </w:rPr>
      </w:pPr>
      <w:r w:rsidRPr="002767E3">
        <w:rPr>
          <w:rFonts w:ascii="Palatino Linotype" w:hAnsi="Palatino Linotype" w:cs="Arial"/>
          <w:lang w:eastAsia="es-MX"/>
        </w:rPr>
        <w:t xml:space="preserve">Por su parte, si bien los Órganos de Control Interno, son los responsables de </w:t>
      </w:r>
      <w:r w:rsidR="00CA5B82">
        <w:rPr>
          <w:rFonts w:ascii="Palatino Linotype" w:hAnsi="Palatino Linotype" w:cs="Arial"/>
          <w:lang w:eastAsia="es-MX"/>
        </w:rPr>
        <w:t xml:space="preserve">que </w:t>
      </w:r>
      <w:r w:rsidRPr="002767E3">
        <w:rPr>
          <w:rFonts w:ascii="Palatino Linotype" w:hAnsi="Palatino Linotype" w:cs="Arial"/>
          <w:lang w:eastAsia="es-MX"/>
        </w:rPr>
        <w:t>se cumplan con las normas y disposiciones en materia de: sistema de registro y contabilidad, contratación y pago de personal, contratación de servicios, obra pública, adquisiciones, arrendamientos, conservación, uso, destino, afectación, enajenación y baja de bienes y demás activos y recursos materiales de la Dependencia a la que se encuentran adscritos organizacionalmente, l</w:t>
      </w:r>
      <w:r w:rsidRPr="002767E3">
        <w:rPr>
          <w:rFonts w:ascii="Palatino Linotype" w:eastAsiaTheme="minorEastAsia" w:hAnsi="Palatino Linotype" w:cs="Bookman Old Style"/>
          <w:color w:val="000000"/>
        </w:rPr>
        <w:t xml:space="preserve">os Órganos Internos de Control de las Dependencias y Organismos Auxiliares o, en su caso, el servidor público que realice las funciones de control y evaluación, serán </w:t>
      </w:r>
      <w:r w:rsidRPr="002767E3">
        <w:rPr>
          <w:rFonts w:ascii="Palatino Linotype" w:eastAsiaTheme="minorEastAsia" w:hAnsi="Palatino Linotype" w:cs="Bookman Old Style"/>
          <w:b/>
          <w:color w:val="000000"/>
        </w:rPr>
        <w:t>coordinados y dependerán directa y funcionalmente de la Secretaría</w:t>
      </w:r>
      <w:r w:rsidR="00C3480C">
        <w:rPr>
          <w:rFonts w:ascii="Palatino Linotype" w:eastAsiaTheme="minorEastAsia" w:hAnsi="Palatino Linotype" w:cs="Bookman Old Style"/>
          <w:b/>
          <w:color w:val="000000"/>
        </w:rPr>
        <w:t xml:space="preserve"> de la Contraloría</w:t>
      </w:r>
      <w:r w:rsidRPr="002767E3">
        <w:rPr>
          <w:rFonts w:ascii="Palatino Linotype" w:eastAsiaTheme="minorEastAsia" w:hAnsi="Palatino Linotype" w:cs="Bookman Old Style"/>
          <w:color w:val="000000"/>
        </w:rPr>
        <w:t xml:space="preserve">. </w:t>
      </w:r>
    </w:p>
    <w:p w:rsidR="00C3480C" w:rsidRPr="002767E3" w:rsidRDefault="00C3480C" w:rsidP="00683D4E">
      <w:pPr>
        <w:spacing w:line="360" w:lineRule="auto"/>
        <w:jc w:val="both"/>
        <w:rPr>
          <w:rFonts w:ascii="Palatino Linotype" w:eastAsiaTheme="minorEastAsia" w:hAnsi="Palatino Linotype" w:cs="Bookman Old Style"/>
          <w:color w:val="000000"/>
        </w:rPr>
      </w:pPr>
    </w:p>
    <w:p w:rsidR="00683D4E" w:rsidRPr="002767E3" w:rsidRDefault="00683D4E" w:rsidP="00683D4E">
      <w:pPr>
        <w:spacing w:line="360" w:lineRule="auto"/>
        <w:jc w:val="both"/>
        <w:rPr>
          <w:rFonts w:ascii="Palatino Linotype" w:eastAsiaTheme="minorEastAsia" w:hAnsi="Palatino Linotype" w:cs="Bookman Old Style"/>
          <w:color w:val="000000"/>
          <w:szCs w:val="22"/>
        </w:rPr>
      </w:pPr>
      <w:r w:rsidRPr="002767E3">
        <w:rPr>
          <w:rFonts w:ascii="Palatino Linotype" w:eastAsiaTheme="minorEastAsia" w:hAnsi="Palatino Linotype" w:cs="Bookman Old Style"/>
          <w:bCs/>
          <w:color w:val="000000"/>
          <w:szCs w:val="22"/>
        </w:rPr>
        <w:t>Determinado expresamente que l</w:t>
      </w:r>
      <w:r w:rsidRPr="002767E3">
        <w:rPr>
          <w:rFonts w:ascii="Palatino Linotype" w:eastAsiaTheme="minorEastAsia" w:hAnsi="Palatino Linotype" w:cs="Bookman Old Style"/>
          <w:color w:val="000000"/>
          <w:szCs w:val="22"/>
        </w:rPr>
        <w:t xml:space="preserve">os órganos internos de control constituyen unidades administrativas </w:t>
      </w:r>
      <w:r w:rsidRPr="002767E3">
        <w:rPr>
          <w:rFonts w:ascii="Palatino Linotype" w:eastAsiaTheme="minorEastAsia" w:hAnsi="Palatino Linotype" w:cs="Bookman Old Style"/>
          <w:b/>
          <w:color w:val="000000"/>
          <w:szCs w:val="22"/>
        </w:rPr>
        <w:t>dentro de la estructura orgánica de</w:t>
      </w:r>
      <w:r w:rsidRPr="002767E3">
        <w:rPr>
          <w:rFonts w:ascii="Palatino Linotype" w:eastAsiaTheme="minorEastAsia" w:hAnsi="Palatino Linotype" w:cs="Bookman Old Style"/>
          <w:color w:val="000000"/>
          <w:szCs w:val="22"/>
        </w:rPr>
        <w:t xml:space="preserve"> la dependencia y </w:t>
      </w:r>
      <w:r w:rsidRPr="002767E3">
        <w:rPr>
          <w:rFonts w:ascii="Palatino Linotype" w:eastAsiaTheme="minorEastAsia" w:hAnsi="Palatino Linotype" w:cs="Bookman Old Style"/>
          <w:b/>
          <w:color w:val="000000"/>
          <w:szCs w:val="22"/>
        </w:rPr>
        <w:t>organismo auxiliar en que se encuentren adscritos</w:t>
      </w:r>
      <w:r w:rsidRPr="002767E3">
        <w:rPr>
          <w:rFonts w:ascii="Palatino Linotype" w:eastAsiaTheme="minorEastAsia" w:hAnsi="Palatino Linotype" w:cs="Bookman Old Style"/>
          <w:color w:val="000000"/>
          <w:szCs w:val="22"/>
        </w:rPr>
        <w:t xml:space="preserve">, los cuales proveerán, en sus respectivos </w:t>
      </w:r>
      <w:r w:rsidRPr="002767E3">
        <w:rPr>
          <w:rFonts w:ascii="Palatino Linotype" w:eastAsiaTheme="minorEastAsia" w:hAnsi="Palatino Linotype" w:cs="Bookman Old Style"/>
          <w:color w:val="000000"/>
          <w:szCs w:val="22"/>
        </w:rPr>
        <w:lastRenderedPageBreak/>
        <w:t xml:space="preserve">ámbitos de competencia, y con cargo a sus presupuestos, los recursos que requieran los </w:t>
      </w:r>
      <w:r w:rsidR="00CA5B82" w:rsidRPr="002767E3">
        <w:rPr>
          <w:rFonts w:ascii="Palatino Linotype" w:eastAsiaTheme="minorEastAsia" w:hAnsi="Palatino Linotype" w:cs="Bookman Old Style"/>
          <w:color w:val="000000"/>
          <w:szCs w:val="22"/>
        </w:rPr>
        <w:t xml:space="preserve">Órganos Internos </w:t>
      </w:r>
      <w:r w:rsidRPr="002767E3">
        <w:rPr>
          <w:rFonts w:ascii="Palatino Linotype" w:eastAsiaTheme="minorEastAsia" w:hAnsi="Palatino Linotype" w:cs="Bookman Old Style"/>
          <w:color w:val="000000"/>
          <w:szCs w:val="22"/>
        </w:rPr>
        <w:t xml:space="preserve">de </w:t>
      </w:r>
      <w:r w:rsidR="00CA5B82" w:rsidRPr="002767E3">
        <w:rPr>
          <w:rFonts w:ascii="Palatino Linotype" w:eastAsiaTheme="minorEastAsia" w:hAnsi="Palatino Linotype" w:cs="Bookman Old Style"/>
          <w:color w:val="000000"/>
          <w:szCs w:val="22"/>
        </w:rPr>
        <w:t xml:space="preserve">Control </w:t>
      </w:r>
      <w:r w:rsidRPr="002767E3">
        <w:rPr>
          <w:rFonts w:ascii="Palatino Linotype" w:eastAsiaTheme="minorEastAsia" w:hAnsi="Palatino Linotype" w:cs="Bookman Old Style"/>
          <w:color w:val="000000"/>
          <w:szCs w:val="22"/>
        </w:rPr>
        <w:t xml:space="preserve">para el cumplimiento de sus funciones. </w:t>
      </w:r>
    </w:p>
    <w:p w:rsidR="00683D4E" w:rsidRPr="002767E3" w:rsidRDefault="00683D4E" w:rsidP="00683D4E">
      <w:pPr>
        <w:spacing w:line="360" w:lineRule="auto"/>
        <w:ind w:right="757"/>
        <w:jc w:val="both"/>
        <w:rPr>
          <w:rFonts w:ascii="Palatino Linotype" w:eastAsiaTheme="minorEastAsia" w:hAnsi="Palatino Linotype" w:cs="Bookman Old Style"/>
          <w:i/>
          <w:sz w:val="22"/>
          <w:szCs w:val="22"/>
        </w:rPr>
      </w:pPr>
    </w:p>
    <w:p w:rsidR="00AE69CE" w:rsidRDefault="00683D4E" w:rsidP="000E2A10">
      <w:pPr>
        <w:spacing w:line="360" w:lineRule="auto"/>
        <w:jc w:val="both"/>
        <w:rPr>
          <w:rFonts w:ascii="Palatino Linotype" w:hAnsi="Palatino Linotype" w:cs="Arial"/>
          <w:b/>
          <w:lang w:eastAsia="es-MX"/>
        </w:rPr>
      </w:pPr>
      <w:r w:rsidRPr="002767E3">
        <w:rPr>
          <w:rFonts w:ascii="Palatino Linotype" w:hAnsi="Palatino Linotype" w:cs="Arial"/>
          <w:lang w:eastAsia="es-MX"/>
        </w:rPr>
        <w:t xml:space="preserve">De lo anterior, se denota que las funciones y atribuciones de la Secretaría de la Contraloría son coincidentes con la solicitud de la particular y cuya competencia es distinta a la del </w:t>
      </w:r>
      <w:r>
        <w:rPr>
          <w:rFonts w:ascii="Palatino Linotype" w:hAnsi="Palatino Linotype" w:cs="Arial"/>
          <w:b/>
          <w:lang w:eastAsia="es-MX"/>
        </w:rPr>
        <w:t>SUJETO OBLIGADO.</w:t>
      </w:r>
    </w:p>
    <w:p w:rsidR="00AE69CE" w:rsidRDefault="00AE69CE" w:rsidP="000E2A10">
      <w:pPr>
        <w:spacing w:line="360" w:lineRule="auto"/>
        <w:jc w:val="both"/>
        <w:rPr>
          <w:rFonts w:ascii="Palatino Linotype" w:hAnsi="Palatino Linotype" w:cs="Arial"/>
          <w:b/>
          <w:lang w:eastAsia="es-MX"/>
        </w:rPr>
      </w:pPr>
    </w:p>
    <w:p w:rsidR="00AE69CE" w:rsidRDefault="00AE69CE" w:rsidP="00AE69CE">
      <w:pPr>
        <w:spacing w:line="360" w:lineRule="auto"/>
        <w:jc w:val="both"/>
        <w:rPr>
          <w:rFonts w:ascii="Palatino Linotype" w:eastAsia="Calibri" w:hAnsi="Palatino Linotype" w:cs="Arial"/>
        </w:rPr>
      </w:pPr>
      <w:r w:rsidRPr="00DB7FA0">
        <w:rPr>
          <w:rFonts w:ascii="Palatino Linotype" w:eastAsia="Calibri" w:hAnsi="Palatino Linotype" w:cs="Arial"/>
        </w:rPr>
        <w:t xml:space="preserve">En efecto, si bien </w:t>
      </w:r>
      <w:r>
        <w:rPr>
          <w:rFonts w:ascii="Palatino Linotype" w:eastAsia="Calibri" w:hAnsi="Palatino Linotype" w:cs="Arial"/>
          <w:b/>
        </w:rPr>
        <w:t>EL SUJETO OBLIGADO</w:t>
      </w:r>
      <w:r w:rsidRPr="00DB7FA0">
        <w:rPr>
          <w:rFonts w:ascii="Palatino Linotype" w:eastAsia="Calibri" w:hAnsi="Palatino Linotype" w:cs="Arial"/>
        </w:rPr>
        <w:t xml:space="preserve"> no tiene competencia para administrar, generar o poseer la información solicitada por </w:t>
      </w:r>
      <w:r w:rsidRPr="00DB7FA0">
        <w:rPr>
          <w:rFonts w:ascii="Palatino Linotype" w:eastAsia="Calibri" w:hAnsi="Palatino Linotype" w:cs="Arial"/>
          <w:b/>
        </w:rPr>
        <w:t>EL RECURRENTE</w:t>
      </w:r>
      <w:r w:rsidRPr="00DB7FA0">
        <w:rPr>
          <w:rFonts w:ascii="Palatino Linotype" w:eastAsia="Calibri" w:hAnsi="Palatino Linotype" w:cs="Arial"/>
        </w:rPr>
        <w:t>, en virtud de ser atribución de</w:t>
      </w:r>
      <w:r>
        <w:rPr>
          <w:rFonts w:ascii="Palatino Linotype" w:eastAsia="Calibri" w:hAnsi="Palatino Linotype" w:cs="Arial"/>
        </w:rPr>
        <w:t xml:space="preserve"> la Secretaría de la Contraloría</w:t>
      </w:r>
      <w:r w:rsidRPr="00DB7FA0">
        <w:rPr>
          <w:rFonts w:ascii="Palatino Linotype" w:eastAsia="Calibri" w:hAnsi="Palatino Linotype" w:cs="Arial"/>
        </w:rPr>
        <w:t>, como se vio anteriormente, también lo es que, dicha incompetencia debió haber sido confirmada, modificada o revocada por</w:t>
      </w:r>
      <w:r>
        <w:rPr>
          <w:rFonts w:ascii="Palatino Linotype" w:eastAsia="Calibri" w:hAnsi="Palatino Linotype" w:cs="Arial"/>
        </w:rPr>
        <w:t xml:space="preserve"> el Comité de Transparencia del </w:t>
      </w:r>
      <w:r>
        <w:rPr>
          <w:rFonts w:ascii="Palatino Linotype" w:eastAsia="Calibri" w:hAnsi="Palatino Linotype" w:cs="Arial"/>
          <w:b/>
        </w:rPr>
        <w:t xml:space="preserve">SUJETO OBLIGADO </w:t>
      </w:r>
      <w:r w:rsidRPr="00DB7FA0">
        <w:rPr>
          <w:rFonts w:ascii="Palatino Linotype" w:eastAsia="Calibri" w:hAnsi="Palatino Linotype" w:cs="Arial"/>
        </w:rPr>
        <w:t xml:space="preserve">en términos del </w:t>
      </w:r>
      <w:r w:rsidR="00C3480C">
        <w:rPr>
          <w:rFonts w:ascii="Palatino Linotype" w:eastAsia="Calibri" w:hAnsi="Palatino Linotype" w:cs="Arial"/>
        </w:rPr>
        <w:t>artículo 49, fracción II de la Ley de Transparencia y Acceso a la Información Pública del Estado de México y Municipios</w:t>
      </w:r>
      <w:r w:rsidRPr="00DB7FA0">
        <w:rPr>
          <w:rFonts w:ascii="Palatino Linotype" w:eastAsia="Calibri" w:hAnsi="Palatino Linotype" w:cs="Arial"/>
        </w:rPr>
        <w:t xml:space="preserve">, razón por la cual se considera viable </w:t>
      </w:r>
      <w:r>
        <w:rPr>
          <w:rFonts w:ascii="Palatino Linotype" w:eastAsia="Calibri" w:hAnsi="Palatino Linotype" w:cs="Arial"/>
        </w:rPr>
        <w:t xml:space="preserve">que la Ponencia Resolutora hubiera ordenado </w:t>
      </w:r>
      <w:r w:rsidRPr="00DB7FA0">
        <w:rPr>
          <w:rFonts w:ascii="Palatino Linotype" w:eastAsia="Calibri" w:hAnsi="Palatino Linotype" w:cs="Arial"/>
        </w:rPr>
        <w:t>realizar a través de</w:t>
      </w:r>
      <w:r>
        <w:rPr>
          <w:rFonts w:ascii="Palatino Linotype" w:eastAsia="Calibri" w:hAnsi="Palatino Linotype" w:cs="Arial"/>
        </w:rPr>
        <w:t>l</w:t>
      </w:r>
      <w:r w:rsidRPr="00DB7FA0">
        <w:rPr>
          <w:rFonts w:ascii="Palatino Linotype" w:eastAsia="Calibri" w:hAnsi="Palatino Linotype" w:cs="Arial"/>
        </w:rPr>
        <w:t xml:space="preserve"> Comité de Transparencia, el Acuerdo mediante el cual se confirme la incompetencia declarada por el Titula</w:t>
      </w:r>
      <w:r w:rsidR="00C3480C">
        <w:rPr>
          <w:rFonts w:ascii="Palatino Linotype" w:eastAsia="Calibri" w:hAnsi="Palatino Linotype" w:cs="Arial"/>
        </w:rPr>
        <w:t>r de la Unidad de Transparencia</w:t>
      </w:r>
      <w:r w:rsidRPr="00DB7FA0">
        <w:rPr>
          <w:rFonts w:ascii="Palatino Linotype" w:eastAsia="Calibri" w:hAnsi="Palatino Linotype" w:cs="Arial"/>
        </w:rPr>
        <w:t>.</w:t>
      </w:r>
    </w:p>
    <w:p w:rsidR="00AE69CE" w:rsidRDefault="00AE69CE" w:rsidP="000E2A10">
      <w:pPr>
        <w:spacing w:line="360" w:lineRule="auto"/>
        <w:jc w:val="both"/>
        <w:rPr>
          <w:rFonts w:ascii="Palatino Linotype" w:hAnsi="Palatino Linotype" w:cs="Arial"/>
          <w:b/>
          <w:lang w:eastAsia="es-MX"/>
        </w:rPr>
      </w:pPr>
    </w:p>
    <w:p w:rsidR="00AE69CE" w:rsidRPr="00AE69CE" w:rsidRDefault="00CA5B82" w:rsidP="000E2A10">
      <w:pPr>
        <w:spacing w:line="360" w:lineRule="auto"/>
        <w:jc w:val="both"/>
        <w:rPr>
          <w:rFonts w:ascii="Palatino Linotype" w:hAnsi="Palatino Linotype" w:cs="Arial"/>
          <w:b/>
          <w:lang w:eastAsia="es-MX"/>
        </w:rPr>
      </w:pPr>
      <w:r>
        <w:rPr>
          <w:rFonts w:ascii="Palatino Linotype" w:hAnsi="Palatino Linotype" w:cs="Arial"/>
        </w:rPr>
        <w:t>Asimismo</w:t>
      </w:r>
      <w:r w:rsidR="00AE69CE">
        <w:rPr>
          <w:rFonts w:ascii="Palatino Linotype" w:hAnsi="Palatino Linotype" w:cs="Arial"/>
        </w:rPr>
        <w:t>, es menester manifestar que</w:t>
      </w:r>
      <w:r>
        <w:rPr>
          <w:rFonts w:ascii="Palatino Linotype" w:hAnsi="Palatino Linotype" w:cs="Arial"/>
        </w:rPr>
        <w:t xml:space="preserve"> se difiere en </w:t>
      </w:r>
      <w:r w:rsidR="00AE69CE" w:rsidRPr="00AE69CE">
        <w:rPr>
          <w:rFonts w:ascii="Palatino Linotype" w:hAnsi="Palatino Linotype" w:cs="Arial"/>
        </w:rPr>
        <w:t>que se haya cambiado la vía de acceso a la información a acceso a datos personales, ya que estimo que el acceso a expedientes relativos a denuncias y/o quejas no se trata de un ejercicio de derechos ARCO ya que si bien dentro del expediente pudiesen estar inmersos datos personales como los datos relativos al nombre, domicilio en su caso o algunos otros, éstos por sí mismos no son los requeridos por el particular sino más bien el expediente completo, es decir, el conjunto de documentales o actuaciones derivadas de un procedimiento administrativo seguido en forma de juicio.</w:t>
      </w:r>
    </w:p>
    <w:p w:rsidR="00AE69CE" w:rsidRDefault="00AE69CE" w:rsidP="000E2A10">
      <w:pPr>
        <w:spacing w:line="360" w:lineRule="auto"/>
        <w:jc w:val="both"/>
        <w:rPr>
          <w:rFonts w:ascii="Palatino Linotype" w:hAnsi="Palatino Linotype" w:cs="Arial"/>
        </w:rPr>
      </w:pPr>
    </w:p>
    <w:p w:rsidR="00721AEB" w:rsidRDefault="00AE69CE" w:rsidP="00AE69CE">
      <w:pPr>
        <w:spacing w:line="360" w:lineRule="auto"/>
        <w:ind w:right="49"/>
        <w:jc w:val="both"/>
        <w:rPr>
          <w:rFonts w:ascii="Palatino Linotype" w:hAnsi="Palatino Linotype"/>
        </w:rPr>
      </w:pPr>
      <w:r w:rsidRPr="00574CFC">
        <w:rPr>
          <w:rFonts w:ascii="Palatino Linotype" w:hAnsi="Palatino Linotype"/>
        </w:rPr>
        <w:t xml:space="preserve">En razón de lo expuesto, la que suscribe </w:t>
      </w:r>
      <w:r w:rsidRPr="00574CFC">
        <w:rPr>
          <w:rFonts w:ascii="Palatino Linotype" w:hAnsi="Palatino Linotype" w:cs="Arial"/>
        </w:rPr>
        <w:t xml:space="preserve">emite </w:t>
      </w:r>
      <w:r w:rsidRPr="00574CFC">
        <w:rPr>
          <w:rFonts w:ascii="Palatino Linotype" w:hAnsi="Palatino Linotype" w:cs="Arial"/>
          <w:b/>
        </w:rPr>
        <w:t xml:space="preserve">VOTO </w:t>
      </w:r>
      <w:r>
        <w:rPr>
          <w:rFonts w:ascii="Palatino Linotype" w:hAnsi="Palatino Linotype" w:cs="Arial"/>
          <w:b/>
        </w:rPr>
        <w:t>DISIDENTE</w:t>
      </w:r>
      <w:r w:rsidRPr="00574CFC">
        <w:rPr>
          <w:rFonts w:ascii="Palatino Linotype" w:hAnsi="Palatino Linotype" w:cs="Arial"/>
          <w:b/>
        </w:rPr>
        <w:t xml:space="preserve"> </w:t>
      </w:r>
      <w:r w:rsidRPr="00574CFC">
        <w:rPr>
          <w:rFonts w:ascii="Palatino Linotype" w:hAnsi="Palatino Linotype" w:cs="Arial"/>
        </w:rPr>
        <w:t xml:space="preserve">pues se insiste que la Ponencia Resolutora debió </w:t>
      </w:r>
      <w:r w:rsidRPr="00D43461">
        <w:rPr>
          <w:rFonts w:ascii="Palatino Linotype" w:hAnsi="Palatino Linotype" w:cs="Arial"/>
          <w:b/>
        </w:rPr>
        <w:t>MODIFICAR</w:t>
      </w:r>
      <w:r>
        <w:rPr>
          <w:rFonts w:ascii="Palatino Linotype" w:hAnsi="Palatino Linotype" w:cs="Arial"/>
        </w:rPr>
        <w:t xml:space="preserve"> la respuesta del </w:t>
      </w:r>
      <w:r>
        <w:rPr>
          <w:rFonts w:ascii="Palatino Linotype" w:hAnsi="Palatino Linotype" w:cs="Arial"/>
          <w:b/>
        </w:rPr>
        <w:t xml:space="preserve">SUJETO OBLIGADO </w:t>
      </w:r>
      <w:r>
        <w:rPr>
          <w:rFonts w:ascii="Palatino Linotype" w:hAnsi="Palatino Linotype" w:cs="Arial"/>
        </w:rPr>
        <w:t xml:space="preserve">y </w:t>
      </w:r>
      <w:r w:rsidRPr="00D43461">
        <w:rPr>
          <w:rFonts w:ascii="Palatino Linotype" w:hAnsi="Palatino Linotype" w:cs="Arial"/>
        </w:rPr>
        <w:t>ordenar</w:t>
      </w:r>
      <w:r w:rsidRPr="00574CFC">
        <w:rPr>
          <w:rFonts w:ascii="Palatino Linotype" w:hAnsi="Palatino Linotype" w:cs="Arial"/>
        </w:rPr>
        <w:t xml:space="preserve"> </w:t>
      </w:r>
      <w:r>
        <w:rPr>
          <w:rFonts w:ascii="Palatino Linotype" w:hAnsi="Palatino Linotype" w:cs="Arial"/>
        </w:rPr>
        <w:t xml:space="preserve">la entrega del Acuerdo que sustente la declaratoria de incompetencia respecto de la solicitud </w:t>
      </w:r>
      <w:r w:rsidR="00CA5B82">
        <w:rPr>
          <w:rFonts w:ascii="Palatino Linotype" w:hAnsi="Palatino Linotype" w:cs="Arial"/>
        </w:rPr>
        <w:t>de acceso a la información pública.</w:t>
      </w:r>
    </w:p>
    <w:p w:rsidR="000832D8" w:rsidRPr="006D1A9A" w:rsidRDefault="000832D8" w:rsidP="00BF7F59">
      <w:pPr>
        <w:widowControl w:val="0"/>
        <w:autoSpaceDE w:val="0"/>
        <w:autoSpaceDN w:val="0"/>
        <w:adjustRightInd w:val="0"/>
        <w:spacing w:line="360" w:lineRule="auto"/>
        <w:jc w:val="both"/>
        <w:rPr>
          <w:rFonts w:ascii="Palatino Linotype" w:hAnsi="Palatino Linotype"/>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351B4" w:rsidRDefault="000351B4" w:rsidP="00721AEB">
      <w:pPr>
        <w:jc w:val="center"/>
        <w:rPr>
          <w:rFonts w:ascii="Palatino Linotype" w:hAnsi="Palatino Linotype"/>
          <w:b/>
        </w:rPr>
      </w:pPr>
    </w:p>
    <w:p w:rsidR="0005349F" w:rsidRPr="006D1A9A" w:rsidRDefault="0005349F" w:rsidP="00721AEB">
      <w:pPr>
        <w:jc w:val="center"/>
        <w:rPr>
          <w:rFonts w:ascii="Palatino Linotype" w:hAnsi="Palatino Linotype"/>
          <w:b/>
        </w:rPr>
      </w:pPr>
      <w:r w:rsidRPr="006D1A9A">
        <w:rPr>
          <w:rFonts w:ascii="Palatino Linotype" w:hAnsi="Palatino Linotype"/>
          <w:b/>
        </w:rPr>
        <w:t>EVA ABAID YAPUR</w:t>
      </w:r>
    </w:p>
    <w:p w:rsidR="0005349F" w:rsidRDefault="0005349F" w:rsidP="00721AEB">
      <w:pPr>
        <w:jc w:val="center"/>
        <w:rPr>
          <w:rFonts w:ascii="Palatino Linotype" w:hAnsi="Palatino Linotype"/>
          <w:b/>
        </w:rPr>
      </w:pPr>
      <w:r w:rsidRPr="006D1A9A">
        <w:rPr>
          <w:rFonts w:ascii="Palatino Linotype" w:hAnsi="Palatino Linotype"/>
          <w:b/>
        </w:rPr>
        <w:t>COMISIONADA</w:t>
      </w:r>
    </w:p>
    <w:p w:rsidR="00556FDA" w:rsidRPr="006D1A9A" w:rsidRDefault="00556FDA" w:rsidP="00721AEB">
      <w:pPr>
        <w:jc w:val="center"/>
        <w:rPr>
          <w:rFonts w:ascii="Palatino Linotype" w:hAnsi="Palatino Linotype"/>
          <w:b/>
        </w:rPr>
      </w:pPr>
      <w:r>
        <w:rPr>
          <w:rFonts w:ascii="Palatino Linotype" w:hAnsi="Palatino Linotype"/>
          <w:b/>
        </w:rPr>
        <w:t>(RUBRICA)</w:t>
      </w:r>
      <w:bookmarkStart w:id="0" w:name="_GoBack"/>
      <w:bookmarkEnd w:id="0"/>
    </w:p>
    <w:p w:rsidR="000832D8" w:rsidRDefault="000832D8"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0351B4" w:rsidRDefault="000351B4" w:rsidP="00BF7F59">
      <w:pPr>
        <w:spacing w:line="276" w:lineRule="auto"/>
        <w:jc w:val="center"/>
        <w:rPr>
          <w:rFonts w:ascii="Palatino Linotype" w:hAnsi="Palatino Linotype"/>
          <w:b/>
        </w:rPr>
      </w:pPr>
    </w:p>
    <w:p w:rsidR="00721AEB" w:rsidRDefault="00727EED" w:rsidP="00BF7F59">
      <w:pPr>
        <w:jc w:val="both"/>
        <w:rPr>
          <w:rFonts w:ascii="Palatino Linotype" w:hAnsi="Palatino Linotype"/>
          <w:sz w:val="20"/>
        </w:rPr>
      </w:pPr>
      <w:r>
        <w:rPr>
          <w:rFonts w:ascii="Palatino Linotype" w:hAnsi="Palatino Linotype"/>
          <w:sz w:val="20"/>
        </w:rPr>
        <w:t>E</w:t>
      </w:r>
      <w:r w:rsidR="0005349F" w:rsidRPr="006D1A9A">
        <w:rPr>
          <w:rFonts w:ascii="Palatino Linotype" w:hAnsi="Palatino Linotype"/>
          <w:sz w:val="20"/>
        </w:rPr>
        <w:t xml:space="preserve">sta hoja corresponde al voto disidente emitido en </w:t>
      </w:r>
      <w:r w:rsidR="001B02FC" w:rsidRPr="006D1A9A">
        <w:rPr>
          <w:rFonts w:ascii="Palatino Linotype" w:hAnsi="Palatino Linotype"/>
          <w:sz w:val="20"/>
        </w:rPr>
        <w:t xml:space="preserve">la resolución del </w:t>
      </w:r>
      <w:r w:rsidR="0005349F" w:rsidRPr="006D1A9A">
        <w:rPr>
          <w:rFonts w:ascii="Palatino Linotype" w:hAnsi="Palatino Linotype"/>
          <w:sz w:val="20"/>
        </w:rPr>
        <w:t xml:space="preserve">recurso de revisión </w:t>
      </w:r>
      <w:r w:rsidR="00AE69CE" w:rsidRPr="00AE69CE">
        <w:rPr>
          <w:rFonts w:ascii="Palatino Linotype" w:hAnsi="Palatino Linotype"/>
          <w:sz w:val="20"/>
        </w:rPr>
        <w:t>06849</w:t>
      </w:r>
      <w:r w:rsidR="00BF7F59" w:rsidRPr="006D1A9A">
        <w:rPr>
          <w:rFonts w:ascii="Palatino Linotype" w:hAnsi="Palatino Linotype"/>
          <w:sz w:val="20"/>
        </w:rPr>
        <w:t>/INFOEM/IP/RR/201</w:t>
      </w:r>
      <w:r w:rsidR="00721AEB">
        <w:rPr>
          <w:rFonts w:ascii="Palatino Linotype" w:hAnsi="Palatino Linotype"/>
          <w:sz w:val="20"/>
        </w:rPr>
        <w:t>9</w:t>
      </w:r>
      <w:r w:rsidR="0005349F" w:rsidRPr="006D1A9A">
        <w:rPr>
          <w:rFonts w:ascii="Palatino Linotype" w:hAnsi="Palatino Linotype"/>
          <w:sz w:val="20"/>
        </w:rPr>
        <w:t>, aprobad</w:t>
      </w:r>
      <w:r w:rsidR="001B02FC" w:rsidRPr="006D1A9A">
        <w:rPr>
          <w:rFonts w:ascii="Palatino Linotype" w:hAnsi="Palatino Linotype"/>
          <w:sz w:val="20"/>
        </w:rPr>
        <w:t>a</w:t>
      </w:r>
      <w:r w:rsidR="0005349F" w:rsidRPr="006D1A9A">
        <w:rPr>
          <w:rFonts w:ascii="Palatino Linotype" w:hAnsi="Palatino Linotype"/>
          <w:sz w:val="20"/>
        </w:rPr>
        <w:t xml:space="preserve"> el </w:t>
      </w:r>
      <w:r w:rsidR="00632E34">
        <w:rPr>
          <w:rFonts w:ascii="Palatino Linotype" w:hAnsi="Palatino Linotype"/>
          <w:sz w:val="20"/>
        </w:rPr>
        <w:t>seis de noviembre</w:t>
      </w:r>
      <w:r w:rsidR="00721AEB">
        <w:rPr>
          <w:rFonts w:ascii="Palatino Linotype" w:hAnsi="Palatino Linotype"/>
          <w:sz w:val="20"/>
        </w:rPr>
        <w:t xml:space="preserve"> de dos mil diecinueve</w:t>
      </w:r>
      <w:r w:rsidR="0005349F" w:rsidRPr="006D1A9A">
        <w:rPr>
          <w:rFonts w:ascii="Palatino Linotype" w:hAnsi="Palatino Linotype"/>
          <w:sz w:val="20"/>
        </w:rPr>
        <w:t>.</w:t>
      </w:r>
      <w:r>
        <w:rPr>
          <w:rFonts w:ascii="Palatino Linotype" w:hAnsi="Palatino Linotype"/>
          <w:sz w:val="20"/>
        </w:rPr>
        <w:t xml:space="preserve"> </w:t>
      </w:r>
    </w:p>
    <w:p w:rsidR="000351B4" w:rsidRPr="000351B4" w:rsidRDefault="000351B4" w:rsidP="00BF7F59">
      <w:pPr>
        <w:jc w:val="both"/>
        <w:rPr>
          <w:rFonts w:ascii="Palatino Linotype" w:hAnsi="Palatino Linotype"/>
          <w:sz w:val="8"/>
          <w:szCs w:val="8"/>
        </w:rPr>
      </w:pPr>
    </w:p>
    <w:p w:rsidR="00C76ACA" w:rsidRPr="006D1A9A" w:rsidRDefault="0005349F" w:rsidP="00BF7F59">
      <w:pPr>
        <w:jc w:val="both"/>
        <w:rPr>
          <w:rFonts w:ascii="Palatino Linotype" w:eastAsia="Calibri" w:hAnsi="Palatino Linotype"/>
          <w:sz w:val="20"/>
        </w:rPr>
      </w:pPr>
      <w:r w:rsidRPr="006D1A9A">
        <w:rPr>
          <w:rFonts w:ascii="Palatino Linotype" w:hAnsi="Palatino Linotype"/>
          <w:sz w:val="20"/>
        </w:rPr>
        <w:t>YSM/ATU</w:t>
      </w:r>
    </w:p>
    <w:sectPr w:rsidR="00C76ACA" w:rsidRPr="006D1A9A" w:rsidSect="0047667C">
      <w:headerReference w:type="even" r:id="rId8"/>
      <w:headerReference w:type="default" r:id="rId9"/>
      <w:footerReference w:type="default" r:id="rId10"/>
      <w:headerReference w:type="first" r:id="rId11"/>
      <w:pgSz w:w="12240" w:h="15840"/>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087" w:rsidRDefault="00814087" w:rsidP="00C80F8C">
      <w:r>
        <w:separator/>
      </w:r>
    </w:p>
  </w:endnote>
  <w:endnote w:type="continuationSeparator" w:id="0">
    <w:p w:rsidR="00814087" w:rsidRDefault="0081408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5324BC">
    <w:pPr>
      <w:pStyle w:val="Piedepgina"/>
      <w:jc w:val="right"/>
      <w:rPr>
        <w:rFonts w:ascii="Palatino Linotype" w:hAnsi="Palatino Linotype" w:cs="Arial"/>
        <w:b/>
        <w:bCs/>
        <w:sz w:val="20"/>
        <w:szCs w:val="20"/>
      </w:rPr>
    </w:pPr>
  </w:p>
  <w:p w:rsidR="00B87529" w:rsidRDefault="00B87529" w:rsidP="00B87529">
    <w:pPr>
      <w:pStyle w:val="Piedepgina"/>
      <w:jc w:val="right"/>
      <w:rPr>
        <w:rFonts w:ascii="Palatino Linotype" w:hAnsi="Palatino Linotype" w:cs="Arial"/>
        <w:b/>
        <w:bCs/>
        <w:sz w:val="20"/>
        <w:szCs w:val="20"/>
      </w:rPr>
    </w:pPr>
  </w:p>
  <w:p w:rsidR="00457AB9" w:rsidRPr="00B87529" w:rsidRDefault="00CB534A" w:rsidP="00B87529">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56FD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56FDA">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p>
  <w:p w:rsidR="00CB534A" w:rsidRDefault="00CB534A" w:rsidP="005324B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087" w:rsidRDefault="00814087" w:rsidP="00C80F8C">
      <w:r>
        <w:separator/>
      </w:r>
    </w:p>
  </w:footnote>
  <w:footnote w:type="continuationSeparator" w:id="0">
    <w:p w:rsidR="00814087" w:rsidRDefault="0081408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556F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5" o:spid="_x0000_s2051" type="#_x0000_t136" style="position:absolute;margin-left:0;margin-top:0;width:568.35pt;height:81.15pt;rotation:315;z-index:-251654144;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r w:rsidR="001B5027">
      <w:rPr>
        <w:noProof/>
        <w:lang w:val="es-MX" w:eastAsia="es-MX"/>
      </w:rPr>
      <mc:AlternateContent>
        <mc:Choice Requires="wps">
          <w:drawing>
            <wp:anchor distT="0" distB="0" distL="114300" distR="114300" simplePos="0" relativeHeight="251657216" behindDoc="1" locked="0" layoutInCell="0" allowOverlap="1">
              <wp:simplePos x="0" y="0"/>
              <wp:positionH relativeFrom="margin">
                <wp:align>center</wp:align>
              </wp:positionH>
              <wp:positionV relativeFrom="margin">
                <wp:align>center</wp:align>
              </wp:positionV>
              <wp:extent cx="7970520" cy="95631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70520" cy="956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627.6pt;height:75.3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" o:allowincell="f" filled="f" stroked="f">
              <v:stroke joinstyle="round"/>
              <o:lock v:ext="edit" shapetype="t"/>
              <v:textbox style="mso-fit-shape-to-text:t">
                <w:txbxContent>
                  <w:p w:rsidR="00CB534A" w:rsidRDefault="00CB534A" w:rsidP="0026525A">
                    <w:pPr>
                      <w:pStyle w:val="NormalWeb"/>
                      <w:spacing w:before="0" w:beforeAutospacing="0" w:after="0" w:afterAutospacing="0"/>
                      <w:jc w:val="center"/>
                    </w:pPr>
                    <w:r>
                      <w:rPr>
                        <w:rFonts w:ascii="Palatino Linotype" w:hAnsi="Palatino Linotype"/>
                        <w:color w:val="FFAFAB"/>
                        <w:sz w:val="2"/>
                        <w:szCs w:val="2"/>
                      </w:rPr>
                      <w:t>OPINIÓN PARTICULAR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CB534A" w:rsidP="009832FD">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simplePos x="0" y="0"/>
          <wp:positionH relativeFrom="margin">
            <wp:posOffset>-744220</wp:posOffset>
          </wp:positionH>
          <wp:positionV relativeFrom="paragraph">
            <wp:posOffset>-340995</wp:posOffset>
          </wp:positionV>
          <wp:extent cx="7604125" cy="9903460"/>
          <wp:effectExtent l="0" t="0" r="0" b="254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852166" w:rsidRDefault="00852166" w:rsidP="009832FD">
    <w:pPr>
      <w:pStyle w:val="Encabezado"/>
      <w:tabs>
        <w:tab w:val="clear" w:pos="4252"/>
        <w:tab w:val="clear" w:pos="8504"/>
        <w:tab w:val="left" w:pos="2326"/>
      </w:tabs>
      <w:jc w:val="right"/>
      <w:rPr>
        <w:rFonts w:ascii="Palatino Linotype" w:hAnsi="Palatino Linotype" w:cs="Arial"/>
        <w:sz w:val="20"/>
        <w:szCs w:val="20"/>
      </w:rPr>
    </w:pPr>
  </w:p>
  <w:p w:rsidR="00CB534A" w:rsidRDefault="00CB534A" w:rsidP="009832FD">
    <w:pPr>
      <w:pStyle w:val="Encabezado"/>
      <w:tabs>
        <w:tab w:val="clear" w:pos="4252"/>
        <w:tab w:val="clear" w:pos="8504"/>
        <w:tab w:val="left" w:pos="2326"/>
      </w:tabs>
      <w:jc w:val="right"/>
      <w:rPr>
        <w:rFonts w:ascii="Palatino Linotype" w:hAnsi="Palatino Linotype"/>
      </w:rPr>
    </w:pPr>
  </w:p>
  <w:p w:rsidR="00457AB9" w:rsidRDefault="000351B4" w:rsidP="006D1A9A">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VOTO DISIDENTE</w:t>
    </w:r>
  </w:p>
  <w:p w:rsidR="006D1A9A" w:rsidRDefault="000351B4" w:rsidP="006D1A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E69CE">
      <w:rPr>
        <w:rFonts w:ascii="Palatino Linotype" w:hAnsi="Palatino Linotype" w:cs="Arial"/>
        <w:sz w:val="20"/>
        <w:szCs w:val="20"/>
      </w:rPr>
      <w:t>06849</w:t>
    </w:r>
    <w:r w:rsidRPr="00713AF2">
      <w:rPr>
        <w:rFonts w:ascii="Palatino Linotype" w:hAnsi="Palatino Linotype" w:cs="Arial"/>
        <w:sz w:val="20"/>
        <w:szCs w:val="20"/>
      </w:rPr>
      <w:t>/INFOEM/IP/RR/2019</w:t>
    </w:r>
  </w:p>
  <w:p w:rsidR="00457AB9" w:rsidRDefault="00556FDA" w:rsidP="00403F62">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6" o:spid="_x0000_s2052" type="#_x0000_t136" style="position:absolute;left:0;text-align:left;margin-left:-73.6pt;margin-top:241.1pt;width:623.9pt;height:93.55pt;rotation:315;z-index:-251652096;mso-position-horizontal-relative:margin;mso-position-vertical-relative:margin" o:allowincell="f" fillcolor="#bfbfbf [2412]" stroked="f">
          <v:fill opacity=".5"/>
          <v:textpath style="font-family:&quot;Times New Roman&quot;;font-size:1pt" string="VOTO DISID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534A" w:rsidRDefault="00556FDA">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7484" o:spid="_x0000_s2050" type="#_x0000_t136" style="position:absolute;margin-left:0;margin-top:0;width:568.35pt;height:81.15pt;rotation:315;z-index:-251656192;mso-position-horizontal:center;mso-position-horizontal-relative:margin;mso-position-vertical:center;mso-position-vertical-relative:margin" o:allowincell="f" fillcolor="#d8d8d8 [2732]" stroked="f">
          <v:fill opacity=".5"/>
          <v:textpath style="font-family:&quot;Times New Roman&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83A1E"/>
    <w:multiLevelType w:val="hybridMultilevel"/>
    <w:tmpl w:val="FBC41DE0"/>
    <w:lvl w:ilvl="0" w:tplc="8F4019B4">
      <w:start w:val="1"/>
      <w:numFmt w:val="lowerRoman"/>
      <w:lvlText w:val="%1)"/>
      <w:lvlJc w:val="left"/>
      <w:pPr>
        <w:ind w:left="2291" w:hanging="720"/>
      </w:pPr>
      <w:rPr>
        <w:rFonts w:hint="default"/>
        <w:b/>
        <w:i/>
        <w:color w:val="000000"/>
      </w:r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
    <w:nsid w:val="0D871C50"/>
    <w:multiLevelType w:val="hybridMultilevel"/>
    <w:tmpl w:val="FBC8B6BE"/>
    <w:lvl w:ilvl="0" w:tplc="C1C42ED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nsid w:val="0FF8552A"/>
    <w:multiLevelType w:val="hybridMultilevel"/>
    <w:tmpl w:val="929261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F06635"/>
    <w:multiLevelType w:val="hybridMultilevel"/>
    <w:tmpl w:val="79FE767A"/>
    <w:lvl w:ilvl="0" w:tplc="69E884F6">
      <w:start w:val="1"/>
      <w:numFmt w:val="lowerLetter"/>
      <w:lvlText w:val="%1)"/>
      <w:lvlJc w:val="left"/>
      <w:pPr>
        <w:ind w:left="1069" w:hanging="360"/>
      </w:pPr>
      <w:rPr>
        <w:rFonts w:eastAsia="Times New Roman"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14827F5E"/>
    <w:multiLevelType w:val="hybridMultilevel"/>
    <w:tmpl w:val="14DEFFB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E23096"/>
    <w:multiLevelType w:val="hybridMultilevel"/>
    <w:tmpl w:val="B6DCCA78"/>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B3615CA"/>
    <w:multiLevelType w:val="hybridMultilevel"/>
    <w:tmpl w:val="3EA4ABBC"/>
    <w:lvl w:ilvl="0" w:tplc="47001724">
      <w:start w:val="1"/>
      <w:numFmt w:val="decimal"/>
      <w:lvlText w:val="%1."/>
      <w:lvlJc w:val="left"/>
      <w:pPr>
        <w:ind w:left="720" w:hanging="360"/>
      </w:pPr>
      <w:rPr>
        <w:rFonts w:eastAsia="Times New Roman" w:cs="Times New Roman"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C06A76"/>
    <w:multiLevelType w:val="hybridMultilevel"/>
    <w:tmpl w:val="F22E6D02"/>
    <w:lvl w:ilvl="0" w:tplc="2B407C0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0C4493C"/>
    <w:multiLevelType w:val="hybridMultilevel"/>
    <w:tmpl w:val="69542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1905FC"/>
    <w:multiLevelType w:val="hybridMultilevel"/>
    <w:tmpl w:val="BF5A61A0"/>
    <w:lvl w:ilvl="0" w:tplc="311EB9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nsid w:val="26E85248"/>
    <w:multiLevelType w:val="hybridMultilevel"/>
    <w:tmpl w:val="51523790"/>
    <w:lvl w:ilvl="0" w:tplc="080A0017">
      <w:start w:val="1"/>
      <w:numFmt w:val="lowerLetter"/>
      <w:lvlText w:val="%1)"/>
      <w:lvlJc w:val="left"/>
      <w:pPr>
        <w:ind w:left="1211" w:hanging="360"/>
      </w:pPr>
    </w:lvl>
    <w:lvl w:ilvl="1" w:tplc="080A0003">
      <w:start w:val="1"/>
      <w:numFmt w:val="bullet"/>
      <w:lvlText w:val="o"/>
      <w:lvlJc w:val="left"/>
      <w:pPr>
        <w:ind w:left="1931" w:hanging="360"/>
      </w:pPr>
      <w:rPr>
        <w:rFonts w:ascii="Courier New" w:hAnsi="Courier New" w:cs="Courier New" w:hint="default"/>
      </w:rPr>
    </w:lvl>
    <w:lvl w:ilvl="2" w:tplc="080A0005">
      <w:start w:val="1"/>
      <w:numFmt w:val="bullet"/>
      <w:lvlText w:val=""/>
      <w:lvlJc w:val="left"/>
      <w:pPr>
        <w:ind w:left="2651" w:hanging="360"/>
      </w:pPr>
      <w:rPr>
        <w:rFonts w:ascii="Wingdings" w:hAnsi="Wingdings" w:hint="default"/>
      </w:rPr>
    </w:lvl>
    <w:lvl w:ilvl="3" w:tplc="080A0001">
      <w:start w:val="1"/>
      <w:numFmt w:val="bullet"/>
      <w:lvlText w:val=""/>
      <w:lvlJc w:val="left"/>
      <w:pPr>
        <w:ind w:left="3371" w:hanging="360"/>
      </w:pPr>
      <w:rPr>
        <w:rFonts w:ascii="Symbol" w:hAnsi="Symbol" w:hint="default"/>
      </w:rPr>
    </w:lvl>
    <w:lvl w:ilvl="4" w:tplc="080A0003">
      <w:start w:val="1"/>
      <w:numFmt w:val="bullet"/>
      <w:lvlText w:val="o"/>
      <w:lvlJc w:val="left"/>
      <w:pPr>
        <w:ind w:left="4091" w:hanging="360"/>
      </w:pPr>
      <w:rPr>
        <w:rFonts w:ascii="Courier New" w:hAnsi="Courier New" w:cs="Courier New" w:hint="default"/>
      </w:rPr>
    </w:lvl>
    <w:lvl w:ilvl="5" w:tplc="080A0005">
      <w:start w:val="1"/>
      <w:numFmt w:val="bullet"/>
      <w:lvlText w:val=""/>
      <w:lvlJc w:val="left"/>
      <w:pPr>
        <w:ind w:left="4811" w:hanging="360"/>
      </w:pPr>
      <w:rPr>
        <w:rFonts w:ascii="Wingdings" w:hAnsi="Wingdings" w:hint="default"/>
      </w:rPr>
    </w:lvl>
    <w:lvl w:ilvl="6" w:tplc="080A0001">
      <w:start w:val="1"/>
      <w:numFmt w:val="bullet"/>
      <w:lvlText w:val=""/>
      <w:lvlJc w:val="left"/>
      <w:pPr>
        <w:ind w:left="5531" w:hanging="360"/>
      </w:pPr>
      <w:rPr>
        <w:rFonts w:ascii="Symbol" w:hAnsi="Symbol" w:hint="default"/>
      </w:rPr>
    </w:lvl>
    <w:lvl w:ilvl="7" w:tplc="080A0003">
      <w:start w:val="1"/>
      <w:numFmt w:val="bullet"/>
      <w:lvlText w:val="o"/>
      <w:lvlJc w:val="left"/>
      <w:pPr>
        <w:ind w:left="6251" w:hanging="360"/>
      </w:pPr>
      <w:rPr>
        <w:rFonts w:ascii="Courier New" w:hAnsi="Courier New" w:cs="Courier New" w:hint="default"/>
      </w:rPr>
    </w:lvl>
    <w:lvl w:ilvl="8" w:tplc="080A0005">
      <w:start w:val="1"/>
      <w:numFmt w:val="bullet"/>
      <w:lvlText w:val=""/>
      <w:lvlJc w:val="left"/>
      <w:pPr>
        <w:ind w:left="6971" w:hanging="360"/>
      </w:pPr>
      <w:rPr>
        <w:rFonts w:ascii="Wingdings" w:hAnsi="Wingdings" w:hint="default"/>
      </w:rPr>
    </w:lvl>
  </w:abstractNum>
  <w:abstractNum w:abstractNumId="11">
    <w:nsid w:val="282F53F3"/>
    <w:multiLevelType w:val="hybridMultilevel"/>
    <w:tmpl w:val="B882FB3C"/>
    <w:lvl w:ilvl="0" w:tplc="4B8CC7F0">
      <w:start w:val="1"/>
      <w:numFmt w:val="decimal"/>
      <w:lvlText w:val="%1."/>
      <w:lvlJc w:val="left"/>
      <w:pPr>
        <w:ind w:left="1413" w:hanging="705"/>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2">
    <w:nsid w:val="297E7957"/>
    <w:multiLevelType w:val="hybridMultilevel"/>
    <w:tmpl w:val="C7E40E06"/>
    <w:lvl w:ilvl="0" w:tplc="040A0001">
      <w:start w:val="1"/>
      <w:numFmt w:val="bullet"/>
      <w:lvlText w:val=""/>
      <w:lvlJc w:val="left"/>
      <w:pPr>
        <w:ind w:left="1068" w:hanging="360"/>
      </w:pPr>
      <w:rPr>
        <w:rFonts w:ascii="Symbol" w:hAnsi="Symbol" w:hint="default"/>
      </w:rPr>
    </w:lvl>
    <w:lvl w:ilvl="1" w:tplc="040A0003" w:tentative="1">
      <w:start w:val="1"/>
      <w:numFmt w:val="bullet"/>
      <w:lvlText w:val="o"/>
      <w:lvlJc w:val="left"/>
      <w:pPr>
        <w:ind w:left="1788" w:hanging="360"/>
      </w:pPr>
      <w:rPr>
        <w:rFonts w:ascii="Courier New" w:hAnsi="Courier New" w:hint="default"/>
      </w:rPr>
    </w:lvl>
    <w:lvl w:ilvl="2" w:tplc="040A0005" w:tentative="1">
      <w:start w:val="1"/>
      <w:numFmt w:val="bullet"/>
      <w:lvlText w:val=""/>
      <w:lvlJc w:val="left"/>
      <w:pPr>
        <w:ind w:left="2508" w:hanging="360"/>
      </w:pPr>
      <w:rPr>
        <w:rFonts w:ascii="Wingdings" w:hAnsi="Wingdings" w:hint="default"/>
      </w:rPr>
    </w:lvl>
    <w:lvl w:ilvl="3" w:tplc="040A0001" w:tentative="1">
      <w:start w:val="1"/>
      <w:numFmt w:val="bullet"/>
      <w:lvlText w:val=""/>
      <w:lvlJc w:val="left"/>
      <w:pPr>
        <w:ind w:left="3228" w:hanging="360"/>
      </w:pPr>
      <w:rPr>
        <w:rFonts w:ascii="Symbol" w:hAnsi="Symbol" w:hint="default"/>
      </w:rPr>
    </w:lvl>
    <w:lvl w:ilvl="4" w:tplc="040A0003" w:tentative="1">
      <w:start w:val="1"/>
      <w:numFmt w:val="bullet"/>
      <w:lvlText w:val="o"/>
      <w:lvlJc w:val="left"/>
      <w:pPr>
        <w:ind w:left="3948" w:hanging="360"/>
      </w:pPr>
      <w:rPr>
        <w:rFonts w:ascii="Courier New" w:hAnsi="Courier New" w:hint="default"/>
      </w:rPr>
    </w:lvl>
    <w:lvl w:ilvl="5" w:tplc="040A0005" w:tentative="1">
      <w:start w:val="1"/>
      <w:numFmt w:val="bullet"/>
      <w:lvlText w:val=""/>
      <w:lvlJc w:val="left"/>
      <w:pPr>
        <w:ind w:left="4668" w:hanging="360"/>
      </w:pPr>
      <w:rPr>
        <w:rFonts w:ascii="Wingdings" w:hAnsi="Wingdings" w:hint="default"/>
      </w:rPr>
    </w:lvl>
    <w:lvl w:ilvl="6" w:tplc="040A0001" w:tentative="1">
      <w:start w:val="1"/>
      <w:numFmt w:val="bullet"/>
      <w:lvlText w:val=""/>
      <w:lvlJc w:val="left"/>
      <w:pPr>
        <w:ind w:left="5388" w:hanging="360"/>
      </w:pPr>
      <w:rPr>
        <w:rFonts w:ascii="Symbol" w:hAnsi="Symbol" w:hint="default"/>
      </w:rPr>
    </w:lvl>
    <w:lvl w:ilvl="7" w:tplc="040A0003" w:tentative="1">
      <w:start w:val="1"/>
      <w:numFmt w:val="bullet"/>
      <w:lvlText w:val="o"/>
      <w:lvlJc w:val="left"/>
      <w:pPr>
        <w:ind w:left="6108" w:hanging="360"/>
      </w:pPr>
      <w:rPr>
        <w:rFonts w:ascii="Courier New" w:hAnsi="Courier New" w:hint="default"/>
      </w:rPr>
    </w:lvl>
    <w:lvl w:ilvl="8" w:tplc="040A0005" w:tentative="1">
      <w:start w:val="1"/>
      <w:numFmt w:val="bullet"/>
      <w:lvlText w:val=""/>
      <w:lvlJc w:val="left"/>
      <w:pPr>
        <w:ind w:left="6828" w:hanging="360"/>
      </w:pPr>
      <w:rPr>
        <w:rFonts w:ascii="Wingdings" w:hAnsi="Wingdings" w:hint="default"/>
      </w:rPr>
    </w:lvl>
  </w:abstractNum>
  <w:abstractNum w:abstractNumId="13">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4">
    <w:nsid w:val="37481543"/>
    <w:multiLevelType w:val="hybridMultilevel"/>
    <w:tmpl w:val="8DA464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B7D6F75"/>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nsid w:val="40891304"/>
    <w:multiLevelType w:val="hybridMultilevel"/>
    <w:tmpl w:val="5D700E3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65956A2"/>
    <w:multiLevelType w:val="hybridMultilevel"/>
    <w:tmpl w:val="A8FC4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6953C8"/>
    <w:multiLevelType w:val="hybridMultilevel"/>
    <w:tmpl w:val="4E962200"/>
    <w:lvl w:ilvl="0" w:tplc="ED38435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nsid w:val="5A40210F"/>
    <w:multiLevelType w:val="hybridMultilevel"/>
    <w:tmpl w:val="D804ABF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nsid w:val="5CE0474B"/>
    <w:multiLevelType w:val="hybridMultilevel"/>
    <w:tmpl w:val="A4AE4C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FB8694D"/>
    <w:multiLevelType w:val="hybridMultilevel"/>
    <w:tmpl w:val="464ADDF0"/>
    <w:lvl w:ilvl="0" w:tplc="81F2C6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1C533A"/>
    <w:multiLevelType w:val="hybridMultilevel"/>
    <w:tmpl w:val="5338ED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18D2AA4"/>
    <w:multiLevelType w:val="hybridMultilevel"/>
    <w:tmpl w:val="3F226A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E9524BE"/>
    <w:multiLevelType w:val="hybridMultilevel"/>
    <w:tmpl w:val="9EBC246A"/>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7">
    <w:nsid w:val="70B070B2"/>
    <w:multiLevelType w:val="hybridMultilevel"/>
    <w:tmpl w:val="639A96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738573B6"/>
    <w:multiLevelType w:val="hybridMultilevel"/>
    <w:tmpl w:val="C8D8B7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79E2A36"/>
    <w:multiLevelType w:val="hybridMultilevel"/>
    <w:tmpl w:val="4D1220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nsid w:val="780E7EAF"/>
    <w:multiLevelType w:val="hybridMultilevel"/>
    <w:tmpl w:val="C08082B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Symbol"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Symbol"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Symbol" w:hint="default"/>
      </w:rPr>
    </w:lvl>
    <w:lvl w:ilvl="8" w:tplc="080A0005" w:tentative="1">
      <w:start w:val="1"/>
      <w:numFmt w:val="bullet"/>
      <w:lvlText w:val=""/>
      <w:lvlJc w:val="left"/>
      <w:pPr>
        <w:ind w:left="7047" w:hanging="360"/>
      </w:pPr>
      <w:rPr>
        <w:rFonts w:ascii="Wingdings" w:hAnsi="Wingdings" w:hint="default"/>
      </w:rPr>
    </w:lvl>
  </w:abstractNum>
  <w:abstractNum w:abstractNumId="31">
    <w:nsid w:val="7A486C83"/>
    <w:multiLevelType w:val="hybridMultilevel"/>
    <w:tmpl w:val="32987C7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3"/>
  </w:num>
  <w:num w:numId="3">
    <w:abstractNumId w:val="3"/>
  </w:num>
  <w:num w:numId="4">
    <w:abstractNumId w:val="28"/>
  </w:num>
  <w:num w:numId="5">
    <w:abstractNumId w:val="30"/>
  </w:num>
  <w:num w:numId="6">
    <w:abstractNumId w:val="8"/>
  </w:num>
  <w:num w:numId="7">
    <w:abstractNumId w:val="31"/>
  </w:num>
  <w:num w:numId="8">
    <w:abstractNumId w:val="18"/>
  </w:num>
  <w:num w:numId="9">
    <w:abstractNumId w:val="12"/>
  </w:num>
  <w:num w:numId="10">
    <w:abstractNumId w:val="16"/>
  </w:num>
  <w:num w:numId="11">
    <w:abstractNumId w:val="14"/>
  </w:num>
  <w:num w:numId="12">
    <w:abstractNumId w:val="22"/>
  </w:num>
  <w:num w:numId="13">
    <w:abstractNumId w:val="15"/>
  </w:num>
  <w:num w:numId="14">
    <w:abstractNumId w:val="27"/>
  </w:num>
  <w:num w:numId="15">
    <w:abstractNumId w:val="6"/>
  </w:num>
  <w:num w:numId="16">
    <w:abstractNumId w:val="2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24"/>
  </w:num>
  <w:num w:numId="19">
    <w:abstractNumId w:val="21"/>
  </w:num>
  <w:num w:numId="20">
    <w:abstractNumId w:val="1"/>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17"/>
  </w:num>
  <w:num w:numId="24">
    <w:abstractNumId w:val="9"/>
  </w:num>
  <w:num w:numId="25">
    <w:abstractNumId w:val="10"/>
  </w:num>
  <w:num w:numId="26">
    <w:abstractNumId w:val="2"/>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9"/>
  </w:num>
  <w:num w:numId="30">
    <w:abstractNumId w:val="7"/>
  </w:num>
  <w:num w:numId="31">
    <w:abstractNumId w:val="29"/>
  </w:num>
  <w:num w:numId="32">
    <w:abstractNumId w:val="26"/>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D1"/>
    <w:rsid w:val="00001644"/>
    <w:rsid w:val="000019A5"/>
    <w:rsid w:val="00003667"/>
    <w:rsid w:val="00004CF8"/>
    <w:rsid w:val="0002229C"/>
    <w:rsid w:val="000226B6"/>
    <w:rsid w:val="00023BCA"/>
    <w:rsid w:val="0003043F"/>
    <w:rsid w:val="0003292F"/>
    <w:rsid w:val="000351B4"/>
    <w:rsid w:val="00035E4F"/>
    <w:rsid w:val="00037C04"/>
    <w:rsid w:val="0004019D"/>
    <w:rsid w:val="0005349F"/>
    <w:rsid w:val="00072366"/>
    <w:rsid w:val="000832D8"/>
    <w:rsid w:val="0008542A"/>
    <w:rsid w:val="00090AD3"/>
    <w:rsid w:val="000914CB"/>
    <w:rsid w:val="00092A25"/>
    <w:rsid w:val="00092EAB"/>
    <w:rsid w:val="00096EF4"/>
    <w:rsid w:val="00097AA2"/>
    <w:rsid w:val="000A4864"/>
    <w:rsid w:val="000B1716"/>
    <w:rsid w:val="000B377B"/>
    <w:rsid w:val="000B3FFD"/>
    <w:rsid w:val="000B44ED"/>
    <w:rsid w:val="000B5418"/>
    <w:rsid w:val="000B6301"/>
    <w:rsid w:val="000C2775"/>
    <w:rsid w:val="000C4453"/>
    <w:rsid w:val="000D0725"/>
    <w:rsid w:val="000E003C"/>
    <w:rsid w:val="000E2519"/>
    <w:rsid w:val="000E2A10"/>
    <w:rsid w:val="000E67BA"/>
    <w:rsid w:val="000F63AC"/>
    <w:rsid w:val="0010065D"/>
    <w:rsid w:val="00101849"/>
    <w:rsid w:val="00103B42"/>
    <w:rsid w:val="0010542B"/>
    <w:rsid w:val="001103B3"/>
    <w:rsid w:val="0012052E"/>
    <w:rsid w:val="00142BB1"/>
    <w:rsid w:val="00143DE4"/>
    <w:rsid w:val="00146D94"/>
    <w:rsid w:val="00153E26"/>
    <w:rsid w:val="001567A7"/>
    <w:rsid w:val="001713C8"/>
    <w:rsid w:val="001937F3"/>
    <w:rsid w:val="001938A6"/>
    <w:rsid w:val="001977F5"/>
    <w:rsid w:val="001A02E0"/>
    <w:rsid w:val="001A3633"/>
    <w:rsid w:val="001A6F0D"/>
    <w:rsid w:val="001B02FC"/>
    <w:rsid w:val="001B1CDE"/>
    <w:rsid w:val="001B5027"/>
    <w:rsid w:val="001C5550"/>
    <w:rsid w:val="001D15A5"/>
    <w:rsid w:val="001D5E1E"/>
    <w:rsid w:val="001D7B9F"/>
    <w:rsid w:val="001E0509"/>
    <w:rsid w:val="001E26F5"/>
    <w:rsid w:val="001F0303"/>
    <w:rsid w:val="001F15CB"/>
    <w:rsid w:val="001F212D"/>
    <w:rsid w:val="00201BAE"/>
    <w:rsid w:val="00205F45"/>
    <w:rsid w:val="002101AA"/>
    <w:rsid w:val="00215B17"/>
    <w:rsid w:val="00225A4F"/>
    <w:rsid w:val="00226958"/>
    <w:rsid w:val="002310A1"/>
    <w:rsid w:val="0023751A"/>
    <w:rsid w:val="0025147C"/>
    <w:rsid w:val="002606A3"/>
    <w:rsid w:val="002617AD"/>
    <w:rsid w:val="00261F11"/>
    <w:rsid w:val="0026525A"/>
    <w:rsid w:val="00266656"/>
    <w:rsid w:val="0026758B"/>
    <w:rsid w:val="00272DA2"/>
    <w:rsid w:val="00285B02"/>
    <w:rsid w:val="00287747"/>
    <w:rsid w:val="002940F8"/>
    <w:rsid w:val="00294B2B"/>
    <w:rsid w:val="002A21F6"/>
    <w:rsid w:val="002A5949"/>
    <w:rsid w:val="002A6D75"/>
    <w:rsid w:val="002B69AA"/>
    <w:rsid w:val="002C7B14"/>
    <w:rsid w:val="002D2274"/>
    <w:rsid w:val="002E0890"/>
    <w:rsid w:val="002E34EE"/>
    <w:rsid w:val="00307731"/>
    <w:rsid w:val="003111C4"/>
    <w:rsid w:val="00324535"/>
    <w:rsid w:val="00325485"/>
    <w:rsid w:val="00326786"/>
    <w:rsid w:val="00340423"/>
    <w:rsid w:val="00340EB1"/>
    <w:rsid w:val="003609D7"/>
    <w:rsid w:val="00363B86"/>
    <w:rsid w:val="003802C8"/>
    <w:rsid w:val="003861BA"/>
    <w:rsid w:val="00391CA7"/>
    <w:rsid w:val="003A46E3"/>
    <w:rsid w:val="003B20F8"/>
    <w:rsid w:val="003B4AC9"/>
    <w:rsid w:val="003B593F"/>
    <w:rsid w:val="003D243B"/>
    <w:rsid w:val="003D2AEC"/>
    <w:rsid w:val="003F7E9C"/>
    <w:rsid w:val="00403269"/>
    <w:rsid w:val="00403F62"/>
    <w:rsid w:val="00411925"/>
    <w:rsid w:val="004240D8"/>
    <w:rsid w:val="004309EF"/>
    <w:rsid w:val="0043440A"/>
    <w:rsid w:val="0043608E"/>
    <w:rsid w:val="00441DA9"/>
    <w:rsid w:val="00451AF2"/>
    <w:rsid w:val="00457AB9"/>
    <w:rsid w:val="00463DB7"/>
    <w:rsid w:val="00465383"/>
    <w:rsid w:val="00472C7C"/>
    <w:rsid w:val="0047667C"/>
    <w:rsid w:val="00487324"/>
    <w:rsid w:val="004A2C41"/>
    <w:rsid w:val="004A4621"/>
    <w:rsid w:val="004B380D"/>
    <w:rsid w:val="004C27B7"/>
    <w:rsid w:val="004C31C2"/>
    <w:rsid w:val="004C5ABD"/>
    <w:rsid w:val="004C5EA9"/>
    <w:rsid w:val="004D0A26"/>
    <w:rsid w:val="004D22F6"/>
    <w:rsid w:val="004E01B6"/>
    <w:rsid w:val="004E0226"/>
    <w:rsid w:val="004E5B9E"/>
    <w:rsid w:val="0050340C"/>
    <w:rsid w:val="00510881"/>
    <w:rsid w:val="00512140"/>
    <w:rsid w:val="005243AD"/>
    <w:rsid w:val="0053151F"/>
    <w:rsid w:val="005324BC"/>
    <w:rsid w:val="005335D4"/>
    <w:rsid w:val="005351AC"/>
    <w:rsid w:val="00540C48"/>
    <w:rsid w:val="00556FDA"/>
    <w:rsid w:val="00560E4D"/>
    <w:rsid w:val="00563DDB"/>
    <w:rsid w:val="00566800"/>
    <w:rsid w:val="00567778"/>
    <w:rsid w:val="00567C33"/>
    <w:rsid w:val="00573EBE"/>
    <w:rsid w:val="0057457A"/>
    <w:rsid w:val="00575235"/>
    <w:rsid w:val="0057790F"/>
    <w:rsid w:val="00580993"/>
    <w:rsid w:val="00580EAD"/>
    <w:rsid w:val="00582D73"/>
    <w:rsid w:val="00591DFC"/>
    <w:rsid w:val="005946D6"/>
    <w:rsid w:val="005A0F2C"/>
    <w:rsid w:val="005A2B23"/>
    <w:rsid w:val="005A2C67"/>
    <w:rsid w:val="005C172D"/>
    <w:rsid w:val="005C2599"/>
    <w:rsid w:val="005C7A11"/>
    <w:rsid w:val="005C7B63"/>
    <w:rsid w:val="005D1946"/>
    <w:rsid w:val="005D1E1D"/>
    <w:rsid w:val="005E700C"/>
    <w:rsid w:val="00604600"/>
    <w:rsid w:val="006062B2"/>
    <w:rsid w:val="006119A3"/>
    <w:rsid w:val="00614F6C"/>
    <w:rsid w:val="00620925"/>
    <w:rsid w:val="0062767D"/>
    <w:rsid w:val="00632E34"/>
    <w:rsid w:val="00634485"/>
    <w:rsid w:val="00634CA5"/>
    <w:rsid w:val="006422EF"/>
    <w:rsid w:val="00645C81"/>
    <w:rsid w:val="00650453"/>
    <w:rsid w:val="006524CF"/>
    <w:rsid w:val="00656B3C"/>
    <w:rsid w:val="00665DEF"/>
    <w:rsid w:val="00676954"/>
    <w:rsid w:val="00682541"/>
    <w:rsid w:val="00683D4E"/>
    <w:rsid w:val="00684A8A"/>
    <w:rsid w:val="00695058"/>
    <w:rsid w:val="006967B2"/>
    <w:rsid w:val="00696A45"/>
    <w:rsid w:val="006B79E8"/>
    <w:rsid w:val="006D186F"/>
    <w:rsid w:val="006D1A9A"/>
    <w:rsid w:val="006D5B28"/>
    <w:rsid w:val="006D6606"/>
    <w:rsid w:val="006E157D"/>
    <w:rsid w:val="006E2751"/>
    <w:rsid w:val="006E350E"/>
    <w:rsid w:val="006E4CF8"/>
    <w:rsid w:val="006E51A5"/>
    <w:rsid w:val="006E6389"/>
    <w:rsid w:val="006F01F2"/>
    <w:rsid w:val="006F0882"/>
    <w:rsid w:val="006F2CB8"/>
    <w:rsid w:val="006F30F8"/>
    <w:rsid w:val="00704D94"/>
    <w:rsid w:val="00713AF2"/>
    <w:rsid w:val="00716FAD"/>
    <w:rsid w:val="00721AEB"/>
    <w:rsid w:val="00723DF2"/>
    <w:rsid w:val="00727EED"/>
    <w:rsid w:val="00732089"/>
    <w:rsid w:val="0073300F"/>
    <w:rsid w:val="00733AFC"/>
    <w:rsid w:val="007342FF"/>
    <w:rsid w:val="00736525"/>
    <w:rsid w:val="00736C06"/>
    <w:rsid w:val="00744B2A"/>
    <w:rsid w:val="007573BA"/>
    <w:rsid w:val="00760570"/>
    <w:rsid w:val="00780218"/>
    <w:rsid w:val="00780B88"/>
    <w:rsid w:val="00783B29"/>
    <w:rsid w:val="00784211"/>
    <w:rsid w:val="00790E7C"/>
    <w:rsid w:val="00792AFB"/>
    <w:rsid w:val="00793EE0"/>
    <w:rsid w:val="007B03B4"/>
    <w:rsid w:val="007C1C2C"/>
    <w:rsid w:val="007C2428"/>
    <w:rsid w:val="007C5506"/>
    <w:rsid w:val="007C568D"/>
    <w:rsid w:val="007C7FC3"/>
    <w:rsid w:val="007D0C2B"/>
    <w:rsid w:val="007D0EEA"/>
    <w:rsid w:val="007D2064"/>
    <w:rsid w:val="007D5A96"/>
    <w:rsid w:val="007E1C0C"/>
    <w:rsid w:val="007E40BE"/>
    <w:rsid w:val="007E5B39"/>
    <w:rsid w:val="007E5B9F"/>
    <w:rsid w:val="007F2539"/>
    <w:rsid w:val="007F3A6C"/>
    <w:rsid w:val="007F71A7"/>
    <w:rsid w:val="008004AA"/>
    <w:rsid w:val="00814051"/>
    <w:rsid w:val="00814087"/>
    <w:rsid w:val="00814158"/>
    <w:rsid w:val="00815E90"/>
    <w:rsid w:val="008209ED"/>
    <w:rsid w:val="00833697"/>
    <w:rsid w:val="00845965"/>
    <w:rsid w:val="008517C8"/>
    <w:rsid w:val="008520AA"/>
    <w:rsid w:val="00852166"/>
    <w:rsid w:val="008673A7"/>
    <w:rsid w:val="00892AFC"/>
    <w:rsid w:val="008A344A"/>
    <w:rsid w:val="008A43EA"/>
    <w:rsid w:val="008A5F96"/>
    <w:rsid w:val="008B0E4F"/>
    <w:rsid w:val="008B1E62"/>
    <w:rsid w:val="008C23F7"/>
    <w:rsid w:val="008C5A02"/>
    <w:rsid w:val="008D0CC3"/>
    <w:rsid w:val="008D1526"/>
    <w:rsid w:val="008D6107"/>
    <w:rsid w:val="008D66D7"/>
    <w:rsid w:val="008D6B7A"/>
    <w:rsid w:val="008E332C"/>
    <w:rsid w:val="008F390E"/>
    <w:rsid w:val="00901E88"/>
    <w:rsid w:val="0090287D"/>
    <w:rsid w:val="009108D0"/>
    <w:rsid w:val="009165A8"/>
    <w:rsid w:val="0092126C"/>
    <w:rsid w:val="00921925"/>
    <w:rsid w:val="0092514A"/>
    <w:rsid w:val="0092528E"/>
    <w:rsid w:val="0093568E"/>
    <w:rsid w:val="00940BEA"/>
    <w:rsid w:val="00951244"/>
    <w:rsid w:val="009525B7"/>
    <w:rsid w:val="009542FB"/>
    <w:rsid w:val="00956B05"/>
    <w:rsid w:val="00956BDB"/>
    <w:rsid w:val="009630DF"/>
    <w:rsid w:val="00964064"/>
    <w:rsid w:val="00971B88"/>
    <w:rsid w:val="009723C2"/>
    <w:rsid w:val="00973040"/>
    <w:rsid w:val="00973581"/>
    <w:rsid w:val="00974FD2"/>
    <w:rsid w:val="00975B9A"/>
    <w:rsid w:val="00975EB9"/>
    <w:rsid w:val="009832FD"/>
    <w:rsid w:val="009A0480"/>
    <w:rsid w:val="009B1D18"/>
    <w:rsid w:val="009B34A5"/>
    <w:rsid w:val="009B3E61"/>
    <w:rsid w:val="009B4E39"/>
    <w:rsid w:val="009B62D8"/>
    <w:rsid w:val="009B6F98"/>
    <w:rsid w:val="009C3D81"/>
    <w:rsid w:val="009C4C67"/>
    <w:rsid w:val="009D3B11"/>
    <w:rsid w:val="009D3EB8"/>
    <w:rsid w:val="009D5055"/>
    <w:rsid w:val="009E039B"/>
    <w:rsid w:val="009E0802"/>
    <w:rsid w:val="009E22E8"/>
    <w:rsid w:val="009E405E"/>
    <w:rsid w:val="009F0DA7"/>
    <w:rsid w:val="009F7320"/>
    <w:rsid w:val="009F77C1"/>
    <w:rsid w:val="00A01935"/>
    <w:rsid w:val="00A01A1B"/>
    <w:rsid w:val="00A07BD2"/>
    <w:rsid w:val="00A11EBA"/>
    <w:rsid w:val="00A156A9"/>
    <w:rsid w:val="00A226D9"/>
    <w:rsid w:val="00A26748"/>
    <w:rsid w:val="00A26944"/>
    <w:rsid w:val="00A272A0"/>
    <w:rsid w:val="00A35113"/>
    <w:rsid w:val="00A542B4"/>
    <w:rsid w:val="00A54F8B"/>
    <w:rsid w:val="00A5681E"/>
    <w:rsid w:val="00A572C4"/>
    <w:rsid w:val="00A574C6"/>
    <w:rsid w:val="00A60479"/>
    <w:rsid w:val="00A62454"/>
    <w:rsid w:val="00A71143"/>
    <w:rsid w:val="00A81140"/>
    <w:rsid w:val="00A846F3"/>
    <w:rsid w:val="00A84B67"/>
    <w:rsid w:val="00A91B6C"/>
    <w:rsid w:val="00A92568"/>
    <w:rsid w:val="00A971D4"/>
    <w:rsid w:val="00AA144B"/>
    <w:rsid w:val="00AB221B"/>
    <w:rsid w:val="00AC0A19"/>
    <w:rsid w:val="00AC7167"/>
    <w:rsid w:val="00AD02DB"/>
    <w:rsid w:val="00AD6F67"/>
    <w:rsid w:val="00AD75DE"/>
    <w:rsid w:val="00AE1C29"/>
    <w:rsid w:val="00AE69CE"/>
    <w:rsid w:val="00AF358D"/>
    <w:rsid w:val="00AF49E9"/>
    <w:rsid w:val="00AF6A7E"/>
    <w:rsid w:val="00AF7CAE"/>
    <w:rsid w:val="00B00667"/>
    <w:rsid w:val="00B0535B"/>
    <w:rsid w:val="00B1604C"/>
    <w:rsid w:val="00B246EC"/>
    <w:rsid w:val="00B337A5"/>
    <w:rsid w:val="00B50783"/>
    <w:rsid w:val="00B5149E"/>
    <w:rsid w:val="00B53290"/>
    <w:rsid w:val="00B56D72"/>
    <w:rsid w:val="00B6062A"/>
    <w:rsid w:val="00B62B22"/>
    <w:rsid w:val="00B64AC5"/>
    <w:rsid w:val="00B70C04"/>
    <w:rsid w:val="00B70CA4"/>
    <w:rsid w:val="00B72F19"/>
    <w:rsid w:val="00B73DE0"/>
    <w:rsid w:val="00B81F01"/>
    <w:rsid w:val="00B87529"/>
    <w:rsid w:val="00B87F60"/>
    <w:rsid w:val="00B965F3"/>
    <w:rsid w:val="00B96818"/>
    <w:rsid w:val="00BA5829"/>
    <w:rsid w:val="00BA6D52"/>
    <w:rsid w:val="00BB013F"/>
    <w:rsid w:val="00BB28D1"/>
    <w:rsid w:val="00BB2F3F"/>
    <w:rsid w:val="00BB2FA1"/>
    <w:rsid w:val="00BC0AA8"/>
    <w:rsid w:val="00BC19C2"/>
    <w:rsid w:val="00BC6AB4"/>
    <w:rsid w:val="00BD0990"/>
    <w:rsid w:val="00BD3496"/>
    <w:rsid w:val="00BD7483"/>
    <w:rsid w:val="00BE1D4A"/>
    <w:rsid w:val="00BE3880"/>
    <w:rsid w:val="00BF0778"/>
    <w:rsid w:val="00BF336F"/>
    <w:rsid w:val="00BF7F59"/>
    <w:rsid w:val="00C051E5"/>
    <w:rsid w:val="00C11401"/>
    <w:rsid w:val="00C12C27"/>
    <w:rsid w:val="00C30CD1"/>
    <w:rsid w:val="00C31E16"/>
    <w:rsid w:val="00C330FD"/>
    <w:rsid w:val="00C33BF1"/>
    <w:rsid w:val="00C3480C"/>
    <w:rsid w:val="00C34BF5"/>
    <w:rsid w:val="00C34C32"/>
    <w:rsid w:val="00C442DF"/>
    <w:rsid w:val="00C523CD"/>
    <w:rsid w:val="00C55908"/>
    <w:rsid w:val="00C60869"/>
    <w:rsid w:val="00C70918"/>
    <w:rsid w:val="00C7625E"/>
    <w:rsid w:val="00C76ACA"/>
    <w:rsid w:val="00C80F8C"/>
    <w:rsid w:val="00C85352"/>
    <w:rsid w:val="00C87A53"/>
    <w:rsid w:val="00C93BF6"/>
    <w:rsid w:val="00CA572E"/>
    <w:rsid w:val="00CA5B82"/>
    <w:rsid w:val="00CB3265"/>
    <w:rsid w:val="00CB534A"/>
    <w:rsid w:val="00CB5775"/>
    <w:rsid w:val="00CB57FF"/>
    <w:rsid w:val="00CC24C8"/>
    <w:rsid w:val="00CC5E11"/>
    <w:rsid w:val="00CE14EF"/>
    <w:rsid w:val="00CE4566"/>
    <w:rsid w:val="00CE6FA4"/>
    <w:rsid w:val="00CE7CC6"/>
    <w:rsid w:val="00CF30E8"/>
    <w:rsid w:val="00D01343"/>
    <w:rsid w:val="00D17F9E"/>
    <w:rsid w:val="00D35F12"/>
    <w:rsid w:val="00D42078"/>
    <w:rsid w:val="00D45756"/>
    <w:rsid w:val="00D51466"/>
    <w:rsid w:val="00D5544B"/>
    <w:rsid w:val="00D80F1A"/>
    <w:rsid w:val="00D8440B"/>
    <w:rsid w:val="00D9235A"/>
    <w:rsid w:val="00DA69EB"/>
    <w:rsid w:val="00DB2A4B"/>
    <w:rsid w:val="00DB388E"/>
    <w:rsid w:val="00DB415A"/>
    <w:rsid w:val="00DB6375"/>
    <w:rsid w:val="00DD0096"/>
    <w:rsid w:val="00DD01A1"/>
    <w:rsid w:val="00DD425E"/>
    <w:rsid w:val="00DE48DF"/>
    <w:rsid w:val="00DE4E35"/>
    <w:rsid w:val="00DF04EA"/>
    <w:rsid w:val="00DF0719"/>
    <w:rsid w:val="00DF2935"/>
    <w:rsid w:val="00DF3DDC"/>
    <w:rsid w:val="00DF3F6A"/>
    <w:rsid w:val="00DF7F7A"/>
    <w:rsid w:val="00E00036"/>
    <w:rsid w:val="00E0508D"/>
    <w:rsid w:val="00E14C43"/>
    <w:rsid w:val="00E22672"/>
    <w:rsid w:val="00E31CC2"/>
    <w:rsid w:val="00E331A7"/>
    <w:rsid w:val="00E506CD"/>
    <w:rsid w:val="00E50A65"/>
    <w:rsid w:val="00E5337B"/>
    <w:rsid w:val="00E618C6"/>
    <w:rsid w:val="00E63A1F"/>
    <w:rsid w:val="00E95C82"/>
    <w:rsid w:val="00EB107B"/>
    <w:rsid w:val="00EC5715"/>
    <w:rsid w:val="00EC7CAF"/>
    <w:rsid w:val="00ED2713"/>
    <w:rsid w:val="00EE0AFE"/>
    <w:rsid w:val="00EE27D0"/>
    <w:rsid w:val="00EE54AD"/>
    <w:rsid w:val="00EE638A"/>
    <w:rsid w:val="00EE7A92"/>
    <w:rsid w:val="00EE7DB2"/>
    <w:rsid w:val="00EE7E49"/>
    <w:rsid w:val="00EF1CD8"/>
    <w:rsid w:val="00F023C3"/>
    <w:rsid w:val="00F1104D"/>
    <w:rsid w:val="00F17668"/>
    <w:rsid w:val="00F22217"/>
    <w:rsid w:val="00F232A4"/>
    <w:rsid w:val="00F3021C"/>
    <w:rsid w:val="00F33971"/>
    <w:rsid w:val="00F345D4"/>
    <w:rsid w:val="00F42B81"/>
    <w:rsid w:val="00F467A8"/>
    <w:rsid w:val="00F56B3B"/>
    <w:rsid w:val="00F61203"/>
    <w:rsid w:val="00F740C8"/>
    <w:rsid w:val="00F74B57"/>
    <w:rsid w:val="00F758E9"/>
    <w:rsid w:val="00F86953"/>
    <w:rsid w:val="00F924C3"/>
    <w:rsid w:val="00FA4129"/>
    <w:rsid w:val="00FB0A4A"/>
    <w:rsid w:val="00FB1A27"/>
    <w:rsid w:val="00FB48D6"/>
    <w:rsid w:val="00FC0554"/>
    <w:rsid w:val="00FC10A9"/>
    <w:rsid w:val="00FC4E80"/>
    <w:rsid w:val="00FD4E77"/>
    <w:rsid w:val="00FE356A"/>
    <w:rsid w:val="00FE7D08"/>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040B1181-FA30-4D57-8F8E-AE09AD795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Textonotapie">
    <w:name w:val="footnote text"/>
    <w:basedOn w:val="Normal"/>
    <w:link w:val="TextonotapieCar"/>
    <w:uiPriority w:val="99"/>
    <w:rsid w:val="00C76ACA"/>
    <w:rPr>
      <w:sz w:val="20"/>
      <w:szCs w:val="20"/>
    </w:rPr>
  </w:style>
  <w:style w:type="character" w:customStyle="1" w:styleId="TextonotapieCar">
    <w:name w:val="Texto nota pie Car"/>
    <w:basedOn w:val="Fuentedeprrafopredeter"/>
    <w:link w:val="Textonotapie"/>
    <w:uiPriority w:val="99"/>
    <w:rsid w:val="00C76ACA"/>
    <w:rPr>
      <w:rFonts w:ascii="Times New Roman" w:eastAsia="Times New Roman" w:hAnsi="Times New Roman" w:cs="Times New Roman"/>
      <w:sz w:val="20"/>
      <w:szCs w:val="20"/>
      <w:lang w:val="es-ES"/>
    </w:rPr>
  </w:style>
  <w:style w:type="character" w:styleId="Refdenotaalpie">
    <w:name w:val="footnote reference"/>
    <w:uiPriority w:val="99"/>
    <w:rsid w:val="00C76ACA"/>
    <w:rPr>
      <w:rFonts w:cs="Times New Roman"/>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6D52"/>
    <w:pPr>
      <w:ind w:left="720"/>
      <w:contextualSpacing/>
    </w:pPr>
    <w:rPr>
      <w:rFonts w:eastAsia="Calibri"/>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6D52"/>
    <w:rPr>
      <w:rFonts w:ascii="Times New Roman" w:eastAsia="Calibri" w:hAnsi="Times New Roman" w:cs="Times New Roman"/>
      <w:lang w:val="es-ES"/>
    </w:rPr>
  </w:style>
  <w:style w:type="paragraph" w:styleId="NormalWeb">
    <w:name w:val="Normal (Web)"/>
    <w:basedOn w:val="Normal"/>
    <w:uiPriority w:val="99"/>
    <w:rsid w:val="00B50783"/>
    <w:pPr>
      <w:spacing w:before="100" w:beforeAutospacing="1" w:after="100" w:afterAutospacing="1"/>
    </w:pPr>
  </w:style>
  <w:style w:type="character" w:customStyle="1" w:styleId="negritas1">
    <w:name w:val="negritas1"/>
    <w:rsid w:val="00B50783"/>
    <w:rPr>
      <w:rFonts w:ascii="Arial" w:hAnsi="Arial" w:cs="Arial" w:hint="default"/>
      <w:b/>
      <w:bCs/>
      <w:sz w:val="18"/>
      <w:szCs w:val="18"/>
    </w:rPr>
  </w:style>
  <w:style w:type="paragraph" w:styleId="Textoindependiente">
    <w:name w:val="Body Text"/>
    <w:basedOn w:val="Normal"/>
    <w:link w:val="TextoindependienteCar"/>
    <w:uiPriority w:val="99"/>
    <w:unhideWhenUsed/>
    <w:rsid w:val="00582D73"/>
    <w:pPr>
      <w:spacing w:after="120"/>
    </w:pPr>
    <w:rPr>
      <w:rFonts w:eastAsia="Calibri"/>
    </w:rPr>
  </w:style>
  <w:style w:type="character" w:customStyle="1" w:styleId="TextoindependienteCar">
    <w:name w:val="Texto independiente Car"/>
    <w:basedOn w:val="Fuentedeprrafopredeter"/>
    <w:link w:val="Textoindependiente"/>
    <w:uiPriority w:val="99"/>
    <w:rsid w:val="00582D73"/>
    <w:rPr>
      <w:rFonts w:ascii="Times New Roman" w:eastAsia="Calibri" w:hAnsi="Times New Roman" w:cs="Times New Roman"/>
      <w:lang w:val="es-ES"/>
    </w:rPr>
  </w:style>
  <w:style w:type="character" w:customStyle="1" w:styleId="apple-converted-space">
    <w:name w:val="apple-converted-space"/>
    <w:basedOn w:val="Fuentedeprrafopredeter"/>
    <w:rsid w:val="00580993"/>
  </w:style>
  <w:style w:type="paragraph" w:customStyle="1" w:styleId="paragraph">
    <w:name w:val="paragraph"/>
    <w:basedOn w:val="Normal"/>
    <w:rsid w:val="00580993"/>
    <w:pPr>
      <w:spacing w:before="100" w:beforeAutospacing="1" w:after="100" w:afterAutospacing="1"/>
    </w:pPr>
    <w:rPr>
      <w:lang w:val="es-MX" w:eastAsia="es-MX"/>
    </w:rPr>
  </w:style>
  <w:style w:type="character" w:customStyle="1" w:styleId="normaltextrun">
    <w:name w:val="normaltextrun"/>
    <w:basedOn w:val="Fuentedeprrafopredeter"/>
    <w:rsid w:val="00580993"/>
  </w:style>
  <w:style w:type="character" w:customStyle="1" w:styleId="eop">
    <w:name w:val="eop"/>
    <w:basedOn w:val="Fuentedeprrafopredeter"/>
    <w:rsid w:val="00580993"/>
  </w:style>
  <w:style w:type="paragraph" w:styleId="Sinespaciado">
    <w:name w:val="No Spacing"/>
    <w:aliases w:val="Francesa"/>
    <w:link w:val="SinespaciadoCar"/>
    <w:uiPriority w:val="1"/>
    <w:qFormat/>
    <w:rsid w:val="00EE54AD"/>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EE54AD"/>
    <w:rPr>
      <w:rFonts w:ascii="Times New Roman" w:eastAsia="Times New Roman" w:hAnsi="Times New Roman" w:cs="Times New Roman"/>
      <w:lang w:val="es-MX"/>
    </w:rPr>
  </w:style>
  <w:style w:type="table" w:styleId="Tablaconcuadrcula">
    <w:name w:val="Table Grid"/>
    <w:basedOn w:val="Tablanormal"/>
    <w:uiPriority w:val="39"/>
    <w:rsid w:val="000C2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14676">
      <w:bodyDiv w:val="1"/>
      <w:marLeft w:val="0"/>
      <w:marRight w:val="0"/>
      <w:marTop w:val="0"/>
      <w:marBottom w:val="0"/>
      <w:divBdr>
        <w:top w:val="none" w:sz="0" w:space="0" w:color="auto"/>
        <w:left w:val="none" w:sz="0" w:space="0" w:color="auto"/>
        <w:bottom w:val="none" w:sz="0" w:space="0" w:color="auto"/>
        <w:right w:val="none" w:sz="0" w:space="0" w:color="auto"/>
      </w:divBdr>
    </w:div>
    <w:div w:id="626398339">
      <w:bodyDiv w:val="1"/>
      <w:marLeft w:val="0"/>
      <w:marRight w:val="0"/>
      <w:marTop w:val="0"/>
      <w:marBottom w:val="0"/>
      <w:divBdr>
        <w:top w:val="none" w:sz="0" w:space="0" w:color="auto"/>
        <w:left w:val="none" w:sz="0" w:space="0" w:color="auto"/>
        <w:bottom w:val="none" w:sz="0" w:space="0" w:color="auto"/>
        <w:right w:val="none" w:sz="0" w:space="0" w:color="auto"/>
      </w:divBdr>
    </w:div>
    <w:div w:id="681859748">
      <w:bodyDiv w:val="1"/>
      <w:marLeft w:val="0"/>
      <w:marRight w:val="0"/>
      <w:marTop w:val="0"/>
      <w:marBottom w:val="0"/>
      <w:divBdr>
        <w:top w:val="none" w:sz="0" w:space="0" w:color="auto"/>
        <w:left w:val="none" w:sz="0" w:space="0" w:color="auto"/>
        <w:bottom w:val="none" w:sz="0" w:space="0" w:color="auto"/>
        <w:right w:val="none" w:sz="0" w:space="0" w:color="auto"/>
      </w:divBdr>
    </w:div>
    <w:div w:id="768233231">
      <w:bodyDiv w:val="1"/>
      <w:marLeft w:val="0"/>
      <w:marRight w:val="0"/>
      <w:marTop w:val="0"/>
      <w:marBottom w:val="0"/>
      <w:divBdr>
        <w:top w:val="none" w:sz="0" w:space="0" w:color="auto"/>
        <w:left w:val="none" w:sz="0" w:space="0" w:color="auto"/>
        <w:bottom w:val="none" w:sz="0" w:space="0" w:color="auto"/>
        <w:right w:val="none" w:sz="0" w:space="0" w:color="auto"/>
      </w:divBdr>
    </w:div>
    <w:div w:id="835075303">
      <w:bodyDiv w:val="1"/>
      <w:marLeft w:val="0"/>
      <w:marRight w:val="0"/>
      <w:marTop w:val="0"/>
      <w:marBottom w:val="0"/>
      <w:divBdr>
        <w:top w:val="none" w:sz="0" w:space="0" w:color="auto"/>
        <w:left w:val="none" w:sz="0" w:space="0" w:color="auto"/>
        <w:bottom w:val="none" w:sz="0" w:space="0" w:color="auto"/>
        <w:right w:val="none" w:sz="0" w:space="0" w:color="auto"/>
      </w:divBdr>
    </w:div>
    <w:div w:id="886531884">
      <w:bodyDiv w:val="1"/>
      <w:marLeft w:val="0"/>
      <w:marRight w:val="0"/>
      <w:marTop w:val="0"/>
      <w:marBottom w:val="0"/>
      <w:divBdr>
        <w:top w:val="none" w:sz="0" w:space="0" w:color="auto"/>
        <w:left w:val="none" w:sz="0" w:space="0" w:color="auto"/>
        <w:bottom w:val="none" w:sz="0" w:space="0" w:color="auto"/>
        <w:right w:val="none" w:sz="0" w:space="0" w:color="auto"/>
      </w:divBdr>
    </w:div>
    <w:div w:id="979118930">
      <w:bodyDiv w:val="1"/>
      <w:marLeft w:val="0"/>
      <w:marRight w:val="0"/>
      <w:marTop w:val="0"/>
      <w:marBottom w:val="0"/>
      <w:divBdr>
        <w:top w:val="none" w:sz="0" w:space="0" w:color="auto"/>
        <w:left w:val="none" w:sz="0" w:space="0" w:color="auto"/>
        <w:bottom w:val="none" w:sz="0" w:space="0" w:color="auto"/>
        <w:right w:val="none" w:sz="0" w:space="0" w:color="auto"/>
      </w:divBdr>
    </w:div>
    <w:div w:id="1338653980">
      <w:bodyDiv w:val="1"/>
      <w:marLeft w:val="0"/>
      <w:marRight w:val="0"/>
      <w:marTop w:val="0"/>
      <w:marBottom w:val="0"/>
      <w:divBdr>
        <w:top w:val="none" w:sz="0" w:space="0" w:color="auto"/>
        <w:left w:val="none" w:sz="0" w:space="0" w:color="auto"/>
        <w:bottom w:val="none" w:sz="0" w:space="0" w:color="auto"/>
        <w:right w:val="none" w:sz="0" w:space="0" w:color="auto"/>
      </w:divBdr>
    </w:div>
    <w:div w:id="1419210081">
      <w:bodyDiv w:val="1"/>
      <w:marLeft w:val="0"/>
      <w:marRight w:val="0"/>
      <w:marTop w:val="0"/>
      <w:marBottom w:val="0"/>
      <w:divBdr>
        <w:top w:val="none" w:sz="0" w:space="0" w:color="auto"/>
        <w:left w:val="none" w:sz="0" w:space="0" w:color="auto"/>
        <w:bottom w:val="none" w:sz="0" w:space="0" w:color="auto"/>
        <w:right w:val="none" w:sz="0" w:space="0" w:color="auto"/>
      </w:divBdr>
    </w:div>
    <w:div w:id="1503427012">
      <w:bodyDiv w:val="1"/>
      <w:marLeft w:val="0"/>
      <w:marRight w:val="0"/>
      <w:marTop w:val="0"/>
      <w:marBottom w:val="0"/>
      <w:divBdr>
        <w:top w:val="none" w:sz="0" w:space="0" w:color="auto"/>
        <w:left w:val="none" w:sz="0" w:space="0" w:color="auto"/>
        <w:bottom w:val="none" w:sz="0" w:space="0" w:color="auto"/>
        <w:right w:val="none" w:sz="0" w:space="0" w:color="auto"/>
      </w:divBdr>
    </w:div>
    <w:div w:id="1896430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B699-BA14-4705-80BD-B513DE3C7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1711</Words>
  <Characters>9416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2019-11-11T22:02:00Z</cp:lastPrinted>
  <dcterms:created xsi:type="dcterms:W3CDTF">2019-11-12T01:05:00Z</dcterms:created>
  <dcterms:modified xsi:type="dcterms:W3CDTF">2019-12-19T18:24:00Z</dcterms:modified>
</cp:coreProperties>
</file>