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211718" w:rsidRPr="00211718">
        <w:rPr>
          <w:rFonts w:ascii="Palatino Linotype" w:eastAsia="Times New Roman" w:hAnsi="Palatino Linotype" w:cs="Arial"/>
          <w:color w:val="000000"/>
          <w:sz w:val="24"/>
          <w:szCs w:val="24"/>
          <w:lang w:eastAsia="es-MX"/>
        </w:rPr>
        <w:t>siete de agosto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440</w:t>
      </w:r>
      <w:r w:rsidR="00822864">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100D07">
        <w:rPr>
          <w:rFonts w:ascii="Palatino Linotype" w:hAnsi="Palatino Linotype" w:cs="Arial"/>
          <w:b/>
          <w:sz w:val="24"/>
          <w:szCs w:val="24"/>
        </w:rPr>
        <w:t>xxxxxxxxxxxxxxxxxxxx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AA163E">
        <w:rPr>
          <w:rFonts w:ascii="Palatino Linotype" w:hAnsi="Palatino Linotype" w:cs="Arial"/>
          <w:sz w:val="24"/>
          <w:szCs w:val="24"/>
        </w:rPr>
        <w:t xml:space="preserve">falta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AD1C73">
        <w:rPr>
          <w:rFonts w:ascii="Palatino Linotype" w:hAnsi="Palatino Linotype" w:cs="Arial"/>
          <w:b/>
          <w:sz w:val="24"/>
          <w:szCs w:val="24"/>
        </w:rPr>
        <w:t>Otzoloapan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veintinueve de marzo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00020/OTZOLOAP/IP/2019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AD2A55" w:rsidRDefault="00FA08FC" w:rsidP="00FA08FC">
      <w:pPr>
        <w:spacing w:after="0" w:line="360" w:lineRule="auto"/>
        <w:ind w:left="851" w:right="850"/>
        <w:jc w:val="both"/>
        <w:rPr>
          <w:rFonts w:ascii="Palatino Linotype" w:hAnsi="Palatino Linotype" w:cs="Arial"/>
          <w:i/>
          <w:sz w:val="20"/>
          <w:szCs w:val="24"/>
        </w:rPr>
      </w:pPr>
    </w:p>
    <w:p w:rsidR="00FA08FC" w:rsidRPr="00030088" w:rsidRDefault="00FA08FC" w:rsidP="00FA08FC">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Pr="00030088">
        <w:rPr>
          <w:rFonts w:ascii="Palatino Linotype" w:hAnsi="Palatino Linotype"/>
          <w:i/>
          <w:color w:val="000000"/>
        </w:rPr>
        <w:t>Solicito, respetuosamente, de cada uno de los 125 municipios del Estado de México la información que enumero en el archivo en formato PDF que adjunto en la presente solicitud. De antemano, Gracias.</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FA08FC" w:rsidRDefault="00FA08FC" w:rsidP="00FA08FC">
      <w:pPr>
        <w:ind w:left="851" w:right="850"/>
        <w:jc w:val="both"/>
        <w:rPr>
          <w:rFonts w:ascii="Palatino Linotype" w:eastAsia="Times New Roman" w:hAnsi="Palatino Linotype" w:cs="Times New Roman"/>
          <w:i/>
          <w:lang w:eastAsia="es-MX"/>
        </w:rPr>
      </w:pPr>
    </w:p>
    <w:p w:rsidR="00FA08FC" w:rsidRDefault="00FA08FC"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denominado </w:t>
      </w:r>
      <w:r>
        <w:rPr>
          <w:rFonts w:ascii="Palatino Linotype" w:hAnsi="Palatino Linotype" w:cs="Arial"/>
          <w:b/>
          <w:sz w:val="24"/>
          <w:szCs w:val="24"/>
        </w:rPr>
        <w:t xml:space="preserve">Solicitud 01 para 125.pdf, </w:t>
      </w:r>
      <w:r>
        <w:rPr>
          <w:rFonts w:ascii="Palatino Linotype" w:hAnsi="Palatino Linotype" w:cs="Arial"/>
          <w:sz w:val="24"/>
          <w:szCs w:val="24"/>
        </w:rPr>
        <w:t>archivo que contiene la siguiente información:</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center"/>
        <w:rPr>
          <w:rFonts w:ascii="Palatino Linotype" w:hAnsi="Palatino Linotype" w:cs="Arial"/>
          <w:sz w:val="24"/>
          <w:szCs w:val="24"/>
        </w:rPr>
      </w:pPr>
      <w:r>
        <w:rPr>
          <w:noProof/>
          <w:lang w:eastAsia="es-MX"/>
        </w:rPr>
        <w:drawing>
          <wp:inline distT="0" distB="0" distL="0" distR="0" wp14:anchorId="6059DA86" wp14:editId="7221247D">
            <wp:extent cx="5078840" cy="6949440"/>
            <wp:effectExtent l="190500" t="190500" r="19812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10" t="16197" r="35128" b="9946"/>
                    <a:stretch/>
                  </pic:blipFill>
                  <pic:spPr bwMode="auto">
                    <a:xfrm>
                      <a:off x="0" y="0"/>
                      <a:ext cx="5090729" cy="6965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C81B921" wp14:editId="17A83295">
            <wp:extent cx="5342890" cy="6162675"/>
            <wp:effectExtent l="190500" t="190500" r="181610"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93" t="14478" r="35954" b="17549"/>
                    <a:stretch/>
                  </pic:blipFill>
                  <pic:spPr bwMode="auto">
                    <a:xfrm>
                      <a:off x="0" y="0"/>
                      <a:ext cx="5348544" cy="61691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w:t>
      </w:r>
    </w:p>
    <w:p w:rsidR="00FA08FC" w:rsidRDefault="00FA08FC" w:rsidP="00FA08FC">
      <w:pPr>
        <w:spacing w:after="0" w:line="360" w:lineRule="auto"/>
        <w:jc w:val="center"/>
        <w:rPr>
          <w:rFonts w:ascii="Palatino Linotype" w:hAnsi="Palatino Linotype"/>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Pr>
          <w:rFonts w:ascii="Palatino Linotype" w:hAnsi="Palatino Linotype" w:cs="Arial"/>
          <w:sz w:val="24"/>
          <w:szCs w:val="24"/>
        </w:rPr>
        <w:t>veinte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440</w:t>
      </w:r>
      <w:r w:rsidR="00A52A7D">
        <w:rPr>
          <w:rFonts w:ascii="Palatino Linotype" w:hAnsi="Palatino Linotype" w:cs="Arial"/>
          <w:b/>
          <w:bCs/>
          <w:sz w:val="24"/>
          <w:szCs w:val="24"/>
          <w:lang w:eastAsia="es-MX"/>
        </w:rPr>
        <w:t>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FA08FC" w:rsidRPr="0022049E" w:rsidRDefault="00FA08FC" w:rsidP="00FA08FC">
      <w:pPr>
        <w:ind w:left="851"/>
        <w:jc w:val="both"/>
        <w:rPr>
          <w:rFonts w:ascii="Palatino Linotype" w:hAnsi="Palatino Linotype"/>
          <w:i/>
          <w:color w:val="000000"/>
        </w:rPr>
      </w:pPr>
      <w:r w:rsidRPr="0022049E">
        <w:rPr>
          <w:rFonts w:ascii="Palatino Linotype" w:hAnsi="Palatino Linotype"/>
          <w:i/>
          <w:color w:val="000000"/>
        </w:rPr>
        <w:t>“</w:t>
      </w:r>
      <w:r w:rsidR="009F3CEC" w:rsidRPr="00B61315">
        <w:rPr>
          <w:rFonts w:ascii="Palatino Linotype" w:hAnsi="Palatino Linotype"/>
          <w:i/>
          <w:color w:val="000000"/>
        </w:rPr>
        <w:t xml:space="preserve">NO </w:t>
      </w:r>
      <w:r w:rsidRPr="00B61315">
        <w:rPr>
          <w:rFonts w:ascii="Palatino Linotype" w:hAnsi="Palatino Linotype"/>
          <w:i/>
          <w:color w:val="000000"/>
        </w:rPr>
        <w:t>respuesta a mi solicitud</w:t>
      </w:r>
      <w:r w:rsidRPr="0022049E">
        <w:rPr>
          <w:rFonts w:ascii="Palatino Linotype" w:hAnsi="Palatino Linotype"/>
          <w:i/>
          <w:color w:val="000000"/>
        </w:rPr>
        <w:t>.”(Sic).</w:t>
      </w:r>
    </w:p>
    <w:p w:rsidR="00FA08FC" w:rsidRPr="00AD2A55" w:rsidRDefault="00FA08FC" w:rsidP="00FA08FC">
      <w:pPr>
        <w:spacing w:after="0" w:line="360" w:lineRule="auto"/>
        <w:ind w:left="851" w:right="850"/>
        <w:jc w:val="center"/>
        <w:rPr>
          <w:rFonts w:ascii="Palatino Linotype" w:eastAsia="Times New Roman" w:hAnsi="Palatino Linotype" w:cs="Times New Roman"/>
          <w:i/>
          <w:sz w:val="24"/>
          <w:szCs w:val="24"/>
          <w:lang w:eastAsia="es-MX"/>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FA08FC" w:rsidRPr="00B61315" w:rsidRDefault="00FA08FC" w:rsidP="00FA08FC">
      <w:pPr>
        <w:ind w:left="851"/>
        <w:jc w:val="both"/>
        <w:rPr>
          <w:rFonts w:ascii="Palatino Linotype" w:hAnsi="Palatino Linotype"/>
          <w:i/>
          <w:color w:val="000000"/>
        </w:rPr>
      </w:pPr>
      <w:r w:rsidRPr="00B61315">
        <w:rPr>
          <w:rFonts w:ascii="Palatino Linotype" w:hAnsi="Palatino Linotype"/>
          <w:i/>
          <w:color w:val="000000"/>
        </w:rPr>
        <w:t>“No respuesta a mi solicitud de información</w:t>
      </w:r>
      <w:r w:rsidRPr="0022049E">
        <w:rPr>
          <w:rFonts w:ascii="Palatino Linotype" w:hAnsi="Palatino Linotype"/>
          <w:i/>
          <w:color w:val="000000"/>
        </w:rPr>
        <w:t>” (Sic)</w:t>
      </w:r>
    </w:p>
    <w:p w:rsidR="00FA08FC"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lastRenderedPageBreak/>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sin embargo, no se pusieron a la vista del recurrente por no dar atención a la solicitud de información,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D23F59">
        <w:rPr>
          <w:rFonts w:ascii="Palatino Linotype" w:hAnsi="Palatino Linotype" w:cs="Arial"/>
          <w:sz w:val="24"/>
          <w:szCs w:val="24"/>
        </w:rPr>
        <w:t>once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FA08FC" w:rsidRDefault="00FA08FC" w:rsidP="00FA08F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Pr>
          <w:rFonts w:ascii="Palatino Linotype" w:hAnsi="Palatino Linotype" w:cs="Arial"/>
          <w:sz w:val="24"/>
          <w:szCs w:val="24"/>
        </w:rPr>
        <w:t xml:space="preserve">cinco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w:t>
      </w:r>
      <w:r w:rsidRPr="00AD2A55">
        <w:rPr>
          <w:rFonts w:ascii="Palatino Linotype" w:hAnsi="Palatino Linotype" w:cs="Arial"/>
          <w:sz w:val="24"/>
          <w:szCs w:val="24"/>
        </w:rPr>
        <w:lastRenderedPageBreak/>
        <w:t xml:space="preserve">en los artículos 6, apartado A, fracción IV de la Constitución Política de los Estados Unidos Mexicanos, 5, párrafos </w:t>
      </w:r>
      <w:r w:rsidR="00211718">
        <w:rPr>
          <w:rFonts w:ascii="Palatino Linotype" w:hAnsi="Palatino Linotype" w:cs="Arial"/>
          <w:sz w:val="24"/>
          <w:szCs w:val="24"/>
        </w:rPr>
        <w:t>vigésimo segundo, vigésimo 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D2A5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C174F2" w:rsidRDefault="00FA08FC" w:rsidP="00FA08FC">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FA08FC" w:rsidRPr="00C174F2" w:rsidRDefault="00FA08FC" w:rsidP="00FA08FC">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FA08FC" w:rsidRPr="006241FA" w:rsidRDefault="00FA08FC" w:rsidP="00FA08FC">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FA08FC" w:rsidRPr="002006C6" w:rsidRDefault="00FA08FC" w:rsidP="00FA08FC">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FA08FC" w:rsidRDefault="00FA08FC" w:rsidP="00FA08FC">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FA08FC" w:rsidRPr="00C174F2" w:rsidRDefault="00FA08FC" w:rsidP="00FA08FC">
      <w:pPr>
        <w:tabs>
          <w:tab w:val="left" w:pos="142"/>
        </w:tabs>
        <w:ind w:left="851"/>
        <w:jc w:val="both"/>
        <w:rPr>
          <w:rFonts w:ascii="Palatino Linotype" w:hAnsi="Palatino Linotype" w:cs="Arial"/>
          <w:i/>
          <w:sz w:val="24"/>
          <w:szCs w:val="24"/>
        </w:rPr>
      </w:pPr>
    </w:p>
    <w:p w:rsidR="00FA08FC" w:rsidRPr="00C174F2"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w:t>
      </w:r>
      <w:r w:rsidRPr="00C174F2">
        <w:rPr>
          <w:rFonts w:ascii="Palatino Linotype" w:hAnsi="Palatino Linotype" w:cs="Arial"/>
          <w:sz w:val="24"/>
          <w:szCs w:val="24"/>
        </w:rPr>
        <w:lastRenderedPageBreak/>
        <w:t xml:space="preserve">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w:t>
      </w:r>
      <w:r w:rsidRPr="002006C6">
        <w:rPr>
          <w:rFonts w:ascii="Palatino Linotype" w:hAnsi="Palatino Linotype"/>
          <w:i/>
        </w:rPr>
        <w:lastRenderedPageBreak/>
        <w:t>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w:t>
      </w:r>
      <w:r w:rsidRPr="002E35AF">
        <w:rPr>
          <w:rFonts w:ascii="Palatino Linotype" w:hAnsi="Palatino Linotype" w:cs="Arial"/>
          <w:bCs/>
          <w:i/>
          <w:color w:val="000000" w:themeColor="text1"/>
        </w:rPr>
        <w:lastRenderedPageBreak/>
        <w:t>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De </w:t>
      </w:r>
      <w:r w:rsidRPr="00B51282">
        <w:rPr>
          <w:rFonts w:ascii="Palatino Linotype" w:hAnsi="Palatino Linotype" w:cs="Arial"/>
          <w:color w:val="000000" w:themeColor="text1"/>
          <w:sz w:val="24"/>
          <w:szCs w:val="24"/>
        </w:rPr>
        <w:t xml:space="preserve">acuerdo a la Ley de Fiscalización </w:t>
      </w:r>
      <w:r w:rsidRPr="00B51282">
        <w:rPr>
          <w:rFonts w:ascii="Palatino Linotype" w:hAnsi="Palatino Linotype"/>
          <w:sz w:val="24"/>
          <w:szCs w:val="24"/>
        </w:rPr>
        <w:t>Superior del Estado de México</w:t>
      </w:r>
      <w:r>
        <w:rPr>
          <w:rFonts w:ascii="Palatino Linotype" w:hAnsi="Palatino Linotype"/>
          <w:sz w:val="24"/>
          <w:szCs w:val="24"/>
        </w:rPr>
        <w:t>, establece en su artículo 32</w:t>
      </w:r>
      <w:r>
        <w:rPr>
          <w:rStyle w:val="Refdenotaalpie"/>
          <w:rFonts w:ascii="Palatino Linotype" w:hAnsi="Palatino Linotype"/>
          <w:sz w:val="24"/>
          <w:szCs w:val="24"/>
        </w:rPr>
        <w:footnoteReference w:id="2"/>
      </w:r>
      <w:r>
        <w:rPr>
          <w:rFonts w:ascii="Palatino Linotype" w:hAnsi="Palatino Linotype"/>
          <w:sz w:val="24"/>
          <w:szCs w:val="24"/>
        </w:rPr>
        <w:t xml:space="preserve"> que los Presidentes Municipales deberán presentar ante la Legislatura las </w:t>
      </w:r>
      <w:r>
        <w:rPr>
          <w:rFonts w:ascii="Palatino Linotype" w:hAnsi="Palatino Linotype"/>
          <w:sz w:val="24"/>
          <w:szCs w:val="24"/>
        </w:rPr>
        <w:lastRenderedPageBreak/>
        <w:t>cuentas públicas del ejercicio inmediato anterior a más tardar el quince de marzo de cada año.</w:t>
      </w:r>
    </w:p>
    <w:p w:rsidR="00FA08FC" w:rsidRDefault="00FA08FC" w:rsidP="00FA08FC">
      <w:pPr>
        <w:spacing w:after="0" w:line="360" w:lineRule="auto"/>
        <w:jc w:val="both"/>
        <w:rPr>
          <w:rFonts w:ascii="Palatino Linotype" w:hAnsi="Palatino Linotype"/>
          <w:sz w:val="24"/>
          <w:szCs w:val="24"/>
        </w:rPr>
      </w:pPr>
    </w:p>
    <w:p w:rsidR="00FA08FC" w:rsidRPr="008A0489" w:rsidRDefault="00FA08FC" w:rsidP="00FA08FC">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rsidR="00FA08FC" w:rsidRPr="003107C9" w:rsidRDefault="00FA08FC" w:rsidP="00FA08FC">
      <w:pPr>
        <w:pStyle w:val="Prrafodelista"/>
        <w:spacing w:line="360" w:lineRule="auto"/>
        <w:ind w:left="0"/>
        <w:jc w:val="both"/>
        <w:rPr>
          <w:sz w:val="20"/>
        </w:rPr>
      </w:pPr>
    </w:p>
    <w:p w:rsidR="00FA08FC" w:rsidRDefault="00FA08FC" w:rsidP="00FA08FC">
      <w:pPr>
        <w:pStyle w:val="Prrafodelista"/>
        <w:ind w:left="851" w:right="850"/>
        <w:jc w:val="both"/>
        <w:rPr>
          <w:rFonts w:ascii="Palatino Linotype" w:hAnsi="Palatino Linotype"/>
          <w:i/>
          <w:sz w:val="22"/>
          <w:szCs w:val="22"/>
        </w:rPr>
      </w:pPr>
    </w:p>
    <w:p w:rsidR="00FA08FC" w:rsidRDefault="00FA08FC" w:rsidP="00FA08FC">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FA08FC" w:rsidRPr="005D2B1A" w:rsidRDefault="00FA08FC" w:rsidP="00FA08FC">
      <w:pPr>
        <w:pStyle w:val="Prrafodelista"/>
        <w:ind w:left="851" w:right="850"/>
        <w:jc w:val="both"/>
        <w:rPr>
          <w:rFonts w:ascii="Palatino Linotype" w:hAnsi="Palatino Linotype"/>
          <w:i/>
          <w:sz w:val="22"/>
          <w:szCs w:val="22"/>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FA08FC" w:rsidRDefault="00FA08FC" w:rsidP="00FA08FC">
      <w:pPr>
        <w:pStyle w:val="Prrafodelista"/>
        <w:spacing w:line="360" w:lineRule="auto"/>
        <w:ind w:left="0"/>
        <w:jc w:val="both"/>
      </w:pPr>
    </w:p>
    <w:p w:rsidR="00FA08FC" w:rsidRDefault="00FA08FC" w:rsidP="00FA08FC">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FA08FC" w:rsidRPr="003107C9" w:rsidRDefault="00FA08FC" w:rsidP="00FA08FC">
      <w:pPr>
        <w:pStyle w:val="Prrafodelista"/>
        <w:spacing w:line="360" w:lineRule="auto"/>
        <w:ind w:left="0"/>
        <w:jc w:val="both"/>
        <w:rPr>
          <w:rFonts w:ascii="Palatino Linotype" w:hAnsi="Palatino Linotype"/>
          <w:sz w:val="16"/>
          <w:lang w:eastAsia="es-MX"/>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FA08FC" w:rsidRPr="008A0489"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rsidR="00FA08FC" w:rsidRPr="003107C9" w:rsidRDefault="00FA08FC" w:rsidP="00FA08FC">
      <w:pPr>
        <w:pStyle w:val="Prrafodelista"/>
        <w:spacing w:line="360" w:lineRule="auto"/>
        <w:ind w:left="0"/>
        <w:jc w:val="both"/>
        <w:rPr>
          <w:rFonts w:ascii="Palatino Linotype" w:hAnsi="Palatino Linotype"/>
        </w:rPr>
      </w:pPr>
    </w:p>
    <w:p w:rsidR="00FA08FC" w:rsidRPr="003107C9" w:rsidRDefault="00FA08FC" w:rsidP="00FA08FC">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 xml:space="preserve">revisión y fiscalización conferidas, por lo tanto la Cuenta Pública Municipal 2018 se constituye por la información económica, patrimonial, presupuestaria, programática, </w:t>
      </w:r>
      <w:r w:rsidRPr="00D06601">
        <w:rPr>
          <w:rFonts w:ascii="Palatino Linotype" w:hAnsi="Palatino Linotype"/>
        </w:rPr>
        <w:lastRenderedPageBreak/>
        <w:t>cualitativa y cuantitativa que muestre los resultados de la ejecución de la Ley de Ingresos y del Presupuesto de Egresos.</w:t>
      </w:r>
    </w:p>
    <w:p w:rsidR="00FA08FC" w:rsidRPr="00B51282"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 2018</w:t>
      </w:r>
      <w:r>
        <w:rPr>
          <w:rFonts w:ascii="Palatino Linotype" w:hAnsi="Palatino Linotype"/>
          <w:sz w:val="24"/>
          <w:szCs w:val="24"/>
        </w:rPr>
        <w:t>, en donde encontramos los documentos que son entregados al Órgano Superior de Fiscalización con la información correspondiente a la cuenta pública de cada año, para el caso que nos ocupa el solicitante requiere conocer los datos en relació</w:t>
      </w:r>
      <w:r w:rsidRPr="001335A7">
        <w:rPr>
          <w:rFonts w:ascii="Palatino Linotype" w:hAnsi="Palatino Linotype"/>
          <w:sz w:val="24"/>
          <w:szCs w:val="24"/>
        </w:rPr>
        <w:t>n a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y otr</w:t>
      </w:r>
      <w:r>
        <w:rPr>
          <w:rFonts w:ascii="Palatino Linotype" w:hAnsi="Palatino Linotype"/>
          <w:sz w:val="24"/>
          <w:szCs w:val="24"/>
        </w:rPr>
        <w:t>os ingresos y beneficios varios, para tal efecto encontramos el estado analítico de ingresos y el estado analítico de ingresos integrado, en donde podemos encontrar la siguiente información:</w:t>
      </w:r>
    </w:p>
    <w:p w:rsidR="00FA08FC" w:rsidRPr="00644AEE" w:rsidRDefault="00FA08FC" w:rsidP="00FA08FC">
      <w:pPr>
        <w:spacing w:after="0" w:line="360" w:lineRule="auto"/>
        <w:jc w:val="both"/>
        <w:rPr>
          <w:rFonts w:ascii="Palatino Linotype" w:hAnsi="Palatino Linotype"/>
          <w:sz w:val="24"/>
          <w:szCs w:val="24"/>
          <w:highlight w:val="yellow"/>
        </w:rPr>
      </w:pPr>
      <w:r>
        <w:rPr>
          <w:noProof/>
          <w:lang w:eastAsia="es-MX"/>
        </w:rPr>
        <w:drawing>
          <wp:inline distT="0" distB="0" distL="0" distR="0" wp14:anchorId="280D5045" wp14:editId="21CD34FE">
            <wp:extent cx="5127625" cy="2619375"/>
            <wp:effectExtent l="190500" t="190500" r="187325" b="2000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 t="24047" r="44488" b="15330"/>
                    <a:stretch/>
                  </pic:blipFill>
                  <pic:spPr bwMode="auto">
                    <a:xfrm>
                      <a:off x="0" y="0"/>
                      <a:ext cx="5137239" cy="26242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6711FB" w:rsidRDefault="00FA08FC" w:rsidP="00FA08FC">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876CA84" wp14:editId="6044066A">
            <wp:extent cx="5414839" cy="3590852"/>
            <wp:effectExtent l="190500" t="190500" r="186055" b="1816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7" t="24538" r="43109" b="11158"/>
                    <a:stretch/>
                  </pic:blipFill>
                  <pic:spPr bwMode="auto">
                    <a:xfrm>
                      <a:off x="0" y="0"/>
                      <a:ext cx="5428319" cy="3599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585688">
        <w:rPr>
          <w:rFonts w:ascii="Palatino Linotype" w:hAnsi="Palatino Linotype" w:cs="Arial"/>
          <w:color w:val="000000" w:themeColor="text1"/>
          <w:sz w:val="24"/>
          <w:szCs w:val="24"/>
        </w:rPr>
        <w:t>En este formato se da a c</w:t>
      </w:r>
      <w:r w:rsidRPr="00585688">
        <w:rPr>
          <w:rFonts w:ascii="Palatino Linotype" w:hAnsi="Palatino Linotype"/>
          <w:sz w:val="24"/>
          <w:szCs w:val="24"/>
        </w:rPr>
        <w:t>onocer en forma periódica y confiable el comportamiento de los ingresos públicos, asimismo muestra la distribución de los ingresos del ente público de acuerdo con los distintos grados de desagregación que presenta el clasificador por rubros de ingresos y el avance que se registra en el devengado y recaudación de cada cuenta que forma parte d</w:t>
      </w:r>
      <w:r>
        <w:rPr>
          <w:rFonts w:ascii="Palatino Linotype" w:hAnsi="Palatino Linotype"/>
          <w:sz w:val="24"/>
          <w:szCs w:val="24"/>
        </w:rPr>
        <w:t>e ellos a una fecha determinada, en este formato</w:t>
      </w:r>
      <w:r w:rsidRPr="000E0EF7">
        <w:rPr>
          <w:rFonts w:ascii="Palatino Linotype" w:hAnsi="Palatino Linotype"/>
          <w:sz w:val="24"/>
          <w:szCs w:val="24"/>
        </w:rPr>
        <w:t xml:space="preserve"> se muestran los ingresos por nombre de específico de la cuenta que genera el ingreso, considerando la partida que le corresponde, es importante mencionar que en este formato se muestra el  Ingreso Estimado, el cual corresponde al importe anual aprobado en la Ley de Ingresos para cada cuenta, la columna correspondiente a las ampliaciones y reducciones se muestra el monto de las ampliaciones (signo positivo) o disminuciones (signo negativo) que se dieron durante el ejercicio, por lo que hace a </w:t>
      </w:r>
      <w:r w:rsidRPr="000E0EF7">
        <w:rPr>
          <w:rFonts w:ascii="Palatino Linotype" w:hAnsi="Palatino Linotype"/>
          <w:sz w:val="24"/>
          <w:szCs w:val="24"/>
        </w:rPr>
        <w:lastRenderedPageBreak/>
        <w:t>la columna del  ingreso modificado, este refleja la asignación presupuestaria en lo relativo en la Ley de Ingresos que resulta de incorporar en su caso, las modificaciones al ingreso estimado, previstas en la Ley de Ingresos, en la columna de Ingreso Devengado, se plasma la información correspondiente a lo que existe jurídicamente como 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la columna correspondiente a Ingreso Recaudado, en esta se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así también se muestra un apartado denominado total de partidas en donde se anota la sumatoria de los subtotales correspondiente a las partidas de ingresos</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Pr="006B62BF"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Ahora bi</w:t>
      </w:r>
      <w:r w:rsidRPr="00770899">
        <w:rPr>
          <w:rFonts w:ascii="Palatino Linotype" w:hAnsi="Palatino Linotype" w:cs="Arial"/>
          <w:color w:val="000000" w:themeColor="text1"/>
          <w:sz w:val="24"/>
          <w:szCs w:val="24"/>
        </w:rPr>
        <w:t xml:space="preserve">en existe un formato denominado Estado analítico de ingresos integrado en donde se muestra </w:t>
      </w:r>
      <w:r w:rsidRPr="00770899">
        <w:rPr>
          <w:rFonts w:ascii="Palatino Linotype" w:hAnsi="Palatino Linotype"/>
          <w:sz w:val="24"/>
          <w:szCs w:val="24"/>
        </w:rPr>
        <w:t>la integración de cada concepto correspondiente al Ingreso Recaudado del Ayuntamiento, y todas las áreas descentralizadas, en donde se puede observar más específico la información solicitada por el Recurrente.</w:t>
      </w:r>
    </w:p>
    <w:p w:rsidR="00FA08FC" w:rsidRPr="006B62BF" w:rsidRDefault="00FA08FC" w:rsidP="00FA08FC">
      <w:pPr>
        <w:spacing w:after="0" w:line="360" w:lineRule="auto"/>
        <w:jc w:val="both"/>
        <w:rPr>
          <w:rFonts w:ascii="Palatino Linotype" w:hAnsi="Palatino Linotype"/>
          <w:sz w:val="24"/>
          <w:szCs w:val="24"/>
        </w:rPr>
      </w:pPr>
    </w:p>
    <w:p w:rsidR="00FA08FC" w:rsidRPr="006B62BF" w:rsidRDefault="00FA08FC" w:rsidP="00FA08FC">
      <w:pPr>
        <w:spacing w:after="0" w:line="360" w:lineRule="auto"/>
        <w:jc w:val="both"/>
        <w:rPr>
          <w:rFonts w:ascii="Palatino Linotype" w:hAnsi="Palatino Linotype"/>
          <w:sz w:val="24"/>
          <w:szCs w:val="24"/>
        </w:rPr>
      </w:pPr>
      <w:r w:rsidRPr="006B62BF">
        <w:rPr>
          <w:rFonts w:ascii="Palatino Linotype" w:hAnsi="Palatino Linotype"/>
          <w:sz w:val="24"/>
          <w:szCs w:val="24"/>
        </w:rPr>
        <w:t>En síntesis los formatos; Estado analítico de Ingresos y estado analítico de ingresos integrado, contienen la información solicitada por el particular respecto del punto uno de la solicitud de información.</w:t>
      </w: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lastRenderedPageBreak/>
        <w:t xml:space="preserve">En relación al segundo punto de la solicitud de información, el recurrente requirió las cifras reportadas de los </w:t>
      </w:r>
      <w:r w:rsidRPr="005E19A6">
        <w:rPr>
          <w:rFonts w:ascii="Palatino Linotype" w:hAnsi="Palatino Linotype" w:cs="Arial"/>
          <w:color w:val="000000" w:themeColor="text1"/>
          <w:sz w:val="24"/>
          <w:szCs w:val="24"/>
        </w:rPr>
        <w:t xml:space="preserve">siguientes rubros </w:t>
      </w:r>
      <w:r w:rsidRPr="005E19A6">
        <w:rPr>
          <w:rFonts w:ascii="Palatino Linotype" w:hAnsi="Palatino Linotype"/>
          <w:sz w:val="24"/>
          <w:szCs w:val="24"/>
        </w:rPr>
        <w:t>1000 Servicios Personales, 2000 Materiales y Suministros, 3000 Servicios Generales, 4000 Transferencias, 5000 Bienes Mueble e Inmuebles, 6000 Obra Pública, 7000 Inversiones, 8000. Participaciones y Aportaciones y 9000</w:t>
      </w:r>
      <w:r>
        <w:rPr>
          <w:rFonts w:ascii="Palatino Linotype" w:hAnsi="Palatino Linotype"/>
          <w:sz w:val="24"/>
          <w:szCs w:val="24"/>
        </w:rPr>
        <w:t xml:space="preserve"> Deuda Pública, dicha información puede ser consultada en el mismo reporte de la cuenta pública en los formatos Estado Analítico del Ejercicio del presupuesto de Egresos clasificación por objeto del gasto (capitulo y concepto) y el Estado Analítico del Ejercicio del Presupuesto de Egresos Integrado.</w:t>
      </w:r>
    </w:p>
    <w:p w:rsidR="00FA08FC" w:rsidRPr="00644AEE" w:rsidRDefault="00FA08FC" w:rsidP="00FA08FC">
      <w:pPr>
        <w:spacing w:after="0" w:line="360" w:lineRule="auto"/>
        <w:jc w:val="center"/>
        <w:rPr>
          <w:rFonts w:ascii="Palatino Linotype" w:hAnsi="Palatino Linotype"/>
          <w:sz w:val="24"/>
          <w:szCs w:val="24"/>
          <w:highlight w:val="yellow"/>
        </w:rPr>
      </w:pPr>
      <w:r>
        <w:rPr>
          <w:noProof/>
          <w:lang w:eastAsia="es-MX"/>
        </w:rPr>
        <w:drawing>
          <wp:inline distT="0" distB="0" distL="0" distR="0" wp14:anchorId="2CB6EFE5" wp14:editId="011DE070">
            <wp:extent cx="5511098" cy="2226365"/>
            <wp:effectExtent l="190500" t="190500" r="185420" b="1930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6" t="23557" r="5706" b="9913"/>
                    <a:stretch/>
                  </pic:blipFill>
                  <pic:spPr bwMode="auto">
                    <a:xfrm>
                      <a:off x="0" y="0"/>
                      <a:ext cx="5518271" cy="2229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7237DDA9" wp14:editId="643F8658">
            <wp:extent cx="5462546" cy="2142495"/>
            <wp:effectExtent l="190500" t="190500" r="195580" b="1816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5" t="23803" r="5995" b="11901"/>
                    <a:stretch/>
                  </pic:blipFill>
                  <pic:spPr bwMode="auto">
                    <a:xfrm>
                      <a:off x="0" y="0"/>
                      <a:ext cx="5473683" cy="2146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F11EDB" w:rsidRDefault="00FA08FC" w:rsidP="00FA08FC">
      <w:pPr>
        <w:spacing w:after="0" w:line="360" w:lineRule="auto"/>
        <w:jc w:val="both"/>
        <w:rPr>
          <w:rFonts w:ascii="Palatino Linotype" w:hAnsi="Palatino Linotype" w:cs="Arial"/>
          <w:color w:val="000000" w:themeColor="text1"/>
          <w:sz w:val="24"/>
          <w:szCs w:val="24"/>
        </w:rPr>
      </w:pPr>
      <w:r w:rsidRPr="00DA40DE">
        <w:rPr>
          <w:rFonts w:ascii="Palatino Linotype" w:hAnsi="Palatino Linotype" w:cs="Arial"/>
          <w:color w:val="000000" w:themeColor="text1"/>
          <w:sz w:val="24"/>
          <w:szCs w:val="24"/>
        </w:rPr>
        <w:lastRenderedPageBreak/>
        <w:t xml:space="preserve">En ambos formatos se puede observar que se realiza </w:t>
      </w:r>
      <w:r w:rsidRPr="00DA40DE">
        <w:rPr>
          <w:rFonts w:ascii="Palatino Linotype" w:hAnsi="Palatino Linotype"/>
          <w:sz w:val="24"/>
          <w:szCs w:val="24"/>
        </w:rPr>
        <w:t>el seguimiento del ejercicio de los egresos presupuestarios, este formato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el mismo formato muestra el e</w:t>
      </w:r>
      <w:r w:rsidRPr="00DA40DE">
        <w:rPr>
          <w:rFonts w:ascii="Palatino Linotype" w:hAnsi="Palatino Linotype" w:cs="Arial"/>
          <w:color w:val="000000" w:themeColor="text1"/>
          <w:sz w:val="24"/>
          <w:szCs w:val="24"/>
        </w:rPr>
        <w:t>greso Aprobado: el cual refleja las asignaciones presupuestarias anuales según lo establecido en el Decreto de Presupuesto de Egresos, es decir el monto del presupuesto anual que se aprueba ejercer a la entidad municipal en el rubro de ampliaciones/reducciones se muestra el importe en pesos de las ampliaciones (signo positivo) o disminuciones (signo negativo) pres</w:t>
      </w:r>
      <w:r w:rsidRPr="00F11EDB">
        <w:rPr>
          <w:rFonts w:ascii="Palatino Linotype" w:hAnsi="Palatino Linotype" w:cs="Arial"/>
          <w:color w:val="000000" w:themeColor="text1"/>
          <w:sz w:val="24"/>
          <w:szCs w:val="24"/>
        </w:rPr>
        <w:t>upuestarias que se realizaron durante el</w:t>
      </w:r>
      <w:r>
        <w:rPr>
          <w:rFonts w:ascii="Palatino Linotype" w:hAnsi="Palatino Linotype" w:cs="Arial"/>
          <w:color w:val="000000" w:themeColor="text1"/>
          <w:sz w:val="24"/>
          <w:szCs w:val="24"/>
        </w:rPr>
        <w:t xml:space="preserve"> ejercicio, en la columna del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m</w:t>
      </w:r>
      <w:r w:rsidRPr="00F11EDB">
        <w:rPr>
          <w:rFonts w:ascii="Palatino Linotype" w:hAnsi="Palatino Linotype" w:cs="Arial"/>
          <w:color w:val="000000" w:themeColor="text1"/>
          <w:sz w:val="24"/>
          <w:szCs w:val="24"/>
        </w:rPr>
        <w:t>odificado</w:t>
      </w:r>
      <w:r>
        <w:rPr>
          <w:rFonts w:ascii="Palatino Linotype" w:hAnsi="Palatino Linotype" w:cs="Arial"/>
          <w:color w:val="000000" w:themeColor="text1"/>
          <w:sz w:val="24"/>
          <w:szCs w:val="24"/>
        </w:rPr>
        <w:t xml:space="preserve"> se r</w:t>
      </w:r>
      <w:r w:rsidRPr="00F11EDB">
        <w:rPr>
          <w:rFonts w:ascii="Palatino Linotype" w:hAnsi="Palatino Linotype" w:cs="Arial"/>
          <w:color w:val="000000" w:themeColor="text1"/>
          <w:sz w:val="24"/>
          <w:szCs w:val="24"/>
        </w:rPr>
        <w:t>efleja las asignaciones presupuestarias que resultan de</w:t>
      </w:r>
      <w:r>
        <w:rPr>
          <w:rFonts w:ascii="Palatino Linotype" w:hAnsi="Palatino Linotype" w:cs="Arial"/>
          <w:color w:val="000000" w:themeColor="text1"/>
          <w:sz w:val="24"/>
          <w:szCs w:val="24"/>
        </w:rPr>
        <w:t xml:space="preserve"> </w:t>
      </w:r>
      <w:r w:rsidRPr="00F11EDB">
        <w:rPr>
          <w:rFonts w:ascii="Palatino Linotype" w:hAnsi="Palatino Linotype" w:cs="Arial"/>
          <w:color w:val="000000" w:themeColor="text1"/>
          <w:sz w:val="24"/>
          <w:szCs w:val="24"/>
        </w:rPr>
        <w:t>incorporar las adecuaciones pre</w:t>
      </w:r>
      <w:r>
        <w:rPr>
          <w:rFonts w:ascii="Palatino Linotype" w:hAnsi="Palatino Linotype" w:cs="Arial"/>
          <w:color w:val="000000" w:themeColor="text1"/>
          <w:sz w:val="24"/>
          <w:szCs w:val="24"/>
        </w:rPr>
        <w:t>supuestarias al gasto aprobado, por lo que respecta al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c</w:t>
      </w:r>
      <w:r w:rsidRPr="00F11EDB">
        <w:rPr>
          <w:rFonts w:ascii="Palatino Linotype" w:hAnsi="Palatino Linotype" w:cs="Arial"/>
          <w:color w:val="000000" w:themeColor="text1"/>
          <w:sz w:val="24"/>
          <w:szCs w:val="24"/>
        </w:rPr>
        <w:t>omprometido</w:t>
      </w:r>
      <w:r>
        <w:rPr>
          <w:rFonts w:ascii="Palatino Linotype" w:hAnsi="Palatino Linotype" w:cs="Arial"/>
          <w:color w:val="000000" w:themeColor="text1"/>
          <w:sz w:val="24"/>
          <w:szCs w:val="24"/>
        </w:rPr>
        <w:t>, este r</w:t>
      </w:r>
      <w:r w:rsidRPr="00F11EDB">
        <w:rPr>
          <w:rFonts w:ascii="Palatino Linotype" w:hAnsi="Palatino Linotype" w:cs="Arial"/>
          <w:color w:val="000000" w:themeColor="text1"/>
          <w:sz w:val="24"/>
          <w:szCs w:val="24"/>
        </w:rPr>
        <w:t>efleja la aprobación por autoridad competente de un acto</w:t>
      </w:r>
    </w:p>
    <w:p w:rsidR="00FA08FC" w:rsidRPr="004842FF" w:rsidRDefault="00FA08FC" w:rsidP="00FA08FC">
      <w:pPr>
        <w:spacing w:after="0" w:line="360" w:lineRule="auto"/>
        <w:jc w:val="both"/>
        <w:rPr>
          <w:rFonts w:ascii="Palatino Linotype" w:hAnsi="Palatino Linotype" w:cs="Arial"/>
          <w:color w:val="000000" w:themeColor="text1"/>
          <w:sz w:val="24"/>
          <w:szCs w:val="24"/>
        </w:rPr>
      </w:pPr>
      <w:r w:rsidRPr="00F11EDB">
        <w:rPr>
          <w:rFonts w:ascii="Palatino Linotype" w:hAnsi="Palatino Linotype" w:cs="Arial"/>
          <w:color w:val="000000" w:themeColor="text1"/>
          <w:sz w:val="24"/>
          <w:szCs w:val="24"/>
        </w:rPr>
        <w:t>administrativo, u otro instrumento jurídico que formaliza una relación jurídica con</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terceros para la adquisición de bienes y </w:t>
      </w:r>
      <w:r>
        <w:rPr>
          <w:rFonts w:ascii="Palatino Linotype" w:hAnsi="Palatino Linotype" w:cs="Arial"/>
          <w:color w:val="000000" w:themeColor="text1"/>
          <w:sz w:val="24"/>
          <w:szCs w:val="24"/>
        </w:rPr>
        <w:t>servicios o ejecución de obras, en la columna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de</w:t>
      </w:r>
      <w:r w:rsidRPr="004842FF">
        <w:rPr>
          <w:rFonts w:ascii="Palatino Linotype" w:hAnsi="Palatino Linotype" w:cs="Arial"/>
          <w:color w:val="000000" w:themeColor="text1"/>
          <w:sz w:val="24"/>
          <w:szCs w:val="24"/>
        </w:rPr>
        <w:t>vengado</w:t>
      </w:r>
      <w:r>
        <w:rPr>
          <w:rFonts w:ascii="Palatino Linotype" w:hAnsi="Palatino Linotype" w:cs="Arial"/>
          <w:color w:val="000000" w:themeColor="text1"/>
          <w:sz w:val="24"/>
          <w:szCs w:val="24"/>
        </w:rPr>
        <w:t>, se r</w:t>
      </w:r>
      <w:r w:rsidRPr="004842FF">
        <w:rPr>
          <w:rFonts w:ascii="Palatino Linotype" w:hAnsi="Palatino Linotype" w:cs="Arial"/>
          <w:color w:val="000000" w:themeColor="text1"/>
          <w:sz w:val="24"/>
          <w:szCs w:val="24"/>
        </w:rPr>
        <w:t>efleja el reconocimiento de una obligación de pago a favor de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terceros por la recepción de conformidad de bienes, servicios y obras oportunamente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contratados; así como de las obligaciones que derivan de tratados, leyes, decretos,</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resoluc</w:t>
      </w:r>
      <w:r>
        <w:rPr>
          <w:rFonts w:ascii="Palatino Linotype" w:hAnsi="Palatino Linotype" w:cs="Arial"/>
          <w:color w:val="000000" w:themeColor="text1"/>
          <w:sz w:val="24"/>
          <w:szCs w:val="24"/>
        </w:rPr>
        <w:t>iones y sentencias definitivas, el concepto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e</w:t>
      </w:r>
      <w:r w:rsidRPr="004842FF">
        <w:rPr>
          <w:rFonts w:ascii="Palatino Linotype" w:hAnsi="Palatino Linotype" w:cs="Arial"/>
          <w:color w:val="000000" w:themeColor="text1"/>
          <w:sz w:val="24"/>
          <w:szCs w:val="24"/>
        </w:rPr>
        <w:t>jercido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el importe ejercido durante el año por cada partida,</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que resulta de la suma del c</w:t>
      </w:r>
      <w:r>
        <w:rPr>
          <w:rFonts w:ascii="Palatino Linotype" w:hAnsi="Palatino Linotype" w:cs="Arial"/>
          <w:color w:val="000000" w:themeColor="text1"/>
          <w:sz w:val="24"/>
          <w:szCs w:val="24"/>
        </w:rPr>
        <w:t>omprometido, devengado y pagado y por último la columna con el nombre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p</w:t>
      </w:r>
      <w:r w:rsidRPr="004842FF">
        <w:rPr>
          <w:rFonts w:ascii="Palatino Linotype" w:hAnsi="Palatino Linotype" w:cs="Arial"/>
          <w:color w:val="000000" w:themeColor="text1"/>
          <w:sz w:val="24"/>
          <w:szCs w:val="24"/>
        </w:rPr>
        <w:t>agado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la cancelación total o parcial de las obligaciones de pago, que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se concreta mediante el desembolso de efectivo o cualquier otro medio de pago.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Respecto del punto tres de la solicitud de información el cual se refiere al Estado de Situación Financiera al treinta y uno de diciembre de dos dieciocho, dentro de los mismos formatos que se entregan en el reporte de la cuenta pública encontramos el Estado de situación financiera comparativo, mismo que se muestra a continuación:</w:t>
      </w:r>
    </w:p>
    <w:p w:rsidR="00FA08FC" w:rsidRDefault="00FA08FC" w:rsidP="00FA08FC">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7411BD33" wp14:editId="6794488F">
            <wp:extent cx="5454595" cy="2019631"/>
            <wp:effectExtent l="190500" t="190500" r="184785"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5" t="23557" r="3498" b="14102"/>
                    <a:stretch/>
                  </pic:blipFill>
                  <pic:spPr bwMode="auto">
                    <a:xfrm>
                      <a:off x="0" y="0"/>
                      <a:ext cx="5455872" cy="202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Este formato muestra la información relativa a los recursos y obligaciones del ente público a una fecha determinada en donde se muestra el detalle del saldo final que afectan las cuentas contables respecto del todo el ejercicio dos mil dieciocho.</w:t>
      </w:r>
    </w:p>
    <w:p w:rsidR="00FA08FC" w:rsidRDefault="00FA08FC" w:rsidP="00FA08FC">
      <w:pPr>
        <w:spacing w:after="0" w:line="360" w:lineRule="auto"/>
        <w:jc w:val="both"/>
        <w:rPr>
          <w:rFonts w:ascii="Palatino Linotype" w:hAnsi="Palatino Linotype" w:cs="Arial"/>
          <w:sz w:val="24"/>
          <w:szCs w:val="24"/>
          <w:lang w:eastAsia="es-MX"/>
        </w:rPr>
      </w:pPr>
    </w:p>
    <w:p w:rsidR="00FA08FC" w:rsidRDefault="00FA08FC" w:rsidP="00FA08F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Es necesario señalar que con los formatos antes señalados, se advierte que el Sujeto Obligado ya genero la información y la entrego al ente fiscalizador, conviene citar lo que establece el artículo 341 del Código Financiero del Estado de México, el cual menciona: </w:t>
      </w:r>
    </w:p>
    <w:p w:rsidR="00FA08FC" w:rsidRPr="00FE0D9C" w:rsidRDefault="00FA08FC" w:rsidP="00FA08FC">
      <w:pPr>
        <w:spacing w:after="0" w:line="240" w:lineRule="auto"/>
        <w:ind w:left="851" w:right="850"/>
        <w:jc w:val="both"/>
        <w:rPr>
          <w:rFonts w:ascii="Palatino Linotype" w:hAnsi="Palatino Linotype" w:cs="Arial"/>
          <w:i/>
          <w:lang w:eastAsia="es-MX"/>
        </w:rPr>
      </w:pPr>
      <w:r w:rsidRPr="00FE0D9C">
        <w:rPr>
          <w:rFonts w:ascii="Palatino Linotype" w:hAnsi="Palatino Linotype"/>
          <w:i/>
        </w:rPr>
        <w:t>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rsidR="00FA08FC" w:rsidRDefault="00FA08FC" w:rsidP="00FA08FC">
      <w:pPr>
        <w:spacing w:after="0" w:line="360" w:lineRule="auto"/>
        <w:jc w:val="both"/>
        <w:rPr>
          <w:rFonts w:ascii="Palatino Linotype" w:hAnsi="Palatino Linotype"/>
          <w:sz w:val="24"/>
          <w:szCs w:val="24"/>
        </w:rPr>
      </w:pPr>
      <w:r w:rsidRPr="00BD691E">
        <w:rPr>
          <w:rFonts w:ascii="Palatino Linotype" w:hAnsi="Palatino Linotype"/>
          <w:sz w:val="24"/>
          <w:szCs w:val="24"/>
        </w:rPr>
        <w:lastRenderedPageBreak/>
        <w:t>Es así como queda establecido que la cuenta pública la rinde el Presidente Municipal y esta será pública de oficio misma que debe difundirse en la página oficial del Sujeto Obligado una vez que se haya entregado a la legislatura, respecto del plazo para la entrega de la documentación al Órgano Superior de Fiscalización, este será de acuerdo al artículo 32</w:t>
      </w:r>
      <w:r w:rsidRPr="00BD691E">
        <w:rPr>
          <w:rStyle w:val="Refdenotaalpie"/>
          <w:rFonts w:ascii="Palatino Linotype" w:hAnsi="Palatino Linotype"/>
          <w:sz w:val="24"/>
          <w:szCs w:val="24"/>
        </w:rPr>
        <w:footnoteReference w:id="3"/>
      </w:r>
      <w:r w:rsidRPr="00BD691E">
        <w:rPr>
          <w:rFonts w:ascii="Palatino Linotype" w:hAnsi="Palatino Linotype"/>
          <w:sz w:val="24"/>
          <w:szCs w:val="24"/>
        </w:rPr>
        <w:t>, en donde se menciona que dentro de los primeros quince das del mes de marzo de cada años, es decir a más tardar el quince de marzo de dos mil dieciocho fecha en que deberá publicarse en la página oficial del Sujeto Obligado.</w:t>
      </w:r>
    </w:p>
    <w:p w:rsidR="00FA08FC" w:rsidRDefault="00FA08FC" w:rsidP="00FA08FC">
      <w:pPr>
        <w:spacing w:after="0" w:line="360" w:lineRule="auto"/>
        <w:jc w:val="both"/>
        <w:rPr>
          <w:rFonts w:ascii="Palatino Linotype" w:hAnsi="Palatino Linotype"/>
          <w:sz w:val="24"/>
          <w:szCs w:val="24"/>
        </w:rPr>
      </w:pPr>
    </w:p>
    <w:p w:rsidR="00FA08FC" w:rsidRPr="00A92AE1" w:rsidRDefault="00FA08FC" w:rsidP="00FA08FC">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 xml:space="preserve">Ahora bien por lo que respecta al </w:t>
      </w:r>
      <w:r w:rsidRPr="00171192">
        <w:rPr>
          <w:rFonts w:ascii="Palatino Linotype" w:hAnsi="Palatino Linotype"/>
          <w:b/>
          <w:sz w:val="24"/>
          <w:szCs w:val="24"/>
          <w:u w:val="single"/>
        </w:rPr>
        <w:t>cuarto</w:t>
      </w:r>
      <w:r>
        <w:rPr>
          <w:rFonts w:ascii="Palatino Linotype" w:hAnsi="Palatino Linotype"/>
          <w:sz w:val="24"/>
          <w:szCs w:val="24"/>
        </w:rPr>
        <w:t xml:space="preserve"> punto de la solicitud de información, el cual versa en: i</w:t>
      </w:r>
      <w:r w:rsidRPr="00BD691E">
        <w:rPr>
          <w:rFonts w:ascii="Palatino Linotype" w:hAnsi="Palatino Linotype" w:cs="Arial"/>
          <w:sz w:val="24"/>
          <w:szCs w:val="24"/>
          <w:lang w:eastAsia="es-MX"/>
        </w:rPr>
        <w:t>ngresos del Ayuntamiento presupuestados para el ejercicio 2019, según el siguiente desglose: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w:t>
      </w:r>
      <w:r>
        <w:rPr>
          <w:rFonts w:ascii="Palatino Linotype" w:hAnsi="Palatino Linotype" w:cs="Arial"/>
          <w:sz w:val="24"/>
          <w:szCs w:val="24"/>
          <w:lang w:eastAsia="es-MX"/>
        </w:rPr>
        <w:t xml:space="preserve">, </w:t>
      </w:r>
      <w:r w:rsidRPr="00BD691E">
        <w:rPr>
          <w:rFonts w:ascii="Palatino Linotype" w:hAnsi="Palatino Linotype" w:cs="Arial"/>
          <w:sz w:val="24"/>
          <w:szCs w:val="24"/>
          <w:lang w:eastAsia="es-MX"/>
        </w:rPr>
        <w:t>ingresos por inversiones financieras, ingresos provenientes de financiamiento y otros ingresos y beneficios varios</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w:t>
      </w:r>
      <w:r w:rsidRPr="00254164">
        <w:rPr>
          <w:rFonts w:ascii="Palatino Linotype" w:eastAsia="Calibri" w:hAnsi="Palatino Linotype" w:cs="Tahoma"/>
          <w:bCs/>
          <w:sz w:val="24"/>
          <w:szCs w:val="24"/>
        </w:rPr>
        <w:lastRenderedPageBreak/>
        <w:t xml:space="preserve">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5" w:history="1">
        <w:r w:rsidRPr="007A01A2">
          <w:rPr>
            <w:rStyle w:val="Hipervnculo"/>
            <w:rFonts w:ascii="Palatino Linotype" w:eastAsia="Calibri" w:hAnsi="Palatino Linotype"/>
            <w:bCs/>
          </w:rPr>
          <w:t>http://legislacion.edomex.gob.mx/sites/legislacion.edomex.gob.mx/files/files/pdf/gct/2018/nov065.pdf</w:t>
        </w:r>
      </w:hyperlink>
      <w:r w:rsidRPr="007A01A2">
        <w:rPr>
          <w:rFonts w:ascii="Palatino Linotype" w:eastAsia="Calibri" w:hAnsi="Palatino Linotype" w:cs="Tahoma"/>
          <w:bCs/>
        </w:rPr>
        <w:t xml:space="preserve">. </w:t>
      </w:r>
    </w:p>
    <w:p w:rsidR="00FA08FC" w:rsidRPr="007A01A2"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 xml:space="preserve">VII. Estimaciones de egresos, por cada una de sus fuentes, agrupados de la siguiente forma: </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rsidR="00FA08FC" w:rsidRPr="003E598B"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3E598B" w:rsidRDefault="00FA08FC" w:rsidP="00FA08FC">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3E598B">
        <w:rPr>
          <w:rFonts w:ascii="Palatino Linotype" w:hAnsi="Palatino Linotype"/>
          <w:sz w:val="24"/>
          <w:szCs w:val="24"/>
          <w:u w:val="single"/>
        </w:rPr>
        <w:t>PbRM-04a Presupuesto de Egresos Detallado</w:t>
      </w:r>
      <w:r w:rsidRPr="003E598B">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FA08FC" w:rsidRPr="003E598B" w:rsidRDefault="00FA08FC" w:rsidP="00FA08FC">
      <w:pPr>
        <w:tabs>
          <w:tab w:val="left" w:pos="709"/>
        </w:tabs>
        <w:spacing w:after="0" w:line="360" w:lineRule="auto"/>
        <w:jc w:val="both"/>
        <w:rPr>
          <w:rFonts w:ascii="Palatino Linotype" w:hAnsi="Palatino Linotype"/>
          <w:color w:val="000000"/>
          <w:sz w:val="24"/>
          <w:szCs w:val="24"/>
        </w:rPr>
      </w:pPr>
    </w:p>
    <w:p w:rsidR="00FA08FC"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color w:val="000000"/>
          <w:sz w:val="24"/>
          <w:szCs w:val="24"/>
        </w:rPr>
        <w:t xml:space="preserve">En este sentido el formato que colmaría la información requerida es el PbRM 03a Presupuesto de Ingresos detallado o bien el formato PbRM 03b denominada Caratula de Presupuesto de Ingresos, en estos formatos </w:t>
      </w:r>
      <w:r w:rsidRPr="003E598B">
        <w:rPr>
          <w:rFonts w:ascii="Palatino Linotype" w:hAnsi="Palatino Linotype"/>
          <w:sz w:val="24"/>
          <w:szCs w:val="24"/>
        </w:rPr>
        <w:t>Se anotará la clave del concepto conforme a la Ley de Ingresos de los Municipios del Es</w:t>
      </w:r>
      <w:r w:rsidRPr="001E7E75">
        <w:rPr>
          <w:rFonts w:ascii="Palatino Linotype" w:hAnsi="Palatino Linotype"/>
          <w:sz w:val="24"/>
          <w:szCs w:val="24"/>
        </w:rPr>
        <w:t xml:space="preserve">tado de México, para el ejercicio fiscal correspondiente, el cual se debe requisitar identificando conceptos globales y </w:t>
      </w:r>
      <w:r w:rsidRPr="001E7E75">
        <w:rPr>
          <w:rFonts w:ascii="Palatino Linotype" w:hAnsi="Palatino Linotype"/>
          <w:sz w:val="24"/>
          <w:szCs w:val="24"/>
        </w:rPr>
        <w:lastRenderedPageBreak/>
        <w:t>cuentas que integren estos conceptos, es deci</w:t>
      </w:r>
      <w:r>
        <w:rPr>
          <w:rFonts w:ascii="Palatino Linotype" w:hAnsi="Palatino Linotype"/>
          <w:sz w:val="24"/>
          <w:szCs w:val="24"/>
        </w:rPr>
        <w:t>r de lo general a lo particular, los cuales se insertan a continuación:</w:t>
      </w:r>
    </w:p>
    <w:p w:rsidR="00FA08FC" w:rsidRPr="00FC41EF" w:rsidRDefault="00FA08FC" w:rsidP="00AA163E">
      <w:pPr>
        <w:tabs>
          <w:tab w:val="left" w:pos="709"/>
        </w:tabs>
        <w:spacing w:after="0" w:line="360" w:lineRule="auto"/>
        <w:jc w:val="both"/>
        <w:rPr>
          <w:rFonts w:ascii="Palatino Linotype" w:hAnsi="Palatino Linotype" w:cs="Arial"/>
          <w:sz w:val="24"/>
          <w:szCs w:val="24"/>
          <w:highlight w:val="yellow"/>
          <w:lang w:eastAsia="es-MX"/>
        </w:rPr>
      </w:pPr>
      <w:r>
        <w:rPr>
          <w:noProof/>
          <w:lang w:eastAsia="es-MX"/>
        </w:rPr>
        <w:drawing>
          <wp:inline distT="0" distB="0" distL="0" distR="0" wp14:anchorId="3EB079AE" wp14:editId="1338D8FD">
            <wp:extent cx="5466373" cy="2857500"/>
            <wp:effectExtent l="190500" t="190500" r="191770" b="1905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92" t="21752" r="19477" b="9465"/>
                    <a:stretch/>
                  </pic:blipFill>
                  <pic:spPr bwMode="auto">
                    <a:xfrm>
                      <a:off x="0" y="0"/>
                      <a:ext cx="5471383" cy="28601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06E90E0C" wp14:editId="35CC9550">
            <wp:extent cx="5561330" cy="3095625"/>
            <wp:effectExtent l="190500" t="190500" r="191770" b="200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1" t="20282" r="19643" b="12698"/>
                    <a:stretch/>
                  </pic:blipFill>
                  <pic:spPr bwMode="auto">
                    <a:xfrm>
                      <a:off x="0" y="0"/>
                      <a:ext cx="5590513" cy="31118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7A01A2" w:rsidRDefault="00FA08FC" w:rsidP="00FA08FC">
      <w:pPr>
        <w:spacing w:after="0" w:line="360" w:lineRule="auto"/>
        <w:jc w:val="both"/>
        <w:rPr>
          <w:rFonts w:ascii="Palatino Linotype" w:hAnsi="Palatino Linotype"/>
          <w:sz w:val="24"/>
          <w:szCs w:val="24"/>
        </w:rPr>
      </w:pPr>
      <w:r w:rsidRPr="009B7EED">
        <w:rPr>
          <w:rFonts w:ascii="Palatino Linotype" w:hAnsi="Palatino Linotype"/>
          <w:sz w:val="24"/>
          <w:szCs w:val="24"/>
        </w:rPr>
        <w:lastRenderedPageBreak/>
        <w:t xml:space="preserve">Por lo que respecta al </w:t>
      </w:r>
      <w:r w:rsidRPr="00171192">
        <w:rPr>
          <w:rFonts w:ascii="Palatino Linotype" w:hAnsi="Palatino Linotype"/>
          <w:b/>
          <w:sz w:val="24"/>
          <w:szCs w:val="24"/>
          <w:u w:val="single"/>
        </w:rPr>
        <w:t>quinto</w:t>
      </w:r>
      <w:r>
        <w:rPr>
          <w:rFonts w:ascii="Palatino Linotype" w:hAnsi="Palatino Linotype"/>
          <w:sz w:val="24"/>
          <w:szCs w:val="24"/>
        </w:rPr>
        <w:t xml:space="preserve"> </w:t>
      </w:r>
      <w:r w:rsidRPr="009B7EED">
        <w:rPr>
          <w:rFonts w:ascii="Palatino Linotype" w:hAnsi="Palatino Linotype"/>
          <w:sz w:val="24"/>
          <w:szCs w:val="24"/>
        </w:rPr>
        <w:t xml:space="preserve">punto el cual se refiere a los </w:t>
      </w:r>
      <w:r>
        <w:rPr>
          <w:rFonts w:ascii="Palatino Linotype" w:hAnsi="Palatino Linotype" w:cs="Arial"/>
          <w:sz w:val="24"/>
          <w:szCs w:val="24"/>
          <w:lang w:eastAsia="es-MX"/>
        </w:rPr>
        <w:t>e</w:t>
      </w:r>
      <w:r w:rsidRPr="009B7EED">
        <w:rPr>
          <w:rFonts w:ascii="Palatino Linotype" w:hAnsi="Palatino Linotype" w:cs="Arial"/>
          <w:sz w:val="24"/>
          <w:szCs w:val="24"/>
          <w:lang w:eastAsia="es-MX"/>
        </w:rPr>
        <w:t>gresos presupuestados para 2019, desglosados por los siguientes conceptos: 1000 Servicios Personales, 2000 Materiales y Suministros, 3000 Servicios Generales, 4000 Transferencias, 5000 Bienes Mueble e Inmuebles, 6000 Obra Pública, 7000 Inversiones 8000 Participaciones y Aportaciones y 9000 Deuda Pública</w:t>
      </w:r>
      <w:r>
        <w:rPr>
          <w:rFonts w:ascii="Palatino Linotype" w:hAnsi="Palatino Linotype" w:cs="Arial"/>
          <w:sz w:val="24"/>
          <w:szCs w:val="24"/>
          <w:lang w:eastAsia="es-MX"/>
        </w:rPr>
        <w:t xml:space="preserve">, dicha información puede colmarse con el formato </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Presupuesto de Egresos Detallado (PbRM-04a). Este formato deberá registrar los proyectos por partida de gasto, identificando los montos por Partida Específica, Partida Genérica, Concepto y Capítulo del Gasto, de cada proyecto a nivel de Dependencia General y Auxiliar.</w:t>
      </w:r>
    </w:p>
    <w:p w:rsidR="00FA08FC" w:rsidRPr="007A01A2"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FA08FC">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da Específica, Partida Genérica, Concepto y Capitulo 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rsidR="00FA08FC" w:rsidRPr="007A01A2" w:rsidRDefault="00FA08FC" w:rsidP="00FA08FC">
      <w:pPr>
        <w:spacing w:line="360" w:lineRule="auto"/>
        <w:ind w:right="-93"/>
        <w:jc w:val="both"/>
        <w:rPr>
          <w:rFonts w:ascii="Palatino Linotype" w:eastAsia="Calibri" w:hAnsi="Palatino Linotype" w:cs="Tahoma"/>
          <w:bCs/>
        </w:rPr>
      </w:pPr>
      <w:r w:rsidRPr="007A01A2">
        <w:rPr>
          <w:noProof/>
          <w:lang w:eastAsia="es-MX"/>
        </w:rPr>
        <w:drawing>
          <wp:inline distT="0" distB="0" distL="0" distR="0" wp14:anchorId="0488E553" wp14:editId="12D24AAA">
            <wp:extent cx="5441950" cy="2781300"/>
            <wp:effectExtent l="190500" t="190500" r="196850" b="1905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2" t="24126" r="23380" b="11120"/>
                    <a:stretch/>
                  </pic:blipFill>
                  <pic:spPr bwMode="auto">
                    <a:xfrm>
                      <a:off x="0" y="0"/>
                      <a:ext cx="5444742" cy="27827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7A01A2" w:rsidRDefault="00FA08FC" w:rsidP="00FA08FC">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lastRenderedPageBreak/>
        <w:t>Asimismo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recurrente mencionó que </w:t>
      </w:r>
      <w:r w:rsidRPr="009B7EED">
        <w:rPr>
          <w:rFonts w:ascii="Palatino Linotype" w:eastAsia="Calibri" w:hAnsi="Palatino Linotype" w:cs="Tahoma"/>
          <w:bCs/>
          <w:sz w:val="24"/>
          <w:szCs w:val="24"/>
        </w:rPr>
        <w:t>requiere el presupuesto por capítulo del gasto y el formato contiene una columna especifica que se refiere al capítulo el cual se</w:t>
      </w:r>
      <w:r w:rsidRPr="009B7EED">
        <w:rPr>
          <w:rFonts w:ascii="Palatino Linotype" w:hAnsi="Palatino Linotype"/>
          <w:sz w:val="24"/>
          <w:szCs w:val="24"/>
        </w:rPr>
        <w:t xml:space="preserve"> refiere a la clave numérica que tiene cada capítulo, concepto, partida genérica y partida específica del gasto que tiene el clasificador por objeto de gasto vigente.</w:t>
      </w:r>
    </w:p>
    <w:p w:rsidR="00FA08FC" w:rsidRPr="009B7EED" w:rsidRDefault="00FA08FC" w:rsidP="00FA08FC">
      <w:pPr>
        <w:spacing w:after="0" w:line="360" w:lineRule="auto"/>
        <w:jc w:val="both"/>
        <w:rPr>
          <w:rFonts w:ascii="Palatino Linotype" w:hAnsi="Palatino Linotype" w:cs="Arial"/>
          <w:sz w:val="24"/>
          <w:szCs w:val="24"/>
          <w:lang w:eastAsia="es-MX"/>
        </w:rPr>
      </w:pPr>
    </w:p>
    <w:p w:rsidR="00FA08FC" w:rsidRPr="00546882" w:rsidRDefault="00FA08FC" w:rsidP="00FA08FC">
      <w:pPr>
        <w:pStyle w:val="Prrafodelista"/>
        <w:numPr>
          <w:ilvl w:val="0"/>
          <w:numId w:val="1"/>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DE38A6" w:rsidRDefault="00FA08FC" w:rsidP="00FA08FC"/>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Pr="00030088">
        <w:rPr>
          <w:rFonts w:ascii="Palatino Linotype" w:hAnsi="Palatino Linotype" w:cs="Arial"/>
          <w:b/>
          <w:sz w:val="24"/>
          <w:szCs w:val="24"/>
        </w:rPr>
        <w:t>00037/CAPULHUA/IP/2019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B52CA5" w:rsidRDefault="00FA08FC" w:rsidP="00FA08FC">
      <w:pPr>
        <w:spacing w:after="0" w:line="360" w:lineRule="auto"/>
        <w:jc w:val="both"/>
        <w:rPr>
          <w:rFonts w:ascii="Arial" w:hAnsi="Arial" w:cs="Arial"/>
          <w:b/>
          <w:bCs/>
          <w:color w:val="333333"/>
          <w:sz w:val="24"/>
          <w:szCs w:val="24"/>
        </w:rPr>
      </w:pPr>
    </w:p>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A08FC" w:rsidRPr="00B52CA5"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p>
    <w:p w:rsidR="00FA08FC" w:rsidRPr="00D428DB" w:rsidRDefault="00FA08FC" w:rsidP="00FA08FC">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FA08FC" w:rsidRDefault="00FA08FC" w:rsidP="00FA08FC">
      <w:pPr>
        <w:spacing w:after="0" w:line="360" w:lineRule="auto"/>
        <w:jc w:val="both"/>
        <w:rPr>
          <w:rFonts w:ascii="Palatino Linotype" w:hAnsi="Palatino Linotype" w:cs="Arial"/>
          <w:b/>
          <w:bCs/>
          <w:sz w:val="28"/>
          <w:szCs w:val="28"/>
          <w:shd w:val="clear" w:color="auto" w:fill="FFFFFF"/>
        </w:rPr>
      </w:pPr>
    </w:p>
    <w:p w:rsidR="0042512C" w:rsidRDefault="00FA08FC" w:rsidP="0042512C">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875665" w:rsidRPr="00AD1C73">
        <w:rPr>
          <w:rFonts w:ascii="Palatino Linotype" w:hAnsi="Palatino Linotype" w:cs="Arial"/>
          <w:b/>
          <w:sz w:val="24"/>
          <w:szCs w:val="24"/>
        </w:rPr>
        <w:t>00020/OTZOLOAP/IP/2019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Pr="00326EB8">
        <w:rPr>
          <w:rFonts w:ascii="Palatino Linotype" w:eastAsia="Times New Roman" w:hAnsi="Palatino Linotype" w:cs="Arial"/>
          <w:sz w:val="24"/>
          <w:szCs w:val="24"/>
        </w:rPr>
        <w:t xml:space="preserve"> </w:t>
      </w:r>
      <w:r w:rsidR="0042512C" w:rsidRPr="004461C5">
        <w:rPr>
          <w:rFonts w:ascii="Palatino Linotype" w:eastAsia="Times New Roman" w:hAnsi="Palatino Linotype" w:cs="Arial"/>
          <w:sz w:val="24"/>
          <w:szCs w:val="24"/>
        </w:rPr>
        <w:t>en formato PDF</w:t>
      </w:r>
      <w:r w:rsidR="0042512C">
        <w:rPr>
          <w:rFonts w:ascii="Palatino Linotype" w:eastAsia="Times New Roman" w:hAnsi="Palatino Linotype" w:cs="Arial"/>
          <w:sz w:val="24"/>
          <w:szCs w:val="24"/>
        </w:rPr>
        <w:t xml:space="preserve"> o en el formato que se haya generado,</w:t>
      </w:r>
      <w:r w:rsidR="0042512C" w:rsidRPr="00326EB8">
        <w:rPr>
          <w:rFonts w:ascii="Palatino Linotype" w:eastAsia="Times New Roman" w:hAnsi="Palatino Linotype" w:cs="Arial"/>
          <w:sz w:val="24"/>
          <w:szCs w:val="24"/>
        </w:rPr>
        <w:t xml:space="preserve"> </w:t>
      </w:r>
      <w:r w:rsidR="0042512C">
        <w:rPr>
          <w:rFonts w:ascii="Palatino Linotype" w:hAnsi="Palatino Linotype" w:cs="Arial"/>
          <w:sz w:val="24"/>
          <w:szCs w:val="24"/>
        </w:rPr>
        <w:t>de</w:t>
      </w:r>
      <w:r w:rsidR="0042512C" w:rsidRPr="00DE38A6">
        <w:rPr>
          <w:rFonts w:ascii="Palatino Linotype" w:hAnsi="Palatino Linotype" w:cs="Arial"/>
          <w:sz w:val="24"/>
          <w:szCs w:val="24"/>
        </w:rPr>
        <w:t xml:space="preserve"> </w:t>
      </w:r>
      <w:r w:rsidR="0042512C" w:rsidRPr="00DE38A6">
        <w:rPr>
          <w:rFonts w:ascii="Palatino Linotype" w:hAnsi="Palatino Linotype"/>
          <w:sz w:val="24"/>
          <w:szCs w:val="24"/>
        </w:rPr>
        <w:t>lo siguiente:</w:t>
      </w:r>
    </w:p>
    <w:p w:rsidR="0042512C" w:rsidRPr="00271D0C" w:rsidRDefault="0042512C" w:rsidP="0042512C">
      <w:pPr>
        <w:spacing w:after="0" w:line="360" w:lineRule="auto"/>
        <w:jc w:val="both"/>
        <w:rPr>
          <w:rFonts w:ascii="Palatino Linotype" w:eastAsia="Times New Roman" w:hAnsi="Palatino Linotype" w:cs="Arial"/>
          <w:sz w:val="24"/>
          <w:szCs w:val="24"/>
        </w:rPr>
      </w:pPr>
    </w:p>
    <w:p w:rsidR="0042512C" w:rsidRDefault="0042512C" w:rsidP="0042512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rPr>
        <w:t>Estado Analítico de Ingresos del ejercicio 2018.</w:t>
      </w:r>
    </w:p>
    <w:p w:rsidR="0042512C" w:rsidRPr="006344A6" w:rsidRDefault="0042512C" w:rsidP="0042512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rPr>
        <w:t>Estado Analítico del Ejercicio del presupuesto de Egresos clasificación por objeto del gasto (capitulo y concepto) del ejercicio 2018.</w:t>
      </w:r>
    </w:p>
    <w:p w:rsidR="0042512C" w:rsidRPr="006344A6" w:rsidRDefault="0042512C" w:rsidP="0042512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color w:val="000000" w:themeColor="text1"/>
        </w:rPr>
        <w:t>Estado de situación financiera comparativo del ejercicio 2018.</w:t>
      </w:r>
    </w:p>
    <w:p w:rsidR="0042512C" w:rsidRPr="00E91A90" w:rsidRDefault="0042512C" w:rsidP="0042512C">
      <w:pPr>
        <w:pStyle w:val="Prrafodelista"/>
        <w:numPr>
          <w:ilvl w:val="0"/>
          <w:numId w:val="2"/>
        </w:numPr>
        <w:spacing w:line="360" w:lineRule="auto"/>
        <w:ind w:left="567" w:right="141" w:hanging="283"/>
        <w:jc w:val="both"/>
        <w:rPr>
          <w:rFonts w:ascii="Palatino Linotype" w:hAnsi="Palatino Linotype" w:cs="Arial"/>
        </w:rPr>
      </w:pPr>
      <w:r w:rsidRPr="003E598B">
        <w:rPr>
          <w:rFonts w:ascii="Palatino Linotype" w:hAnsi="Palatino Linotype"/>
          <w:color w:val="000000"/>
        </w:rPr>
        <w:t xml:space="preserve">Presupuesto de Ingresos Detallado </w:t>
      </w:r>
      <w:r>
        <w:rPr>
          <w:rFonts w:ascii="Palatino Linotype" w:hAnsi="Palatino Linotype"/>
          <w:color w:val="000000"/>
        </w:rPr>
        <w:t>del ejercicio 2019.</w:t>
      </w:r>
    </w:p>
    <w:p w:rsidR="0042512C" w:rsidRPr="00DE38A6" w:rsidRDefault="0042512C" w:rsidP="0042512C">
      <w:pPr>
        <w:pStyle w:val="Prrafodelista"/>
        <w:numPr>
          <w:ilvl w:val="0"/>
          <w:numId w:val="2"/>
        </w:numPr>
        <w:spacing w:line="360" w:lineRule="auto"/>
        <w:ind w:left="567" w:right="141" w:hanging="283"/>
        <w:jc w:val="both"/>
        <w:rPr>
          <w:rFonts w:ascii="Palatino Linotype" w:hAnsi="Palatino Linotype" w:cs="Arial"/>
        </w:rPr>
      </w:pPr>
      <w:r w:rsidRPr="007A01A2">
        <w:rPr>
          <w:rFonts w:ascii="Palatino Linotype" w:hAnsi="Palatino Linotype"/>
        </w:rPr>
        <w:t>Presupuesto de Egresos Detallado</w:t>
      </w:r>
      <w:r>
        <w:rPr>
          <w:rFonts w:ascii="Palatino Linotype" w:hAnsi="Palatino Linotype"/>
        </w:rPr>
        <w:t xml:space="preserve"> </w:t>
      </w:r>
      <w:r>
        <w:rPr>
          <w:rFonts w:ascii="Palatino Linotype" w:hAnsi="Palatino Linotype"/>
          <w:color w:val="000000"/>
        </w:rPr>
        <w:t>del ejercicio 2019.</w:t>
      </w:r>
    </w:p>
    <w:p w:rsidR="0042512C" w:rsidRPr="00DE38A6" w:rsidRDefault="0042512C" w:rsidP="0042512C">
      <w:pPr>
        <w:pStyle w:val="Prrafodelista"/>
        <w:spacing w:line="360" w:lineRule="auto"/>
        <w:ind w:left="567" w:right="141"/>
        <w:jc w:val="both"/>
        <w:rPr>
          <w:rFonts w:ascii="Palatino Linotype" w:hAnsi="Palatino Linotype" w:cs="Arial"/>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FA08FC" w:rsidRPr="004209CE" w:rsidRDefault="00FA08FC" w:rsidP="00FA08FC">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rsidR="00FA08FC" w:rsidRDefault="003E5804" w:rsidP="00FA08FC">
      <w:pPr>
        <w:spacing w:after="0" w:line="360" w:lineRule="auto"/>
        <w:jc w:val="both"/>
        <w:rPr>
          <w:rFonts w:ascii="Palatino Linotype" w:hAnsi="Palatino Linotype"/>
          <w:sz w:val="24"/>
          <w:szCs w:val="24"/>
        </w:rPr>
      </w:pPr>
      <w:r>
        <w:rPr>
          <w:rFonts w:ascii="Palatino Linotype" w:hAnsi="Palatino Linotype" w:cs="Arial"/>
          <w:sz w:val="23"/>
          <w:szCs w:val="23"/>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JAVIER </w:t>
      </w:r>
      <w:r>
        <w:rPr>
          <w:rFonts w:ascii="Palatino Linotype" w:hAnsi="Palatino Linotype" w:cs="Arial"/>
          <w:sz w:val="23"/>
          <w:szCs w:val="23"/>
        </w:rPr>
        <w:lastRenderedPageBreak/>
        <w:t>MARTÍNEZ CRUZ Y LUIS GUSTAVO PARRA NORIEGA, EN LA VIGESIMA OCTAVA SESIÓN ORDINARIA CELEBRADA EL SIETE DE AGOSTO DE DOS MIL DIECINUEVE, ANTE EL SECRETARIO TÉCNICO DEL PLENO, ALEXIS TAPIA RAMÍREZ</w:t>
      </w:r>
      <w:r w:rsidR="00FA08FC">
        <w:rPr>
          <w:rFonts w:ascii="Palatino Linotype" w:hAnsi="Palatino Linotype" w:cs="Arial"/>
          <w:sz w:val="24"/>
          <w:szCs w:val="24"/>
        </w:rPr>
        <w:t>. ------------------------------------------------------------------------------------------------------------------------------------------------------------------------------------------------------------------------------------------------------------------------------------------------------------------------------------------------------------------------------------------------------------------------------------------------------------------------------------------------------------------------------------------------</w:t>
      </w:r>
      <w:r>
        <w:rPr>
          <w:rFonts w:ascii="Palatino Linotype" w:hAnsi="Palatino Linotype" w:cs="Arial"/>
          <w:sz w:val="24"/>
          <w:szCs w:val="24"/>
        </w:rPr>
        <w:t>--------------------------------------------------------------------------------------------------------------------------------------------------------------------</w:t>
      </w:r>
    </w:p>
    <w:p w:rsidR="00AA163E" w:rsidRDefault="00AA163E" w:rsidP="00AA163E">
      <w:pPr>
        <w:spacing w:after="0" w:line="360" w:lineRule="auto"/>
        <w:jc w:val="both"/>
        <w:rPr>
          <w:rFonts w:ascii="Palatino Linotype" w:hAnsi="Palatino Linotype"/>
          <w:sz w:val="24"/>
          <w:szCs w:val="24"/>
        </w:rPr>
      </w:pPr>
      <w:r>
        <w:rPr>
          <w:rFonts w:ascii="Palatino Linotype" w:hAnsi="Palatino Linotype" w:cs="Arial"/>
          <w:sz w:val="24"/>
          <w:szCs w:val="24"/>
        </w:rPr>
        <w:t>-------------------------------------------------------------------------------------------------------------------------------------------------------------------------------------------------------------------------------------------------------------------------------------------------------------------------------------------------------------------------------------------------------------------------------------------------------------------------------------------------------------------------------------------------------------------------------------</w:t>
      </w:r>
    </w:p>
    <w:p w:rsidR="00AA163E" w:rsidRDefault="00AA163E" w:rsidP="00AA163E">
      <w:pPr>
        <w:spacing w:after="0" w:line="360" w:lineRule="auto"/>
        <w:jc w:val="both"/>
        <w:rPr>
          <w:rFonts w:ascii="Palatino Linotype" w:hAnsi="Palatino Linotype"/>
          <w:sz w:val="24"/>
          <w:szCs w:val="24"/>
        </w:rPr>
      </w:pPr>
      <w:r>
        <w:rPr>
          <w:rFonts w:ascii="Palatino Linotype" w:hAnsi="Palatino Linotype" w:cs="Arial"/>
          <w:sz w:val="24"/>
          <w:szCs w:val="24"/>
        </w:rPr>
        <w:t>-------------------------------------------------------------------------------------------------------------------------------------------------------------------------------------------------------------------------------------------------------------------------------------------------------------------------------------------------------------------------------------------------------------------------------------------------------------------------------------------------------------------------------------------------------------------------------------</w:t>
      </w:r>
    </w:p>
    <w:p w:rsidR="00AA163E" w:rsidRDefault="00AA163E" w:rsidP="00AA163E">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AA163E" w:rsidP="00FA08FC">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3B20A8" w:rsidRDefault="003B20A8" w:rsidP="00FA08FC">
      <w:pPr>
        <w:spacing w:after="0" w:line="360" w:lineRule="auto"/>
        <w:jc w:val="both"/>
        <w:rPr>
          <w:rFonts w:ascii="Palatino Linotype" w:hAnsi="Palatino Linotype"/>
          <w:sz w:val="24"/>
          <w:szCs w:val="24"/>
        </w:rPr>
      </w:pPr>
    </w:p>
    <w:p w:rsidR="003B20A8" w:rsidRDefault="003B20A8" w:rsidP="00FA08FC">
      <w:pPr>
        <w:spacing w:after="0" w:line="360" w:lineRule="auto"/>
        <w:jc w:val="both"/>
        <w:rPr>
          <w:rFonts w:ascii="Palatino Linotype" w:hAnsi="Palatino Linotype"/>
          <w:sz w:val="24"/>
          <w:szCs w:val="24"/>
        </w:rPr>
      </w:pPr>
    </w:p>
    <w:p w:rsidR="00FA08FC" w:rsidRDefault="00FA08FC" w:rsidP="003B20A8">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3B20A8" w:rsidRPr="00AD2A55" w:rsidRDefault="003B20A8" w:rsidP="003B20A8">
      <w:pPr>
        <w:spacing w:after="0" w:line="360" w:lineRule="auto"/>
        <w:jc w:val="both"/>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3E5804">
                              <w:rPr>
                                <w:rFonts w:ascii="Palatino Linotype" w:hAnsi="Palatino Linotype"/>
                              </w:rPr>
                              <w:t>Ausencia justificada</w:t>
                            </w:r>
                            <w:r>
                              <w:rPr>
                                <w:rFonts w:ascii="Palatino Linotype" w:hAnsi="Palatino Linotype"/>
                                <w:b/>
                                <w:sz w:val="24"/>
                                <w:szCs w:val="24"/>
                              </w:rPr>
                              <w:t>).</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7C781"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3E5804">
                        <w:rPr>
                          <w:rFonts w:ascii="Palatino Linotype" w:hAnsi="Palatino Linotype"/>
                        </w:rPr>
                        <w:t>Ausencia justificada</w:t>
                      </w:r>
                      <w:r>
                        <w:rPr>
                          <w:rFonts w:ascii="Palatino Linotype" w:hAnsi="Palatino Linotype"/>
                          <w:b/>
                          <w:sz w:val="24"/>
                          <w:szCs w:val="24"/>
                        </w:rPr>
                        <w:t>).</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211718" w:rsidRPr="00211718">
        <w:rPr>
          <w:rFonts w:ascii="Palatino Linotype" w:hAnsi="Palatino Linotype" w:cs="Arial"/>
          <w:sz w:val="20"/>
          <w:szCs w:val="20"/>
        </w:rPr>
        <w:t>siete de agosto de dos mil diecinueve</w:t>
      </w:r>
      <w:r w:rsidRPr="00D701CA">
        <w:rPr>
          <w:rFonts w:ascii="Palatino Linotype" w:hAnsi="Palatino Linotype" w:cs="Arial"/>
          <w:sz w:val="20"/>
          <w:szCs w:val="20"/>
        </w:rPr>
        <w:t xml:space="preserve">, emitida en el recurso de revisión </w:t>
      </w:r>
      <w:r w:rsidRPr="00211718">
        <w:rPr>
          <w:rFonts w:ascii="Palatino Linotype" w:hAnsi="Palatino Linotype" w:cs="Arial"/>
          <w:sz w:val="20"/>
          <w:szCs w:val="20"/>
        </w:rPr>
        <w:t>0440</w:t>
      </w:r>
      <w:r w:rsidR="00211718">
        <w:rPr>
          <w:rFonts w:ascii="Palatino Linotype" w:hAnsi="Palatino Linotype" w:cs="Arial"/>
          <w:sz w:val="20"/>
          <w:szCs w:val="20"/>
        </w:rPr>
        <w:t>5</w:t>
      </w:r>
      <w:r w:rsidRPr="00211718">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D701CA" w:rsidRDefault="00FA08FC" w:rsidP="00FA08FC">
      <w:pPr>
        <w:spacing w:after="0" w:line="240" w:lineRule="auto"/>
        <w:rPr>
          <w:rFonts w:ascii="Palatino Linotype" w:hAnsi="Palatino Linotype"/>
          <w:sz w:val="20"/>
          <w:szCs w:val="20"/>
        </w:rPr>
      </w:pPr>
      <w:r w:rsidRPr="00D701CA">
        <w:rPr>
          <w:rFonts w:ascii="Palatino Linotype" w:hAnsi="Palatino Linotype"/>
          <w:sz w:val="20"/>
          <w:szCs w:val="20"/>
        </w:rPr>
        <w:t>OSAM/</w:t>
      </w:r>
      <w:r w:rsidR="00211718">
        <w:rPr>
          <w:rFonts w:ascii="Palatino Linotype" w:hAnsi="Palatino Linotype"/>
          <w:sz w:val="20"/>
          <w:szCs w:val="20"/>
        </w:rPr>
        <w:t>ROA</w:t>
      </w:r>
    </w:p>
    <w:sectPr w:rsidR="00FA08FC" w:rsidRPr="00D701CA" w:rsidSect="006E3E3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E45" w:rsidRDefault="00EA7E45" w:rsidP="00FA08FC">
      <w:pPr>
        <w:spacing w:after="0" w:line="240" w:lineRule="auto"/>
      </w:pPr>
      <w:r>
        <w:separator/>
      </w:r>
    </w:p>
  </w:endnote>
  <w:endnote w:type="continuationSeparator" w:id="0">
    <w:p w:rsidR="00EA7E45" w:rsidRDefault="00EA7E45"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D07">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0D07">
              <w:rPr>
                <w:rFonts w:ascii="Palatino Linotype" w:hAnsi="Palatino Linotype"/>
                <w:bCs/>
                <w:noProof/>
                <w:sz w:val="20"/>
              </w:rPr>
              <w:t>31</w:t>
            </w:r>
            <w:r>
              <w:rPr>
                <w:rFonts w:ascii="Palatino Linotype" w:hAnsi="Palatino Linotype"/>
                <w:bCs/>
                <w:noProof/>
                <w:sz w:val="20"/>
              </w:rPr>
              <w:fldChar w:fldCharType="end"/>
            </w:r>
          </w:p>
        </w:sdtContent>
      </w:sdt>
    </w:sdtContent>
  </w:sdt>
  <w:p w:rsidR="004842FF" w:rsidRDefault="00100D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D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0D07">
      <w:rPr>
        <w:rFonts w:ascii="Palatino Linotype" w:hAnsi="Palatino Linotype"/>
        <w:bCs/>
        <w:noProof/>
        <w:sz w:val="20"/>
      </w:rPr>
      <w:t>31</w:t>
    </w:r>
    <w:r>
      <w:rPr>
        <w:rFonts w:ascii="Palatino Linotype" w:hAnsi="Palatino Linotype"/>
        <w:bCs/>
        <w:noProof/>
        <w:sz w:val="20"/>
      </w:rPr>
      <w:fldChar w:fldCharType="end"/>
    </w:r>
  </w:p>
  <w:p w:rsidR="004842FF" w:rsidRDefault="00100D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E45" w:rsidRDefault="00EA7E45" w:rsidP="00FA08FC">
      <w:pPr>
        <w:spacing w:after="0" w:line="240" w:lineRule="auto"/>
      </w:pPr>
      <w:r>
        <w:separator/>
      </w:r>
    </w:p>
  </w:footnote>
  <w:footnote w:type="continuationSeparator" w:id="0">
    <w:p w:rsidR="00EA7E45" w:rsidRDefault="00EA7E45" w:rsidP="00FA08FC">
      <w:pPr>
        <w:spacing w:after="0" w:line="240" w:lineRule="auto"/>
      </w:pPr>
      <w:r>
        <w:continuationSeparator/>
      </w:r>
    </w:p>
  </w:footnote>
  <w:footnote w:id="1">
    <w:p w:rsidR="00FA08FC" w:rsidRPr="00B07B6A" w:rsidRDefault="00FA08FC" w:rsidP="00FA08FC">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rsidR="00FA08FC" w:rsidRPr="00B51282" w:rsidRDefault="00FA08FC" w:rsidP="00FA08FC">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FA08FC" w:rsidRPr="00B51282" w:rsidRDefault="00FA08FC" w:rsidP="00FA08FC">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FA08FC" w:rsidRDefault="00FA08FC" w:rsidP="00FA08FC">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 w:id="3">
    <w:p w:rsidR="00FA08FC" w:rsidRPr="006344A6" w:rsidRDefault="00FA08FC" w:rsidP="00FA08FC">
      <w:pPr>
        <w:pStyle w:val="Textonotapie"/>
        <w:jc w:val="both"/>
        <w:rPr>
          <w:rFonts w:ascii="Palatino Linotype" w:hAnsi="Palatino Linotype"/>
          <w:sz w:val="18"/>
          <w:szCs w:val="18"/>
        </w:rPr>
      </w:pPr>
      <w:r w:rsidRPr="006344A6">
        <w:rPr>
          <w:rStyle w:val="Refdenotaalpie"/>
          <w:rFonts w:ascii="Palatino Linotype" w:hAnsi="Palatino Linotype"/>
          <w:b/>
          <w:sz w:val="18"/>
          <w:szCs w:val="18"/>
        </w:rPr>
        <w:footnoteRef/>
      </w:r>
      <w:r w:rsidRPr="006344A6">
        <w:rPr>
          <w:rFonts w:ascii="Palatino Linotype" w:hAnsi="Palatino Linotype"/>
          <w:b/>
          <w:sz w:val="18"/>
          <w:szCs w:val="18"/>
        </w:rPr>
        <w:t xml:space="preserve"> Artículo 32</w:t>
      </w:r>
      <w:r w:rsidRPr="006344A6">
        <w:rPr>
          <w:rFonts w:ascii="Palatino Linotype" w:hAnsi="Palatino Linotype"/>
          <w:sz w:val="18"/>
          <w:szCs w:val="18"/>
        </w:rPr>
        <w:t>.- - El Gobernador del Estado, por conducto del titular de la dependencia competente, presentará a la Legislatura la cuenta pública del Gobierno del Estado del ejercicio fiscal inmediato anterior, a más tardar el treinta de abril de cada año.</w:t>
      </w:r>
    </w:p>
    <w:p w:rsidR="00FA08FC" w:rsidRDefault="00FA08FC" w:rsidP="00FA08FC">
      <w:pPr>
        <w:pStyle w:val="Textonotapie"/>
        <w:jc w:val="both"/>
      </w:pPr>
      <w:r w:rsidRPr="006344A6">
        <w:rPr>
          <w:rFonts w:ascii="Palatino Linotype" w:hAnsi="Palatino Linotype"/>
          <w:sz w:val="18"/>
          <w:szCs w:val="18"/>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822864">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0440</w:t>
          </w:r>
          <w:r w:rsidR="00822864">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822864">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822864">
            <w:rPr>
              <w:rFonts w:ascii="Palatino Linotype" w:hAnsi="Palatino Linotype" w:cs="Arial"/>
              <w:szCs w:val="20"/>
            </w:rPr>
            <w:t>Otzoloapan</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822864">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0440</w:t>
          </w:r>
          <w:r w:rsidR="00822864">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822864">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822864">
            <w:rPr>
              <w:rFonts w:ascii="Palatino Linotype" w:hAnsi="Palatino Linotype" w:cs="Arial"/>
              <w:szCs w:val="20"/>
            </w:rPr>
            <w:t>Otzoloapan</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100D07" w:rsidP="00044747">
          <w:pPr>
            <w:spacing w:after="120" w:line="256" w:lineRule="auto"/>
            <w:ind w:left="-486" w:right="214" w:firstLine="486"/>
            <w:jc w:val="right"/>
            <w:rPr>
              <w:rFonts w:ascii="Palatino Linotype" w:hAnsi="Palatino Linotype" w:cs="Arial"/>
            </w:rPr>
          </w:pPr>
          <w:r>
            <w:rPr>
              <w:rFonts w:ascii="Palatino Linotype" w:hAnsi="Palatino Linotype" w:cs="Arial"/>
            </w:rPr>
            <w:t>xxxxxxxxxxxxxxxxxx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100D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72C3A"/>
    <w:rsid w:val="00082BAE"/>
    <w:rsid w:val="00100D07"/>
    <w:rsid w:val="00211718"/>
    <w:rsid w:val="003B20A8"/>
    <w:rsid w:val="003E5804"/>
    <w:rsid w:val="0042512C"/>
    <w:rsid w:val="006B62BF"/>
    <w:rsid w:val="007813F8"/>
    <w:rsid w:val="007D5176"/>
    <w:rsid w:val="008041C1"/>
    <w:rsid w:val="00822864"/>
    <w:rsid w:val="00875665"/>
    <w:rsid w:val="008F532E"/>
    <w:rsid w:val="009E7B5A"/>
    <w:rsid w:val="009F3CEC"/>
    <w:rsid w:val="00A52A7D"/>
    <w:rsid w:val="00AA163E"/>
    <w:rsid w:val="00AD1C73"/>
    <w:rsid w:val="00BF1476"/>
    <w:rsid w:val="00D23F59"/>
    <w:rsid w:val="00DA2845"/>
    <w:rsid w:val="00E86A6E"/>
    <w:rsid w:val="00EA7E45"/>
    <w:rsid w:val="00FA08FC"/>
    <w:rsid w:val="00FE2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egislacion.edomex.gob.mx/sites/legislacion.edomex.gob.mx/files/files/pdf/gct/2018/nov065.pdf" TargetMode="External"/><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6716</Words>
  <Characters>36942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2019-08-29T23:38:00Z</dcterms:created>
  <dcterms:modified xsi:type="dcterms:W3CDTF">2019-08-29T23:38:00Z</dcterms:modified>
</cp:coreProperties>
</file>