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327" w:rsidRDefault="00C40327" w:rsidP="0014447C">
      <w:pPr>
        <w:pStyle w:val="Sinespaciado"/>
        <w:spacing w:line="360" w:lineRule="auto"/>
        <w:jc w:val="both"/>
        <w:rPr>
          <w:rFonts w:ascii="Palatino Linotype" w:hAnsi="Palatino Linotype"/>
          <w:sz w:val="24"/>
          <w:szCs w:val="24"/>
          <w:lang w:eastAsia="es-MX"/>
        </w:rPr>
      </w:pPr>
    </w:p>
    <w:p w:rsidR="00C40327" w:rsidRDefault="00C40327" w:rsidP="0014447C">
      <w:pPr>
        <w:pStyle w:val="Sinespaciado"/>
        <w:spacing w:line="360" w:lineRule="auto"/>
        <w:jc w:val="both"/>
        <w:rPr>
          <w:rFonts w:ascii="Palatino Linotype" w:hAnsi="Palatino Linotype"/>
          <w:sz w:val="24"/>
          <w:szCs w:val="24"/>
          <w:lang w:eastAsia="es-MX"/>
        </w:rPr>
      </w:pPr>
    </w:p>
    <w:p w:rsidR="00C40327" w:rsidRDefault="00C40327"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3D07CA">
        <w:rPr>
          <w:rFonts w:ascii="Palatino Linotype" w:hAnsi="Palatino Linotype"/>
          <w:sz w:val="24"/>
          <w:szCs w:val="24"/>
          <w:lang w:eastAsia="es-MX"/>
        </w:rPr>
        <w:t>once de marzo</w:t>
      </w:r>
      <w:r w:rsidR="00D00FA4">
        <w:rPr>
          <w:rFonts w:ascii="Palatino Linotype" w:hAnsi="Palatino Linotype"/>
          <w:sz w:val="24"/>
          <w:szCs w:val="24"/>
          <w:lang w:eastAsia="es-MX"/>
        </w:rPr>
        <w:t xml:space="preserve"> de dos mil veinte</w:t>
      </w:r>
      <w:r w:rsidR="00DA1B7C">
        <w:rPr>
          <w:rFonts w:ascii="Palatino Linotype" w:hAnsi="Palatino Linotype"/>
          <w:sz w:val="24"/>
          <w:szCs w:val="24"/>
          <w:lang w:eastAsia="es-MX"/>
        </w:rPr>
        <w:t>.</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98202C">
        <w:rPr>
          <w:rFonts w:ascii="Palatino Linotype" w:hAnsi="Palatino Linotype"/>
          <w:b/>
          <w:bCs/>
          <w:sz w:val="24"/>
          <w:szCs w:val="24"/>
          <w:lang w:eastAsia="es-MX"/>
        </w:rPr>
        <w:t>10180</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F766CF">
        <w:rPr>
          <w:rFonts w:ascii="Palatino Linotype" w:hAnsi="Palatino Linotype"/>
          <w:sz w:val="24"/>
          <w:szCs w:val="24"/>
        </w:rPr>
        <w:t>o por</w:t>
      </w:r>
      <w:r w:rsidR="00D6512E">
        <w:rPr>
          <w:rFonts w:ascii="Palatino Linotype" w:hAnsi="Palatino Linotype"/>
          <w:sz w:val="24"/>
          <w:szCs w:val="24"/>
        </w:rPr>
        <w:t xml:space="preserve">             xx</w:t>
      </w:r>
      <w:bookmarkStart w:id="0" w:name="_GoBack"/>
      <w:bookmarkEnd w:id="0"/>
      <w:r w:rsidR="00043CE6">
        <w:rPr>
          <w:rFonts w:ascii="Palatino Linotype" w:hAnsi="Palatino Linotype"/>
          <w:sz w:val="24"/>
          <w:szCs w:val="24"/>
        </w:rPr>
        <w:t xml:space="preserve">               </w:t>
      </w:r>
      <w:r w:rsidR="00F766CF">
        <w:rPr>
          <w:rFonts w:ascii="Palatino Linotype" w:hAnsi="Palatino Linotype"/>
          <w:sz w:val="24"/>
          <w:szCs w:val="24"/>
        </w:rPr>
        <w:t>,</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1C25AB">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074EEE">
        <w:rPr>
          <w:rFonts w:ascii="Palatino Linotype" w:hAnsi="Palatino Linotype"/>
          <w:sz w:val="24"/>
          <w:szCs w:val="24"/>
        </w:rPr>
        <w:t>l</w:t>
      </w:r>
      <w:r w:rsidR="00F766CF">
        <w:rPr>
          <w:rFonts w:ascii="Palatino Linotype" w:hAnsi="Palatino Linotype"/>
          <w:sz w:val="24"/>
          <w:szCs w:val="24"/>
        </w:rPr>
        <w:t xml:space="preserve"> </w:t>
      </w:r>
      <w:r w:rsidR="0098202C">
        <w:rPr>
          <w:rFonts w:ascii="Palatino Linotype" w:hAnsi="Palatino Linotype" w:cs="Arial"/>
          <w:b/>
          <w:sz w:val="24"/>
          <w:szCs w:val="24"/>
        </w:rPr>
        <w:t>Ayuntamiento de Ecatzingo</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AD5C62">
        <w:rPr>
          <w:rFonts w:ascii="Palatino Linotype" w:hAnsi="Palatino Linotype"/>
          <w:sz w:val="24"/>
          <w:szCs w:val="24"/>
        </w:rPr>
        <w:t>veinticinco</w:t>
      </w:r>
      <w:r w:rsidR="00581A6F">
        <w:rPr>
          <w:rFonts w:ascii="Palatino Linotype" w:hAnsi="Palatino Linotype"/>
          <w:sz w:val="24"/>
          <w:szCs w:val="24"/>
        </w:rPr>
        <w:t xml:space="preserve"> de noviembre</w:t>
      </w:r>
      <w:r w:rsidR="007E39F7">
        <w:rPr>
          <w:rFonts w:ascii="Palatino Linotype" w:hAnsi="Palatino Linotype"/>
          <w:sz w:val="24"/>
          <w:szCs w:val="24"/>
        </w:rPr>
        <w:t xml:space="preserve"> de dos mil diecinueve</w:t>
      </w:r>
      <w:r w:rsidR="00E67E3C">
        <w:rPr>
          <w:rFonts w:ascii="Palatino Linotype" w:hAnsi="Palatino Linotype"/>
          <w:sz w:val="24"/>
          <w:szCs w:val="24"/>
        </w:rPr>
        <w:t>, el</w:t>
      </w:r>
      <w:r w:rsidR="00DD2D53" w:rsidRPr="00C35F18">
        <w:rPr>
          <w:rFonts w:ascii="Palatino Linotype" w:hAnsi="Palatino Linotype"/>
          <w:sz w:val="24"/>
          <w:szCs w:val="24"/>
        </w:rPr>
        <w:t xml:space="preserve"> </w:t>
      </w:r>
      <w:r w:rsidR="00305364">
        <w:rPr>
          <w:rFonts w:ascii="Palatino Linotype" w:hAnsi="Palatino Linotype"/>
          <w:sz w:val="24"/>
          <w:szCs w:val="24"/>
        </w:rPr>
        <w:t>Recurrente</w:t>
      </w:r>
      <w:r w:rsidR="00074EEE">
        <w:rPr>
          <w:rFonts w:ascii="Palatino Linotype" w:hAnsi="Palatino Linotype"/>
          <w:sz w:val="24"/>
          <w:szCs w:val="24"/>
        </w:rPr>
        <w:t xml:space="preserve"> presentó a través d</w:t>
      </w:r>
      <w:r w:rsidR="00F766CF">
        <w:rPr>
          <w:rFonts w:ascii="Palatino Linotype" w:hAnsi="Palatino Linotype"/>
          <w:sz w:val="24"/>
          <w:szCs w:val="24"/>
        </w:rPr>
        <w:t xml:space="preserve">el </w:t>
      </w:r>
      <w:r w:rsidRPr="00C35F18">
        <w:rPr>
          <w:rFonts w:ascii="Palatino Linotype" w:hAnsi="Palatino Linotype"/>
          <w:sz w:val="24"/>
          <w:szCs w:val="24"/>
        </w:rPr>
        <w:t>Sistema de Acceso a la Información Mexiquense (</w:t>
      </w:r>
      <w:r w:rsidRPr="00C35F18">
        <w:rPr>
          <w:rFonts w:ascii="Palatino Linotype" w:hAnsi="Palatino Linotype"/>
          <w:b/>
          <w:sz w:val="24"/>
          <w:szCs w:val="24"/>
        </w:rPr>
        <w:t>SAIMEX)</w:t>
      </w:r>
      <w:r w:rsidR="00F766CF">
        <w:rPr>
          <w:rFonts w:ascii="Palatino Linotype" w:hAnsi="Palatino Linotype"/>
          <w:sz w:val="24"/>
          <w:szCs w:val="24"/>
        </w:rPr>
        <w:t xml:space="preserve">, </w:t>
      </w:r>
      <w:r w:rsidR="00074EEE">
        <w:rPr>
          <w:rFonts w:ascii="Palatino Linotype" w:hAnsi="Palatino Linotype"/>
          <w:sz w:val="24"/>
          <w:szCs w:val="24"/>
        </w:rPr>
        <w:t xml:space="preserve">que fue registrado </w:t>
      </w:r>
      <w:r w:rsidRPr="00C35F18">
        <w:rPr>
          <w:rFonts w:ascii="Palatino Linotype" w:hAnsi="Palatino Linotype"/>
          <w:sz w:val="24"/>
          <w:szCs w:val="24"/>
        </w:rPr>
        <w:t>bajo el número de expediente</w:t>
      </w:r>
      <w:r w:rsidR="00581A6F">
        <w:rPr>
          <w:rFonts w:ascii="Palatino Linotype" w:hAnsi="Palatino Linotype"/>
          <w:b/>
          <w:sz w:val="24"/>
          <w:szCs w:val="24"/>
        </w:rPr>
        <w:t xml:space="preserve"> </w:t>
      </w:r>
      <w:r w:rsidR="00AD5C62" w:rsidRPr="00AD5C62">
        <w:rPr>
          <w:rFonts w:ascii="Palatino Linotype" w:hAnsi="Palatino Linotype"/>
          <w:b/>
          <w:sz w:val="24"/>
          <w:szCs w:val="24"/>
        </w:rPr>
        <w:t>00345/ECATZIN/IP/2019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516BA8" w:rsidRDefault="00C35F18" w:rsidP="0014447C">
      <w:pPr>
        <w:pStyle w:val="Sinespaciado"/>
        <w:spacing w:line="360" w:lineRule="auto"/>
        <w:jc w:val="both"/>
        <w:rPr>
          <w:rFonts w:ascii="Palatino Linotype" w:hAnsi="Palatino Linotype"/>
          <w:sz w:val="12"/>
          <w:szCs w:val="24"/>
        </w:rPr>
      </w:pPr>
    </w:p>
    <w:p w:rsidR="007E2E80" w:rsidRDefault="002D2F14" w:rsidP="0014447C">
      <w:pPr>
        <w:pStyle w:val="Sinespaciad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00AD5C62" w:rsidRPr="00AD5C62">
        <w:rPr>
          <w:rFonts w:ascii="Palatino Linotype" w:eastAsia="Times New Roman" w:hAnsi="Palatino Linotype" w:cs="Times New Roman"/>
          <w:i/>
          <w:sz w:val="24"/>
          <w:szCs w:val="24"/>
          <w:lang w:val="es-ES_tradnl" w:eastAsia="es-ES"/>
        </w:rPr>
        <w:t>Solicito el inventario de bienes muebles de la Dirección de Desarrollo Económico.</w:t>
      </w:r>
      <w:r w:rsidR="007E2E80" w:rsidRPr="008C0E72">
        <w:rPr>
          <w:rFonts w:ascii="Palatino Linotype" w:eastAsia="Times New Roman" w:hAnsi="Palatino Linotype" w:cs="Times New Roman"/>
          <w:i/>
          <w:lang w:val="es-ES_tradnl" w:eastAsia="es-ES"/>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C96EB7" w:rsidRDefault="00C96EB7"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lastRenderedPageBreak/>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w:t>
      </w:r>
      <w:r w:rsidR="00074EEE">
        <w:rPr>
          <w:rFonts w:ascii="Palatino Linotype" w:hAnsi="Palatino Linotype"/>
          <w:sz w:val="24"/>
        </w:rPr>
        <w:t xml:space="preserve">el día </w:t>
      </w:r>
      <w:r w:rsidR="00064439">
        <w:rPr>
          <w:rFonts w:ascii="Palatino Linotype" w:hAnsi="Palatino Linotype"/>
          <w:sz w:val="24"/>
        </w:rPr>
        <w:t>d</w:t>
      </w:r>
      <w:r w:rsidR="00C40327">
        <w:rPr>
          <w:rFonts w:ascii="Palatino Linotype" w:hAnsi="Palatino Linotype"/>
          <w:sz w:val="24"/>
        </w:rPr>
        <w:t>ieciséis</w:t>
      </w:r>
      <w:r w:rsidR="00064439">
        <w:rPr>
          <w:rFonts w:ascii="Palatino Linotype" w:hAnsi="Palatino Linotype"/>
          <w:sz w:val="24"/>
        </w:rPr>
        <w:t xml:space="preserve"> de diciembre </w:t>
      </w:r>
      <w:r w:rsidR="005E7805">
        <w:rPr>
          <w:rFonts w:ascii="Palatino Linotype" w:hAnsi="Palatino Linotype"/>
          <w:sz w:val="24"/>
        </w:rPr>
        <w:t xml:space="preserve">de dos mil diecinueve, </w:t>
      </w:r>
      <w:r w:rsidR="00B5077D">
        <w:rPr>
          <w:rFonts w:ascii="Palatino Linotype" w:hAnsi="Palatino Linotype"/>
          <w:sz w:val="24"/>
        </w:rPr>
        <w:t xml:space="preserve">el Sujeto Obligado </w:t>
      </w:r>
      <w:r w:rsidR="007E2E80" w:rsidRPr="00C35F18">
        <w:rPr>
          <w:rFonts w:ascii="Palatino Linotype" w:hAnsi="Palatino Linotype"/>
          <w:sz w:val="24"/>
        </w:rPr>
        <w:t xml:space="preserve">dio respuesta a la solicitud de información,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C40327" w:rsidRDefault="008C0E72" w:rsidP="00C40327">
      <w:pPr>
        <w:pStyle w:val="Sinespaciado"/>
        <w:ind w:left="567" w:right="567"/>
        <w:jc w:val="both"/>
        <w:rPr>
          <w:rFonts w:ascii="Palatino Linotype" w:hAnsi="Palatino Linotype"/>
          <w:i/>
        </w:rPr>
      </w:pPr>
      <w:r>
        <w:rPr>
          <w:rFonts w:ascii="Palatino Linotype" w:hAnsi="Palatino Linotype"/>
          <w:sz w:val="24"/>
        </w:rPr>
        <w:t>“</w:t>
      </w:r>
      <w:r w:rsidR="00C40327" w:rsidRPr="00C40327">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40327" w:rsidRPr="00C40327" w:rsidRDefault="00C40327" w:rsidP="00C40327">
      <w:pPr>
        <w:pStyle w:val="Sinespaciado"/>
        <w:ind w:left="567" w:right="567"/>
        <w:jc w:val="both"/>
        <w:rPr>
          <w:rFonts w:ascii="Palatino Linotype" w:hAnsi="Palatino Linotype"/>
          <w:i/>
        </w:rPr>
      </w:pPr>
    </w:p>
    <w:p w:rsidR="00C40327" w:rsidRDefault="00C40327" w:rsidP="00C40327">
      <w:pPr>
        <w:pStyle w:val="Sinespaciado"/>
        <w:ind w:left="567" w:right="567"/>
        <w:jc w:val="both"/>
        <w:rPr>
          <w:rFonts w:ascii="Palatino Linotype" w:hAnsi="Palatino Linotype"/>
          <w:i/>
        </w:rPr>
      </w:pPr>
      <w:r w:rsidRPr="00C40327">
        <w:rPr>
          <w:rFonts w:ascii="Palatino Linotype" w:hAnsi="Palatino Linotype"/>
          <w:i/>
        </w:rPr>
        <w:t>Según los Oficios ECA-N00/039/27/02/2019, ECA/N00/0040/27/02/2019 y ECA-N00-250/27/09/2019, que se remitieron a la Controlaría Interna, se notifico que la Dirección de Desarrollo Económico y la Coordinación General Municipal de Mejora Regulatoria, no fueron sujetas a Entrega-Recepción de esas áreas, porque no existían.</w:t>
      </w:r>
    </w:p>
    <w:p w:rsidR="00C40327" w:rsidRPr="00C40327" w:rsidRDefault="00C40327" w:rsidP="00C40327">
      <w:pPr>
        <w:pStyle w:val="Sinespaciado"/>
        <w:ind w:left="567" w:right="567"/>
        <w:jc w:val="both"/>
        <w:rPr>
          <w:rFonts w:ascii="Palatino Linotype" w:hAnsi="Palatino Linotype"/>
          <w:i/>
        </w:rPr>
      </w:pPr>
    </w:p>
    <w:p w:rsidR="00C40327" w:rsidRPr="00C40327" w:rsidRDefault="00C40327" w:rsidP="00C40327">
      <w:pPr>
        <w:pStyle w:val="Sinespaciado"/>
        <w:ind w:left="567" w:right="567"/>
        <w:jc w:val="both"/>
        <w:rPr>
          <w:rFonts w:ascii="Palatino Linotype" w:hAnsi="Palatino Linotype"/>
          <w:i/>
        </w:rPr>
      </w:pPr>
      <w:r w:rsidRPr="00C40327">
        <w:rPr>
          <w:rFonts w:ascii="Palatino Linotype" w:hAnsi="Palatino Linotype"/>
          <w:i/>
        </w:rPr>
        <w:t>ATENTAMENTE</w:t>
      </w:r>
    </w:p>
    <w:p w:rsidR="008C0E72" w:rsidRPr="008C0E72" w:rsidRDefault="00C40327" w:rsidP="00C40327">
      <w:pPr>
        <w:pStyle w:val="Sinespaciado"/>
        <w:ind w:left="567" w:right="567"/>
        <w:jc w:val="both"/>
        <w:rPr>
          <w:rFonts w:ascii="Palatino Linotype" w:hAnsi="Palatino Linotype"/>
          <w:i/>
        </w:rPr>
      </w:pPr>
      <w:r w:rsidRPr="00C40327">
        <w:rPr>
          <w:rFonts w:ascii="Palatino Linotype" w:hAnsi="Palatino Linotype"/>
          <w:i/>
        </w:rPr>
        <w:t>ING. BRANDON TOLEDANO YÁÑEZ</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rPr>
      </w:pPr>
    </w:p>
    <w:p w:rsidR="007E2E80" w:rsidRPr="00D04234" w:rsidRDefault="00C4032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18075A">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C40327">
        <w:rPr>
          <w:rFonts w:ascii="Palatino Linotype" w:hAnsi="Palatino Linotype"/>
          <w:sz w:val="24"/>
          <w:szCs w:val="24"/>
        </w:rPr>
        <w:t>dieciséis</w:t>
      </w:r>
      <w:r w:rsidR="00043CE6">
        <w:rPr>
          <w:rFonts w:ascii="Palatino Linotype" w:hAnsi="Palatino Linotype"/>
          <w:sz w:val="24"/>
          <w:szCs w:val="24"/>
        </w:rPr>
        <w:t xml:space="preserve"> de diciembre</w:t>
      </w:r>
      <w:r w:rsidR="0065519D">
        <w:rPr>
          <w:rFonts w:ascii="Palatino Linotype" w:hAnsi="Palatino Linotype"/>
          <w:sz w:val="24"/>
          <w:szCs w:val="24"/>
        </w:rPr>
        <w:t xml:space="preserve"> de dos mil diecinueve</w:t>
      </w:r>
      <w:r w:rsidRPr="00D04234">
        <w:rPr>
          <w:rFonts w:ascii="Palatino Linotype" w:hAnsi="Palatino Linotype"/>
          <w:sz w:val="24"/>
          <w:szCs w:val="24"/>
        </w:rPr>
        <w:t xml:space="preserve">, en el sistema electrónico con el expediente número </w:t>
      </w:r>
      <w:r w:rsidR="00C40327">
        <w:rPr>
          <w:rFonts w:ascii="Palatino Linotype" w:hAnsi="Palatino Linotype"/>
          <w:b/>
          <w:bCs/>
          <w:sz w:val="24"/>
          <w:szCs w:val="24"/>
          <w:lang w:eastAsia="es-MX"/>
        </w:rPr>
        <w:t>10180</w:t>
      </w:r>
      <w:r w:rsidR="0065519D">
        <w:rPr>
          <w:rFonts w:ascii="Palatino Linotype" w:hAnsi="Palatino Linotype"/>
          <w:b/>
          <w:bCs/>
          <w:sz w:val="24"/>
          <w:szCs w:val="24"/>
          <w:lang w:eastAsia="es-MX"/>
        </w:rPr>
        <w:t>/INFOEM/IP/RR/2019</w:t>
      </w:r>
      <w:r w:rsidR="0018075A">
        <w:rPr>
          <w:rFonts w:ascii="Palatino Linotype" w:hAnsi="Palatino Linotype"/>
          <w:sz w:val="24"/>
          <w:szCs w:val="24"/>
        </w:rPr>
        <w:t>, en el cual manifiesta</w:t>
      </w:r>
      <w:r w:rsidR="00D04234">
        <w:rPr>
          <w:rFonts w:ascii="Palatino Linotype" w:hAnsi="Palatino Linotype"/>
          <w:sz w:val="24"/>
          <w:szCs w:val="24"/>
        </w:rPr>
        <w:t xml:space="preserve"> l</w:t>
      </w:r>
      <w:r w:rsidR="007451B1">
        <w:rPr>
          <w:rFonts w:ascii="Palatino Linotype" w:hAnsi="Palatino Linotype"/>
          <w:sz w:val="24"/>
          <w:szCs w:val="24"/>
        </w:rPr>
        <w:t>o siguiente</w:t>
      </w:r>
      <w:r w:rsidRPr="00D04234">
        <w:rPr>
          <w:rFonts w:ascii="Palatino Linotype" w:hAnsi="Palatino Linotype"/>
          <w:sz w:val="24"/>
          <w:szCs w:val="24"/>
        </w:rPr>
        <w:t>:</w:t>
      </w:r>
    </w:p>
    <w:p w:rsidR="00813216" w:rsidRDefault="007E2E80" w:rsidP="00043CE6">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r w:rsidR="00960670">
        <w:rPr>
          <w:rFonts w:ascii="Palatino Linotype" w:hAnsi="Palatino Linotype" w:cs="Arial"/>
          <w:b/>
          <w:sz w:val="24"/>
          <w:szCs w:val="24"/>
        </w:rPr>
        <w:t xml:space="preserve"> </w:t>
      </w:r>
    </w:p>
    <w:p w:rsidR="007E2E80" w:rsidRPr="00D04234" w:rsidRDefault="007E2E80" w:rsidP="00043CE6">
      <w:pPr>
        <w:spacing w:before="240"/>
        <w:jc w:val="both"/>
        <w:rPr>
          <w:rFonts w:ascii="Palatino Linotype" w:hAnsi="Palatino Linotype" w:cs="Arial"/>
          <w:i/>
        </w:rPr>
      </w:pPr>
      <w:r w:rsidRPr="00D04234">
        <w:rPr>
          <w:rFonts w:ascii="Palatino Linotype" w:hAnsi="Palatino Linotype" w:cs="Arial"/>
          <w:i/>
        </w:rPr>
        <w:t>“</w:t>
      </w:r>
      <w:r w:rsidR="00C40327" w:rsidRPr="00C40327">
        <w:rPr>
          <w:rFonts w:ascii="Palatino Linotype" w:hAnsi="Palatino Linotype" w:cs="Arial"/>
          <w:i/>
        </w:rPr>
        <w:t>La resolución se encuentra parcialmente incompleta.</w:t>
      </w:r>
      <w:r w:rsidR="006A3A54" w:rsidRPr="00D04234">
        <w:rPr>
          <w:rFonts w:ascii="Palatino Linotype" w:hAnsi="Palatino Linotype" w:cs="Arial"/>
          <w:i/>
        </w:rPr>
        <w:t>"(Sic)</w:t>
      </w:r>
    </w:p>
    <w:p w:rsidR="00813216" w:rsidRDefault="007E2E80" w:rsidP="00F23C77">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F23C77">
      <w:pPr>
        <w:spacing w:before="240"/>
        <w:jc w:val="both"/>
        <w:rPr>
          <w:rFonts w:ascii="Palatino Linotype" w:hAnsi="Palatino Linotype" w:cs="Arial"/>
          <w:i/>
        </w:rPr>
      </w:pPr>
      <w:r w:rsidRPr="004657BE">
        <w:rPr>
          <w:rFonts w:ascii="Palatino Linotype" w:hAnsi="Palatino Linotype" w:cs="Arial"/>
          <w:i/>
        </w:rPr>
        <w:t>“</w:t>
      </w:r>
      <w:r w:rsidR="00C40327" w:rsidRPr="00C40327">
        <w:rPr>
          <w:rFonts w:ascii="Palatino Linotype" w:hAnsi="Palatino Linotype" w:cs="Arial"/>
          <w:i/>
        </w:rPr>
        <w:t>No se adjuntan los documentos mencionados en la resolución dada por el sujeto obligado</w:t>
      </w:r>
      <w:r w:rsidR="006A3A54" w:rsidRPr="004657BE">
        <w:rPr>
          <w:rFonts w:ascii="Palatino Linotype" w:hAnsi="Palatino Linotype" w:cs="Arial"/>
          <w:i/>
        </w:rPr>
        <w:t>” (Sic)</w:t>
      </w:r>
    </w:p>
    <w:p w:rsidR="0081732C" w:rsidRDefault="0081732C" w:rsidP="004657BE">
      <w:pPr>
        <w:pStyle w:val="Sinespaciado"/>
        <w:spacing w:line="360" w:lineRule="auto"/>
        <w:jc w:val="both"/>
        <w:rPr>
          <w:rFonts w:ascii="Palatino Linotype" w:hAnsi="Palatino Linotype"/>
          <w:sz w:val="24"/>
          <w:szCs w:val="24"/>
        </w:rPr>
      </w:pPr>
    </w:p>
    <w:p w:rsidR="007E2E80" w:rsidRPr="004657BE" w:rsidRDefault="00C40327"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C40327">
        <w:rPr>
          <w:rFonts w:ascii="Palatino Linotype" w:hAnsi="Palatino Linotype"/>
          <w:sz w:val="24"/>
          <w:szCs w:val="24"/>
        </w:rPr>
        <w:t>veinte</w:t>
      </w:r>
      <w:r w:rsidR="00F23C77">
        <w:rPr>
          <w:rFonts w:ascii="Palatino Linotype" w:hAnsi="Palatino Linotype"/>
          <w:sz w:val="24"/>
          <w:szCs w:val="24"/>
        </w:rPr>
        <w:t xml:space="preserve"> de diciembre</w:t>
      </w:r>
      <w:r w:rsidR="0065519D">
        <w:rPr>
          <w:rFonts w:ascii="Palatino Linotype" w:hAnsi="Palatino Linotype"/>
          <w:sz w:val="24"/>
          <w:szCs w:val="24"/>
        </w:rPr>
        <w:t xml:space="preserve"> 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C40327" w:rsidRDefault="00BE6D77" w:rsidP="004657BE">
      <w:pPr>
        <w:pStyle w:val="Sinespaciado"/>
        <w:spacing w:line="360" w:lineRule="auto"/>
        <w:jc w:val="both"/>
        <w:rPr>
          <w:rFonts w:ascii="Palatino Linotype" w:hAnsi="Palatino Linotype"/>
          <w:szCs w:val="24"/>
        </w:rPr>
      </w:pPr>
    </w:p>
    <w:p w:rsidR="007E2E80" w:rsidRPr="0014447C" w:rsidRDefault="00C4032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692E6D">
        <w:rPr>
          <w:rFonts w:ascii="Palatino Linotype" w:hAnsi="Palatino Linotype"/>
          <w:b/>
          <w:sz w:val="26"/>
          <w:szCs w:val="26"/>
        </w:rPr>
        <w:t>TO</w:t>
      </w:r>
      <w:r w:rsidR="007E2E80" w:rsidRPr="0014447C">
        <w:rPr>
          <w:rFonts w:ascii="Palatino Linotype" w:hAnsi="Palatino Linotype"/>
          <w:b/>
          <w:sz w:val="26"/>
          <w:szCs w:val="26"/>
        </w:rPr>
        <w:t>. De la etapa de instrucción.</w:t>
      </w:r>
    </w:p>
    <w:p w:rsidR="00F23C77" w:rsidRDefault="00F23C77" w:rsidP="00F23C77">
      <w:pPr>
        <w:pStyle w:val="Sinespaciado"/>
        <w:spacing w:line="360" w:lineRule="auto"/>
        <w:jc w:val="both"/>
        <w:rPr>
          <w:rFonts w:ascii="Palatino Linotype" w:hAnsi="Palatino Linotype"/>
          <w:sz w:val="24"/>
          <w:szCs w:val="24"/>
        </w:rPr>
      </w:pPr>
      <w:r w:rsidRPr="00F23C77">
        <w:rPr>
          <w:rFonts w:ascii="Palatino Linotype" w:hAnsi="Palatino Linotype"/>
          <w:sz w:val="24"/>
          <w:szCs w:val="24"/>
        </w:rPr>
        <w:t>Así, una vez abierta la etapa de instrucción, se destaca que el Recurrente no presentó sus manifestaciones y alegatos. Asimismo, el Sujeto Obligado omitió rendir sus Informes Jus</w:t>
      </w:r>
      <w:r w:rsidR="00BC585F">
        <w:rPr>
          <w:rFonts w:ascii="Palatino Linotype" w:hAnsi="Palatino Linotype"/>
          <w:sz w:val="24"/>
          <w:szCs w:val="24"/>
        </w:rPr>
        <w:t>tificados como se observa en la siguiente imagen</w:t>
      </w:r>
      <w:r w:rsidRPr="00F23C77">
        <w:rPr>
          <w:rFonts w:ascii="Palatino Linotype" w:hAnsi="Palatino Linotype"/>
          <w:sz w:val="24"/>
          <w:szCs w:val="24"/>
        </w:rPr>
        <w:t>:</w:t>
      </w:r>
    </w:p>
    <w:p w:rsidR="00F23C77" w:rsidRDefault="00C40327" w:rsidP="00C40327">
      <w:pPr>
        <w:pStyle w:val="Sinespaciado"/>
        <w:spacing w:line="360" w:lineRule="auto"/>
        <w:jc w:val="center"/>
        <w:rPr>
          <w:rFonts w:ascii="Palatino Linotype" w:hAnsi="Palatino Linotype"/>
          <w:sz w:val="24"/>
          <w:szCs w:val="24"/>
        </w:rPr>
      </w:pPr>
      <w:r>
        <w:rPr>
          <w:noProof/>
          <w:lang w:eastAsia="es-MX"/>
        </w:rPr>
        <w:drawing>
          <wp:inline distT="0" distB="0" distL="0" distR="0" wp14:anchorId="33EA7E35" wp14:editId="56991CEC">
            <wp:extent cx="5729654" cy="175260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101" t="18519" r="28736" b="58553"/>
                    <a:stretch/>
                  </pic:blipFill>
                  <pic:spPr bwMode="auto">
                    <a:xfrm>
                      <a:off x="0" y="0"/>
                      <a:ext cx="5756813" cy="1760908"/>
                    </a:xfrm>
                    <a:prstGeom prst="rect">
                      <a:avLst/>
                    </a:prstGeom>
                    <a:ln>
                      <a:noFill/>
                    </a:ln>
                    <a:extLst>
                      <a:ext uri="{53640926-AAD7-44D8-BBD7-CCE9431645EC}">
                        <a14:shadowObscured xmlns:a14="http://schemas.microsoft.com/office/drawing/2010/main"/>
                      </a:ext>
                    </a:extLst>
                  </pic:spPr>
                </pic:pic>
              </a:graphicData>
            </a:graphic>
          </wp:inline>
        </w:drawing>
      </w:r>
    </w:p>
    <w:p w:rsidR="00D63BE7" w:rsidRPr="00C40327" w:rsidRDefault="00D63BE7" w:rsidP="0014447C">
      <w:pPr>
        <w:pStyle w:val="Sinespaciado"/>
        <w:spacing w:line="360" w:lineRule="auto"/>
        <w:jc w:val="both"/>
        <w:rPr>
          <w:rFonts w:ascii="Palatino Linotype" w:hAnsi="Palatino Linotype"/>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w:t>
      </w:r>
      <w:r w:rsidR="00107A58">
        <w:rPr>
          <w:rFonts w:ascii="Palatino Linotype" w:hAnsi="Palatino Linotype"/>
          <w:b/>
          <w:sz w:val="26"/>
          <w:szCs w:val="26"/>
        </w:rPr>
        <w:t>EXTO</w:t>
      </w:r>
      <w:r w:rsidR="00423C27" w:rsidRPr="0014447C">
        <w:rPr>
          <w:rFonts w:ascii="Palatino Linotype" w:hAnsi="Palatino Linotype"/>
          <w:b/>
          <w:sz w:val="26"/>
          <w:szCs w:val="26"/>
        </w:rPr>
        <w:t>.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813216">
        <w:rPr>
          <w:rFonts w:ascii="Palatino Linotype" w:hAnsi="Palatino Linotype"/>
          <w:sz w:val="24"/>
          <w:szCs w:val="24"/>
        </w:rPr>
        <w:t>veintisiete</w:t>
      </w:r>
      <w:r w:rsidR="00F23C77">
        <w:rPr>
          <w:rFonts w:ascii="Palatino Linotype" w:hAnsi="Palatino Linotype"/>
          <w:sz w:val="24"/>
          <w:szCs w:val="24"/>
        </w:rPr>
        <w:t xml:space="preserve"> de febrero de dos mil veinte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65519D" w:rsidRPr="00257DF4" w:rsidRDefault="0065519D" w:rsidP="0014447C">
      <w:pPr>
        <w:pStyle w:val="Sinespaciado"/>
        <w:spacing w:line="360" w:lineRule="auto"/>
        <w:jc w:val="both"/>
        <w:rPr>
          <w:rFonts w:ascii="Palatino Linotype" w:hAnsi="Palatino Linotype"/>
          <w:sz w:val="20"/>
          <w:szCs w:val="24"/>
        </w:rPr>
      </w:pPr>
    </w:p>
    <w:p w:rsidR="0065519D" w:rsidRPr="0065519D" w:rsidRDefault="00107A58" w:rsidP="00541B17">
      <w:pPr>
        <w:pStyle w:val="Sinespaciado"/>
        <w:spacing w:line="360" w:lineRule="auto"/>
        <w:rPr>
          <w:rFonts w:ascii="Palatino Linotype" w:hAnsi="Palatino Linotype"/>
          <w:b/>
          <w:sz w:val="26"/>
          <w:szCs w:val="26"/>
        </w:rPr>
      </w:pPr>
      <w:r>
        <w:rPr>
          <w:rFonts w:ascii="Palatino Linotype" w:hAnsi="Palatino Linotype"/>
          <w:b/>
          <w:sz w:val="26"/>
          <w:szCs w:val="26"/>
        </w:rPr>
        <w:t>SÉPTIM</w:t>
      </w:r>
      <w:r w:rsidR="00692E6D">
        <w:rPr>
          <w:rFonts w:ascii="Palatino Linotype" w:hAnsi="Palatino Linotype"/>
          <w:b/>
          <w:sz w:val="26"/>
          <w:szCs w:val="26"/>
        </w:rPr>
        <w:t>O</w:t>
      </w:r>
      <w:r w:rsidR="0065519D" w:rsidRPr="0065519D">
        <w:rPr>
          <w:rFonts w:ascii="Palatino Linotype" w:hAnsi="Palatino Linotype"/>
          <w:b/>
          <w:sz w:val="26"/>
          <w:szCs w:val="26"/>
        </w:rPr>
        <w:t>. De la ampliación del término para resolver.</w:t>
      </w:r>
    </w:p>
    <w:p w:rsidR="00D00FA4" w:rsidRPr="00D00FA4" w:rsidRDefault="00541B17" w:rsidP="00D00FA4">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fecha </w:t>
      </w:r>
      <w:r w:rsidR="00813216">
        <w:rPr>
          <w:rFonts w:ascii="Palatino Linotype" w:hAnsi="Palatino Linotype"/>
          <w:sz w:val="24"/>
          <w:szCs w:val="24"/>
        </w:rPr>
        <w:t>veintisiete</w:t>
      </w:r>
      <w:r w:rsidR="00F23C77">
        <w:rPr>
          <w:rFonts w:ascii="Palatino Linotype" w:hAnsi="Palatino Linotype"/>
          <w:sz w:val="24"/>
          <w:szCs w:val="24"/>
        </w:rPr>
        <w:t xml:space="preserve"> de febrero </w:t>
      </w:r>
      <w:r w:rsidR="008B480D">
        <w:rPr>
          <w:rFonts w:ascii="Palatino Linotype" w:hAnsi="Palatino Linotype"/>
          <w:sz w:val="24"/>
          <w:szCs w:val="24"/>
        </w:rPr>
        <w:t>de dos mil veinte</w:t>
      </w:r>
      <w:r w:rsidR="0065519D" w:rsidRPr="0065519D">
        <w:rPr>
          <w:rFonts w:ascii="Palatino Linotype" w:hAnsi="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r w:rsidR="0065519D" w:rsidRPr="00D00FA4">
        <w:rPr>
          <w:rFonts w:ascii="Palatino Linotype" w:hAnsi="Palatino Linotype"/>
          <w:sz w:val="24"/>
          <w:szCs w:val="24"/>
        </w:rPr>
        <w:t xml:space="preserve">por </w:t>
      </w:r>
      <w:r w:rsidR="00D00FA4" w:rsidRPr="00D00FA4">
        <w:rPr>
          <w:rFonts w:ascii="Palatino Linotype" w:hAnsi="Palatino Linotype"/>
          <w:sz w:val="24"/>
          <w:szCs w:val="24"/>
        </w:rPr>
        <w:t>un plazo de quince días hábiles, lo anterior, dada la cantidad de recursos de revisión que en el año dos mil diecinueve, han ingresado al Instituto de Transparencia, Acceso a la Información Pública y Protección de Datos Personales del Estado de México y Municipios; así como, a efecto de realizar un análisis exhaustivo de las constancias que obran en el expediente electrónico, adoptando las medidas pertinentes, a fin de aminorar los efectos que conlleva.</w:t>
      </w:r>
    </w:p>
    <w:p w:rsidR="00D00FA4" w:rsidRPr="00257DF4" w:rsidRDefault="00D00FA4" w:rsidP="00D00FA4">
      <w:pPr>
        <w:pStyle w:val="Sinespaciado"/>
        <w:spacing w:line="360" w:lineRule="auto"/>
        <w:jc w:val="both"/>
        <w:rPr>
          <w:rFonts w:ascii="Palatino Linotype" w:hAnsi="Palatino Linotype"/>
          <w:sz w:val="20"/>
          <w:szCs w:val="24"/>
        </w:rPr>
      </w:pPr>
    </w:p>
    <w:p w:rsidR="0065519D" w:rsidRPr="00D00FA4" w:rsidRDefault="00D00FA4" w:rsidP="00D00FA4">
      <w:pPr>
        <w:pStyle w:val="Sinespaciado"/>
        <w:spacing w:line="360" w:lineRule="auto"/>
        <w:jc w:val="both"/>
        <w:rPr>
          <w:rFonts w:ascii="Palatino Linotype" w:hAnsi="Palatino Linotype"/>
          <w:sz w:val="24"/>
          <w:szCs w:val="24"/>
        </w:rPr>
      </w:pPr>
      <w:r w:rsidRPr="00D00FA4">
        <w:rPr>
          <w:rFonts w:ascii="Palatino Linotype" w:hAnsi="Palatino Linotype"/>
          <w:sz w:val="24"/>
          <w:szCs w:val="24"/>
        </w:rPr>
        <w:t xml:space="preserve">En ese contexto, es menester indicar lo que refiere la Tesis Jurisprudencial con número de localización 2002351 , la cual refiere que el Estado Mexicano cuenta con un catálogo de derechos y garantías que vinculan normativamente y permite salvar situaciones que diversas leyes plantean; así, tomando en cuenta que el plazo previsto en las leyes para resolver un asunto pudiera no corresponder a la realidad, es factible acudir, en tal supuesto, a los ordenamientos internacionales, a fin de establecer el contenido del concepto de "plazo razonable", conforme a las particularidades del caso; más aún, un criterio de razonabilidad y justificación de eventuales demoras, siendo aplicables los artículos 8 y 25 de la Convención Internacional de Derechos Humanos que permiten configurar un proceso justo; así como, una tutela judicial efectiva. Por ello, el concepto de "plazo razonable" es aplicable no sólo a la solución jurisdiccional de una controversia, sino a procedimientos análogos seguidos en forma de juicio, lo que </w:t>
      </w:r>
      <w:r w:rsidRPr="00D00FA4">
        <w:rPr>
          <w:rFonts w:ascii="Palatino Linotype" w:hAnsi="Palatino Linotype"/>
          <w:sz w:val="24"/>
          <w:szCs w:val="24"/>
        </w:rPr>
        <w:lastRenderedPageBreak/>
        <w:t>implica que haya razonabilidad en el trámite y en la conclusión de las diversas etapas del procedimiento.</w:t>
      </w:r>
    </w:p>
    <w:p w:rsidR="00423C27" w:rsidRDefault="00423C27" w:rsidP="00541B17">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632085">
        <w:rPr>
          <w:rFonts w:ascii="Palatino Linotype" w:hAnsi="Palatino Linotype"/>
          <w:sz w:val="24"/>
          <w:szCs w:val="24"/>
        </w:rPr>
        <w:t xml:space="preserve"> segundo</w:t>
      </w:r>
      <w:r w:rsidRPr="0014447C">
        <w:rPr>
          <w:rFonts w:ascii="Palatino Linotype" w:hAnsi="Palatino Linotype"/>
          <w:sz w:val="24"/>
          <w:szCs w:val="24"/>
        </w:rPr>
        <w:t>, vig</w:t>
      </w:r>
      <w:r w:rsidR="00632085">
        <w:rPr>
          <w:rFonts w:ascii="Palatino Linotype" w:hAnsi="Palatino Linotype"/>
          <w:sz w:val="24"/>
          <w:szCs w:val="24"/>
        </w:rPr>
        <w:t>ésimo tercero y vigésimo 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w:t>
      </w:r>
      <w:r w:rsidRPr="0014447C">
        <w:rPr>
          <w:rFonts w:ascii="Palatino Linotype" w:hAnsi="Palatino Linotype"/>
          <w:sz w:val="24"/>
          <w:szCs w:val="24"/>
        </w:rPr>
        <w:lastRenderedPageBreak/>
        <w:t>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9B030D" w:rsidRPr="009B030D" w:rsidRDefault="007E2E80" w:rsidP="009B030D">
      <w:pPr>
        <w:pStyle w:val="Sinespaciado"/>
        <w:spacing w:line="360" w:lineRule="auto"/>
        <w:jc w:val="both"/>
        <w:rPr>
          <w:rFonts w:ascii="Palatino Linotype" w:hAnsi="Palatino Linotype"/>
          <w:b/>
          <w:sz w:val="26"/>
          <w:szCs w:val="26"/>
        </w:rPr>
      </w:pPr>
      <w:r w:rsidRPr="009B030D">
        <w:rPr>
          <w:rFonts w:ascii="Palatino Linotype" w:hAnsi="Palatino Linotype"/>
          <w:b/>
          <w:sz w:val="26"/>
          <w:szCs w:val="26"/>
        </w:rPr>
        <w:t xml:space="preserve">TERCERO. </w:t>
      </w:r>
      <w:r w:rsidR="009B030D" w:rsidRPr="009B030D">
        <w:rPr>
          <w:rFonts w:ascii="Palatino Linotype" w:hAnsi="Palatino Linotype"/>
          <w:b/>
          <w:sz w:val="26"/>
          <w:szCs w:val="26"/>
        </w:rPr>
        <w:t>Cuestiones de previo y especial pronunciamiento.</w:t>
      </w:r>
    </w:p>
    <w:p w:rsidR="009B030D" w:rsidRPr="009B030D" w:rsidRDefault="009B030D" w:rsidP="009B030D">
      <w:pPr>
        <w:spacing w:after="0" w:line="360" w:lineRule="auto"/>
        <w:jc w:val="both"/>
        <w:rPr>
          <w:rFonts w:ascii="Palatino Linotype" w:eastAsia="Times New Roman" w:hAnsi="Palatino Linotype" w:cs="Times New Roman"/>
          <w:sz w:val="24"/>
          <w:szCs w:val="24"/>
          <w:lang w:eastAsia="es-ES"/>
        </w:rPr>
      </w:pPr>
      <w:r w:rsidRPr="009B030D">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9B030D">
        <w:rPr>
          <w:rFonts w:ascii="Palatino Linotype" w:eastAsia="Times New Roman" w:hAnsi="Palatino Linotype" w:cs="Times New Roman"/>
          <w:sz w:val="24"/>
          <w:szCs w:val="24"/>
          <w:lang w:val="es-ES_tradnl" w:eastAsia="es-ES"/>
        </w:rPr>
        <w:t>Acceso a la Información Pública del Estado de México y Municipios</w:t>
      </w:r>
      <w:r w:rsidRPr="009B030D">
        <w:rPr>
          <w:rFonts w:ascii="Palatino Linotype" w:eastAsia="Times New Roman" w:hAnsi="Palatino Linotype" w:cs="Times New Roman"/>
          <w:sz w:val="24"/>
          <w:szCs w:val="24"/>
          <w:lang w:eastAsia="es-ES"/>
        </w:rPr>
        <w:t>, establecidos en el artículo 180 que enuncia:</w:t>
      </w:r>
    </w:p>
    <w:p w:rsidR="009B030D" w:rsidRPr="009B030D" w:rsidRDefault="009B030D" w:rsidP="009B030D">
      <w:pPr>
        <w:spacing w:after="0" w:line="360" w:lineRule="auto"/>
        <w:jc w:val="both"/>
        <w:rPr>
          <w:rFonts w:ascii="Palatino Linotype" w:eastAsia="Times New Roman" w:hAnsi="Palatino Linotype" w:cs="Times New Roman"/>
          <w:sz w:val="24"/>
          <w:szCs w:val="24"/>
          <w:lang w:eastAsia="es-ES"/>
        </w:rPr>
      </w:pP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b/>
          <w:i/>
          <w:lang w:eastAsia="es-ES"/>
        </w:rPr>
        <w:t xml:space="preserve">“Artículo 180. </w:t>
      </w:r>
      <w:r w:rsidRPr="009B514F">
        <w:rPr>
          <w:rFonts w:ascii="Palatino Linotype" w:eastAsia="Times New Roman" w:hAnsi="Palatino Linotype" w:cs="Arial"/>
          <w:i/>
          <w:lang w:eastAsia="es-ES"/>
        </w:rPr>
        <w:t>El recurso de revisión contendrá:</w:t>
      </w: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I. El sujeto obligado ante la cual se presentó la solicitud;</w:t>
      </w: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b/>
          <w:i/>
          <w:lang w:eastAsia="es-ES"/>
        </w:rPr>
        <w:t>II. El nombre del solicitante que recurre</w:t>
      </w:r>
      <w:r w:rsidRPr="009B514F">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III. El número de folio de respuesta de la solicitud de acceso;</w:t>
      </w: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 El acto que se recurre;</w:t>
      </w: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VI. Las razones o motivos de inconformidad;</w:t>
      </w: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VII. La copia de la respuesta que se impugna y, en su caso, de la notificación correspondiente, en el caso de respuesta de la solicitud; y</w:t>
      </w: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VIII. Firma del recurrente, en su caso, cuando se presente por escrito, requisito sin el cual se dará trámite al recurso.</w:t>
      </w: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Adicionalmente, se podrán anexar las pruebas y demás elementos que considere procedentes someter a juicio del Instituto.</w:t>
      </w: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En ningún caso será necesario que el particular ratifique el recurso de revisión interpuesto.</w:t>
      </w: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sidRPr="009B514F">
        <w:rPr>
          <w:rFonts w:ascii="Palatino Linotype" w:eastAsia="Times New Roman" w:hAnsi="Palatino Linotype" w:cs="Arial"/>
          <w:i/>
          <w:lang w:eastAsia="es-ES"/>
        </w:rPr>
        <w:t>, IV, VII y VIII.”</w:t>
      </w:r>
    </w:p>
    <w:p w:rsidR="009B030D" w:rsidRPr="009B514F" w:rsidRDefault="009B030D" w:rsidP="009B030D">
      <w:pPr>
        <w:spacing w:after="0" w:line="360" w:lineRule="auto"/>
        <w:jc w:val="both"/>
        <w:rPr>
          <w:rFonts w:ascii="Palatino Linotype" w:eastAsia="Times New Roman" w:hAnsi="Palatino Linotype" w:cs="Arial"/>
          <w:b/>
          <w:i/>
          <w:lang w:eastAsia="es-ES"/>
        </w:rPr>
      </w:pPr>
    </w:p>
    <w:p w:rsidR="009B030D" w:rsidRPr="009B030D" w:rsidRDefault="009B030D" w:rsidP="009B030D">
      <w:pPr>
        <w:spacing w:after="0" w:line="360" w:lineRule="auto"/>
        <w:jc w:val="both"/>
        <w:rPr>
          <w:rFonts w:ascii="Palatino Linotype" w:eastAsia="Calibri" w:hAnsi="Palatino Linotype" w:cs="Arial"/>
          <w:sz w:val="24"/>
          <w:szCs w:val="24"/>
          <w:lang w:val="es-ES" w:eastAsia="es-ES"/>
        </w:rPr>
      </w:pPr>
      <w:r w:rsidRPr="009B030D">
        <w:rPr>
          <w:rFonts w:ascii="Palatino Linotype" w:eastAsia="Calibri" w:hAnsi="Palatino Linotype" w:cs="Segoe UI"/>
          <w:sz w:val="24"/>
          <w:szCs w:val="24"/>
          <w:lang w:val="es-ES" w:eastAsia="es-ES"/>
        </w:rPr>
        <w:t>Cabe señalar que el hoy Recurrente no se identificó en modo alguno</w:t>
      </w:r>
      <w:r w:rsidRPr="009B030D">
        <w:rPr>
          <w:rFonts w:ascii="Palatino Linotype" w:eastAsia="Times New Roman" w:hAnsi="Palatino Linotype" w:cs="Arial"/>
          <w:b/>
          <w:sz w:val="24"/>
          <w:szCs w:val="24"/>
          <w:lang w:val="es-ES" w:eastAsia="es-ES"/>
        </w:rPr>
        <w:t xml:space="preserve">. </w:t>
      </w:r>
      <w:r w:rsidRPr="009B030D">
        <w:rPr>
          <w:rFonts w:ascii="Palatino Linotype" w:eastAsia="Calibri" w:hAnsi="Palatino Linotype" w:cs="Times New Roman"/>
          <w:sz w:val="24"/>
          <w:szCs w:val="24"/>
          <w:lang w:val="es-ES" w:eastAsia="es-ES"/>
        </w:rPr>
        <w:t xml:space="preserve">No obstante lo anterior, proporcionar el nombre incompleto o seudónimo, o en el caso en concreto, no se identifica de ninguna manera, no es motivo para desechar las </w:t>
      </w:r>
      <w:r w:rsidRPr="009B030D">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9B030D" w:rsidRPr="009B514F" w:rsidRDefault="009B030D" w:rsidP="009B030D">
      <w:pPr>
        <w:spacing w:after="0" w:line="360" w:lineRule="auto"/>
        <w:jc w:val="both"/>
        <w:rPr>
          <w:rFonts w:ascii="Palatino Linotype" w:eastAsia="Calibri" w:hAnsi="Palatino Linotype" w:cs="Arial"/>
          <w:lang w:val="es-ES" w:eastAsia="es-ES"/>
        </w:rPr>
      </w:pPr>
    </w:p>
    <w:p w:rsidR="009B030D" w:rsidRPr="009B514F" w:rsidRDefault="009B030D" w:rsidP="009B030D">
      <w:pPr>
        <w:spacing w:after="0" w:line="240" w:lineRule="auto"/>
        <w:ind w:left="567" w:right="567"/>
        <w:jc w:val="both"/>
        <w:rPr>
          <w:rFonts w:ascii="Palatino Linotype" w:eastAsia="Calibri" w:hAnsi="Palatino Linotype" w:cs="Arial"/>
          <w:i/>
          <w:lang w:val="es-ES" w:eastAsia="es-ES"/>
        </w:rPr>
      </w:pPr>
      <w:r w:rsidRPr="009B514F">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9B030D" w:rsidRPr="009B514F" w:rsidRDefault="009B030D" w:rsidP="009B030D">
      <w:pPr>
        <w:spacing w:after="0" w:line="360" w:lineRule="auto"/>
        <w:jc w:val="both"/>
        <w:rPr>
          <w:rFonts w:ascii="Palatino Linotype" w:eastAsia="Times New Roman" w:hAnsi="Palatino Linotype" w:cs="Times New Roman"/>
          <w:lang w:val="es-ES" w:eastAsia="es-ES"/>
        </w:rPr>
      </w:pPr>
    </w:p>
    <w:p w:rsidR="009B030D" w:rsidRPr="009B030D" w:rsidRDefault="009B030D" w:rsidP="009B030D">
      <w:pPr>
        <w:spacing w:after="0" w:line="360" w:lineRule="auto"/>
        <w:jc w:val="both"/>
        <w:rPr>
          <w:rFonts w:ascii="Palatino Linotype" w:eastAsia="Calibri" w:hAnsi="Palatino Linotype" w:cs="Times New Roman"/>
          <w:sz w:val="24"/>
          <w:szCs w:val="24"/>
          <w:lang w:val="es-ES" w:eastAsia="es-ES"/>
        </w:rPr>
      </w:pPr>
      <w:r w:rsidRPr="009B030D">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9B030D">
        <w:rPr>
          <w:rFonts w:ascii="Palatino Linotype" w:eastAsia="Calibri" w:hAnsi="Palatino Linotype" w:cs="Arial"/>
          <w:sz w:val="24"/>
          <w:szCs w:val="24"/>
          <w:lang w:val="es-ES" w:eastAsia="es-ES"/>
        </w:rPr>
        <w:t>vigésimo, vigésimo primero</w:t>
      </w:r>
      <w:r w:rsidRPr="009B030D">
        <w:rPr>
          <w:rFonts w:ascii="Palatino Linotype" w:eastAsia="Times New Roman" w:hAnsi="Palatino Linotype" w:cs="Arial"/>
          <w:sz w:val="24"/>
          <w:szCs w:val="24"/>
          <w:lang w:eastAsia="es-ES"/>
        </w:rPr>
        <w:t xml:space="preserve"> y vigésimo segundo</w:t>
      </w:r>
      <w:r w:rsidRPr="009B030D">
        <w:rPr>
          <w:rFonts w:ascii="Palatino Linotype" w:eastAsia="Calibri" w:hAnsi="Palatino Linotype" w:cs="Times New Roman"/>
          <w:sz w:val="24"/>
          <w:szCs w:val="24"/>
          <w:lang w:val="es-ES" w:eastAsia="es-ES"/>
        </w:rPr>
        <w:t>, de la Constitución Política del Estado Libre y Soberano de México, se establece lo siguiente:</w:t>
      </w:r>
    </w:p>
    <w:p w:rsidR="009B030D" w:rsidRPr="009B514F" w:rsidRDefault="009B030D" w:rsidP="009B030D">
      <w:pPr>
        <w:spacing w:after="0" w:line="360" w:lineRule="auto"/>
        <w:jc w:val="both"/>
        <w:rPr>
          <w:rFonts w:ascii="Palatino Linotype" w:eastAsia="Calibri" w:hAnsi="Palatino Linotype" w:cs="Times New Roman"/>
          <w:lang w:val="es-ES" w:eastAsia="es-ES"/>
        </w:rPr>
      </w:pPr>
    </w:p>
    <w:p w:rsidR="009B030D" w:rsidRPr="009B514F" w:rsidRDefault="009B030D" w:rsidP="009B030D">
      <w:pPr>
        <w:spacing w:after="0" w:line="240" w:lineRule="auto"/>
        <w:ind w:left="567" w:right="567"/>
        <w:jc w:val="center"/>
        <w:rPr>
          <w:rFonts w:ascii="Palatino Linotype" w:eastAsia="Times New Roman" w:hAnsi="Palatino Linotype" w:cs="Times New Roman"/>
          <w:b/>
          <w:i/>
          <w:u w:val="single"/>
          <w:lang w:val="es-ES" w:eastAsia="es-ES"/>
        </w:rPr>
      </w:pPr>
      <w:r w:rsidRPr="009B514F">
        <w:rPr>
          <w:rFonts w:ascii="Palatino Linotype" w:eastAsia="Times New Roman" w:hAnsi="Palatino Linotype" w:cs="Times New Roman"/>
          <w:b/>
          <w:i/>
          <w:u w:val="single"/>
          <w:lang w:val="es-ES" w:eastAsia="es-ES"/>
        </w:rPr>
        <w:t>Constitución Política de los Estados Unidos Mexicanos</w:t>
      </w:r>
    </w:p>
    <w:p w:rsidR="009B030D" w:rsidRPr="009B514F" w:rsidRDefault="009B030D" w:rsidP="009B030D">
      <w:pPr>
        <w:spacing w:after="0" w:line="240" w:lineRule="auto"/>
        <w:ind w:left="567" w:right="567"/>
        <w:jc w:val="both"/>
        <w:rPr>
          <w:rFonts w:ascii="Palatino Linotype" w:eastAsia="Times New Roman" w:hAnsi="Palatino Linotype" w:cs="Times New Roman"/>
          <w:b/>
          <w:i/>
          <w:lang w:val="es-ES" w:eastAsia="es-ES"/>
        </w:rPr>
      </w:pP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r w:rsidRPr="009B514F">
        <w:rPr>
          <w:rFonts w:ascii="Palatino Linotype" w:eastAsia="Times New Roman" w:hAnsi="Palatino Linotype" w:cs="Times New Roman"/>
          <w:b/>
          <w:i/>
          <w:lang w:val="es-ES" w:eastAsia="es-ES"/>
        </w:rPr>
        <w:t>Artículo 6</w:t>
      </w:r>
      <w:r w:rsidRPr="009B514F">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Para efectos de lo dispuesto en el presente artículo se observará lo siguiente: </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lastRenderedPageBreak/>
        <w:t xml:space="preserve">III. Toda persona, sin necesidad de acreditar interés alguno o justificar su utilización, tendrá acceso gratuito a la información pública, a sus datos personales o a la rectificación de éstos. </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p>
    <w:p w:rsidR="009B030D" w:rsidRPr="009B514F" w:rsidRDefault="009B030D" w:rsidP="009B030D">
      <w:pPr>
        <w:spacing w:after="0" w:line="240" w:lineRule="auto"/>
        <w:ind w:left="567" w:right="567"/>
        <w:jc w:val="center"/>
        <w:rPr>
          <w:rFonts w:ascii="Palatino Linotype" w:eastAsia="Times New Roman" w:hAnsi="Palatino Linotype" w:cs="Times New Roman"/>
          <w:b/>
          <w:i/>
          <w:u w:val="single"/>
          <w:lang w:val="es-ES" w:eastAsia="es-ES"/>
        </w:rPr>
      </w:pPr>
      <w:r w:rsidRPr="009B514F">
        <w:rPr>
          <w:rFonts w:ascii="Palatino Linotype" w:eastAsia="Times New Roman" w:hAnsi="Palatino Linotype" w:cs="Times New Roman"/>
          <w:b/>
          <w:i/>
          <w:u w:val="single"/>
          <w:lang w:val="es-ES" w:eastAsia="es-ES"/>
        </w:rPr>
        <w:t>Constitución Política del Estado Libre y Soberano de México</w:t>
      </w:r>
    </w:p>
    <w:p w:rsidR="009B030D" w:rsidRPr="009B514F" w:rsidRDefault="009B030D" w:rsidP="009B030D">
      <w:pPr>
        <w:spacing w:after="0" w:line="240" w:lineRule="auto"/>
        <w:ind w:left="567" w:right="567"/>
        <w:jc w:val="both"/>
        <w:rPr>
          <w:rFonts w:ascii="Palatino Linotype" w:eastAsia="Times New Roman" w:hAnsi="Palatino Linotype" w:cs="Times New Roman"/>
          <w:b/>
          <w:i/>
          <w:lang w:val="es-ES" w:eastAsia="es-ES"/>
        </w:rPr>
      </w:pP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r w:rsidRPr="009B514F">
        <w:rPr>
          <w:rFonts w:ascii="Palatino Linotype" w:eastAsia="Times New Roman" w:hAnsi="Palatino Linotype" w:cs="Times New Roman"/>
          <w:b/>
          <w:i/>
          <w:lang w:val="es-ES" w:eastAsia="es-ES"/>
        </w:rPr>
        <w:t>Artículo 5</w:t>
      </w:r>
      <w:r w:rsidRPr="009B514F">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 (…)</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VIII. El Estado contará con un organismo autónomo, especializado, imparcial, colegiado, con personalidad jurídica y patrimonio propio, con plena autonomía técnica y de gestión, </w:t>
      </w:r>
      <w:r w:rsidRPr="009B514F">
        <w:rPr>
          <w:rFonts w:ascii="Palatino Linotype" w:eastAsia="Times New Roman" w:hAnsi="Palatino Linotype" w:cs="Times New Roman"/>
          <w:i/>
          <w:lang w:val="es-ES" w:eastAsia="es-ES"/>
        </w:rPr>
        <w:lastRenderedPageBreak/>
        <w:t>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9B030D" w:rsidRPr="009B514F" w:rsidRDefault="009B030D" w:rsidP="009B030D">
      <w:pPr>
        <w:spacing w:after="0" w:line="360" w:lineRule="auto"/>
        <w:ind w:left="567" w:right="567"/>
        <w:jc w:val="both"/>
        <w:rPr>
          <w:rFonts w:ascii="Palatino Linotype" w:eastAsia="Times New Roman" w:hAnsi="Palatino Linotype" w:cs="Times New Roman"/>
          <w:lang w:val="es-ES" w:eastAsia="es-ES"/>
        </w:rPr>
      </w:pPr>
    </w:p>
    <w:p w:rsidR="009B030D" w:rsidRPr="009B030D" w:rsidRDefault="009B030D" w:rsidP="009B030D">
      <w:pPr>
        <w:spacing w:after="0" w:line="360" w:lineRule="auto"/>
        <w:jc w:val="both"/>
        <w:rPr>
          <w:rFonts w:ascii="Palatino Linotype" w:eastAsia="Times New Roman" w:hAnsi="Palatino Linotype" w:cs="Times New Roman"/>
          <w:sz w:val="24"/>
          <w:szCs w:val="24"/>
          <w:lang w:val="es-ES" w:eastAsia="es-ES"/>
        </w:rPr>
      </w:pPr>
      <w:r w:rsidRPr="009B030D">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rsidR="009B030D" w:rsidRPr="009B514F" w:rsidRDefault="009B030D" w:rsidP="009B030D">
      <w:pPr>
        <w:spacing w:after="0" w:line="240" w:lineRule="auto"/>
        <w:ind w:left="567" w:right="567"/>
        <w:jc w:val="both"/>
        <w:rPr>
          <w:rFonts w:ascii="Palatino Linotype" w:eastAsia="Times New Roman" w:hAnsi="Palatino Linotype" w:cs="Times New Roman"/>
          <w:lang w:val="es-ES" w:eastAsia="es-ES"/>
        </w:rPr>
      </w:pPr>
    </w:p>
    <w:p w:rsidR="009B030D" w:rsidRPr="009B514F" w:rsidRDefault="009B030D" w:rsidP="009B030D">
      <w:pPr>
        <w:spacing w:after="0" w:line="240" w:lineRule="auto"/>
        <w:ind w:left="567" w:right="567"/>
        <w:jc w:val="both"/>
        <w:rPr>
          <w:rFonts w:ascii="Palatino Linotype" w:eastAsia="Calibri" w:hAnsi="Palatino Linotype" w:cs="Times New Roman"/>
          <w:i/>
          <w:lang w:val="es-ES" w:eastAsia="es-ES"/>
        </w:rPr>
      </w:pPr>
      <w:r w:rsidRPr="009B514F">
        <w:rPr>
          <w:rFonts w:ascii="Palatino Linotype" w:eastAsia="Calibri" w:hAnsi="Palatino Linotype" w:cs="Times New Roman"/>
          <w:i/>
          <w:lang w:val="es-ES" w:eastAsia="es-ES"/>
        </w:rPr>
        <w:t>“</w:t>
      </w:r>
      <w:r w:rsidRPr="009B514F">
        <w:rPr>
          <w:rFonts w:ascii="Palatino Linotype" w:eastAsia="Calibri" w:hAnsi="Palatino Linotype" w:cs="Times New Roman"/>
          <w:b/>
          <w:i/>
          <w:lang w:val="es-ES" w:eastAsia="es-ES"/>
        </w:rPr>
        <w:t>Artículo 1o</w:t>
      </w:r>
      <w:r w:rsidRPr="009B514F">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B030D" w:rsidRPr="009B514F" w:rsidRDefault="009B030D" w:rsidP="009B030D">
      <w:pPr>
        <w:spacing w:after="0" w:line="240" w:lineRule="auto"/>
        <w:ind w:left="567" w:right="567"/>
        <w:jc w:val="both"/>
        <w:rPr>
          <w:rFonts w:ascii="Palatino Linotype" w:eastAsia="Calibri" w:hAnsi="Palatino Linotype" w:cs="Times New Roman"/>
          <w:i/>
          <w:lang w:val="es-ES" w:eastAsia="es-ES"/>
        </w:rPr>
      </w:pPr>
    </w:p>
    <w:p w:rsidR="009B030D" w:rsidRPr="009B514F" w:rsidRDefault="009B030D" w:rsidP="009B030D">
      <w:pPr>
        <w:spacing w:after="0" w:line="240" w:lineRule="auto"/>
        <w:ind w:left="567" w:right="567"/>
        <w:jc w:val="both"/>
        <w:rPr>
          <w:rFonts w:ascii="Palatino Linotype" w:eastAsia="Calibri" w:hAnsi="Palatino Linotype" w:cs="Times New Roman"/>
          <w:i/>
          <w:lang w:val="es-ES" w:eastAsia="es-ES"/>
        </w:rPr>
      </w:pPr>
      <w:r w:rsidRPr="009B514F">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9B030D" w:rsidRPr="009B514F" w:rsidRDefault="009B030D" w:rsidP="009B030D">
      <w:pPr>
        <w:spacing w:after="0" w:line="240" w:lineRule="auto"/>
        <w:ind w:left="567" w:right="567"/>
        <w:jc w:val="both"/>
        <w:rPr>
          <w:rFonts w:ascii="Palatino Linotype" w:eastAsia="Calibri" w:hAnsi="Palatino Linotype" w:cs="Times New Roman"/>
          <w:i/>
          <w:lang w:val="es-ES" w:eastAsia="es-ES"/>
        </w:rPr>
      </w:pPr>
    </w:p>
    <w:p w:rsidR="009B030D" w:rsidRPr="009B514F" w:rsidRDefault="009B030D" w:rsidP="009B030D">
      <w:pPr>
        <w:spacing w:after="0" w:line="240" w:lineRule="auto"/>
        <w:ind w:left="567" w:right="567"/>
        <w:jc w:val="both"/>
        <w:rPr>
          <w:rFonts w:ascii="Palatino Linotype" w:eastAsia="Calibri" w:hAnsi="Palatino Linotype" w:cs="Times New Roman"/>
          <w:i/>
          <w:lang w:val="es-ES" w:eastAsia="es-ES"/>
        </w:rPr>
      </w:pPr>
      <w:r w:rsidRPr="009B514F">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9B030D" w:rsidRPr="009B514F" w:rsidRDefault="009B030D" w:rsidP="009B030D">
      <w:pPr>
        <w:spacing w:after="0" w:line="360" w:lineRule="auto"/>
        <w:ind w:left="567" w:right="567"/>
        <w:jc w:val="both"/>
        <w:rPr>
          <w:rFonts w:ascii="Palatino Linotype" w:eastAsia="Times New Roman" w:hAnsi="Palatino Linotype" w:cs="Times New Roman"/>
          <w:lang w:val="es-ES" w:eastAsia="es-ES"/>
        </w:rPr>
      </w:pPr>
    </w:p>
    <w:p w:rsidR="009B030D" w:rsidRPr="009B030D" w:rsidRDefault="009B030D" w:rsidP="009B030D">
      <w:pPr>
        <w:spacing w:after="0" w:line="360" w:lineRule="auto"/>
        <w:jc w:val="both"/>
        <w:rPr>
          <w:rFonts w:ascii="Palatino Linotype" w:eastAsia="Times New Roman" w:hAnsi="Palatino Linotype" w:cs="Times New Roman"/>
          <w:sz w:val="24"/>
          <w:szCs w:val="24"/>
          <w:lang w:val="es-ES" w:eastAsia="es-ES"/>
        </w:rPr>
      </w:pPr>
      <w:r w:rsidRPr="009B030D">
        <w:rPr>
          <w:rFonts w:ascii="Palatino Linotype" w:eastAsia="Times New Roman"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9B030D" w:rsidRPr="009B030D" w:rsidRDefault="009B030D" w:rsidP="009B030D">
      <w:pPr>
        <w:spacing w:after="0" w:line="360" w:lineRule="auto"/>
        <w:jc w:val="both"/>
        <w:rPr>
          <w:rFonts w:ascii="Palatino Linotype" w:eastAsia="Times New Roman" w:hAnsi="Palatino Linotype" w:cs="Arial"/>
          <w:sz w:val="24"/>
          <w:szCs w:val="24"/>
          <w:lang w:val="es-ES" w:eastAsia="es-ES"/>
        </w:rPr>
      </w:pPr>
    </w:p>
    <w:p w:rsidR="009B030D" w:rsidRPr="009B030D" w:rsidRDefault="009B030D" w:rsidP="009B030D">
      <w:pPr>
        <w:pStyle w:val="Sinespaciado"/>
        <w:spacing w:line="360" w:lineRule="auto"/>
        <w:jc w:val="both"/>
        <w:rPr>
          <w:rFonts w:ascii="Palatino Linotype" w:hAnsi="Palatino Linotype"/>
          <w:b/>
          <w:sz w:val="24"/>
          <w:szCs w:val="24"/>
        </w:rPr>
      </w:pPr>
      <w:r w:rsidRPr="009B030D">
        <w:rPr>
          <w:rFonts w:ascii="Palatino Linotype" w:eastAsia="Calibri" w:hAnsi="Palatino Linotype" w:cs="Arial"/>
          <w:sz w:val="24"/>
          <w:szCs w:val="24"/>
          <w:lang w:val="es-ES"/>
        </w:rPr>
        <w:t>En conclusión, se cubrieron los requisitos de procedencia y procedibilidad y conforme a las constancias que obran en el expediente.</w:t>
      </w:r>
    </w:p>
    <w:p w:rsidR="009B030D" w:rsidRDefault="009B030D" w:rsidP="00705D1C">
      <w:pPr>
        <w:pStyle w:val="Sinespaciado"/>
        <w:spacing w:line="360" w:lineRule="auto"/>
        <w:jc w:val="both"/>
        <w:rPr>
          <w:rFonts w:ascii="Palatino Linotype" w:hAnsi="Palatino Linotype"/>
          <w:b/>
          <w:sz w:val="26"/>
          <w:szCs w:val="26"/>
        </w:rPr>
      </w:pPr>
    </w:p>
    <w:p w:rsidR="00705D1C" w:rsidRPr="0014447C" w:rsidRDefault="009B030D" w:rsidP="00705D1C">
      <w:pPr>
        <w:pStyle w:val="Sinespaciado"/>
        <w:spacing w:line="360" w:lineRule="auto"/>
        <w:jc w:val="both"/>
        <w:rPr>
          <w:rFonts w:ascii="Palatino Linotype" w:hAnsi="Palatino Linotype"/>
          <w:b/>
          <w:sz w:val="26"/>
          <w:szCs w:val="26"/>
        </w:rPr>
      </w:pPr>
      <w:r>
        <w:rPr>
          <w:rFonts w:ascii="Palatino Linotype" w:hAnsi="Palatino Linotype"/>
          <w:b/>
          <w:sz w:val="26"/>
          <w:szCs w:val="26"/>
        </w:rPr>
        <w:t xml:space="preserve">CUARTO.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541B17" w:rsidRDefault="00541B17" w:rsidP="00705D1C">
      <w:pPr>
        <w:pStyle w:val="Sinespaciado"/>
        <w:spacing w:line="360" w:lineRule="auto"/>
        <w:jc w:val="both"/>
        <w:rPr>
          <w:rFonts w:ascii="Palatino Linotype" w:hAnsi="Palatino Linotype"/>
          <w:sz w:val="24"/>
          <w:szCs w:val="24"/>
        </w:rPr>
      </w:pPr>
    </w:p>
    <w:p w:rsidR="007E2E80" w:rsidRPr="0014447C" w:rsidRDefault="009B030D"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QUINTO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w:t>
      </w:r>
      <w:r w:rsidRPr="0014447C">
        <w:rPr>
          <w:rFonts w:ascii="Palatino Linotype" w:hAnsi="Palatino Linotype"/>
          <w:sz w:val="24"/>
          <w:szCs w:val="24"/>
        </w:rPr>
        <w:lastRenderedPageBreak/>
        <w:t>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FB79CA"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 xml:space="preserve">Por tanto, es conveniente </w:t>
      </w:r>
      <w:r w:rsidR="008B480D">
        <w:rPr>
          <w:rFonts w:ascii="Palatino Linotype" w:hAnsi="Palatino Linotype"/>
          <w:sz w:val="24"/>
          <w:szCs w:val="24"/>
        </w:rPr>
        <w:t>recordar que el</w:t>
      </w:r>
      <w:r w:rsidR="005B2B70">
        <w:rPr>
          <w:rFonts w:ascii="Palatino Linotype" w:hAnsi="Palatino Linotype"/>
          <w:sz w:val="24"/>
          <w:szCs w:val="24"/>
        </w:rPr>
        <w:t xml:space="preserve"> hoy Recurren</w:t>
      </w:r>
      <w:r w:rsidR="00107A58">
        <w:rPr>
          <w:rFonts w:ascii="Palatino Linotype" w:hAnsi="Palatino Linotype"/>
          <w:sz w:val="24"/>
          <w:szCs w:val="24"/>
        </w:rPr>
        <w:t>te requirió del Sujeto Obligado el inventario de bienes muebles de la Dirección de Desarrollo Económico.</w:t>
      </w:r>
    </w:p>
    <w:p w:rsidR="00FB79CA" w:rsidRDefault="00FB79CA" w:rsidP="0014447C">
      <w:pPr>
        <w:pStyle w:val="Sinespaciado"/>
        <w:spacing w:line="360" w:lineRule="auto"/>
        <w:jc w:val="both"/>
        <w:rPr>
          <w:rFonts w:ascii="Palatino Linotype" w:hAnsi="Palatino Linotype"/>
          <w:sz w:val="24"/>
          <w:szCs w:val="24"/>
        </w:rPr>
      </w:pPr>
    </w:p>
    <w:p w:rsidR="00587196" w:rsidRDefault="00107A58"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A dicha solicitud, el Sujeto Obligado</w:t>
      </w:r>
      <w:r w:rsidR="00587196">
        <w:rPr>
          <w:rFonts w:ascii="Palatino Linotype" w:hAnsi="Palatino Linotype"/>
          <w:sz w:val="24"/>
          <w:szCs w:val="24"/>
        </w:rPr>
        <w:t xml:space="preserve"> giró los requerimientos que consideró necesarios como se observa a continuación:</w:t>
      </w:r>
    </w:p>
    <w:p w:rsidR="00587196" w:rsidRDefault="00587196" w:rsidP="0014447C">
      <w:pPr>
        <w:pStyle w:val="Sinespaciado"/>
        <w:spacing w:line="360" w:lineRule="auto"/>
        <w:jc w:val="both"/>
        <w:rPr>
          <w:rFonts w:ascii="Palatino Linotype" w:hAnsi="Palatino Linotype"/>
          <w:sz w:val="24"/>
          <w:szCs w:val="24"/>
        </w:rPr>
      </w:pPr>
      <w:r>
        <w:rPr>
          <w:noProof/>
          <w:lang w:eastAsia="es-MX"/>
        </w:rPr>
        <w:drawing>
          <wp:inline distT="0" distB="0" distL="0" distR="0" wp14:anchorId="25A1444A" wp14:editId="0A7FB741">
            <wp:extent cx="5680627" cy="819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644" t="18224" r="23611" b="68254"/>
                    <a:stretch/>
                  </pic:blipFill>
                  <pic:spPr bwMode="auto">
                    <a:xfrm>
                      <a:off x="0" y="0"/>
                      <a:ext cx="5690829" cy="820621"/>
                    </a:xfrm>
                    <a:prstGeom prst="rect">
                      <a:avLst/>
                    </a:prstGeom>
                    <a:ln>
                      <a:noFill/>
                    </a:ln>
                    <a:extLst>
                      <a:ext uri="{53640926-AAD7-44D8-BBD7-CCE9431645EC}">
                        <a14:shadowObscured xmlns:a14="http://schemas.microsoft.com/office/drawing/2010/main"/>
                      </a:ext>
                    </a:extLst>
                  </pic:spPr>
                </pic:pic>
              </a:graphicData>
            </a:graphic>
          </wp:inline>
        </w:drawing>
      </w:r>
    </w:p>
    <w:p w:rsidR="00587196" w:rsidRDefault="00587196" w:rsidP="00587196">
      <w:pPr>
        <w:pStyle w:val="Sinespaciado"/>
        <w:spacing w:line="360" w:lineRule="auto"/>
        <w:jc w:val="center"/>
        <w:rPr>
          <w:rFonts w:ascii="Palatino Linotype" w:hAnsi="Palatino Linotype"/>
          <w:sz w:val="24"/>
          <w:szCs w:val="24"/>
        </w:rPr>
      </w:pPr>
      <w:r>
        <w:rPr>
          <w:noProof/>
          <w:lang w:eastAsia="es-MX"/>
        </w:rPr>
        <w:drawing>
          <wp:inline distT="0" distB="0" distL="0" distR="0" wp14:anchorId="1DF3E1DC" wp14:editId="40203BAE">
            <wp:extent cx="4268730" cy="36099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092" t="42034" r="43122" b="17696"/>
                    <a:stretch/>
                  </pic:blipFill>
                  <pic:spPr bwMode="auto">
                    <a:xfrm>
                      <a:off x="0" y="0"/>
                      <a:ext cx="4293144" cy="3630622"/>
                    </a:xfrm>
                    <a:prstGeom prst="rect">
                      <a:avLst/>
                    </a:prstGeom>
                    <a:ln>
                      <a:noFill/>
                    </a:ln>
                    <a:extLst>
                      <a:ext uri="{53640926-AAD7-44D8-BBD7-CCE9431645EC}">
                        <a14:shadowObscured xmlns:a14="http://schemas.microsoft.com/office/drawing/2010/main"/>
                      </a:ext>
                    </a:extLst>
                  </pic:spPr>
                </pic:pic>
              </a:graphicData>
            </a:graphic>
          </wp:inline>
        </w:drawing>
      </w:r>
    </w:p>
    <w:p w:rsidR="00587196" w:rsidRDefault="00587196" w:rsidP="0014447C">
      <w:pPr>
        <w:pStyle w:val="Sinespaciado"/>
        <w:spacing w:line="360" w:lineRule="auto"/>
        <w:jc w:val="both"/>
        <w:rPr>
          <w:rFonts w:ascii="Palatino Linotype" w:hAnsi="Palatino Linotype"/>
          <w:sz w:val="24"/>
          <w:szCs w:val="24"/>
        </w:rPr>
      </w:pPr>
    </w:p>
    <w:p w:rsidR="00587196" w:rsidRDefault="00587196"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Como se observa, se giró el requerimiento a la Directora de Desarrollo Económico, quien manifestó que, s</w:t>
      </w:r>
      <w:r w:rsidRPr="00587196">
        <w:rPr>
          <w:rFonts w:ascii="Palatino Linotype" w:hAnsi="Palatino Linotype"/>
          <w:sz w:val="24"/>
          <w:szCs w:val="24"/>
        </w:rPr>
        <w:t xml:space="preserve">egún los </w:t>
      </w:r>
      <w:r>
        <w:rPr>
          <w:rFonts w:ascii="Palatino Linotype" w:hAnsi="Palatino Linotype"/>
          <w:sz w:val="24"/>
          <w:szCs w:val="24"/>
        </w:rPr>
        <w:t>o</w:t>
      </w:r>
      <w:r w:rsidRPr="00587196">
        <w:rPr>
          <w:rFonts w:ascii="Palatino Linotype" w:hAnsi="Palatino Linotype"/>
          <w:sz w:val="24"/>
          <w:szCs w:val="24"/>
        </w:rPr>
        <w:t>ficios</w:t>
      </w:r>
      <w:r>
        <w:rPr>
          <w:rFonts w:ascii="Palatino Linotype" w:hAnsi="Palatino Linotype"/>
          <w:sz w:val="24"/>
          <w:szCs w:val="24"/>
        </w:rPr>
        <w:t xml:space="preserve"> número</w:t>
      </w:r>
      <w:r w:rsidRPr="00587196">
        <w:rPr>
          <w:rFonts w:ascii="Palatino Linotype" w:hAnsi="Palatino Linotype"/>
          <w:sz w:val="24"/>
          <w:szCs w:val="24"/>
        </w:rPr>
        <w:t xml:space="preserve"> ECA-N00/039/27/02/2019, ECA/N00/0040/27/02/2019 y ECA-N00-250/27/09/2019, que se remitieron a la </w:t>
      </w:r>
      <w:r>
        <w:rPr>
          <w:rFonts w:ascii="Palatino Linotype" w:hAnsi="Palatino Linotype"/>
          <w:sz w:val="24"/>
          <w:szCs w:val="24"/>
        </w:rPr>
        <w:t>Controlaría Interna, se notificó</w:t>
      </w:r>
      <w:r w:rsidRPr="00587196">
        <w:rPr>
          <w:rFonts w:ascii="Palatino Linotype" w:hAnsi="Palatino Linotype"/>
          <w:sz w:val="24"/>
          <w:szCs w:val="24"/>
        </w:rPr>
        <w:t xml:space="preserve"> que la Dirección de Desarrollo Económico y la Coordinación General Municipal de Mejora Regulatoria, no fueron sujetas a Entrega-Recepción de esas áreas, porque no existían.</w:t>
      </w:r>
    </w:p>
    <w:p w:rsidR="00587196" w:rsidRDefault="00587196" w:rsidP="0014447C">
      <w:pPr>
        <w:pStyle w:val="Sinespaciado"/>
        <w:spacing w:line="360" w:lineRule="auto"/>
        <w:jc w:val="both"/>
        <w:rPr>
          <w:rFonts w:ascii="Palatino Linotype" w:hAnsi="Palatino Linotype"/>
          <w:sz w:val="24"/>
          <w:szCs w:val="24"/>
        </w:rPr>
      </w:pPr>
    </w:p>
    <w:p w:rsidR="002D7BEC" w:rsidRDefault="00873AD1"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A</w:t>
      </w:r>
      <w:r w:rsidR="00E16D1C">
        <w:rPr>
          <w:rFonts w:ascii="Palatino Linotype" w:hAnsi="Palatino Linotype"/>
          <w:sz w:val="24"/>
          <w:szCs w:val="24"/>
        </w:rPr>
        <w:t>nte la r</w:t>
      </w:r>
      <w:r w:rsidR="002D7BEC">
        <w:rPr>
          <w:rFonts w:ascii="Palatino Linotype" w:hAnsi="Palatino Linotype"/>
          <w:sz w:val="24"/>
          <w:szCs w:val="24"/>
        </w:rPr>
        <w:t>espuesta del Sujeto Obligado, el</w:t>
      </w:r>
      <w:r w:rsidR="00E16D1C">
        <w:rPr>
          <w:rFonts w:ascii="Palatino Linotype" w:hAnsi="Palatino Linotype"/>
          <w:sz w:val="24"/>
          <w:szCs w:val="24"/>
        </w:rPr>
        <w:t xml:space="preserve"> Recurrente consideró que su derecho de acceso a la información había sido conculcado por lo que interpuso el presente recurso de revisión </w:t>
      </w:r>
      <w:r w:rsidR="00AA66C6">
        <w:rPr>
          <w:rFonts w:ascii="Palatino Linotype" w:hAnsi="Palatino Linotype"/>
          <w:sz w:val="24"/>
          <w:szCs w:val="24"/>
        </w:rPr>
        <w:t xml:space="preserve">manifestando </w:t>
      </w:r>
      <w:r w:rsidR="00B605C2">
        <w:rPr>
          <w:rFonts w:ascii="Palatino Linotype" w:hAnsi="Palatino Linotype"/>
          <w:sz w:val="24"/>
          <w:szCs w:val="24"/>
        </w:rPr>
        <w:t xml:space="preserve">como acto impugnado que “la resolución se encuentra parcialmente incompleta” (sic) </w:t>
      </w:r>
      <w:r w:rsidR="00AA66C6">
        <w:rPr>
          <w:rFonts w:ascii="Palatino Linotype" w:hAnsi="Palatino Linotype"/>
          <w:sz w:val="24"/>
          <w:szCs w:val="24"/>
        </w:rPr>
        <w:t xml:space="preserve">y dando como </w:t>
      </w:r>
      <w:r w:rsidR="000221BF" w:rsidRPr="002D7BEC">
        <w:rPr>
          <w:rFonts w:ascii="Palatino Linotype" w:hAnsi="Palatino Linotype"/>
          <w:sz w:val="24"/>
          <w:szCs w:val="24"/>
        </w:rPr>
        <w:t xml:space="preserve">razones o motivos de inconformidad </w:t>
      </w:r>
      <w:r w:rsidR="00413AD5">
        <w:rPr>
          <w:rFonts w:ascii="Palatino Linotype" w:hAnsi="Palatino Linotype"/>
          <w:sz w:val="24"/>
          <w:szCs w:val="24"/>
        </w:rPr>
        <w:t xml:space="preserve">que </w:t>
      </w:r>
      <w:r w:rsidR="00B605C2">
        <w:rPr>
          <w:rFonts w:ascii="Palatino Linotype" w:hAnsi="Palatino Linotype"/>
          <w:sz w:val="24"/>
          <w:szCs w:val="24"/>
        </w:rPr>
        <w:t xml:space="preserve">no se adjuntaron los documentos mencionados en la resolución dada por el Sujeto Obligado. </w:t>
      </w:r>
    </w:p>
    <w:p w:rsidR="00413AD5" w:rsidRDefault="00413AD5" w:rsidP="0014447C">
      <w:pPr>
        <w:pStyle w:val="Sinespaciado"/>
        <w:spacing w:line="360" w:lineRule="auto"/>
        <w:jc w:val="both"/>
        <w:rPr>
          <w:rFonts w:ascii="Palatino Linotype" w:hAnsi="Palatino Linotype"/>
          <w:sz w:val="24"/>
          <w:szCs w:val="24"/>
        </w:rPr>
      </w:pPr>
    </w:p>
    <w:p w:rsidR="008B6D91" w:rsidRPr="008B6D91" w:rsidRDefault="008A0BE6" w:rsidP="008B6D91">
      <w:pPr>
        <w:spacing w:after="0" w:line="360" w:lineRule="auto"/>
        <w:jc w:val="both"/>
        <w:rPr>
          <w:rFonts w:ascii="Palatino Linotype" w:eastAsia="Times New Roman" w:hAnsi="Palatino Linotype" w:cs="Times New Roman"/>
          <w:sz w:val="24"/>
          <w:szCs w:val="24"/>
          <w:lang w:eastAsia="es-ES"/>
        </w:rPr>
      </w:pPr>
      <w:r w:rsidRPr="008B6D91">
        <w:rPr>
          <w:rFonts w:ascii="Palatino Linotype" w:hAnsi="Palatino Linotype"/>
          <w:sz w:val="24"/>
          <w:szCs w:val="24"/>
        </w:rPr>
        <w:t>Durante la etapa de instrucción</w:t>
      </w:r>
      <w:r w:rsidR="008B6D91" w:rsidRPr="008B6D91">
        <w:rPr>
          <w:rFonts w:ascii="Palatino Linotype" w:hAnsi="Palatino Linotype"/>
          <w:sz w:val="24"/>
          <w:szCs w:val="24"/>
        </w:rPr>
        <w:t xml:space="preserve">, </w:t>
      </w:r>
      <w:r w:rsidR="008B6D91" w:rsidRPr="008B6D91">
        <w:rPr>
          <w:rFonts w:ascii="Palatino Linotype" w:eastAsia="Times New Roman" w:hAnsi="Palatino Linotype" w:cs="Times New Roman"/>
          <w:sz w:val="24"/>
          <w:szCs w:val="24"/>
          <w:lang w:eastAsia="es-ES"/>
        </w:rPr>
        <w:t xml:space="preserve">se tiene que el Recurrente no realizó manifestaciones, vertió alegatos o presentó pruebas que a su derecho convinieran durante la etapa de instrucción; del mismo modo, el Sujeto Obligado omitió rendir su Informe Justificado. En consecuencia, es necesario precisar que, toda vez que el Sujeto Obligado fue omiso de enviar el Informe Justificado en el término de los siete días hábiles otorgados ante este Órgano Garante para manifestar lo que a derecho le asistiera y conviniera, asimismo dejó de justificar las razones o motivos que lo llevaron a emitir la respuesta que ahora se impugna, generando con esta omisión el perjuicio en su contra ya que impide que esta Autoridad conozca y resuelva el presente recurso con mayor cautela </w:t>
      </w:r>
      <w:r w:rsidR="008B6D91" w:rsidRPr="008B6D91">
        <w:rPr>
          <w:rFonts w:ascii="Palatino Linotype" w:eastAsia="Times New Roman" w:hAnsi="Palatino Linotype" w:cs="Times New Roman"/>
          <w:sz w:val="24"/>
          <w:szCs w:val="24"/>
          <w:lang w:eastAsia="es-ES"/>
        </w:rPr>
        <w:lastRenderedPageBreak/>
        <w:t>si se considera lo que al respecto ha señalado la autoridad jurisdiccional al emitir el siguiente criterio:</w:t>
      </w:r>
    </w:p>
    <w:p w:rsidR="008B6D91" w:rsidRPr="008B6D91" w:rsidRDefault="008B6D91" w:rsidP="008B6D91">
      <w:pPr>
        <w:spacing w:after="0" w:line="360" w:lineRule="auto"/>
        <w:jc w:val="both"/>
        <w:rPr>
          <w:rFonts w:ascii="Palatino Linotype" w:eastAsia="Times New Roman" w:hAnsi="Palatino Linotype" w:cs="Times New Roman"/>
          <w:sz w:val="24"/>
          <w:szCs w:val="24"/>
          <w:lang w:eastAsia="es-ES"/>
        </w:rPr>
      </w:pPr>
    </w:p>
    <w:p w:rsidR="008B6D91" w:rsidRPr="009B514F" w:rsidRDefault="008B6D91" w:rsidP="008B6D91">
      <w:pPr>
        <w:spacing w:after="0" w:line="240" w:lineRule="auto"/>
        <w:ind w:left="567" w:right="567"/>
        <w:jc w:val="both"/>
        <w:rPr>
          <w:rFonts w:ascii="Palatino Linotype" w:eastAsia="Times New Roman" w:hAnsi="Palatino Linotype" w:cs="Times New Roman"/>
          <w:i/>
          <w:lang w:eastAsia="es-ES"/>
        </w:rPr>
      </w:pPr>
      <w:r w:rsidRPr="009B514F">
        <w:rPr>
          <w:rFonts w:ascii="Palatino Linotype" w:eastAsia="Times New Roman" w:hAnsi="Palatino Linotype" w:cs="Times New Roman"/>
          <w:b/>
          <w:i/>
          <w:lang w:eastAsia="es-ES"/>
        </w:rPr>
        <w:t>QUEJA, RECURSO DE. LA OMISION DE RENDIR EL INFORME RESPECTIVO NO IMPIDE QUE SE RESUELVA.</w:t>
      </w:r>
      <w:r w:rsidRPr="009B514F">
        <w:rPr>
          <w:rFonts w:ascii="Palatino Linotype" w:eastAsia="Times New Roman" w:hAnsi="Palatino Linotype" w:cs="Times New Roman"/>
          <w:i/>
          <w:lang w:eastAsia="es-ES"/>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rsidR="008B6D91" w:rsidRPr="008B6D91" w:rsidRDefault="008B6D91" w:rsidP="008B6D91">
      <w:pPr>
        <w:spacing w:after="0" w:line="360" w:lineRule="auto"/>
        <w:jc w:val="both"/>
        <w:rPr>
          <w:rFonts w:ascii="Palatino Linotype" w:eastAsia="Times New Roman" w:hAnsi="Palatino Linotype" w:cs="Times New Roman"/>
          <w:sz w:val="24"/>
          <w:szCs w:val="24"/>
          <w:lang w:eastAsia="es-ES"/>
        </w:rPr>
      </w:pPr>
    </w:p>
    <w:p w:rsidR="006146E7" w:rsidRPr="008B6D91" w:rsidRDefault="008B6D91" w:rsidP="008B6D91">
      <w:pPr>
        <w:pStyle w:val="Sinespaciado"/>
        <w:spacing w:line="360" w:lineRule="auto"/>
        <w:jc w:val="both"/>
        <w:rPr>
          <w:rFonts w:ascii="Palatino Linotype" w:hAnsi="Palatino Linotype"/>
          <w:sz w:val="24"/>
          <w:szCs w:val="24"/>
        </w:rPr>
      </w:pPr>
      <w:r w:rsidRPr="008B6D91">
        <w:rPr>
          <w:rFonts w:ascii="Palatino Linotype" w:hAnsi="Palatino Linotype"/>
          <w:sz w:val="24"/>
          <w:szCs w:val="24"/>
        </w:rPr>
        <w:t>Por lo cual se reitera, que la falta de informe justificado no impide que este Órgano Garante conozca y resuelva el recurso de revisión, solo propicia que el Sujeto Obligado pierda la oportunidad de justificar su falta de respuesta y manifestar lo que a su derecho convenga.</w:t>
      </w:r>
    </w:p>
    <w:p w:rsidR="000E54D0" w:rsidRPr="008B6D91" w:rsidRDefault="000E54D0" w:rsidP="006023A0">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cs="Arial"/>
          <w:sz w:val="24"/>
          <w:szCs w:val="24"/>
        </w:rPr>
      </w:pPr>
      <w:r w:rsidRPr="008B6D91">
        <w:rPr>
          <w:rFonts w:ascii="Palatino Linotype" w:hAnsi="Palatino Linotype" w:cs="Arial"/>
          <w:sz w:val="24"/>
          <w:szCs w:val="24"/>
        </w:rPr>
        <w:t xml:space="preserve">Ahora bien, quedando establecido lo anterior, este Órgano Garante </w:t>
      </w:r>
      <w:r w:rsidR="00F95250">
        <w:rPr>
          <w:rFonts w:ascii="Palatino Linotype" w:hAnsi="Palatino Linotype" w:cs="Arial"/>
          <w:sz w:val="24"/>
          <w:szCs w:val="24"/>
        </w:rPr>
        <w:t xml:space="preserve">estima que las razones o motivos de inconformidad son </w:t>
      </w:r>
      <w:r w:rsidR="00B605C2">
        <w:rPr>
          <w:rFonts w:ascii="Palatino Linotype" w:hAnsi="Palatino Linotype" w:cs="Arial"/>
          <w:sz w:val="24"/>
          <w:szCs w:val="24"/>
        </w:rPr>
        <w:t>in</w:t>
      </w:r>
      <w:r w:rsidR="00F95250">
        <w:rPr>
          <w:rFonts w:ascii="Palatino Linotype" w:hAnsi="Palatino Linotype" w:cs="Arial"/>
          <w:sz w:val="24"/>
          <w:szCs w:val="24"/>
        </w:rPr>
        <w:t>fundados</w:t>
      </w:r>
      <w:r w:rsidR="00B605C2">
        <w:rPr>
          <w:rFonts w:ascii="Palatino Linotype" w:hAnsi="Palatino Linotype" w:cs="Arial"/>
          <w:sz w:val="24"/>
          <w:szCs w:val="24"/>
        </w:rPr>
        <w:t xml:space="preserve"> pero suplidos en su deficiencia</w:t>
      </w:r>
      <w:r w:rsidR="00F95250">
        <w:rPr>
          <w:rFonts w:ascii="Palatino Linotype" w:hAnsi="Palatino Linotype" w:cs="Arial"/>
          <w:sz w:val="24"/>
          <w:szCs w:val="24"/>
        </w:rPr>
        <w:t>, tomando en cuenta las siguientes consideraciones:</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F95250" w:rsidP="00CF6075">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En primer lugar</w:t>
      </w:r>
      <w:r w:rsidR="00CF6075" w:rsidRPr="00EC3B60">
        <w:rPr>
          <w:rFonts w:ascii="Palatino Linotype" w:hAnsi="Palatino Linotype"/>
          <w:sz w:val="24"/>
          <w:szCs w:val="24"/>
        </w:rPr>
        <w:t>, es pertinente enfatizar lo que respecto al derecho de acceso a la información pública, refiere el artículo 6° de la Constitución Política de los Estados Unidos Mexicanos, que en su parte conducente señala:</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6o.</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Toda persona tiene derecho al libre acceso a información plural y oportuna, así como a buscar, recibir y difundir información e ideas de toda índole por cualquier medio de expresión.</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BF0BA6">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rPr>
        <w:t>Los sujetos obligados deberán documentar todo acto que derive del ejercicio de sus facultades, competencias o funciones</w:t>
      </w:r>
      <w:r w:rsidRPr="00BF0BA6">
        <w:rPr>
          <w:rFonts w:ascii="Palatino Linotype" w:hAnsi="Palatino Linotype"/>
          <w:i/>
        </w:rPr>
        <w:t>,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que se refiere a la vida privada y los datos personales será protegida en los términos y con las excepciones que fijen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lastRenderedPageBreak/>
        <w:t>IV.   Se establecerán mecanismos de acceso a la información y procedimientos de revisión expeditos que se sustanciarán ante los organismos autónomos especializados e imparciales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recursos públicos </w:t>
      </w:r>
      <w:r w:rsidRPr="00BF0BA6">
        <w:rPr>
          <w:rFonts w:ascii="Palatino Linotype" w:hAnsi="Palatino Linotype"/>
          <w:i/>
        </w:rPr>
        <w:t>y los indicadores que permitan rendir cuenta del cumplimiento de sus objetivos y de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w:t>
      </w:r>
    </w:p>
    <w:p w:rsidR="00CF6075" w:rsidRPr="00C24D80" w:rsidRDefault="00CF6075" w:rsidP="00CF6075">
      <w:pPr>
        <w:pStyle w:val="Sinespaciado"/>
        <w:ind w:left="567" w:right="567"/>
        <w:jc w:val="both"/>
        <w:rPr>
          <w:rFonts w:ascii="Palatino Linotype" w:hAnsi="Palatino Linotype"/>
          <w:i/>
        </w:rPr>
      </w:pPr>
      <w:r w:rsidRPr="00BF0BA6">
        <w:rPr>
          <w:rFonts w:ascii="Palatino Linotype" w:hAnsi="Palatino Linotype"/>
          <w:i/>
        </w:rPr>
        <w:t>La ley establecerá aquella información que se considere reservada o confidencial.</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Por su parte, la Constitución Política del Estado Libre y Soberano de México, en su artículo 5°, dispone en su parte conducente,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5</w:t>
      </w:r>
      <w:r w:rsidRPr="00BF0BA6">
        <w:rPr>
          <w:rFonts w:ascii="Palatino Linotype" w:hAnsi="Palatino Linotype"/>
          <w:i/>
        </w:rPr>
        <w:t xml:space="preserve">. …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ese orden de ideas, la Ley de Transparencia y Acceso a la Información Pública del Estado de México y Municipios, prevé en su artículo 23, fracción IV,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IV. </w:t>
      </w:r>
      <w:r w:rsidRPr="00BF0BA6">
        <w:rPr>
          <w:rFonts w:ascii="Palatino Linotype" w:hAnsi="Palatino Linotype"/>
          <w:b/>
          <w:i/>
          <w:u w:val="single"/>
        </w:rPr>
        <w:t>Los ayuntamientos y las dependencias, organismos, órganos y entidades de la administración municipal</w:t>
      </w:r>
      <w:r w:rsidRPr="00BF0BA6">
        <w:rPr>
          <w:rFonts w:ascii="Palatino Linotype" w:hAnsi="Palatino Linotype"/>
          <w:i/>
        </w:rPr>
        <w:t>;</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CF6075" w:rsidRPr="00EC3B60" w:rsidRDefault="00CF6075" w:rsidP="0014447C">
      <w:pPr>
        <w:pStyle w:val="Sinespaciado"/>
        <w:spacing w:line="360" w:lineRule="auto"/>
        <w:jc w:val="both"/>
        <w:rPr>
          <w:rFonts w:ascii="Palatino Linotype" w:hAnsi="Palatino Linotype"/>
          <w:sz w:val="24"/>
          <w:szCs w:val="24"/>
        </w:rPr>
      </w:pPr>
    </w:p>
    <w:p w:rsidR="003F3B7A" w:rsidRDefault="00EC3B60" w:rsidP="006A674A">
      <w:pPr>
        <w:spacing w:after="0" w:line="360" w:lineRule="auto"/>
        <w:jc w:val="both"/>
        <w:rPr>
          <w:rFonts w:ascii="Palatino Linotype" w:hAnsi="Palatino Linotype"/>
          <w:sz w:val="24"/>
          <w:szCs w:val="24"/>
        </w:rPr>
      </w:pPr>
      <w:r w:rsidRPr="004D798F">
        <w:rPr>
          <w:rFonts w:ascii="Palatino Linotype" w:hAnsi="Palatino Linotype"/>
          <w:sz w:val="24"/>
          <w:szCs w:val="24"/>
        </w:rPr>
        <w:t xml:space="preserve">En segundo término, </w:t>
      </w:r>
      <w:r w:rsidR="007D64E8">
        <w:rPr>
          <w:rFonts w:ascii="Palatino Linotype" w:hAnsi="Palatino Linotype"/>
          <w:sz w:val="24"/>
          <w:szCs w:val="24"/>
        </w:rPr>
        <w:t xml:space="preserve">es de destacarse que </w:t>
      </w:r>
      <w:r w:rsidR="00A24C0F">
        <w:rPr>
          <w:rFonts w:ascii="Palatino Linotype" w:hAnsi="Palatino Linotype"/>
          <w:sz w:val="24"/>
          <w:szCs w:val="24"/>
        </w:rPr>
        <w:t>la solicitud d</w:t>
      </w:r>
      <w:r w:rsidR="007D64E8">
        <w:rPr>
          <w:rFonts w:ascii="Palatino Linotype" w:hAnsi="Palatino Linotype"/>
          <w:sz w:val="24"/>
          <w:szCs w:val="24"/>
        </w:rPr>
        <w:t xml:space="preserve">el </w:t>
      </w:r>
      <w:r w:rsidR="00A24C0F">
        <w:rPr>
          <w:rFonts w:ascii="Palatino Linotype" w:hAnsi="Palatino Linotype"/>
          <w:sz w:val="24"/>
          <w:szCs w:val="24"/>
        </w:rPr>
        <w:t xml:space="preserve">hoy </w:t>
      </w:r>
      <w:r w:rsidR="007D64E8">
        <w:rPr>
          <w:rFonts w:ascii="Palatino Linotype" w:hAnsi="Palatino Linotype"/>
          <w:sz w:val="24"/>
          <w:szCs w:val="24"/>
        </w:rPr>
        <w:t xml:space="preserve">Recurrente </w:t>
      </w:r>
      <w:r w:rsidR="00C011A1">
        <w:rPr>
          <w:rFonts w:ascii="Palatino Linotype" w:hAnsi="Palatino Linotype"/>
          <w:sz w:val="24"/>
          <w:szCs w:val="24"/>
        </w:rPr>
        <w:t xml:space="preserve">solicitó </w:t>
      </w:r>
      <w:r w:rsidR="00B605C2">
        <w:rPr>
          <w:rFonts w:ascii="Palatino Linotype" w:hAnsi="Palatino Linotype"/>
          <w:sz w:val="24"/>
          <w:szCs w:val="24"/>
        </w:rPr>
        <w:t xml:space="preserve">el inventario de bienes de la Dirección de Desarrollo Económico, a lo que el Sujeto Obligado respondió que, de acuerdo con diversos oficios, dicha Dirección y otra unidad administrativa, no fueron sujetas a Entrega-Recepción en virtud de que éstas no existían. </w:t>
      </w:r>
    </w:p>
    <w:p w:rsidR="00C248AC" w:rsidRDefault="00C248AC" w:rsidP="006A674A">
      <w:pPr>
        <w:spacing w:after="0" w:line="360" w:lineRule="auto"/>
        <w:jc w:val="both"/>
        <w:rPr>
          <w:rFonts w:ascii="Palatino Linotype" w:hAnsi="Palatino Linotype"/>
          <w:sz w:val="24"/>
          <w:szCs w:val="24"/>
        </w:rPr>
      </w:pPr>
    </w:p>
    <w:p w:rsidR="00C248AC" w:rsidRDefault="00C248AC" w:rsidP="006A674A">
      <w:pPr>
        <w:spacing w:after="0" w:line="360" w:lineRule="auto"/>
        <w:jc w:val="both"/>
        <w:rPr>
          <w:rFonts w:ascii="Palatino Linotype" w:hAnsi="Palatino Linotype"/>
          <w:sz w:val="24"/>
          <w:szCs w:val="24"/>
        </w:rPr>
      </w:pPr>
      <w:r>
        <w:rPr>
          <w:rFonts w:ascii="Palatino Linotype" w:hAnsi="Palatino Linotype"/>
          <w:sz w:val="24"/>
          <w:szCs w:val="24"/>
        </w:rPr>
        <w:t>De tal forma que es evidente que la respuesta no es congruente</w:t>
      </w:r>
      <w:r w:rsidR="008E0B39">
        <w:rPr>
          <w:rFonts w:ascii="Palatino Linotype" w:hAnsi="Palatino Linotype"/>
          <w:sz w:val="24"/>
          <w:szCs w:val="24"/>
        </w:rPr>
        <w:t xml:space="preserve"> con lo solicitado por el particular, pues éste en ningún momento solicit</w:t>
      </w:r>
      <w:r w:rsidR="004B3BFA">
        <w:rPr>
          <w:rFonts w:ascii="Palatino Linotype" w:hAnsi="Palatino Linotype"/>
          <w:sz w:val="24"/>
          <w:szCs w:val="24"/>
        </w:rPr>
        <w:t>ó un</w:t>
      </w:r>
      <w:r w:rsidR="008E0B39">
        <w:rPr>
          <w:rFonts w:ascii="Palatino Linotype" w:hAnsi="Palatino Linotype"/>
          <w:sz w:val="24"/>
          <w:szCs w:val="24"/>
        </w:rPr>
        <w:t xml:space="preserve"> acta de entrega-recepción, sino el inventario de bienes muebles de la Dirección de Desarrollo Económica.</w:t>
      </w:r>
    </w:p>
    <w:p w:rsidR="008E0B39" w:rsidRDefault="008E0B39" w:rsidP="006A674A">
      <w:pPr>
        <w:spacing w:after="0" w:line="360" w:lineRule="auto"/>
        <w:jc w:val="both"/>
        <w:rPr>
          <w:rFonts w:ascii="Palatino Linotype" w:hAnsi="Palatino Linotype"/>
          <w:sz w:val="24"/>
          <w:szCs w:val="24"/>
        </w:rPr>
      </w:pPr>
    </w:p>
    <w:p w:rsidR="00903CA9" w:rsidRPr="00903CA9" w:rsidRDefault="008E0B39" w:rsidP="00903CA9">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Ahora bien, es de destacarse </w:t>
      </w:r>
      <w:r w:rsidR="004B3BFA">
        <w:rPr>
          <w:rFonts w:ascii="Palatino Linotype" w:hAnsi="Palatino Linotype"/>
          <w:sz w:val="24"/>
          <w:szCs w:val="24"/>
        </w:rPr>
        <w:t xml:space="preserve">que en la respuesta, el Sujeto Obligado manifestó que la Dirección de Desarrollo Económico y la Unidad de Mejora Regulatoria no existían, y </w:t>
      </w:r>
      <w:r w:rsidR="004B3BFA">
        <w:rPr>
          <w:rFonts w:ascii="Palatino Linotype" w:hAnsi="Palatino Linotype"/>
          <w:sz w:val="24"/>
          <w:szCs w:val="24"/>
        </w:rPr>
        <w:lastRenderedPageBreak/>
        <w:t xml:space="preserve">por eso no se habían generado las correspondientes actas de entrega-recepción. Al respecto, se debe recordar que este Instituto no cuenta con la facultad de dudar de la veracidad de lo manifestado por los sujetos obligados, tal como se estableció </w:t>
      </w:r>
      <w:r w:rsidR="00903CA9">
        <w:rPr>
          <w:rFonts w:ascii="Palatino Linotype" w:hAnsi="Palatino Linotype"/>
          <w:sz w:val="24"/>
          <w:szCs w:val="24"/>
        </w:rPr>
        <w:t xml:space="preserve">en </w:t>
      </w:r>
      <w:r w:rsidR="00903CA9" w:rsidRPr="00903CA9">
        <w:rPr>
          <w:rFonts w:ascii="Palatino Linotype" w:hAnsi="Palatino Linotype"/>
          <w:sz w:val="24"/>
          <w:szCs w:val="24"/>
        </w:rPr>
        <w:t>el Criterio 31-10 emitido por el entonces Instituto Federal de Accesos a la Información y Protección de Datos, que a la letra establece lo siguiente:</w:t>
      </w:r>
    </w:p>
    <w:p w:rsidR="00903CA9" w:rsidRPr="00903CA9" w:rsidRDefault="00903CA9" w:rsidP="00903CA9">
      <w:pPr>
        <w:spacing w:after="0" w:line="360" w:lineRule="auto"/>
        <w:jc w:val="both"/>
        <w:rPr>
          <w:rFonts w:ascii="Palatino Linotype" w:hAnsi="Palatino Linotype"/>
          <w:sz w:val="24"/>
          <w:szCs w:val="24"/>
        </w:rPr>
      </w:pPr>
    </w:p>
    <w:p w:rsidR="008E0B39" w:rsidRDefault="00903CA9" w:rsidP="00903CA9">
      <w:pPr>
        <w:spacing w:after="0" w:line="240" w:lineRule="auto"/>
        <w:ind w:left="567" w:right="567"/>
        <w:jc w:val="both"/>
        <w:rPr>
          <w:rFonts w:ascii="Palatino Linotype" w:hAnsi="Palatino Linotype"/>
          <w:sz w:val="24"/>
          <w:szCs w:val="24"/>
        </w:rPr>
      </w:pPr>
      <w:r w:rsidRPr="00903CA9">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903CA9">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rsidR="003F3B7A" w:rsidRDefault="003F3B7A" w:rsidP="006A674A">
      <w:pPr>
        <w:spacing w:after="0" w:line="360" w:lineRule="auto"/>
        <w:jc w:val="both"/>
        <w:rPr>
          <w:rFonts w:ascii="Palatino Linotype" w:hAnsi="Palatino Linotype"/>
          <w:sz w:val="24"/>
          <w:szCs w:val="24"/>
        </w:rPr>
      </w:pPr>
    </w:p>
    <w:p w:rsidR="004B3BFA" w:rsidRDefault="00903CA9" w:rsidP="006A674A">
      <w:pPr>
        <w:spacing w:after="0" w:line="360" w:lineRule="auto"/>
        <w:jc w:val="both"/>
        <w:rPr>
          <w:rFonts w:ascii="Palatino Linotype" w:hAnsi="Palatino Linotype"/>
          <w:sz w:val="24"/>
          <w:szCs w:val="24"/>
        </w:rPr>
      </w:pPr>
      <w:r>
        <w:rPr>
          <w:rFonts w:ascii="Palatino Linotype" w:hAnsi="Palatino Linotype"/>
          <w:sz w:val="24"/>
          <w:szCs w:val="24"/>
        </w:rPr>
        <w:t>No obstante, aun cuando la Dirección de Desarrollo Económico no existiera en un momento dado, existe la obligación de contar con un área equivalente en el ámbito municipal según se estipula en el artículo 87 de la Ley Orgánica Municipal del Estado de México, que a la letra dispone lo siguiente:</w:t>
      </w:r>
    </w:p>
    <w:p w:rsidR="00903CA9" w:rsidRDefault="00903CA9" w:rsidP="006A674A">
      <w:pPr>
        <w:spacing w:after="0" w:line="360" w:lineRule="auto"/>
        <w:jc w:val="both"/>
        <w:rPr>
          <w:rFonts w:ascii="Palatino Linotype" w:hAnsi="Palatino Linotype"/>
          <w:sz w:val="24"/>
          <w:szCs w:val="24"/>
        </w:rPr>
      </w:pPr>
    </w:p>
    <w:p w:rsidR="00903CA9" w:rsidRPr="00903CA9" w:rsidRDefault="00903CA9" w:rsidP="00903CA9">
      <w:pPr>
        <w:spacing w:after="0" w:line="240" w:lineRule="auto"/>
        <w:ind w:left="567" w:right="567"/>
        <w:jc w:val="both"/>
        <w:rPr>
          <w:rFonts w:ascii="Palatino Linotype" w:hAnsi="Palatino Linotype"/>
          <w:i/>
        </w:rPr>
      </w:pPr>
      <w:r w:rsidRPr="00903CA9">
        <w:rPr>
          <w:rFonts w:ascii="Palatino Linotype" w:hAnsi="Palatino Linotype"/>
          <w:b/>
          <w:bCs/>
          <w:i/>
        </w:rPr>
        <w:t xml:space="preserve">Artículo 87.- </w:t>
      </w:r>
      <w:r w:rsidRPr="00903CA9">
        <w:rPr>
          <w:rFonts w:ascii="Palatino Linotype" w:hAnsi="Palatino Linotype"/>
          <w:b/>
          <w:i/>
          <w:u w:val="single"/>
        </w:rPr>
        <w:t>Para el despacho, estudio y planeación de los diversos asuntos de la administración municipal, el ayuntamiento contará por lo menos con las siguientes Dependencias</w:t>
      </w:r>
      <w:r w:rsidRPr="00903CA9">
        <w:rPr>
          <w:rFonts w:ascii="Palatino Linotype" w:hAnsi="Palatino Linotype"/>
          <w:i/>
        </w:rPr>
        <w:t xml:space="preserve">: </w:t>
      </w:r>
    </w:p>
    <w:p w:rsidR="00903CA9" w:rsidRPr="00903CA9" w:rsidRDefault="00903CA9" w:rsidP="00903CA9">
      <w:pPr>
        <w:spacing w:after="0" w:line="240" w:lineRule="auto"/>
        <w:ind w:left="567" w:right="567"/>
        <w:jc w:val="both"/>
        <w:rPr>
          <w:rFonts w:ascii="Palatino Linotype" w:hAnsi="Palatino Linotype"/>
          <w:i/>
        </w:rPr>
      </w:pPr>
    </w:p>
    <w:p w:rsidR="00903CA9" w:rsidRPr="00903CA9" w:rsidRDefault="00903CA9" w:rsidP="00903CA9">
      <w:pPr>
        <w:spacing w:after="0" w:line="240" w:lineRule="auto"/>
        <w:ind w:left="567" w:right="567"/>
        <w:jc w:val="both"/>
        <w:rPr>
          <w:rFonts w:ascii="Palatino Linotype" w:hAnsi="Palatino Linotype"/>
          <w:i/>
        </w:rPr>
      </w:pPr>
      <w:r w:rsidRPr="00903CA9">
        <w:rPr>
          <w:rFonts w:ascii="Palatino Linotype" w:hAnsi="Palatino Linotype"/>
          <w:i/>
        </w:rPr>
        <w:t xml:space="preserve">I. La secretaría del ayuntamiento; </w:t>
      </w:r>
    </w:p>
    <w:p w:rsidR="00903CA9" w:rsidRPr="00903CA9" w:rsidRDefault="00903CA9" w:rsidP="00903CA9">
      <w:pPr>
        <w:spacing w:after="0" w:line="240" w:lineRule="auto"/>
        <w:ind w:left="567" w:right="567"/>
        <w:jc w:val="both"/>
        <w:rPr>
          <w:rFonts w:ascii="Palatino Linotype" w:hAnsi="Palatino Linotype"/>
          <w:i/>
        </w:rPr>
      </w:pPr>
      <w:r w:rsidRPr="00903CA9">
        <w:rPr>
          <w:rFonts w:ascii="Palatino Linotype" w:hAnsi="Palatino Linotype"/>
          <w:i/>
        </w:rPr>
        <w:t xml:space="preserve">II. La tesorería municipal. </w:t>
      </w:r>
    </w:p>
    <w:p w:rsidR="00903CA9" w:rsidRPr="00903CA9" w:rsidRDefault="00903CA9" w:rsidP="00903CA9">
      <w:pPr>
        <w:spacing w:after="0" w:line="240" w:lineRule="auto"/>
        <w:ind w:left="567" w:right="567"/>
        <w:jc w:val="both"/>
        <w:rPr>
          <w:rFonts w:ascii="Palatino Linotype" w:hAnsi="Palatino Linotype"/>
          <w:i/>
        </w:rPr>
      </w:pPr>
      <w:r w:rsidRPr="00903CA9">
        <w:rPr>
          <w:rFonts w:ascii="Palatino Linotype" w:hAnsi="Palatino Linotype"/>
          <w:i/>
        </w:rPr>
        <w:lastRenderedPageBreak/>
        <w:t xml:space="preserve">III. La Dirección de Obras Públicas o equivalente. </w:t>
      </w:r>
    </w:p>
    <w:p w:rsidR="00903CA9" w:rsidRPr="00903CA9" w:rsidRDefault="00903CA9" w:rsidP="00903CA9">
      <w:pPr>
        <w:spacing w:after="0" w:line="240" w:lineRule="auto"/>
        <w:ind w:left="567" w:right="567"/>
        <w:jc w:val="both"/>
        <w:rPr>
          <w:rFonts w:ascii="Palatino Linotype" w:hAnsi="Palatino Linotype"/>
          <w:i/>
        </w:rPr>
      </w:pPr>
      <w:r w:rsidRPr="00903CA9">
        <w:rPr>
          <w:rFonts w:ascii="Palatino Linotype" w:hAnsi="Palatino Linotype"/>
          <w:b/>
          <w:i/>
          <w:u w:val="single"/>
        </w:rPr>
        <w:t>IV. La Dirección de Desarrollo Económico o equivalente</w:t>
      </w:r>
      <w:r w:rsidRPr="00903CA9">
        <w:rPr>
          <w:rFonts w:ascii="Palatino Linotype" w:hAnsi="Palatino Linotype"/>
          <w:i/>
        </w:rPr>
        <w:t xml:space="preserve">. </w:t>
      </w:r>
    </w:p>
    <w:p w:rsidR="00903CA9" w:rsidRPr="00903CA9" w:rsidRDefault="00903CA9" w:rsidP="00903CA9">
      <w:pPr>
        <w:spacing w:after="0" w:line="240" w:lineRule="auto"/>
        <w:ind w:left="567" w:right="567"/>
        <w:jc w:val="both"/>
        <w:rPr>
          <w:rFonts w:ascii="Palatino Linotype" w:hAnsi="Palatino Linotype"/>
          <w:i/>
        </w:rPr>
      </w:pPr>
      <w:r w:rsidRPr="00903CA9">
        <w:rPr>
          <w:rFonts w:ascii="Palatino Linotype" w:hAnsi="Palatino Linotype"/>
          <w:i/>
        </w:rPr>
        <w:t xml:space="preserve">V. La Dirección de Desarrollo Urbano o equivalente; </w:t>
      </w:r>
    </w:p>
    <w:p w:rsidR="00903CA9" w:rsidRPr="00903CA9" w:rsidRDefault="00903CA9" w:rsidP="00903CA9">
      <w:pPr>
        <w:spacing w:after="0" w:line="240" w:lineRule="auto"/>
        <w:ind w:left="567" w:right="567"/>
        <w:jc w:val="both"/>
        <w:rPr>
          <w:rFonts w:ascii="Palatino Linotype" w:hAnsi="Palatino Linotype"/>
          <w:i/>
        </w:rPr>
      </w:pPr>
      <w:r w:rsidRPr="00903CA9">
        <w:rPr>
          <w:rFonts w:ascii="Palatino Linotype" w:hAnsi="Palatino Linotype"/>
          <w:i/>
        </w:rPr>
        <w:t xml:space="preserve">VI. La Dirección de Ecología o equivalente; y </w:t>
      </w:r>
    </w:p>
    <w:p w:rsidR="00903CA9" w:rsidRPr="00903CA9" w:rsidRDefault="00903CA9" w:rsidP="00903CA9">
      <w:pPr>
        <w:spacing w:after="0" w:line="240" w:lineRule="auto"/>
        <w:ind w:left="567" w:right="567"/>
        <w:jc w:val="both"/>
        <w:rPr>
          <w:rFonts w:ascii="Palatino Linotype" w:hAnsi="Palatino Linotype"/>
          <w:i/>
        </w:rPr>
      </w:pPr>
      <w:r w:rsidRPr="00903CA9">
        <w:rPr>
          <w:rFonts w:ascii="Palatino Linotype" w:hAnsi="Palatino Linotype"/>
          <w:i/>
        </w:rPr>
        <w:t>VII. Unidad Municipal de Protección Civil o equivalente.</w:t>
      </w:r>
    </w:p>
    <w:p w:rsidR="004B3BFA" w:rsidRDefault="004B3BFA" w:rsidP="006A674A">
      <w:pPr>
        <w:spacing w:after="0" w:line="360" w:lineRule="auto"/>
        <w:jc w:val="both"/>
        <w:rPr>
          <w:rFonts w:ascii="Palatino Linotype" w:hAnsi="Palatino Linotype"/>
          <w:sz w:val="24"/>
          <w:szCs w:val="24"/>
        </w:rPr>
      </w:pPr>
    </w:p>
    <w:p w:rsidR="004B3BFA" w:rsidRDefault="00903CA9" w:rsidP="006A674A">
      <w:pPr>
        <w:spacing w:after="0" w:line="360" w:lineRule="auto"/>
        <w:jc w:val="both"/>
        <w:rPr>
          <w:rFonts w:ascii="Palatino Linotype" w:hAnsi="Palatino Linotype"/>
          <w:sz w:val="24"/>
          <w:szCs w:val="24"/>
        </w:rPr>
      </w:pPr>
      <w:r>
        <w:rPr>
          <w:rFonts w:ascii="Palatino Linotype" w:hAnsi="Palatino Linotype"/>
          <w:sz w:val="24"/>
          <w:szCs w:val="24"/>
        </w:rPr>
        <w:t xml:space="preserve">De lo anterior, se colige que el Sujeto Obligado está constreñido a contar con una Dirección de Desarrollo Económico u otra unidad administrativa equivalente, por lo cual es dable </w:t>
      </w:r>
      <w:r w:rsidR="00A525CB">
        <w:rPr>
          <w:rFonts w:ascii="Palatino Linotype" w:hAnsi="Palatino Linotype"/>
          <w:sz w:val="24"/>
          <w:szCs w:val="24"/>
        </w:rPr>
        <w:t>deducir que el Sujeto Obligado contó con una unidad administrativa con las atribuciones equivalentes a la Dirección de Desarrollo Económico, por tanto, se debe contar con la información relativa a dicha unidad en el caso de que la información se haya generado antes de la creación de la Dirección de Desarrollo Económico que actualmente está en funciones en el municipio de Ecatzingo.</w:t>
      </w:r>
    </w:p>
    <w:p w:rsidR="00A525CB" w:rsidRDefault="00A525CB" w:rsidP="006A674A">
      <w:pPr>
        <w:spacing w:after="0" w:line="360" w:lineRule="auto"/>
        <w:jc w:val="both"/>
        <w:rPr>
          <w:rFonts w:ascii="Palatino Linotype" w:hAnsi="Palatino Linotype"/>
          <w:sz w:val="24"/>
          <w:szCs w:val="24"/>
        </w:rPr>
      </w:pPr>
    </w:p>
    <w:p w:rsidR="00A525CB" w:rsidRDefault="00A525CB" w:rsidP="006A674A">
      <w:pPr>
        <w:spacing w:after="0" w:line="360" w:lineRule="auto"/>
        <w:jc w:val="both"/>
        <w:rPr>
          <w:rFonts w:ascii="Palatino Linotype" w:hAnsi="Palatino Linotype"/>
          <w:sz w:val="24"/>
          <w:szCs w:val="24"/>
        </w:rPr>
      </w:pPr>
      <w:r>
        <w:rPr>
          <w:rFonts w:ascii="Palatino Linotype" w:hAnsi="Palatino Linotype"/>
          <w:sz w:val="24"/>
          <w:szCs w:val="24"/>
        </w:rPr>
        <w:t>En este punto es menester resaltar el hecho de que actualmente sí existe la Dirección en comento, pues la Unidad de Transparencia giró el requerimiento a su Titular, quien respondió lo que ya quedó señalado en párrafos anteriores.</w:t>
      </w:r>
    </w:p>
    <w:p w:rsidR="00A525CB" w:rsidRDefault="00A525CB" w:rsidP="006A674A">
      <w:pPr>
        <w:spacing w:after="0" w:line="360" w:lineRule="auto"/>
        <w:jc w:val="both"/>
        <w:rPr>
          <w:rFonts w:ascii="Palatino Linotype" w:hAnsi="Palatino Linotype"/>
          <w:sz w:val="24"/>
          <w:szCs w:val="24"/>
        </w:rPr>
      </w:pPr>
    </w:p>
    <w:p w:rsidR="00A525CB" w:rsidRDefault="00A525CB" w:rsidP="006A674A">
      <w:pPr>
        <w:spacing w:after="0" w:line="360" w:lineRule="auto"/>
        <w:jc w:val="both"/>
        <w:rPr>
          <w:rFonts w:ascii="Palatino Linotype" w:hAnsi="Palatino Linotype"/>
          <w:sz w:val="24"/>
          <w:szCs w:val="24"/>
        </w:rPr>
      </w:pPr>
      <w:r>
        <w:rPr>
          <w:rFonts w:ascii="Palatino Linotype" w:hAnsi="Palatino Linotype"/>
          <w:sz w:val="24"/>
          <w:szCs w:val="24"/>
        </w:rPr>
        <w:t>En ese contexto, derivado de la respuesta del Sujeto Obligado en la que hizo mención de diversos oficios</w:t>
      </w:r>
      <w:r w:rsidR="00657388">
        <w:rPr>
          <w:rFonts w:ascii="Palatino Linotype" w:hAnsi="Palatino Linotype"/>
          <w:sz w:val="24"/>
          <w:szCs w:val="24"/>
        </w:rPr>
        <w:t xml:space="preserve">, el Recurrente manifestó como motivos de inconformidad que no se le hizo entrega de esos oficios, con los que se informó la inexistencia de la entrega-recepción de la multicitada Dirección de Desarrollo Económico y otra unidad administrativa. De tal forma que es necesario que este Instituto, en apego a lo establecido en el artículo 13 de la Ley de Transparencia y Acceso a la Información </w:t>
      </w:r>
      <w:r w:rsidR="00657388">
        <w:rPr>
          <w:rFonts w:ascii="Palatino Linotype" w:hAnsi="Palatino Linotype"/>
          <w:sz w:val="24"/>
          <w:szCs w:val="24"/>
        </w:rPr>
        <w:lastRenderedPageBreak/>
        <w:t>Pública del Estado de México y Municipios</w:t>
      </w:r>
      <w:r w:rsidR="00657388">
        <w:rPr>
          <w:rStyle w:val="Refdenotaalpie"/>
          <w:rFonts w:ascii="Palatino Linotype" w:hAnsi="Palatino Linotype"/>
          <w:sz w:val="24"/>
          <w:szCs w:val="24"/>
        </w:rPr>
        <w:footnoteReference w:id="2"/>
      </w:r>
      <w:r w:rsidR="00680E1F">
        <w:rPr>
          <w:rFonts w:ascii="Palatino Linotype" w:hAnsi="Palatino Linotype"/>
          <w:sz w:val="24"/>
          <w:szCs w:val="24"/>
        </w:rPr>
        <w:t>, por lo que se suple la deficiencia de los motivos de inconformidad, con el propósito de que se le entregue al Recurrente el documento idóneo que satisfaga su derecho al acceso a la información pública.</w:t>
      </w:r>
    </w:p>
    <w:p w:rsidR="00680E1F" w:rsidRDefault="00680E1F" w:rsidP="006A674A">
      <w:pPr>
        <w:spacing w:after="0" w:line="360" w:lineRule="auto"/>
        <w:jc w:val="both"/>
        <w:rPr>
          <w:rFonts w:ascii="Palatino Linotype" w:hAnsi="Palatino Linotype"/>
          <w:sz w:val="24"/>
          <w:szCs w:val="24"/>
        </w:rPr>
      </w:pPr>
    </w:p>
    <w:p w:rsidR="00680E1F" w:rsidRDefault="00680E1F" w:rsidP="006A674A">
      <w:pPr>
        <w:spacing w:after="0" w:line="360" w:lineRule="auto"/>
        <w:jc w:val="both"/>
        <w:rPr>
          <w:rFonts w:ascii="Palatino Linotype" w:hAnsi="Palatino Linotype"/>
          <w:sz w:val="24"/>
          <w:szCs w:val="24"/>
        </w:rPr>
      </w:pPr>
      <w:r>
        <w:rPr>
          <w:rFonts w:ascii="Palatino Linotype" w:hAnsi="Palatino Linotype"/>
          <w:sz w:val="24"/>
          <w:szCs w:val="24"/>
        </w:rPr>
        <w:t>En esa tesitura, se observa que la Unidad de Transparencia únicamente giró el requerimiento a la actual Dirección de Desarrollo Económico, sin contemplar que existen otras áreas del Sujeto Obligado que pueden contar con la información solicitada, contraviniendo lo establecido en el artículo 162 de la Ley de la Materia, que a la letra establece lo siguiente:</w:t>
      </w:r>
    </w:p>
    <w:p w:rsidR="00680E1F" w:rsidRDefault="00680E1F" w:rsidP="006A674A">
      <w:pPr>
        <w:spacing w:after="0" w:line="360" w:lineRule="auto"/>
        <w:jc w:val="both"/>
        <w:rPr>
          <w:rFonts w:ascii="Palatino Linotype" w:hAnsi="Palatino Linotype"/>
          <w:sz w:val="24"/>
          <w:szCs w:val="24"/>
        </w:rPr>
      </w:pPr>
    </w:p>
    <w:p w:rsidR="00680E1F" w:rsidRPr="00680E1F" w:rsidRDefault="00680E1F" w:rsidP="00680E1F">
      <w:pPr>
        <w:spacing w:after="0" w:line="240" w:lineRule="auto"/>
        <w:ind w:left="567" w:right="567"/>
        <w:jc w:val="both"/>
        <w:rPr>
          <w:rFonts w:ascii="Palatino Linotype" w:hAnsi="Palatino Linotype"/>
          <w:i/>
        </w:rPr>
      </w:pPr>
      <w:r w:rsidRPr="00680E1F">
        <w:rPr>
          <w:rFonts w:ascii="Palatino Linotype" w:hAnsi="Palatino Linotype"/>
          <w:b/>
          <w:bCs/>
          <w:i/>
        </w:rPr>
        <w:t xml:space="preserve">Artículo 162. </w:t>
      </w:r>
      <w:r w:rsidRPr="00680E1F">
        <w:rPr>
          <w:rFonts w:ascii="Palatino Linotype" w:hAnsi="Palatino Linotype"/>
          <w:i/>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680E1F" w:rsidRDefault="00680E1F" w:rsidP="006A674A">
      <w:pPr>
        <w:spacing w:after="0" w:line="360" w:lineRule="auto"/>
        <w:jc w:val="both"/>
        <w:rPr>
          <w:rFonts w:ascii="Palatino Linotype" w:hAnsi="Palatino Linotype"/>
          <w:sz w:val="24"/>
          <w:szCs w:val="24"/>
        </w:rPr>
      </w:pPr>
    </w:p>
    <w:p w:rsidR="004B3BFA" w:rsidRDefault="00680E1F" w:rsidP="006A674A">
      <w:pPr>
        <w:spacing w:after="0" w:line="360" w:lineRule="auto"/>
        <w:jc w:val="both"/>
        <w:rPr>
          <w:rFonts w:ascii="Palatino Linotype" w:hAnsi="Palatino Linotype"/>
          <w:sz w:val="24"/>
          <w:szCs w:val="24"/>
        </w:rPr>
      </w:pPr>
      <w:r>
        <w:rPr>
          <w:rFonts w:ascii="Palatino Linotype" w:hAnsi="Palatino Linotype"/>
          <w:sz w:val="24"/>
          <w:szCs w:val="24"/>
        </w:rPr>
        <w:t xml:space="preserve">De tal forma que es un deber de las unidades de transparencia turnar las solicitudes entre las unidades administrativas que consideren competentes para conocer de la información solicitada, en el caso en concreto, se tiene que la Ley Orgánica Municipal del Estado de México señala en sus artículos </w:t>
      </w:r>
      <w:r w:rsidR="0082723F">
        <w:rPr>
          <w:rFonts w:ascii="Palatino Linotype" w:hAnsi="Palatino Linotype"/>
          <w:sz w:val="24"/>
          <w:szCs w:val="24"/>
        </w:rPr>
        <w:t>53 fracción VII, 91 fracción XI y 95 fracción IV, lo siguiente:</w:t>
      </w:r>
    </w:p>
    <w:p w:rsidR="0082723F" w:rsidRDefault="0082723F" w:rsidP="006A674A">
      <w:pPr>
        <w:spacing w:after="0" w:line="360" w:lineRule="auto"/>
        <w:jc w:val="both"/>
        <w:rPr>
          <w:rFonts w:ascii="Palatino Linotype" w:hAnsi="Palatino Linotype"/>
          <w:sz w:val="24"/>
          <w:szCs w:val="24"/>
        </w:rPr>
      </w:pPr>
    </w:p>
    <w:p w:rsidR="0082723F" w:rsidRPr="00C91B7F" w:rsidRDefault="0082723F" w:rsidP="00C91B7F">
      <w:pPr>
        <w:spacing w:after="0" w:line="240" w:lineRule="auto"/>
        <w:ind w:left="567" w:right="567"/>
        <w:jc w:val="both"/>
        <w:rPr>
          <w:rFonts w:ascii="Palatino Linotype" w:hAnsi="Palatino Linotype"/>
          <w:i/>
        </w:rPr>
      </w:pPr>
      <w:r w:rsidRPr="00C91B7F">
        <w:rPr>
          <w:rFonts w:ascii="Palatino Linotype" w:hAnsi="Palatino Linotype"/>
          <w:b/>
          <w:bCs/>
          <w:i/>
        </w:rPr>
        <w:t xml:space="preserve">Artículo 53.- </w:t>
      </w:r>
      <w:r w:rsidRPr="00C91B7F">
        <w:rPr>
          <w:rFonts w:ascii="Palatino Linotype" w:hAnsi="Palatino Linotype"/>
          <w:b/>
          <w:i/>
          <w:u w:val="single"/>
        </w:rPr>
        <w:t>Los síndicos tendrán las siguientes atribuciones</w:t>
      </w:r>
      <w:r w:rsidRPr="00C91B7F">
        <w:rPr>
          <w:rFonts w:ascii="Palatino Linotype" w:hAnsi="Palatino Linotype"/>
          <w:i/>
        </w:rPr>
        <w:t>:</w:t>
      </w:r>
    </w:p>
    <w:p w:rsidR="004B3BFA" w:rsidRPr="00C91B7F" w:rsidRDefault="0082723F" w:rsidP="00C91B7F">
      <w:pPr>
        <w:spacing w:after="0" w:line="240" w:lineRule="auto"/>
        <w:ind w:left="567" w:right="567"/>
        <w:jc w:val="both"/>
        <w:rPr>
          <w:rFonts w:ascii="Palatino Linotype" w:hAnsi="Palatino Linotype"/>
          <w:i/>
        </w:rPr>
      </w:pPr>
      <w:r w:rsidRPr="00C91B7F">
        <w:rPr>
          <w:rFonts w:ascii="Palatino Linotype" w:hAnsi="Palatino Linotype"/>
          <w:i/>
        </w:rPr>
        <w:t>(…)</w:t>
      </w:r>
    </w:p>
    <w:p w:rsidR="004B3BFA" w:rsidRPr="00C91B7F" w:rsidRDefault="0082723F" w:rsidP="00C91B7F">
      <w:pPr>
        <w:spacing w:after="0" w:line="240" w:lineRule="auto"/>
        <w:ind w:left="567" w:right="567"/>
        <w:jc w:val="both"/>
        <w:rPr>
          <w:rFonts w:ascii="Palatino Linotype" w:hAnsi="Palatino Linotype"/>
          <w:i/>
        </w:rPr>
      </w:pPr>
      <w:r w:rsidRPr="00C91B7F">
        <w:rPr>
          <w:rFonts w:ascii="Palatino Linotype" w:hAnsi="Palatino Linotype"/>
          <w:b/>
          <w:i/>
        </w:rPr>
        <w:t>VII.</w:t>
      </w:r>
      <w:r w:rsidRPr="00C91B7F">
        <w:rPr>
          <w:rFonts w:ascii="Palatino Linotype" w:hAnsi="Palatino Linotype"/>
          <w:i/>
        </w:rPr>
        <w:t xml:space="preserve"> </w:t>
      </w:r>
      <w:r w:rsidRPr="00C91B7F">
        <w:rPr>
          <w:rFonts w:ascii="Palatino Linotype" w:hAnsi="Palatino Linotype"/>
          <w:b/>
          <w:i/>
          <w:u w:val="single"/>
        </w:rPr>
        <w:t>Intervenir en la formulación del inventario general de los bienes muebles</w:t>
      </w:r>
      <w:r w:rsidRPr="00C91B7F">
        <w:rPr>
          <w:rFonts w:ascii="Palatino Linotype" w:hAnsi="Palatino Linotype"/>
          <w:i/>
        </w:rPr>
        <w:t xml:space="preserve"> e inmuebles </w:t>
      </w:r>
      <w:r w:rsidRPr="00C91B7F">
        <w:rPr>
          <w:rFonts w:ascii="Palatino Linotype" w:hAnsi="Palatino Linotype"/>
          <w:b/>
          <w:i/>
          <w:u w:val="single"/>
        </w:rPr>
        <w:t xml:space="preserve">propiedad del municipio, haciendo que se inscriban en el libro especial, </w:t>
      </w:r>
      <w:r w:rsidRPr="00C91B7F">
        <w:rPr>
          <w:rFonts w:ascii="Palatino Linotype" w:hAnsi="Palatino Linotype"/>
          <w:b/>
          <w:i/>
          <w:u w:val="single"/>
        </w:rPr>
        <w:lastRenderedPageBreak/>
        <w:t>con expresión de sus valores y de todas las características de identificación, así como el uso y destino de los mismos</w:t>
      </w:r>
      <w:r w:rsidRPr="00C91B7F">
        <w:rPr>
          <w:rFonts w:ascii="Palatino Linotype" w:hAnsi="Palatino Linotype"/>
          <w:i/>
        </w:rPr>
        <w:t>;</w:t>
      </w:r>
    </w:p>
    <w:p w:rsidR="004B3BFA" w:rsidRPr="00C91B7F" w:rsidRDefault="0082723F" w:rsidP="00C91B7F">
      <w:pPr>
        <w:spacing w:after="0" w:line="240" w:lineRule="auto"/>
        <w:ind w:left="567" w:right="567"/>
        <w:jc w:val="both"/>
        <w:rPr>
          <w:rFonts w:ascii="Palatino Linotype" w:hAnsi="Palatino Linotype"/>
          <w:i/>
        </w:rPr>
      </w:pPr>
      <w:r w:rsidRPr="00C91B7F">
        <w:rPr>
          <w:rFonts w:ascii="Palatino Linotype" w:hAnsi="Palatino Linotype"/>
          <w:i/>
        </w:rPr>
        <w:t>(…)</w:t>
      </w:r>
    </w:p>
    <w:p w:rsidR="0082723F" w:rsidRPr="00C91B7F" w:rsidRDefault="0082723F" w:rsidP="00C91B7F">
      <w:pPr>
        <w:spacing w:after="0" w:line="240" w:lineRule="auto"/>
        <w:ind w:left="567" w:right="567"/>
        <w:jc w:val="both"/>
        <w:rPr>
          <w:rFonts w:ascii="Palatino Linotype" w:hAnsi="Palatino Linotype"/>
          <w:i/>
        </w:rPr>
      </w:pPr>
    </w:p>
    <w:p w:rsidR="0082723F" w:rsidRPr="00C91B7F" w:rsidRDefault="0082723F" w:rsidP="00C91B7F">
      <w:pPr>
        <w:spacing w:after="0" w:line="240" w:lineRule="auto"/>
        <w:ind w:left="567" w:right="567"/>
        <w:jc w:val="both"/>
        <w:rPr>
          <w:rFonts w:ascii="Palatino Linotype" w:hAnsi="Palatino Linotype"/>
          <w:i/>
        </w:rPr>
      </w:pPr>
      <w:r w:rsidRPr="00C91B7F">
        <w:rPr>
          <w:rFonts w:ascii="Palatino Linotype" w:hAnsi="Palatino Linotype"/>
          <w:b/>
          <w:bCs/>
          <w:i/>
        </w:rPr>
        <w:t xml:space="preserve">Artículo 91.- </w:t>
      </w:r>
      <w:r w:rsidRPr="00C91B7F">
        <w:rPr>
          <w:rFonts w:ascii="Palatino Linotype" w:hAnsi="Palatino Linotype"/>
          <w:b/>
          <w:i/>
          <w:u w:val="single"/>
        </w:rPr>
        <w:t>La Secretaría del Ayuntamiento estará a cargo de un Secretario</w:t>
      </w:r>
      <w:r w:rsidRPr="00C91B7F">
        <w:rPr>
          <w:rFonts w:ascii="Palatino Linotype" w:hAnsi="Palatino Linotype"/>
          <w:i/>
        </w:rPr>
        <w:t xml:space="preserve">, el que, sin ser miembro del mismo, deberá ser nombrado por el propio Ayuntamiento a propuesta del Presidente Municipal como lo marca el artículo 31 de la presente ley. Sus faltas temporales serán cubiertas por quien designe el Ayuntamiento y </w:t>
      </w:r>
      <w:r w:rsidRPr="00C91B7F">
        <w:rPr>
          <w:rFonts w:ascii="Palatino Linotype" w:hAnsi="Palatino Linotype"/>
          <w:b/>
          <w:i/>
          <w:u w:val="single"/>
        </w:rPr>
        <w:t>sus atribuciones son las siguientes</w:t>
      </w:r>
      <w:r w:rsidRPr="00C91B7F">
        <w:rPr>
          <w:rFonts w:ascii="Palatino Linotype" w:hAnsi="Palatino Linotype"/>
          <w:i/>
        </w:rPr>
        <w:t>:</w:t>
      </w:r>
    </w:p>
    <w:p w:rsidR="0082723F" w:rsidRPr="00C91B7F" w:rsidRDefault="0082723F" w:rsidP="00C91B7F">
      <w:pPr>
        <w:spacing w:after="0" w:line="240" w:lineRule="auto"/>
        <w:ind w:left="567" w:right="567"/>
        <w:jc w:val="both"/>
        <w:rPr>
          <w:rFonts w:ascii="Palatino Linotype" w:hAnsi="Palatino Linotype"/>
          <w:i/>
        </w:rPr>
      </w:pPr>
      <w:r w:rsidRPr="00C91B7F">
        <w:rPr>
          <w:rFonts w:ascii="Palatino Linotype" w:hAnsi="Palatino Linotype"/>
          <w:i/>
        </w:rPr>
        <w:t>(…)</w:t>
      </w:r>
    </w:p>
    <w:p w:rsidR="0082723F" w:rsidRPr="00C91B7F" w:rsidRDefault="0082723F" w:rsidP="00C91B7F">
      <w:pPr>
        <w:spacing w:after="0" w:line="240" w:lineRule="auto"/>
        <w:ind w:left="567" w:right="567"/>
        <w:jc w:val="both"/>
        <w:rPr>
          <w:rFonts w:ascii="Palatino Linotype" w:hAnsi="Palatino Linotype"/>
          <w:i/>
        </w:rPr>
      </w:pPr>
      <w:r w:rsidRPr="00C91B7F">
        <w:rPr>
          <w:rFonts w:ascii="Palatino Linotype" w:hAnsi="Palatino Linotype"/>
          <w:b/>
          <w:i/>
        </w:rPr>
        <w:t>XI.</w:t>
      </w:r>
      <w:r w:rsidRPr="00C91B7F">
        <w:rPr>
          <w:rFonts w:ascii="Palatino Linotype" w:hAnsi="Palatino Linotype"/>
          <w:i/>
        </w:rPr>
        <w:t xml:space="preserve"> </w:t>
      </w:r>
      <w:r w:rsidRPr="00C91B7F">
        <w:rPr>
          <w:rFonts w:ascii="Palatino Linotype" w:hAnsi="Palatino Linotype"/>
          <w:b/>
          <w:i/>
          <w:u w:val="single"/>
        </w:rPr>
        <w:t>Elaborar con la intervención del síndico el inventario general de los bienes muebles</w:t>
      </w:r>
      <w:r w:rsidRPr="00C91B7F">
        <w:rPr>
          <w:rFonts w:ascii="Palatino Linotype" w:hAnsi="Palatino Linotype"/>
          <w:i/>
        </w:rPr>
        <w:t xml:space="preserve"> e inmuebles </w:t>
      </w:r>
      <w:r w:rsidRPr="00C91B7F">
        <w:rPr>
          <w:rFonts w:ascii="Palatino Linotype" w:hAnsi="Palatino Linotype"/>
          <w:b/>
          <w:i/>
          <w:u w:val="single"/>
        </w:rPr>
        <w:t>municipales, así como la integración del sistema de información inmobiliaria, que contemple los bienes del dominio público y privado</w:t>
      </w:r>
      <w:r w:rsidRPr="00C91B7F">
        <w:rPr>
          <w:rFonts w:ascii="Palatino Linotype" w:hAnsi="Palatino Linotype"/>
          <w:i/>
        </w:rPr>
        <w:t xml:space="preserve">, en un término que no exceda de un año contado a partir de la instalación del ayuntamiento y presentarlo al cabildo para su conocimiento y opinión. </w:t>
      </w:r>
    </w:p>
    <w:p w:rsidR="0082723F" w:rsidRPr="00C91B7F" w:rsidRDefault="0082723F" w:rsidP="00C91B7F">
      <w:pPr>
        <w:spacing w:after="0" w:line="240" w:lineRule="auto"/>
        <w:ind w:left="567" w:right="567"/>
        <w:jc w:val="both"/>
        <w:rPr>
          <w:rFonts w:ascii="Palatino Linotype" w:hAnsi="Palatino Linotype"/>
          <w:i/>
        </w:rPr>
      </w:pPr>
    </w:p>
    <w:p w:rsidR="004B3BFA" w:rsidRPr="00C91B7F" w:rsidRDefault="0082723F" w:rsidP="00C91B7F">
      <w:pPr>
        <w:spacing w:after="0" w:line="240" w:lineRule="auto"/>
        <w:ind w:left="567" w:right="567"/>
        <w:jc w:val="both"/>
        <w:rPr>
          <w:rFonts w:ascii="Palatino Linotype" w:hAnsi="Palatino Linotype"/>
          <w:i/>
        </w:rPr>
      </w:pPr>
      <w:r w:rsidRPr="00C91B7F">
        <w:rPr>
          <w:rFonts w:ascii="Palatino Linotype" w:hAnsi="Palatino Linotype"/>
          <w:i/>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rsidR="004B3BFA" w:rsidRPr="00C91B7F" w:rsidRDefault="0082723F" w:rsidP="00C91B7F">
      <w:pPr>
        <w:spacing w:after="0" w:line="240" w:lineRule="auto"/>
        <w:ind w:left="567" w:right="567"/>
        <w:jc w:val="both"/>
        <w:rPr>
          <w:rFonts w:ascii="Palatino Linotype" w:hAnsi="Palatino Linotype"/>
          <w:i/>
        </w:rPr>
      </w:pPr>
      <w:r w:rsidRPr="00C91B7F">
        <w:rPr>
          <w:rFonts w:ascii="Palatino Linotype" w:hAnsi="Palatino Linotype"/>
          <w:i/>
        </w:rPr>
        <w:t>(…)</w:t>
      </w:r>
    </w:p>
    <w:p w:rsidR="0082723F" w:rsidRPr="00C91B7F" w:rsidRDefault="0082723F" w:rsidP="00C91B7F">
      <w:pPr>
        <w:spacing w:after="0" w:line="240" w:lineRule="auto"/>
        <w:ind w:left="567" w:right="567"/>
        <w:jc w:val="both"/>
        <w:rPr>
          <w:rFonts w:ascii="Palatino Linotype" w:hAnsi="Palatino Linotype"/>
          <w:i/>
        </w:rPr>
      </w:pPr>
    </w:p>
    <w:p w:rsidR="0082723F" w:rsidRPr="00C91B7F" w:rsidRDefault="0082723F" w:rsidP="00C91B7F">
      <w:pPr>
        <w:spacing w:after="0" w:line="240" w:lineRule="auto"/>
        <w:ind w:left="567" w:right="567"/>
        <w:jc w:val="both"/>
        <w:rPr>
          <w:rFonts w:ascii="Palatino Linotype" w:hAnsi="Palatino Linotype"/>
          <w:i/>
        </w:rPr>
      </w:pPr>
      <w:r w:rsidRPr="00C91B7F">
        <w:rPr>
          <w:rFonts w:ascii="Palatino Linotype" w:hAnsi="Palatino Linotype"/>
          <w:b/>
          <w:bCs/>
          <w:i/>
        </w:rPr>
        <w:t xml:space="preserve">Artículo 95.- </w:t>
      </w:r>
      <w:r w:rsidRPr="00C91B7F">
        <w:rPr>
          <w:rFonts w:ascii="Palatino Linotype" w:hAnsi="Palatino Linotype"/>
          <w:b/>
          <w:i/>
          <w:u w:val="single"/>
        </w:rPr>
        <w:t>Son atribuciones del tesorero municipal</w:t>
      </w:r>
      <w:r w:rsidRPr="00C91B7F">
        <w:rPr>
          <w:rFonts w:ascii="Palatino Linotype" w:hAnsi="Palatino Linotype"/>
          <w:i/>
        </w:rPr>
        <w:t>:</w:t>
      </w:r>
    </w:p>
    <w:p w:rsidR="004B3BFA" w:rsidRPr="00C91B7F" w:rsidRDefault="00C91B7F" w:rsidP="00C91B7F">
      <w:pPr>
        <w:spacing w:after="0" w:line="240" w:lineRule="auto"/>
        <w:ind w:left="567" w:right="567"/>
        <w:jc w:val="both"/>
        <w:rPr>
          <w:rFonts w:ascii="Palatino Linotype" w:hAnsi="Palatino Linotype"/>
          <w:i/>
        </w:rPr>
      </w:pPr>
      <w:r w:rsidRPr="00C91B7F">
        <w:rPr>
          <w:rFonts w:ascii="Palatino Linotype" w:hAnsi="Palatino Linotype"/>
          <w:i/>
        </w:rPr>
        <w:t>(…)</w:t>
      </w:r>
    </w:p>
    <w:p w:rsidR="004B3BFA" w:rsidRPr="00C91B7F" w:rsidRDefault="00C91B7F" w:rsidP="00C91B7F">
      <w:pPr>
        <w:spacing w:after="0" w:line="240" w:lineRule="auto"/>
        <w:ind w:left="567" w:right="567"/>
        <w:jc w:val="both"/>
        <w:rPr>
          <w:rFonts w:ascii="Palatino Linotype" w:hAnsi="Palatino Linotype"/>
          <w:i/>
        </w:rPr>
      </w:pPr>
      <w:r w:rsidRPr="00C91B7F">
        <w:rPr>
          <w:rFonts w:ascii="Palatino Linotype" w:hAnsi="Palatino Linotype"/>
          <w:b/>
          <w:i/>
        </w:rPr>
        <w:t>IV.</w:t>
      </w:r>
      <w:r w:rsidRPr="00C91B7F">
        <w:rPr>
          <w:rFonts w:ascii="Palatino Linotype" w:hAnsi="Palatino Linotype"/>
          <w:i/>
        </w:rPr>
        <w:t xml:space="preserve"> </w:t>
      </w:r>
      <w:r w:rsidRPr="00C91B7F">
        <w:rPr>
          <w:rFonts w:ascii="Palatino Linotype" w:hAnsi="Palatino Linotype"/>
          <w:b/>
          <w:i/>
          <w:u w:val="single"/>
        </w:rPr>
        <w:t>Llevar los</w:t>
      </w:r>
      <w:r w:rsidRPr="00C91B7F">
        <w:rPr>
          <w:rFonts w:ascii="Palatino Linotype" w:hAnsi="Palatino Linotype"/>
          <w:i/>
        </w:rPr>
        <w:t xml:space="preserve"> registros contables, financieros y administrativos de los ingresos, egresos, e </w:t>
      </w:r>
      <w:r w:rsidRPr="00C91B7F">
        <w:rPr>
          <w:rFonts w:ascii="Palatino Linotype" w:hAnsi="Palatino Linotype"/>
          <w:b/>
          <w:i/>
          <w:u w:val="single"/>
        </w:rPr>
        <w:t>inventarios</w:t>
      </w:r>
      <w:r w:rsidRPr="00C91B7F">
        <w:rPr>
          <w:rFonts w:ascii="Palatino Linotype" w:hAnsi="Palatino Linotype"/>
          <w:i/>
        </w:rPr>
        <w:t>;</w:t>
      </w:r>
    </w:p>
    <w:p w:rsidR="00C91B7F" w:rsidRPr="00C91B7F" w:rsidRDefault="00C91B7F" w:rsidP="00C91B7F">
      <w:pPr>
        <w:spacing w:after="0" w:line="240" w:lineRule="auto"/>
        <w:ind w:left="567" w:right="567"/>
        <w:jc w:val="both"/>
        <w:rPr>
          <w:rFonts w:ascii="Palatino Linotype" w:hAnsi="Palatino Linotype"/>
          <w:i/>
        </w:rPr>
      </w:pPr>
      <w:r w:rsidRPr="00C91B7F">
        <w:rPr>
          <w:rFonts w:ascii="Palatino Linotype" w:hAnsi="Palatino Linotype"/>
          <w:i/>
        </w:rPr>
        <w:t>(…)</w:t>
      </w:r>
    </w:p>
    <w:p w:rsidR="004B3BFA" w:rsidRDefault="004B3BFA" w:rsidP="006A674A">
      <w:pPr>
        <w:spacing w:after="0" w:line="360" w:lineRule="auto"/>
        <w:jc w:val="both"/>
        <w:rPr>
          <w:rFonts w:ascii="Palatino Linotype" w:hAnsi="Palatino Linotype"/>
          <w:sz w:val="24"/>
          <w:szCs w:val="24"/>
        </w:rPr>
      </w:pPr>
    </w:p>
    <w:p w:rsidR="004B3BFA" w:rsidRDefault="00C91B7F" w:rsidP="006A674A">
      <w:pPr>
        <w:spacing w:after="0" w:line="360" w:lineRule="auto"/>
        <w:jc w:val="both"/>
        <w:rPr>
          <w:rFonts w:ascii="Palatino Linotype" w:hAnsi="Palatino Linotype"/>
          <w:sz w:val="24"/>
          <w:szCs w:val="24"/>
        </w:rPr>
      </w:pPr>
      <w:r>
        <w:rPr>
          <w:rFonts w:ascii="Palatino Linotype" w:hAnsi="Palatino Linotype"/>
          <w:sz w:val="24"/>
          <w:szCs w:val="24"/>
        </w:rPr>
        <w:t xml:space="preserve">Del articulado anterior se desprende que existen otras áreas del Sujeto Obligado que pudieran contar con la información solicitada por el particular, por lo que es procedente ordenar una búsqueda exhaustiva y razonable en los archivos de todas y cada una de las áreas competentes con el propósito de hacer entrega de la información </w:t>
      </w:r>
      <w:r w:rsidR="00793F5D">
        <w:rPr>
          <w:rFonts w:ascii="Palatino Linotype" w:hAnsi="Palatino Linotype"/>
          <w:sz w:val="24"/>
          <w:szCs w:val="24"/>
        </w:rPr>
        <w:t>relativa al inventario de bienes muebles de la Dirección de Desarrollo Económico o su equivalente, actualizado al día de la presentación de la solicitud de información.</w:t>
      </w:r>
    </w:p>
    <w:p w:rsidR="00793F5D" w:rsidRDefault="00793F5D" w:rsidP="006A674A">
      <w:pPr>
        <w:spacing w:after="0" w:line="360" w:lineRule="auto"/>
        <w:jc w:val="both"/>
        <w:rPr>
          <w:rFonts w:ascii="Palatino Linotype" w:hAnsi="Palatino Linotype"/>
          <w:sz w:val="24"/>
          <w:szCs w:val="24"/>
        </w:rPr>
      </w:pPr>
    </w:p>
    <w:p w:rsidR="00793F5D" w:rsidRDefault="00793F5D" w:rsidP="006A674A">
      <w:pPr>
        <w:spacing w:after="0" w:line="360" w:lineRule="auto"/>
        <w:jc w:val="both"/>
        <w:rPr>
          <w:rFonts w:ascii="Palatino Linotype" w:hAnsi="Palatino Linotype"/>
          <w:sz w:val="24"/>
          <w:szCs w:val="24"/>
        </w:rPr>
      </w:pPr>
      <w:r>
        <w:rPr>
          <w:rFonts w:ascii="Palatino Linotype" w:hAnsi="Palatino Linotype"/>
          <w:sz w:val="24"/>
          <w:szCs w:val="24"/>
        </w:rPr>
        <w:t>Asimismo, no es de soslayarse que la información relativa al inventario de bienes muebles constituye una obligación de transparencia común a todos los sujetos obligados, como se estableció en el artículo 92 fracción XXXVIII de la Ley de Transparencia local, en el que se dispone lo siguiente:</w:t>
      </w:r>
    </w:p>
    <w:p w:rsidR="00793F5D" w:rsidRDefault="00793F5D" w:rsidP="006A674A">
      <w:pPr>
        <w:spacing w:after="0" w:line="360" w:lineRule="auto"/>
        <w:jc w:val="both"/>
        <w:rPr>
          <w:rFonts w:ascii="Palatino Linotype" w:hAnsi="Palatino Linotype"/>
          <w:sz w:val="24"/>
          <w:szCs w:val="24"/>
        </w:rPr>
      </w:pPr>
    </w:p>
    <w:p w:rsidR="00793F5D" w:rsidRPr="003A1534" w:rsidRDefault="00793F5D" w:rsidP="003A1534">
      <w:pPr>
        <w:spacing w:after="0" w:line="240" w:lineRule="auto"/>
        <w:ind w:left="567" w:right="567"/>
        <w:jc w:val="both"/>
        <w:rPr>
          <w:rFonts w:ascii="Palatino Linotype" w:hAnsi="Palatino Linotype"/>
          <w:i/>
        </w:rPr>
      </w:pPr>
      <w:r w:rsidRPr="003A1534">
        <w:rPr>
          <w:rFonts w:ascii="Palatino Linotype" w:hAnsi="Palatino Linotype"/>
          <w:b/>
          <w:bCs/>
          <w:i/>
        </w:rPr>
        <w:t xml:space="preserve">Artículo 92. </w:t>
      </w:r>
      <w:r w:rsidRPr="003A1534">
        <w:rPr>
          <w:rFonts w:ascii="Palatino Linotype" w:hAnsi="Palatino Linotyp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B3BFA" w:rsidRPr="003A1534" w:rsidRDefault="00793F5D" w:rsidP="003A1534">
      <w:pPr>
        <w:spacing w:after="0" w:line="240" w:lineRule="auto"/>
        <w:ind w:left="567" w:right="567"/>
        <w:jc w:val="both"/>
        <w:rPr>
          <w:rFonts w:ascii="Palatino Linotype" w:hAnsi="Palatino Linotype"/>
          <w:i/>
        </w:rPr>
      </w:pPr>
      <w:r w:rsidRPr="003A1534">
        <w:rPr>
          <w:rFonts w:ascii="Palatino Linotype" w:hAnsi="Palatino Linotype"/>
          <w:i/>
        </w:rPr>
        <w:t>(…)</w:t>
      </w:r>
    </w:p>
    <w:p w:rsidR="00793F5D" w:rsidRPr="003A1534" w:rsidRDefault="00793F5D" w:rsidP="003A1534">
      <w:pPr>
        <w:spacing w:after="0" w:line="240" w:lineRule="auto"/>
        <w:ind w:left="567" w:right="567"/>
        <w:jc w:val="both"/>
        <w:rPr>
          <w:rFonts w:ascii="Palatino Linotype" w:hAnsi="Palatino Linotype"/>
          <w:i/>
        </w:rPr>
      </w:pPr>
      <w:r w:rsidRPr="003A1534">
        <w:rPr>
          <w:rFonts w:ascii="Palatino Linotype" w:hAnsi="Palatino Linotype"/>
          <w:b/>
          <w:bCs/>
          <w:i/>
        </w:rPr>
        <w:t xml:space="preserve">XXXVIII. </w:t>
      </w:r>
      <w:r w:rsidRPr="003A1534">
        <w:rPr>
          <w:rFonts w:ascii="Palatino Linotype" w:hAnsi="Palatino Linotype"/>
          <w:i/>
        </w:rPr>
        <w:t xml:space="preserve">El inventario de bienes muebles e inmuebles en posesión y propiedad; </w:t>
      </w:r>
    </w:p>
    <w:p w:rsidR="00793F5D" w:rsidRPr="003A1534" w:rsidRDefault="00793F5D" w:rsidP="003A1534">
      <w:pPr>
        <w:spacing w:after="0" w:line="240" w:lineRule="auto"/>
        <w:ind w:left="567" w:right="567"/>
        <w:jc w:val="both"/>
        <w:rPr>
          <w:rFonts w:ascii="Palatino Linotype" w:hAnsi="Palatino Linotype"/>
          <w:i/>
        </w:rPr>
      </w:pPr>
      <w:r w:rsidRPr="003A1534">
        <w:rPr>
          <w:rFonts w:ascii="Palatino Linotype" w:hAnsi="Palatino Linotype"/>
          <w:i/>
        </w:rPr>
        <w:t>(…)</w:t>
      </w:r>
    </w:p>
    <w:p w:rsidR="004B3BFA" w:rsidRDefault="004B3BFA" w:rsidP="006A674A">
      <w:pPr>
        <w:spacing w:after="0" w:line="360" w:lineRule="auto"/>
        <w:jc w:val="both"/>
        <w:rPr>
          <w:rFonts w:ascii="Palatino Linotype" w:hAnsi="Palatino Linotype"/>
          <w:sz w:val="24"/>
          <w:szCs w:val="24"/>
        </w:rPr>
      </w:pPr>
    </w:p>
    <w:p w:rsidR="004B3BFA" w:rsidRDefault="003A1534" w:rsidP="006A674A">
      <w:pPr>
        <w:spacing w:after="0" w:line="360" w:lineRule="auto"/>
        <w:jc w:val="both"/>
        <w:rPr>
          <w:rFonts w:ascii="Palatino Linotype" w:hAnsi="Palatino Linotype"/>
          <w:sz w:val="24"/>
          <w:szCs w:val="24"/>
        </w:rPr>
      </w:pPr>
      <w:r>
        <w:rPr>
          <w:rFonts w:ascii="Palatino Linotype" w:hAnsi="Palatino Linotype"/>
          <w:sz w:val="24"/>
          <w:szCs w:val="24"/>
        </w:rPr>
        <w:t xml:space="preserve">Por lo argumentado anteriormente, este Órgano Garante estima que los motivos de inconformidad del Recurrente son infundados pero suplidos en su deficiencia, por lo que es procedente ordenar la búsqueda exhaustiva y razonable en los archivos de las unidades administrativas adscritas al Sujeto Obligado, con la finalidad de hacer entrega al Recurrente el documento o documentos en el que conste el inventario de bienes muebles actualizado a la fecha de la solicitud de información de la Dirección de Desarrollo Económico o </w:t>
      </w:r>
      <w:r w:rsidR="003D07CA">
        <w:rPr>
          <w:rFonts w:ascii="Palatino Linotype" w:hAnsi="Palatino Linotype"/>
          <w:sz w:val="24"/>
          <w:szCs w:val="24"/>
        </w:rPr>
        <w:t xml:space="preserve">unidad administrativa </w:t>
      </w:r>
      <w:r>
        <w:rPr>
          <w:rFonts w:ascii="Palatino Linotype" w:hAnsi="Palatino Linotype"/>
          <w:sz w:val="24"/>
          <w:szCs w:val="24"/>
        </w:rPr>
        <w:t>equivalente</w:t>
      </w:r>
      <w:r w:rsidR="003D07CA">
        <w:rPr>
          <w:rFonts w:ascii="Palatino Linotype" w:hAnsi="Palatino Linotype"/>
          <w:sz w:val="24"/>
          <w:szCs w:val="24"/>
        </w:rPr>
        <w:t>.</w:t>
      </w:r>
    </w:p>
    <w:p w:rsidR="004B3BFA" w:rsidRDefault="004B3BFA" w:rsidP="006A674A">
      <w:pPr>
        <w:spacing w:after="0" w:line="360" w:lineRule="auto"/>
        <w:jc w:val="both"/>
        <w:rPr>
          <w:rFonts w:ascii="Palatino Linotype" w:hAnsi="Palatino Linotype"/>
          <w:sz w:val="24"/>
          <w:szCs w:val="24"/>
        </w:rPr>
      </w:pPr>
    </w:p>
    <w:p w:rsidR="003A1534" w:rsidRPr="003A1534" w:rsidRDefault="003A1534" w:rsidP="003A1534">
      <w:pPr>
        <w:spacing w:after="0" w:line="360" w:lineRule="auto"/>
        <w:jc w:val="both"/>
        <w:rPr>
          <w:rFonts w:ascii="Palatino Linotype" w:hAnsi="Palatino Linotype"/>
          <w:sz w:val="24"/>
          <w:szCs w:val="24"/>
        </w:rPr>
      </w:pPr>
      <w:r w:rsidRPr="003A1534">
        <w:rPr>
          <w:rFonts w:ascii="Palatino Linotype" w:hAnsi="Palatino Linotype"/>
          <w:sz w:val="24"/>
          <w:szCs w:val="24"/>
        </w:rPr>
        <w:t xml:space="preserve">En mérito de lo expuesto en líneas anteriores, </w:t>
      </w:r>
      <w:r w:rsidR="00DA0E7B" w:rsidRPr="003A1534">
        <w:rPr>
          <w:rFonts w:ascii="Palatino Linotype" w:hAnsi="Palatino Linotype"/>
          <w:sz w:val="24"/>
          <w:szCs w:val="24"/>
        </w:rPr>
        <w:t xml:space="preserve">los motivos de inconformidad que arguye el Recurrente en su medio de impugnación que fue materia de estudio </w:t>
      </w:r>
      <w:r w:rsidRPr="003A1534">
        <w:rPr>
          <w:rFonts w:ascii="Palatino Linotype" w:hAnsi="Palatino Linotype"/>
          <w:sz w:val="24"/>
          <w:szCs w:val="24"/>
        </w:rPr>
        <w:t xml:space="preserve">resultan </w:t>
      </w:r>
      <w:r w:rsidR="00DA0E7B">
        <w:rPr>
          <w:rFonts w:ascii="Palatino Linotype" w:hAnsi="Palatino Linotype"/>
          <w:sz w:val="24"/>
          <w:szCs w:val="24"/>
        </w:rPr>
        <w:t>in</w:t>
      </w:r>
      <w:r w:rsidRPr="003A1534">
        <w:rPr>
          <w:rFonts w:ascii="Palatino Linotype" w:hAnsi="Palatino Linotype"/>
          <w:sz w:val="24"/>
          <w:szCs w:val="24"/>
        </w:rPr>
        <w:t>fundados</w:t>
      </w:r>
      <w:r w:rsidR="00DA0E7B">
        <w:rPr>
          <w:rFonts w:ascii="Palatino Linotype" w:hAnsi="Palatino Linotype"/>
          <w:sz w:val="24"/>
          <w:szCs w:val="24"/>
        </w:rPr>
        <w:t xml:space="preserve"> pero suplidos en su deficiencia</w:t>
      </w:r>
      <w:r w:rsidRPr="003A1534">
        <w:rPr>
          <w:rFonts w:ascii="Palatino Linotype" w:hAnsi="Palatino Linotype"/>
          <w:sz w:val="24"/>
          <w:szCs w:val="24"/>
        </w:rPr>
        <w:t xml:space="preserve">, por ello </w:t>
      </w:r>
      <w:r w:rsidRPr="003A1534">
        <w:rPr>
          <w:rFonts w:ascii="Palatino Linotype" w:hAnsi="Palatino Linotype" w:cs="Arial"/>
          <w:b/>
          <w:sz w:val="24"/>
          <w:szCs w:val="24"/>
        </w:rPr>
        <w:t xml:space="preserve">con fundamento en la primera hipótesis de la fracción III del artículo 186, </w:t>
      </w:r>
      <w:r w:rsidRPr="003A1534">
        <w:rPr>
          <w:rFonts w:ascii="Palatino Linotype" w:hAnsi="Palatino Linotype" w:cs="Arial"/>
          <w:sz w:val="24"/>
          <w:szCs w:val="24"/>
        </w:rPr>
        <w:t xml:space="preserve">de la Ley de Transparencia y Acceso a la </w:t>
      </w:r>
      <w:r w:rsidRPr="003A1534">
        <w:rPr>
          <w:rFonts w:ascii="Palatino Linotype" w:hAnsi="Palatino Linotype" w:cs="Arial"/>
          <w:sz w:val="24"/>
          <w:szCs w:val="24"/>
        </w:rPr>
        <w:lastRenderedPageBreak/>
        <w:t xml:space="preserve">Información Pública del Estado de México y Municipios, se </w:t>
      </w:r>
      <w:r w:rsidRPr="003A1534">
        <w:rPr>
          <w:rFonts w:ascii="Palatino Linotype" w:hAnsi="Palatino Linotype" w:cs="Arial"/>
          <w:b/>
          <w:sz w:val="24"/>
          <w:szCs w:val="24"/>
        </w:rPr>
        <w:t xml:space="preserve">REVOCA </w:t>
      </w:r>
      <w:r w:rsidRPr="003A1534">
        <w:rPr>
          <w:rFonts w:ascii="Palatino Linotype" w:hAnsi="Palatino Linotype" w:cs="Arial"/>
          <w:sz w:val="24"/>
          <w:szCs w:val="24"/>
        </w:rPr>
        <w:t>la respuesta a la solicitud de información número</w:t>
      </w:r>
      <w:r w:rsidRPr="003A1534">
        <w:rPr>
          <w:rFonts w:ascii="Palatino Linotype" w:hAnsi="Palatino Linotype"/>
          <w:b/>
          <w:sz w:val="24"/>
          <w:szCs w:val="24"/>
        </w:rPr>
        <w:t xml:space="preserve"> </w:t>
      </w:r>
      <w:r w:rsidR="00DA0E7B" w:rsidRPr="00DA0E7B">
        <w:rPr>
          <w:rFonts w:ascii="Palatino Linotype" w:hAnsi="Palatino Linotype"/>
          <w:b/>
          <w:sz w:val="24"/>
          <w:szCs w:val="24"/>
        </w:rPr>
        <w:t>00345/ECATZIN/IP/2019</w:t>
      </w:r>
      <w:r w:rsidRPr="003A1534">
        <w:rPr>
          <w:rFonts w:ascii="Palatino Linotype" w:hAnsi="Palatino Linotype"/>
          <w:b/>
          <w:sz w:val="24"/>
          <w:szCs w:val="24"/>
        </w:rPr>
        <w:t xml:space="preserve"> </w:t>
      </w:r>
      <w:r w:rsidRPr="003A1534">
        <w:rPr>
          <w:rFonts w:ascii="Palatino Linotype" w:hAnsi="Palatino Linotype"/>
          <w:sz w:val="24"/>
          <w:szCs w:val="24"/>
        </w:rPr>
        <w:t>que ha sido materia del presente fallo.</w:t>
      </w:r>
    </w:p>
    <w:p w:rsidR="003A1534" w:rsidRPr="003A1534" w:rsidRDefault="003A1534" w:rsidP="003A1534">
      <w:pPr>
        <w:spacing w:after="0" w:line="360" w:lineRule="auto"/>
        <w:jc w:val="both"/>
        <w:rPr>
          <w:rFonts w:ascii="Palatino Linotype" w:hAnsi="Palatino Linotype"/>
          <w:sz w:val="24"/>
          <w:szCs w:val="24"/>
        </w:rPr>
      </w:pPr>
    </w:p>
    <w:p w:rsidR="003A1534" w:rsidRPr="003A1534" w:rsidRDefault="003A1534" w:rsidP="003A1534">
      <w:pPr>
        <w:spacing w:after="0" w:line="360" w:lineRule="auto"/>
        <w:jc w:val="both"/>
        <w:rPr>
          <w:rFonts w:ascii="Palatino Linotype" w:hAnsi="Palatino Linotype"/>
          <w:sz w:val="24"/>
          <w:szCs w:val="24"/>
        </w:rPr>
      </w:pPr>
      <w:r w:rsidRPr="003A1534">
        <w:rPr>
          <w:rFonts w:ascii="Palatino Linotype" w:hAnsi="Palatino Linotype"/>
          <w:sz w:val="24"/>
          <w:szCs w:val="24"/>
        </w:rPr>
        <w:t>Por lo antes expuesto y fundado es de resolverse y,</w:t>
      </w:r>
    </w:p>
    <w:p w:rsidR="003A1534" w:rsidRPr="003A1534" w:rsidRDefault="003A1534" w:rsidP="003A1534">
      <w:pPr>
        <w:spacing w:after="0" w:line="360" w:lineRule="auto"/>
        <w:jc w:val="both"/>
        <w:rPr>
          <w:rFonts w:ascii="Palatino Linotype" w:hAnsi="Palatino Linotype"/>
          <w:sz w:val="24"/>
          <w:szCs w:val="24"/>
        </w:rPr>
      </w:pPr>
    </w:p>
    <w:p w:rsidR="003A1534" w:rsidRPr="003A1534" w:rsidRDefault="003A1534" w:rsidP="003A1534">
      <w:pPr>
        <w:spacing w:after="0" w:line="360" w:lineRule="auto"/>
        <w:jc w:val="center"/>
        <w:rPr>
          <w:rFonts w:ascii="Palatino Linotype" w:hAnsi="Palatino Linotype"/>
          <w:b/>
          <w:bCs/>
          <w:spacing w:val="60"/>
          <w:sz w:val="28"/>
          <w:szCs w:val="28"/>
          <w:lang w:val="es-ES_tradnl"/>
        </w:rPr>
      </w:pPr>
      <w:r w:rsidRPr="003A1534">
        <w:rPr>
          <w:rFonts w:ascii="Palatino Linotype" w:hAnsi="Palatino Linotype"/>
          <w:b/>
          <w:bCs/>
          <w:spacing w:val="60"/>
          <w:sz w:val="28"/>
          <w:szCs w:val="28"/>
          <w:lang w:val="es-ES_tradnl"/>
        </w:rPr>
        <w:t>SE    RESUELVE</w:t>
      </w:r>
    </w:p>
    <w:p w:rsidR="003A1534" w:rsidRPr="003A1534" w:rsidRDefault="003A1534" w:rsidP="003A1534">
      <w:pPr>
        <w:spacing w:after="0" w:line="360" w:lineRule="auto"/>
        <w:jc w:val="both"/>
        <w:rPr>
          <w:rFonts w:ascii="Palatino Linotype" w:hAnsi="Palatino Linotype"/>
          <w:b/>
          <w:bCs/>
          <w:spacing w:val="60"/>
          <w:sz w:val="24"/>
          <w:szCs w:val="24"/>
          <w:lang w:val="es-ES_tradnl"/>
        </w:rPr>
      </w:pPr>
    </w:p>
    <w:p w:rsidR="00350442" w:rsidRPr="00350442" w:rsidRDefault="003A1534" w:rsidP="003A1534">
      <w:pPr>
        <w:pStyle w:val="Sinespaciado"/>
        <w:spacing w:line="360" w:lineRule="auto"/>
        <w:jc w:val="both"/>
        <w:rPr>
          <w:rFonts w:ascii="Palatino Linotype" w:hAnsi="Palatino Linotype" w:cs="Arial"/>
          <w:sz w:val="24"/>
          <w:szCs w:val="24"/>
        </w:rPr>
      </w:pPr>
      <w:r w:rsidRPr="003A1534">
        <w:rPr>
          <w:rFonts w:ascii="Palatino Linotype" w:hAnsi="Palatino Linotype" w:cs="Arial"/>
          <w:b/>
          <w:sz w:val="24"/>
          <w:szCs w:val="24"/>
          <w:lang w:val="es-ES_tradnl"/>
        </w:rPr>
        <w:t>PRIMERO.</w:t>
      </w:r>
      <w:r w:rsidRPr="003A1534">
        <w:rPr>
          <w:rFonts w:ascii="Palatino Linotype" w:hAnsi="Palatino Linotype" w:cs="Arial"/>
          <w:sz w:val="24"/>
          <w:szCs w:val="24"/>
          <w:lang w:val="es-ES_tradnl"/>
        </w:rPr>
        <w:t xml:space="preserve"> Se </w:t>
      </w:r>
      <w:r w:rsidRPr="003A1534">
        <w:rPr>
          <w:rFonts w:ascii="Palatino Linotype" w:hAnsi="Palatino Linotype" w:cs="Arial"/>
          <w:b/>
          <w:sz w:val="24"/>
          <w:szCs w:val="24"/>
          <w:lang w:val="es-ES_tradnl"/>
        </w:rPr>
        <w:t>REVOCA</w:t>
      </w:r>
      <w:r w:rsidRPr="003A1534">
        <w:rPr>
          <w:rFonts w:ascii="Palatino Linotype" w:hAnsi="Palatino Linotype" w:cs="Arial"/>
          <w:sz w:val="24"/>
          <w:szCs w:val="24"/>
          <w:lang w:val="es-ES_tradnl"/>
        </w:rPr>
        <w:t xml:space="preserve"> </w:t>
      </w:r>
      <w:r w:rsidRPr="003A1534">
        <w:rPr>
          <w:rFonts w:ascii="Palatino Linotype" w:eastAsia="Arial Unicode MS" w:hAnsi="Palatino Linotype" w:cs="Arial"/>
          <w:sz w:val="24"/>
          <w:szCs w:val="24"/>
        </w:rPr>
        <w:t>la respuesta entregada por el Sujeto Obligado</w:t>
      </w:r>
      <w:r w:rsidRPr="003A1534">
        <w:rPr>
          <w:rFonts w:ascii="Palatino Linotype" w:eastAsia="Arial Unicode MS" w:hAnsi="Palatino Linotype" w:cs="Arial"/>
          <w:b/>
          <w:sz w:val="24"/>
          <w:szCs w:val="24"/>
        </w:rPr>
        <w:t xml:space="preserve"> </w:t>
      </w:r>
      <w:r w:rsidRPr="003A1534">
        <w:rPr>
          <w:rFonts w:ascii="Palatino Linotype" w:eastAsia="Arial Unicode MS" w:hAnsi="Palatino Linotype" w:cs="Arial"/>
          <w:sz w:val="24"/>
          <w:szCs w:val="24"/>
        </w:rPr>
        <w:t xml:space="preserve">a la solicitud de información número </w:t>
      </w:r>
      <w:r w:rsidR="00DA0E7B" w:rsidRPr="00DA0E7B">
        <w:rPr>
          <w:rFonts w:ascii="Palatino Linotype" w:hAnsi="Palatino Linotype"/>
          <w:b/>
          <w:sz w:val="24"/>
          <w:szCs w:val="24"/>
        </w:rPr>
        <w:t>00345/ECATZIN/IP/2019</w:t>
      </w:r>
      <w:r w:rsidRPr="003A1534">
        <w:rPr>
          <w:rFonts w:ascii="Palatino Linotype" w:eastAsia="Arial Unicode MS" w:hAnsi="Palatino Linotype" w:cs="Arial"/>
          <w:sz w:val="24"/>
          <w:szCs w:val="24"/>
        </w:rPr>
        <w:t xml:space="preserve">, por resultar </w:t>
      </w:r>
      <w:r w:rsidR="00A31E7F">
        <w:rPr>
          <w:rFonts w:ascii="Palatino Linotype" w:eastAsia="Arial Unicode MS" w:hAnsi="Palatino Linotype" w:cs="Arial"/>
          <w:sz w:val="24"/>
          <w:szCs w:val="24"/>
        </w:rPr>
        <w:t>in</w:t>
      </w:r>
      <w:r w:rsidRPr="003A1534">
        <w:rPr>
          <w:rFonts w:ascii="Palatino Linotype" w:eastAsia="Arial Unicode MS" w:hAnsi="Palatino Linotype" w:cs="Arial"/>
          <w:sz w:val="24"/>
          <w:szCs w:val="24"/>
        </w:rPr>
        <w:t xml:space="preserve">fundados </w:t>
      </w:r>
      <w:r w:rsidR="00A31E7F">
        <w:rPr>
          <w:rFonts w:ascii="Palatino Linotype" w:eastAsia="Arial Unicode MS" w:hAnsi="Palatino Linotype" w:cs="Arial"/>
          <w:sz w:val="24"/>
          <w:szCs w:val="24"/>
        </w:rPr>
        <w:t xml:space="preserve">pero suplidos en su deficiencia </w:t>
      </w:r>
      <w:r w:rsidRPr="003A1534">
        <w:rPr>
          <w:rFonts w:ascii="Palatino Linotype" w:eastAsia="Arial Unicode MS" w:hAnsi="Palatino Linotype" w:cs="Arial"/>
          <w:sz w:val="24"/>
          <w:szCs w:val="24"/>
        </w:rPr>
        <w:t>los motivos de inconformidad que arguye el Recurrente, en términos del</w:t>
      </w:r>
      <w:r w:rsidRPr="003A1534">
        <w:rPr>
          <w:rFonts w:ascii="Palatino Linotype" w:eastAsia="Arial Unicode MS" w:hAnsi="Palatino Linotype" w:cs="Arial"/>
          <w:b/>
          <w:sz w:val="24"/>
          <w:szCs w:val="24"/>
        </w:rPr>
        <w:t xml:space="preserve"> </w:t>
      </w:r>
      <w:r w:rsidRPr="003A1534">
        <w:rPr>
          <w:rFonts w:ascii="Palatino Linotype" w:hAnsi="Palatino Linotype" w:cs="Arial"/>
          <w:b/>
          <w:sz w:val="24"/>
          <w:szCs w:val="24"/>
        </w:rPr>
        <w:t xml:space="preserve">Considerando QUINTO </w:t>
      </w:r>
      <w:r w:rsidRPr="003A1534">
        <w:rPr>
          <w:rFonts w:ascii="Palatino Linotype" w:hAnsi="Palatino Linotype" w:cs="Arial"/>
          <w:sz w:val="24"/>
          <w:szCs w:val="24"/>
        </w:rPr>
        <w:t>de la presente resolución.</w:t>
      </w:r>
    </w:p>
    <w:p w:rsidR="00350442" w:rsidRPr="00350442" w:rsidRDefault="00350442" w:rsidP="00350442">
      <w:pPr>
        <w:pStyle w:val="Sinespaciado"/>
        <w:spacing w:line="360" w:lineRule="auto"/>
        <w:jc w:val="both"/>
        <w:rPr>
          <w:rFonts w:ascii="Palatino Linotype" w:eastAsia="Times New Roman" w:hAnsi="Palatino Linotype" w:cs="Arial"/>
          <w:sz w:val="24"/>
          <w:szCs w:val="24"/>
        </w:rPr>
      </w:pPr>
    </w:p>
    <w:p w:rsidR="00E57C83" w:rsidRDefault="00350442" w:rsidP="004D339E">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lang w:val="es-ES_tradnl"/>
        </w:rPr>
        <w:t>SEGUNDO.</w:t>
      </w:r>
      <w:r w:rsidRPr="00350442">
        <w:rPr>
          <w:rFonts w:ascii="Palatino Linotype" w:hAnsi="Palatino Linotype" w:cs="Arial"/>
          <w:sz w:val="24"/>
          <w:szCs w:val="24"/>
        </w:rPr>
        <w:t xml:space="preserve"> Se </w:t>
      </w:r>
      <w:r w:rsidRPr="00350442">
        <w:rPr>
          <w:rFonts w:ascii="Palatino Linotype" w:hAnsi="Palatino Linotype" w:cs="Arial"/>
          <w:b/>
          <w:sz w:val="24"/>
          <w:szCs w:val="24"/>
        </w:rPr>
        <w:t>ORDENA</w:t>
      </w:r>
      <w:r w:rsidRPr="00350442">
        <w:rPr>
          <w:rFonts w:ascii="Palatino Linotype" w:hAnsi="Palatino Linotype" w:cs="Arial"/>
          <w:sz w:val="24"/>
          <w:szCs w:val="24"/>
        </w:rPr>
        <w:t xml:space="preserve"> al Sujeto Obligado que </w:t>
      </w:r>
      <w:r w:rsidR="00DA0E7B">
        <w:rPr>
          <w:rFonts w:ascii="Palatino Linotype" w:hAnsi="Palatino Linotype" w:cs="Arial"/>
          <w:sz w:val="24"/>
          <w:szCs w:val="24"/>
        </w:rPr>
        <w:t xml:space="preserve">realice una búsqueda exhaustiva y razonable en los archivos de las unidades administrativas que considere competentes, con el propósito de que se </w:t>
      </w:r>
      <w:r w:rsidRPr="00350442">
        <w:rPr>
          <w:rFonts w:ascii="Palatino Linotype" w:hAnsi="Palatino Linotype" w:cs="Arial"/>
          <w:sz w:val="24"/>
          <w:szCs w:val="24"/>
        </w:rPr>
        <w:t xml:space="preserve">haga </w:t>
      </w:r>
      <w:r w:rsidR="004D339E">
        <w:rPr>
          <w:rFonts w:ascii="Palatino Linotype" w:hAnsi="Palatino Linotype" w:cs="Arial"/>
          <w:sz w:val="24"/>
          <w:szCs w:val="24"/>
        </w:rPr>
        <w:t>entrega a</w:t>
      </w:r>
      <w:r w:rsidR="0053370B">
        <w:rPr>
          <w:rFonts w:ascii="Palatino Linotype" w:hAnsi="Palatino Linotype" w:cs="Arial"/>
          <w:sz w:val="24"/>
          <w:szCs w:val="24"/>
        </w:rPr>
        <w:t>l</w:t>
      </w:r>
      <w:r w:rsidR="00E57C83">
        <w:rPr>
          <w:rFonts w:ascii="Palatino Linotype" w:hAnsi="Palatino Linotype" w:cs="Arial"/>
          <w:sz w:val="24"/>
          <w:szCs w:val="24"/>
        </w:rPr>
        <w:t xml:space="preserve"> Recurrente</w:t>
      </w:r>
      <w:r w:rsidR="00DA0E7B">
        <w:rPr>
          <w:rFonts w:ascii="Palatino Linotype" w:hAnsi="Palatino Linotype" w:cs="Arial"/>
          <w:sz w:val="24"/>
          <w:szCs w:val="24"/>
        </w:rPr>
        <w:t>,</w:t>
      </w:r>
      <w:r w:rsidR="00E57C83">
        <w:rPr>
          <w:rFonts w:ascii="Palatino Linotype" w:hAnsi="Palatino Linotype" w:cs="Arial"/>
          <w:sz w:val="24"/>
          <w:szCs w:val="24"/>
        </w:rPr>
        <w:t xml:space="preserve"> a tra</w:t>
      </w:r>
      <w:r w:rsidR="00097B59">
        <w:rPr>
          <w:rFonts w:ascii="Palatino Linotype" w:hAnsi="Palatino Linotype" w:cs="Arial"/>
          <w:sz w:val="24"/>
          <w:szCs w:val="24"/>
        </w:rPr>
        <w:t>vés del SAIMEX,</w:t>
      </w:r>
      <w:r w:rsidR="005D4252">
        <w:rPr>
          <w:rFonts w:ascii="Palatino Linotype" w:hAnsi="Palatino Linotype" w:cs="Arial"/>
          <w:sz w:val="24"/>
          <w:szCs w:val="24"/>
        </w:rPr>
        <w:t xml:space="preserve"> </w:t>
      </w:r>
      <w:r w:rsidR="00097B59">
        <w:rPr>
          <w:rFonts w:ascii="Palatino Linotype" w:hAnsi="Palatino Linotype" w:cs="Arial"/>
          <w:sz w:val="24"/>
          <w:szCs w:val="24"/>
        </w:rPr>
        <w:t>de</w:t>
      </w:r>
      <w:r w:rsidR="00DA0E7B">
        <w:rPr>
          <w:rFonts w:ascii="Palatino Linotype" w:hAnsi="Palatino Linotype" w:cs="Arial"/>
          <w:sz w:val="24"/>
          <w:szCs w:val="24"/>
        </w:rPr>
        <w:t>l documento o documentos en los que conste lo siguien</w:t>
      </w:r>
      <w:r w:rsidR="00BD09F3">
        <w:rPr>
          <w:rFonts w:ascii="Palatino Linotype" w:hAnsi="Palatino Linotype" w:cs="Arial"/>
          <w:sz w:val="24"/>
          <w:szCs w:val="24"/>
        </w:rPr>
        <w:t>te</w:t>
      </w:r>
      <w:r w:rsidR="00E57C83">
        <w:rPr>
          <w:rFonts w:ascii="Palatino Linotype" w:hAnsi="Palatino Linotype" w:cs="Arial"/>
          <w:sz w:val="24"/>
          <w:szCs w:val="24"/>
        </w:rPr>
        <w:t>:</w:t>
      </w:r>
    </w:p>
    <w:p w:rsidR="00E57C83" w:rsidRDefault="00E57C83" w:rsidP="004D339E">
      <w:pPr>
        <w:pStyle w:val="Sinespaciado"/>
        <w:spacing w:line="360" w:lineRule="auto"/>
        <w:jc w:val="both"/>
        <w:rPr>
          <w:rFonts w:ascii="Palatino Linotype" w:hAnsi="Palatino Linotype" w:cs="Arial"/>
          <w:sz w:val="24"/>
          <w:szCs w:val="24"/>
        </w:rPr>
      </w:pPr>
    </w:p>
    <w:p w:rsidR="00E57C83" w:rsidRDefault="005D4252" w:rsidP="005D4252">
      <w:pPr>
        <w:pStyle w:val="Sinespaciado"/>
        <w:numPr>
          <w:ilvl w:val="0"/>
          <w:numId w:val="32"/>
        </w:numPr>
        <w:spacing w:line="276" w:lineRule="auto"/>
        <w:jc w:val="both"/>
        <w:rPr>
          <w:rFonts w:ascii="Palatino Linotype" w:hAnsi="Palatino Linotype" w:cs="Arial"/>
          <w:i/>
          <w:sz w:val="24"/>
          <w:szCs w:val="24"/>
        </w:rPr>
      </w:pPr>
      <w:r>
        <w:rPr>
          <w:rFonts w:ascii="Palatino Linotype" w:hAnsi="Palatino Linotype" w:cs="Arial"/>
          <w:i/>
          <w:sz w:val="24"/>
          <w:szCs w:val="24"/>
        </w:rPr>
        <w:t xml:space="preserve">El </w:t>
      </w:r>
      <w:r w:rsidR="00DA0E7B">
        <w:rPr>
          <w:rFonts w:ascii="Palatino Linotype" w:hAnsi="Palatino Linotype" w:cs="Arial"/>
          <w:i/>
          <w:sz w:val="24"/>
          <w:szCs w:val="24"/>
        </w:rPr>
        <w:t xml:space="preserve">inventario de bienes muebles de la Dirección de Desarrollo Económico o área equivalente, actualizado a la fecha de la solicitud de información. </w:t>
      </w:r>
    </w:p>
    <w:p w:rsidR="00E57C83" w:rsidRDefault="00E57C83" w:rsidP="00E57C83">
      <w:pPr>
        <w:pStyle w:val="Sinespaciado"/>
        <w:spacing w:line="360" w:lineRule="auto"/>
        <w:jc w:val="both"/>
        <w:rPr>
          <w:rFonts w:ascii="Palatino Linotype" w:hAnsi="Palatino Linotype" w:cs="Arial"/>
          <w:sz w:val="24"/>
          <w:szCs w:val="24"/>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rPr>
        <w:t>TERCERO. Notifíquese</w:t>
      </w:r>
      <w:r w:rsidRPr="00350442">
        <w:rPr>
          <w:rFonts w:ascii="Palatino Linotype" w:hAnsi="Palatino Linotype" w:cs="Arial"/>
          <w:b/>
          <w:i/>
          <w:sz w:val="24"/>
          <w:szCs w:val="24"/>
        </w:rPr>
        <w:t xml:space="preserve"> </w:t>
      </w:r>
      <w:r w:rsidRPr="00350442">
        <w:rPr>
          <w:rFonts w:ascii="Palatino Linotype" w:hAnsi="Palatino Linotype" w:cs="Arial"/>
          <w:sz w:val="24"/>
          <w:szCs w:val="24"/>
        </w:rPr>
        <w:t>al Titular de la Unidad de Transparencia del</w:t>
      </w:r>
      <w:r w:rsidRPr="00350442">
        <w:rPr>
          <w:rFonts w:ascii="Palatino Linotype" w:hAnsi="Palatino Linotype" w:cs="Arial"/>
          <w:b/>
          <w:sz w:val="24"/>
          <w:szCs w:val="24"/>
        </w:rPr>
        <w:t xml:space="preserve"> </w:t>
      </w:r>
      <w:r w:rsidRPr="00350442">
        <w:rPr>
          <w:rFonts w:ascii="Palatino Linotype" w:hAnsi="Palatino Linotype" w:cs="Arial"/>
          <w:sz w:val="24"/>
          <w:szCs w:val="24"/>
        </w:rPr>
        <w:t xml:space="preserve">Sujeto Obligado, para que conforme al artículo 186 último párrafo, 189 segundo párrafo y 194 de la Ley de Transparencia y Acceso a la Información Pública del Estado de México y </w:t>
      </w:r>
      <w:r w:rsidRPr="00350442">
        <w:rPr>
          <w:rFonts w:ascii="Palatino Linotype" w:hAnsi="Palatino Linotype" w:cs="Arial"/>
          <w:sz w:val="24"/>
          <w:szCs w:val="24"/>
        </w:rPr>
        <w:lastRenderedPageBreak/>
        <w:t>Municipios; dé cumplimiento a lo ordenado dentro del plazo de diez días hábiles, debiendo informar a este Instituto en un plazo de tres días hábiles siguientes sobre el cumplimiento dado a la presente resolución.</w:t>
      </w:r>
    </w:p>
    <w:p w:rsidR="00350442" w:rsidRPr="00350442" w:rsidRDefault="00350442" w:rsidP="00350442">
      <w:pPr>
        <w:pStyle w:val="Sinespaciado"/>
        <w:spacing w:line="360" w:lineRule="auto"/>
        <w:jc w:val="both"/>
        <w:rPr>
          <w:rFonts w:ascii="Palatino Linotype" w:hAnsi="Palatino Linotype" w:cs="Arial"/>
          <w:sz w:val="24"/>
          <w:szCs w:val="24"/>
        </w:rPr>
      </w:pPr>
    </w:p>
    <w:p w:rsidR="00D14E3B" w:rsidRDefault="00350442" w:rsidP="00350442">
      <w:pPr>
        <w:pStyle w:val="Sinespaciado"/>
        <w:spacing w:line="360" w:lineRule="auto"/>
        <w:jc w:val="both"/>
        <w:rPr>
          <w:rFonts w:ascii="Palatino Linotype" w:hAnsi="Palatino Linotype"/>
          <w:color w:val="222222"/>
          <w:sz w:val="24"/>
          <w:szCs w:val="24"/>
          <w:shd w:val="clear" w:color="auto" w:fill="FFFFFF"/>
        </w:rPr>
      </w:pPr>
      <w:r w:rsidRPr="00350442">
        <w:rPr>
          <w:rFonts w:ascii="Palatino Linotype" w:hAnsi="Palatino Linotype" w:cs="Arial"/>
          <w:b/>
          <w:sz w:val="24"/>
          <w:szCs w:val="24"/>
        </w:rPr>
        <w:t xml:space="preserve">CUARTO. Notifíquese </w:t>
      </w:r>
      <w:r w:rsidRPr="00350442">
        <w:rPr>
          <w:rFonts w:ascii="Palatino Linotype" w:hAnsi="Palatino Linotype" w:cs="Arial"/>
          <w:sz w:val="24"/>
          <w:szCs w:val="24"/>
        </w:rPr>
        <w:t>la presente resolución a</w:t>
      </w:r>
      <w:r w:rsidR="00097B59">
        <w:rPr>
          <w:rFonts w:ascii="Palatino Linotype" w:hAnsi="Palatino Linotype" w:cs="Arial"/>
          <w:sz w:val="24"/>
          <w:szCs w:val="24"/>
        </w:rPr>
        <w:t>l</w:t>
      </w:r>
      <w:r w:rsidRPr="00350442">
        <w:rPr>
          <w:rFonts w:ascii="Palatino Linotype" w:hAnsi="Palatino Linotype" w:cs="Arial"/>
          <w:sz w:val="24"/>
          <w:szCs w:val="24"/>
        </w:rPr>
        <w:t xml:space="preserve"> Recurrente y hágase de su conocimiento que, </w:t>
      </w:r>
      <w:r w:rsidRPr="00350442">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w:t>
      </w:r>
      <w:r w:rsidRPr="00350442">
        <w:rPr>
          <w:rStyle w:val="apple-converted-space"/>
          <w:rFonts w:ascii="Palatino Linotype" w:hAnsi="Palatino Linotype"/>
          <w:color w:val="222222"/>
          <w:sz w:val="24"/>
          <w:szCs w:val="24"/>
          <w:shd w:val="clear" w:color="auto" w:fill="FFFFFF"/>
        </w:rPr>
        <w:t xml:space="preserve"> </w:t>
      </w:r>
      <w:r w:rsidRPr="00350442">
        <w:rPr>
          <w:rFonts w:ascii="Palatino Linotype" w:hAnsi="Palatino Linotype"/>
          <w:color w:val="222222"/>
          <w:sz w:val="24"/>
          <w:szCs w:val="24"/>
          <w:shd w:val="clear" w:color="auto" w:fill="FFFFFF"/>
        </w:rPr>
        <w:t>podrá promover el Juicio de Amparo en los términos de las leyes aplicables.</w:t>
      </w:r>
    </w:p>
    <w:p w:rsidR="00350442" w:rsidRPr="00350442" w:rsidRDefault="00350442" w:rsidP="00350442">
      <w:pPr>
        <w:pStyle w:val="Sinespaciado"/>
        <w:spacing w:line="360" w:lineRule="auto"/>
        <w:jc w:val="both"/>
        <w:rPr>
          <w:rFonts w:ascii="Palatino Linotype" w:hAnsi="Palatino Linotype"/>
          <w:sz w:val="24"/>
          <w:szCs w:val="24"/>
        </w:rPr>
      </w:pPr>
    </w:p>
    <w:p w:rsidR="006D254A" w:rsidRDefault="00492958" w:rsidP="003D07CA">
      <w:pPr>
        <w:pStyle w:val="Sinespaciado"/>
        <w:spacing w:line="360" w:lineRule="auto"/>
        <w:jc w:val="both"/>
        <w:rPr>
          <w:rFonts w:ascii="Palatino Linotype" w:hAnsi="Palatino Linotype"/>
          <w:sz w:val="24"/>
          <w:szCs w:val="24"/>
        </w:rPr>
      </w:pPr>
      <w:r>
        <w:rPr>
          <w:rFonts w:ascii="Palatino Linotype" w:hAnsi="Palatino Linotype"/>
          <w:sz w:val="24"/>
          <w:szCs w:val="24"/>
        </w:rPr>
        <w:t>ASÍ LO RESUELVE</w:t>
      </w:r>
      <w:r w:rsidR="007E2E80" w:rsidRPr="0014447C">
        <w:rPr>
          <w:rFonts w:ascii="Palatino Linotype" w:hAnsi="Palatino Linotype"/>
          <w:sz w:val="24"/>
          <w:szCs w:val="24"/>
        </w:rPr>
        <w:t xml:space="preserve"> PO</w:t>
      </w:r>
      <w:r w:rsidR="00F1770B">
        <w:rPr>
          <w:rFonts w:ascii="Palatino Linotype" w:hAnsi="Palatino Linotype"/>
          <w:sz w:val="24"/>
          <w:szCs w:val="24"/>
        </w:rPr>
        <w:t>R UNANIMIDAD</w:t>
      </w:r>
      <w:r w:rsidR="007E2E80" w:rsidRPr="0014447C">
        <w:rPr>
          <w:rFonts w:ascii="Palatino Linotype" w:hAnsi="Palatino Linotype"/>
          <w:sz w:val="24"/>
          <w:szCs w:val="24"/>
        </w:rPr>
        <w:t xml:space="preserve"> DE VOTOS</w:t>
      </w:r>
      <w:r>
        <w:rPr>
          <w:rFonts w:ascii="Palatino Linotype" w:hAnsi="Palatino Linotype"/>
          <w:sz w:val="24"/>
          <w:szCs w:val="24"/>
        </w:rPr>
        <w:t>,</w:t>
      </w:r>
      <w:r w:rsidR="007E2E80" w:rsidRPr="0014447C">
        <w:rPr>
          <w:rFonts w:ascii="Palatino Linotype" w:hAnsi="Palatino Linotype"/>
          <w:sz w:val="24"/>
          <w:szCs w:val="24"/>
        </w:rPr>
        <w:t xml:space="preserve"> EL PLENO DEL</w:t>
      </w:r>
      <w:r w:rsidR="007E2E80"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007E2E80"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007E2E80"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F91340">
        <w:rPr>
          <w:rFonts w:ascii="Palatino Linotype" w:hAnsi="Palatino Linotype"/>
          <w:sz w:val="24"/>
          <w:szCs w:val="24"/>
        </w:rPr>
        <w:t xml:space="preserve">, </w:t>
      </w:r>
      <w:r w:rsidR="00F91340" w:rsidRPr="0014447C">
        <w:rPr>
          <w:rFonts w:ascii="Palatino Linotype" w:hAnsi="Palatino Linotype"/>
          <w:sz w:val="24"/>
          <w:szCs w:val="24"/>
        </w:rPr>
        <w:t xml:space="preserve">JAVIER MARTÍNEZ CRUZ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007E2E80" w:rsidRPr="0014447C">
        <w:rPr>
          <w:rFonts w:ascii="Palatino Linotype" w:hAnsi="Palatino Linotype"/>
          <w:sz w:val="24"/>
          <w:szCs w:val="24"/>
        </w:rPr>
        <w:t xml:space="preserve">, EN LA </w:t>
      </w:r>
      <w:r w:rsidR="003D07CA">
        <w:rPr>
          <w:rFonts w:ascii="Palatino Linotype" w:hAnsi="Palatino Linotype"/>
          <w:sz w:val="24"/>
          <w:szCs w:val="24"/>
        </w:rPr>
        <w:t>NOVENA</w:t>
      </w:r>
      <w:r w:rsidR="00D00FA4">
        <w:rPr>
          <w:rFonts w:ascii="Palatino Linotype" w:hAnsi="Palatino Linotype"/>
          <w:sz w:val="24"/>
          <w:szCs w:val="24"/>
        </w:rPr>
        <w:t xml:space="preserve"> SESION ORDINARIA CE</w:t>
      </w:r>
      <w:r w:rsidR="007E2E80" w:rsidRPr="0014447C">
        <w:rPr>
          <w:rFonts w:ascii="Palatino Linotype" w:hAnsi="Palatino Linotype"/>
          <w:sz w:val="24"/>
          <w:szCs w:val="24"/>
        </w:rPr>
        <w:t xml:space="preserve">LEBRADA EL </w:t>
      </w:r>
      <w:r w:rsidR="003D07CA">
        <w:rPr>
          <w:rFonts w:ascii="Palatino Linotype" w:hAnsi="Palatino Linotype"/>
          <w:sz w:val="24"/>
          <w:szCs w:val="24"/>
        </w:rPr>
        <w:t>ONCE DE MARZO</w:t>
      </w:r>
      <w:r w:rsidR="00D00FA4">
        <w:rPr>
          <w:rFonts w:ascii="Palatino Linotype" w:hAnsi="Palatino Linotype"/>
          <w:sz w:val="24"/>
          <w:szCs w:val="24"/>
        </w:rPr>
        <w:t xml:space="preserve"> DE DOS MIL VEINTE</w:t>
      </w:r>
      <w:r w:rsidR="007E2E80"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007E2E80"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00FA4">
        <w:rPr>
          <w:rFonts w:ascii="Palatino Linotype" w:hAnsi="Palatino Linotype"/>
          <w:sz w:val="24"/>
          <w:szCs w:val="24"/>
        </w:rPr>
        <w:t>.----------------------------------------------------------------------------------------------------------------------------</w:t>
      </w:r>
      <w:r w:rsidR="00E863A3">
        <w:rPr>
          <w:rFonts w:ascii="Palatino Linotype" w:hAnsi="Palatino Linotype"/>
          <w:sz w:val="24"/>
          <w:szCs w:val="24"/>
        </w:rPr>
        <w:t>-----------------------------------------------</w:t>
      </w:r>
      <w:r w:rsidR="00A31E7F">
        <w:rPr>
          <w:rFonts w:ascii="Palatino Linotype" w:hAnsi="Palatino Linotype"/>
          <w:sz w:val="24"/>
          <w:szCs w:val="24"/>
        </w:rPr>
        <w:t>------------------------------</w:t>
      </w:r>
      <w:r w:rsidR="003D07CA">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4D7252" w:rsidTr="00F91340">
        <w:tc>
          <w:tcPr>
            <w:tcW w:w="9062" w:type="dxa"/>
            <w:gridSpan w:val="2"/>
          </w:tcPr>
          <w:p w:rsidR="00AA4F9A" w:rsidRDefault="00AA4F9A" w:rsidP="00C10AAE">
            <w:pPr>
              <w:pStyle w:val="Sinespaciado"/>
              <w:jc w:val="center"/>
              <w:rPr>
                <w:rFonts w:ascii="Palatino Linotype" w:hAnsi="Palatino Linotype"/>
                <w:b/>
                <w:sz w:val="24"/>
                <w:szCs w:val="24"/>
              </w:rPr>
            </w:pPr>
          </w:p>
          <w:p w:rsidR="00CB597C" w:rsidRPr="004D7252" w:rsidRDefault="00CB597C" w:rsidP="00C10AAE">
            <w:pPr>
              <w:pStyle w:val="Sinespaciado"/>
              <w:jc w:val="center"/>
              <w:rPr>
                <w:rFonts w:ascii="Palatino Linotype" w:hAnsi="Palatino Linotype"/>
                <w:b/>
                <w:sz w:val="24"/>
                <w:szCs w:val="24"/>
              </w:rPr>
            </w:pPr>
          </w:p>
          <w:p w:rsidR="00C10AAE" w:rsidRPr="004D7252" w:rsidRDefault="00C10AAE" w:rsidP="00C10AAE">
            <w:pPr>
              <w:pStyle w:val="Sinespaciado"/>
              <w:jc w:val="center"/>
              <w:rPr>
                <w:rFonts w:ascii="Palatino Linotype" w:hAnsi="Palatino Linotype"/>
                <w:b/>
                <w:sz w:val="24"/>
                <w:szCs w:val="24"/>
              </w:rPr>
            </w:pPr>
          </w:p>
          <w:p w:rsidR="00AA4F9A" w:rsidRPr="004D7252" w:rsidRDefault="00AA4F9A" w:rsidP="00C10AAE">
            <w:pPr>
              <w:pStyle w:val="Sinespaciado"/>
              <w:jc w:val="center"/>
              <w:rPr>
                <w:rFonts w:ascii="Palatino Linotype" w:hAnsi="Palatino Linotype"/>
                <w:b/>
                <w:sz w:val="24"/>
                <w:szCs w:val="24"/>
              </w:rPr>
            </w:pPr>
          </w:p>
          <w:p w:rsidR="00106160" w:rsidRPr="004D7252" w:rsidRDefault="00106160" w:rsidP="00C10AAE">
            <w:pPr>
              <w:pStyle w:val="Sinespaciado"/>
              <w:jc w:val="center"/>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Zulema Martínez Sánchez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 Presidenta</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6149F1" w:rsidRPr="004D7252" w:rsidTr="00F91340">
        <w:tc>
          <w:tcPr>
            <w:tcW w:w="4531" w:type="dxa"/>
          </w:tcPr>
          <w:p w:rsidR="00CB597C" w:rsidRDefault="00CB597C" w:rsidP="00C10AAE">
            <w:pPr>
              <w:pStyle w:val="Sinespaciado"/>
              <w:jc w:val="both"/>
              <w:rPr>
                <w:rFonts w:ascii="Palatino Linotype" w:hAnsi="Palatino Linotype"/>
                <w:b/>
                <w:sz w:val="24"/>
                <w:szCs w:val="24"/>
              </w:rPr>
            </w:pPr>
          </w:p>
          <w:p w:rsidR="00CB597C" w:rsidRPr="004D7252" w:rsidRDefault="00CB597C"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D57072" w:rsidRPr="004D7252" w:rsidRDefault="00676C32" w:rsidP="00C10AAE">
            <w:pPr>
              <w:pStyle w:val="Sinespaciado"/>
              <w:jc w:val="center"/>
              <w:rPr>
                <w:rFonts w:ascii="Palatino Linotype" w:hAnsi="Palatino Linotype"/>
                <w:b/>
                <w:sz w:val="24"/>
                <w:szCs w:val="24"/>
              </w:rPr>
            </w:pPr>
            <w:r w:rsidRPr="004D7252">
              <w:rPr>
                <w:rFonts w:ascii="Palatino Linotype" w:hAnsi="Palatino Linotype"/>
                <w:b/>
                <w:sz w:val="24"/>
                <w:szCs w:val="24"/>
              </w:rPr>
              <w:t>Eva Ab</w:t>
            </w:r>
            <w:r w:rsidR="00D57072" w:rsidRPr="004D7252">
              <w:rPr>
                <w:rFonts w:ascii="Palatino Linotype" w:hAnsi="Palatino Linotype"/>
                <w:b/>
                <w:sz w:val="24"/>
                <w:szCs w:val="24"/>
              </w:rPr>
              <w:t>aid Yapur</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w:t>
            </w:r>
          </w:p>
          <w:p w:rsidR="00D57072" w:rsidRPr="004D7252" w:rsidRDefault="00E64CFA" w:rsidP="00C10AAE">
            <w:pPr>
              <w:pStyle w:val="Sinespaciado"/>
              <w:jc w:val="center"/>
              <w:rPr>
                <w:rFonts w:ascii="Palatino Linotype" w:hAnsi="Palatino Linotype"/>
                <w:sz w:val="24"/>
                <w:szCs w:val="24"/>
              </w:rPr>
            </w:pPr>
            <w:r>
              <w:rPr>
                <w:rFonts w:ascii="Palatino Linotype" w:hAnsi="Palatino Linotype"/>
                <w:sz w:val="24"/>
                <w:szCs w:val="24"/>
              </w:rPr>
              <w:t>(Rúbrica</w:t>
            </w:r>
            <w:r w:rsidR="00D57072" w:rsidRPr="004D7252">
              <w:rPr>
                <w:rFonts w:ascii="Palatino Linotype" w:hAnsi="Palatino Linotype"/>
                <w:sz w:val="24"/>
                <w:szCs w:val="24"/>
              </w:rPr>
              <w:t>)</w:t>
            </w:r>
          </w:p>
        </w:tc>
        <w:tc>
          <w:tcPr>
            <w:tcW w:w="4531" w:type="dxa"/>
          </w:tcPr>
          <w:p w:rsidR="00006849" w:rsidRPr="004D7252" w:rsidRDefault="00006849"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B597C" w:rsidRPr="004D7252" w:rsidRDefault="00CB597C"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José Guadalupe Luna Hernández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F91340" w:rsidRPr="004D7252" w:rsidTr="00F91340">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CB597C" w:rsidRPr="004D7252" w:rsidRDefault="00CB597C"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Javier Martínez Cruz</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4D7252" w:rsidP="00F91340">
            <w:pPr>
              <w:pStyle w:val="Sinespaciado"/>
              <w:jc w:val="center"/>
              <w:rPr>
                <w:rFonts w:ascii="Palatino Linotype" w:hAnsi="Palatino Linotype"/>
                <w:b/>
                <w:sz w:val="24"/>
                <w:szCs w:val="24"/>
              </w:rPr>
            </w:pPr>
            <w:r>
              <w:rPr>
                <w:rFonts w:ascii="Palatino Linotype" w:hAnsi="Palatino Linotype"/>
                <w:sz w:val="24"/>
                <w:szCs w:val="24"/>
              </w:rPr>
              <w:t>(Rúbrica</w:t>
            </w:r>
            <w:r w:rsidR="00F91340" w:rsidRPr="004D7252">
              <w:rPr>
                <w:rFonts w:ascii="Palatino Linotype" w:hAnsi="Palatino Linotype"/>
                <w:sz w:val="24"/>
                <w:szCs w:val="24"/>
              </w:rPr>
              <w:t>)</w:t>
            </w:r>
          </w:p>
        </w:tc>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CB597C" w:rsidRPr="004D7252" w:rsidRDefault="00CB597C"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Luis Gustavo Parra Noriega</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4D7252" w:rsidP="00F91340">
            <w:pPr>
              <w:pStyle w:val="Sinespaciado"/>
              <w:jc w:val="center"/>
              <w:rPr>
                <w:rFonts w:ascii="Palatino Linotype" w:hAnsi="Palatino Linotype"/>
                <w:sz w:val="24"/>
                <w:szCs w:val="24"/>
              </w:rPr>
            </w:pPr>
            <w:r>
              <w:rPr>
                <w:rFonts w:ascii="Palatino Linotype" w:hAnsi="Palatino Linotype"/>
                <w:sz w:val="24"/>
                <w:szCs w:val="24"/>
              </w:rPr>
              <w:t>(Rúbrica</w:t>
            </w:r>
            <w:r w:rsidR="00F91340" w:rsidRPr="004D7252">
              <w:rPr>
                <w:rFonts w:ascii="Palatino Linotype" w:hAnsi="Palatino Linotype"/>
                <w:sz w:val="24"/>
                <w:szCs w:val="24"/>
              </w:rPr>
              <w:t>)</w:t>
            </w:r>
          </w:p>
        </w:tc>
      </w:tr>
      <w:tr w:rsidR="006149F1" w:rsidRPr="004D7252" w:rsidTr="00F91340">
        <w:tc>
          <w:tcPr>
            <w:tcW w:w="9062" w:type="dxa"/>
            <w:gridSpan w:val="2"/>
          </w:tcPr>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C911DE" w:rsidRDefault="00C911DE" w:rsidP="00C10AAE">
            <w:pPr>
              <w:pStyle w:val="Sinespaciado"/>
              <w:jc w:val="both"/>
              <w:rPr>
                <w:rFonts w:ascii="Palatino Linotype" w:hAnsi="Palatino Linotype"/>
                <w:b/>
                <w:sz w:val="24"/>
                <w:szCs w:val="24"/>
              </w:rPr>
            </w:pPr>
          </w:p>
          <w:p w:rsidR="00CB597C" w:rsidRPr="004D7252" w:rsidRDefault="00CB597C"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F2343A" w:rsidP="00C10AAE">
            <w:pPr>
              <w:pStyle w:val="Sinespaciado"/>
              <w:jc w:val="center"/>
              <w:rPr>
                <w:rFonts w:ascii="Palatino Linotype" w:hAnsi="Palatino Linotype"/>
                <w:b/>
                <w:sz w:val="24"/>
                <w:szCs w:val="24"/>
              </w:rPr>
            </w:pPr>
            <w:r w:rsidRPr="004D7252">
              <w:rPr>
                <w:rFonts w:ascii="Palatino Linotype" w:hAnsi="Palatino Linotype"/>
                <w:b/>
                <w:sz w:val="24"/>
                <w:szCs w:val="24"/>
              </w:rPr>
              <w:t>Alexis Tapia Ramírez</w:t>
            </w:r>
          </w:p>
          <w:p w:rsidR="00D57072" w:rsidRPr="004D7252" w:rsidRDefault="00F2343A" w:rsidP="00C10AAE">
            <w:pPr>
              <w:pStyle w:val="Sinespaciado"/>
              <w:jc w:val="center"/>
              <w:rPr>
                <w:rFonts w:ascii="Palatino Linotype" w:hAnsi="Palatino Linotype"/>
                <w:sz w:val="24"/>
                <w:szCs w:val="24"/>
              </w:rPr>
            </w:pPr>
            <w:r w:rsidRPr="004D7252">
              <w:rPr>
                <w:rFonts w:ascii="Palatino Linotype" w:hAnsi="Palatino Linotype"/>
                <w:sz w:val="24"/>
                <w:szCs w:val="24"/>
              </w:rPr>
              <w:t>Secretario Técnico</w:t>
            </w:r>
            <w:r w:rsidR="00D57072" w:rsidRPr="004D7252">
              <w:rPr>
                <w:rFonts w:ascii="Palatino Linotype" w:hAnsi="Palatino Linotype"/>
                <w:sz w:val="24"/>
                <w:szCs w:val="24"/>
              </w:rPr>
              <w:t xml:space="preserve"> del Pleno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bl>
    <w:p w:rsidR="0053370B" w:rsidRPr="00776EF5" w:rsidRDefault="0053370B" w:rsidP="0014447C">
      <w:pPr>
        <w:pStyle w:val="Sinespaciado"/>
        <w:jc w:val="both"/>
        <w:rPr>
          <w:rFonts w:ascii="Palatino Linotype" w:hAnsi="Palatino Linotype"/>
          <w:sz w:val="40"/>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 xml:space="preserve">Esta hoja corresponde a la resolución de fecha </w:t>
      </w:r>
      <w:r w:rsidR="003D07CA">
        <w:rPr>
          <w:rFonts w:ascii="Palatino Linotype" w:hAnsi="Palatino Linotype"/>
          <w:sz w:val="16"/>
          <w:szCs w:val="16"/>
        </w:rPr>
        <w:t>once de marzo</w:t>
      </w:r>
      <w:r w:rsidR="00D00FA4">
        <w:rPr>
          <w:rFonts w:ascii="Palatino Linotype" w:hAnsi="Palatino Linotype"/>
          <w:sz w:val="16"/>
          <w:szCs w:val="16"/>
        </w:rPr>
        <w:t xml:space="preserve"> de dos mil veinte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A31E7F">
        <w:rPr>
          <w:rFonts w:ascii="Palatino Linotype" w:hAnsi="Palatino Linotype"/>
          <w:bCs/>
          <w:sz w:val="16"/>
          <w:szCs w:val="16"/>
          <w:lang w:eastAsia="es-MX"/>
        </w:rPr>
        <w:t>10180</w:t>
      </w:r>
      <w:r w:rsidR="00DA1B7C">
        <w:rPr>
          <w:rFonts w:ascii="Palatino Linotype" w:hAnsi="Palatino Linotype"/>
          <w:bCs/>
          <w:sz w:val="16"/>
          <w:szCs w:val="16"/>
          <w:lang w:eastAsia="es-MX"/>
        </w:rPr>
        <w:t>/INFOEM/IP/RR/2019.</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050A9C">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E8A" w:rsidRDefault="00E82E8A" w:rsidP="007E2E80">
      <w:pPr>
        <w:spacing w:after="0" w:line="240" w:lineRule="auto"/>
      </w:pPr>
      <w:r>
        <w:separator/>
      </w:r>
    </w:p>
  </w:endnote>
  <w:endnote w:type="continuationSeparator" w:id="0">
    <w:p w:rsidR="00E82E8A" w:rsidRDefault="00E82E8A"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CA9" w:rsidRPr="000B69FA" w:rsidRDefault="00903CA9"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6512E">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6512E">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CA9" w:rsidRPr="000B69FA" w:rsidRDefault="00903CA9"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6512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6512E">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E8A" w:rsidRDefault="00E82E8A" w:rsidP="007E2E80">
      <w:pPr>
        <w:spacing w:after="0" w:line="240" w:lineRule="auto"/>
      </w:pPr>
      <w:r>
        <w:separator/>
      </w:r>
    </w:p>
  </w:footnote>
  <w:footnote w:type="continuationSeparator" w:id="0">
    <w:p w:rsidR="00E82E8A" w:rsidRDefault="00E82E8A" w:rsidP="007E2E80">
      <w:pPr>
        <w:spacing w:after="0" w:line="240" w:lineRule="auto"/>
      </w:pPr>
      <w:r>
        <w:continuationSeparator/>
      </w:r>
    </w:p>
  </w:footnote>
  <w:footnote w:id="1">
    <w:p w:rsidR="00903CA9" w:rsidRPr="00615B4B" w:rsidRDefault="00903CA9"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903CA9" w:rsidRPr="00615B4B" w:rsidRDefault="00903CA9"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657388" w:rsidRPr="00680E1F" w:rsidRDefault="00657388" w:rsidP="00657388">
      <w:pPr>
        <w:pStyle w:val="Textonotapie"/>
        <w:jc w:val="both"/>
        <w:rPr>
          <w:rFonts w:ascii="Palatino Linotype" w:hAnsi="Palatino Linotype"/>
          <w:i/>
          <w:sz w:val="18"/>
          <w:szCs w:val="18"/>
        </w:rPr>
      </w:pPr>
      <w:r w:rsidRPr="00680E1F">
        <w:rPr>
          <w:rStyle w:val="Refdenotaalpie"/>
          <w:rFonts w:ascii="Palatino Linotype" w:hAnsi="Palatino Linotype"/>
          <w:i/>
          <w:sz w:val="18"/>
          <w:szCs w:val="18"/>
        </w:rPr>
        <w:footnoteRef/>
      </w:r>
      <w:r w:rsidRPr="00680E1F">
        <w:rPr>
          <w:rFonts w:ascii="Palatino Linotype" w:hAnsi="Palatino Linotype"/>
          <w:i/>
          <w:sz w:val="18"/>
          <w:szCs w:val="18"/>
        </w:rPr>
        <w:t xml:space="preserve"> </w:t>
      </w:r>
      <w:r w:rsidRPr="00680E1F">
        <w:rPr>
          <w:rFonts w:ascii="Palatino Linotype" w:hAnsi="Palatino Linotype"/>
          <w:b/>
          <w:i/>
          <w:sz w:val="18"/>
          <w:szCs w:val="18"/>
        </w:rPr>
        <w:t xml:space="preserve">Artículo 13. </w:t>
      </w:r>
      <w:r w:rsidRPr="00680E1F">
        <w:rPr>
          <w:rFonts w:ascii="Palatino Linotype" w:hAnsi="Palatino Linotype"/>
          <w:i/>
          <w:sz w:val="18"/>
          <w:szCs w:val="18"/>
        </w:rPr>
        <w:t>El Instituto, en el ámbito de sus atribuciones, deberá suplir cualquier deficiencia para garantizar el ejercicio del derecho de acceso a la información.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CA9" w:rsidRDefault="00903CA9">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903CA9" w:rsidTr="00182616">
      <w:trPr>
        <w:trHeight w:val="227"/>
      </w:trPr>
      <w:tc>
        <w:tcPr>
          <w:tcW w:w="5949" w:type="dxa"/>
          <w:hideMark/>
        </w:tcPr>
        <w:p w:rsidR="00903CA9" w:rsidRDefault="00903CA9"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903CA9" w:rsidRDefault="00903CA9"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10180/INFOEM/IP/RR/2019</w:t>
          </w:r>
        </w:p>
      </w:tc>
    </w:tr>
    <w:tr w:rsidR="00903CA9" w:rsidTr="00182616">
      <w:trPr>
        <w:trHeight w:val="242"/>
      </w:trPr>
      <w:tc>
        <w:tcPr>
          <w:tcW w:w="5949" w:type="dxa"/>
          <w:hideMark/>
        </w:tcPr>
        <w:p w:rsidR="00903CA9" w:rsidRDefault="00903CA9"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903CA9" w:rsidRPr="00DE7461" w:rsidRDefault="00903CA9" w:rsidP="00043CE6">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Ecatzingo</w:t>
          </w:r>
        </w:p>
      </w:tc>
    </w:tr>
    <w:tr w:rsidR="00903CA9" w:rsidTr="00182616">
      <w:trPr>
        <w:trHeight w:val="342"/>
      </w:trPr>
      <w:tc>
        <w:tcPr>
          <w:tcW w:w="5949" w:type="dxa"/>
          <w:hideMark/>
        </w:tcPr>
        <w:p w:rsidR="00903CA9" w:rsidRDefault="00903CA9"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903CA9" w:rsidRDefault="00903CA9"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903CA9" w:rsidRDefault="00903CA9">
    <w:pPr>
      <w:pStyle w:val="Encabezado"/>
    </w:pPr>
  </w:p>
  <w:p w:rsidR="00903CA9" w:rsidRDefault="00903CA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903CA9" w:rsidTr="00182616">
      <w:trPr>
        <w:trHeight w:val="227"/>
      </w:trPr>
      <w:tc>
        <w:tcPr>
          <w:tcW w:w="5103" w:type="dxa"/>
          <w:hideMark/>
        </w:tcPr>
        <w:p w:rsidR="00903CA9" w:rsidRDefault="00903CA9"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903CA9" w:rsidRPr="00B4142F" w:rsidRDefault="00903CA9"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10180/INFOEM/IP/RR/2019</w:t>
          </w:r>
        </w:p>
      </w:tc>
    </w:tr>
    <w:tr w:rsidR="00903CA9" w:rsidTr="00182616">
      <w:trPr>
        <w:trHeight w:val="196"/>
      </w:trPr>
      <w:tc>
        <w:tcPr>
          <w:tcW w:w="5103" w:type="dxa"/>
          <w:hideMark/>
        </w:tcPr>
        <w:p w:rsidR="00903CA9" w:rsidRDefault="00903CA9"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903CA9" w:rsidRPr="00F06FED" w:rsidRDefault="00D6512E" w:rsidP="00212498">
          <w:pPr>
            <w:spacing w:after="120" w:line="256" w:lineRule="auto"/>
            <w:ind w:left="208" w:right="214"/>
            <w:jc w:val="right"/>
            <w:rPr>
              <w:rFonts w:ascii="Palatino Linotype" w:hAnsi="Palatino Linotype" w:cs="Arial"/>
            </w:rPr>
          </w:pPr>
          <w:r>
            <w:rPr>
              <w:rFonts w:ascii="Palatino Linotype" w:hAnsi="Palatino Linotype" w:cs="Arial"/>
            </w:rPr>
            <w:t>xx</w:t>
          </w:r>
        </w:p>
      </w:tc>
    </w:tr>
    <w:tr w:rsidR="00903CA9" w:rsidTr="00182616">
      <w:trPr>
        <w:trHeight w:val="242"/>
      </w:trPr>
      <w:tc>
        <w:tcPr>
          <w:tcW w:w="5103" w:type="dxa"/>
          <w:hideMark/>
        </w:tcPr>
        <w:p w:rsidR="00903CA9" w:rsidRDefault="00903CA9"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903CA9" w:rsidRDefault="00903CA9" w:rsidP="00043CE6">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Ecatzingo</w:t>
          </w:r>
        </w:p>
      </w:tc>
    </w:tr>
    <w:tr w:rsidR="00903CA9" w:rsidTr="00182616">
      <w:trPr>
        <w:trHeight w:val="342"/>
      </w:trPr>
      <w:tc>
        <w:tcPr>
          <w:tcW w:w="5103" w:type="dxa"/>
          <w:hideMark/>
        </w:tcPr>
        <w:p w:rsidR="00903CA9" w:rsidRDefault="00903CA9"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903CA9" w:rsidRDefault="00903CA9"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903CA9" w:rsidRDefault="00903CA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710347"/>
    <w:multiLevelType w:val="hybridMultilevel"/>
    <w:tmpl w:val="F66C292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C5D23"/>
    <w:multiLevelType w:val="hybridMultilevel"/>
    <w:tmpl w:val="AA3C30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0F7635"/>
    <w:multiLevelType w:val="hybridMultilevel"/>
    <w:tmpl w:val="B7DC045E"/>
    <w:lvl w:ilvl="0" w:tplc="5748F0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6FB78F6"/>
    <w:multiLevelType w:val="hybridMultilevel"/>
    <w:tmpl w:val="ABC8A5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4C434D"/>
    <w:multiLevelType w:val="hybridMultilevel"/>
    <w:tmpl w:val="424EF4B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5062171D"/>
    <w:multiLevelType w:val="hybridMultilevel"/>
    <w:tmpl w:val="C4B28B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52781172"/>
    <w:multiLevelType w:val="hybridMultilevel"/>
    <w:tmpl w:val="F0569A0A"/>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0AA1E44"/>
    <w:multiLevelType w:val="hybridMultilevel"/>
    <w:tmpl w:val="8DCA0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6917A07"/>
    <w:multiLevelType w:val="hybridMultilevel"/>
    <w:tmpl w:val="739233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92F54A5"/>
    <w:multiLevelType w:val="hybridMultilevel"/>
    <w:tmpl w:val="1F848A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DF2602"/>
    <w:multiLevelType w:val="hybridMultilevel"/>
    <w:tmpl w:val="A5845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B1C2EAE"/>
    <w:multiLevelType w:val="hybridMultilevel"/>
    <w:tmpl w:val="FABA4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
  </w:num>
  <w:num w:numId="4">
    <w:abstractNumId w:val="30"/>
  </w:num>
  <w:num w:numId="5">
    <w:abstractNumId w:val="7"/>
  </w:num>
  <w:num w:numId="6">
    <w:abstractNumId w:val="5"/>
  </w:num>
  <w:num w:numId="7">
    <w:abstractNumId w:val="17"/>
  </w:num>
  <w:num w:numId="8">
    <w:abstractNumId w:val="16"/>
  </w:num>
  <w:num w:numId="9">
    <w:abstractNumId w:val="25"/>
  </w:num>
  <w:num w:numId="10">
    <w:abstractNumId w:val="8"/>
  </w:num>
  <w:num w:numId="11">
    <w:abstractNumId w:val="26"/>
  </w:num>
  <w:num w:numId="12">
    <w:abstractNumId w:val="20"/>
  </w:num>
  <w:num w:numId="13">
    <w:abstractNumId w:val="18"/>
  </w:num>
  <w:num w:numId="14">
    <w:abstractNumId w:val="11"/>
  </w:num>
  <w:num w:numId="15">
    <w:abstractNumId w:val="4"/>
  </w:num>
  <w:num w:numId="16">
    <w:abstractNumId w:val="10"/>
  </w:num>
  <w:num w:numId="17">
    <w:abstractNumId w:val="14"/>
  </w:num>
  <w:num w:numId="18">
    <w:abstractNumId w:val="24"/>
  </w:num>
  <w:num w:numId="19">
    <w:abstractNumId w:val="28"/>
  </w:num>
  <w:num w:numId="20">
    <w:abstractNumId w:val="22"/>
  </w:num>
  <w:num w:numId="21">
    <w:abstractNumId w:val="12"/>
  </w:num>
  <w:num w:numId="22">
    <w:abstractNumId w:val="13"/>
  </w:num>
  <w:num w:numId="23">
    <w:abstractNumId w:val="21"/>
  </w:num>
  <w:num w:numId="24">
    <w:abstractNumId w:val="31"/>
  </w:num>
  <w:num w:numId="25">
    <w:abstractNumId w:val="15"/>
  </w:num>
  <w:num w:numId="26">
    <w:abstractNumId w:val="29"/>
  </w:num>
  <w:num w:numId="27">
    <w:abstractNumId w:val="27"/>
  </w:num>
  <w:num w:numId="28">
    <w:abstractNumId w:val="6"/>
  </w:num>
  <w:num w:numId="29">
    <w:abstractNumId w:val="3"/>
  </w:num>
  <w:num w:numId="30">
    <w:abstractNumId w:val="23"/>
  </w:num>
  <w:num w:numId="31">
    <w:abstractNumId w:val="19"/>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143C"/>
    <w:rsid w:val="000044B4"/>
    <w:rsid w:val="00006849"/>
    <w:rsid w:val="00011DF7"/>
    <w:rsid w:val="000146A2"/>
    <w:rsid w:val="00014D80"/>
    <w:rsid w:val="000158D7"/>
    <w:rsid w:val="00015A5D"/>
    <w:rsid w:val="00016FC0"/>
    <w:rsid w:val="000178AC"/>
    <w:rsid w:val="00021686"/>
    <w:rsid w:val="000221BF"/>
    <w:rsid w:val="00022E72"/>
    <w:rsid w:val="000248E4"/>
    <w:rsid w:val="000276E0"/>
    <w:rsid w:val="00032DBD"/>
    <w:rsid w:val="00033949"/>
    <w:rsid w:val="00033A37"/>
    <w:rsid w:val="00033B75"/>
    <w:rsid w:val="00037291"/>
    <w:rsid w:val="00037385"/>
    <w:rsid w:val="000402BD"/>
    <w:rsid w:val="00043018"/>
    <w:rsid w:val="000430A6"/>
    <w:rsid w:val="00043CE6"/>
    <w:rsid w:val="00050A9C"/>
    <w:rsid w:val="00051311"/>
    <w:rsid w:val="00052ED4"/>
    <w:rsid w:val="00053C9B"/>
    <w:rsid w:val="000547F6"/>
    <w:rsid w:val="00056372"/>
    <w:rsid w:val="00057570"/>
    <w:rsid w:val="00064439"/>
    <w:rsid w:val="000674FE"/>
    <w:rsid w:val="0007328F"/>
    <w:rsid w:val="000738E9"/>
    <w:rsid w:val="00074EEE"/>
    <w:rsid w:val="00077284"/>
    <w:rsid w:val="0008042E"/>
    <w:rsid w:val="00083079"/>
    <w:rsid w:val="00086FC0"/>
    <w:rsid w:val="0008795C"/>
    <w:rsid w:val="0009343E"/>
    <w:rsid w:val="0009497C"/>
    <w:rsid w:val="00094B58"/>
    <w:rsid w:val="00094CA1"/>
    <w:rsid w:val="00094FA1"/>
    <w:rsid w:val="00095218"/>
    <w:rsid w:val="00097B59"/>
    <w:rsid w:val="000A153F"/>
    <w:rsid w:val="000A27C1"/>
    <w:rsid w:val="000A7540"/>
    <w:rsid w:val="000B5E2B"/>
    <w:rsid w:val="000C2ACC"/>
    <w:rsid w:val="000C674B"/>
    <w:rsid w:val="000D00D8"/>
    <w:rsid w:val="000D47AB"/>
    <w:rsid w:val="000D6982"/>
    <w:rsid w:val="000D756B"/>
    <w:rsid w:val="000E54D0"/>
    <w:rsid w:val="000E7C0A"/>
    <w:rsid w:val="000F199E"/>
    <w:rsid w:val="000F3722"/>
    <w:rsid w:val="000F4EB1"/>
    <w:rsid w:val="00106160"/>
    <w:rsid w:val="00106FF0"/>
    <w:rsid w:val="00107A58"/>
    <w:rsid w:val="001129FF"/>
    <w:rsid w:val="00114C3C"/>
    <w:rsid w:val="00117598"/>
    <w:rsid w:val="00121E46"/>
    <w:rsid w:val="00122CD0"/>
    <w:rsid w:val="0012508A"/>
    <w:rsid w:val="001322BF"/>
    <w:rsid w:val="00132E9F"/>
    <w:rsid w:val="00135494"/>
    <w:rsid w:val="00140AE4"/>
    <w:rsid w:val="00140C2F"/>
    <w:rsid w:val="0014191F"/>
    <w:rsid w:val="00143727"/>
    <w:rsid w:val="00143AC6"/>
    <w:rsid w:val="0014447C"/>
    <w:rsid w:val="001510E8"/>
    <w:rsid w:val="00154A4B"/>
    <w:rsid w:val="001552E9"/>
    <w:rsid w:val="00157652"/>
    <w:rsid w:val="00162176"/>
    <w:rsid w:val="00165929"/>
    <w:rsid w:val="00166046"/>
    <w:rsid w:val="00166FB7"/>
    <w:rsid w:val="001706EC"/>
    <w:rsid w:val="001804DC"/>
    <w:rsid w:val="0018075A"/>
    <w:rsid w:val="00180F6B"/>
    <w:rsid w:val="00182591"/>
    <w:rsid w:val="00182616"/>
    <w:rsid w:val="0019302A"/>
    <w:rsid w:val="001A12A0"/>
    <w:rsid w:val="001A17B9"/>
    <w:rsid w:val="001A2F7E"/>
    <w:rsid w:val="001A4700"/>
    <w:rsid w:val="001B260E"/>
    <w:rsid w:val="001C0CE9"/>
    <w:rsid w:val="001C25AB"/>
    <w:rsid w:val="001C7007"/>
    <w:rsid w:val="001C7878"/>
    <w:rsid w:val="001D5892"/>
    <w:rsid w:val="001D6114"/>
    <w:rsid w:val="001D61D0"/>
    <w:rsid w:val="001D63E9"/>
    <w:rsid w:val="001E07AC"/>
    <w:rsid w:val="001E10E4"/>
    <w:rsid w:val="001E1309"/>
    <w:rsid w:val="001E1E50"/>
    <w:rsid w:val="001E344B"/>
    <w:rsid w:val="001E60B7"/>
    <w:rsid w:val="001E7E59"/>
    <w:rsid w:val="001F021C"/>
    <w:rsid w:val="001F12BF"/>
    <w:rsid w:val="001F19D0"/>
    <w:rsid w:val="001F2BC9"/>
    <w:rsid w:val="001F50B1"/>
    <w:rsid w:val="001F5577"/>
    <w:rsid w:val="001F60B6"/>
    <w:rsid w:val="00201358"/>
    <w:rsid w:val="00203FA5"/>
    <w:rsid w:val="00207ACC"/>
    <w:rsid w:val="00207DA3"/>
    <w:rsid w:val="00207F31"/>
    <w:rsid w:val="002108D8"/>
    <w:rsid w:val="00211473"/>
    <w:rsid w:val="00211BAC"/>
    <w:rsid w:val="0021201C"/>
    <w:rsid w:val="00212498"/>
    <w:rsid w:val="00213EE6"/>
    <w:rsid w:val="0021564F"/>
    <w:rsid w:val="00216B8D"/>
    <w:rsid w:val="00217572"/>
    <w:rsid w:val="00220226"/>
    <w:rsid w:val="002252AD"/>
    <w:rsid w:val="00231EFE"/>
    <w:rsid w:val="00235C9C"/>
    <w:rsid w:val="00240360"/>
    <w:rsid w:val="00241CDD"/>
    <w:rsid w:val="00243440"/>
    <w:rsid w:val="002450D9"/>
    <w:rsid w:val="00247556"/>
    <w:rsid w:val="00247E1F"/>
    <w:rsid w:val="00250DDA"/>
    <w:rsid w:val="00254523"/>
    <w:rsid w:val="002572CF"/>
    <w:rsid w:val="00257DF4"/>
    <w:rsid w:val="002607FE"/>
    <w:rsid w:val="0026191D"/>
    <w:rsid w:val="002647D3"/>
    <w:rsid w:val="00271762"/>
    <w:rsid w:val="00273014"/>
    <w:rsid w:val="002771A2"/>
    <w:rsid w:val="00277E0D"/>
    <w:rsid w:val="0028585E"/>
    <w:rsid w:val="00286EAE"/>
    <w:rsid w:val="00287072"/>
    <w:rsid w:val="00290397"/>
    <w:rsid w:val="00291370"/>
    <w:rsid w:val="00296F49"/>
    <w:rsid w:val="002A1927"/>
    <w:rsid w:val="002A269B"/>
    <w:rsid w:val="002A3167"/>
    <w:rsid w:val="002A4A72"/>
    <w:rsid w:val="002B0070"/>
    <w:rsid w:val="002B1519"/>
    <w:rsid w:val="002B2554"/>
    <w:rsid w:val="002B58D4"/>
    <w:rsid w:val="002B5B14"/>
    <w:rsid w:val="002B7E52"/>
    <w:rsid w:val="002C2A2E"/>
    <w:rsid w:val="002C2D19"/>
    <w:rsid w:val="002C529C"/>
    <w:rsid w:val="002C56B2"/>
    <w:rsid w:val="002C5A67"/>
    <w:rsid w:val="002D2F14"/>
    <w:rsid w:val="002D3BB0"/>
    <w:rsid w:val="002D4991"/>
    <w:rsid w:val="002D4BAA"/>
    <w:rsid w:val="002D6110"/>
    <w:rsid w:val="002D6F1B"/>
    <w:rsid w:val="002D7BEC"/>
    <w:rsid w:val="002E22D8"/>
    <w:rsid w:val="002E2B48"/>
    <w:rsid w:val="002E2D4C"/>
    <w:rsid w:val="002E344C"/>
    <w:rsid w:val="002E3F0B"/>
    <w:rsid w:val="002E6036"/>
    <w:rsid w:val="002F044A"/>
    <w:rsid w:val="002F0481"/>
    <w:rsid w:val="002F160B"/>
    <w:rsid w:val="002F17FB"/>
    <w:rsid w:val="002F33E9"/>
    <w:rsid w:val="003013E4"/>
    <w:rsid w:val="00301A01"/>
    <w:rsid w:val="003021C1"/>
    <w:rsid w:val="00303FAF"/>
    <w:rsid w:val="00304C91"/>
    <w:rsid w:val="00305364"/>
    <w:rsid w:val="00307784"/>
    <w:rsid w:val="00310760"/>
    <w:rsid w:val="00311191"/>
    <w:rsid w:val="00312E7E"/>
    <w:rsid w:val="00315192"/>
    <w:rsid w:val="0031531C"/>
    <w:rsid w:val="00320791"/>
    <w:rsid w:val="003255F3"/>
    <w:rsid w:val="00326D4D"/>
    <w:rsid w:val="00327932"/>
    <w:rsid w:val="00330BBC"/>
    <w:rsid w:val="00336EDF"/>
    <w:rsid w:val="00337468"/>
    <w:rsid w:val="0034396B"/>
    <w:rsid w:val="00350442"/>
    <w:rsid w:val="00363308"/>
    <w:rsid w:val="00365ADF"/>
    <w:rsid w:val="00367BDB"/>
    <w:rsid w:val="0037111B"/>
    <w:rsid w:val="0037149C"/>
    <w:rsid w:val="00374450"/>
    <w:rsid w:val="00374F22"/>
    <w:rsid w:val="003750D2"/>
    <w:rsid w:val="00375FF5"/>
    <w:rsid w:val="0038150A"/>
    <w:rsid w:val="0038385D"/>
    <w:rsid w:val="003840C3"/>
    <w:rsid w:val="003908F4"/>
    <w:rsid w:val="003913B0"/>
    <w:rsid w:val="003919AC"/>
    <w:rsid w:val="00395C1A"/>
    <w:rsid w:val="00396EB8"/>
    <w:rsid w:val="003A0491"/>
    <w:rsid w:val="003A13D2"/>
    <w:rsid w:val="003A1534"/>
    <w:rsid w:val="003A3096"/>
    <w:rsid w:val="003B1AAD"/>
    <w:rsid w:val="003B2BFE"/>
    <w:rsid w:val="003B5524"/>
    <w:rsid w:val="003C3124"/>
    <w:rsid w:val="003C49E4"/>
    <w:rsid w:val="003C6EE8"/>
    <w:rsid w:val="003C74AF"/>
    <w:rsid w:val="003D07CA"/>
    <w:rsid w:val="003D1311"/>
    <w:rsid w:val="003D1EEB"/>
    <w:rsid w:val="003D1FF7"/>
    <w:rsid w:val="003D2672"/>
    <w:rsid w:val="003D2A1C"/>
    <w:rsid w:val="003D3420"/>
    <w:rsid w:val="003E01DA"/>
    <w:rsid w:val="003E08B9"/>
    <w:rsid w:val="003E1C7D"/>
    <w:rsid w:val="003E43D8"/>
    <w:rsid w:val="003E653B"/>
    <w:rsid w:val="003F046E"/>
    <w:rsid w:val="003F3B7A"/>
    <w:rsid w:val="00400852"/>
    <w:rsid w:val="004008E7"/>
    <w:rsid w:val="004033F4"/>
    <w:rsid w:val="00404F9D"/>
    <w:rsid w:val="00405574"/>
    <w:rsid w:val="00406B61"/>
    <w:rsid w:val="00407282"/>
    <w:rsid w:val="00407CF4"/>
    <w:rsid w:val="00410A41"/>
    <w:rsid w:val="004132B8"/>
    <w:rsid w:val="00413AD5"/>
    <w:rsid w:val="00417EBD"/>
    <w:rsid w:val="00423757"/>
    <w:rsid w:val="00423C27"/>
    <w:rsid w:val="00424A8A"/>
    <w:rsid w:val="00425199"/>
    <w:rsid w:val="00432BF1"/>
    <w:rsid w:val="00437846"/>
    <w:rsid w:val="00440897"/>
    <w:rsid w:val="00443826"/>
    <w:rsid w:val="004440A9"/>
    <w:rsid w:val="0045270C"/>
    <w:rsid w:val="0045396C"/>
    <w:rsid w:val="004572BE"/>
    <w:rsid w:val="004617C7"/>
    <w:rsid w:val="004625C1"/>
    <w:rsid w:val="004657BE"/>
    <w:rsid w:val="004737E6"/>
    <w:rsid w:val="00473B0B"/>
    <w:rsid w:val="004740BE"/>
    <w:rsid w:val="00474F20"/>
    <w:rsid w:val="004807F7"/>
    <w:rsid w:val="00481A0C"/>
    <w:rsid w:val="004830B5"/>
    <w:rsid w:val="00484E47"/>
    <w:rsid w:val="00485F58"/>
    <w:rsid w:val="00487B8B"/>
    <w:rsid w:val="004905DB"/>
    <w:rsid w:val="00492958"/>
    <w:rsid w:val="00496755"/>
    <w:rsid w:val="00497586"/>
    <w:rsid w:val="00497B93"/>
    <w:rsid w:val="004A51FF"/>
    <w:rsid w:val="004B19F6"/>
    <w:rsid w:val="004B2C63"/>
    <w:rsid w:val="004B3BFA"/>
    <w:rsid w:val="004B4721"/>
    <w:rsid w:val="004C0459"/>
    <w:rsid w:val="004C3509"/>
    <w:rsid w:val="004C7E18"/>
    <w:rsid w:val="004D2CE0"/>
    <w:rsid w:val="004D339E"/>
    <w:rsid w:val="004D7252"/>
    <w:rsid w:val="004D798F"/>
    <w:rsid w:val="004E2B2D"/>
    <w:rsid w:val="004E3718"/>
    <w:rsid w:val="004E3AAD"/>
    <w:rsid w:val="004F483E"/>
    <w:rsid w:val="004F4B8F"/>
    <w:rsid w:val="0050104C"/>
    <w:rsid w:val="005023F4"/>
    <w:rsid w:val="005033CC"/>
    <w:rsid w:val="00505786"/>
    <w:rsid w:val="00516BA8"/>
    <w:rsid w:val="0052393E"/>
    <w:rsid w:val="00524986"/>
    <w:rsid w:val="005328FB"/>
    <w:rsid w:val="0053352D"/>
    <w:rsid w:val="0053370B"/>
    <w:rsid w:val="00537419"/>
    <w:rsid w:val="00537D90"/>
    <w:rsid w:val="00541B17"/>
    <w:rsid w:val="005421C7"/>
    <w:rsid w:val="00542206"/>
    <w:rsid w:val="005436F5"/>
    <w:rsid w:val="005448FA"/>
    <w:rsid w:val="005533C9"/>
    <w:rsid w:val="00566699"/>
    <w:rsid w:val="00567C71"/>
    <w:rsid w:val="005733EB"/>
    <w:rsid w:val="0057534D"/>
    <w:rsid w:val="00581A6F"/>
    <w:rsid w:val="00587196"/>
    <w:rsid w:val="00587771"/>
    <w:rsid w:val="00590126"/>
    <w:rsid w:val="00591988"/>
    <w:rsid w:val="0059515F"/>
    <w:rsid w:val="00596856"/>
    <w:rsid w:val="005A05D5"/>
    <w:rsid w:val="005A117C"/>
    <w:rsid w:val="005A6F55"/>
    <w:rsid w:val="005B2A31"/>
    <w:rsid w:val="005B2B70"/>
    <w:rsid w:val="005B4B01"/>
    <w:rsid w:val="005B7E58"/>
    <w:rsid w:val="005C057C"/>
    <w:rsid w:val="005C6758"/>
    <w:rsid w:val="005C76D5"/>
    <w:rsid w:val="005D02A8"/>
    <w:rsid w:val="005D4252"/>
    <w:rsid w:val="005D5EEB"/>
    <w:rsid w:val="005D5FD3"/>
    <w:rsid w:val="005E3A32"/>
    <w:rsid w:val="005E3E34"/>
    <w:rsid w:val="005E3F88"/>
    <w:rsid w:val="005E6F4D"/>
    <w:rsid w:val="005E7805"/>
    <w:rsid w:val="00600575"/>
    <w:rsid w:val="00600D67"/>
    <w:rsid w:val="006023A0"/>
    <w:rsid w:val="0060633A"/>
    <w:rsid w:val="006110C1"/>
    <w:rsid w:val="006146E7"/>
    <w:rsid w:val="006149F1"/>
    <w:rsid w:val="00614AB1"/>
    <w:rsid w:val="00617D1A"/>
    <w:rsid w:val="00620FA6"/>
    <w:rsid w:val="006246A5"/>
    <w:rsid w:val="00625C69"/>
    <w:rsid w:val="0062686A"/>
    <w:rsid w:val="00627F9C"/>
    <w:rsid w:val="00631F1B"/>
    <w:rsid w:val="00631FF9"/>
    <w:rsid w:val="00632085"/>
    <w:rsid w:val="00633C3F"/>
    <w:rsid w:val="00635C5C"/>
    <w:rsid w:val="00640272"/>
    <w:rsid w:val="00640D07"/>
    <w:rsid w:val="00642541"/>
    <w:rsid w:val="00644363"/>
    <w:rsid w:val="006446F7"/>
    <w:rsid w:val="00646E4D"/>
    <w:rsid w:val="00647067"/>
    <w:rsid w:val="00647B4C"/>
    <w:rsid w:val="00652906"/>
    <w:rsid w:val="006532DD"/>
    <w:rsid w:val="0065519D"/>
    <w:rsid w:val="00657388"/>
    <w:rsid w:val="00661204"/>
    <w:rsid w:val="006621E2"/>
    <w:rsid w:val="006640E4"/>
    <w:rsid w:val="0066610F"/>
    <w:rsid w:val="006661F4"/>
    <w:rsid w:val="00666796"/>
    <w:rsid w:val="0067376B"/>
    <w:rsid w:val="00673D7C"/>
    <w:rsid w:val="006749FD"/>
    <w:rsid w:val="006753F6"/>
    <w:rsid w:val="00676C32"/>
    <w:rsid w:val="00677735"/>
    <w:rsid w:val="006808D8"/>
    <w:rsid w:val="00680D39"/>
    <w:rsid w:val="00680E1F"/>
    <w:rsid w:val="006851B0"/>
    <w:rsid w:val="00686046"/>
    <w:rsid w:val="0068613E"/>
    <w:rsid w:val="00692E6D"/>
    <w:rsid w:val="0069776E"/>
    <w:rsid w:val="006A0ADE"/>
    <w:rsid w:val="006A29C5"/>
    <w:rsid w:val="006A3A54"/>
    <w:rsid w:val="006A561E"/>
    <w:rsid w:val="006A674A"/>
    <w:rsid w:val="006A6AF8"/>
    <w:rsid w:val="006A7B74"/>
    <w:rsid w:val="006B42F4"/>
    <w:rsid w:val="006B54F8"/>
    <w:rsid w:val="006C24DF"/>
    <w:rsid w:val="006C43CE"/>
    <w:rsid w:val="006C510A"/>
    <w:rsid w:val="006C6176"/>
    <w:rsid w:val="006C6C1D"/>
    <w:rsid w:val="006D01DC"/>
    <w:rsid w:val="006D1136"/>
    <w:rsid w:val="006D254A"/>
    <w:rsid w:val="006D4AD4"/>
    <w:rsid w:val="006D621C"/>
    <w:rsid w:val="006D780C"/>
    <w:rsid w:val="006E0601"/>
    <w:rsid w:val="006E2D42"/>
    <w:rsid w:val="006E6394"/>
    <w:rsid w:val="006E6C81"/>
    <w:rsid w:val="006F1473"/>
    <w:rsid w:val="006F18FD"/>
    <w:rsid w:val="006F4A35"/>
    <w:rsid w:val="006F7263"/>
    <w:rsid w:val="00702DB6"/>
    <w:rsid w:val="00705D1C"/>
    <w:rsid w:val="00706CA6"/>
    <w:rsid w:val="00707021"/>
    <w:rsid w:val="00711A9D"/>
    <w:rsid w:val="0071210D"/>
    <w:rsid w:val="007158BB"/>
    <w:rsid w:val="007218F2"/>
    <w:rsid w:val="00725286"/>
    <w:rsid w:val="007256EA"/>
    <w:rsid w:val="00730DE0"/>
    <w:rsid w:val="00732BB4"/>
    <w:rsid w:val="0073345D"/>
    <w:rsid w:val="00735353"/>
    <w:rsid w:val="0073758D"/>
    <w:rsid w:val="0074093D"/>
    <w:rsid w:val="00742DE8"/>
    <w:rsid w:val="007451B1"/>
    <w:rsid w:val="00751BBC"/>
    <w:rsid w:val="00751DA3"/>
    <w:rsid w:val="0075233B"/>
    <w:rsid w:val="00752C97"/>
    <w:rsid w:val="007538C9"/>
    <w:rsid w:val="0075676A"/>
    <w:rsid w:val="0076120C"/>
    <w:rsid w:val="00762DE4"/>
    <w:rsid w:val="00763D73"/>
    <w:rsid w:val="007640C8"/>
    <w:rsid w:val="007676AF"/>
    <w:rsid w:val="00772257"/>
    <w:rsid w:val="00776087"/>
    <w:rsid w:val="00776EF5"/>
    <w:rsid w:val="007812E7"/>
    <w:rsid w:val="00785145"/>
    <w:rsid w:val="00785340"/>
    <w:rsid w:val="00786497"/>
    <w:rsid w:val="00790289"/>
    <w:rsid w:val="00793F5D"/>
    <w:rsid w:val="0079496F"/>
    <w:rsid w:val="00794D57"/>
    <w:rsid w:val="00797BE3"/>
    <w:rsid w:val="007A0571"/>
    <w:rsid w:val="007A0E01"/>
    <w:rsid w:val="007A223B"/>
    <w:rsid w:val="007A3831"/>
    <w:rsid w:val="007A4E13"/>
    <w:rsid w:val="007A7098"/>
    <w:rsid w:val="007B0292"/>
    <w:rsid w:val="007B0E30"/>
    <w:rsid w:val="007B1050"/>
    <w:rsid w:val="007C11C3"/>
    <w:rsid w:val="007D0CFF"/>
    <w:rsid w:val="007D29C5"/>
    <w:rsid w:val="007D64E8"/>
    <w:rsid w:val="007E2BB0"/>
    <w:rsid w:val="007E2E80"/>
    <w:rsid w:val="007E39F7"/>
    <w:rsid w:val="007F054B"/>
    <w:rsid w:val="007F1984"/>
    <w:rsid w:val="007F2293"/>
    <w:rsid w:val="007F282E"/>
    <w:rsid w:val="007F37E2"/>
    <w:rsid w:val="007F3B57"/>
    <w:rsid w:val="007F6535"/>
    <w:rsid w:val="007F7089"/>
    <w:rsid w:val="007F7846"/>
    <w:rsid w:val="008041A7"/>
    <w:rsid w:val="00807090"/>
    <w:rsid w:val="008103B2"/>
    <w:rsid w:val="0081299A"/>
    <w:rsid w:val="00813216"/>
    <w:rsid w:val="00815EAB"/>
    <w:rsid w:val="00816AE5"/>
    <w:rsid w:val="0081732C"/>
    <w:rsid w:val="00821898"/>
    <w:rsid w:val="0082278A"/>
    <w:rsid w:val="00823454"/>
    <w:rsid w:val="00824894"/>
    <w:rsid w:val="0082723F"/>
    <w:rsid w:val="0082750B"/>
    <w:rsid w:val="00830360"/>
    <w:rsid w:val="008307E5"/>
    <w:rsid w:val="00831395"/>
    <w:rsid w:val="00834E89"/>
    <w:rsid w:val="00843415"/>
    <w:rsid w:val="0084469C"/>
    <w:rsid w:val="008455DC"/>
    <w:rsid w:val="00850F99"/>
    <w:rsid w:val="00853CC3"/>
    <w:rsid w:val="008543D2"/>
    <w:rsid w:val="00862A04"/>
    <w:rsid w:val="008659E5"/>
    <w:rsid w:val="00867D56"/>
    <w:rsid w:val="00870064"/>
    <w:rsid w:val="008725EE"/>
    <w:rsid w:val="008731D1"/>
    <w:rsid w:val="00873AD1"/>
    <w:rsid w:val="00875F60"/>
    <w:rsid w:val="00881FE4"/>
    <w:rsid w:val="00882E8A"/>
    <w:rsid w:val="00882F15"/>
    <w:rsid w:val="008836B4"/>
    <w:rsid w:val="00886CCB"/>
    <w:rsid w:val="00887526"/>
    <w:rsid w:val="00892543"/>
    <w:rsid w:val="00896031"/>
    <w:rsid w:val="00897444"/>
    <w:rsid w:val="00897A82"/>
    <w:rsid w:val="008A0BE6"/>
    <w:rsid w:val="008A1C19"/>
    <w:rsid w:val="008A29E6"/>
    <w:rsid w:val="008A46B7"/>
    <w:rsid w:val="008B480D"/>
    <w:rsid w:val="008B5486"/>
    <w:rsid w:val="008B5FD3"/>
    <w:rsid w:val="008B6D91"/>
    <w:rsid w:val="008B6FCC"/>
    <w:rsid w:val="008C0E72"/>
    <w:rsid w:val="008C0F70"/>
    <w:rsid w:val="008C15A4"/>
    <w:rsid w:val="008C16A7"/>
    <w:rsid w:val="008C651F"/>
    <w:rsid w:val="008C7CEB"/>
    <w:rsid w:val="008D17A8"/>
    <w:rsid w:val="008D3655"/>
    <w:rsid w:val="008D3EA1"/>
    <w:rsid w:val="008E0B39"/>
    <w:rsid w:val="008E572E"/>
    <w:rsid w:val="008E63C2"/>
    <w:rsid w:val="00902079"/>
    <w:rsid w:val="00902F45"/>
    <w:rsid w:val="00903599"/>
    <w:rsid w:val="0090362E"/>
    <w:rsid w:val="00903CA9"/>
    <w:rsid w:val="00905CE1"/>
    <w:rsid w:val="009151CF"/>
    <w:rsid w:val="00920256"/>
    <w:rsid w:val="009272C6"/>
    <w:rsid w:val="00930F68"/>
    <w:rsid w:val="009339EC"/>
    <w:rsid w:val="00934C64"/>
    <w:rsid w:val="00936CE7"/>
    <w:rsid w:val="0093743A"/>
    <w:rsid w:val="00942349"/>
    <w:rsid w:val="00943B37"/>
    <w:rsid w:val="009450FA"/>
    <w:rsid w:val="00950ABA"/>
    <w:rsid w:val="00954DC1"/>
    <w:rsid w:val="009564D0"/>
    <w:rsid w:val="00960670"/>
    <w:rsid w:val="00960D8F"/>
    <w:rsid w:val="0096284F"/>
    <w:rsid w:val="00963346"/>
    <w:rsid w:val="0096359D"/>
    <w:rsid w:val="00967270"/>
    <w:rsid w:val="00970865"/>
    <w:rsid w:val="0097416D"/>
    <w:rsid w:val="009759F9"/>
    <w:rsid w:val="0098039E"/>
    <w:rsid w:val="0098202C"/>
    <w:rsid w:val="00984387"/>
    <w:rsid w:val="00984CA8"/>
    <w:rsid w:val="0098562F"/>
    <w:rsid w:val="009859B8"/>
    <w:rsid w:val="0099000E"/>
    <w:rsid w:val="00992548"/>
    <w:rsid w:val="00993F15"/>
    <w:rsid w:val="00994FE7"/>
    <w:rsid w:val="009A488D"/>
    <w:rsid w:val="009A6C7D"/>
    <w:rsid w:val="009B030D"/>
    <w:rsid w:val="009B0589"/>
    <w:rsid w:val="009B205B"/>
    <w:rsid w:val="009B3592"/>
    <w:rsid w:val="009B4392"/>
    <w:rsid w:val="009B70C3"/>
    <w:rsid w:val="009C1EA2"/>
    <w:rsid w:val="009C3FC7"/>
    <w:rsid w:val="009C5A94"/>
    <w:rsid w:val="009D1E63"/>
    <w:rsid w:val="009D34B0"/>
    <w:rsid w:val="009D56AA"/>
    <w:rsid w:val="009D7041"/>
    <w:rsid w:val="009D7C8F"/>
    <w:rsid w:val="009E0089"/>
    <w:rsid w:val="009E1701"/>
    <w:rsid w:val="009E396D"/>
    <w:rsid w:val="009E53C2"/>
    <w:rsid w:val="009E7128"/>
    <w:rsid w:val="009F223E"/>
    <w:rsid w:val="009F63A1"/>
    <w:rsid w:val="009F7B22"/>
    <w:rsid w:val="00A01F59"/>
    <w:rsid w:val="00A052EF"/>
    <w:rsid w:val="00A06551"/>
    <w:rsid w:val="00A077C1"/>
    <w:rsid w:val="00A10000"/>
    <w:rsid w:val="00A10775"/>
    <w:rsid w:val="00A112EB"/>
    <w:rsid w:val="00A121E4"/>
    <w:rsid w:val="00A12578"/>
    <w:rsid w:val="00A17B4D"/>
    <w:rsid w:val="00A20153"/>
    <w:rsid w:val="00A205A0"/>
    <w:rsid w:val="00A2199B"/>
    <w:rsid w:val="00A22469"/>
    <w:rsid w:val="00A232F0"/>
    <w:rsid w:val="00A24C0F"/>
    <w:rsid w:val="00A25EBC"/>
    <w:rsid w:val="00A26AC5"/>
    <w:rsid w:val="00A27B48"/>
    <w:rsid w:val="00A30951"/>
    <w:rsid w:val="00A3134D"/>
    <w:rsid w:val="00A31E7F"/>
    <w:rsid w:val="00A33B3A"/>
    <w:rsid w:val="00A35B31"/>
    <w:rsid w:val="00A4214D"/>
    <w:rsid w:val="00A525CB"/>
    <w:rsid w:val="00A54113"/>
    <w:rsid w:val="00A62727"/>
    <w:rsid w:val="00A63830"/>
    <w:rsid w:val="00A65C29"/>
    <w:rsid w:val="00A666CE"/>
    <w:rsid w:val="00A670E4"/>
    <w:rsid w:val="00A73A68"/>
    <w:rsid w:val="00A823B0"/>
    <w:rsid w:val="00A854D1"/>
    <w:rsid w:val="00A871F0"/>
    <w:rsid w:val="00A91642"/>
    <w:rsid w:val="00A9172E"/>
    <w:rsid w:val="00A9462B"/>
    <w:rsid w:val="00A94BF6"/>
    <w:rsid w:val="00A979C7"/>
    <w:rsid w:val="00AA4F9A"/>
    <w:rsid w:val="00AA5A0A"/>
    <w:rsid w:val="00AA66C6"/>
    <w:rsid w:val="00AB1AF3"/>
    <w:rsid w:val="00AB481C"/>
    <w:rsid w:val="00AB5B2C"/>
    <w:rsid w:val="00AB6FE4"/>
    <w:rsid w:val="00AD0168"/>
    <w:rsid w:val="00AD3C94"/>
    <w:rsid w:val="00AD4AD8"/>
    <w:rsid w:val="00AD5C62"/>
    <w:rsid w:val="00AE26CD"/>
    <w:rsid w:val="00AE658B"/>
    <w:rsid w:val="00AF1F1C"/>
    <w:rsid w:val="00B00C15"/>
    <w:rsid w:val="00B01CC1"/>
    <w:rsid w:val="00B0448E"/>
    <w:rsid w:val="00B070F5"/>
    <w:rsid w:val="00B12CBA"/>
    <w:rsid w:val="00B16CAC"/>
    <w:rsid w:val="00B26569"/>
    <w:rsid w:val="00B303EA"/>
    <w:rsid w:val="00B31ACE"/>
    <w:rsid w:val="00B31BB2"/>
    <w:rsid w:val="00B33A21"/>
    <w:rsid w:val="00B34950"/>
    <w:rsid w:val="00B34998"/>
    <w:rsid w:val="00B37149"/>
    <w:rsid w:val="00B37304"/>
    <w:rsid w:val="00B41C78"/>
    <w:rsid w:val="00B432F1"/>
    <w:rsid w:val="00B453EE"/>
    <w:rsid w:val="00B501B2"/>
    <w:rsid w:val="00B5077D"/>
    <w:rsid w:val="00B50E01"/>
    <w:rsid w:val="00B512E7"/>
    <w:rsid w:val="00B51B2F"/>
    <w:rsid w:val="00B549E1"/>
    <w:rsid w:val="00B56587"/>
    <w:rsid w:val="00B56E95"/>
    <w:rsid w:val="00B605C2"/>
    <w:rsid w:val="00B649E6"/>
    <w:rsid w:val="00B64ADA"/>
    <w:rsid w:val="00B70242"/>
    <w:rsid w:val="00B70EE2"/>
    <w:rsid w:val="00B744AF"/>
    <w:rsid w:val="00B75842"/>
    <w:rsid w:val="00B83372"/>
    <w:rsid w:val="00B900A2"/>
    <w:rsid w:val="00B93C5C"/>
    <w:rsid w:val="00B956F6"/>
    <w:rsid w:val="00B97CAC"/>
    <w:rsid w:val="00BA11F9"/>
    <w:rsid w:val="00BA5252"/>
    <w:rsid w:val="00BA6922"/>
    <w:rsid w:val="00BA69A0"/>
    <w:rsid w:val="00BA79BA"/>
    <w:rsid w:val="00BB2359"/>
    <w:rsid w:val="00BB2EBF"/>
    <w:rsid w:val="00BB4086"/>
    <w:rsid w:val="00BB6B0C"/>
    <w:rsid w:val="00BC1A78"/>
    <w:rsid w:val="00BC270F"/>
    <w:rsid w:val="00BC5438"/>
    <w:rsid w:val="00BC55DA"/>
    <w:rsid w:val="00BC585F"/>
    <w:rsid w:val="00BC64D4"/>
    <w:rsid w:val="00BD09F3"/>
    <w:rsid w:val="00BD1DE7"/>
    <w:rsid w:val="00BD20DA"/>
    <w:rsid w:val="00BE100C"/>
    <w:rsid w:val="00BE3CBD"/>
    <w:rsid w:val="00BE48F3"/>
    <w:rsid w:val="00BE6D77"/>
    <w:rsid w:val="00BE76C5"/>
    <w:rsid w:val="00BF0AEC"/>
    <w:rsid w:val="00BF123B"/>
    <w:rsid w:val="00BF123D"/>
    <w:rsid w:val="00BF3765"/>
    <w:rsid w:val="00BF5EE2"/>
    <w:rsid w:val="00BF69B1"/>
    <w:rsid w:val="00C011A1"/>
    <w:rsid w:val="00C01402"/>
    <w:rsid w:val="00C106DE"/>
    <w:rsid w:val="00C10AAE"/>
    <w:rsid w:val="00C115F4"/>
    <w:rsid w:val="00C13352"/>
    <w:rsid w:val="00C156D0"/>
    <w:rsid w:val="00C2107B"/>
    <w:rsid w:val="00C2473C"/>
    <w:rsid w:val="00C248AC"/>
    <w:rsid w:val="00C24DFC"/>
    <w:rsid w:val="00C25822"/>
    <w:rsid w:val="00C25B7C"/>
    <w:rsid w:val="00C25B89"/>
    <w:rsid w:val="00C277F4"/>
    <w:rsid w:val="00C27F4E"/>
    <w:rsid w:val="00C30D75"/>
    <w:rsid w:val="00C329F6"/>
    <w:rsid w:val="00C34B47"/>
    <w:rsid w:val="00C35F18"/>
    <w:rsid w:val="00C3685C"/>
    <w:rsid w:val="00C370FC"/>
    <w:rsid w:val="00C40327"/>
    <w:rsid w:val="00C40345"/>
    <w:rsid w:val="00C41BDF"/>
    <w:rsid w:val="00C47BC9"/>
    <w:rsid w:val="00C510F6"/>
    <w:rsid w:val="00C5369B"/>
    <w:rsid w:val="00C53CB3"/>
    <w:rsid w:val="00C62015"/>
    <w:rsid w:val="00C67A59"/>
    <w:rsid w:val="00C70ADA"/>
    <w:rsid w:val="00C73F42"/>
    <w:rsid w:val="00C74A5C"/>
    <w:rsid w:val="00C8573E"/>
    <w:rsid w:val="00C90CE9"/>
    <w:rsid w:val="00C911DE"/>
    <w:rsid w:val="00C91B7F"/>
    <w:rsid w:val="00C921D5"/>
    <w:rsid w:val="00C95F13"/>
    <w:rsid w:val="00C96EB7"/>
    <w:rsid w:val="00CA2012"/>
    <w:rsid w:val="00CA2ED9"/>
    <w:rsid w:val="00CA3DD3"/>
    <w:rsid w:val="00CA5A37"/>
    <w:rsid w:val="00CA5EC1"/>
    <w:rsid w:val="00CA7F40"/>
    <w:rsid w:val="00CB4B48"/>
    <w:rsid w:val="00CB597C"/>
    <w:rsid w:val="00CC5081"/>
    <w:rsid w:val="00CD4230"/>
    <w:rsid w:val="00CD5716"/>
    <w:rsid w:val="00CD5D9E"/>
    <w:rsid w:val="00CE15C8"/>
    <w:rsid w:val="00CE1D19"/>
    <w:rsid w:val="00CE79D5"/>
    <w:rsid w:val="00CF27C6"/>
    <w:rsid w:val="00CF32FD"/>
    <w:rsid w:val="00CF6075"/>
    <w:rsid w:val="00CF6361"/>
    <w:rsid w:val="00CF7E3D"/>
    <w:rsid w:val="00D00FA4"/>
    <w:rsid w:val="00D01B24"/>
    <w:rsid w:val="00D020E2"/>
    <w:rsid w:val="00D04234"/>
    <w:rsid w:val="00D04E44"/>
    <w:rsid w:val="00D0523B"/>
    <w:rsid w:val="00D0540D"/>
    <w:rsid w:val="00D060C5"/>
    <w:rsid w:val="00D0673B"/>
    <w:rsid w:val="00D12507"/>
    <w:rsid w:val="00D13B83"/>
    <w:rsid w:val="00D14D51"/>
    <w:rsid w:val="00D14E3B"/>
    <w:rsid w:val="00D21C2D"/>
    <w:rsid w:val="00D23F11"/>
    <w:rsid w:val="00D31AAE"/>
    <w:rsid w:val="00D32449"/>
    <w:rsid w:val="00D32E6F"/>
    <w:rsid w:val="00D33D0C"/>
    <w:rsid w:val="00D42C52"/>
    <w:rsid w:val="00D46D29"/>
    <w:rsid w:val="00D50E23"/>
    <w:rsid w:val="00D5329C"/>
    <w:rsid w:val="00D54889"/>
    <w:rsid w:val="00D5545F"/>
    <w:rsid w:val="00D56520"/>
    <w:rsid w:val="00D57072"/>
    <w:rsid w:val="00D57A8D"/>
    <w:rsid w:val="00D60EF9"/>
    <w:rsid w:val="00D61A59"/>
    <w:rsid w:val="00D63294"/>
    <w:rsid w:val="00D633B6"/>
    <w:rsid w:val="00D63BE7"/>
    <w:rsid w:val="00D64F6D"/>
    <w:rsid w:val="00D6512E"/>
    <w:rsid w:val="00D70758"/>
    <w:rsid w:val="00D72377"/>
    <w:rsid w:val="00D75DD0"/>
    <w:rsid w:val="00D760EF"/>
    <w:rsid w:val="00D77889"/>
    <w:rsid w:val="00D77F62"/>
    <w:rsid w:val="00D80239"/>
    <w:rsid w:val="00D82C3F"/>
    <w:rsid w:val="00D84293"/>
    <w:rsid w:val="00D85C97"/>
    <w:rsid w:val="00D9730C"/>
    <w:rsid w:val="00DA0E70"/>
    <w:rsid w:val="00DA0E7B"/>
    <w:rsid w:val="00DA1B7C"/>
    <w:rsid w:val="00DA21DB"/>
    <w:rsid w:val="00DA3A25"/>
    <w:rsid w:val="00DA5A00"/>
    <w:rsid w:val="00DA6917"/>
    <w:rsid w:val="00DB01B2"/>
    <w:rsid w:val="00DB0A14"/>
    <w:rsid w:val="00DB4192"/>
    <w:rsid w:val="00DB5FF7"/>
    <w:rsid w:val="00DC04A8"/>
    <w:rsid w:val="00DC0CB0"/>
    <w:rsid w:val="00DC106B"/>
    <w:rsid w:val="00DC4E35"/>
    <w:rsid w:val="00DD0417"/>
    <w:rsid w:val="00DD0D40"/>
    <w:rsid w:val="00DD13E2"/>
    <w:rsid w:val="00DD2781"/>
    <w:rsid w:val="00DD2B13"/>
    <w:rsid w:val="00DD2C57"/>
    <w:rsid w:val="00DD2D53"/>
    <w:rsid w:val="00DD5971"/>
    <w:rsid w:val="00DD5DC9"/>
    <w:rsid w:val="00DE037B"/>
    <w:rsid w:val="00DE0587"/>
    <w:rsid w:val="00DE16E2"/>
    <w:rsid w:val="00DE712C"/>
    <w:rsid w:val="00DE7461"/>
    <w:rsid w:val="00DF0AF9"/>
    <w:rsid w:val="00DF1527"/>
    <w:rsid w:val="00DF2F2C"/>
    <w:rsid w:val="00DF3485"/>
    <w:rsid w:val="00DF51C8"/>
    <w:rsid w:val="00DF55E3"/>
    <w:rsid w:val="00DF5C1F"/>
    <w:rsid w:val="00DF641D"/>
    <w:rsid w:val="00E014FE"/>
    <w:rsid w:val="00E05D45"/>
    <w:rsid w:val="00E0776F"/>
    <w:rsid w:val="00E1520C"/>
    <w:rsid w:val="00E16D1C"/>
    <w:rsid w:val="00E2314B"/>
    <w:rsid w:val="00E23E06"/>
    <w:rsid w:val="00E25492"/>
    <w:rsid w:val="00E264B7"/>
    <w:rsid w:val="00E31481"/>
    <w:rsid w:val="00E31685"/>
    <w:rsid w:val="00E36C3F"/>
    <w:rsid w:val="00E37AA1"/>
    <w:rsid w:val="00E41B1E"/>
    <w:rsid w:val="00E426C9"/>
    <w:rsid w:val="00E50BBA"/>
    <w:rsid w:val="00E50EFF"/>
    <w:rsid w:val="00E50F4B"/>
    <w:rsid w:val="00E51947"/>
    <w:rsid w:val="00E52335"/>
    <w:rsid w:val="00E5289B"/>
    <w:rsid w:val="00E53096"/>
    <w:rsid w:val="00E5372C"/>
    <w:rsid w:val="00E56111"/>
    <w:rsid w:val="00E57C83"/>
    <w:rsid w:val="00E60476"/>
    <w:rsid w:val="00E61468"/>
    <w:rsid w:val="00E61F0C"/>
    <w:rsid w:val="00E63CC2"/>
    <w:rsid w:val="00E64CFA"/>
    <w:rsid w:val="00E65AE8"/>
    <w:rsid w:val="00E67E3C"/>
    <w:rsid w:val="00E70CAE"/>
    <w:rsid w:val="00E70CC2"/>
    <w:rsid w:val="00E70D08"/>
    <w:rsid w:val="00E7153D"/>
    <w:rsid w:val="00E726BA"/>
    <w:rsid w:val="00E72712"/>
    <w:rsid w:val="00E776D2"/>
    <w:rsid w:val="00E82E8A"/>
    <w:rsid w:val="00E83DA0"/>
    <w:rsid w:val="00E863A3"/>
    <w:rsid w:val="00E93579"/>
    <w:rsid w:val="00EA0000"/>
    <w:rsid w:val="00EA0886"/>
    <w:rsid w:val="00EA1674"/>
    <w:rsid w:val="00EA2AAB"/>
    <w:rsid w:val="00EA46D4"/>
    <w:rsid w:val="00EA511D"/>
    <w:rsid w:val="00EB2068"/>
    <w:rsid w:val="00EB5A78"/>
    <w:rsid w:val="00EC1776"/>
    <w:rsid w:val="00EC288D"/>
    <w:rsid w:val="00EC3B60"/>
    <w:rsid w:val="00EC49F6"/>
    <w:rsid w:val="00EC4B58"/>
    <w:rsid w:val="00EC4B6A"/>
    <w:rsid w:val="00EC63B8"/>
    <w:rsid w:val="00ED2DF4"/>
    <w:rsid w:val="00ED4829"/>
    <w:rsid w:val="00ED60C2"/>
    <w:rsid w:val="00ED634A"/>
    <w:rsid w:val="00ED74B1"/>
    <w:rsid w:val="00ED78F3"/>
    <w:rsid w:val="00EE0374"/>
    <w:rsid w:val="00EE03F5"/>
    <w:rsid w:val="00EE08F5"/>
    <w:rsid w:val="00EE2A1A"/>
    <w:rsid w:val="00EE2B24"/>
    <w:rsid w:val="00EE5CE9"/>
    <w:rsid w:val="00EF23E6"/>
    <w:rsid w:val="00EF2E12"/>
    <w:rsid w:val="00EF3939"/>
    <w:rsid w:val="00EF4D17"/>
    <w:rsid w:val="00EF6B28"/>
    <w:rsid w:val="00EF6CD7"/>
    <w:rsid w:val="00F00750"/>
    <w:rsid w:val="00F02F2E"/>
    <w:rsid w:val="00F041D9"/>
    <w:rsid w:val="00F05BB1"/>
    <w:rsid w:val="00F06413"/>
    <w:rsid w:val="00F07833"/>
    <w:rsid w:val="00F07DC2"/>
    <w:rsid w:val="00F11CFC"/>
    <w:rsid w:val="00F1657E"/>
    <w:rsid w:val="00F1770B"/>
    <w:rsid w:val="00F17EC1"/>
    <w:rsid w:val="00F2178A"/>
    <w:rsid w:val="00F23233"/>
    <w:rsid w:val="00F2343A"/>
    <w:rsid w:val="00F23C77"/>
    <w:rsid w:val="00F44637"/>
    <w:rsid w:val="00F44FE7"/>
    <w:rsid w:val="00F45389"/>
    <w:rsid w:val="00F46398"/>
    <w:rsid w:val="00F4708B"/>
    <w:rsid w:val="00F52D9E"/>
    <w:rsid w:val="00F53B53"/>
    <w:rsid w:val="00F612DC"/>
    <w:rsid w:val="00F66A72"/>
    <w:rsid w:val="00F67D84"/>
    <w:rsid w:val="00F70296"/>
    <w:rsid w:val="00F72BD1"/>
    <w:rsid w:val="00F7561F"/>
    <w:rsid w:val="00F7667E"/>
    <w:rsid w:val="00F766CF"/>
    <w:rsid w:val="00F81725"/>
    <w:rsid w:val="00F83F9F"/>
    <w:rsid w:val="00F8521C"/>
    <w:rsid w:val="00F855C1"/>
    <w:rsid w:val="00F86466"/>
    <w:rsid w:val="00F8666D"/>
    <w:rsid w:val="00F91340"/>
    <w:rsid w:val="00F91C8D"/>
    <w:rsid w:val="00F92D09"/>
    <w:rsid w:val="00F95250"/>
    <w:rsid w:val="00F967F3"/>
    <w:rsid w:val="00F96AD5"/>
    <w:rsid w:val="00FA47E2"/>
    <w:rsid w:val="00FB2F77"/>
    <w:rsid w:val="00FB55E9"/>
    <w:rsid w:val="00FB63DF"/>
    <w:rsid w:val="00FB702F"/>
    <w:rsid w:val="00FB79CA"/>
    <w:rsid w:val="00FC029D"/>
    <w:rsid w:val="00FC5113"/>
    <w:rsid w:val="00FC58D0"/>
    <w:rsid w:val="00FC716A"/>
    <w:rsid w:val="00FC7D8B"/>
    <w:rsid w:val="00FD0083"/>
    <w:rsid w:val="00FD3A3C"/>
    <w:rsid w:val="00FD3B96"/>
    <w:rsid w:val="00FD4EB1"/>
    <w:rsid w:val="00FD59F4"/>
    <w:rsid w:val="00FD7EE2"/>
    <w:rsid w:val="00FE26D9"/>
    <w:rsid w:val="00FF0836"/>
    <w:rsid w:val="00FF16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rsid w:val="004C0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144728">
      <w:bodyDiv w:val="1"/>
      <w:marLeft w:val="0"/>
      <w:marRight w:val="0"/>
      <w:marTop w:val="0"/>
      <w:marBottom w:val="0"/>
      <w:divBdr>
        <w:top w:val="none" w:sz="0" w:space="0" w:color="auto"/>
        <w:left w:val="none" w:sz="0" w:space="0" w:color="auto"/>
        <w:bottom w:val="none" w:sz="0" w:space="0" w:color="auto"/>
        <w:right w:val="none" w:sz="0" w:space="0" w:color="auto"/>
      </w:divBdr>
    </w:div>
    <w:div w:id="343216858">
      <w:bodyDiv w:val="1"/>
      <w:marLeft w:val="0"/>
      <w:marRight w:val="0"/>
      <w:marTop w:val="0"/>
      <w:marBottom w:val="0"/>
      <w:divBdr>
        <w:top w:val="none" w:sz="0" w:space="0" w:color="auto"/>
        <w:left w:val="none" w:sz="0" w:space="0" w:color="auto"/>
        <w:bottom w:val="none" w:sz="0" w:space="0" w:color="auto"/>
        <w:right w:val="none" w:sz="0" w:space="0" w:color="auto"/>
      </w:divBdr>
    </w:div>
    <w:div w:id="594023055">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973024870">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35897069">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E0AD1-FF67-4924-B2E2-FF81BB923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6436</Words>
  <Characters>35403</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3</cp:revision>
  <cp:lastPrinted>2020-03-12T16:09:00Z</cp:lastPrinted>
  <dcterms:created xsi:type="dcterms:W3CDTF">2020-04-10T19:03:00Z</dcterms:created>
  <dcterms:modified xsi:type="dcterms:W3CDTF">2020-04-28T05:59:00Z</dcterms:modified>
</cp:coreProperties>
</file>